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drawings/drawing5.xml" ContentType="application/vnd.openxmlformats-officedocument.drawingml.chartshapes+xml"/>
  <Override PartName="/word/charts/chart21.xml" ContentType="application/vnd.openxmlformats-officedocument.drawingml.chart+xml"/>
  <Override PartName="/word/theme/themeOverride18.xml" ContentType="application/vnd.openxmlformats-officedocument.themeOverride+xml"/>
  <Override PartName="/word/drawings/drawing6.xml" ContentType="application/vnd.openxmlformats-officedocument.drawingml.chartshapes+xml"/>
  <Override PartName="/word/charts/chart22.xml" ContentType="application/vnd.openxmlformats-officedocument.drawingml.chart+xml"/>
  <Override PartName="/word/theme/themeOverride19.xml" ContentType="application/vnd.openxmlformats-officedocument.themeOverride+xml"/>
  <Override PartName="/word/drawings/drawing7.xml" ContentType="application/vnd.openxmlformats-officedocument.drawingml.chartshapes+xml"/>
  <Override PartName="/word/charts/chart23.xml" ContentType="application/vnd.openxmlformats-officedocument.drawingml.chart+xml"/>
  <Override PartName="/word/theme/themeOverride20.xml" ContentType="application/vnd.openxmlformats-officedocument.themeOverride+xml"/>
  <Override PartName="/word/drawings/drawing8.xml" ContentType="application/vnd.openxmlformats-officedocument.drawingml.chartshapes+xml"/>
  <Override PartName="/word/charts/chart24.xml" ContentType="application/vnd.openxmlformats-officedocument.drawingml.chart+xml"/>
  <Override PartName="/word/theme/themeOverride21.xml" ContentType="application/vnd.openxmlformats-officedocument.themeOverride+xml"/>
  <Override PartName="/word/charts/chart25.xml" ContentType="application/vnd.openxmlformats-officedocument.drawingml.chart+xml"/>
  <Override PartName="/word/theme/themeOverride22.xml" ContentType="application/vnd.openxmlformats-officedocument.themeOverride+xml"/>
  <Override PartName="/word/charts/chart26.xml" ContentType="application/vnd.openxmlformats-officedocument.drawingml.chart+xml"/>
  <Override PartName="/word/theme/themeOverride23.xml" ContentType="application/vnd.openxmlformats-officedocument.themeOverride+xml"/>
  <Override PartName="/word/drawings/drawing9.xml" ContentType="application/vnd.openxmlformats-officedocument.drawingml.chartshapes+xml"/>
  <Override PartName="/word/charts/chart27.xml" ContentType="application/vnd.openxmlformats-officedocument.drawingml.chart+xml"/>
  <Override PartName="/word/theme/themeOverride24.xml" ContentType="application/vnd.openxmlformats-officedocument.themeOverride+xml"/>
  <Override PartName="/word/drawings/drawing10.xml" ContentType="application/vnd.openxmlformats-officedocument.drawingml.chartshapes+xml"/>
  <Override PartName="/word/charts/chart28.xml" ContentType="application/vnd.openxmlformats-officedocument.drawingml.chart+xml"/>
  <Override PartName="/word/theme/themeOverride25.xml" ContentType="application/vnd.openxmlformats-officedocument.themeOverride+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drawings/drawing11.xml" ContentType="application/vnd.openxmlformats-officedocument.drawingml.chartshapes+xml"/>
  <Override PartName="/word/charts/chart31.xml" ContentType="application/vnd.openxmlformats-officedocument.drawingml.chart+xml"/>
  <Override PartName="/word/theme/themeOverride28.xml" ContentType="application/vnd.openxmlformats-officedocument.themeOverride+xml"/>
  <Override PartName="/word/drawings/drawing12.xml" ContentType="application/vnd.openxmlformats-officedocument.drawingml.chartshapes+xml"/>
  <Override PartName="/word/charts/chart32.xml" ContentType="application/vnd.openxmlformats-officedocument.drawingml.chart+xml"/>
  <Override PartName="/word/theme/themeOverride29.xml" ContentType="application/vnd.openxmlformats-officedocument.themeOverride+xml"/>
  <Override PartName="/word/drawings/drawing13.xml" ContentType="application/vnd.openxmlformats-officedocument.drawingml.chartshapes+xml"/>
  <Override PartName="/word/charts/chart33.xml" ContentType="application/vnd.openxmlformats-officedocument.drawingml.chart+xml"/>
  <Override PartName="/word/theme/themeOverride30.xml" ContentType="application/vnd.openxmlformats-officedocument.themeOverride+xml"/>
  <Override PartName="/word/drawings/drawing14.xml" ContentType="application/vnd.openxmlformats-officedocument.drawingml.chartshapes+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drawings/drawing15.xml" ContentType="application/vnd.openxmlformats-officedocument.drawingml.chartshapes+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charts/chart42.xml" ContentType="application/vnd.openxmlformats-officedocument.drawingml.chart+xml"/>
  <Override PartName="/word/theme/themeOverride39.xml" ContentType="application/vnd.openxmlformats-officedocument.themeOverride+xml"/>
  <Override PartName="/word/charts/chart43.xml" ContentType="application/vnd.openxmlformats-officedocument.drawingml.chart+xml"/>
  <Override PartName="/word/theme/themeOverride40.xml" ContentType="application/vnd.openxmlformats-officedocument.themeOverride+xml"/>
  <Override PartName="/word/charts/chart44.xml" ContentType="application/vnd.openxmlformats-officedocument.drawingml.chart+xml"/>
  <Override PartName="/word/theme/themeOverride41.xml" ContentType="application/vnd.openxmlformats-officedocument.themeOverride+xml"/>
  <Override PartName="/word/drawings/drawing16.xml" ContentType="application/vnd.openxmlformats-officedocument.drawingml.chartshapes+xml"/>
  <Override PartName="/word/charts/chart45.xml" ContentType="application/vnd.openxmlformats-officedocument.drawingml.chart+xml"/>
  <Override PartName="/word/theme/themeOverride42.xml" ContentType="application/vnd.openxmlformats-officedocument.themeOverride+xml"/>
  <Override PartName="/word/drawings/drawing17.xml" ContentType="application/vnd.openxmlformats-officedocument.drawingml.chartshapes+xml"/>
  <Override PartName="/word/charts/chart46.xml" ContentType="application/vnd.openxmlformats-officedocument.drawingml.chart+xml"/>
  <Override PartName="/word/theme/themeOverride43.xml" ContentType="application/vnd.openxmlformats-officedocument.themeOverride+xml"/>
  <Override PartName="/word/drawings/drawing18.xml" ContentType="application/vnd.openxmlformats-officedocument.drawingml.chartshapes+xml"/>
  <Override PartName="/word/charts/chart47.xml" ContentType="application/vnd.openxmlformats-officedocument.drawingml.chart+xml"/>
  <Override PartName="/word/theme/themeOverride44.xml" ContentType="application/vnd.openxmlformats-officedocument.themeOverride+xml"/>
  <Override PartName="/word/drawings/drawing19.xml" ContentType="application/vnd.openxmlformats-officedocument.drawingml.chartshapes+xml"/>
  <Override PartName="/word/charts/chart48.xml" ContentType="application/vnd.openxmlformats-officedocument.drawingml.chart+xml"/>
  <Override PartName="/word/theme/themeOverride45.xml" ContentType="application/vnd.openxmlformats-officedocument.themeOverride+xml"/>
  <Override PartName="/word/drawings/drawing20.xml" ContentType="application/vnd.openxmlformats-officedocument.drawingml.chartshapes+xml"/>
  <Override PartName="/word/charts/chart49.xml" ContentType="application/vnd.openxmlformats-officedocument.drawingml.chart+xml"/>
  <Override PartName="/word/theme/themeOverride46.xml" ContentType="application/vnd.openxmlformats-officedocument.themeOverride+xml"/>
  <Override PartName="/word/drawings/drawing21.xml" ContentType="application/vnd.openxmlformats-officedocument.drawingml.chartshapes+xml"/>
  <Override PartName="/word/charts/chart50.xml" ContentType="application/vnd.openxmlformats-officedocument.drawingml.chart+xml"/>
  <Override PartName="/word/theme/themeOverride47.xml" ContentType="application/vnd.openxmlformats-officedocument.themeOverride+xml"/>
  <Override PartName="/word/drawings/drawing22.xml" ContentType="application/vnd.openxmlformats-officedocument.drawingml.chartshapes+xml"/>
  <Override PartName="/word/charts/chart51.xml" ContentType="application/vnd.openxmlformats-officedocument.drawingml.chart+xml"/>
  <Override PartName="/word/theme/themeOverride48.xml" ContentType="application/vnd.openxmlformats-officedocument.themeOverride+xml"/>
  <Override PartName="/word/drawings/drawing23.xml" ContentType="application/vnd.openxmlformats-officedocument.drawingml.chartshapes+xml"/>
  <Override PartName="/word/charts/chart52.xml" ContentType="application/vnd.openxmlformats-officedocument.drawingml.chart+xml"/>
  <Override PartName="/word/theme/themeOverride49.xml" ContentType="application/vnd.openxmlformats-officedocument.themeOverride+xml"/>
  <Override PartName="/word/drawings/drawing24.xml" ContentType="application/vnd.openxmlformats-officedocument.drawingml.chartshapes+xml"/>
  <Override PartName="/word/charts/chart53.xml" ContentType="application/vnd.openxmlformats-officedocument.drawingml.chart+xml"/>
  <Override PartName="/word/theme/themeOverride50.xml" ContentType="application/vnd.openxmlformats-officedocument.themeOverride+xml"/>
  <Override PartName="/word/drawings/drawing25.xml" ContentType="application/vnd.openxmlformats-officedocument.drawingml.chartshapes+xml"/>
  <Override PartName="/word/charts/chart54.xml" ContentType="application/vnd.openxmlformats-officedocument.drawingml.chart+xml"/>
  <Override PartName="/word/charts/chart55.xml" ContentType="application/vnd.openxmlformats-officedocument.drawingml.chart+xml"/>
  <Override PartName="/word/theme/themeOverride51.xml" ContentType="application/vnd.openxmlformats-officedocument.themeOverride+xml"/>
  <Override PartName="/word/charts/chart56.xml" ContentType="application/vnd.openxmlformats-officedocument.drawingml.chart+xml"/>
  <Override PartName="/word/theme/themeOverride52.xml" ContentType="application/vnd.openxmlformats-officedocument.themeOverride+xml"/>
  <Override PartName="/word/drawings/drawing26.xml" ContentType="application/vnd.openxmlformats-officedocument.drawingml.chartshapes+xml"/>
  <Override PartName="/word/charts/chart57.xml" ContentType="application/vnd.openxmlformats-officedocument.drawingml.chart+xml"/>
  <Override PartName="/word/theme/themeOverride53.xml" ContentType="application/vnd.openxmlformats-officedocument.themeOverride+xml"/>
  <Override PartName="/word/drawings/drawing27.xml" ContentType="application/vnd.openxmlformats-officedocument.drawingml.chartshapes+xml"/>
  <Override PartName="/word/charts/chart58.xml" ContentType="application/vnd.openxmlformats-officedocument.drawingml.chart+xml"/>
  <Override PartName="/word/theme/themeOverride54.xml" ContentType="application/vnd.openxmlformats-officedocument.themeOverride+xml"/>
  <Override PartName="/word/drawings/drawing28.xml" ContentType="application/vnd.openxmlformats-officedocument.drawingml.chartshapes+xml"/>
  <Override PartName="/word/charts/chart59.xml" ContentType="application/vnd.openxmlformats-officedocument.drawingml.chart+xml"/>
  <Override PartName="/word/charts/chart6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1.xml" ContentType="application/vnd.openxmlformats-officedocument.drawingml.chart+xml"/>
  <Override PartName="/word/theme/themeOverride55.xml" ContentType="application/vnd.openxmlformats-officedocument.themeOverride+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theme/themeOverride56.xml" ContentType="application/vnd.openxmlformats-officedocument.themeOverride+xml"/>
  <Override PartName="/word/charts/chart75.xml" ContentType="application/vnd.openxmlformats-officedocument.drawingml.chart+xml"/>
  <Override PartName="/word/theme/themeOverride57.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1F47F8" w14:textId="7D5407D7" w:rsidR="0021126A" w:rsidRPr="003F410A" w:rsidRDefault="00DC6C4E" w:rsidP="004349F3">
      <w:pPr>
        <w:pStyle w:val="TableTitleCharCharCharCharCharCharCharCharCharChar1"/>
        <w:rPr>
          <w:lang w:val="en-US"/>
        </w:rPr>
      </w:pPr>
      <w:r>
        <w:rPr>
          <w:noProof/>
          <w:lang w:val="en-US" w:eastAsia="en-US"/>
        </w:rPr>
        <w:drawing>
          <wp:inline distT="0" distB="0" distL="0" distR="0" wp14:anchorId="3C862C86" wp14:editId="3EACAB9D">
            <wp:extent cx="6195060" cy="3097530"/>
            <wp:effectExtent l="0" t="0" r="0" b="7620"/>
            <wp:docPr id="5" name="Picture 5" descr="https://www.gov.am/new_images/gov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ov.am/new_images/gov_buildi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95060" cy="3097530"/>
                    </a:xfrm>
                    <a:prstGeom prst="rect">
                      <a:avLst/>
                    </a:prstGeom>
                    <a:noFill/>
                    <a:ln>
                      <a:noFill/>
                    </a:ln>
                  </pic:spPr>
                </pic:pic>
              </a:graphicData>
            </a:graphic>
          </wp:inline>
        </w:drawing>
      </w:r>
    </w:p>
    <w:p w14:paraId="7B18DF7D" w14:textId="77777777" w:rsidR="004A4189" w:rsidRPr="004A4189" w:rsidRDefault="004A4189" w:rsidP="007730AA">
      <w:pPr>
        <w:spacing w:before="0" w:line="276" w:lineRule="auto"/>
        <w:ind w:firstLine="0"/>
        <w:jc w:val="center"/>
        <w:rPr>
          <w:sz w:val="52"/>
          <w:szCs w:val="52"/>
          <w:lang w:val="en-US"/>
        </w:rPr>
      </w:pPr>
    </w:p>
    <w:p w14:paraId="0F2FE371" w14:textId="77777777" w:rsidR="0021126A" w:rsidRPr="008B1D49" w:rsidRDefault="0021126A" w:rsidP="007730AA">
      <w:pPr>
        <w:spacing w:before="0" w:line="276" w:lineRule="auto"/>
        <w:ind w:firstLine="0"/>
        <w:jc w:val="center"/>
        <w:rPr>
          <w:b w:val="0"/>
          <w:sz w:val="52"/>
          <w:szCs w:val="52"/>
          <w:lang w:val="en-US"/>
        </w:rPr>
      </w:pPr>
      <w:r w:rsidRPr="00A83C94">
        <w:rPr>
          <w:sz w:val="52"/>
          <w:szCs w:val="52"/>
        </w:rPr>
        <w:t>ՀԱՅԱՍՏԱՆԻ</w:t>
      </w:r>
      <w:r w:rsidR="001E6978" w:rsidRPr="008B1D49">
        <w:rPr>
          <w:sz w:val="52"/>
          <w:szCs w:val="52"/>
          <w:lang w:val="en-US"/>
        </w:rPr>
        <w:t xml:space="preserve"> </w:t>
      </w:r>
      <w:r w:rsidR="00932A00" w:rsidRPr="00A83C94">
        <w:rPr>
          <w:sz w:val="52"/>
          <w:szCs w:val="52"/>
          <w:lang w:val="en-US"/>
        </w:rPr>
        <w:t>Հ</w:t>
      </w:r>
      <w:r w:rsidRPr="00A83C94">
        <w:rPr>
          <w:sz w:val="52"/>
          <w:szCs w:val="52"/>
        </w:rPr>
        <w:t>ԱՆՐԱՊԵՏՈՒԹՅԱՆ</w:t>
      </w:r>
    </w:p>
    <w:p w14:paraId="3B351AF3" w14:textId="77777777" w:rsidR="0021126A" w:rsidRPr="008B1D49" w:rsidRDefault="0021126A" w:rsidP="007730AA">
      <w:pPr>
        <w:spacing w:before="0" w:line="276" w:lineRule="auto"/>
        <w:ind w:firstLine="0"/>
        <w:jc w:val="center"/>
        <w:rPr>
          <w:b w:val="0"/>
          <w:sz w:val="52"/>
          <w:szCs w:val="52"/>
          <w:lang w:val="en-US"/>
        </w:rPr>
      </w:pPr>
      <w:r w:rsidRPr="00A83C94">
        <w:rPr>
          <w:sz w:val="52"/>
          <w:szCs w:val="52"/>
        </w:rPr>
        <w:t>ԿԱՌԱՎԱՐՈՒԹՅԱՆ</w:t>
      </w:r>
    </w:p>
    <w:p w14:paraId="7F57BF41" w14:textId="77777777" w:rsidR="0021126A" w:rsidRPr="008B1D49" w:rsidRDefault="0021126A" w:rsidP="007730AA">
      <w:pPr>
        <w:spacing w:before="0" w:line="276" w:lineRule="auto"/>
        <w:ind w:firstLine="0"/>
        <w:jc w:val="center"/>
        <w:rPr>
          <w:b w:val="0"/>
          <w:sz w:val="52"/>
          <w:szCs w:val="52"/>
          <w:lang w:val="en-US"/>
        </w:rPr>
      </w:pPr>
    </w:p>
    <w:p w14:paraId="64511ECA" w14:textId="157008D6" w:rsidR="0021126A" w:rsidRPr="008B1D49" w:rsidRDefault="00BB3288" w:rsidP="007730AA">
      <w:pPr>
        <w:spacing w:before="0" w:line="276" w:lineRule="auto"/>
        <w:ind w:firstLine="0"/>
        <w:jc w:val="center"/>
        <w:rPr>
          <w:b w:val="0"/>
          <w:sz w:val="52"/>
          <w:szCs w:val="52"/>
          <w:lang w:val="en-US"/>
        </w:rPr>
      </w:pPr>
      <w:r w:rsidRPr="008B1D49">
        <w:rPr>
          <w:sz w:val="52"/>
          <w:szCs w:val="52"/>
          <w:lang w:val="en-US"/>
        </w:rPr>
        <w:t xml:space="preserve">2022 </w:t>
      </w:r>
      <w:r w:rsidR="0021126A" w:rsidRPr="00A83C94">
        <w:rPr>
          <w:sz w:val="52"/>
          <w:szCs w:val="52"/>
        </w:rPr>
        <w:t>ԹՎԱԿԱՆԻ</w:t>
      </w:r>
      <w:r w:rsidR="0021126A" w:rsidRPr="008B1D49">
        <w:rPr>
          <w:sz w:val="52"/>
          <w:szCs w:val="52"/>
          <w:lang w:val="en-US"/>
        </w:rPr>
        <w:t xml:space="preserve"> </w:t>
      </w:r>
      <w:r w:rsidR="0021126A" w:rsidRPr="00A83C94">
        <w:rPr>
          <w:sz w:val="52"/>
          <w:szCs w:val="52"/>
        </w:rPr>
        <w:t>ԲՅՈՒՋԵՏԱՅԻՆ</w:t>
      </w:r>
      <w:r w:rsidR="0021126A" w:rsidRPr="008B1D49">
        <w:rPr>
          <w:sz w:val="52"/>
          <w:szCs w:val="52"/>
          <w:lang w:val="en-US"/>
        </w:rPr>
        <w:t xml:space="preserve"> </w:t>
      </w:r>
    </w:p>
    <w:p w14:paraId="17172718" w14:textId="77777777" w:rsidR="0021126A" w:rsidRPr="008B1D49" w:rsidRDefault="0021126A" w:rsidP="007730AA">
      <w:pPr>
        <w:spacing w:before="0" w:line="276" w:lineRule="auto"/>
        <w:ind w:firstLine="0"/>
        <w:jc w:val="center"/>
        <w:rPr>
          <w:sz w:val="72"/>
          <w:szCs w:val="72"/>
          <w:lang w:val="en-US"/>
        </w:rPr>
      </w:pPr>
    </w:p>
    <w:p w14:paraId="6E4372EC" w14:textId="77777777" w:rsidR="0021126A" w:rsidRPr="008B1D49" w:rsidRDefault="0021126A" w:rsidP="007730AA">
      <w:pPr>
        <w:spacing w:before="0" w:line="276" w:lineRule="auto"/>
        <w:ind w:firstLine="0"/>
        <w:jc w:val="center"/>
        <w:rPr>
          <w:b w:val="0"/>
          <w:sz w:val="72"/>
          <w:szCs w:val="72"/>
          <w:lang w:val="en-US"/>
        </w:rPr>
      </w:pPr>
      <w:r w:rsidRPr="00A83C94">
        <w:rPr>
          <w:sz w:val="72"/>
          <w:szCs w:val="72"/>
        </w:rPr>
        <w:t>ՈՒ</w:t>
      </w:r>
      <w:r w:rsidRPr="008B1D49">
        <w:rPr>
          <w:sz w:val="72"/>
          <w:szCs w:val="72"/>
          <w:lang w:val="en-US"/>
        </w:rPr>
        <w:t xml:space="preserve"> </w:t>
      </w:r>
      <w:r w:rsidRPr="00A83C94">
        <w:rPr>
          <w:sz w:val="72"/>
          <w:szCs w:val="72"/>
        </w:rPr>
        <w:t>Ղ</w:t>
      </w:r>
      <w:r w:rsidRPr="008B1D49">
        <w:rPr>
          <w:sz w:val="72"/>
          <w:szCs w:val="72"/>
          <w:lang w:val="en-US"/>
        </w:rPr>
        <w:t xml:space="preserve"> </w:t>
      </w:r>
      <w:r w:rsidRPr="00A83C94">
        <w:rPr>
          <w:sz w:val="72"/>
          <w:szCs w:val="72"/>
        </w:rPr>
        <w:t>Ե</w:t>
      </w:r>
      <w:r w:rsidRPr="008B1D49">
        <w:rPr>
          <w:sz w:val="72"/>
          <w:szCs w:val="72"/>
          <w:lang w:val="en-US"/>
        </w:rPr>
        <w:t xml:space="preserve"> </w:t>
      </w:r>
      <w:r w:rsidRPr="00A83C94">
        <w:rPr>
          <w:sz w:val="72"/>
          <w:szCs w:val="72"/>
        </w:rPr>
        <w:t>Ր</w:t>
      </w:r>
      <w:r w:rsidRPr="008B1D49">
        <w:rPr>
          <w:sz w:val="72"/>
          <w:szCs w:val="72"/>
          <w:lang w:val="en-US"/>
        </w:rPr>
        <w:t xml:space="preserve"> </w:t>
      </w:r>
      <w:r w:rsidRPr="00A83C94">
        <w:rPr>
          <w:sz w:val="72"/>
          <w:szCs w:val="72"/>
        </w:rPr>
        <w:t>Ձ</w:t>
      </w:r>
    </w:p>
    <w:p w14:paraId="2C9CB236" w14:textId="77777777" w:rsidR="0021126A" w:rsidRPr="008B1D49" w:rsidRDefault="0021126A" w:rsidP="007730AA">
      <w:pPr>
        <w:spacing w:before="0" w:line="276" w:lineRule="auto"/>
        <w:ind w:firstLine="0"/>
        <w:jc w:val="center"/>
        <w:rPr>
          <w:b w:val="0"/>
          <w:sz w:val="32"/>
          <w:szCs w:val="32"/>
          <w:lang w:val="en-US"/>
        </w:rPr>
      </w:pPr>
    </w:p>
    <w:p w14:paraId="126D7971" w14:textId="77777777" w:rsidR="00140251" w:rsidRPr="008B1D49" w:rsidRDefault="00140251" w:rsidP="007730AA">
      <w:pPr>
        <w:spacing w:before="0" w:line="276" w:lineRule="auto"/>
        <w:ind w:firstLine="0"/>
        <w:jc w:val="center"/>
        <w:rPr>
          <w:b w:val="0"/>
          <w:sz w:val="32"/>
          <w:szCs w:val="32"/>
          <w:lang w:val="en-US"/>
        </w:rPr>
      </w:pPr>
    </w:p>
    <w:p w14:paraId="0CD8A3E5" w14:textId="77777777" w:rsidR="00140251" w:rsidRPr="008B1D49" w:rsidRDefault="00140251" w:rsidP="007730AA">
      <w:pPr>
        <w:spacing w:before="0" w:line="276" w:lineRule="auto"/>
        <w:ind w:firstLine="0"/>
        <w:jc w:val="center"/>
        <w:rPr>
          <w:b w:val="0"/>
          <w:sz w:val="32"/>
          <w:szCs w:val="32"/>
          <w:lang w:val="en-US"/>
        </w:rPr>
      </w:pPr>
    </w:p>
    <w:p w14:paraId="6E143260" w14:textId="77777777" w:rsidR="0021126A" w:rsidRPr="008B1D49" w:rsidRDefault="0021126A" w:rsidP="007730AA">
      <w:pPr>
        <w:spacing w:before="0" w:line="276" w:lineRule="auto"/>
        <w:ind w:firstLine="0"/>
        <w:jc w:val="center"/>
        <w:rPr>
          <w:sz w:val="32"/>
          <w:szCs w:val="32"/>
          <w:lang w:val="en-US"/>
        </w:rPr>
      </w:pPr>
    </w:p>
    <w:p w14:paraId="17DD70D5" w14:textId="77777777" w:rsidR="0021126A" w:rsidRPr="008B1D49" w:rsidRDefault="0021126A" w:rsidP="007730AA">
      <w:pPr>
        <w:spacing w:before="0" w:line="276" w:lineRule="auto"/>
        <w:ind w:firstLine="0"/>
        <w:jc w:val="center"/>
        <w:rPr>
          <w:rFonts w:ascii="Arial Unicode" w:hAnsi="Arial Unicode"/>
          <w:sz w:val="32"/>
          <w:szCs w:val="32"/>
          <w:lang w:val="en-US"/>
        </w:rPr>
      </w:pPr>
    </w:p>
    <w:p w14:paraId="253E5AD8" w14:textId="11FCE4C9" w:rsidR="0021126A" w:rsidRPr="00A83C94" w:rsidRDefault="0021126A" w:rsidP="007730AA">
      <w:pPr>
        <w:spacing w:before="0" w:line="276" w:lineRule="auto"/>
        <w:ind w:firstLine="0"/>
        <w:jc w:val="center"/>
      </w:pPr>
      <w:r w:rsidRPr="00A83C94">
        <w:rPr>
          <w:sz w:val="32"/>
          <w:szCs w:val="32"/>
        </w:rPr>
        <w:t xml:space="preserve">ԵՐԵՎԱՆ </w:t>
      </w:r>
      <w:r w:rsidR="00BB3288" w:rsidRPr="00A83C94">
        <w:rPr>
          <w:sz w:val="32"/>
          <w:szCs w:val="32"/>
        </w:rPr>
        <w:t>20</w:t>
      </w:r>
      <w:r w:rsidR="00BB3288" w:rsidRPr="00A83C94">
        <w:rPr>
          <w:sz w:val="32"/>
          <w:szCs w:val="32"/>
          <w:lang w:val="hy-AM"/>
        </w:rPr>
        <w:t>2</w:t>
      </w:r>
      <w:r w:rsidR="00BB3288" w:rsidRPr="00A83C94">
        <w:rPr>
          <w:sz w:val="32"/>
          <w:szCs w:val="32"/>
        </w:rPr>
        <w:t>1թ</w:t>
      </w:r>
      <w:r w:rsidRPr="00A83C94">
        <w:rPr>
          <w:sz w:val="32"/>
          <w:szCs w:val="32"/>
        </w:rPr>
        <w:t>.</w:t>
      </w:r>
    </w:p>
    <w:p w14:paraId="642FE489" w14:textId="77777777" w:rsidR="0021126A" w:rsidRPr="00A83C94" w:rsidRDefault="0021126A" w:rsidP="007730AA">
      <w:pPr>
        <w:spacing w:before="0" w:line="276" w:lineRule="auto"/>
        <w:ind w:firstLine="0"/>
        <w:contextualSpacing w:val="0"/>
        <w:jc w:val="left"/>
        <w:rPr>
          <w:b w:val="0"/>
          <w:sz w:val="32"/>
          <w:szCs w:val="32"/>
        </w:rPr>
      </w:pPr>
      <w:r w:rsidRPr="00A83C94">
        <w:rPr>
          <w:sz w:val="32"/>
          <w:szCs w:val="32"/>
        </w:rPr>
        <w:br w:type="page"/>
      </w:r>
    </w:p>
    <w:p w14:paraId="1C5F5455" w14:textId="77777777" w:rsidR="00925FDB" w:rsidRPr="00A83C94" w:rsidRDefault="00925FDB" w:rsidP="007730AA">
      <w:pPr>
        <w:spacing w:before="0" w:line="276" w:lineRule="auto"/>
        <w:jc w:val="center"/>
        <w:rPr>
          <w:b w:val="0"/>
          <w:sz w:val="32"/>
          <w:szCs w:val="32"/>
        </w:rPr>
      </w:pPr>
      <w:r w:rsidRPr="00A83C94">
        <w:rPr>
          <w:sz w:val="32"/>
          <w:szCs w:val="32"/>
        </w:rPr>
        <w:lastRenderedPageBreak/>
        <w:t>ԲՈՎԱՆԴԱԿՈՒԹՅՈՒՆ</w:t>
      </w:r>
    </w:p>
    <w:p w14:paraId="1032FE53" w14:textId="77777777" w:rsidR="00BA2D53" w:rsidRPr="00A83C94" w:rsidRDefault="00BA2D53" w:rsidP="007730AA">
      <w:pPr>
        <w:spacing w:before="0" w:line="276" w:lineRule="auto"/>
      </w:pPr>
    </w:p>
    <w:p w14:paraId="5CB77F80" w14:textId="563284AC" w:rsidR="00A10D4F" w:rsidRDefault="003C3925">
      <w:pPr>
        <w:pStyle w:val="TOC3"/>
        <w:rPr>
          <w:rFonts w:asciiTheme="minorHAnsi" w:eastAsiaTheme="minorEastAsia" w:hAnsiTheme="minorHAnsi" w:cstheme="minorBidi"/>
          <w:b w:val="0"/>
          <w:noProof/>
          <w:szCs w:val="22"/>
          <w:lang w:val="en-US" w:eastAsia="en-US"/>
        </w:rPr>
      </w:pPr>
      <w:r w:rsidRPr="00A83C94">
        <w:rPr>
          <w:rFonts w:cs="Sylfaen"/>
          <w:szCs w:val="22"/>
        </w:rPr>
        <w:fldChar w:fldCharType="begin"/>
      </w:r>
      <w:r w:rsidR="00BA2D53" w:rsidRPr="00A83C94">
        <w:rPr>
          <w:rFonts w:cs="Sylfaen"/>
          <w:szCs w:val="22"/>
        </w:rPr>
        <w:instrText xml:space="preserve"> TOC \o "1-4" \h \z \u </w:instrText>
      </w:r>
      <w:r w:rsidRPr="00A83C94">
        <w:rPr>
          <w:rFonts w:cs="Sylfaen"/>
          <w:szCs w:val="22"/>
        </w:rPr>
        <w:fldChar w:fldCharType="separate"/>
      </w:r>
      <w:hyperlink w:anchor="_Toc89428249" w:history="1">
        <w:r w:rsidR="00A10D4F" w:rsidRPr="000658D2">
          <w:rPr>
            <w:rStyle w:val="Hyperlink"/>
            <w:noProof/>
            <w:lang w:val="hy-AM"/>
          </w:rPr>
          <w:t>ՎԱՐՉԱՊԵՏ ՆԻԿՈԼ ՓԱՇԻՆՅԱՆԻ ՈՒՂԵՐՁԸ 2022 ԹՎԱԿԱՆԻ ՀԱՅԱՍՏԱՆԻ ՀԱՆՐԱՊԵՏՈՒԹՅԱՆ ՊԵՏԱԿԱՆ ԲՅՈՒՋԵԻ ԸՆԴՈՒՆՄԱՆ ԱՌԻԹՈՎ</w:t>
        </w:r>
        <w:r w:rsidR="00A10D4F">
          <w:rPr>
            <w:noProof/>
            <w:webHidden/>
          </w:rPr>
          <w:tab/>
        </w:r>
        <w:r w:rsidR="00A10D4F">
          <w:rPr>
            <w:noProof/>
            <w:webHidden/>
          </w:rPr>
          <w:fldChar w:fldCharType="begin"/>
        </w:r>
        <w:r w:rsidR="00A10D4F">
          <w:rPr>
            <w:noProof/>
            <w:webHidden/>
          </w:rPr>
          <w:instrText xml:space="preserve"> PAGEREF _Toc89428249 \h </w:instrText>
        </w:r>
        <w:r w:rsidR="00A10D4F">
          <w:rPr>
            <w:noProof/>
            <w:webHidden/>
          </w:rPr>
        </w:r>
        <w:r w:rsidR="00A10D4F">
          <w:rPr>
            <w:noProof/>
            <w:webHidden/>
          </w:rPr>
          <w:fldChar w:fldCharType="separate"/>
        </w:r>
        <w:r w:rsidR="00A10D4F">
          <w:rPr>
            <w:noProof/>
            <w:webHidden/>
          </w:rPr>
          <w:t>6</w:t>
        </w:r>
        <w:r w:rsidR="00A10D4F">
          <w:rPr>
            <w:noProof/>
            <w:webHidden/>
          </w:rPr>
          <w:fldChar w:fldCharType="end"/>
        </w:r>
      </w:hyperlink>
    </w:p>
    <w:p w14:paraId="3CAE5B2F" w14:textId="1BB651EA" w:rsidR="00A10D4F" w:rsidRDefault="00A10D4F">
      <w:pPr>
        <w:pStyle w:val="TOC3"/>
        <w:rPr>
          <w:rFonts w:asciiTheme="minorHAnsi" w:eastAsiaTheme="minorEastAsia" w:hAnsiTheme="minorHAnsi" w:cstheme="minorBidi"/>
          <w:b w:val="0"/>
          <w:noProof/>
          <w:szCs w:val="22"/>
          <w:lang w:val="en-US" w:eastAsia="en-US"/>
        </w:rPr>
      </w:pPr>
      <w:hyperlink w:anchor="_Toc89428251" w:history="1">
        <w:r w:rsidRPr="000658D2">
          <w:rPr>
            <w:rStyle w:val="Hyperlink"/>
            <w:noProof/>
            <w:lang w:val="hy-AM"/>
          </w:rPr>
          <w:t>ՆԵՐԱԾՈՒԹՅՈՒՆ</w:t>
        </w:r>
        <w:r>
          <w:rPr>
            <w:noProof/>
            <w:webHidden/>
          </w:rPr>
          <w:tab/>
        </w:r>
        <w:r>
          <w:rPr>
            <w:noProof/>
            <w:webHidden/>
          </w:rPr>
          <w:fldChar w:fldCharType="begin"/>
        </w:r>
        <w:r>
          <w:rPr>
            <w:noProof/>
            <w:webHidden/>
          </w:rPr>
          <w:instrText xml:space="preserve"> PAGEREF _Toc89428251 \h </w:instrText>
        </w:r>
        <w:r>
          <w:rPr>
            <w:noProof/>
            <w:webHidden/>
          </w:rPr>
        </w:r>
        <w:r>
          <w:rPr>
            <w:noProof/>
            <w:webHidden/>
          </w:rPr>
          <w:fldChar w:fldCharType="separate"/>
        </w:r>
        <w:r>
          <w:rPr>
            <w:noProof/>
            <w:webHidden/>
          </w:rPr>
          <w:t>8</w:t>
        </w:r>
        <w:r>
          <w:rPr>
            <w:noProof/>
            <w:webHidden/>
          </w:rPr>
          <w:fldChar w:fldCharType="end"/>
        </w:r>
      </w:hyperlink>
    </w:p>
    <w:p w14:paraId="07ECE9F4" w14:textId="06FA7A03" w:rsidR="00A10D4F" w:rsidRDefault="00A10D4F">
      <w:pPr>
        <w:pStyle w:val="TOC1"/>
        <w:rPr>
          <w:rFonts w:asciiTheme="minorHAnsi" w:eastAsiaTheme="minorEastAsia" w:hAnsiTheme="minorHAnsi" w:cstheme="minorBidi"/>
          <w:b w:val="0"/>
          <w:noProof/>
          <w:szCs w:val="22"/>
          <w:lang w:val="en-US" w:eastAsia="en-US"/>
        </w:rPr>
      </w:pPr>
      <w:hyperlink w:anchor="_Toc89428252" w:history="1">
        <w:r w:rsidRPr="000658D2">
          <w:rPr>
            <w:rStyle w:val="Hyperlink"/>
            <w:noProof/>
            <w:lang w:val="hy-AM"/>
          </w:rPr>
          <w:t>ՄԱՍ I–Ա. ՍՈՑԻԱԼ-ՏՆՏԵՍԱԿԱՆ ԶԱՐԳԱՑՄԱՆ ԵՎ ՀԱՐԿԱԲՅՈՒՋԵՏԱՅԻՆ ՔԱՂԱՔԱԿԱՆՈՒԹՅԱՆ ՀԻՄՆԱԿԱՆ ՈՒՂՂՈՒԹՅՈՒՆՆԵՐԻ ՄԱՍԻՆ</w:t>
        </w:r>
        <w:r>
          <w:rPr>
            <w:noProof/>
            <w:webHidden/>
          </w:rPr>
          <w:tab/>
        </w:r>
        <w:r>
          <w:rPr>
            <w:noProof/>
            <w:webHidden/>
          </w:rPr>
          <w:fldChar w:fldCharType="begin"/>
        </w:r>
        <w:r>
          <w:rPr>
            <w:noProof/>
            <w:webHidden/>
          </w:rPr>
          <w:instrText xml:space="preserve"> PAGEREF _Toc89428252 \h </w:instrText>
        </w:r>
        <w:r>
          <w:rPr>
            <w:noProof/>
            <w:webHidden/>
          </w:rPr>
        </w:r>
        <w:r>
          <w:rPr>
            <w:noProof/>
            <w:webHidden/>
          </w:rPr>
          <w:fldChar w:fldCharType="separate"/>
        </w:r>
        <w:r>
          <w:rPr>
            <w:noProof/>
            <w:webHidden/>
          </w:rPr>
          <w:t>10</w:t>
        </w:r>
        <w:r>
          <w:rPr>
            <w:noProof/>
            <w:webHidden/>
          </w:rPr>
          <w:fldChar w:fldCharType="end"/>
        </w:r>
      </w:hyperlink>
    </w:p>
    <w:p w14:paraId="26D7DAE2" w14:textId="56F7CE4A" w:rsidR="00A10D4F" w:rsidRDefault="00A10D4F">
      <w:pPr>
        <w:pStyle w:val="TOC1"/>
        <w:rPr>
          <w:rFonts w:asciiTheme="minorHAnsi" w:eastAsiaTheme="minorEastAsia" w:hAnsiTheme="minorHAnsi" w:cstheme="minorBidi"/>
          <w:b w:val="0"/>
          <w:noProof/>
          <w:szCs w:val="22"/>
          <w:lang w:val="en-US" w:eastAsia="en-US"/>
        </w:rPr>
      </w:pPr>
      <w:hyperlink w:anchor="_Toc89428253" w:history="1">
        <w:r w:rsidRPr="000658D2">
          <w:rPr>
            <w:rStyle w:val="Hyperlink"/>
            <w:rFonts w:cs="Times LatArm"/>
            <w:noProof/>
            <w:lang w:val="hy-AM"/>
          </w:rPr>
          <w:t xml:space="preserve">2022 </w:t>
        </w:r>
        <w:r w:rsidRPr="000658D2">
          <w:rPr>
            <w:rStyle w:val="Hyperlink"/>
            <w:rFonts w:cs="Sylfaen"/>
            <w:noProof/>
            <w:lang w:val="hy-AM"/>
          </w:rPr>
          <w:t>թվականի</w:t>
        </w:r>
        <w:r w:rsidRPr="000658D2">
          <w:rPr>
            <w:rStyle w:val="Hyperlink"/>
            <w:rFonts w:cs="Times LatArm"/>
            <w:noProof/>
            <w:lang w:val="hy-AM"/>
          </w:rPr>
          <w:t xml:space="preserve"> </w:t>
        </w:r>
        <w:r w:rsidRPr="000658D2">
          <w:rPr>
            <w:rStyle w:val="Hyperlink"/>
            <w:rFonts w:cs="Sylfaen"/>
            <w:noProof/>
            <w:lang w:val="hy-AM"/>
          </w:rPr>
          <w:t>սոցիալ</w:t>
        </w:r>
        <w:r w:rsidRPr="000658D2">
          <w:rPr>
            <w:rStyle w:val="Hyperlink"/>
            <w:rFonts w:cs="Times LatArm"/>
            <w:noProof/>
            <w:lang w:val="hy-AM"/>
          </w:rPr>
          <w:t>-</w:t>
        </w:r>
        <w:r w:rsidRPr="000658D2">
          <w:rPr>
            <w:rStyle w:val="Hyperlink"/>
            <w:rFonts w:cs="Sylfaen"/>
            <w:noProof/>
            <w:lang w:val="hy-AM"/>
          </w:rPr>
          <w:t>տնտեսական</w:t>
        </w:r>
        <w:r w:rsidRPr="000658D2">
          <w:rPr>
            <w:rStyle w:val="Hyperlink"/>
            <w:rFonts w:cs="Times LatArm"/>
            <w:noProof/>
            <w:lang w:val="hy-AM"/>
          </w:rPr>
          <w:t xml:space="preserve"> </w:t>
        </w:r>
        <w:r w:rsidRPr="000658D2">
          <w:rPr>
            <w:rStyle w:val="Hyperlink"/>
            <w:rFonts w:cs="Sylfaen"/>
            <w:noProof/>
            <w:lang w:val="hy-AM"/>
          </w:rPr>
          <w:t>զարգացման</w:t>
        </w:r>
        <w:r w:rsidRPr="000658D2">
          <w:rPr>
            <w:rStyle w:val="Hyperlink"/>
            <w:rFonts w:cs="Times LatArm"/>
            <w:noProof/>
            <w:lang w:val="hy-AM"/>
          </w:rPr>
          <w:t xml:space="preserve"> </w:t>
        </w:r>
        <w:r w:rsidRPr="000658D2">
          <w:rPr>
            <w:rStyle w:val="Hyperlink"/>
            <w:rFonts w:cs="Sylfaen"/>
            <w:noProof/>
            <w:lang w:val="hy-AM"/>
          </w:rPr>
          <w:t>և հարկաբյուջետային քաղաքականության հիմնական</w:t>
        </w:r>
        <w:r w:rsidRPr="000658D2">
          <w:rPr>
            <w:rStyle w:val="Hyperlink"/>
            <w:rFonts w:cs="Times LatArm"/>
            <w:noProof/>
            <w:lang w:val="hy-AM"/>
          </w:rPr>
          <w:t xml:space="preserve"> </w:t>
        </w:r>
        <w:r w:rsidRPr="000658D2">
          <w:rPr>
            <w:rStyle w:val="Hyperlink"/>
            <w:rFonts w:cs="Sylfaen"/>
            <w:noProof/>
            <w:lang w:val="hy-AM"/>
          </w:rPr>
          <w:t>ուղղությունները</w:t>
        </w:r>
        <w:r>
          <w:rPr>
            <w:noProof/>
            <w:webHidden/>
          </w:rPr>
          <w:tab/>
        </w:r>
        <w:r>
          <w:rPr>
            <w:noProof/>
            <w:webHidden/>
          </w:rPr>
          <w:fldChar w:fldCharType="begin"/>
        </w:r>
        <w:r>
          <w:rPr>
            <w:noProof/>
            <w:webHidden/>
          </w:rPr>
          <w:instrText xml:space="preserve"> PAGEREF _Toc89428253 \h </w:instrText>
        </w:r>
        <w:r>
          <w:rPr>
            <w:noProof/>
            <w:webHidden/>
          </w:rPr>
        </w:r>
        <w:r>
          <w:rPr>
            <w:noProof/>
            <w:webHidden/>
          </w:rPr>
          <w:fldChar w:fldCharType="separate"/>
        </w:r>
        <w:r>
          <w:rPr>
            <w:noProof/>
            <w:webHidden/>
          </w:rPr>
          <w:t>10</w:t>
        </w:r>
        <w:r>
          <w:rPr>
            <w:noProof/>
            <w:webHidden/>
          </w:rPr>
          <w:fldChar w:fldCharType="end"/>
        </w:r>
      </w:hyperlink>
    </w:p>
    <w:p w14:paraId="41F4CE24" w14:textId="4490994C" w:rsidR="00A10D4F" w:rsidRDefault="00A10D4F">
      <w:pPr>
        <w:pStyle w:val="TOC3"/>
        <w:rPr>
          <w:rFonts w:asciiTheme="minorHAnsi" w:eastAsiaTheme="minorEastAsia" w:hAnsiTheme="minorHAnsi" w:cstheme="minorBidi"/>
          <w:b w:val="0"/>
          <w:noProof/>
          <w:szCs w:val="22"/>
          <w:lang w:val="en-US" w:eastAsia="en-US"/>
        </w:rPr>
      </w:pPr>
      <w:hyperlink w:anchor="_Toc89428254" w:history="1">
        <w:r w:rsidRPr="000658D2">
          <w:rPr>
            <w:rStyle w:val="Hyperlink"/>
            <w:rFonts w:cs="Arial"/>
            <w:noProof/>
            <w:lang w:val="hy-AM" w:eastAsia="en-US"/>
          </w:rPr>
          <w:t>Տնտեսական զարգացում</w:t>
        </w:r>
        <w:r>
          <w:rPr>
            <w:noProof/>
            <w:webHidden/>
          </w:rPr>
          <w:tab/>
        </w:r>
        <w:r>
          <w:rPr>
            <w:noProof/>
            <w:webHidden/>
          </w:rPr>
          <w:fldChar w:fldCharType="begin"/>
        </w:r>
        <w:r>
          <w:rPr>
            <w:noProof/>
            <w:webHidden/>
          </w:rPr>
          <w:instrText xml:space="preserve"> PAGEREF _Toc89428254 \h </w:instrText>
        </w:r>
        <w:r>
          <w:rPr>
            <w:noProof/>
            <w:webHidden/>
          </w:rPr>
        </w:r>
        <w:r>
          <w:rPr>
            <w:noProof/>
            <w:webHidden/>
          </w:rPr>
          <w:fldChar w:fldCharType="separate"/>
        </w:r>
        <w:r>
          <w:rPr>
            <w:noProof/>
            <w:webHidden/>
          </w:rPr>
          <w:t>10</w:t>
        </w:r>
        <w:r>
          <w:rPr>
            <w:noProof/>
            <w:webHidden/>
          </w:rPr>
          <w:fldChar w:fldCharType="end"/>
        </w:r>
      </w:hyperlink>
    </w:p>
    <w:p w14:paraId="67952433" w14:textId="0528D9FC" w:rsidR="00A10D4F" w:rsidRDefault="00A10D4F">
      <w:pPr>
        <w:pStyle w:val="TOC3"/>
        <w:rPr>
          <w:rFonts w:asciiTheme="minorHAnsi" w:eastAsiaTheme="minorEastAsia" w:hAnsiTheme="minorHAnsi" w:cstheme="minorBidi"/>
          <w:b w:val="0"/>
          <w:noProof/>
          <w:szCs w:val="22"/>
          <w:lang w:val="en-US" w:eastAsia="en-US"/>
        </w:rPr>
      </w:pPr>
      <w:hyperlink w:anchor="_Toc89428255" w:history="1">
        <w:r w:rsidRPr="000658D2">
          <w:rPr>
            <w:rStyle w:val="Hyperlink"/>
            <w:rFonts w:cs="Arial"/>
            <w:noProof/>
            <w:lang w:val="hy-AM" w:eastAsia="en-US"/>
          </w:rPr>
          <w:t>Տարածքային կառավարում և տեղական ինքնակառավարում</w:t>
        </w:r>
        <w:r>
          <w:rPr>
            <w:noProof/>
            <w:webHidden/>
          </w:rPr>
          <w:tab/>
        </w:r>
        <w:r>
          <w:rPr>
            <w:noProof/>
            <w:webHidden/>
          </w:rPr>
          <w:fldChar w:fldCharType="begin"/>
        </w:r>
        <w:r>
          <w:rPr>
            <w:noProof/>
            <w:webHidden/>
          </w:rPr>
          <w:instrText xml:space="preserve"> PAGEREF _Toc89428255 \h </w:instrText>
        </w:r>
        <w:r>
          <w:rPr>
            <w:noProof/>
            <w:webHidden/>
          </w:rPr>
        </w:r>
        <w:r>
          <w:rPr>
            <w:noProof/>
            <w:webHidden/>
          </w:rPr>
          <w:fldChar w:fldCharType="separate"/>
        </w:r>
        <w:r>
          <w:rPr>
            <w:noProof/>
            <w:webHidden/>
          </w:rPr>
          <w:t>12</w:t>
        </w:r>
        <w:r>
          <w:rPr>
            <w:noProof/>
            <w:webHidden/>
          </w:rPr>
          <w:fldChar w:fldCharType="end"/>
        </w:r>
      </w:hyperlink>
    </w:p>
    <w:p w14:paraId="5F9AB2A9" w14:textId="45B7A1B5" w:rsidR="00A10D4F" w:rsidRDefault="00A10D4F">
      <w:pPr>
        <w:pStyle w:val="TOC3"/>
        <w:rPr>
          <w:rFonts w:asciiTheme="minorHAnsi" w:eastAsiaTheme="minorEastAsia" w:hAnsiTheme="minorHAnsi" w:cstheme="minorBidi"/>
          <w:b w:val="0"/>
          <w:noProof/>
          <w:szCs w:val="22"/>
          <w:lang w:val="en-US" w:eastAsia="en-US"/>
        </w:rPr>
      </w:pPr>
      <w:hyperlink w:anchor="_Toc89428256" w:history="1">
        <w:r w:rsidRPr="000658D2">
          <w:rPr>
            <w:rStyle w:val="Hyperlink"/>
            <w:rFonts w:cs="Arial"/>
            <w:noProof/>
            <w:lang w:val="hy-AM" w:eastAsia="en-US"/>
          </w:rPr>
          <w:t>Ճանապարհային տնտեսություն</w:t>
        </w:r>
        <w:r>
          <w:rPr>
            <w:noProof/>
            <w:webHidden/>
          </w:rPr>
          <w:tab/>
        </w:r>
        <w:r>
          <w:rPr>
            <w:noProof/>
            <w:webHidden/>
          </w:rPr>
          <w:fldChar w:fldCharType="begin"/>
        </w:r>
        <w:r>
          <w:rPr>
            <w:noProof/>
            <w:webHidden/>
          </w:rPr>
          <w:instrText xml:space="preserve"> PAGEREF _Toc89428256 \h </w:instrText>
        </w:r>
        <w:r>
          <w:rPr>
            <w:noProof/>
            <w:webHidden/>
          </w:rPr>
        </w:r>
        <w:r>
          <w:rPr>
            <w:noProof/>
            <w:webHidden/>
          </w:rPr>
          <w:fldChar w:fldCharType="separate"/>
        </w:r>
        <w:r>
          <w:rPr>
            <w:noProof/>
            <w:webHidden/>
          </w:rPr>
          <w:t>13</w:t>
        </w:r>
        <w:r>
          <w:rPr>
            <w:noProof/>
            <w:webHidden/>
          </w:rPr>
          <w:fldChar w:fldCharType="end"/>
        </w:r>
      </w:hyperlink>
    </w:p>
    <w:p w14:paraId="4CC4DA15" w14:textId="7D0DC601" w:rsidR="00A10D4F" w:rsidRDefault="00A10D4F">
      <w:pPr>
        <w:pStyle w:val="TOC3"/>
        <w:rPr>
          <w:rFonts w:asciiTheme="minorHAnsi" w:eastAsiaTheme="minorEastAsia" w:hAnsiTheme="minorHAnsi" w:cstheme="minorBidi"/>
          <w:b w:val="0"/>
          <w:noProof/>
          <w:szCs w:val="22"/>
          <w:lang w:val="en-US" w:eastAsia="en-US"/>
        </w:rPr>
      </w:pPr>
      <w:hyperlink w:anchor="_Toc89428257" w:history="1">
        <w:r w:rsidRPr="000658D2">
          <w:rPr>
            <w:rStyle w:val="Hyperlink"/>
            <w:rFonts w:cs="Arial"/>
            <w:noProof/>
            <w:lang w:val="hy-AM" w:eastAsia="en-US"/>
          </w:rPr>
          <w:t>Էներգետիկա</w:t>
        </w:r>
        <w:r>
          <w:rPr>
            <w:noProof/>
            <w:webHidden/>
          </w:rPr>
          <w:tab/>
        </w:r>
        <w:r>
          <w:rPr>
            <w:noProof/>
            <w:webHidden/>
          </w:rPr>
          <w:fldChar w:fldCharType="begin"/>
        </w:r>
        <w:r>
          <w:rPr>
            <w:noProof/>
            <w:webHidden/>
          </w:rPr>
          <w:instrText xml:space="preserve"> PAGEREF _Toc89428257 \h </w:instrText>
        </w:r>
        <w:r>
          <w:rPr>
            <w:noProof/>
            <w:webHidden/>
          </w:rPr>
        </w:r>
        <w:r>
          <w:rPr>
            <w:noProof/>
            <w:webHidden/>
          </w:rPr>
          <w:fldChar w:fldCharType="separate"/>
        </w:r>
        <w:r>
          <w:rPr>
            <w:noProof/>
            <w:webHidden/>
          </w:rPr>
          <w:t>13</w:t>
        </w:r>
        <w:r>
          <w:rPr>
            <w:noProof/>
            <w:webHidden/>
          </w:rPr>
          <w:fldChar w:fldCharType="end"/>
        </w:r>
      </w:hyperlink>
    </w:p>
    <w:p w14:paraId="36EF258E" w14:textId="28C3F74F" w:rsidR="00A10D4F" w:rsidRDefault="00A10D4F">
      <w:pPr>
        <w:pStyle w:val="TOC3"/>
        <w:rPr>
          <w:rFonts w:asciiTheme="minorHAnsi" w:eastAsiaTheme="minorEastAsia" w:hAnsiTheme="minorHAnsi" w:cstheme="minorBidi"/>
          <w:b w:val="0"/>
          <w:noProof/>
          <w:szCs w:val="22"/>
          <w:lang w:val="en-US" w:eastAsia="en-US"/>
        </w:rPr>
      </w:pPr>
      <w:hyperlink w:anchor="_Toc89428258" w:history="1">
        <w:r w:rsidRPr="000658D2">
          <w:rPr>
            <w:rStyle w:val="Hyperlink"/>
            <w:rFonts w:cs="Arial"/>
            <w:noProof/>
            <w:lang w:val="hy-AM" w:eastAsia="en-US"/>
          </w:rPr>
          <w:t>Ջրային տնտեսություն</w:t>
        </w:r>
        <w:r>
          <w:rPr>
            <w:noProof/>
            <w:webHidden/>
          </w:rPr>
          <w:tab/>
        </w:r>
        <w:r>
          <w:rPr>
            <w:noProof/>
            <w:webHidden/>
          </w:rPr>
          <w:fldChar w:fldCharType="begin"/>
        </w:r>
        <w:r>
          <w:rPr>
            <w:noProof/>
            <w:webHidden/>
          </w:rPr>
          <w:instrText xml:space="preserve"> PAGEREF _Toc89428258 \h </w:instrText>
        </w:r>
        <w:r>
          <w:rPr>
            <w:noProof/>
            <w:webHidden/>
          </w:rPr>
        </w:r>
        <w:r>
          <w:rPr>
            <w:noProof/>
            <w:webHidden/>
          </w:rPr>
          <w:fldChar w:fldCharType="separate"/>
        </w:r>
        <w:r>
          <w:rPr>
            <w:noProof/>
            <w:webHidden/>
          </w:rPr>
          <w:t>14</w:t>
        </w:r>
        <w:r>
          <w:rPr>
            <w:noProof/>
            <w:webHidden/>
          </w:rPr>
          <w:fldChar w:fldCharType="end"/>
        </w:r>
      </w:hyperlink>
    </w:p>
    <w:p w14:paraId="0F808ED5" w14:textId="0768F77D" w:rsidR="00A10D4F" w:rsidRDefault="00A10D4F">
      <w:pPr>
        <w:pStyle w:val="TOC3"/>
        <w:rPr>
          <w:rFonts w:asciiTheme="minorHAnsi" w:eastAsiaTheme="minorEastAsia" w:hAnsiTheme="minorHAnsi" w:cstheme="minorBidi"/>
          <w:b w:val="0"/>
          <w:noProof/>
          <w:szCs w:val="22"/>
          <w:lang w:val="en-US" w:eastAsia="en-US"/>
        </w:rPr>
      </w:pPr>
      <w:hyperlink w:anchor="_Toc89428259" w:history="1">
        <w:r w:rsidRPr="000658D2">
          <w:rPr>
            <w:rStyle w:val="Hyperlink"/>
            <w:rFonts w:cs="Arial"/>
            <w:noProof/>
            <w:lang w:val="hy-AM" w:eastAsia="en-US"/>
          </w:rPr>
          <w:t>Հանրային ծառայությունների կարգավորում</w:t>
        </w:r>
        <w:r>
          <w:rPr>
            <w:noProof/>
            <w:webHidden/>
          </w:rPr>
          <w:tab/>
        </w:r>
        <w:r>
          <w:rPr>
            <w:noProof/>
            <w:webHidden/>
          </w:rPr>
          <w:fldChar w:fldCharType="begin"/>
        </w:r>
        <w:r>
          <w:rPr>
            <w:noProof/>
            <w:webHidden/>
          </w:rPr>
          <w:instrText xml:space="preserve"> PAGEREF _Toc89428259 \h </w:instrText>
        </w:r>
        <w:r>
          <w:rPr>
            <w:noProof/>
            <w:webHidden/>
          </w:rPr>
        </w:r>
        <w:r>
          <w:rPr>
            <w:noProof/>
            <w:webHidden/>
          </w:rPr>
          <w:fldChar w:fldCharType="separate"/>
        </w:r>
        <w:r>
          <w:rPr>
            <w:noProof/>
            <w:webHidden/>
          </w:rPr>
          <w:t>16</w:t>
        </w:r>
        <w:r>
          <w:rPr>
            <w:noProof/>
            <w:webHidden/>
          </w:rPr>
          <w:fldChar w:fldCharType="end"/>
        </w:r>
      </w:hyperlink>
    </w:p>
    <w:p w14:paraId="51F4377A" w14:textId="30D79D30" w:rsidR="00A10D4F" w:rsidRDefault="00A10D4F">
      <w:pPr>
        <w:pStyle w:val="TOC3"/>
        <w:rPr>
          <w:rFonts w:asciiTheme="minorHAnsi" w:eastAsiaTheme="minorEastAsia" w:hAnsiTheme="minorHAnsi" w:cstheme="minorBidi"/>
          <w:b w:val="0"/>
          <w:noProof/>
          <w:szCs w:val="22"/>
          <w:lang w:val="en-US" w:eastAsia="en-US"/>
        </w:rPr>
      </w:pPr>
      <w:hyperlink w:anchor="_Toc89428260" w:history="1">
        <w:r w:rsidRPr="000658D2">
          <w:rPr>
            <w:rStyle w:val="Hyperlink"/>
            <w:rFonts w:cs="Arial"/>
            <w:noProof/>
            <w:lang w:val="hy-AM" w:eastAsia="en-US"/>
          </w:rPr>
          <w:t>Քաղաքացիական ավիացիա</w:t>
        </w:r>
        <w:r>
          <w:rPr>
            <w:noProof/>
            <w:webHidden/>
          </w:rPr>
          <w:tab/>
        </w:r>
        <w:r>
          <w:rPr>
            <w:noProof/>
            <w:webHidden/>
          </w:rPr>
          <w:fldChar w:fldCharType="begin"/>
        </w:r>
        <w:r>
          <w:rPr>
            <w:noProof/>
            <w:webHidden/>
          </w:rPr>
          <w:instrText xml:space="preserve"> PAGEREF _Toc89428260 \h </w:instrText>
        </w:r>
        <w:r>
          <w:rPr>
            <w:noProof/>
            <w:webHidden/>
          </w:rPr>
        </w:r>
        <w:r>
          <w:rPr>
            <w:noProof/>
            <w:webHidden/>
          </w:rPr>
          <w:fldChar w:fldCharType="separate"/>
        </w:r>
        <w:r>
          <w:rPr>
            <w:noProof/>
            <w:webHidden/>
          </w:rPr>
          <w:t>16</w:t>
        </w:r>
        <w:r>
          <w:rPr>
            <w:noProof/>
            <w:webHidden/>
          </w:rPr>
          <w:fldChar w:fldCharType="end"/>
        </w:r>
      </w:hyperlink>
    </w:p>
    <w:p w14:paraId="210122B5" w14:textId="59D6BF2C" w:rsidR="00A10D4F" w:rsidRDefault="00A10D4F">
      <w:pPr>
        <w:pStyle w:val="TOC3"/>
        <w:rPr>
          <w:rFonts w:asciiTheme="minorHAnsi" w:eastAsiaTheme="minorEastAsia" w:hAnsiTheme="minorHAnsi" w:cstheme="minorBidi"/>
          <w:b w:val="0"/>
          <w:noProof/>
          <w:szCs w:val="22"/>
          <w:lang w:val="en-US" w:eastAsia="en-US"/>
        </w:rPr>
      </w:pPr>
      <w:hyperlink w:anchor="_Toc89428261" w:history="1">
        <w:r w:rsidRPr="000658D2">
          <w:rPr>
            <w:rStyle w:val="Hyperlink"/>
            <w:rFonts w:cs="Arial"/>
            <w:noProof/>
            <w:lang w:val="hy-AM" w:eastAsia="en-US"/>
          </w:rPr>
          <w:t>Պետական գույքի կառավարման ոլորտ</w:t>
        </w:r>
        <w:r>
          <w:rPr>
            <w:noProof/>
            <w:webHidden/>
          </w:rPr>
          <w:tab/>
        </w:r>
        <w:r>
          <w:rPr>
            <w:noProof/>
            <w:webHidden/>
          </w:rPr>
          <w:fldChar w:fldCharType="begin"/>
        </w:r>
        <w:r>
          <w:rPr>
            <w:noProof/>
            <w:webHidden/>
          </w:rPr>
          <w:instrText xml:space="preserve"> PAGEREF _Toc89428261 \h </w:instrText>
        </w:r>
        <w:r>
          <w:rPr>
            <w:noProof/>
            <w:webHidden/>
          </w:rPr>
        </w:r>
        <w:r>
          <w:rPr>
            <w:noProof/>
            <w:webHidden/>
          </w:rPr>
          <w:fldChar w:fldCharType="separate"/>
        </w:r>
        <w:r>
          <w:rPr>
            <w:noProof/>
            <w:webHidden/>
          </w:rPr>
          <w:t>16</w:t>
        </w:r>
        <w:r>
          <w:rPr>
            <w:noProof/>
            <w:webHidden/>
          </w:rPr>
          <w:fldChar w:fldCharType="end"/>
        </w:r>
      </w:hyperlink>
    </w:p>
    <w:p w14:paraId="439D35FF" w14:textId="03BD1C59" w:rsidR="00A10D4F" w:rsidRDefault="00A10D4F">
      <w:pPr>
        <w:pStyle w:val="TOC3"/>
        <w:rPr>
          <w:rFonts w:asciiTheme="minorHAnsi" w:eastAsiaTheme="minorEastAsia" w:hAnsiTheme="minorHAnsi" w:cstheme="minorBidi"/>
          <w:b w:val="0"/>
          <w:noProof/>
          <w:szCs w:val="22"/>
          <w:lang w:val="en-US" w:eastAsia="en-US"/>
        </w:rPr>
      </w:pPr>
      <w:hyperlink w:anchor="_Toc89428262" w:history="1">
        <w:r w:rsidRPr="000658D2">
          <w:rPr>
            <w:rStyle w:val="Hyperlink"/>
            <w:rFonts w:cs="Arial"/>
            <w:noProof/>
            <w:lang w:val="hy-AM"/>
          </w:rPr>
          <w:t>Միգրացիա</w:t>
        </w:r>
        <w:r>
          <w:rPr>
            <w:noProof/>
            <w:webHidden/>
          </w:rPr>
          <w:tab/>
        </w:r>
        <w:r>
          <w:rPr>
            <w:noProof/>
            <w:webHidden/>
          </w:rPr>
          <w:fldChar w:fldCharType="begin"/>
        </w:r>
        <w:r>
          <w:rPr>
            <w:noProof/>
            <w:webHidden/>
          </w:rPr>
          <w:instrText xml:space="preserve"> PAGEREF _Toc89428262 \h </w:instrText>
        </w:r>
        <w:r>
          <w:rPr>
            <w:noProof/>
            <w:webHidden/>
          </w:rPr>
        </w:r>
        <w:r>
          <w:rPr>
            <w:noProof/>
            <w:webHidden/>
          </w:rPr>
          <w:fldChar w:fldCharType="separate"/>
        </w:r>
        <w:r>
          <w:rPr>
            <w:noProof/>
            <w:webHidden/>
          </w:rPr>
          <w:t>16</w:t>
        </w:r>
        <w:r>
          <w:rPr>
            <w:noProof/>
            <w:webHidden/>
          </w:rPr>
          <w:fldChar w:fldCharType="end"/>
        </w:r>
      </w:hyperlink>
    </w:p>
    <w:p w14:paraId="012D52FA" w14:textId="50F16947" w:rsidR="00A10D4F" w:rsidRDefault="00A10D4F">
      <w:pPr>
        <w:pStyle w:val="TOC3"/>
        <w:rPr>
          <w:rFonts w:asciiTheme="minorHAnsi" w:eastAsiaTheme="minorEastAsia" w:hAnsiTheme="minorHAnsi" w:cstheme="minorBidi"/>
          <w:b w:val="0"/>
          <w:noProof/>
          <w:szCs w:val="22"/>
          <w:lang w:val="en-US" w:eastAsia="en-US"/>
        </w:rPr>
      </w:pPr>
      <w:hyperlink w:anchor="_Toc89428263" w:history="1">
        <w:r w:rsidRPr="000658D2">
          <w:rPr>
            <w:rStyle w:val="Hyperlink"/>
            <w:rFonts w:cs="Arial"/>
            <w:noProof/>
            <w:lang w:val="hy-AM" w:eastAsia="en-US"/>
          </w:rPr>
          <w:t>Բարձր տեխնոլոգիական արդյունաբերություն</w:t>
        </w:r>
        <w:r>
          <w:rPr>
            <w:noProof/>
            <w:webHidden/>
          </w:rPr>
          <w:tab/>
        </w:r>
        <w:r>
          <w:rPr>
            <w:noProof/>
            <w:webHidden/>
          </w:rPr>
          <w:fldChar w:fldCharType="begin"/>
        </w:r>
        <w:r>
          <w:rPr>
            <w:noProof/>
            <w:webHidden/>
          </w:rPr>
          <w:instrText xml:space="preserve"> PAGEREF _Toc89428263 \h </w:instrText>
        </w:r>
        <w:r>
          <w:rPr>
            <w:noProof/>
            <w:webHidden/>
          </w:rPr>
        </w:r>
        <w:r>
          <w:rPr>
            <w:noProof/>
            <w:webHidden/>
          </w:rPr>
          <w:fldChar w:fldCharType="separate"/>
        </w:r>
        <w:r>
          <w:rPr>
            <w:noProof/>
            <w:webHidden/>
          </w:rPr>
          <w:t>17</w:t>
        </w:r>
        <w:r>
          <w:rPr>
            <w:noProof/>
            <w:webHidden/>
          </w:rPr>
          <w:fldChar w:fldCharType="end"/>
        </w:r>
      </w:hyperlink>
    </w:p>
    <w:p w14:paraId="42D50468" w14:textId="62F41A13" w:rsidR="00A10D4F" w:rsidRDefault="00A10D4F">
      <w:pPr>
        <w:pStyle w:val="TOC3"/>
        <w:rPr>
          <w:rFonts w:asciiTheme="minorHAnsi" w:eastAsiaTheme="minorEastAsia" w:hAnsiTheme="minorHAnsi" w:cstheme="minorBidi"/>
          <w:b w:val="0"/>
          <w:noProof/>
          <w:szCs w:val="22"/>
          <w:lang w:val="en-US" w:eastAsia="en-US"/>
        </w:rPr>
      </w:pPr>
      <w:hyperlink w:anchor="_Toc89428264" w:history="1">
        <w:r w:rsidRPr="000658D2">
          <w:rPr>
            <w:rStyle w:val="Hyperlink"/>
            <w:rFonts w:cs="Arial"/>
            <w:noProof/>
            <w:lang w:val="hy-AM" w:eastAsia="en-US"/>
          </w:rPr>
          <w:t>Քաղաքաշինություն</w:t>
        </w:r>
        <w:r>
          <w:rPr>
            <w:noProof/>
            <w:webHidden/>
          </w:rPr>
          <w:tab/>
        </w:r>
        <w:r>
          <w:rPr>
            <w:noProof/>
            <w:webHidden/>
          </w:rPr>
          <w:fldChar w:fldCharType="begin"/>
        </w:r>
        <w:r>
          <w:rPr>
            <w:noProof/>
            <w:webHidden/>
          </w:rPr>
          <w:instrText xml:space="preserve"> PAGEREF _Toc89428264 \h </w:instrText>
        </w:r>
        <w:r>
          <w:rPr>
            <w:noProof/>
            <w:webHidden/>
          </w:rPr>
        </w:r>
        <w:r>
          <w:rPr>
            <w:noProof/>
            <w:webHidden/>
          </w:rPr>
          <w:fldChar w:fldCharType="separate"/>
        </w:r>
        <w:r>
          <w:rPr>
            <w:noProof/>
            <w:webHidden/>
          </w:rPr>
          <w:t>18</w:t>
        </w:r>
        <w:r>
          <w:rPr>
            <w:noProof/>
            <w:webHidden/>
          </w:rPr>
          <w:fldChar w:fldCharType="end"/>
        </w:r>
      </w:hyperlink>
    </w:p>
    <w:p w14:paraId="0116DD7B" w14:textId="0F18684E" w:rsidR="00A10D4F" w:rsidRDefault="00A10D4F">
      <w:pPr>
        <w:pStyle w:val="TOC3"/>
        <w:rPr>
          <w:rFonts w:asciiTheme="minorHAnsi" w:eastAsiaTheme="minorEastAsia" w:hAnsiTheme="minorHAnsi" w:cstheme="minorBidi"/>
          <w:b w:val="0"/>
          <w:noProof/>
          <w:szCs w:val="22"/>
          <w:lang w:val="en-US" w:eastAsia="en-US"/>
        </w:rPr>
      </w:pPr>
      <w:hyperlink w:anchor="_Toc89428265" w:history="1">
        <w:r w:rsidRPr="000658D2">
          <w:rPr>
            <w:rStyle w:val="Hyperlink"/>
            <w:rFonts w:cs="Arial"/>
            <w:noProof/>
            <w:lang w:val="hy-AM" w:eastAsia="en-US"/>
          </w:rPr>
          <w:t>Արտակարգ իրավիճակների բնագավառ</w:t>
        </w:r>
        <w:r>
          <w:rPr>
            <w:noProof/>
            <w:webHidden/>
          </w:rPr>
          <w:tab/>
        </w:r>
        <w:r>
          <w:rPr>
            <w:noProof/>
            <w:webHidden/>
          </w:rPr>
          <w:fldChar w:fldCharType="begin"/>
        </w:r>
        <w:r>
          <w:rPr>
            <w:noProof/>
            <w:webHidden/>
          </w:rPr>
          <w:instrText xml:space="preserve"> PAGEREF _Toc89428265 \h </w:instrText>
        </w:r>
        <w:r>
          <w:rPr>
            <w:noProof/>
            <w:webHidden/>
          </w:rPr>
        </w:r>
        <w:r>
          <w:rPr>
            <w:noProof/>
            <w:webHidden/>
          </w:rPr>
          <w:fldChar w:fldCharType="separate"/>
        </w:r>
        <w:r>
          <w:rPr>
            <w:noProof/>
            <w:webHidden/>
          </w:rPr>
          <w:t>18</w:t>
        </w:r>
        <w:r>
          <w:rPr>
            <w:noProof/>
            <w:webHidden/>
          </w:rPr>
          <w:fldChar w:fldCharType="end"/>
        </w:r>
      </w:hyperlink>
    </w:p>
    <w:p w14:paraId="653B7280" w14:textId="527BFD94" w:rsidR="00A10D4F" w:rsidRDefault="00A10D4F">
      <w:pPr>
        <w:pStyle w:val="TOC3"/>
        <w:rPr>
          <w:rFonts w:asciiTheme="minorHAnsi" w:eastAsiaTheme="minorEastAsia" w:hAnsiTheme="minorHAnsi" w:cstheme="minorBidi"/>
          <w:b w:val="0"/>
          <w:noProof/>
          <w:szCs w:val="22"/>
          <w:lang w:val="en-US" w:eastAsia="en-US"/>
        </w:rPr>
      </w:pPr>
      <w:hyperlink w:anchor="_Toc89428266" w:history="1">
        <w:r w:rsidRPr="000658D2">
          <w:rPr>
            <w:rStyle w:val="Hyperlink"/>
            <w:rFonts w:cs="Arial"/>
            <w:noProof/>
            <w:lang w:val="hy-AM" w:eastAsia="en-US"/>
          </w:rPr>
          <w:t>Արտաքին քաղաքականություն</w:t>
        </w:r>
        <w:r>
          <w:rPr>
            <w:noProof/>
            <w:webHidden/>
          </w:rPr>
          <w:tab/>
        </w:r>
        <w:r>
          <w:rPr>
            <w:noProof/>
            <w:webHidden/>
          </w:rPr>
          <w:fldChar w:fldCharType="begin"/>
        </w:r>
        <w:r>
          <w:rPr>
            <w:noProof/>
            <w:webHidden/>
          </w:rPr>
          <w:instrText xml:space="preserve"> PAGEREF _Toc89428266 \h </w:instrText>
        </w:r>
        <w:r>
          <w:rPr>
            <w:noProof/>
            <w:webHidden/>
          </w:rPr>
        </w:r>
        <w:r>
          <w:rPr>
            <w:noProof/>
            <w:webHidden/>
          </w:rPr>
          <w:fldChar w:fldCharType="separate"/>
        </w:r>
        <w:r>
          <w:rPr>
            <w:noProof/>
            <w:webHidden/>
          </w:rPr>
          <w:t>19</w:t>
        </w:r>
        <w:r>
          <w:rPr>
            <w:noProof/>
            <w:webHidden/>
          </w:rPr>
          <w:fldChar w:fldCharType="end"/>
        </w:r>
      </w:hyperlink>
    </w:p>
    <w:p w14:paraId="34A488E5" w14:textId="7BF1781D" w:rsidR="00A10D4F" w:rsidRDefault="00A10D4F">
      <w:pPr>
        <w:pStyle w:val="TOC3"/>
        <w:rPr>
          <w:rFonts w:asciiTheme="minorHAnsi" w:eastAsiaTheme="minorEastAsia" w:hAnsiTheme="minorHAnsi" w:cstheme="minorBidi"/>
          <w:b w:val="0"/>
          <w:noProof/>
          <w:szCs w:val="22"/>
          <w:lang w:val="en-US" w:eastAsia="en-US"/>
        </w:rPr>
      </w:pPr>
      <w:hyperlink w:anchor="_Toc89428267" w:history="1">
        <w:r w:rsidRPr="000658D2">
          <w:rPr>
            <w:rStyle w:val="Hyperlink"/>
            <w:rFonts w:cs="Arial"/>
            <w:noProof/>
            <w:lang w:val="hy-AM" w:eastAsia="en-US"/>
          </w:rPr>
          <w:t>Սփյուռք</w:t>
        </w:r>
        <w:r>
          <w:rPr>
            <w:noProof/>
            <w:webHidden/>
          </w:rPr>
          <w:tab/>
        </w:r>
        <w:r>
          <w:rPr>
            <w:noProof/>
            <w:webHidden/>
          </w:rPr>
          <w:fldChar w:fldCharType="begin"/>
        </w:r>
        <w:r>
          <w:rPr>
            <w:noProof/>
            <w:webHidden/>
          </w:rPr>
          <w:instrText xml:space="preserve"> PAGEREF _Toc89428267 \h </w:instrText>
        </w:r>
        <w:r>
          <w:rPr>
            <w:noProof/>
            <w:webHidden/>
          </w:rPr>
        </w:r>
        <w:r>
          <w:rPr>
            <w:noProof/>
            <w:webHidden/>
          </w:rPr>
          <w:fldChar w:fldCharType="separate"/>
        </w:r>
        <w:r>
          <w:rPr>
            <w:noProof/>
            <w:webHidden/>
          </w:rPr>
          <w:t>20</w:t>
        </w:r>
        <w:r>
          <w:rPr>
            <w:noProof/>
            <w:webHidden/>
          </w:rPr>
          <w:fldChar w:fldCharType="end"/>
        </w:r>
      </w:hyperlink>
    </w:p>
    <w:p w14:paraId="272489D1" w14:textId="4A50D47D" w:rsidR="00A10D4F" w:rsidRDefault="00A10D4F">
      <w:pPr>
        <w:pStyle w:val="TOC3"/>
        <w:rPr>
          <w:rFonts w:asciiTheme="minorHAnsi" w:eastAsiaTheme="minorEastAsia" w:hAnsiTheme="minorHAnsi" w:cstheme="minorBidi"/>
          <w:b w:val="0"/>
          <w:noProof/>
          <w:szCs w:val="22"/>
          <w:lang w:val="en-US" w:eastAsia="en-US"/>
        </w:rPr>
      </w:pPr>
      <w:hyperlink w:anchor="_Toc89428268" w:history="1">
        <w:r w:rsidRPr="000658D2">
          <w:rPr>
            <w:rStyle w:val="Hyperlink"/>
            <w:rFonts w:cs="Arial"/>
            <w:noProof/>
            <w:lang w:val="hy-AM" w:eastAsia="en-US"/>
          </w:rPr>
          <w:t>Արդարադատություն</w:t>
        </w:r>
        <w:r>
          <w:rPr>
            <w:noProof/>
            <w:webHidden/>
          </w:rPr>
          <w:tab/>
        </w:r>
        <w:r>
          <w:rPr>
            <w:noProof/>
            <w:webHidden/>
          </w:rPr>
          <w:fldChar w:fldCharType="begin"/>
        </w:r>
        <w:r>
          <w:rPr>
            <w:noProof/>
            <w:webHidden/>
          </w:rPr>
          <w:instrText xml:space="preserve"> PAGEREF _Toc89428268 \h </w:instrText>
        </w:r>
        <w:r>
          <w:rPr>
            <w:noProof/>
            <w:webHidden/>
          </w:rPr>
        </w:r>
        <w:r>
          <w:rPr>
            <w:noProof/>
            <w:webHidden/>
          </w:rPr>
          <w:fldChar w:fldCharType="separate"/>
        </w:r>
        <w:r>
          <w:rPr>
            <w:noProof/>
            <w:webHidden/>
          </w:rPr>
          <w:t>21</w:t>
        </w:r>
        <w:r>
          <w:rPr>
            <w:noProof/>
            <w:webHidden/>
          </w:rPr>
          <w:fldChar w:fldCharType="end"/>
        </w:r>
      </w:hyperlink>
    </w:p>
    <w:p w14:paraId="3FC7DB7C" w14:textId="538AA695" w:rsidR="00A10D4F" w:rsidRDefault="00A10D4F">
      <w:pPr>
        <w:pStyle w:val="TOC3"/>
        <w:rPr>
          <w:rFonts w:asciiTheme="minorHAnsi" w:eastAsiaTheme="minorEastAsia" w:hAnsiTheme="minorHAnsi" w:cstheme="minorBidi"/>
          <w:b w:val="0"/>
          <w:noProof/>
          <w:szCs w:val="22"/>
          <w:lang w:val="en-US" w:eastAsia="en-US"/>
        </w:rPr>
      </w:pPr>
      <w:hyperlink w:anchor="_Toc89428269" w:history="1">
        <w:r w:rsidRPr="000658D2">
          <w:rPr>
            <w:rStyle w:val="Hyperlink"/>
            <w:rFonts w:cs="Arial"/>
            <w:noProof/>
            <w:lang w:val="hy-AM" w:eastAsia="en-US"/>
          </w:rPr>
          <w:t>Կրթություն</w:t>
        </w:r>
        <w:r>
          <w:rPr>
            <w:noProof/>
            <w:webHidden/>
          </w:rPr>
          <w:tab/>
        </w:r>
        <w:r>
          <w:rPr>
            <w:noProof/>
            <w:webHidden/>
          </w:rPr>
          <w:fldChar w:fldCharType="begin"/>
        </w:r>
        <w:r>
          <w:rPr>
            <w:noProof/>
            <w:webHidden/>
          </w:rPr>
          <w:instrText xml:space="preserve"> PAGEREF _Toc89428269 \h </w:instrText>
        </w:r>
        <w:r>
          <w:rPr>
            <w:noProof/>
            <w:webHidden/>
          </w:rPr>
        </w:r>
        <w:r>
          <w:rPr>
            <w:noProof/>
            <w:webHidden/>
          </w:rPr>
          <w:fldChar w:fldCharType="separate"/>
        </w:r>
        <w:r>
          <w:rPr>
            <w:noProof/>
            <w:webHidden/>
          </w:rPr>
          <w:t>25</w:t>
        </w:r>
        <w:r>
          <w:rPr>
            <w:noProof/>
            <w:webHidden/>
          </w:rPr>
          <w:fldChar w:fldCharType="end"/>
        </w:r>
      </w:hyperlink>
    </w:p>
    <w:p w14:paraId="713C059A" w14:textId="5BE00D6B" w:rsidR="00A10D4F" w:rsidRDefault="00A10D4F">
      <w:pPr>
        <w:pStyle w:val="TOC3"/>
        <w:rPr>
          <w:rFonts w:asciiTheme="minorHAnsi" w:eastAsiaTheme="minorEastAsia" w:hAnsiTheme="minorHAnsi" w:cstheme="minorBidi"/>
          <w:b w:val="0"/>
          <w:noProof/>
          <w:szCs w:val="22"/>
          <w:lang w:val="en-US" w:eastAsia="en-US"/>
        </w:rPr>
      </w:pPr>
      <w:hyperlink w:anchor="_Toc89428270" w:history="1">
        <w:r w:rsidRPr="000658D2">
          <w:rPr>
            <w:rStyle w:val="Hyperlink"/>
            <w:rFonts w:cs="Arial"/>
            <w:noProof/>
            <w:lang w:val="hy-AM" w:eastAsia="en-US"/>
          </w:rPr>
          <w:t>Գիտության ոլորտ</w:t>
        </w:r>
        <w:r>
          <w:rPr>
            <w:noProof/>
            <w:webHidden/>
          </w:rPr>
          <w:tab/>
        </w:r>
        <w:r>
          <w:rPr>
            <w:noProof/>
            <w:webHidden/>
          </w:rPr>
          <w:fldChar w:fldCharType="begin"/>
        </w:r>
        <w:r>
          <w:rPr>
            <w:noProof/>
            <w:webHidden/>
          </w:rPr>
          <w:instrText xml:space="preserve"> PAGEREF _Toc89428270 \h </w:instrText>
        </w:r>
        <w:r>
          <w:rPr>
            <w:noProof/>
            <w:webHidden/>
          </w:rPr>
        </w:r>
        <w:r>
          <w:rPr>
            <w:noProof/>
            <w:webHidden/>
          </w:rPr>
          <w:fldChar w:fldCharType="separate"/>
        </w:r>
        <w:r>
          <w:rPr>
            <w:noProof/>
            <w:webHidden/>
          </w:rPr>
          <w:t>26</w:t>
        </w:r>
        <w:r>
          <w:rPr>
            <w:noProof/>
            <w:webHidden/>
          </w:rPr>
          <w:fldChar w:fldCharType="end"/>
        </w:r>
      </w:hyperlink>
    </w:p>
    <w:p w14:paraId="26AFD1D1" w14:textId="0DDCA0D5" w:rsidR="00A10D4F" w:rsidRDefault="00A10D4F">
      <w:pPr>
        <w:pStyle w:val="TOC3"/>
        <w:rPr>
          <w:rFonts w:asciiTheme="minorHAnsi" w:eastAsiaTheme="minorEastAsia" w:hAnsiTheme="minorHAnsi" w:cstheme="minorBidi"/>
          <w:b w:val="0"/>
          <w:noProof/>
          <w:szCs w:val="22"/>
          <w:lang w:val="en-US" w:eastAsia="en-US"/>
        </w:rPr>
      </w:pPr>
      <w:hyperlink w:anchor="_Toc89428271" w:history="1">
        <w:r w:rsidRPr="000658D2">
          <w:rPr>
            <w:rStyle w:val="Hyperlink"/>
            <w:rFonts w:cs="Arial"/>
            <w:noProof/>
            <w:lang w:val="hy-AM" w:eastAsia="en-US"/>
          </w:rPr>
          <w:t>Մշակույթ</w:t>
        </w:r>
        <w:r>
          <w:rPr>
            <w:noProof/>
            <w:webHidden/>
          </w:rPr>
          <w:tab/>
        </w:r>
        <w:r>
          <w:rPr>
            <w:noProof/>
            <w:webHidden/>
          </w:rPr>
          <w:fldChar w:fldCharType="begin"/>
        </w:r>
        <w:r>
          <w:rPr>
            <w:noProof/>
            <w:webHidden/>
          </w:rPr>
          <w:instrText xml:space="preserve"> PAGEREF _Toc89428271 \h </w:instrText>
        </w:r>
        <w:r>
          <w:rPr>
            <w:noProof/>
            <w:webHidden/>
          </w:rPr>
        </w:r>
        <w:r>
          <w:rPr>
            <w:noProof/>
            <w:webHidden/>
          </w:rPr>
          <w:fldChar w:fldCharType="separate"/>
        </w:r>
        <w:r>
          <w:rPr>
            <w:noProof/>
            <w:webHidden/>
          </w:rPr>
          <w:t>27</w:t>
        </w:r>
        <w:r>
          <w:rPr>
            <w:noProof/>
            <w:webHidden/>
          </w:rPr>
          <w:fldChar w:fldCharType="end"/>
        </w:r>
      </w:hyperlink>
    </w:p>
    <w:p w14:paraId="421115EB" w14:textId="3E7F7EB4" w:rsidR="00A10D4F" w:rsidRDefault="00A10D4F">
      <w:pPr>
        <w:pStyle w:val="TOC3"/>
        <w:rPr>
          <w:rFonts w:asciiTheme="minorHAnsi" w:eastAsiaTheme="minorEastAsia" w:hAnsiTheme="minorHAnsi" w:cstheme="minorBidi"/>
          <w:b w:val="0"/>
          <w:noProof/>
          <w:szCs w:val="22"/>
          <w:lang w:val="en-US" w:eastAsia="en-US"/>
        </w:rPr>
      </w:pPr>
      <w:hyperlink w:anchor="_Toc89428272" w:history="1">
        <w:r w:rsidRPr="000658D2">
          <w:rPr>
            <w:rStyle w:val="Hyperlink"/>
            <w:rFonts w:cs="Arial"/>
            <w:noProof/>
            <w:lang w:val="hy-AM" w:eastAsia="en-US"/>
          </w:rPr>
          <w:t>Սպորտ</w:t>
        </w:r>
        <w:r>
          <w:rPr>
            <w:noProof/>
            <w:webHidden/>
          </w:rPr>
          <w:tab/>
        </w:r>
        <w:r>
          <w:rPr>
            <w:noProof/>
            <w:webHidden/>
          </w:rPr>
          <w:fldChar w:fldCharType="begin"/>
        </w:r>
        <w:r>
          <w:rPr>
            <w:noProof/>
            <w:webHidden/>
          </w:rPr>
          <w:instrText xml:space="preserve"> PAGEREF _Toc89428272 \h </w:instrText>
        </w:r>
        <w:r>
          <w:rPr>
            <w:noProof/>
            <w:webHidden/>
          </w:rPr>
        </w:r>
        <w:r>
          <w:rPr>
            <w:noProof/>
            <w:webHidden/>
          </w:rPr>
          <w:fldChar w:fldCharType="separate"/>
        </w:r>
        <w:r>
          <w:rPr>
            <w:noProof/>
            <w:webHidden/>
          </w:rPr>
          <w:t>28</w:t>
        </w:r>
        <w:r>
          <w:rPr>
            <w:noProof/>
            <w:webHidden/>
          </w:rPr>
          <w:fldChar w:fldCharType="end"/>
        </w:r>
      </w:hyperlink>
    </w:p>
    <w:p w14:paraId="2482ADCB" w14:textId="11877263" w:rsidR="00A10D4F" w:rsidRDefault="00A10D4F">
      <w:pPr>
        <w:pStyle w:val="TOC3"/>
        <w:rPr>
          <w:rFonts w:asciiTheme="minorHAnsi" w:eastAsiaTheme="minorEastAsia" w:hAnsiTheme="minorHAnsi" w:cstheme="minorBidi"/>
          <w:b w:val="0"/>
          <w:noProof/>
          <w:szCs w:val="22"/>
          <w:lang w:val="en-US" w:eastAsia="en-US"/>
        </w:rPr>
      </w:pPr>
      <w:hyperlink w:anchor="_Toc89428273" w:history="1">
        <w:r w:rsidRPr="000658D2">
          <w:rPr>
            <w:rStyle w:val="Hyperlink"/>
            <w:rFonts w:cs="Arial"/>
            <w:noProof/>
            <w:lang w:val="hy-AM" w:eastAsia="en-US"/>
          </w:rPr>
          <w:t>Երիտասարդություն</w:t>
        </w:r>
        <w:r>
          <w:rPr>
            <w:noProof/>
            <w:webHidden/>
          </w:rPr>
          <w:tab/>
        </w:r>
        <w:r>
          <w:rPr>
            <w:noProof/>
            <w:webHidden/>
          </w:rPr>
          <w:fldChar w:fldCharType="begin"/>
        </w:r>
        <w:r>
          <w:rPr>
            <w:noProof/>
            <w:webHidden/>
          </w:rPr>
          <w:instrText xml:space="preserve"> PAGEREF _Toc89428273 \h </w:instrText>
        </w:r>
        <w:r>
          <w:rPr>
            <w:noProof/>
            <w:webHidden/>
          </w:rPr>
        </w:r>
        <w:r>
          <w:rPr>
            <w:noProof/>
            <w:webHidden/>
          </w:rPr>
          <w:fldChar w:fldCharType="separate"/>
        </w:r>
        <w:r>
          <w:rPr>
            <w:noProof/>
            <w:webHidden/>
          </w:rPr>
          <w:t>29</w:t>
        </w:r>
        <w:r>
          <w:rPr>
            <w:noProof/>
            <w:webHidden/>
          </w:rPr>
          <w:fldChar w:fldCharType="end"/>
        </w:r>
      </w:hyperlink>
    </w:p>
    <w:p w14:paraId="4451FAEB" w14:textId="6AF9EBE3" w:rsidR="00A10D4F" w:rsidRDefault="00A10D4F">
      <w:pPr>
        <w:pStyle w:val="TOC3"/>
        <w:rPr>
          <w:rFonts w:asciiTheme="minorHAnsi" w:eastAsiaTheme="minorEastAsia" w:hAnsiTheme="minorHAnsi" w:cstheme="minorBidi"/>
          <w:b w:val="0"/>
          <w:noProof/>
          <w:szCs w:val="22"/>
          <w:lang w:val="en-US" w:eastAsia="en-US"/>
        </w:rPr>
      </w:pPr>
      <w:hyperlink w:anchor="_Toc89428274" w:history="1">
        <w:r w:rsidRPr="000658D2">
          <w:rPr>
            <w:rStyle w:val="Hyperlink"/>
            <w:rFonts w:cs="Arial"/>
            <w:noProof/>
            <w:lang w:val="hy-AM" w:eastAsia="en-US"/>
          </w:rPr>
          <w:t>Առողջապահություն</w:t>
        </w:r>
        <w:r>
          <w:rPr>
            <w:noProof/>
            <w:webHidden/>
          </w:rPr>
          <w:tab/>
        </w:r>
        <w:r>
          <w:rPr>
            <w:noProof/>
            <w:webHidden/>
          </w:rPr>
          <w:fldChar w:fldCharType="begin"/>
        </w:r>
        <w:r>
          <w:rPr>
            <w:noProof/>
            <w:webHidden/>
          </w:rPr>
          <w:instrText xml:space="preserve"> PAGEREF _Toc89428274 \h </w:instrText>
        </w:r>
        <w:r>
          <w:rPr>
            <w:noProof/>
            <w:webHidden/>
          </w:rPr>
        </w:r>
        <w:r>
          <w:rPr>
            <w:noProof/>
            <w:webHidden/>
          </w:rPr>
          <w:fldChar w:fldCharType="separate"/>
        </w:r>
        <w:r>
          <w:rPr>
            <w:noProof/>
            <w:webHidden/>
          </w:rPr>
          <w:t>29</w:t>
        </w:r>
        <w:r>
          <w:rPr>
            <w:noProof/>
            <w:webHidden/>
          </w:rPr>
          <w:fldChar w:fldCharType="end"/>
        </w:r>
      </w:hyperlink>
    </w:p>
    <w:p w14:paraId="1813EFBA" w14:textId="1193C4DE" w:rsidR="00A10D4F" w:rsidRDefault="00A10D4F">
      <w:pPr>
        <w:pStyle w:val="TOC3"/>
        <w:rPr>
          <w:rFonts w:asciiTheme="minorHAnsi" w:eastAsiaTheme="minorEastAsia" w:hAnsiTheme="minorHAnsi" w:cstheme="minorBidi"/>
          <w:b w:val="0"/>
          <w:noProof/>
          <w:szCs w:val="22"/>
          <w:lang w:val="en-US" w:eastAsia="en-US"/>
        </w:rPr>
      </w:pPr>
      <w:hyperlink w:anchor="_Toc89428275" w:history="1">
        <w:r w:rsidRPr="000658D2">
          <w:rPr>
            <w:rStyle w:val="Hyperlink"/>
            <w:rFonts w:cs="Arial"/>
            <w:noProof/>
            <w:lang w:val="hy-AM" w:eastAsia="en-US"/>
          </w:rPr>
          <w:t>Աշխատանքի և սոցիալական պաշտպանություն</w:t>
        </w:r>
        <w:r>
          <w:rPr>
            <w:noProof/>
            <w:webHidden/>
          </w:rPr>
          <w:tab/>
        </w:r>
        <w:r>
          <w:rPr>
            <w:noProof/>
            <w:webHidden/>
          </w:rPr>
          <w:fldChar w:fldCharType="begin"/>
        </w:r>
        <w:r>
          <w:rPr>
            <w:noProof/>
            <w:webHidden/>
          </w:rPr>
          <w:instrText xml:space="preserve"> PAGEREF _Toc89428275 \h </w:instrText>
        </w:r>
        <w:r>
          <w:rPr>
            <w:noProof/>
            <w:webHidden/>
          </w:rPr>
        </w:r>
        <w:r>
          <w:rPr>
            <w:noProof/>
            <w:webHidden/>
          </w:rPr>
          <w:fldChar w:fldCharType="separate"/>
        </w:r>
        <w:r>
          <w:rPr>
            <w:noProof/>
            <w:webHidden/>
          </w:rPr>
          <w:t>31</w:t>
        </w:r>
        <w:r>
          <w:rPr>
            <w:noProof/>
            <w:webHidden/>
          </w:rPr>
          <w:fldChar w:fldCharType="end"/>
        </w:r>
      </w:hyperlink>
    </w:p>
    <w:p w14:paraId="4FE06AB1" w14:textId="7ABDE903" w:rsidR="00A10D4F" w:rsidRDefault="00A10D4F">
      <w:pPr>
        <w:pStyle w:val="TOC3"/>
        <w:rPr>
          <w:rFonts w:asciiTheme="minorHAnsi" w:eastAsiaTheme="minorEastAsia" w:hAnsiTheme="minorHAnsi" w:cstheme="minorBidi"/>
          <w:b w:val="0"/>
          <w:noProof/>
          <w:szCs w:val="22"/>
          <w:lang w:val="en-US" w:eastAsia="en-US"/>
        </w:rPr>
      </w:pPr>
      <w:hyperlink w:anchor="_Toc89428276" w:history="1">
        <w:r w:rsidRPr="000658D2">
          <w:rPr>
            <w:rStyle w:val="Hyperlink"/>
            <w:rFonts w:cs="Arial"/>
            <w:noProof/>
            <w:lang w:val="hy-AM" w:eastAsia="en-US"/>
          </w:rPr>
          <w:t>Շրջակա միջավայր</w:t>
        </w:r>
        <w:r>
          <w:rPr>
            <w:noProof/>
            <w:webHidden/>
          </w:rPr>
          <w:tab/>
        </w:r>
        <w:r>
          <w:rPr>
            <w:noProof/>
            <w:webHidden/>
          </w:rPr>
          <w:fldChar w:fldCharType="begin"/>
        </w:r>
        <w:r>
          <w:rPr>
            <w:noProof/>
            <w:webHidden/>
          </w:rPr>
          <w:instrText xml:space="preserve"> PAGEREF _Toc89428276 \h </w:instrText>
        </w:r>
        <w:r>
          <w:rPr>
            <w:noProof/>
            <w:webHidden/>
          </w:rPr>
        </w:r>
        <w:r>
          <w:rPr>
            <w:noProof/>
            <w:webHidden/>
          </w:rPr>
          <w:fldChar w:fldCharType="separate"/>
        </w:r>
        <w:r>
          <w:rPr>
            <w:noProof/>
            <w:webHidden/>
          </w:rPr>
          <w:t>33</w:t>
        </w:r>
        <w:r>
          <w:rPr>
            <w:noProof/>
            <w:webHidden/>
          </w:rPr>
          <w:fldChar w:fldCharType="end"/>
        </w:r>
      </w:hyperlink>
    </w:p>
    <w:p w14:paraId="6F69E403" w14:textId="22379044" w:rsidR="00A10D4F" w:rsidRDefault="00A10D4F">
      <w:pPr>
        <w:pStyle w:val="TOC3"/>
        <w:rPr>
          <w:rFonts w:asciiTheme="minorHAnsi" w:eastAsiaTheme="minorEastAsia" w:hAnsiTheme="minorHAnsi" w:cstheme="minorBidi"/>
          <w:b w:val="0"/>
          <w:noProof/>
          <w:szCs w:val="22"/>
          <w:lang w:val="en-US" w:eastAsia="en-US"/>
        </w:rPr>
      </w:pPr>
      <w:hyperlink w:anchor="_Toc89428277" w:history="1">
        <w:r w:rsidRPr="000658D2">
          <w:rPr>
            <w:rStyle w:val="Hyperlink"/>
            <w:rFonts w:cs="Arial"/>
            <w:noProof/>
            <w:lang w:val="hy-AM" w:eastAsia="en-US"/>
          </w:rPr>
          <w:t>Բյուջեների կազմման բնագավառ</w:t>
        </w:r>
        <w:r>
          <w:rPr>
            <w:noProof/>
            <w:webHidden/>
          </w:rPr>
          <w:tab/>
        </w:r>
        <w:r>
          <w:rPr>
            <w:noProof/>
            <w:webHidden/>
          </w:rPr>
          <w:fldChar w:fldCharType="begin"/>
        </w:r>
        <w:r>
          <w:rPr>
            <w:noProof/>
            <w:webHidden/>
          </w:rPr>
          <w:instrText xml:space="preserve"> PAGEREF _Toc89428277 \h </w:instrText>
        </w:r>
        <w:r>
          <w:rPr>
            <w:noProof/>
            <w:webHidden/>
          </w:rPr>
        </w:r>
        <w:r>
          <w:rPr>
            <w:noProof/>
            <w:webHidden/>
          </w:rPr>
          <w:fldChar w:fldCharType="separate"/>
        </w:r>
        <w:r>
          <w:rPr>
            <w:noProof/>
            <w:webHidden/>
          </w:rPr>
          <w:t>34</w:t>
        </w:r>
        <w:r>
          <w:rPr>
            <w:noProof/>
            <w:webHidden/>
          </w:rPr>
          <w:fldChar w:fldCharType="end"/>
        </w:r>
      </w:hyperlink>
    </w:p>
    <w:p w14:paraId="4C5D2D84" w14:textId="2D534E55" w:rsidR="00A10D4F" w:rsidRDefault="00A10D4F">
      <w:pPr>
        <w:pStyle w:val="TOC3"/>
        <w:rPr>
          <w:rFonts w:asciiTheme="minorHAnsi" w:eastAsiaTheme="minorEastAsia" w:hAnsiTheme="minorHAnsi" w:cstheme="minorBidi"/>
          <w:b w:val="0"/>
          <w:noProof/>
          <w:szCs w:val="22"/>
          <w:lang w:val="en-US" w:eastAsia="en-US"/>
        </w:rPr>
      </w:pPr>
      <w:hyperlink w:anchor="_Toc89428278" w:history="1">
        <w:r w:rsidRPr="000658D2">
          <w:rPr>
            <w:rStyle w:val="Hyperlink"/>
            <w:rFonts w:cs="Arial"/>
            <w:noProof/>
            <w:lang w:val="hy-AM" w:eastAsia="en-US"/>
          </w:rPr>
          <w:t>Հաշվապահական հաշվառման և աուդիտորական գործունեություն</w:t>
        </w:r>
        <w:r>
          <w:rPr>
            <w:noProof/>
            <w:webHidden/>
          </w:rPr>
          <w:tab/>
        </w:r>
        <w:r>
          <w:rPr>
            <w:noProof/>
            <w:webHidden/>
          </w:rPr>
          <w:fldChar w:fldCharType="begin"/>
        </w:r>
        <w:r>
          <w:rPr>
            <w:noProof/>
            <w:webHidden/>
          </w:rPr>
          <w:instrText xml:space="preserve"> PAGEREF _Toc89428278 \h </w:instrText>
        </w:r>
        <w:r>
          <w:rPr>
            <w:noProof/>
            <w:webHidden/>
          </w:rPr>
        </w:r>
        <w:r>
          <w:rPr>
            <w:noProof/>
            <w:webHidden/>
          </w:rPr>
          <w:fldChar w:fldCharType="separate"/>
        </w:r>
        <w:r>
          <w:rPr>
            <w:noProof/>
            <w:webHidden/>
          </w:rPr>
          <w:t>34</w:t>
        </w:r>
        <w:r>
          <w:rPr>
            <w:noProof/>
            <w:webHidden/>
          </w:rPr>
          <w:fldChar w:fldCharType="end"/>
        </w:r>
      </w:hyperlink>
    </w:p>
    <w:p w14:paraId="2DA8067B" w14:textId="72792E25" w:rsidR="00A10D4F" w:rsidRDefault="00A10D4F">
      <w:pPr>
        <w:pStyle w:val="TOC3"/>
        <w:rPr>
          <w:rFonts w:asciiTheme="minorHAnsi" w:eastAsiaTheme="minorEastAsia" w:hAnsiTheme="minorHAnsi" w:cstheme="minorBidi"/>
          <w:b w:val="0"/>
          <w:noProof/>
          <w:szCs w:val="22"/>
          <w:lang w:val="en-US" w:eastAsia="en-US"/>
        </w:rPr>
      </w:pPr>
      <w:hyperlink w:anchor="_Toc89428279" w:history="1">
        <w:r w:rsidRPr="000658D2">
          <w:rPr>
            <w:rStyle w:val="Hyperlink"/>
            <w:rFonts w:cs="Arial"/>
            <w:noProof/>
            <w:lang w:val="hy-AM"/>
          </w:rPr>
          <w:t>Եկամուտների քաղաքականության ոլորտ</w:t>
        </w:r>
        <w:r>
          <w:rPr>
            <w:noProof/>
            <w:webHidden/>
          </w:rPr>
          <w:tab/>
        </w:r>
        <w:r>
          <w:rPr>
            <w:noProof/>
            <w:webHidden/>
          </w:rPr>
          <w:fldChar w:fldCharType="begin"/>
        </w:r>
        <w:r>
          <w:rPr>
            <w:noProof/>
            <w:webHidden/>
          </w:rPr>
          <w:instrText xml:space="preserve"> PAGEREF _Toc89428279 \h </w:instrText>
        </w:r>
        <w:r>
          <w:rPr>
            <w:noProof/>
            <w:webHidden/>
          </w:rPr>
        </w:r>
        <w:r>
          <w:rPr>
            <w:noProof/>
            <w:webHidden/>
          </w:rPr>
          <w:fldChar w:fldCharType="separate"/>
        </w:r>
        <w:r>
          <w:rPr>
            <w:noProof/>
            <w:webHidden/>
          </w:rPr>
          <w:t>35</w:t>
        </w:r>
        <w:r>
          <w:rPr>
            <w:noProof/>
            <w:webHidden/>
          </w:rPr>
          <w:fldChar w:fldCharType="end"/>
        </w:r>
      </w:hyperlink>
    </w:p>
    <w:p w14:paraId="220D7B3F" w14:textId="0108A267" w:rsidR="00A10D4F" w:rsidRDefault="00A10D4F">
      <w:pPr>
        <w:pStyle w:val="TOC3"/>
        <w:rPr>
          <w:rFonts w:asciiTheme="minorHAnsi" w:eastAsiaTheme="minorEastAsia" w:hAnsiTheme="minorHAnsi" w:cstheme="minorBidi"/>
          <w:b w:val="0"/>
          <w:noProof/>
          <w:szCs w:val="22"/>
          <w:lang w:val="en-US" w:eastAsia="en-US"/>
        </w:rPr>
      </w:pPr>
      <w:hyperlink w:anchor="_Toc89428280" w:history="1">
        <w:r w:rsidRPr="000658D2">
          <w:rPr>
            <w:rStyle w:val="Hyperlink"/>
            <w:rFonts w:cs="Arial"/>
            <w:noProof/>
            <w:lang w:val="hy-AM" w:eastAsia="en-US"/>
          </w:rPr>
          <w:t>Պետական եկամուտների վարչարարություն</w:t>
        </w:r>
        <w:r>
          <w:rPr>
            <w:noProof/>
            <w:webHidden/>
          </w:rPr>
          <w:tab/>
        </w:r>
        <w:r>
          <w:rPr>
            <w:noProof/>
            <w:webHidden/>
          </w:rPr>
          <w:fldChar w:fldCharType="begin"/>
        </w:r>
        <w:r>
          <w:rPr>
            <w:noProof/>
            <w:webHidden/>
          </w:rPr>
          <w:instrText xml:space="preserve"> PAGEREF _Toc89428280 \h </w:instrText>
        </w:r>
        <w:r>
          <w:rPr>
            <w:noProof/>
            <w:webHidden/>
          </w:rPr>
        </w:r>
        <w:r>
          <w:rPr>
            <w:noProof/>
            <w:webHidden/>
          </w:rPr>
          <w:fldChar w:fldCharType="separate"/>
        </w:r>
        <w:r>
          <w:rPr>
            <w:noProof/>
            <w:webHidden/>
          </w:rPr>
          <w:t>36</w:t>
        </w:r>
        <w:r>
          <w:rPr>
            <w:noProof/>
            <w:webHidden/>
          </w:rPr>
          <w:fldChar w:fldCharType="end"/>
        </w:r>
      </w:hyperlink>
    </w:p>
    <w:p w14:paraId="7A3DDC33" w14:textId="26F15E8C" w:rsidR="00A10D4F" w:rsidRDefault="00A10D4F">
      <w:pPr>
        <w:pStyle w:val="TOC3"/>
        <w:rPr>
          <w:rFonts w:asciiTheme="minorHAnsi" w:eastAsiaTheme="minorEastAsia" w:hAnsiTheme="minorHAnsi" w:cstheme="minorBidi"/>
          <w:b w:val="0"/>
          <w:noProof/>
          <w:szCs w:val="22"/>
          <w:lang w:val="en-US" w:eastAsia="en-US"/>
        </w:rPr>
      </w:pPr>
      <w:hyperlink w:anchor="_Toc89428281" w:history="1">
        <w:r w:rsidRPr="000658D2">
          <w:rPr>
            <w:rStyle w:val="Hyperlink"/>
            <w:rFonts w:cs="Arial"/>
            <w:noProof/>
            <w:lang w:val="hy-AM"/>
          </w:rPr>
          <w:t>Կապիտալի շուկայի զարգացում</w:t>
        </w:r>
        <w:r>
          <w:rPr>
            <w:noProof/>
            <w:webHidden/>
          </w:rPr>
          <w:tab/>
        </w:r>
        <w:r>
          <w:rPr>
            <w:noProof/>
            <w:webHidden/>
          </w:rPr>
          <w:fldChar w:fldCharType="begin"/>
        </w:r>
        <w:r>
          <w:rPr>
            <w:noProof/>
            <w:webHidden/>
          </w:rPr>
          <w:instrText xml:space="preserve"> PAGEREF _Toc89428281 \h </w:instrText>
        </w:r>
        <w:r>
          <w:rPr>
            <w:noProof/>
            <w:webHidden/>
          </w:rPr>
        </w:r>
        <w:r>
          <w:rPr>
            <w:noProof/>
            <w:webHidden/>
          </w:rPr>
          <w:fldChar w:fldCharType="separate"/>
        </w:r>
        <w:r>
          <w:rPr>
            <w:noProof/>
            <w:webHidden/>
          </w:rPr>
          <w:t>38</w:t>
        </w:r>
        <w:r>
          <w:rPr>
            <w:noProof/>
            <w:webHidden/>
          </w:rPr>
          <w:fldChar w:fldCharType="end"/>
        </w:r>
      </w:hyperlink>
    </w:p>
    <w:p w14:paraId="32359933" w14:textId="25AD2839" w:rsidR="00A10D4F" w:rsidRDefault="00A10D4F">
      <w:pPr>
        <w:pStyle w:val="TOC3"/>
        <w:rPr>
          <w:rFonts w:asciiTheme="minorHAnsi" w:eastAsiaTheme="minorEastAsia" w:hAnsiTheme="minorHAnsi" w:cstheme="minorBidi"/>
          <w:b w:val="0"/>
          <w:noProof/>
          <w:szCs w:val="22"/>
          <w:lang w:val="en-US" w:eastAsia="en-US"/>
        </w:rPr>
      </w:pPr>
      <w:hyperlink w:anchor="_Toc89428282" w:history="1">
        <w:r w:rsidRPr="000658D2">
          <w:rPr>
            <w:rStyle w:val="Hyperlink"/>
            <w:rFonts w:cs="Arial"/>
            <w:noProof/>
            <w:lang w:val="hy-AM" w:eastAsia="en-US"/>
          </w:rPr>
          <w:t>Անշարժ գույքի կադաստր</w:t>
        </w:r>
        <w:r>
          <w:rPr>
            <w:noProof/>
            <w:webHidden/>
          </w:rPr>
          <w:tab/>
        </w:r>
        <w:r>
          <w:rPr>
            <w:noProof/>
            <w:webHidden/>
          </w:rPr>
          <w:fldChar w:fldCharType="begin"/>
        </w:r>
        <w:r>
          <w:rPr>
            <w:noProof/>
            <w:webHidden/>
          </w:rPr>
          <w:instrText xml:space="preserve"> PAGEREF _Toc89428282 \h </w:instrText>
        </w:r>
        <w:r>
          <w:rPr>
            <w:noProof/>
            <w:webHidden/>
          </w:rPr>
        </w:r>
        <w:r>
          <w:rPr>
            <w:noProof/>
            <w:webHidden/>
          </w:rPr>
          <w:fldChar w:fldCharType="separate"/>
        </w:r>
        <w:r>
          <w:rPr>
            <w:noProof/>
            <w:webHidden/>
          </w:rPr>
          <w:t>38</w:t>
        </w:r>
        <w:r>
          <w:rPr>
            <w:noProof/>
            <w:webHidden/>
          </w:rPr>
          <w:fldChar w:fldCharType="end"/>
        </w:r>
      </w:hyperlink>
    </w:p>
    <w:p w14:paraId="4D42F8FE" w14:textId="656B518A" w:rsidR="00A10D4F" w:rsidRDefault="00A10D4F">
      <w:pPr>
        <w:pStyle w:val="TOC3"/>
        <w:rPr>
          <w:rFonts w:asciiTheme="minorHAnsi" w:eastAsiaTheme="minorEastAsia" w:hAnsiTheme="minorHAnsi" w:cstheme="minorBidi"/>
          <w:b w:val="0"/>
          <w:noProof/>
          <w:szCs w:val="22"/>
          <w:lang w:val="en-US" w:eastAsia="en-US"/>
        </w:rPr>
      </w:pPr>
      <w:hyperlink w:anchor="_Toc89428283" w:history="1">
        <w:r w:rsidRPr="000658D2">
          <w:rPr>
            <w:rStyle w:val="Hyperlink"/>
            <w:rFonts w:cs="Arial"/>
            <w:noProof/>
            <w:lang w:val="hy-AM" w:eastAsia="en-US"/>
          </w:rPr>
          <w:t>Հասարակական կարգի պահպանություն</w:t>
        </w:r>
        <w:r>
          <w:rPr>
            <w:noProof/>
            <w:webHidden/>
          </w:rPr>
          <w:tab/>
        </w:r>
        <w:r>
          <w:rPr>
            <w:noProof/>
            <w:webHidden/>
          </w:rPr>
          <w:fldChar w:fldCharType="begin"/>
        </w:r>
        <w:r>
          <w:rPr>
            <w:noProof/>
            <w:webHidden/>
          </w:rPr>
          <w:instrText xml:space="preserve"> PAGEREF _Toc89428283 \h </w:instrText>
        </w:r>
        <w:r>
          <w:rPr>
            <w:noProof/>
            <w:webHidden/>
          </w:rPr>
        </w:r>
        <w:r>
          <w:rPr>
            <w:noProof/>
            <w:webHidden/>
          </w:rPr>
          <w:fldChar w:fldCharType="separate"/>
        </w:r>
        <w:r>
          <w:rPr>
            <w:noProof/>
            <w:webHidden/>
          </w:rPr>
          <w:t>39</w:t>
        </w:r>
        <w:r>
          <w:rPr>
            <w:noProof/>
            <w:webHidden/>
          </w:rPr>
          <w:fldChar w:fldCharType="end"/>
        </w:r>
      </w:hyperlink>
    </w:p>
    <w:p w14:paraId="1D56FC58" w14:textId="285F1D3F" w:rsidR="00A10D4F" w:rsidRDefault="00A10D4F">
      <w:pPr>
        <w:pStyle w:val="TOC1"/>
        <w:rPr>
          <w:rFonts w:asciiTheme="minorHAnsi" w:eastAsiaTheme="minorEastAsia" w:hAnsiTheme="minorHAnsi" w:cstheme="minorBidi"/>
          <w:b w:val="0"/>
          <w:noProof/>
          <w:szCs w:val="22"/>
          <w:lang w:val="en-US" w:eastAsia="en-US"/>
        </w:rPr>
      </w:pPr>
      <w:hyperlink w:anchor="_Toc89428284" w:history="1">
        <w:r w:rsidRPr="000658D2">
          <w:rPr>
            <w:rStyle w:val="Hyperlink"/>
            <w:noProof/>
            <w:lang w:val="hy-AM"/>
          </w:rPr>
          <w:t>ՄԱՍ I - Բ. ՄԱԿՐՈՏՆՏԵՍԱԿԱՆ ԶԱՐԳԱՑՈՒՄՆԵՐ ԵՎ ԿԱՆԽԱՏԵՍՈՒՄՆԵՐ</w:t>
        </w:r>
        <w:r>
          <w:rPr>
            <w:noProof/>
            <w:webHidden/>
          </w:rPr>
          <w:tab/>
        </w:r>
        <w:r>
          <w:rPr>
            <w:noProof/>
            <w:webHidden/>
          </w:rPr>
          <w:fldChar w:fldCharType="begin"/>
        </w:r>
        <w:r>
          <w:rPr>
            <w:noProof/>
            <w:webHidden/>
          </w:rPr>
          <w:instrText xml:space="preserve"> PAGEREF _Toc89428284 \h </w:instrText>
        </w:r>
        <w:r>
          <w:rPr>
            <w:noProof/>
            <w:webHidden/>
          </w:rPr>
        </w:r>
        <w:r>
          <w:rPr>
            <w:noProof/>
            <w:webHidden/>
          </w:rPr>
          <w:fldChar w:fldCharType="separate"/>
        </w:r>
        <w:r>
          <w:rPr>
            <w:noProof/>
            <w:webHidden/>
          </w:rPr>
          <w:t>43</w:t>
        </w:r>
        <w:r>
          <w:rPr>
            <w:noProof/>
            <w:webHidden/>
          </w:rPr>
          <w:fldChar w:fldCharType="end"/>
        </w:r>
      </w:hyperlink>
    </w:p>
    <w:p w14:paraId="2D1B8E2B" w14:textId="08180320" w:rsidR="00A10D4F" w:rsidRDefault="00A10D4F">
      <w:pPr>
        <w:pStyle w:val="TOC3"/>
        <w:rPr>
          <w:rFonts w:asciiTheme="minorHAnsi" w:eastAsiaTheme="minorEastAsia" w:hAnsiTheme="minorHAnsi" w:cstheme="minorBidi"/>
          <w:b w:val="0"/>
          <w:noProof/>
          <w:szCs w:val="22"/>
          <w:lang w:val="en-US" w:eastAsia="en-US"/>
        </w:rPr>
      </w:pPr>
      <w:hyperlink w:anchor="_Toc89428285" w:history="1">
        <w:r w:rsidRPr="000658D2">
          <w:rPr>
            <w:rStyle w:val="Hyperlink"/>
            <w:bCs/>
            <w:noProof/>
            <w:lang w:val="hy-AM"/>
          </w:rPr>
          <w:t>1.1 ՄԱԿՐՈՏՆՏԵՍԱԿԱՆ ԱՄՓՈՓԱԳԻՐ ԵՎ ՇՐՋԱՆԱԿ</w:t>
        </w:r>
        <w:r>
          <w:rPr>
            <w:noProof/>
            <w:webHidden/>
          </w:rPr>
          <w:tab/>
        </w:r>
        <w:r>
          <w:rPr>
            <w:noProof/>
            <w:webHidden/>
          </w:rPr>
          <w:fldChar w:fldCharType="begin"/>
        </w:r>
        <w:r>
          <w:rPr>
            <w:noProof/>
            <w:webHidden/>
          </w:rPr>
          <w:instrText xml:space="preserve"> PAGEREF _Toc89428285 \h </w:instrText>
        </w:r>
        <w:r>
          <w:rPr>
            <w:noProof/>
            <w:webHidden/>
          </w:rPr>
        </w:r>
        <w:r>
          <w:rPr>
            <w:noProof/>
            <w:webHidden/>
          </w:rPr>
          <w:fldChar w:fldCharType="separate"/>
        </w:r>
        <w:r>
          <w:rPr>
            <w:noProof/>
            <w:webHidden/>
          </w:rPr>
          <w:t>43</w:t>
        </w:r>
        <w:r>
          <w:rPr>
            <w:noProof/>
            <w:webHidden/>
          </w:rPr>
          <w:fldChar w:fldCharType="end"/>
        </w:r>
      </w:hyperlink>
    </w:p>
    <w:p w14:paraId="1529C511" w14:textId="584E9878" w:rsidR="00A10D4F" w:rsidRDefault="00A10D4F">
      <w:pPr>
        <w:pStyle w:val="TOC3"/>
        <w:rPr>
          <w:rFonts w:asciiTheme="minorHAnsi" w:eastAsiaTheme="minorEastAsia" w:hAnsiTheme="minorHAnsi" w:cstheme="minorBidi"/>
          <w:b w:val="0"/>
          <w:noProof/>
          <w:szCs w:val="22"/>
          <w:lang w:val="en-US" w:eastAsia="en-US"/>
        </w:rPr>
      </w:pPr>
      <w:hyperlink w:anchor="_Toc89428286" w:history="1">
        <w:r w:rsidRPr="000658D2">
          <w:rPr>
            <w:rStyle w:val="Hyperlink"/>
            <w:bCs/>
            <w:noProof/>
            <w:lang w:val="hy-AM"/>
          </w:rPr>
          <w:t>1.2. ՀԱՄԱՇԽԱՐՀԱՅԻՆ ՏՆՏԵՍՈՒԹՅԱՆ ԵՎ ԳՈՐԾԸՆԿԵՐ ԵՐԿՐՆԵՐԻ ԶԱՐԳԱՑՈՒՄՆԵՐ ԵՎ ԿԱՆԽԱՏԵՍՈՒՄՆԵՐ</w:t>
        </w:r>
        <w:r>
          <w:rPr>
            <w:noProof/>
            <w:webHidden/>
          </w:rPr>
          <w:tab/>
        </w:r>
        <w:r>
          <w:rPr>
            <w:noProof/>
            <w:webHidden/>
          </w:rPr>
          <w:fldChar w:fldCharType="begin"/>
        </w:r>
        <w:r>
          <w:rPr>
            <w:noProof/>
            <w:webHidden/>
          </w:rPr>
          <w:instrText xml:space="preserve"> PAGEREF _Toc89428286 \h </w:instrText>
        </w:r>
        <w:r>
          <w:rPr>
            <w:noProof/>
            <w:webHidden/>
          </w:rPr>
        </w:r>
        <w:r>
          <w:rPr>
            <w:noProof/>
            <w:webHidden/>
          </w:rPr>
          <w:fldChar w:fldCharType="separate"/>
        </w:r>
        <w:r>
          <w:rPr>
            <w:noProof/>
            <w:webHidden/>
          </w:rPr>
          <w:t>46</w:t>
        </w:r>
        <w:r>
          <w:rPr>
            <w:noProof/>
            <w:webHidden/>
          </w:rPr>
          <w:fldChar w:fldCharType="end"/>
        </w:r>
      </w:hyperlink>
    </w:p>
    <w:p w14:paraId="7E79CE8D" w14:textId="5313DAA2" w:rsidR="00A10D4F" w:rsidRDefault="00A10D4F">
      <w:pPr>
        <w:pStyle w:val="TOC3"/>
        <w:rPr>
          <w:rFonts w:asciiTheme="minorHAnsi" w:eastAsiaTheme="minorEastAsia" w:hAnsiTheme="minorHAnsi" w:cstheme="minorBidi"/>
          <w:b w:val="0"/>
          <w:noProof/>
          <w:szCs w:val="22"/>
          <w:lang w:val="en-US" w:eastAsia="en-US"/>
        </w:rPr>
      </w:pPr>
      <w:hyperlink w:anchor="_Toc89428287" w:history="1">
        <w:r w:rsidRPr="000658D2">
          <w:rPr>
            <w:rStyle w:val="Hyperlink"/>
            <w:bCs/>
            <w:noProof/>
            <w:lang w:val="hy-AM" w:eastAsia="en-US"/>
          </w:rPr>
          <w:t>1.3. ՀՀ ՄԱԿՐՈՏՆՏԵՍԱԿԱՆ ԶԱՐԳԱՑՈՒՄՆԵՐ ԵՎ ԿԱՆԽԱՏԵՍՈՒՄՆԵՐ</w:t>
        </w:r>
        <w:r>
          <w:rPr>
            <w:noProof/>
            <w:webHidden/>
          </w:rPr>
          <w:tab/>
        </w:r>
        <w:r>
          <w:rPr>
            <w:noProof/>
            <w:webHidden/>
          </w:rPr>
          <w:fldChar w:fldCharType="begin"/>
        </w:r>
        <w:r>
          <w:rPr>
            <w:noProof/>
            <w:webHidden/>
          </w:rPr>
          <w:instrText xml:space="preserve"> PAGEREF _Toc89428287 \h </w:instrText>
        </w:r>
        <w:r>
          <w:rPr>
            <w:noProof/>
            <w:webHidden/>
          </w:rPr>
        </w:r>
        <w:r>
          <w:rPr>
            <w:noProof/>
            <w:webHidden/>
          </w:rPr>
          <w:fldChar w:fldCharType="separate"/>
        </w:r>
        <w:r>
          <w:rPr>
            <w:noProof/>
            <w:webHidden/>
          </w:rPr>
          <w:t>50</w:t>
        </w:r>
        <w:r>
          <w:rPr>
            <w:noProof/>
            <w:webHidden/>
          </w:rPr>
          <w:fldChar w:fldCharType="end"/>
        </w:r>
      </w:hyperlink>
    </w:p>
    <w:p w14:paraId="21F5EBF7" w14:textId="18BAB730" w:rsidR="00A10D4F" w:rsidRDefault="00A10D4F">
      <w:pPr>
        <w:pStyle w:val="TOC3"/>
        <w:rPr>
          <w:rFonts w:asciiTheme="minorHAnsi" w:eastAsiaTheme="minorEastAsia" w:hAnsiTheme="minorHAnsi" w:cstheme="minorBidi"/>
          <w:b w:val="0"/>
          <w:noProof/>
          <w:szCs w:val="22"/>
          <w:lang w:val="en-US" w:eastAsia="en-US"/>
        </w:rPr>
      </w:pPr>
      <w:hyperlink w:anchor="_Toc89428288" w:history="1">
        <w:r w:rsidRPr="000658D2">
          <w:rPr>
            <w:rStyle w:val="Hyperlink"/>
            <w:bCs/>
            <w:noProof/>
            <w:lang w:val="hy-AM"/>
          </w:rPr>
          <w:t>1.4. ԿԱՆԽԱՏԵՍՈՒՄՆԵՐԻ ՀԻՄՔՈՒՄ ԸՆԿԱԾ ԵՆԹԱԴՐՈՒԹՅՈՒՆՆԵՐԸ</w:t>
        </w:r>
        <w:r>
          <w:rPr>
            <w:noProof/>
            <w:webHidden/>
          </w:rPr>
          <w:tab/>
        </w:r>
        <w:r>
          <w:rPr>
            <w:noProof/>
            <w:webHidden/>
          </w:rPr>
          <w:fldChar w:fldCharType="begin"/>
        </w:r>
        <w:r>
          <w:rPr>
            <w:noProof/>
            <w:webHidden/>
          </w:rPr>
          <w:instrText xml:space="preserve"> PAGEREF _Toc89428288 \h </w:instrText>
        </w:r>
        <w:r>
          <w:rPr>
            <w:noProof/>
            <w:webHidden/>
          </w:rPr>
        </w:r>
        <w:r>
          <w:rPr>
            <w:noProof/>
            <w:webHidden/>
          </w:rPr>
          <w:fldChar w:fldCharType="separate"/>
        </w:r>
        <w:r>
          <w:rPr>
            <w:noProof/>
            <w:webHidden/>
          </w:rPr>
          <w:t>63</w:t>
        </w:r>
        <w:r>
          <w:rPr>
            <w:noProof/>
            <w:webHidden/>
          </w:rPr>
          <w:fldChar w:fldCharType="end"/>
        </w:r>
      </w:hyperlink>
    </w:p>
    <w:p w14:paraId="726A1634" w14:textId="45E4B801" w:rsidR="00A10D4F" w:rsidRDefault="00A10D4F">
      <w:pPr>
        <w:pStyle w:val="TOC3"/>
        <w:rPr>
          <w:rFonts w:asciiTheme="minorHAnsi" w:eastAsiaTheme="minorEastAsia" w:hAnsiTheme="minorHAnsi" w:cstheme="minorBidi"/>
          <w:b w:val="0"/>
          <w:noProof/>
          <w:szCs w:val="22"/>
          <w:lang w:val="en-US" w:eastAsia="en-US"/>
        </w:rPr>
      </w:pPr>
      <w:hyperlink w:anchor="_Toc89428289" w:history="1">
        <w:r w:rsidRPr="000658D2">
          <w:rPr>
            <w:rStyle w:val="Hyperlink"/>
            <w:bCs/>
            <w:noProof/>
            <w:lang w:val="hy-AM" w:eastAsia="en-US"/>
          </w:rPr>
          <w:t>1.5. ՄԱԿՐՈՏՆՏԵՍԱԿԱՆ ԿԱՆԽԱՏԵՍՈՒՄՆԵՐԻ ՌԻՍԿԵՐԸ</w:t>
        </w:r>
        <w:r>
          <w:rPr>
            <w:noProof/>
            <w:webHidden/>
          </w:rPr>
          <w:tab/>
        </w:r>
        <w:r>
          <w:rPr>
            <w:noProof/>
            <w:webHidden/>
          </w:rPr>
          <w:fldChar w:fldCharType="begin"/>
        </w:r>
        <w:r>
          <w:rPr>
            <w:noProof/>
            <w:webHidden/>
          </w:rPr>
          <w:instrText xml:space="preserve"> PAGEREF _Toc89428289 \h </w:instrText>
        </w:r>
        <w:r>
          <w:rPr>
            <w:noProof/>
            <w:webHidden/>
          </w:rPr>
        </w:r>
        <w:r>
          <w:rPr>
            <w:noProof/>
            <w:webHidden/>
          </w:rPr>
          <w:fldChar w:fldCharType="separate"/>
        </w:r>
        <w:r>
          <w:rPr>
            <w:noProof/>
            <w:webHidden/>
          </w:rPr>
          <w:t>67</w:t>
        </w:r>
        <w:r>
          <w:rPr>
            <w:noProof/>
            <w:webHidden/>
          </w:rPr>
          <w:fldChar w:fldCharType="end"/>
        </w:r>
      </w:hyperlink>
    </w:p>
    <w:p w14:paraId="6AE2C0EC" w14:textId="6843A4AD" w:rsidR="00A10D4F" w:rsidRDefault="00A10D4F">
      <w:pPr>
        <w:pStyle w:val="TOC3"/>
        <w:rPr>
          <w:rFonts w:asciiTheme="minorHAnsi" w:eastAsiaTheme="minorEastAsia" w:hAnsiTheme="minorHAnsi" w:cstheme="minorBidi"/>
          <w:b w:val="0"/>
          <w:noProof/>
          <w:szCs w:val="22"/>
          <w:lang w:val="en-US" w:eastAsia="en-US"/>
        </w:rPr>
      </w:pPr>
      <w:hyperlink w:anchor="_Toc89428290" w:history="1">
        <w:r w:rsidRPr="000658D2">
          <w:rPr>
            <w:rStyle w:val="Hyperlink"/>
            <w:bCs/>
            <w:noProof/>
            <w:lang w:val="hy-AM"/>
          </w:rPr>
          <w:t>1.6. ՀԱՄԵՄԱՏՈՒԹՅՈՒՆ ՆԱԽՈՐԴ ԿԱՆԽԱՏԵՍՈՒՄՆԵՐԻ ՀԵՏ</w:t>
        </w:r>
        <w:r>
          <w:rPr>
            <w:noProof/>
            <w:webHidden/>
          </w:rPr>
          <w:tab/>
        </w:r>
        <w:r>
          <w:rPr>
            <w:noProof/>
            <w:webHidden/>
          </w:rPr>
          <w:fldChar w:fldCharType="begin"/>
        </w:r>
        <w:r>
          <w:rPr>
            <w:noProof/>
            <w:webHidden/>
          </w:rPr>
          <w:instrText xml:space="preserve"> PAGEREF _Toc89428290 \h </w:instrText>
        </w:r>
        <w:r>
          <w:rPr>
            <w:noProof/>
            <w:webHidden/>
          </w:rPr>
        </w:r>
        <w:r>
          <w:rPr>
            <w:noProof/>
            <w:webHidden/>
          </w:rPr>
          <w:fldChar w:fldCharType="separate"/>
        </w:r>
        <w:r>
          <w:rPr>
            <w:noProof/>
            <w:webHidden/>
          </w:rPr>
          <w:t>70</w:t>
        </w:r>
        <w:r>
          <w:rPr>
            <w:noProof/>
            <w:webHidden/>
          </w:rPr>
          <w:fldChar w:fldCharType="end"/>
        </w:r>
      </w:hyperlink>
    </w:p>
    <w:p w14:paraId="18101DA4" w14:textId="415E8E94" w:rsidR="00A10D4F" w:rsidRDefault="00A10D4F">
      <w:pPr>
        <w:pStyle w:val="TOC1"/>
        <w:rPr>
          <w:rFonts w:asciiTheme="minorHAnsi" w:eastAsiaTheme="minorEastAsia" w:hAnsiTheme="minorHAnsi" w:cstheme="minorBidi"/>
          <w:b w:val="0"/>
          <w:noProof/>
          <w:szCs w:val="22"/>
          <w:lang w:val="en-US" w:eastAsia="en-US"/>
        </w:rPr>
      </w:pPr>
      <w:hyperlink w:anchor="_Toc89428291" w:history="1">
        <w:r w:rsidRPr="000658D2">
          <w:rPr>
            <w:rStyle w:val="Hyperlink"/>
            <w:noProof/>
            <w:lang w:val="hy-AM"/>
          </w:rPr>
          <w:t>ՄԱՍ I-Գ</w:t>
        </w:r>
        <w:r w:rsidRPr="000658D2">
          <w:rPr>
            <w:rStyle w:val="Hyperlink"/>
            <w:rFonts w:ascii="Cambria Math" w:hAnsi="Cambria Math"/>
            <w:noProof/>
            <w:lang w:val="hy-AM"/>
          </w:rPr>
          <w:t>.</w:t>
        </w:r>
        <w:r w:rsidRPr="000658D2">
          <w:rPr>
            <w:rStyle w:val="Hyperlink"/>
            <w:noProof/>
            <w:lang w:val="hy-AM"/>
          </w:rPr>
          <w:t xml:space="preserve"> ՀԱՐԿԱԲՅՈՒՋԵՏԱՅԻՆ ՔԱՂԱՔԱԿԱՆՈՒԹՅԱՆ ՀԻՄՆԱԿԱՆ ՈՒՂՂՈՒԹՅՈՒՆՆԵՐԸ ԵՎ ԿԱՆԽԱՏԵՍՈՒՄՆԵՐԸ</w:t>
        </w:r>
        <w:r>
          <w:rPr>
            <w:noProof/>
            <w:webHidden/>
          </w:rPr>
          <w:tab/>
        </w:r>
        <w:r>
          <w:rPr>
            <w:noProof/>
            <w:webHidden/>
          </w:rPr>
          <w:fldChar w:fldCharType="begin"/>
        </w:r>
        <w:r>
          <w:rPr>
            <w:noProof/>
            <w:webHidden/>
          </w:rPr>
          <w:instrText xml:space="preserve"> PAGEREF _Toc89428291 \h </w:instrText>
        </w:r>
        <w:r>
          <w:rPr>
            <w:noProof/>
            <w:webHidden/>
          </w:rPr>
        </w:r>
        <w:r>
          <w:rPr>
            <w:noProof/>
            <w:webHidden/>
          </w:rPr>
          <w:fldChar w:fldCharType="separate"/>
        </w:r>
        <w:r>
          <w:rPr>
            <w:noProof/>
            <w:webHidden/>
          </w:rPr>
          <w:t>71</w:t>
        </w:r>
        <w:r>
          <w:rPr>
            <w:noProof/>
            <w:webHidden/>
          </w:rPr>
          <w:fldChar w:fldCharType="end"/>
        </w:r>
      </w:hyperlink>
    </w:p>
    <w:p w14:paraId="3D4DD274" w14:textId="3AB0D953" w:rsidR="00A10D4F" w:rsidRDefault="00A10D4F">
      <w:pPr>
        <w:pStyle w:val="TOC3"/>
        <w:rPr>
          <w:rFonts w:asciiTheme="minorHAnsi" w:eastAsiaTheme="minorEastAsia" w:hAnsiTheme="minorHAnsi" w:cstheme="minorBidi"/>
          <w:b w:val="0"/>
          <w:noProof/>
          <w:szCs w:val="22"/>
          <w:lang w:val="en-US" w:eastAsia="en-US"/>
        </w:rPr>
      </w:pPr>
      <w:hyperlink w:anchor="_Toc89428292" w:history="1">
        <w:r w:rsidRPr="000658D2">
          <w:rPr>
            <w:rStyle w:val="Hyperlink"/>
            <w:noProof/>
            <w:lang w:val="hy-AM" w:eastAsia="en-US"/>
          </w:rPr>
          <w:t>2.1. ՀԱՐԿԱԲՅՈՒՋԵՏԱՅԻՆ ԸՆԴՀԱՆՈՒՐ ԱԿՆԱՐԿ ԵՎ ՀԱՐԿԱԲՅՈՒՋԵՏԱՅԻՆ ՇՐՋԱՆԱԿ</w:t>
        </w:r>
        <w:r>
          <w:rPr>
            <w:noProof/>
            <w:webHidden/>
          </w:rPr>
          <w:tab/>
        </w:r>
        <w:r>
          <w:rPr>
            <w:noProof/>
            <w:webHidden/>
          </w:rPr>
          <w:fldChar w:fldCharType="begin"/>
        </w:r>
        <w:r>
          <w:rPr>
            <w:noProof/>
            <w:webHidden/>
          </w:rPr>
          <w:instrText xml:space="preserve"> PAGEREF _Toc89428292 \h </w:instrText>
        </w:r>
        <w:r>
          <w:rPr>
            <w:noProof/>
            <w:webHidden/>
          </w:rPr>
        </w:r>
        <w:r>
          <w:rPr>
            <w:noProof/>
            <w:webHidden/>
          </w:rPr>
          <w:fldChar w:fldCharType="separate"/>
        </w:r>
        <w:r>
          <w:rPr>
            <w:noProof/>
            <w:webHidden/>
          </w:rPr>
          <w:t>71</w:t>
        </w:r>
        <w:r>
          <w:rPr>
            <w:noProof/>
            <w:webHidden/>
          </w:rPr>
          <w:fldChar w:fldCharType="end"/>
        </w:r>
      </w:hyperlink>
    </w:p>
    <w:p w14:paraId="6D8F769E" w14:textId="71BDCE8E" w:rsidR="00A10D4F" w:rsidRDefault="00A10D4F">
      <w:pPr>
        <w:pStyle w:val="TOC3"/>
        <w:rPr>
          <w:rFonts w:asciiTheme="minorHAnsi" w:eastAsiaTheme="minorEastAsia" w:hAnsiTheme="minorHAnsi" w:cstheme="minorBidi"/>
          <w:b w:val="0"/>
          <w:noProof/>
          <w:szCs w:val="22"/>
          <w:lang w:val="en-US" w:eastAsia="en-US"/>
        </w:rPr>
      </w:pPr>
      <w:hyperlink w:anchor="_Toc89428293" w:history="1">
        <w:r w:rsidRPr="000658D2">
          <w:rPr>
            <w:rStyle w:val="Hyperlink"/>
            <w:noProof/>
            <w:lang w:val="hy-AM" w:eastAsia="en-US"/>
          </w:rPr>
          <w:t>2</w:t>
        </w:r>
        <w:r w:rsidRPr="000658D2">
          <w:rPr>
            <w:rStyle w:val="Hyperlink"/>
            <w:rFonts w:cs="Cambria Math"/>
            <w:noProof/>
            <w:lang w:val="hy-AM" w:eastAsia="en-US"/>
          </w:rPr>
          <w:t>.</w:t>
        </w:r>
        <w:r w:rsidRPr="000658D2">
          <w:rPr>
            <w:rStyle w:val="Hyperlink"/>
            <w:noProof/>
            <w:lang w:val="hy-AM" w:eastAsia="en-US"/>
          </w:rPr>
          <w:t>2</w:t>
        </w:r>
        <w:r w:rsidRPr="000658D2">
          <w:rPr>
            <w:rStyle w:val="Hyperlink"/>
            <w:rFonts w:cs="Cambria Math"/>
            <w:noProof/>
            <w:lang w:val="hy-AM" w:eastAsia="en-US"/>
          </w:rPr>
          <w:t>.</w:t>
        </w:r>
        <w:r w:rsidRPr="000658D2">
          <w:rPr>
            <w:rStyle w:val="Hyperlink"/>
            <w:noProof/>
            <w:lang w:val="hy-AM" w:eastAsia="en-US"/>
          </w:rPr>
          <w:t xml:space="preserve"> ՀԱՐԿԱԲՅՈՒՋԵՏԱՅԻՆ ՔԱՂԱՔԱԿԱՆՈՒԹՅԱՆ ՄԻՏՈՒՄՆԵՐԸ ԵՎ ԿԱՆԽԱՏԵՍՈՒՄՆԵՐԸ</w:t>
        </w:r>
        <w:r>
          <w:rPr>
            <w:noProof/>
            <w:webHidden/>
          </w:rPr>
          <w:tab/>
        </w:r>
        <w:r>
          <w:rPr>
            <w:noProof/>
            <w:webHidden/>
          </w:rPr>
          <w:fldChar w:fldCharType="begin"/>
        </w:r>
        <w:r>
          <w:rPr>
            <w:noProof/>
            <w:webHidden/>
          </w:rPr>
          <w:instrText xml:space="preserve"> PAGEREF _Toc89428293 \h </w:instrText>
        </w:r>
        <w:r>
          <w:rPr>
            <w:noProof/>
            <w:webHidden/>
          </w:rPr>
        </w:r>
        <w:r>
          <w:rPr>
            <w:noProof/>
            <w:webHidden/>
          </w:rPr>
          <w:fldChar w:fldCharType="separate"/>
        </w:r>
        <w:r>
          <w:rPr>
            <w:noProof/>
            <w:webHidden/>
          </w:rPr>
          <w:t>73</w:t>
        </w:r>
        <w:r>
          <w:rPr>
            <w:noProof/>
            <w:webHidden/>
          </w:rPr>
          <w:fldChar w:fldCharType="end"/>
        </w:r>
      </w:hyperlink>
    </w:p>
    <w:p w14:paraId="33C67A5E" w14:textId="1682EA9B" w:rsidR="00A10D4F" w:rsidRDefault="00A10D4F">
      <w:pPr>
        <w:pStyle w:val="TOC3"/>
        <w:rPr>
          <w:rFonts w:asciiTheme="minorHAnsi" w:eastAsiaTheme="minorEastAsia" w:hAnsiTheme="minorHAnsi" w:cstheme="minorBidi"/>
          <w:b w:val="0"/>
          <w:noProof/>
          <w:szCs w:val="22"/>
          <w:lang w:val="en-US" w:eastAsia="en-US"/>
        </w:rPr>
      </w:pPr>
      <w:hyperlink w:anchor="_Toc89428294" w:history="1">
        <w:r w:rsidRPr="000658D2">
          <w:rPr>
            <w:rStyle w:val="Hyperlink"/>
            <w:noProof/>
            <w:lang w:val="hy-AM" w:eastAsia="en-US"/>
          </w:rPr>
          <w:t>2.3. ՀԱՐԿԱԲՅՈՒՋԵՏԱՅԻՆ ՌԻՍԿԵՐ</w:t>
        </w:r>
        <w:r>
          <w:rPr>
            <w:noProof/>
            <w:webHidden/>
          </w:rPr>
          <w:tab/>
        </w:r>
        <w:r>
          <w:rPr>
            <w:noProof/>
            <w:webHidden/>
          </w:rPr>
          <w:fldChar w:fldCharType="begin"/>
        </w:r>
        <w:r>
          <w:rPr>
            <w:noProof/>
            <w:webHidden/>
          </w:rPr>
          <w:instrText xml:space="preserve"> PAGEREF _Toc89428294 \h </w:instrText>
        </w:r>
        <w:r>
          <w:rPr>
            <w:noProof/>
            <w:webHidden/>
          </w:rPr>
        </w:r>
        <w:r>
          <w:rPr>
            <w:noProof/>
            <w:webHidden/>
          </w:rPr>
          <w:fldChar w:fldCharType="separate"/>
        </w:r>
        <w:r>
          <w:rPr>
            <w:noProof/>
            <w:webHidden/>
          </w:rPr>
          <w:t>81</w:t>
        </w:r>
        <w:r>
          <w:rPr>
            <w:noProof/>
            <w:webHidden/>
          </w:rPr>
          <w:fldChar w:fldCharType="end"/>
        </w:r>
      </w:hyperlink>
    </w:p>
    <w:p w14:paraId="6051426F" w14:textId="27BCA347" w:rsidR="00A10D4F" w:rsidRDefault="00A10D4F">
      <w:pPr>
        <w:pStyle w:val="TOC3"/>
        <w:rPr>
          <w:rFonts w:asciiTheme="minorHAnsi" w:eastAsiaTheme="minorEastAsia" w:hAnsiTheme="minorHAnsi" w:cstheme="minorBidi"/>
          <w:b w:val="0"/>
          <w:noProof/>
          <w:szCs w:val="22"/>
          <w:lang w:val="en-US" w:eastAsia="en-US"/>
        </w:rPr>
      </w:pPr>
      <w:hyperlink w:anchor="_Toc89428295" w:history="1">
        <w:r w:rsidRPr="000658D2">
          <w:rPr>
            <w:rStyle w:val="Hyperlink"/>
            <w:rFonts w:eastAsia="Calibri"/>
            <w:noProof/>
            <w:lang w:val="hy-AM" w:eastAsia="en-US"/>
          </w:rPr>
          <w:t>2.4. ՀԱՐԿԱԲՅՈՒՋԵՏԱՅԻՆ  ՔԱՂԱՔԱԿԱՆՈՒԹՅԱՆ ՀԱՄԱՊԱՏԱՍԽԱՆՈՒԹՅՈՒՆԸ ՀԱՐԿԱԲՅՈՒՋԵՏԱՅԻՆ ԿԱՆՈՆՆԵՐԻՆ</w:t>
        </w:r>
        <w:r>
          <w:rPr>
            <w:noProof/>
            <w:webHidden/>
          </w:rPr>
          <w:tab/>
        </w:r>
        <w:r>
          <w:rPr>
            <w:noProof/>
            <w:webHidden/>
          </w:rPr>
          <w:fldChar w:fldCharType="begin"/>
        </w:r>
        <w:r>
          <w:rPr>
            <w:noProof/>
            <w:webHidden/>
          </w:rPr>
          <w:instrText xml:space="preserve"> PAGEREF _Toc89428295 \h </w:instrText>
        </w:r>
        <w:r>
          <w:rPr>
            <w:noProof/>
            <w:webHidden/>
          </w:rPr>
        </w:r>
        <w:r>
          <w:rPr>
            <w:noProof/>
            <w:webHidden/>
          </w:rPr>
          <w:fldChar w:fldCharType="separate"/>
        </w:r>
        <w:r>
          <w:rPr>
            <w:noProof/>
            <w:webHidden/>
          </w:rPr>
          <w:t>84</w:t>
        </w:r>
        <w:r>
          <w:rPr>
            <w:noProof/>
            <w:webHidden/>
          </w:rPr>
          <w:fldChar w:fldCharType="end"/>
        </w:r>
      </w:hyperlink>
    </w:p>
    <w:p w14:paraId="286E97CF" w14:textId="4E5BE740" w:rsidR="00A10D4F" w:rsidRDefault="00A10D4F">
      <w:pPr>
        <w:pStyle w:val="TOC3"/>
        <w:rPr>
          <w:rFonts w:asciiTheme="minorHAnsi" w:eastAsiaTheme="minorEastAsia" w:hAnsiTheme="minorHAnsi" w:cstheme="minorBidi"/>
          <w:b w:val="0"/>
          <w:noProof/>
          <w:szCs w:val="22"/>
          <w:lang w:val="en-US" w:eastAsia="en-US"/>
        </w:rPr>
      </w:pPr>
      <w:hyperlink w:anchor="_Toc89428296" w:history="1">
        <w:r w:rsidRPr="000658D2">
          <w:rPr>
            <w:rStyle w:val="Hyperlink"/>
            <w:noProof/>
            <w:lang w:val="hy-AM" w:eastAsia="en-US"/>
          </w:rPr>
          <w:t>2.5. ՊԵՏԱԿԱՆ ԲՅՈՒՋԵԻ ՑՈՒՑԱՆԻՇՆԵՐԻ ԿԱՆԽԱՏԵՍՈՒՄՆԵՐԻ ՀԱՄԵՄԱՏԱԿԱՆ ԱՂՅՈՒՍԱԿՆԵՐ</w:t>
        </w:r>
        <w:r>
          <w:rPr>
            <w:noProof/>
            <w:webHidden/>
          </w:rPr>
          <w:tab/>
        </w:r>
        <w:r>
          <w:rPr>
            <w:noProof/>
            <w:webHidden/>
          </w:rPr>
          <w:fldChar w:fldCharType="begin"/>
        </w:r>
        <w:r>
          <w:rPr>
            <w:noProof/>
            <w:webHidden/>
          </w:rPr>
          <w:instrText xml:space="preserve"> PAGEREF _Toc89428296 \h </w:instrText>
        </w:r>
        <w:r>
          <w:rPr>
            <w:noProof/>
            <w:webHidden/>
          </w:rPr>
        </w:r>
        <w:r>
          <w:rPr>
            <w:noProof/>
            <w:webHidden/>
          </w:rPr>
          <w:fldChar w:fldCharType="separate"/>
        </w:r>
        <w:r>
          <w:rPr>
            <w:noProof/>
            <w:webHidden/>
          </w:rPr>
          <w:t>87</w:t>
        </w:r>
        <w:r>
          <w:rPr>
            <w:noProof/>
            <w:webHidden/>
          </w:rPr>
          <w:fldChar w:fldCharType="end"/>
        </w:r>
      </w:hyperlink>
    </w:p>
    <w:p w14:paraId="35C2A0DD" w14:textId="53E81747" w:rsidR="00A10D4F" w:rsidRDefault="00A10D4F">
      <w:pPr>
        <w:pStyle w:val="TOC1"/>
        <w:rPr>
          <w:rFonts w:asciiTheme="minorHAnsi" w:eastAsiaTheme="minorEastAsia" w:hAnsiTheme="minorHAnsi" w:cstheme="minorBidi"/>
          <w:b w:val="0"/>
          <w:noProof/>
          <w:szCs w:val="22"/>
          <w:lang w:val="en-US" w:eastAsia="en-US"/>
        </w:rPr>
      </w:pPr>
      <w:hyperlink w:anchor="_Toc89428297" w:history="1">
        <w:r w:rsidRPr="000658D2">
          <w:rPr>
            <w:rStyle w:val="Hyperlink"/>
            <w:noProof/>
            <w:lang w:val="hy-AM"/>
          </w:rPr>
          <w:t>ՄԱՍ</w:t>
        </w:r>
        <w:r w:rsidRPr="000658D2">
          <w:rPr>
            <w:rStyle w:val="Hyperlink"/>
            <w:noProof/>
            <w:lang w:val="sk-SK"/>
          </w:rPr>
          <w:t xml:space="preserve"> II-</w:t>
        </w:r>
        <w:r w:rsidRPr="000658D2">
          <w:rPr>
            <w:rStyle w:val="Hyperlink"/>
            <w:noProof/>
            <w:lang w:val="hy-AM"/>
          </w:rPr>
          <w:t>Ա</w:t>
        </w:r>
        <w:r w:rsidRPr="000658D2">
          <w:rPr>
            <w:rStyle w:val="Hyperlink"/>
            <w:noProof/>
            <w:lang w:val="sk-SK"/>
          </w:rPr>
          <w:t xml:space="preserve"> </w:t>
        </w:r>
        <w:r w:rsidRPr="000658D2">
          <w:rPr>
            <w:rStyle w:val="Hyperlink"/>
            <w:noProof/>
            <w:lang w:val="hy-AM"/>
          </w:rPr>
          <w:t>ՊԵՏԱԿԱՆ</w:t>
        </w:r>
        <w:r w:rsidRPr="000658D2">
          <w:rPr>
            <w:rStyle w:val="Hyperlink"/>
            <w:noProof/>
            <w:lang w:val="sk-SK"/>
          </w:rPr>
          <w:t xml:space="preserve"> </w:t>
        </w:r>
        <w:r w:rsidRPr="000658D2">
          <w:rPr>
            <w:rStyle w:val="Hyperlink"/>
            <w:noProof/>
            <w:lang w:val="hy-AM"/>
          </w:rPr>
          <w:t>ԲՅՈՒՋԵԻ</w:t>
        </w:r>
        <w:r w:rsidRPr="000658D2">
          <w:rPr>
            <w:rStyle w:val="Hyperlink"/>
            <w:noProof/>
            <w:lang w:val="sk-SK"/>
          </w:rPr>
          <w:t xml:space="preserve"> </w:t>
        </w:r>
        <w:r w:rsidRPr="000658D2">
          <w:rPr>
            <w:rStyle w:val="Hyperlink"/>
            <w:noProof/>
            <w:lang w:val="hy-AM"/>
          </w:rPr>
          <w:t>ՑՈՒՑԱՆԻՇՆԵՐԻ</w:t>
        </w:r>
        <w:r w:rsidRPr="000658D2">
          <w:rPr>
            <w:rStyle w:val="Hyperlink"/>
            <w:noProof/>
            <w:lang w:val="sk-SK"/>
          </w:rPr>
          <w:t xml:space="preserve"> </w:t>
        </w:r>
        <w:r w:rsidRPr="000658D2">
          <w:rPr>
            <w:rStyle w:val="Hyperlink"/>
            <w:noProof/>
            <w:lang w:val="hy-AM"/>
          </w:rPr>
          <w:t>ԿԱՆԽԱՏԵՍՈՒՄՆԵՐ</w:t>
        </w:r>
        <w:r>
          <w:rPr>
            <w:noProof/>
            <w:webHidden/>
          </w:rPr>
          <w:tab/>
        </w:r>
        <w:r>
          <w:rPr>
            <w:noProof/>
            <w:webHidden/>
          </w:rPr>
          <w:fldChar w:fldCharType="begin"/>
        </w:r>
        <w:r>
          <w:rPr>
            <w:noProof/>
            <w:webHidden/>
          </w:rPr>
          <w:instrText xml:space="preserve"> PAGEREF _Toc89428297 \h </w:instrText>
        </w:r>
        <w:r>
          <w:rPr>
            <w:noProof/>
            <w:webHidden/>
          </w:rPr>
        </w:r>
        <w:r>
          <w:rPr>
            <w:noProof/>
            <w:webHidden/>
          </w:rPr>
          <w:fldChar w:fldCharType="separate"/>
        </w:r>
        <w:r>
          <w:rPr>
            <w:noProof/>
            <w:webHidden/>
          </w:rPr>
          <w:t>90</w:t>
        </w:r>
        <w:r>
          <w:rPr>
            <w:noProof/>
            <w:webHidden/>
          </w:rPr>
          <w:fldChar w:fldCharType="end"/>
        </w:r>
      </w:hyperlink>
    </w:p>
    <w:p w14:paraId="06A20EC3" w14:textId="65C6EF6A" w:rsidR="00A10D4F" w:rsidRDefault="00A10D4F">
      <w:pPr>
        <w:pStyle w:val="TOC2"/>
        <w:rPr>
          <w:rFonts w:asciiTheme="minorHAnsi" w:eastAsiaTheme="minorEastAsia" w:hAnsiTheme="minorHAnsi" w:cstheme="minorBidi"/>
          <w:b w:val="0"/>
          <w:noProof/>
          <w:szCs w:val="22"/>
          <w:lang w:val="en-US" w:eastAsia="en-US"/>
        </w:rPr>
      </w:pPr>
      <w:hyperlink w:anchor="_Toc89428298" w:history="1">
        <w:r w:rsidRPr="000658D2">
          <w:rPr>
            <w:rStyle w:val="Hyperlink"/>
            <w:rFonts w:eastAsia="Calibri" w:cs="Times LatArm"/>
            <w:noProof/>
            <w:lang w:val="hy-AM" w:eastAsia="en-US"/>
          </w:rPr>
          <w:t>Հարկաբյուջետային սկզբունքները և ցուցանիշները</w:t>
        </w:r>
        <w:r>
          <w:rPr>
            <w:noProof/>
            <w:webHidden/>
          </w:rPr>
          <w:tab/>
        </w:r>
        <w:r>
          <w:rPr>
            <w:noProof/>
            <w:webHidden/>
          </w:rPr>
          <w:fldChar w:fldCharType="begin"/>
        </w:r>
        <w:r>
          <w:rPr>
            <w:noProof/>
            <w:webHidden/>
          </w:rPr>
          <w:instrText xml:space="preserve"> PAGEREF _Toc89428298 \h </w:instrText>
        </w:r>
        <w:r>
          <w:rPr>
            <w:noProof/>
            <w:webHidden/>
          </w:rPr>
        </w:r>
        <w:r>
          <w:rPr>
            <w:noProof/>
            <w:webHidden/>
          </w:rPr>
          <w:fldChar w:fldCharType="separate"/>
        </w:r>
        <w:r>
          <w:rPr>
            <w:noProof/>
            <w:webHidden/>
          </w:rPr>
          <w:t>90</w:t>
        </w:r>
        <w:r>
          <w:rPr>
            <w:noProof/>
            <w:webHidden/>
          </w:rPr>
          <w:fldChar w:fldCharType="end"/>
        </w:r>
      </w:hyperlink>
    </w:p>
    <w:p w14:paraId="121D0577" w14:textId="1D82AC35" w:rsidR="00A10D4F" w:rsidRDefault="00A10D4F">
      <w:pPr>
        <w:pStyle w:val="TOC1"/>
        <w:rPr>
          <w:rFonts w:asciiTheme="minorHAnsi" w:eastAsiaTheme="minorEastAsia" w:hAnsiTheme="minorHAnsi" w:cstheme="minorBidi"/>
          <w:b w:val="0"/>
          <w:noProof/>
          <w:szCs w:val="22"/>
          <w:lang w:val="en-US" w:eastAsia="en-US"/>
        </w:rPr>
      </w:pPr>
      <w:hyperlink w:anchor="_Toc89428299" w:history="1">
        <w:r w:rsidRPr="000658D2">
          <w:rPr>
            <w:rStyle w:val="Hyperlink"/>
            <w:noProof/>
            <w:lang w:val="hy-AM"/>
          </w:rPr>
          <w:t>ՄԱՍ II – Բ. ՀԱՐԿԱԲՅՈՒՋԵՏԱՅԻՆ ՑՈՒՑԱՆԻՇՆԵՐԻ ԿԱՆԽԱՏԵՍՈՒՄ</w:t>
        </w:r>
        <w:r>
          <w:rPr>
            <w:noProof/>
            <w:webHidden/>
          </w:rPr>
          <w:tab/>
        </w:r>
        <w:r>
          <w:rPr>
            <w:noProof/>
            <w:webHidden/>
          </w:rPr>
          <w:fldChar w:fldCharType="begin"/>
        </w:r>
        <w:r>
          <w:rPr>
            <w:noProof/>
            <w:webHidden/>
          </w:rPr>
          <w:instrText xml:space="preserve"> PAGEREF _Toc89428299 \h </w:instrText>
        </w:r>
        <w:r>
          <w:rPr>
            <w:noProof/>
            <w:webHidden/>
          </w:rPr>
        </w:r>
        <w:r>
          <w:rPr>
            <w:noProof/>
            <w:webHidden/>
          </w:rPr>
          <w:fldChar w:fldCharType="separate"/>
        </w:r>
        <w:r>
          <w:rPr>
            <w:noProof/>
            <w:webHidden/>
          </w:rPr>
          <w:t>92</w:t>
        </w:r>
        <w:r>
          <w:rPr>
            <w:noProof/>
            <w:webHidden/>
          </w:rPr>
          <w:fldChar w:fldCharType="end"/>
        </w:r>
      </w:hyperlink>
    </w:p>
    <w:p w14:paraId="7E6769AA" w14:textId="06DC866A" w:rsidR="00A10D4F" w:rsidRDefault="00A10D4F">
      <w:pPr>
        <w:pStyle w:val="TOC2"/>
        <w:rPr>
          <w:rFonts w:asciiTheme="minorHAnsi" w:eastAsiaTheme="minorEastAsia" w:hAnsiTheme="minorHAnsi" w:cstheme="minorBidi"/>
          <w:b w:val="0"/>
          <w:noProof/>
          <w:szCs w:val="22"/>
          <w:lang w:val="en-US" w:eastAsia="en-US"/>
        </w:rPr>
      </w:pPr>
      <w:hyperlink w:anchor="_Toc89428300" w:history="1">
        <w:r w:rsidRPr="000658D2">
          <w:rPr>
            <w:rStyle w:val="Hyperlink"/>
            <w:noProof/>
          </w:rPr>
          <w:t>2022 ԹՎԱԿԱՆԻ ԾԱԽՍԵՐԻ ՄԱԿԱՐԴԱԿԸ ԵՎ ԳԵՐԱԿԱՅՈՒԹՅՈՒՆՆԵՐԸ</w:t>
        </w:r>
        <w:r>
          <w:rPr>
            <w:noProof/>
            <w:webHidden/>
          </w:rPr>
          <w:tab/>
        </w:r>
        <w:r>
          <w:rPr>
            <w:noProof/>
            <w:webHidden/>
          </w:rPr>
          <w:fldChar w:fldCharType="begin"/>
        </w:r>
        <w:r>
          <w:rPr>
            <w:noProof/>
            <w:webHidden/>
          </w:rPr>
          <w:instrText xml:space="preserve"> PAGEREF _Toc89428300 \h </w:instrText>
        </w:r>
        <w:r>
          <w:rPr>
            <w:noProof/>
            <w:webHidden/>
          </w:rPr>
        </w:r>
        <w:r>
          <w:rPr>
            <w:noProof/>
            <w:webHidden/>
          </w:rPr>
          <w:fldChar w:fldCharType="separate"/>
        </w:r>
        <w:r>
          <w:rPr>
            <w:noProof/>
            <w:webHidden/>
          </w:rPr>
          <w:t>92</w:t>
        </w:r>
        <w:r>
          <w:rPr>
            <w:noProof/>
            <w:webHidden/>
          </w:rPr>
          <w:fldChar w:fldCharType="end"/>
        </w:r>
      </w:hyperlink>
    </w:p>
    <w:p w14:paraId="604D8AE1" w14:textId="06F6692C" w:rsidR="00A10D4F" w:rsidRDefault="00A10D4F">
      <w:pPr>
        <w:pStyle w:val="TOC2"/>
        <w:rPr>
          <w:rFonts w:asciiTheme="minorHAnsi" w:eastAsiaTheme="minorEastAsia" w:hAnsiTheme="minorHAnsi" w:cstheme="minorBidi"/>
          <w:b w:val="0"/>
          <w:noProof/>
          <w:szCs w:val="22"/>
          <w:lang w:val="en-US" w:eastAsia="en-US"/>
        </w:rPr>
      </w:pPr>
      <w:hyperlink w:anchor="_Toc89428301" w:history="1">
        <w:r w:rsidRPr="000658D2">
          <w:rPr>
            <w:rStyle w:val="Hyperlink"/>
            <w:noProof/>
          </w:rPr>
          <w:t>ՊԵՏԱԿԱՆ</w:t>
        </w:r>
        <w:r w:rsidRPr="000658D2">
          <w:rPr>
            <w:rStyle w:val="Hyperlink"/>
            <w:noProof/>
            <w:lang w:val="es-ES"/>
          </w:rPr>
          <w:t xml:space="preserve"> </w:t>
        </w:r>
        <w:r w:rsidRPr="000658D2">
          <w:rPr>
            <w:rStyle w:val="Hyperlink"/>
            <w:noProof/>
          </w:rPr>
          <w:t>ԲՅՈՒՋԵԻ</w:t>
        </w:r>
        <w:r w:rsidRPr="000658D2">
          <w:rPr>
            <w:rStyle w:val="Hyperlink"/>
            <w:noProof/>
            <w:lang w:val="es-ES"/>
          </w:rPr>
          <w:t xml:space="preserve"> </w:t>
        </w:r>
        <w:r w:rsidRPr="000658D2">
          <w:rPr>
            <w:rStyle w:val="Hyperlink"/>
            <w:noProof/>
          </w:rPr>
          <w:t>ԴԵՖԻՑԻՏԻ</w:t>
        </w:r>
        <w:r w:rsidRPr="000658D2">
          <w:rPr>
            <w:rStyle w:val="Hyperlink"/>
            <w:noProof/>
            <w:lang w:val="es-ES"/>
          </w:rPr>
          <w:t xml:space="preserve"> (</w:t>
        </w:r>
        <w:r w:rsidRPr="000658D2">
          <w:rPr>
            <w:rStyle w:val="Hyperlink"/>
            <w:noProof/>
          </w:rPr>
          <w:t>ՊԱԿԱՍՈՒՐԴԻ</w:t>
        </w:r>
        <w:r w:rsidRPr="000658D2">
          <w:rPr>
            <w:rStyle w:val="Hyperlink"/>
            <w:noProof/>
            <w:lang w:val="es-ES"/>
          </w:rPr>
          <w:t xml:space="preserve">) </w:t>
        </w:r>
        <w:r w:rsidRPr="000658D2">
          <w:rPr>
            <w:rStyle w:val="Hyperlink"/>
            <w:noProof/>
          </w:rPr>
          <w:t>ԵՎ</w:t>
        </w:r>
        <w:r w:rsidRPr="000658D2">
          <w:rPr>
            <w:rStyle w:val="Hyperlink"/>
            <w:noProof/>
            <w:lang w:val="es-ES"/>
          </w:rPr>
          <w:t xml:space="preserve"> </w:t>
        </w:r>
        <w:r w:rsidRPr="000658D2">
          <w:rPr>
            <w:rStyle w:val="Hyperlink"/>
            <w:noProof/>
          </w:rPr>
          <w:t>ՊԱՐՏՔԻ</w:t>
        </w:r>
        <w:r w:rsidRPr="000658D2">
          <w:rPr>
            <w:rStyle w:val="Hyperlink"/>
            <w:noProof/>
            <w:lang w:val="es-ES"/>
          </w:rPr>
          <w:t xml:space="preserve"> </w:t>
        </w:r>
        <w:r w:rsidRPr="000658D2">
          <w:rPr>
            <w:rStyle w:val="Hyperlink"/>
            <w:noProof/>
          </w:rPr>
          <w:t>ՄԱԿԱՐԴԱԿԸ</w:t>
        </w:r>
        <w:r>
          <w:rPr>
            <w:noProof/>
            <w:webHidden/>
          </w:rPr>
          <w:tab/>
        </w:r>
        <w:r>
          <w:rPr>
            <w:noProof/>
            <w:webHidden/>
          </w:rPr>
          <w:fldChar w:fldCharType="begin"/>
        </w:r>
        <w:r>
          <w:rPr>
            <w:noProof/>
            <w:webHidden/>
          </w:rPr>
          <w:instrText xml:space="preserve"> PAGEREF _Toc89428301 \h </w:instrText>
        </w:r>
        <w:r>
          <w:rPr>
            <w:noProof/>
            <w:webHidden/>
          </w:rPr>
        </w:r>
        <w:r>
          <w:rPr>
            <w:noProof/>
            <w:webHidden/>
          </w:rPr>
          <w:fldChar w:fldCharType="separate"/>
        </w:r>
        <w:r>
          <w:rPr>
            <w:noProof/>
            <w:webHidden/>
          </w:rPr>
          <w:t>92</w:t>
        </w:r>
        <w:r>
          <w:rPr>
            <w:noProof/>
            <w:webHidden/>
          </w:rPr>
          <w:fldChar w:fldCharType="end"/>
        </w:r>
      </w:hyperlink>
    </w:p>
    <w:p w14:paraId="19D5B7C7" w14:textId="5FF7A0C3" w:rsidR="00A10D4F" w:rsidRDefault="00A10D4F">
      <w:pPr>
        <w:pStyle w:val="TOC3"/>
        <w:rPr>
          <w:rFonts w:asciiTheme="minorHAnsi" w:eastAsiaTheme="minorEastAsia" w:hAnsiTheme="minorHAnsi" w:cstheme="minorBidi"/>
          <w:b w:val="0"/>
          <w:noProof/>
          <w:szCs w:val="22"/>
          <w:lang w:val="en-US" w:eastAsia="en-US"/>
        </w:rPr>
      </w:pPr>
      <w:hyperlink w:anchor="_Toc89428302" w:history="1">
        <w:r w:rsidRPr="000658D2">
          <w:rPr>
            <w:rStyle w:val="Hyperlink"/>
            <w:noProof/>
          </w:rPr>
          <w:t>Պետական բյուջեի դեֆիցիտի ֆինանսավորման աղբյուրները</w:t>
        </w:r>
        <w:r>
          <w:rPr>
            <w:noProof/>
            <w:webHidden/>
          </w:rPr>
          <w:tab/>
        </w:r>
        <w:r>
          <w:rPr>
            <w:noProof/>
            <w:webHidden/>
          </w:rPr>
          <w:fldChar w:fldCharType="begin"/>
        </w:r>
        <w:r>
          <w:rPr>
            <w:noProof/>
            <w:webHidden/>
          </w:rPr>
          <w:instrText xml:space="preserve"> PAGEREF _Toc89428302 \h </w:instrText>
        </w:r>
        <w:r>
          <w:rPr>
            <w:noProof/>
            <w:webHidden/>
          </w:rPr>
        </w:r>
        <w:r>
          <w:rPr>
            <w:noProof/>
            <w:webHidden/>
          </w:rPr>
          <w:fldChar w:fldCharType="separate"/>
        </w:r>
        <w:r>
          <w:rPr>
            <w:noProof/>
            <w:webHidden/>
          </w:rPr>
          <w:t>94</w:t>
        </w:r>
        <w:r>
          <w:rPr>
            <w:noProof/>
            <w:webHidden/>
          </w:rPr>
          <w:fldChar w:fldCharType="end"/>
        </w:r>
      </w:hyperlink>
    </w:p>
    <w:p w14:paraId="36F7FF32" w14:textId="6AEEA246" w:rsidR="00A10D4F" w:rsidRDefault="00A10D4F">
      <w:pPr>
        <w:pStyle w:val="TOC1"/>
        <w:rPr>
          <w:rFonts w:asciiTheme="minorHAnsi" w:eastAsiaTheme="minorEastAsia" w:hAnsiTheme="minorHAnsi" w:cstheme="minorBidi"/>
          <w:b w:val="0"/>
          <w:noProof/>
          <w:szCs w:val="22"/>
          <w:lang w:val="en-US" w:eastAsia="en-US"/>
        </w:rPr>
      </w:pPr>
      <w:hyperlink w:anchor="_Toc89428303" w:history="1">
        <w:r w:rsidRPr="000658D2">
          <w:rPr>
            <w:rStyle w:val="Hyperlink"/>
            <w:noProof/>
          </w:rPr>
          <w:t>ՄԱՍ III. «ՀԱՅԱՍՏԱՆԻ ՀԱՆՐԱՊԵՏՈՒԹՅԱՆ 2022 ԹՎԱԿԱՆԻ ՊԵՏԱԿԱՆ ԲՅՈՒՋԵԻ ՄԱՍԻՆ» ՀԱՅԱՍՏԱՆԻ ՀԱՆՐԱՊԵՏՈՒԹՅԱՆ ՕՐԵՆՔԻ ՆԱԽԱԳԾԻ ԲԱՑԱՏՐԱԳԻՐ</w:t>
        </w:r>
        <w:r>
          <w:rPr>
            <w:noProof/>
            <w:webHidden/>
          </w:rPr>
          <w:tab/>
        </w:r>
        <w:r>
          <w:rPr>
            <w:noProof/>
            <w:webHidden/>
          </w:rPr>
          <w:fldChar w:fldCharType="begin"/>
        </w:r>
        <w:r>
          <w:rPr>
            <w:noProof/>
            <w:webHidden/>
          </w:rPr>
          <w:instrText xml:space="preserve"> PAGEREF _Toc89428303 \h </w:instrText>
        </w:r>
        <w:r>
          <w:rPr>
            <w:noProof/>
            <w:webHidden/>
          </w:rPr>
        </w:r>
        <w:r>
          <w:rPr>
            <w:noProof/>
            <w:webHidden/>
          </w:rPr>
          <w:fldChar w:fldCharType="separate"/>
        </w:r>
        <w:r>
          <w:rPr>
            <w:noProof/>
            <w:webHidden/>
          </w:rPr>
          <w:t>96</w:t>
        </w:r>
        <w:r>
          <w:rPr>
            <w:noProof/>
            <w:webHidden/>
          </w:rPr>
          <w:fldChar w:fldCharType="end"/>
        </w:r>
      </w:hyperlink>
    </w:p>
    <w:p w14:paraId="6305F9F4" w14:textId="7BFDC336" w:rsidR="00A10D4F" w:rsidRDefault="00A10D4F">
      <w:pPr>
        <w:pStyle w:val="TOC1"/>
        <w:rPr>
          <w:rFonts w:asciiTheme="minorHAnsi" w:eastAsiaTheme="minorEastAsia" w:hAnsiTheme="minorHAnsi" w:cstheme="minorBidi"/>
          <w:b w:val="0"/>
          <w:noProof/>
          <w:szCs w:val="22"/>
          <w:lang w:val="en-US" w:eastAsia="en-US"/>
        </w:rPr>
      </w:pPr>
      <w:hyperlink w:anchor="_Toc89428304" w:history="1">
        <w:r w:rsidRPr="000658D2">
          <w:rPr>
            <w:rStyle w:val="Hyperlink"/>
            <w:noProof/>
          </w:rPr>
          <w:t>ՄԱՍ</w:t>
        </w:r>
        <w:r w:rsidRPr="000658D2">
          <w:rPr>
            <w:rStyle w:val="Hyperlink"/>
            <w:noProof/>
            <w:lang w:val="af-ZA"/>
          </w:rPr>
          <w:t xml:space="preserve"> III-</w:t>
        </w:r>
        <w:r w:rsidRPr="000658D2">
          <w:rPr>
            <w:rStyle w:val="Hyperlink"/>
            <w:noProof/>
          </w:rPr>
          <w:t>Ա</w:t>
        </w:r>
        <w:r w:rsidRPr="000658D2">
          <w:rPr>
            <w:rStyle w:val="Hyperlink"/>
            <w:noProof/>
            <w:lang w:val="af-ZA"/>
          </w:rPr>
          <w:t xml:space="preserve">. </w:t>
        </w:r>
        <w:r w:rsidRPr="000658D2">
          <w:rPr>
            <w:rStyle w:val="Hyperlink"/>
            <w:noProof/>
          </w:rPr>
          <w:t>ԵԿԱՄՈՒՏՆԵՐԻ</w:t>
        </w:r>
        <w:r w:rsidRPr="000658D2">
          <w:rPr>
            <w:rStyle w:val="Hyperlink"/>
            <w:noProof/>
            <w:lang w:val="af-ZA"/>
          </w:rPr>
          <w:t xml:space="preserve"> </w:t>
        </w:r>
        <w:r w:rsidRPr="000658D2">
          <w:rPr>
            <w:rStyle w:val="Hyperlink"/>
            <w:noProof/>
          </w:rPr>
          <w:t>ԿԱՆԽԱՏԵՍՈՒՄ</w:t>
        </w:r>
        <w:r>
          <w:rPr>
            <w:noProof/>
            <w:webHidden/>
          </w:rPr>
          <w:tab/>
        </w:r>
        <w:r>
          <w:rPr>
            <w:noProof/>
            <w:webHidden/>
          </w:rPr>
          <w:fldChar w:fldCharType="begin"/>
        </w:r>
        <w:r>
          <w:rPr>
            <w:noProof/>
            <w:webHidden/>
          </w:rPr>
          <w:instrText xml:space="preserve"> PAGEREF _Toc89428304 \h </w:instrText>
        </w:r>
        <w:r>
          <w:rPr>
            <w:noProof/>
            <w:webHidden/>
          </w:rPr>
        </w:r>
        <w:r>
          <w:rPr>
            <w:noProof/>
            <w:webHidden/>
          </w:rPr>
          <w:fldChar w:fldCharType="separate"/>
        </w:r>
        <w:r>
          <w:rPr>
            <w:noProof/>
            <w:webHidden/>
          </w:rPr>
          <w:t>96</w:t>
        </w:r>
        <w:r>
          <w:rPr>
            <w:noProof/>
            <w:webHidden/>
          </w:rPr>
          <w:fldChar w:fldCharType="end"/>
        </w:r>
      </w:hyperlink>
    </w:p>
    <w:p w14:paraId="7752E8D8" w14:textId="18E2A86C" w:rsidR="00A10D4F" w:rsidRDefault="00A10D4F">
      <w:pPr>
        <w:pStyle w:val="TOC3"/>
        <w:rPr>
          <w:rFonts w:asciiTheme="minorHAnsi" w:eastAsiaTheme="minorEastAsia" w:hAnsiTheme="minorHAnsi" w:cstheme="minorBidi"/>
          <w:b w:val="0"/>
          <w:noProof/>
          <w:szCs w:val="22"/>
          <w:lang w:val="en-US" w:eastAsia="en-US"/>
        </w:rPr>
      </w:pPr>
      <w:hyperlink w:anchor="_Toc89428305" w:history="1">
        <w:r w:rsidRPr="000658D2">
          <w:rPr>
            <w:rStyle w:val="Hyperlink"/>
            <w:rFonts w:eastAsia="Calibri" w:cs="GHEA Grapalat"/>
            <w:bCs/>
            <w:noProof/>
            <w:lang w:val="hy-AM" w:eastAsia="en-US"/>
          </w:rPr>
          <w:t>Հարկային եկամուտներ և պետական տուրքեր</w:t>
        </w:r>
        <w:r>
          <w:rPr>
            <w:noProof/>
            <w:webHidden/>
          </w:rPr>
          <w:tab/>
        </w:r>
        <w:r>
          <w:rPr>
            <w:noProof/>
            <w:webHidden/>
          </w:rPr>
          <w:fldChar w:fldCharType="begin"/>
        </w:r>
        <w:r>
          <w:rPr>
            <w:noProof/>
            <w:webHidden/>
          </w:rPr>
          <w:instrText xml:space="preserve"> PAGEREF _Toc89428305 \h </w:instrText>
        </w:r>
        <w:r>
          <w:rPr>
            <w:noProof/>
            <w:webHidden/>
          </w:rPr>
        </w:r>
        <w:r>
          <w:rPr>
            <w:noProof/>
            <w:webHidden/>
          </w:rPr>
          <w:fldChar w:fldCharType="separate"/>
        </w:r>
        <w:r>
          <w:rPr>
            <w:noProof/>
            <w:webHidden/>
          </w:rPr>
          <w:t>97</w:t>
        </w:r>
        <w:r>
          <w:rPr>
            <w:noProof/>
            <w:webHidden/>
          </w:rPr>
          <w:fldChar w:fldCharType="end"/>
        </w:r>
      </w:hyperlink>
    </w:p>
    <w:p w14:paraId="42BB9331" w14:textId="1E464537" w:rsidR="00A10D4F" w:rsidRDefault="00A10D4F">
      <w:pPr>
        <w:pStyle w:val="TOC3"/>
        <w:rPr>
          <w:rFonts w:asciiTheme="minorHAnsi" w:eastAsiaTheme="minorEastAsia" w:hAnsiTheme="minorHAnsi" w:cstheme="minorBidi"/>
          <w:b w:val="0"/>
          <w:noProof/>
          <w:szCs w:val="22"/>
          <w:lang w:val="en-US" w:eastAsia="en-US"/>
        </w:rPr>
      </w:pPr>
      <w:hyperlink w:anchor="_Toc89428306" w:history="1">
        <w:r w:rsidRPr="000658D2">
          <w:rPr>
            <w:rStyle w:val="Hyperlink"/>
            <w:rFonts w:eastAsia="Calibri" w:cs="GHEA Grapalat"/>
            <w:bCs/>
            <w:noProof/>
            <w:lang w:val="hy-AM" w:eastAsia="en-US"/>
          </w:rPr>
          <w:t>Այլ եկամուտներ</w:t>
        </w:r>
        <w:r>
          <w:rPr>
            <w:noProof/>
            <w:webHidden/>
          </w:rPr>
          <w:tab/>
        </w:r>
        <w:r>
          <w:rPr>
            <w:noProof/>
            <w:webHidden/>
          </w:rPr>
          <w:fldChar w:fldCharType="begin"/>
        </w:r>
        <w:r>
          <w:rPr>
            <w:noProof/>
            <w:webHidden/>
          </w:rPr>
          <w:instrText xml:space="preserve"> PAGEREF _Toc89428306 \h </w:instrText>
        </w:r>
        <w:r>
          <w:rPr>
            <w:noProof/>
            <w:webHidden/>
          </w:rPr>
        </w:r>
        <w:r>
          <w:rPr>
            <w:noProof/>
            <w:webHidden/>
          </w:rPr>
          <w:fldChar w:fldCharType="separate"/>
        </w:r>
        <w:r>
          <w:rPr>
            <w:noProof/>
            <w:webHidden/>
          </w:rPr>
          <w:t>105</w:t>
        </w:r>
        <w:r>
          <w:rPr>
            <w:noProof/>
            <w:webHidden/>
          </w:rPr>
          <w:fldChar w:fldCharType="end"/>
        </w:r>
      </w:hyperlink>
    </w:p>
    <w:p w14:paraId="310A87DB" w14:textId="010BAC81" w:rsidR="00A10D4F" w:rsidRDefault="00A10D4F">
      <w:pPr>
        <w:pStyle w:val="TOC1"/>
        <w:rPr>
          <w:rFonts w:asciiTheme="minorHAnsi" w:eastAsiaTheme="minorEastAsia" w:hAnsiTheme="minorHAnsi" w:cstheme="minorBidi"/>
          <w:b w:val="0"/>
          <w:noProof/>
          <w:szCs w:val="22"/>
          <w:lang w:val="en-US" w:eastAsia="en-US"/>
        </w:rPr>
      </w:pPr>
      <w:hyperlink w:anchor="_Toc89428307" w:history="1">
        <w:r w:rsidRPr="000658D2">
          <w:rPr>
            <w:rStyle w:val="Hyperlink"/>
            <w:noProof/>
          </w:rPr>
          <w:t>Մ</w:t>
        </w:r>
        <w:r w:rsidRPr="000658D2">
          <w:rPr>
            <w:rStyle w:val="Hyperlink"/>
            <w:noProof/>
            <w:lang w:val="af-ZA"/>
          </w:rPr>
          <w:t xml:space="preserve"> </w:t>
        </w:r>
        <w:r w:rsidRPr="000658D2">
          <w:rPr>
            <w:rStyle w:val="Hyperlink"/>
            <w:noProof/>
          </w:rPr>
          <w:t>Ա</w:t>
        </w:r>
        <w:r w:rsidRPr="000658D2">
          <w:rPr>
            <w:rStyle w:val="Hyperlink"/>
            <w:noProof/>
            <w:lang w:val="af-ZA"/>
          </w:rPr>
          <w:t xml:space="preserve"> </w:t>
        </w:r>
        <w:r w:rsidRPr="000658D2">
          <w:rPr>
            <w:rStyle w:val="Hyperlink"/>
            <w:noProof/>
          </w:rPr>
          <w:t>Ս</w:t>
        </w:r>
        <w:r w:rsidRPr="000658D2">
          <w:rPr>
            <w:rStyle w:val="Hyperlink"/>
            <w:noProof/>
            <w:lang w:val="af-ZA"/>
          </w:rPr>
          <w:t xml:space="preserve"> III – </w:t>
        </w:r>
        <w:r w:rsidRPr="000658D2">
          <w:rPr>
            <w:rStyle w:val="Hyperlink"/>
            <w:noProof/>
          </w:rPr>
          <w:t>Բ</w:t>
        </w:r>
        <w:r w:rsidRPr="000658D2">
          <w:rPr>
            <w:rStyle w:val="Hyperlink"/>
            <w:noProof/>
            <w:lang w:val="af-ZA"/>
          </w:rPr>
          <w:t xml:space="preserve">. </w:t>
        </w:r>
        <w:r w:rsidRPr="000658D2">
          <w:rPr>
            <w:rStyle w:val="Hyperlink"/>
            <w:noProof/>
          </w:rPr>
          <w:t>Ծ</w:t>
        </w:r>
        <w:r w:rsidRPr="000658D2">
          <w:rPr>
            <w:rStyle w:val="Hyperlink"/>
            <w:noProof/>
            <w:lang w:val="af-ZA"/>
          </w:rPr>
          <w:t xml:space="preserve"> </w:t>
        </w:r>
        <w:r w:rsidRPr="000658D2">
          <w:rPr>
            <w:rStyle w:val="Hyperlink"/>
            <w:noProof/>
          </w:rPr>
          <w:t>Ա</w:t>
        </w:r>
        <w:r w:rsidRPr="000658D2">
          <w:rPr>
            <w:rStyle w:val="Hyperlink"/>
            <w:noProof/>
            <w:lang w:val="af-ZA"/>
          </w:rPr>
          <w:t xml:space="preserve"> </w:t>
        </w:r>
        <w:r w:rsidRPr="000658D2">
          <w:rPr>
            <w:rStyle w:val="Hyperlink"/>
            <w:noProof/>
          </w:rPr>
          <w:t>Խ</w:t>
        </w:r>
        <w:r w:rsidRPr="000658D2">
          <w:rPr>
            <w:rStyle w:val="Hyperlink"/>
            <w:noProof/>
            <w:lang w:val="af-ZA"/>
          </w:rPr>
          <w:t xml:space="preserve"> </w:t>
        </w:r>
        <w:r w:rsidRPr="000658D2">
          <w:rPr>
            <w:rStyle w:val="Hyperlink"/>
            <w:noProof/>
          </w:rPr>
          <w:t>Ս</w:t>
        </w:r>
        <w:r w:rsidRPr="000658D2">
          <w:rPr>
            <w:rStyle w:val="Hyperlink"/>
            <w:noProof/>
            <w:lang w:val="af-ZA"/>
          </w:rPr>
          <w:t xml:space="preserve"> </w:t>
        </w:r>
        <w:r w:rsidRPr="000658D2">
          <w:rPr>
            <w:rStyle w:val="Hyperlink"/>
            <w:noProof/>
          </w:rPr>
          <w:t>Ե</w:t>
        </w:r>
        <w:r w:rsidRPr="000658D2">
          <w:rPr>
            <w:rStyle w:val="Hyperlink"/>
            <w:noProof/>
            <w:lang w:val="af-ZA"/>
          </w:rPr>
          <w:t xml:space="preserve"> </w:t>
        </w:r>
        <w:r w:rsidRPr="000658D2">
          <w:rPr>
            <w:rStyle w:val="Hyperlink"/>
            <w:noProof/>
          </w:rPr>
          <w:t>Ր</w:t>
        </w:r>
        <w:r w:rsidRPr="000658D2">
          <w:rPr>
            <w:rStyle w:val="Hyperlink"/>
            <w:noProof/>
            <w:lang w:val="af-ZA"/>
          </w:rPr>
          <w:t xml:space="preserve"> </w:t>
        </w:r>
        <w:r w:rsidRPr="000658D2">
          <w:rPr>
            <w:rStyle w:val="Hyperlink"/>
            <w:noProof/>
          </w:rPr>
          <w:t>Ի</w:t>
        </w:r>
        <w:r w:rsidRPr="000658D2">
          <w:rPr>
            <w:rStyle w:val="Hyperlink"/>
            <w:noProof/>
            <w:lang w:val="af-ZA"/>
          </w:rPr>
          <w:t xml:space="preserve">  </w:t>
        </w:r>
        <w:r w:rsidRPr="000658D2">
          <w:rPr>
            <w:rStyle w:val="Hyperlink"/>
            <w:noProof/>
          </w:rPr>
          <w:t>Կ</w:t>
        </w:r>
        <w:r w:rsidRPr="000658D2">
          <w:rPr>
            <w:rStyle w:val="Hyperlink"/>
            <w:noProof/>
            <w:lang w:val="af-ZA"/>
          </w:rPr>
          <w:t xml:space="preserve"> </w:t>
        </w:r>
        <w:r w:rsidRPr="000658D2">
          <w:rPr>
            <w:rStyle w:val="Hyperlink"/>
            <w:noProof/>
          </w:rPr>
          <w:t>Ա</w:t>
        </w:r>
        <w:r w:rsidRPr="000658D2">
          <w:rPr>
            <w:rStyle w:val="Hyperlink"/>
            <w:noProof/>
            <w:lang w:val="af-ZA"/>
          </w:rPr>
          <w:t xml:space="preserve"> </w:t>
        </w:r>
        <w:r w:rsidRPr="000658D2">
          <w:rPr>
            <w:rStyle w:val="Hyperlink"/>
            <w:noProof/>
          </w:rPr>
          <w:t>Ն</w:t>
        </w:r>
        <w:r w:rsidRPr="000658D2">
          <w:rPr>
            <w:rStyle w:val="Hyperlink"/>
            <w:noProof/>
            <w:lang w:val="af-ZA"/>
          </w:rPr>
          <w:t xml:space="preserve"> </w:t>
        </w:r>
        <w:r w:rsidRPr="000658D2">
          <w:rPr>
            <w:rStyle w:val="Hyperlink"/>
            <w:noProof/>
          </w:rPr>
          <w:t>Խ</w:t>
        </w:r>
        <w:r w:rsidRPr="000658D2">
          <w:rPr>
            <w:rStyle w:val="Hyperlink"/>
            <w:noProof/>
            <w:lang w:val="af-ZA"/>
          </w:rPr>
          <w:t xml:space="preserve"> </w:t>
        </w:r>
        <w:r w:rsidRPr="000658D2">
          <w:rPr>
            <w:rStyle w:val="Hyperlink"/>
            <w:noProof/>
          </w:rPr>
          <w:t>Ա</w:t>
        </w:r>
        <w:r w:rsidRPr="000658D2">
          <w:rPr>
            <w:rStyle w:val="Hyperlink"/>
            <w:noProof/>
            <w:lang w:val="af-ZA"/>
          </w:rPr>
          <w:t xml:space="preserve"> </w:t>
        </w:r>
        <w:r w:rsidRPr="000658D2">
          <w:rPr>
            <w:rStyle w:val="Hyperlink"/>
            <w:noProof/>
          </w:rPr>
          <w:t>Տ</w:t>
        </w:r>
        <w:r w:rsidRPr="000658D2">
          <w:rPr>
            <w:rStyle w:val="Hyperlink"/>
            <w:noProof/>
            <w:lang w:val="af-ZA"/>
          </w:rPr>
          <w:t xml:space="preserve"> </w:t>
        </w:r>
        <w:r w:rsidRPr="000658D2">
          <w:rPr>
            <w:rStyle w:val="Hyperlink"/>
            <w:noProof/>
          </w:rPr>
          <w:t>Ե</w:t>
        </w:r>
        <w:r w:rsidRPr="000658D2">
          <w:rPr>
            <w:rStyle w:val="Hyperlink"/>
            <w:noProof/>
            <w:lang w:val="af-ZA"/>
          </w:rPr>
          <w:t xml:space="preserve"> </w:t>
        </w:r>
        <w:r w:rsidRPr="000658D2">
          <w:rPr>
            <w:rStyle w:val="Hyperlink"/>
            <w:noProof/>
          </w:rPr>
          <w:t>Ս</w:t>
        </w:r>
        <w:r w:rsidRPr="000658D2">
          <w:rPr>
            <w:rStyle w:val="Hyperlink"/>
            <w:noProof/>
            <w:lang w:val="af-ZA"/>
          </w:rPr>
          <w:t xml:space="preserve"> </w:t>
        </w:r>
        <w:r w:rsidRPr="000658D2">
          <w:rPr>
            <w:rStyle w:val="Hyperlink"/>
            <w:noProof/>
          </w:rPr>
          <w:t>Ո</w:t>
        </w:r>
        <w:r w:rsidRPr="000658D2">
          <w:rPr>
            <w:rStyle w:val="Hyperlink"/>
            <w:noProof/>
            <w:lang w:val="af-ZA"/>
          </w:rPr>
          <w:t xml:space="preserve"> </w:t>
        </w:r>
        <w:r w:rsidRPr="000658D2">
          <w:rPr>
            <w:rStyle w:val="Hyperlink"/>
            <w:noProof/>
          </w:rPr>
          <w:t>Ւ</w:t>
        </w:r>
        <w:r w:rsidRPr="000658D2">
          <w:rPr>
            <w:rStyle w:val="Hyperlink"/>
            <w:noProof/>
            <w:lang w:val="af-ZA"/>
          </w:rPr>
          <w:t xml:space="preserve"> </w:t>
        </w:r>
        <w:r w:rsidRPr="000658D2">
          <w:rPr>
            <w:rStyle w:val="Hyperlink"/>
            <w:noProof/>
          </w:rPr>
          <w:t>Մ</w:t>
        </w:r>
        <w:r>
          <w:rPr>
            <w:noProof/>
            <w:webHidden/>
          </w:rPr>
          <w:tab/>
        </w:r>
        <w:r>
          <w:rPr>
            <w:noProof/>
            <w:webHidden/>
          </w:rPr>
          <w:fldChar w:fldCharType="begin"/>
        </w:r>
        <w:r>
          <w:rPr>
            <w:noProof/>
            <w:webHidden/>
          </w:rPr>
          <w:instrText xml:space="preserve"> PAGEREF _Toc89428307 \h </w:instrText>
        </w:r>
        <w:r>
          <w:rPr>
            <w:noProof/>
            <w:webHidden/>
          </w:rPr>
        </w:r>
        <w:r>
          <w:rPr>
            <w:noProof/>
            <w:webHidden/>
          </w:rPr>
          <w:fldChar w:fldCharType="separate"/>
        </w:r>
        <w:r>
          <w:rPr>
            <w:noProof/>
            <w:webHidden/>
          </w:rPr>
          <w:t>108</w:t>
        </w:r>
        <w:r>
          <w:rPr>
            <w:noProof/>
            <w:webHidden/>
          </w:rPr>
          <w:fldChar w:fldCharType="end"/>
        </w:r>
      </w:hyperlink>
    </w:p>
    <w:p w14:paraId="7C0ABA37" w14:textId="64CEEA0F" w:rsidR="00A10D4F" w:rsidRDefault="00A10D4F">
      <w:pPr>
        <w:pStyle w:val="TOC3"/>
        <w:rPr>
          <w:rFonts w:asciiTheme="minorHAnsi" w:eastAsiaTheme="minorEastAsia" w:hAnsiTheme="minorHAnsi" w:cstheme="minorBidi"/>
          <w:b w:val="0"/>
          <w:noProof/>
          <w:szCs w:val="22"/>
          <w:lang w:val="en-US" w:eastAsia="en-US"/>
        </w:rPr>
      </w:pPr>
      <w:hyperlink w:anchor="_Toc89428308" w:history="1">
        <w:r w:rsidRPr="000658D2">
          <w:rPr>
            <w:rStyle w:val="Hyperlink"/>
            <w:rFonts w:eastAsia="Calibri" w:cs="GHEA Grapalat"/>
            <w:bCs/>
            <w:noProof/>
            <w:lang w:val="af-ZA" w:eastAsia="en-US"/>
          </w:rPr>
          <w:t>ԾԱԽՍԵՐՆ ԸՍՏ ՏՆՏԵՍԱԳԻՏԱԿԱՆ ԴԱՍԱԿԱՐԳՄԱՆ</w:t>
        </w:r>
        <w:r>
          <w:rPr>
            <w:noProof/>
            <w:webHidden/>
          </w:rPr>
          <w:tab/>
        </w:r>
        <w:r>
          <w:rPr>
            <w:noProof/>
            <w:webHidden/>
          </w:rPr>
          <w:fldChar w:fldCharType="begin"/>
        </w:r>
        <w:r>
          <w:rPr>
            <w:noProof/>
            <w:webHidden/>
          </w:rPr>
          <w:instrText xml:space="preserve"> PAGEREF _Toc89428308 \h </w:instrText>
        </w:r>
        <w:r>
          <w:rPr>
            <w:noProof/>
            <w:webHidden/>
          </w:rPr>
        </w:r>
        <w:r>
          <w:rPr>
            <w:noProof/>
            <w:webHidden/>
          </w:rPr>
          <w:fldChar w:fldCharType="separate"/>
        </w:r>
        <w:r>
          <w:rPr>
            <w:noProof/>
            <w:webHidden/>
          </w:rPr>
          <w:t>109</w:t>
        </w:r>
        <w:r>
          <w:rPr>
            <w:noProof/>
            <w:webHidden/>
          </w:rPr>
          <w:fldChar w:fldCharType="end"/>
        </w:r>
      </w:hyperlink>
    </w:p>
    <w:p w14:paraId="4296D222" w14:textId="79D55603" w:rsidR="00A10D4F" w:rsidRDefault="00A10D4F">
      <w:pPr>
        <w:pStyle w:val="TOC3"/>
        <w:rPr>
          <w:rFonts w:asciiTheme="minorHAnsi" w:eastAsiaTheme="minorEastAsia" w:hAnsiTheme="minorHAnsi" w:cstheme="minorBidi"/>
          <w:b w:val="0"/>
          <w:noProof/>
          <w:szCs w:val="22"/>
          <w:lang w:val="en-US" w:eastAsia="en-US"/>
        </w:rPr>
      </w:pPr>
      <w:hyperlink w:anchor="_Toc89428309" w:history="1">
        <w:r w:rsidRPr="000658D2">
          <w:rPr>
            <w:rStyle w:val="Hyperlink"/>
            <w:rFonts w:eastAsia="Calibri" w:cs="GHEA Grapalat"/>
            <w:bCs/>
            <w:noProof/>
            <w:lang w:val="af-ZA" w:eastAsia="en-US"/>
          </w:rPr>
          <w:t>ԾԱԽՍԵՐՆ ԸՍՏ ԳՈՐԾԱՌԱԿԱՆ ԴԱՍԱԿԱՐԳՄԱՆ</w:t>
        </w:r>
        <w:r>
          <w:rPr>
            <w:noProof/>
            <w:webHidden/>
          </w:rPr>
          <w:tab/>
        </w:r>
        <w:r>
          <w:rPr>
            <w:noProof/>
            <w:webHidden/>
          </w:rPr>
          <w:fldChar w:fldCharType="begin"/>
        </w:r>
        <w:r>
          <w:rPr>
            <w:noProof/>
            <w:webHidden/>
          </w:rPr>
          <w:instrText xml:space="preserve"> PAGEREF _Toc89428309 \h </w:instrText>
        </w:r>
        <w:r>
          <w:rPr>
            <w:noProof/>
            <w:webHidden/>
          </w:rPr>
        </w:r>
        <w:r>
          <w:rPr>
            <w:noProof/>
            <w:webHidden/>
          </w:rPr>
          <w:fldChar w:fldCharType="separate"/>
        </w:r>
        <w:r>
          <w:rPr>
            <w:noProof/>
            <w:webHidden/>
          </w:rPr>
          <w:t>115</w:t>
        </w:r>
        <w:r>
          <w:rPr>
            <w:noProof/>
            <w:webHidden/>
          </w:rPr>
          <w:fldChar w:fldCharType="end"/>
        </w:r>
      </w:hyperlink>
    </w:p>
    <w:p w14:paraId="2F082976" w14:textId="224B3DEB" w:rsidR="00A10D4F" w:rsidRDefault="00A10D4F">
      <w:pPr>
        <w:pStyle w:val="TOC3"/>
        <w:rPr>
          <w:rFonts w:asciiTheme="minorHAnsi" w:eastAsiaTheme="minorEastAsia" w:hAnsiTheme="minorHAnsi" w:cstheme="minorBidi"/>
          <w:b w:val="0"/>
          <w:noProof/>
          <w:szCs w:val="22"/>
          <w:lang w:val="en-US" w:eastAsia="en-US"/>
        </w:rPr>
      </w:pPr>
      <w:hyperlink w:anchor="_Toc89428310" w:history="1">
        <w:r w:rsidRPr="000658D2">
          <w:rPr>
            <w:rStyle w:val="Hyperlink"/>
            <w:rFonts w:eastAsia="Calibri" w:cs="GHEA Grapalat"/>
            <w:bCs/>
            <w:noProof/>
            <w:lang w:val="af-ZA" w:eastAsia="en-US"/>
          </w:rPr>
          <w:t>2022 ԹՎԱԿԱՆԻ ԲՅՈՒՋԵԻ ԱՌԱՋՆԱՀԵՐԹՈՒԹՅՈՒՆՆԵՐԸ</w:t>
        </w:r>
        <w:r>
          <w:rPr>
            <w:noProof/>
            <w:webHidden/>
          </w:rPr>
          <w:tab/>
        </w:r>
        <w:r>
          <w:rPr>
            <w:noProof/>
            <w:webHidden/>
          </w:rPr>
          <w:fldChar w:fldCharType="begin"/>
        </w:r>
        <w:r>
          <w:rPr>
            <w:noProof/>
            <w:webHidden/>
          </w:rPr>
          <w:instrText xml:space="preserve"> PAGEREF _Toc89428310 \h </w:instrText>
        </w:r>
        <w:r>
          <w:rPr>
            <w:noProof/>
            <w:webHidden/>
          </w:rPr>
        </w:r>
        <w:r>
          <w:rPr>
            <w:noProof/>
            <w:webHidden/>
          </w:rPr>
          <w:fldChar w:fldCharType="separate"/>
        </w:r>
        <w:r>
          <w:rPr>
            <w:noProof/>
            <w:webHidden/>
          </w:rPr>
          <w:t>121</w:t>
        </w:r>
        <w:r>
          <w:rPr>
            <w:noProof/>
            <w:webHidden/>
          </w:rPr>
          <w:fldChar w:fldCharType="end"/>
        </w:r>
      </w:hyperlink>
    </w:p>
    <w:p w14:paraId="672B55CD" w14:textId="5F6F4143" w:rsidR="00A10D4F" w:rsidRDefault="00A10D4F">
      <w:pPr>
        <w:pStyle w:val="TOC3"/>
        <w:rPr>
          <w:rFonts w:asciiTheme="minorHAnsi" w:eastAsiaTheme="minorEastAsia" w:hAnsiTheme="minorHAnsi" w:cstheme="minorBidi"/>
          <w:b w:val="0"/>
          <w:noProof/>
          <w:szCs w:val="22"/>
          <w:lang w:val="en-US" w:eastAsia="en-US"/>
        </w:rPr>
      </w:pPr>
      <w:hyperlink w:anchor="_Toc89428311" w:history="1">
        <w:r w:rsidRPr="000658D2">
          <w:rPr>
            <w:rStyle w:val="Hyperlink"/>
            <w:rFonts w:eastAsia="Calibri" w:cs="GHEA Grapalat"/>
            <w:bCs/>
            <w:noProof/>
            <w:lang w:val="af-ZA" w:eastAsia="en-US"/>
          </w:rPr>
          <w:t xml:space="preserve">ԾԱԽՍԵՐՆ ԸՍՏ </w:t>
        </w:r>
        <w:r w:rsidRPr="000658D2">
          <w:rPr>
            <w:rStyle w:val="Hyperlink"/>
            <w:rFonts w:eastAsia="Calibri" w:cs="GHEA Grapalat"/>
            <w:bCs/>
            <w:noProof/>
            <w:lang w:val="hy-AM" w:eastAsia="en-US"/>
          </w:rPr>
          <w:t>ԲՅՈՒՋԵՏԱՅԻՆ ԳԼԽԱՎՈՐ ԿԱՐԳԱԴՐԻՉՆԵՐԻ</w:t>
        </w:r>
        <w:r>
          <w:rPr>
            <w:noProof/>
            <w:webHidden/>
          </w:rPr>
          <w:tab/>
        </w:r>
        <w:r>
          <w:rPr>
            <w:noProof/>
            <w:webHidden/>
          </w:rPr>
          <w:fldChar w:fldCharType="begin"/>
        </w:r>
        <w:r>
          <w:rPr>
            <w:noProof/>
            <w:webHidden/>
          </w:rPr>
          <w:instrText xml:space="preserve"> PAGEREF _Toc89428311 \h </w:instrText>
        </w:r>
        <w:r>
          <w:rPr>
            <w:noProof/>
            <w:webHidden/>
          </w:rPr>
        </w:r>
        <w:r>
          <w:rPr>
            <w:noProof/>
            <w:webHidden/>
          </w:rPr>
          <w:fldChar w:fldCharType="separate"/>
        </w:r>
        <w:r>
          <w:rPr>
            <w:noProof/>
            <w:webHidden/>
          </w:rPr>
          <w:t>122</w:t>
        </w:r>
        <w:r>
          <w:rPr>
            <w:noProof/>
            <w:webHidden/>
          </w:rPr>
          <w:fldChar w:fldCharType="end"/>
        </w:r>
      </w:hyperlink>
    </w:p>
    <w:p w14:paraId="048793AF" w14:textId="22F01205" w:rsidR="00A10D4F" w:rsidRDefault="00A10D4F">
      <w:pPr>
        <w:pStyle w:val="TOC3"/>
        <w:rPr>
          <w:rFonts w:asciiTheme="minorHAnsi" w:eastAsiaTheme="minorEastAsia" w:hAnsiTheme="minorHAnsi" w:cstheme="minorBidi"/>
          <w:b w:val="0"/>
          <w:noProof/>
          <w:szCs w:val="22"/>
          <w:lang w:val="en-US" w:eastAsia="en-US"/>
        </w:rPr>
      </w:pPr>
      <w:hyperlink w:anchor="_Toc89428312" w:history="1">
        <w:r w:rsidRPr="000658D2">
          <w:rPr>
            <w:rStyle w:val="Hyperlink"/>
            <w:rFonts w:eastAsia="Calibri" w:cs="GHEA Grapalat"/>
            <w:noProof/>
            <w:lang w:val="af-ZA" w:eastAsia="en-US"/>
          </w:rPr>
          <w:t>Պետական կառավարման համակարգի մարմինների պահպանման ծախսեր</w:t>
        </w:r>
        <w:r>
          <w:rPr>
            <w:noProof/>
            <w:webHidden/>
          </w:rPr>
          <w:tab/>
        </w:r>
        <w:r>
          <w:rPr>
            <w:noProof/>
            <w:webHidden/>
          </w:rPr>
          <w:fldChar w:fldCharType="begin"/>
        </w:r>
        <w:r>
          <w:rPr>
            <w:noProof/>
            <w:webHidden/>
          </w:rPr>
          <w:instrText xml:space="preserve"> PAGEREF _Toc89428312 \h </w:instrText>
        </w:r>
        <w:r>
          <w:rPr>
            <w:noProof/>
            <w:webHidden/>
          </w:rPr>
        </w:r>
        <w:r>
          <w:rPr>
            <w:noProof/>
            <w:webHidden/>
          </w:rPr>
          <w:fldChar w:fldCharType="separate"/>
        </w:r>
        <w:r>
          <w:rPr>
            <w:noProof/>
            <w:webHidden/>
          </w:rPr>
          <w:t>122</w:t>
        </w:r>
        <w:r>
          <w:rPr>
            <w:noProof/>
            <w:webHidden/>
          </w:rPr>
          <w:fldChar w:fldCharType="end"/>
        </w:r>
      </w:hyperlink>
    </w:p>
    <w:p w14:paraId="60395DDD" w14:textId="06DB673C" w:rsidR="00A10D4F" w:rsidRDefault="00A10D4F">
      <w:pPr>
        <w:pStyle w:val="TOC3"/>
        <w:rPr>
          <w:rFonts w:asciiTheme="minorHAnsi" w:eastAsiaTheme="minorEastAsia" w:hAnsiTheme="minorHAnsi" w:cstheme="minorBidi"/>
          <w:b w:val="0"/>
          <w:noProof/>
          <w:szCs w:val="22"/>
          <w:lang w:val="en-US" w:eastAsia="en-US"/>
        </w:rPr>
      </w:pPr>
      <w:hyperlink w:anchor="_Toc89428313" w:history="1">
        <w:r w:rsidRPr="000658D2">
          <w:rPr>
            <w:rStyle w:val="Hyperlink"/>
            <w:noProof/>
          </w:rPr>
          <w:t>ՀՀ առողջապահության նախարարություն</w:t>
        </w:r>
        <w:r>
          <w:rPr>
            <w:noProof/>
            <w:webHidden/>
          </w:rPr>
          <w:tab/>
        </w:r>
        <w:r>
          <w:rPr>
            <w:noProof/>
            <w:webHidden/>
          </w:rPr>
          <w:fldChar w:fldCharType="begin"/>
        </w:r>
        <w:r>
          <w:rPr>
            <w:noProof/>
            <w:webHidden/>
          </w:rPr>
          <w:instrText xml:space="preserve"> PAGEREF _Toc89428313 \h </w:instrText>
        </w:r>
        <w:r>
          <w:rPr>
            <w:noProof/>
            <w:webHidden/>
          </w:rPr>
        </w:r>
        <w:r>
          <w:rPr>
            <w:noProof/>
            <w:webHidden/>
          </w:rPr>
          <w:fldChar w:fldCharType="separate"/>
        </w:r>
        <w:r>
          <w:rPr>
            <w:noProof/>
            <w:webHidden/>
          </w:rPr>
          <w:t>127</w:t>
        </w:r>
        <w:r>
          <w:rPr>
            <w:noProof/>
            <w:webHidden/>
          </w:rPr>
          <w:fldChar w:fldCharType="end"/>
        </w:r>
      </w:hyperlink>
    </w:p>
    <w:p w14:paraId="13D2D775" w14:textId="2FF9CA2D" w:rsidR="00A10D4F" w:rsidRDefault="00A10D4F">
      <w:pPr>
        <w:pStyle w:val="TOC3"/>
        <w:rPr>
          <w:rFonts w:asciiTheme="minorHAnsi" w:eastAsiaTheme="minorEastAsia" w:hAnsiTheme="minorHAnsi" w:cstheme="minorBidi"/>
          <w:b w:val="0"/>
          <w:noProof/>
          <w:szCs w:val="22"/>
          <w:lang w:val="en-US" w:eastAsia="en-US"/>
        </w:rPr>
      </w:pPr>
      <w:hyperlink w:anchor="_Toc89428314" w:history="1">
        <w:r w:rsidRPr="000658D2">
          <w:rPr>
            <w:rStyle w:val="Hyperlink"/>
            <w:noProof/>
          </w:rPr>
          <w:t>ՀՀ կրթության, գիտության, մշակույթի և սպորտի նախարարություն</w:t>
        </w:r>
        <w:r>
          <w:rPr>
            <w:noProof/>
            <w:webHidden/>
          </w:rPr>
          <w:tab/>
        </w:r>
        <w:r>
          <w:rPr>
            <w:noProof/>
            <w:webHidden/>
          </w:rPr>
          <w:fldChar w:fldCharType="begin"/>
        </w:r>
        <w:r>
          <w:rPr>
            <w:noProof/>
            <w:webHidden/>
          </w:rPr>
          <w:instrText xml:space="preserve"> PAGEREF _Toc89428314 \h </w:instrText>
        </w:r>
        <w:r>
          <w:rPr>
            <w:noProof/>
            <w:webHidden/>
          </w:rPr>
        </w:r>
        <w:r>
          <w:rPr>
            <w:noProof/>
            <w:webHidden/>
          </w:rPr>
          <w:fldChar w:fldCharType="separate"/>
        </w:r>
        <w:r>
          <w:rPr>
            <w:noProof/>
            <w:webHidden/>
          </w:rPr>
          <w:t>131</w:t>
        </w:r>
        <w:r>
          <w:rPr>
            <w:noProof/>
            <w:webHidden/>
          </w:rPr>
          <w:fldChar w:fldCharType="end"/>
        </w:r>
      </w:hyperlink>
    </w:p>
    <w:p w14:paraId="1AA053C3" w14:textId="66B7B343" w:rsidR="00A10D4F" w:rsidRDefault="00A10D4F">
      <w:pPr>
        <w:pStyle w:val="TOC3"/>
        <w:rPr>
          <w:rFonts w:asciiTheme="minorHAnsi" w:eastAsiaTheme="minorEastAsia" w:hAnsiTheme="minorHAnsi" w:cstheme="minorBidi"/>
          <w:b w:val="0"/>
          <w:noProof/>
          <w:szCs w:val="22"/>
          <w:lang w:val="en-US" w:eastAsia="en-US"/>
        </w:rPr>
      </w:pPr>
      <w:hyperlink w:anchor="_Toc89428315" w:history="1">
        <w:r w:rsidRPr="000658D2">
          <w:rPr>
            <w:rStyle w:val="Hyperlink"/>
            <w:noProof/>
          </w:rPr>
          <w:t>ՀՀ աշխատանքի և սոցիալական հարցերի նախարարություն</w:t>
        </w:r>
        <w:r>
          <w:rPr>
            <w:noProof/>
            <w:webHidden/>
          </w:rPr>
          <w:tab/>
        </w:r>
        <w:r>
          <w:rPr>
            <w:noProof/>
            <w:webHidden/>
          </w:rPr>
          <w:fldChar w:fldCharType="begin"/>
        </w:r>
        <w:r>
          <w:rPr>
            <w:noProof/>
            <w:webHidden/>
          </w:rPr>
          <w:instrText xml:space="preserve"> PAGEREF _Toc89428315 \h </w:instrText>
        </w:r>
        <w:r>
          <w:rPr>
            <w:noProof/>
            <w:webHidden/>
          </w:rPr>
        </w:r>
        <w:r>
          <w:rPr>
            <w:noProof/>
            <w:webHidden/>
          </w:rPr>
          <w:fldChar w:fldCharType="separate"/>
        </w:r>
        <w:r>
          <w:rPr>
            <w:noProof/>
            <w:webHidden/>
          </w:rPr>
          <w:t>142</w:t>
        </w:r>
        <w:r>
          <w:rPr>
            <w:noProof/>
            <w:webHidden/>
          </w:rPr>
          <w:fldChar w:fldCharType="end"/>
        </w:r>
      </w:hyperlink>
    </w:p>
    <w:p w14:paraId="13BA126B" w14:textId="6C79F7B2" w:rsidR="00A10D4F" w:rsidRDefault="00A10D4F">
      <w:pPr>
        <w:pStyle w:val="TOC3"/>
        <w:rPr>
          <w:rFonts w:asciiTheme="minorHAnsi" w:eastAsiaTheme="minorEastAsia" w:hAnsiTheme="minorHAnsi" w:cstheme="minorBidi"/>
          <w:b w:val="0"/>
          <w:noProof/>
          <w:szCs w:val="22"/>
          <w:lang w:val="en-US" w:eastAsia="en-US"/>
        </w:rPr>
      </w:pPr>
      <w:hyperlink w:anchor="_Toc89428316" w:history="1">
        <w:r w:rsidRPr="000658D2">
          <w:rPr>
            <w:rStyle w:val="Hyperlink"/>
            <w:noProof/>
          </w:rPr>
          <w:t>ՀՀ տարածքային կառավարման և ենթակառուցվածքների նախարարություն</w:t>
        </w:r>
        <w:r>
          <w:rPr>
            <w:noProof/>
            <w:webHidden/>
          </w:rPr>
          <w:tab/>
        </w:r>
        <w:r>
          <w:rPr>
            <w:noProof/>
            <w:webHidden/>
          </w:rPr>
          <w:fldChar w:fldCharType="begin"/>
        </w:r>
        <w:r>
          <w:rPr>
            <w:noProof/>
            <w:webHidden/>
          </w:rPr>
          <w:instrText xml:space="preserve"> PAGEREF _Toc89428316 \h </w:instrText>
        </w:r>
        <w:r>
          <w:rPr>
            <w:noProof/>
            <w:webHidden/>
          </w:rPr>
        </w:r>
        <w:r>
          <w:rPr>
            <w:noProof/>
            <w:webHidden/>
          </w:rPr>
          <w:fldChar w:fldCharType="separate"/>
        </w:r>
        <w:r>
          <w:rPr>
            <w:noProof/>
            <w:webHidden/>
          </w:rPr>
          <w:t>147</w:t>
        </w:r>
        <w:r>
          <w:rPr>
            <w:noProof/>
            <w:webHidden/>
          </w:rPr>
          <w:fldChar w:fldCharType="end"/>
        </w:r>
      </w:hyperlink>
    </w:p>
    <w:p w14:paraId="64615DA6" w14:textId="1098FBAA" w:rsidR="00A10D4F" w:rsidRDefault="00A10D4F">
      <w:pPr>
        <w:pStyle w:val="TOC3"/>
        <w:rPr>
          <w:rFonts w:asciiTheme="minorHAnsi" w:eastAsiaTheme="minorEastAsia" w:hAnsiTheme="minorHAnsi" w:cstheme="minorBidi"/>
          <w:b w:val="0"/>
          <w:noProof/>
          <w:szCs w:val="22"/>
          <w:lang w:val="en-US" w:eastAsia="en-US"/>
        </w:rPr>
      </w:pPr>
      <w:hyperlink w:anchor="_Toc89428317" w:history="1">
        <w:r w:rsidRPr="000658D2">
          <w:rPr>
            <w:rStyle w:val="Hyperlink"/>
            <w:noProof/>
          </w:rPr>
          <w:t>ՀՀ բարձր տեխնոլոգիական արդյունաբերության նախարարություն</w:t>
        </w:r>
        <w:r>
          <w:rPr>
            <w:noProof/>
            <w:webHidden/>
          </w:rPr>
          <w:tab/>
        </w:r>
        <w:r>
          <w:rPr>
            <w:noProof/>
            <w:webHidden/>
          </w:rPr>
          <w:fldChar w:fldCharType="begin"/>
        </w:r>
        <w:r>
          <w:rPr>
            <w:noProof/>
            <w:webHidden/>
          </w:rPr>
          <w:instrText xml:space="preserve"> PAGEREF _Toc89428317 \h </w:instrText>
        </w:r>
        <w:r>
          <w:rPr>
            <w:noProof/>
            <w:webHidden/>
          </w:rPr>
        </w:r>
        <w:r>
          <w:rPr>
            <w:noProof/>
            <w:webHidden/>
          </w:rPr>
          <w:fldChar w:fldCharType="separate"/>
        </w:r>
        <w:r>
          <w:rPr>
            <w:noProof/>
            <w:webHidden/>
          </w:rPr>
          <w:t>155</w:t>
        </w:r>
        <w:r>
          <w:rPr>
            <w:noProof/>
            <w:webHidden/>
          </w:rPr>
          <w:fldChar w:fldCharType="end"/>
        </w:r>
      </w:hyperlink>
    </w:p>
    <w:p w14:paraId="06528DCA" w14:textId="7CFE1E24" w:rsidR="00A10D4F" w:rsidRDefault="00A10D4F">
      <w:pPr>
        <w:pStyle w:val="TOC3"/>
        <w:rPr>
          <w:rFonts w:asciiTheme="minorHAnsi" w:eastAsiaTheme="minorEastAsia" w:hAnsiTheme="minorHAnsi" w:cstheme="minorBidi"/>
          <w:b w:val="0"/>
          <w:noProof/>
          <w:szCs w:val="22"/>
          <w:lang w:val="en-US" w:eastAsia="en-US"/>
        </w:rPr>
      </w:pPr>
      <w:hyperlink w:anchor="_Toc89428318" w:history="1">
        <w:r w:rsidRPr="000658D2">
          <w:rPr>
            <w:rStyle w:val="Hyperlink"/>
            <w:rFonts w:cs="Arial"/>
            <w:noProof/>
            <w:lang w:val="hy-AM" w:eastAsia="en-US"/>
          </w:rPr>
          <w:t>ՀՀ շրջակա միջավայրի նախարարություն</w:t>
        </w:r>
        <w:r>
          <w:rPr>
            <w:noProof/>
            <w:webHidden/>
          </w:rPr>
          <w:tab/>
        </w:r>
        <w:r>
          <w:rPr>
            <w:noProof/>
            <w:webHidden/>
          </w:rPr>
          <w:fldChar w:fldCharType="begin"/>
        </w:r>
        <w:r>
          <w:rPr>
            <w:noProof/>
            <w:webHidden/>
          </w:rPr>
          <w:instrText xml:space="preserve"> PAGEREF _Toc89428318 \h </w:instrText>
        </w:r>
        <w:r>
          <w:rPr>
            <w:noProof/>
            <w:webHidden/>
          </w:rPr>
        </w:r>
        <w:r>
          <w:rPr>
            <w:noProof/>
            <w:webHidden/>
          </w:rPr>
          <w:fldChar w:fldCharType="separate"/>
        </w:r>
        <w:r>
          <w:rPr>
            <w:noProof/>
            <w:webHidden/>
          </w:rPr>
          <w:t>156</w:t>
        </w:r>
        <w:r>
          <w:rPr>
            <w:noProof/>
            <w:webHidden/>
          </w:rPr>
          <w:fldChar w:fldCharType="end"/>
        </w:r>
      </w:hyperlink>
    </w:p>
    <w:p w14:paraId="281621C0" w14:textId="44971829" w:rsidR="00A10D4F" w:rsidRDefault="00A10D4F">
      <w:pPr>
        <w:pStyle w:val="TOC3"/>
        <w:rPr>
          <w:rFonts w:asciiTheme="minorHAnsi" w:eastAsiaTheme="minorEastAsia" w:hAnsiTheme="minorHAnsi" w:cstheme="minorBidi"/>
          <w:b w:val="0"/>
          <w:noProof/>
          <w:szCs w:val="22"/>
          <w:lang w:val="en-US" w:eastAsia="en-US"/>
        </w:rPr>
      </w:pPr>
      <w:hyperlink w:anchor="_Toc89428319" w:history="1">
        <w:r w:rsidRPr="000658D2">
          <w:rPr>
            <w:rStyle w:val="Hyperlink"/>
            <w:rFonts w:cs="Arial"/>
            <w:noProof/>
            <w:lang w:val="hy-AM" w:eastAsia="en-US"/>
          </w:rPr>
          <w:t>ՀՀ էկոնոմիկայի նախարարություն</w:t>
        </w:r>
        <w:r>
          <w:rPr>
            <w:noProof/>
            <w:webHidden/>
          </w:rPr>
          <w:tab/>
        </w:r>
        <w:r>
          <w:rPr>
            <w:noProof/>
            <w:webHidden/>
          </w:rPr>
          <w:fldChar w:fldCharType="begin"/>
        </w:r>
        <w:r>
          <w:rPr>
            <w:noProof/>
            <w:webHidden/>
          </w:rPr>
          <w:instrText xml:space="preserve"> PAGEREF _Toc89428319 \h </w:instrText>
        </w:r>
        <w:r>
          <w:rPr>
            <w:noProof/>
            <w:webHidden/>
          </w:rPr>
        </w:r>
        <w:r>
          <w:rPr>
            <w:noProof/>
            <w:webHidden/>
          </w:rPr>
          <w:fldChar w:fldCharType="separate"/>
        </w:r>
        <w:r>
          <w:rPr>
            <w:noProof/>
            <w:webHidden/>
          </w:rPr>
          <w:t>158</w:t>
        </w:r>
        <w:r>
          <w:rPr>
            <w:noProof/>
            <w:webHidden/>
          </w:rPr>
          <w:fldChar w:fldCharType="end"/>
        </w:r>
      </w:hyperlink>
    </w:p>
    <w:p w14:paraId="74199265" w14:textId="4E6504FA" w:rsidR="00A10D4F" w:rsidRDefault="00A10D4F">
      <w:pPr>
        <w:pStyle w:val="TOC3"/>
        <w:rPr>
          <w:rFonts w:asciiTheme="minorHAnsi" w:eastAsiaTheme="minorEastAsia" w:hAnsiTheme="minorHAnsi" w:cstheme="minorBidi"/>
          <w:b w:val="0"/>
          <w:noProof/>
          <w:szCs w:val="22"/>
          <w:lang w:val="en-US" w:eastAsia="en-US"/>
        </w:rPr>
      </w:pPr>
      <w:hyperlink w:anchor="_Toc89428320" w:history="1">
        <w:r w:rsidRPr="000658D2">
          <w:rPr>
            <w:rStyle w:val="Hyperlink"/>
            <w:rFonts w:cs="Arial"/>
            <w:noProof/>
            <w:lang w:val="hy-AM" w:eastAsia="en-US"/>
          </w:rPr>
          <w:t xml:space="preserve">ՀՀ </w:t>
        </w:r>
        <w:r w:rsidRPr="000658D2">
          <w:rPr>
            <w:rStyle w:val="Hyperlink"/>
            <w:rFonts w:cs="Arial"/>
            <w:noProof/>
            <w:lang w:eastAsia="en-US"/>
          </w:rPr>
          <w:t>ֆինանսների</w:t>
        </w:r>
        <w:r w:rsidRPr="000658D2">
          <w:rPr>
            <w:rStyle w:val="Hyperlink"/>
            <w:rFonts w:cs="Arial"/>
            <w:noProof/>
            <w:lang w:val="hy-AM" w:eastAsia="en-US"/>
          </w:rPr>
          <w:t xml:space="preserve"> նախարարություն</w:t>
        </w:r>
        <w:r>
          <w:rPr>
            <w:noProof/>
            <w:webHidden/>
          </w:rPr>
          <w:tab/>
        </w:r>
        <w:r>
          <w:rPr>
            <w:noProof/>
            <w:webHidden/>
          </w:rPr>
          <w:fldChar w:fldCharType="begin"/>
        </w:r>
        <w:r>
          <w:rPr>
            <w:noProof/>
            <w:webHidden/>
          </w:rPr>
          <w:instrText xml:space="preserve"> PAGEREF _Toc89428320 \h </w:instrText>
        </w:r>
        <w:r>
          <w:rPr>
            <w:noProof/>
            <w:webHidden/>
          </w:rPr>
        </w:r>
        <w:r>
          <w:rPr>
            <w:noProof/>
            <w:webHidden/>
          </w:rPr>
          <w:fldChar w:fldCharType="separate"/>
        </w:r>
        <w:r>
          <w:rPr>
            <w:noProof/>
            <w:webHidden/>
          </w:rPr>
          <w:t>162</w:t>
        </w:r>
        <w:r>
          <w:rPr>
            <w:noProof/>
            <w:webHidden/>
          </w:rPr>
          <w:fldChar w:fldCharType="end"/>
        </w:r>
      </w:hyperlink>
    </w:p>
    <w:p w14:paraId="1412301E" w14:textId="70390588" w:rsidR="00A10D4F" w:rsidRDefault="00A10D4F">
      <w:pPr>
        <w:pStyle w:val="TOC3"/>
        <w:rPr>
          <w:rFonts w:asciiTheme="minorHAnsi" w:eastAsiaTheme="minorEastAsia" w:hAnsiTheme="minorHAnsi" w:cstheme="minorBidi"/>
          <w:b w:val="0"/>
          <w:noProof/>
          <w:szCs w:val="22"/>
          <w:lang w:val="en-US" w:eastAsia="en-US"/>
        </w:rPr>
      </w:pPr>
      <w:hyperlink w:anchor="_Toc89428321" w:history="1">
        <w:r w:rsidRPr="000658D2">
          <w:rPr>
            <w:rStyle w:val="Hyperlink"/>
            <w:rFonts w:cs="Arial"/>
            <w:noProof/>
            <w:lang w:val="hy-AM" w:eastAsia="en-US"/>
          </w:rPr>
          <w:t>ՀՀ արտակարգ իրավիճակների նախարարություն</w:t>
        </w:r>
        <w:r>
          <w:rPr>
            <w:noProof/>
            <w:webHidden/>
          </w:rPr>
          <w:tab/>
        </w:r>
        <w:r>
          <w:rPr>
            <w:noProof/>
            <w:webHidden/>
          </w:rPr>
          <w:fldChar w:fldCharType="begin"/>
        </w:r>
        <w:r>
          <w:rPr>
            <w:noProof/>
            <w:webHidden/>
          </w:rPr>
          <w:instrText xml:space="preserve"> PAGEREF _Toc89428321 \h </w:instrText>
        </w:r>
        <w:r>
          <w:rPr>
            <w:noProof/>
            <w:webHidden/>
          </w:rPr>
        </w:r>
        <w:r>
          <w:rPr>
            <w:noProof/>
            <w:webHidden/>
          </w:rPr>
          <w:fldChar w:fldCharType="separate"/>
        </w:r>
        <w:r>
          <w:rPr>
            <w:noProof/>
            <w:webHidden/>
          </w:rPr>
          <w:t>163</w:t>
        </w:r>
        <w:r>
          <w:rPr>
            <w:noProof/>
            <w:webHidden/>
          </w:rPr>
          <w:fldChar w:fldCharType="end"/>
        </w:r>
      </w:hyperlink>
    </w:p>
    <w:p w14:paraId="18CCB974" w14:textId="526A808C" w:rsidR="00A10D4F" w:rsidRDefault="00A10D4F">
      <w:pPr>
        <w:pStyle w:val="TOC3"/>
        <w:rPr>
          <w:rFonts w:asciiTheme="minorHAnsi" w:eastAsiaTheme="minorEastAsia" w:hAnsiTheme="minorHAnsi" w:cstheme="minorBidi"/>
          <w:b w:val="0"/>
          <w:noProof/>
          <w:szCs w:val="22"/>
          <w:lang w:val="en-US" w:eastAsia="en-US"/>
        </w:rPr>
      </w:pPr>
      <w:hyperlink w:anchor="_Toc89428322" w:history="1">
        <w:r w:rsidRPr="000658D2">
          <w:rPr>
            <w:rStyle w:val="Hyperlink"/>
            <w:rFonts w:cs="Arial"/>
            <w:noProof/>
            <w:lang w:val="hy-AM" w:eastAsia="en-US"/>
          </w:rPr>
          <w:t>ՀՀ արդարադատության նախարարություն</w:t>
        </w:r>
        <w:r>
          <w:rPr>
            <w:noProof/>
            <w:webHidden/>
          </w:rPr>
          <w:tab/>
        </w:r>
        <w:r>
          <w:rPr>
            <w:noProof/>
            <w:webHidden/>
          </w:rPr>
          <w:fldChar w:fldCharType="begin"/>
        </w:r>
        <w:r>
          <w:rPr>
            <w:noProof/>
            <w:webHidden/>
          </w:rPr>
          <w:instrText xml:space="preserve"> PAGEREF _Toc89428322 \h </w:instrText>
        </w:r>
        <w:r>
          <w:rPr>
            <w:noProof/>
            <w:webHidden/>
          </w:rPr>
        </w:r>
        <w:r>
          <w:rPr>
            <w:noProof/>
            <w:webHidden/>
          </w:rPr>
          <w:fldChar w:fldCharType="separate"/>
        </w:r>
        <w:r>
          <w:rPr>
            <w:noProof/>
            <w:webHidden/>
          </w:rPr>
          <w:t>164</w:t>
        </w:r>
        <w:r>
          <w:rPr>
            <w:noProof/>
            <w:webHidden/>
          </w:rPr>
          <w:fldChar w:fldCharType="end"/>
        </w:r>
      </w:hyperlink>
    </w:p>
    <w:p w14:paraId="00F366B8" w14:textId="4E99566D" w:rsidR="00A10D4F" w:rsidRDefault="00A10D4F">
      <w:pPr>
        <w:pStyle w:val="TOC3"/>
        <w:rPr>
          <w:rFonts w:asciiTheme="minorHAnsi" w:eastAsiaTheme="minorEastAsia" w:hAnsiTheme="minorHAnsi" w:cstheme="minorBidi"/>
          <w:b w:val="0"/>
          <w:noProof/>
          <w:szCs w:val="22"/>
          <w:lang w:val="en-US" w:eastAsia="en-US"/>
        </w:rPr>
      </w:pPr>
      <w:hyperlink w:anchor="_Toc89428323" w:history="1">
        <w:r w:rsidRPr="000658D2">
          <w:rPr>
            <w:rStyle w:val="Hyperlink"/>
            <w:rFonts w:cs="Arial"/>
            <w:noProof/>
            <w:lang w:val="hy-AM" w:eastAsia="en-US"/>
          </w:rPr>
          <w:t>ՀՀ արտաքին գործերի նախարարություն</w:t>
        </w:r>
        <w:r>
          <w:rPr>
            <w:noProof/>
            <w:webHidden/>
          </w:rPr>
          <w:tab/>
        </w:r>
        <w:r>
          <w:rPr>
            <w:noProof/>
            <w:webHidden/>
          </w:rPr>
          <w:fldChar w:fldCharType="begin"/>
        </w:r>
        <w:r>
          <w:rPr>
            <w:noProof/>
            <w:webHidden/>
          </w:rPr>
          <w:instrText xml:space="preserve"> PAGEREF _Toc89428323 \h </w:instrText>
        </w:r>
        <w:r>
          <w:rPr>
            <w:noProof/>
            <w:webHidden/>
          </w:rPr>
        </w:r>
        <w:r>
          <w:rPr>
            <w:noProof/>
            <w:webHidden/>
          </w:rPr>
          <w:fldChar w:fldCharType="separate"/>
        </w:r>
        <w:r>
          <w:rPr>
            <w:noProof/>
            <w:webHidden/>
          </w:rPr>
          <w:t>167</w:t>
        </w:r>
        <w:r>
          <w:rPr>
            <w:noProof/>
            <w:webHidden/>
          </w:rPr>
          <w:fldChar w:fldCharType="end"/>
        </w:r>
      </w:hyperlink>
    </w:p>
    <w:p w14:paraId="14B85093" w14:textId="649A050E" w:rsidR="00A10D4F" w:rsidRDefault="00A10D4F">
      <w:pPr>
        <w:pStyle w:val="TOC3"/>
        <w:rPr>
          <w:rFonts w:asciiTheme="minorHAnsi" w:eastAsiaTheme="minorEastAsia" w:hAnsiTheme="minorHAnsi" w:cstheme="minorBidi"/>
          <w:b w:val="0"/>
          <w:noProof/>
          <w:szCs w:val="22"/>
          <w:lang w:val="en-US" w:eastAsia="en-US"/>
        </w:rPr>
      </w:pPr>
      <w:hyperlink w:anchor="_Toc89428324" w:history="1">
        <w:r w:rsidRPr="000658D2">
          <w:rPr>
            <w:rStyle w:val="Hyperlink"/>
            <w:rFonts w:cs="Arial"/>
            <w:noProof/>
            <w:lang w:val="hy-AM" w:eastAsia="en-US"/>
          </w:rPr>
          <w:t>ՀՀ պաշտպանության նախարարություն</w:t>
        </w:r>
        <w:r>
          <w:rPr>
            <w:noProof/>
            <w:webHidden/>
          </w:rPr>
          <w:tab/>
        </w:r>
        <w:r>
          <w:rPr>
            <w:noProof/>
            <w:webHidden/>
          </w:rPr>
          <w:fldChar w:fldCharType="begin"/>
        </w:r>
        <w:r>
          <w:rPr>
            <w:noProof/>
            <w:webHidden/>
          </w:rPr>
          <w:instrText xml:space="preserve"> PAGEREF _Toc89428324 \h </w:instrText>
        </w:r>
        <w:r>
          <w:rPr>
            <w:noProof/>
            <w:webHidden/>
          </w:rPr>
        </w:r>
        <w:r>
          <w:rPr>
            <w:noProof/>
            <w:webHidden/>
          </w:rPr>
          <w:fldChar w:fldCharType="separate"/>
        </w:r>
        <w:r>
          <w:rPr>
            <w:noProof/>
            <w:webHidden/>
          </w:rPr>
          <w:t>168</w:t>
        </w:r>
        <w:r>
          <w:rPr>
            <w:noProof/>
            <w:webHidden/>
          </w:rPr>
          <w:fldChar w:fldCharType="end"/>
        </w:r>
      </w:hyperlink>
    </w:p>
    <w:p w14:paraId="7DF7E5ED" w14:textId="24828ABC" w:rsidR="00A10D4F" w:rsidRDefault="00A10D4F">
      <w:pPr>
        <w:pStyle w:val="TOC3"/>
        <w:rPr>
          <w:rFonts w:asciiTheme="minorHAnsi" w:eastAsiaTheme="minorEastAsia" w:hAnsiTheme="minorHAnsi" w:cstheme="minorBidi"/>
          <w:b w:val="0"/>
          <w:noProof/>
          <w:szCs w:val="22"/>
          <w:lang w:val="en-US" w:eastAsia="en-US"/>
        </w:rPr>
      </w:pPr>
      <w:hyperlink w:anchor="_Toc89428325" w:history="1">
        <w:r w:rsidRPr="000658D2">
          <w:rPr>
            <w:rStyle w:val="Hyperlink"/>
            <w:rFonts w:cs="Arial"/>
            <w:noProof/>
            <w:lang w:val="hy-AM" w:eastAsia="en-US"/>
          </w:rPr>
          <w:t>ՀՀ Ոստիկանություն</w:t>
        </w:r>
        <w:r>
          <w:rPr>
            <w:noProof/>
            <w:webHidden/>
          </w:rPr>
          <w:tab/>
        </w:r>
        <w:r>
          <w:rPr>
            <w:noProof/>
            <w:webHidden/>
          </w:rPr>
          <w:fldChar w:fldCharType="begin"/>
        </w:r>
        <w:r>
          <w:rPr>
            <w:noProof/>
            <w:webHidden/>
          </w:rPr>
          <w:instrText xml:space="preserve"> PAGEREF _Toc89428325 \h </w:instrText>
        </w:r>
        <w:r>
          <w:rPr>
            <w:noProof/>
            <w:webHidden/>
          </w:rPr>
        </w:r>
        <w:r>
          <w:rPr>
            <w:noProof/>
            <w:webHidden/>
          </w:rPr>
          <w:fldChar w:fldCharType="separate"/>
        </w:r>
        <w:r>
          <w:rPr>
            <w:noProof/>
            <w:webHidden/>
          </w:rPr>
          <w:t>170</w:t>
        </w:r>
        <w:r>
          <w:rPr>
            <w:noProof/>
            <w:webHidden/>
          </w:rPr>
          <w:fldChar w:fldCharType="end"/>
        </w:r>
      </w:hyperlink>
    </w:p>
    <w:p w14:paraId="2A3CA83A" w14:textId="0E413C78" w:rsidR="00A10D4F" w:rsidRDefault="00A10D4F">
      <w:pPr>
        <w:pStyle w:val="TOC3"/>
        <w:rPr>
          <w:rFonts w:asciiTheme="minorHAnsi" w:eastAsiaTheme="minorEastAsia" w:hAnsiTheme="minorHAnsi" w:cstheme="minorBidi"/>
          <w:b w:val="0"/>
          <w:noProof/>
          <w:szCs w:val="22"/>
          <w:lang w:val="en-US" w:eastAsia="en-US"/>
        </w:rPr>
      </w:pPr>
      <w:hyperlink w:anchor="_Toc89428326" w:history="1">
        <w:r w:rsidRPr="000658D2">
          <w:rPr>
            <w:rStyle w:val="Hyperlink"/>
            <w:rFonts w:cs="Arial"/>
            <w:noProof/>
            <w:lang w:val="hy-AM" w:eastAsia="en-US"/>
          </w:rPr>
          <w:t>ՀՀ ազգային անվտանգության ծառայություն</w:t>
        </w:r>
        <w:r>
          <w:rPr>
            <w:noProof/>
            <w:webHidden/>
          </w:rPr>
          <w:tab/>
        </w:r>
        <w:r>
          <w:rPr>
            <w:noProof/>
            <w:webHidden/>
          </w:rPr>
          <w:fldChar w:fldCharType="begin"/>
        </w:r>
        <w:r>
          <w:rPr>
            <w:noProof/>
            <w:webHidden/>
          </w:rPr>
          <w:instrText xml:space="preserve"> PAGEREF _Toc89428326 \h </w:instrText>
        </w:r>
        <w:r>
          <w:rPr>
            <w:noProof/>
            <w:webHidden/>
          </w:rPr>
        </w:r>
        <w:r>
          <w:rPr>
            <w:noProof/>
            <w:webHidden/>
          </w:rPr>
          <w:fldChar w:fldCharType="separate"/>
        </w:r>
        <w:r>
          <w:rPr>
            <w:noProof/>
            <w:webHidden/>
          </w:rPr>
          <w:t>171</w:t>
        </w:r>
        <w:r>
          <w:rPr>
            <w:noProof/>
            <w:webHidden/>
          </w:rPr>
          <w:fldChar w:fldCharType="end"/>
        </w:r>
      </w:hyperlink>
    </w:p>
    <w:p w14:paraId="740E8352" w14:textId="3AE19072" w:rsidR="00A10D4F" w:rsidRDefault="00A10D4F">
      <w:pPr>
        <w:pStyle w:val="TOC3"/>
        <w:rPr>
          <w:rFonts w:asciiTheme="minorHAnsi" w:eastAsiaTheme="minorEastAsia" w:hAnsiTheme="minorHAnsi" w:cstheme="minorBidi"/>
          <w:b w:val="0"/>
          <w:noProof/>
          <w:szCs w:val="22"/>
          <w:lang w:val="en-US" w:eastAsia="en-US"/>
        </w:rPr>
      </w:pPr>
      <w:hyperlink w:anchor="_Toc89428327" w:history="1">
        <w:r w:rsidRPr="000658D2">
          <w:rPr>
            <w:rStyle w:val="Hyperlink"/>
            <w:rFonts w:cs="Arial"/>
            <w:noProof/>
            <w:lang w:val="hy-AM" w:eastAsia="en-US"/>
          </w:rPr>
          <w:t>ՀՀ վարչապետի աշխատակազմ</w:t>
        </w:r>
        <w:r>
          <w:rPr>
            <w:noProof/>
            <w:webHidden/>
          </w:rPr>
          <w:tab/>
        </w:r>
        <w:r>
          <w:rPr>
            <w:noProof/>
            <w:webHidden/>
          </w:rPr>
          <w:fldChar w:fldCharType="begin"/>
        </w:r>
        <w:r>
          <w:rPr>
            <w:noProof/>
            <w:webHidden/>
          </w:rPr>
          <w:instrText xml:space="preserve"> PAGEREF _Toc89428327 \h </w:instrText>
        </w:r>
        <w:r>
          <w:rPr>
            <w:noProof/>
            <w:webHidden/>
          </w:rPr>
        </w:r>
        <w:r>
          <w:rPr>
            <w:noProof/>
            <w:webHidden/>
          </w:rPr>
          <w:fldChar w:fldCharType="separate"/>
        </w:r>
        <w:r>
          <w:rPr>
            <w:noProof/>
            <w:webHidden/>
          </w:rPr>
          <w:t>173</w:t>
        </w:r>
        <w:r>
          <w:rPr>
            <w:noProof/>
            <w:webHidden/>
          </w:rPr>
          <w:fldChar w:fldCharType="end"/>
        </w:r>
      </w:hyperlink>
    </w:p>
    <w:p w14:paraId="6BD0E137" w14:textId="1FF41CF8" w:rsidR="00A10D4F" w:rsidRDefault="00A10D4F">
      <w:pPr>
        <w:pStyle w:val="TOC3"/>
        <w:rPr>
          <w:rFonts w:asciiTheme="minorHAnsi" w:eastAsiaTheme="minorEastAsia" w:hAnsiTheme="minorHAnsi" w:cstheme="minorBidi"/>
          <w:b w:val="0"/>
          <w:noProof/>
          <w:szCs w:val="22"/>
          <w:lang w:val="en-US" w:eastAsia="en-US"/>
        </w:rPr>
      </w:pPr>
      <w:hyperlink w:anchor="_Toc89428328" w:history="1">
        <w:r w:rsidRPr="000658D2">
          <w:rPr>
            <w:rStyle w:val="Hyperlink"/>
            <w:rFonts w:cs="Arial"/>
            <w:noProof/>
            <w:lang w:val="hy-AM" w:eastAsia="en-US"/>
          </w:rPr>
          <w:t>ՀՀ պետական եկամուտների կոմիտե</w:t>
        </w:r>
        <w:r>
          <w:rPr>
            <w:noProof/>
            <w:webHidden/>
          </w:rPr>
          <w:tab/>
        </w:r>
        <w:r>
          <w:rPr>
            <w:noProof/>
            <w:webHidden/>
          </w:rPr>
          <w:fldChar w:fldCharType="begin"/>
        </w:r>
        <w:r>
          <w:rPr>
            <w:noProof/>
            <w:webHidden/>
          </w:rPr>
          <w:instrText xml:space="preserve"> PAGEREF _Toc89428328 \h </w:instrText>
        </w:r>
        <w:r>
          <w:rPr>
            <w:noProof/>
            <w:webHidden/>
          </w:rPr>
        </w:r>
        <w:r>
          <w:rPr>
            <w:noProof/>
            <w:webHidden/>
          </w:rPr>
          <w:fldChar w:fldCharType="separate"/>
        </w:r>
        <w:r>
          <w:rPr>
            <w:noProof/>
            <w:webHidden/>
          </w:rPr>
          <w:t>176</w:t>
        </w:r>
        <w:r>
          <w:rPr>
            <w:noProof/>
            <w:webHidden/>
          </w:rPr>
          <w:fldChar w:fldCharType="end"/>
        </w:r>
      </w:hyperlink>
    </w:p>
    <w:p w14:paraId="475CE1B5" w14:textId="029C74A4" w:rsidR="00A10D4F" w:rsidRDefault="00A10D4F">
      <w:pPr>
        <w:pStyle w:val="TOC3"/>
        <w:rPr>
          <w:rFonts w:asciiTheme="minorHAnsi" w:eastAsiaTheme="minorEastAsia" w:hAnsiTheme="minorHAnsi" w:cstheme="minorBidi"/>
          <w:b w:val="0"/>
          <w:noProof/>
          <w:szCs w:val="22"/>
          <w:lang w:val="en-US" w:eastAsia="en-US"/>
        </w:rPr>
      </w:pPr>
      <w:hyperlink w:anchor="_Toc89428329" w:history="1">
        <w:r w:rsidRPr="000658D2">
          <w:rPr>
            <w:rStyle w:val="Hyperlink"/>
            <w:rFonts w:cs="Arial"/>
            <w:noProof/>
            <w:lang w:val="hy-AM" w:eastAsia="en-US"/>
          </w:rPr>
          <w:t>ՀՀ կադաստրի կոմիտե</w:t>
        </w:r>
        <w:r>
          <w:rPr>
            <w:noProof/>
            <w:webHidden/>
          </w:rPr>
          <w:tab/>
        </w:r>
        <w:r>
          <w:rPr>
            <w:noProof/>
            <w:webHidden/>
          </w:rPr>
          <w:fldChar w:fldCharType="begin"/>
        </w:r>
        <w:r>
          <w:rPr>
            <w:noProof/>
            <w:webHidden/>
          </w:rPr>
          <w:instrText xml:space="preserve"> PAGEREF _Toc89428329 \h </w:instrText>
        </w:r>
        <w:r>
          <w:rPr>
            <w:noProof/>
            <w:webHidden/>
          </w:rPr>
        </w:r>
        <w:r>
          <w:rPr>
            <w:noProof/>
            <w:webHidden/>
          </w:rPr>
          <w:fldChar w:fldCharType="separate"/>
        </w:r>
        <w:r>
          <w:rPr>
            <w:noProof/>
            <w:webHidden/>
          </w:rPr>
          <w:t>177</w:t>
        </w:r>
        <w:r>
          <w:rPr>
            <w:noProof/>
            <w:webHidden/>
          </w:rPr>
          <w:fldChar w:fldCharType="end"/>
        </w:r>
      </w:hyperlink>
    </w:p>
    <w:p w14:paraId="514BB7CB" w14:textId="1348FA92" w:rsidR="00A10D4F" w:rsidRDefault="00A10D4F">
      <w:pPr>
        <w:pStyle w:val="TOC3"/>
        <w:rPr>
          <w:rFonts w:asciiTheme="minorHAnsi" w:eastAsiaTheme="minorEastAsia" w:hAnsiTheme="minorHAnsi" w:cstheme="minorBidi"/>
          <w:b w:val="0"/>
          <w:noProof/>
          <w:szCs w:val="22"/>
          <w:lang w:val="en-US" w:eastAsia="en-US"/>
        </w:rPr>
      </w:pPr>
      <w:hyperlink w:anchor="_Toc89428330" w:history="1">
        <w:r w:rsidRPr="000658D2">
          <w:rPr>
            <w:rStyle w:val="Hyperlink"/>
            <w:rFonts w:cs="Arial"/>
            <w:noProof/>
            <w:lang w:val="hy-AM" w:eastAsia="en-US"/>
          </w:rPr>
          <w:t>ՀՀ վիճակագրական կոմիտե</w:t>
        </w:r>
        <w:r>
          <w:rPr>
            <w:noProof/>
            <w:webHidden/>
          </w:rPr>
          <w:tab/>
        </w:r>
        <w:r>
          <w:rPr>
            <w:noProof/>
            <w:webHidden/>
          </w:rPr>
          <w:fldChar w:fldCharType="begin"/>
        </w:r>
        <w:r>
          <w:rPr>
            <w:noProof/>
            <w:webHidden/>
          </w:rPr>
          <w:instrText xml:space="preserve"> PAGEREF _Toc89428330 \h </w:instrText>
        </w:r>
        <w:r>
          <w:rPr>
            <w:noProof/>
            <w:webHidden/>
          </w:rPr>
        </w:r>
        <w:r>
          <w:rPr>
            <w:noProof/>
            <w:webHidden/>
          </w:rPr>
          <w:fldChar w:fldCharType="separate"/>
        </w:r>
        <w:r>
          <w:rPr>
            <w:noProof/>
            <w:webHidden/>
          </w:rPr>
          <w:t>177</w:t>
        </w:r>
        <w:r>
          <w:rPr>
            <w:noProof/>
            <w:webHidden/>
          </w:rPr>
          <w:fldChar w:fldCharType="end"/>
        </w:r>
      </w:hyperlink>
    </w:p>
    <w:p w14:paraId="60D6B4D2" w14:textId="5B65F8C3" w:rsidR="00A10D4F" w:rsidRDefault="00A10D4F">
      <w:pPr>
        <w:pStyle w:val="TOC3"/>
        <w:rPr>
          <w:rFonts w:asciiTheme="minorHAnsi" w:eastAsiaTheme="minorEastAsia" w:hAnsiTheme="minorHAnsi" w:cstheme="minorBidi"/>
          <w:b w:val="0"/>
          <w:noProof/>
          <w:szCs w:val="22"/>
          <w:lang w:val="en-US" w:eastAsia="en-US"/>
        </w:rPr>
      </w:pPr>
      <w:hyperlink w:anchor="_Toc89428331" w:history="1">
        <w:r w:rsidRPr="000658D2">
          <w:rPr>
            <w:rStyle w:val="Hyperlink"/>
            <w:rFonts w:cs="Arial"/>
            <w:noProof/>
            <w:lang w:val="hy-AM" w:eastAsia="en-US"/>
          </w:rPr>
          <w:t>ՀՀ քաղաքաշինության կոմիտե</w:t>
        </w:r>
        <w:r>
          <w:rPr>
            <w:noProof/>
            <w:webHidden/>
          </w:rPr>
          <w:tab/>
        </w:r>
        <w:r>
          <w:rPr>
            <w:noProof/>
            <w:webHidden/>
          </w:rPr>
          <w:fldChar w:fldCharType="begin"/>
        </w:r>
        <w:r>
          <w:rPr>
            <w:noProof/>
            <w:webHidden/>
          </w:rPr>
          <w:instrText xml:space="preserve"> PAGEREF _Toc89428331 \h </w:instrText>
        </w:r>
        <w:r>
          <w:rPr>
            <w:noProof/>
            <w:webHidden/>
          </w:rPr>
        </w:r>
        <w:r>
          <w:rPr>
            <w:noProof/>
            <w:webHidden/>
          </w:rPr>
          <w:fldChar w:fldCharType="separate"/>
        </w:r>
        <w:r>
          <w:rPr>
            <w:noProof/>
            <w:webHidden/>
          </w:rPr>
          <w:t>178</w:t>
        </w:r>
        <w:r>
          <w:rPr>
            <w:noProof/>
            <w:webHidden/>
          </w:rPr>
          <w:fldChar w:fldCharType="end"/>
        </w:r>
      </w:hyperlink>
    </w:p>
    <w:p w14:paraId="27E3C078" w14:textId="03A9727D" w:rsidR="00A10D4F" w:rsidRDefault="00A10D4F">
      <w:pPr>
        <w:pStyle w:val="TOC3"/>
        <w:rPr>
          <w:rFonts w:asciiTheme="minorHAnsi" w:eastAsiaTheme="minorEastAsia" w:hAnsiTheme="minorHAnsi" w:cstheme="minorBidi"/>
          <w:b w:val="0"/>
          <w:noProof/>
          <w:szCs w:val="22"/>
          <w:lang w:val="en-US" w:eastAsia="en-US"/>
        </w:rPr>
      </w:pPr>
      <w:hyperlink w:anchor="_Toc89428332" w:history="1">
        <w:r w:rsidRPr="000658D2">
          <w:rPr>
            <w:rStyle w:val="Hyperlink"/>
            <w:rFonts w:cs="Arial"/>
            <w:noProof/>
            <w:lang w:val="hy-AM" w:eastAsia="en-US"/>
          </w:rPr>
          <w:t>Բարձրագույն դատական խորհուրդ</w:t>
        </w:r>
        <w:r>
          <w:rPr>
            <w:noProof/>
            <w:webHidden/>
          </w:rPr>
          <w:tab/>
        </w:r>
        <w:r>
          <w:rPr>
            <w:noProof/>
            <w:webHidden/>
          </w:rPr>
          <w:fldChar w:fldCharType="begin"/>
        </w:r>
        <w:r>
          <w:rPr>
            <w:noProof/>
            <w:webHidden/>
          </w:rPr>
          <w:instrText xml:space="preserve"> PAGEREF _Toc89428332 \h </w:instrText>
        </w:r>
        <w:r>
          <w:rPr>
            <w:noProof/>
            <w:webHidden/>
          </w:rPr>
        </w:r>
        <w:r>
          <w:rPr>
            <w:noProof/>
            <w:webHidden/>
          </w:rPr>
          <w:fldChar w:fldCharType="separate"/>
        </w:r>
        <w:r>
          <w:rPr>
            <w:noProof/>
            <w:webHidden/>
          </w:rPr>
          <w:t>178</w:t>
        </w:r>
        <w:r>
          <w:rPr>
            <w:noProof/>
            <w:webHidden/>
          </w:rPr>
          <w:fldChar w:fldCharType="end"/>
        </w:r>
      </w:hyperlink>
    </w:p>
    <w:p w14:paraId="675B8FD0" w14:textId="446F3EDF" w:rsidR="00A10D4F" w:rsidRDefault="00A10D4F">
      <w:pPr>
        <w:pStyle w:val="TOC3"/>
        <w:rPr>
          <w:rFonts w:asciiTheme="minorHAnsi" w:eastAsiaTheme="minorEastAsia" w:hAnsiTheme="minorHAnsi" w:cstheme="minorBidi"/>
          <w:b w:val="0"/>
          <w:noProof/>
          <w:szCs w:val="22"/>
          <w:lang w:val="en-US" w:eastAsia="en-US"/>
        </w:rPr>
      </w:pPr>
      <w:hyperlink w:anchor="_Toc89428333" w:history="1">
        <w:r w:rsidRPr="000658D2">
          <w:rPr>
            <w:rStyle w:val="Hyperlink"/>
            <w:rFonts w:cs="Arial"/>
            <w:noProof/>
            <w:lang w:val="hy-AM" w:eastAsia="en-US"/>
          </w:rPr>
          <w:t>ՀՀ դատախազությ</w:t>
        </w:r>
        <w:r w:rsidRPr="000658D2">
          <w:rPr>
            <w:rStyle w:val="Hyperlink"/>
            <w:rFonts w:cs="Arial"/>
            <w:noProof/>
            <w:lang w:val="en-US" w:eastAsia="en-US"/>
          </w:rPr>
          <w:t>ուն</w:t>
        </w:r>
        <w:r>
          <w:rPr>
            <w:noProof/>
            <w:webHidden/>
          </w:rPr>
          <w:tab/>
        </w:r>
        <w:r>
          <w:rPr>
            <w:noProof/>
            <w:webHidden/>
          </w:rPr>
          <w:fldChar w:fldCharType="begin"/>
        </w:r>
        <w:r>
          <w:rPr>
            <w:noProof/>
            <w:webHidden/>
          </w:rPr>
          <w:instrText xml:space="preserve"> PAGEREF _Toc89428333 \h </w:instrText>
        </w:r>
        <w:r>
          <w:rPr>
            <w:noProof/>
            <w:webHidden/>
          </w:rPr>
        </w:r>
        <w:r>
          <w:rPr>
            <w:noProof/>
            <w:webHidden/>
          </w:rPr>
          <w:fldChar w:fldCharType="separate"/>
        </w:r>
        <w:r>
          <w:rPr>
            <w:noProof/>
            <w:webHidden/>
          </w:rPr>
          <w:t>179</w:t>
        </w:r>
        <w:r>
          <w:rPr>
            <w:noProof/>
            <w:webHidden/>
          </w:rPr>
          <w:fldChar w:fldCharType="end"/>
        </w:r>
      </w:hyperlink>
    </w:p>
    <w:p w14:paraId="3EA8FEB2" w14:textId="62C09D9C" w:rsidR="00A10D4F" w:rsidRDefault="00A10D4F">
      <w:pPr>
        <w:pStyle w:val="TOC3"/>
        <w:rPr>
          <w:rFonts w:asciiTheme="minorHAnsi" w:eastAsiaTheme="minorEastAsia" w:hAnsiTheme="minorHAnsi" w:cstheme="minorBidi"/>
          <w:b w:val="0"/>
          <w:noProof/>
          <w:szCs w:val="22"/>
          <w:lang w:val="en-US" w:eastAsia="en-US"/>
        </w:rPr>
      </w:pPr>
      <w:hyperlink w:anchor="_Toc89428334" w:history="1">
        <w:r w:rsidRPr="000658D2">
          <w:rPr>
            <w:rStyle w:val="Hyperlink"/>
            <w:rFonts w:cs="Arial"/>
            <w:noProof/>
            <w:lang w:val="hy-AM" w:eastAsia="en-US"/>
          </w:rPr>
          <w:t>ՀՀ քննչական կոմիտե</w:t>
        </w:r>
        <w:r>
          <w:rPr>
            <w:noProof/>
            <w:webHidden/>
          </w:rPr>
          <w:tab/>
        </w:r>
        <w:r>
          <w:rPr>
            <w:noProof/>
            <w:webHidden/>
          </w:rPr>
          <w:fldChar w:fldCharType="begin"/>
        </w:r>
        <w:r>
          <w:rPr>
            <w:noProof/>
            <w:webHidden/>
          </w:rPr>
          <w:instrText xml:space="preserve"> PAGEREF _Toc89428334 \h </w:instrText>
        </w:r>
        <w:r>
          <w:rPr>
            <w:noProof/>
            <w:webHidden/>
          </w:rPr>
        </w:r>
        <w:r>
          <w:rPr>
            <w:noProof/>
            <w:webHidden/>
          </w:rPr>
          <w:fldChar w:fldCharType="separate"/>
        </w:r>
        <w:r>
          <w:rPr>
            <w:noProof/>
            <w:webHidden/>
          </w:rPr>
          <w:t>180</w:t>
        </w:r>
        <w:r>
          <w:rPr>
            <w:noProof/>
            <w:webHidden/>
          </w:rPr>
          <w:fldChar w:fldCharType="end"/>
        </w:r>
      </w:hyperlink>
    </w:p>
    <w:p w14:paraId="743FCE39" w14:textId="250CAC3D" w:rsidR="00A10D4F" w:rsidRDefault="00A10D4F">
      <w:pPr>
        <w:pStyle w:val="TOC3"/>
        <w:rPr>
          <w:rFonts w:asciiTheme="minorHAnsi" w:eastAsiaTheme="minorEastAsia" w:hAnsiTheme="minorHAnsi" w:cstheme="minorBidi"/>
          <w:b w:val="0"/>
          <w:noProof/>
          <w:szCs w:val="22"/>
          <w:lang w:val="en-US" w:eastAsia="en-US"/>
        </w:rPr>
      </w:pPr>
      <w:hyperlink w:anchor="_Toc89428335" w:history="1">
        <w:r w:rsidRPr="000658D2">
          <w:rPr>
            <w:rStyle w:val="Hyperlink"/>
            <w:rFonts w:cs="Arial"/>
            <w:noProof/>
            <w:lang w:val="hy-AM" w:eastAsia="en-US"/>
          </w:rPr>
          <w:t>ՀՀ պետական վերահսկողական ծառայություն</w:t>
        </w:r>
        <w:r>
          <w:rPr>
            <w:noProof/>
            <w:webHidden/>
          </w:rPr>
          <w:tab/>
        </w:r>
        <w:r>
          <w:rPr>
            <w:noProof/>
            <w:webHidden/>
          </w:rPr>
          <w:fldChar w:fldCharType="begin"/>
        </w:r>
        <w:r>
          <w:rPr>
            <w:noProof/>
            <w:webHidden/>
          </w:rPr>
          <w:instrText xml:space="preserve"> PAGEREF _Toc89428335 \h </w:instrText>
        </w:r>
        <w:r>
          <w:rPr>
            <w:noProof/>
            <w:webHidden/>
          </w:rPr>
        </w:r>
        <w:r>
          <w:rPr>
            <w:noProof/>
            <w:webHidden/>
          </w:rPr>
          <w:fldChar w:fldCharType="separate"/>
        </w:r>
        <w:r>
          <w:rPr>
            <w:noProof/>
            <w:webHidden/>
          </w:rPr>
          <w:t>181</w:t>
        </w:r>
        <w:r>
          <w:rPr>
            <w:noProof/>
            <w:webHidden/>
          </w:rPr>
          <w:fldChar w:fldCharType="end"/>
        </w:r>
      </w:hyperlink>
    </w:p>
    <w:p w14:paraId="4ED75F8F" w14:textId="673039C5" w:rsidR="00A10D4F" w:rsidRDefault="00A10D4F">
      <w:pPr>
        <w:pStyle w:val="TOC3"/>
        <w:rPr>
          <w:rFonts w:asciiTheme="minorHAnsi" w:eastAsiaTheme="minorEastAsia" w:hAnsiTheme="minorHAnsi" w:cstheme="minorBidi"/>
          <w:b w:val="0"/>
          <w:noProof/>
          <w:szCs w:val="22"/>
          <w:lang w:val="en-US" w:eastAsia="en-US"/>
        </w:rPr>
      </w:pPr>
      <w:hyperlink w:anchor="_Toc89428336" w:history="1">
        <w:r w:rsidRPr="000658D2">
          <w:rPr>
            <w:rStyle w:val="Hyperlink"/>
            <w:rFonts w:cs="Arial"/>
            <w:noProof/>
            <w:lang w:val="hy-AM" w:eastAsia="en-US"/>
          </w:rPr>
          <w:t>Հեռուստատեսության և ռադիոյի հանձնաժողով</w:t>
        </w:r>
        <w:r>
          <w:rPr>
            <w:noProof/>
            <w:webHidden/>
          </w:rPr>
          <w:tab/>
        </w:r>
        <w:r>
          <w:rPr>
            <w:noProof/>
            <w:webHidden/>
          </w:rPr>
          <w:fldChar w:fldCharType="begin"/>
        </w:r>
        <w:r>
          <w:rPr>
            <w:noProof/>
            <w:webHidden/>
          </w:rPr>
          <w:instrText xml:space="preserve"> PAGEREF _Toc89428336 \h </w:instrText>
        </w:r>
        <w:r>
          <w:rPr>
            <w:noProof/>
            <w:webHidden/>
          </w:rPr>
        </w:r>
        <w:r>
          <w:rPr>
            <w:noProof/>
            <w:webHidden/>
          </w:rPr>
          <w:fldChar w:fldCharType="separate"/>
        </w:r>
        <w:r>
          <w:rPr>
            <w:noProof/>
            <w:webHidden/>
          </w:rPr>
          <w:t>181</w:t>
        </w:r>
        <w:r>
          <w:rPr>
            <w:noProof/>
            <w:webHidden/>
          </w:rPr>
          <w:fldChar w:fldCharType="end"/>
        </w:r>
      </w:hyperlink>
    </w:p>
    <w:p w14:paraId="3779DEB8" w14:textId="7CC646BD" w:rsidR="00A10D4F" w:rsidRDefault="00A10D4F">
      <w:pPr>
        <w:pStyle w:val="TOC3"/>
        <w:rPr>
          <w:rFonts w:asciiTheme="minorHAnsi" w:eastAsiaTheme="minorEastAsia" w:hAnsiTheme="minorHAnsi" w:cstheme="minorBidi"/>
          <w:b w:val="0"/>
          <w:noProof/>
          <w:szCs w:val="22"/>
          <w:lang w:val="en-US" w:eastAsia="en-US"/>
        </w:rPr>
      </w:pPr>
      <w:hyperlink w:anchor="_Toc89428337" w:history="1">
        <w:r w:rsidRPr="000658D2">
          <w:rPr>
            <w:rStyle w:val="Hyperlink"/>
            <w:rFonts w:cs="Arial"/>
            <w:noProof/>
            <w:lang w:val="hy-AM" w:eastAsia="en-US"/>
          </w:rPr>
          <w:t>Հանրային հեռարձակողի խորհուրդ</w:t>
        </w:r>
        <w:r>
          <w:rPr>
            <w:noProof/>
            <w:webHidden/>
          </w:rPr>
          <w:tab/>
        </w:r>
        <w:r>
          <w:rPr>
            <w:noProof/>
            <w:webHidden/>
          </w:rPr>
          <w:fldChar w:fldCharType="begin"/>
        </w:r>
        <w:r>
          <w:rPr>
            <w:noProof/>
            <w:webHidden/>
          </w:rPr>
          <w:instrText xml:space="preserve"> PAGEREF _Toc89428337 \h </w:instrText>
        </w:r>
        <w:r>
          <w:rPr>
            <w:noProof/>
            <w:webHidden/>
          </w:rPr>
        </w:r>
        <w:r>
          <w:rPr>
            <w:noProof/>
            <w:webHidden/>
          </w:rPr>
          <w:fldChar w:fldCharType="separate"/>
        </w:r>
        <w:r>
          <w:rPr>
            <w:noProof/>
            <w:webHidden/>
          </w:rPr>
          <w:t>182</w:t>
        </w:r>
        <w:r>
          <w:rPr>
            <w:noProof/>
            <w:webHidden/>
          </w:rPr>
          <w:fldChar w:fldCharType="end"/>
        </w:r>
      </w:hyperlink>
    </w:p>
    <w:p w14:paraId="596216A7" w14:textId="3B4CBD19" w:rsidR="00A10D4F" w:rsidRDefault="00A10D4F">
      <w:pPr>
        <w:pStyle w:val="TOC3"/>
        <w:rPr>
          <w:rFonts w:asciiTheme="minorHAnsi" w:eastAsiaTheme="minorEastAsia" w:hAnsiTheme="minorHAnsi" w:cstheme="minorBidi"/>
          <w:b w:val="0"/>
          <w:noProof/>
          <w:szCs w:val="22"/>
          <w:lang w:val="en-US" w:eastAsia="en-US"/>
        </w:rPr>
      </w:pPr>
      <w:hyperlink w:anchor="_Toc89428338" w:history="1">
        <w:r w:rsidRPr="000658D2">
          <w:rPr>
            <w:rStyle w:val="Hyperlink"/>
            <w:rFonts w:cs="Arial"/>
            <w:noProof/>
            <w:lang w:val="hy-AM" w:eastAsia="en-US"/>
          </w:rPr>
          <w:t>ՀՀ մրցակցության պաշտպանության հանձնաժողով</w:t>
        </w:r>
        <w:r>
          <w:rPr>
            <w:noProof/>
            <w:webHidden/>
          </w:rPr>
          <w:tab/>
        </w:r>
        <w:r>
          <w:rPr>
            <w:noProof/>
            <w:webHidden/>
          </w:rPr>
          <w:fldChar w:fldCharType="begin"/>
        </w:r>
        <w:r>
          <w:rPr>
            <w:noProof/>
            <w:webHidden/>
          </w:rPr>
          <w:instrText xml:space="preserve"> PAGEREF _Toc89428338 \h </w:instrText>
        </w:r>
        <w:r>
          <w:rPr>
            <w:noProof/>
            <w:webHidden/>
          </w:rPr>
        </w:r>
        <w:r>
          <w:rPr>
            <w:noProof/>
            <w:webHidden/>
          </w:rPr>
          <w:fldChar w:fldCharType="separate"/>
        </w:r>
        <w:r>
          <w:rPr>
            <w:noProof/>
            <w:webHidden/>
          </w:rPr>
          <w:t>183</w:t>
        </w:r>
        <w:r>
          <w:rPr>
            <w:noProof/>
            <w:webHidden/>
          </w:rPr>
          <w:fldChar w:fldCharType="end"/>
        </w:r>
      </w:hyperlink>
    </w:p>
    <w:p w14:paraId="230BEE65" w14:textId="59BCC61C" w:rsidR="00A10D4F" w:rsidRDefault="00A10D4F">
      <w:pPr>
        <w:pStyle w:val="TOC3"/>
        <w:rPr>
          <w:rFonts w:asciiTheme="minorHAnsi" w:eastAsiaTheme="minorEastAsia" w:hAnsiTheme="minorHAnsi" w:cstheme="minorBidi"/>
          <w:b w:val="0"/>
          <w:noProof/>
          <w:szCs w:val="22"/>
          <w:lang w:val="en-US" w:eastAsia="en-US"/>
        </w:rPr>
      </w:pPr>
      <w:hyperlink w:anchor="_Toc89428339" w:history="1">
        <w:r w:rsidRPr="000658D2">
          <w:rPr>
            <w:rStyle w:val="Hyperlink"/>
            <w:rFonts w:cs="Arial"/>
            <w:noProof/>
            <w:lang w:val="hy-AM" w:eastAsia="en-US"/>
          </w:rPr>
          <w:t>ՀՀ կոռուպցիայի կանխարգելման հանձնաժողով</w:t>
        </w:r>
        <w:r>
          <w:rPr>
            <w:noProof/>
            <w:webHidden/>
          </w:rPr>
          <w:tab/>
        </w:r>
        <w:r>
          <w:rPr>
            <w:noProof/>
            <w:webHidden/>
          </w:rPr>
          <w:fldChar w:fldCharType="begin"/>
        </w:r>
        <w:r>
          <w:rPr>
            <w:noProof/>
            <w:webHidden/>
          </w:rPr>
          <w:instrText xml:space="preserve"> PAGEREF _Toc89428339 \h </w:instrText>
        </w:r>
        <w:r>
          <w:rPr>
            <w:noProof/>
            <w:webHidden/>
          </w:rPr>
        </w:r>
        <w:r>
          <w:rPr>
            <w:noProof/>
            <w:webHidden/>
          </w:rPr>
          <w:fldChar w:fldCharType="separate"/>
        </w:r>
        <w:r>
          <w:rPr>
            <w:noProof/>
            <w:webHidden/>
          </w:rPr>
          <w:t>183</w:t>
        </w:r>
        <w:r>
          <w:rPr>
            <w:noProof/>
            <w:webHidden/>
          </w:rPr>
          <w:fldChar w:fldCharType="end"/>
        </w:r>
      </w:hyperlink>
    </w:p>
    <w:p w14:paraId="1BC5577C" w14:textId="4313C906" w:rsidR="00A10D4F" w:rsidRDefault="00A10D4F">
      <w:pPr>
        <w:pStyle w:val="TOC3"/>
        <w:rPr>
          <w:rFonts w:asciiTheme="minorHAnsi" w:eastAsiaTheme="minorEastAsia" w:hAnsiTheme="minorHAnsi" w:cstheme="minorBidi"/>
          <w:b w:val="0"/>
          <w:noProof/>
          <w:szCs w:val="22"/>
          <w:lang w:val="en-US" w:eastAsia="en-US"/>
        </w:rPr>
      </w:pPr>
      <w:hyperlink w:anchor="_Toc89428340" w:history="1">
        <w:r w:rsidRPr="000658D2">
          <w:rPr>
            <w:rStyle w:val="Hyperlink"/>
            <w:rFonts w:cs="Arial"/>
            <w:noProof/>
            <w:lang w:val="hy-AM" w:eastAsia="en-US"/>
          </w:rPr>
          <w:t>ՀՀ մարդու իրավունքների պաշտպանի աշխատակազմ</w:t>
        </w:r>
        <w:r>
          <w:rPr>
            <w:noProof/>
            <w:webHidden/>
          </w:rPr>
          <w:tab/>
        </w:r>
        <w:r>
          <w:rPr>
            <w:noProof/>
            <w:webHidden/>
          </w:rPr>
          <w:fldChar w:fldCharType="begin"/>
        </w:r>
        <w:r>
          <w:rPr>
            <w:noProof/>
            <w:webHidden/>
          </w:rPr>
          <w:instrText xml:space="preserve"> PAGEREF _Toc89428340 \h </w:instrText>
        </w:r>
        <w:r>
          <w:rPr>
            <w:noProof/>
            <w:webHidden/>
          </w:rPr>
        </w:r>
        <w:r>
          <w:rPr>
            <w:noProof/>
            <w:webHidden/>
          </w:rPr>
          <w:fldChar w:fldCharType="separate"/>
        </w:r>
        <w:r>
          <w:rPr>
            <w:noProof/>
            <w:webHidden/>
          </w:rPr>
          <w:t>185</w:t>
        </w:r>
        <w:r>
          <w:rPr>
            <w:noProof/>
            <w:webHidden/>
          </w:rPr>
          <w:fldChar w:fldCharType="end"/>
        </w:r>
      </w:hyperlink>
    </w:p>
    <w:p w14:paraId="7CB9EBC3" w14:textId="7A2F8D22" w:rsidR="00A10D4F" w:rsidRDefault="00A10D4F">
      <w:pPr>
        <w:pStyle w:val="TOC3"/>
        <w:rPr>
          <w:rFonts w:asciiTheme="minorHAnsi" w:eastAsiaTheme="minorEastAsia" w:hAnsiTheme="minorHAnsi" w:cstheme="minorBidi"/>
          <w:b w:val="0"/>
          <w:noProof/>
          <w:szCs w:val="22"/>
          <w:lang w:val="en-US" w:eastAsia="en-US"/>
        </w:rPr>
      </w:pPr>
      <w:hyperlink w:anchor="_Toc89428341" w:history="1">
        <w:r w:rsidRPr="000658D2">
          <w:rPr>
            <w:rStyle w:val="Hyperlink"/>
            <w:rFonts w:cs="Arial"/>
            <w:noProof/>
            <w:lang w:val="hy-AM" w:eastAsia="en-US"/>
          </w:rPr>
          <w:t>ՀՀ հաշվեքննիչ պալատ</w:t>
        </w:r>
        <w:r>
          <w:rPr>
            <w:noProof/>
            <w:webHidden/>
          </w:rPr>
          <w:tab/>
        </w:r>
        <w:r>
          <w:rPr>
            <w:noProof/>
            <w:webHidden/>
          </w:rPr>
          <w:fldChar w:fldCharType="begin"/>
        </w:r>
        <w:r>
          <w:rPr>
            <w:noProof/>
            <w:webHidden/>
          </w:rPr>
          <w:instrText xml:space="preserve"> PAGEREF _Toc89428341 \h </w:instrText>
        </w:r>
        <w:r>
          <w:rPr>
            <w:noProof/>
            <w:webHidden/>
          </w:rPr>
        </w:r>
        <w:r>
          <w:rPr>
            <w:noProof/>
            <w:webHidden/>
          </w:rPr>
          <w:fldChar w:fldCharType="separate"/>
        </w:r>
        <w:r>
          <w:rPr>
            <w:noProof/>
            <w:webHidden/>
          </w:rPr>
          <w:t>187</w:t>
        </w:r>
        <w:r>
          <w:rPr>
            <w:noProof/>
            <w:webHidden/>
          </w:rPr>
          <w:fldChar w:fldCharType="end"/>
        </w:r>
      </w:hyperlink>
    </w:p>
    <w:p w14:paraId="03968F21" w14:textId="0881A123" w:rsidR="00A10D4F" w:rsidRDefault="00A10D4F">
      <w:pPr>
        <w:pStyle w:val="TOC3"/>
        <w:rPr>
          <w:rFonts w:asciiTheme="minorHAnsi" w:eastAsiaTheme="minorEastAsia" w:hAnsiTheme="minorHAnsi" w:cstheme="minorBidi"/>
          <w:b w:val="0"/>
          <w:noProof/>
          <w:szCs w:val="22"/>
          <w:lang w:val="en-US" w:eastAsia="en-US"/>
        </w:rPr>
      </w:pPr>
      <w:hyperlink w:anchor="_Toc89428342" w:history="1">
        <w:r w:rsidRPr="000658D2">
          <w:rPr>
            <w:rStyle w:val="Hyperlink"/>
            <w:rFonts w:cs="Arial"/>
            <w:noProof/>
            <w:lang w:val="hy-AM" w:eastAsia="en-US"/>
          </w:rPr>
          <w:t>ՀՀ կենտրոնական ընտրական հանձնաժողով</w:t>
        </w:r>
        <w:r>
          <w:rPr>
            <w:noProof/>
            <w:webHidden/>
          </w:rPr>
          <w:tab/>
        </w:r>
        <w:r>
          <w:rPr>
            <w:noProof/>
            <w:webHidden/>
          </w:rPr>
          <w:fldChar w:fldCharType="begin"/>
        </w:r>
        <w:r>
          <w:rPr>
            <w:noProof/>
            <w:webHidden/>
          </w:rPr>
          <w:instrText xml:space="preserve"> PAGEREF _Toc89428342 \h </w:instrText>
        </w:r>
        <w:r>
          <w:rPr>
            <w:noProof/>
            <w:webHidden/>
          </w:rPr>
        </w:r>
        <w:r>
          <w:rPr>
            <w:noProof/>
            <w:webHidden/>
          </w:rPr>
          <w:fldChar w:fldCharType="separate"/>
        </w:r>
        <w:r>
          <w:rPr>
            <w:noProof/>
            <w:webHidden/>
          </w:rPr>
          <w:t>187</w:t>
        </w:r>
        <w:r>
          <w:rPr>
            <w:noProof/>
            <w:webHidden/>
          </w:rPr>
          <w:fldChar w:fldCharType="end"/>
        </w:r>
      </w:hyperlink>
    </w:p>
    <w:p w14:paraId="41FD9F0F" w14:textId="77D3D4A1" w:rsidR="00A10D4F" w:rsidRDefault="00A10D4F">
      <w:pPr>
        <w:pStyle w:val="TOC1"/>
        <w:rPr>
          <w:rFonts w:asciiTheme="minorHAnsi" w:eastAsiaTheme="minorEastAsia" w:hAnsiTheme="minorHAnsi" w:cstheme="minorBidi"/>
          <w:b w:val="0"/>
          <w:noProof/>
          <w:szCs w:val="22"/>
          <w:lang w:val="en-US" w:eastAsia="en-US"/>
        </w:rPr>
      </w:pPr>
      <w:hyperlink w:anchor="_Toc89428343" w:history="1">
        <w:r w:rsidRPr="000658D2">
          <w:rPr>
            <w:rStyle w:val="Hyperlink"/>
            <w:noProof/>
            <w:lang w:val="hy-AM"/>
          </w:rPr>
          <w:t>ՎԵՐԼՈՒԾՈՒԹՅՈՒՆՆԵՐ</w:t>
        </w:r>
        <w:r>
          <w:rPr>
            <w:noProof/>
            <w:webHidden/>
          </w:rPr>
          <w:tab/>
        </w:r>
        <w:r>
          <w:rPr>
            <w:noProof/>
            <w:webHidden/>
          </w:rPr>
          <w:fldChar w:fldCharType="begin"/>
        </w:r>
        <w:r>
          <w:rPr>
            <w:noProof/>
            <w:webHidden/>
          </w:rPr>
          <w:instrText xml:space="preserve"> PAGEREF _Toc89428343 \h </w:instrText>
        </w:r>
        <w:r>
          <w:rPr>
            <w:noProof/>
            <w:webHidden/>
          </w:rPr>
        </w:r>
        <w:r>
          <w:rPr>
            <w:noProof/>
            <w:webHidden/>
          </w:rPr>
          <w:fldChar w:fldCharType="separate"/>
        </w:r>
        <w:r>
          <w:rPr>
            <w:noProof/>
            <w:webHidden/>
          </w:rPr>
          <w:t>189</w:t>
        </w:r>
        <w:r>
          <w:rPr>
            <w:noProof/>
            <w:webHidden/>
          </w:rPr>
          <w:fldChar w:fldCharType="end"/>
        </w:r>
      </w:hyperlink>
    </w:p>
    <w:p w14:paraId="39CBD386" w14:textId="6349BBD4" w:rsidR="00A10D4F" w:rsidRDefault="00A10D4F">
      <w:pPr>
        <w:pStyle w:val="TOC3"/>
        <w:rPr>
          <w:rFonts w:asciiTheme="minorHAnsi" w:eastAsiaTheme="minorEastAsia" w:hAnsiTheme="minorHAnsi" w:cstheme="minorBidi"/>
          <w:b w:val="0"/>
          <w:noProof/>
          <w:szCs w:val="22"/>
          <w:lang w:val="en-US" w:eastAsia="en-US"/>
        </w:rPr>
      </w:pPr>
      <w:hyperlink w:anchor="_Toc89428344" w:history="1">
        <w:r w:rsidRPr="000658D2">
          <w:rPr>
            <w:rStyle w:val="Hyperlink"/>
            <w:noProof/>
          </w:rPr>
          <w:t>1. ՀԱՅԱՍՏԱՆԻ ՀԱՆՐԱՊԵՏՈՒԹՅԱՆ ՊԵՏԱԿԱՆ ՊԱՐՏՔԸ</w:t>
        </w:r>
        <w:r>
          <w:rPr>
            <w:noProof/>
            <w:webHidden/>
          </w:rPr>
          <w:tab/>
        </w:r>
        <w:r>
          <w:rPr>
            <w:noProof/>
            <w:webHidden/>
          </w:rPr>
          <w:fldChar w:fldCharType="begin"/>
        </w:r>
        <w:r>
          <w:rPr>
            <w:noProof/>
            <w:webHidden/>
          </w:rPr>
          <w:instrText xml:space="preserve"> PAGEREF _Toc89428344 \h </w:instrText>
        </w:r>
        <w:r>
          <w:rPr>
            <w:noProof/>
            <w:webHidden/>
          </w:rPr>
        </w:r>
        <w:r>
          <w:rPr>
            <w:noProof/>
            <w:webHidden/>
          </w:rPr>
          <w:fldChar w:fldCharType="separate"/>
        </w:r>
        <w:r>
          <w:rPr>
            <w:noProof/>
            <w:webHidden/>
          </w:rPr>
          <w:t>189</w:t>
        </w:r>
        <w:r>
          <w:rPr>
            <w:noProof/>
            <w:webHidden/>
          </w:rPr>
          <w:fldChar w:fldCharType="end"/>
        </w:r>
      </w:hyperlink>
    </w:p>
    <w:p w14:paraId="5B7E83AF" w14:textId="67C8DE82" w:rsidR="00A10D4F" w:rsidRDefault="00A10D4F">
      <w:pPr>
        <w:pStyle w:val="TOC3"/>
        <w:rPr>
          <w:rFonts w:asciiTheme="minorHAnsi" w:eastAsiaTheme="minorEastAsia" w:hAnsiTheme="minorHAnsi" w:cstheme="minorBidi"/>
          <w:b w:val="0"/>
          <w:noProof/>
          <w:szCs w:val="22"/>
          <w:lang w:val="en-US" w:eastAsia="en-US"/>
        </w:rPr>
      </w:pPr>
      <w:hyperlink w:anchor="_Toc89428345" w:history="1">
        <w:r w:rsidRPr="000658D2">
          <w:rPr>
            <w:rStyle w:val="Hyperlink"/>
            <w:noProof/>
          </w:rPr>
          <w:t>ՀԱՅԱՍՏԱՆԻ ՀԱՆՐԱՊԵՏՈՒԹՅԱՆ ԿԱՌԱՎԱՐՈՒԹՅԱՆ ՊԱՐՏՔԸ</w:t>
        </w:r>
        <w:r>
          <w:rPr>
            <w:noProof/>
            <w:webHidden/>
          </w:rPr>
          <w:tab/>
        </w:r>
        <w:r>
          <w:rPr>
            <w:noProof/>
            <w:webHidden/>
          </w:rPr>
          <w:fldChar w:fldCharType="begin"/>
        </w:r>
        <w:r>
          <w:rPr>
            <w:noProof/>
            <w:webHidden/>
          </w:rPr>
          <w:instrText xml:space="preserve"> PAGEREF _Toc89428345 \h </w:instrText>
        </w:r>
        <w:r>
          <w:rPr>
            <w:noProof/>
            <w:webHidden/>
          </w:rPr>
        </w:r>
        <w:r>
          <w:rPr>
            <w:noProof/>
            <w:webHidden/>
          </w:rPr>
          <w:fldChar w:fldCharType="separate"/>
        </w:r>
        <w:r>
          <w:rPr>
            <w:noProof/>
            <w:webHidden/>
          </w:rPr>
          <w:t>189</w:t>
        </w:r>
        <w:r>
          <w:rPr>
            <w:noProof/>
            <w:webHidden/>
          </w:rPr>
          <w:fldChar w:fldCharType="end"/>
        </w:r>
      </w:hyperlink>
    </w:p>
    <w:p w14:paraId="1F8EBFC5" w14:textId="0061129D" w:rsidR="00A10D4F" w:rsidRDefault="00A10D4F">
      <w:pPr>
        <w:pStyle w:val="TOC3"/>
        <w:rPr>
          <w:rFonts w:asciiTheme="minorHAnsi" w:eastAsiaTheme="minorEastAsia" w:hAnsiTheme="minorHAnsi" w:cstheme="minorBidi"/>
          <w:b w:val="0"/>
          <w:noProof/>
          <w:szCs w:val="22"/>
          <w:lang w:val="en-US" w:eastAsia="en-US"/>
        </w:rPr>
      </w:pPr>
      <w:hyperlink w:anchor="_Toc89428346" w:history="1">
        <w:r w:rsidRPr="000658D2">
          <w:rPr>
            <w:rStyle w:val="Hyperlink"/>
            <w:noProof/>
            <w:lang w:val="en-US" w:eastAsia="en-US"/>
          </w:rPr>
          <w:t>2</w:t>
        </w:r>
        <w:r w:rsidRPr="000658D2">
          <w:rPr>
            <w:rStyle w:val="Hyperlink"/>
            <w:noProof/>
            <w:lang w:val="hy-AM" w:eastAsia="en-US"/>
          </w:rPr>
          <w:t>. ՊԵՏԱԿԱՆ ԲՅՈՒՋԵԻ ՎՐԱ ՄԱԿՐՈՏՆՏԵՍԱԿԱՆ ԿԱՆԽԱՏԵՍՎԱԾ ՑՈՒՑԱՆԻՇՆԵՐԻՑ ՇԵՂՄԱՆ ՌԻՍԿԵՐԻ ԱԶԴԵՑՈՒԹՅԱՆ ՔԱՆԱԿԱԿԱՆ ԳՆԱՀԱՏՈՒՄ</w:t>
        </w:r>
        <w:r>
          <w:rPr>
            <w:noProof/>
            <w:webHidden/>
          </w:rPr>
          <w:tab/>
        </w:r>
        <w:r>
          <w:rPr>
            <w:noProof/>
            <w:webHidden/>
          </w:rPr>
          <w:fldChar w:fldCharType="begin"/>
        </w:r>
        <w:r>
          <w:rPr>
            <w:noProof/>
            <w:webHidden/>
          </w:rPr>
          <w:instrText xml:space="preserve"> PAGEREF _Toc89428346 \h </w:instrText>
        </w:r>
        <w:r>
          <w:rPr>
            <w:noProof/>
            <w:webHidden/>
          </w:rPr>
        </w:r>
        <w:r>
          <w:rPr>
            <w:noProof/>
            <w:webHidden/>
          </w:rPr>
          <w:fldChar w:fldCharType="separate"/>
        </w:r>
        <w:r>
          <w:rPr>
            <w:noProof/>
            <w:webHidden/>
          </w:rPr>
          <w:t>199</w:t>
        </w:r>
        <w:r>
          <w:rPr>
            <w:noProof/>
            <w:webHidden/>
          </w:rPr>
          <w:fldChar w:fldCharType="end"/>
        </w:r>
      </w:hyperlink>
    </w:p>
    <w:p w14:paraId="425FB152" w14:textId="19C1F616" w:rsidR="00A10D4F" w:rsidRDefault="00A10D4F">
      <w:pPr>
        <w:pStyle w:val="TOC3"/>
        <w:rPr>
          <w:rFonts w:asciiTheme="minorHAnsi" w:eastAsiaTheme="minorEastAsia" w:hAnsiTheme="minorHAnsi" w:cstheme="minorBidi"/>
          <w:b w:val="0"/>
          <w:noProof/>
          <w:szCs w:val="22"/>
          <w:lang w:val="en-US" w:eastAsia="en-US"/>
        </w:rPr>
      </w:pPr>
      <w:hyperlink w:anchor="_Toc89428347" w:history="1">
        <w:r w:rsidRPr="000658D2">
          <w:rPr>
            <w:rStyle w:val="Hyperlink"/>
            <w:noProof/>
            <w:lang w:val="hy-AM" w:eastAsia="en-US"/>
          </w:rPr>
          <w:t>3. ԱՅԼ ԿԱՌՈՒՅՑՆԵՐԻ ԿՈՂՄԻՑ ՀՀ ՏՆՏԵՍԱԿԱՆ ԱՃԻ ԿԱՆԽԱՏԵՍՈՒՄՆԵՐԻ ՀԵՏ ՀԱՄԵՄԱՏԱԿԱՆ</w:t>
        </w:r>
        <w:r>
          <w:rPr>
            <w:noProof/>
            <w:webHidden/>
          </w:rPr>
          <w:tab/>
        </w:r>
        <w:r>
          <w:rPr>
            <w:noProof/>
            <w:webHidden/>
          </w:rPr>
          <w:fldChar w:fldCharType="begin"/>
        </w:r>
        <w:r>
          <w:rPr>
            <w:noProof/>
            <w:webHidden/>
          </w:rPr>
          <w:instrText xml:space="preserve"> PAGEREF _Toc89428347 \h </w:instrText>
        </w:r>
        <w:r>
          <w:rPr>
            <w:noProof/>
            <w:webHidden/>
          </w:rPr>
        </w:r>
        <w:r>
          <w:rPr>
            <w:noProof/>
            <w:webHidden/>
          </w:rPr>
          <w:fldChar w:fldCharType="separate"/>
        </w:r>
        <w:r>
          <w:rPr>
            <w:noProof/>
            <w:webHidden/>
          </w:rPr>
          <w:t>206</w:t>
        </w:r>
        <w:r>
          <w:rPr>
            <w:noProof/>
            <w:webHidden/>
          </w:rPr>
          <w:fldChar w:fldCharType="end"/>
        </w:r>
      </w:hyperlink>
    </w:p>
    <w:p w14:paraId="6C227EF0" w14:textId="78635794" w:rsidR="00A10D4F" w:rsidRDefault="00A10D4F">
      <w:pPr>
        <w:pStyle w:val="TOC3"/>
        <w:rPr>
          <w:rFonts w:asciiTheme="minorHAnsi" w:eastAsiaTheme="minorEastAsia" w:hAnsiTheme="minorHAnsi" w:cstheme="minorBidi"/>
          <w:b w:val="0"/>
          <w:noProof/>
          <w:szCs w:val="22"/>
          <w:lang w:val="en-US" w:eastAsia="en-US"/>
        </w:rPr>
      </w:pPr>
      <w:hyperlink w:anchor="_Toc89428348" w:history="1">
        <w:r w:rsidRPr="000658D2">
          <w:rPr>
            <w:rStyle w:val="Hyperlink"/>
            <w:noProof/>
            <w:lang w:val="hy-AM" w:eastAsia="en-US"/>
          </w:rPr>
          <w:t>4. ԵՆԹԱԿԱՌՈՒՑՎԱԾՔԱՅԻՆ ԵՎ ԱՅԼ ՈԼՈՐՏՆԵՐՈՒՄ ԳՈՐԾՈՂ ԿԱԶՄԱԿԵՐՊՈՒԹՅՈՒՆՆԵՐԻ ԳՈՐԾՈՒՆԵՈՒԹՅԱՆՆ ԱՌՆՉՎՈՂ ՀԱՐԿԱԲՅՈՒՋԵՏԱՅԻՆ ՌԻՍԿԵՐԻ ԳՆԱՀԱՏԱԿԱՆԸ</w:t>
        </w:r>
        <w:r>
          <w:rPr>
            <w:noProof/>
            <w:webHidden/>
          </w:rPr>
          <w:tab/>
        </w:r>
        <w:r>
          <w:rPr>
            <w:noProof/>
            <w:webHidden/>
          </w:rPr>
          <w:fldChar w:fldCharType="begin"/>
        </w:r>
        <w:r>
          <w:rPr>
            <w:noProof/>
            <w:webHidden/>
          </w:rPr>
          <w:instrText xml:space="preserve"> PAGEREF _Toc89428348 \h </w:instrText>
        </w:r>
        <w:r>
          <w:rPr>
            <w:noProof/>
            <w:webHidden/>
          </w:rPr>
        </w:r>
        <w:r>
          <w:rPr>
            <w:noProof/>
            <w:webHidden/>
          </w:rPr>
          <w:fldChar w:fldCharType="separate"/>
        </w:r>
        <w:r>
          <w:rPr>
            <w:noProof/>
            <w:webHidden/>
          </w:rPr>
          <w:t>207</w:t>
        </w:r>
        <w:r>
          <w:rPr>
            <w:noProof/>
            <w:webHidden/>
          </w:rPr>
          <w:fldChar w:fldCharType="end"/>
        </w:r>
      </w:hyperlink>
    </w:p>
    <w:p w14:paraId="026CA977" w14:textId="582E7D1C" w:rsidR="00A10D4F" w:rsidRDefault="00A10D4F">
      <w:pPr>
        <w:pStyle w:val="TOC3"/>
        <w:rPr>
          <w:rFonts w:asciiTheme="minorHAnsi" w:eastAsiaTheme="minorEastAsia" w:hAnsiTheme="minorHAnsi" w:cstheme="minorBidi"/>
          <w:b w:val="0"/>
          <w:noProof/>
          <w:szCs w:val="22"/>
          <w:lang w:val="en-US" w:eastAsia="en-US"/>
        </w:rPr>
      </w:pPr>
      <w:hyperlink w:anchor="_Toc89428349" w:history="1">
        <w:r w:rsidRPr="000658D2">
          <w:rPr>
            <w:rStyle w:val="Hyperlink"/>
            <w:noProof/>
            <w:lang w:val="hy-AM" w:eastAsia="en-US"/>
          </w:rPr>
          <w:t>5.  2022 ԹՎԱԿԱՆԻ ՀԱՐԿԱՅԻՆ ԾԱԽՍԵՐԻ ԳՆԱՀԱՏԱԿԱՆԻ ՎԵՐԼՈՒԾՈՒԹՅՈՒՆ</w:t>
        </w:r>
        <w:r>
          <w:rPr>
            <w:noProof/>
            <w:webHidden/>
          </w:rPr>
          <w:tab/>
        </w:r>
        <w:r>
          <w:rPr>
            <w:noProof/>
            <w:webHidden/>
          </w:rPr>
          <w:fldChar w:fldCharType="begin"/>
        </w:r>
        <w:r>
          <w:rPr>
            <w:noProof/>
            <w:webHidden/>
          </w:rPr>
          <w:instrText xml:space="preserve"> PAGEREF _Toc89428349 \h </w:instrText>
        </w:r>
        <w:r>
          <w:rPr>
            <w:noProof/>
            <w:webHidden/>
          </w:rPr>
        </w:r>
        <w:r>
          <w:rPr>
            <w:noProof/>
            <w:webHidden/>
          </w:rPr>
          <w:fldChar w:fldCharType="separate"/>
        </w:r>
        <w:r>
          <w:rPr>
            <w:noProof/>
            <w:webHidden/>
          </w:rPr>
          <w:t>225</w:t>
        </w:r>
        <w:r>
          <w:rPr>
            <w:noProof/>
            <w:webHidden/>
          </w:rPr>
          <w:fldChar w:fldCharType="end"/>
        </w:r>
      </w:hyperlink>
    </w:p>
    <w:p w14:paraId="1DADD97A" w14:textId="6D881C95" w:rsidR="00A10D4F" w:rsidRDefault="00A10D4F">
      <w:pPr>
        <w:pStyle w:val="TOC1"/>
        <w:rPr>
          <w:rFonts w:asciiTheme="minorHAnsi" w:eastAsiaTheme="minorEastAsia" w:hAnsiTheme="minorHAnsi" w:cstheme="minorBidi"/>
          <w:b w:val="0"/>
          <w:noProof/>
          <w:szCs w:val="22"/>
          <w:lang w:val="en-US" w:eastAsia="en-US"/>
        </w:rPr>
      </w:pPr>
      <w:hyperlink w:anchor="_Toc89428350" w:history="1">
        <w:r w:rsidRPr="000658D2">
          <w:rPr>
            <w:rStyle w:val="Hyperlink"/>
            <w:bCs/>
            <w:noProof/>
            <w:kern w:val="28"/>
          </w:rPr>
          <w:t>ԱՂՅՈՒՍԱ</w:t>
        </w:r>
        <w:r w:rsidRPr="000658D2">
          <w:rPr>
            <w:rStyle w:val="Hyperlink"/>
            <w:bCs/>
            <w:noProof/>
            <w:kern w:val="28"/>
          </w:rPr>
          <w:t>Կ</w:t>
        </w:r>
        <w:r w:rsidRPr="000658D2">
          <w:rPr>
            <w:rStyle w:val="Hyperlink"/>
            <w:bCs/>
            <w:noProof/>
            <w:kern w:val="28"/>
          </w:rPr>
          <w:t>ՆԵՐ</w:t>
        </w:r>
        <w:r>
          <w:rPr>
            <w:noProof/>
            <w:webHidden/>
          </w:rPr>
          <w:tab/>
        </w:r>
        <w:r>
          <w:rPr>
            <w:noProof/>
            <w:webHidden/>
          </w:rPr>
          <w:fldChar w:fldCharType="begin"/>
        </w:r>
        <w:r>
          <w:rPr>
            <w:noProof/>
            <w:webHidden/>
          </w:rPr>
          <w:instrText xml:space="preserve"> PAGEREF _Toc89428350 \h </w:instrText>
        </w:r>
        <w:r>
          <w:rPr>
            <w:noProof/>
            <w:webHidden/>
          </w:rPr>
        </w:r>
        <w:r>
          <w:rPr>
            <w:noProof/>
            <w:webHidden/>
          </w:rPr>
          <w:fldChar w:fldCharType="separate"/>
        </w:r>
        <w:r>
          <w:rPr>
            <w:noProof/>
            <w:webHidden/>
          </w:rPr>
          <w:t>236</w:t>
        </w:r>
        <w:r>
          <w:rPr>
            <w:noProof/>
            <w:webHidden/>
          </w:rPr>
          <w:fldChar w:fldCharType="end"/>
        </w:r>
      </w:hyperlink>
    </w:p>
    <w:p w14:paraId="317CED59" w14:textId="10E49E5D" w:rsidR="00A10D4F" w:rsidRDefault="00A10D4F">
      <w:pPr>
        <w:pStyle w:val="TOC1"/>
        <w:rPr>
          <w:rFonts w:asciiTheme="minorHAnsi" w:eastAsiaTheme="minorEastAsia" w:hAnsiTheme="minorHAnsi" w:cstheme="minorBidi"/>
          <w:b w:val="0"/>
          <w:noProof/>
          <w:szCs w:val="22"/>
          <w:lang w:val="en-US" w:eastAsia="en-US"/>
        </w:rPr>
      </w:pPr>
      <w:hyperlink w:anchor="_Toc89428351" w:history="1">
        <w:r w:rsidRPr="000658D2">
          <w:rPr>
            <w:rStyle w:val="Hyperlink"/>
            <w:bCs/>
            <w:noProof/>
            <w:kern w:val="28"/>
          </w:rPr>
          <w:t>ԳԾԱՊԱՏԿԵՐՆԵՐ</w:t>
        </w:r>
        <w:r>
          <w:rPr>
            <w:noProof/>
            <w:webHidden/>
          </w:rPr>
          <w:tab/>
        </w:r>
        <w:r>
          <w:rPr>
            <w:noProof/>
            <w:webHidden/>
          </w:rPr>
          <w:fldChar w:fldCharType="begin"/>
        </w:r>
        <w:r>
          <w:rPr>
            <w:noProof/>
            <w:webHidden/>
          </w:rPr>
          <w:instrText xml:space="preserve"> PAGEREF _Toc89428351 \h </w:instrText>
        </w:r>
        <w:r>
          <w:rPr>
            <w:noProof/>
            <w:webHidden/>
          </w:rPr>
        </w:r>
        <w:r>
          <w:rPr>
            <w:noProof/>
            <w:webHidden/>
          </w:rPr>
          <w:fldChar w:fldCharType="separate"/>
        </w:r>
        <w:r>
          <w:rPr>
            <w:noProof/>
            <w:webHidden/>
          </w:rPr>
          <w:t>238</w:t>
        </w:r>
        <w:r>
          <w:rPr>
            <w:noProof/>
            <w:webHidden/>
          </w:rPr>
          <w:fldChar w:fldCharType="end"/>
        </w:r>
      </w:hyperlink>
    </w:p>
    <w:p w14:paraId="3A4F5973" w14:textId="16BDF5FB" w:rsidR="00EA08C6" w:rsidRPr="00A83C94" w:rsidRDefault="003C3925" w:rsidP="007730AA">
      <w:pPr>
        <w:pStyle w:val="TOC1"/>
        <w:spacing w:before="0" w:after="0" w:line="276" w:lineRule="auto"/>
        <w:rPr>
          <w:rFonts w:asciiTheme="minorHAnsi" w:eastAsiaTheme="minorEastAsia" w:hAnsiTheme="minorHAnsi" w:cstheme="minorBidi"/>
          <w:b w:val="0"/>
          <w:noProof/>
          <w:szCs w:val="22"/>
          <w:lang w:val="en-US" w:eastAsia="en-US"/>
        </w:rPr>
      </w:pPr>
      <w:r w:rsidRPr="00A83C94">
        <w:rPr>
          <w:rFonts w:cs="Sylfaen"/>
          <w:szCs w:val="22"/>
        </w:rPr>
        <w:fldChar w:fldCharType="end"/>
      </w:r>
      <w:r w:rsidR="001B485B" w:rsidRPr="00A83C94">
        <w:rPr>
          <w:rFonts w:asciiTheme="minorHAnsi" w:eastAsiaTheme="minorEastAsia" w:hAnsiTheme="minorHAnsi" w:cstheme="minorBidi"/>
          <w:b w:val="0"/>
          <w:noProof/>
          <w:szCs w:val="22"/>
          <w:lang w:val="en-US" w:eastAsia="en-US"/>
        </w:rPr>
        <w:t xml:space="preserve"> </w:t>
      </w:r>
    </w:p>
    <w:p w14:paraId="112752F1" w14:textId="77777777" w:rsidR="00AB23B9" w:rsidRPr="00A83C94" w:rsidRDefault="00CE662E" w:rsidP="007730AA">
      <w:pPr>
        <w:spacing w:before="0" w:line="276" w:lineRule="auto"/>
        <w:ind w:firstLine="0"/>
        <w:contextualSpacing w:val="0"/>
        <w:jc w:val="left"/>
        <w:rPr>
          <w:rFonts w:cs="Sylfaen"/>
          <w:b w:val="0"/>
          <w:bCs/>
          <w:kern w:val="28"/>
          <w:szCs w:val="22"/>
          <w:lang w:val="en-US"/>
        </w:rPr>
      </w:pPr>
      <w:r w:rsidRPr="00A83C94">
        <w:rPr>
          <w:rFonts w:cs="Sylfaen"/>
          <w:b w:val="0"/>
          <w:bCs/>
          <w:kern w:val="28"/>
          <w:szCs w:val="22"/>
          <w:lang w:val="en-US"/>
        </w:rPr>
        <w:br w:type="page"/>
      </w:r>
    </w:p>
    <w:p w14:paraId="2F7B3600" w14:textId="77777777" w:rsidR="008B1D49" w:rsidRPr="006B44AD" w:rsidRDefault="008B1D49" w:rsidP="008B1D49">
      <w:pPr>
        <w:keepNext/>
        <w:spacing w:before="0" w:line="276" w:lineRule="auto"/>
        <w:ind w:firstLine="450"/>
        <w:contextualSpacing w:val="0"/>
        <w:jc w:val="center"/>
        <w:outlineLvl w:val="2"/>
        <w:rPr>
          <w:szCs w:val="22"/>
          <w:lang w:val="hy-AM"/>
        </w:rPr>
      </w:pPr>
      <w:bookmarkStart w:id="0" w:name="_Toc89428249"/>
      <w:r>
        <w:rPr>
          <w:szCs w:val="22"/>
          <w:lang w:val="hy-AM"/>
        </w:rPr>
        <w:t>ՎԱՐՉԱՊԵՏ ՆԻԿՈԼ ՓԱՇԻՆՅԱՆԻ ՈՒ</w:t>
      </w:r>
      <w:r w:rsidRPr="006B44AD">
        <w:rPr>
          <w:szCs w:val="22"/>
          <w:lang w:val="hy-AM"/>
        </w:rPr>
        <w:t>ՂԵՐՁԸ 2022 ԹՎԱԿԱՆԻ ՀԱՅԱՍՏԱՆԻ ՀԱՆՐԱՊԵՏՈՒԹՅԱՆ ՊԵՏԱԿԱՆ ԲՅՈՒՋԵԻ ԸՆԴՈՒՆՄԱՆ ԱՌԻԹՈՎ</w:t>
      </w:r>
      <w:bookmarkEnd w:id="0"/>
    </w:p>
    <w:p w14:paraId="24D359DF" w14:textId="77777777" w:rsidR="008B1D49" w:rsidRDefault="008B1D49" w:rsidP="008B1D49">
      <w:pPr>
        <w:keepNext/>
        <w:spacing w:before="0" w:line="276" w:lineRule="auto"/>
        <w:ind w:firstLine="450"/>
        <w:contextualSpacing w:val="0"/>
        <w:jc w:val="center"/>
        <w:outlineLvl w:val="2"/>
        <w:rPr>
          <w:szCs w:val="22"/>
          <w:lang w:val="hy-AM"/>
        </w:rPr>
      </w:pPr>
    </w:p>
    <w:p w14:paraId="5B2B7882" w14:textId="77777777" w:rsidR="008B1D49" w:rsidRDefault="008B1D49" w:rsidP="008B1D49">
      <w:pPr>
        <w:keepNext/>
        <w:spacing w:before="0" w:line="276" w:lineRule="auto"/>
        <w:ind w:firstLine="450"/>
        <w:contextualSpacing w:val="0"/>
        <w:jc w:val="center"/>
        <w:outlineLvl w:val="2"/>
        <w:rPr>
          <w:szCs w:val="22"/>
          <w:lang w:val="hy-AM"/>
        </w:rPr>
      </w:pPr>
      <w:bookmarkStart w:id="1" w:name="_Toc83972795"/>
      <w:bookmarkStart w:id="2" w:name="_Toc83996305"/>
      <w:bookmarkStart w:id="3" w:name="_Toc89254298"/>
      <w:bookmarkStart w:id="4" w:name="_Toc89342521"/>
      <w:bookmarkStart w:id="5" w:name="_Toc89362217"/>
      <w:bookmarkStart w:id="6" w:name="_Toc89362684"/>
      <w:bookmarkStart w:id="7" w:name="_Toc89428250"/>
      <w:r>
        <w:rPr>
          <w:noProof/>
          <w:lang w:val="en-US" w:eastAsia="en-US"/>
        </w:rPr>
        <w:drawing>
          <wp:anchor distT="0" distB="0" distL="114300" distR="114300" simplePos="0" relativeHeight="251676672" behindDoc="0" locked="0" layoutInCell="1" allowOverlap="1" wp14:anchorId="37AC1B8E" wp14:editId="60A9E974">
            <wp:simplePos x="0" y="0"/>
            <wp:positionH relativeFrom="column">
              <wp:posOffset>0</wp:posOffset>
            </wp:positionH>
            <wp:positionV relativeFrom="paragraph">
              <wp:posOffset>144145</wp:posOffset>
            </wp:positionV>
            <wp:extent cx="3257550" cy="2171700"/>
            <wp:effectExtent l="0" t="0" r="0" b="0"/>
            <wp:wrapSquare wrapText="bothSides"/>
            <wp:docPr id="36" name="Picture 36" descr="Նիկոլ Փաշինյ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Նիկոլ Փաշինյան"/>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2171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bookmarkEnd w:id="7"/>
    </w:p>
    <w:p w14:paraId="2DBAEB6B" w14:textId="5B1504AD" w:rsidR="008B1D49" w:rsidRPr="00E3576C" w:rsidRDefault="008B1D49" w:rsidP="008B1D49">
      <w:pPr>
        <w:spacing w:line="276" w:lineRule="auto"/>
        <w:ind w:firstLine="0"/>
        <w:rPr>
          <w:b w:val="0"/>
          <w:szCs w:val="22"/>
          <w:lang w:val="hy-AM"/>
        </w:rPr>
      </w:pPr>
      <w:r w:rsidRPr="00E3576C">
        <w:rPr>
          <w:b w:val="0"/>
          <w:szCs w:val="22"/>
          <w:lang w:val="hy-AM"/>
        </w:rPr>
        <w:t xml:space="preserve">Այսօր Հայաստանը կանգնած է դժվարին մարտահրավերների առջև: Դեռևս հաղթահարված չեն համավարակի և </w:t>
      </w:r>
      <w:r w:rsidR="00825371">
        <w:rPr>
          <w:b w:val="0"/>
          <w:szCs w:val="22"/>
          <w:lang w:val="hy-AM"/>
        </w:rPr>
        <w:t>Ա</w:t>
      </w:r>
      <w:r w:rsidRPr="00E3576C">
        <w:rPr>
          <w:b w:val="0"/>
          <w:szCs w:val="22"/>
          <w:lang w:val="hy-AM"/>
        </w:rPr>
        <w:t xml:space="preserve">րցախյան </w:t>
      </w:r>
      <w:r w:rsidRPr="006E0AE4">
        <w:rPr>
          <w:b w:val="0"/>
          <w:szCs w:val="22"/>
          <w:lang w:val="hy-AM"/>
        </w:rPr>
        <w:t>44 օրյա</w:t>
      </w:r>
      <w:r w:rsidRPr="00E3576C">
        <w:rPr>
          <w:b w:val="0"/>
          <w:szCs w:val="22"/>
          <w:lang w:val="hy-AM"/>
        </w:rPr>
        <w:t xml:space="preserve"> պատերազմի տնտեսական, սոցիալական և անվտանգային աղետալի հետևանքները և մարտահրավերները: 2021 թվականին տեղի ունեցած ԱԺ ընտրություններով հաղթահարվեց քաղաքական ճգնաժամը և ամուր հիմքեր ստեղծվեցին համախմբման և դեպի ապագա նայելու հայ ժողովրդի ձգտման համար:</w:t>
      </w:r>
    </w:p>
    <w:p w14:paraId="76E639B1" w14:textId="77777777" w:rsidR="008B1D49" w:rsidRPr="00E3576C" w:rsidRDefault="008B1D49" w:rsidP="008B1D49">
      <w:pPr>
        <w:spacing w:line="276" w:lineRule="auto"/>
        <w:rPr>
          <w:b w:val="0"/>
          <w:szCs w:val="22"/>
          <w:lang w:val="hy-AM"/>
        </w:rPr>
      </w:pPr>
      <w:r w:rsidRPr="00E3576C">
        <w:rPr>
          <w:b w:val="0"/>
          <w:szCs w:val="22"/>
          <w:lang w:val="hy-AM"/>
        </w:rPr>
        <w:t>Օգոստոսին մենք ներկայացրեցինք կառավարության 2021-2026թթ. գործունեության ծրագիրը, որը պետք է հիմքեր ստեղծի միջանժամկետ հատվածում Հայաստանի Հանրապետության խաղաղ, կայուն և ներառական զարգացման համար: Մեր նպատակադրումները հավակնոտ են և իրատեսական: Մենք գիտակցում ենք, որ</w:t>
      </w:r>
      <w:r>
        <w:rPr>
          <w:b w:val="0"/>
          <w:szCs w:val="22"/>
          <w:lang w:val="hy-AM"/>
        </w:rPr>
        <w:t xml:space="preserve"> դրանք կյանքի կոչելու համար անհ</w:t>
      </w:r>
      <w:r w:rsidRPr="00E3576C">
        <w:rPr>
          <w:b w:val="0"/>
          <w:szCs w:val="22"/>
          <w:lang w:val="hy-AM"/>
        </w:rPr>
        <w:t>ր</w:t>
      </w:r>
      <w:r w:rsidRPr="005B2800">
        <w:rPr>
          <w:b w:val="0"/>
          <w:szCs w:val="22"/>
          <w:lang w:val="hy-AM"/>
        </w:rPr>
        <w:t>ա</w:t>
      </w:r>
      <w:r w:rsidRPr="00E3576C">
        <w:rPr>
          <w:b w:val="0"/>
          <w:szCs w:val="22"/>
          <w:lang w:val="hy-AM"/>
        </w:rPr>
        <w:t xml:space="preserve">ժեշտ են ոչ միայն տնտեսական միջամտություններ կառավարության կողմից, այլև հասարակական և մշակութային վերափոխումներ: </w:t>
      </w:r>
    </w:p>
    <w:p w14:paraId="794022A0" w14:textId="77777777" w:rsidR="008B1D49" w:rsidRPr="00B45B70" w:rsidRDefault="008B1D49" w:rsidP="008B1D49">
      <w:pPr>
        <w:spacing w:line="276" w:lineRule="auto"/>
        <w:rPr>
          <w:b w:val="0"/>
          <w:szCs w:val="22"/>
          <w:lang w:val="hy-AM"/>
        </w:rPr>
      </w:pPr>
      <w:r w:rsidRPr="00E3576C">
        <w:rPr>
          <w:b w:val="0"/>
          <w:szCs w:val="22"/>
          <w:lang w:val="hy-AM"/>
        </w:rPr>
        <w:t>Առաջին հերթին կարևորում ենք պետական կառավարման համակարգի արդյունավետության բարձրացումը և աշխատանքային մշակույթի վերափոխումը: Ամենակարևորը, թերևս, պլանավորման և իրագործման մշակույթն է, ծրագրերի իրագործման գործընթացները, որոնց անկատարությունը բերում է կապիտալ ծախսերի թերակատարումների և հետևաբար կառավա</w:t>
      </w:r>
      <w:r>
        <w:rPr>
          <w:b w:val="0"/>
          <w:szCs w:val="22"/>
          <w:lang w:val="hy-AM"/>
        </w:rPr>
        <w:t>րության կողմից սահմանված նպատակ</w:t>
      </w:r>
      <w:r w:rsidRPr="00E3576C">
        <w:rPr>
          <w:b w:val="0"/>
          <w:szCs w:val="22"/>
          <w:lang w:val="hy-AM"/>
        </w:rPr>
        <w:t xml:space="preserve">ների իրագործման դանդաղման: Այս առումով էական դեր ունի նաև մասնավոր հատվածի կարողությունների զարգացումը և դրան ուղղված կառավարության ջանքերը սկսել են արդյունքներ տալ ի դեմս այն ընկերությունների, որոնք պետական կապիտալ շինարարության ոլորտում մրցունակ լինելու համար ներդրումներ են անում՝ այսպիսով ձգտելով ծրագրերն իրականացնել որակով և ժամանակին: Կառավարությունը մտադիր է շարունակել այս ոլորտում ներդրումները խթանող քաղաքականությունը դրա համար </w:t>
      </w:r>
      <w:r w:rsidRPr="00B45B70">
        <w:rPr>
          <w:b w:val="0"/>
          <w:szCs w:val="22"/>
          <w:lang w:val="hy-AM"/>
        </w:rPr>
        <w:t xml:space="preserve">կիրառելով երեք հիմնական գործիք՝ պետական գնումների համակարգի թափանցիկություն, մրցույթի դրվող լոտերի ծավալների մեծացում, հուսալի ընկերությունների հետ հարաբերությունների պարզեցմանն ուղղված օրենսդրական նորամուծություններ: </w:t>
      </w:r>
    </w:p>
    <w:p w14:paraId="2C7D408C" w14:textId="77777777" w:rsidR="008B1D49" w:rsidRPr="00E3576C" w:rsidRDefault="008B1D49" w:rsidP="008B1D49">
      <w:pPr>
        <w:spacing w:line="276" w:lineRule="auto"/>
        <w:rPr>
          <w:b w:val="0"/>
          <w:szCs w:val="22"/>
          <w:lang w:val="hy-AM"/>
        </w:rPr>
      </w:pPr>
      <w:r w:rsidRPr="00B45B70">
        <w:rPr>
          <w:b w:val="0"/>
          <w:szCs w:val="22"/>
          <w:lang w:val="hy-AM"/>
        </w:rPr>
        <w:t>Հաջորդ կարևորագույն խնդիրը վերլուծական կարողությունների զարգացումն է, ինչը թույլ կտա բարձրացնել ծախսերի, ներդրումների արդյունավետությունը, սոցիալական ծրագրերի հասցեականությունը: Արդյունքում</w:t>
      </w:r>
      <w:r w:rsidRPr="00E3576C">
        <w:rPr>
          <w:b w:val="0"/>
          <w:szCs w:val="22"/>
          <w:lang w:val="hy-AM"/>
        </w:rPr>
        <w:t>՝ կբարձրանա նաև Հայաստանի Հանրապետության քաղաքացիների վստահությունը, որ իրենց հարկերը ծախսվում են առավել արդյունավետ և թիրախային: Հայաստանի քաղաքացիները ամեն օր պետք է զգան կառավարության կողմից իրականացվող միջոցառումների ազդեցությունը իրենց կյանքի վրա: Սրա կարևոր բաղադրիչ է հանդիսանում հասարակության լայն շերտերի ներգրավվածությունը բյուջեի կազմման և իրականացման տարբեր փուլերում, ինչի ուղղությամբ արդեն իսկ բավականին քայլեր են արվել նախորդ 3 տարիների ընթացքում և մեծ ուշադրություն է դարձվելու առաջիկայում:</w:t>
      </w:r>
    </w:p>
    <w:p w14:paraId="5C220E67" w14:textId="77777777" w:rsidR="008B1D49" w:rsidRPr="00E3576C" w:rsidRDefault="008B1D49" w:rsidP="008B1D49">
      <w:pPr>
        <w:spacing w:line="276" w:lineRule="auto"/>
        <w:rPr>
          <w:b w:val="0"/>
          <w:szCs w:val="22"/>
          <w:lang w:val="hy-AM"/>
        </w:rPr>
      </w:pPr>
      <w:r w:rsidRPr="00E3576C">
        <w:rPr>
          <w:b w:val="0"/>
          <w:szCs w:val="22"/>
          <w:lang w:val="hy-AM"/>
        </w:rPr>
        <w:t xml:space="preserve">2022 թվականի բյուջեն հենվում է 3 հիմնական առաջնահերթությունների վրա՝ </w:t>
      </w:r>
    </w:p>
    <w:p w14:paraId="218F7391" w14:textId="77777777" w:rsidR="008B1D49" w:rsidRPr="00E3576C" w:rsidRDefault="008B1D49" w:rsidP="008B1D49">
      <w:pPr>
        <w:spacing w:line="276" w:lineRule="auto"/>
        <w:rPr>
          <w:b w:val="0"/>
          <w:szCs w:val="22"/>
          <w:lang w:val="hy-AM"/>
        </w:rPr>
      </w:pPr>
      <w:r w:rsidRPr="00E3576C">
        <w:rPr>
          <w:b w:val="0"/>
          <w:szCs w:val="22"/>
          <w:lang w:val="hy-AM"/>
        </w:rPr>
        <w:t>1.Անվտանգության համակարգի բարեփոխում,</w:t>
      </w:r>
    </w:p>
    <w:p w14:paraId="1751359B" w14:textId="77777777" w:rsidR="008B1D49" w:rsidRPr="00925694" w:rsidRDefault="008B1D49" w:rsidP="008B1D49">
      <w:pPr>
        <w:spacing w:line="276" w:lineRule="auto"/>
        <w:rPr>
          <w:b w:val="0"/>
          <w:szCs w:val="22"/>
          <w:lang w:val="hy-AM"/>
        </w:rPr>
      </w:pPr>
      <w:r w:rsidRPr="00E3576C">
        <w:rPr>
          <w:b w:val="0"/>
          <w:szCs w:val="22"/>
          <w:lang w:val="hy-AM"/>
        </w:rPr>
        <w:t>2.</w:t>
      </w:r>
      <w:r w:rsidRPr="00925694">
        <w:rPr>
          <w:b w:val="0"/>
          <w:szCs w:val="22"/>
          <w:lang w:val="hy-AM"/>
        </w:rPr>
        <w:t>Ենթակառուցվածքների զարգացում,</w:t>
      </w:r>
    </w:p>
    <w:p w14:paraId="21822A11" w14:textId="77777777" w:rsidR="008B1D49" w:rsidRPr="00E3576C" w:rsidRDefault="008B1D49" w:rsidP="008B1D49">
      <w:pPr>
        <w:spacing w:after="160" w:line="276" w:lineRule="auto"/>
        <w:rPr>
          <w:b w:val="0"/>
          <w:szCs w:val="22"/>
          <w:lang w:val="hy-AM"/>
        </w:rPr>
      </w:pPr>
      <w:r w:rsidRPr="00925694">
        <w:rPr>
          <w:b w:val="0"/>
          <w:szCs w:val="22"/>
          <w:lang w:val="hy-AM"/>
        </w:rPr>
        <w:t>3. Կրթության և գիտության արդիականացում:</w:t>
      </w:r>
    </w:p>
    <w:p w14:paraId="19948ED7" w14:textId="77777777" w:rsidR="008B1D49" w:rsidRPr="00E3576C" w:rsidRDefault="008B1D49" w:rsidP="008B1D49">
      <w:pPr>
        <w:spacing w:line="276" w:lineRule="auto"/>
        <w:rPr>
          <w:b w:val="0"/>
          <w:szCs w:val="22"/>
          <w:lang w:val="hy-AM"/>
        </w:rPr>
      </w:pPr>
      <w:r w:rsidRPr="00E3576C">
        <w:rPr>
          <w:b w:val="0"/>
          <w:szCs w:val="22"/>
          <w:lang w:val="hy-AM"/>
        </w:rPr>
        <w:t xml:space="preserve">Մեծ ուշադրություն ենք դարձնելու անվտանգության ապահովմանը, առանց որի հնարավոր չի լինի իրագործել երակարժամկետ զարգացման նպատակները: Այս իմաստով կարևոր է ոչ միայն բանակի պաշտպանական կարողությունների արդիականացումը այլև Հայաստանի Հանրապետության շուրջ բարենպաստ արտաքին միջավայրի ձևավորումը, Հայաստանի, Արցախի և տարածաշրջանի համար խաղաղ զարգացման դարաշրջան բացելու օրակարգի հետևողական իրագործումը: </w:t>
      </w:r>
    </w:p>
    <w:p w14:paraId="73389E93" w14:textId="77777777" w:rsidR="008B1D49" w:rsidRPr="00925694" w:rsidRDefault="008B1D49" w:rsidP="008B1D49">
      <w:pPr>
        <w:spacing w:line="276" w:lineRule="auto"/>
        <w:rPr>
          <w:b w:val="0"/>
          <w:szCs w:val="22"/>
          <w:lang w:val="hy-AM"/>
        </w:rPr>
      </w:pPr>
      <w:r w:rsidRPr="00E3576C">
        <w:rPr>
          <w:b w:val="0"/>
          <w:szCs w:val="22"/>
          <w:lang w:val="hy-AM"/>
        </w:rPr>
        <w:t xml:space="preserve">Այս իմաստով կարևոր է նաև տարածաշրջանային տնտեսական և տրանսպորտային ենթակառուցվածքների վերաբացումը և զարգացումը, որը կարող է որակապես փոխել Հայաստանի Հանրապետության տնտեսության բովանդակությունը և կառուցվածքը, լրացուցիչ խթան դառնալ ներհայաստանյան </w:t>
      </w:r>
      <w:r w:rsidRPr="00925694">
        <w:rPr>
          <w:b w:val="0"/>
          <w:szCs w:val="22"/>
          <w:lang w:val="hy-AM"/>
        </w:rPr>
        <w:t xml:space="preserve">ենթակառուցվածքների զարգացման համար, ապահովել երակարաժամկետ ներառական տնտեսական աճ՝ Հայաստանի քաղաքացիների համար ստեղծելով հավասար պայմաններ տնտեսական գործունեության մեջ ներգրավվելու համար, էականորեն բարձրացնել մեր երկրի գրավչությունը օտարերկրյա ուղղակի ներդրումների համար:  </w:t>
      </w:r>
    </w:p>
    <w:p w14:paraId="5E2870C0" w14:textId="77777777" w:rsidR="008B1D49" w:rsidRPr="00E3576C" w:rsidRDefault="008B1D49" w:rsidP="008B1D49">
      <w:pPr>
        <w:spacing w:line="276" w:lineRule="auto"/>
        <w:rPr>
          <w:b w:val="0"/>
          <w:szCs w:val="22"/>
          <w:lang w:val="hy-AM"/>
        </w:rPr>
      </w:pPr>
      <w:r w:rsidRPr="00925694">
        <w:rPr>
          <w:b w:val="0"/>
          <w:szCs w:val="22"/>
          <w:lang w:val="hy-AM"/>
        </w:rPr>
        <w:t>Նաև այս համատեքստում կրթության զարգացումը առանցքային նշանակություն ունի</w:t>
      </w:r>
      <w:r w:rsidRPr="00E3576C">
        <w:rPr>
          <w:b w:val="0"/>
          <w:szCs w:val="22"/>
          <w:lang w:val="hy-AM"/>
        </w:rPr>
        <w:t xml:space="preserve"> Հայաստանի համար, ուստի կրթության հասենելիությունը, ներառական զարգացումը և բովանդակային բարեփոխումը մեր երկարաժամկետ առաջնահերթությունն է: Մեր նպատակն է՝ անձի կրթությունը և շարունակական զարգացումը դարձնել կենսակերպ՝ սա է ժամանակակից աշխարհում մրցունակ ազգ լինելու միակ ճանապարհը: Գիտության և տեխնոլոգիական ոլորտի զարգացումը այս պրոցեսի տրամաբանական շարունակությունն է և այստեղ էլ կառավարությունը արդեն իսկ ներդնում է ֆինանսավորման նոր բանաձևեր:  </w:t>
      </w:r>
    </w:p>
    <w:p w14:paraId="507A5F9F" w14:textId="77777777" w:rsidR="008B1D49" w:rsidRPr="00E3576C" w:rsidRDefault="008B1D49" w:rsidP="008B1D49">
      <w:pPr>
        <w:spacing w:line="276" w:lineRule="auto"/>
        <w:rPr>
          <w:b w:val="0"/>
          <w:szCs w:val="22"/>
          <w:lang w:val="hy-AM"/>
        </w:rPr>
      </w:pPr>
      <w:r w:rsidRPr="00E3576C">
        <w:rPr>
          <w:b w:val="0"/>
          <w:szCs w:val="22"/>
          <w:lang w:val="hy-AM"/>
        </w:rPr>
        <w:t xml:space="preserve">Իհարկե, հնարավոր չէ մեկ բյուջեով լուծել պետության առջև ծառացած բոլոր հարցերը, մենք պետք է դուրս գանք ամեն ինչ անելու և ըստ էության ոչինչ չանելու իներցիոն տեղապտույտից: 2022 թվականի բյուջեում մենք ձգտել ենք զգուշորեն բալանսավորել կառավարության առաջնահերթությունները և միաժամանակ ապահովել տարատեսակ ֆիսկալ ռիսկերի կառավարելիությունը: Մենք սահմանում ենք մեր ռազմավարական նպատակները և նրանց իրականացման առաջնահերթությունները այնպես, որ նրանցից յուրաքանչյուրի իրականացումը հիմքեր ստեղծի մյուսների արդյունավետ իրագործման համար: </w:t>
      </w:r>
    </w:p>
    <w:p w14:paraId="01B349DB" w14:textId="77777777" w:rsidR="008B1D49" w:rsidRPr="00E3576C" w:rsidRDefault="008B1D49" w:rsidP="008B1D49">
      <w:pPr>
        <w:spacing w:line="276" w:lineRule="auto"/>
        <w:rPr>
          <w:b w:val="0"/>
          <w:szCs w:val="22"/>
          <w:lang w:val="hy-AM"/>
        </w:rPr>
      </w:pPr>
      <w:r w:rsidRPr="00E3576C">
        <w:rPr>
          <w:b w:val="0"/>
          <w:szCs w:val="22"/>
          <w:lang w:val="hy-AM"/>
        </w:rPr>
        <w:t>Մենք վստահ ենք, որ կառավարության ծրագիրը ունենալու է հաջող իրագործում՝ ապահովելու Հայաստանի քաղաքացիների անվտանգությունը, բարեկեցությունը և արժանապատիվ կյանքը:</w:t>
      </w:r>
    </w:p>
    <w:p w14:paraId="56250A09" w14:textId="77777777" w:rsidR="008B1D49" w:rsidRDefault="008B1D49" w:rsidP="008B1D49">
      <w:pPr>
        <w:spacing w:line="276" w:lineRule="auto"/>
        <w:rPr>
          <w:sz w:val="24"/>
          <w:lang w:val="hy-AM"/>
        </w:rPr>
      </w:pPr>
    </w:p>
    <w:p w14:paraId="65FECCF1" w14:textId="77777777" w:rsidR="008B1D49" w:rsidRDefault="008B1D49" w:rsidP="008B1D49">
      <w:pPr>
        <w:spacing w:line="276" w:lineRule="auto"/>
        <w:rPr>
          <w:sz w:val="24"/>
          <w:lang w:val="hy-AM"/>
        </w:rPr>
      </w:pPr>
    </w:p>
    <w:p w14:paraId="7B0929F1" w14:textId="77777777" w:rsidR="008B1D49" w:rsidRDefault="008B1D49" w:rsidP="008B1D49">
      <w:pPr>
        <w:spacing w:line="276" w:lineRule="auto"/>
        <w:rPr>
          <w:sz w:val="24"/>
          <w:lang w:val="hy-AM"/>
        </w:rPr>
      </w:pPr>
    </w:p>
    <w:p w14:paraId="299AEE13" w14:textId="77777777" w:rsidR="008B1D49" w:rsidRDefault="008B1D49" w:rsidP="008B1D49">
      <w:pPr>
        <w:spacing w:line="276" w:lineRule="auto"/>
        <w:rPr>
          <w:sz w:val="24"/>
          <w:lang w:val="hy-AM"/>
        </w:rPr>
      </w:pPr>
    </w:p>
    <w:p w14:paraId="2CA5A9F0" w14:textId="6C96E154" w:rsidR="002E585F" w:rsidRPr="00603B06" w:rsidRDefault="002E585F" w:rsidP="007730AA">
      <w:pPr>
        <w:spacing w:before="0" w:line="276" w:lineRule="auto"/>
        <w:jc w:val="center"/>
        <w:rPr>
          <w:b w:val="0"/>
          <w:sz w:val="32"/>
          <w:szCs w:val="32"/>
          <w:lang w:val="hy-AM"/>
        </w:rPr>
      </w:pPr>
      <w:r w:rsidRPr="00603B06">
        <w:rPr>
          <w:sz w:val="32"/>
          <w:szCs w:val="32"/>
          <w:lang w:val="hy-AM"/>
        </w:rPr>
        <w:t>ՀԱՅԱՍՏԱՆԻ</w:t>
      </w:r>
      <w:r w:rsidR="00454241" w:rsidRPr="00603B06">
        <w:rPr>
          <w:sz w:val="32"/>
          <w:szCs w:val="32"/>
          <w:lang w:val="hy-AM"/>
        </w:rPr>
        <w:t xml:space="preserve"> </w:t>
      </w:r>
      <w:r w:rsidRPr="00603B06">
        <w:rPr>
          <w:sz w:val="32"/>
          <w:szCs w:val="32"/>
          <w:lang w:val="hy-AM"/>
        </w:rPr>
        <w:t>ՀԱՆՐԱՊԵՏՈՒԹՅԱՆ</w:t>
      </w:r>
      <w:r w:rsidR="00DD1B33" w:rsidRPr="00603B06">
        <w:rPr>
          <w:sz w:val="32"/>
          <w:szCs w:val="32"/>
          <w:lang w:val="hy-AM"/>
        </w:rPr>
        <w:t xml:space="preserve"> </w:t>
      </w:r>
      <w:r w:rsidRPr="00603B06">
        <w:rPr>
          <w:sz w:val="32"/>
          <w:szCs w:val="32"/>
          <w:lang w:val="hy-AM"/>
        </w:rPr>
        <w:t>ԿԱՌԱՎԱՐՈՒԹՅԱՆ</w:t>
      </w:r>
      <w:r w:rsidR="00DD1B33" w:rsidRPr="00603B06">
        <w:rPr>
          <w:sz w:val="32"/>
          <w:szCs w:val="32"/>
          <w:lang w:val="hy-AM"/>
        </w:rPr>
        <w:t xml:space="preserve"> ԶԵԿՈՒՅՑԸ</w:t>
      </w:r>
    </w:p>
    <w:p w14:paraId="6A75337A" w14:textId="77777777" w:rsidR="00922CF5" w:rsidRPr="00603B06" w:rsidRDefault="00922CF5" w:rsidP="007730AA">
      <w:pPr>
        <w:widowControl w:val="0"/>
        <w:tabs>
          <w:tab w:val="left" w:pos="851"/>
          <w:tab w:val="left" w:pos="993"/>
        </w:tabs>
        <w:spacing w:before="0" w:line="276" w:lineRule="auto"/>
        <w:ind w:firstLine="450"/>
        <w:contextualSpacing w:val="0"/>
        <w:rPr>
          <w:b w:val="0"/>
          <w:szCs w:val="22"/>
          <w:lang w:val="hy-AM"/>
        </w:rPr>
      </w:pPr>
    </w:p>
    <w:p w14:paraId="2D44C09D" w14:textId="77777777" w:rsidR="00922CF5" w:rsidRPr="00603B06" w:rsidRDefault="00922CF5" w:rsidP="007730AA">
      <w:pPr>
        <w:keepNext/>
        <w:spacing w:before="0" w:line="276" w:lineRule="auto"/>
        <w:ind w:firstLine="450"/>
        <w:contextualSpacing w:val="0"/>
        <w:jc w:val="left"/>
        <w:outlineLvl w:val="2"/>
        <w:rPr>
          <w:szCs w:val="22"/>
          <w:lang w:val="hy-AM"/>
        </w:rPr>
      </w:pPr>
      <w:bookmarkStart w:id="8" w:name="_Toc89428251"/>
      <w:r w:rsidRPr="00603B06">
        <w:rPr>
          <w:szCs w:val="22"/>
          <w:lang w:val="hy-AM"/>
        </w:rPr>
        <w:t>ՆԵՐԱԾՈՒԹՅՈՒՆ</w:t>
      </w:r>
      <w:bookmarkEnd w:id="8"/>
    </w:p>
    <w:p w14:paraId="419E1316" w14:textId="77777777" w:rsidR="00922CF5" w:rsidRPr="00603B06" w:rsidRDefault="00922CF5" w:rsidP="007730AA">
      <w:pPr>
        <w:widowControl w:val="0"/>
        <w:tabs>
          <w:tab w:val="left" w:pos="851"/>
          <w:tab w:val="left" w:pos="993"/>
        </w:tabs>
        <w:spacing w:before="0" w:line="276" w:lineRule="auto"/>
        <w:ind w:firstLine="450"/>
        <w:contextualSpacing w:val="0"/>
        <w:rPr>
          <w:b w:val="0"/>
          <w:szCs w:val="22"/>
          <w:lang w:val="hy-AM"/>
        </w:rPr>
      </w:pPr>
    </w:p>
    <w:p w14:paraId="318F0E39" w14:textId="77777777" w:rsidR="00982E78" w:rsidRPr="00A83C94" w:rsidRDefault="00982E78" w:rsidP="00982E78">
      <w:pPr>
        <w:pStyle w:val="BodyText2"/>
      </w:pPr>
      <w:r w:rsidRPr="00A83C94">
        <w:t>2022 թվականի բյուջետավորման քաղաքականությունը իրականացվել է ՀՀ կառավարության 2021-2026թթ. ծրագրի առաջնահերթությունների շուրջ:</w:t>
      </w:r>
    </w:p>
    <w:p w14:paraId="58217899" w14:textId="14165EC5" w:rsidR="00982E78" w:rsidRPr="00A83C94" w:rsidRDefault="00982E78" w:rsidP="00982E78">
      <w:pPr>
        <w:pStyle w:val="BodyText2"/>
      </w:pPr>
      <w:r w:rsidRPr="00A83C94">
        <w:t xml:space="preserve">Իրականացվելիք միջոցառումների հիմնական նպատակը լինելու է տնտեսության մրցունակության և արտադրողականության աճը: Կառավարությունը թիրախավորում է երկարատև բարձր տնտեսական աճի </w:t>
      </w:r>
      <w:r w:rsidR="00AF0CBF" w:rsidRPr="00A83C94">
        <w:t>ապահով</w:t>
      </w:r>
      <w:r w:rsidR="00EC6F75" w:rsidRPr="00A83C94">
        <w:t>ումը</w:t>
      </w:r>
      <w:r w:rsidRPr="00A83C94">
        <w:t>՝ առնվազն տարեկան 7%, իսկ բարենպաստ արտաքին միջավայրի դեպքում 9%։</w:t>
      </w:r>
      <w:r w:rsidR="00EC6F75" w:rsidRPr="00A83C94">
        <w:t xml:space="preserve"> 2022թ. բյուջեն այդ նոր ժամանակաշրջանի առաջին տարվա ֆինանսական պլանն է և արտացոլում է դրան ուղղված տնտեսական և սոցիալական քաղաքականությնների բովանդակությունը: </w:t>
      </w:r>
    </w:p>
    <w:p w14:paraId="171C61E6" w14:textId="77777777" w:rsidR="00982E78" w:rsidRPr="00A83C94" w:rsidRDefault="00982E78" w:rsidP="00982E78">
      <w:pPr>
        <w:spacing w:before="0" w:line="276" w:lineRule="auto"/>
        <w:rPr>
          <w:rFonts w:eastAsia="Calibri"/>
          <w:b w:val="0"/>
          <w:szCs w:val="22"/>
          <w:lang w:val="hy-AM" w:eastAsia="en-US"/>
        </w:rPr>
      </w:pPr>
      <w:r w:rsidRPr="00A83C94">
        <w:rPr>
          <w:rFonts w:eastAsia="Calibri"/>
          <w:b w:val="0"/>
          <w:szCs w:val="22"/>
          <w:lang w:val="hy-AM" w:eastAsia="en-US"/>
        </w:rPr>
        <w:t xml:space="preserve">Կառավարության տնտեսական քաղաքականության նպատակներն են. </w:t>
      </w:r>
    </w:p>
    <w:p w14:paraId="36E45FA4" w14:textId="77777777" w:rsidR="00982E78" w:rsidRPr="00A83C94" w:rsidRDefault="00982E78" w:rsidP="00982E78">
      <w:pPr>
        <w:pStyle w:val="ListParagraph"/>
        <w:numPr>
          <w:ilvl w:val="0"/>
          <w:numId w:val="41"/>
        </w:numPr>
        <w:spacing w:before="0" w:line="276" w:lineRule="auto"/>
        <w:rPr>
          <w:rFonts w:eastAsia="Calibri"/>
          <w:b w:val="0"/>
          <w:szCs w:val="22"/>
          <w:lang w:val="hy-AM" w:eastAsia="en-US"/>
        </w:rPr>
      </w:pPr>
      <w:r w:rsidRPr="00A83C94">
        <w:rPr>
          <w:rFonts w:eastAsia="Calibri"/>
          <w:b w:val="0"/>
          <w:szCs w:val="22"/>
          <w:lang w:val="hy-AM" w:eastAsia="en-US"/>
        </w:rPr>
        <w:t xml:space="preserve">տնտեսական հնարավորությունների ընդլայնումը և դրանց հավասար հասանելիության ապահովումը, </w:t>
      </w:r>
    </w:p>
    <w:p w14:paraId="7235DB0F" w14:textId="24AECF15" w:rsidR="00982E78" w:rsidRPr="00A83C94" w:rsidRDefault="00982E78" w:rsidP="00982E78">
      <w:pPr>
        <w:pStyle w:val="ListParagraph"/>
        <w:numPr>
          <w:ilvl w:val="0"/>
          <w:numId w:val="41"/>
        </w:numPr>
        <w:spacing w:before="0" w:line="276" w:lineRule="auto"/>
        <w:rPr>
          <w:rFonts w:eastAsia="Calibri"/>
          <w:b w:val="0"/>
          <w:szCs w:val="22"/>
          <w:lang w:val="hy-AM" w:eastAsia="en-US"/>
        </w:rPr>
      </w:pPr>
      <w:r w:rsidRPr="00A83C94">
        <w:rPr>
          <w:rFonts w:eastAsia="Calibri"/>
          <w:b w:val="0"/>
          <w:szCs w:val="22"/>
          <w:lang w:val="hy-AM" w:eastAsia="en-US"/>
        </w:rPr>
        <w:t>մարդու ներքին կարողությունների զարգացման և իրացման միջոցով</w:t>
      </w:r>
      <w:r w:rsidR="00DB0F78" w:rsidRPr="00A83C94">
        <w:rPr>
          <w:rFonts w:eastAsia="Calibri"/>
          <w:b w:val="0"/>
          <w:szCs w:val="22"/>
          <w:lang w:val="hy-AM" w:eastAsia="en-US"/>
        </w:rPr>
        <w:t>՝</w:t>
      </w:r>
      <w:r w:rsidRPr="00A83C94">
        <w:rPr>
          <w:rFonts w:eastAsia="Calibri"/>
          <w:b w:val="0"/>
          <w:szCs w:val="22"/>
          <w:lang w:val="hy-AM" w:eastAsia="en-US"/>
        </w:rPr>
        <w:t xml:space="preserve"> միջին խավի բարեկեցության աճն ու աղքատության կրճատումը։ </w:t>
      </w:r>
    </w:p>
    <w:p w14:paraId="1721CF67" w14:textId="473E70A5" w:rsidR="00982E78" w:rsidRPr="00A83C94" w:rsidRDefault="00DB0F78" w:rsidP="00982E78">
      <w:pPr>
        <w:pStyle w:val="BodyText2"/>
      </w:pPr>
      <w:r w:rsidRPr="00A83C94">
        <w:t xml:space="preserve">Ուղղորդվելով </w:t>
      </w:r>
      <w:r w:rsidR="00982E78" w:rsidRPr="00A83C94">
        <w:t>ՀՀ կառավարության 2021-2026թթ. ծրագրի առաջնահերթություններ</w:t>
      </w:r>
      <w:r w:rsidRPr="00A83C94">
        <w:t>ով՝</w:t>
      </w:r>
      <w:r w:rsidR="00982E78" w:rsidRPr="00A83C94">
        <w:t xml:space="preserve"> 2022 թվականին նախատեսվ</w:t>
      </w:r>
      <w:r w:rsidR="006B55A7" w:rsidRPr="00A83C94">
        <w:t>ում է</w:t>
      </w:r>
      <w:r w:rsidR="00982E78" w:rsidRPr="00A83C94">
        <w:t xml:space="preserve"> իրականացնել սոցիալական, կրթական, ենթակառուցվածքային բնույթի մի շարք առաջնահերթ միջոցառումներ, </w:t>
      </w:r>
      <w:r w:rsidR="006B55A7" w:rsidRPr="00A83C94">
        <w:t>որոնցից առավել հատկանշական են՝</w:t>
      </w:r>
      <w:r w:rsidR="00982E78" w:rsidRPr="00A83C94">
        <w:t xml:space="preserve"> </w:t>
      </w:r>
    </w:p>
    <w:p w14:paraId="071E6D20" w14:textId="38FE7D94" w:rsidR="00982E78" w:rsidRPr="00A83C94" w:rsidRDefault="00982E78" w:rsidP="00982E78">
      <w:pPr>
        <w:pStyle w:val="BodyText2"/>
        <w:numPr>
          <w:ilvl w:val="0"/>
          <w:numId w:val="48"/>
        </w:numPr>
        <w:ind w:left="0" w:firstLine="426"/>
      </w:pPr>
      <w:r w:rsidRPr="00A83C94">
        <w:t xml:space="preserve">  ջրամբարաշինության </w:t>
      </w:r>
      <w:r w:rsidR="006B55A7" w:rsidRPr="00A83C94">
        <w:t xml:space="preserve">նոր </w:t>
      </w:r>
      <w:r w:rsidRPr="00A83C94">
        <w:t>ծրագրեր</w:t>
      </w:r>
      <w:r w:rsidR="006B55A7" w:rsidRPr="00A83C94">
        <w:t>ի իրականացումը</w:t>
      </w:r>
      <w:r w:rsidRPr="00A83C94">
        <w:t xml:space="preserve">: </w:t>
      </w:r>
      <w:r w:rsidR="00DB0F78" w:rsidRPr="00A83C94">
        <w:t>Արդյունքում՝</w:t>
      </w:r>
      <w:r w:rsidRPr="00A83C94">
        <w:t xml:space="preserve"> ունենալու ենք ջրային ռեսուրսների լրացուցիչ պաշար և  ջրային հոսքերի կառավարման արդյունավետ համակարգ։ </w:t>
      </w:r>
      <w:r w:rsidR="006B55A7" w:rsidRPr="00A83C94">
        <w:t>Տարվա ընթացքում ն</w:t>
      </w:r>
      <w:r w:rsidRPr="00A83C94">
        <w:t xml:space="preserve">ախագծվելու է 15 </w:t>
      </w:r>
      <w:r w:rsidR="006B55A7" w:rsidRPr="00A83C94">
        <w:t xml:space="preserve">նոր </w:t>
      </w:r>
      <w:r w:rsidRPr="00A83C94">
        <w:t>ջրամբար և սկսվելու է դրանց կառուցումը,</w:t>
      </w:r>
    </w:p>
    <w:p w14:paraId="354D1BC6" w14:textId="2F6F7B31" w:rsidR="00982E78" w:rsidRPr="00A83C94" w:rsidRDefault="00982E78" w:rsidP="00982E78">
      <w:pPr>
        <w:pStyle w:val="BodyText2"/>
        <w:numPr>
          <w:ilvl w:val="0"/>
          <w:numId w:val="48"/>
        </w:numPr>
        <w:ind w:left="0" w:firstLine="426"/>
      </w:pPr>
      <w:r w:rsidRPr="00A83C94">
        <w:t xml:space="preserve"> միջպետական, հանրապետական և տեղական նշանակության ավտոմոբիլային ճանապարհների ցանցի նորոգ</w:t>
      </w:r>
      <w:r w:rsidR="006B55A7" w:rsidRPr="00A83C94">
        <w:t>ման</w:t>
      </w:r>
      <w:r w:rsidRPr="00A83C94">
        <w:t>, հիմնանորոգ</w:t>
      </w:r>
      <w:r w:rsidR="006B55A7" w:rsidRPr="00A83C94">
        <w:t>ման</w:t>
      </w:r>
      <w:r w:rsidRPr="00A83C94">
        <w:t xml:space="preserve"> և  որակի շարունակական բարձրաց</w:t>
      </w:r>
      <w:r w:rsidR="006B55A7" w:rsidRPr="00A83C94">
        <w:t>ման</w:t>
      </w:r>
      <w:r w:rsidR="003D0DE4" w:rsidRPr="00A83C94">
        <w:t xml:space="preserve"> աշխատանքները, որոնց արդյունքում</w:t>
      </w:r>
      <w:r w:rsidRPr="00A83C94">
        <w:t xml:space="preserve"> կունենանք շուրջ 500 կմ վերանորոգված ճանապարհ, որից </w:t>
      </w:r>
      <w:r w:rsidR="006B55A7" w:rsidRPr="00A83C94">
        <w:t>420</w:t>
      </w:r>
      <w:r w:rsidRPr="00A83C94">
        <w:t xml:space="preserve"> կմ հիմնանորոգում և 80 կմ միջին նորոգում,</w:t>
      </w:r>
    </w:p>
    <w:p w14:paraId="6A2F48C7" w14:textId="3E346266" w:rsidR="00982E78" w:rsidRPr="00A83C94" w:rsidRDefault="00982E78" w:rsidP="00982E78">
      <w:pPr>
        <w:pStyle w:val="BodyText2"/>
        <w:numPr>
          <w:ilvl w:val="0"/>
          <w:numId w:val="48"/>
        </w:numPr>
        <w:ind w:left="0" w:firstLine="426"/>
      </w:pPr>
      <w:r w:rsidRPr="00A83C94">
        <w:t xml:space="preserve"> ծնելիությունը խթանելու նպատակով  </w:t>
      </w:r>
      <w:r w:rsidR="003D0DE4" w:rsidRPr="00A83C94">
        <w:t>ամսական 50 հազ</w:t>
      </w:r>
      <w:r w:rsidR="003D0DE4" w:rsidRPr="00A83C94">
        <w:rPr>
          <w:rFonts w:ascii="Cambria Math" w:hAnsi="Cambria Math" w:cs="Cambria Math"/>
        </w:rPr>
        <w:t>․</w:t>
      </w:r>
      <w:r w:rsidR="003D0DE4" w:rsidRPr="00A83C94">
        <w:t xml:space="preserve"> դրամի չափով դրամական աջակցության սահմանումը, որը </w:t>
      </w:r>
      <w:r w:rsidRPr="00A83C94">
        <w:t xml:space="preserve">2022 թվականի հունվարի 1-ից հետո </w:t>
      </w:r>
      <w:r w:rsidR="003D0DE4" w:rsidRPr="00A83C94">
        <w:t xml:space="preserve">կնշանակվի </w:t>
      </w:r>
      <w:r w:rsidRPr="00A83C94">
        <w:t xml:space="preserve">ընտանիքում 3-րդ և յուրաքանչյուր հաջորդ երեխայի ծնվելու կապակցությամբ և </w:t>
      </w:r>
      <w:r w:rsidR="003D0DE4" w:rsidRPr="00A83C94">
        <w:t xml:space="preserve">կշարունակվի վճարվել </w:t>
      </w:r>
      <w:r w:rsidRPr="00A83C94">
        <w:t>մինչև երեխայի 6 տարեկանը լրանալը,</w:t>
      </w:r>
    </w:p>
    <w:p w14:paraId="3307EFEE" w14:textId="4A3DAEC6" w:rsidR="00982E78" w:rsidRPr="00A83C94" w:rsidRDefault="00982E78" w:rsidP="00982E78">
      <w:pPr>
        <w:pStyle w:val="BodyText2"/>
        <w:numPr>
          <w:ilvl w:val="0"/>
          <w:numId w:val="48"/>
        </w:numPr>
        <w:ind w:left="0" w:firstLine="426"/>
      </w:pPr>
      <w:r w:rsidRPr="00A83C94">
        <w:t xml:space="preserve"> նվազագույն կենսաթոշակի</w:t>
      </w:r>
      <w:r w:rsidR="006B55A7" w:rsidRPr="00A83C94">
        <w:t xml:space="preserve"> և</w:t>
      </w:r>
      <w:r w:rsidRPr="00A83C94">
        <w:t xml:space="preserve"> սոցիալական նպաստների ավելացումներ</w:t>
      </w:r>
      <w:r w:rsidR="003D0DE4" w:rsidRPr="00A83C94">
        <w:t>ը, որոնց</w:t>
      </w:r>
      <w:r w:rsidR="008E2D57" w:rsidRPr="008E2D57">
        <w:t xml:space="preserve"> </w:t>
      </w:r>
      <w:r w:rsidR="003D0DE4" w:rsidRPr="00A83C94">
        <w:t>արդյունքում</w:t>
      </w:r>
      <w:r w:rsidRPr="00A83C94">
        <w:t xml:space="preserve"> նախատեսվում է բարձրացնել ավելի քան 12200 աշխատանքային կենսաթոշակառուների, շուրջ 5200 զինվորական կենսաթոշակառուների կենսաթոշակների և 74720 նպաստառուների նպաստների չափերը՝ ապահովելով ծայրահեղ աղքատության գծից բարձր մակարդակ, իսկ շուրջ 8000 հաշմանդամ երեխաների դեպքում՝ էականորեն կբարձրանա նրանց ընտանիքներին տրամադրվող պետական աջակցության չափը,</w:t>
      </w:r>
    </w:p>
    <w:p w14:paraId="528C5E0B" w14:textId="3BCCE3BD" w:rsidR="00982E78" w:rsidRPr="00A83C94" w:rsidRDefault="00982E78" w:rsidP="00982E78">
      <w:pPr>
        <w:pStyle w:val="BodyText2"/>
        <w:numPr>
          <w:ilvl w:val="0"/>
          <w:numId w:val="48"/>
        </w:numPr>
        <w:ind w:left="0" w:firstLine="426"/>
      </w:pPr>
      <w:r w:rsidRPr="00A83C94">
        <w:t xml:space="preserve"> գիտության </w:t>
      </w:r>
      <w:r w:rsidR="003D0DE4" w:rsidRPr="00A83C94">
        <w:t>պետական ֆինանսավորման զգալի ավելացումը</w:t>
      </w:r>
      <w:r w:rsidRPr="00A83C94">
        <w:t>, որ</w:t>
      </w:r>
      <w:r w:rsidR="003D0DE4" w:rsidRPr="00A83C94">
        <w:t>ն</w:t>
      </w:r>
      <w:r w:rsidRPr="00A83C94">
        <w:t xml:space="preserve"> ուղղվելու </w:t>
      </w:r>
      <w:r w:rsidR="003D0DE4" w:rsidRPr="00A83C94">
        <w:t>է</w:t>
      </w:r>
      <w:r w:rsidRPr="00A83C94">
        <w:t xml:space="preserve"> ինչպես գիտաշխատողների աշխատավարձերի բարձրացմանը, այնպես էլ գիտական ենթակառուցվածքների զարգացմանը,</w:t>
      </w:r>
    </w:p>
    <w:p w14:paraId="6E00AB01" w14:textId="5A58F668" w:rsidR="00982E78" w:rsidRPr="00A83C94" w:rsidRDefault="00982E78" w:rsidP="00982E78">
      <w:pPr>
        <w:pStyle w:val="BodyText2"/>
        <w:numPr>
          <w:ilvl w:val="0"/>
          <w:numId w:val="48"/>
        </w:numPr>
        <w:ind w:left="0" w:firstLine="426"/>
      </w:pPr>
      <w:r w:rsidRPr="00A83C94">
        <w:t xml:space="preserve"> </w:t>
      </w:r>
      <w:r w:rsidR="009E5E16" w:rsidRPr="00A83C94">
        <w:t xml:space="preserve"> </w:t>
      </w:r>
      <w:r w:rsidR="00E62A8D">
        <w:t>դ</w:t>
      </w:r>
      <w:r w:rsidR="009E5E16" w:rsidRPr="00A83C94">
        <w:t>պրոցներում</w:t>
      </w:r>
      <w:r w:rsidR="00E62A8D">
        <w:t xml:space="preserve"> և</w:t>
      </w:r>
      <w:r w:rsidR="00E62A8D" w:rsidRPr="00E62A8D">
        <w:t xml:space="preserve"> </w:t>
      </w:r>
      <w:r w:rsidR="00E62A8D">
        <w:t>մարզադպր</w:t>
      </w:r>
      <w:r w:rsidR="00E62A8D" w:rsidRPr="00E62A8D">
        <w:t>ոցներում</w:t>
      </w:r>
      <w:r w:rsidR="00E62A8D">
        <w:t xml:space="preserve"> </w:t>
      </w:r>
      <w:r w:rsidRPr="00A83C94">
        <w:rPr>
          <w:rFonts w:cs="GHEA Grapalat"/>
        </w:rPr>
        <w:t xml:space="preserve">նախագծման </w:t>
      </w:r>
      <w:r w:rsidR="00E62A8D" w:rsidRPr="00A83C94">
        <w:rPr>
          <w:rFonts w:cs="GHEA Grapalat"/>
        </w:rPr>
        <w:t>և</w:t>
      </w:r>
      <w:r w:rsidR="00E62A8D" w:rsidRPr="00A83C94">
        <w:t xml:space="preserve"> շինարարական </w:t>
      </w:r>
      <w:r w:rsidRPr="00A83C94">
        <w:t>աշխատանքներ</w:t>
      </w:r>
      <w:r w:rsidR="009E5E16" w:rsidRPr="00A83C94">
        <w:t>ի իրականացումը</w:t>
      </w:r>
      <w:r w:rsidRPr="00A83C94">
        <w:t xml:space="preserve">, </w:t>
      </w:r>
      <w:r w:rsidR="00225E3A" w:rsidRPr="00225E3A">
        <w:t>այդ թվում</w:t>
      </w:r>
      <w:r w:rsidRPr="00A83C94">
        <w:t xml:space="preserve"> փոքրաքանակ երեխաներով համալրված հանրակրթական դպրոցների մոդուլային շենքերի կառուց</w:t>
      </w:r>
      <w:r w:rsidR="0077355D" w:rsidRPr="0077355D">
        <w:t>ումը</w:t>
      </w:r>
      <w:r w:rsidRPr="00A83C94">
        <w:t>,</w:t>
      </w:r>
    </w:p>
    <w:p w14:paraId="2AAD2B7E" w14:textId="17D79E71" w:rsidR="00982E78" w:rsidRPr="00A83C94" w:rsidRDefault="00982E78" w:rsidP="00982E78">
      <w:pPr>
        <w:pStyle w:val="BodyText2"/>
        <w:numPr>
          <w:ilvl w:val="0"/>
          <w:numId w:val="48"/>
        </w:numPr>
        <w:ind w:left="0" w:firstLine="426"/>
      </w:pPr>
      <w:r w:rsidRPr="00A83C94">
        <w:t xml:space="preserve"> ն</w:t>
      </w:r>
      <w:r w:rsidRPr="00A83C94">
        <w:rPr>
          <w:rFonts w:cs="GHEA Grapalat"/>
        </w:rPr>
        <w:t>ախնական մասնագիտական (արհեստագործական) և միջին մասնագիտական ուսումնական հաստատություններում</w:t>
      </w:r>
      <w:r w:rsidRPr="00A83C94">
        <w:t xml:space="preserve"> </w:t>
      </w:r>
      <w:r w:rsidR="00E62A8D" w:rsidRPr="00A83C94">
        <w:rPr>
          <w:rFonts w:cs="GHEA Grapalat"/>
        </w:rPr>
        <w:t>նախագծման</w:t>
      </w:r>
      <w:r w:rsidR="00E62A8D" w:rsidRPr="00A83C94">
        <w:t xml:space="preserve"> </w:t>
      </w:r>
      <w:r w:rsidR="00E62A8D" w:rsidRPr="00A83C94">
        <w:rPr>
          <w:rFonts w:cs="GHEA Grapalat"/>
        </w:rPr>
        <w:t>և</w:t>
      </w:r>
      <w:r w:rsidR="00E62A8D" w:rsidRPr="00A83C94">
        <w:t xml:space="preserve"> </w:t>
      </w:r>
      <w:r w:rsidRPr="00A83C94">
        <w:t xml:space="preserve">շինարարական </w:t>
      </w:r>
      <w:r w:rsidRPr="00A83C94">
        <w:rPr>
          <w:rFonts w:cs="GHEA Grapalat"/>
        </w:rPr>
        <w:t>աշխատանքներ</w:t>
      </w:r>
      <w:r w:rsidR="00200AA8" w:rsidRPr="00A83C94">
        <w:rPr>
          <w:rFonts w:cs="GHEA Grapalat"/>
        </w:rPr>
        <w:t>ի իրականացումը</w:t>
      </w:r>
      <w:r w:rsidRPr="00A83C94">
        <w:rPr>
          <w:rFonts w:cs="GHEA Grapalat"/>
        </w:rPr>
        <w:t>,</w:t>
      </w:r>
    </w:p>
    <w:p w14:paraId="506A4A6D" w14:textId="75B28D21" w:rsidR="00982E78" w:rsidRPr="00A83C94" w:rsidRDefault="00982E78" w:rsidP="00982E78">
      <w:pPr>
        <w:pStyle w:val="BodyText2"/>
        <w:numPr>
          <w:ilvl w:val="0"/>
          <w:numId w:val="48"/>
        </w:numPr>
        <w:ind w:left="0" w:firstLine="426"/>
      </w:pPr>
      <w:r w:rsidRPr="00A83C94">
        <w:t xml:space="preserve"> մանկապարտեզներում</w:t>
      </w:r>
      <w:r w:rsidR="00200AA8" w:rsidRPr="00A83C94">
        <w:t xml:space="preserve"> շինարարական աշխատանքների իրականացումը</w:t>
      </w:r>
      <w:r w:rsidRPr="00A83C94">
        <w:t xml:space="preserve">, </w:t>
      </w:r>
      <w:r w:rsidR="00225E3A" w:rsidRPr="00225E3A">
        <w:t>այդ թվում</w:t>
      </w:r>
      <w:r w:rsidRPr="00A83C94">
        <w:t xml:space="preserve"> </w:t>
      </w:r>
      <w:r w:rsidR="003D0DE4" w:rsidRPr="00A83C94">
        <w:t>մ</w:t>
      </w:r>
      <w:r w:rsidRPr="00A83C94">
        <w:t>ոդուլային տիպի մանկապարտեզների</w:t>
      </w:r>
      <w:r w:rsidR="00200AA8" w:rsidRPr="00A83C94">
        <w:t xml:space="preserve"> </w:t>
      </w:r>
      <w:r w:rsidR="0077355D" w:rsidRPr="00DB7001">
        <w:t>կառուցումը</w:t>
      </w:r>
      <w:r w:rsidRPr="00A83C94">
        <w:t>,</w:t>
      </w:r>
    </w:p>
    <w:p w14:paraId="18B626A5" w14:textId="320944D1" w:rsidR="00982E78" w:rsidRPr="00A83C94" w:rsidRDefault="00982E78" w:rsidP="00982E78">
      <w:pPr>
        <w:pStyle w:val="BodyText2"/>
        <w:numPr>
          <w:ilvl w:val="0"/>
          <w:numId w:val="48"/>
        </w:numPr>
        <w:ind w:left="0" w:firstLine="426"/>
      </w:pPr>
      <w:r w:rsidRPr="00A83C94">
        <w:t xml:space="preserve"> մարզային առողջապահական կազմակերպությունների շենքային և նյութատեխնիկական պայմանների բարելավման</w:t>
      </w:r>
      <w:r w:rsidR="00200AA8" w:rsidRPr="00A83C94">
        <w:t xml:space="preserve"> աշխատանքները</w:t>
      </w:r>
      <w:r w:rsidRPr="00A83C94">
        <w:t xml:space="preserve">, </w:t>
      </w:r>
    </w:p>
    <w:p w14:paraId="420EFCDF" w14:textId="6A7727F5" w:rsidR="00982E78" w:rsidRPr="00A83C94" w:rsidRDefault="00E62A8D" w:rsidP="00982E78">
      <w:pPr>
        <w:pStyle w:val="BodyText2"/>
        <w:numPr>
          <w:ilvl w:val="0"/>
          <w:numId w:val="48"/>
        </w:numPr>
        <w:ind w:left="0" w:firstLine="426"/>
        <w:rPr>
          <w:rFonts w:cs="Sylfaen"/>
          <w:spacing w:val="4"/>
        </w:rPr>
      </w:pPr>
      <w:r w:rsidRPr="00E62A8D">
        <w:rPr>
          <w:rFonts w:cs="Sylfaen"/>
          <w:spacing w:val="4"/>
        </w:rPr>
        <w:t xml:space="preserve"> </w:t>
      </w:r>
      <w:r w:rsidR="00982E78" w:rsidRPr="00A83C94">
        <w:rPr>
          <w:rFonts w:cs="Sylfaen"/>
          <w:spacing w:val="4"/>
        </w:rPr>
        <w:t>հակակոռուպցիոն ռազմավարության միջոցառումների շրջանակներում</w:t>
      </w:r>
      <w:r w:rsidR="00200AA8" w:rsidRPr="00A83C94">
        <w:rPr>
          <w:rFonts w:cs="Sylfaen"/>
          <w:spacing w:val="4"/>
        </w:rPr>
        <w:t>՝</w:t>
      </w:r>
      <w:r w:rsidR="00982E78" w:rsidRPr="00A83C94">
        <w:rPr>
          <w:rFonts w:cs="Sylfaen"/>
          <w:spacing w:val="4"/>
        </w:rPr>
        <w:t xml:space="preserve"> </w:t>
      </w:r>
      <w:r w:rsidR="00982E78" w:rsidRPr="00A83C94">
        <w:t>Հակակոռուպցիոն կոմիտեի և դատարանների շենքերի կառուցման</w:t>
      </w:r>
      <w:r w:rsidR="00200AA8" w:rsidRPr="00A83C94">
        <w:t xml:space="preserve"> աշխատանքները</w:t>
      </w:r>
      <w:r w:rsidR="00982E78" w:rsidRPr="00A83C94">
        <w:t>, ինչպես նաև քրեակատարողական հիմնարկների շենքերի կապիտալ վերանորոգման աշխատանքներ</w:t>
      </w:r>
      <w:r w:rsidR="00200AA8" w:rsidRPr="00A83C94">
        <w:t>ը</w:t>
      </w:r>
      <w:r w:rsidR="00211965" w:rsidRPr="00211965">
        <w:t>,</w:t>
      </w:r>
    </w:p>
    <w:p w14:paraId="5407BC2B" w14:textId="0DC8DD9D" w:rsidR="00982E78" w:rsidRPr="00A83C94" w:rsidRDefault="00982E78" w:rsidP="00982E78">
      <w:pPr>
        <w:pStyle w:val="BodyText2"/>
        <w:numPr>
          <w:ilvl w:val="0"/>
          <w:numId w:val="48"/>
        </w:numPr>
        <w:ind w:left="0" w:firstLine="426"/>
        <w:rPr>
          <w:rFonts w:cs="Sylfaen"/>
          <w:spacing w:val="4"/>
        </w:rPr>
      </w:pPr>
      <w:r w:rsidRPr="00A83C94">
        <w:rPr>
          <w:rFonts w:cs="Sylfaen"/>
          <w:spacing w:val="4"/>
        </w:rPr>
        <w:t xml:space="preserve"> պարեկային ծառայության հաջորդիվ ներդրումը ՀՀ ամբողջ տարածքում</w:t>
      </w:r>
      <w:r w:rsidR="00200AA8" w:rsidRPr="00A83C94">
        <w:rPr>
          <w:rFonts w:cs="Sylfaen"/>
          <w:spacing w:val="4"/>
        </w:rPr>
        <w:t>՝ պ</w:t>
      </w:r>
      <w:r w:rsidRPr="00A83C94">
        <w:rPr>
          <w:rFonts w:cs="Sylfaen"/>
          <w:spacing w:val="4"/>
        </w:rPr>
        <w:t>ահպանելով կադրերի ընտրության ու կրթության բարեփոխված կարգն ու մոտեցումները:</w:t>
      </w:r>
    </w:p>
    <w:p w14:paraId="690097F2" w14:textId="77777777" w:rsidR="00BA2D53" w:rsidRPr="00A83C94" w:rsidRDefault="00BA2D53" w:rsidP="00A963B7">
      <w:pPr>
        <w:pStyle w:val="BodyText2"/>
      </w:pPr>
    </w:p>
    <w:p w14:paraId="56D20C29" w14:textId="77777777" w:rsidR="00922CF5" w:rsidRPr="00A83C94" w:rsidRDefault="00922CF5" w:rsidP="007730AA">
      <w:pPr>
        <w:spacing w:before="0" w:line="276" w:lineRule="auto"/>
        <w:ind w:firstLine="0"/>
        <w:contextualSpacing w:val="0"/>
        <w:jc w:val="left"/>
        <w:rPr>
          <w:sz w:val="28"/>
          <w:szCs w:val="20"/>
          <w:lang w:val="hy-AM"/>
        </w:rPr>
      </w:pPr>
      <w:r w:rsidRPr="00A83C94">
        <w:rPr>
          <w:lang w:val="hy-AM"/>
        </w:rPr>
        <w:br w:type="page"/>
      </w:r>
    </w:p>
    <w:p w14:paraId="73202606" w14:textId="77777777" w:rsidR="005F226A" w:rsidRPr="00EB774C" w:rsidRDefault="005F226A" w:rsidP="00A30EDC">
      <w:pPr>
        <w:pStyle w:val="Heading1"/>
        <w:rPr>
          <w:lang w:val="hy-AM"/>
        </w:rPr>
      </w:pPr>
      <w:bookmarkStart w:id="9" w:name="_Toc26174882"/>
      <w:bookmarkStart w:id="10" w:name="_Toc83567430"/>
      <w:bookmarkStart w:id="11" w:name="_Toc89428252"/>
      <w:r w:rsidRPr="00EB774C">
        <w:rPr>
          <w:lang w:val="hy-AM"/>
        </w:rPr>
        <w:t>ՄԱՍ I–Ա. ՍՈՑԻԱԼ-ՏՆՏԵՍԱԿԱՆ ԶԱՐԳԱՑՄԱՆ ԵՎ ՀԱՐԿԱԲՅՈՒՋԵՏԱՅԻՆ ՔԱՂԱՔԱԿԱՆՈՒԹՅԱՆ ՀԻՄՆԱԿԱՆ ՈՒՂՂՈՒԹՅՈՒՆՆԵՐԻ ՄԱՍԻՆ</w:t>
      </w:r>
      <w:bookmarkEnd w:id="9"/>
      <w:bookmarkEnd w:id="10"/>
      <w:bookmarkEnd w:id="11"/>
    </w:p>
    <w:p w14:paraId="335FA89F" w14:textId="77777777" w:rsidR="005F226A" w:rsidRPr="00A83C94" w:rsidRDefault="005F226A" w:rsidP="005F226A">
      <w:pPr>
        <w:keepNext/>
        <w:tabs>
          <w:tab w:val="left" w:pos="567"/>
          <w:tab w:val="left" w:pos="851"/>
          <w:tab w:val="left" w:pos="993"/>
        </w:tabs>
        <w:spacing w:before="0" w:line="276" w:lineRule="auto"/>
        <w:ind w:firstLine="426"/>
        <w:contextualSpacing w:val="0"/>
        <w:jc w:val="center"/>
        <w:outlineLvl w:val="0"/>
        <w:rPr>
          <w:rFonts w:cs="Times LatArm"/>
          <w:szCs w:val="22"/>
          <w:lang w:val="hy-AM"/>
        </w:rPr>
      </w:pPr>
      <w:bookmarkStart w:id="12" w:name="_Toc26174883"/>
    </w:p>
    <w:p w14:paraId="77D499B9" w14:textId="77777777" w:rsidR="005F226A" w:rsidRPr="00A83C94" w:rsidRDefault="005F226A" w:rsidP="005F226A">
      <w:pPr>
        <w:keepNext/>
        <w:tabs>
          <w:tab w:val="left" w:pos="567"/>
          <w:tab w:val="left" w:pos="851"/>
          <w:tab w:val="left" w:pos="993"/>
        </w:tabs>
        <w:spacing w:before="0" w:line="276" w:lineRule="auto"/>
        <w:ind w:firstLine="426"/>
        <w:contextualSpacing w:val="0"/>
        <w:jc w:val="center"/>
        <w:outlineLvl w:val="0"/>
        <w:rPr>
          <w:rFonts w:cs="Sylfaen"/>
          <w:sz w:val="24"/>
          <w:lang w:val="hy-AM"/>
        </w:rPr>
      </w:pPr>
      <w:bookmarkStart w:id="13" w:name="_Toc83567431"/>
      <w:bookmarkStart w:id="14" w:name="_Toc89428253"/>
      <w:r w:rsidRPr="00A83C94">
        <w:rPr>
          <w:rFonts w:cs="Times LatArm"/>
          <w:sz w:val="24"/>
          <w:lang w:val="hy-AM"/>
        </w:rPr>
        <w:t xml:space="preserve">2022 </w:t>
      </w:r>
      <w:r w:rsidRPr="00A83C94">
        <w:rPr>
          <w:rFonts w:cs="Sylfaen"/>
          <w:sz w:val="24"/>
          <w:lang w:val="hy-AM"/>
        </w:rPr>
        <w:t>թվականի</w:t>
      </w:r>
      <w:r w:rsidRPr="00A83C94">
        <w:rPr>
          <w:rFonts w:cs="Times LatArm"/>
          <w:sz w:val="24"/>
          <w:lang w:val="hy-AM"/>
        </w:rPr>
        <w:t xml:space="preserve"> </w:t>
      </w:r>
      <w:r w:rsidRPr="00A83C94">
        <w:rPr>
          <w:rFonts w:cs="Sylfaen"/>
          <w:sz w:val="24"/>
          <w:lang w:val="hy-AM"/>
        </w:rPr>
        <w:t>սոցիալ</w:t>
      </w:r>
      <w:r w:rsidRPr="00A83C94">
        <w:rPr>
          <w:rFonts w:cs="Times LatArm"/>
          <w:sz w:val="24"/>
          <w:lang w:val="hy-AM"/>
        </w:rPr>
        <w:t>-</w:t>
      </w:r>
      <w:r w:rsidRPr="00A83C94">
        <w:rPr>
          <w:rFonts w:cs="Sylfaen"/>
          <w:sz w:val="24"/>
          <w:lang w:val="hy-AM"/>
        </w:rPr>
        <w:t>տնտեսական</w:t>
      </w:r>
      <w:r w:rsidRPr="00A83C94">
        <w:rPr>
          <w:rFonts w:cs="Times LatArm"/>
          <w:sz w:val="24"/>
          <w:lang w:val="hy-AM"/>
        </w:rPr>
        <w:t xml:space="preserve"> </w:t>
      </w:r>
      <w:r w:rsidRPr="00A83C94">
        <w:rPr>
          <w:rFonts w:cs="Sylfaen"/>
          <w:sz w:val="24"/>
          <w:lang w:val="hy-AM"/>
        </w:rPr>
        <w:t>զարգացման</w:t>
      </w:r>
      <w:r w:rsidRPr="00A83C94">
        <w:rPr>
          <w:rFonts w:cs="Times LatArm"/>
          <w:sz w:val="24"/>
          <w:lang w:val="hy-AM"/>
        </w:rPr>
        <w:t xml:space="preserve"> </w:t>
      </w:r>
      <w:r w:rsidRPr="00A83C94">
        <w:rPr>
          <w:rFonts w:cs="Sylfaen"/>
          <w:sz w:val="24"/>
          <w:lang w:val="hy-AM"/>
        </w:rPr>
        <w:t>և հարկաբյուջետային քաղաքականության հիմնական</w:t>
      </w:r>
      <w:r w:rsidRPr="00A83C94">
        <w:rPr>
          <w:rFonts w:cs="Times LatArm"/>
          <w:sz w:val="24"/>
          <w:lang w:val="hy-AM"/>
        </w:rPr>
        <w:t xml:space="preserve"> </w:t>
      </w:r>
      <w:r w:rsidRPr="00A83C94">
        <w:rPr>
          <w:rFonts w:cs="Sylfaen"/>
          <w:sz w:val="24"/>
          <w:lang w:val="hy-AM"/>
        </w:rPr>
        <w:t>ուղղությունները</w:t>
      </w:r>
      <w:bookmarkEnd w:id="12"/>
      <w:bookmarkEnd w:id="13"/>
      <w:bookmarkEnd w:id="14"/>
    </w:p>
    <w:p w14:paraId="321A56BA" w14:textId="77777777" w:rsidR="005F226A" w:rsidRPr="00A83C94" w:rsidRDefault="005F226A" w:rsidP="005F226A">
      <w:pPr>
        <w:widowControl w:val="0"/>
        <w:tabs>
          <w:tab w:val="left" w:pos="567"/>
          <w:tab w:val="left" w:pos="851"/>
          <w:tab w:val="left" w:pos="993"/>
        </w:tabs>
        <w:spacing w:before="0" w:line="276" w:lineRule="auto"/>
        <w:ind w:firstLine="426"/>
        <w:contextualSpacing w:val="0"/>
        <w:rPr>
          <w:b w:val="0"/>
          <w:szCs w:val="22"/>
          <w:lang w:val="hy-AM"/>
        </w:rPr>
      </w:pPr>
    </w:p>
    <w:p w14:paraId="377DF59D"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15" w:name="_Toc83567432"/>
      <w:bookmarkStart w:id="16" w:name="_Toc89428254"/>
      <w:r w:rsidRPr="00A83C94">
        <w:rPr>
          <w:rFonts w:cs="Arial"/>
          <w:szCs w:val="22"/>
          <w:lang w:val="hy-AM" w:eastAsia="en-US"/>
        </w:rPr>
        <w:t>Տնտեսական զարգացում</w:t>
      </w:r>
      <w:bookmarkEnd w:id="15"/>
      <w:bookmarkEnd w:id="16"/>
    </w:p>
    <w:p w14:paraId="76444BEB" w14:textId="02F41E25" w:rsidR="005F226A" w:rsidRPr="00A83C94" w:rsidRDefault="005F226A" w:rsidP="005F226A">
      <w:pPr>
        <w:pStyle w:val="BodyText2"/>
      </w:pPr>
      <w:r w:rsidRPr="00A83C94">
        <w:t xml:space="preserve">2022 թվականին տնտեսական զարգացման քաղաքականության շրջանակը կառուցվում է ՀՀ կառավարության` 2021 թվականի օգոստոսի 18-ի թիվ 1363-Ա որոշմամբ հաստատված ՀՀ կառավարության 2021-2026թթ. ծրագրի առաջնահերթությունների շուրջ: Իրականացվելիք միջոցառումների հիմնական նպատակը լինելու է տնտեսության մրցունակության և արտադրողականության աճը: Կառավարությունը թիրախավորում է երկարատև բարձր տնտեսական աճի </w:t>
      </w:r>
      <w:r w:rsidR="00AF0CBF" w:rsidRPr="00A83C94">
        <w:t>ապահովումը</w:t>
      </w:r>
      <w:r w:rsidRPr="00A83C94">
        <w:t>՝ առնվազն տարեկան 7%, իսկ բարենպաստ արտաքին միջավայրի դեպքում 9%։</w:t>
      </w:r>
    </w:p>
    <w:p w14:paraId="352165F1" w14:textId="1AE4A0A6" w:rsidR="005F226A" w:rsidRPr="00A83C94" w:rsidRDefault="005F226A" w:rsidP="005F226A">
      <w:pPr>
        <w:pStyle w:val="BodyText2"/>
        <w:rPr>
          <w:rFonts w:cs="Arial"/>
        </w:rPr>
      </w:pPr>
      <w:r w:rsidRPr="00A83C94">
        <w:t xml:space="preserve">Տնտեսական քաղաքականությունը </w:t>
      </w:r>
      <w:r w:rsidR="00E939F5" w:rsidRPr="00A83C94">
        <w:t xml:space="preserve">թիրախավորելու է </w:t>
      </w:r>
      <w:r w:rsidRPr="00A83C94">
        <w:t xml:space="preserve">ներդրումների խրախուսումը, ձեռներեցության զարգացումը, գործարար և ներդրումային միջավայրի բարելավումը, զբոսաշրջության, արդյունաբերության և գյուղատնտեսության մրցունակության աճը, հանրային ներդրումների արդյունավետության բարձրացումը։ </w:t>
      </w:r>
    </w:p>
    <w:p w14:paraId="5D5093DC" w14:textId="3138B2D2" w:rsidR="005F226A" w:rsidRPr="00A83C94" w:rsidRDefault="005F226A" w:rsidP="005F226A">
      <w:pPr>
        <w:pStyle w:val="BodyText2"/>
        <w:rPr>
          <w:rFonts w:cs="Arial"/>
        </w:rPr>
      </w:pPr>
      <w:r w:rsidRPr="00A83C94">
        <w:t>Տնտեսական զարգացման քաղաքականությ</w:t>
      </w:r>
      <w:r w:rsidR="00E939F5" w:rsidRPr="00A83C94">
        <w:t>ան շրջանակում կարևորվելու է</w:t>
      </w:r>
      <w:r w:rsidRPr="00A83C94">
        <w:t xml:space="preserve"> մրցունակ՝ առավել արտադրողական և տեխնոլոգիատար արդյունաբերության զարգացումը։ ՓՄՁ ոլորտի ակտիվության բարձրաց</w:t>
      </w:r>
      <w:r w:rsidR="00E939F5" w:rsidRPr="00A83C94">
        <w:t>ման</w:t>
      </w:r>
      <w:r w:rsidRPr="00A83C94">
        <w:t xml:space="preserve"> շնորհիվ հնարավոր կլինի ապահովել ներառական տնտեսական աճ։ </w:t>
      </w:r>
      <w:r w:rsidR="00E939F5" w:rsidRPr="00A83C94">
        <w:t>Գ</w:t>
      </w:r>
      <w:r w:rsidRPr="00A83C94">
        <w:t>ործարար միջավայրի շարունակական բարելավ</w:t>
      </w:r>
      <w:r w:rsidR="00E939F5" w:rsidRPr="00A83C94">
        <w:t xml:space="preserve">ումը </w:t>
      </w:r>
      <w:r w:rsidRPr="00A83C94">
        <w:t xml:space="preserve"> </w:t>
      </w:r>
      <w:r w:rsidR="00E939F5" w:rsidRPr="00A83C94">
        <w:t xml:space="preserve">լինելու է </w:t>
      </w:r>
      <w:r w:rsidRPr="00A83C94">
        <w:t>ՀՀ քաղաքացիների ստեղծարար ներուժի իրացման առաջնային նախապայման</w:t>
      </w:r>
      <w:r w:rsidR="00E939F5" w:rsidRPr="00A83C94">
        <w:t>ը</w:t>
      </w:r>
      <w:r w:rsidRPr="00A83C94">
        <w:t>։ Չնայած առկա մարտահրավերներին՝ զբոսաշրջությ</w:t>
      </w:r>
      <w:r w:rsidR="00E939F5" w:rsidRPr="00A83C94">
        <w:t>ան զարգացման քաղաքականությունը միտված է լինելու</w:t>
      </w:r>
      <w:r w:rsidRPr="00A83C94">
        <w:t xml:space="preserve"> </w:t>
      </w:r>
      <w:r w:rsidR="00E939F5" w:rsidRPr="00A83C94">
        <w:t xml:space="preserve">ոլորտի </w:t>
      </w:r>
      <w:r w:rsidRPr="00A83C94">
        <w:t>երկարաժամկետ մրցունակությ</w:t>
      </w:r>
      <w:r w:rsidR="00E939F5" w:rsidRPr="00A83C94">
        <w:t xml:space="preserve">ան </w:t>
      </w:r>
      <w:r w:rsidR="00705192" w:rsidRPr="00A83C94">
        <w:t>պահպանմանը</w:t>
      </w:r>
      <w:r w:rsidRPr="00A83C94">
        <w:t xml:space="preserve"> և աճի ներուժ</w:t>
      </w:r>
      <w:r w:rsidR="00705192" w:rsidRPr="00A83C94">
        <w:t>ի ավելացման</w:t>
      </w:r>
      <w:r w:rsidRPr="00A83C94">
        <w:t xml:space="preserve">ը։ </w:t>
      </w:r>
      <w:r w:rsidR="00705192" w:rsidRPr="00A83C94">
        <w:t>Գ</w:t>
      </w:r>
      <w:r w:rsidRPr="00A83C94">
        <w:t>յուղատնտեսության արդյունավետության բարձրացում</w:t>
      </w:r>
      <w:r w:rsidR="00705192" w:rsidRPr="00A83C94">
        <w:t>ը</w:t>
      </w:r>
      <w:r w:rsidRPr="00A83C94">
        <w:t xml:space="preserve"> և </w:t>
      </w:r>
      <w:r w:rsidR="00705192" w:rsidRPr="00A83C94">
        <w:t xml:space="preserve">դրա շնորհիվ՝ </w:t>
      </w:r>
      <w:r w:rsidRPr="00A83C94">
        <w:t xml:space="preserve">գյուղատնտեսական ամբողջ արժեշղթայում ընդգրկված </w:t>
      </w:r>
      <w:r w:rsidR="00705192" w:rsidRPr="00A83C94">
        <w:t xml:space="preserve">բոլոր </w:t>
      </w:r>
      <w:r w:rsidRPr="00A83C94">
        <w:t>սուբյեկտների եկամուտների ավելացումը</w:t>
      </w:r>
      <w:r w:rsidR="00705192" w:rsidRPr="00A83C94">
        <w:t xml:space="preserve"> լինելու է այս ոլորտում վարվող քաղաքականության հիմնական արդյունքը</w:t>
      </w:r>
      <w:r w:rsidRPr="00A83C94">
        <w:t xml:space="preserve">։ Առանձնահատուկ թիրախ է հանդիսանալու պարենային և սննդամթերքի անվտանգության մակարդակի բարձրացումը։ </w:t>
      </w:r>
    </w:p>
    <w:p w14:paraId="7745396F" w14:textId="0BD9FF24" w:rsidR="005F226A" w:rsidRPr="00A83C94" w:rsidRDefault="005F226A" w:rsidP="005F226A">
      <w:pPr>
        <w:pStyle w:val="BodyText2"/>
      </w:pPr>
      <w:r w:rsidRPr="00A83C94">
        <w:rPr>
          <w:b/>
          <w:bCs/>
        </w:rPr>
        <w:t>Արդյունաբերության մրցունակության աճի</w:t>
      </w:r>
      <w:r w:rsidRPr="00A83C94">
        <w:t xml:space="preserve"> առաջնային աղբյուր է դիտարկվում</w:t>
      </w:r>
      <w:r w:rsidRPr="00A83C94">
        <w:rPr>
          <w:rFonts w:ascii="Calibri" w:hAnsi="Calibri" w:cs="Calibri"/>
        </w:rPr>
        <w:t>  </w:t>
      </w:r>
      <w:r w:rsidRPr="00A83C94">
        <w:t xml:space="preserve"> արտադրողականության աճը և միջազգային մրցունակության բարձրացումը՝ արտահանման կարողությունների զարգացման, լոգիստիկ խնդիրների մեղմման</w:t>
      </w:r>
      <w:r w:rsidR="00705192" w:rsidRPr="00A83C94">
        <w:t>,</w:t>
      </w:r>
      <w:r w:rsidRPr="00A83C94">
        <w:t xml:space="preserve"> ներքին և միջազգային թիրախային շուկաների մուտքի, </w:t>
      </w:r>
      <w:r w:rsidR="00705192" w:rsidRPr="00A83C94">
        <w:t>ինչպես նա</w:t>
      </w:r>
      <w:r w:rsidRPr="00A83C94">
        <w:t>և</w:t>
      </w:r>
      <w:r w:rsidR="00705192" w:rsidRPr="00A83C94">
        <w:t>՝</w:t>
      </w:r>
      <w:r w:rsidRPr="00A83C94">
        <w:t xml:space="preserve"> տեղեկատվության հասանելիության ապահովման միջոցով</w:t>
      </w:r>
    </w:p>
    <w:p w14:paraId="35B94159" w14:textId="29713447" w:rsidR="005F226A" w:rsidRPr="00A83C94" w:rsidRDefault="005F226A" w:rsidP="005F226A">
      <w:pPr>
        <w:pStyle w:val="BodyText2"/>
      </w:pPr>
      <w:r w:rsidRPr="00A83C94">
        <w:rPr>
          <w:b/>
        </w:rPr>
        <w:t>Փոքր և միջին ձեռնարկատիրության (ՓՄՁ) զարգացումը</w:t>
      </w:r>
      <w:r w:rsidRPr="00A83C94">
        <w:t xml:space="preserve"> Հայաստանի Հանրապետության քաղաքացիների ստեղծարար ներուժի իրացման անկյունաքարն է լինելու՝ աշխատատեղերի ստեղծման ու կայուն զարգացումը խթանման նկատառումներով։  </w:t>
      </w:r>
      <w:r w:rsidR="00705192" w:rsidRPr="00A83C94">
        <w:t xml:space="preserve">Իրականացվելու են միջոցառումներ միջազգային շուկաներում տեղական ՓՄՁ–երի ներկայացվածության և ճանաչելիության աստիճանի բարձրացման ուղղությամբ: </w:t>
      </w:r>
      <w:r w:rsidRPr="00A83C94">
        <w:t xml:space="preserve">ՓՄՁ զարգացման համար հիմնական քայլերն ուղղվելու են </w:t>
      </w:r>
      <w:r w:rsidR="00705192" w:rsidRPr="00A83C94">
        <w:t xml:space="preserve">ներառական տնտեսական, ինչպես նաև՝ </w:t>
      </w:r>
      <w:r w:rsidRPr="00A83C94">
        <w:t>համաչափ տարածքային զարգացմանը։</w:t>
      </w:r>
    </w:p>
    <w:p w14:paraId="494A611B" w14:textId="77777777" w:rsidR="005F226A" w:rsidRPr="00A83C94" w:rsidRDefault="005F226A" w:rsidP="005F226A">
      <w:pPr>
        <w:pStyle w:val="BodyText2"/>
        <w:rPr>
          <w:rFonts w:cs="Arial"/>
        </w:rPr>
      </w:pPr>
      <w:r w:rsidRPr="00A83C94">
        <w:rPr>
          <w:b/>
        </w:rPr>
        <w:t>Զբոսաշրջության ոլորտի զարգացման քաղաքականությունն</w:t>
      </w:r>
      <w:r w:rsidRPr="00A83C94">
        <w:t xml:space="preserve"> ուղղված է լինելու Հայաստանի ճանաչելիության և հայկական զբոսաշրջային արդյունքի մրցունակության բարձրացմանը, ինստիտուցիոնալ բարեփոխումների իրականացմանը։   </w:t>
      </w:r>
    </w:p>
    <w:p w14:paraId="448F5FE5" w14:textId="18690C54" w:rsidR="005F226A" w:rsidRPr="00A83C94" w:rsidRDefault="005F226A" w:rsidP="00D776CA">
      <w:pPr>
        <w:pStyle w:val="NormalWeb"/>
        <w:spacing w:before="0" w:beforeAutospacing="0" w:after="0" w:afterAutospacing="0" w:line="276" w:lineRule="auto"/>
        <w:ind w:firstLine="708"/>
        <w:rPr>
          <w:rFonts w:cs="Sylfaen"/>
          <w:b w:val="0"/>
          <w:bCs/>
          <w:szCs w:val="22"/>
          <w:lang w:val="hy-AM"/>
        </w:rPr>
      </w:pPr>
      <w:r w:rsidRPr="00A83C94">
        <w:rPr>
          <w:rFonts w:cs="Sylfaen"/>
          <w:szCs w:val="22"/>
          <w:lang w:val="hy-AM"/>
        </w:rPr>
        <w:t>Գյուղատնտեսությ</w:t>
      </w:r>
      <w:r w:rsidRPr="00A83C94">
        <w:rPr>
          <w:rFonts w:cs="Sylfaen"/>
          <w:bCs/>
          <w:szCs w:val="22"/>
          <w:lang w:val="hy-AM"/>
        </w:rPr>
        <w:t>ան</w:t>
      </w:r>
      <w:r w:rsidRPr="00A83C94">
        <w:rPr>
          <w:rFonts w:cs="Sylfaen"/>
          <w:b w:val="0"/>
          <w:bCs/>
          <w:szCs w:val="22"/>
          <w:lang w:val="hy-AM"/>
        </w:rPr>
        <w:t xml:space="preserve"> ոլորտում Կառավարության կողմից իրականացվող քաղաքականությունն  ուղղված է լինելու գյուղատնտեսության ինտենսիվացմանը, արտադրողականության բարձրացմանը, հողային ռեսուրսների նպատակային և ջրային ռեսուրսների խնայողաբար ու արդյունավետ օգտագործմանը, պարե</w:t>
      </w:r>
      <w:r w:rsidRPr="00A83C94">
        <w:rPr>
          <w:rFonts w:cs="Sylfaen"/>
          <w:b w:val="0"/>
          <w:bCs/>
          <w:szCs w:val="22"/>
          <w:lang w:val="hy-AM"/>
        </w:rPr>
        <w:softHyphen/>
        <w:t>նային անվտան</w:t>
      </w:r>
      <w:r w:rsidRPr="00A83C94">
        <w:rPr>
          <w:rFonts w:cs="Sylfaen"/>
          <w:b w:val="0"/>
          <w:bCs/>
          <w:szCs w:val="22"/>
          <w:lang w:val="hy-AM"/>
        </w:rPr>
        <w:softHyphen/>
        <w:t>գու</w:t>
      </w:r>
      <w:r w:rsidRPr="00A83C94">
        <w:rPr>
          <w:rFonts w:cs="Sylfaen"/>
          <w:b w:val="0"/>
          <w:bCs/>
          <w:szCs w:val="22"/>
          <w:lang w:val="hy-AM"/>
        </w:rPr>
        <w:softHyphen/>
      </w:r>
      <w:r w:rsidRPr="00A83C94">
        <w:rPr>
          <w:rFonts w:cs="Sylfaen"/>
          <w:b w:val="0"/>
          <w:bCs/>
          <w:szCs w:val="22"/>
          <w:lang w:val="hy-AM"/>
        </w:rPr>
        <w:softHyphen/>
        <w:t>թյան ապահովման մակարդակի բարձրացմանը, անաս</w:t>
      </w:r>
      <w:r w:rsidRPr="00A83C94">
        <w:rPr>
          <w:rFonts w:cs="Sylfaen"/>
          <w:b w:val="0"/>
          <w:bCs/>
          <w:szCs w:val="22"/>
          <w:lang w:val="hy-AM"/>
        </w:rPr>
        <w:softHyphen/>
        <w:t>նա</w:t>
      </w:r>
      <w:r w:rsidRPr="00A83C94">
        <w:rPr>
          <w:rFonts w:cs="Sylfaen"/>
          <w:b w:val="0"/>
          <w:bCs/>
          <w:szCs w:val="22"/>
          <w:lang w:val="hy-AM"/>
        </w:rPr>
        <w:softHyphen/>
        <w:t>բուծու</w:t>
      </w:r>
      <w:r w:rsidRPr="00A83C94">
        <w:rPr>
          <w:rFonts w:cs="Sylfaen"/>
          <w:b w:val="0"/>
          <w:bCs/>
          <w:szCs w:val="22"/>
          <w:lang w:val="hy-AM"/>
        </w:rPr>
        <w:softHyphen/>
        <w:t>թյան և բուսաբուծության զարգացմանը, արդիական տեխնոլոգիաների ներդրմանը, արտադրված արտա</w:t>
      </w:r>
      <w:r w:rsidRPr="00A83C94">
        <w:rPr>
          <w:rFonts w:cs="Sylfaen"/>
          <w:b w:val="0"/>
          <w:bCs/>
          <w:szCs w:val="22"/>
          <w:lang w:val="hy-AM"/>
        </w:rPr>
        <w:softHyphen/>
        <w:t>դրան</w:t>
      </w:r>
      <w:r w:rsidRPr="00A83C94">
        <w:rPr>
          <w:rFonts w:cs="Sylfaen"/>
          <w:b w:val="0"/>
          <w:bCs/>
          <w:szCs w:val="22"/>
          <w:lang w:val="hy-AM"/>
        </w:rPr>
        <w:softHyphen/>
        <w:t>քի իրաց</w:t>
      </w:r>
      <w:r w:rsidRPr="00A83C94">
        <w:rPr>
          <w:rFonts w:cs="Sylfaen"/>
          <w:b w:val="0"/>
          <w:bCs/>
          <w:szCs w:val="22"/>
          <w:lang w:val="hy-AM"/>
        </w:rPr>
        <w:softHyphen/>
        <w:t>մանն ու արտահանման խթանմանը, գյուղատնտեսական ամբողջ արժեշղթայում ընդգրկված սուբյեկտների՝ գյուղացիական տնտեսությունների, կոոպերատիվների, գյուղատնտեսական մթերք վերամշակող</w:t>
      </w:r>
      <w:r w:rsidRPr="00A83C94">
        <w:rPr>
          <w:rFonts w:cs="Sylfaen"/>
          <w:b w:val="0"/>
          <w:bCs/>
          <w:szCs w:val="22"/>
          <w:lang w:val="hy-AM"/>
        </w:rPr>
        <w:softHyphen/>
        <w:t>ների եկամուտների ավելացմանը։</w:t>
      </w:r>
    </w:p>
    <w:p w14:paraId="4B5E9C0C" w14:textId="72EC52F5" w:rsidR="005F226A" w:rsidRPr="00A83C94" w:rsidRDefault="005F226A" w:rsidP="005F226A">
      <w:pPr>
        <w:spacing w:line="276" w:lineRule="auto"/>
        <w:ind w:firstLine="708"/>
        <w:rPr>
          <w:rFonts w:cs="Times LatArm"/>
          <w:b w:val="0"/>
          <w:bCs/>
          <w:szCs w:val="22"/>
          <w:lang w:val="hy-AM"/>
        </w:rPr>
      </w:pPr>
      <w:r w:rsidRPr="00A83C94">
        <w:rPr>
          <w:rFonts w:cs="Sylfaen"/>
          <w:b w:val="0"/>
          <w:bCs/>
          <w:szCs w:val="22"/>
          <w:lang w:val="hy-AM"/>
        </w:rPr>
        <w:t>Ագրոպարենային</w:t>
      </w:r>
      <w:r w:rsidRPr="00A83C94">
        <w:rPr>
          <w:rFonts w:cs="Times LatArm"/>
          <w:b w:val="0"/>
          <w:bCs/>
          <w:szCs w:val="22"/>
          <w:lang w:val="hy-AM"/>
        </w:rPr>
        <w:t xml:space="preserve"> </w:t>
      </w:r>
      <w:r w:rsidRPr="00A83C94">
        <w:rPr>
          <w:rFonts w:cs="Sylfaen"/>
          <w:b w:val="0"/>
          <w:bCs/>
          <w:szCs w:val="22"/>
          <w:lang w:val="hy-AM"/>
        </w:rPr>
        <w:t>համակարգի</w:t>
      </w:r>
      <w:r w:rsidRPr="00A83C94">
        <w:rPr>
          <w:rFonts w:cs="Times LatArm"/>
          <w:b w:val="0"/>
          <w:bCs/>
          <w:szCs w:val="22"/>
          <w:lang w:val="hy-AM"/>
        </w:rPr>
        <w:t xml:space="preserve"> </w:t>
      </w:r>
      <w:r w:rsidRPr="00A83C94">
        <w:rPr>
          <w:rFonts w:cs="Sylfaen"/>
          <w:b w:val="0"/>
          <w:bCs/>
          <w:szCs w:val="22"/>
          <w:lang w:val="hy-AM"/>
        </w:rPr>
        <w:t>զարգացման</w:t>
      </w:r>
      <w:r w:rsidRPr="00A83C94">
        <w:rPr>
          <w:rFonts w:cs="Times LatArm"/>
          <w:b w:val="0"/>
          <w:bCs/>
          <w:szCs w:val="22"/>
          <w:lang w:val="hy-AM"/>
        </w:rPr>
        <w:t xml:space="preserve"> </w:t>
      </w:r>
      <w:r w:rsidRPr="00A83C94">
        <w:rPr>
          <w:rFonts w:cs="Sylfaen"/>
          <w:b w:val="0"/>
          <w:bCs/>
          <w:szCs w:val="22"/>
          <w:lang w:val="hy-AM"/>
        </w:rPr>
        <w:t>քաղաքա</w:t>
      </w:r>
      <w:r w:rsidRPr="00A83C94">
        <w:rPr>
          <w:rFonts w:cs="Sylfaen"/>
          <w:b w:val="0"/>
          <w:bCs/>
          <w:szCs w:val="22"/>
          <w:lang w:val="hy-AM"/>
        </w:rPr>
        <w:softHyphen/>
        <w:t>կանության</w:t>
      </w:r>
      <w:r w:rsidRPr="00A83C94">
        <w:rPr>
          <w:rFonts w:cs="Times LatArm"/>
          <w:b w:val="0"/>
          <w:bCs/>
          <w:szCs w:val="22"/>
          <w:lang w:val="hy-AM"/>
        </w:rPr>
        <w:t xml:space="preserve"> </w:t>
      </w:r>
      <w:r w:rsidRPr="00A83C94">
        <w:rPr>
          <w:rFonts w:cs="Sylfaen"/>
          <w:b w:val="0"/>
          <w:bCs/>
          <w:szCs w:val="22"/>
          <w:lang w:val="hy-AM"/>
        </w:rPr>
        <w:t>մեջ</w:t>
      </w:r>
      <w:r w:rsidRPr="00A83C94">
        <w:rPr>
          <w:rFonts w:cs="Times LatArm"/>
          <w:b w:val="0"/>
          <w:bCs/>
          <w:szCs w:val="22"/>
          <w:lang w:val="hy-AM"/>
        </w:rPr>
        <w:t xml:space="preserve">, </w:t>
      </w:r>
      <w:r w:rsidRPr="00A83C94">
        <w:rPr>
          <w:rFonts w:cs="Sylfaen"/>
          <w:b w:val="0"/>
          <w:bCs/>
          <w:szCs w:val="22"/>
          <w:lang w:val="hy-AM"/>
        </w:rPr>
        <w:t>որպես</w:t>
      </w:r>
      <w:r w:rsidRPr="00A83C94">
        <w:rPr>
          <w:rFonts w:cs="Times LatArm"/>
          <w:b w:val="0"/>
          <w:bCs/>
          <w:szCs w:val="22"/>
          <w:lang w:val="hy-AM"/>
        </w:rPr>
        <w:t xml:space="preserve"> հիմնական գերակայություններ են դրված՝ </w:t>
      </w:r>
      <w:r w:rsidRPr="00A83C94">
        <w:rPr>
          <w:rFonts w:cs="Sylfaen"/>
          <w:b w:val="0"/>
          <w:bCs/>
          <w:szCs w:val="22"/>
          <w:lang w:val="hy-AM"/>
        </w:rPr>
        <w:t>գյուղատնտեսության</w:t>
      </w:r>
      <w:r w:rsidRPr="00A83C94">
        <w:rPr>
          <w:rFonts w:cs="Times LatArm"/>
          <w:b w:val="0"/>
          <w:bCs/>
          <w:szCs w:val="22"/>
          <w:lang w:val="hy-AM"/>
        </w:rPr>
        <w:t xml:space="preserve"> ռեսուրսային ներուժի արդյունավետ օգտագործումը, </w:t>
      </w:r>
      <w:r w:rsidRPr="00A83C94">
        <w:rPr>
          <w:rFonts w:cs="Sylfaen"/>
          <w:b w:val="0"/>
          <w:bCs/>
          <w:szCs w:val="22"/>
          <w:lang w:val="hy-AM"/>
        </w:rPr>
        <w:t>պարենային</w:t>
      </w:r>
      <w:r w:rsidRPr="00A83C94">
        <w:rPr>
          <w:rFonts w:cs="Times LatArm"/>
          <w:b w:val="0"/>
          <w:bCs/>
          <w:szCs w:val="22"/>
          <w:lang w:val="hy-AM"/>
        </w:rPr>
        <w:t xml:space="preserve"> անվտանգության </w:t>
      </w:r>
      <w:r w:rsidRPr="00A83C94">
        <w:rPr>
          <w:rFonts w:cs="Sylfaen"/>
          <w:b w:val="0"/>
          <w:bCs/>
          <w:szCs w:val="22"/>
          <w:lang w:val="hy-AM"/>
        </w:rPr>
        <w:t>մակարդակի բարձրացումը, առաջադիմական տեխնոլոգիաների ներդրումը, գյուղատնտեսության ինտենսիվացման մակարդակի բարձրացումը, բնակլիմայական ռիսկերի մեղմումն ու տնտեսավարողների եկամուտների ավելացումը</w:t>
      </w:r>
      <w:r w:rsidRPr="00A83C94">
        <w:rPr>
          <w:rFonts w:cs="Times LatArm"/>
          <w:b w:val="0"/>
          <w:bCs/>
          <w:szCs w:val="22"/>
          <w:lang w:val="hy-AM"/>
        </w:rPr>
        <w:t xml:space="preserve">:: </w:t>
      </w:r>
    </w:p>
    <w:p w14:paraId="079BD366" w14:textId="5FD69009" w:rsidR="005F226A" w:rsidRPr="00A83C94" w:rsidRDefault="005F226A" w:rsidP="005F226A">
      <w:pPr>
        <w:pStyle w:val="BodyText2"/>
      </w:pPr>
      <w:r w:rsidRPr="00A83C94">
        <w:rPr>
          <w:b/>
        </w:rPr>
        <w:t>Գործարար և ներդրումային միջավայրի միջավայրի բարելավման</w:t>
      </w:r>
      <w:r w:rsidRPr="00A83C94">
        <w:rPr>
          <w:bCs/>
        </w:rPr>
        <w:t xml:space="preserve"> </w:t>
      </w:r>
      <w:r w:rsidRPr="00A83C94">
        <w:t xml:space="preserve">տեսանկյունից նախատեսվում է մի շարք շրջանակային բարեփոխումներ՝ ուղղված տնտեսության ներուժի վերականգնմանը։ </w:t>
      </w:r>
      <w:r w:rsidR="00EC0544" w:rsidRPr="00A83C94">
        <w:t>Ի</w:t>
      </w:r>
      <w:r w:rsidRPr="00A83C94">
        <w:t xml:space="preserve">րականացվելու են </w:t>
      </w:r>
      <w:r w:rsidR="00EC0544" w:rsidRPr="00A83C94">
        <w:t>այնպիսի</w:t>
      </w:r>
      <w:r w:rsidRPr="00A83C94">
        <w:t xml:space="preserve"> բարեփոխումներ, որոնք նպատակ են ունենալու ընդլայնել ՀՀ քաղաքացիներին հասանելի տնտեսական հնարավորությունների դաշտը և առավելագույնս խրախուսել գիտելիք ձևավորող ներքին և օտարերկրյա մասնավոր ներդրումները, </w:t>
      </w:r>
      <w:r w:rsidR="00EC0544" w:rsidRPr="00A83C94">
        <w:t xml:space="preserve">ինչպես նաև՝ </w:t>
      </w:r>
      <w:r w:rsidRPr="00A83C94">
        <w:t>բարձրացնել վերջիններիս շահութաբերությունը:</w:t>
      </w:r>
    </w:p>
    <w:p w14:paraId="0009B119" w14:textId="2166C5E8" w:rsidR="005F226A" w:rsidRPr="00A83C94" w:rsidRDefault="005F226A" w:rsidP="005F226A">
      <w:pPr>
        <w:pStyle w:val="BodyText2"/>
      </w:pPr>
      <w:r w:rsidRPr="00A83C94">
        <w:t xml:space="preserve">Ներդրումային քաղաքականության առաջնահերթ թիրախ </w:t>
      </w:r>
      <w:r w:rsidR="00EC0544" w:rsidRPr="00A83C94">
        <w:t xml:space="preserve">է </w:t>
      </w:r>
      <w:r w:rsidRPr="00A83C94">
        <w:t>հանդիսան</w:t>
      </w:r>
      <w:r w:rsidR="00EC0544" w:rsidRPr="00A83C94">
        <w:t>ալու</w:t>
      </w:r>
      <w:r w:rsidRPr="00A83C94">
        <w:t xml:space="preserve"> է նորարարական, նոր գիտելիք ստեղծող ծրագրերի իրագործման համար առավել արագ և ճկուն գործընթացների, ինչպես նաև մրցունակության գործոնների առավելագույն հասանելիության ապահովումը։ Հիմնականում կարևորվում են կապիտալի և ֆինանսական միջոցների հասանելիության բարձրացումը, գործարար և  աշխատանքային հարաբերությունների ճկունության բարձրացումը, ենթակառուցվածքների ու ռեսուրսների հասնելիության բարձրացումը, տնտեսության թվայնացման և  տեղեկատվության հասանելիության մակարդակի բարձրացումը։</w:t>
      </w:r>
    </w:p>
    <w:p w14:paraId="0EDBB2AC" w14:textId="77777777" w:rsidR="005F226A" w:rsidRPr="00A83C94" w:rsidRDefault="005F226A" w:rsidP="005F226A">
      <w:pPr>
        <w:pStyle w:val="BodyText2"/>
        <w:rPr>
          <w:b/>
        </w:rPr>
      </w:pPr>
      <w:r w:rsidRPr="00A83C94">
        <w:rPr>
          <w:b/>
        </w:rPr>
        <w:t>Հանրային ներդրումներ</w:t>
      </w:r>
    </w:p>
    <w:p w14:paraId="1D6238DE" w14:textId="30CE6126" w:rsidR="005F226A" w:rsidRPr="00A83C94" w:rsidRDefault="005F226A" w:rsidP="005F226A">
      <w:pPr>
        <w:pStyle w:val="BodyText2"/>
      </w:pPr>
      <w:r w:rsidRPr="00A83C94">
        <w:t xml:space="preserve">Կառավարության կողմից կարևորվում է հանրային ռեսուրսների արդյունավետ տնօրինումը և հանրային կապիտալ ներդրումների արդյունավետության բարձրացումը, ինչի արդյունքում առաջնահերթ են լինելու որակյալ ենթակառուցվածքների ստեղծմանն ու զարգացմանն ուղղված հանրային ներդրումային միջոցների առավել նպատակային օգտագործումը և հանրային ներդրումային ծրագրերի արդյունավետ կառավարումը։ Հանրային ներդրումների կառավարման համակարգի զարգացումը կնպաստի միջոլորտային ծրագրերում մրցակցության բարձրացմանը, ինչի արդյունքում ծրագրերի ընտրությունը իրականացավելու է սոցիալական, տնտեսական և ֆինանսական բարձր ցուցանիշների առկայության դեպքում։ Բարելավվելու է հանրային ներդրումային ծրագրերի մշտադիտարկման և գնահատման համակարգը։ </w:t>
      </w:r>
    </w:p>
    <w:p w14:paraId="5C2C6F9D" w14:textId="77777777" w:rsidR="005F226A" w:rsidRPr="00A83C94" w:rsidRDefault="005F226A" w:rsidP="005F226A">
      <w:pPr>
        <w:pStyle w:val="BodyText2"/>
      </w:pPr>
      <w:r w:rsidRPr="00A83C94">
        <w:rPr>
          <w:b/>
        </w:rPr>
        <w:t>Եվրասիական տնտեսական միության հետ համագործակցության</w:t>
      </w:r>
      <w:r w:rsidRPr="00A83C94">
        <w:rPr>
          <w:rFonts w:ascii="Calibri" w:hAnsi="Calibri" w:cs="Calibri"/>
          <w:b/>
        </w:rPr>
        <w:t> </w:t>
      </w:r>
      <w:r w:rsidRPr="00A83C94">
        <w:rPr>
          <w:b/>
        </w:rPr>
        <w:t xml:space="preserve"> շրջանակներում</w:t>
      </w:r>
      <w:r w:rsidRPr="00A83C94">
        <w:rPr>
          <w:bCs/>
        </w:rPr>
        <w:t xml:space="preserve"> կշարունակվեն երրորդ երկրների հետ ազատ առևտրի գոտու ստեղծման և առևտրատնտեսական համագործակցության մասին համաձայնագրերի և հուշագրերի մշակման աշխատանքները և դրանցից բխող միջոցառումների իրականացումը, ներքին շուկայի գործառնության շրջանակներում Եվրասիական տնտեսական միության խոչընդոտների, սահմանափակումների</w:t>
      </w:r>
      <w:r w:rsidRPr="00A83C94">
        <w:rPr>
          <w:rFonts w:ascii="Calibri" w:hAnsi="Calibri" w:cs="Calibri"/>
          <w:bCs/>
        </w:rPr>
        <w:t> </w:t>
      </w:r>
      <w:r w:rsidRPr="00A83C94">
        <w:rPr>
          <w:bCs/>
        </w:rPr>
        <w:t xml:space="preserve"> </w:t>
      </w:r>
      <w:r w:rsidRPr="00A83C94">
        <w:rPr>
          <w:rFonts w:cs="GHEA Grapalat"/>
          <w:bCs/>
        </w:rPr>
        <w:t>և</w:t>
      </w:r>
      <w:r w:rsidRPr="00A83C94">
        <w:rPr>
          <w:bCs/>
        </w:rPr>
        <w:t xml:space="preserve"> </w:t>
      </w:r>
      <w:r w:rsidRPr="00A83C94">
        <w:rPr>
          <w:rFonts w:cs="GHEA Grapalat"/>
          <w:bCs/>
        </w:rPr>
        <w:t>արգելքների</w:t>
      </w:r>
      <w:r w:rsidRPr="00A83C94">
        <w:rPr>
          <w:bCs/>
        </w:rPr>
        <w:t xml:space="preserve"> </w:t>
      </w:r>
      <w:r w:rsidRPr="00A83C94">
        <w:rPr>
          <w:rFonts w:cs="GHEA Grapalat"/>
          <w:bCs/>
        </w:rPr>
        <w:t>բացահայտմանը</w:t>
      </w:r>
      <w:r w:rsidRPr="00A83C94">
        <w:rPr>
          <w:bCs/>
        </w:rPr>
        <w:t xml:space="preserve"> </w:t>
      </w:r>
      <w:r w:rsidRPr="00A83C94">
        <w:rPr>
          <w:rFonts w:cs="GHEA Grapalat"/>
          <w:bCs/>
        </w:rPr>
        <w:t>և</w:t>
      </w:r>
      <w:r w:rsidRPr="00A83C94">
        <w:rPr>
          <w:bCs/>
        </w:rPr>
        <w:t xml:space="preserve"> </w:t>
      </w:r>
      <w:r w:rsidRPr="00A83C94">
        <w:rPr>
          <w:rFonts w:cs="GHEA Grapalat"/>
          <w:bCs/>
        </w:rPr>
        <w:t>վերացմանն</w:t>
      </w:r>
      <w:r w:rsidRPr="00A83C94">
        <w:rPr>
          <w:bCs/>
        </w:rPr>
        <w:t xml:space="preserve"> </w:t>
      </w:r>
      <w:r w:rsidRPr="00A83C94">
        <w:rPr>
          <w:rFonts w:cs="GHEA Grapalat"/>
          <w:bCs/>
        </w:rPr>
        <w:t>ուղղված</w:t>
      </w:r>
      <w:r w:rsidRPr="00A83C94">
        <w:rPr>
          <w:bCs/>
        </w:rPr>
        <w:t xml:space="preserve"> </w:t>
      </w:r>
      <w:r w:rsidRPr="00A83C94">
        <w:rPr>
          <w:rFonts w:cs="GHEA Grapalat"/>
          <w:bCs/>
        </w:rPr>
        <w:t>միջոցառումները</w:t>
      </w:r>
      <w:r w:rsidRPr="00A83C94">
        <w:rPr>
          <w:bCs/>
        </w:rPr>
        <w:t xml:space="preserve">, </w:t>
      </w:r>
      <w:r w:rsidRPr="00A83C94">
        <w:rPr>
          <w:rFonts w:cs="GHEA Grapalat"/>
          <w:bCs/>
        </w:rPr>
        <w:t>ինչպես</w:t>
      </w:r>
      <w:r w:rsidRPr="00A83C94">
        <w:rPr>
          <w:bCs/>
        </w:rPr>
        <w:t xml:space="preserve"> </w:t>
      </w:r>
      <w:r w:rsidRPr="00A83C94">
        <w:rPr>
          <w:rFonts w:cs="GHEA Grapalat"/>
          <w:bCs/>
        </w:rPr>
        <w:t>նաև</w:t>
      </w:r>
      <w:r w:rsidRPr="00A83C94">
        <w:rPr>
          <w:bCs/>
        </w:rPr>
        <w:t xml:space="preserve"> </w:t>
      </w:r>
      <w:r w:rsidRPr="00A83C94">
        <w:rPr>
          <w:rFonts w:cs="GHEA Grapalat"/>
          <w:bCs/>
        </w:rPr>
        <w:t>նավթի</w:t>
      </w:r>
      <w:r w:rsidRPr="00A83C94">
        <w:rPr>
          <w:bCs/>
        </w:rPr>
        <w:t xml:space="preserve"> </w:t>
      </w:r>
      <w:r w:rsidRPr="00A83C94">
        <w:rPr>
          <w:rFonts w:cs="GHEA Grapalat"/>
          <w:bCs/>
        </w:rPr>
        <w:t>և</w:t>
      </w:r>
      <w:r w:rsidRPr="00A83C94">
        <w:rPr>
          <w:bCs/>
        </w:rPr>
        <w:t xml:space="preserve"> </w:t>
      </w:r>
      <w:r w:rsidRPr="00A83C94">
        <w:rPr>
          <w:rFonts w:cs="GHEA Grapalat"/>
          <w:bCs/>
        </w:rPr>
        <w:t>նավթամթերքի</w:t>
      </w:r>
      <w:r w:rsidRPr="00A83C94">
        <w:rPr>
          <w:bCs/>
        </w:rPr>
        <w:t xml:space="preserve"> </w:t>
      </w:r>
      <w:r w:rsidRPr="00A83C94">
        <w:rPr>
          <w:rFonts w:cs="GHEA Grapalat"/>
          <w:bCs/>
        </w:rPr>
        <w:t>միասնական</w:t>
      </w:r>
      <w:r w:rsidRPr="00A83C94">
        <w:rPr>
          <w:bCs/>
        </w:rPr>
        <w:t xml:space="preserve"> </w:t>
      </w:r>
      <w:r w:rsidRPr="00A83C94">
        <w:rPr>
          <w:rFonts w:cs="GHEA Grapalat"/>
          <w:bCs/>
        </w:rPr>
        <w:t>շուկայի</w:t>
      </w:r>
      <w:r w:rsidRPr="00A83C94">
        <w:rPr>
          <w:bCs/>
        </w:rPr>
        <w:t xml:space="preserve"> </w:t>
      </w:r>
      <w:r w:rsidRPr="00A83C94">
        <w:rPr>
          <w:rFonts w:cs="GHEA Grapalat"/>
          <w:bCs/>
        </w:rPr>
        <w:t>և</w:t>
      </w:r>
      <w:r w:rsidRPr="00A83C94">
        <w:rPr>
          <w:bCs/>
        </w:rPr>
        <w:t xml:space="preserve"> </w:t>
      </w:r>
      <w:r w:rsidRPr="00A83C94">
        <w:rPr>
          <w:rFonts w:cs="GHEA Grapalat"/>
          <w:bCs/>
        </w:rPr>
        <w:t>ալկոհոլային</w:t>
      </w:r>
      <w:r w:rsidRPr="00A83C94">
        <w:rPr>
          <w:bCs/>
        </w:rPr>
        <w:t xml:space="preserve"> </w:t>
      </w:r>
      <w:r w:rsidRPr="00A83C94">
        <w:rPr>
          <w:rFonts w:cs="GHEA Grapalat"/>
          <w:bCs/>
        </w:rPr>
        <w:t>միասնական</w:t>
      </w:r>
      <w:r w:rsidRPr="00A83C94">
        <w:rPr>
          <w:bCs/>
        </w:rPr>
        <w:t xml:space="preserve"> </w:t>
      </w:r>
      <w:r w:rsidRPr="00A83C94">
        <w:rPr>
          <w:rFonts w:cs="GHEA Grapalat"/>
          <w:bCs/>
        </w:rPr>
        <w:t>շուկայի</w:t>
      </w:r>
      <w:r w:rsidRPr="00A83C94">
        <w:rPr>
          <w:bCs/>
        </w:rPr>
        <w:t xml:space="preserve"> </w:t>
      </w:r>
      <w:r w:rsidRPr="00A83C94">
        <w:rPr>
          <w:rFonts w:cs="GHEA Grapalat"/>
          <w:bCs/>
        </w:rPr>
        <w:t>ձևավորման</w:t>
      </w:r>
      <w:r w:rsidRPr="00A83C94">
        <w:rPr>
          <w:bCs/>
        </w:rPr>
        <w:t xml:space="preserve"> </w:t>
      </w:r>
      <w:r w:rsidRPr="00A83C94">
        <w:rPr>
          <w:rFonts w:cs="GHEA Grapalat"/>
          <w:bCs/>
        </w:rPr>
        <w:t>աշխատանքների</w:t>
      </w:r>
      <w:r w:rsidRPr="00A83C94">
        <w:rPr>
          <w:bCs/>
        </w:rPr>
        <w:t xml:space="preserve"> </w:t>
      </w:r>
      <w:r w:rsidRPr="00A83C94">
        <w:t xml:space="preserve">իրականացումը և համակարգումը: </w:t>
      </w:r>
    </w:p>
    <w:p w14:paraId="2FC2AEEE" w14:textId="3591CC3F" w:rsidR="005F226A" w:rsidRPr="00A83C94" w:rsidRDefault="005F226A" w:rsidP="005F226A">
      <w:pPr>
        <w:pStyle w:val="BodyText2"/>
        <w:rPr>
          <w:bCs/>
        </w:rPr>
      </w:pPr>
    </w:p>
    <w:p w14:paraId="3A78DAF7"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r w:rsidRPr="00A83C94">
        <w:rPr>
          <w:rFonts w:cs="Arial"/>
          <w:bCs/>
          <w:szCs w:val="22"/>
          <w:lang w:val="hy-AM" w:eastAsia="en-US"/>
        </w:rPr>
        <w:tab/>
      </w:r>
      <w:bookmarkStart w:id="17" w:name="_Toc26174885"/>
      <w:bookmarkStart w:id="18" w:name="_Toc83567433"/>
      <w:bookmarkStart w:id="19" w:name="_Toc89428255"/>
      <w:r w:rsidRPr="00A83C94">
        <w:rPr>
          <w:rFonts w:cs="Arial"/>
          <w:szCs w:val="22"/>
          <w:lang w:val="hy-AM" w:eastAsia="en-US"/>
        </w:rPr>
        <w:t>Տարածքային կառավարում և տեղական ինքնակառավարում</w:t>
      </w:r>
      <w:bookmarkEnd w:id="17"/>
      <w:bookmarkEnd w:id="18"/>
      <w:bookmarkEnd w:id="19"/>
    </w:p>
    <w:p w14:paraId="49751198" w14:textId="77777777" w:rsidR="005F226A" w:rsidRPr="00A83C94" w:rsidRDefault="005F226A" w:rsidP="005F226A">
      <w:pPr>
        <w:tabs>
          <w:tab w:val="left" w:pos="284"/>
          <w:tab w:val="left" w:pos="993"/>
        </w:tabs>
        <w:spacing w:before="0" w:line="276" w:lineRule="auto"/>
        <w:ind w:firstLine="709"/>
        <w:contextualSpacing w:val="0"/>
        <w:rPr>
          <w:rFonts w:cs="Sylfaen"/>
          <w:i/>
          <w:szCs w:val="22"/>
          <w:lang w:val="hy-AM" w:eastAsia="en-US"/>
        </w:rPr>
      </w:pPr>
      <w:r w:rsidRPr="00A83C94">
        <w:rPr>
          <w:rFonts w:cs="Sylfaen"/>
          <w:i/>
          <w:szCs w:val="22"/>
          <w:lang w:val="hy-AM" w:eastAsia="en-US"/>
        </w:rPr>
        <w:t>Տեղական ինքնակառավարման համակարգում նախատեսվում է՝</w:t>
      </w:r>
    </w:p>
    <w:p w14:paraId="2B30C238" w14:textId="4EB6B28A" w:rsidR="005F226A" w:rsidRPr="00A83C94" w:rsidRDefault="005F226A" w:rsidP="00786462">
      <w:pPr>
        <w:numPr>
          <w:ilvl w:val="0"/>
          <w:numId w:val="40"/>
        </w:numPr>
        <w:tabs>
          <w:tab w:val="left" w:pos="284"/>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տեղական ինքնակառավարման համակարգի զարգացման և լիազորությունների ապակենտրոնացման քաղաքականության առկա խնդիրների լուծում՝ վարչական (համայնքների միավորման գործընթացի ավարտից հետո՝ համայքների ղեկավարներին նոր լիազորությունների փոխանցում) և ֆիսկալ ապակենտրոնացում, տեղական ինքնակառավարման մարմինների հզորացում ու տեղական ժողովրդավարության զարգացում, </w:t>
      </w:r>
    </w:p>
    <w:p w14:paraId="0897BB8F" w14:textId="3BB09B61" w:rsidR="005F226A" w:rsidRPr="00A83C94" w:rsidRDefault="005F226A" w:rsidP="00786462">
      <w:pPr>
        <w:numPr>
          <w:ilvl w:val="0"/>
          <w:numId w:val="40"/>
        </w:numPr>
        <w:tabs>
          <w:tab w:val="left" w:pos="284"/>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ՏԻՄ-երի կողմից համայնքի հնգամյա զարգացման ծրագրի և համայնքի տարեկան աշխատանքային պլան</w:t>
      </w:r>
      <w:r w:rsidR="00795737" w:rsidRPr="00A83C94">
        <w:rPr>
          <w:rFonts w:cs="Sylfaen"/>
          <w:b w:val="0"/>
          <w:szCs w:val="22"/>
          <w:lang w:val="hy-AM" w:eastAsia="en-US"/>
        </w:rPr>
        <w:t>ը</w:t>
      </w:r>
      <w:r w:rsidRPr="00A83C94">
        <w:rPr>
          <w:rFonts w:cs="Sylfaen"/>
          <w:b w:val="0"/>
          <w:szCs w:val="22"/>
          <w:lang w:val="hy-AM" w:eastAsia="en-US"/>
        </w:rPr>
        <w:t xml:space="preserve"> մշակելու, հաստատելու, դրանց  կատարման վերաբերյալ համայնքի ղեկավարի հաշվետվություն ներկայացնելու և հրապարակելու վերաբերյալ օրենսդրական պարտադիր պահանջների կատարմանն ուղղված գործընթացների կազմակերպում,</w:t>
      </w:r>
    </w:p>
    <w:p w14:paraId="40030EED" w14:textId="75F6299B" w:rsidR="005F226A" w:rsidRPr="00A83C94" w:rsidRDefault="005F226A" w:rsidP="00786462">
      <w:pPr>
        <w:numPr>
          <w:ilvl w:val="0"/>
          <w:numId w:val="40"/>
        </w:numPr>
        <w:tabs>
          <w:tab w:val="left" w:pos="284"/>
          <w:tab w:val="left" w:pos="993"/>
        </w:tabs>
        <w:spacing w:before="0" w:line="276" w:lineRule="auto"/>
        <w:ind w:left="0" w:firstLine="709"/>
        <w:contextualSpacing w:val="0"/>
        <w:rPr>
          <w:szCs w:val="22"/>
          <w:lang w:val="hy-AM"/>
        </w:rPr>
      </w:pPr>
      <w:r w:rsidRPr="00A83C94">
        <w:rPr>
          <w:rFonts w:cs="Sylfaen"/>
          <w:b w:val="0"/>
          <w:szCs w:val="22"/>
          <w:lang w:val="hy-AM" w:eastAsia="en-US"/>
        </w:rPr>
        <w:t>տեղեկատվական տեխնոլոգիաների կիրառության առումով ՏԻՄ-երի կարողությունների զարգացմանը միտված ծրագրերի իրականացում, տեղեկատվական համակարգերի կիրառության ընդլայնման միջոցով ՏԻՄ-երի գործունեության թափանցիկության և հաշվետվողականության ապահովում, ՏԻՄ-երում կիրառվող կառավարման տեղեկատվական համակարգերի և պետական մարմինների էլեկտրոնային համակարգերի փոխգործելիության հաստատում և ընդլայնում</w:t>
      </w:r>
      <w:r w:rsidRPr="00A83C94">
        <w:rPr>
          <w:szCs w:val="22"/>
          <w:lang w:val="hy-AM"/>
        </w:rPr>
        <w:t>:</w:t>
      </w:r>
    </w:p>
    <w:p w14:paraId="506079DB" w14:textId="77777777" w:rsidR="005F226A" w:rsidRPr="00A83C94" w:rsidRDefault="005F226A" w:rsidP="005F226A">
      <w:pPr>
        <w:pStyle w:val="BodyText2"/>
        <w:tabs>
          <w:tab w:val="left" w:pos="284"/>
          <w:tab w:val="left" w:pos="993"/>
        </w:tabs>
        <w:ind w:firstLine="709"/>
        <w:rPr>
          <w:rFonts w:eastAsia="Times New Roman" w:cs="Sylfaen"/>
          <w:b/>
          <w:i/>
        </w:rPr>
      </w:pPr>
      <w:r w:rsidRPr="00A83C94">
        <w:rPr>
          <w:rFonts w:eastAsia="Times New Roman" w:cs="Sylfaen"/>
          <w:b/>
          <w:i/>
        </w:rPr>
        <w:t xml:space="preserve">Տարածքային զարգացման նպատակով նախատեսվում է` </w:t>
      </w:r>
    </w:p>
    <w:p w14:paraId="202FA5A5" w14:textId="77777777" w:rsidR="005F226A" w:rsidRPr="00A83C94" w:rsidRDefault="005F226A" w:rsidP="00786462">
      <w:pPr>
        <w:pStyle w:val="ListParagraph"/>
        <w:numPr>
          <w:ilvl w:val="0"/>
          <w:numId w:val="25"/>
        </w:numPr>
        <w:tabs>
          <w:tab w:val="left" w:pos="284"/>
          <w:tab w:val="left" w:pos="540"/>
          <w:tab w:val="left" w:pos="567"/>
          <w:tab w:val="left" w:pos="993"/>
        </w:tabs>
        <w:spacing w:before="0" w:line="276" w:lineRule="auto"/>
        <w:ind w:left="0" w:firstLine="709"/>
        <w:rPr>
          <w:rFonts w:cs="Sylfaen"/>
          <w:b w:val="0"/>
          <w:bCs/>
          <w:iCs/>
          <w:szCs w:val="22"/>
          <w:lang w:val="hy-AM" w:eastAsia="en-US"/>
        </w:rPr>
      </w:pPr>
      <w:r w:rsidRPr="00A83C94">
        <w:rPr>
          <w:rFonts w:cs="Sylfaen"/>
          <w:b w:val="0"/>
          <w:bCs/>
          <w:iCs/>
          <w:szCs w:val="22"/>
          <w:lang w:val="hy-AM" w:eastAsia="en-US"/>
        </w:rPr>
        <w:t>մարզերի տնտեսական զարգացման անհամամասնությունների մեղմում,</w:t>
      </w:r>
    </w:p>
    <w:p w14:paraId="15FFBF4F" w14:textId="3D867D79" w:rsidR="005F226A" w:rsidRPr="00A83C94" w:rsidRDefault="005F226A">
      <w:pPr>
        <w:pStyle w:val="ListParagraph"/>
        <w:numPr>
          <w:ilvl w:val="0"/>
          <w:numId w:val="25"/>
        </w:numPr>
        <w:tabs>
          <w:tab w:val="left" w:pos="284"/>
          <w:tab w:val="left" w:pos="540"/>
          <w:tab w:val="left" w:pos="567"/>
          <w:tab w:val="left" w:pos="993"/>
        </w:tabs>
        <w:spacing w:before="0" w:line="276" w:lineRule="auto"/>
        <w:ind w:left="0" w:firstLine="709"/>
        <w:rPr>
          <w:rFonts w:cs="Sylfaen"/>
          <w:b w:val="0"/>
          <w:bCs/>
          <w:iCs/>
          <w:szCs w:val="22"/>
          <w:lang w:val="hy-AM" w:eastAsia="en-US"/>
        </w:rPr>
      </w:pPr>
      <w:r w:rsidRPr="00A83C94">
        <w:rPr>
          <w:rFonts w:cs="Sylfaen"/>
          <w:b w:val="0"/>
          <w:bCs/>
          <w:iCs/>
          <w:szCs w:val="22"/>
          <w:lang w:val="hy-AM" w:eastAsia="en-US"/>
        </w:rPr>
        <w:t>hանրապետական գործադիր մարմինների կողմից ՀՀ մարզերում իրականացվող ծրագրերի մշտադիտարկման համակարգի կատարելագործում:</w:t>
      </w:r>
    </w:p>
    <w:p w14:paraId="0F5AFBCA"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bCs/>
          <w:iCs/>
          <w:szCs w:val="22"/>
          <w:lang w:val="hy-AM" w:eastAsia="en-US"/>
        </w:rPr>
      </w:pPr>
      <w:r w:rsidRPr="00A83C94">
        <w:rPr>
          <w:rFonts w:cs="Sylfaen"/>
          <w:iCs/>
          <w:szCs w:val="22"/>
          <w:lang w:val="hy-AM" w:eastAsia="en-US"/>
        </w:rPr>
        <w:t>Տեղական ինքնակառավարման համակարգի, տարածքային, տնտեսական, ֆինասական և քաղաքական դերի բարձրացման նպատակով</w:t>
      </w:r>
      <w:r w:rsidRPr="00A83C94">
        <w:rPr>
          <w:rFonts w:cs="Sylfaen"/>
          <w:b w:val="0"/>
          <w:bCs/>
          <w:iCs/>
          <w:szCs w:val="22"/>
          <w:lang w:val="hy-AM" w:eastAsia="en-US"/>
        </w:rPr>
        <w:t xml:space="preserve"> նախատեսվում է՝</w:t>
      </w:r>
    </w:p>
    <w:p w14:paraId="307A2FCD" w14:textId="77777777" w:rsidR="005F226A" w:rsidRPr="00A83C94" w:rsidRDefault="005F226A" w:rsidP="00786462">
      <w:pPr>
        <w:pStyle w:val="ListParagraph"/>
        <w:numPr>
          <w:ilvl w:val="0"/>
          <w:numId w:val="26"/>
        </w:numPr>
        <w:tabs>
          <w:tab w:val="left" w:pos="284"/>
          <w:tab w:val="left" w:pos="567"/>
          <w:tab w:val="left" w:pos="993"/>
        </w:tabs>
        <w:spacing w:before="0" w:line="276" w:lineRule="auto"/>
        <w:ind w:left="0" w:firstLine="709"/>
        <w:contextualSpacing w:val="0"/>
        <w:rPr>
          <w:rFonts w:cs="Sylfaen"/>
          <w:b w:val="0"/>
          <w:bCs/>
          <w:iCs/>
          <w:szCs w:val="22"/>
          <w:lang w:val="hy-AM" w:eastAsia="en-US"/>
        </w:rPr>
      </w:pPr>
      <w:r w:rsidRPr="00A83C94">
        <w:rPr>
          <w:rFonts w:cs="Sylfaen"/>
          <w:b w:val="0"/>
          <w:bCs/>
          <w:iCs/>
          <w:szCs w:val="22"/>
          <w:lang w:val="hy-AM" w:eastAsia="en-US"/>
        </w:rPr>
        <w:t xml:space="preserve"> համայնքային ծառայողների կարողությունների կատարելագործում,</w:t>
      </w:r>
    </w:p>
    <w:p w14:paraId="47771D05" w14:textId="252E3AB9" w:rsidR="005F226A" w:rsidRPr="00A83C94" w:rsidRDefault="005F226A">
      <w:pPr>
        <w:pStyle w:val="ListParagraph"/>
        <w:numPr>
          <w:ilvl w:val="0"/>
          <w:numId w:val="26"/>
        </w:numPr>
        <w:tabs>
          <w:tab w:val="left" w:pos="284"/>
          <w:tab w:val="left" w:pos="567"/>
          <w:tab w:val="left" w:pos="993"/>
        </w:tabs>
        <w:spacing w:before="0" w:line="276" w:lineRule="auto"/>
        <w:ind w:left="0" w:firstLine="709"/>
        <w:contextualSpacing w:val="0"/>
        <w:rPr>
          <w:rFonts w:cs="Sylfaen"/>
          <w:b w:val="0"/>
          <w:bCs/>
          <w:iCs/>
          <w:szCs w:val="22"/>
          <w:lang w:val="hy-AM" w:eastAsia="en-US"/>
        </w:rPr>
      </w:pPr>
      <w:r w:rsidRPr="00A83C94">
        <w:rPr>
          <w:rFonts w:cs="Sylfaen"/>
          <w:b w:val="0"/>
          <w:bCs/>
          <w:iCs/>
          <w:szCs w:val="22"/>
          <w:lang w:val="hy-AM" w:eastAsia="en-US"/>
        </w:rPr>
        <w:t xml:space="preserve"> համայնքների միավորման արդյունքում համայնքային ծառայության ոլորտում առաջացած նոր պահանջների գույքագրում և մասնագիտական կարողությունների և հմտությունների զարգացում:</w:t>
      </w:r>
    </w:p>
    <w:p w14:paraId="3FA11864" w14:textId="21016414" w:rsidR="005F226A" w:rsidRPr="00A83C94" w:rsidRDefault="005F226A" w:rsidP="005F226A">
      <w:pPr>
        <w:tabs>
          <w:tab w:val="left" w:pos="284"/>
          <w:tab w:val="left" w:pos="567"/>
          <w:tab w:val="left" w:pos="993"/>
        </w:tabs>
        <w:spacing w:before="0" w:line="276" w:lineRule="auto"/>
        <w:ind w:firstLine="709"/>
        <w:contextualSpacing w:val="0"/>
        <w:rPr>
          <w:rFonts w:cs="Sylfaen"/>
          <w:bCs/>
          <w:iCs/>
          <w:szCs w:val="22"/>
          <w:lang w:val="hy-AM" w:eastAsia="en-US"/>
        </w:rPr>
      </w:pPr>
      <w:r w:rsidRPr="00A83C94">
        <w:rPr>
          <w:rFonts w:cs="Sylfaen"/>
          <w:iCs/>
          <w:szCs w:val="22"/>
          <w:lang w:val="hy-AM" w:eastAsia="en-US"/>
        </w:rPr>
        <w:t>Դպրոցների սեյսմիկ անվտանգության բարելավում ծրագիր</w:t>
      </w:r>
      <w:r w:rsidRPr="00A83C94">
        <w:rPr>
          <w:rFonts w:cs="Sylfaen"/>
          <w:b w:val="0"/>
          <w:iCs/>
          <w:szCs w:val="22"/>
          <w:lang w:val="hy-AM" w:eastAsia="en-US"/>
        </w:rPr>
        <w:t>:</w:t>
      </w:r>
      <w:r w:rsidRPr="00A83C94">
        <w:rPr>
          <w:rFonts w:cs="Sylfaen"/>
          <w:b w:val="0"/>
          <w:bCs/>
          <w:iCs/>
          <w:szCs w:val="22"/>
          <w:lang w:val="hy-AM" w:eastAsia="en-US"/>
        </w:rPr>
        <w:t xml:space="preserve"> Առավելագույն սեյսմիկ խոցելիություն ունեցող 46 դպրոցների</w:t>
      </w:r>
      <w:r w:rsidR="00795737" w:rsidRPr="00A83C94">
        <w:rPr>
          <w:rFonts w:cs="Sylfaen"/>
          <w:b w:val="0"/>
          <w:bCs/>
          <w:iCs/>
          <w:szCs w:val="22"/>
          <w:lang w:val="hy-AM" w:eastAsia="en-US"/>
        </w:rPr>
        <w:t>ց</w:t>
      </w:r>
      <w:r w:rsidRPr="00A83C94">
        <w:rPr>
          <w:rFonts w:cs="Sylfaen"/>
          <w:b w:val="0"/>
          <w:bCs/>
          <w:iCs/>
          <w:szCs w:val="22"/>
          <w:lang w:val="hy-AM" w:eastAsia="en-US"/>
        </w:rPr>
        <w:t xml:space="preserve"> 2021 թվականին ավարտվել են թվով 7 դպրոցների շինարարական աշխատանքները: Միաժամանակ շինարարություն է ընթանում թվով 14 դպրոցներում, թվով 2 դպրոցների համար հայտարարված են շինարարության մրցույթներ, մինչև տարեվերջ կհայտարարվեն ևս 3 դպրոցի համար շինարարության մրցույթներ, 3 դպրոցների համար հայտարարված մրցույթները գտնվում են ամփոփման և պայմանագրերի կնքման փուլում, 5 դպրոցների համար ընթանում են նախագծային աշխատանքներ։ 2022 թվականին նախատեսվում է սկսել 4 դպրոցների շինարարական աշխատանքներ:</w:t>
      </w:r>
    </w:p>
    <w:p w14:paraId="22318A6C"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bCs/>
          <w:iCs/>
          <w:szCs w:val="22"/>
          <w:lang w:val="hy-AM" w:eastAsia="en-US"/>
        </w:rPr>
      </w:pPr>
      <w:r w:rsidRPr="00A83C94">
        <w:rPr>
          <w:rFonts w:cs="Sylfaen"/>
          <w:iCs/>
          <w:szCs w:val="22"/>
          <w:lang w:val="hy-AM" w:eastAsia="en-US"/>
        </w:rPr>
        <w:t>Կոշտ կենցաղային թափոնների կառավարման (ԿԿԹԿ) ծրագրի</w:t>
      </w:r>
      <w:r w:rsidRPr="00A83C94">
        <w:rPr>
          <w:rFonts w:cs="Sylfaen"/>
          <w:bCs/>
          <w:iCs/>
          <w:szCs w:val="22"/>
          <w:lang w:val="hy-AM" w:eastAsia="en-US"/>
        </w:rPr>
        <w:t xml:space="preserve"> շրջանակներում նախատեսվում է</w:t>
      </w:r>
      <w:r w:rsidRPr="00A83C94">
        <w:rPr>
          <w:rFonts w:cs="Sylfaen"/>
          <w:b w:val="0"/>
          <w:bCs/>
          <w:iCs/>
          <w:szCs w:val="22"/>
          <w:lang w:val="hy-AM" w:eastAsia="en-US"/>
        </w:rPr>
        <w:t xml:space="preserve">՝ </w:t>
      </w:r>
    </w:p>
    <w:p w14:paraId="61981FC2"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szCs w:val="22"/>
          <w:lang w:val="hy-AM"/>
        </w:rPr>
      </w:pPr>
      <w:r w:rsidRPr="00A83C94">
        <w:rPr>
          <w:rFonts w:cs="Sylfaen"/>
          <w:b w:val="0"/>
          <w:bCs/>
          <w:iCs/>
          <w:szCs w:val="22"/>
          <w:lang w:val="hy-AM" w:eastAsia="en-US"/>
        </w:rPr>
        <w:t xml:space="preserve">- </w:t>
      </w:r>
      <w:r w:rsidRPr="00A83C94">
        <w:rPr>
          <w:rFonts w:cs="Sylfaen"/>
          <w:b w:val="0"/>
          <w:szCs w:val="22"/>
          <w:lang w:val="hy-AM"/>
        </w:rPr>
        <w:t xml:space="preserve">«ՀՀ Կոտայքի և Գեղարքունիքի մարզերի կոշտ կենցաղային թափոնների կառավարում» ծրագրի շրջանակներում ընթանում է ՀՀ-ում առաջին սանիտարական աղբավայրի կառուցման աշխատանքները, որը նախատեսվում է ավարտել մինչև 2022 թվականի հուլիս-օգոստոս ամիսները, </w:t>
      </w:r>
    </w:p>
    <w:p w14:paraId="24073D1B" w14:textId="6FCB3695" w:rsidR="005F226A" w:rsidRPr="00A83C94" w:rsidRDefault="005F226A" w:rsidP="005F226A">
      <w:pPr>
        <w:tabs>
          <w:tab w:val="left" w:pos="284"/>
          <w:tab w:val="left" w:pos="567"/>
          <w:tab w:val="left" w:pos="993"/>
        </w:tabs>
        <w:spacing w:before="0" w:line="276" w:lineRule="auto"/>
        <w:ind w:firstLine="709"/>
        <w:contextualSpacing w:val="0"/>
        <w:rPr>
          <w:rFonts w:cs="Sylfaen"/>
          <w:b w:val="0"/>
          <w:szCs w:val="22"/>
          <w:lang w:val="hy-AM"/>
        </w:rPr>
      </w:pPr>
      <w:r w:rsidRPr="00A83C94">
        <w:rPr>
          <w:rFonts w:cs="Sylfaen"/>
          <w:b w:val="0"/>
          <w:szCs w:val="22"/>
          <w:lang w:val="hy-AM"/>
        </w:rPr>
        <w:t>- 2021 թվականի</w:t>
      </w:r>
      <w:r w:rsidR="00795737" w:rsidRPr="00A83C94">
        <w:rPr>
          <w:rFonts w:cs="Sylfaen"/>
          <w:b w:val="0"/>
          <w:szCs w:val="22"/>
          <w:lang w:val="hy-AM"/>
        </w:rPr>
        <w:t>ն</w:t>
      </w:r>
      <w:r w:rsidRPr="00A83C94">
        <w:rPr>
          <w:rFonts w:cs="Sylfaen"/>
          <w:b w:val="0"/>
          <w:szCs w:val="22"/>
          <w:lang w:val="hy-AM"/>
        </w:rPr>
        <w:t xml:space="preserve"> հաստատվել է ՀՀ աղբահանության համակարգի ռազմավարությունը և ռազմավարության կիրարկումն ապահովող 2021-2023 թվականների միջոցառումների ծրագիրը: Աշխատանքներ են տարվում աղբահանության տեղական պլանների կազմման մեթոդաբանության մշակման և աղբահանության սխեմաների մշակման մեթոդաբանության և կիրառելի համակարգչային մոդելի (GIS համակարգի կիրառմամբ) ներդրման ուղղությամբ:</w:t>
      </w:r>
    </w:p>
    <w:p w14:paraId="44BFF04D" w14:textId="52D18151" w:rsidR="005F226A" w:rsidRPr="00A83C94" w:rsidRDefault="005F226A" w:rsidP="00786462">
      <w:pPr>
        <w:numPr>
          <w:ilvl w:val="0"/>
          <w:numId w:val="27"/>
        </w:numPr>
        <w:tabs>
          <w:tab w:val="left" w:pos="284"/>
          <w:tab w:val="left" w:pos="567"/>
          <w:tab w:val="left" w:pos="993"/>
        </w:tabs>
        <w:spacing w:before="0" w:line="276" w:lineRule="auto"/>
        <w:ind w:left="0" w:firstLine="709"/>
        <w:contextualSpacing w:val="0"/>
        <w:rPr>
          <w:rFonts w:cs="Sylfaen"/>
          <w:b w:val="0"/>
          <w:szCs w:val="22"/>
          <w:lang w:val="hy-AM"/>
        </w:rPr>
      </w:pPr>
      <w:r w:rsidRPr="00A83C94">
        <w:rPr>
          <w:rFonts w:cs="Sylfaen"/>
          <w:b w:val="0"/>
          <w:bCs/>
          <w:iCs/>
          <w:szCs w:val="22"/>
          <w:lang w:val="hy-AM" w:eastAsia="en-US"/>
        </w:rPr>
        <w:t xml:space="preserve"> </w:t>
      </w:r>
      <w:r w:rsidRPr="00A83C94">
        <w:rPr>
          <w:rFonts w:cs="Sylfaen"/>
          <w:b w:val="0"/>
          <w:szCs w:val="22"/>
          <w:lang w:val="hy-AM"/>
        </w:rPr>
        <w:t>Նախատեսվում է փակման ենթակա աղբավայրերի փակման և շահագործվող աղբավայրերի բարեկարգման աշխատանքների իրականացում:</w:t>
      </w:r>
    </w:p>
    <w:p w14:paraId="336462DB" w14:textId="77777777" w:rsidR="002F5005" w:rsidRPr="00A83C94" w:rsidRDefault="002F5005" w:rsidP="00D776CA">
      <w:pPr>
        <w:tabs>
          <w:tab w:val="left" w:pos="284"/>
          <w:tab w:val="left" w:pos="567"/>
          <w:tab w:val="left" w:pos="993"/>
        </w:tabs>
        <w:spacing w:before="0" w:line="276" w:lineRule="auto"/>
        <w:ind w:left="709" w:firstLine="0"/>
        <w:contextualSpacing w:val="0"/>
        <w:rPr>
          <w:rFonts w:cs="Sylfaen"/>
          <w:b w:val="0"/>
          <w:szCs w:val="22"/>
          <w:lang w:val="hy-AM"/>
        </w:rPr>
      </w:pPr>
    </w:p>
    <w:p w14:paraId="51E5157E" w14:textId="5EDA8CF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0" w:name="_Toc83567434"/>
      <w:bookmarkStart w:id="21" w:name="_Toc89428256"/>
      <w:r w:rsidRPr="00A83C94">
        <w:rPr>
          <w:rFonts w:cs="Arial"/>
          <w:szCs w:val="22"/>
          <w:lang w:val="hy-AM" w:eastAsia="en-US"/>
        </w:rPr>
        <w:t>Ճանապարհային տնտեսություն</w:t>
      </w:r>
      <w:bookmarkEnd w:id="20"/>
      <w:bookmarkEnd w:id="21"/>
    </w:p>
    <w:p w14:paraId="5C7652B8" w14:textId="77777777" w:rsidR="005F226A" w:rsidRPr="00A83C94" w:rsidRDefault="005F226A" w:rsidP="005F226A">
      <w:pPr>
        <w:tabs>
          <w:tab w:val="left" w:pos="284"/>
          <w:tab w:val="left" w:pos="993"/>
        </w:tabs>
        <w:spacing w:before="0" w:line="276" w:lineRule="auto"/>
        <w:ind w:firstLine="709"/>
        <w:rPr>
          <w:b w:val="0"/>
          <w:bCs/>
          <w:szCs w:val="22"/>
          <w:lang w:val="hy-AM"/>
        </w:rPr>
      </w:pPr>
      <w:r w:rsidRPr="00A83C94">
        <w:rPr>
          <w:b w:val="0"/>
          <w:bCs/>
          <w:szCs w:val="22"/>
          <w:lang w:val="hy-AM"/>
        </w:rPr>
        <w:t>ՀՀ տրանսպորտային համակարգի կարևորագույն խնդիրներից է երկրի ճանապարհատրանսպորտային ենթակառուցվածքների գործունեության արդյունավետության բարձրացումը, ինչպես նաև տնտեսության և ազգաբնակչության պահանջների բավարարման որակի բարձրացման միջոցով՝ անվտանգ և արդյունավետ տրանսպորտային ծառայությունների ապահովումը։</w:t>
      </w:r>
    </w:p>
    <w:p w14:paraId="425055C7" w14:textId="5EE62757" w:rsidR="005F226A" w:rsidRPr="00A83C94" w:rsidRDefault="005F226A" w:rsidP="005F226A">
      <w:pPr>
        <w:tabs>
          <w:tab w:val="left" w:pos="284"/>
          <w:tab w:val="left" w:pos="993"/>
        </w:tabs>
        <w:autoSpaceDE w:val="0"/>
        <w:autoSpaceDN w:val="0"/>
        <w:adjustRightInd w:val="0"/>
        <w:spacing w:before="0" w:line="276" w:lineRule="auto"/>
        <w:ind w:firstLine="709"/>
        <w:rPr>
          <w:b w:val="0"/>
          <w:szCs w:val="22"/>
          <w:lang w:val="hy-AM"/>
        </w:rPr>
      </w:pPr>
      <w:r w:rsidRPr="00A83C94">
        <w:rPr>
          <w:b w:val="0"/>
          <w:szCs w:val="22"/>
          <w:lang w:val="hy-AM"/>
        </w:rPr>
        <w:t xml:space="preserve"> </w:t>
      </w:r>
      <w:r w:rsidRPr="00A83C94">
        <w:rPr>
          <w:rFonts w:cs="Sylfaen"/>
          <w:b w:val="0"/>
          <w:szCs w:val="22"/>
          <w:lang w:val="hy-AM"/>
        </w:rPr>
        <w:t>Երթևեկության</w:t>
      </w:r>
      <w:r w:rsidRPr="00A83C94">
        <w:rPr>
          <w:b w:val="0"/>
          <w:szCs w:val="22"/>
          <w:lang w:val="hy-AM"/>
        </w:rPr>
        <w:t xml:space="preserve"> </w:t>
      </w:r>
      <w:r w:rsidRPr="00A83C94">
        <w:rPr>
          <w:rFonts w:cs="Sylfaen"/>
          <w:b w:val="0"/>
          <w:szCs w:val="22"/>
          <w:lang w:val="hy-AM"/>
        </w:rPr>
        <w:t>ինտենսիվության</w:t>
      </w:r>
      <w:r w:rsidRPr="00A83C94">
        <w:rPr>
          <w:b w:val="0"/>
          <w:szCs w:val="22"/>
          <w:lang w:val="hy-AM"/>
        </w:rPr>
        <w:t xml:space="preserve"> </w:t>
      </w:r>
      <w:r w:rsidRPr="00A83C94">
        <w:rPr>
          <w:rFonts w:cs="Sylfaen"/>
          <w:b w:val="0"/>
          <w:szCs w:val="22"/>
          <w:lang w:val="hy-AM"/>
        </w:rPr>
        <w:t>աճի</w:t>
      </w:r>
      <w:r w:rsidRPr="00A83C94">
        <w:rPr>
          <w:b w:val="0"/>
          <w:szCs w:val="22"/>
          <w:lang w:val="hy-AM"/>
        </w:rPr>
        <w:t xml:space="preserve">, </w:t>
      </w:r>
      <w:r w:rsidRPr="00A83C94">
        <w:rPr>
          <w:rFonts w:cs="Sylfaen"/>
          <w:b w:val="0"/>
          <w:szCs w:val="22"/>
          <w:lang w:val="hy-AM"/>
        </w:rPr>
        <w:t>ուղևորա</w:t>
      </w:r>
      <w:r w:rsidRPr="00A83C94">
        <w:rPr>
          <w:b w:val="0"/>
          <w:szCs w:val="22"/>
          <w:lang w:val="hy-AM"/>
        </w:rPr>
        <w:softHyphen/>
      </w:r>
      <w:r w:rsidRPr="00A83C94">
        <w:rPr>
          <w:rFonts w:cs="Sylfaen"/>
          <w:b w:val="0"/>
          <w:szCs w:val="22"/>
          <w:lang w:val="hy-AM"/>
        </w:rPr>
        <w:t>փո</w:t>
      </w:r>
      <w:r w:rsidRPr="00A83C94">
        <w:rPr>
          <w:b w:val="0"/>
          <w:szCs w:val="22"/>
          <w:lang w:val="hy-AM"/>
        </w:rPr>
        <w:softHyphen/>
      </w:r>
      <w:r w:rsidRPr="00A83C94">
        <w:rPr>
          <w:rFonts w:cs="Sylfaen"/>
          <w:b w:val="0"/>
          <w:szCs w:val="22"/>
          <w:lang w:val="hy-AM"/>
        </w:rPr>
        <w:t>խադրում</w:t>
      </w:r>
      <w:r w:rsidRPr="00A83C94">
        <w:rPr>
          <w:b w:val="0"/>
          <w:szCs w:val="22"/>
          <w:lang w:val="hy-AM"/>
        </w:rPr>
        <w:softHyphen/>
      </w:r>
      <w:r w:rsidRPr="00A83C94">
        <w:rPr>
          <w:rFonts w:cs="Sylfaen"/>
          <w:b w:val="0"/>
          <w:szCs w:val="22"/>
          <w:lang w:val="hy-AM"/>
        </w:rPr>
        <w:t>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բեռնափոխադրումների</w:t>
      </w:r>
      <w:r w:rsidRPr="00A83C94">
        <w:rPr>
          <w:b w:val="0"/>
          <w:szCs w:val="22"/>
          <w:lang w:val="hy-AM"/>
        </w:rPr>
        <w:t xml:space="preserve"> </w:t>
      </w:r>
      <w:r w:rsidRPr="00A83C94">
        <w:rPr>
          <w:rFonts w:cs="Sylfaen"/>
          <w:b w:val="0"/>
          <w:szCs w:val="22"/>
          <w:lang w:val="hy-AM"/>
        </w:rPr>
        <w:t>անվտանգության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արդյունավետության</w:t>
      </w:r>
      <w:r w:rsidRPr="00A83C94">
        <w:rPr>
          <w:b w:val="0"/>
          <w:szCs w:val="22"/>
          <w:lang w:val="hy-AM"/>
        </w:rPr>
        <w:t xml:space="preserve"> </w:t>
      </w:r>
      <w:r w:rsidRPr="00A83C94">
        <w:rPr>
          <w:rFonts w:cs="Sylfaen"/>
          <w:b w:val="0"/>
          <w:szCs w:val="22"/>
          <w:lang w:val="hy-AM"/>
        </w:rPr>
        <w:t>ապահովման</w:t>
      </w:r>
      <w:r w:rsidRPr="00A83C94">
        <w:rPr>
          <w:b w:val="0"/>
          <w:szCs w:val="22"/>
          <w:lang w:val="hy-AM"/>
        </w:rPr>
        <w:t xml:space="preserve"> </w:t>
      </w:r>
      <w:r w:rsidRPr="00A83C94">
        <w:rPr>
          <w:rFonts w:cs="Sylfaen"/>
          <w:b w:val="0"/>
          <w:szCs w:val="22"/>
          <w:lang w:val="hy-AM"/>
        </w:rPr>
        <w:t>նպատա</w:t>
      </w:r>
      <w:r w:rsidRPr="00A83C94">
        <w:rPr>
          <w:b w:val="0"/>
          <w:szCs w:val="22"/>
          <w:lang w:val="hy-AM"/>
        </w:rPr>
        <w:softHyphen/>
      </w:r>
      <w:r w:rsidRPr="00A83C94">
        <w:rPr>
          <w:rFonts w:cs="Sylfaen"/>
          <w:b w:val="0"/>
          <w:szCs w:val="22"/>
          <w:lang w:val="hy-AM"/>
        </w:rPr>
        <w:t>կով</w:t>
      </w:r>
      <w:r w:rsidRPr="00A83C94">
        <w:rPr>
          <w:b w:val="0"/>
          <w:szCs w:val="22"/>
          <w:lang w:val="hy-AM"/>
        </w:rPr>
        <w:t xml:space="preserve"> 2022</w:t>
      </w:r>
      <w:r w:rsidRPr="00A83C94">
        <w:rPr>
          <w:rFonts w:cs="Sylfaen"/>
          <w:b w:val="0"/>
          <w:szCs w:val="22"/>
          <w:lang w:val="hy-AM"/>
        </w:rPr>
        <w:t>թ.-ին</w:t>
      </w:r>
      <w:r w:rsidRPr="00A83C94">
        <w:rPr>
          <w:b w:val="0"/>
          <w:szCs w:val="22"/>
          <w:lang w:val="hy-AM"/>
        </w:rPr>
        <w:t xml:space="preserve"> </w:t>
      </w:r>
      <w:r w:rsidRPr="00A83C94">
        <w:rPr>
          <w:rFonts w:cs="Sylfaen"/>
          <w:b w:val="0"/>
          <w:szCs w:val="22"/>
          <w:lang w:val="hy-AM"/>
        </w:rPr>
        <w:t>նախատեսվում</w:t>
      </w:r>
      <w:r w:rsidRPr="00A83C94">
        <w:rPr>
          <w:b w:val="0"/>
          <w:szCs w:val="22"/>
          <w:lang w:val="hy-AM"/>
        </w:rPr>
        <w:t xml:space="preserve"> </w:t>
      </w:r>
      <w:r w:rsidRPr="00A83C94">
        <w:rPr>
          <w:rFonts w:cs="Sylfaen"/>
          <w:b w:val="0"/>
          <w:szCs w:val="22"/>
          <w:lang w:val="hy-AM"/>
        </w:rPr>
        <w:t>է</w:t>
      </w:r>
      <w:r w:rsidRPr="00A83C94">
        <w:rPr>
          <w:b w:val="0"/>
          <w:szCs w:val="22"/>
          <w:lang w:val="hy-AM"/>
        </w:rPr>
        <w:t xml:space="preserve"> </w:t>
      </w:r>
      <w:r w:rsidRPr="00A83C94">
        <w:rPr>
          <w:rFonts w:cs="Sylfaen"/>
          <w:b w:val="0"/>
          <w:szCs w:val="22"/>
          <w:lang w:val="hy-AM"/>
        </w:rPr>
        <w:t>իրականացնել</w:t>
      </w:r>
      <w:r w:rsidRPr="00A83C94">
        <w:rPr>
          <w:b w:val="0"/>
          <w:szCs w:val="22"/>
          <w:lang w:val="hy-AM"/>
        </w:rPr>
        <w:t xml:space="preserve"> </w:t>
      </w:r>
      <w:r w:rsidRPr="00A83C94">
        <w:rPr>
          <w:rFonts w:cs="Sylfaen"/>
          <w:b w:val="0"/>
          <w:szCs w:val="22"/>
          <w:lang w:val="hy-AM"/>
        </w:rPr>
        <w:t>միջպետական</w:t>
      </w:r>
      <w:r w:rsidRPr="00A83C94">
        <w:rPr>
          <w:b w:val="0"/>
          <w:szCs w:val="22"/>
          <w:lang w:val="hy-AM"/>
        </w:rPr>
        <w:t xml:space="preserve">¸ </w:t>
      </w:r>
      <w:r w:rsidRPr="00A83C94">
        <w:rPr>
          <w:rFonts w:cs="Sylfaen"/>
          <w:b w:val="0"/>
          <w:szCs w:val="22"/>
          <w:lang w:val="hy-AM"/>
        </w:rPr>
        <w:t>հանրապետական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մարզային</w:t>
      </w:r>
      <w:r w:rsidRPr="00A83C94">
        <w:rPr>
          <w:b w:val="0"/>
          <w:szCs w:val="22"/>
          <w:lang w:val="hy-AM"/>
        </w:rPr>
        <w:t xml:space="preserve"> </w:t>
      </w:r>
      <w:r w:rsidRPr="00A83C94">
        <w:rPr>
          <w:rFonts w:cs="Sylfaen"/>
          <w:b w:val="0"/>
          <w:szCs w:val="22"/>
          <w:lang w:val="hy-AM"/>
        </w:rPr>
        <w:t>նշանակության</w:t>
      </w:r>
      <w:r w:rsidRPr="00A83C94">
        <w:rPr>
          <w:b w:val="0"/>
          <w:szCs w:val="22"/>
          <w:lang w:val="hy-AM"/>
        </w:rPr>
        <w:t xml:space="preserve"> </w:t>
      </w:r>
      <w:r w:rsidRPr="00A83C94">
        <w:rPr>
          <w:rFonts w:cs="Sylfaen"/>
          <w:b w:val="0"/>
          <w:szCs w:val="22"/>
          <w:lang w:val="hy-AM"/>
        </w:rPr>
        <w:t>ավտոմոբիլային</w:t>
      </w:r>
      <w:r w:rsidRPr="00A83C94">
        <w:rPr>
          <w:b w:val="0"/>
          <w:szCs w:val="22"/>
          <w:lang w:val="hy-AM"/>
        </w:rPr>
        <w:t xml:space="preserve"> </w:t>
      </w:r>
      <w:r w:rsidRPr="00A83C94">
        <w:rPr>
          <w:rFonts w:cs="Sylfaen"/>
          <w:b w:val="0"/>
          <w:szCs w:val="22"/>
          <w:lang w:val="hy-AM"/>
        </w:rPr>
        <w:t>ճանապարհների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տրանսպորտային</w:t>
      </w:r>
      <w:r w:rsidRPr="00A83C94">
        <w:rPr>
          <w:b w:val="0"/>
          <w:szCs w:val="22"/>
          <w:lang w:val="hy-AM"/>
        </w:rPr>
        <w:t xml:space="preserve"> </w:t>
      </w:r>
      <w:r w:rsidRPr="00A83C94">
        <w:rPr>
          <w:rFonts w:cs="Sylfaen"/>
          <w:b w:val="0"/>
          <w:szCs w:val="22"/>
          <w:lang w:val="hy-AM"/>
        </w:rPr>
        <w:t>օբյեկտների</w:t>
      </w:r>
      <w:r w:rsidRPr="00A83C94">
        <w:rPr>
          <w:b w:val="0"/>
          <w:szCs w:val="22"/>
          <w:lang w:val="hy-AM"/>
        </w:rPr>
        <w:t xml:space="preserve"> </w:t>
      </w:r>
      <w:r w:rsidRPr="00A83C94">
        <w:rPr>
          <w:rFonts w:cs="Sylfaen"/>
          <w:b w:val="0"/>
          <w:szCs w:val="22"/>
          <w:lang w:val="hy-AM"/>
        </w:rPr>
        <w:t>հիմնանորոգում</w:t>
      </w:r>
      <w:r w:rsidRPr="00A83C94">
        <w:rPr>
          <w:b w:val="0"/>
          <w:szCs w:val="22"/>
          <w:lang w:val="hy-AM"/>
        </w:rPr>
        <w:t xml:space="preserve">, </w:t>
      </w:r>
      <w:r w:rsidRPr="00A83C94">
        <w:rPr>
          <w:rFonts w:cs="Sylfaen"/>
          <w:b w:val="0"/>
          <w:szCs w:val="22"/>
          <w:lang w:val="hy-AM"/>
        </w:rPr>
        <w:t>միջին</w:t>
      </w:r>
      <w:r w:rsidRPr="00A83C94">
        <w:rPr>
          <w:b w:val="0"/>
          <w:szCs w:val="22"/>
          <w:lang w:val="hy-AM"/>
        </w:rPr>
        <w:t xml:space="preserve"> </w:t>
      </w:r>
      <w:r w:rsidRPr="00A83C94">
        <w:rPr>
          <w:rFonts w:cs="Sylfaen"/>
          <w:b w:val="0"/>
          <w:szCs w:val="22"/>
          <w:lang w:val="hy-AM"/>
        </w:rPr>
        <w:t>նորոգում</w:t>
      </w:r>
      <w:r w:rsidRPr="00A83C94">
        <w:rPr>
          <w:b w:val="0"/>
          <w:szCs w:val="22"/>
          <w:lang w:val="hy-AM"/>
        </w:rPr>
        <w:t xml:space="preserve">¸ </w:t>
      </w:r>
      <w:r w:rsidRPr="00A83C94">
        <w:rPr>
          <w:rFonts w:cs="Sylfaen"/>
          <w:b w:val="0"/>
          <w:szCs w:val="22"/>
          <w:lang w:val="hy-AM"/>
        </w:rPr>
        <w:t>ձմեռային</w:t>
      </w:r>
      <w:r w:rsidRPr="00A83C94">
        <w:rPr>
          <w:b w:val="0"/>
          <w:szCs w:val="22"/>
          <w:lang w:val="hy-AM"/>
        </w:rPr>
        <w:t xml:space="preserve"> </w:t>
      </w:r>
      <w:r w:rsidRPr="00A83C94">
        <w:rPr>
          <w:rFonts w:cs="Sylfaen"/>
          <w:b w:val="0"/>
          <w:szCs w:val="22"/>
          <w:lang w:val="hy-AM"/>
        </w:rPr>
        <w:t>պահ</w:t>
      </w:r>
      <w:r w:rsidRPr="00A83C94">
        <w:rPr>
          <w:b w:val="0"/>
          <w:szCs w:val="22"/>
          <w:lang w:val="hy-AM"/>
        </w:rPr>
        <w:softHyphen/>
      </w:r>
      <w:r w:rsidRPr="00A83C94">
        <w:rPr>
          <w:rFonts w:cs="Sylfaen"/>
          <w:b w:val="0"/>
          <w:szCs w:val="22"/>
          <w:lang w:val="hy-AM"/>
        </w:rPr>
        <w:t>պանում</w:t>
      </w:r>
      <w:r w:rsidRPr="00A83C94">
        <w:rPr>
          <w:b w:val="0"/>
          <w:szCs w:val="22"/>
          <w:lang w:val="hy-AM"/>
        </w:rPr>
        <w:t xml:space="preserve">, </w:t>
      </w:r>
      <w:r w:rsidRPr="00A83C94">
        <w:rPr>
          <w:rFonts w:cs="Sylfaen"/>
          <w:b w:val="0"/>
          <w:szCs w:val="22"/>
          <w:lang w:val="hy-AM"/>
        </w:rPr>
        <w:t>ընթացիկ</w:t>
      </w:r>
      <w:r w:rsidRPr="00A83C94">
        <w:rPr>
          <w:b w:val="0"/>
          <w:szCs w:val="22"/>
          <w:lang w:val="hy-AM"/>
        </w:rPr>
        <w:t xml:space="preserve"> </w:t>
      </w:r>
      <w:r w:rsidRPr="00A83C94">
        <w:rPr>
          <w:rFonts w:cs="Sylfaen"/>
          <w:b w:val="0"/>
          <w:szCs w:val="22"/>
          <w:lang w:val="hy-AM"/>
        </w:rPr>
        <w:t>պահպանում</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շահագործում</w:t>
      </w:r>
      <w:r w:rsidRPr="00A83C94">
        <w:rPr>
          <w:b w:val="0"/>
          <w:szCs w:val="22"/>
          <w:lang w:val="hy-AM"/>
        </w:rPr>
        <w:t xml:space="preserve">` </w:t>
      </w:r>
      <w:r w:rsidRPr="00A83C94">
        <w:rPr>
          <w:rFonts w:cs="Sylfaen"/>
          <w:b w:val="0"/>
          <w:szCs w:val="22"/>
          <w:lang w:val="hy-AM"/>
        </w:rPr>
        <w:t>ինչը</w:t>
      </w:r>
      <w:r w:rsidRPr="00A83C94">
        <w:rPr>
          <w:b w:val="0"/>
          <w:szCs w:val="22"/>
          <w:lang w:val="hy-AM"/>
        </w:rPr>
        <w:t xml:space="preserve"> </w:t>
      </w:r>
      <w:r w:rsidRPr="00A83C94">
        <w:rPr>
          <w:rFonts w:cs="Sylfaen"/>
          <w:b w:val="0"/>
          <w:szCs w:val="22"/>
          <w:lang w:val="hy-AM"/>
        </w:rPr>
        <w:t>կապահովի</w:t>
      </w:r>
      <w:r w:rsidRPr="00A83C94">
        <w:rPr>
          <w:b w:val="0"/>
          <w:szCs w:val="22"/>
          <w:lang w:val="hy-AM"/>
        </w:rPr>
        <w:t xml:space="preserve"> </w:t>
      </w:r>
      <w:r w:rsidRPr="00A83C94">
        <w:rPr>
          <w:rFonts w:cs="Sylfaen"/>
          <w:b w:val="0"/>
          <w:szCs w:val="22"/>
          <w:lang w:val="hy-AM"/>
        </w:rPr>
        <w:t>ճանապարհների</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կառույցների</w:t>
      </w:r>
      <w:r w:rsidRPr="00A83C94">
        <w:rPr>
          <w:b w:val="0"/>
          <w:szCs w:val="22"/>
          <w:lang w:val="hy-AM"/>
        </w:rPr>
        <w:t xml:space="preserve"> </w:t>
      </w:r>
      <w:r w:rsidRPr="00A83C94">
        <w:rPr>
          <w:rFonts w:cs="Sylfaen"/>
          <w:b w:val="0"/>
          <w:szCs w:val="22"/>
          <w:lang w:val="hy-AM"/>
        </w:rPr>
        <w:t>պահպանվածությունն</w:t>
      </w:r>
      <w:r w:rsidRPr="00A83C94">
        <w:rPr>
          <w:b w:val="0"/>
          <w:szCs w:val="22"/>
          <w:lang w:val="hy-AM"/>
        </w:rPr>
        <w:t xml:space="preserve"> </w:t>
      </w:r>
      <w:r w:rsidRPr="00A83C94">
        <w:rPr>
          <w:rFonts w:cs="Sylfaen"/>
          <w:b w:val="0"/>
          <w:szCs w:val="22"/>
          <w:lang w:val="hy-AM"/>
        </w:rPr>
        <w:t>այնպիսի</w:t>
      </w:r>
      <w:r w:rsidRPr="00A83C94">
        <w:rPr>
          <w:b w:val="0"/>
          <w:szCs w:val="22"/>
          <w:lang w:val="hy-AM"/>
        </w:rPr>
        <w:t xml:space="preserve"> </w:t>
      </w:r>
      <w:r w:rsidRPr="00A83C94">
        <w:rPr>
          <w:rFonts w:cs="Sylfaen"/>
          <w:b w:val="0"/>
          <w:szCs w:val="22"/>
          <w:lang w:val="hy-AM"/>
        </w:rPr>
        <w:t>վիճակում</w:t>
      </w:r>
      <w:r w:rsidRPr="00A83C94">
        <w:rPr>
          <w:b w:val="0"/>
          <w:szCs w:val="22"/>
          <w:lang w:val="hy-AM"/>
        </w:rPr>
        <w:t xml:space="preserve">, </w:t>
      </w:r>
      <w:r w:rsidRPr="00A83C94">
        <w:rPr>
          <w:rFonts w:cs="Sylfaen"/>
          <w:b w:val="0"/>
          <w:szCs w:val="22"/>
          <w:lang w:val="hy-AM"/>
        </w:rPr>
        <w:t>որը</w:t>
      </w:r>
      <w:r w:rsidRPr="00A83C94">
        <w:rPr>
          <w:b w:val="0"/>
          <w:szCs w:val="22"/>
          <w:lang w:val="hy-AM"/>
        </w:rPr>
        <w:t xml:space="preserve"> </w:t>
      </w:r>
      <w:r w:rsidRPr="00A83C94">
        <w:rPr>
          <w:rFonts w:cs="Sylfaen"/>
          <w:b w:val="0"/>
          <w:szCs w:val="22"/>
          <w:lang w:val="hy-AM"/>
        </w:rPr>
        <w:t>համապատասխանում</w:t>
      </w:r>
      <w:r w:rsidRPr="00A83C94">
        <w:rPr>
          <w:b w:val="0"/>
          <w:szCs w:val="22"/>
          <w:lang w:val="hy-AM"/>
        </w:rPr>
        <w:t xml:space="preserve"> </w:t>
      </w:r>
      <w:r w:rsidRPr="00A83C94">
        <w:rPr>
          <w:rFonts w:cs="Sylfaen"/>
          <w:b w:val="0"/>
          <w:szCs w:val="22"/>
          <w:lang w:val="hy-AM"/>
        </w:rPr>
        <w:t>է</w:t>
      </w:r>
      <w:r w:rsidRPr="00A83C94">
        <w:rPr>
          <w:b w:val="0"/>
          <w:szCs w:val="22"/>
          <w:lang w:val="hy-AM"/>
        </w:rPr>
        <w:t xml:space="preserve"> </w:t>
      </w:r>
      <w:r w:rsidRPr="00A83C94">
        <w:rPr>
          <w:rFonts w:cs="Sylfaen"/>
          <w:b w:val="0"/>
          <w:szCs w:val="22"/>
          <w:lang w:val="hy-AM"/>
        </w:rPr>
        <w:t>անվտանգ</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անխափան</w:t>
      </w:r>
      <w:r w:rsidRPr="00A83C94">
        <w:rPr>
          <w:b w:val="0"/>
          <w:szCs w:val="22"/>
          <w:lang w:val="hy-AM"/>
        </w:rPr>
        <w:t xml:space="preserve"> </w:t>
      </w:r>
      <w:r w:rsidRPr="00A83C94">
        <w:rPr>
          <w:rFonts w:cs="Sylfaen"/>
          <w:b w:val="0"/>
          <w:szCs w:val="22"/>
          <w:lang w:val="hy-AM"/>
        </w:rPr>
        <w:t>երթևեկության</w:t>
      </w:r>
      <w:r w:rsidRPr="00A83C94">
        <w:rPr>
          <w:b w:val="0"/>
          <w:szCs w:val="22"/>
          <w:lang w:val="hy-AM"/>
        </w:rPr>
        <w:t xml:space="preserve"> </w:t>
      </w:r>
      <w:r w:rsidRPr="00A83C94">
        <w:rPr>
          <w:rFonts w:cs="Sylfaen"/>
          <w:b w:val="0"/>
          <w:szCs w:val="22"/>
          <w:lang w:val="hy-AM"/>
        </w:rPr>
        <w:t>ապահովման</w:t>
      </w:r>
      <w:r w:rsidRPr="00A83C94">
        <w:rPr>
          <w:b w:val="0"/>
          <w:szCs w:val="22"/>
          <w:lang w:val="hy-AM"/>
        </w:rPr>
        <w:t xml:space="preserve"> </w:t>
      </w:r>
      <w:r w:rsidRPr="00A83C94">
        <w:rPr>
          <w:rFonts w:cs="Sylfaen"/>
          <w:b w:val="0"/>
          <w:szCs w:val="22"/>
          <w:lang w:val="hy-AM"/>
        </w:rPr>
        <w:t>պահանջներին</w:t>
      </w:r>
      <w:r w:rsidRPr="00A83C94">
        <w:rPr>
          <w:b w:val="0"/>
          <w:szCs w:val="22"/>
          <w:lang w:val="hy-AM"/>
        </w:rPr>
        <w:t xml:space="preserve">: </w:t>
      </w:r>
    </w:p>
    <w:p w14:paraId="1EF79394" w14:textId="77777777" w:rsidR="005F226A" w:rsidRPr="00A83C94" w:rsidRDefault="005F226A" w:rsidP="005F226A">
      <w:pPr>
        <w:tabs>
          <w:tab w:val="left" w:pos="284"/>
          <w:tab w:val="left" w:pos="993"/>
        </w:tabs>
        <w:spacing w:before="0" w:line="276" w:lineRule="auto"/>
        <w:ind w:firstLine="709"/>
        <w:contextualSpacing w:val="0"/>
        <w:rPr>
          <w:b w:val="0"/>
          <w:szCs w:val="22"/>
          <w:lang w:val="hy-AM"/>
        </w:rPr>
      </w:pPr>
      <w:r w:rsidRPr="00A83C94">
        <w:rPr>
          <w:b w:val="0"/>
          <w:szCs w:val="22"/>
          <w:lang w:val="hy-AM"/>
        </w:rPr>
        <w:t>2022թ.-ին վարկային և դրամաշնորհային միջոցների հաշվին կշարունակվի Հյուսիս-հարավ ճանապար</w:t>
      </w:r>
      <w:r w:rsidRPr="00A83C94">
        <w:rPr>
          <w:b w:val="0"/>
          <w:szCs w:val="22"/>
          <w:lang w:val="hy-AM"/>
        </w:rPr>
        <w:softHyphen/>
        <w:t>հային միջանցքի վերակառուցման և կենսական նշանակության ճանապարհացանցի բարելավման ծրագրերը: Ավարտին կհասցվի Մ-6, Վանաձոր-Ալավերդի-Վրաստանի սահման միջպետական նշանակության ճանապարհի վերականգնման և բարելավման աշխատանքները։</w:t>
      </w:r>
    </w:p>
    <w:p w14:paraId="1AE557E7" w14:textId="77777777" w:rsidR="005F226A" w:rsidRPr="00A83C94" w:rsidRDefault="005F226A" w:rsidP="005F226A">
      <w:pPr>
        <w:tabs>
          <w:tab w:val="left" w:pos="284"/>
          <w:tab w:val="left" w:pos="993"/>
        </w:tabs>
        <w:spacing w:before="0" w:line="276" w:lineRule="auto"/>
        <w:ind w:firstLine="709"/>
        <w:rPr>
          <w:rFonts w:cs="Arial"/>
          <w:szCs w:val="22"/>
          <w:lang w:val="hy-AM" w:eastAsia="en-US"/>
        </w:rPr>
      </w:pPr>
    </w:p>
    <w:p w14:paraId="6B6A092A"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2" w:name="_Toc83567435"/>
      <w:bookmarkStart w:id="23" w:name="_Toc89428257"/>
      <w:r w:rsidRPr="00A83C94">
        <w:rPr>
          <w:rFonts w:cs="Arial"/>
          <w:szCs w:val="22"/>
          <w:lang w:val="hy-AM" w:eastAsia="en-US"/>
        </w:rPr>
        <w:t>Էներգետիկա</w:t>
      </w:r>
      <w:bookmarkEnd w:id="22"/>
      <w:bookmarkEnd w:id="23"/>
    </w:p>
    <w:p w14:paraId="5DEE7EB3" w14:textId="77777777" w:rsidR="005F226A" w:rsidRPr="00A83C94" w:rsidRDefault="005F226A" w:rsidP="005F226A">
      <w:pPr>
        <w:pStyle w:val="BodyText2"/>
        <w:tabs>
          <w:tab w:val="left" w:pos="284"/>
          <w:tab w:val="left" w:pos="567"/>
          <w:tab w:val="left" w:pos="993"/>
        </w:tabs>
        <w:ind w:firstLine="709"/>
      </w:pPr>
      <w:r w:rsidRPr="00A83C94">
        <w:t xml:space="preserve">Էներգետիկայի բնագավառում իրականացվող պետական քաղաքականությունն ուղղված է լինելու էներգետիկ անկախության ու անվտանգության մակարդակի բարձրացմանը, սպառողներին էլեկտրաէներգիայի և գազի հուսալի ու որակյալ մատակարարման ապահովմանը։ </w:t>
      </w:r>
    </w:p>
    <w:p w14:paraId="217F8F57" w14:textId="77777777" w:rsidR="005F226A" w:rsidRPr="00A83C94" w:rsidRDefault="005F226A" w:rsidP="005F226A">
      <w:pPr>
        <w:pStyle w:val="BodyText2"/>
        <w:tabs>
          <w:tab w:val="left" w:pos="284"/>
          <w:tab w:val="left" w:pos="567"/>
          <w:tab w:val="left" w:pos="993"/>
        </w:tabs>
        <w:ind w:firstLine="709"/>
        <w:rPr>
          <w:lang w:val="ro-RO"/>
        </w:rPr>
      </w:pPr>
      <w:r w:rsidRPr="00A83C94">
        <w:t>Է</w:t>
      </w:r>
      <w:r w:rsidRPr="00A83C94">
        <w:rPr>
          <w:lang w:val="ro-RO"/>
        </w:rPr>
        <w:t xml:space="preserve">ներգետիկայի </w:t>
      </w:r>
      <w:r w:rsidRPr="00A83C94">
        <w:t xml:space="preserve">բնագավառի </w:t>
      </w:r>
      <w:r w:rsidRPr="00A83C94">
        <w:rPr>
          <w:lang w:val="ro-RO"/>
        </w:rPr>
        <w:t xml:space="preserve">կայուն </w:t>
      </w:r>
      <w:r w:rsidRPr="00A83C94">
        <w:t>զարգացման հիմնարար ուղղություններն են լինելու` վերականգնվող էներգետիկ ներուժի տնտեսապես հիմնավորված, արդյունավետ</w:t>
      </w:r>
      <w:r w:rsidRPr="00A83C94">
        <w:rPr>
          <w:lang w:val="ro-RO"/>
        </w:rPr>
        <w:t xml:space="preserve"> և պատասխանատու օգտագործումը, ատոմային էներգետիկայի </w:t>
      </w:r>
      <w:r w:rsidRPr="00A83C94">
        <w:t xml:space="preserve">խաղաղ նպատակներով </w:t>
      </w:r>
      <w:r w:rsidRPr="00A83C94">
        <w:rPr>
          <w:lang w:val="ro-RO"/>
        </w:rPr>
        <w:t>զարգացումը</w:t>
      </w:r>
      <w:r w:rsidRPr="00A83C94">
        <w:t xml:space="preserve">, արտահանման կողմնորոշում ունեցող կայուն ու հուսալի էներգահամակարգի կառուցումը, ժամանակակից տեխնոլոգիաներով հագեցած նոր արտադրող հզորությունների ստեղծումը, </w:t>
      </w:r>
      <w:r w:rsidRPr="00A83C94">
        <w:rPr>
          <w:lang w:val="ro-RO"/>
        </w:rPr>
        <w:t>էլեկտրաէներգետիկական համակարգի տարածաշրջանային ինտեգրումը, էներգակիրների մատակարարման ուղիների և ձևերի տարատեսակեցումը, էներգաարդյունավետության և էներգախնայողության միջոցառումների ներդնումը, թվային էներգետիկայի վերափոխումը։</w:t>
      </w:r>
    </w:p>
    <w:p w14:paraId="35AACF2D" w14:textId="77777777" w:rsidR="005F226A" w:rsidRPr="00A83C94" w:rsidRDefault="005F226A" w:rsidP="005F226A">
      <w:pPr>
        <w:tabs>
          <w:tab w:val="left" w:pos="284"/>
          <w:tab w:val="left" w:pos="567"/>
          <w:tab w:val="left" w:pos="993"/>
        </w:tabs>
        <w:spacing w:before="0" w:line="276" w:lineRule="auto"/>
        <w:ind w:firstLine="709"/>
        <w:rPr>
          <w:b w:val="0"/>
          <w:szCs w:val="22"/>
          <w:lang w:val="hy-AM"/>
        </w:rPr>
      </w:pPr>
      <w:r w:rsidRPr="00A83C94">
        <w:rPr>
          <w:b w:val="0"/>
          <w:szCs w:val="22"/>
          <w:lang w:val="ro-RO"/>
        </w:rPr>
        <w:t xml:space="preserve">2022 </w:t>
      </w:r>
      <w:r w:rsidRPr="00A83C94">
        <w:rPr>
          <w:b w:val="0"/>
          <w:szCs w:val="22"/>
        </w:rPr>
        <w:t>թվականին</w:t>
      </w:r>
      <w:r w:rsidRPr="00A83C94">
        <w:rPr>
          <w:b w:val="0"/>
          <w:szCs w:val="22"/>
          <w:lang w:val="ro-RO"/>
        </w:rPr>
        <w:t xml:space="preserve"> գործնական</w:t>
      </w:r>
      <w:r w:rsidRPr="00A83C94">
        <w:rPr>
          <w:szCs w:val="22"/>
          <w:lang w:val="ro-RO"/>
        </w:rPr>
        <w:t xml:space="preserve"> </w:t>
      </w:r>
      <w:r w:rsidRPr="00A83C94">
        <w:rPr>
          <w:rFonts w:eastAsia="Calibri"/>
          <w:b w:val="0"/>
          <w:szCs w:val="22"/>
          <w:lang w:val="ro-RO" w:eastAsia="en-US"/>
        </w:rPr>
        <w:t>կիրառության կդրվի աստիճանական ազատականացվող էլեկտրաէներգետիկական շուկայի նոր մոդելը</w:t>
      </w:r>
      <w:r w:rsidRPr="00A83C94">
        <w:rPr>
          <w:b w:val="0"/>
          <w:szCs w:val="22"/>
          <w:lang w:val="ro-RO"/>
        </w:rPr>
        <w:t>, որը կբարձրացնի մրցակցությունը, կխթանի ներդրումների ներգրավումը և միջպետական առևտրի զարգացումը:</w:t>
      </w:r>
      <w:r w:rsidRPr="00A83C94">
        <w:rPr>
          <w:b w:val="0"/>
          <w:szCs w:val="22"/>
          <w:lang w:val="hy-AM"/>
        </w:rPr>
        <w:t xml:space="preserve"> Կշարունակվեն աշխատանքները Եվրասիական տնտեսական միության էլեկտրաէներգետիկական ընդհանուր շուկայի և գազի ընդհանուր շուկայի ձևավորմանն ուղղված աշխատանքները։</w:t>
      </w:r>
    </w:p>
    <w:p w14:paraId="74DAD1A1" w14:textId="77777777" w:rsidR="005F226A" w:rsidRPr="00A83C94" w:rsidRDefault="005F226A" w:rsidP="005F226A">
      <w:pPr>
        <w:tabs>
          <w:tab w:val="left" w:pos="284"/>
          <w:tab w:val="left" w:pos="567"/>
          <w:tab w:val="left" w:pos="993"/>
        </w:tabs>
        <w:spacing w:before="0" w:line="276" w:lineRule="auto"/>
        <w:ind w:firstLine="709"/>
        <w:rPr>
          <w:b w:val="0"/>
          <w:szCs w:val="22"/>
          <w:lang w:val="ro-RO"/>
        </w:rPr>
      </w:pPr>
      <w:r w:rsidRPr="00A83C94">
        <w:rPr>
          <w:b w:val="0"/>
          <w:szCs w:val="22"/>
          <w:lang w:val="hy-AM"/>
        </w:rPr>
        <w:t xml:space="preserve">Շահագործման կհանձնվի  </w:t>
      </w:r>
      <w:r w:rsidRPr="00A83C94">
        <w:rPr>
          <w:b w:val="0"/>
          <w:szCs w:val="22"/>
          <w:lang w:val="ro-RO"/>
        </w:rPr>
        <w:t>250 ՄՎտ հզորությամբ գազային վառելիքով կոմբինացված ցիկլով էլեկտրակայանը։</w:t>
      </w:r>
    </w:p>
    <w:p w14:paraId="09A8F6FE" w14:textId="77777777" w:rsidR="005F226A" w:rsidRPr="00A83C94" w:rsidRDefault="005F226A" w:rsidP="005F226A">
      <w:pPr>
        <w:tabs>
          <w:tab w:val="left" w:pos="284"/>
          <w:tab w:val="left" w:pos="567"/>
          <w:tab w:val="left" w:pos="993"/>
        </w:tabs>
        <w:spacing w:before="0" w:line="276" w:lineRule="auto"/>
        <w:ind w:firstLine="709"/>
        <w:rPr>
          <w:b w:val="0"/>
          <w:szCs w:val="22"/>
          <w:lang w:val="ro-RO"/>
        </w:rPr>
      </w:pPr>
      <w:r w:rsidRPr="00A83C94">
        <w:rPr>
          <w:b w:val="0"/>
          <w:szCs w:val="22"/>
          <w:lang w:val="ro-RO"/>
        </w:rPr>
        <w:t xml:space="preserve">Կշարունակվեն Մասրիկ-1 55 ՄՎտ հզորությամբ արդյունաբերական մասշտաբի արևային ֆոտովոլտային կայանի կառուցման աշխատանքները: Կիրականացվեն գումարային մոտ 120 ՄՎտ հզորությամբ ևս 7 արևային ֆոտովոլտային կայանների կառուցման աշխատանքները, որոնց  մրցութային փաթեթները նախապատրաստման փուլում են: «Մասդար Արմենիա ծրագիր» ներդրումային ծրագրի շրջանակներում կմեկնարկեն «Այգ-1» 200 ՄՎտ արևային ֆոտովոլտային կայանի կառուցման աշխատանքները:  </w:t>
      </w:r>
    </w:p>
    <w:p w14:paraId="32181829" w14:textId="77777777" w:rsidR="005F226A" w:rsidRPr="00A83C94" w:rsidRDefault="005F226A" w:rsidP="005F226A">
      <w:pPr>
        <w:tabs>
          <w:tab w:val="left" w:pos="284"/>
          <w:tab w:val="left" w:pos="567"/>
          <w:tab w:val="left" w:pos="993"/>
        </w:tabs>
        <w:spacing w:before="0" w:line="276" w:lineRule="auto"/>
        <w:ind w:firstLine="709"/>
        <w:rPr>
          <w:rFonts w:eastAsia="Calibri"/>
          <w:b w:val="0"/>
          <w:szCs w:val="22"/>
          <w:lang w:val="hy-AM" w:eastAsia="en-US"/>
        </w:rPr>
      </w:pPr>
      <w:r w:rsidRPr="00A83C94">
        <w:rPr>
          <w:b w:val="0"/>
          <w:szCs w:val="22"/>
          <w:lang w:val="ro-RO"/>
        </w:rPr>
        <w:t>Կավարտվեն Հայկական ԱԷԿ-ի երկրորդ էներգաբլոկի շահագործման նախագծային ժամկետի երկարաձգման նպատակով արդիականացման աշխատանքները` ապահովելու Հայկական ԱԷԿ-ի անվտանգ</w:t>
      </w:r>
      <w:r w:rsidRPr="00A83C94">
        <w:rPr>
          <w:rFonts w:eastAsia="Calibri"/>
          <w:b w:val="0"/>
          <w:szCs w:val="22"/>
          <w:lang w:val="hy-AM" w:eastAsia="en-US"/>
        </w:rPr>
        <w:t xml:space="preserve"> աշխատանքը մինչև 2026 թվականը, որից հետո լրացուցիչ ներդրումներ կարվեն ատոմային էլեկտրակայանի երկրորդ էներգաբլոկի շահագործման ժամկետը ևս 10 տարով երկարաձգելու նպատակով։ Միջուկային նոր էներգաբլոկի կառուցման իրականացման ուղղությամբ կմշակվի համապատասխան ծրագիր:</w:t>
      </w:r>
    </w:p>
    <w:p w14:paraId="6163A4F9" w14:textId="77777777" w:rsidR="005F226A" w:rsidRPr="00A83C94" w:rsidRDefault="005F226A" w:rsidP="005F226A">
      <w:pPr>
        <w:tabs>
          <w:tab w:val="left" w:pos="284"/>
          <w:tab w:val="left" w:pos="567"/>
          <w:tab w:val="left" w:pos="993"/>
        </w:tabs>
        <w:spacing w:before="0" w:line="276" w:lineRule="auto"/>
        <w:ind w:firstLine="709"/>
        <w:rPr>
          <w:b w:val="0"/>
          <w:szCs w:val="22"/>
          <w:lang w:val="hy-AM"/>
        </w:rPr>
      </w:pPr>
      <w:r w:rsidRPr="00A83C94">
        <w:rPr>
          <w:rFonts w:eastAsia="Calibri"/>
          <w:b w:val="0"/>
          <w:szCs w:val="22"/>
          <w:lang w:val="hy-AM" w:eastAsia="en-US"/>
        </w:rPr>
        <w:t>Կշարունակվեն էներգետիկ ենթակառուցվածքների արտադրող կայանների, հաղորդման և բաշխիչ ցանցերի, ենթակայանների, օդային գծերի և այլն վերազինման, արդիականացման, առաջատար տեխնոլոգիաներով հագեցման աշխատանքները։  Կշարունակվեն Հայաստան-Իրան 400 կՎ լարման էլեկտրահաղորդման օդային</w:t>
      </w:r>
      <w:r w:rsidRPr="00A83C94">
        <w:rPr>
          <w:b w:val="0"/>
          <w:szCs w:val="22"/>
          <w:lang w:val="ro-RO"/>
        </w:rPr>
        <w:t xml:space="preserve"> գծի</w:t>
      </w:r>
      <w:r w:rsidRPr="00A83C94">
        <w:rPr>
          <w:b w:val="0"/>
          <w:szCs w:val="22"/>
          <w:lang w:val="hy-AM"/>
        </w:rPr>
        <w:t xml:space="preserve"> և Նորավան ենթակայանի</w:t>
      </w:r>
      <w:r w:rsidRPr="00A83C94">
        <w:rPr>
          <w:b w:val="0"/>
          <w:szCs w:val="22"/>
          <w:lang w:val="ro-RO"/>
        </w:rPr>
        <w:t xml:space="preserve"> </w:t>
      </w:r>
      <w:r w:rsidRPr="00A83C94">
        <w:rPr>
          <w:b w:val="0"/>
          <w:szCs w:val="22"/>
          <w:lang w:val="hy-AM"/>
        </w:rPr>
        <w:t>կառուցման աշխատանքները։</w:t>
      </w:r>
      <w:r w:rsidRPr="00A83C94">
        <w:rPr>
          <w:rFonts w:eastAsia="Calibri"/>
          <w:b w:val="0"/>
          <w:szCs w:val="22"/>
          <w:lang w:val="hy-AM" w:eastAsia="en-US"/>
        </w:rPr>
        <w:t xml:space="preserve"> Կմեկնարկեն Հայաստան-Վրաստան 400 կՎ լարման էլեկտրահաղորդման օդային</w:t>
      </w:r>
      <w:r w:rsidRPr="00A83C94">
        <w:rPr>
          <w:b w:val="0"/>
          <w:szCs w:val="22"/>
          <w:lang w:val="ro-RO"/>
        </w:rPr>
        <w:t xml:space="preserve"> գծի</w:t>
      </w:r>
      <w:r w:rsidRPr="00A83C94">
        <w:rPr>
          <w:b w:val="0"/>
          <w:szCs w:val="22"/>
          <w:lang w:val="hy-AM"/>
        </w:rPr>
        <w:t xml:space="preserve"> կառուցման աշխատանքները։</w:t>
      </w:r>
      <w:r w:rsidRPr="00A83C94">
        <w:rPr>
          <w:b w:val="0"/>
          <w:szCs w:val="22"/>
          <w:lang w:val="hy-AM"/>
        </w:rPr>
        <w:tab/>
      </w:r>
    </w:p>
    <w:p w14:paraId="46BCDA9E" w14:textId="41D37A38" w:rsidR="005F226A" w:rsidRPr="00A83C94" w:rsidRDefault="005F226A" w:rsidP="005F226A">
      <w:pPr>
        <w:tabs>
          <w:tab w:val="left" w:pos="567"/>
        </w:tabs>
        <w:spacing w:before="0" w:line="276" w:lineRule="auto"/>
        <w:ind w:firstLine="0"/>
        <w:contextualSpacing w:val="0"/>
        <w:rPr>
          <w:rFonts w:cs="Sylfaen"/>
          <w:b w:val="0"/>
          <w:iCs/>
          <w:szCs w:val="22"/>
          <w:lang w:val="hy-AM"/>
        </w:rPr>
      </w:pPr>
      <w:r w:rsidRPr="00A83C94">
        <w:rPr>
          <w:rFonts w:cs="Sylfaen"/>
          <w:b w:val="0"/>
          <w:iCs/>
          <w:szCs w:val="22"/>
          <w:lang w:val="hy-AM"/>
        </w:rPr>
        <w:tab/>
        <w:t>Կշարունակվեն նաև ՀՀ միջուկային օրենսդրության համապատասխանեցումը Ատոմային էներգիայի միջազգային գործակալության (ԱԷՄԳ) անվտանգության ստանդարտներին,  Եվրոպական միության անվտանգության դիրեկտիվների՝ այդ թվում  Արևմտաեվրոպական երկրների կարգավորող մարմինների ասոցիացիայի (WENRA) անվտանգության պահանջներին, ինչպես նաև, հաշվի առնելով Ֆուկուշիմայի ԱԷԿ-ի վթարի և «սթրես-թեստի»  ուսումնասիրության արդյունքները, զարգացած երկրների փորձը, Հայկական ԱԷԿ-ի 2-րդ էներգաբլոկի շահագործման նախագծային ժամկետի երկարացման լիցենզավորումը</w:t>
      </w:r>
      <w:r w:rsidR="00DA250D" w:rsidRPr="00A83C94">
        <w:rPr>
          <w:rFonts w:cs="Sylfaen"/>
          <w:b w:val="0"/>
          <w:iCs/>
          <w:szCs w:val="22"/>
          <w:lang w:val="hy-AM"/>
        </w:rPr>
        <w:t>:</w:t>
      </w:r>
    </w:p>
    <w:p w14:paraId="4C26AF3B" w14:textId="77777777" w:rsidR="000825DA" w:rsidRPr="00A83C94" w:rsidRDefault="000825DA" w:rsidP="005F226A">
      <w:pPr>
        <w:tabs>
          <w:tab w:val="left" w:pos="567"/>
        </w:tabs>
        <w:spacing w:before="0" w:line="276" w:lineRule="auto"/>
        <w:ind w:firstLine="0"/>
        <w:contextualSpacing w:val="0"/>
        <w:rPr>
          <w:rFonts w:cs="Sylfaen"/>
          <w:b w:val="0"/>
          <w:iCs/>
          <w:szCs w:val="22"/>
          <w:lang w:val="hy-AM"/>
        </w:rPr>
      </w:pPr>
    </w:p>
    <w:p w14:paraId="03306D38"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4" w:name="_Toc57655418"/>
      <w:bookmarkStart w:id="25" w:name="_Toc83567436"/>
      <w:bookmarkStart w:id="26" w:name="_Toc89428258"/>
      <w:r w:rsidRPr="00A83C94">
        <w:rPr>
          <w:rFonts w:cs="Arial"/>
          <w:szCs w:val="22"/>
          <w:lang w:val="hy-AM" w:eastAsia="en-US"/>
        </w:rPr>
        <w:t>Ջրային տնտեսություն</w:t>
      </w:r>
      <w:bookmarkEnd w:id="24"/>
      <w:bookmarkEnd w:id="25"/>
      <w:bookmarkEnd w:id="26"/>
    </w:p>
    <w:p w14:paraId="73DABFBA" w14:textId="4E3840AA"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Ջրային տնտեսության ոլորտում էապես կարևորվում է բարեփոխումների շարունակման գործընթացի ապահովումը, նոր գաղափարների իրացումն ու ոլորտի զարգացման քաղաքականությունից բխող հիմնախնդիրների լուծումը՝ մասնավորապես, ջրամատակարարման որակի բարձրացումը, յուրաքանչյուր սոցիալական խմբի և շահառուի համար ծառայությունների հասանելության ապահովումը, ոռոգվող հողատարածքների ընդլայնումը:</w:t>
      </w:r>
    </w:p>
    <w:p w14:paraId="29FA403B" w14:textId="77777777"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ՀՀ 2022 թվականի պետական բյուջեում նախատեսվում է ապահովել խմելու և ոռոգման ջրի համակարգերի բարեփոխումների երկարաժամկետ ծրագրերի իրականացումը՝ հիմնականում նպատակ դնելով բարձրացնել համակարգերի շահագործման հուսալիությունը և արդյունավետությունը: Առաջնահերթ խնդիր է համակարգերի կազմակերպությունների գործունեության արդյունավետության բարձրացումը՝ ներառելով մասնավոր կառավարման բաղադրիչը, ինչպես նաև կրճատել ջրի կորուստները և բարելավել ջրամատակարարման ու ջրահեռացման ծառայությունների որակը:</w:t>
      </w:r>
    </w:p>
    <w:p w14:paraId="007ED301" w14:textId="38169FE7"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Միաժամանակ, շարունակ</w:t>
      </w:r>
      <w:r w:rsidR="009A7816" w:rsidRPr="00A83C94">
        <w:rPr>
          <w:b w:val="0"/>
          <w:szCs w:val="22"/>
          <w:lang w:val="hy-AM"/>
        </w:rPr>
        <w:t>վ</w:t>
      </w:r>
      <w:r w:rsidRPr="00A83C94">
        <w:rPr>
          <w:b w:val="0"/>
          <w:szCs w:val="22"/>
          <w:lang w:val="hy-AM"/>
        </w:rPr>
        <w:t>ել</w:t>
      </w:r>
      <w:r w:rsidR="009A7816" w:rsidRPr="00A83C94">
        <w:rPr>
          <w:b w:val="0"/>
          <w:szCs w:val="22"/>
          <w:lang w:val="hy-AM"/>
        </w:rPr>
        <w:t>ու են</w:t>
      </w:r>
      <w:r w:rsidRPr="00A83C94">
        <w:rPr>
          <w:b w:val="0"/>
          <w:szCs w:val="22"/>
          <w:lang w:val="hy-AM"/>
        </w:rPr>
        <w:t xml:space="preserve"> կարևորագույն հիդրոտեխնիկական կառուցվածքների, այդ թվում` ջրամբարների պատվարների ամրապնդման ու նորոգման աշխատանքները՝ երաշխավորելով դրանց անվտանգ ու անխափան շահագործումը:</w:t>
      </w:r>
    </w:p>
    <w:p w14:paraId="1C71905A" w14:textId="4F274D88"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Հասանելի և որակյալ ծառայությունների մատուցման ապահովման նպատակով 2022թ.-ին շարունակ</w:t>
      </w:r>
      <w:r w:rsidR="009A7816" w:rsidRPr="00A83C94">
        <w:rPr>
          <w:b w:val="0"/>
          <w:szCs w:val="22"/>
          <w:lang w:val="hy-AM"/>
        </w:rPr>
        <w:t>վ</w:t>
      </w:r>
      <w:r w:rsidRPr="00A83C94">
        <w:rPr>
          <w:b w:val="0"/>
          <w:szCs w:val="22"/>
          <w:lang w:val="hy-AM"/>
        </w:rPr>
        <w:t>ել</w:t>
      </w:r>
      <w:r w:rsidR="009A7816" w:rsidRPr="00A83C94">
        <w:rPr>
          <w:b w:val="0"/>
          <w:szCs w:val="22"/>
          <w:lang w:val="hy-AM"/>
        </w:rPr>
        <w:t>ու է</w:t>
      </w:r>
      <w:r w:rsidRPr="00A83C94">
        <w:rPr>
          <w:b w:val="0"/>
          <w:szCs w:val="22"/>
          <w:lang w:val="hy-AM"/>
        </w:rPr>
        <w:t xml:space="preserve"> համապատասխան ներդրումների կատարումը ջրային ոլորտում: Ներդրումային քաղաքականությունը պետք է նպատակաուղղված լինի համակարգերի պահպանմանը և վերականգնմանը, առկա ենթակառուցվածքների արդիականացման և նորերի կառուցմամբ ծառայությունների մատուցման էներգատար կառուցվածքների փոփոխմանը, համակարգերում հաշվառելիության համակարգի բարելավմանը և արդիականացմանը:</w:t>
      </w:r>
    </w:p>
    <w:p w14:paraId="4BBB8F02" w14:textId="77777777" w:rsidR="005F226A" w:rsidRPr="00A83C94" w:rsidRDefault="005F226A" w:rsidP="005F226A">
      <w:pPr>
        <w:tabs>
          <w:tab w:val="left" w:pos="284"/>
          <w:tab w:val="left" w:pos="567"/>
          <w:tab w:val="left" w:pos="993"/>
        </w:tabs>
        <w:spacing w:before="0" w:line="276" w:lineRule="auto"/>
        <w:ind w:firstLine="709"/>
        <w:contextualSpacing w:val="0"/>
        <w:rPr>
          <w:b w:val="0"/>
          <w:szCs w:val="22"/>
          <w:lang w:val="hy-AM"/>
        </w:rPr>
      </w:pPr>
      <w:r w:rsidRPr="00A83C94">
        <w:rPr>
          <w:b w:val="0"/>
          <w:szCs w:val="22"/>
          <w:lang w:val="hy-AM"/>
        </w:rPr>
        <w:t>ՀՀ ջրային տնտեսության ոլորտում նախատեսվում է իրականացնել հետևյալ հիմնական աշխատանքները՝</w:t>
      </w:r>
    </w:p>
    <w:p w14:paraId="756A1B8C"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ջրային պաշարների մակերևութային հոսքի կառավարման նպատակով նախագծվելու է 15 ջրամբար և սկսվելու է դրանց կառուցումը,</w:t>
      </w:r>
    </w:p>
    <w:p w14:paraId="02AFCDE3"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«Արփա-Սևան» թունելի վթարային առանձին հատվածների հիմնանորոգման աշխատանքներ, որոնց շնորհիվ ապահովվելու է թունելի հուսալի և անխափան շահագործումը,</w:t>
      </w:r>
    </w:p>
    <w:p w14:paraId="2D7A330A"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խթանվելու է նոր տեխնոլոգիաների ներդրմամբ ջրի խնայողական ռեժիմով օգտագործման, այդ թվում՝ կաթիլային և անձրևացման եղանակով ոռոգման համակարգերի ներդրումը, ինչպես նաև ոռոգման ջրի վարձավճարների փոխհատուցման մեխանիզմների կիրառումը,</w:t>
      </w:r>
    </w:p>
    <w:p w14:paraId="4404DB9B"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 xml:space="preserve">շարունակվելու է ոռոգման համակարգերում կառավարման ավտոմատացված ու տվյալների հավաքման (SCADA) համակարգով հագեցած ջրաչափական սարքավորումների տեղադրման և շահագործման միջոցառումների գործընթացը, </w:t>
      </w:r>
    </w:p>
    <w:p w14:paraId="0969930B" w14:textId="77777777" w:rsidR="005F226A" w:rsidRPr="00A83C94" w:rsidRDefault="005F226A" w:rsidP="00786462">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ցերեկային ժամերին առաջացած պոտենցիալ ջրերը, ինչպես նաև գիշերային ժամերին չօգտագործելու հետևանքով առաջացած ջրի ծավալները կուտակելու նպատակով նախագծվելու են օրվա կարգավորիչ ջրավազաններ,</w:t>
      </w:r>
    </w:p>
    <w:p w14:paraId="07EDBFC0" w14:textId="5F64DA31" w:rsidR="005F226A" w:rsidRPr="00A83C94" w:rsidRDefault="009A7816">
      <w:pPr>
        <w:pStyle w:val="ListParagraph"/>
        <w:numPr>
          <w:ilvl w:val="0"/>
          <w:numId w:val="19"/>
        </w:numPr>
        <w:tabs>
          <w:tab w:val="left" w:pos="284"/>
          <w:tab w:val="left" w:pos="567"/>
          <w:tab w:val="left" w:pos="993"/>
        </w:tabs>
        <w:autoSpaceDE w:val="0"/>
        <w:autoSpaceDN w:val="0"/>
        <w:adjustRightInd w:val="0"/>
        <w:spacing w:before="0" w:line="276" w:lineRule="auto"/>
        <w:ind w:left="0" w:firstLine="709"/>
        <w:contextualSpacing w:val="0"/>
        <w:rPr>
          <w:b w:val="0"/>
          <w:szCs w:val="22"/>
          <w:lang w:val="hy-AM"/>
        </w:rPr>
      </w:pPr>
      <w:r w:rsidRPr="00A83C94">
        <w:rPr>
          <w:b w:val="0"/>
          <w:szCs w:val="22"/>
          <w:lang w:val="hy-AM"/>
        </w:rPr>
        <w:t xml:space="preserve">իրականացվելու է </w:t>
      </w:r>
      <w:r w:rsidR="005F226A" w:rsidRPr="00A83C94">
        <w:rPr>
          <w:b w:val="0"/>
          <w:szCs w:val="22"/>
          <w:lang w:val="hy-AM"/>
        </w:rPr>
        <w:t>հակահեղեղային առաջնահերթ միջոցառումների 10 ծրագիր՝ մաքրելով գետերի և հեղեղատարների հուները, ինչպես նաև իրականացվելու են ափերի ամրացման աշխատանքներ,</w:t>
      </w:r>
    </w:p>
    <w:p w14:paraId="63E9B64C" w14:textId="060A6DBD" w:rsidR="005F226A" w:rsidRPr="00A83C94" w:rsidRDefault="009A7816" w:rsidP="005C5FAF">
      <w:pPr>
        <w:pStyle w:val="ListParagraph"/>
        <w:numPr>
          <w:ilvl w:val="0"/>
          <w:numId w:val="19"/>
        </w:numPr>
        <w:tabs>
          <w:tab w:val="left" w:pos="284"/>
          <w:tab w:val="left" w:pos="567"/>
          <w:tab w:val="left" w:pos="993"/>
        </w:tabs>
        <w:spacing w:before="0" w:line="276" w:lineRule="auto"/>
        <w:ind w:left="0" w:firstLine="709"/>
        <w:contextualSpacing w:val="0"/>
        <w:rPr>
          <w:b w:val="0"/>
          <w:szCs w:val="22"/>
          <w:lang w:val="hy-AM"/>
        </w:rPr>
      </w:pPr>
      <w:r w:rsidRPr="00A83C94">
        <w:rPr>
          <w:b w:val="0"/>
          <w:szCs w:val="22"/>
          <w:lang w:val="hy-AM"/>
        </w:rPr>
        <w:t>իրականացվելու են</w:t>
      </w:r>
      <w:r w:rsidR="005F226A" w:rsidRPr="00A83C94">
        <w:rPr>
          <w:b w:val="0"/>
          <w:szCs w:val="22"/>
          <w:lang w:val="hy-AM"/>
        </w:rPr>
        <w:t xml:space="preserve"> ոռոգման ջրանցքների, ջրատարների և պոմպակայանների վերականգնման և նորոգման, ինչպես նաև ինքնահոս համակարգերի կառուցման աշխատանքներ,</w:t>
      </w:r>
    </w:p>
    <w:p w14:paraId="180375C0" w14:textId="1C260788" w:rsidR="005F226A" w:rsidRPr="00A83C94" w:rsidRDefault="009A7816" w:rsidP="00786462">
      <w:pPr>
        <w:pStyle w:val="ListParagraph"/>
        <w:numPr>
          <w:ilvl w:val="0"/>
          <w:numId w:val="19"/>
        </w:numPr>
        <w:tabs>
          <w:tab w:val="left" w:pos="284"/>
          <w:tab w:val="left" w:pos="567"/>
          <w:tab w:val="left" w:pos="993"/>
        </w:tabs>
        <w:spacing w:before="0" w:line="276" w:lineRule="auto"/>
        <w:ind w:left="0" w:firstLine="709"/>
        <w:contextualSpacing w:val="0"/>
        <w:rPr>
          <w:rFonts w:cs="AK Courier"/>
          <w:b w:val="0"/>
          <w:szCs w:val="22"/>
          <w:lang w:val="hy-AM"/>
        </w:rPr>
      </w:pPr>
      <w:r w:rsidRPr="00A83C94">
        <w:rPr>
          <w:rFonts w:cs="AK Courier"/>
          <w:b w:val="0"/>
          <w:szCs w:val="22"/>
          <w:lang w:val="hy-AM"/>
        </w:rPr>
        <w:t>շարունակվելու են</w:t>
      </w:r>
      <w:r w:rsidR="005F226A" w:rsidRPr="00A83C94">
        <w:rPr>
          <w:rFonts w:cs="AK Courier"/>
          <w:b w:val="0"/>
          <w:szCs w:val="22"/>
          <w:lang w:val="hy-AM"/>
        </w:rPr>
        <w:t xml:space="preserve"> ջրի և էլեկտրաէներգիայի խնայողության խրախուսման, ջրամատակարարման տևողության ավելացման և ջրի որակի բարելավման, ինչպես նաև հաշվառման համակարգի շարունակա</w:t>
      </w:r>
      <w:r w:rsidR="00DA250D" w:rsidRPr="00A83C94">
        <w:rPr>
          <w:rFonts w:cs="AK Courier"/>
          <w:b w:val="0"/>
          <w:szCs w:val="22"/>
          <w:lang w:val="hy-AM"/>
        </w:rPr>
        <w:t>կան կատարելագործման աշխատանքներ</w:t>
      </w:r>
      <w:r w:rsidRPr="00A83C94">
        <w:rPr>
          <w:rFonts w:cs="AK Courier"/>
          <w:b w:val="0"/>
          <w:szCs w:val="22"/>
          <w:lang w:val="hy-AM"/>
        </w:rPr>
        <w:t>ը</w:t>
      </w:r>
      <w:r w:rsidR="00DA250D" w:rsidRPr="00A83C94">
        <w:rPr>
          <w:rFonts w:cs="AK Courier"/>
          <w:b w:val="0"/>
          <w:szCs w:val="22"/>
          <w:lang w:val="hy-AM"/>
        </w:rPr>
        <w:t>:</w:t>
      </w:r>
    </w:p>
    <w:p w14:paraId="7C788AE9" w14:textId="77777777" w:rsidR="00BA5EC2" w:rsidRPr="00A83C94" w:rsidRDefault="00BA5EC2" w:rsidP="00BA5EC2">
      <w:pPr>
        <w:tabs>
          <w:tab w:val="left" w:pos="284"/>
          <w:tab w:val="left" w:pos="567"/>
          <w:tab w:val="left" w:pos="993"/>
        </w:tabs>
        <w:spacing w:before="0" w:line="276" w:lineRule="auto"/>
        <w:contextualSpacing w:val="0"/>
        <w:rPr>
          <w:rFonts w:cs="AK Courier"/>
          <w:b w:val="0"/>
          <w:szCs w:val="22"/>
          <w:lang w:val="hy-AM"/>
        </w:rPr>
      </w:pPr>
    </w:p>
    <w:p w14:paraId="3C644416" w14:textId="45D03E26" w:rsidR="00BA5EC2" w:rsidRPr="00A83C94" w:rsidRDefault="00BA5EC2" w:rsidP="00BA5EC2">
      <w:pPr>
        <w:keepNext/>
        <w:tabs>
          <w:tab w:val="left" w:pos="360"/>
        </w:tabs>
        <w:spacing w:before="0" w:line="276" w:lineRule="auto"/>
        <w:ind w:firstLine="426"/>
        <w:contextualSpacing w:val="0"/>
        <w:outlineLvl w:val="2"/>
        <w:rPr>
          <w:rFonts w:cs="Arial"/>
          <w:szCs w:val="22"/>
          <w:lang w:val="hy-AM" w:eastAsia="en-US"/>
        </w:rPr>
      </w:pPr>
      <w:bookmarkStart w:id="27" w:name="_Toc89428259"/>
      <w:r w:rsidRPr="00A83C94">
        <w:rPr>
          <w:rFonts w:cs="Arial"/>
          <w:szCs w:val="22"/>
          <w:lang w:val="hy-AM" w:eastAsia="en-US"/>
        </w:rPr>
        <w:t>Հանրային ծառայությունների կարգավորում</w:t>
      </w:r>
      <w:bookmarkEnd w:id="27"/>
      <w:r w:rsidRPr="00A83C94">
        <w:rPr>
          <w:rFonts w:cs="Arial"/>
          <w:szCs w:val="22"/>
          <w:lang w:val="hy-AM" w:eastAsia="en-US"/>
        </w:rPr>
        <w:t xml:space="preserve"> </w:t>
      </w:r>
    </w:p>
    <w:p w14:paraId="5BBF7371" w14:textId="78B88727" w:rsidR="00BA5EC2" w:rsidRPr="00A83C94" w:rsidRDefault="00BA5EC2" w:rsidP="00BA5EC2">
      <w:pPr>
        <w:tabs>
          <w:tab w:val="left" w:pos="284"/>
          <w:tab w:val="left" w:pos="567"/>
          <w:tab w:val="left" w:pos="993"/>
        </w:tabs>
        <w:spacing w:before="0" w:line="276" w:lineRule="auto"/>
        <w:contextualSpacing w:val="0"/>
        <w:rPr>
          <w:rFonts w:cs="AK Courier"/>
          <w:b w:val="0"/>
          <w:szCs w:val="22"/>
          <w:lang w:val="hy-AM"/>
        </w:rPr>
      </w:pPr>
      <w:r w:rsidRPr="00A83C94">
        <w:rPr>
          <w:rFonts w:cs="AK Courier"/>
          <w:b w:val="0"/>
          <w:szCs w:val="22"/>
          <w:lang w:val="hy-AM"/>
        </w:rPr>
        <w:t xml:space="preserve">2022 թվականի փետրվարի 1-ից էլեկտրաէներգետիկական ազատականացված շուկային անցմամբ պայմանավորված՝ նախատեսվում է սակագների որոշման cost based մեխանիզմներից անցում market based մեխանիզմների, երբ մեծածախ շուկայի առանձին սեգմենտներում առևտրի կազմակերպման և պատասխանատվության սահմանման մեխանիզմների կիրառմամբ հնարավորություն կընձեռվի մրցակցային հարաբերությունների պայմաններում որոշելու էլեկտրական էներգիայի գինը։ 2022 թվականի ընթացքում </w:t>
      </w:r>
      <w:r w:rsidR="003F0255" w:rsidRPr="00A83C94">
        <w:rPr>
          <w:rFonts w:cs="AK Courier"/>
          <w:b w:val="0"/>
          <w:szCs w:val="22"/>
          <w:lang w:val="hy-AM"/>
        </w:rPr>
        <w:t>կշարունակեն իրականացվել</w:t>
      </w:r>
      <w:r w:rsidRPr="00A83C94">
        <w:rPr>
          <w:rFonts w:cs="AK Courier"/>
          <w:b w:val="0"/>
          <w:szCs w:val="22"/>
          <w:lang w:val="hy-AM"/>
        </w:rPr>
        <w:t xml:space="preserve"> էներգետիկայի բնագավառում էներգետիկ հաշվեկշիռների, կարգավորվող ընկերությունների կողմից ծախսերի ու պարտավորությունների, սակագների վրա ազդող մի շարք այլ գործոնների վերլուծություններ և, ըստ անհրաժեշտության, սակագների վերանայման աշխատանքներ, կճշգրտվեն գնման երաշխիք ունեցող վերականգնվող էներգետիկ ռեսուրսների օգտագործմամբ կայաններից առաքվող էլեկտրական էներգիայի վաճառքի սակագները: </w:t>
      </w:r>
    </w:p>
    <w:p w14:paraId="0A33AF71" w14:textId="0FC9256A" w:rsidR="00BA5EC2" w:rsidRPr="00A83C94" w:rsidRDefault="00BA5EC2" w:rsidP="00BA5EC2">
      <w:pPr>
        <w:tabs>
          <w:tab w:val="left" w:pos="284"/>
          <w:tab w:val="left" w:pos="567"/>
          <w:tab w:val="left" w:pos="993"/>
        </w:tabs>
        <w:spacing w:before="0" w:line="276" w:lineRule="auto"/>
        <w:contextualSpacing w:val="0"/>
        <w:rPr>
          <w:rFonts w:cs="AK Courier"/>
          <w:b w:val="0"/>
          <w:szCs w:val="22"/>
          <w:lang w:val="hy-AM"/>
        </w:rPr>
      </w:pPr>
      <w:r w:rsidRPr="00A83C94">
        <w:rPr>
          <w:rFonts w:cs="AK Courier"/>
          <w:b w:val="0"/>
          <w:szCs w:val="22"/>
          <w:lang w:val="hy-AM"/>
        </w:rPr>
        <w:t>2022 թվականի ընթացքում կշարունակվեն աշխատանքները ենթակառուցվածքների զարգացման (այդ թվում՝ լիցենզիաների և ռադիոհաճախականությունների օգտագործման թույլտվությունների տրամադրմամբ) և ՀՀ բնակավայրերում ամրակցված (լարային և անլար տեխնոլոգիաների) լայնաշերտ ինտերնետ հասանելիության ծառայությունների զարգացման ուղղությամբ:</w:t>
      </w:r>
    </w:p>
    <w:p w14:paraId="2EAD5F1D" w14:textId="77777777" w:rsidR="000825DA" w:rsidRPr="00A83C94" w:rsidRDefault="000825DA" w:rsidP="00BA5EC2">
      <w:pPr>
        <w:tabs>
          <w:tab w:val="left" w:pos="284"/>
          <w:tab w:val="left" w:pos="567"/>
          <w:tab w:val="left" w:pos="993"/>
        </w:tabs>
        <w:spacing w:before="0" w:line="276" w:lineRule="auto"/>
        <w:contextualSpacing w:val="0"/>
        <w:rPr>
          <w:rFonts w:cs="AK Courier"/>
          <w:b w:val="0"/>
          <w:szCs w:val="22"/>
          <w:lang w:val="hy-AM"/>
        </w:rPr>
      </w:pPr>
    </w:p>
    <w:p w14:paraId="575370CA"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bookmarkStart w:id="28" w:name="_Toc26174890"/>
      <w:bookmarkStart w:id="29" w:name="_Toc57655420"/>
      <w:bookmarkStart w:id="30" w:name="_Toc83567437"/>
      <w:bookmarkStart w:id="31" w:name="_Toc89428260"/>
      <w:r w:rsidRPr="00A83C94">
        <w:rPr>
          <w:rFonts w:cs="Arial"/>
          <w:szCs w:val="22"/>
          <w:lang w:val="hy-AM" w:eastAsia="en-US"/>
        </w:rPr>
        <w:t>Քաղաքացիական ավիացիա</w:t>
      </w:r>
      <w:bookmarkEnd w:id="28"/>
      <w:bookmarkEnd w:id="29"/>
      <w:bookmarkEnd w:id="30"/>
      <w:bookmarkEnd w:id="31"/>
      <w:r w:rsidRPr="00A83C94">
        <w:rPr>
          <w:rFonts w:cs="Arial"/>
          <w:szCs w:val="22"/>
          <w:lang w:val="hy-AM" w:eastAsia="en-US"/>
        </w:rPr>
        <w:t xml:space="preserve"> </w:t>
      </w:r>
    </w:p>
    <w:p w14:paraId="371AD405" w14:textId="45DEF689" w:rsidR="005F226A" w:rsidRPr="00A83C94" w:rsidRDefault="005F226A" w:rsidP="005F226A">
      <w:pPr>
        <w:shd w:val="clear" w:color="auto" w:fill="FFFFFF"/>
        <w:tabs>
          <w:tab w:val="left" w:pos="284"/>
          <w:tab w:val="left" w:pos="426"/>
          <w:tab w:val="left" w:pos="567"/>
          <w:tab w:val="left" w:pos="993"/>
        </w:tabs>
        <w:spacing w:before="0" w:line="276" w:lineRule="auto"/>
        <w:ind w:firstLine="709"/>
        <w:contextualSpacing w:val="0"/>
        <w:rPr>
          <w:rFonts w:cs="AK Courier"/>
          <w:b w:val="0"/>
          <w:szCs w:val="22"/>
          <w:lang w:val="hy-AM"/>
        </w:rPr>
      </w:pPr>
      <w:r w:rsidRPr="00A83C94">
        <w:rPr>
          <w:rFonts w:cs="AK Courier"/>
          <w:b w:val="0"/>
          <w:szCs w:val="22"/>
          <w:lang w:val="hy-AM"/>
        </w:rPr>
        <w:t xml:space="preserve">Քաղաքացիական ավիացիայի ոլորտի կառավարման արդյունավետության բարձրացման նպատակով </w:t>
      </w:r>
      <w:r w:rsidR="003F0255" w:rsidRPr="00A83C94">
        <w:rPr>
          <w:rFonts w:cs="AK Courier"/>
          <w:b w:val="0"/>
          <w:szCs w:val="22"/>
          <w:lang w:val="hy-AM"/>
        </w:rPr>
        <w:t xml:space="preserve">կշարունակվի </w:t>
      </w:r>
      <w:r w:rsidRPr="00A83C94">
        <w:rPr>
          <w:rFonts w:cs="AK Courier"/>
          <w:b w:val="0"/>
          <w:szCs w:val="22"/>
          <w:lang w:val="hy-AM"/>
        </w:rPr>
        <w:t>թռիչքային և ավիացիոն անվտանգության մակարդակների համապատասխանեցում</w:t>
      </w:r>
      <w:r w:rsidR="003F0255" w:rsidRPr="00A83C94">
        <w:rPr>
          <w:rFonts w:cs="AK Courier"/>
          <w:b w:val="0"/>
          <w:szCs w:val="22"/>
          <w:lang w:val="hy-AM"/>
        </w:rPr>
        <w:t>ը</w:t>
      </w:r>
      <w:r w:rsidRPr="00A83C94">
        <w:rPr>
          <w:rFonts w:cs="AK Courier"/>
          <w:b w:val="0"/>
          <w:szCs w:val="22"/>
          <w:lang w:val="hy-AM"/>
        </w:rPr>
        <w:t xml:space="preserve"> եվրոպական և միջազգային ստանդարտներին: </w:t>
      </w:r>
    </w:p>
    <w:p w14:paraId="1B44871B" w14:textId="77777777" w:rsidR="005F226A" w:rsidRPr="00A83C94" w:rsidRDefault="005F226A" w:rsidP="005F226A">
      <w:pPr>
        <w:tabs>
          <w:tab w:val="left" w:pos="284"/>
          <w:tab w:val="left" w:pos="993"/>
        </w:tabs>
        <w:spacing w:before="0" w:line="276" w:lineRule="auto"/>
        <w:ind w:firstLine="709"/>
        <w:rPr>
          <w:rFonts w:cs="Arial"/>
          <w:szCs w:val="22"/>
          <w:lang w:val="hy-AM" w:eastAsia="en-US"/>
        </w:rPr>
      </w:pPr>
    </w:p>
    <w:p w14:paraId="2EFFCEA2" w14:textId="77777777" w:rsidR="005F226A" w:rsidRPr="00A83C94" w:rsidRDefault="005F226A" w:rsidP="005F226A">
      <w:pPr>
        <w:keepNext/>
        <w:tabs>
          <w:tab w:val="left" w:pos="360"/>
        </w:tabs>
        <w:spacing w:before="0" w:line="276" w:lineRule="auto"/>
        <w:ind w:firstLine="426"/>
        <w:contextualSpacing w:val="0"/>
        <w:outlineLvl w:val="2"/>
        <w:rPr>
          <w:rFonts w:cs="Arial"/>
          <w:szCs w:val="22"/>
          <w:lang w:val="hy-AM" w:eastAsia="en-US"/>
        </w:rPr>
      </w:pPr>
      <w:r w:rsidRPr="00A83C94">
        <w:rPr>
          <w:rFonts w:cs="Arial"/>
          <w:szCs w:val="22"/>
          <w:lang w:val="hy-AM" w:eastAsia="en-US"/>
        </w:rPr>
        <w:tab/>
      </w:r>
      <w:r w:rsidRPr="00A83C94">
        <w:rPr>
          <w:rFonts w:cs="Arial"/>
          <w:szCs w:val="22"/>
          <w:lang w:val="hy-AM" w:eastAsia="en-US"/>
        </w:rPr>
        <w:tab/>
      </w:r>
      <w:bookmarkStart w:id="32" w:name="_Toc82989526"/>
      <w:bookmarkStart w:id="33" w:name="_Toc83567438"/>
      <w:bookmarkStart w:id="34" w:name="_Toc89428261"/>
      <w:r w:rsidRPr="00A83C94">
        <w:rPr>
          <w:rFonts w:cs="Arial"/>
          <w:szCs w:val="22"/>
          <w:lang w:val="hy-AM" w:eastAsia="en-US"/>
        </w:rPr>
        <w:t>Պետական գույքի կառավարման ոլորտ</w:t>
      </w:r>
      <w:bookmarkEnd w:id="32"/>
      <w:bookmarkEnd w:id="33"/>
      <w:bookmarkEnd w:id="34"/>
    </w:p>
    <w:p w14:paraId="26A6DCB1" w14:textId="6C7E1FFC" w:rsidR="005F226A" w:rsidRPr="00A83C94" w:rsidRDefault="0069756F" w:rsidP="005F226A">
      <w:pPr>
        <w:pStyle w:val="BodyText2"/>
        <w:tabs>
          <w:tab w:val="left" w:pos="284"/>
          <w:tab w:val="left" w:pos="993"/>
        </w:tabs>
        <w:ind w:firstLine="709"/>
      </w:pPr>
      <w:r w:rsidRPr="00A83C94">
        <w:t>Պ</w:t>
      </w:r>
      <w:r w:rsidR="005F226A" w:rsidRPr="00A83C94">
        <w:t xml:space="preserve">ետական գույքի կառավարման արդյունավետության բարձրացման շնորհիվ </w:t>
      </w:r>
      <w:r w:rsidRPr="00A83C94">
        <w:t xml:space="preserve">կբարձրացվեն </w:t>
      </w:r>
      <w:r w:rsidR="005F226A" w:rsidRPr="00A83C94">
        <w:t>պետական գույքի մասնավորեցումից, օտարումից</w:t>
      </w:r>
      <w:r w:rsidRPr="00A83C94">
        <w:t xml:space="preserve"> և</w:t>
      </w:r>
      <w:r w:rsidR="005F226A" w:rsidRPr="00A83C94">
        <w:t xml:space="preserve"> օգտագործումից </w:t>
      </w:r>
      <w:r w:rsidRPr="00A83C94">
        <w:t>եկամուտները, ինչպես նաև՝</w:t>
      </w:r>
      <w:r w:rsidR="005F226A" w:rsidRPr="00A83C94">
        <w:t xml:space="preserve"> տնտեսական շրջանառության մեջ </w:t>
      </w:r>
      <w:r w:rsidRPr="00A83C94">
        <w:t xml:space="preserve">ներկայումս պետական սեփականություն հանդիսացող գույքի </w:t>
      </w:r>
      <w:r w:rsidR="005F226A" w:rsidRPr="00A83C94">
        <w:t>ներգրավվածությ</w:t>
      </w:r>
      <w:r w:rsidRPr="00A83C94">
        <w:t>ունը</w:t>
      </w:r>
      <w:r w:rsidRPr="00A83C94" w:rsidDel="0069756F">
        <w:t xml:space="preserve"> </w:t>
      </w:r>
      <w:r w:rsidR="005F226A" w:rsidRPr="00A83C94">
        <w:t>։</w:t>
      </w:r>
    </w:p>
    <w:p w14:paraId="6A6D42D9" w14:textId="306425B2" w:rsidR="005F226A" w:rsidRPr="00A83C94" w:rsidRDefault="0069756F" w:rsidP="005F226A">
      <w:pPr>
        <w:pStyle w:val="BodyText2"/>
        <w:tabs>
          <w:tab w:val="left" w:pos="284"/>
          <w:tab w:val="left" w:pos="993"/>
        </w:tabs>
        <w:ind w:firstLine="709"/>
      </w:pPr>
      <w:r w:rsidRPr="00A83C94">
        <w:t>Պ</w:t>
      </w:r>
      <w:r w:rsidR="005F226A" w:rsidRPr="00A83C94">
        <w:t xml:space="preserve">ետական համակարգի մարմինների և պետական կազմակերպությունների կողմից </w:t>
      </w:r>
      <w:r w:rsidRPr="00A83C94">
        <w:t xml:space="preserve">վարձակալված՝ </w:t>
      </w:r>
      <w:r w:rsidR="005F226A" w:rsidRPr="00A83C94">
        <w:t>ոչ պետական սեփականություն համարվող տարածքները կփոխարինվեն պետության սեփականությունը համարվող համապատասխան տարածքներով։</w:t>
      </w:r>
    </w:p>
    <w:p w14:paraId="2D3146D3" w14:textId="77777777" w:rsidR="002F5005" w:rsidRPr="00A83C94" w:rsidRDefault="002F5005" w:rsidP="005F226A">
      <w:pPr>
        <w:pStyle w:val="BodyText2"/>
        <w:tabs>
          <w:tab w:val="left" w:pos="284"/>
          <w:tab w:val="left" w:pos="993"/>
        </w:tabs>
        <w:ind w:firstLine="709"/>
      </w:pPr>
    </w:p>
    <w:p w14:paraId="2F9C9EB3" w14:textId="6FBD7A42" w:rsidR="005F226A" w:rsidRPr="00A83C94" w:rsidRDefault="005F226A" w:rsidP="005F226A">
      <w:pPr>
        <w:keepNext/>
        <w:tabs>
          <w:tab w:val="left" w:pos="567"/>
        </w:tabs>
        <w:spacing w:before="0" w:line="276" w:lineRule="auto"/>
        <w:ind w:firstLine="720"/>
        <w:contextualSpacing w:val="0"/>
        <w:outlineLvl w:val="2"/>
        <w:rPr>
          <w:rFonts w:cs="Arial"/>
          <w:szCs w:val="22"/>
          <w:lang w:val="hy-AM" w:eastAsia="en-US"/>
        </w:rPr>
      </w:pPr>
      <w:bookmarkStart w:id="35" w:name="_Toc83567439"/>
      <w:bookmarkStart w:id="36" w:name="_Toc89428262"/>
      <w:r w:rsidRPr="00A83C94">
        <w:rPr>
          <w:rFonts w:cs="Arial"/>
          <w:lang w:val="hy-AM"/>
        </w:rPr>
        <w:t>Միգրացիա</w:t>
      </w:r>
      <w:bookmarkStart w:id="37" w:name="_Toc26174887"/>
      <w:bookmarkEnd w:id="35"/>
      <w:bookmarkEnd w:id="36"/>
    </w:p>
    <w:p w14:paraId="2680FF3D" w14:textId="77777777" w:rsidR="005F226A" w:rsidRPr="00A83C94" w:rsidRDefault="005F226A" w:rsidP="005F226A">
      <w:pPr>
        <w:tabs>
          <w:tab w:val="left" w:pos="284"/>
          <w:tab w:val="left" w:pos="567"/>
          <w:tab w:val="left" w:pos="993"/>
        </w:tabs>
        <w:spacing w:before="0" w:line="276" w:lineRule="auto"/>
        <w:ind w:firstLine="709"/>
        <w:contextualSpacing w:val="0"/>
        <w:rPr>
          <w:rFonts w:cs="Sylfaen"/>
          <w:b w:val="0"/>
          <w:szCs w:val="22"/>
          <w:lang w:val="hy-AM" w:eastAsia="en-US"/>
        </w:rPr>
      </w:pPr>
      <w:bookmarkStart w:id="38" w:name="_Toc26174888"/>
      <w:bookmarkEnd w:id="37"/>
      <w:r w:rsidRPr="00A83C94">
        <w:rPr>
          <w:rFonts w:cs="Sylfaen"/>
          <w:b w:val="0"/>
          <w:szCs w:val="22"/>
          <w:lang w:val="hy-AM" w:eastAsia="en-US"/>
        </w:rPr>
        <w:t xml:space="preserve">ՀՀ-ում միգրացիոն ոլորտի զարգացման նպատակով նախատեսվում է՝ </w:t>
      </w:r>
    </w:p>
    <w:p w14:paraId="3DCC8234" w14:textId="4567D57B" w:rsidR="005F226A" w:rsidRPr="00A83C94" w:rsidRDefault="005F226A" w:rsidP="005F226A">
      <w:pPr>
        <w:tabs>
          <w:tab w:val="left" w:pos="284"/>
          <w:tab w:val="left" w:pos="993"/>
        </w:tabs>
        <w:spacing w:before="0" w:line="276" w:lineRule="auto"/>
        <w:ind w:firstLine="709"/>
        <w:rPr>
          <w:rFonts w:cs="Sylfaen"/>
          <w:b w:val="0"/>
          <w:szCs w:val="22"/>
          <w:lang w:val="hy-AM" w:eastAsia="en-US"/>
        </w:rPr>
      </w:pPr>
      <w:r w:rsidRPr="00A83C94">
        <w:rPr>
          <w:rFonts w:cs="Sylfaen"/>
          <w:b w:val="0"/>
          <w:szCs w:val="22"/>
          <w:lang w:val="hy-AM" w:eastAsia="en-US"/>
        </w:rPr>
        <w:t xml:space="preserve"> -</w:t>
      </w:r>
      <w:r w:rsidR="00D108E5" w:rsidRPr="00A83C94">
        <w:rPr>
          <w:rFonts w:cs="Sylfaen"/>
          <w:b w:val="0"/>
          <w:szCs w:val="22"/>
          <w:lang w:val="hy-AM" w:eastAsia="en-US"/>
        </w:rPr>
        <w:t xml:space="preserve"> </w:t>
      </w:r>
      <w:r w:rsidRPr="00A83C94">
        <w:rPr>
          <w:rFonts w:cs="Sylfaen"/>
          <w:b w:val="0"/>
          <w:szCs w:val="22"/>
          <w:lang w:val="hy-AM" w:eastAsia="en-US"/>
        </w:rPr>
        <w:t>Միգրացիայի կառավարման համակարգի ինստիտուցիոնալ բարեփոխումների իրականացում՝ Ներքին գործերի նախարարության կազմում Միգրացիայի և քաղաքացիության ծառայության ձևավորում,</w:t>
      </w:r>
    </w:p>
    <w:p w14:paraId="69ABE3D3" w14:textId="206FFB85"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Միգրացիոն գործընթացների կառավարմանն ուղղված համակարգերի թվայնացում,</w:t>
      </w:r>
    </w:p>
    <w:p w14:paraId="024FF4D1" w14:textId="77777777"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Օտարերկրյա քաղաքացիներին ՀՀ-ում աշխատանքի թույլտվության և կացության տրամադրման համակարգի թվայնացում և պարզեցում՝ օտարերկրյա աշխատողների գրանցման միասնական էլեկտրոնային հարթակի գործարկում,</w:t>
      </w:r>
    </w:p>
    <w:p w14:paraId="506F9D43" w14:textId="663865A9"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ինտեգրման և վերաինտեգրման խնդիրների կարգավորմանը, հարկադիր միգրանտների զանգվածային ներհոսքի ճգնաժամային կառավարմանն ուղղված գործողությունների ապահովում</w:t>
      </w:r>
      <w:r w:rsidR="00AD2E53" w:rsidRPr="00A83C94">
        <w:rPr>
          <w:rFonts w:cs="Sylfaen"/>
          <w:b w:val="0"/>
          <w:szCs w:val="22"/>
          <w:lang w:val="hy-AM" w:eastAsia="en-US"/>
        </w:rPr>
        <w:t>,</w:t>
      </w:r>
    </w:p>
    <w:p w14:paraId="0BDBAE77" w14:textId="5B1FC1AE" w:rsidR="005F226A" w:rsidRPr="00A83C94" w:rsidRDefault="005F226A" w:rsidP="005C5FAF">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1988-1992 թվականներին Ադրբեջանից բռնի տեղահանված անձանց բնակարանների գնման վկայագրերի տրամադրման միջոցով բնակարանային ապահովման ծրագրի ամփոփում և ավարտ Երևանում, մեկնարկ հանրապետության մարզերում, </w:t>
      </w:r>
    </w:p>
    <w:p w14:paraId="05C0BA11" w14:textId="3D7EE709"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 ՀՀ վերադարձող քաղաքացիների վերաինտեգրմանն ուղղված ծրագրերի իրականացում,</w:t>
      </w:r>
    </w:p>
    <w:p w14:paraId="4DAEBF72" w14:textId="58D27347" w:rsidR="005F226A" w:rsidRPr="00A83C94" w:rsidRDefault="005F226A" w:rsidP="00786462">
      <w:pPr>
        <w:pStyle w:val="ListParagraph"/>
        <w:numPr>
          <w:ilvl w:val="0"/>
          <w:numId w:val="22"/>
        </w:numPr>
        <w:tabs>
          <w:tab w:val="left" w:pos="284"/>
          <w:tab w:val="left" w:pos="567"/>
          <w:tab w:val="left" w:pos="993"/>
        </w:tabs>
        <w:spacing w:before="0" w:line="276" w:lineRule="auto"/>
        <w:ind w:left="0" w:firstLine="709"/>
        <w:contextualSpacing w:val="0"/>
        <w:rPr>
          <w:rFonts w:cs="Sylfaen"/>
          <w:b w:val="0"/>
          <w:szCs w:val="22"/>
          <w:lang w:val="hy-AM" w:eastAsia="en-US"/>
        </w:rPr>
      </w:pPr>
      <w:r w:rsidRPr="00A83C94">
        <w:rPr>
          <w:rFonts w:cs="Sylfaen"/>
          <w:b w:val="0"/>
          <w:szCs w:val="22"/>
          <w:lang w:val="hy-AM" w:eastAsia="en-US"/>
        </w:rPr>
        <w:t xml:space="preserve"> ՀՀ-ԵՄ միջև առանց թույլտվության բնակվող անձանց հետընդունման (ռեադմիսիայի) մասին համաձայնագրի շրջանակներում ստ</w:t>
      </w:r>
      <w:r w:rsidR="00AD2E53" w:rsidRPr="00A83C94">
        <w:rPr>
          <w:rFonts w:cs="Sylfaen"/>
          <w:b w:val="0"/>
          <w:szCs w:val="22"/>
          <w:lang w:val="hy-AM" w:eastAsia="en-US"/>
        </w:rPr>
        <w:t>ացվող հայցերի ընթացքի ապահվում:</w:t>
      </w:r>
    </w:p>
    <w:p w14:paraId="302FD91F" w14:textId="77777777" w:rsidR="000825DA" w:rsidRPr="00A83C94" w:rsidRDefault="000825DA" w:rsidP="005C5FAF">
      <w:pPr>
        <w:pStyle w:val="ListParagraph"/>
        <w:tabs>
          <w:tab w:val="left" w:pos="284"/>
          <w:tab w:val="left" w:pos="567"/>
          <w:tab w:val="left" w:pos="993"/>
        </w:tabs>
        <w:spacing w:before="0" w:line="276" w:lineRule="auto"/>
        <w:ind w:left="709" w:firstLine="0"/>
        <w:contextualSpacing w:val="0"/>
        <w:rPr>
          <w:rFonts w:cs="Sylfaen"/>
          <w:b w:val="0"/>
          <w:szCs w:val="22"/>
          <w:lang w:val="hy-AM" w:eastAsia="en-US"/>
        </w:rPr>
      </w:pPr>
    </w:p>
    <w:p w14:paraId="66A1F090" w14:textId="77777777" w:rsidR="005F226A" w:rsidRPr="00A83C94" w:rsidRDefault="005F226A" w:rsidP="005D2928">
      <w:pPr>
        <w:keepNext/>
        <w:tabs>
          <w:tab w:val="left" w:pos="-2160"/>
        </w:tabs>
        <w:spacing w:before="0" w:line="276" w:lineRule="auto"/>
        <w:ind w:firstLine="720"/>
        <w:contextualSpacing w:val="0"/>
        <w:outlineLvl w:val="2"/>
        <w:rPr>
          <w:rFonts w:cs="Arial"/>
          <w:szCs w:val="22"/>
          <w:lang w:val="hy-AM" w:eastAsia="en-US"/>
        </w:rPr>
      </w:pPr>
      <w:bookmarkStart w:id="39" w:name="_Toc26174892"/>
      <w:bookmarkStart w:id="40" w:name="_Toc83567440"/>
      <w:bookmarkStart w:id="41" w:name="_Toc89428263"/>
      <w:bookmarkEnd w:id="38"/>
      <w:r w:rsidRPr="00A83C94">
        <w:rPr>
          <w:rFonts w:cs="Arial"/>
          <w:szCs w:val="22"/>
          <w:lang w:val="hy-AM" w:eastAsia="en-US"/>
        </w:rPr>
        <w:t>Բարձր տեխնոլոգիական արդյունաբերություն</w:t>
      </w:r>
      <w:bookmarkEnd w:id="39"/>
      <w:bookmarkEnd w:id="40"/>
      <w:bookmarkEnd w:id="41"/>
    </w:p>
    <w:p w14:paraId="6D96AA96" w14:textId="1800EF90" w:rsidR="005F226A" w:rsidRPr="00A83C94" w:rsidRDefault="000B15F2" w:rsidP="005D2928">
      <w:pPr>
        <w:pStyle w:val="BodyText2"/>
        <w:rPr>
          <w:noProof/>
        </w:rPr>
      </w:pPr>
      <w:r w:rsidRPr="00A83C94">
        <w:rPr>
          <w:noProof/>
        </w:rPr>
        <w:t xml:space="preserve">Ոլորտում քաղաքականության նպատակն է </w:t>
      </w:r>
      <w:r w:rsidR="005F226A" w:rsidRPr="00A83C94">
        <w:rPr>
          <w:noProof/>
        </w:rPr>
        <w:t>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14:paraId="481B3A5F" w14:textId="77777777" w:rsidR="005F226A" w:rsidRPr="00A83C94" w:rsidRDefault="005F226A" w:rsidP="005D2928">
      <w:pPr>
        <w:pStyle w:val="BodyText2"/>
        <w:rPr>
          <w:noProof/>
        </w:rPr>
      </w:pPr>
      <w:r w:rsidRPr="00A83C94">
        <w:rPr>
          <w:noProof/>
        </w:rPr>
        <w:t>2022 թվականին ոլորտի աշխատանքն ուղղված է լինելու հետևյալ երեք հիմնական նպատակների  (ուղենիշների) կատարմանը`</w:t>
      </w:r>
    </w:p>
    <w:p w14:paraId="579B2E58" w14:textId="781E3F04" w:rsidR="005F226A" w:rsidRPr="00A83C94" w:rsidRDefault="005F226A" w:rsidP="005D2928">
      <w:pPr>
        <w:pStyle w:val="BodyText2"/>
        <w:rPr>
          <w:noProof/>
        </w:rPr>
      </w:pPr>
      <w:r w:rsidRPr="00A83C94">
        <w:rPr>
          <w:noProof/>
        </w:rPr>
        <w:t>- Պաշտպանական տեխնոլոգիաների զարգացում` ռազմարդյունաբերություն, գիտահետազոտական ծրագրեր, տեխնոլոգիաների ներդրում,</w:t>
      </w:r>
    </w:p>
    <w:p w14:paraId="774DCC05" w14:textId="77777777" w:rsidR="005F226A" w:rsidRPr="00A83C94" w:rsidRDefault="005F226A" w:rsidP="005D2928">
      <w:pPr>
        <w:pStyle w:val="BodyText2"/>
        <w:rPr>
          <w:noProof/>
        </w:rPr>
      </w:pPr>
      <w:r w:rsidRPr="00A83C94">
        <w:rPr>
          <w:noProof/>
        </w:rPr>
        <w:t>- Տաղանդի արտահոսքի կանխում և ներհոսքի հարուցում` բարձր տեխնոլոգիական արդյունաբերության զարգացում, ստարտափ և ինժեներական էկոհամակարգի զարգացում, Հայաստանը տարածաշրջանային կենտրոնի վերածում</w:t>
      </w:r>
    </w:p>
    <w:p w14:paraId="7E98C4CA" w14:textId="405AC591" w:rsidR="005F226A" w:rsidRPr="00A83C94" w:rsidRDefault="005F226A" w:rsidP="005D2928">
      <w:pPr>
        <w:pStyle w:val="BodyText2"/>
        <w:rPr>
          <w:noProof/>
        </w:rPr>
      </w:pPr>
      <w:r w:rsidRPr="00A83C94">
        <w:rPr>
          <w:noProof/>
        </w:rPr>
        <w:t>- արտաքին շուկաներում պրոյեկտների և արտադրանքի ներկայաց</w:t>
      </w:r>
      <w:r w:rsidR="000B15F2" w:rsidRPr="00A83C94">
        <w:rPr>
          <w:noProof/>
        </w:rPr>
        <w:t>ու</w:t>
      </w:r>
      <w:r w:rsidRPr="00A83C94">
        <w:rPr>
          <w:noProof/>
        </w:rPr>
        <w:t>մ,  տնտեսության և կառավարման համակարգի թվայնաց</w:t>
      </w:r>
      <w:r w:rsidR="000B15F2" w:rsidRPr="00A83C94">
        <w:rPr>
          <w:noProof/>
        </w:rPr>
        <w:t>ու</w:t>
      </w:r>
      <w:r w:rsidRPr="00A83C94">
        <w:rPr>
          <w:noProof/>
        </w:rPr>
        <w:t>մ</w:t>
      </w:r>
      <w:r w:rsidR="000B15F2" w:rsidRPr="00A83C94">
        <w:rPr>
          <w:noProof/>
        </w:rPr>
        <w:t xml:space="preserve"> և</w:t>
      </w:r>
      <w:r w:rsidRPr="00A83C94">
        <w:rPr>
          <w:noProof/>
        </w:rPr>
        <w:t xml:space="preserve"> արտահանման ծավալների ավելաց</w:t>
      </w:r>
      <w:r w:rsidR="000B15F2" w:rsidRPr="00A83C94">
        <w:rPr>
          <w:noProof/>
        </w:rPr>
        <w:t>ու</w:t>
      </w:r>
      <w:r w:rsidRPr="00A83C94">
        <w:rPr>
          <w:noProof/>
        </w:rPr>
        <w:t>մ:</w:t>
      </w:r>
    </w:p>
    <w:p w14:paraId="45C265A7" w14:textId="271F8D42" w:rsidR="005F226A" w:rsidRPr="00A83C94" w:rsidRDefault="005F226A" w:rsidP="005D2928">
      <w:pPr>
        <w:pStyle w:val="BodyText2"/>
        <w:rPr>
          <w:noProof/>
        </w:rPr>
      </w:pPr>
      <w:r w:rsidRPr="00A83C94">
        <w:rPr>
          <w:noProof/>
        </w:rPr>
        <w:t>2022թ. նախատես</w:t>
      </w:r>
      <w:r w:rsidR="000B15F2" w:rsidRPr="00A83C94">
        <w:rPr>
          <w:noProof/>
        </w:rPr>
        <w:t>վ</w:t>
      </w:r>
      <w:r w:rsidRPr="00A83C94">
        <w:rPr>
          <w:noProof/>
        </w:rPr>
        <w:t xml:space="preserve">ում </w:t>
      </w:r>
      <w:r w:rsidR="000B15F2" w:rsidRPr="00A83C94">
        <w:rPr>
          <w:noProof/>
        </w:rPr>
        <w:t>են</w:t>
      </w:r>
      <w:r w:rsidRPr="00A83C94">
        <w:rPr>
          <w:noProof/>
        </w:rPr>
        <w:t xml:space="preserve"> հետևյալ ծրագրերն ու միջոցառումները: </w:t>
      </w:r>
    </w:p>
    <w:p w14:paraId="00F17436" w14:textId="60B4830E" w:rsidR="005F226A" w:rsidRPr="00A83C94" w:rsidRDefault="005F226A" w:rsidP="005D2928">
      <w:pPr>
        <w:pStyle w:val="BodyText2"/>
        <w:rPr>
          <w:noProof/>
        </w:rPr>
      </w:pPr>
      <w:r w:rsidRPr="00A83C94">
        <w:rPr>
          <w:b/>
          <w:noProof/>
        </w:rPr>
        <w:t>Ռազմարդյունաբերության ոլորտում</w:t>
      </w:r>
      <w:r w:rsidRPr="00A83C94">
        <w:rPr>
          <w:noProof/>
        </w:rPr>
        <w:t xml:space="preserve"> նախատեսվում է իրականացնել «Հետազոտական և նախագծային աշխատանքներ պաշտպանության ոլորտում» ծրագրի «Գիտական և գիտատեխնիկական նպատակային ծրագրային հետազոտություններ» միջոցառումը, որի իրականացման նպատակով 2022թ</w:t>
      </w:r>
      <w:r w:rsidRPr="00A83C94">
        <w:rPr>
          <w:rFonts w:ascii="Cambria Math" w:hAnsi="Cambria Math" w:cs="Cambria Math"/>
          <w:noProof/>
        </w:rPr>
        <w:t>․</w:t>
      </w:r>
      <w:r w:rsidRPr="00A83C94">
        <w:rPr>
          <w:noProof/>
        </w:rPr>
        <w:t xml:space="preserve"> նախատեսվում է`</w:t>
      </w:r>
      <w:r w:rsidR="000B15F2" w:rsidRPr="00A83C94">
        <w:rPr>
          <w:noProof/>
        </w:rPr>
        <w:t xml:space="preserve"> ն</w:t>
      </w:r>
      <w:r w:rsidRPr="00A83C94">
        <w:rPr>
          <w:noProof/>
        </w:rPr>
        <w:t>որ նմուշների մշակում,</w:t>
      </w:r>
      <w:r w:rsidR="000B15F2" w:rsidRPr="00A83C94">
        <w:rPr>
          <w:noProof/>
        </w:rPr>
        <w:t xml:space="preserve"> ն</w:t>
      </w:r>
      <w:r w:rsidRPr="00A83C94">
        <w:rPr>
          <w:noProof/>
        </w:rPr>
        <w:t>որ և արդիականացված նմուշների փորձնական խմբաքանակների արտադրություն,</w:t>
      </w:r>
      <w:r w:rsidR="000B15F2" w:rsidRPr="00A83C94">
        <w:rPr>
          <w:noProof/>
        </w:rPr>
        <w:t xml:space="preserve"> ինչպես նաև՝ </w:t>
      </w:r>
      <w:r w:rsidRPr="00A83C94">
        <w:rPr>
          <w:noProof/>
        </w:rPr>
        <w:t>սպառազինության և ռազմական տեխնիկայի և ռազմատեխնիկական ունեցվածքի արդիականացում:</w:t>
      </w:r>
    </w:p>
    <w:p w14:paraId="4A03FF21" w14:textId="77777777" w:rsidR="005F226A" w:rsidRPr="00A83C94" w:rsidRDefault="005F226A" w:rsidP="005D2928">
      <w:pPr>
        <w:pStyle w:val="BodyText2"/>
        <w:rPr>
          <w:noProof/>
        </w:rPr>
      </w:pPr>
    </w:p>
    <w:p w14:paraId="165F61B8" w14:textId="77777777" w:rsidR="005F226A" w:rsidRPr="00A83C94" w:rsidRDefault="005F226A" w:rsidP="005D2928">
      <w:pPr>
        <w:pStyle w:val="BodyText2"/>
        <w:rPr>
          <w:b/>
          <w:noProof/>
        </w:rPr>
      </w:pPr>
      <w:r w:rsidRPr="00A83C94">
        <w:rPr>
          <w:b/>
          <w:noProof/>
        </w:rPr>
        <w:t xml:space="preserve">Բարձր տեխնոլոգիական արդյունաբերության և թվայնացման ոլորտ </w:t>
      </w:r>
    </w:p>
    <w:p w14:paraId="64348EC8" w14:textId="77777777" w:rsidR="005F226A" w:rsidRPr="00A83C94" w:rsidRDefault="005F226A" w:rsidP="005D2928">
      <w:pPr>
        <w:pStyle w:val="BodyText2"/>
        <w:rPr>
          <w:noProof/>
        </w:rPr>
      </w:pPr>
      <w:r w:rsidRPr="00A83C94">
        <w:rPr>
          <w:noProof/>
        </w:rPr>
        <w:t>2022թ նախատեսվում է իրականացնել Բարձր տեխնոլոգիական արդյունաբերության էկոհամակարգի, թվայնացման  և շուկայի զարգացման ծրագիրը, որի նպատակն է՝ կադրերի թիրախավորված պատրաստում և վերապատրաստում, բարձր տեխնոլոգիական ոլորտի համար անհրաժեշտ էկոհամակարգի զարգացում, Հայկական Սփյուռքի ներգրավվածությունն ապահովելու համար  հայկական ընկերությունների, կազմակերպությունների և անհատների հետ շարունակական համագործակցության հարթակ ստեղծում, թվային տեխնոլոգիաների զարգացում, ինչպես նաև կիբեռանվտանգության և ինտերնետ հասանելիության մակարդակի բարձրացում։</w:t>
      </w:r>
    </w:p>
    <w:p w14:paraId="4F567EAC" w14:textId="4B9D0F7D" w:rsidR="005F226A" w:rsidRPr="00A83C94" w:rsidRDefault="005F226A" w:rsidP="005D2928">
      <w:pPr>
        <w:pStyle w:val="BodyText2"/>
        <w:rPr>
          <w:noProof/>
        </w:rPr>
      </w:pPr>
    </w:p>
    <w:p w14:paraId="5EFDCB39" w14:textId="272E400E" w:rsidR="005F226A" w:rsidRPr="00A83C94" w:rsidRDefault="005F226A" w:rsidP="005D2928">
      <w:pPr>
        <w:pStyle w:val="BodyText2"/>
        <w:rPr>
          <w:b/>
          <w:noProof/>
        </w:rPr>
      </w:pPr>
      <w:r w:rsidRPr="00A83C94">
        <w:rPr>
          <w:noProof/>
        </w:rPr>
        <w:t xml:space="preserve"> </w:t>
      </w:r>
      <w:r w:rsidRPr="00A83C94">
        <w:rPr>
          <w:b/>
          <w:noProof/>
        </w:rPr>
        <w:t>Հեռահաղորդակցության ապահովում</w:t>
      </w:r>
    </w:p>
    <w:p w14:paraId="496A3A19" w14:textId="77777777" w:rsidR="005F226A" w:rsidRPr="00A83C94" w:rsidRDefault="005F226A" w:rsidP="005D2928">
      <w:pPr>
        <w:pStyle w:val="BodyText2"/>
        <w:rPr>
          <w:noProof/>
        </w:rPr>
      </w:pPr>
      <w:r w:rsidRPr="00A83C94">
        <w:rPr>
          <w:noProof/>
        </w:rPr>
        <w:t>Ծրագրի նպատակն է ապահովել Հայաստանի Հանրապե</w:t>
      </w:r>
      <w:r w:rsidRPr="00A83C94">
        <w:rPr>
          <w:noProof/>
        </w:rPr>
        <w:softHyphen/>
        <w:t>տու</w:t>
      </w:r>
      <w:r w:rsidRPr="00A83C94">
        <w:rPr>
          <w:noProof/>
        </w:rPr>
        <w:softHyphen/>
        <w:t>թյունում հեռահաղորդակցության և կապի ծառայությունների որակի կանոնակարգումն ու բարելավումը: Մասնավորապես, կապահովի հեռահաղորդակ</w:t>
      </w:r>
      <w:r w:rsidRPr="00A83C94">
        <w:rPr>
          <w:noProof/>
        </w:rPr>
        <w:softHyphen/>
        <w:t xml:space="preserve">ցության և կապի ծառայությունների որակի կանոնակարգումն ու բարելավումը (ՀՀ հաճախականությունների բաշխումների աղյուսակի կազմում, ռադիոեթերի մոնիթորինգի և ազդանշանների տեխնիկական պարամետրերի չափումների անցկացում, ռադիոէլեկտրոնային միջոցների և բարձր հաճախության սարքավորումների տեղորոշում), հանրապետական սփռման մուլտիպլեքսի արբանյակային տարածման համար արբանյակային ունակության վարձակալումը, ինչպես նաև նախատեսվում է իրականացնել ՀՀ տարածքում բազային և շարժական ռադիոմոնիտորինգի համակարգի ներդրման միջոցառումը։ </w:t>
      </w:r>
    </w:p>
    <w:p w14:paraId="0B43BC9C" w14:textId="77777777" w:rsidR="005F226A" w:rsidRPr="00A83C94" w:rsidRDefault="005F226A" w:rsidP="005D2928">
      <w:pPr>
        <w:pStyle w:val="BodyText2"/>
        <w:rPr>
          <w:noProof/>
        </w:rPr>
      </w:pPr>
    </w:p>
    <w:p w14:paraId="40A752E3"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2" w:name="_Toc26174893"/>
      <w:bookmarkStart w:id="43" w:name="_Toc83567441"/>
      <w:bookmarkStart w:id="44" w:name="_Toc89428264"/>
      <w:r w:rsidRPr="00A83C94">
        <w:rPr>
          <w:rFonts w:cs="Arial"/>
          <w:szCs w:val="22"/>
          <w:lang w:val="hy-AM" w:eastAsia="en-US"/>
        </w:rPr>
        <w:t>Քաղաքաշինություն</w:t>
      </w:r>
      <w:bookmarkEnd w:id="42"/>
      <w:bookmarkEnd w:id="43"/>
      <w:bookmarkEnd w:id="44"/>
    </w:p>
    <w:p w14:paraId="66E5E20F" w14:textId="4F714D65" w:rsidR="005F226A" w:rsidRPr="00A83C94" w:rsidRDefault="005F226A" w:rsidP="005D2928">
      <w:pPr>
        <w:pStyle w:val="BodyText2"/>
      </w:pPr>
      <w:r w:rsidRPr="00A83C94">
        <w:t xml:space="preserve">Ոլորտում իրագործվող </w:t>
      </w:r>
      <w:r w:rsidR="000B15F2" w:rsidRPr="00A83C94">
        <w:t>ծրագրերն</w:t>
      </w:r>
      <w:r w:rsidRPr="00A83C94">
        <w:t xml:space="preserve"> ուղղվելու </w:t>
      </w:r>
      <w:r w:rsidR="000B15F2" w:rsidRPr="00A83C94">
        <w:t>են</w:t>
      </w:r>
      <w:r w:rsidRPr="00A83C94">
        <w:t xml:space="preserve"> հանրապետության ողջ տարածքի համակցված տարածական պլանավորման փաստաթղթերով ապահովմանը, ինչպես նաև քաղաքաշինական նորմատիվ փաստաթղթերի միջազգային և եվրոպական նորմերին ու  ստանդարտներին համապատասխանեցմանը</w:t>
      </w:r>
      <w:r w:rsidR="000B15F2" w:rsidRPr="00A83C94">
        <w:t>:</w:t>
      </w:r>
    </w:p>
    <w:p w14:paraId="1C1E5875" w14:textId="77777777" w:rsidR="005F226A" w:rsidRPr="00A83C94" w:rsidRDefault="005F226A" w:rsidP="005D2928">
      <w:pPr>
        <w:pStyle w:val="BodyText2"/>
        <w:rPr>
          <w:bCs/>
        </w:rPr>
      </w:pPr>
    </w:p>
    <w:p w14:paraId="53342F68"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5" w:name="_Toc26174894"/>
      <w:bookmarkStart w:id="46" w:name="_Toc83567442"/>
      <w:bookmarkStart w:id="47" w:name="_Toc89428265"/>
      <w:r w:rsidRPr="00A83C94">
        <w:rPr>
          <w:rFonts w:cs="Arial"/>
          <w:szCs w:val="22"/>
          <w:lang w:val="hy-AM" w:eastAsia="en-US"/>
        </w:rPr>
        <w:t>Արտակարգ իրավիճակների բնագավառ</w:t>
      </w:r>
      <w:bookmarkEnd w:id="45"/>
      <w:bookmarkEnd w:id="46"/>
      <w:bookmarkEnd w:id="47"/>
      <w:r w:rsidRPr="00A83C94">
        <w:rPr>
          <w:rFonts w:cs="Arial"/>
          <w:szCs w:val="22"/>
          <w:lang w:val="hy-AM" w:eastAsia="en-US"/>
        </w:rPr>
        <w:t xml:space="preserve"> </w:t>
      </w:r>
    </w:p>
    <w:p w14:paraId="140B9DBF" w14:textId="4239D73B" w:rsidR="005F226A" w:rsidRPr="00A83C94" w:rsidRDefault="005F226A" w:rsidP="005D2928">
      <w:pPr>
        <w:tabs>
          <w:tab w:val="left" w:pos="567"/>
        </w:tabs>
        <w:spacing w:before="0" w:line="276" w:lineRule="auto"/>
        <w:ind w:firstLine="720"/>
        <w:contextualSpacing w:val="0"/>
        <w:rPr>
          <w:rFonts w:eastAsia="Calibri" w:cs="Sylfaen"/>
          <w:b w:val="0"/>
          <w:noProof/>
          <w:szCs w:val="22"/>
          <w:lang w:val="hy-AM"/>
        </w:rPr>
      </w:pPr>
      <w:bookmarkStart w:id="48" w:name="_Toc26174895"/>
      <w:r w:rsidRPr="00A83C94">
        <w:rPr>
          <w:rFonts w:eastAsia="Calibri" w:cs="Sylfaen"/>
          <w:b w:val="0"/>
          <w:noProof/>
          <w:szCs w:val="22"/>
          <w:lang w:val="hy-AM"/>
        </w:rPr>
        <w:t>Արտակարգ իրավիճակներում բնակչության պաշտպանության բնագավառում իրականացվող քաղաքականությունը նպատակաուղղված է լինելու բնական և մարդածին աղետների ռիսկի նվազեցմանը, հնարավոր հետևանքների կանխարգելմանը և վերացմանը՝ հանդիսանալով պետության անվտանգության ապահովման բաղկացուցիչ տարր:</w:t>
      </w:r>
    </w:p>
    <w:p w14:paraId="1CAF709F" w14:textId="77777777" w:rsidR="005F226A" w:rsidRPr="00A83C94" w:rsidRDefault="005F226A" w:rsidP="005D2928">
      <w:pPr>
        <w:tabs>
          <w:tab w:val="left" w:pos="567"/>
        </w:tabs>
        <w:spacing w:before="0" w:line="276" w:lineRule="auto"/>
        <w:ind w:firstLine="720"/>
        <w:contextualSpacing w:val="0"/>
        <w:rPr>
          <w:rFonts w:eastAsia="Calibri" w:cs="Sylfaen"/>
          <w:b w:val="0"/>
          <w:noProof/>
          <w:szCs w:val="22"/>
          <w:lang w:val="hy-AM"/>
        </w:rPr>
      </w:pPr>
      <w:r w:rsidRPr="00A83C94">
        <w:rPr>
          <w:rFonts w:eastAsia="Calibri" w:cs="Sylfaen"/>
          <w:b w:val="0"/>
          <w:noProof/>
          <w:szCs w:val="22"/>
          <w:lang w:val="hy-AM"/>
        </w:rPr>
        <w:tab/>
        <w:t>2022 թվականի հիմնական խնդիրներն են.</w:t>
      </w:r>
    </w:p>
    <w:p w14:paraId="11803B23" w14:textId="77777777" w:rsidR="005F226A" w:rsidRPr="00A83C94" w:rsidRDefault="005F226A" w:rsidP="005D2928">
      <w:pPr>
        <w:pStyle w:val="BodyText2"/>
      </w:pPr>
      <w:r w:rsidRPr="00A83C94">
        <w:t>- Փրկարար ծառայությունում փրկարարական համակարգի կատարելագործում և զարգացում այն աստիճանաբար համապատասխանեցնելով ընդունված ժամանակակից պահանջներին, զուգահեռաբար պետական փրկարարական կառույցի շուրջ ձևավորելով կամավորական փրկարարական ուժեր, նախարարության փրկարար ծառայողների մասնագիտական,  արագ արձագանքման փրկարար ուժերի պատրաստականության բարձրացում և տեխնիկական հագեցվածության ապահովում,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 սահմանամերձ բնակավայրերում փրկարարական և արագ արձագանքման այլ ուժերի ստեղծում և զարգացում:</w:t>
      </w:r>
    </w:p>
    <w:p w14:paraId="7F696A1A" w14:textId="6603EE12" w:rsidR="005F226A" w:rsidRPr="00A83C94" w:rsidRDefault="005F226A" w:rsidP="005D2928">
      <w:pPr>
        <w:pStyle w:val="BodyText2"/>
      </w:pPr>
      <w:r w:rsidRPr="00A83C94">
        <w:t>- Ճգնաժամային կառավարման պետական ակադեմիայի հնարավորու</w:t>
      </w:r>
      <w:r w:rsidRPr="00A83C94">
        <w:softHyphen/>
        <w:t>թյուն</w:t>
      </w:r>
      <w:r w:rsidRPr="00A83C94">
        <w:softHyphen/>
        <w:t>ներ</w:t>
      </w:r>
      <w:r w:rsidR="00526461" w:rsidRPr="00A83C94">
        <w:t>ի զարգացումը</w:t>
      </w:r>
      <w:r w:rsidRPr="00A83C94">
        <w:t>` դարձնելով այն արտակարգ իրավիճակների և քաղաքացիական պաշտպանու</w:t>
      </w:r>
      <w:r w:rsidRPr="00A83C94">
        <w:softHyphen/>
        <w:t>թյան մասնագետների պատրաստման ու վերապատրաստման  կենտրոն, ինչպես նաև</w:t>
      </w:r>
      <w:r w:rsidR="00526461" w:rsidRPr="00A83C94">
        <w:t>՝</w:t>
      </w:r>
      <w:r w:rsidRPr="00A83C94">
        <w:t xml:space="preserve"> </w:t>
      </w:r>
      <w:r w:rsidR="00526461" w:rsidRPr="00A83C94">
        <w:t>բնակչության շրջանում</w:t>
      </w:r>
      <w:r w:rsidRPr="00A83C94">
        <w:t xml:space="preserve"> անվտանգության կանոնների ուսուցանում</w:t>
      </w:r>
      <w:r w:rsidR="00526461" w:rsidRPr="00A83C94">
        <w:t>ը</w:t>
      </w:r>
      <w:r w:rsidRPr="00A83C94">
        <w:t>:</w:t>
      </w:r>
      <w:r w:rsidRPr="00A83C94">
        <w:tab/>
      </w:r>
      <w:r w:rsidRPr="00A83C94">
        <w:tab/>
      </w:r>
      <w:r w:rsidRPr="00A83C94">
        <w:tab/>
      </w:r>
      <w:r w:rsidRPr="00A83C94">
        <w:tab/>
      </w:r>
      <w:r w:rsidRPr="00A83C94">
        <w:tab/>
      </w:r>
      <w:r w:rsidRPr="00A83C94">
        <w:tab/>
      </w:r>
    </w:p>
    <w:p w14:paraId="0A187716" w14:textId="77777777" w:rsidR="005F226A" w:rsidRPr="00A83C94" w:rsidRDefault="005F226A" w:rsidP="005D2928">
      <w:pPr>
        <w:pStyle w:val="BodyText2"/>
      </w:pPr>
      <w:r w:rsidRPr="00A83C94">
        <w:t xml:space="preserve">- Ճգնաժամային կառավարման ազգային կենտրոնում մարդուն հրատապ օգնության համապետական համակարգի &lt;&lt;911&gt;&gt; դիսպետչերական ծառայության զարգացում` ծառայության մատուցումը  հնարավորինս մոտեցնելով միջազգային չափանիշներին:  Իրավիճակների վերաբերյալ օպերատիվ տեղեկատվության հավաքման, մշակման, վերլուծության և առաջարկությունների նախապատրաստման համակարգի կատարելագործում: </w:t>
      </w:r>
      <w:r w:rsidRPr="00A83C94">
        <w:tab/>
      </w:r>
      <w:r w:rsidRPr="00A83C94">
        <w:tab/>
      </w:r>
      <w:r w:rsidRPr="00A83C94">
        <w:tab/>
      </w:r>
      <w:r w:rsidRPr="00A83C94">
        <w:tab/>
      </w:r>
      <w:r w:rsidRPr="00A83C94">
        <w:tab/>
      </w:r>
    </w:p>
    <w:p w14:paraId="679D4269" w14:textId="77777777" w:rsidR="005F226A" w:rsidRPr="00A83C94" w:rsidRDefault="005F226A" w:rsidP="005D2928">
      <w:pPr>
        <w:pStyle w:val="BodyText2"/>
      </w:pPr>
      <w:r w:rsidRPr="00A83C94">
        <w:tab/>
        <w:t>- ՀՀ կառավարության կողմից հաստատված պետական պահուստի համակարգի զարգացման և բարեփոխումների հայեցակարգի դրույթների իրականացում, նյութական արժեքների կուտակում, թարմացում, փոխարինում և պահպանում: Այս ոլորտում նոր քաղաքականության մշակում՝ ընդգրկելով մասնավոր սեկտորի հնարավորություններն ու կարողությունները:</w:t>
      </w:r>
    </w:p>
    <w:p w14:paraId="1709918F" w14:textId="77777777" w:rsidR="005F226A" w:rsidRPr="00A83C94" w:rsidRDefault="005F226A" w:rsidP="005D2928">
      <w:pPr>
        <w:pStyle w:val="BodyText2"/>
      </w:pPr>
      <w:r w:rsidRPr="00A83C94">
        <w:tab/>
      </w:r>
      <w:r w:rsidRPr="00A83C94">
        <w:tab/>
      </w:r>
      <w:r w:rsidRPr="00A83C94">
        <w:tab/>
        <w:t>- Աղետների ռիսկի վերաբերյալ տվյալների հավաքագրման, վերլուծության, համայնքներում աղետների ռիսկի բացահայտման և գնահատման համակարգի փուլային ներդրում, սողանքային աղետի կառավարման միասնական համակարգի ներդրում:</w:t>
      </w:r>
    </w:p>
    <w:p w14:paraId="1432EA38" w14:textId="77777777" w:rsidR="000825DA" w:rsidRPr="00A83C94" w:rsidRDefault="000825DA" w:rsidP="005D2928">
      <w:pPr>
        <w:pStyle w:val="BodyText2"/>
      </w:pPr>
    </w:p>
    <w:p w14:paraId="606E556F"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49" w:name="_Toc83567443"/>
      <w:bookmarkStart w:id="50" w:name="_Toc89428266"/>
      <w:r w:rsidRPr="00A83C94">
        <w:rPr>
          <w:rFonts w:cs="Arial"/>
          <w:szCs w:val="22"/>
          <w:lang w:val="hy-AM" w:eastAsia="en-US"/>
        </w:rPr>
        <w:t>Արտաքին քաղաքականություն</w:t>
      </w:r>
      <w:bookmarkEnd w:id="48"/>
      <w:bookmarkEnd w:id="49"/>
      <w:bookmarkEnd w:id="50"/>
      <w:r w:rsidRPr="00A83C94">
        <w:rPr>
          <w:rFonts w:cs="Arial"/>
          <w:szCs w:val="22"/>
          <w:lang w:val="hy-AM" w:eastAsia="en-US"/>
        </w:rPr>
        <w:t xml:space="preserve"> </w:t>
      </w:r>
    </w:p>
    <w:p w14:paraId="03D07FC9" w14:textId="77777777" w:rsidR="005F226A" w:rsidRPr="00A83C94" w:rsidRDefault="005F226A" w:rsidP="005D2928">
      <w:pPr>
        <w:pStyle w:val="BodyText2"/>
      </w:pPr>
      <w:r w:rsidRPr="00A83C94">
        <w:t>2020 թվականի 44-օրյա պատերազմի ծանր հետևանքները Հայաստանի և Արցախի շուրջ ձևավորել են նոր մարտահրավերներով լի այն արտաքին և անվտանգային միջավայրը, որում առաջիկայում շարունակելու է գործել ՀՀ կառավարությունը: Հայաստանի անվտանգության, ինքնիշխանության, տարածքային ամբողջականության պաշտպանությունը, Լեռնային Ղարաբաղի հիմնախնդրի խաղաղ և արդարացի կարգավորումը, Հայաստանի շուրջ տարածաշրջանային և միջազգային բարենպաստ մթնոլորտի ձևավորումը առաջիկայում շարունակելու են հանդիսանալ ՀՀ դիվանագիտական ծառայության գերխնդիրները:</w:t>
      </w:r>
    </w:p>
    <w:p w14:paraId="70C2EA2E" w14:textId="77777777" w:rsidR="005F226A" w:rsidRPr="00A83C94" w:rsidRDefault="005F226A" w:rsidP="005D2928">
      <w:pPr>
        <w:pStyle w:val="BodyText2"/>
      </w:pPr>
      <w:r w:rsidRPr="00A83C94">
        <w:rPr>
          <w:b/>
        </w:rPr>
        <w:t>Նախաձեռնողական և արդյունավետ ներգրավման արտաքին քաղաքականություն.</w:t>
      </w:r>
      <w:r w:rsidRPr="00A83C94">
        <w:t xml:space="preserve"> Կառավարության արտաքին քաղաքականության կարևոր նպատակներից են բոլոր շահագրգիռ պետությունների և միջազգային կազմակերպությունների հետ Հայաստանի երկկողմ և բազմակողմ հարաբերությունների շարունակական զարգացումը և արդյունավետ համագործակցությունը։ Կառավարության արտաքին բնագավառի գործունեության առանցքային մաս է կազմում նաև օտարերկրյա պետություններում ՀՀ քաղաքացիների և իրավաբանական անձանց իրավունքների ու շահերի պաշտպանությունը:</w:t>
      </w:r>
    </w:p>
    <w:p w14:paraId="009ECE57" w14:textId="77777777" w:rsidR="005F226A" w:rsidRPr="00A83C94" w:rsidRDefault="005F226A" w:rsidP="005D2928">
      <w:pPr>
        <w:pStyle w:val="BodyText2"/>
        <w:rPr>
          <w:b/>
        </w:rPr>
      </w:pPr>
      <w:r w:rsidRPr="00A83C94">
        <w:rPr>
          <w:b/>
        </w:rPr>
        <w:t>Դիվանագիտական ծառայության թիրախները</w:t>
      </w:r>
    </w:p>
    <w:p w14:paraId="675E9B2C" w14:textId="5837061A" w:rsidR="005F226A" w:rsidRPr="00A83C94" w:rsidRDefault="005F226A" w:rsidP="005D2928">
      <w:pPr>
        <w:pStyle w:val="BodyText2"/>
      </w:pPr>
      <w:r w:rsidRPr="00A83C94">
        <w:t>Հայաստանի Հանրապետության պետական շահերի պաշտպանությունը, Արցախի ժողովրդի իրավունքների և անվտանգության ապահովումը, տարածաշրջանային խաղաղության հաստատումը, տարածաշրջանի ապաշրջափակումն ու կայունության ապահովումը, ԵԱՀԿ Մինսկի խմբի</w:t>
      </w:r>
      <w:r w:rsidR="00CC7FEE" w:rsidRPr="00CC7FEE">
        <w:t xml:space="preserve"> </w:t>
      </w:r>
      <w:r w:rsidRPr="00A83C94">
        <w:t>համանախագահության ներքո միջազգային իրավունքի սկզբունքների, այդ թվում՝ ժողովուրդների ինքնորոշման և իրավահավասարության սկզբունքի հիման վրա ղարաբաղյան հիմնախնդրի խաղաղ և համապարփակ կարգավորմը, Արցախի ժողովրդի անվտանգության ապահովումը, ինչպես նաև մշակութային ու կրոնական ժառանգության պահպանումը, հումանիտար խնդիրների հաղթահարումը ՀՀ դիվանագիտական ծառայության առաջիկա գործունեության հիմնական թիրախներն են:</w:t>
      </w:r>
      <w:r w:rsidRPr="00A83C94">
        <w:rPr>
          <w:rFonts w:ascii="Calibri" w:hAnsi="Calibri" w:cs="Calibri"/>
        </w:rPr>
        <w:t> </w:t>
      </w:r>
    </w:p>
    <w:p w14:paraId="3373D056" w14:textId="77777777" w:rsidR="005F226A" w:rsidRPr="00A83C94" w:rsidRDefault="005F226A" w:rsidP="005D2928">
      <w:pPr>
        <w:pStyle w:val="BodyText2"/>
      </w:pPr>
      <w:r w:rsidRPr="00A83C94">
        <w:t>ՀՀ և Արցախի անվտանգությունը և զարգացումը կարող են ապահովվել միայն տարածաշրջանում խաղաղության և կայունության հաստատման պայմաններում: Ուստի ՀՀ սահմանակից բարեկամ պետությունների հետ հարաբերությունների խորացումը, ինչպես նաև հարաբերությունների կարգավորումը սահմանակից մյուս երկրների հետ արտաքին քաղաքականության կարևորագույն ուղղություններ են հանդիսանալու:</w:t>
      </w:r>
    </w:p>
    <w:p w14:paraId="7D0C4104" w14:textId="77777777" w:rsidR="005F226A" w:rsidRPr="00A83C94" w:rsidRDefault="005F226A" w:rsidP="005D2928">
      <w:pPr>
        <w:pStyle w:val="BodyText2"/>
      </w:pPr>
      <w:r w:rsidRPr="00A83C94">
        <w:t>Տարածաշրջանի ապաշրջափակմանն ուղղված գործընթացում առանցքային է 2020 թվականի նոյեմբերի 9-ի և 2021 թվականի հունվարի 11-ի Հայաստանի Հանրապետության, Ռուսաստանի Դաշնության և Ադրբեջանի Հանրապետության ղեկավարների կողմից ստորագրված եռակողմ հայտարարություններով նախատեսված քայլերի ամբողջական իրագործումը:</w:t>
      </w:r>
    </w:p>
    <w:p w14:paraId="4B5A0151" w14:textId="77777777" w:rsidR="000825DA" w:rsidRPr="00A83C94" w:rsidRDefault="000825DA" w:rsidP="005D2928">
      <w:pPr>
        <w:pStyle w:val="BodyText2"/>
      </w:pPr>
    </w:p>
    <w:p w14:paraId="5A27251F" w14:textId="77777777" w:rsidR="005F226A" w:rsidRPr="00A83C94" w:rsidRDefault="005F226A" w:rsidP="005D2928">
      <w:pPr>
        <w:pStyle w:val="BodyText2"/>
        <w:rPr>
          <w:b/>
        </w:rPr>
      </w:pPr>
      <w:r w:rsidRPr="00A83C94">
        <w:rPr>
          <w:b/>
        </w:rPr>
        <w:t>Արցախյան հիմնախնդիր</w:t>
      </w:r>
      <w:r w:rsidRPr="00A83C94">
        <w:rPr>
          <w:rFonts w:ascii="Calibri" w:hAnsi="Calibri" w:cs="Calibri"/>
          <w:b/>
        </w:rPr>
        <w:t> </w:t>
      </w:r>
    </w:p>
    <w:p w14:paraId="2AC7FB0B" w14:textId="77777777" w:rsidR="005F226A" w:rsidRPr="00A83C94" w:rsidRDefault="005F226A" w:rsidP="005D2928">
      <w:pPr>
        <w:pStyle w:val="BodyText2"/>
      </w:pPr>
      <w:r w:rsidRPr="00A83C94">
        <w:t>Հայաստանը շարունակելու է հանդիսանալ Արցախի ժողովրդի անվտանգության երաշխավորը և աշխատել Արցախի ժողովրդի իրավունքների պաշտպանության, այդ թվում՝ Արցախի մշակութային և կրոնական ժառանգության պահպանման ուղղությամբ:</w:t>
      </w:r>
      <w:r w:rsidRPr="00A83C94">
        <w:rPr>
          <w:rFonts w:ascii="Calibri" w:hAnsi="Calibri" w:cs="Calibri"/>
        </w:rPr>
        <w:t> </w:t>
      </w:r>
    </w:p>
    <w:p w14:paraId="54F6943C" w14:textId="77777777" w:rsidR="005F226A" w:rsidRPr="00A83C94" w:rsidRDefault="005F226A" w:rsidP="005D2928">
      <w:pPr>
        <w:pStyle w:val="BodyText2"/>
      </w:pPr>
      <w:r w:rsidRPr="00A83C94">
        <w:t>Հիմնախնդրի կարգավորումը հնարավոր է ԵԱՀԿ ՄԽ համանախագահության ներքո Լեռնային Ղարաբաղի կարգավիճակի հստակեցմամբ՝ հայտնի սկզբունքների և տարրերի, այդ թվում՝ ինքնորոշման իրավունքի հիման վրա: Հայաստանը ձգտելու է ԵԱՀԿ Մինսկի խմբի համանախագահության ներքո բանակցային գործընթացի լիարժեք վերականգնման՝ համոզված լինելով, որ հիմնախնդրի բացառապես խաղաղ կարգավորման տեսանկյունից բովանդակային բանակցությունները չունեն այլընտրանք:</w:t>
      </w:r>
    </w:p>
    <w:p w14:paraId="2D01DD42" w14:textId="77777777" w:rsidR="00CE7C12" w:rsidRPr="00A83C94" w:rsidRDefault="00CE7C12" w:rsidP="005D2928">
      <w:pPr>
        <w:pStyle w:val="BodyText2"/>
        <w:rPr>
          <w:b/>
        </w:rPr>
      </w:pPr>
    </w:p>
    <w:p w14:paraId="12A1A754" w14:textId="43C30E21" w:rsidR="005F226A" w:rsidRPr="00A83C94" w:rsidRDefault="005F226A" w:rsidP="005D2928">
      <w:pPr>
        <w:pStyle w:val="BodyText2"/>
        <w:rPr>
          <w:b/>
        </w:rPr>
      </w:pPr>
      <w:r w:rsidRPr="00A83C94">
        <w:rPr>
          <w:b/>
        </w:rPr>
        <w:t>Նոր մոտեցումներ դիվանագիտական ծառայության ոլորտում</w:t>
      </w:r>
    </w:p>
    <w:p w14:paraId="5E9CF9B6" w14:textId="77777777" w:rsidR="005F226A" w:rsidRPr="00A83C94" w:rsidRDefault="005F226A" w:rsidP="005D2928">
      <w:pPr>
        <w:pStyle w:val="BodyText2"/>
      </w:pPr>
      <w:r w:rsidRPr="00A83C94">
        <w:t>Հայաստանի դիվանագիտական ազգային համակարգը ձևավորված և ավանդույթներ ունեցող ինստիտուտ է։ Միաժամանակ արդի միտումներին ու զարգացումներին համահունչ բարեփոխումներն արտաքին քաղաքականության ձևակերպման, կառավարման ու իրականացման գործընթացներում բխում են դիվանագիտական ծառայության արդյունավետության բարձրացման անհրաժեշտությունից: Այս առումով առաջիկայում շեշտադրվելու է հատկապես տնտեսական դիվանագիտության զարգացումը։</w:t>
      </w:r>
    </w:p>
    <w:p w14:paraId="3A8BFC9C" w14:textId="77777777" w:rsidR="000825DA" w:rsidRPr="00A83C94" w:rsidRDefault="000825DA" w:rsidP="005D2928">
      <w:pPr>
        <w:pStyle w:val="BodyText2"/>
      </w:pPr>
    </w:p>
    <w:p w14:paraId="62C67D6A" w14:textId="77777777" w:rsidR="005F226A" w:rsidRPr="00A83C94" w:rsidRDefault="005F226A" w:rsidP="005D2928">
      <w:pPr>
        <w:keepNext/>
        <w:tabs>
          <w:tab w:val="left" w:pos="567"/>
        </w:tabs>
        <w:spacing w:before="0" w:line="276" w:lineRule="auto"/>
        <w:ind w:firstLine="720"/>
        <w:contextualSpacing w:val="0"/>
        <w:outlineLvl w:val="2"/>
        <w:rPr>
          <w:rFonts w:cs="Arial"/>
          <w:b w:val="0"/>
          <w:szCs w:val="22"/>
          <w:lang w:val="hy-AM" w:eastAsia="en-US"/>
        </w:rPr>
      </w:pPr>
      <w:bookmarkStart w:id="51" w:name="_Toc83567444"/>
      <w:bookmarkStart w:id="52" w:name="_Toc89428267"/>
      <w:r w:rsidRPr="00A83C94">
        <w:rPr>
          <w:rFonts w:cs="Arial"/>
          <w:szCs w:val="22"/>
          <w:lang w:val="hy-AM" w:eastAsia="en-US"/>
        </w:rPr>
        <w:t>Սփյուռք</w:t>
      </w:r>
      <w:bookmarkEnd w:id="51"/>
      <w:bookmarkEnd w:id="52"/>
      <w:r w:rsidRPr="00A83C94">
        <w:rPr>
          <w:rFonts w:cs="Arial"/>
          <w:b w:val="0"/>
          <w:szCs w:val="22"/>
          <w:lang w:val="hy-AM" w:eastAsia="en-US"/>
        </w:rPr>
        <w:t xml:space="preserve"> </w:t>
      </w:r>
    </w:p>
    <w:p w14:paraId="73C63155"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ՀՀ կառավարությունը կարևորում է Հայաստան-սփյուռք գործակցության զարգացումը, որը նպատակաուղղված է լինելու հայ ինքնության պահպանմանը, հայրենադարձությանն ու Հայաստանում սփյուռքահայերի ինտեգրմանը, սփյուռքի մարդկային ներուժի վերհանմանն ու քարտեզագրմանը, աշխարհասփյուռ հայության մարդկային, մտավոր, տնտեսական ներուժի՝ հայրենիքի կայուն զարգացման նպատակի շուրջ համախմբմանը:</w:t>
      </w:r>
    </w:p>
    <w:p w14:paraId="155F8451"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Այսօր սփյուռքի հայության առջև ծառացած հիմնական մարտահրավերներից մեկը հայ երիտասարդների մեջ ազգային ինքնության պահպանումն է, նրանց ընդգրկմամբ համահայկական միասնական օրակարգի ձևավորումը: </w:t>
      </w:r>
    </w:p>
    <w:p w14:paraId="0C63C36A"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Հայաստան-Սփյուռք գործակցության համատեքստում անհրաժեշտ է խթանել համայնքային կառույցների գործունեությունը, դրանցում սփյուռքահայ երիտասարդների ներգրավվածությունը: </w:t>
      </w:r>
    </w:p>
    <w:p w14:paraId="6A4C5E85"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Համահայկական օրակարգերի ստեղծման հարցում կենսական է համայնքային գործիչների պատրաստումը՝ նրանցում առաջնորդի, համայնքների ղեկավարման կարողությունների և հմտությունների զարգացմումը:</w:t>
      </w:r>
    </w:p>
    <w:p w14:paraId="0ED30A2F"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Հայաստան-Սփյուռք գործակցության համատեքստում կարևորվում է սփյուռքի մասնագիտական ներուժի ներգրավումը Հայաստանի ինստիտուցիոնալ զարգացմանն ու հզորացմանը, որը կնպաստի նաև մասնագիտական հայրենադարձությանը:</w:t>
      </w:r>
    </w:p>
    <w:p w14:paraId="513A55D6"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Հայաստան-Սփյուռք գործակցության մեջ մեծ կարևորություն ունեն նաև հանրային կապերն ու աշխարհասփյուռ հայության իրազեկվածության ապահովումը: Այս համագործակցության հանրայնացումն ունի թիրախային երկու լսարան՝ ներքին կամ ներհայաստանյան և արտաքին կամ նպատակաուղղված Սփյուռքին՝ հայ համայնքներին և միջազգային հանրությանը: </w:t>
      </w:r>
    </w:p>
    <w:p w14:paraId="45FBC563"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Հայաստան-Սփյուռք գործակցության մեջ կարևոր գործոն է հանդիսանալու աջակցել սփյուռքի ներդրողներին և բարեգործներին՝ Հայաստանում իրենց ծրագրերն իրականացնելիս:</w:t>
      </w:r>
    </w:p>
    <w:p w14:paraId="66D04E37"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Հայաստանի Հանրապետության պետական քաղաքականության առաջնահերթություններից է հանդիսանում հայրենադարձության խթանումը:</w:t>
      </w:r>
    </w:p>
    <w:p w14:paraId="6055795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ՀՀ պետական քաղաքականությունը միտված է մշակել և իրականացնել միջոցառումներ, որոնք նպատակաուղղված կլինեն Հայաստանի զարգացման գործընթացում Սփյուռքի ներգրավմանը:</w:t>
      </w:r>
    </w:p>
    <w:p w14:paraId="4A1D8F0B" w14:textId="77777777" w:rsidR="005F226A" w:rsidRPr="00A83C94" w:rsidRDefault="005F226A" w:rsidP="005D2928">
      <w:pPr>
        <w:spacing w:line="276" w:lineRule="auto"/>
        <w:rPr>
          <w:szCs w:val="22"/>
          <w:lang w:val="hy-AM"/>
        </w:rPr>
      </w:pPr>
    </w:p>
    <w:p w14:paraId="6B0583EB" w14:textId="77777777" w:rsidR="005F226A" w:rsidRPr="00A83C94" w:rsidRDefault="005F226A" w:rsidP="005D2928">
      <w:pPr>
        <w:keepNext/>
        <w:tabs>
          <w:tab w:val="left" w:pos="567"/>
        </w:tabs>
        <w:spacing w:before="0" w:line="276" w:lineRule="auto"/>
        <w:ind w:firstLine="720"/>
        <w:contextualSpacing w:val="0"/>
        <w:outlineLvl w:val="2"/>
        <w:rPr>
          <w:rFonts w:cs="Arial"/>
          <w:b w:val="0"/>
          <w:szCs w:val="22"/>
          <w:lang w:val="pt-BR" w:eastAsia="en-US"/>
        </w:rPr>
      </w:pPr>
      <w:bookmarkStart w:id="53" w:name="_Toc26174896"/>
      <w:bookmarkStart w:id="54" w:name="_Toc83567445"/>
      <w:bookmarkStart w:id="55" w:name="_Toc89428268"/>
      <w:r w:rsidRPr="00A83C94">
        <w:rPr>
          <w:rFonts w:cs="Arial"/>
          <w:szCs w:val="22"/>
          <w:lang w:val="hy-AM" w:eastAsia="en-US"/>
        </w:rPr>
        <w:t>Արդարադատություն</w:t>
      </w:r>
      <w:bookmarkEnd w:id="53"/>
      <w:bookmarkEnd w:id="54"/>
      <w:bookmarkEnd w:id="55"/>
      <w:r w:rsidRPr="00A83C94">
        <w:rPr>
          <w:rFonts w:cs="Arial"/>
          <w:b w:val="0"/>
          <w:szCs w:val="22"/>
          <w:lang w:val="pt-BR" w:eastAsia="en-US"/>
        </w:rPr>
        <w:t xml:space="preserve"> </w:t>
      </w:r>
    </w:p>
    <w:p w14:paraId="4DA2AFED"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bookmarkStart w:id="56" w:name="_Toc26174897"/>
      <w:r w:rsidRPr="00A83C94">
        <w:rPr>
          <w:b w:val="0"/>
          <w:szCs w:val="22"/>
          <w:lang w:val="hy-AM"/>
        </w:rPr>
        <w:t>2022 թվականին ոլորտի առաջնային ռազմավարական նպատակներն են լինելու՝</w:t>
      </w:r>
    </w:p>
    <w:p w14:paraId="55DFD29C"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Դատական և իրավական բարեփոխումների ոլորտ</w:t>
      </w:r>
    </w:p>
    <w:p w14:paraId="7544041E" w14:textId="7C048E9B"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ՀՀ կառավարությունը 2019 թվականի հոկտեմբերի 10-ին ընդունել է ՀՀ դատական և իրավական բարեփոխումների 2019-2023 թվականների ռազմավարությունը և դրանից բխող գործողությունների ծրագրերը հաստատելու մասին N 1441-Լ որոշումը: 2022 թվականի ընթացքում նախատեսվում է իրականացնել ռազմավարությունից բխող 2021-2023 թվականների գործողությունների ծրագրով սահմանված միջոցառումները: </w:t>
      </w:r>
    </w:p>
    <w:p w14:paraId="4D5ED7C0"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Ոլորտային բարեփոխման կարևոր ուղղություններից մեկը դատարանների ծանրաբեռնվածությունը թեթևացնելու և դատարաններում գործի քննության ժամկետները կրճատելու միջոցով արդարադատության արդյունավետության բարձրացումն է: Արդարադատության արդյունավետության բարձրացմանն ուղղված մյուս կարևոր քայլը դատավարական օրենսդրության արդիականացումն է, կիրառման արդյունքում ծագած խնդիրների վերհանումը և դրանց լուծումներ տալը:</w:t>
      </w:r>
    </w:p>
    <w:p w14:paraId="4A87CD78"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Արդարադատության արդյունավետության բարձրացման համար անհրաժեշտ է նաև զարգացնել վեճերի լուծման այլընտրանքային եղանակները: Այս համատեքստում կարևորվում է հաշտարարության ոլորտի զարգացումը:</w:t>
      </w:r>
    </w:p>
    <w:p w14:paraId="56E263F0" w14:textId="568E83E3"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Արդարադատության պատշաճ իրականացնումն ապահովելու համար կարևորվում է դատարանների շենքային պայմանների և տեխնիկական հագեցվածության կատարելագործումը' պայմանավորված հատկապես դատավորների թվի ավելացմամբ: Դատաիրավական բարեփոխումների շրջանակում անհրաժեշտ է իրականացնել հարկադիր կատարման ոլորտի համընդհանուր բարեփոխումներ՝ բարձրացնելու կատարողական գործողությունների արդյունավետությունը, առավելագույնս ապահովելու կատարողական վարույթի մասնակիցների օրինական շահերի պաշտպանությունը, </w:t>
      </w:r>
      <w:r w:rsidR="00CC7FEE" w:rsidRPr="00CC7FEE">
        <w:rPr>
          <w:b w:val="0"/>
          <w:szCs w:val="22"/>
          <w:lang w:val="hy-AM"/>
        </w:rPr>
        <w:t xml:space="preserve">ներդնելու </w:t>
      </w:r>
      <w:r w:rsidRPr="00A83C94">
        <w:rPr>
          <w:b w:val="0"/>
          <w:szCs w:val="22"/>
          <w:lang w:val="hy-AM"/>
        </w:rPr>
        <w:t>նրանց խնդիրներին ու կարիքներին արագ և արդյունավետ արձագանքելու կառուցակարգեր: Նշված նպատակներին հասնելու նպատակով իրականացվելիք գործողություններն ուղղված են լինելու կատարողական վարույթի օրենսդրության համապարփակ վերանայմանը, հարկադիր կատարման վարույթի ամբողջական թվայնացմանը, ըստ այդմ' քաղաքացի-հարկադիր կատարող արդյունավետ հաղորդակցության ապահովմանը:</w:t>
      </w:r>
    </w:p>
    <w:p w14:paraId="4620C4E1"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միջոցներ ձեռնարկել փաստաբանության ոլորտի զարգացման ուղղությամբ, այդ թվում' փաստաբանական դպրոցում ուսուցման և ընդունելության կառուցակարգերի վերաիմաստավորման, Փաստաբանների պալատի կառավարման արդյունավետության և ներառականության վերափոխման շրջանակներում: Շարունակվելու են բարեփոխումները սնանկության, հարկադիր կատարման, քաղաքացիական կացության ակտերի գրանցման, նոտարիատի և անձնական տվալների պաշտպանության ոլորտներում:</w:t>
      </w:r>
    </w:p>
    <w:p w14:paraId="43F052B7"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Էլեկտրոնային արդարադատության ոլորտ</w:t>
      </w:r>
    </w:p>
    <w:p w14:paraId="74944B78" w14:textId="77777777" w:rsidR="00365395"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 Նախատեսվում է իրականացնել արդարադատության մարմինների համար կառավարության կողմից ներդրված էլեկտրոնային համակարգերի և հարթակների շարունակական զարգացում և նոր էլեկտրոնային համակարգերի ներդրում։ Նշված շրջանակներում նախատեսվում է զարգացնել դատարանների գործերի կառավարման էլեկտրոնային համակարգը՝ ավելացնելով այն գործերի քանակը, որոնք հարուցվում և քննվում են էլեկտրոնային համակարգի օգտագործմամբ։ </w:t>
      </w:r>
    </w:p>
    <w:p w14:paraId="74ADA3E1"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Հակակոռուպցիոն ոլորտ</w:t>
      </w:r>
    </w:p>
    <w:p w14:paraId="722DCBA5" w14:textId="70A7E94A"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Շարունակվելու է իրականացվել հակակոռուպցիոն քաղաքականությունը 2019 թվականի հոկտեմբերի 3-ին ընդունած Հայաստանի Հանրապետության հակակոռուպցիոն ռազմավարության և դրա իրականացման 2019-2022 թվականների միջոցառումների ծրագրի շրջանակներում: </w:t>
      </w:r>
    </w:p>
    <w:p w14:paraId="61EA65F6"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Վերոնշյալ ռազմավարության պահանջներին համապատասխան 2022 թվականի ընթացքում նախատեսվում է իրագործել հետևյալ հիմնական միջոցառումները` </w:t>
      </w:r>
    </w:p>
    <w:p w14:paraId="7856734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հակակոռուպցիոն ինստիտուցիոնալ համակարգի կայացման շրջանակներում Կոռուպցիայի կանխարգելման հանձնաժողովի և Հակակոռուպցիոն կոմիտեի բնականոն գործունեության ապահովումը և գործիքակազմի (ներառյալ մարդկային ռեսուրսների) կատարելագործումը, Հակակոռուպցիոն դատարանի ձևավորումը և վերջինիս բնականոն գործունեության ապահովումը, դատախազական համակարգում բարեվարքության ստուգման կառուցակարգերի իրագործումը.</w:t>
      </w:r>
    </w:p>
    <w:p w14:paraId="2791F7CA"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վարչական կոռուպցիայի հաղթահարումը՝ ոլորտային կոռուպցիոն ռիսկերի վերհանման և դրանց հիման վրա հակակոռուպցիոն ոլորտային միջոցառումների մշակման և իրականացման, էլեկտրոնային ժողովրդավարության գործիքների շարունակական կատարելագործման միջոցով.</w:t>
      </w:r>
    </w:p>
    <w:p w14:paraId="25DBB775"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հակակոռուպցիոն կարգավորման ազդեցության գնահատման ինստիտուտի  զարգացումը և դերի բարձրացումը.</w:t>
      </w:r>
    </w:p>
    <w:p w14:paraId="7919CA6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 ապօրինի ծագում ունեցող գույքի բռնագանձմանն ուղղված կառուցակարգերի կատարելագործում և այդ նպատակով միջազգային համագործակցության ամրապնդումը. </w:t>
      </w:r>
    </w:p>
    <w:p w14:paraId="6D760B5C"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ազդարարման համակարգի կատարելագործումը.</w:t>
      </w:r>
    </w:p>
    <w:p w14:paraId="649EA8B4" w14:textId="23EE2D5A"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հանրային պաշտոն զբաղեցնող անձանց և հանրային ծառայողների պաշտոնական պարտականությունների իրականացման հետ կապված նվերների ինստիտուտի կատարելագործում</w:t>
      </w:r>
      <w:r w:rsidR="00682233" w:rsidRPr="00682233">
        <w:rPr>
          <w:b w:val="0"/>
          <w:szCs w:val="22"/>
          <w:lang w:val="hy-AM"/>
        </w:rPr>
        <w:t>ը</w:t>
      </w:r>
      <w:r w:rsidRPr="00A83C94">
        <w:rPr>
          <w:b w:val="0"/>
          <w:szCs w:val="22"/>
          <w:lang w:val="hy-AM"/>
        </w:rPr>
        <w:t>, նվերների ռեեստրի ստեղծումը և գործարկումը.</w:t>
      </w:r>
    </w:p>
    <w:p w14:paraId="35BAEAF7"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հանրային կրթության և իրազեկման միջոցով կոռուպցիայի նկատմամբ ժխտողական վերաբերմունքի սերմանումը, ներառյալ՝ ազդարարման ինստիտուտի նկատմամբ վերաբերմունքի փոփոխման միջոցով, պահանջատեր քաղաքացու ձևավորումը.</w:t>
      </w:r>
    </w:p>
    <w:p w14:paraId="5ED4DCF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հակակոռուպցիոն միջոցառումների ծրագրի կատարման նկատմամբ մշտադիտարկում և համակարգումը, մշտադիտարկման և գնահատման գործիքակազմի կատարելագործումը, պարբերական հաշվետվությունների կազմում:</w:t>
      </w:r>
    </w:p>
    <w:p w14:paraId="6478E31D" w14:textId="217B77DD" w:rsidR="00365395" w:rsidRPr="00A83C94" w:rsidRDefault="005F226A" w:rsidP="005D2928">
      <w:pPr>
        <w:tabs>
          <w:tab w:val="left" w:pos="0"/>
          <w:tab w:val="left" w:pos="567"/>
        </w:tabs>
        <w:spacing w:before="0" w:line="276" w:lineRule="auto"/>
        <w:ind w:firstLine="720"/>
        <w:contextualSpacing w:val="0"/>
        <w:rPr>
          <w:b w:val="0"/>
          <w:szCs w:val="22"/>
          <w:lang w:val="hy-AM"/>
        </w:rPr>
      </w:pPr>
      <w:r w:rsidRPr="00A83C94">
        <w:rPr>
          <w:szCs w:val="22"/>
          <w:lang w:val="hy-AM"/>
        </w:rPr>
        <w:t>Քրեակատարողական և պրոբացիայի ոլորտ</w:t>
      </w:r>
    </w:p>
    <w:p w14:paraId="272D1A3D" w14:textId="2E77779E" w:rsidR="005F226A" w:rsidRPr="00682233"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Կառավարությունը շարունակելու է վճռական մնալ վերականգնողական արդարադատության սկզբունքների արմատավորման, ինչպես նաև քրեակատարողական համակարգի կայուն զարգացումն ապահովելու հարցում:</w:t>
      </w:r>
      <w:r w:rsidR="00682233" w:rsidRPr="00682233">
        <w:rPr>
          <w:b w:val="0"/>
          <w:szCs w:val="22"/>
          <w:lang w:val="hy-AM"/>
        </w:rPr>
        <w:t xml:space="preserve"> Այս համատեքստում հիմնական թիրախային ուղղությունները լինելու են.</w:t>
      </w:r>
    </w:p>
    <w:p w14:paraId="08546656"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խթանել պրոբացիայի համակարգում էլեկտրոնային կառավարման գործիքների կիրառումը՝ ամբողջությամբ գործարկելով E-probation էլեկտրոնային կառավարման համակարգը և դրանով իսկ ապահովելով պրոբացիայի ծառայողների աշխատանքի թվայնացումը, փաստաթղթաշրջանառության կրճատումը, հաշվետու և թափանցիկ աշխատանքը, ինչպես նաև կոռուպցիոն ռիսկերի նվազեցումը.</w:t>
      </w:r>
    </w:p>
    <w:p w14:paraId="28E6B25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ազատությունից զրկելուն այլընտրանք հանդիսացող նոր պատժատեսակների և խափանման միջոցների արդյունավետ կիրառման նպատակով Պրոբացիայի ծառայությանը զինել էլեկտրոնային հսկողության համար անհրաժեշտ միջոցներով ու ենթակառուցվածքներով և, ըստ այդմ, ապահովել իրավակիրառ պրակտիկայում էլեկտրոնային հսկողության փաստացի կիրառումը.</w:t>
      </w:r>
    </w:p>
    <w:p w14:paraId="355520FB"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օպտիմալացնել քրեակատարողական հիմնարկները և դրա արդյունքներով տնտեսված միջոցներն արդյունավետ բաշխել և ուղղորդել այլ քրեակատարողական հիմնարկներում ազատությունից զրկված անձանց պահման պայմանները բարելավմանը.</w:t>
      </w:r>
    </w:p>
    <w:p w14:paraId="1DDF017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ապահովել քրեակատարողական հիմնարկներում գտնվող հաշմանդամություն ունեցող անձանց համար մատչելի պայմանները.</w:t>
      </w:r>
    </w:p>
    <w:p w14:paraId="0F47381A"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վերազինել քրեակատարողական հիմնարկներն արդի ինժեներատեխնիկական և անվտանգության ապահովման միջոցներով, այդ թվում՝ օպերատիվ կառավարման կենտրոնով՝ այդպիսով ապահովելով կադրերի հաշվետու և թափանցիկ գործելաոճը, ճգնաժամային իրավիճակի կառավարումը քրեակատարողական հաստատություններում, ինչպես նաև նվազագույնի հասցնելով կոռուպցիոն ռիսկերը.</w:t>
      </w:r>
    </w:p>
    <w:p w14:paraId="3A3FEE13"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ապահովել ազատությունից զրկված անձանց, այդ թվում` անչափահասների կրթություն ստանալու իրավունքի շարունակականությունը, մասնագիտական կրթության նոր ծրագրերի ներդնումը, ինչպես նաև ազատությունից զրկված անձանց համար հանրակրթության իրականացումը՝ անկախ տարիքից.</w:t>
      </w:r>
    </w:p>
    <w:p w14:paraId="419D2452"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ներդնել ազատազրկված անձանց համար բժշկական տվյալների գաղտնիության ապահովմամբ բնակչության շրջանում մատուցվող բժշկական խորհրդատվությունների ծավալին և որակի համապատասխանող, միջազգայնորեն ճանաչված սկզբունքներին համապատասխան հեռաբժշկության մոդելը.</w:t>
      </w:r>
    </w:p>
    <w:p w14:paraId="44873A53"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ներդնել քրեակատարողական հիմնարկներում ինքնասպանության և ինքնավնասման ռիսկի վերհանման և գնահատման, ինչպես նաև հոգեկան առողջության զննության և ռիսկի գնահատման գործիքակազմը՝ նախականխելով ինքնասպանության և ինքնավնասման հետագա դեպքերի առաջացումը, ինչպես նաև նախապես բացահայտելով հոգեկան առողջության վիճակի հնարավոր խնդիրը.</w:t>
      </w:r>
    </w:p>
    <w:p w14:paraId="12D56882" w14:textId="40677252"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szCs w:val="22"/>
          <w:lang w:val="hy-AM"/>
        </w:rPr>
        <w:t>Մարդու ի</w:t>
      </w:r>
      <w:r w:rsidR="00365395" w:rsidRPr="00A83C94">
        <w:rPr>
          <w:szCs w:val="22"/>
          <w:lang w:val="hy-AM"/>
        </w:rPr>
        <w:t>րավունքների պաշտպանության ոլորտ</w:t>
      </w:r>
    </w:p>
    <w:p w14:paraId="2016FB5A" w14:textId="6ECFE2CE"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Արդարադատության նախարարությունը շարունակելու է իրականացնել ոլորտի բարեփոխումները Մարդու իրավունքների պաշտպանության ազգային ռազմավարությունից բխող 2020-2022թթ. </w:t>
      </w:r>
      <w:r w:rsidR="00682233" w:rsidRPr="00682233">
        <w:rPr>
          <w:b w:val="0"/>
          <w:szCs w:val="22"/>
          <w:lang w:val="hy-AM"/>
        </w:rPr>
        <w:t>գ</w:t>
      </w:r>
      <w:r w:rsidRPr="00A83C94">
        <w:rPr>
          <w:b w:val="0"/>
          <w:szCs w:val="22"/>
          <w:lang w:val="hy-AM"/>
        </w:rPr>
        <w:t xml:space="preserve">ործողությունների ծրագրին համապատասխան: </w:t>
      </w:r>
    </w:p>
    <w:p w14:paraId="2CB5610C" w14:textId="77777777"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 xml:space="preserve">Ներառական քննարկումների արդյունքում 2021թ. հունիսին իրականացված փոփոխությամբ Ծրագրում նախատեսվել են միջոցառումներ՝ միտված 44-oրյա պատերազմից հետո մարդու իրավունքների պաշտպանության ոլորտում առկա խնդիրների վերհանմանն ու ինստիտուցիոնալ կերպով դրանց հասցեագրմանը: Բացի այդ միջոցառումներից, 2022թ. ընթացքում նախատեսվում է ապահովել խոշտանգումից տուժած անձանց հոգեբանական, սոցիալական և իրավական ծառայություններից օգտվելու իրավունքի արդյունավետ իրականացման մեխանիզմները, ապահովել հոգեկան, այդ թվում` մտավոր խնդիրներով հաշմանդամություն ունեցող անձանց մասնակցությունն իրենց իսկ վերաբերող բոլոր որոշումների կայացման գործընթացներում, ստեղծել երեխաների իրավունքներին առնչվող խնդիրների հաշվառման և վարման միասնական վիճակագրական համակարգ, օրենսդրորեն ամրապնդել իրավապաշտպան գործունեություն իրականացնող անձանց քրեաիրավական պաշտպանության երաշխիքները և այլն: </w:t>
      </w:r>
    </w:p>
    <w:p w14:paraId="2E458938"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Քաղաքացիական կացության ակտերի գրանցման ոլորտ</w:t>
      </w:r>
    </w:p>
    <w:p w14:paraId="4558C96C" w14:textId="3E7C3CC2"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շարունակել նվազեցնել ոլորտում առկա վարչարարությունը՝ համակարգը վերափոխելով սպասարկման կենտրոն՝ «ֆրոնտ օֆիս» և «բեք օֆիս» ձևաչափով, որը հնարավորություն կընձեռի քաղաքացիներին դիմումները ներկայացնել հանրային ծառայությունների միասնական, ինչպես նաև քաղաքացիների սպասարկման հատուկ ստեղծված գրասենյակներ: Սույն ծրագիրը նախատեսվում է տարածել Հայաստանի Հանրապետության ամբողջ տարածքով, ընդգրկելով երկրի բոլոր բնակավայրերը, քաղաքացիների՝ գրասենյակներին հասանելիությունը ապահովելու նպատակով՝ խնայոլեվ նրանց ժամանակը և նյութական ռեսուրսները: Միաժամանակ ծրագրի իրականացումը նպատակ է հետապնդում էականորեն նվազեցնել ոլորտում առկա կոռուպցիոն ռիսկերը՝  «դիմող» և «որոշում կայացնող» կողմերի շփման նվազեցմամբ: Մինչև 2023 թվականը նախատեսվում է հիմնադրել ևս 3 միասնական գրսենյակներ Վանաձոր, Արմավիր, Աբովյան քաղաքաներում՝ հիմք ընդունելով արդեն իսկ ձևավորված փորձը և գործող միասնական գրասենյակների կողմից մատուցվող ծառայությունների կապակցությամբ հավաքագրված դրական կարծիքները:</w:t>
      </w:r>
    </w:p>
    <w:p w14:paraId="317FF7CA"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Իրավաբանական անձանց պետական գրանցման ռեգիստրի ոլորտ</w:t>
      </w:r>
    </w:p>
    <w:p w14:paraId="7A3419AF" w14:textId="0529D93F"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իրավաբանական անձանց պետական գրանցման գործընթացի արդյունավետության բարձրացմանն ուղղված շարունակական աշխատանքների իրականացում, այդ թվում՝ էլեկտրոնային եղանակով մատուցվող ծառայությունների ընդլայնում (առցանց նույնականացման նոր մոտեցումների կիրառում, փաստաթղթերի վրա արագ արձագանքման (QR) կոդերի կիրառում, ինքնաշխատ ծառայությունների իրականացում), իրավաբանական անձանց պետական ռեգիստրի գործակալության աջակցությամբ ձեռնարկատիրական գործունեություն սկսելու համար անհրաժեշտ մի շարք գործառույթների իրականացման հնարավորության ստեղծում (պետական ռեգիստրի գործակալության հետ համագործակցող կազմակերպությունների և մարմինների միջոցով՝ բանկային հաշվի բացում, անձնական գրասենյակի ակտիվացում և լիազոր անձի ընտրություն), իրական սեփականատերերի վերաբերյալ հայտարարագրերի էլեկտրոնային հարթակի գործարկում և այդ ոլորտի օրենսդրական կարգավորումների բարեփոխում, օրենսդրական բարեփոխումներ՝ ուղղված իրավաբանական անձանց պետական գրանցման ոլորտում մատուցվող ծառայությունների մատչելիության ապահովմանը։ Նախատեսվում է նաև իրավաբանական անձանց պետական ռեգիստրի գործակալության որոշ մարզային սպասարկման գրասենյակների տեղակայումը ստեղծվելիք միասնական գրասենյակներում, ինչպես նաև իրավաբանական անձանց պետական ռեգիստրի արխիվների թվայնացմանն ուղղված աշխատանքների իրականացում:</w:t>
      </w:r>
    </w:p>
    <w:p w14:paraId="7578E580" w14:textId="77777777" w:rsidR="00365395" w:rsidRPr="00A83C94" w:rsidRDefault="005F226A" w:rsidP="005D2928">
      <w:pPr>
        <w:tabs>
          <w:tab w:val="left" w:pos="0"/>
          <w:tab w:val="left" w:pos="567"/>
        </w:tabs>
        <w:spacing w:before="0" w:line="276" w:lineRule="auto"/>
        <w:ind w:firstLine="720"/>
        <w:contextualSpacing w:val="0"/>
        <w:rPr>
          <w:szCs w:val="22"/>
          <w:lang w:val="hy-AM"/>
        </w:rPr>
      </w:pPr>
      <w:r w:rsidRPr="00A83C94">
        <w:rPr>
          <w:szCs w:val="22"/>
          <w:lang w:val="hy-AM"/>
        </w:rPr>
        <w:t>Անձնական տվյալների պաշտպանության ոլորտ</w:t>
      </w:r>
    </w:p>
    <w:p w14:paraId="3BCA4C87" w14:textId="4F9A81F8" w:rsidR="005F226A" w:rsidRPr="00A83C94" w:rsidRDefault="005F226A" w:rsidP="005D2928">
      <w:pPr>
        <w:tabs>
          <w:tab w:val="left" w:pos="0"/>
          <w:tab w:val="left" w:pos="567"/>
        </w:tabs>
        <w:spacing w:before="0" w:line="276" w:lineRule="auto"/>
        <w:ind w:firstLine="720"/>
        <w:contextualSpacing w:val="0"/>
        <w:rPr>
          <w:b w:val="0"/>
          <w:szCs w:val="22"/>
          <w:lang w:val="hy-AM"/>
        </w:rPr>
      </w:pPr>
      <w:r w:rsidRPr="00A83C94">
        <w:rPr>
          <w:b w:val="0"/>
          <w:szCs w:val="22"/>
          <w:lang w:val="hy-AM"/>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 ներդաշնակեցնել անձնական տվյալների մշակում նախատեսող օրենսդրական դաշտը, ավելացնել անձնական տվյալների պաշտպանության իրավունքի վերաբերյալ ինչպես անձնական տվյալներ մշակողների, այնպես էլ լայն հասարակության իրազեկվածությունը։</w:t>
      </w:r>
    </w:p>
    <w:p w14:paraId="5A85F7A1" w14:textId="77777777" w:rsidR="000825DA" w:rsidRPr="00A83C94" w:rsidRDefault="000825DA" w:rsidP="005D2928">
      <w:pPr>
        <w:tabs>
          <w:tab w:val="left" w:pos="0"/>
          <w:tab w:val="left" w:pos="567"/>
        </w:tabs>
        <w:spacing w:before="0" w:line="276" w:lineRule="auto"/>
        <w:ind w:firstLine="720"/>
        <w:contextualSpacing w:val="0"/>
        <w:rPr>
          <w:b w:val="0"/>
          <w:szCs w:val="22"/>
          <w:lang w:val="hy-AM"/>
        </w:rPr>
      </w:pPr>
    </w:p>
    <w:p w14:paraId="6110C945"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57" w:name="_Toc26174898"/>
      <w:bookmarkStart w:id="58" w:name="_Toc83567446"/>
      <w:bookmarkStart w:id="59" w:name="_Toc89428269"/>
      <w:bookmarkEnd w:id="56"/>
      <w:r w:rsidRPr="00A83C94">
        <w:rPr>
          <w:rFonts w:cs="Arial"/>
          <w:szCs w:val="22"/>
          <w:lang w:val="hy-AM" w:eastAsia="en-US"/>
        </w:rPr>
        <w:t>Կրթություն</w:t>
      </w:r>
      <w:bookmarkEnd w:id="57"/>
      <w:bookmarkEnd w:id="58"/>
      <w:bookmarkEnd w:id="59"/>
    </w:p>
    <w:p w14:paraId="5C06414B" w14:textId="77777777" w:rsidR="005F226A" w:rsidRPr="00A83C94" w:rsidRDefault="005F226A" w:rsidP="005D2928">
      <w:pPr>
        <w:pStyle w:val="BodyText2"/>
      </w:pPr>
      <w:bookmarkStart w:id="60" w:name="_Toc26174899"/>
      <w:r w:rsidRPr="00A83C94">
        <w:t>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հիմնարար գործոն:  Մարդկային կապիտալի կայուն զարգացումը հնարավոր է ապահովել կրթության որակի, արդյունավետության և մատչելիության բարձրացման միջոցով:</w:t>
      </w:r>
      <w:bookmarkStart w:id="61" w:name="_Toc57655428"/>
    </w:p>
    <w:p w14:paraId="7703C34B" w14:textId="77777777" w:rsidR="005F226A" w:rsidRPr="00A83C94" w:rsidRDefault="005F226A" w:rsidP="005D2928">
      <w:pPr>
        <w:pStyle w:val="BodyText2"/>
      </w:pPr>
      <w:r w:rsidRPr="00A83C94">
        <w:t>2021 թվականի փետրվարի 4-ին ՀՀ կառավարության N136-Ն որոշմամբ ընդունվեց հանրակրթության նոր չափորոշիչը, իսկ ապրիլ ամսին ԿԳՄՍ նախարարի հրամանով հաստատվեցին նոր չափորոշիչներից բխող առարկայական չափորոշիչներն ու ծրագրերը: Դրանք 2021-2022 ուսումնական տարում փորձարկվում են  Տավուշի մարզի բոլոր ուսումնական հաստատություններում: Արդյունքների ամփոփումից և լրամշակումից  հետո առարկայական չափորոշիչներն ու ծրագրերը աստիճանական կարգով կներդրվեն  հանրապետության բոլոր դպրոցներում: Ինչպես Տավուշի մարզի, այնպես էլ ՀՀ բոլոր դպրոցները հագեցվելու են անհրաժեշտ լաբորատոր սարքավորումներով:</w:t>
      </w:r>
    </w:p>
    <w:p w14:paraId="66680769" w14:textId="77777777" w:rsidR="005F226A" w:rsidRPr="00A83C94" w:rsidRDefault="005F226A" w:rsidP="005D2928">
      <w:pPr>
        <w:pStyle w:val="BodyText2"/>
      </w:pPr>
      <w:r w:rsidRPr="00A83C94">
        <w:t xml:space="preserve"> Հանրակրթության ոլորտի բարեփոխումների կարևորագույն մաս է կազմում նախատեսված մոդուլային տիպի 300 դպրոցների և 500 մանկապարտեզների կառուցումը, հիմնանորոգումն ու վերանորոգումը, որը Կառավարության հնգամյա ծրագրի հիմնական թիրախներից է:</w:t>
      </w:r>
    </w:p>
    <w:p w14:paraId="3FF12807" w14:textId="77777777" w:rsidR="005F226A" w:rsidRPr="00A83C94" w:rsidRDefault="005F226A" w:rsidP="005D2928">
      <w:pPr>
        <w:pStyle w:val="BodyText2"/>
      </w:pPr>
      <w:r w:rsidRPr="00A83C94">
        <w:t>Նախատեսվում է հատկապես փոքր համայնքներում և բնակավայրերում, շարունակել գործարկել այլընտրանքային նախադպրոցական ծառայություններ:</w:t>
      </w:r>
    </w:p>
    <w:p w14:paraId="21996910" w14:textId="77777777" w:rsidR="005F226A" w:rsidRPr="00A83C94" w:rsidRDefault="005F226A" w:rsidP="005D2928">
      <w:pPr>
        <w:pStyle w:val="BodyText2"/>
      </w:pPr>
      <w:r w:rsidRPr="00A83C94">
        <w:t>Քայլեր կձեռնարկվեն՝ ապահովելու նախադպրոցական ուսումնական հաստատությունների վարչական, մանկավարժական և ուսումնաօժանդակ անձնակազմի վարձատրության միասնական քաղաքականություն և շարունակական աճի հնարավորություն:</w:t>
      </w:r>
    </w:p>
    <w:p w14:paraId="15606075" w14:textId="77777777" w:rsidR="005F226A" w:rsidRPr="00A83C94" w:rsidRDefault="005F226A" w:rsidP="005D2928">
      <w:pPr>
        <w:pStyle w:val="BodyText2"/>
      </w:pPr>
      <w:r w:rsidRPr="00A83C94">
        <w:t>Նախադպրոցական կրթության մատչելիության և համընդհանուր ներառականության ապահովման նպատակով 2022 թվականին ՀՀ պետական բյուջեից ֆինանսավորում կիրականացվի կրթության և զարգացման առանձնահատուկ պայմանների կարիք ունեցող երեխաների համար:</w:t>
      </w:r>
    </w:p>
    <w:p w14:paraId="2D613395" w14:textId="77777777" w:rsidR="005F226A" w:rsidRPr="00A83C94" w:rsidRDefault="005F226A" w:rsidP="005D2928">
      <w:pPr>
        <w:pStyle w:val="BodyText2"/>
      </w:pPr>
      <w:r w:rsidRPr="00A83C94">
        <w:t>Հանրակրթության ոլորտի գերակայությունն է որակի ապահովումը</w:t>
      </w:r>
      <w:r w:rsidRPr="00A83C94">
        <w:rPr>
          <w:b/>
        </w:rPr>
        <w:t>:</w:t>
      </w:r>
    </w:p>
    <w:p w14:paraId="0504B51F" w14:textId="77777777" w:rsidR="005F226A" w:rsidRPr="00A83C94" w:rsidRDefault="005F226A" w:rsidP="005D2928">
      <w:pPr>
        <w:pStyle w:val="BodyText2"/>
        <w:rPr>
          <w:shd w:val="clear" w:color="auto" w:fill="FFFFFF"/>
        </w:rPr>
      </w:pPr>
      <w:r w:rsidRPr="00A83C94">
        <w:rPr>
          <w:rFonts w:eastAsia="GHEA Grapalat" w:cs="GHEA Grapalat"/>
        </w:rPr>
        <w:t>Մշակվել</w:t>
      </w:r>
      <w:r w:rsidRPr="00A83C94">
        <w:t xml:space="preserve"> է ուսուցիչների այլընտրանքային՝ կամավոր ատեստավորման համակարգ, որը կգործի պարտադիր ատեստավորմանը զուգահեռ և ուսուցիչների աշխատավարձի բարձրացման հնարավորություն կընձեռի: </w:t>
      </w:r>
      <w:r w:rsidRPr="00A83C94">
        <w:rPr>
          <w:rFonts w:cs="Sylfaen"/>
        </w:rPr>
        <w:t>Կանխատեսումների</w:t>
      </w:r>
      <w:r w:rsidRPr="00A83C94">
        <w:t xml:space="preserve"> </w:t>
      </w:r>
      <w:r w:rsidRPr="00A83C94">
        <w:rPr>
          <w:rFonts w:cs="Sylfaen"/>
        </w:rPr>
        <w:t>համաձայն՝</w:t>
      </w:r>
      <w:r w:rsidRPr="00A83C94">
        <w:t xml:space="preserve">  </w:t>
      </w:r>
      <w:r w:rsidRPr="00A83C94">
        <w:rPr>
          <w:shd w:val="clear" w:color="auto" w:fill="FFFFFF"/>
        </w:rPr>
        <w:t xml:space="preserve">3 </w:t>
      </w:r>
      <w:r w:rsidRPr="00A83C94">
        <w:rPr>
          <w:rFonts w:cs="Sylfaen"/>
          <w:shd w:val="clear" w:color="auto" w:fill="FFFFFF"/>
        </w:rPr>
        <w:t>տարվա</w:t>
      </w:r>
      <w:r w:rsidRPr="00A83C94">
        <w:rPr>
          <w:shd w:val="clear" w:color="auto" w:fill="FFFFFF"/>
        </w:rPr>
        <w:t xml:space="preserve"> </w:t>
      </w:r>
      <w:r w:rsidRPr="00A83C94">
        <w:rPr>
          <w:rFonts w:cs="Sylfaen"/>
          <w:shd w:val="clear" w:color="auto" w:fill="FFFFFF"/>
        </w:rPr>
        <w:t>ընթացքում</w:t>
      </w:r>
      <w:r w:rsidRPr="00A83C94">
        <w:rPr>
          <w:shd w:val="clear" w:color="auto" w:fill="FFFFFF"/>
        </w:rPr>
        <w:t xml:space="preserve"> </w:t>
      </w:r>
      <w:r w:rsidRPr="00A83C94">
        <w:rPr>
          <w:rFonts w:cs="Sylfaen"/>
          <w:shd w:val="clear" w:color="auto" w:fill="FFFFFF"/>
        </w:rPr>
        <w:t>ուսուցիչների</w:t>
      </w:r>
      <w:r w:rsidRPr="00A83C94">
        <w:rPr>
          <w:shd w:val="clear" w:color="auto" w:fill="FFFFFF"/>
        </w:rPr>
        <w:t xml:space="preserve"> </w:t>
      </w:r>
      <w:r w:rsidRPr="00A83C94">
        <w:rPr>
          <w:rFonts w:cs="Sylfaen"/>
          <w:shd w:val="clear" w:color="auto" w:fill="FFFFFF"/>
        </w:rPr>
        <w:t>ավելի</w:t>
      </w:r>
      <w:r w:rsidRPr="00A83C94">
        <w:rPr>
          <w:shd w:val="clear" w:color="auto" w:fill="FFFFFF"/>
        </w:rPr>
        <w:t xml:space="preserve"> </w:t>
      </w:r>
      <w:r w:rsidRPr="00A83C94">
        <w:rPr>
          <w:rFonts w:cs="Sylfaen"/>
          <w:shd w:val="clear" w:color="auto" w:fill="FFFFFF"/>
        </w:rPr>
        <w:t>քան</w:t>
      </w:r>
      <w:r w:rsidRPr="00A83C94">
        <w:rPr>
          <w:shd w:val="clear" w:color="auto" w:fill="FFFFFF"/>
        </w:rPr>
        <w:t xml:space="preserve"> 41 </w:t>
      </w:r>
      <w:r w:rsidRPr="00A83C94">
        <w:rPr>
          <w:rFonts w:cs="Sylfaen"/>
          <w:shd w:val="clear" w:color="auto" w:fill="FFFFFF"/>
        </w:rPr>
        <w:t>տոկոսը հավելավճար կստանա</w:t>
      </w:r>
      <w:r w:rsidRPr="00A83C94">
        <w:rPr>
          <w:shd w:val="clear" w:color="auto" w:fill="FFFFFF"/>
        </w:rPr>
        <w:t xml:space="preserve">, </w:t>
      </w:r>
      <w:r w:rsidRPr="00A83C94">
        <w:rPr>
          <w:rFonts w:cs="Sylfaen"/>
        </w:rPr>
        <w:t>որը</w:t>
      </w:r>
      <w:r w:rsidRPr="00A83C94">
        <w:t xml:space="preserve"> </w:t>
      </w:r>
      <w:r w:rsidRPr="00A83C94">
        <w:rPr>
          <w:rFonts w:cs="Sylfaen"/>
        </w:rPr>
        <w:t>հնարավորություն</w:t>
      </w:r>
      <w:r w:rsidRPr="00A83C94">
        <w:t xml:space="preserve"> </w:t>
      </w:r>
      <w:r w:rsidRPr="00A83C94">
        <w:rPr>
          <w:rFonts w:cs="Sylfaen"/>
        </w:rPr>
        <w:t>կընձեռի</w:t>
      </w:r>
      <w:r w:rsidRPr="00A83C94">
        <w:t xml:space="preserve"> </w:t>
      </w:r>
      <w:r w:rsidRPr="00A83C94">
        <w:rPr>
          <w:rFonts w:cs="Sylfaen"/>
          <w:shd w:val="clear" w:color="auto" w:fill="FFFFFF"/>
        </w:rPr>
        <w:t>ուսուցիչների</w:t>
      </w:r>
      <w:r w:rsidRPr="00A83C94">
        <w:rPr>
          <w:shd w:val="clear" w:color="auto" w:fill="FFFFFF"/>
        </w:rPr>
        <w:t xml:space="preserve"> </w:t>
      </w:r>
      <w:r w:rsidRPr="00A83C94">
        <w:rPr>
          <w:rFonts w:cs="Sylfaen"/>
          <w:shd w:val="clear" w:color="auto" w:fill="FFFFFF"/>
        </w:rPr>
        <w:t>վարձատրությունը</w:t>
      </w:r>
      <w:r w:rsidRPr="00A83C94">
        <w:rPr>
          <w:shd w:val="clear" w:color="auto" w:fill="FFFFFF"/>
        </w:rPr>
        <w:t xml:space="preserve"> </w:t>
      </w:r>
      <w:r w:rsidRPr="00A83C94">
        <w:rPr>
          <w:rFonts w:cs="Sylfaen"/>
          <w:shd w:val="clear" w:color="auto" w:fill="FFFFFF"/>
        </w:rPr>
        <w:t>մոտեցնելու</w:t>
      </w:r>
      <w:r w:rsidRPr="00A83C94">
        <w:rPr>
          <w:shd w:val="clear" w:color="auto" w:fill="FFFFFF"/>
        </w:rPr>
        <w:t xml:space="preserve"> </w:t>
      </w:r>
      <w:r w:rsidRPr="00A83C94">
        <w:rPr>
          <w:rFonts w:cs="Sylfaen"/>
          <w:shd w:val="clear" w:color="auto" w:fill="FFFFFF"/>
        </w:rPr>
        <w:t>երկրի</w:t>
      </w:r>
      <w:r w:rsidRPr="00A83C94">
        <w:rPr>
          <w:shd w:val="clear" w:color="auto" w:fill="FFFFFF"/>
        </w:rPr>
        <w:t xml:space="preserve"> </w:t>
      </w:r>
      <w:r w:rsidRPr="00A83C94">
        <w:rPr>
          <w:rFonts w:cs="Sylfaen"/>
          <w:shd w:val="clear" w:color="auto" w:fill="FFFFFF"/>
        </w:rPr>
        <w:t>միջին</w:t>
      </w:r>
      <w:r w:rsidRPr="00A83C94">
        <w:rPr>
          <w:shd w:val="clear" w:color="auto" w:fill="FFFFFF"/>
        </w:rPr>
        <w:t xml:space="preserve"> </w:t>
      </w:r>
      <w:r w:rsidRPr="00A83C94">
        <w:rPr>
          <w:rFonts w:cs="Sylfaen"/>
          <w:shd w:val="clear" w:color="auto" w:fill="FFFFFF"/>
        </w:rPr>
        <w:t>աշխատավարձին</w:t>
      </w:r>
      <w:r w:rsidRPr="00A83C94">
        <w:rPr>
          <w:shd w:val="clear" w:color="auto" w:fill="FFFFFF"/>
        </w:rPr>
        <w:t xml:space="preserve">: </w:t>
      </w:r>
    </w:p>
    <w:p w14:paraId="20A51F82" w14:textId="77777777" w:rsidR="005F226A" w:rsidRPr="00A83C94" w:rsidRDefault="005F226A" w:rsidP="005D2928">
      <w:pPr>
        <w:pStyle w:val="BodyText2"/>
      </w:pPr>
      <w:r w:rsidRPr="00A83C94">
        <w:t>«Դպրոցահասակ երեխաներին սննդով ապահովում</w:t>
      </w:r>
      <w:r w:rsidRPr="00A83C94">
        <w:rPr>
          <w:rFonts w:cs="Times Armenian"/>
        </w:rPr>
        <w:t>»</w:t>
      </w:r>
      <w:r w:rsidRPr="00A83C94">
        <w:t xml:space="preserve"> ծրագրի շրջանակում սննդով կապահովվեն ՀՀ Արարատի, Սյունիքի, Վայոց Ձորի, Տավուշի, Շիրակի, Արագածոտնի, Գեղարքունիքի</w:t>
      </w:r>
      <w:r w:rsidRPr="00A83C94">
        <w:rPr>
          <w:lang w:val="et-EE"/>
        </w:rPr>
        <w:t xml:space="preserve">, </w:t>
      </w:r>
      <w:r w:rsidRPr="00A83C94">
        <w:t>Լոռու</w:t>
      </w:r>
      <w:r w:rsidRPr="00A83C94">
        <w:rPr>
          <w:lang w:val="et-EE"/>
        </w:rPr>
        <w:t xml:space="preserve"> </w:t>
      </w:r>
      <w:r w:rsidRPr="00A83C94">
        <w:t xml:space="preserve"> մարզերի և 202</w:t>
      </w:r>
      <w:r w:rsidRPr="00A83C94">
        <w:rPr>
          <w:lang w:val="et-EE"/>
        </w:rPr>
        <w:t xml:space="preserve">2 </w:t>
      </w:r>
      <w:r w:rsidRPr="00A83C94">
        <w:t>թվականի սեպտեմբերից՝ Արմավիրի</w:t>
      </w:r>
      <w:r w:rsidRPr="00A83C94">
        <w:rPr>
          <w:lang w:val="et-EE"/>
        </w:rPr>
        <w:t xml:space="preserve"> </w:t>
      </w:r>
      <w:r w:rsidRPr="00A83C94">
        <w:t xml:space="preserve"> մարզի հանրակրթական դպրոցների տարրական դասարաններում և նախակրթարաններում ընդգրկված երեխաները:</w:t>
      </w:r>
    </w:p>
    <w:p w14:paraId="79B68F5F" w14:textId="77777777" w:rsidR="005F226A" w:rsidRPr="00A83C94" w:rsidRDefault="005F226A" w:rsidP="005D2928">
      <w:pPr>
        <w:pStyle w:val="BodyText2"/>
        <w:rPr>
          <w:rStyle w:val="hps"/>
          <w:rFonts w:cs="Sylfaen"/>
        </w:rPr>
      </w:pPr>
      <w:r w:rsidRPr="00A83C94">
        <w:rPr>
          <w:rStyle w:val="hps"/>
          <w:rFonts w:cs="Sylfaen"/>
        </w:rPr>
        <w:t>Կրթության առանձնահատուկ պայմանների կարիք ունեցող</w:t>
      </w:r>
      <w:r w:rsidRPr="00A83C94">
        <w:rPr>
          <w:rStyle w:val="hps"/>
          <w:rFonts w:cs="Sylfaen"/>
          <w:lang w:val="ro-RO"/>
        </w:rPr>
        <w:t xml:space="preserve"> երեխաներ</w:t>
      </w:r>
      <w:r w:rsidRPr="00A83C94">
        <w:rPr>
          <w:rStyle w:val="hps"/>
          <w:rFonts w:cs="Sylfaen"/>
        </w:rPr>
        <w:t>ին</w:t>
      </w:r>
      <w:r w:rsidRPr="00A83C94">
        <w:rPr>
          <w:rStyle w:val="hps"/>
          <w:rFonts w:cs="Sylfaen"/>
          <w:lang w:val="ro-RO"/>
        </w:rPr>
        <w:t xml:space="preserve"> կտրամադրվի </w:t>
      </w:r>
      <w:r w:rsidRPr="00A83C94">
        <w:rPr>
          <w:rStyle w:val="hps"/>
          <w:rFonts w:cs="Sylfaen"/>
        </w:rPr>
        <w:t>մանկավարժա</w:t>
      </w:r>
      <w:r w:rsidRPr="00A83C94">
        <w:t xml:space="preserve">հոգեբանական </w:t>
      </w:r>
      <w:r w:rsidRPr="00A83C94">
        <w:rPr>
          <w:rStyle w:val="hps"/>
          <w:rFonts w:cs="Sylfaen"/>
          <w:lang w:val="ro-RO"/>
        </w:rPr>
        <w:t>աջակցությո</w:t>
      </w:r>
      <w:r w:rsidRPr="00A83C94">
        <w:rPr>
          <w:rStyle w:val="hps"/>
          <w:rFonts w:cs="Sylfaen"/>
        </w:rPr>
        <w:t>ւ</w:t>
      </w:r>
      <w:r w:rsidRPr="00A83C94">
        <w:rPr>
          <w:rStyle w:val="hps"/>
          <w:rFonts w:cs="Sylfaen"/>
          <w:lang w:val="ro-RO"/>
        </w:rPr>
        <w:t>ն</w:t>
      </w:r>
      <w:r w:rsidRPr="00A83C94">
        <w:rPr>
          <w:rStyle w:val="hps"/>
          <w:rFonts w:cs="Sylfaen"/>
        </w:rPr>
        <w:t>։</w:t>
      </w:r>
    </w:p>
    <w:p w14:paraId="6BA724D9" w14:textId="77777777" w:rsidR="005F226A" w:rsidRPr="00A83C94" w:rsidRDefault="005F226A" w:rsidP="005D2928">
      <w:pPr>
        <w:pStyle w:val="BodyText2"/>
      </w:pPr>
      <w:r w:rsidRPr="00A83C94">
        <w:t>Կշարունակվեն կրթության ոլորտում ծառայությունների թվայնացմանն ու</w:t>
      </w:r>
      <w:r w:rsidRPr="00A83C94">
        <w:rPr>
          <w:rFonts w:ascii="Calibri" w:hAnsi="Calibri" w:cs="Calibri"/>
        </w:rPr>
        <w:t> </w:t>
      </w:r>
      <w:r w:rsidRPr="00A83C94">
        <w:t xml:space="preserve"> հեռավար կրթության լիարժեք ներդրմանն ուղղված քայլերը:</w:t>
      </w:r>
    </w:p>
    <w:p w14:paraId="063D840F" w14:textId="77777777" w:rsidR="005F226A" w:rsidRPr="00A83C94" w:rsidRDefault="005F226A" w:rsidP="005D2928">
      <w:pPr>
        <w:pStyle w:val="BodyText2"/>
      </w:pPr>
      <w:r w:rsidRPr="00A83C94">
        <w:t xml:space="preserve">Բարձրագույն մասնագիտական կրթության ոլորտում կարևորվելու են պետական ֆինանսավորման մեխանիզմների մշակումը և զուգահեռ ներդնումը` կախված բուհերի հավատարմագրման արդյունքներից, ստեղծվելու է ՀՀ պետական և ոչ պետական բուհերի գործունեության համար արդար մրցակցային դաշտ և հավասար հնարավորություններ: </w:t>
      </w:r>
    </w:p>
    <w:p w14:paraId="00FFE43B" w14:textId="77777777" w:rsidR="005F226A" w:rsidRPr="00A83C94" w:rsidRDefault="005F226A" w:rsidP="005D2928">
      <w:pPr>
        <w:pStyle w:val="BodyText2"/>
      </w:pPr>
      <w:r w:rsidRPr="00A83C94">
        <w:t>Վերանայվելու են բարձրագույն կրթության ծրագրերը, արդիականացվելու են կրթության կազմակերպման բովանդակությունը և մեթոդաբանությունը, բարելավվելու է կրթական ծրագրերում հետազոտական բաղադրիչը։</w:t>
      </w:r>
    </w:p>
    <w:p w14:paraId="73E3686C" w14:textId="77777777" w:rsidR="005F226A" w:rsidRPr="00A83C94" w:rsidRDefault="005F226A" w:rsidP="005D2928">
      <w:pPr>
        <w:pStyle w:val="BodyText2"/>
      </w:pPr>
      <w:r w:rsidRPr="00A83C94">
        <w:t>Կիրառվելու են երիտասարդ մասնագետներին բուհերում մնալու ուղղությամբ շահագրգռելու մեխանիզմներ, նորարարական միջավայրի խրախուսում։</w:t>
      </w:r>
    </w:p>
    <w:p w14:paraId="7629F1E4" w14:textId="77777777" w:rsidR="005F226A" w:rsidRPr="00A83C94" w:rsidRDefault="005F226A" w:rsidP="005D2928">
      <w:pPr>
        <w:pStyle w:val="BodyText2"/>
      </w:pPr>
      <w:r w:rsidRPr="00A83C94">
        <w:t xml:space="preserve">Կիրառական ուղղվածությամբ կրթական ծրագրերում ներգրավվելու են մասնագետներ ձեռնարկություններից, արդյունաբերական ոլորտից։ </w:t>
      </w:r>
    </w:p>
    <w:p w14:paraId="4231AA8B" w14:textId="77777777" w:rsidR="005F226A" w:rsidRPr="00A83C94" w:rsidRDefault="005F226A" w:rsidP="005D2928">
      <w:pPr>
        <w:pStyle w:val="BodyText2"/>
      </w:pPr>
      <w:r w:rsidRPr="00A83C94">
        <w:t>Ներդրվելու է բուհերի հաշվետվողականության մեխանիզմներ, կատարողականի հիմնական ցուցանիշների (KPI) մշակմամբ, ավելի լայն ակադեմիական ինքնավարություն ապահովելու նպատակով։</w:t>
      </w:r>
    </w:p>
    <w:p w14:paraId="066873EF" w14:textId="77777777" w:rsidR="005F226A" w:rsidRPr="00A83C94" w:rsidRDefault="005F226A" w:rsidP="005D2928">
      <w:pPr>
        <w:pStyle w:val="BodyText2"/>
      </w:pPr>
      <w:r w:rsidRPr="00A83C94">
        <w:t>Արդիականացվելու է բարձրագույն կրթության որակավորումների ցանկը՝ համապատասխանեցնելով լայնորեն ընդունված ձևաչափին։</w:t>
      </w:r>
    </w:p>
    <w:p w14:paraId="70345EB4"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2" w:name="_Toc83567447"/>
      <w:bookmarkStart w:id="63" w:name="_Toc89428270"/>
      <w:r w:rsidRPr="00A83C94">
        <w:rPr>
          <w:rFonts w:cs="Arial"/>
          <w:szCs w:val="22"/>
          <w:lang w:val="hy-AM" w:eastAsia="en-US"/>
        </w:rPr>
        <w:t>Գիտության ոլորտ</w:t>
      </w:r>
      <w:bookmarkEnd w:id="60"/>
      <w:bookmarkEnd w:id="61"/>
      <w:bookmarkEnd w:id="62"/>
      <w:bookmarkEnd w:id="63"/>
    </w:p>
    <w:p w14:paraId="24221927" w14:textId="77777777" w:rsidR="005F226A" w:rsidRPr="00A83C94" w:rsidRDefault="005F226A" w:rsidP="005D2928">
      <w:pPr>
        <w:tabs>
          <w:tab w:val="left" w:pos="567"/>
          <w:tab w:val="left" w:pos="1134"/>
        </w:tabs>
        <w:spacing w:before="0" w:line="276" w:lineRule="auto"/>
        <w:ind w:firstLine="720"/>
        <w:contextualSpacing w:val="0"/>
        <w:rPr>
          <w:rFonts w:cs="Sylfaen"/>
          <w:b w:val="0"/>
          <w:szCs w:val="22"/>
          <w:lang w:val="hy-AM"/>
        </w:rPr>
      </w:pPr>
      <w:bookmarkStart w:id="64" w:name="_Toc26174900"/>
      <w:bookmarkStart w:id="65" w:name="_Toc57655429"/>
      <w:r w:rsidRPr="00A83C94">
        <w:rPr>
          <w:rFonts w:cs="Sylfaen"/>
          <w:b w:val="0"/>
          <w:szCs w:val="22"/>
          <w:lang w:val="hy-AM"/>
        </w:rPr>
        <w:t>Հայաստանի Հանրապետության գիտության ոլորտը պետք է լինի  Հայաստանի Հանրապետության կայուն զարգացման անկյունաքարային ոլորտներից մեկը, որի զարգացումը հնարավորություն է ընձեռելու Հայաստանին դիմակայել ներկայիս և ապագայի մարտահրավերներին, դառնալ Հայաստանի Հանրապետության առաջընթացի կարևոր մաս, ի վիճակի լինել կլանելու և ադապտացնելու ժամանակակից մշակումներն ու զարգացած մարդկային ռեսուրսով ապահովելու ինչպես կրթական համակարգը, այնպես էլ բարձր տեխնոլոգիական և ռազմավարական նշանակության այլ ոլորտները:</w:t>
      </w:r>
    </w:p>
    <w:p w14:paraId="4B2BA716" w14:textId="77777777" w:rsidR="005F226A" w:rsidRPr="00A83C94" w:rsidRDefault="005F226A" w:rsidP="005D2928">
      <w:pPr>
        <w:tabs>
          <w:tab w:val="left" w:pos="567"/>
          <w:tab w:val="left" w:pos="1134"/>
        </w:tabs>
        <w:spacing w:before="0" w:line="276" w:lineRule="auto"/>
        <w:ind w:firstLine="720"/>
        <w:contextualSpacing w:val="0"/>
        <w:rPr>
          <w:rFonts w:cs="Sylfaen"/>
          <w:b w:val="0"/>
          <w:szCs w:val="22"/>
          <w:lang w:val="hy-AM"/>
        </w:rPr>
      </w:pPr>
      <w:r w:rsidRPr="00A83C94">
        <w:rPr>
          <w:rFonts w:cs="Sylfaen"/>
          <w:b w:val="0"/>
          <w:szCs w:val="22"/>
          <w:lang w:val="hy-AM"/>
        </w:rPr>
        <w:t>Ոլորտի առաջնահերթ գերակա խնդիրներն են.</w:t>
      </w:r>
    </w:p>
    <w:p w14:paraId="64B5E07D"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 xml:space="preserve">մրցունակ գիտական գործունեության համար նպաստավոր ենթակառուցվածքների ստեղծում, </w:t>
      </w:r>
    </w:p>
    <w:p w14:paraId="30721206"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գիտության ոլորտում աշխատողների որակավորման բարձրացում և երիտասարդ կադրերի ներգրավում,</w:t>
      </w:r>
    </w:p>
    <w:p w14:paraId="232A3843"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գիտության ոլորտում պետական ֆինանսավորման արդյունավետության բարձրացում:</w:t>
      </w:r>
    </w:p>
    <w:p w14:paraId="25BD3224" w14:textId="77777777" w:rsidR="005F226A" w:rsidRPr="00A83C94" w:rsidRDefault="005F226A" w:rsidP="005D2928">
      <w:pPr>
        <w:tabs>
          <w:tab w:val="left" w:pos="567"/>
          <w:tab w:val="left" w:pos="1134"/>
        </w:tabs>
        <w:spacing w:before="0" w:line="276" w:lineRule="auto"/>
        <w:ind w:firstLine="720"/>
        <w:contextualSpacing w:val="0"/>
        <w:rPr>
          <w:rFonts w:cs="Sylfaen"/>
          <w:b w:val="0"/>
          <w:szCs w:val="22"/>
          <w:lang w:val="hy-AM"/>
        </w:rPr>
      </w:pPr>
      <w:r w:rsidRPr="00A83C94">
        <w:rPr>
          <w:rFonts w:cs="Sylfaen"/>
          <w:b w:val="0"/>
          <w:szCs w:val="22"/>
          <w:lang w:val="hy-AM"/>
        </w:rPr>
        <w:t>Վերոնշյալ գերակա խնդիրների լուծմանն ուղղված միջոցառումներն են.</w:t>
      </w:r>
    </w:p>
    <w:p w14:paraId="663953B6"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գիտական ենթակառուցվածքների զարգացվածության ապահովում, մասնավորապես, գիտական կենտրոնների վերանորոգում և վերազինում ժամանակակից սարքավորումներով, այդ թվում՝ համատեղ օգտագործման գիտական սարքավորումների կենտրոնների ստեղծում,</w:t>
      </w:r>
    </w:p>
    <w:p w14:paraId="404D55A4"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գիտության ոլորտում աշխատողների որակավորման բարձրացում և երիտասարդ կադրերի ներգրավում, այդ թվում՝ Սփյուռքի ներուժի օգտագործմամբ,</w:t>
      </w:r>
    </w:p>
    <w:p w14:paraId="71DB5D53"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ասպիրանտական և հետդոկտորանտական ծրագրերի իրականացում՝ միջազգային հետազոտական ծրագրերում ներգրավվելու և միջազգային փորձի փոխառման նպատակով,</w:t>
      </w:r>
    </w:p>
    <w:p w14:paraId="079836D0" w14:textId="77777777" w:rsidR="005F226A" w:rsidRPr="00A83C94" w:rsidRDefault="005F226A" w:rsidP="00786462">
      <w:pPr>
        <w:pStyle w:val="ListParagraph"/>
        <w:numPr>
          <w:ilvl w:val="0"/>
          <w:numId w:val="20"/>
        </w:numPr>
        <w:tabs>
          <w:tab w:val="left" w:pos="450"/>
          <w:tab w:val="left" w:pos="567"/>
          <w:tab w:val="left" w:pos="990"/>
          <w:tab w:val="left" w:pos="1134"/>
        </w:tabs>
        <w:spacing w:before="0" w:line="276" w:lineRule="auto"/>
        <w:ind w:left="0" w:firstLine="720"/>
        <w:contextualSpacing w:val="0"/>
        <w:rPr>
          <w:rFonts w:cs="Sylfaen"/>
          <w:b w:val="0"/>
          <w:szCs w:val="22"/>
          <w:lang w:val="hy-AM"/>
        </w:rPr>
      </w:pPr>
      <w:r w:rsidRPr="00A83C94">
        <w:rPr>
          <w:rFonts w:cs="Sylfaen"/>
          <w:b w:val="0"/>
          <w:szCs w:val="22"/>
          <w:lang w:val="hy-AM"/>
        </w:rPr>
        <w:t>օտարերկրյա հայազգի գիտնականների ներգրավում Հայաստանի Հանրապետությունում իրականացվող հետազոտություններում՝ իրենց ղեկավարությամբ գիտական խմբեր ձևավորելու միջոցով:</w:t>
      </w:r>
    </w:p>
    <w:p w14:paraId="12B8B408" w14:textId="77777777" w:rsidR="000825DA" w:rsidRPr="00A83C94" w:rsidRDefault="000825DA" w:rsidP="000825DA">
      <w:pPr>
        <w:pStyle w:val="ListParagraph"/>
        <w:tabs>
          <w:tab w:val="left" w:pos="450"/>
          <w:tab w:val="left" w:pos="567"/>
          <w:tab w:val="left" w:pos="990"/>
          <w:tab w:val="left" w:pos="1134"/>
        </w:tabs>
        <w:spacing w:before="0" w:line="276" w:lineRule="auto"/>
        <w:ind w:firstLine="0"/>
        <w:contextualSpacing w:val="0"/>
        <w:rPr>
          <w:rFonts w:cs="Sylfaen"/>
          <w:b w:val="0"/>
          <w:szCs w:val="22"/>
          <w:lang w:val="hy-AM"/>
        </w:rPr>
      </w:pPr>
    </w:p>
    <w:p w14:paraId="1B3F93EA"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6" w:name="_Toc83567448"/>
      <w:bookmarkStart w:id="67" w:name="_Toc89428271"/>
      <w:r w:rsidRPr="00A83C94">
        <w:rPr>
          <w:rFonts w:cs="Arial"/>
          <w:szCs w:val="22"/>
          <w:lang w:val="hy-AM" w:eastAsia="en-US"/>
        </w:rPr>
        <w:t>Մշակույթ</w:t>
      </w:r>
      <w:bookmarkEnd w:id="64"/>
      <w:bookmarkEnd w:id="65"/>
      <w:bookmarkEnd w:id="66"/>
      <w:bookmarkEnd w:id="67"/>
    </w:p>
    <w:p w14:paraId="711A355F" w14:textId="77777777" w:rsidR="005F226A" w:rsidRPr="00A83C94" w:rsidRDefault="005F226A" w:rsidP="005D2928">
      <w:pPr>
        <w:tabs>
          <w:tab w:val="left" w:pos="450"/>
          <w:tab w:val="left" w:pos="567"/>
          <w:tab w:val="left" w:pos="1134"/>
        </w:tabs>
        <w:spacing w:before="0" w:line="276" w:lineRule="auto"/>
        <w:ind w:firstLine="720"/>
        <w:rPr>
          <w:b w:val="0"/>
          <w:szCs w:val="22"/>
          <w:lang w:val="af-ZA"/>
        </w:rPr>
      </w:pPr>
      <w:r w:rsidRPr="00A83C94">
        <w:rPr>
          <w:b w:val="0"/>
          <w:szCs w:val="22"/>
          <w:lang w:val="hy-AM"/>
        </w:rPr>
        <w:t>Մ</w:t>
      </w:r>
      <w:r w:rsidRPr="00A83C94">
        <w:rPr>
          <w:b w:val="0"/>
          <w:szCs w:val="22"/>
          <w:lang w:val="af-ZA"/>
        </w:rPr>
        <w:t>շակութային ժառանգության ծրագրի շրջանակներում կշարունակվեն պահպանության և հանրահռչակման աշխատանքները` ուղղված ՀՀ տարածքում և արտերկրում գտնվող մշակութային արժեքների և պատմամշակութային հուշարձանների հաշվառմանն ու գիտական ուսումնասիրությունների իրականացմանը, մշակութային ժառանգության (նյութական և ոչ նյութական) անխաթար պահպանմանը,  վերականգնմանն ու սերունդներին փոխանցմանը:</w:t>
      </w:r>
    </w:p>
    <w:p w14:paraId="157E74A7" w14:textId="77777777" w:rsidR="005F226A" w:rsidRPr="00A83C94" w:rsidRDefault="005F226A" w:rsidP="005D2928">
      <w:pPr>
        <w:tabs>
          <w:tab w:val="left" w:pos="450"/>
          <w:tab w:val="left" w:pos="567"/>
          <w:tab w:val="left" w:pos="1134"/>
        </w:tabs>
        <w:spacing w:before="0" w:line="276" w:lineRule="auto"/>
        <w:ind w:firstLine="720"/>
        <w:rPr>
          <w:b w:val="0"/>
          <w:szCs w:val="22"/>
          <w:lang w:val="hy-AM"/>
        </w:rPr>
      </w:pPr>
      <w:r w:rsidRPr="00A83C94">
        <w:rPr>
          <w:b w:val="0"/>
          <w:szCs w:val="22"/>
          <w:lang w:val="af-ZA"/>
        </w:rPr>
        <w:t>Գրահրատարակչության և գրադարանների ծրագրի շրջանակում իրականացվող ծրագրերն ուղղված կլինեն գրականության զարգացմանն ու տարածմանը, տպագիր արտադրանքի միջոցով հոգևոր-մշակութային ժառանգության փոխանցմանը,</w:t>
      </w:r>
      <w:r w:rsidRPr="00A83C94">
        <w:rPr>
          <w:b w:val="0"/>
          <w:szCs w:val="22"/>
          <w:lang w:val="hy-AM"/>
        </w:rPr>
        <w:t xml:space="preserve"> ինչպես նաև արտերկրի գրադարանները հայ գրականությամբ համալրելու աշխատանքների իրականացմանը։</w:t>
      </w:r>
    </w:p>
    <w:p w14:paraId="2F4DD6F4" w14:textId="54217FB9" w:rsidR="005F226A" w:rsidRPr="00A83C94" w:rsidRDefault="005F226A" w:rsidP="005D2928">
      <w:pPr>
        <w:tabs>
          <w:tab w:val="left" w:pos="450"/>
          <w:tab w:val="left" w:pos="567"/>
          <w:tab w:val="left" w:pos="1134"/>
        </w:tabs>
        <w:spacing w:before="0" w:line="276" w:lineRule="auto"/>
        <w:ind w:firstLine="720"/>
        <w:rPr>
          <w:b w:val="0"/>
          <w:szCs w:val="22"/>
          <w:lang w:val="af-ZA"/>
        </w:rPr>
      </w:pPr>
      <w:r w:rsidRPr="00A83C94">
        <w:rPr>
          <w:b w:val="0"/>
          <w:szCs w:val="22"/>
          <w:lang w:val="hy-AM"/>
        </w:rPr>
        <w:t>Կապահովվի</w:t>
      </w:r>
      <w:r w:rsidRPr="00A83C94">
        <w:rPr>
          <w:b w:val="0"/>
          <w:szCs w:val="22"/>
          <w:lang w:val="af-ZA"/>
        </w:rPr>
        <w:t xml:space="preserve"> ՀՀ տարածքում բնակվող ազգային փոքրամասնությունների համար լույս տեսնող լրատվամիջոցների և պարբերականների գործունեության շարունակականությ</w:t>
      </w:r>
      <w:r w:rsidRPr="00A83C94">
        <w:rPr>
          <w:b w:val="0"/>
          <w:szCs w:val="22"/>
          <w:lang w:val="hy-AM"/>
        </w:rPr>
        <w:t>ու</w:t>
      </w:r>
      <w:r w:rsidRPr="00A83C94">
        <w:rPr>
          <w:b w:val="0"/>
          <w:szCs w:val="22"/>
          <w:lang w:val="af-ZA"/>
        </w:rPr>
        <w:t>նը, հանրապետական գրական ծրագրերի կազմակերպ</w:t>
      </w:r>
      <w:r w:rsidR="00ED6B3C">
        <w:rPr>
          <w:b w:val="0"/>
          <w:szCs w:val="22"/>
          <w:lang w:val="af-ZA"/>
        </w:rPr>
        <w:t>ումը</w:t>
      </w:r>
      <w:r w:rsidRPr="00A83C94">
        <w:rPr>
          <w:b w:val="0"/>
          <w:szCs w:val="22"/>
          <w:lang w:val="af-ZA"/>
        </w:rPr>
        <w:t>, գրադարանների հավաքածուների համալր</w:t>
      </w:r>
      <w:r w:rsidRPr="00A83C94">
        <w:rPr>
          <w:b w:val="0"/>
          <w:szCs w:val="22"/>
          <w:lang w:val="hy-AM"/>
        </w:rPr>
        <w:t>ումն</w:t>
      </w:r>
      <w:r w:rsidRPr="00A83C94">
        <w:rPr>
          <w:b w:val="0"/>
          <w:szCs w:val="22"/>
          <w:lang w:val="af-ZA"/>
        </w:rPr>
        <w:t xml:space="preserve"> ու պահպան</w:t>
      </w:r>
      <w:r w:rsidRPr="00A83C94">
        <w:rPr>
          <w:b w:val="0"/>
          <w:szCs w:val="22"/>
          <w:lang w:val="hy-AM"/>
        </w:rPr>
        <w:t>ում</w:t>
      </w:r>
      <w:r w:rsidRPr="00A83C94">
        <w:rPr>
          <w:b w:val="0"/>
          <w:szCs w:val="22"/>
          <w:lang w:val="af-ZA"/>
        </w:rPr>
        <w:t>ը, ժամանակակից տեղեկատվական տեխնոլոգիաների կիրառմամբ գրավոր ժառանգության (անձեռնմխելի հավաքածուներ) թվայնաց</w:t>
      </w:r>
      <w:r w:rsidRPr="00A83C94">
        <w:rPr>
          <w:b w:val="0"/>
          <w:szCs w:val="22"/>
          <w:lang w:val="hy-AM"/>
        </w:rPr>
        <w:t>ումը</w:t>
      </w:r>
      <w:r w:rsidRPr="00A83C94">
        <w:rPr>
          <w:b w:val="0"/>
          <w:szCs w:val="22"/>
          <w:lang w:val="af-ZA"/>
        </w:rPr>
        <w:t>, տեղեկատվական շտեմարանների շարունակական զարգաց</w:t>
      </w:r>
      <w:r w:rsidRPr="00A83C94">
        <w:rPr>
          <w:b w:val="0"/>
          <w:szCs w:val="22"/>
          <w:lang w:val="hy-AM"/>
        </w:rPr>
        <w:t>ումը</w:t>
      </w:r>
      <w:r w:rsidRPr="00A83C94">
        <w:rPr>
          <w:b w:val="0"/>
          <w:szCs w:val="22"/>
          <w:lang w:val="af-ZA"/>
        </w:rPr>
        <w:t>, ոլորտի մասնագետների վերապատրաստ</w:t>
      </w:r>
      <w:r w:rsidRPr="00A83C94">
        <w:rPr>
          <w:b w:val="0"/>
          <w:szCs w:val="22"/>
          <w:lang w:val="hy-AM"/>
        </w:rPr>
        <w:t>ումը</w:t>
      </w:r>
      <w:r w:rsidRPr="00A83C94">
        <w:rPr>
          <w:b w:val="0"/>
          <w:szCs w:val="22"/>
          <w:lang w:val="af-ZA"/>
        </w:rPr>
        <w:t>, միջազգային համագործակցության ընդլայն</w:t>
      </w:r>
      <w:r w:rsidRPr="00A83C94">
        <w:rPr>
          <w:b w:val="0"/>
          <w:szCs w:val="22"/>
          <w:lang w:val="hy-AM"/>
        </w:rPr>
        <w:t>ում</w:t>
      </w:r>
      <w:r w:rsidRPr="00A83C94">
        <w:rPr>
          <w:b w:val="0"/>
          <w:szCs w:val="22"/>
          <w:lang w:val="af-ZA"/>
        </w:rPr>
        <w:t>ը, մատենագիտական տվյալների կազմ</w:t>
      </w:r>
      <w:r w:rsidRPr="00A83C94">
        <w:rPr>
          <w:b w:val="0"/>
          <w:szCs w:val="22"/>
          <w:lang w:val="hy-AM"/>
        </w:rPr>
        <w:t>ում</w:t>
      </w:r>
      <w:r w:rsidRPr="00A83C94">
        <w:rPr>
          <w:b w:val="0"/>
          <w:szCs w:val="22"/>
          <w:lang w:val="af-ZA"/>
        </w:rPr>
        <w:t>ն ու հրապարակ</w:t>
      </w:r>
      <w:r w:rsidRPr="00A83C94">
        <w:rPr>
          <w:b w:val="0"/>
          <w:szCs w:val="22"/>
          <w:lang w:val="hy-AM"/>
        </w:rPr>
        <w:t>ումը</w:t>
      </w:r>
      <w:r w:rsidRPr="00A83C94">
        <w:rPr>
          <w:b w:val="0"/>
          <w:szCs w:val="22"/>
          <w:lang w:val="af-ZA"/>
        </w:rPr>
        <w:t>, հանրությանը մատուցվող ծառայությունների որակի բարձրաց</w:t>
      </w:r>
      <w:r w:rsidRPr="00A83C94">
        <w:rPr>
          <w:b w:val="0"/>
          <w:szCs w:val="22"/>
          <w:lang w:val="hy-AM"/>
        </w:rPr>
        <w:t>ումը</w:t>
      </w:r>
      <w:r w:rsidRPr="00A83C94">
        <w:rPr>
          <w:b w:val="0"/>
          <w:szCs w:val="22"/>
          <w:lang w:val="af-ZA"/>
        </w:rPr>
        <w:t>:</w:t>
      </w:r>
    </w:p>
    <w:p w14:paraId="583C0F87" w14:textId="58764581" w:rsidR="005F226A" w:rsidRPr="00A83C94" w:rsidRDefault="005F226A" w:rsidP="005D2928">
      <w:pPr>
        <w:tabs>
          <w:tab w:val="left" w:pos="450"/>
          <w:tab w:val="left" w:pos="567"/>
          <w:tab w:val="left" w:pos="1134"/>
        </w:tabs>
        <w:spacing w:before="0" w:line="276" w:lineRule="auto"/>
        <w:ind w:firstLine="720"/>
        <w:contextualSpacing w:val="0"/>
        <w:rPr>
          <w:rFonts w:cs="Sylfaen"/>
          <w:b w:val="0"/>
          <w:szCs w:val="22"/>
          <w:lang w:val="af-ZA"/>
        </w:rPr>
      </w:pPr>
      <w:r w:rsidRPr="00A83C94">
        <w:rPr>
          <w:b w:val="0"/>
          <w:szCs w:val="22"/>
          <w:lang w:val="af-ZA"/>
        </w:rPr>
        <w:t>Կինեմատոգրաֆիայի ծրագրի շրջանակներում իրականացվող գործընթացներն ուղղված կլինեն խաղարկային, մուլտիպլիկացիոն և վավերագրական կինոնկարների արտադրության աջակցմանը, կինո-ֆոտո-ֆոնո հավաքածուի պահպանմանը, վե</w:t>
      </w:r>
      <w:r w:rsidR="00ED6B3C">
        <w:rPr>
          <w:b w:val="0"/>
          <w:szCs w:val="22"/>
          <w:lang w:val="af-ZA"/>
        </w:rPr>
        <w:t>ր</w:t>
      </w:r>
      <w:r w:rsidRPr="00A83C94">
        <w:rPr>
          <w:b w:val="0"/>
          <w:szCs w:val="22"/>
          <w:lang w:val="af-ZA"/>
        </w:rPr>
        <w:t xml:space="preserve">ականգնմանն ու թվայնացմանը, </w:t>
      </w:r>
      <w:r w:rsidRPr="00A83C94">
        <w:rPr>
          <w:rFonts w:cs="Sylfaen"/>
          <w:b w:val="0"/>
          <w:szCs w:val="22"/>
          <w:lang w:val="en-US"/>
        </w:rPr>
        <w:t>միջազգային</w:t>
      </w:r>
      <w:r w:rsidRPr="00A83C94">
        <w:rPr>
          <w:rFonts w:cs="Sylfaen"/>
          <w:b w:val="0"/>
          <w:szCs w:val="22"/>
          <w:lang w:val="af-ZA"/>
        </w:rPr>
        <w:t xml:space="preserve"> </w:t>
      </w:r>
      <w:r w:rsidRPr="00A83C94">
        <w:rPr>
          <w:rFonts w:cs="Sylfaen"/>
          <w:b w:val="0"/>
          <w:szCs w:val="22"/>
          <w:lang w:val="en-US"/>
        </w:rPr>
        <w:t>համագործակցության</w:t>
      </w:r>
      <w:r w:rsidRPr="00A83C94">
        <w:rPr>
          <w:rFonts w:cs="Sylfaen"/>
          <w:b w:val="0"/>
          <w:szCs w:val="22"/>
          <w:lang w:val="af-ZA"/>
        </w:rPr>
        <w:t xml:space="preserve"> </w:t>
      </w:r>
      <w:r w:rsidRPr="00A83C94">
        <w:rPr>
          <w:rFonts w:cs="Sylfaen"/>
          <w:b w:val="0"/>
          <w:szCs w:val="22"/>
          <w:lang w:val="en-US"/>
        </w:rPr>
        <w:t>ընդլայնմանը</w:t>
      </w:r>
      <w:r w:rsidRPr="00A83C94">
        <w:rPr>
          <w:rFonts w:cs="Sylfaen"/>
          <w:b w:val="0"/>
          <w:szCs w:val="22"/>
          <w:lang w:val="af-ZA"/>
        </w:rPr>
        <w:t xml:space="preserve">, </w:t>
      </w:r>
      <w:r w:rsidRPr="00A83C94">
        <w:rPr>
          <w:rFonts w:cs="Sylfaen"/>
          <w:b w:val="0"/>
          <w:szCs w:val="22"/>
          <w:lang w:val="en-US"/>
        </w:rPr>
        <w:t>մրցունակ</w:t>
      </w:r>
      <w:r w:rsidRPr="00A83C94">
        <w:rPr>
          <w:rFonts w:cs="Sylfaen"/>
          <w:b w:val="0"/>
          <w:szCs w:val="22"/>
          <w:lang w:val="af-ZA"/>
        </w:rPr>
        <w:t xml:space="preserve"> </w:t>
      </w:r>
      <w:r w:rsidRPr="00A83C94">
        <w:rPr>
          <w:rFonts w:cs="Sylfaen"/>
          <w:b w:val="0"/>
          <w:szCs w:val="22"/>
          <w:lang w:val="en-US"/>
        </w:rPr>
        <w:t>նախագծերի</w:t>
      </w:r>
      <w:r w:rsidRPr="00A83C94">
        <w:rPr>
          <w:rFonts w:cs="Sylfaen"/>
          <w:b w:val="0"/>
          <w:szCs w:val="22"/>
          <w:lang w:val="af-ZA"/>
        </w:rPr>
        <w:t xml:space="preserve"> </w:t>
      </w:r>
      <w:r w:rsidRPr="00A83C94">
        <w:rPr>
          <w:rFonts w:cs="Sylfaen"/>
          <w:b w:val="0"/>
          <w:szCs w:val="22"/>
          <w:lang w:val="en-US"/>
        </w:rPr>
        <w:t>ստեղծմանն</w:t>
      </w:r>
      <w:r w:rsidRPr="00A83C94">
        <w:rPr>
          <w:rFonts w:cs="Sylfaen"/>
          <w:b w:val="0"/>
          <w:szCs w:val="22"/>
          <w:lang w:val="af-ZA"/>
        </w:rPr>
        <w:t xml:space="preserve"> </w:t>
      </w:r>
      <w:r w:rsidRPr="00A83C94">
        <w:rPr>
          <w:rFonts w:cs="Sylfaen"/>
          <w:b w:val="0"/>
          <w:szCs w:val="22"/>
          <w:lang w:val="en-US"/>
        </w:rPr>
        <w:t>ու</w:t>
      </w:r>
      <w:r w:rsidRPr="00A83C94">
        <w:rPr>
          <w:rFonts w:cs="Sylfaen"/>
          <w:b w:val="0"/>
          <w:szCs w:val="22"/>
          <w:lang w:val="af-ZA"/>
        </w:rPr>
        <w:t xml:space="preserve"> </w:t>
      </w:r>
      <w:r w:rsidRPr="00A83C94">
        <w:rPr>
          <w:rFonts w:cs="Sylfaen"/>
          <w:b w:val="0"/>
          <w:szCs w:val="22"/>
          <w:lang w:val="en-US"/>
        </w:rPr>
        <w:t>միջազգային</w:t>
      </w:r>
      <w:r w:rsidRPr="00A83C94">
        <w:rPr>
          <w:rFonts w:cs="Sylfaen"/>
          <w:b w:val="0"/>
          <w:szCs w:val="22"/>
          <w:lang w:val="af-ZA"/>
        </w:rPr>
        <w:t xml:space="preserve"> </w:t>
      </w:r>
      <w:r w:rsidRPr="00A83C94">
        <w:rPr>
          <w:rFonts w:cs="Sylfaen"/>
          <w:b w:val="0"/>
          <w:szCs w:val="22"/>
          <w:lang w:val="en-US"/>
        </w:rPr>
        <w:t>կինոգործընթացներին</w:t>
      </w:r>
      <w:r w:rsidRPr="00A83C94">
        <w:rPr>
          <w:rFonts w:cs="Sylfaen"/>
          <w:b w:val="0"/>
          <w:szCs w:val="22"/>
          <w:lang w:val="af-ZA"/>
        </w:rPr>
        <w:t xml:space="preserve"> </w:t>
      </w:r>
      <w:r w:rsidRPr="00A83C94">
        <w:rPr>
          <w:rFonts w:cs="Sylfaen"/>
          <w:b w:val="0"/>
          <w:szCs w:val="22"/>
          <w:lang w:val="en-US"/>
        </w:rPr>
        <w:t>ինտեգրման</w:t>
      </w:r>
      <w:r w:rsidR="00ED6B3C">
        <w:rPr>
          <w:rFonts w:cs="Sylfaen"/>
          <w:b w:val="0"/>
          <w:szCs w:val="22"/>
          <w:lang w:val="en-US"/>
        </w:rPr>
        <w:t>ն</w:t>
      </w:r>
      <w:r w:rsidRPr="00A83C94">
        <w:rPr>
          <w:rFonts w:cs="Sylfaen"/>
          <w:b w:val="0"/>
          <w:szCs w:val="22"/>
          <w:lang w:val="af-ZA"/>
        </w:rPr>
        <w:t xml:space="preserve"> </w:t>
      </w:r>
      <w:r w:rsidRPr="00A83C94">
        <w:rPr>
          <w:rFonts w:cs="Sylfaen"/>
          <w:b w:val="0"/>
          <w:szCs w:val="22"/>
          <w:lang w:val="en-US"/>
        </w:rPr>
        <w:t>աջակցմանը</w:t>
      </w:r>
      <w:r w:rsidRPr="00A83C94">
        <w:rPr>
          <w:rFonts w:cs="Sylfaen"/>
          <w:b w:val="0"/>
          <w:szCs w:val="22"/>
          <w:lang w:val="af-ZA"/>
        </w:rPr>
        <w:t xml:space="preserve">, </w:t>
      </w:r>
      <w:r w:rsidRPr="00A83C94">
        <w:rPr>
          <w:b w:val="0"/>
          <w:szCs w:val="22"/>
          <w:lang w:val="af-ZA"/>
        </w:rPr>
        <w:t>կինոարվեստի հանրահռչակմանը, տարածմանը, մատչելիության ապահովմանը, հայկական կինոյի ավանդույթների շարունակականության ապահովմանը:</w:t>
      </w:r>
    </w:p>
    <w:p w14:paraId="132C936D"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 xml:space="preserve">Արվեստների ծրագրի շրջանակներում իրականացվող ծրագրերը նպատակաուղղված կլինեն ազգային արժեհամակարգի հիման վրա ստեղծված հայ ժամանակակից թատերարվեստի, երաժշտարվեստի, պարարվեստի և կերպարվեստի զարգացմանն ու միջազգային ասպարեզում հանրահռչակմանը, ստեղծագործական և գեղարվեստական բարձր նշաձողի պահպանմամբ և հանրության տարբեր շերտերի մշակութային պահանջարկին համապատասխան մշակութային արտադրանքի և ծառայությունների մատուցման գործընթացի ապահովմանը, մշակութային ենթակառուցվածքների արդիականացմանը,  ստեղծագործական ներուժ ունեցող անհատների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գործընթացներին ինտեգրման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w:t>
      </w:r>
    </w:p>
    <w:p w14:paraId="302066DC"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Մշակութային և գեղագիտական դաստիարակության ծրագիրը նպատակաուղղված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դաստիարակության ձևավորմանը նպաստող ծրագրերի իրականացմանը, ներառական ծրագրերի աջակցմանը, մանկապատանեկան տարիքի երեխաների, կրթության իրականացման պայմանների մատչելիության և որակի ապահովմանը</w:t>
      </w:r>
      <w:r w:rsidRPr="00A83C94">
        <w:rPr>
          <w:b w:val="0"/>
          <w:szCs w:val="22"/>
          <w:lang w:val="hy-AM"/>
        </w:rPr>
        <w:t>։</w:t>
      </w:r>
      <w:r w:rsidRPr="00A83C94">
        <w:rPr>
          <w:b w:val="0"/>
          <w:szCs w:val="22"/>
          <w:lang w:val="af-ZA"/>
        </w:rPr>
        <w:t xml:space="preserve"> </w:t>
      </w:r>
    </w:p>
    <w:p w14:paraId="6616CA7B"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Մարզերի մշակութային զարգացման ծրագրի շրջանակներում իրականացվող գործընթացներն ուղղված կլինեն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մշակույթի և ազատ ժամանցի կազմակերպմանը, համայնքային ենթակայության մշակույթի տներում և կենտրոններում  ստեղծագործական ծրագրերի և նախագծերի աջակցմանը:</w:t>
      </w:r>
    </w:p>
    <w:p w14:paraId="1362B23E" w14:textId="77777777" w:rsidR="005F226A" w:rsidRPr="00A83C94" w:rsidRDefault="005F226A" w:rsidP="005D2928">
      <w:pPr>
        <w:tabs>
          <w:tab w:val="left" w:pos="450"/>
          <w:tab w:val="left" w:pos="567"/>
          <w:tab w:val="left" w:pos="1134"/>
        </w:tabs>
        <w:spacing w:before="0" w:line="276" w:lineRule="auto"/>
        <w:ind w:firstLine="720"/>
        <w:contextualSpacing w:val="0"/>
        <w:rPr>
          <w:b w:val="0"/>
          <w:szCs w:val="22"/>
          <w:lang w:val="af-ZA"/>
        </w:rPr>
      </w:pPr>
      <w:r w:rsidRPr="00A83C94">
        <w:rPr>
          <w:b w:val="0"/>
          <w:szCs w:val="22"/>
          <w:lang w:val="af-ZA"/>
        </w:rPr>
        <w:t>Ազգային արխիվի ծրագրի շրջանակներում իրականացվող գործընթացները նպատակաուղղված են ՀՀ ազգային արխիվային հավաքածուի պահպանության, համալրմանը, հաշվառմանը, արխիվային փաստաթղթերի վերանորոգմանը, փաստաթղթերի գիտատեխնիկական մշակմանը, ՀՀ արխիվային հավաքածուի թվայնացման աշխատանքների իրականացմանը, հանրության կողմից արխիվային նյութերի օգտագործման ապահովմանը:</w:t>
      </w:r>
    </w:p>
    <w:p w14:paraId="610AE811" w14:textId="77777777" w:rsidR="000825DA" w:rsidRPr="00A83C94" w:rsidRDefault="000825DA" w:rsidP="005D2928">
      <w:pPr>
        <w:tabs>
          <w:tab w:val="left" w:pos="450"/>
          <w:tab w:val="left" w:pos="567"/>
          <w:tab w:val="left" w:pos="1134"/>
        </w:tabs>
        <w:spacing w:before="0" w:line="276" w:lineRule="auto"/>
        <w:ind w:firstLine="720"/>
        <w:contextualSpacing w:val="0"/>
        <w:rPr>
          <w:b w:val="0"/>
          <w:szCs w:val="22"/>
          <w:lang w:val="af-ZA"/>
        </w:rPr>
      </w:pPr>
    </w:p>
    <w:p w14:paraId="1C7FF8D3"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68" w:name="_Toc26174901"/>
      <w:bookmarkStart w:id="69" w:name="_Toc57655430"/>
      <w:bookmarkStart w:id="70" w:name="_Toc83567449"/>
      <w:bookmarkStart w:id="71" w:name="_Toc89428272"/>
      <w:r w:rsidRPr="00A83C94">
        <w:rPr>
          <w:rFonts w:cs="Arial"/>
          <w:szCs w:val="22"/>
          <w:lang w:val="hy-AM" w:eastAsia="en-US"/>
        </w:rPr>
        <w:t>Սպորտ</w:t>
      </w:r>
      <w:bookmarkEnd w:id="68"/>
      <w:bookmarkEnd w:id="69"/>
      <w:bookmarkEnd w:id="70"/>
      <w:bookmarkEnd w:id="71"/>
    </w:p>
    <w:p w14:paraId="74798519" w14:textId="310735B4" w:rsidR="005F226A" w:rsidRPr="00A83C94" w:rsidRDefault="005F226A" w:rsidP="005D2928">
      <w:pPr>
        <w:tabs>
          <w:tab w:val="left" w:pos="1134"/>
        </w:tabs>
        <w:spacing w:before="0" w:line="276" w:lineRule="auto"/>
        <w:ind w:firstLine="708"/>
        <w:rPr>
          <w:rFonts w:cs="Sylfaen"/>
          <w:b w:val="0"/>
          <w:szCs w:val="22"/>
          <w:lang w:val="hy-AM"/>
        </w:rPr>
      </w:pPr>
      <w:r w:rsidRPr="00A83C94">
        <w:rPr>
          <w:rFonts w:cs="Sylfaen"/>
          <w:b w:val="0"/>
          <w:szCs w:val="22"/>
          <w:lang w:val="hy-AM"/>
        </w:rPr>
        <w:t>Մեծ</w:t>
      </w:r>
      <w:r w:rsidRPr="00A83C94">
        <w:rPr>
          <w:rFonts w:cs="Sylfaen"/>
          <w:b w:val="0"/>
          <w:szCs w:val="22"/>
          <w:lang w:val="af-ZA"/>
        </w:rPr>
        <w:t xml:space="preserve"> </w:t>
      </w:r>
      <w:r w:rsidRPr="00A83C94">
        <w:rPr>
          <w:rFonts w:cs="Sylfaen"/>
          <w:b w:val="0"/>
          <w:szCs w:val="22"/>
          <w:lang w:val="hy-AM"/>
        </w:rPr>
        <w:t>նվաճումների</w:t>
      </w:r>
      <w:r w:rsidRPr="00A83C94">
        <w:rPr>
          <w:rFonts w:cs="Sylfaen"/>
          <w:b w:val="0"/>
          <w:szCs w:val="22"/>
          <w:lang w:val="af-ZA"/>
        </w:rPr>
        <w:t xml:space="preserve"> </w:t>
      </w:r>
      <w:r w:rsidRPr="00A83C94">
        <w:rPr>
          <w:rFonts w:cs="Sylfaen"/>
          <w:b w:val="0"/>
          <w:szCs w:val="22"/>
          <w:lang w:val="hy-AM"/>
        </w:rPr>
        <w:t>սպորտի</w:t>
      </w:r>
      <w:r w:rsidRPr="00A83C94">
        <w:rPr>
          <w:rFonts w:cs="Sylfaen"/>
          <w:b w:val="0"/>
          <w:szCs w:val="22"/>
          <w:lang w:val="af-ZA"/>
        </w:rPr>
        <w:t xml:space="preserve"> </w:t>
      </w:r>
      <w:r w:rsidRPr="00A83C94">
        <w:rPr>
          <w:rFonts w:cs="Sylfaen"/>
          <w:b w:val="0"/>
          <w:szCs w:val="22"/>
          <w:lang w:val="hy-AM"/>
        </w:rPr>
        <w:t>ծրագրի</w:t>
      </w:r>
      <w:r w:rsidRPr="00A83C94">
        <w:rPr>
          <w:rFonts w:cs="Sylfaen"/>
          <w:b w:val="0"/>
          <w:szCs w:val="22"/>
          <w:lang w:val="af-ZA"/>
        </w:rPr>
        <w:t xml:space="preserve"> </w:t>
      </w:r>
      <w:r w:rsidRPr="00A83C94">
        <w:rPr>
          <w:rFonts w:cs="Sylfaen"/>
          <w:b w:val="0"/>
          <w:szCs w:val="22"/>
          <w:lang w:val="hy-AM"/>
        </w:rPr>
        <w:t>շրջանակում</w:t>
      </w:r>
      <w:r w:rsidRPr="00A83C94">
        <w:rPr>
          <w:rFonts w:cs="Sylfaen"/>
          <w:b w:val="0"/>
          <w:szCs w:val="22"/>
          <w:lang w:val="af-ZA"/>
        </w:rPr>
        <w:t xml:space="preserve"> </w:t>
      </w:r>
      <w:r w:rsidRPr="00A83C94">
        <w:rPr>
          <w:rFonts w:cs="Sylfaen"/>
          <w:b w:val="0"/>
          <w:szCs w:val="22"/>
          <w:lang w:val="hy-AM"/>
        </w:rPr>
        <w:t>կշարունակվեն</w:t>
      </w:r>
      <w:r w:rsidRPr="00A83C94">
        <w:rPr>
          <w:rFonts w:cs="Sylfaen"/>
          <w:b w:val="0"/>
          <w:szCs w:val="22"/>
          <w:lang w:val="af-ZA"/>
        </w:rPr>
        <w:t xml:space="preserve"> </w:t>
      </w:r>
      <w:r w:rsidRPr="00A83C94">
        <w:rPr>
          <w:rFonts w:cs="Sylfaen"/>
          <w:b w:val="0"/>
          <w:szCs w:val="22"/>
          <w:lang w:val="hy-AM"/>
        </w:rPr>
        <w:t>պաշտոնական</w:t>
      </w:r>
      <w:r w:rsidRPr="00A83C94">
        <w:rPr>
          <w:rFonts w:cs="Sylfaen"/>
          <w:b w:val="0"/>
          <w:szCs w:val="22"/>
          <w:lang w:val="af-ZA"/>
        </w:rPr>
        <w:t xml:space="preserve"> </w:t>
      </w:r>
      <w:r w:rsidRPr="00A83C94">
        <w:rPr>
          <w:rFonts w:cs="Sylfaen"/>
          <w:b w:val="0"/>
          <w:szCs w:val="22"/>
          <w:lang w:val="hy-AM"/>
        </w:rPr>
        <w:t>մրցաշարերում</w:t>
      </w:r>
      <w:r w:rsidRPr="00A83C94">
        <w:rPr>
          <w:rFonts w:cs="Sylfaen"/>
          <w:b w:val="0"/>
          <w:szCs w:val="22"/>
          <w:lang w:val="af-ZA"/>
        </w:rPr>
        <w:t xml:space="preserve"> </w:t>
      </w:r>
      <w:r w:rsidRPr="00A83C94">
        <w:rPr>
          <w:rFonts w:cs="Sylfaen"/>
          <w:b w:val="0"/>
          <w:szCs w:val="22"/>
          <w:lang w:val="hy-AM"/>
        </w:rPr>
        <w:t>բարձր</w:t>
      </w:r>
      <w:r w:rsidRPr="00A83C94">
        <w:rPr>
          <w:rFonts w:cs="Sylfaen"/>
          <w:b w:val="0"/>
          <w:szCs w:val="22"/>
          <w:lang w:val="af-ZA"/>
        </w:rPr>
        <w:t xml:space="preserve"> </w:t>
      </w:r>
      <w:r w:rsidRPr="00A83C94">
        <w:rPr>
          <w:rFonts w:cs="Sylfaen"/>
          <w:b w:val="0"/>
          <w:szCs w:val="22"/>
          <w:lang w:val="hy-AM"/>
        </w:rPr>
        <w:t>նվաճումներ</w:t>
      </w:r>
      <w:r w:rsidRPr="00A83C94">
        <w:rPr>
          <w:rFonts w:cs="Sylfaen"/>
          <w:b w:val="0"/>
          <w:szCs w:val="22"/>
          <w:lang w:val="af-ZA"/>
        </w:rPr>
        <w:t xml:space="preserve"> </w:t>
      </w:r>
      <w:r w:rsidRPr="00A83C94">
        <w:rPr>
          <w:rFonts w:cs="Sylfaen"/>
          <w:b w:val="0"/>
          <w:szCs w:val="22"/>
          <w:lang w:val="hy-AM"/>
        </w:rPr>
        <w:t>ցուցաբերած</w:t>
      </w:r>
      <w:r w:rsidRPr="00A83C94">
        <w:rPr>
          <w:rFonts w:cs="Sylfaen"/>
          <w:b w:val="0"/>
          <w:szCs w:val="22"/>
          <w:lang w:val="af-ZA"/>
        </w:rPr>
        <w:t xml:space="preserve"> </w:t>
      </w:r>
      <w:r w:rsidRPr="00A83C94">
        <w:rPr>
          <w:rFonts w:cs="Sylfaen"/>
          <w:b w:val="0"/>
          <w:szCs w:val="22"/>
          <w:lang w:val="hy-AM"/>
        </w:rPr>
        <w:t>մարզիկների</w:t>
      </w:r>
      <w:r w:rsidRPr="00A83C94">
        <w:rPr>
          <w:rFonts w:cs="Sylfaen"/>
          <w:b w:val="0"/>
          <w:szCs w:val="22"/>
          <w:lang w:val="af-ZA"/>
        </w:rPr>
        <w:t xml:space="preserve">, </w:t>
      </w:r>
      <w:r w:rsidRPr="00A83C94">
        <w:rPr>
          <w:rFonts w:cs="Sylfaen"/>
          <w:b w:val="0"/>
          <w:szCs w:val="22"/>
          <w:lang w:val="hy-AM"/>
        </w:rPr>
        <w:t>մարզիչների</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բժիշկների</w:t>
      </w:r>
      <w:r w:rsidRPr="00A83C94">
        <w:rPr>
          <w:rFonts w:cs="Sylfaen"/>
          <w:b w:val="0"/>
          <w:szCs w:val="22"/>
          <w:lang w:val="af-ZA"/>
        </w:rPr>
        <w:t xml:space="preserve"> </w:t>
      </w:r>
      <w:r w:rsidRPr="00A83C94">
        <w:rPr>
          <w:rFonts w:cs="Sylfaen"/>
          <w:b w:val="0"/>
          <w:szCs w:val="22"/>
          <w:lang w:val="hy-AM"/>
        </w:rPr>
        <w:t>դրամական</w:t>
      </w:r>
      <w:r w:rsidRPr="00A83C94">
        <w:rPr>
          <w:rFonts w:cs="Sylfaen"/>
          <w:b w:val="0"/>
          <w:szCs w:val="22"/>
          <w:lang w:val="af-ZA"/>
        </w:rPr>
        <w:t xml:space="preserve"> </w:t>
      </w:r>
      <w:r w:rsidRPr="00A83C94">
        <w:rPr>
          <w:rFonts w:cs="Sylfaen"/>
          <w:b w:val="0"/>
          <w:szCs w:val="22"/>
          <w:lang w:val="hy-AM"/>
        </w:rPr>
        <w:t>խրախուսումը</w:t>
      </w:r>
      <w:r w:rsidRPr="00A83C94">
        <w:rPr>
          <w:rFonts w:cs="Sylfaen"/>
          <w:b w:val="0"/>
          <w:szCs w:val="22"/>
          <w:lang w:val="af-ZA"/>
        </w:rPr>
        <w:t xml:space="preserve">, </w:t>
      </w:r>
      <w:r w:rsidRPr="00A83C94">
        <w:rPr>
          <w:rFonts w:cs="Sylfaen"/>
          <w:b w:val="0"/>
          <w:szCs w:val="22"/>
          <w:lang w:val="hy-AM"/>
        </w:rPr>
        <w:t>հեղինակավոր</w:t>
      </w:r>
      <w:r w:rsidRPr="00A83C94">
        <w:rPr>
          <w:rFonts w:cs="Sylfaen"/>
          <w:b w:val="0"/>
          <w:szCs w:val="22"/>
          <w:lang w:val="af-ZA"/>
        </w:rPr>
        <w:t xml:space="preserve"> </w:t>
      </w:r>
      <w:r w:rsidRPr="00A83C94">
        <w:rPr>
          <w:rFonts w:cs="Sylfaen"/>
          <w:b w:val="0"/>
          <w:szCs w:val="22"/>
          <w:lang w:val="hy-AM"/>
        </w:rPr>
        <w:t>խոշոր</w:t>
      </w:r>
      <w:r w:rsidRPr="00A83C94">
        <w:rPr>
          <w:rFonts w:cs="Sylfaen"/>
          <w:b w:val="0"/>
          <w:szCs w:val="22"/>
          <w:lang w:val="af-ZA"/>
        </w:rPr>
        <w:t xml:space="preserve"> </w:t>
      </w:r>
      <w:r w:rsidRPr="00A83C94">
        <w:rPr>
          <w:rFonts w:cs="Sylfaen"/>
          <w:b w:val="0"/>
          <w:szCs w:val="22"/>
          <w:lang w:val="hy-AM"/>
        </w:rPr>
        <w:t>միջազգային</w:t>
      </w:r>
      <w:r w:rsidRPr="00A83C94">
        <w:rPr>
          <w:rFonts w:cs="Sylfaen"/>
          <w:b w:val="0"/>
          <w:szCs w:val="22"/>
          <w:lang w:val="af-ZA"/>
        </w:rPr>
        <w:t xml:space="preserve"> </w:t>
      </w:r>
      <w:r w:rsidRPr="00A83C94">
        <w:rPr>
          <w:rFonts w:cs="Sylfaen"/>
          <w:b w:val="0"/>
          <w:szCs w:val="22"/>
          <w:lang w:val="hy-AM"/>
        </w:rPr>
        <w:t>միջոցառումներին</w:t>
      </w:r>
      <w:r w:rsidRPr="00A83C94">
        <w:rPr>
          <w:rFonts w:cs="Sylfaen"/>
          <w:b w:val="0"/>
          <w:szCs w:val="22"/>
          <w:lang w:val="af-ZA"/>
        </w:rPr>
        <w:t xml:space="preserve"> </w:t>
      </w:r>
      <w:r w:rsidRPr="00A83C94">
        <w:rPr>
          <w:rFonts w:cs="Sylfaen"/>
          <w:b w:val="0"/>
          <w:szCs w:val="22"/>
          <w:lang w:val="hy-AM"/>
        </w:rPr>
        <w:t>մասնակցության</w:t>
      </w:r>
      <w:r w:rsidRPr="00A83C94">
        <w:rPr>
          <w:rFonts w:cs="Sylfaen"/>
          <w:b w:val="0"/>
          <w:szCs w:val="22"/>
          <w:lang w:val="af-ZA"/>
        </w:rPr>
        <w:t xml:space="preserve"> </w:t>
      </w:r>
      <w:r w:rsidRPr="00A83C94">
        <w:rPr>
          <w:rFonts w:cs="Sylfaen"/>
          <w:b w:val="0"/>
          <w:szCs w:val="22"/>
          <w:lang w:val="hy-AM"/>
        </w:rPr>
        <w:t>ֆինանսավորումը</w:t>
      </w:r>
      <w:r w:rsidRPr="00A83C94">
        <w:rPr>
          <w:rFonts w:cs="Sylfaen"/>
          <w:b w:val="0"/>
          <w:szCs w:val="22"/>
          <w:lang w:val="af-ZA"/>
        </w:rPr>
        <w:t xml:space="preserve">, </w:t>
      </w:r>
      <w:r w:rsidRPr="00A83C94">
        <w:rPr>
          <w:rFonts w:cs="Sylfaen"/>
          <w:b w:val="0"/>
          <w:szCs w:val="22"/>
          <w:lang w:val="hy-AM"/>
        </w:rPr>
        <w:t>հակադոպինգային</w:t>
      </w:r>
      <w:r w:rsidRPr="00A83C94">
        <w:rPr>
          <w:rFonts w:cs="Sylfaen"/>
          <w:b w:val="0"/>
          <w:szCs w:val="22"/>
          <w:lang w:val="af-ZA"/>
        </w:rPr>
        <w:t xml:space="preserve"> </w:t>
      </w:r>
      <w:r w:rsidRPr="00A83C94">
        <w:rPr>
          <w:rFonts w:cs="Sylfaen"/>
          <w:b w:val="0"/>
          <w:szCs w:val="22"/>
          <w:lang w:val="hy-AM"/>
        </w:rPr>
        <w:t>հսկողության</w:t>
      </w:r>
      <w:r w:rsidRPr="00A83C94">
        <w:rPr>
          <w:rFonts w:cs="Sylfaen"/>
          <w:b w:val="0"/>
          <w:szCs w:val="22"/>
          <w:lang w:val="af-ZA"/>
        </w:rPr>
        <w:t xml:space="preserve"> </w:t>
      </w:r>
      <w:r w:rsidRPr="00A83C94">
        <w:rPr>
          <w:rFonts w:cs="Sylfaen"/>
          <w:b w:val="0"/>
          <w:szCs w:val="22"/>
          <w:lang w:val="hy-AM"/>
        </w:rPr>
        <w:t>ծրագրերի</w:t>
      </w:r>
      <w:r w:rsidRPr="00A83C94">
        <w:rPr>
          <w:rFonts w:cs="Sylfaen"/>
          <w:b w:val="0"/>
          <w:szCs w:val="22"/>
          <w:lang w:val="af-ZA"/>
        </w:rPr>
        <w:t xml:space="preserve"> </w:t>
      </w:r>
      <w:r w:rsidRPr="00A83C94">
        <w:rPr>
          <w:rFonts w:cs="Sylfaen"/>
          <w:b w:val="0"/>
          <w:szCs w:val="22"/>
          <w:lang w:val="hy-AM"/>
        </w:rPr>
        <w:t>իրականացումը</w:t>
      </w:r>
      <w:r w:rsidRPr="00A83C94">
        <w:rPr>
          <w:rFonts w:cs="Sylfaen"/>
          <w:b w:val="0"/>
          <w:szCs w:val="22"/>
          <w:lang w:val="af-ZA"/>
        </w:rPr>
        <w:t xml:space="preserve">, </w:t>
      </w:r>
      <w:r w:rsidRPr="00A83C94">
        <w:rPr>
          <w:rFonts w:cs="Sylfaen"/>
          <w:b w:val="0"/>
          <w:szCs w:val="22"/>
          <w:lang w:val="hy-AM"/>
        </w:rPr>
        <w:t>ադապտիվ</w:t>
      </w:r>
      <w:r w:rsidRPr="00A83C94">
        <w:rPr>
          <w:rFonts w:cs="Sylfaen"/>
          <w:b w:val="0"/>
          <w:szCs w:val="22"/>
          <w:lang w:val="af-ZA"/>
        </w:rPr>
        <w:t xml:space="preserve"> </w:t>
      </w:r>
      <w:r w:rsidRPr="00A83C94">
        <w:rPr>
          <w:rFonts w:cs="Sylfaen"/>
          <w:b w:val="0"/>
          <w:szCs w:val="22"/>
          <w:lang w:val="hy-AM"/>
        </w:rPr>
        <w:t>սպորտով</w:t>
      </w:r>
      <w:r w:rsidRPr="00A83C94">
        <w:rPr>
          <w:rFonts w:cs="Sylfaen"/>
          <w:b w:val="0"/>
          <w:szCs w:val="22"/>
          <w:lang w:val="af-ZA"/>
        </w:rPr>
        <w:t xml:space="preserve"> </w:t>
      </w:r>
      <w:r w:rsidRPr="00A83C94">
        <w:rPr>
          <w:rFonts w:cs="Sylfaen"/>
          <w:b w:val="0"/>
          <w:szCs w:val="22"/>
          <w:lang w:val="hy-AM"/>
        </w:rPr>
        <w:t>զբաղվող</w:t>
      </w:r>
      <w:r w:rsidRPr="00A83C94">
        <w:rPr>
          <w:rFonts w:cs="Sylfaen"/>
          <w:b w:val="0"/>
          <w:szCs w:val="22"/>
          <w:lang w:val="af-ZA"/>
        </w:rPr>
        <w:t xml:space="preserve"> </w:t>
      </w:r>
      <w:r w:rsidRPr="00A83C94">
        <w:rPr>
          <w:rFonts w:cs="Sylfaen"/>
          <w:b w:val="0"/>
          <w:szCs w:val="22"/>
          <w:lang w:val="hy-AM"/>
        </w:rPr>
        <w:t>մարզական</w:t>
      </w:r>
      <w:r w:rsidRPr="00A83C94">
        <w:rPr>
          <w:rFonts w:cs="Sylfaen"/>
          <w:b w:val="0"/>
          <w:szCs w:val="22"/>
          <w:lang w:val="af-ZA"/>
        </w:rPr>
        <w:t xml:space="preserve"> </w:t>
      </w:r>
      <w:r w:rsidRPr="00A83C94">
        <w:rPr>
          <w:rFonts w:cs="Sylfaen"/>
          <w:b w:val="0"/>
          <w:szCs w:val="22"/>
          <w:lang w:val="hy-AM"/>
        </w:rPr>
        <w:t>կազմակերպություններին</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աջակցության</w:t>
      </w:r>
      <w:r w:rsidRPr="00A83C94">
        <w:rPr>
          <w:rFonts w:cs="Sylfaen"/>
          <w:b w:val="0"/>
          <w:szCs w:val="22"/>
          <w:lang w:val="af-ZA"/>
        </w:rPr>
        <w:t xml:space="preserve"> </w:t>
      </w:r>
      <w:r w:rsidRPr="00A83C94">
        <w:rPr>
          <w:rFonts w:cs="Sylfaen"/>
          <w:b w:val="0"/>
          <w:szCs w:val="22"/>
          <w:lang w:val="hy-AM"/>
        </w:rPr>
        <w:t>գործընթացը</w:t>
      </w:r>
      <w:r w:rsidRPr="00A83C94">
        <w:rPr>
          <w:rFonts w:cs="Sylfaen"/>
          <w:b w:val="0"/>
          <w:szCs w:val="22"/>
          <w:lang w:val="af-ZA"/>
        </w:rPr>
        <w:t xml:space="preserve">: </w:t>
      </w:r>
      <w:r w:rsidRPr="00A83C94">
        <w:rPr>
          <w:rFonts w:cs="Sylfaen"/>
          <w:b w:val="0"/>
          <w:szCs w:val="22"/>
          <w:lang w:val="hy-AM"/>
        </w:rPr>
        <w:t>Մարզական</w:t>
      </w:r>
      <w:r w:rsidRPr="00A83C94">
        <w:rPr>
          <w:rFonts w:cs="Sylfaen"/>
          <w:b w:val="0"/>
          <w:szCs w:val="22"/>
          <w:lang w:val="af-ZA"/>
        </w:rPr>
        <w:t xml:space="preserve"> </w:t>
      </w:r>
      <w:r w:rsidRPr="00A83C94">
        <w:rPr>
          <w:rFonts w:cs="Sylfaen"/>
          <w:b w:val="0"/>
          <w:szCs w:val="22"/>
          <w:lang w:val="hy-AM"/>
        </w:rPr>
        <w:t>ֆեդերացիաներին</w:t>
      </w:r>
      <w:r w:rsidRPr="00A83C94">
        <w:rPr>
          <w:rFonts w:cs="Sylfaen"/>
          <w:b w:val="0"/>
          <w:szCs w:val="22"/>
          <w:lang w:val="af-ZA"/>
        </w:rPr>
        <w:t xml:space="preserve"> </w:t>
      </w:r>
      <w:r w:rsidRPr="00A83C94">
        <w:rPr>
          <w:rFonts w:cs="Sylfaen"/>
          <w:b w:val="0"/>
          <w:szCs w:val="22"/>
          <w:lang w:val="hy-AM"/>
        </w:rPr>
        <w:t>տրամադրվող</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աջակցության</w:t>
      </w:r>
      <w:r w:rsidRPr="00A83C94">
        <w:rPr>
          <w:rFonts w:cs="Sylfaen"/>
          <w:b w:val="0"/>
          <w:szCs w:val="22"/>
          <w:lang w:val="af-ZA"/>
        </w:rPr>
        <w:t xml:space="preserve"> </w:t>
      </w:r>
      <w:r w:rsidRPr="00A83C94">
        <w:rPr>
          <w:rFonts w:cs="Sylfaen"/>
          <w:b w:val="0"/>
          <w:szCs w:val="22"/>
          <w:lang w:val="hy-AM"/>
        </w:rPr>
        <w:t>շրջանակներում</w:t>
      </w:r>
      <w:r w:rsidRPr="00A83C94">
        <w:rPr>
          <w:rFonts w:cs="Sylfaen"/>
          <w:b w:val="0"/>
          <w:szCs w:val="22"/>
          <w:lang w:val="af-ZA"/>
        </w:rPr>
        <w:t xml:space="preserve"> </w:t>
      </w:r>
      <w:r w:rsidRPr="00A83C94">
        <w:rPr>
          <w:rFonts w:cs="Sylfaen"/>
          <w:b w:val="0"/>
          <w:szCs w:val="22"/>
          <w:lang w:val="hy-AM"/>
        </w:rPr>
        <w:t>ֆեդերացիաները</w:t>
      </w:r>
      <w:r w:rsidRPr="00A83C94">
        <w:rPr>
          <w:rFonts w:cs="Sylfaen"/>
          <w:b w:val="0"/>
          <w:szCs w:val="22"/>
          <w:lang w:val="af-ZA"/>
        </w:rPr>
        <w:t xml:space="preserve"> </w:t>
      </w:r>
      <w:r w:rsidRPr="00A83C94">
        <w:rPr>
          <w:rFonts w:cs="Sylfaen"/>
          <w:b w:val="0"/>
          <w:szCs w:val="22"/>
          <w:lang w:val="hy-AM"/>
        </w:rPr>
        <w:t>կանցկացնեն</w:t>
      </w:r>
      <w:r w:rsidRPr="00A83C94">
        <w:rPr>
          <w:rFonts w:cs="Sylfaen"/>
          <w:b w:val="0"/>
          <w:szCs w:val="22"/>
          <w:lang w:val="af-ZA"/>
        </w:rPr>
        <w:t xml:space="preserve"> </w:t>
      </w:r>
      <w:r w:rsidRPr="00A83C94">
        <w:rPr>
          <w:rFonts w:cs="Sylfaen"/>
          <w:b w:val="0"/>
          <w:szCs w:val="22"/>
          <w:lang w:val="hy-AM"/>
        </w:rPr>
        <w:t>Հայաստանի</w:t>
      </w:r>
      <w:r w:rsidRPr="00A83C94">
        <w:rPr>
          <w:rFonts w:cs="Sylfaen"/>
          <w:b w:val="0"/>
          <w:szCs w:val="22"/>
          <w:lang w:val="af-ZA"/>
        </w:rPr>
        <w:t xml:space="preserve"> </w:t>
      </w:r>
      <w:r w:rsidRPr="00A83C94">
        <w:rPr>
          <w:rFonts w:cs="Sylfaen"/>
          <w:b w:val="0"/>
          <w:szCs w:val="22"/>
          <w:lang w:val="hy-AM"/>
        </w:rPr>
        <w:t>Հանրապետության</w:t>
      </w:r>
      <w:r w:rsidRPr="00A83C94">
        <w:rPr>
          <w:rFonts w:cs="Sylfaen"/>
          <w:b w:val="0"/>
          <w:szCs w:val="22"/>
          <w:lang w:val="af-ZA"/>
        </w:rPr>
        <w:t xml:space="preserve"> </w:t>
      </w:r>
      <w:r w:rsidRPr="00A83C94">
        <w:rPr>
          <w:rFonts w:cs="Sylfaen"/>
          <w:b w:val="0"/>
          <w:szCs w:val="22"/>
          <w:lang w:val="hy-AM"/>
        </w:rPr>
        <w:t>առաջնություններ</w:t>
      </w:r>
      <w:r w:rsidRPr="00A83C94">
        <w:rPr>
          <w:rFonts w:cs="Sylfaen"/>
          <w:b w:val="0"/>
          <w:szCs w:val="22"/>
          <w:lang w:val="af-ZA"/>
        </w:rPr>
        <w:t xml:space="preserve">, </w:t>
      </w:r>
      <w:r w:rsidRPr="00A83C94">
        <w:rPr>
          <w:rFonts w:cs="Sylfaen"/>
          <w:b w:val="0"/>
          <w:szCs w:val="22"/>
          <w:lang w:val="hy-AM"/>
        </w:rPr>
        <w:t>ուսումնամարզական</w:t>
      </w:r>
      <w:r w:rsidRPr="00A83C94">
        <w:rPr>
          <w:rFonts w:cs="Sylfaen"/>
          <w:b w:val="0"/>
          <w:szCs w:val="22"/>
          <w:lang w:val="af-ZA"/>
        </w:rPr>
        <w:t xml:space="preserve"> </w:t>
      </w:r>
      <w:r w:rsidRPr="00A83C94">
        <w:rPr>
          <w:rFonts w:cs="Sylfaen"/>
          <w:b w:val="0"/>
          <w:szCs w:val="22"/>
          <w:lang w:val="hy-AM"/>
        </w:rPr>
        <w:t>հավաքներ</w:t>
      </w:r>
      <w:r w:rsidRPr="00A83C94">
        <w:rPr>
          <w:rFonts w:cs="Sylfaen"/>
          <w:b w:val="0"/>
          <w:szCs w:val="22"/>
          <w:lang w:val="af-ZA"/>
        </w:rPr>
        <w:t xml:space="preserve">, </w:t>
      </w:r>
      <w:r w:rsidRPr="00A83C94">
        <w:rPr>
          <w:rFonts w:cs="Sylfaen"/>
          <w:b w:val="0"/>
          <w:szCs w:val="22"/>
          <w:lang w:val="hy-AM"/>
        </w:rPr>
        <w:t>միջազգային</w:t>
      </w:r>
      <w:r w:rsidRPr="00A83C94">
        <w:rPr>
          <w:rFonts w:cs="Sylfaen"/>
          <w:b w:val="0"/>
          <w:szCs w:val="22"/>
          <w:lang w:val="af-ZA"/>
        </w:rPr>
        <w:t xml:space="preserve"> </w:t>
      </w:r>
      <w:r w:rsidRPr="00A83C94">
        <w:rPr>
          <w:rFonts w:cs="Sylfaen"/>
          <w:b w:val="0"/>
          <w:szCs w:val="22"/>
          <w:lang w:val="hy-AM"/>
        </w:rPr>
        <w:t>մրցաշարեր</w:t>
      </w:r>
      <w:r w:rsidRPr="00A83C94">
        <w:rPr>
          <w:rFonts w:cs="Sylfaen"/>
          <w:b w:val="0"/>
          <w:szCs w:val="22"/>
          <w:lang w:val="af-ZA"/>
        </w:rPr>
        <w:t xml:space="preserve">, </w:t>
      </w:r>
      <w:r w:rsidRPr="00A83C94">
        <w:rPr>
          <w:rFonts w:cs="Sylfaen"/>
          <w:b w:val="0"/>
          <w:szCs w:val="22"/>
          <w:lang w:val="hy-AM"/>
        </w:rPr>
        <w:t>կմասնակցեն</w:t>
      </w:r>
      <w:r w:rsidRPr="00A83C94">
        <w:rPr>
          <w:rFonts w:cs="Sylfaen"/>
          <w:b w:val="0"/>
          <w:szCs w:val="22"/>
          <w:lang w:val="af-ZA"/>
        </w:rPr>
        <w:t xml:space="preserve"> </w:t>
      </w:r>
      <w:r w:rsidRPr="00A83C94">
        <w:rPr>
          <w:rFonts w:cs="Sylfaen"/>
          <w:b w:val="0"/>
          <w:szCs w:val="22"/>
          <w:lang w:val="hy-AM"/>
        </w:rPr>
        <w:t>մեծահասակների</w:t>
      </w:r>
      <w:r w:rsidRPr="00A83C94">
        <w:rPr>
          <w:rFonts w:cs="Sylfaen"/>
          <w:b w:val="0"/>
          <w:szCs w:val="22"/>
          <w:lang w:val="af-ZA"/>
        </w:rPr>
        <w:t xml:space="preserve">, </w:t>
      </w:r>
      <w:r w:rsidRPr="00A83C94">
        <w:rPr>
          <w:rFonts w:cs="Sylfaen"/>
          <w:b w:val="0"/>
          <w:szCs w:val="22"/>
          <w:lang w:val="hy-AM"/>
        </w:rPr>
        <w:t>երիտասարդների</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պատանիների</w:t>
      </w:r>
      <w:r w:rsidRPr="00A83C94">
        <w:rPr>
          <w:rFonts w:cs="Sylfaen"/>
          <w:b w:val="0"/>
          <w:szCs w:val="22"/>
          <w:lang w:val="af-ZA"/>
        </w:rPr>
        <w:t xml:space="preserve"> </w:t>
      </w:r>
      <w:r w:rsidRPr="00A83C94">
        <w:rPr>
          <w:rFonts w:cs="Sylfaen"/>
          <w:b w:val="0"/>
          <w:szCs w:val="22"/>
          <w:lang w:val="hy-AM"/>
        </w:rPr>
        <w:t>Եվրոպայի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աշխարհի</w:t>
      </w:r>
      <w:r w:rsidRPr="00A83C94">
        <w:rPr>
          <w:rFonts w:cs="Sylfaen"/>
          <w:b w:val="0"/>
          <w:szCs w:val="22"/>
          <w:lang w:val="af-ZA"/>
        </w:rPr>
        <w:t xml:space="preserve"> </w:t>
      </w:r>
      <w:r w:rsidRPr="00A83C94">
        <w:rPr>
          <w:rFonts w:cs="Sylfaen"/>
          <w:b w:val="0"/>
          <w:szCs w:val="22"/>
          <w:lang w:val="hy-AM"/>
        </w:rPr>
        <w:t>առաջնություններին</w:t>
      </w:r>
      <w:r w:rsidRPr="00A83C94">
        <w:rPr>
          <w:rFonts w:cs="Sylfaen"/>
          <w:b w:val="0"/>
          <w:szCs w:val="22"/>
          <w:lang w:val="af-ZA"/>
        </w:rPr>
        <w:t xml:space="preserve">, </w:t>
      </w:r>
      <w:r w:rsidRPr="00A83C94">
        <w:rPr>
          <w:rFonts w:cs="Sylfaen"/>
          <w:b w:val="0"/>
          <w:szCs w:val="22"/>
          <w:lang w:val="hy-AM"/>
        </w:rPr>
        <w:t>միջազգային</w:t>
      </w:r>
      <w:r w:rsidRPr="00A83C94">
        <w:rPr>
          <w:rFonts w:cs="Sylfaen"/>
          <w:b w:val="0"/>
          <w:szCs w:val="22"/>
          <w:lang w:val="af-ZA"/>
        </w:rPr>
        <w:t xml:space="preserve"> </w:t>
      </w:r>
      <w:r w:rsidRPr="00A83C94">
        <w:rPr>
          <w:rFonts w:cs="Sylfaen"/>
          <w:b w:val="0"/>
          <w:szCs w:val="22"/>
          <w:lang w:val="hy-AM"/>
        </w:rPr>
        <w:t>մրցաշարերի</w:t>
      </w:r>
      <w:r w:rsidRPr="00A83C94">
        <w:rPr>
          <w:rFonts w:cs="Sylfaen"/>
          <w:b w:val="0"/>
          <w:szCs w:val="22"/>
          <w:lang w:val="af-ZA"/>
        </w:rPr>
        <w:t>:</w:t>
      </w:r>
      <w:bookmarkStart w:id="72" w:name="_Toc57655431"/>
    </w:p>
    <w:p w14:paraId="74F4171A" w14:textId="77777777" w:rsidR="005F226A" w:rsidRPr="00A83C94" w:rsidRDefault="005F226A" w:rsidP="005D2928">
      <w:pPr>
        <w:tabs>
          <w:tab w:val="left" w:pos="1134"/>
        </w:tabs>
        <w:spacing w:before="0" w:line="276" w:lineRule="auto"/>
        <w:ind w:firstLine="708"/>
        <w:rPr>
          <w:rFonts w:cs="Sylfaen"/>
          <w:b w:val="0"/>
          <w:szCs w:val="22"/>
          <w:lang w:val="af-ZA" w:eastAsia="en-US"/>
        </w:rPr>
      </w:pPr>
      <w:r w:rsidRPr="00A83C94">
        <w:rPr>
          <w:b w:val="0"/>
          <w:szCs w:val="22"/>
          <w:lang w:val="hy-AM"/>
        </w:rPr>
        <w:t xml:space="preserve">Մանկապատանեկան սպորտի ոլորտում կշարունակվեն </w:t>
      </w:r>
      <w:r w:rsidRPr="00A83C94">
        <w:rPr>
          <w:b w:val="0"/>
          <w:szCs w:val="22"/>
          <w:lang w:val="af-ZA"/>
        </w:rPr>
        <w:t>մատաղ սերնդի առողջության պահպանման</w:t>
      </w:r>
      <w:r w:rsidRPr="00A83C94">
        <w:rPr>
          <w:b w:val="0"/>
          <w:szCs w:val="22"/>
          <w:lang w:val="hy-AM"/>
        </w:rPr>
        <w:t>ն</w:t>
      </w:r>
      <w:r w:rsidRPr="00A83C94">
        <w:rPr>
          <w:b w:val="0"/>
          <w:szCs w:val="22"/>
          <w:lang w:val="af-ZA"/>
        </w:rPr>
        <w:t xml:space="preserve"> ու ամրապնդման</w:t>
      </w:r>
      <w:r w:rsidRPr="00A83C94">
        <w:rPr>
          <w:b w:val="0"/>
          <w:szCs w:val="22"/>
          <w:lang w:val="hy-AM"/>
        </w:rPr>
        <w:t>ը</w:t>
      </w:r>
      <w:r w:rsidRPr="00A83C94">
        <w:rPr>
          <w:b w:val="0"/>
          <w:szCs w:val="22"/>
          <w:lang w:val="af-ZA"/>
        </w:rPr>
        <w:t>, ընտրած մարզաձևում մարզական հերթափոխի պատրաստման</w:t>
      </w:r>
      <w:r w:rsidRPr="00A83C94">
        <w:rPr>
          <w:b w:val="0"/>
          <w:szCs w:val="22"/>
          <w:lang w:val="hy-AM"/>
        </w:rPr>
        <w:t>ը</w:t>
      </w:r>
      <w:r w:rsidRPr="00A83C94">
        <w:rPr>
          <w:b w:val="0"/>
          <w:szCs w:val="22"/>
          <w:lang w:val="af-ZA"/>
        </w:rPr>
        <w:t>, պարապողների մարզական ունակությունների կատարելագործման</w:t>
      </w:r>
      <w:r w:rsidRPr="00A83C94">
        <w:rPr>
          <w:b w:val="0"/>
          <w:szCs w:val="22"/>
          <w:lang w:val="hy-AM"/>
        </w:rPr>
        <w:t>ը</w:t>
      </w:r>
      <w:r w:rsidRPr="00A83C94">
        <w:rPr>
          <w:b w:val="0"/>
          <w:szCs w:val="22"/>
          <w:lang w:val="af-ZA"/>
        </w:rPr>
        <w:t xml:space="preserve">, </w:t>
      </w:r>
      <w:r w:rsidRPr="00A83C94">
        <w:rPr>
          <w:b w:val="0"/>
          <w:szCs w:val="22"/>
          <w:lang w:val="hy-AM"/>
        </w:rPr>
        <w:t>ոլորտի իրավական դաշտի բարելավմանը, մանկապատանեկան մարզադպրոցներում աշխատող մարզիչ-մանկավարժների վերապատրաստմանը, նյութատեխնիկական բազայի ապահովմանն ուղղված գործընթացները</w:t>
      </w:r>
      <w:r w:rsidRPr="00A83C94">
        <w:rPr>
          <w:b w:val="0"/>
          <w:szCs w:val="22"/>
          <w:lang w:val="af-ZA"/>
        </w:rPr>
        <w:t>:</w:t>
      </w:r>
      <w:bookmarkEnd w:id="72"/>
    </w:p>
    <w:p w14:paraId="53272692" w14:textId="77777777" w:rsidR="005F226A" w:rsidRPr="00A83C94" w:rsidRDefault="005F226A" w:rsidP="005D2928">
      <w:pPr>
        <w:tabs>
          <w:tab w:val="left" w:pos="1134"/>
        </w:tabs>
        <w:spacing w:before="0" w:line="276" w:lineRule="auto"/>
        <w:ind w:firstLine="708"/>
        <w:rPr>
          <w:b w:val="0"/>
          <w:szCs w:val="22"/>
          <w:shd w:val="clear" w:color="auto" w:fill="FFFFFF"/>
          <w:lang w:val="af-ZA"/>
        </w:rPr>
      </w:pPr>
      <w:r w:rsidRPr="00A83C94">
        <w:rPr>
          <w:b w:val="0"/>
          <w:szCs w:val="22"/>
          <w:shd w:val="clear" w:color="auto" w:fill="FFFFFF"/>
          <w:lang w:val="hy-AM"/>
        </w:rPr>
        <w:t>Մասսայական</w:t>
      </w:r>
      <w:r w:rsidRPr="00A83C94">
        <w:rPr>
          <w:b w:val="0"/>
          <w:szCs w:val="22"/>
          <w:shd w:val="clear" w:color="auto" w:fill="FFFFFF"/>
          <w:lang w:val="af-ZA"/>
        </w:rPr>
        <w:t xml:space="preserve"> </w:t>
      </w:r>
      <w:r w:rsidRPr="00A83C94">
        <w:rPr>
          <w:b w:val="0"/>
          <w:szCs w:val="22"/>
          <w:shd w:val="clear" w:color="auto" w:fill="FFFFFF"/>
          <w:lang w:val="hy-AM"/>
        </w:rPr>
        <w:t>սպորտին</w:t>
      </w:r>
      <w:r w:rsidRPr="00A83C94">
        <w:rPr>
          <w:b w:val="0"/>
          <w:szCs w:val="22"/>
          <w:shd w:val="clear" w:color="auto" w:fill="FFFFFF"/>
          <w:lang w:val="af-ZA"/>
        </w:rPr>
        <w:t xml:space="preserve"> </w:t>
      </w:r>
      <w:r w:rsidRPr="00A83C94">
        <w:rPr>
          <w:b w:val="0"/>
          <w:szCs w:val="22"/>
          <w:shd w:val="clear" w:color="auto" w:fill="FFFFFF"/>
          <w:lang w:val="hy-AM"/>
        </w:rPr>
        <w:t>ուղղված</w:t>
      </w:r>
      <w:r w:rsidRPr="00A83C94">
        <w:rPr>
          <w:b w:val="0"/>
          <w:szCs w:val="22"/>
          <w:shd w:val="clear" w:color="auto" w:fill="FFFFFF"/>
          <w:lang w:val="af-ZA"/>
        </w:rPr>
        <w:t xml:space="preserve"> </w:t>
      </w:r>
      <w:r w:rsidRPr="00A83C94">
        <w:rPr>
          <w:b w:val="0"/>
          <w:szCs w:val="22"/>
          <w:shd w:val="clear" w:color="auto" w:fill="FFFFFF"/>
          <w:lang w:val="hy-AM"/>
        </w:rPr>
        <w:t>միջոցառումների</w:t>
      </w:r>
      <w:r w:rsidRPr="00A83C94">
        <w:rPr>
          <w:b w:val="0"/>
          <w:szCs w:val="22"/>
          <w:shd w:val="clear" w:color="auto" w:fill="FFFFFF"/>
          <w:lang w:val="af-ZA"/>
        </w:rPr>
        <w:t xml:space="preserve"> </w:t>
      </w:r>
      <w:r w:rsidRPr="00A83C94">
        <w:rPr>
          <w:b w:val="0"/>
          <w:szCs w:val="22"/>
          <w:shd w:val="clear" w:color="auto" w:fill="FFFFFF"/>
          <w:lang w:val="hy-AM"/>
        </w:rPr>
        <w:t>շրջանակում</w:t>
      </w:r>
      <w:r w:rsidRPr="00A83C94">
        <w:rPr>
          <w:b w:val="0"/>
          <w:szCs w:val="22"/>
          <w:shd w:val="clear" w:color="auto" w:fill="FFFFFF"/>
          <w:lang w:val="af-ZA"/>
        </w:rPr>
        <w:t xml:space="preserve"> </w:t>
      </w:r>
      <w:r w:rsidRPr="00A83C94">
        <w:rPr>
          <w:b w:val="0"/>
          <w:szCs w:val="22"/>
          <w:shd w:val="clear" w:color="auto" w:fill="FFFFFF"/>
          <w:lang w:val="hy-AM"/>
        </w:rPr>
        <w:t>կշարունակվեն</w:t>
      </w:r>
      <w:r w:rsidRPr="00A83C94">
        <w:rPr>
          <w:b w:val="0"/>
          <w:szCs w:val="22"/>
          <w:shd w:val="clear" w:color="auto" w:fill="FFFFFF"/>
          <w:lang w:val="af-ZA"/>
        </w:rPr>
        <w:t xml:space="preserve"> </w:t>
      </w:r>
      <w:r w:rsidRPr="00A83C94">
        <w:rPr>
          <w:b w:val="0"/>
          <w:szCs w:val="22"/>
          <w:shd w:val="clear" w:color="auto" w:fill="FFFFFF"/>
          <w:lang w:val="hy-AM"/>
        </w:rPr>
        <w:t>բնակչության</w:t>
      </w:r>
      <w:r w:rsidRPr="00A83C94">
        <w:rPr>
          <w:b w:val="0"/>
          <w:szCs w:val="22"/>
          <w:shd w:val="clear" w:color="auto" w:fill="FFFFFF"/>
          <w:lang w:val="af-ZA"/>
        </w:rPr>
        <w:t xml:space="preserve"> </w:t>
      </w:r>
      <w:r w:rsidRPr="00A83C94">
        <w:rPr>
          <w:b w:val="0"/>
          <w:szCs w:val="22"/>
          <w:shd w:val="clear" w:color="auto" w:fill="FFFFFF"/>
          <w:lang w:val="hy-AM"/>
        </w:rPr>
        <w:t>ֆիզիկական</w:t>
      </w:r>
      <w:r w:rsidRPr="00A83C94">
        <w:rPr>
          <w:b w:val="0"/>
          <w:szCs w:val="22"/>
          <w:shd w:val="clear" w:color="auto" w:fill="FFFFFF"/>
          <w:lang w:val="af-ZA"/>
        </w:rPr>
        <w:t xml:space="preserve"> </w:t>
      </w:r>
      <w:r w:rsidRPr="00A83C94">
        <w:rPr>
          <w:b w:val="0"/>
          <w:szCs w:val="22"/>
          <w:shd w:val="clear" w:color="auto" w:fill="FFFFFF"/>
          <w:lang w:val="hy-AM"/>
        </w:rPr>
        <w:t>դաստիարակության</w:t>
      </w:r>
      <w:r w:rsidRPr="00A83C94">
        <w:rPr>
          <w:b w:val="0"/>
          <w:szCs w:val="22"/>
          <w:shd w:val="clear" w:color="auto" w:fill="FFFFFF"/>
          <w:lang w:val="af-ZA"/>
        </w:rPr>
        <w:t xml:space="preserve"> </w:t>
      </w:r>
      <w:r w:rsidRPr="00A83C94">
        <w:rPr>
          <w:b w:val="0"/>
          <w:szCs w:val="22"/>
          <w:shd w:val="clear" w:color="auto" w:fill="FFFFFF"/>
          <w:lang w:val="hy-AM"/>
        </w:rPr>
        <w:t>ապահովման</w:t>
      </w:r>
      <w:r w:rsidRPr="00A83C94">
        <w:rPr>
          <w:b w:val="0"/>
          <w:szCs w:val="22"/>
          <w:shd w:val="clear" w:color="auto" w:fill="FFFFFF"/>
          <w:lang w:val="af-ZA"/>
        </w:rPr>
        <w:t xml:space="preserve"> </w:t>
      </w:r>
      <w:r w:rsidRPr="00A83C94">
        <w:rPr>
          <w:b w:val="0"/>
          <w:szCs w:val="22"/>
          <w:shd w:val="clear" w:color="auto" w:fill="FFFFFF"/>
          <w:lang w:val="hy-AM"/>
        </w:rPr>
        <w:t>գործընթացները</w:t>
      </w:r>
      <w:r w:rsidRPr="00A83C94">
        <w:rPr>
          <w:b w:val="0"/>
          <w:szCs w:val="22"/>
          <w:shd w:val="clear" w:color="auto" w:fill="FFFFFF"/>
          <w:lang w:val="af-ZA"/>
        </w:rPr>
        <w:t xml:space="preserve">` </w:t>
      </w:r>
      <w:r w:rsidRPr="00A83C94">
        <w:rPr>
          <w:b w:val="0"/>
          <w:szCs w:val="22"/>
          <w:shd w:val="clear" w:color="auto" w:fill="FFFFFF"/>
          <w:lang w:val="hy-AM"/>
        </w:rPr>
        <w:t>հատկապես</w:t>
      </w:r>
      <w:r w:rsidRPr="00A83C94">
        <w:rPr>
          <w:b w:val="0"/>
          <w:szCs w:val="22"/>
          <w:shd w:val="clear" w:color="auto" w:fill="FFFFFF"/>
          <w:lang w:val="af-ZA"/>
        </w:rPr>
        <w:t xml:space="preserve"> </w:t>
      </w:r>
      <w:r w:rsidRPr="00A83C94">
        <w:rPr>
          <w:b w:val="0"/>
          <w:szCs w:val="22"/>
          <w:shd w:val="clear" w:color="auto" w:fill="FFFFFF"/>
          <w:lang w:val="hy-AM"/>
        </w:rPr>
        <w:t>հանրակրթական</w:t>
      </w:r>
      <w:r w:rsidRPr="00A83C94">
        <w:rPr>
          <w:b w:val="0"/>
          <w:szCs w:val="22"/>
          <w:shd w:val="clear" w:color="auto" w:fill="FFFFFF"/>
          <w:lang w:val="af-ZA"/>
        </w:rPr>
        <w:t xml:space="preserve"> </w:t>
      </w:r>
      <w:r w:rsidRPr="00A83C94">
        <w:rPr>
          <w:b w:val="0"/>
          <w:szCs w:val="22"/>
          <w:shd w:val="clear" w:color="auto" w:fill="FFFFFF"/>
          <w:lang w:val="hy-AM"/>
        </w:rPr>
        <w:t>դպրոցների</w:t>
      </w:r>
      <w:r w:rsidRPr="00A83C94">
        <w:rPr>
          <w:b w:val="0"/>
          <w:szCs w:val="22"/>
          <w:shd w:val="clear" w:color="auto" w:fill="FFFFFF"/>
          <w:lang w:val="af-ZA"/>
        </w:rPr>
        <w:t xml:space="preserve"> </w:t>
      </w:r>
      <w:r w:rsidRPr="00A83C94">
        <w:rPr>
          <w:b w:val="0"/>
          <w:szCs w:val="22"/>
          <w:shd w:val="clear" w:color="auto" w:fill="FFFFFF"/>
          <w:lang w:val="hy-AM"/>
        </w:rPr>
        <w:t>աշակերտների</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ուսանողության</w:t>
      </w:r>
      <w:r w:rsidRPr="00A83C94">
        <w:rPr>
          <w:b w:val="0"/>
          <w:szCs w:val="22"/>
          <w:shd w:val="clear" w:color="auto" w:fill="FFFFFF"/>
          <w:lang w:val="af-ZA"/>
        </w:rPr>
        <w:t xml:space="preserve"> </w:t>
      </w:r>
      <w:r w:rsidRPr="00A83C94">
        <w:rPr>
          <w:b w:val="0"/>
          <w:szCs w:val="22"/>
          <w:shd w:val="clear" w:color="auto" w:fill="FFFFFF"/>
          <w:lang w:val="hy-AM"/>
        </w:rPr>
        <w:t>շրջանում</w:t>
      </w:r>
      <w:r w:rsidRPr="00A83C94">
        <w:rPr>
          <w:b w:val="0"/>
          <w:szCs w:val="22"/>
          <w:shd w:val="clear" w:color="auto" w:fill="FFFFFF"/>
          <w:lang w:val="af-ZA"/>
        </w:rPr>
        <w:t xml:space="preserve"> </w:t>
      </w:r>
      <w:r w:rsidRPr="00A83C94">
        <w:rPr>
          <w:rFonts w:ascii="Calibri" w:hAnsi="Calibri" w:cs="Calibri"/>
          <w:b w:val="0"/>
          <w:szCs w:val="22"/>
          <w:shd w:val="clear" w:color="auto" w:fill="FFFFFF"/>
          <w:lang w:val="af-ZA"/>
        </w:rPr>
        <w:t> </w:t>
      </w:r>
      <w:r w:rsidRPr="00A83C94">
        <w:rPr>
          <w:b w:val="0"/>
          <w:szCs w:val="22"/>
          <w:shd w:val="clear" w:color="auto" w:fill="FFFFFF"/>
          <w:lang w:val="hy-AM"/>
        </w:rPr>
        <w:t>ֆիզիկական</w:t>
      </w:r>
      <w:r w:rsidRPr="00A83C94">
        <w:rPr>
          <w:b w:val="0"/>
          <w:szCs w:val="22"/>
          <w:shd w:val="clear" w:color="auto" w:fill="FFFFFF"/>
          <w:lang w:val="af-ZA"/>
        </w:rPr>
        <w:t xml:space="preserve"> </w:t>
      </w:r>
      <w:r w:rsidRPr="00A83C94">
        <w:rPr>
          <w:b w:val="0"/>
          <w:szCs w:val="22"/>
          <w:shd w:val="clear" w:color="auto" w:fill="FFFFFF"/>
          <w:lang w:val="hy-AM"/>
        </w:rPr>
        <w:t>կուլտուրայի</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սպորտի</w:t>
      </w:r>
      <w:r w:rsidRPr="00A83C94">
        <w:rPr>
          <w:b w:val="0"/>
          <w:szCs w:val="22"/>
          <w:shd w:val="clear" w:color="auto" w:fill="FFFFFF"/>
          <w:lang w:val="af-ZA"/>
        </w:rPr>
        <w:t xml:space="preserve"> </w:t>
      </w:r>
      <w:r w:rsidRPr="00A83C94">
        <w:rPr>
          <w:rFonts w:ascii="Calibri" w:hAnsi="Calibri" w:cs="Calibri"/>
          <w:b w:val="0"/>
          <w:szCs w:val="22"/>
          <w:shd w:val="clear" w:color="auto" w:fill="FFFFFF"/>
          <w:lang w:val="af-ZA"/>
        </w:rPr>
        <w:t> </w:t>
      </w:r>
      <w:r w:rsidRPr="00A83C94">
        <w:rPr>
          <w:b w:val="0"/>
          <w:szCs w:val="22"/>
          <w:shd w:val="clear" w:color="auto" w:fill="FFFFFF"/>
          <w:lang w:val="hy-AM"/>
        </w:rPr>
        <w:t>դերի</w:t>
      </w:r>
      <w:r w:rsidRPr="00A83C94">
        <w:rPr>
          <w:b w:val="0"/>
          <w:szCs w:val="22"/>
          <w:shd w:val="clear" w:color="auto" w:fill="FFFFFF"/>
          <w:lang w:val="af-ZA"/>
        </w:rPr>
        <w:t xml:space="preserve"> </w:t>
      </w:r>
      <w:r w:rsidRPr="00A83C94">
        <w:rPr>
          <w:b w:val="0"/>
          <w:szCs w:val="22"/>
          <w:shd w:val="clear" w:color="auto" w:fill="FFFFFF"/>
          <w:lang w:val="hy-AM"/>
        </w:rPr>
        <w:t>կարևորման</w:t>
      </w:r>
      <w:r w:rsidRPr="00A83C94">
        <w:rPr>
          <w:b w:val="0"/>
          <w:szCs w:val="22"/>
          <w:shd w:val="clear" w:color="auto" w:fill="FFFFFF"/>
          <w:lang w:val="af-ZA"/>
        </w:rPr>
        <w:t xml:space="preserve">, </w:t>
      </w:r>
      <w:r w:rsidRPr="00A83C94">
        <w:rPr>
          <w:b w:val="0"/>
          <w:szCs w:val="22"/>
          <w:shd w:val="clear" w:color="auto" w:fill="FFFFFF"/>
          <w:lang w:val="hy-AM"/>
        </w:rPr>
        <w:t>առողջ</w:t>
      </w:r>
      <w:r w:rsidRPr="00A83C94">
        <w:rPr>
          <w:b w:val="0"/>
          <w:szCs w:val="22"/>
          <w:shd w:val="clear" w:color="auto" w:fill="FFFFFF"/>
          <w:lang w:val="af-ZA"/>
        </w:rPr>
        <w:t xml:space="preserve"> </w:t>
      </w:r>
      <w:r w:rsidRPr="00A83C94">
        <w:rPr>
          <w:b w:val="0"/>
          <w:szCs w:val="22"/>
          <w:shd w:val="clear" w:color="auto" w:fill="FFFFFF"/>
          <w:lang w:val="hy-AM"/>
        </w:rPr>
        <w:t>ապրելակերպի</w:t>
      </w:r>
      <w:r w:rsidRPr="00A83C94">
        <w:rPr>
          <w:b w:val="0"/>
          <w:szCs w:val="22"/>
          <w:shd w:val="clear" w:color="auto" w:fill="FFFFFF"/>
          <w:lang w:val="af-ZA"/>
        </w:rPr>
        <w:t xml:space="preserve"> </w:t>
      </w:r>
      <w:r w:rsidRPr="00A83C94">
        <w:rPr>
          <w:b w:val="0"/>
          <w:szCs w:val="22"/>
          <w:shd w:val="clear" w:color="auto" w:fill="FFFFFF"/>
          <w:lang w:val="hy-AM"/>
        </w:rPr>
        <w:t>արմատավորուման</w:t>
      </w:r>
      <w:r w:rsidRPr="00A83C94">
        <w:rPr>
          <w:b w:val="0"/>
          <w:szCs w:val="22"/>
          <w:shd w:val="clear" w:color="auto" w:fill="FFFFFF"/>
          <w:lang w:val="af-ZA"/>
        </w:rPr>
        <w:t xml:space="preserve">, </w:t>
      </w:r>
      <w:r w:rsidRPr="00A83C94">
        <w:rPr>
          <w:b w:val="0"/>
          <w:szCs w:val="22"/>
          <w:shd w:val="clear" w:color="auto" w:fill="FFFFFF"/>
          <w:lang w:val="hy-AM"/>
        </w:rPr>
        <w:t>ֆիզիկապես</w:t>
      </w:r>
      <w:r w:rsidRPr="00A83C94">
        <w:rPr>
          <w:b w:val="0"/>
          <w:szCs w:val="22"/>
          <w:shd w:val="clear" w:color="auto" w:fill="FFFFFF"/>
          <w:lang w:val="af-ZA"/>
        </w:rPr>
        <w:t xml:space="preserve"> </w:t>
      </w:r>
      <w:r w:rsidRPr="00A83C94">
        <w:rPr>
          <w:b w:val="0"/>
          <w:szCs w:val="22"/>
          <w:shd w:val="clear" w:color="auto" w:fill="FFFFFF"/>
          <w:lang w:val="hy-AM"/>
        </w:rPr>
        <w:t>կոփված</w:t>
      </w:r>
      <w:r w:rsidRPr="00A83C94">
        <w:rPr>
          <w:b w:val="0"/>
          <w:szCs w:val="22"/>
          <w:shd w:val="clear" w:color="auto" w:fill="FFFFFF"/>
          <w:lang w:val="af-ZA"/>
        </w:rPr>
        <w:t xml:space="preserve"> </w:t>
      </w:r>
      <w:r w:rsidRPr="00A83C94">
        <w:rPr>
          <w:b w:val="0"/>
          <w:szCs w:val="22"/>
          <w:shd w:val="clear" w:color="auto" w:fill="FFFFFF"/>
          <w:lang w:val="hy-AM"/>
        </w:rPr>
        <w:t>երիտասարդների</w:t>
      </w:r>
      <w:r w:rsidRPr="00A83C94">
        <w:rPr>
          <w:b w:val="0"/>
          <w:szCs w:val="22"/>
          <w:shd w:val="clear" w:color="auto" w:fill="FFFFFF"/>
          <w:lang w:val="af-ZA"/>
        </w:rPr>
        <w:t xml:space="preserve"> </w:t>
      </w:r>
      <w:r w:rsidRPr="00A83C94">
        <w:rPr>
          <w:b w:val="0"/>
          <w:szCs w:val="22"/>
          <w:shd w:val="clear" w:color="auto" w:fill="FFFFFF"/>
          <w:lang w:val="hy-AM"/>
        </w:rPr>
        <w:t>դաստիարակման</w:t>
      </w:r>
      <w:r w:rsidRPr="00A83C94">
        <w:rPr>
          <w:b w:val="0"/>
          <w:szCs w:val="22"/>
          <w:shd w:val="clear" w:color="auto" w:fill="FFFFFF"/>
          <w:lang w:val="af-ZA"/>
        </w:rPr>
        <w:t xml:space="preserve"> </w:t>
      </w:r>
      <w:r w:rsidRPr="00A83C94">
        <w:rPr>
          <w:b w:val="0"/>
          <w:szCs w:val="22"/>
          <w:shd w:val="clear" w:color="auto" w:fill="FFFFFF"/>
          <w:lang w:val="hy-AM"/>
        </w:rPr>
        <w:t>նպատակով</w:t>
      </w:r>
      <w:r w:rsidRPr="00A83C94">
        <w:rPr>
          <w:b w:val="0"/>
          <w:szCs w:val="22"/>
          <w:shd w:val="clear" w:color="auto" w:fill="FFFFFF"/>
          <w:lang w:val="af-ZA"/>
        </w:rPr>
        <w:t xml:space="preserve"> </w:t>
      </w:r>
      <w:r w:rsidRPr="00A83C94">
        <w:rPr>
          <w:b w:val="0"/>
          <w:szCs w:val="22"/>
          <w:shd w:val="clear" w:color="auto" w:fill="FFFFFF"/>
          <w:lang w:val="hy-AM"/>
        </w:rPr>
        <w:t>ֆիզկուլտուրային</w:t>
      </w:r>
      <w:r w:rsidRPr="00A83C94">
        <w:rPr>
          <w:b w:val="0"/>
          <w:szCs w:val="22"/>
          <w:shd w:val="clear" w:color="auto" w:fill="FFFFFF"/>
          <w:lang w:val="af-ZA"/>
        </w:rPr>
        <w:t>-</w:t>
      </w:r>
      <w:r w:rsidRPr="00A83C94">
        <w:rPr>
          <w:b w:val="0"/>
          <w:szCs w:val="22"/>
          <w:shd w:val="clear" w:color="auto" w:fill="FFFFFF"/>
          <w:lang w:val="hy-AM"/>
        </w:rPr>
        <w:t>առողջարարական</w:t>
      </w:r>
      <w:r w:rsidRPr="00A83C94">
        <w:rPr>
          <w:b w:val="0"/>
          <w:szCs w:val="22"/>
          <w:shd w:val="clear" w:color="auto" w:fill="FFFFFF"/>
          <w:lang w:val="af-ZA"/>
        </w:rPr>
        <w:t xml:space="preserve"> </w:t>
      </w:r>
      <w:r w:rsidRPr="00A83C94">
        <w:rPr>
          <w:b w:val="0"/>
          <w:szCs w:val="22"/>
          <w:shd w:val="clear" w:color="auto" w:fill="FFFFFF"/>
          <w:lang w:val="hy-AM"/>
        </w:rPr>
        <w:t>զանգվածային</w:t>
      </w:r>
      <w:r w:rsidRPr="00A83C94">
        <w:rPr>
          <w:b w:val="0"/>
          <w:szCs w:val="22"/>
          <w:shd w:val="clear" w:color="auto" w:fill="FFFFFF"/>
          <w:lang w:val="af-ZA"/>
        </w:rPr>
        <w:t xml:space="preserve">, </w:t>
      </w:r>
      <w:r w:rsidRPr="00A83C94">
        <w:rPr>
          <w:b w:val="0"/>
          <w:szCs w:val="22"/>
          <w:shd w:val="clear" w:color="auto" w:fill="FFFFFF"/>
          <w:lang w:val="hy-AM"/>
        </w:rPr>
        <w:t>հանրապետական</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մարզային</w:t>
      </w:r>
      <w:r w:rsidRPr="00A83C94">
        <w:rPr>
          <w:b w:val="0"/>
          <w:szCs w:val="22"/>
          <w:shd w:val="clear" w:color="auto" w:fill="FFFFFF"/>
          <w:lang w:val="af-ZA"/>
        </w:rPr>
        <w:t xml:space="preserve"> </w:t>
      </w:r>
      <w:r w:rsidRPr="00A83C94">
        <w:rPr>
          <w:b w:val="0"/>
          <w:szCs w:val="22"/>
          <w:shd w:val="clear" w:color="auto" w:fill="FFFFFF"/>
          <w:lang w:val="hy-AM"/>
        </w:rPr>
        <w:t>միջոցառումների</w:t>
      </w:r>
      <w:r w:rsidRPr="00A83C94">
        <w:rPr>
          <w:b w:val="0"/>
          <w:szCs w:val="22"/>
          <w:shd w:val="clear" w:color="auto" w:fill="FFFFFF"/>
          <w:lang w:val="af-ZA"/>
        </w:rPr>
        <w:t xml:space="preserve"> </w:t>
      </w:r>
      <w:r w:rsidRPr="00A83C94">
        <w:rPr>
          <w:b w:val="0"/>
          <w:szCs w:val="22"/>
          <w:shd w:val="clear" w:color="auto" w:fill="FFFFFF"/>
          <w:lang w:val="hy-AM"/>
        </w:rPr>
        <w:t>կազմակերպումը</w:t>
      </w:r>
      <w:r w:rsidRPr="00A83C94">
        <w:rPr>
          <w:b w:val="0"/>
          <w:szCs w:val="22"/>
          <w:shd w:val="clear" w:color="auto" w:fill="FFFFFF"/>
          <w:lang w:val="af-ZA"/>
        </w:rPr>
        <w:t xml:space="preserve"> </w:t>
      </w:r>
      <w:r w:rsidRPr="00A83C94">
        <w:rPr>
          <w:b w:val="0"/>
          <w:szCs w:val="22"/>
          <w:shd w:val="clear" w:color="auto" w:fill="FFFFFF"/>
          <w:lang w:val="hy-AM"/>
        </w:rPr>
        <w:t>և</w:t>
      </w:r>
      <w:r w:rsidRPr="00A83C94">
        <w:rPr>
          <w:b w:val="0"/>
          <w:szCs w:val="22"/>
          <w:shd w:val="clear" w:color="auto" w:fill="FFFFFF"/>
          <w:lang w:val="af-ZA"/>
        </w:rPr>
        <w:t xml:space="preserve"> </w:t>
      </w:r>
      <w:r w:rsidRPr="00A83C94">
        <w:rPr>
          <w:b w:val="0"/>
          <w:szCs w:val="22"/>
          <w:shd w:val="clear" w:color="auto" w:fill="FFFFFF"/>
          <w:lang w:val="hy-AM"/>
        </w:rPr>
        <w:t>անցկացումը</w:t>
      </w:r>
      <w:r w:rsidRPr="00A83C94">
        <w:rPr>
          <w:b w:val="0"/>
          <w:szCs w:val="22"/>
          <w:shd w:val="clear" w:color="auto" w:fill="FFFFFF"/>
          <w:lang w:val="af-ZA"/>
        </w:rPr>
        <w:t>:</w:t>
      </w:r>
    </w:p>
    <w:p w14:paraId="7A75B880" w14:textId="77777777" w:rsidR="000825DA" w:rsidRPr="00A83C94" w:rsidRDefault="000825DA" w:rsidP="005D2928">
      <w:pPr>
        <w:tabs>
          <w:tab w:val="left" w:pos="1134"/>
        </w:tabs>
        <w:spacing w:before="0" w:line="276" w:lineRule="auto"/>
        <w:ind w:firstLine="708"/>
        <w:rPr>
          <w:b w:val="0"/>
          <w:szCs w:val="22"/>
          <w:lang w:val="hy-AM"/>
        </w:rPr>
      </w:pPr>
    </w:p>
    <w:p w14:paraId="2C85CB2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3" w:name="_Toc83567450"/>
      <w:bookmarkStart w:id="74" w:name="_Toc89428273"/>
      <w:r w:rsidRPr="00A83C94">
        <w:rPr>
          <w:rFonts w:cs="Arial"/>
          <w:szCs w:val="22"/>
          <w:lang w:val="hy-AM" w:eastAsia="en-US"/>
        </w:rPr>
        <w:t>Երիտասարդություն</w:t>
      </w:r>
      <w:bookmarkEnd w:id="73"/>
      <w:bookmarkEnd w:id="74"/>
    </w:p>
    <w:p w14:paraId="23CE922C" w14:textId="77777777" w:rsidR="005F226A" w:rsidRPr="00A83C94" w:rsidRDefault="005F226A" w:rsidP="005D2928">
      <w:pPr>
        <w:pStyle w:val="BodyText2"/>
      </w:pPr>
      <w:r w:rsidRPr="00A83C94">
        <w:t xml:space="preserve">Երիտասարդության հարցերի ոլորտում կառավարության կողմից վարվող պետական քաղաքականությունը միտված է նրանց քաղաքացիական գիտակցության և հասարակական-քաղաքական զարգացումներին մասնակցության աստիճանի բարձրացմանը, </w:t>
      </w:r>
      <w:r w:rsidRPr="00A83C94">
        <w:rPr>
          <w:rFonts w:cs="GHEA Grapalat"/>
          <w:color w:val="000000"/>
        </w:rPr>
        <w:t>երիտասարդների</w:t>
      </w:r>
      <w:r w:rsidRPr="00A83C94">
        <w:rPr>
          <w:color w:val="000000"/>
        </w:rPr>
        <w:t xml:space="preserve"> </w:t>
      </w:r>
      <w:r w:rsidRPr="00A83C94">
        <w:rPr>
          <w:rFonts w:cs="GHEA Grapalat"/>
          <w:color w:val="000000"/>
        </w:rPr>
        <w:t>ներուժի</w:t>
      </w:r>
      <w:r w:rsidRPr="00A83C94">
        <w:rPr>
          <w:color w:val="000000"/>
        </w:rPr>
        <w:t xml:space="preserve"> </w:t>
      </w:r>
      <w:r w:rsidRPr="00A83C94">
        <w:rPr>
          <w:rFonts w:cs="GHEA Grapalat"/>
          <w:color w:val="000000"/>
        </w:rPr>
        <w:t>բացահայտման</w:t>
      </w:r>
      <w:r w:rsidRPr="00A83C94">
        <w:rPr>
          <w:color w:val="000000"/>
        </w:rPr>
        <w:t xml:space="preserve">, </w:t>
      </w:r>
      <w:r w:rsidRPr="00A83C94">
        <w:rPr>
          <w:rFonts w:cs="GHEA Grapalat"/>
          <w:color w:val="000000"/>
        </w:rPr>
        <w:t>սոցիալականացման</w:t>
      </w:r>
      <w:r w:rsidRPr="00A83C94">
        <w:rPr>
          <w:color w:val="000000"/>
        </w:rPr>
        <w:t xml:space="preserve">, </w:t>
      </w:r>
      <w:r w:rsidRPr="00A83C94">
        <w:rPr>
          <w:rFonts w:cs="GHEA Grapalat"/>
          <w:color w:val="000000"/>
        </w:rPr>
        <w:t>ինքնիրացման</w:t>
      </w:r>
      <w:r w:rsidRPr="00A83C94">
        <w:rPr>
          <w:color w:val="000000"/>
        </w:rPr>
        <w:t xml:space="preserve">, </w:t>
      </w:r>
      <w:r w:rsidRPr="00A83C94">
        <w:rPr>
          <w:rFonts w:cs="GHEA Grapalat"/>
          <w:color w:val="000000"/>
        </w:rPr>
        <w:t>ներգրավման</w:t>
      </w:r>
      <w:r w:rsidRPr="00A83C94">
        <w:rPr>
          <w:color w:val="000000"/>
        </w:rPr>
        <w:t xml:space="preserve"> </w:t>
      </w:r>
      <w:r w:rsidRPr="00A83C94">
        <w:rPr>
          <w:rFonts w:cs="GHEA Grapalat"/>
          <w:color w:val="000000"/>
        </w:rPr>
        <w:t>ու</w:t>
      </w:r>
      <w:r w:rsidRPr="00A83C94">
        <w:rPr>
          <w:color w:val="000000"/>
        </w:rPr>
        <w:t xml:space="preserve"> </w:t>
      </w:r>
      <w:r w:rsidRPr="00A83C94">
        <w:rPr>
          <w:rFonts w:cs="GHEA Grapalat"/>
          <w:color w:val="000000"/>
        </w:rPr>
        <w:t>զարգացման</w:t>
      </w:r>
      <w:r w:rsidRPr="00A83C94">
        <w:rPr>
          <w:color w:val="000000"/>
        </w:rPr>
        <w:t xml:space="preserve"> </w:t>
      </w:r>
      <w:r w:rsidRPr="00A83C94">
        <w:rPr>
          <w:rFonts w:cs="GHEA Grapalat"/>
          <w:color w:val="000000"/>
        </w:rPr>
        <w:t>անհրաժեշտ</w:t>
      </w:r>
      <w:r w:rsidRPr="00A83C94">
        <w:rPr>
          <w:color w:val="000000"/>
        </w:rPr>
        <w:t xml:space="preserve"> </w:t>
      </w:r>
      <w:r w:rsidRPr="00A83C94">
        <w:rPr>
          <w:rFonts w:cs="GHEA Grapalat"/>
          <w:color w:val="000000"/>
        </w:rPr>
        <w:t>պայմանների</w:t>
      </w:r>
      <w:r w:rsidRPr="00A83C94">
        <w:rPr>
          <w:color w:val="000000"/>
        </w:rPr>
        <w:t xml:space="preserve"> </w:t>
      </w:r>
      <w:r w:rsidRPr="00A83C94">
        <w:rPr>
          <w:rFonts w:cs="GHEA Grapalat"/>
          <w:color w:val="000000"/>
        </w:rPr>
        <w:t>ստեղծմանը</w:t>
      </w:r>
      <w:r w:rsidRPr="00A83C94">
        <w:rPr>
          <w:color w:val="000000"/>
        </w:rPr>
        <w:t xml:space="preserve"> </w:t>
      </w:r>
      <w:r w:rsidRPr="00A83C94">
        <w:rPr>
          <w:rFonts w:cs="GHEA Grapalat"/>
          <w:color w:val="000000"/>
        </w:rPr>
        <w:t>և</w:t>
      </w:r>
      <w:r w:rsidRPr="00A83C94">
        <w:rPr>
          <w:rFonts w:ascii="Calibri" w:hAnsi="Calibri" w:cs="Calibri"/>
          <w:color w:val="000000"/>
        </w:rPr>
        <w:t> </w:t>
      </w:r>
      <w:r w:rsidRPr="00A83C94">
        <w:rPr>
          <w:color w:val="000000"/>
        </w:rPr>
        <w:t xml:space="preserve"> </w:t>
      </w:r>
      <w:r w:rsidRPr="00A83C94">
        <w:rPr>
          <w:rFonts w:cs="GHEA Grapalat"/>
          <w:color w:val="000000"/>
        </w:rPr>
        <w:t>մեխանիզմների</w:t>
      </w:r>
      <w:r w:rsidRPr="00A83C94">
        <w:rPr>
          <w:color w:val="000000"/>
        </w:rPr>
        <w:t xml:space="preserve"> </w:t>
      </w:r>
      <w:r w:rsidRPr="00A83C94">
        <w:rPr>
          <w:rFonts w:cs="GHEA Grapalat"/>
          <w:color w:val="000000"/>
        </w:rPr>
        <w:t>խթանմանը,</w:t>
      </w:r>
      <w:r w:rsidRPr="00A83C94">
        <w:rPr>
          <w:color w:val="000000"/>
        </w:rPr>
        <w:t xml:space="preserve"> ինտելեկտուալ ժամանցի կազմակերպման հնարավորությունների ստեղծմանը, </w:t>
      </w:r>
      <w:r w:rsidRPr="00A83C94">
        <w:t>երիտասարդության գործունեությունն ապահովող իրավական դաշտի բարելավմանը, առկա սոցիալ-տնտեսական հիմնախնդիրների ուսումնասիրմանը և երիտասարդների կենսապայմանների բարելավմանը, միջազգային երիտասարդական կառույցների հետ համագործակցության ընդլայնմանը, երիտասարդությանը լիակատար ինքնադրսևորման և անհրաժեշտ տեղեկատվությամբ ապահովմանը:</w:t>
      </w:r>
    </w:p>
    <w:p w14:paraId="46CA6C03" w14:textId="77777777" w:rsidR="005F226A" w:rsidRPr="00A83C94" w:rsidRDefault="005F226A" w:rsidP="005D2928">
      <w:pPr>
        <w:pStyle w:val="CommentText"/>
        <w:spacing w:line="276" w:lineRule="auto"/>
        <w:rPr>
          <w:b w:val="0"/>
          <w:color w:val="000000"/>
          <w:sz w:val="22"/>
          <w:szCs w:val="22"/>
          <w:lang w:val="hy-AM"/>
        </w:rPr>
      </w:pPr>
    </w:p>
    <w:p w14:paraId="5E9E9A9C"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5" w:name="_Toc26174902"/>
      <w:bookmarkStart w:id="76" w:name="_Toc83567451"/>
      <w:bookmarkStart w:id="77" w:name="_Toc89428274"/>
      <w:r w:rsidRPr="00A83C94">
        <w:rPr>
          <w:rFonts w:cs="Arial"/>
          <w:szCs w:val="22"/>
          <w:lang w:val="hy-AM" w:eastAsia="en-US"/>
        </w:rPr>
        <w:t>Առողջապահություն</w:t>
      </w:r>
      <w:bookmarkEnd w:id="75"/>
      <w:bookmarkEnd w:id="76"/>
      <w:bookmarkEnd w:id="77"/>
    </w:p>
    <w:p w14:paraId="059E459E" w14:textId="77777777" w:rsidR="005F226A" w:rsidRPr="00A83C94" w:rsidRDefault="005F226A" w:rsidP="005D2928">
      <w:pPr>
        <w:spacing w:before="0" w:line="276" w:lineRule="auto"/>
        <w:ind w:firstLine="720"/>
        <w:rPr>
          <w:rFonts w:eastAsia="Calibri"/>
          <w:b w:val="0"/>
          <w:noProof/>
          <w:szCs w:val="22"/>
          <w:lang w:val="hy-AM" w:eastAsia="en-US"/>
        </w:rPr>
      </w:pPr>
      <w:bookmarkStart w:id="78" w:name="_Toc26174903"/>
      <w:r w:rsidRPr="00A83C94">
        <w:rPr>
          <w:rFonts w:eastAsia="Calibri"/>
          <w:b w:val="0"/>
          <w:noProof/>
          <w:szCs w:val="22"/>
          <w:lang w:val="hy-AM" w:eastAsia="en-US"/>
        </w:rPr>
        <w:t xml:space="preserve">Բնակչության առողջության պահպանման և բարելավման հիմնախնդիրները դիտարկվում են որպես պետության կայուն զարգացումը պայմանավորող հիմնական գործոններից և ազգային անվտանգության ապահովման առաջնահերթություններից մեկը: Առողջապահության ոլորտի գործունեության բարելավման և զարգացման քաղաքականության հիմքում որդեգրվել է ապահովել յուրաքանչյուր քաղաքացու առողջության պահպանման սահմանադրական իրավունքը` բուժօգնության տրամադրման հավասարություն, արդարություն, մատչելիություն, բժշկական օգնության որակի ապահովում: </w:t>
      </w:r>
    </w:p>
    <w:p w14:paraId="23E163F1"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Ոլորտում իրականացվող քաղաքականությունն ուղղված է լինելու հանրային առողջապահական ծառայությունների հզորացմանը, հիվանդությունների կանխարգելմանը, առողջ կենսակերպի համար պայմանների ստեղծմանը: </w:t>
      </w:r>
    </w:p>
    <w:p w14:paraId="18C3C81B"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Պետական առողջապահական ծախսերի նպատակայնության հետևողական բարձ</w:t>
      </w:r>
      <w:r w:rsidRPr="00A83C94">
        <w:rPr>
          <w:rFonts w:eastAsia="Calibri"/>
          <w:b w:val="0"/>
          <w:noProof/>
          <w:szCs w:val="22"/>
          <w:lang w:val="hy-AM" w:eastAsia="en-US"/>
        </w:rPr>
        <w:softHyphen/>
        <w:t>րաց</w:t>
      </w:r>
      <w:r w:rsidRPr="00A83C94">
        <w:rPr>
          <w:rFonts w:eastAsia="Calibri"/>
          <w:b w:val="0"/>
          <w:noProof/>
          <w:szCs w:val="22"/>
          <w:lang w:val="hy-AM" w:eastAsia="en-US"/>
        </w:rPr>
        <w:softHyphen/>
        <w:t>ման, հատկացվող ֆինանսական միջոցների վերահսկման և մատուցվող ծառայությունների որա</w:t>
      </w:r>
      <w:r w:rsidRPr="00A83C94">
        <w:rPr>
          <w:rFonts w:eastAsia="Calibri"/>
          <w:b w:val="0"/>
          <w:noProof/>
          <w:szCs w:val="22"/>
          <w:lang w:val="hy-AM" w:eastAsia="en-US"/>
        </w:rPr>
        <w:softHyphen/>
        <w:t>կի կառավարման գործուն մեխանիզմների շարունակական բարելավման շնորհիվ առող</w:t>
      </w:r>
      <w:r w:rsidRPr="00A83C94">
        <w:rPr>
          <w:rFonts w:eastAsia="Calibri"/>
          <w:b w:val="0"/>
          <w:noProof/>
          <w:szCs w:val="22"/>
          <w:lang w:val="hy-AM" w:eastAsia="en-US"/>
        </w:rPr>
        <w:softHyphen/>
        <w:t>ջա</w:t>
      </w:r>
      <w:r w:rsidRPr="00A83C94">
        <w:rPr>
          <w:rFonts w:eastAsia="Calibri"/>
          <w:b w:val="0"/>
          <w:noProof/>
          <w:szCs w:val="22"/>
          <w:lang w:val="hy-AM" w:eastAsia="en-US"/>
        </w:rPr>
        <w:softHyphen/>
        <w:t>պա</w:t>
      </w:r>
      <w:r w:rsidRPr="00A83C94">
        <w:rPr>
          <w:rFonts w:eastAsia="Calibri"/>
          <w:b w:val="0"/>
          <w:noProof/>
          <w:szCs w:val="22"/>
          <w:lang w:val="hy-AM" w:eastAsia="en-US"/>
        </w:rPr>
        <w:softHyphen/>
        <w:t>հական համակարգի շահառուն ստիպված չի լինի հավելյալ վճարել պետության կողմից ան</w:t>
      </w:r>
      <w:r w:rsidRPr="00A83C94">
        <w:rPr>
          <w:rFonts w:eastAsia="Calibri"/>
          <w:b w:val="0"/>
          <w:noProof/>
          <w:szCs w:val="22"/>
          <w:lang w:val="hy-AM" w:eastAsia="en-US"/>
        </w:rPr>
        <w:softHyphen/>
        <w:t>վճար և արտոնյալ պայմաններով մատուցվող ծառայությունների համար և կստանա որակյալ բժշկա</w:t>
      </w:r>
      <w:r w:rsidRPr="00A83C94">
        <w:rPr>
          <w:rFonts w:eastAsia="Calibri"/>
          <w:b w:val="0"/>
          <w:noProof/>
          <w:szCs w:val="22"/>
          <w:lang w:val="hy-AM" w:eastAsia="en-US"/>
        </w:rPr>
        <w:softHyphen/>
        <w:t>կան օգնություն և ծառայություններ: Ան</w:t>
      </w:r>
      <w:r w:rsidRPr="00A83C94">
        <w:rPr>
          <w:rFonts w:eastAsia="Calibri"/>
          <w:b w:val="0"/>
          <w:noProof/>
          <w:szCs w:val="22"/>
          <w:lang w:val="hy-AM" w:eastAsia="en-US"/>
        </w:rPr>
        <w:softHyphen/>
        <w:t>վճար բժշկական օգնությունը պետք է տրամադրվի միայն սոցիալական արդարության սկզբուն</w:t>
      </w:r>
      <w:r w:rsidRPr="00A83C94">
        <w:rPr>
          <w:rFonts w:eastAsia="Calibri"/>
          <w:b w:val="0"/>
          <w:noProof/>
          <w:szCs w:val="22"/>
          <w:lang w:val="hy-AM" w:eastAsia="en-US"/>
        </w:rPr>
        <w:softHyphen/>
        <w:t>քի հիման վրա: Միաժամանակ պետությունը պետք է կանգնած լինի անհետաձգելի բժշկա</w:t>
      </w:r>
      <w:r w:rsidRPr="00A83C94">
        <w:rPr>
          <w:rFonts w:eastAsia="Calibri"/>
          <w:b w:val="0"/>
          <w:noProof/>
          <w:szCs w:val="22"/>
          <w:lang w:val="hy-AM" w:eastAsia="en-US"/>
        </w:rPr>
        <w:softHyphen/>
        <w:t xml:space="preserve">կան օգնության կարիք ունեցող ցանկացած մարդու կողքին: </w:t>
      </w:r>
    </w:p>
    <w:p w14:paraId="29E06616"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Առողջության առաջնային պահպանման, մոր և մանկան առողջապահական, վերարտադրողական առողջության պահպանման ծառայությունները լինելու են պետության առաջնահերթությունը: </w:t>
      </w:r>
    </w:p>
    <w:p w14:paraId="20B92F43"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Հանրային առողջապահական ծառայությունների հզորացման ոլորտում  կառավարությունն ապահովելու է հանրային առողջապահության միասնական պետական քաղաքականության մշակումը և իրականացումը, օրենսդրական դաշտի բարելավումը, վարակիչ և ոչ վարակիչ հիվանդությունների առաջացման և տարածման պատճառների ուսումնասիրությունը և դրանց կանխարգելմանն ուղղված միջոցառումների իրականացումը: Բնակչության հիգիենիկ և հակահամաճարակային անվտանգության բնագավառում տարվող քաղաքականության հիմնական նպատակն է բնակչության սանիտարահամաճարակային անվտանգության ապահովումը, մարդու օրգանիզմի վրա շրջակա միջավայրի վնասակար ու վտանգավոր գործոնների ազդեցության նվազեցումը` սանիտարահամաճարակային կանոնների և նորմերի, հիգիենիկ նորմատիվների պահանջների կատարման նկատմամբ վերահսկողության միջոցով: </w:t>
      </w:r>
    </w:p>
    <w:p w14:paraId="7B56EBF0"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Շարունակվելու են աշխատանքները հանրային առողջության համար վտանգ ներկայացնող իրավիճակներին արձագանքման կատարելագործման, համընդհանուր լաբորատոր ցանցի և լաբորատոր համակարգի շարունակական զարգացման, առողջ ապրելակերպի քարոզչության, աշխատողների առողջության պահպանման հիմնական կանոնների ու նորմերի սահմանման և կիրառման ուղղություններով:</w:t>
      </w:r>
    </w:p>
    <w:p w14:paraId="50A644C8" w14:textId="5801C768"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Արտահիվանդանոցային և հիվանդանոցային առողջապահական ծառայությունների որակի, մատչելիության, հասանելիության ապահովման ոլորտում բժշկական օգնության կազմակերպման որակի բարձրացման առումով` բժշկական ծառայությունների որակի կառավարման նպատակով փուլ առ փուլ ներդրվելու են ապացուցողական բժշկության վրա հիմնված բժշկական օգնության տրամադրման չափորոշիչները: Կառավարությունը շարունակելու է մարզային բժշկական կազմակերպությունները (առողջության առաջնային պահպանման օղակի և հիվանդանոցային) վերանորոգելու, վերակառուցելու և վերազինելու ծրագրի իրականացումը` հանրապետության ամբողջ տարածքում հասանելի դարձնելով ժամանակակից բժշկական ծառայությունները: </w:t>
      </w:r>
      <w:r w:rsidR="007513D5" w:rsidRPr="007513D5">
        <w:rPr>
          <w:rFonts w:eastAsia="Calibri"/>
          <w:b w:val="0"/>
          <w:noProof/>
          <w:szCs w:val="22"/>
          <w:lang w:val="hy-AM" w:eastAsia="en-US"/>
        </w:rPr>
        <w:t>Աշխատանքներ են իրականացվելու ոլորտը նորագույն սարքավորումներով վերազինելու և միասնական էլեկտրոնային համակարգ ներդնելու ուղղություններով:</w:t>
      </w:r>
    </w:p>
    <w:p w14:paraId="15A98A65"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Առողջության առաջնային պահպանման ծառայություններ մատուցող բժշկի (տեղամասային թերապևտ, մանկաբույժ, ընտանեկան բժիշկ) գործառույթները առավելագույնս ուղղվելու են հիվանդությունների կանխարգելմանն ու վաղ հայտնաբերմանը: </w:t>
      </w:r>
    </w:p>
    <w:p w14:paraId="242F0116"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Մոր ու մանկան առողջության պահպանման ծառայությունների բարելավման ոլորտում կառավարությունը նպաստելու է մոր և մանկան առողջության ցուցանիշների բարելավմանը` ուղղորդված առողջապահական ծրագրային միջոցառումների իրականացման միջոցով ապահովելու է մոր ու մանկան առողջության առաջնային պահպանման համակարգում կանխարգելիչ ծրագրային ուղղությունների ուժեղացումը: </w:t>
      </w:r>
    </w:p>
    <w:p w14:paraId="3A496BE7"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Առողջապահական կադրային ներուժի ապահովման ոլորտում իրականացվելու են աշխատանքներ բուժաշխատողների մասնագիտական գիտելիքների և հմտությունների շարունա</w:t>
      </w:r>
      <w:r w:rsidRPr="00A83C94">
        <w:rPr>
          <w:rFonts w:eastAsia="Calibri"/>
          <w:b w:val="0"/>
          <w:noProof/>
          <w:szCs w:val="22"/>
          <w:lang w:val="hy-AM" w:eastAsia="en-US"/>
        </w:rPr>
        <w:softHyphen/>
        <w:t xml:space="preserve">կական բարելավման ուղղությամբ: Ներդրվելու են մեխանիզմներ առողջապահական կադրային ներուժի տարածքային օպտիմալ բաշխման, մարզային առողջապահական կազմակերպությունները որակյալ կադրերով ապահովելու և բժշկի աշխատանքը մարզում հնարավորինս խրախուսելու համար: </w:t>
      </w:r>
    </w:p>
    <w:p w14:paraId="2DBD5EA0"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Դեղերի անվտանգության, արդյունավետության և որակի ապահովման ոլորտում աշխատանքներ կիրականացվեն հանրապետությունում անվտանգ, արդյունավետ, որակյալ և մատչելի դեղեր ունենալու ուղղությամբ` դեղային ազգային քաղաքականության մշակման, դեղերի շրջանառության բոլոր փուլերի կանոնակարգման, այս ոլորտի պետական վերահսկողության բարելավման, հայրենական արտադրության դեղերի մրցունակության ապահովման և տեղական դեղարտադրության խրախուսման միջոցով: </w:t>
      </w:r>
    </w:p>
    <w:p w14:paraId="54E3F491"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Շարունակվելու են լրացուցիչ միջոցներ ուղղվել պե</w:t>
      </w:r>
      <w:r w:rsidRPr="00A83C94">
        <w:rPr>
          <w:rFonts w:eastAsia="Calibri"/>
          <w:b w:val="0"/>
          <w:noProof/>
          <w:szCs w:val="22"/>
          <w:lang w:val="hy-AM" w:eastAsia="en-US"/>
        </w:rPr>
        <w:softHyphen/>
        <w:t>տության կողմից երաշխավորված անվճար բժշկական օգնության և սպասարկման շրջա</w:t>
      </w:r>
      <w:r w:rsidRPr="00A83C94">
        <w:rPr>
          <w:rFonts w:eastAsia="Calibri"/>
          <w:b w:val="0"/>
          <w:noProof/>
          <w:szCs w:val="22"/>
          <w:lang w:val="hy-AM" w:eastAsia="en-US"/>
        </w:rPr>
        <w:softHyphen/>
        <w:t>նակ</w:t>
      </w:r>
      <w:r w:rsidRPr="00A83C94">
        <w:rPr>
          <w:rFonts w:eastAsia="Calibri"/>
          <w:b w:val="0"/>
          <w:noProof/>
          <w:szCs w:val="22"/>
          <w:lang w:val="hy-AM" w:eastAsia="en-US"/>
        </w:rPr>
        <w:softHyphen/>
        <w:t>նե</w:t>
      </w:r>
      <w:r w:rsidRPr="00A83C94">
        <w:rPr>
          <w:rFonts w:eastAsia="Calibri"/>
          <w:b w:val="0"/>
          <w:noProof/>
          <w:szCs w:val="22"/>
          <w:lang w:val="hy-AM" w:eastAsia="en-US"/>
        </w:rPr>
        <w:softHyphen/>
        <w:t>րում կյանք փրկող գլխուղեղի սուր և/կամ ենթասուր իշեմիկ կաթվածների թրոմբոլիտիկ բուժ</w:t>
      </w:r>
      <w:r w:rsidRPr="00A83C94">
        <w:rPr>
          <w:rFonts w:eastAsia="Calibri"/>
          <w:b w:val="0"/>
          <w:noProof/>
          <w:szCs w:val="22"/>
          <w:lang w:val="hy-AM" w:eastAsia="en-US"/>
        </w:rPr>
        <w:softHyphen/>
        <w:t>ման և մեխանիկական թրոմբէկտոմիա ծառայության զարգացմանը:</w:t>
      </w:r>
    </w:p>
    <w:p w14:paraId="482A53B7"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Վարակիչ և ոչ վարակիչ հիվանդությունների կանխարգելումը ռազմավարական մեկ այլ կարևոր նպատակ է, որի շրջանակներում ապահովվելու է առավել տարածված ոչ վարակիչ հի</w:t>
      </w:r>
      <w:r w:rsidRPr="00A83C94">
        <w:rPr>
          <w:rFonts w:eastAsia="Calibri"/>
          <w:b w:val="0"/>
          <w:noProof/>
          <w:szCs w:val="22"/>
          <w:lang w:val="hy-AM" w:eastAsia="en-US"/>
        </w:rPr>
        <w:softHyphen/>
        <w:t>վան</w:t>
      </w:r>
      <w:r w:rsidRPr="00A83C94">
        <w:rPr>
          <w:rFonts w:eastAsia="Calibri"/>
          <w:b w:val="0"/>
          <w:noProof/>
          <w:szCs w:val="22"/>
          <w:lang w:val="hy-AM" w:eastAsia="en-US"/>
        </w:rPr>
        <w:softHyphen/>
        <w:t>դությունների վաղ հայտնաբերման, ախտորոշման ու կանխարգելման ճանապարհով բնակ</w:t>
      </w:r>
      <w:r w:rsidRPr="00A83C94">
        <w:rPr>
          <w:rFonts w:eastAsia="Calibri"/>
          <w:b w:val="0"/>
          <w:noProof/>
          <w:szCs w:val="22"/>
          <w:lang w:val="hy-AM" w:eastAsia="en-US"/>
        </w:rPr>
        <w:softHyphen/>
        <w:t>չու</w:t>
      </w:r>
      <w:r w:rsidRPr="00A83C94">
        <w:rPr>
          <w:rFonts w:eastAsia="Calibri"/>
          <w:b w:val="0"/>
          <w:noProof/>
          <w:szCs w:val="22"/>
          <w:lang w:val="hy-AM" w:eastAsia="en-US"/>
        </w:rPr>
        <w:softHyphen/>
        <w:t>թյան առողջության հիմնական ցուցանիշների բարելավում և այդ հիվանդությունների բար</w:t>
      </w:r>
      <w:r w:rsidRPr="00A83C94">
        <w:rPr>
          <w:rFonts w:eastAsia="Calibri"/>
          <w:b w:val="0"/>
          <w:noProof/>
          <w:szCs w:val="22"/>
          <w:lang w:val="hy-AM" w:eastAsia="en-US"/>
        </w:rPr>
        <w:softHyphen/>
        <w:t>դու</w:t>
      </w:r>
      <w:r w:rsidRPr="00A83C94">
        <w:rPr>
          <w:rFonts w:eastAsia="Calibri"/>
          <w:b w:val="0"/>
          <w:noProof/>
          <w:szCs w:val="22"/>
          <w:lang w:val="hy-AM" w:eastAsia="en-US"/>
        </w:rPr>
        <w:softHyphen/>
        <w:t>թյուն</w:t>
      </w:r>
      <w:r w:rsidRPr="00A83C94">
        <w:rPr>
          <w:rFonts w:eastAsia="Calibri"/>
          <w:b w:val="0"/>
          <w:noProof/>
          <w:szCs w:val="22"/>
          <w:lang w:val="hy-AM" w:eastAsia="en-US"/>
        </w:rPr>
        <w:softHyphen/>
        <w:t>ների, հաշմանդամության և մահացության ցուցանիշների կրճատում, ինչպես նաև վարակիչ հի</w:t>
      </w:r>
      <w:r w:rsidRPr="00A83C94">
        <w:rPr>
          <w:rFonts w:eastAsia="Calibri"/>
          <w:b w:val="0"/>
          <w:noProof/>
          <w:szCs w:val="22"/>
          <w:lang w:val="hy-AM" w:eastAsia="en-US"/>
        </w:rPr>
        <w:softHyphen/>
        <w:t>վան</w:t>
      </w:r>
      <w:r w:rsidRPr="00A83C94">
        <w:rPr>
          <w:rFonts w:eastAsia="Calibri"/>
          <w:b w:val="0"/>
          <w:noProof/>
          <w:szCs w:val="22"/>
          <w:lang w:val="hy-AM" w:eastAsia="en-US"/>
        </w:rPr>
        <w:softHyphen/>
        <w:t>դություններով հիվանդացության նվազեցում, կառավարելի վարակիչ հի</w:t>
      </w:r>
      <w:r w:rsidRPr="00A83C94">
        <w:rPr>
          <w:rFonts w:eastAsia="Calibri"/>
          <w:b w:val="0"/>
          <w:noProof/>
          <w:szCs w:val="22"/>
          <w:lang w:val="hy-AM" w:eastAsia="en-US"/>
        </w:rPr>
        <w:softHyphen/>
        <w:t>վան</w:t>
      </w:r>
      <w:r w:rsidRPr="00A83C94">
        <w:rPr>
          <w:rFonts w:eastAsia="Calibri"/>
          <w:b w:val="0"/>
          <w:noProof/>
          <w:szCs w:val="22"/>
          <w:lang w:val="hy-AM" w:eastAsia="en-US"/>
        </w:rPr>
        <w:softHyphen/>
        <w:t>դու</w:t>
      </w:r>
      <w:r w:rsidRPr="00A83C94">
        <w:rPr>
          <w:rFonts w:eastAsia="Calibri"/>
          <w:b w:val="0"/>
          <w:noProof/>
          <w:szCs w:val="22"/>
          <w:lang w:val="hy-AM" w:eastAsia="en-US"/>
        </w:rPr>
        <w:softHyphen/>
        <w:t>թյուն</w:t>
      </w:r>
      <w:r w:rsidRPr="00A83C94">
        <w:rPr>
          <w:rFonts w:eastAsia="Calibri"/>
          <w:b w:val="0"/>
          <w:noProof/>
          <w:szCs w:val="22"/>
          <w:lang w:val="hy-AM" w:eastAsia="en-US"/>
        </w:rPr>
        <w:softHyphen/>
        <w:t>նե</w:t>
      </w:r>
      <w:r w:rsidRPr="00A83C94">
        <w:rPr>
          <w:rFonts w:eastAsia="Calibri"/>
          <w:b w:val="0"/>
          <w:noProof/>
          <w:szCs w:val="22"/>
          <w:lang w:val="hy-AM" w:eastAsia="en-US"/>
        </w:rPr>
        <w:softHyphen/>
        <w:t>րից մահվան դեպքերի կանխում և վարակիչ հիվանդությունների նկատմամբ բնակչության անընկալության ապահովում:</w:t>
      </w:r>
    </w:p>
    <w:p w14:paraId="1ADA62AF"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Առողջապահության նախարարության հիմնական խնդիրներից է հանրապետությունում ուռուց</w:t>
      </w:r>
      <w:r w:rsidRPr="00A83C94">
        <w:rPr>
          <w:rFonts w:eastAsia="Calibri"/>
          <w:b w:val="0"/>
          <w:noProof/>
          <w:szCs w:val="22"/>
          <w:lang w:val="hy-AM" w:eastAsia="en-US"/>
        </w:rPr>
        <w:softHyphen/>
        <w:t>քաբանական ծառայությունների շարունակական բարելավումը: Ուռուցքաբանական վի</w:t>
      </w:r>
      <w:r w:rsidRPr="00A83C94">
        <w:rPr>
          <w:rFonts w:eastAsia="Calibri"/>
          <w:b w:val="0"/>
          <w:noProof/>
          <w:szCs w:val="22"/>
          <w:lang w:val="hy-AM" w:eastAsia="en-US"/>
        </w:rPr>
        <w:softHyphen/>
        <w:t>րա</w:t>
      </w:r>
      <w:r w:rsidRPr="00A83C94">
        <w:rPr>
          <w:rFonts w:eastAsia="Calibri"/>
          <w:b w:val="0"/>
          <w:noProof/>
          <w:szCs w:val="22"/>
          <w:lang w:val="hy-AM" w:eastAsia="en-US"/>
        </w:rPr>
        <w:softHyphen/>
      </w:r>
      <w:r w:rsidRPr="00A83C94">
        <w:rPr>
          <w:rFonts w:eastAsia="Calibri"/>
          <w:b w:val="0"/>
          <w:noProof/>
          <w:szCs w:val="22"/>
          <w:lang w:val="hy-AM" w:eastAsia="en-US"/>
        </w:rPr>
        <w:softHyphen/>
      </w:r>
      <w:r w:rsidRPr="00A83C94">
        <w:rPr>
          <w:rFonts w:eastAsia="Calibri"/>
          <w:b w:val="0"/>
          <w:noProof/>
          <w:szCs w:val="22"/>
          <w:lang w:val="hy-AM" w:eastAsia="en-US"/>
        </w:rPr>
        <w:softHyphen/>
        <w:t>հատությունների գների վերանայման, ճառագայթային բուժման դեպքերի, քիմիա</w:t>
      </w:r>
      <w:r w:rsidRPr="00A83C94">
        <w:rPr>
          <w:rFonts w:eastAsia="Calibri"/>
          <w:b w:val="0"/>
          <w:noProof/>
          <w:szCs w:val="22"/>
          <w:lang w:val="hy-AM" w:eastAsia="en-US"/>
        </w:rPr>
        <w:softHyphen/>
        <w:t>թե</w:t>
      </w:r>
      <w:r w:rsidRPr="00A83C94">
        <w:rPr>
          <w:rFonts w:eastAsia="Calibri"/>
          <w:b w:val="0"/>
          <w:noProof/>
          <w:szCs w:val="22"/>
          <w:lang w:val="hy-AM" w:eastAsia="en-US"/>
        </w:rPr>
        <w:softHyphen/>
        <w:t>րա</w:t>
      </w:r>
      <w:r w:rsidRPr="00A83C94">
        <w:rPr>
          <w:rFonts w:eastAsia="Calibri"/>
          <w:b w:val="0"/>
          <w:noProof/>
          <w:szCs w:val="22"/>
          <w:lang w:val="hy-AM" w:eastAsia="en-US"/>
        </w:rPr>
        <w:softHyphen/>
        <w:t>պի</w:t>
      </w:r>
      <w:r w:rsidRPr="00A83C94">
        <w:rPr>
          <w:rFonts w:eastAsia="Calibri"/>
          <w:b w:val="0"/>
          <w:noProof/>
          <w:szCs w:val="22"/>
          <w:lang w:val="hy-AM" w:eastAsia="en-US"/>
        </w:rPr>
        <w:softHyphen/>
        <w:t>ա</w:t>
      </w:r>
      <w:r w:rsidRPr="00A83C94">
        <w:rPr>
          <w:rFonts w:eastAsia="Calibri"/>
          <w:b w:val="0"/>
          <w:noProof/>
          <w:szCs w:val="22"/>
          <w:lang w:val="hy-AM" w:eastAsia="en-US"/>
        </w:rPr>
        <w:softHyphen/>
        <w:t>յի դեղերի ցանկի ընդլայնման և պետության կողմից երաշխավորված անվճար պալիատիվ ծա</w:t>
      </w:r>
      <w:r w:rsidRPr="00A83C94">
        <w:rPr>
          <w:rFonts w:eastAsia="Calibri"/>
          <w:b w:val="0"/>
          <w:noProof/>
          <w:szCs w:val="22"/>
          <w:lang w:val="hy-AM" w:eastAsia="en-US"/>
        </w:rPr>
        <w:softHyphen/>
        <w:t>ռա</w:t>
      </w:r>
      <w:r w:rsidRPr="00A83C94">
        <w:rPr>
          <w:rFonts w:eastAsia="Calibri"/>
          <w:b w:val="0"/>
          <w:noProof/>
          <w:szCs w:val="22"/>
          <w:lang w:val="hy-AM" w:eastAsia="en-US"/>
        </w:rPr>
        <w:softHyphen/>
      </w:r>
      <w:r w:rsidRPr="00A83C94">
        <w:rPr>
          <w:rFonts w:eastAsia="Calibri"/>
          <w:b w:val="0"/>
          <w:noProof/>
          <w:szCs w:val="22"/>
          <w:lang w:val="hy-AM" w:eastAsia="en-US"/>
        </w:rPr>
        <w:softHyphen/>
        <w:t>յության ներդրման միջոցով ուռուցքաբանական հիվանդություններով հիվանդ քաղա</w:t>
      </w:r>
      <w:r w:rsidRPr="00A83C94">
        <w:rPr>
          <w:rFonts w:eastAsia="Calibri"/>
          <w:b w:val="0"/>
          <w:noProof/>
          <w:szCs w:val="22"/>
          <w:lang w:val="hy-AM" w:eastAsia="en-US"/>
        </w:rPr>
        <w:softHyphen/>
        <w:t>քա</w:t>
      </w:r>
      <w:r w:rsidRPr="00A83C94">
        <w:rPr>
          <w:rFonts w:eastAsia="Calibri"/>
          <w:b w:val="0"/>
          <w:noProof/>
          <w:szCs w:val="22"/>
          <w:lang w:val="hy-AM" w:eastAsia="en-US"/>
        </w:rPr>
        <w:softHyphen/>
        <w:t>ցի</w:t>
      </w:r>
      <w:r w:rsidRPr="00A83C94">
        <w:rPr>
          <w:rFonts w:eastAsia="Calibri"/>
          <w:b w:val="0"/>
          <w:noProof/>
          <w:szCs w:val="22"/>
          <w:lang w:val="hy-AM" w:eastAsia="en-US"/>
        </w:rPr>
        <w:softHyphen/>
        <w:t>նե</w:t>
      </w:r>
      <w:r w:rsidRPr="00A83C94">
        <w:rPr>
          <w:rFonts w:eastAsia="Calibri"/>
          <w:b w:val="0"/>
          <w:noProof/>
          <w:szCs w:val="22"/>
          <w:lang w:val="hy-AM" w:eastAsia="en-US"/>
        </w:rPr>
        <w:softHyphen/>
        <w:t>րին մատուցվելու են որակյալ բժշկական օգնության և սպասարկման ծառայություններ, միա</w:t>
      </w:r>
      <w:r w:rsidRPr="00A83C94">
        <w:rPr>
          <w:rFonts w:eastAsia="Calibri"/>
          <w:b w:val="0"/>
          <w:noProof/>
          <w:szCs w:val="22"/>
          <w:lang w:val="hy-AM" w:eastAsia="en-US"/>
        </w:rPr>
        <w:softHyphen/>
        <w:t>ժա</w:t>
      </w:r>
      <w:r w:rsidRPr="00A83C94">
        <w:rPr>
          <w:rFonts w:eastAsia="Calibri"/>
          <w:b w:val="0"/>
          <w:noProof/>
          <w:szCs w:val="22"/>
          <w:lang w:val="hy-AM" w:eastAsia="en-US"/>
        </w:rPr>
        <w:softHyphen/>
        <w:t>մա</w:t>
      </w:r>
      <w:r w:rsidRPr="00A83C94">
        <w:rPr>
          <w:rFonts w:eastAsia="Calibri"/>
          <w:b w:val="0"/>
          <w:noProof/>
          <w:szCs w:val="22"/>
          <w:lang w:val="hy-AM" w:eastAsia="en-US"/>
        </w:rPr>
        <w:softHyphen/>
        <w:t>նակ վերջիններիս «փրկելով» հիվանդության բուժման հետ կապված կործանարար ծախ</w:t>
      </w:r>
      <w:r w:rsidRPr="00A83C94">
        <w:rPr>
          <w:rFonts w:eastAsia="Calibri"/>
          <w:b w:val="0"/>
          <w:noProof/>
          <w:szCs w:val="22"/>
          <w:lang w:val="hy-AM" w:eastAsia="en-US"/>
        </w:rPr>
        <w:softHyphen/>
        <w:t>սեր կա</w:t>
      </w:r>
      <w:r w:rsidRPr="00A83C94">
        <w:rPr>
          <w:rFonts w:eastAsia="Calibri"/>
          <w:b w:val="0"/>
          <w:noProof/>
          <w:szCs w:val="22"/>
          <w:lang w:val="hy-AM" w:eastAsia="en-US"/>
        </w:rPr>
        <w:softHyphen/>
        <w:t>տարելու վտանգներից:</w:t>
      </w:r>
    </w:p>
    <w:p w14:paraId="470886D3"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Նախատեսվում է նոր տեխնոլոգիաների կիրառմամբ իրականացնել մարդու օրգանների (երի</w:t>
      </w:r>
      <w:r w:rsidRPr="00A83C94">
        <w:rPr>
          <w:rFonts w:eastAsia="Calibri"/>
          <w:b w:val="0"/>
          <w:noProof/>
          <w:szCs w:val="22"/>
          <w:lang w:val="hy-AM" w:eastAsia="en-US"/>
        </w:rPr>
        <w:softHyphen/>
        <w:t>կամ) և ոսկրածուծի/ցողունային բջիջների փոխպատվաստման ծառայություններ, որոնք կբա</w:t>
      </w:r>
      <w:r w:rsidRPr="00A83C94">
        <w:rPr>
          <w:rFonts w:eastAsia="Calibri"/>
          <w:b w:val="0"/>
          <w:noProof/>
          <w:szCs w:val="22"/>
          <w:lang w:val="hy-AM" w:eastAsia="en-US"/>
        </w:rPr>
        <w:softHyphen/>
      </w:r>
      <w:r w:rsidRPr="00A83C94">
        <w:rPr>
          <w:rFonts w:eastAsia="Calibri"/>
          <w:b w:val="0"/>
          <w:noProof/>
          <w:szCs w:val="22"/>
          <w:lang w:val="hy-AM" w:eastAsia="en-US"/>
        </w:rPr>
        <w:softHyphen/>
        <w:t>րելավեն քրոնիկ երիկամային անբավարությամբ և արյան չարորակ հիվանդություններով տա</w:t>
      </w:r>
      <w:r w:rsidRPr="00A83C94">
        <w:rPr>
          <w:rFonts w:eastAsia="Calibri"/>
          <w:b w:val="0"/>
          <w:noProof/>
          <w:szCs w:val="22"/>
          <w:lang w:val="hy-AM" w:eastAsia="en-US"/>
        </w:rPr>
        <w:softHyphen/>
      </w:r>
      <w:r w:rsidRPr="00A83C94">
        <w:rPr>
          <w:rFonts w:eastAsia="Calibri"/>
          <w:b w:val="0"/>
          <w:noProof/>
          <w:szCs w:val="22"/>
          <w:lang w:val="hy-AM" w:eastAsia="en-US"/>
        </w:rPr>
        <w:softHyphen/>
        <w:t>ռապող անձանց կյանքի որակը և ապրելիության ցուցանիշը:</w:t>
      </w:r>
    </w:p>
    <w:p w14:paraId="2D292FC9" w14:textId="77777777" w:rsidR="005F226A" w:rsidRPr="00A83C94" w:rsidRDefault="005F226A" w:rsidP="005D2928">
      <w:pPr>
        <w:spacing w:before="0" w:line="276" w:lineRule="auto"/>
        <w:ind w:firstLine="720"/>
        <w:rPr>
          <w:rFonts w:eastAsia="Calibri"/>
          <w:b w:val="0"/>
          <w:noProof/>
          <w:szCs w:val="22"/>
          <w:lang w:val="hy-AM" w:eastAsia="en-US"/>
        </w:rPr>
      </w:pPr>
      <w:r w:rsidRPr="00A83C94">
        <w:rPr>
          <w:rFonts w:eastAsia="Calibri"/>
          <w:b w:val="0"/>
          <w:noProof/>
          <w:szCs w:val="22"/>
          <w:lang w:val="hy-AM" w:eastAsia="en-US"/>
        </w:rPr>
        <w:t xml:space="preserve">Իրականացվելու են կապիտալ ծախսեր` մարզային առողջապահական կազմակերպությունների շենքային և նյութատեխնիկական պայմանների բարելավման նպատակով: </w:t>
      </w:r>
    </w:p>
    <w:p w14:paraId="201AF169" w14:textId="77777777" w:rsidR="005F226A" w:rsidRPr="00A83C94" w:rsidRDefault="005F226A" w:rsidP="005D2928">
      <w:pPr>
        <w:spacing w:before="0" w:line="276" w:lineRule="auto"/>
        <w:ind w:firstLine="720"/>
        <w:rPr>
          <w:rFonts w:eastAsia="Calibri"/>
          <w:b w:val="0"/>
          <w:noProof/>
          <w:szCs w:val="22"/>
          <w:lang w:val="hy-AM" w:eastAsia="en-US"/>
        </w:rPr>
      </w:pPr>
    </w:p>
    <w:p w14:paraId="44AC163F"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79" w:name="_Toc83567452"/>
      <w:bookmarkStart w:id="80" w:name="_Toc89428275"/>
      <w:r w:rsidRPr="00A83C94">
        <w:rPr>
          <w:rFonts w:cs="Arial"/>
          <w:szCs w:val="22"/>
          <w:lang w:val="hy-AM" w:eastAsia="en-US"/>
        </w:rPr>
        <w:t>Աշխատանքի և սոցիալական պաշտպանություն</w:t>
      </w:r>
      <w:bookmarkEnd w:id="79"/>
      <w:bookmarkEnd w:id="80"/>
    </w:p>
    <w:p w14:paraId="6620879D" w14:textId="77777777" w:rsidR="007B120D" w:rsidRPr="00A83C94" w:rsidRDefault="007B120D" w:rsidP="007B120D">
      <w:pPr>
        <w:pStyle w:val="BodyText"/>
        <w:tabs>
          <w:tab w:val="right" w:pos="9540"/>
        </w:tabs>
        <w:spacing w:line="276" w:lineRule="auto"/>
        <w:ind w:firstLine="709"/>
        <w:jc w:val="both"/>
        <w:rPr>
          <w:rFonts w:ascii="GHEA Grapalat" w:hAnsi="GHEA Grapalat"/>
          <w:b w:val="0"/>
          <w:i/>
          <w:sz w:val="22"/>
          <w:szCs w:val="22"/>
          <w:u w:val="single"/>
          <w:lang w:val="hy-AM"/>
        </w:rPr>
      </w:pPr>
      <w:bookmarkStart w:id="81" w:name="_Toc26174904"/>
      <w:bookmarkEnd w:id="78"/>
      <w:r w:rsidRPr="00A83C94">
        <w:rPr>
          <w:rFonts w:ascii="GHEA Grapalat" w:hAnsi="GHEA Grapalat" w:cs="Sylfaen"/>
          <w:sz w:val="22"/>
          <w:szCs w:val="22"/>
          <w:lang w:val="fr-FR"/>
        </w:rPr>
        <w:t>Աշխատանքի</w:t>
      </w:r>
      <w:r w:rsidRPr="00A83C94">
        <w:rPr>
          <w:rFonts w:ascii="GHEA Grapalat" w:hAnsi="GHEA Grapalat"/>
          <w:sz w:val="22"/>
          <w:szCs w:val="22"/>
          <w:lang w:val="fr-FR"/>
        </w:rPr>
        <w:t xml:space="preserve"> </w:t>
      </w:r>
      <w:r w:rsidRPr="00A83C94">
        <w:rPr>
          <w:rFonts w:ascii="GHEA Grapalat" w:hAnsi="GHEA Grapalat" w:cs="Sylfaen"/>
          <w:sz w:val="22"/>
          <w:szCs w:val="22"/>
          <w:lang w:val="fr-FR"/>
        </w:rPr>
        <w:t>և</w:t>
      </w:r>
      <w:r w:rsidRPr="00A83C94">
        <w:rPr>
          <w:rFonts w:ascii="GHEA Grapalat" w:hAnsi="GHEA Grapalat"/>
          <w:sz w:val="22"/>
          <w:szCs w:val="22"/>
          <w:lang w:val="fr-FR"/>
        </w:rPr>
        <w:t xml:space="preserve"> </w:t>
      </w:r>
      <w:r w:rsidRPr="00A83C94">
        <w:rPr>
          <w:rFonts w:ascii="GHEA Grapalat" w:hAnsi="GHEA Grapalat" w:cs="Sylfaen"/>
          <w:sz w:val="22"/>
          <w:szCs w:val="22"/>
          <w:lang w:val="fr-FR"/>
        </w:rPr>
        <w:t>ս</w:t>
      </w:r>
      <w:r w:rsidRPr="00A83C94">
        <w:rPr>
          <w:rFonts w:ascii="GHEA Grapalat" w:hAnsi="GHEA Grapalat" w:cs="Sylfaen"/>
          <w:sz w:val="22"/>
          <w:szCs w:val="22"/>
          <w:lang w:val="hy-AM"/>
        </w:rPr>
        <w:t>ո</w:t>
      </w:r>
      <w:r w:rsidRPr="00A83C94">
        <w:rPr>
          <w:rFonts w:ascii="GHEA Grapalat" w:hAnsi="GHEA Grapalat" w:cs="Sylfaen"/>
          <w:sz w:val="22"/>
          <w:szCs w:val="22"/>
          <w:lang w:val="fr-FR"/>
        </w:rPr>
        <w:t>ցիալական</w:t>
      </w:r>
      <w:r w:rsidRPr="00A83C94">
        <w:rPr>
          <w:rFonts w:ascii="GHEA Grapalat" w:hAnsi="GHEA Grapalat"/>
          <w:sz w:val="22"/>
          <w:szCs w:val="22"/>
          <w:lang w:val="fr-FR"/>
        </w:rPr>
        <w:t xml:space="preserve"> </w:t>
      </w:r>
      <w:r w:rsidRPr="00A83C94">
        <w:rPr>
          <w:rFonts w:ascii="GHEA Grapalat" w:hAnsi="GHEA Grapalat" w:cs="Sylfaen"/>
          <w:sz w:val="22"/>
          <w:szCs w:val="22"/>
          <w:lang w:val="fr-FR"/>
        </w:rPr>
        <w:t>պաշտպանությ</w:t>
      </w:r>
      <w:r w:rsidRPr="00A83C94">
        <w:rPr>
          <w:rFonts w:ascii="GHEA Grapalat" w:hAnsi="GHEA Grapalat" w:cs="Sylfaen"/>
          <w:sz w:val="22"/>
          <w:szCs w:val="22"/>
          <w:lang w:val="hy-AM"/>
        </w:rPr>
        <w:t>ան</w:t>
      </w:r>
      <w:r w:rsidRPr="00A83C94">
        <w:rPr>
          <w:rFonts w:ascii="GHEA Grapalat" w:hAnsi="GHEA Grapalat" w:cs="Sylfaen"/>
          <w:b w:val="0"/>
          <w:i/>
          <w:sz w:val="22"/>
          <w:szCs w:val="22"/>
          <w:lang w:val="fr-FR"/>
        </w:rPr>
        <w:t xml:space="preserve"> </w:t>
      </w:r>
      <w:r w:rsidRPr="00A83C94">
        <w:rPr>
          <w:rFonts w:ascii="GHEA Grapalat" w:hAnsi="GHEA Grapalat"/>
          <w:b w:val="0"/>
          <w:sz w:val="22"/>
          <w:szCs w:val="22"/>
          <w:lang w:val="fr-FR"/>
        </w:rPr>
        <w:t xml:space="preserve">ոլորտի հիմնական խնդիրներն ուղղակիորեն առնչվում և համընկում են ՀՀ կառավարության ծրագրի նպատակներին: </w:t>
      </w:r>
    </w:p>
    <w:p w14:paraId="08FF7AB7" w14:textId="77777777" w:rsidR="007B120D" w:rsidRPr="00A83C94" w:rsidRDefault="007B120D" w:rsidP="0005274F">
      <w:pPr>
        <w:spacing w:before="0" w:line="276" w:lineRule="auto"/>
        <w:ind w:firstLine="706"/>
        <w:rPr>
          <w:b w:val="0"/>
          <w:szCs w:val="22"/>
          <w:lang w:val="fr-FR"/>
        </w:rPr>
      </w:pPr>
      <w:r w:rsidRPr="00A83C94">
        <w:rPr>
          <w:b w:val="0"/>
          <w:szCs w:val="22"/>
          <w:lang w:val="fr-FR"/>
        </w:rPr>
        <w:t>2022թ. Աշխատանքի և սոցիալական հարցերի նախարարության համար գերակա վերջնական արդյունքներ են պետական միջոցների շրջանակում շահառուներին մատուցվող ծառայությունների որակի շարունակական բարձրացումը՝ միաժամանակ ապահովելով աշխատանքի և սոցիալական պաշտպանության ոլորտային առանձին խնդիրներին համակարգային և համալիր լուծումների մշակմամբ և ինստիտուտների զարգացմամբ։</w:t>
      </w:r>
    </w:p>
    <w:p w14:paraId="4C136871" w14:textId="6DA9024F" w:rsidR="007B120D" w:rsidRPr="00A83C94" w:rsidRDefault="007B120D" w:rsidP="007B120D">
      <w:pPr>
        <w:spacing w:line="276" w:lineRule="auto"/>
        <w:ind w:firstLine="709"/>
        <w:rPr>
          <w:rFonts w:cs="Sylfaen"/>
          <w:b w:val="0"/>
          <w:szCs w:val="22"/>
          <w:lang w:val="hy-AM"/>
        </w:rPr>
      </w:pPr>
      <w:r w:rsidRPr="00A83C94">
        <w:rPr>
          <w:rFonts w:cs="Sylfaen"/>
          <w:b w:val="0"/>
          <w:szCs w:val="22"/>
          <w:lang w:val="hy-AM"/>
        </w:rPr>
        <w:t>Ժողովրդագրության և ընտանիքի սոցիալական երաշխիքների բնագավառում նախատեսվում է պետական նպաստների քաղաքականության մեջ շարունակել ընտանիքների անապահովության (սոցիալական) գնահատման համակարգի հասցեականության բարձրացմանն ուղղված միջոցառումների իրականացումը,  վերսկսվելու են նոր համակարգ ներդնելու աշխատանքները, ինչը սոցիալական աջակցության ծրագրերը կդարձնի  ավելի հասցեական</w:t>
      </w:r>
      <w:r w:rsidR="002A233E" w:rsidRPr="00A83C94">
        <w:rPr>
          <w:rFonts w:cs="Sylfaen"/>
          <w:b w:val="0"/>
          <w:szCs w:val="22"/>
          <w:lang w:val="hy-AM"/>
        </w:rPr>
        <w:t xml:space="preserve"> </w:t>
      </w:r>
      <w:r w:rsidRPr="00A83C94">
        <w:rPr>
          <w:rFonts w:cs="Sylfaen"/>
          <w:b w:val="0"/>
          <w:szCs w:val="22"/>
          <w:lang w:val="hy-AM"/>
        </w:rPr>
        <w:t>և նպատակային: Սկզբնավորված է ինտեգրված սոցիալական ծառայությունների համակարգի կատարելագործումը, որում կարևորվում է միջգերատեսչական սոցիալական համագործակցությունը և համագործակցությունը ոչ պետական կազմակերպությունների հետ: Միջոցներ են ձեռնարկվելու նորաստեղծ միասնական սոցիալական ծառայության աշխատողների պրոֆեսիոնալիզմի բարձրացման և ծառայության տեխնիկապես հագեցվածության, ինչպես նաև ընդհանուր կարողությունների հզորացման ուղղությամբ: Ներկայում շարունակվում են սոցիալական դեպքի վարման գործառնական հենքի ձևավորման, ինչպես նաև տեղեկատվական համակարգի կատարելագործման աշխատանքները: Շարունակվելու են սոցիալապես անապահով և հատուկ խմբերին դասված անձանց կացարանի խնդրի լուծման նպատակով սոցիալական բնակարանային ֆոնդի ձևավորման, կացարանի և այլ սոցիալական ծառայությունների տրամադրման հասցեական ծրագրերի իրականացման աշխատանքները: 2022 թվականին շարունակվելու է «Երեխա ունեցող ընտանիքների բնակարանային ապահովության 2020-2023թթ. պետական աջակցության ծրագրերի» իրականացումը, որի հիմնական նպատակն է աջակցել երեխա ունեցող ընտանիքների բնակարանային պայմանների բարելավմանը</w:t>
      </w:r>
      <w:r w:rsidR="00EE3294" w:rsidRPr="00A83C94">
        <w:rPr>
          <w:rFonts w:cs="Sylfaen"/>
          <w:b w:val="0"/>
          <w:szCs w:val="22"/>
          <w:lang w:val="hy-AM"/>
        </w:rPr>
        <w:t>:</w:t>
      </w:r>
    </w:p>
    <w:p w14:paraId="24287DA4" w14:textId="77777777" w:rsidR="0005274F" w:rsidRPr="00A83C94" w:rsidRDefault="0005274F" w:rsidP="0005274F">
      <w:pPr>
        <w:spacing w:line="276" w:lineRule="auto"/>
        <w:ind w:firstLine="709"/>
        <w:rPr>
          <w:rFonts w:cs="Sylfaen"/>
          <w:b w:val="0"/>
          <w:szCs w:val="22"/>
          <w:lang w:val="hy-AM"/>
        </w:rPr>
      </w:pPr>
      <w:r w:rsidRPr="00A83C94">
        <w:rPr>
          <w:rFonts w:cs="Sylfaen"/>
          <w:b w:val="0"/>
          <w:szCs w:val="22"/>
          <w:lang w:val="hy-AM"/>
        </w:rPr>
        <w:t>Ծնելիությունը խթանելու և բազմազավակ ընտանիքներին պետական աջակցություն ցուցաբերելու նպատակով 2022թ. հունվարի 1-ից հետո ընտանիքում 3-րդ և յուրաքանչյուր հաջորդ երեխայի ծնվելու կապակցությամբ նոր ծնված երեխայի ծնողին կնշանակվի և մինչև երեխայի 6 տարեկանը լրանալը կվճարվի դրամական աջակցություն՝ ամսական 50000 դրամի չափով։ Միջոցառման շարունակականության հարցը կքննարկվի 2026թ.՝ նախորդ ժամանակահատվածի արդյունավետության գնահատականի հիման վրա:</w:t>
      </w:r>
    </w:p>
    <w:p w14:paraId="1F9A861A" w14:textId="77777777" w:rsidR="007B120D" w:rsidRPr="00A83C94" w:rsidRDefault="007B120D" w:rsidP="007B120D">
      <w:pPr>
        <w:spacing w:line="276" w:lineRule="auto"/>
        <w:ind w:firstLine="709"/>
        <w:rPr>
          <w:rFonts w:cs="Sylfaen"/>
          <w:b w:val="0"/>
          <w:szCs w:val="22"/>
          <w:lang w:val="hy-AM"/>
        </w:rPr>
      </w:pPr>
      <w:r w:rsidRPr="00A83C94">
        <w:rPr>
          <w:rFonts w:cs="Sylfaen"/>
          <w:szCs w:val="22"/>
          <w:lang w:val="hy-AM"/>
        </w:rPr>
        <w:t>Աշխատանքի և զբաղվածության բնագավառում</w:t>
      </w:r>
      <w:r w:rsidRPr="00A83C94">
        <w:rPr>
          <w:rFonts w:cs="Sylfaen"/>
          <w:b w:val="0"/>
          <w:szCs w:val="22"/>
          <w:lang w:val="hy-AM"/>
        </w:rPr>
        <w:t xml:space="preserve"> պետական քաղաքականության մեջ կարևորվում են զբաղվածության կարգավորման պետական ծրագրերի հասցեականության ու արդյունավետության բարձրացումը, արժանապատիվ աշխատանքի իրավունքի իրացման նպատակով՝ աշխատանքային հարաբերությունների կարգավորման մեխանիզմների պարզեցումը և բարելավումը՝ համապատասխանեցվելով նաև Հայաստանի Հանրապետության ստանձնած միջազգային պարտավորություններին, աշխատողների իրավունքների պաշտպանության համակարգի բարելավման նպատակով՝ պետական վերահսկողություն իրականացնող լիազոր տեսչական մարմնի կարողությունների հզորացումը, պետական հատվածի աշխատողների սոցիալական երաշխիքների ընդլայնումը։</w:t>
      </w:r>
    </w:p>
    <w:p w14:paraId="06175F20" w14:textId="77777777" w:rsidR="007B120D" w:rsidRPr="00A83C94" w:rsidRDefault="007B120D" w:rsidP="007B120D">
      <w:pPr>
        <w:spacing w:line="276" w:lineRule="auto"/>
        <w:ind w:firstLine="709"/>
        <w:rPr>
          <w:rFonts w:cs="Browallia New"/>
          <w:b w:val="0"/>
          <w:szCs w:val="22"/>
          <w:lang w:val="fr-FR"/>
        </w:rPr>
      </w:pPr>
      <w:r w:rsidRPr="00A83C94">
        <w:rPr>
          <w:rFonts w:cs="Browallia New"/>
          <w:szCs w:val="22"/>
          <w:lang w:val="fr-FR"/>
        </w:rPr>
        <w:t>Երեխաների հիմնահարցերի բնագավառում</w:t>
      </w:r>
      <w:r w:rsidRPr="00A83C94">
        <w:rPr>
          <w:rFonts w:cs="Browallia New"/>
          <w:b w:val="0"/>
          <w:szCs w:val="22"/>
          <w:lang w:val="fr-FR"/>
        </w:rPr>
        <w:t xml:space="preserve"> աշխատանքներն ուղղված են կյանքի դժվարին իրավիճակում հայտնված երեխաների և նրանց ընտանիքների սոցիալական պաշտպանությանը, հաստատություններում նրանց խնամքի, դաստիարակության, ուսման և ֆիզիկական զարգացման համար նպաստավոր պայմանների ստեղծմանը, ինչպես նաև թրաֆիքինգի և սեռի հատկանիշով բռնության երևույթի կանխարգելմանը: Կշարունակվի երեխաների՝ շուրջօրյա խնամքի հաստատություններից դուրսբերումը և ընտանիքների հետ վերամիավորումը:</w:t>
      </w:r>
    </w:p>
    <w:p w14:paraId="49A913A2" w14:textId="77777777" w:rsidR="007B120D" w:rsidRPr="00A83C94" w:rsidRDefault="007B120D" w:rsidP="007B120D">
      <w:pPr>
        <w:spacing w:line="276" w:lineRule="auto"/>
        <w:ind w:firstLine="709"/>
        <w:rPr>
          <w:rFonts w:cs="Browallia New"/>
          <w:b w:val="0"/>
          <w:szCs w:val="22"/>
          <w:lang w:val="fr-FR"/>
        </w:rPr>
      </w:pPr>
      <w:r w:rsidRPr="00A83C94">
        <w:rPr>
          <w:rFonts w:cs="Browallia New"/>
          <w:szCs w:val="22"/>
          <w:lang w:val="fr-FR"/>
        </w:rPr>
        <w:t>Մարդկանց թրաֆիքինգի և կանանց հիմնահարցերի բնագավառում</w:t>
      </w:r>
      <w:r w:rsidRPr="00A83C94">
        <w:rPr>
          <w:rFonts w:cs="Browallia New"/>
          <w:b w:val="0"/>
          <w:szCs w:val="22"/>
          <w:u w:val="single"/>
          <w:lang w:val="fr-FR"/>
        </w:rPr>
        <w:t xml:space="preserve"> </w:t>
      </w:r>
      <w:r w:rsidRPr="00A83C94">
        <w:rPr>
          <w:rFonts w:cs="Browallia New"/>
          <w:b w:val="0"/>
          <w:szCs w:val="22"/>
          <w:lang w:val="fr-FR"/>
        </w:rPr>
        <w:t>պետական քաղաքականությունը ուղղված է լինելու Հանրապետությունում մարդկանց շահագործման երևույթի կանխարգելման գործընթացի շարունակականության ապահովմանը:</w:t>
      </w:r>
    </w:p>
    <w:p w14:paraId="766312DA" w14:textId="77777777" w:rsidR="007B120D" w:rsidRPr="00A83C94" w:rsidRDefault="007B120D" w:rsidP="007B120D">
      <w:pPr>
        <w:pStyle w:val="BodyText"/>
        <w:spacing w:line="276" w:lineRule="auto"/>
        <w:ind w:firstLine="709"/>
        <w:jc w:val="both"/>
        <w:rPr>
          <w:rFonts w:ascii="GHEA Grapalat" w:eastAsia="Calibri" w:hAnsi="GHEA Grapalat"/>
          <w:b w:val="0"/>
          <w:sz w:val="22"/>
          <w:szCs w:val="22"/>
          <w:lang w:val="fr-FR"/>
        </w:rPr>
      </w:pPr>
      <w:r w:rsidRPr="00A83C94">
        <w:rPr>
          <w:rFonts w:ascii="GHEA Grapalat" w:hAnsi="GHEA Grapalat" w:cs="Browallia New"/>
          <w:sz w:val="22"/>
          <w:szCs w:val="22"/>
          <w:lang w:val="hy-AM"/>
        </w:rPr>
        <w:t>Հաշմանդամություն ունեցող անձանց հիմնահարցերի բնագավառում</w:t>
      </w:r>
      <w:r w:rsidRPr="00A83C94">
        <w:rPr>
          <w:rFonts w:ascii="GHEA Grapalat" w:hAnsi="GHEA Grapalat" w:cs="Browallia New"/>
          <w:b w:val="0"/>
          <w:sz w:val="22"/>
          <w:szCs w:val="22"/>
          <w:lang w:val="hy-AM"/>
        </w:rPr>
        <w:t xml:space="preserve"> </w:t>
      </w:r>
      <w:r w:rsidRPr="00A83C94">
        <w:rPr>
          <w:rFonts w:ascii="GHEA Grapalat" w:eastAsia="Calibri" w:hAnsi="GHEA Grapalat" w:cs="Sylfaen"/>
          <w:b w:val="0"/>
          <w:sz w:val="22"/>
          <w:szCs w:val="22"/>
          <w:lang w:val="hy-AM"/>
        </w:rPr>
        <w:t xml:space="preserve">շարունակվելու են աշխատանքներն ուղղված </w:t>
      </w:r>
      <w:r w:rsidRPr="00A83C94">
        <w:rPr>
          <w:rFonts w:ascii="GHEA Grapalat" w:eastAsia="Calibri" w:hAnsi="GHEA Grapalat" w:cs="Sylfaen"/>
          <w:b w:val="0"/>
          <w:sz w:val="22"/>
          <w:szCs w:val="22"/>
          <w:lang w:val="fr-FR"/>
        </w:rPr>
        <w:t>հաշմանդամ</w:t>
      </w:r>
      <w:r w:rsidRPr="00A83C94">
        <w:rPr>
          <w:rFonts w:ascii="GHEA Grapalat" w:eastAsia="Calibri" w:hAnsi="GHEA Grapalat" w:cs="Sylfaen"/>
          <w:b w:val="0"/>
          <w:sz w:val="22"/>
          <w:szCs w:val="22"/>
          <w:lang w:val="hy-AM"/>
        </w:rPr>
        <w:t>ություն</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ունեցող</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անձանց</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իրավունքների</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 xml:space="preserve">պաշտպանությանը և հավասար հնարավորությունների ապահովմանը` </w:t>
      </w:r>
      <w:r w:rsidRPr="00A83C94">
        <w:rPr>
          <w:rFonts w:ascii="GHEA Grapalat" w:eastAsia="Calibri" w:hAnsi="GHEA Grapalat" w:cs="Sylfaen"/>
          <w:b w:val="0"/>
          <w:iCs/>
          <w:sz w:val="22"/>
          <w:szCs w:val="22"/>
          <w:lang w:val="de-AT"/>
        </w:rPr>
        <w:t>բնագավառ</w:t>
      </w:r>
      <w:r w:rsidRPr="00A83C94">
        <w:rPr>
          <w:rFonts w:ascii="GHEA Grapalat" w:eastAsia="Calibri" w:hAnsi="GHEA Grapalat" w:cs="Sylfaen"/>
          <w:b w:val="0"/>
          <w:sz w:val="22"/>
          <w:szCs w:val="22"/>
          <w:lang w:val="fr-FR"/>
        </w:rPr>
        <w:t>ի</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օրենսդրության</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կատարելագործ</w:t>
      </w:r>
      <w:r w:rsidRPr="00A83C94">
        <w:rPr>
          <w:rFonts w:ascii="GHEA Grapalat" w:eastAsia="Calibri" w:hAnsi="GHEA Grapalat" w:cs="Sylfaen"/>
          <w:b w:val="0"/>
          <w:sz w:val="22"/>
          <w:szCs w:val="22"/>
          <w:lang w:val="hy-AM"/>
        </w:rPr>
        <w:t xml:space="preserve">ման և </w:t>
      </w:r>
      <w:r w:rsidRPr="00A83C94">
        <w:rPr>
          <w:rFonts w:ascii="GHEA Grapalat" w:eastAsia="Calibri" w:hAnsi="GHEA Grapalat" w:cs="Sylfaen"/>
          <w:b w:val="0"/>
          <w:sz w:val="22"/>
          <w:szCs w:val="22"/>
          <w:lang w:val="fr-FR"/>
        </w:rPr>
        <w:t>հաշմանդամություն</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ունեցող</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fr-FR"/>
        </w:rPr>
        <w:t>անձ</w:t>
      </w:r>
      <w:r w:rsidRPr="00A83C94">
        <w:rPr>
          <w:rFonts w:ascii="GHEA Grapalat" w:eastAsia="Calibri" w:hAnsi="GHEA Grapalat" w:cs="Sylfaen"/>
          <w:b w:val="0"/>
          <w:sz w:val="22"/>
          <w:szCs w:val="22"/>
          <w:lang w:val="hy-AM"/>
        </w:rPr>
        <w:t>ի գնահատված կարիքին համարժեք ծառայությունների մատուցման միջոցով</w:t>
      </w:r>
      <w:r w:rsidRPr="00A83C94">
        <w:rPr>
          <w:rFonts w:ascii="GHEA Grapalat" w:eastAsia="Calibri" w:hAnsi="GHEA Grapalat"/>
          <w:b w:val="0"/>
          <w:sz w:val="22"/>
          <w:szCs w:val="22"/>
          <w:lang w:val="hy-AM"/>
        </w:rPr>
        <w:t>:</w:t>
      </w:r>
      <w:r w:rsidRPr="00A83C94">
        <w:rPr>
          <w:rFonts w:ascii="GHEA Grapalat" w:eastAsia="Calibri" w:hAnsi="GHEA Grapalat"/>
          <w:b w:val="0"/>
          <w:sz w:val="22"/>
          <w:szCs w:val="22"/>
          <w:lang w:val="fr-FR"/>
        </w:rPr>
        <w:t xml:space="preserve"> </w:t>
      </w:r>
      <w:r w:rsidRPr="00A83C94">
        <w:rPr>
          <w:rFonts w:ascii="GHEA Grapalat" w:eastAsia="Calibri" w:hAnsi="GHEA Grapalat" w:cs="Sylfaen"/>
          <w:b w:val="0"/>
          <w:sz w:val="22"/>
          <w:szCs w:val="22"/>
          <w:lang w:val="hy-AM"/>
        </w:rPr>
        <w:t>Շարունակվելու են աշխատանքները</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հաշմանդամություն</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ունեցող</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անձի</w:t>
      </w:r>
      <w:r w:rsidRPr="00A83C94">
        <w:rPr>
          <w:rFonts w:ascii="GHEA Grapalat" w:eastAsia="Calibri" w:hAnsi="GHEA Grapalat"/>
          <w:b w:val="0"/>
          <w:sz w:val="22"/>
          <w:szCs w:val="22"/>
          <w:lang w:val="hy-AM"/>
        </w:rPr>
        <w:t xml:space="preserve"> </w:t>
      </w:r>
      <w:r w:rsidRPr="00A83C94">
        <w:rPr>
          <w:rFonts w:ascii="GHEA Grapalat" w:eastAsia="Calibri" w:hAnsi="GHEA Grapalat" w:cs="Sylfaen"/>
          <w:b w:val="0"/>
          <w:sz w:val="22"/>
          <w:szCs w:val="22"/>
          <w:lang w:val="hy-AM"/>
        </w:rPr>
        <w:t>կարիքի բազմակողմանի գնահատման</w:t>
      </w:r>
      <w:r w:rsidRPr="00A83C94">
        <w:rPr>
          <w:rFonts w:ascii="GHEA Grapalat" w:eastAsia="Calibri" w:hAnsi="GHEA Grapalat"/>
          <w:b w:val="0"/>
          <w:sz w:val="22"/>
          <w:szCs w:val="22"/>
          <w:lang w:val="hy-AM"/>
        </w:rPr>
        <w:t xml:space="preserve"> </w:t>
      </w:r>
      <w:r w:rsidRPr="00A83C94">
        <w:rPr>
          <w:rFonts w:ascii="GHEA Grapalat" w:eastAsia="Calibri" w:hAnsi="GHEA Grapalat" w:cs="Calibri"/>
          <w:b w:val="0"/>
          <w:sz w:val="22"/>
          <w:szCs w:val="22"/>
          <w:lang w:val="hy-AM"/>
        </w:rPr>
        <w:t xml:space="preserve">և գնահատման արդյունքներով համապատասխան ծառայությունների որոշարկման նոր մոդել </w:t>
      </w:r>
      <w:r w:rsidRPr="00A83C94">
        <w:rPr>
          <w:rFonts w:ascii="GHEA Grapalat" w:eastAsia="Calibri" w:hAnsi="GHEA Grapalat" w:cs="Sylfaen"/>
          <w:b w:val="0"/>
          <w:sz w:val="22"/>
          <w:szCs w:val="22"/>
          <w:lang w:val="hy-AM"/>
        </w:rPr>
        <w:t>ներդնելու ուղղությամբ</w:t>
      </w:r>
      <w:r w:rsidRPr="00A83C94">
        <w:rPr>
          <w:rFonts w:ascii="GHEA Grapalat" w:eastAsia="Calibri" w:hAnsi="GHEA Grapalat"/>
          <w:b w:val="0"/>
          <w:sz w:val="22"/>
          <w:szCs w:val="22"/>
          <w:lang w:val="hy-AM"/>
        </w:rPr>
        <w:t>:</w:t>
      </w:r>
    </w:p>
    <w:p w14:paraId="51D72FB4" w14:textId="77777777" w:rsidR="007B120D" w:rsidRPr="00A83C94" w:rsidRDefault="007B120D" w:rsidP="007B120D">
      <w:pPr>
        <w:autoSpaceDE w:val="0"/>
        <w:autoSpaceDN w:val="0"/>
        <w:adjustRightInd w:val="0"/>
        <w:spacing w:line="276" w:lineRule="auto"/>
        <w:ind w:firstLine="709"/>
        <w:rPr>
          <w:rFonts w:cs="Sylfaen"/>
          <w:b w:val="0"/>
          <w:szCs w:val="22"/>
          <w:lang w:val="hy-AM"/>
        </w:rPr>
      </w:pPr>
      <w:r w:rsidRPr="00A83C94">
        <w:rPr>
          <w:rFonts w:cs="Sylfaen"/>
          <w:iCs/>
          <w:szCs w:val="22"/>
          <w:lang w:val="hy-AM"/>
        </w:rPr>
        <w:t>Տ</w:t>
      </w:r>
      <w:r w:rsidRPr="00A83C94">
        <w:rPr>
          <w:rFonts w:cs="Sylfaen"/>
          <w:iCs/>
          <w:szCs w:val="22"/>
          <w:lang w:val="de-AT"/>
        </w:rPr>
        <w:t>արեցների</w:t>
      </w:r>
      <w:r w:rsidRPr="00A83C94">
        <w:rPr>
          <w:rFonts w:cs="Sylfaen"/>
          <w:iCs/>
          <w:szCs w:val="22"/>
          <w:lang w:val="fr-FR"/>
        </w:rPr>
        <w:t xml:space="preserve"> </w:t>
      </w:r>
      <w:r w:rsidRPr="00A83C94">
        <w:rPr>
          <w:rFonts w:cs="Sylfaen"/>
          <w:iCs/>
          <w:szCs w:val="22"/>
          <w:lang w:val="de-AT"/>
        </w:rPr>
        <w:t>հիմնահարցերի</w:t>
      </w:r>
      <w:r w:rsidRPr="00A83C94">
        <w:rPr>
          <w:rFonts w:cs="Sylfaen"/>
          <w:iCs/>
          <w:szCs w:val="22"/>
          <w:lang w:val="fr-FR"/>
        </w:rPr>
        <w:t xml:space="preserve"> </w:t>
      </w:r>
      <w:r w:rsidRPr="00A83C94">
        <w:rPr>
          <w:rFonts w:cs="Sylfaen"/>
          <w:iCs/>
          <w:szCs w:val="22"/>
          <w:lang w:val="de-AT"/>
        </w:rPr>
        <w:t>բնագավառում</w:t>
      </w:r>
      <w:r w:rsidRPr="00A83C94">
        <w:rPr>
          <w:rFonts w:cs="Sylfaen"/>
          <w:b w:val="0"/>
          <w:i/>
          <w:iCs/>
          <w:szCs w:val="22"/>
          <w:lang w:val="fr-FR"/>
        </w:rPr>
        <w:t xml:space="preserve"> </w:t>
      </w:r>
      <w:r w:rsidRPr="00A83C94">
        <w:rPr>
          <w:b w:val="0"/>
          <w:szCs w:val="22"/>
          <w:lang w:val="hy-AM"/>
        </w:rPr>
        <w:t xml:space="preserve">շարունակվելու է </w:t>
      </w:r>
      <w:r w:rsidRPr="00A83C94">
        <w:rPr>
          <w:rFonts w:cs="Sylfaen"/>
          <w:b w:val="0"/>
          <w:szCs w:val="22"/>
          <w:lang w:val="hy-AM"/>
        </w:rPr>
        <w:t>շահառուներին</w:t>
      </w:r>
      <w:r w:rsidRPr="00A83C94">
        <w:rPr>
          <w:b w:val="0"/>
          <w:szCs w:val="22"/>
          <w:lang w:val="hy-AM"/>
        </w:rPr>
        <w:t xml:space="preserve"> </w:t>
      </w:r>
      <w:r w:rsidRPr="00A83C94">
        <w:rPr>
          <w:rFonts w:cs="Sylfaen"/>
          <w:b w:val="0"/>
          <w:szCs w:val="22"/>
          <w:lang w:val="hy-AM"/>
        </w:rPr>
        <w:t>մատուցվող</w:t>
      </w:r>
      <w:r w:rsidRPr="00A83C94">
        <w:rPr>
          <w:b w:val="0"/>
          <w:szCs w:val="22"/>
          <w:lang w:val="hy-AM"/>
        </w:rPr>
        <w:t xml:space="preserve"> </w:t>
      </w:r>
      <w:r w:rsidRPr="00A83C94">
        <w:rPr>
          <w:rFonts w:cs="Sylfaen"/>
          <w:b w:val="0"/>
          <w:szCs w:val="22"/>
          <w:lang w:val="hy-AM"/>
        </w:rPr>
        <w:t>խնամքի</w:t>
      </w:r>
      <w:r w:rsidRPr="00A83C94">
        <w:rPr>
          <w:b w:val="0"/>
          <w:szCs w:val="22"/>
          <w:lang w:val="hy-AM"/>
        </w:rPr>
        <w:t xml:space="preserve"> </w:t>
      </w:r>
      <w:r w:rsidRPr="00A83C94">
        <w:rPr>
          <w:rFonts w:cs="Sylfaen"/>
          <w:b w:val="0"/>
          <w:szCs w:val="22"/>
          <w:lang w:val="hy-AM"/>
        </w:rPr>
        <w:t>ծառայությունների</w:t>
      </w:r>
      <w:r w:rsidRPr="00A83C94">
        <w:rPr>
          <w:b w:val="0"/>
          <w:szCs w:val="22"/>
          <w:lang w:val="hy-AM"/>
        </w:rPr>
        <w:t xml:space="preserve"> տրամադրումը՝ </w:t>
      </w:r>
      <w:r w:rsidRPr="00A83C94">
        <w:rPr>
          <w:rFonts w:cs="Sylfaen"/>
          <w:b w:val="0"/>
          <w:szCs w:val="22"/>
          <w:lang w:val="hy-AM"/>
        </w:rPr>
        <w:t>խրախուսելով</w:t>
      </w:r>
      <w:r w:rsidRPr="00A83C94">
        <w:rPr>
          <w:b w:val="0"/>
          <w:szCs w:val="22"/>
          <w:lang w:val="hy-AM"/>
        </w:rPr>
        <w:t xml:space="preserve"> </w:t>
      </w:r>
      <w:r w:rsidRPr="00A83C94">
        <w:rPr>
          <w:rFonts w:cs="Sylfaen"/>
          <w:b w:val="0"/>
          <w:szCs w:val="22"/>
          <w:lang w:val="hy-AM"/>
        </w:rPr>
        <w:t>ծառայությունների</w:t>
      </w:r>
      <w:r w:rsidRPr="00A83C94">
        <w:rPr>
          <w:b w:val="0"/>
          <w:szCs w:val="22"/>
          <w:lang w:val="hy-AM"/>
        </w:rPr>
        <w:t xml:space="preserve"> </w:t>
      </w:r>
      <w:r w:rsidRPr="00A83C94">
        <w:rPr>
          <w:rFonts w:cs="Sylfaen"/>
          <w:b w:val="0"/>
          <w:szCs w:val="22"/>
          <w:lang w:val="hy-AM"/>
        </w:rPr>
        <w:t>պատվիրակումը</w:t>
      </w:r>
      <w:r w:rsidRPr="00A83C94">
        <w:rPr>
          <w:b w:val="0"/>
          <w:szCs w:val="22"/>
          <w:lang w:val="hy-AM"/>
        </w:rPr>
        <w:t xml:space="preserve"> </w:t>
      </w:r>
      <w:r w:rsidRPr="00A83C94">
        <w:rPr>
          <w:rFonts w:cs="Sylfaen"/>
          <w:b w:val="0"/>
          <w:szCs w:val="22"/>
          <w:lang w:val="hy-AM"/>
        </w:rPr>
        <w:t>հասարակական</w:t>
      </w:r>
      <w:r w:rsidRPr="00A83C94">
        <w:rPr>
          <w:b w:val="0"/>
          <w:szCs w:val="22"/>
          <w:lang w:val="hy-AM"/>
        </w:rPr>
        <w:t xml:space="preserve"> </w:t>
      </w:r>
      <w:r w:rsidRPr="00A83C94">
        <w:rPr>
          <w:rFonts w:cs="Sylfaen"/>
          <w:b w:val="0"/>
          <w:szCs w:val="22"/>
          <w:lang w:val="hy-AM"/>
        </w:rPr>
        <w:t>կազմակերպություններին</w:t>
      </w:r>
      <w:r w:rsidRPr="00A83C94">
        <w:rPr>
          <w:b w:val="0"/>
          <w:szCs w:val="22"/>
          <w:lang w:val="hy-AM"/>
        </w:rPr>
        <w:t xml:space="preserve"> </w:t>
      </w:r>
      <w:r w:rsidRPr="00A83C94">
        <w:rPr>
          <w:rFonts w:cs="Sylfaen"/>
          <w:b w:val="0"/>
          <w:szCs w:val="22"/>
          <w:lang w:val="hy-AM"/>
        </w:rPr>
        <w:t>մրցութային</w:t>
      </w:r>
      <w:r w:rsidRPr="00A83C94">
        <w:rPr>
          <w:b w:val="0"/>
          <w:szCs w:val="22"/>
          <w:lang w:val="hy-AM"/>
        </w:rPr>
        <w:t xml:space="preserve"> </w:t>
      </w:r>
      <w:r w:rsidRPr="00A83C94">
        <w:rPr>
          <w:rFonts w:cs="Sylfaen"/>
          <w:b w:val="0"/>
          <w:szCs w:val="22"/>
          <w:lang w:val="hy-AM"/>
        </w:rPr>
        <w:t>եղանակով, բարելավվելու է շահառուներին</w:t>
      </w:r>
      <w:r w:rsidRPr="00A83C94">
        <w:rPr>
          <w:b w:val="0"/>
          <w:szCs w:val="22"/>
          <w:lang w:val="hy-AM"/>
        </w:rPr>
        <w:t xml:space="preserve"> </w:t>
      </w:r>
      <w:r w:rsidRPr="00A83C94">
        <w:rPr>
          <w:rFonts w:cs="Sylfaen"/>
          <w:b w:val="0"/>
          <w:szCs w:val="22"/>
          <w:lang w:val="hy-AM"/>
        </w:rPr>
        <w:t>մատուցվող</w:t>
      </w:r>
      <w:r w:rsidRPr="00A83C94">
        <w:rPr>
          <w:b w:val="0"/>
          <w:szCs w:val="22"/>
          <w:lang w:val="hy-AM"/>
        </w:rPr>
        <w:t xml:space="preserve"> </w:t>
      </w:r>
      <w:r w:rsidRPr="00A83C94">
        <w:rPr>
          <w:rFonts w:cs="Sylfaen"/>
          <w:b w:val="0"/>
          <w:szCs w:val="22"/>
          <w:lang w:val="hy-AM"/>
        </w:rPr>
        <w:t>ծառայությունների</w:t>
      </w:r>
      <w:r w:rsidRPr="00A83C94">
        <w:rPr>
          <w:b w:val="0"/>
          <w:szCs w:val="22"/>
          <w:lang w:val="hy-AM"/>
        </w:rPr>
        <w:t xml:space="preserve"> </w:t>
      </w:r>
      <w:r w:rsidRPr="00A83C94">
        <w:rPr>
          <w:rFonts w:cs="Sylfaen"/>
          <w:b w:val="0"/>
          <w:szCs w:val="22"/>
          <w:lang w:val="hy-AM"/>
        </w:rPr>
        <w:t>որակը, ընդլայնվելու են տարեցներին մատուցվող համայնքահեն ծառայությունները՝</w:t>
      </w:r>
      <w:r w:rsidRPr="00A83C94">
        <w:rPr>
          <w:b w:val="0"/>
          <w:szCs w:val="22"/>
          <w:lang w:val="hy-AM"/>
        </w:rPr>
        <w:t xml:space="preserve"> </w:t>
      </w:r>
      <w:r w:rsidRPr="00A83C94">
        <w:rPr>
          <w:rFonts w:cs="Sylfaen"/>
          <w:b w:val="0"/>
          <w:szCs w:val="22"/>
          <w:lang w:val="hy-AM"/>
        </w:rPr>
        <w:t>ներգրավելով</w:t>
      </w:r>
      <w:r w:rsidRPr="00A83C94">
        <w:rPr>
          <w:b w:val="0"/>
          <w:szCs w:val="22"/>
          <w:lang w:val="hy-AM"/>
        </w:rPr>
        <w:t xml:space="preserve"> </w:t>
      </w:r>
      <w:r w:rsidRPr="00A83C94">
        <w:rPr>
          <w:rFonts w:cs="Sylfaen"/>
          <w:b w:val="0"/>
          <w:szCs w:val="22"/>
          <w:lang w:val="hy-AM"/>
        </w:rPr>
        <w:t>համայնքի</w:t>
      </w:r>
      <w:r w:rsidRPr="00A83C94">
        <w:rPr>
          <w:b w:val="0"/>
          <w:szCs w:val="22"/>
          <w:lang w:val="hy-AM"/>
        </w:rPr>
        <w:t xml:space="preserve"> </w:t>
      </w:r>
      <w:r w:rsidRPr="00A83C94">
        <w:rPr>
          <w:rFonts w:cs="Sylfaen"/>
          <w:b w:val="0"/>
          <w:szCs w:val="22"/>
          <w:lang w:val="hy-AM"/>
        </w:rPr>
        <w:t>ներուժը, և այս ամենն իրականացվելու է զուգորդված իրավական դաշտի կատարելագործման հետ:</w:t>
      </w:r>
    </w:p>
    <w:p w14:paraId="474DE5A1" w14:textId="77777777" w:rsidR="007B120D" w:rsidRPr="00A83C94" w:rsidRDefault="007B120D" w:rsidP="007B120D">
      <w:pPr>
        <w:spacing w:line="276" w:lineRule="auto"/>
        <w:ind w:firstLine="709"/>
        <w:rPr>
          <w:b w:val="0"/>
          <w:color w:val="191919"/>
          <w:szCs w:val="22"/>
          <w:shd w:val="clear" w:color="auto" w:fill="FFFFFF"/>
          <w:lang w:val="hy-AM"/>
        </w:rPr>
      </w:pPr>
      <w:r w:rsidRPr="00A83C94">
        <w:rPr>
          <w:iCs/>
          <w:color w:val="191919"/>
          <w:szCs w:val="22"/>
          <w:shd w:val="clear" w:color="auto" w:fill="FFFFFF"/>
          <w:lang w:val="hy-AM"/>
        </w:rPr>
        <w:t>Կենսաթոշակային ապահովության բնագավառում</w:t>
      </w:r>
      <w:r w:rsidRPr="00A83C94">
        <w:rPr>
          <w:b w:val="0"/>
          <w:i/>
          <w:iCs/>
          <w:color w:val="191919"/>
          <w:szCs w:val="22"/>
          <w:shd w:val="clear" w:color="auto" w:fill="FFFFFF"/>
          <w:lang w:val="hy-AM"/>
        </w:rPr>
        <w:t xml:space="preserve"> </w:t>
      </w:r>
      <w:r w:rsidRPr="00A83C94">
        <w:rPr>
          <w:b w:val="0"/>
          <w:color w:val="191919"/>
          <w:szCs w:val="22"/>
          <w:shd w:val="clear" w:color="auto" w:fill="FFFFFF"/>
          <w:lang w:val="hy-AM"/>
        </w:rPr>
        <w:t>2022 թվականին նախատեսվում է բարձրացնել նվազագույն կենսաթոշակի, սոցիալական նպաստների չափերը, իսկ պետական կենսաթոշակների հաշվարկման համար կիրառվող մյուս հիմնական ցուցանիշների դեպքում՝ պահպանել 2021 թվականի համար սահմանված չափերը:</w:t>
      </w:r>
    </w:p>
    <w:p w14:paraId="2A8690EF" w14:textId="77777777" w:rsidR="005F226A" w:rsidRPr="00A83C94" w:rsidRDefault="005F226A" w:rsidP="005D2928">
      <w:pPr>
        <w:spacing w:before="0" w:line="276" w:lineRule="auto"/>
        <w:ind w:firstLine="720"/>
        <w:rPr>
          <w:rFonts w:eastAsia="Calibri"/>
          <w:bCs/>
          <w:noProof/>
          <w:szCs w:val="22"/>
          <w:lang w:val="hy-AM" w:eastAsia="en-US"/>
        </w:rPr>
      </w:pPr>
    </w:p>
    <w:p w14:paraId="0772F65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2" w:name="_Toc83567453"/>
      <w:bookmarkStart w:id="83" w:name="_Toc89428276"/>
      <w:r w:rsidRPr="00A83C94">
        <w:rPr>
          <w:rFonts w:cs="Arial"/>
          <w:szCs w:val="22"/>
          <w:lang w:val="hy-AM" w:eastAsia="en-US"/>
        </w:rPr>
        <w:t>Շրջակա միջավայր</w:t>
      </w:r>
      <w:bookmarkEnd w:id="81"/>
      <w:bookmarkEnd w:id="82"/>
      <w:bookmarkEnd w:id="83"/>
    </w:p>
    <w:p w14:paraId="606064EE" w14:textId="77777777"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ՀՀ շրջակա միջավայրի ոլորտի նպատակները և ծախսային գերակայությունները բխում են ՀՀ կառավարության` 2021 թվականի օգոստոսի 18-ի թիվ 1363-Ա որոշմամբ հաստատված ՀՀ կառավարության 2021-2026թթ. ծրագրի առաջնահերթություններից:</w:t>
      </w:r>
    </w:p>
    <w:p w14:paraId="6D0CE0B1" w14:textId="77777777" w:rsidR="005F226A" w:rsidRPr="00A83C94" w:rsidRDefault="005F226A" w:rsidP="005D2928">
      <w:pPr>
        <w:pStyle w:val="BodyText2"/>
        <w:rPr>
          <w:rFonts w:cs="Arial"/>
        </w:rPr>
      </w:pPr>
      <w:r w:rsidRPr="00A83C94">
        <w:t>Հիմնական ռազմավարության նպատակները և գերակա վերջնական արդյունքներն են՝</w:t>
      </w:r>
    </w:p>
    <w:p w14:paraId="2214C52A"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Շրջակա միջավայրի վերաբերյալ տեղեկատվության հրապարակում,</w:t>
      </w:r>
    </w:p>
    <w:p w14:paraId="11DC8E3D"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Ազդակիր համայնքներում բարելավված շրջակա միջավայր,</w:t>
      </w:r>
    </w:p>
    <w:p w14:paraId="5549738E"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Բնական պաշարների և կենսաբազմազանության վերարտադրության աճի ապահովում</w:t>
      </w:r>
    </w:p>
    <w:p w14:paraId="7DE2EDAB"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Կայուն կառավարվող անտառային տարածքների աճ,</w:t>
      </w:r>
    </w:p>
    <w:p w14:paraId="05C4A638" w14:textId="77777777" w:rsidR="005F226A" w:rsidRPr="00A83C94" w:rsidRDefault="005F226A" w:rsidP="00786462">
      <w:pPr>
        <w:pStyle w:val="ListParagraph"/>
        <w:numPr>
          <w:ilvl w:val="0"/>
          <w:numId w:val="23"/>
        </w:numPr>
        <w:tabs>
          <w:tab w:val="left" w:pos="567"/>
          <w:tab w:val="left" w:pos="720"/>
        </w:tabs>
        <w:spacing w:before="0" w:line="276" w:lineRule="auto"/>
        <w:ind w:left="0" w:firstLine="720"/>
        <w:contextualSpacing w:val="0"/>
        <w:rPr>
          <w:rFonts w:cs="Arial Armenian"/>
          <w:b w:val="0"/>
          <w:iCs/>
          <w:szCs w:val="22"/>
          <w:lang w:val="hy-AM"/>
        </w:rPr>
      </w:pPr>
      <w:r w:rsidRPr="00A83C94">
        <w:rPr>
          <w:rFonts w:cs="Arial Armenian"/>
          <w:b w:val="0"/>
          <w:iCs/>
          <w:szCs w:val="22"/>
          <w:lang w:val="hy-AM"/>
        </w:rPr>
        <w:t xml:space="preserve"> Մշտական և ժամանակավոր ցուցահանդեսների միջոցով հավաքածուները ներկայացում հանրությանը և բնապահպանական քարոզչության իրականացում։</w:t>
      </w:r>
    </w:p>
    <w:p w14:paraId="642977CD" w14:textId="57400912"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Շրջակա միջավայրի ոլորտի զարգացման կարևորագույն նպատակների իրագործման շրջանակներում 2022 թվականին  կիրականացվեն հետևյալ  ծրագրերն և միջոցառումները.</w:t>
      </w:r>
    </w:p>
    <w:p w14:paraId="25E5DBED" w14:textId="77777777"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ա/ «Բնապահպանական ծրագրերի իրականացում համայնքներում» ծրագրի շրջանակներում  իրականացվելու է «Բնապահպանական սուբվենցիաներ համայնքներին» միջոցառումը,</w:t>
      </w:r>
    </w:p>
    <w:p w14:paraId="7E32CE83" w14:textId="77777777" w:rsidR="005F226A" w:rsidRPr="00A83C94" w:rsidRDefault="005F226A" w:rsidP="005D2928">
      <w:pPr>
        <w:pStyle w:val="ListParagraph"/>
        <w:tabs>
          <w:tab w:val="left" w:pos="284"/>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hy-AM"/>
        </w:rPr>
        <w:t>բ/ «Բնական պաշարների և բնության հատուկ պահպանվող տարածքների կառավարում» ծրագրի շրջանակներում իրականացվելու է Սևանա լճի համալիր ծրագրով նախատեսված համապատասխան միջոցառումների կատարումը,</w:t>
      </w:r>
    </w:p>
    <w:p w14:paraId="7E29795D" w14:textId="77777777" w:rsidR="005F226A" w:rsidRPr="00A83C94" w:rsidRDefault="005F226A" w:rsidP="005D2928">
      <w:pPr>
        <w:pStyle w:val="ListParagraph"/>
        <w:spacing w:before="0" w:line="276" w:lineRule="auto"/>
        <w:ind w:left="0" w:firstLine="720"/>
        <w:contextualSpacing w:val="0"/>
        <w:rPr>
          <w:rFonts w:cs="Arial Armenian"/>
          <w:b w:val="0"/>
          <w:szCs w:val="22"/>
          <w:lang w:val="hy-AM"/>
        </w:rPr>
      </w:pPr>
      <w:r w:rsidRPr="00A83C94">
        <w:rPr>
          <w:rFonts w:cs="Arial Armenian"/>
          <w:b w:val="0"/>
          <w:szCs w:val="22"/>
          <w:lang w:val="hy-AM"/>
        </w:rPr>
        <w:t>գ/ 2022 թվականին բյուջետային հատկացումները նպատակաուղղվելու են հանրապետության բնության հատուկ պահպանվող տարածքների («Սևան», «Դիլիջան», «Արևիկ» և «Արփի լիճ» ազգային պարկեր, «Խոսրովի անտառ» և «Շիկահող» պետարգելոցներ, «Սոսիների պուրակ», «Խուստուփ», «Զանգեզուր» և «Զիկատար» պետական արգելավայրեր, դենդրոպարկեր և բնության հատուկ պահպանվող այլ տարածքներ) պահպանությանը, անտառային տարածքների խնամքի և բնապահպանական այլ աշխատանքների և գիտական ուսումնասիրությունների իրականացմանը, ինչպես նաև Կովկասյան տարածաշրջանային կենտրոնի հայաստանյան մասնաճյուղի գրասենյակի վարձակալության ծառայությունների ֆինանսավորմանը:</w:t>
      </w:r>
    </w:p>
    <w:p w14:paraId="1821D5B4" w14:textId="77777777" w:rsidR="005F226A" w:rsidRPr="00A83C94" w:rsidRDefault="005F226A" w:rsidP="005D2928">
      <w:pPr>
        <w:pStyle w:val="ListParagraph"/>
        <w:spacing w:before="0" w:line="276" w:lineRule="auto"/>
        <w:ind w:left="0" w:firstLine="709"/>
        <w:contextualSpacing w:val="0"/>
        <w:rPr>
          <w:rFonts w:cs="Arial Armenian"/>
          <w:b w:val="0"/>
          <w:szCs w:val="22"/>
          <w:lang w:val="hy-AM"/>
        </w:rPr>
      </w:pPr>
      <w:r w:rsidRPr="00A83C94">
        <w:rPr>
          <w:rFonts w:cs="Arial Armenian"/>
          <w:b w:val="0"/>
          <w:szCs w:val="22"/>
          <w:lang w:val="hy-AM"/>
        </w:rPr>
        <w:t>«Շրջակա միջավայրի վրա ազդեցության գնահատում և մոնիթորինգ» ծրագրի  շրջանակներում իրականացվելու են «Շրջակա միջավայրի վրա ազդեցության գնահատում և փորձաքննություն» ու «Հիդրոօդերևութաբանության, շրջակա  միջավայրի մոնիտորինգ  և տեղեկատվության ապահովում» միջոցառումները:</w:t>
      </w:r>
    </w:p>
    <w:p w14:paraId="65102A0A" w14:textId="77777777" w:rsidR="005F226A" w:rsidRPr="00A83C94" w:rsidRDefault="005F226A" w:rsidP="005D2928">
      <w:pPr>
        <w:pStyle w:val="ListParagraph"/>
        <w:tabs>
          <w:tab w:val="left" w:pos="284"/>
          <w:tab w:val="left" w:pos="630"/>
        </w:tabs>
        <w:spacing w:before="0" w:line="276" w:lineRule="auto"/>
        <w:ind w:left="0" w:firstLine="720"/>
        <w:contextualSpacing w:val="0"/>
        <w:rPr>
          <w:rFonts w:cs="Arial Armenian"/>
          <w:b w:val="0"/>
          <w:szCs w:val="22"/>
          <w:lang w:val="hy-AM"/>
        </w:rPr>
      </w:pPr>
      <w:r w:rsidRPr="00A83C94">
        <w:rPr>
          <w:rFonts w:cs="Arial Armenian"/>
          <w:b w:val="0"/>
          <w:szCs w:val="22"/>
          <w:lang w:val="hy-AM"/>
        </w:rPr>
        <w:t>դ/ «Անտառների կառավարում» ծրագրի շրջանակներում իրականացվելու են ներքոհիշյալ  միջոցառումները`</w:t>
      </w:r>
    </w:p>
    <w:p w14:paraId="38299EB2" w14:textId="77777777" w:rsidR="005F226A" w:rsidRPr="00A83C94" w:rsidRDefault="005F226A" w:rsidP="00786462">
      <w:pPr>
        <w:pStyle w:val="ListParagraph"/>
        <w:numPr>
          <w:ilvl w:val="0"/>
          <w:numId w:val="24"/>
        </w:numPr>
        <w:tabs>
          <w:tab w:val="left" w:pos="284"/>
          <w:tab w:val="left" w:pos="567"/>
          <w:tab w:val="left" w:pos="720"/>
        </w:tabs>
        <w:spacing w:before="0" w:line="276" w:lineRule="auto"/>
        <w:ind w:left="0" w:firstLine="720"/>
        <w:contextualSpacing w:val="0"/>
        <w:rPr>
          <w:rFonts w:cs="Arial Armenian"/>
          <w:b w:val="0"/>
          <w:szCs w:val="22"/>
          <w:lang w:val="hy-AM"/>
        </w:rPr>
      </w:pPr>
      <w:r w:rsidRPr="00A83C94" w:rsidDel="00E04049">
        <w:rPr>
          <w:rFonts w:cs="Arial Armenian"/>
          <w:b w:val="0"/>
          <w:szCs w:val="22"/>
          <w:lang w:val="hy-AM"/>
        </w:rPr>
        <w:t xml:space="preserve"> </w:t>
      </w:r>
      <w:r w:rsidRPr="00A83C94">
        <w:rPr>
          <w:rFonts w:cs="Arial Armenian"/>
          <w:b w:val="0"/>
          <w:szCs w:val="22"/>
          <w:lang w:val="hy-AM"/>
        </w:rPr>
        <w:t>«Անտառպահպանական ծառայություններ»,</w:t>
      </w:r>
    </w:p>
    <w:p w14:paraId="2FB9DD12" w14:textId="76110D02" w:rsidR="005F226A" w:rsidRPr="00A83C94" w:rsidRDefault="00126071" w:rsidP="00786462">
      <w:pPr>
        <w:pStyle w:val="ListParagraph"/>
        <w:numPr>
          <w:ilvl w:val="0"/>
          <w:numId w:val="24"/>
        </w:numPr>
        <w:tabs>
          <w:tab w:val="left" w:pos="284"/>
          <w:tab w:val="left" w:pos="567"/>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en-US"/>
        </w:rPr>
        <w:t xml:space="preserve"> </w:t>
      </w:r>
      <w:r w:rsidR="005F226A" w:rsidRPr="00A83C94">
        <w:rPr>
          <w:rFonts w:cs="Arial Armenian"/>
          <w:b w:val="0"/>
          <w:szCs w:val="22"/>
          <w:lang w:val="hy-AM"/>
        </w:rPr>
        <w:t>«Անտառվերականգնման և անտառապատման աշխատանքներ»,</w:t>
      </w:r>
    </w:p>
    <w:p w14:paraId="0862BD2E" w14:textId="08F6D5FD" w:rsidR="005F226A" w:rsidRPr="00A83C94" w:rsidRDefault="00126071" w:rsidP="00786462">
      <w:pPr>
        <w:pStyle w:val="ListParagraph"/>
        <w:numPr>
          <w:ilvl w:val="0"/>
          <w:numId w:val="24"/>
        </w:numPr>
        <w:tabs>
          <w:tab w:val="left" w:pos="284"/>
          <w:tab w:val="left" w:pos="567"/>
          <w:tab w:val="left" w:pos="720"/>
        </w:tabs>
        <w:spacing w:before="0" w:line="276" w:lineRule="auto"/>
        <w:ind w:left="0" w:firstLine="720"/>
        <w:contextualSpacing w:val="0"/>
        <w:rPr>
          <w:rFonts w:cs="Arial Armenian"/>
          <w:b w:val="0"/>
          <w:szCs w:val="22"/>
          <w:lang w:val="hy-AM"/>
        </w:rPr>
      </w:pPr>
      <w:r w:rsidRPr="00A83C94">
        <w:rPr>
          <w:rFonts w:cs="Arial Armenian"/>
          <w:b w:val="0"/>
          <w:szCs w:val="22"/>
          <w:lang w:val="en-US"/>
        </w:rPr>
        <w:t xml:space="preserve"> </w:t>
      </w:r>
      <w:r w:rsidR="005F226A" w:rsidRPr="00A83C94">
        <w:rPr>
          <w:rFonts w:cs="Arial Armenian"/>
          <w:b w:val="0"/>
          <w:szCs w:val="22"/>
          <w:lang w:val="hy-AM"/>
        </w:rPr>
        <w:t>«Անտառկառավարման պլանների կազմում»։</w:t>
      </w:r>
    </w:p>
    <w:p w14:paraId="4F0045AF" w14:textId="77777777" w:rsidR="005F226A" w:rsidRPr="00A83C94" w:rsidRDefault="005F226A" w:rsidP="005D2928">
      <w:pPr>
        <w:tabs>
          <w:tab w:val="left" w:pos="284"/>
          <w:tab w:val="left" w:pos="567"/>
          <w:tab w:val="left" w:pos="810"/>
        </w:tabs>
        <w:spacing w:before="0" w:line="276" w:lineRule="auto"/>
        <w:ind w:firstLine="720"/>
        <w:contextualSpacing w:val="0"/>
        <w:rPr>
          <w:rFonts w:cs="Arial Armenian"/>
          <w:b w:val="0"/>
          <w:szCs w:val="22"/>
          <w:lang w:val="hy-AM"/>
        </w:rPr>
      </w:pPr>
      <w:r w:rsidRPr="00A83C94">
        <w:rPr>
          <w:rFonts w:cs="Arial Armenian"/>
          <w:b w:val="0"/>
          <w:szCs w:val="22"/>
          <w:lang w:val="hy-AM"/>
        </w:rPr>
        <w:t>ե/ «Բնագիտական նմուշների պահպանություն և ցուցադրություն» ծրագրի շրջանակներում իրականացվելու են «Բնագիտական նմուշների պահպանություն և ցուցադրություն» ու «Կենդանաբանական այգու ցուցադրություններ» միջոցառումները:</w:t>
      </w:r>
    </w:p>
    <w:p w14:paraId="587E1859" w14:textId="77777777" w:rsidR="005F226A" w:rsidRPr="00A83C94" w:rsidRDefault="005F226A" w:rsidP="005D2928">
      <w:pPr>
        <w:tabs>
          <w:tab w:val="left" w:pos="284"/>
          <w:tab w:val="left" w:pos="567"/>
          <w:tab w:val="left" w:pos="720"/>
        </w:tabs>
        <w:spacing w:before="0" w:line="276" w:lineRule="auto"/>
        <w:ind w:firstLine="720"/>
        <w:contextualSpacing w:val="0"/>
        <w:rPr>
          <w:rFonts w:cs="Arial Armenian"/>
          <w:b w:val="0"/>
          <w:szCs w:val="22"/>
          <w:lang w:val="hy-AM"/>
        </w:rPr>
      </w:pPr>
      <w:r w:rsidRPr="00A83C94">
        <w:rPr>
          <w:rFonts w:cs="Arial Armenian"/>
          <w:bCs/>
          <w:szCs w:val="22"/>
          <w:lang w:val="hy-AM"/>
        </w:rPr>
        <w:t xml:space="preserve"> </w:t>
      </w:r>
      <w:r w:rsidRPr="00A83C94">
        <w:rPr>
          <w:rFonts w:cs="Arial Armenian"/>
          <w:b w:val="0"/>
          <w:szCs w:val="22"/>
          <w:lang w:val="hy-AM"/>
        </w:rPr>
        <w:t>2022 թվականի ընթացքում «Անտառների կառավարում» ծրագրով նախատեսվում է իրականացնել «Անտառվերականգնման և անտառապատման աշխատանքներ» ու «Անտառկառավարման պլանների կազմում» կապիտալ բնույթի միջոցառումները:</w:t>
      </w:r>
    </w:p>
    <w:p w14:paraId="7878FCFF" w14:textId="77777777" w:rsidR="005F226A" w:rsidRPr="00A83C94" w:rsidRDefault="005F226A" w:rsidP="005D2928">
      <w:pPr>
        <w:tabs>
          <w:tab w:val="left" w:pos="284"/>
          <w:tab w:val="left" w:pos="567"/>
          <w:tab w:val="left" w:pos="720"/>
        </w:tabs>
        <w:spacing w:before="0" w:line="276" w:lineRule="auto"/>
        <w:ind w:firstLine="720"/>
        <w:contextualSpacing w:val="0"/>
        <w:rPr>
          <w:rFonts w:cs="Arial Armenian"/>
          <w:b w:val="0"/>
          <w:szCs w:val="22"/>
          <w:lang w:val="hy-AM"/>
        </w:rPr>
      </w:pPr>
    </w:p>
    <w:p w14:paraId="548ECDB4"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4" w:name="_Toc26174905"/>
      <w:bookmarkStart w:id="85" w:name="_Toc83567454"/>
      <w:bookmarkStart w:id="86" w:name="_Toc89428277"/>
      <w:r w:rsidRPr="00A83C94">
        <w:rPr>
          <w:rFonts w:cs="Arial"/>
          <w:szCs w:val="22"/>
          <w:lang w:val="hy-AM" w:eastAsia="en-US"/>
        </w:rPr>
        <w:t>Բյուջեների կազմման բնագավառ</w:t>
      </w:r>
      <w:bookmarkEnd w:id="84"/>
      <w:bookmarkEnd w:id="85"/>
      <w:bookmarkEnd w:id="86"/>
    </w:p>
    <w:p w14:paraId="05765107" w14:textId="77777777" w:rsidR="005F226A" w:rsidRPr="00A83C94" w:rsidRDefault="005F226A" w:rsidP="005D2928">
      <w:pPr>
        <w:tabs>
          <w:tab w:val="left" w:pos="-7020"/>
        </w:tabs>
        <w:spacing w:before="0" w:line="276" w:lineRule="auto"/>
        <w:ind w:firstLine="720"/>
        <w:contextualSpacing w:val="0"/>
        <w:rPr>
          <w:b w:val="0"/>
          <w:szCs w:val="22"/>
          <w:lang w:val="hy-AM"/>
        </w:rPr>
      </w:pPr>
      <w:r w:rsidRPr="00A83C94">
        <w:rPr>
          <w:b w:val="0"/>
          <w:szCs w:val="22"/>
          <w:lang w:val="hy-AM"/>
        </w:rPr>
        <w:t>Պետական կառավարման համակարգում պատասխանատվության համախմբման և ռեսուրսների դիմաց առավելագույն արդյունքի ստացման նպատակով պետական բյուջեի կազմման բնագավառում իրականացվում են մի շարք քայլեր, որոնց իրագործումը թույլ կտա ապահովել հանրային կառավարման թափանցիկության, հաշվետվողականության և հսկողության բարձրացումը, ինչպես նաև պետության կողմից մատուցվող ծառայությունների որակի բարելավումը՝ հանրային բարիքի արդյունավետ, օգտավետ և խնայողաբար հասցեական օգտագործման հաշվին: Մասնավորապես՝</w:t>
      </w:r>
    </w:p>
    <w:p w14:paraId="270F3CD5" w14:textId="07C3D0A1" w:rsidR="005F226A" w:rsidRPr="00A83C94"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A83C94">
        <w:rPr>
          <w:b w:val="0"/>
          <w:szCs w:val="22"/>
          <w:lang w:val="hy-AM"/>
        </w:rPr>
        <w:t xml:space="preserve"> </w:t>
      </w:r>
      <w:r w:rsidR="005F226A" w:rsidRPr="00A83C94">
        <w:rPr>
          <w:b w:val="0"/>
          <w:szCs w:val="22"/>
          <w:lang w:val="hy-AM"/>
        </w:rPr>
        <w:t xml:space="preserve">Ծախսերի նպատակայնության բարձացման առումով անցում է կատարվելու ռազմավարական պլանավորման, այդ թվում` վերանայվելու են առկա ռազմավարությունները, վերջիններս և մշակվելիք բոլոր ռազմավարական փաստաթղթերը համակցվելու են Կառավարության հնգամյա ծրագրերի, միջնաժամկետ ծախսերի ծրագրերի և ամենամյա ծրագրային բյուջեի հետ: </w:t>
      </w:r>
    </w:p>
    <w:p w14:paraId="0E9D6F34" w14:textId="5C85364F" w:rsidR="005F226A" w:rsidRPr="00A83C94" w:rsidRDefault="00D15A25" w:rsidP="00786462">
      <w:pPr>
        <w:pStyle w:val="ListParagraph"/>
        <w:numPr>
          <w:ilvl w:val="0"/>
          <w:numId w:val="18"/>
        </w:numPr>
        <w:tabs>
          <w:tab w:val="left" w:pos="-7020"/>
        </w:tabs>
        <w:spacing w:before="0" w:line="276" w:lineRule="auto"/>
        <w:ind w:left="0" w:firstLine="720"/>
        <w:contextualSpacing w:val="0"/>
        <w:rPr>
          <w:b w:val="0"/>
          <w:szCs w:val="22"/>
          <w:lang w:val="hy-AM"/>
        </w:rPr>
      </w:pPr>
      <w:r w:rsidRPr="00A83C94">
        <w:rPr>
          <w:b w:val="0"/>
          <w:szCs w:val="22"/>
          <w:lang w:val="hy-AM"/>
        </w:rPr>
        <w:t xml:space="preserve"> </w:t>
      </w:r>
      <w:r w:rsidR="005F226A" w:rsidRPr="00A83C94">
        <w:rPr>
          <w:b w:val="0"/>
          <w:szCs w:val="22"/>
          <w:lang w:val="hy-AM"/>
        </w:rPr>
        <w:t>Ծրագրի արդյունավետության և օգտավետության բարձրացման նպատակով կներդրվի բյուջետային ծրագրերի գնահատման կանոնավոր գործընթաց, որի առաջին քայլը կլինի ծրագրերի գնահատման և մոնիտորինգի հայեցակարգի մշակումը:</w:t>
      </w:r>
    </w:p>
    <w:p w14:paraId="48BFDDBB" w14:textId="18D655D9" w:rsidR="005F226A" w:rsidRPr="00A83C94" w:rsidRDefault="00D15A25" w:rsidP="00786462">
      <w:pPr>
        <w:numPr>
          <w:ilvl w:val="0"/>
          <w:numId w:val="18"/>
        </w:numPr>
        <w:tabs>
          <w:tab w:val="left" w:pos="-7020"/>
        </w:tabs>
        <w:spacing w:before="0" w:line="276" w:lineRule="auto"/>
        <w:ind w:left="0" w:firstLine="720"/>
        <w:contextualSpacing w:val="0"/>
        <w:rPr>
          <w:b w:val="0"/>
          <w:szCs w:val="22"/>
          <w:lang w:val="hy-AM"/>
        </w:rPr>
      </w:pPr>
      <w:r w:rsidRPr="00A83C94">
        <w:rPr>
          <w:b w:val="0"/>
          <w:szCs w:val="22"/>
          <w:lang w:val="hy-AM"/>
        </w:rPr>
        <w:t xml:space="preserve"> </w:t>
      </w:r>
      <w:r w:rsidR="005F226A" w:rsidRPr="00A83C94">
        <w:rPr>
          <w:b w:val="0"/>
          <w:szCs w:val="22"/>
          <w:lang w:val="hy-AM"/>
        </w:rPr>
        <w:t>2023-2025թթ. ՄԺԾԾ և 2023թ. բյուջետային հայտերի կազմման և ներկայացման մեթոդական ցուցումներում ներառելու նպատակով կմշակվի</w:t>
      </w:r>
      <w:r w:rsidR="005F226A" w:rsidRPr="00A83C94" w:rsidDel="008C3436">
        <w:rPr>
          <w:b w:val="0"/>
          <w:szCs w:val="22"/>
          <w:lang w:val="hy-AM"/>
        </w:rPr>
        <w:t xml:space="preserve"> </w:t>
      </w:r>
      <w:r w:rsidR="005F226A" w:rsidRPr="00A83C94">
        <w:rPr>
          <w:b w:val="0"/>
          <w:szCs w:val="22"/>
          <w:lang w:val="hy-AM"/>
        </w:rPr>
        <w:t xml:space="preserve">պետության պարտադիր պարտավորություններից բխող ծրագրերի/ միջոցառումների նույնականացման և հաշվառման  ռացիոնալացման նոր մեթոդաբանություն: </w:t>
      </w:r>
    </w:p>
    <w:p w14:paraId="03AA1F7C" w14:textId="77777777" w:rsidR="005F226A" w:rsidRPr="00A83C94" w:rsidRDefault="005F226A" w:rsidP="004B78C8">
      <w:pPr>
        <w:tabs>
          <w:tab w:val="left" w:pos="-7020"/>
        </w:tabs>
        <w:spacing w:before="0" w:line="276" w:lineRule="auto"/>
        <w:ind w:left="720" w:firstLine="0"/>
        <w:contextualSpacing w:val="0"/>
        <w:rPr>
          <w:b w:val="0"/>
          <w:szCs w:val="22"/>
          <w:lang w:val="hy-AM"/>
        </w:rPr>
      </w:pPr>
    </w:p>
    <w:p w14:paraId="308695A4"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87" w:name="_Toc83567455"/>
      <w:bookmarkStart w:id="88" w:name="_Toc89428278"/>
      <w:r w:rsidRPr="00A83C94">
        <w:rPr>
          <w:rFonts w:cs="Arial"/>
          <w:szCs w:val="22"/>
          <w:lang w:val="hy-AM" w:eastAsia="en-US"/>
        </w:rPr>
        <w:t>Հաշվապահական հաշվառման և աուդիտորական գործունեություն</w:t>
      </w:r>
      <w:bookmarkEnd w:id="87"/>
      <w:bookmarkEnd w:id="88"/>
    </w:p>
    <w:p w14:paraId="362773E5" w14:textId="77777777" w:rsidR="005F226A" w:rsidRPr="00A83C94" w:rsidRDefault="005F226A" w:rsidP="005D2928">
      <w:pPr>
        <w:pStyle w:val="BodyText2"/>
      </w:pPr>
      <w:bookmarkStart w:id="89" w:name="_Toc530663240"/>
      <w:bookmarkStart w:id="90" w:name="_Toc26174908"/>
      <w:r w:rsidRPr="00A83C94">
        <w:t>Հայաստանի Հանրապետության կառավարության նախաձեռնած հաշվապահական հաշվառման և աուդիտորական գործունեության ոլորտներում իրականացվող բարեփոխումների շրջանակում՝ 2022 թվականի ընթացքում շարունակվելու են «Հաշվապահական հաշվառման մասին», «Աուդիտորական գործունեության մասին», «Հաշվապահական հաշվառման և աուդիտորական գործունեության կարգավորման և հանրային վերահսկողության մասին» ՀՀ օրենքներով նախատեսված կառուցակարգերի ներդրման աշխատանքները, մասնավորապես նախատեսվում է մշակել աուդիտի որակի հանրային վերահսկողության մեխանիզմները, որոնք թույլ կտան բարձրացնել մատուցվող աուդիտորական ծառայությունների որակը և հանրային վստահությունը։</w:t>
      </w:r>
    </w:p>
    <w:p w14:paraId="2295DE54" w14:textId="77777777" w:rsidR="005F226A" w:rsidRPr="00A83C94" w:rsidRDefault="005F226A" w:rsidP="005D2928">
      <w:pPr>
        <w:pStyle w:val="BodyText2"/>
      </w:pPr>
      <w:r w:rsidRPr="00A83C94">
        <w:tab/>
        <w:t xml:space="preserve">Հանրային հատվածի հաշվապահական հաշվառման ոլորտում՝ 2022 թվականի ընթացքում շարունակվելու է հանրային հատվածի հաշվապահների որակավորման գործընթացը՝ հաշվապահի որակավորման քննությունների կազմակերպման միջոցով։ Միաժամանակ, շարունակվելու են հանրային հատվածի կազմակերպությունների կողմից ներկայացված հաշվապահական հաշվառման գրանցամատյանների և ֆինանսական հաշվետվությունների փաթեթների մշտադիտարկման աշխատանքները, որոնց արդյունքում վեր հանված անճշտությունների և սխալների ուղղման ուղղությամբ մասնագիտական տեղեկատու պարբերականների միջոցով գործնական առաջարկներ են ներկայացվելու հանրային հատվածի կազմակերպություններին։  </w:t>
      </w:r>
    </w:p>
    <w:p w14:paraId="6A7EF097"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rPr>
      </w:pPr>
      <w:bookmarkStart w:id="91" w:name="_Toc83567456"/>
      <w:bookmarkStart w:id="92" w:name="_Toc89428279"/>
      <w:r w:rsidRPr="00A83C94">
        <w:rPr>
          <w:rFonts w:cs="Arial"/>
          <w:szCs w:val="22"/>
          <w:lang w:val="hy-AM"/>
        </w:rPr>
        <w:t>Եկամուտների քաղաքականության ոլորտ</w:t>
      </w:r>
      <w:bookmarkEnd w:id="89"/>
      <w:bookmarkEnd w:id="90"/>
      <w:bookmarkEnd w:id="91"/>
      <w:bookmarkEnd w:id="92"/>
    </w:p>
    <w:p w14:paraId="22E0B3EA" w14:textId="77777777" w:rsidR="005F226A" w:rsidRPr="00A83C94" w:rsidRDefault="005F226A" w:rsidP="005D2928">
      <w:pPr>
        <w:pStyle w:val="BodyText2"/>
      </w:pPr>
      <w:r w:rsidRPr="00A83C94">
        <w:t>Եկամուտների քաղաքականության ոլորտում իրականացվելիք միջոցառումները բխելու են ՀՀ կառավարության ծրագրից, Պետական ֆինանսների կառավարման համակարգի 2019-2023 թվականների բարեփոխումների ռազմավարությունից, ինչպես նաև Հայաստանի Հանրա</w:t>
      </w:r>
      <w:r w:rsidRPr="00A83C94">
        <w:softHyphen/>
        <w:t>պե</w:t>
      </w:r>
      <w:r w:rsidRPr="00A83C94">
        <w:softHyphen/>
        <w:t>տու</w:t>
      </w:r>
      <w:r w:rsidRPr="00A83C94">
        <w:softHyphen/>
        <w:t>թյունում հարկային բարեփոխումների իրականացման հայեցակարգով ամրագրված հայե</w:t>
      </w:r>
      <w:r w:rsidRPr="00A83C94">
        <w:softHyphen/>
        <w:t>ցա</w:t>
      </w:r>
      <w:r w:rsidRPr="00A83C94">
        <w:softHyphen/>
        <w:t>կար</w:t>
      </w:r>
      <w:r w:rsidRPr="00A83C94">
        <w:softHyphen/>
        <w:t xml:space="preserve">գային դրույթներից: </w:t>
      </w:r>
    </w:p>
    <w:p w14:paraId="2162D06E" w14:textId="77777777" w:rsidR="005F226A" w:rsidRPr="00A83C94" w:rsidRDefault="005F226A" w:rsidP="005D2928">
      <w:pPr>
        <w:pStyle w:val="BodyText2"/>
      </w:pPr>
      <w:r w:rsidRPr="00A83C94">
        <w:t xml:space="preserve">Հարկային քաղաքականության ոլորտում Կառավարության առաջիկայում կատարվելիք աշխատանքներն ուղղված են լինելու՝ </w:t>
      </w:r>
    </w:p>
    <w:p w14:paraId="66E2DD2E" w14:textId="77777777" w:rsidR="005F226A" w:rsidRPr="00A83C94" w:rsidRDefault="005F226A" w:rsidP="005D2928">
      <w:pPr>
        <w:pStyle w:val="BodyText2"/>
        <w:ind w:firstLine="0"/>
      </w:pPr>
      <w:r w:rsidRPr="00A83C94">
        <w:t>- ցածր արդյունավետություն ունեցող և հասցեականություն չունեցող հարկային արտո</w:t>
      </w:r>
      <w:r w:rsidRPr="00A83C94">
        <w:softHyphen/>
        <w:t>նու</w:t>
      </w:r>
      <w:r w:rsidRPr="00A83C94">
        <w:softHyphen/>
        <w:t>թյուն</w:t>
      </w:r>
      <w:r w:rsidRPr="00A83C94">
        <w:softHyphen/>
        <w:t>ների կրճատմանը և դրանց կրճատմանը զուգահեռ այս կամ այն ուղղությամբ իրա</w:t>
      </w:r>
      <w:r w:rsidRPr="00A83C94">
        <w:softHyphen/>
        <w:t>կա</w:t>
      </w:r>
      <w:r w:rsidRPr="00A83C94">
        <w:softHyphen/>
        <w:t>նաց</w:t>
      </w:r>
      <w:r w:rsidRPr="00A83C94">
        <w:softHyphen/>
        <w:t>վող պետական աջակցության ծրագրերի ավելացմանը՝ նպատակ ունենալով կրճատել բավարար հաս</w:t>
      </w:r>
      <w:r w:rsidRPr="00A83C94">
        <w:softHyphen/>
        <w:t>ցեականություն և արդյունավետություն չունեցող հարկային արտոնությունները,</w:t>
      </w:r>
    </w:p>
    <w:p w14:paraId="284C2A05" w14:textId="77777777" w:rsidR="005F226A" w:rsidRPr="00A83C94" w:rsidRDefault="005F226A" w:rsidP="005D2928">
      <w:pPr>
        <w:pStyle w:val="BodyText2"/>
        <w:ind w:firstLine="0"/>
      </w:pPr>
      <w:r w:rsidRPr="00A83C94">
        <w:t>- hարկման տարբեր համակարգերի միջև համադրելի և արդարացի հարկային բեռի սահ</w:t>
      </w:r>
      <w:r w:rsidRPr="00A83C94">
        <w:softHyphen/>
        <w:t>ման</w:t>
      </w:r>
      <w:r w:rsidRPr="00A83C94">
        <w:softHyphen/>
        <w:t>մանը՝ նպատակ ունենալով ապահովել հարկման համակարգում հարկային բեռի արդարացի և հավասար բաշխում, ինչպես նաև նվազեցնել ստորին մակարդակում գտնվող հարկման համակարգերում արհեստա</w:t>
      </w:r>
      <w:r w:rsidRPr="00A83C94">
        <w:softHyphen/>
        <w:t>կանորեն տեղավորվելու և այդ կերպ հարկերի վճարումից խուսափելու, հարկման տար</w:t>
      </w:r>
      <w:r w:rsidRPr="00A83C94">
        <w:softHyphen/>
        <w:t>բեր համակարգերի միջև արհես</w:t>
      </w:r>
      <w:r w:rsidRPr="00A83C94">
        <w:softHyphen/>
        <w:t>տա</w:t>
      </w:r>
      <w:r w:rsidRPr="00A83C94">
        <w:softHyphen/>
        <w:t>կան գործարքների իրականացմամբ հարկային պլա</w:t>
      </w:r>
      <w:r w:rsidRPr="00A83C94">
        <w:softHyphen/>
        <w:t>նավորման և գործարքների փաս</w:t>
      </w:r>
      <w:r w:rsidRPr="00A83C94">
        <w:softHyphen/>
        <w:t>տա</w:t>
      </w:r>
      <w:r w:rsidRPr="00A83C94">
        <w:softHyphen/>
        <w:t>թղ</w:t>
      </w:r>
      <w:r w:rsidRPr="00A83C94">
        <w:softHyphen/>
        <w:t>թա</w:t>
      </w:r>
      <w:r w:rsidRPr="00A83C94">
        <w:softHyphen/>
        <w:t>վորման շղթայի ամբողջականության խաթար</w:t>
      </w:r>
      <w:r w:rsidRPr="00A83C94">
        <w:softHyphen/>
        <w:t>ման ռիսկերը,</w:t>
      </w:r>
    </w:p>
    <w:p w14:paraId="24D2D94A" w14:textId="77777777" w:rsidR="005F226A" w:rsidRPr="00A83C94" w:rsidRDefault="005F226A" w:rsidP="005D2928">
      <w:pPr>
        <w:pStyle w:val="BodyText2"/>
        <w:ind w:firstLine="0"/>
      </w:pPr>
      <w:r w:rsidRPr="00A83C94">
        <w:t>- գյուղատնտեսական արտադրանքի իրացման գործարքների փաստաթղթավորման հետ կապ</w:t>
      </w:r>
      <w:r w:rsidRPr="00A83C94">
        <w:softHyphen/>
        <w:t>ված խնդիրների կարգավորմանը՝ նպատակ ունենալով ստեղծել գյուղատնտեսական արտա</w:t>
      </w:r>
      <w:r w:rsidRPr="00A83C94">
        <w:softHyphen/>
      </w:r>
      <w:r w:rsidRPr="00A83C94">
        <w:softHyphen/>
        <w:t>դ</w:t>
      </w:r>
      <w:r w:rsidRPr="00A83C94">
        <w:softHyphen/>
        <w:t>րանքի իրացման գործարքների փաստաթղթավորման համար նոր՝ գործնականում կիրա</w:t>
      </w:r>
      <w:r w:rsidRPr="00A83C94">
        <w:softHyphen/>
      </w:r>
      <w:r w:rsidRPr="00A83C94">
        <w:softHyphen/>
      </w:r>
      <w:r w:rsidRPr="00A83C94">
        <w:softHyphen/>
        <w:t>ռելի փաստաթղթավորման համակարգ, վերացնելով գյուղատնտեսության ոլորտի զար</w:t>
      </w:r>
      <w:r w:rsidRPr="00A83C94">
        <w:softHyphen/>
        <w:t>գաց</w:t>
      </w:r>
      <w:r w:rsidRPr="00A83C94">
        <w:softHyphen/>
      </w:r>
      <w:r w:rsidRPr="00A83C94">
        <w:softHyphen/>
        <w:t>մանը խոչընդոտող հարկային կարգավորումները,</w:t>
      </w:r>
    </w:p>
    <w:p w14:paraId="47E6A6A0" w14:textId="77777777" w:rsidR="005F226A" w:rsidRPr="00A83C94" w:rsidRDefault="005F226A" w:rsidP="005D2928">
      <w:pPr>
        <w:pStyle w:val="BodyText2"/>
        <w:ind w:firstLine="0"/>
      </w:pPr>
      <w:r w:rsidRPr="00A83C94">
        <w:t>- միկրոձեռնարկատիրության սուբյեկտների կողմից դուրս գրվող հաշվարկային փաս</w:t>
      </w:r>
      <w:r w:rsidRPr="00A83C94">
        <w:softHyphen/>
        <w:t>տա</w:t>
      </w:r>
      <w:r w:rsidRPr="00A83C94">
        <w:softHyphen/>
        <w:t>թղ</w:t>
      </w:r>
      <w:r w:rsidRPr="00A83C94">
        <w:softHyphen/>
        <w:t>թերի հիման վրա շահութահարկով հարկման բազայի նվազեցման հնարավորությունների սահ</w:t>
      </w:r>
      <w:r w:rsidRPr="00A83C94">
        <w:softHyphen/>
        <w:t>մա</w:t>
      </w:r>
      <w:r w:rsidRPr="00A83C94">
        <w:softHyphen/>
        <w:t>նափակմանը՝ նպատակ ունենալով, մասնավորապես, նվազեցնել հարկման համակարգերի միջև արհեստական գործարքների իրականացմամբ հարկումից խուսափելու ռիսկերը,</w:t>
      </w:r>
    </w:p>
    <w:p w14:paraId="7693318C" w14:textId="77777777" w:rsidR="005F226A" w:rsidRPr="00A83C94" w:rsidRDefault="005F226A" w:rsidP="005D2928">
      <w:pPr>
        <w:pStyle w:val="BodyText2"/>
        <w:ind w:firstLine="0"/>
      </w:pPr>
      <w:r w:rsidRPr="00A83C94">
        <w:t>- կրկնակի հարկումը բացառող համաձայնագրերի աշխարհագրության ընդլայնմանը՝ նպա</w:t>
      </w:r>
      <w:r w:rsidRPr="00A83C94">
        <w:softHyphen/>
        <w:t>տակ ունենալով նաև գործող համաձայնագրերը համապատասխանեցնել կրկնակի հարկումը բացա</w:t>
      </w:r>
      <w:r w:rsidRPr="00A83C94">
        <w:softHyphen/>
        <w:t>ռող համաձայնագրերին վերաբերող միջազգայնորեն ընդունված արդի ստանդարտներին և մոտեցումներին:</w:t>
      </w:r>
    </w:p>
    <w:p w14:paraId="11340F06" w14:textId="77777777" w:rsidR="000825DA" w:rsidRPr="00A83C94" w:rsidRDefault="000825DA" w:rsidP="005D2928">
      <w:pPr>
        <w:pStyle w:val="BodyText2"/>
        <w:ind w:firstLine="0"/>
      </w:pPr>
    </w:p>
    <w:p w14:paraId="07E0B782" w14:textId="3718E71A"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3" w:name="_Toc83567457"/>
      <w:bookmarkStart w:id="94" w:name="_Toc89428280"/>
      <w:r w:rsidRPr="00A83C94">
        <w:rPr>
          <w:rFonts w:cs="Arial"/>
          <w:szCs w:val="22"/>
          <w:lang w:val="hy-AM" w:eastAsia="en-US"/>
        </w:rPr>
        <w:t>Պետական եկամուտների վարչարարություն</w:t>
      </w:r>
      <w:bookmarkEnd w:id="93"/>
      <w:bookmarkEnd w:id="94"/>
    </w:p>
    <w:p w14:paraId="52EC9C37" w14:textId="77777777" w:rsidR="005F226A" w:rsidRPr="00A83C94" w:rsidRDefault="005F226A" w:rsidP="005D2928">
      <w:pPr>
        <w:pStyle w:val="BodyText2"/>
      </w:pPr>
      <w:r w:rsidRPr="00A83C94">
        <w:t>Պետական եկամուտների վարչարարության ոլորտում իրականացվելիք միջոցառում</w:t>
      </w:r>
      <w:r w:rsidRPr="00A83C94">
        <w:softHyphen/>
        <w:t>ները բխելու են ՀՀ կառա</w:t>
      </w:r>
      <w:r w:rsidRPr="00A83C94">
        <w:softHyphen/>
        <w:t>վա</w:t>
      </w:r>
      <w:r w:rsidRPr="00A83C94">
        <w:softHyphen/>
      </w:r>
      <w:r w:rsidRPr="00A83C94">
        <w:softHyphen/>
      </w:r>
      <w:r w:rsidRPr="00A83C94">
        <w:softHyphen/>
        <w:t>րու</w:t>
      </w:r>
      <w:r w:rsidRPr="00A83C94">
        <w:softHyphen/>
        <w:t>թյան 2021 թվականի օգոստոսի 18-ի N 1363-Ա որոշմամբ հաստատ</w:t>
      </w:r>
      <w:r w:rsidRPr="00A83C94">
        <w:softHyphen/>
      </w:r>
      <w:r w:rsidRPr="00A83C94">
        <w:softHyphen/>
      </w:r>
      <w:r w:rsidRPr="00A83C94">
        <w:softHyphen/>
        <w:t>ված Հայաստանի Հանրապետության կառավարության 2021-2026թթ. ծրագրից, ՀՀ կառավարու</w:t>
      </w:r>
      <w:r w:rsidRPr="00A83C94">
        <w:softHyphen/>
        <w:t>թյան 2021 թվականի հուլիսի 12-ի N 1171-Ն որոշմամբ հաստատ</w:t>
      </w:r>
      <w:r w:rsidRPr="00A83C94">
        <w:softHyphen/>
        <w:t xml:space="preserve">ված Հայաստանի Հանրապետության 2022-2024 թվականների պետական միջնաժամկետ ծախսերի ծրագրից և ՀՀ կառավարության պարտքի բեռի նվազեցման 2022-2026 թվականների ծրագրից, ինչպես նաև  ՀՀ կառավարության 2021 թվականի օգոստոսի 12-ի թիվ 1323-Լ որոշմամբ վերանայված Հայաստանի Հանրապետության պետական եկամուտների կոմիտեի զարգացման և վարչարարության բարելավման ռազմավարական ծրագրից: </w:t>
      </w:r>
    </w:p>
    <w:p w14:paraId="5A31C757" w14:textId="77777777" w:rsidR="005F226A" w:rsidRPr="00A83C94" w:rsidRDefault="005F226A" w:rsidP="005D2928">
      <w:pPr>
        <w:pStyle w:val="BodyText2"/>
      </w:pPr>
      <w:r w:rsidRPr="00A83C94">
        <w:t>2022 թվականի ընթացքում պետական եկամուտ</w:t>
      </w:r>
      <w:r w:rsidRPr="00A83C94">
        <w:softHyphen/>
        <w:t>ների վարչա</w:t>
      </w:r>
      <w:r w:rsidRPr="00A83C94">
        <w:softHyphen/>
        <w:t>րա</w:t>
      </w:r>
      <w:r w:rsidRPr="00A83C94">
        <w:softHyphen/>
      </w:r>
      <w:r w:rsidRPr="00A83C94">
        <w:softHyphen/>
      </w:r>
      <w:r w:rsidRPr="00A83C94">
        <w:softHyphen/>
      </w:r>
      <w:r w:rsidRPr="00A83C94">
        <w:softHyphen/>
        <w:t>րության ոլորտում նախատեսվում են հետևյալ հիմնական միջոցառումները.</w:t>
      </w:r>
    </w:p>
    <w:p w14:paraId="42B93AE2"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szCs w:val="22"/>
          <w:lang w:val="hy-AM"/>
        </w:rPr>
        <w:t xml:space="preserve">Հարկ վճարողներին սպասարկման և որակյալ ծառայությունների մատուցման, ինչպես նաև տեղեկատվության փոխանակման անվտանգության ապահովման նպատակով </w:t>
      </w:r>
      <w:r w:rsidRPr="00A83C94">
        <w:rPr>
          <w:rFonts w:cs="Sylfaen"/>
          <w:b w:val="0"/>
          <w:szCs w:val="22"/>
          <w:lang w:val="hy-AM"/>
        </w:rPr>
        <w:t>կատարելագործել էլեկտրոնային համակարգերը և արդիականացնել ենթակառուցվածքները: Նշված ուղղությունների իրագործման նպատակով նախատեսվում է.</w:t>
      </w:r>
    </w:p>
    <w:p w14:paraId="5714C79E"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ընդլայնել և ներդնել ստանդարտ վերլուծությունների ավտոմատացված եղանակով իրականացվող գործիքներ,</w:t>
      </w:r>
    </w:p>
    <w:p w14:paraId="533AD83B"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գործարկել հիփոթեքային վարկի սպասարկման համար վճարվող տոկոսների գումարների վերադարձի էլեկտրոնային հարթակ,</w:t>
      </w:r>
    </w:p>
    <w:p w14:paraId="1386357D"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կատարելագործել երրորդ անձանցից ստացվող տեղեկությունների մշակման էլեկտրոնային համակարգերը,</w:t>
      </w:r>
    </w:p>
    <w:p w14:paraId="1EBEBF06"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ընդլայնել և զարգացնել մեծ ծավալի տվյալների (Big Data) վերլուծական և մեքենայական ուսուցման (machine learning) գործիքակազմերը,</w:t>
      </w:r>
    </w:p>
    <w:p w14:paraId="16B30F04"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կատարելագործել և հզորացնել էլեկտրոնային կառավարման համակարգերի հնարավորությունները` համակարգի անխափան աշխատանքն ապահովելու նպատակով,</w:t>
      </w:r>
    </w:p>
    <w:p w14:paraId="6E53CB04"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ներդնել առանց մաքսային մարմինների գտնվելու վայրեր այցելության ապրանքների և տրանսպորտային միջոցների ինքնաշխատ բացթողման էլեկտրոնային համակարգը,</w:t>
      </w:r>
    </w:p>
    <w:p w14:paraId="1FA04BFF"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ինտեգրել մաքսային և հարկային ռիսկերի կառավարման համակարգերը, ձևավորել համադրելիության մոդել,</w:t>
      </w:r>
    </w:p>
    <w:p w14:paraId="63902CB5"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իրավախախտում թույլ տված տնտեսավարող սուբյեկտների թիրախավորման նպատակով ներդնել «Մաքսային իրավախախտումների միասնական շտեմարան» համակարգ.</w:t>
      </w:r>
    </w:p>
    <w:p w14:paraId="2D100900" w14:textId="77777777" w:rsidR="005F226A" w:rsidRPr="00A83C94" w:rsidRDefault="005F226A" w:rsidP="00786462">
      <w:pPr>
        <w:pStyle w:val="ListParagraph"/>
        <w:numPr>
          <w:ilvl w:val="0"/>
          <w:numId w:val="21"/>
        </w:numPr>
        <w:tabs>
          <w:tab w:val="left" w:pos="567"/>
        </w:tabs>
        <w:spacing w:before="0" w:line="276" w:lineRule="auto"/>
        <w:ind w:left="0" w:firstLine="720"/>
        <w:contextualSpacing w:val="0"/>
        <w:rPr>
          <w:b w:val="0"/>
          <w:szCs w:val="22"/>
          <w:lang w:val="hy-AM"/>
        </w:rPr>
      </w:pPr>
      <w:r w:rsidRPr="00A83C94">
        <w:rPr>
          <w:b w:val="0"/>
          <w:szCs w:val="22"/>
          <w:lang w:val="hy-AM"/>
        </w:rPr>
        <w:t xml:space="preserve"> Մեկ կանգառ, մեկ պատուհան համակարգի կատարելագործման շրջանակներում ներդնել մաքսային ձևակերպումների համար անհրաժեշտ թույլատվական փաստաթղթերի տրամադրման էլեկտրոնային համակարգ: Մաքսային գործառնությունների իրականացման վրա ծախսվող ժամանակահատվածի կրճատման նպատակով ՀՀ պետական սահմանի անցման կետերում գործող այլ համակարգերն ինտեգրել «ՀՀ արտաքին առևտրի ազգային մեկ պատուհան» համակարգին,  արդիականացնել «Մեկ կանգառ, մեկ պատուհան» համակարգի վերջնական ներդրման համար անհրաժեշտ հիմնական կառավարման էլեկտրոնային համակարգերը, մաքսային գործառնությունների արդյունավետության բարձրացման նպատակով բարելավել կշռման համակարգի ծրագրային ապահովումը,</w:t>
      </w:r>
    </w:p>
    <w:p w14:paraId="5B361865"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szCs w:val="22"/>
          <w:lang w:val="hy-AM"/>
        </w:rPr>
        <w:t>Վարչարարության արդյունավետության բարձրացման և հարկային ճեղքի կրճատման նպատակով</w:t>
      </w:r>
      <w:r w:rsidRPr="00A83C94">
        <w:rPr>
          <w:rFonts w:cs="Sylfaen"/>
          <w:b w:val="0"/>
          <w:szCs w:val="22"/>
          <w:lang w:val="hy-AM"/>
        </w:rPr>
        <w:t xml:space="preserve"> իրականացնել աշխատանքներ՝ ուղղված ինչպես կամավոր կարգապահության բարձրացմանը, այնպես էլ հարկային և մաքսային իրավախախտումների կանխարգելմանը: ՀՀ պետական եկամուտների կոմիտեի կողմից հաստատված հարկային և մաքսային կարգապահության բարելավման ռազմավարական ծրագրին համահունչ՝ վարչարարություն ուղղել դեպի առավել ռիսկային հարկ վճարողների խմբեր կամ տնտեսական գործունեության ոլորտներ: Վարչարարության արդյունավետության բարձրացման նպատակով նախատեսվում է.</w:t>
      </w:r>
    </w:p>
    <w:p w14:paraId="4552BAE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կատարելագործել օրինապահ հարկ վճարողների համակարգը` հարկ վճարողների օրինապահ վարքագծի խրախուսման և հարկ վճարողների մոտ հարկային կարգապահության ընկալման փոփոխության միջոցով,</w:t>
      </w:r>
    </w:p>
    <w:p w14:paraId="11D8EC17"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բարձրացնել իրականացվող հարկային և մաքսային օրենսդրության վերաբերյալ հարկ վճարողների իրազեկվածության մակարդակը` կատարելագործելով ուսուցման և իրազեկման համակարգը,</w:t>
      </w:r>
    </w:p>
    <w:p w14:paraId="49E5DC5C"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ապահովել հարկային մարմնի և հարկ վճարողների ամբողջությամբ էլեկտրոնային եղանակով միմյանց հետ հաղորդակցման հնարավորությունը,</w:t>
      </w:r>
    </w:p>
    <w:p w14:paraId="1243A37F"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միջազգային լավագույն փորձին համահունչ կատարելագործել և վերանայել հարկային և մաքսային ռիսկերի կառավարման համակարգերը,</w:t>
      </w:r>
    </w:p>
    <w:p w14:paraId="47E3EC18"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ներդնել Տնտեսական համագործակցության զարգացման կազմակերպության (ՏՀԶԿ) Հարկման նպատակով թափանցիկության և տեղեկությունների փոխանակման գլոբալ ֆորումին ՀՀ անդամակցության շրջանակներում տեղեկությունների փոխանակման միջազգային ստանդարտները և աշխատանքներ իրականացնել «Հարկվող բազայի քայքայումը և շահույթի տեղաշարժ» ծրագրի՝ հարկային մարմնի գործառույթներին առնչվող ստանդարտների կիրառումն ապահովելու ուղղությամբ,</w:t>
      </w:r>
    </w:p>
    <w:p w14:paraId="0DE52DF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բարելավել սուբյեկտների կողմից իրականացվող գործունեության օրինականության կամ գործարքների լիարժեք փաստաթղթավորման կարգապահությունը, կատարելագործել հսկողական գործիքակազմը,</w:t>
      </w:r>
    </w:p>
    <w:p w14:paraId="2C20F6A8"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xml:space="preserve">- բարելավել Եվրասիական տնտեսական միության անդամ պետություններից ՀՀ ներմուծում իրականացնող հարկ վճարողների հարկային կարգապահությունը, </w:t>
      </w:r>
    </w:p>
    <w:p w14:paraId="07A35F08"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 կատարելագործել հարկային պարտավորությունների հաշվարկման մեխանիզմները` այդ թվում հարկերի հաշվարկման անուղղակի եղանակների և տրանսֆերտային գնագոյացման կարգավորումների կատարելագործման միջոցով:</w:t>
      </w:r>
    </w:p>
    <w:p w14:paraId="21815AC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Նոր թափով շարունակել աշխատանքները հարկային և մաքսային մարմիններում կոռուպցիոն ռիսկերի և երևույթների բացահայտման և կանխարգելման ուղղությամբ:</w:t>
      </w:r>
    </w:p>
    <w:p w14:paraId="7A841F7D"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Կարևորելով բանիմաց, մասնագիտական և գործնական գիտելիքներով ու հմտություններով օժտված անձնակազմի դերը ՀՀ պետական եկամուտների կոմիտեի գործառույթներն ու նախատեսվող բարեփոխումներն իրականացնելու գործում՝ միջազգային լավագույն փորձին համապատասխան ներդնել հարկային և մաքսային ծառայողների ընտրության, նշանակման, վերապատրաստման և ատեստավորման նոր ներառական համակարգ:</w:t>
      </w:r>
    </w:p>
    <w:p w14:paraId="39B8FC24"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ՀՀ պետական եկամուտների կոմիտեի գործունեության նկատմամբ վստահության բարձրացման նպատակով շարունակել իրականացնել հասարակության հետ երկխոսության և փոխշահավետ համագործակցության ամրապնդմանն ուղղված աշխատանքներ, ԶԼՄ-ներով և տեղեկատվական այլ հարթակներով լայնորեն լուսաբանել ՀՀ պետական եկամուտների կոմիտեի գործունեությունը:</w:t>
      </w:r>
    </w:p>
    <w:p w14:paraId="08ADC321"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Վերը նշված միջոցառումների իրականացմամբ բարձրացնել հարկային վարչարարության արդյունավետությունը և ապահովել 2022 թվականի ՀՀ պետական բյուջեով նախատեսված հարկային եկամուտները:</w:t>
      </w:r>
    </w:p>
    <w:p w14:paraId="0D23787F" w14:textId="77777777" w:rsidR="005F226A" w:rsidRPr="00A83C94" w:rsidRDefault="005F226A" w:rsidP="005D2928">
      <w:pPr>
        <w:pStyle w:val="BodyText2"/>
        <w:ind w:firstLine="0"/>
        <w:rPr>
          <w:rFonts w:cs="Sylfaen"/>
          <w:b/>
        </w:rPr>
      </w:pPr>
    </w:p>
    <w:p w14:paraId="24D259C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rPr>
      </w:pPr>
      <w:bookmarkStart w:id="95" w:name="_Toc83567458"/>
      <w:bookmarkStart w:id="96" w:name="_Toc89428281"/>
      <w:r w:rsidRPr="00A83C94">
        <w:rPr>
          <w:rFonts w:cs="Arial"/>
          <w:szCs w:val="22"/>
          <w:lang w:val="hy-AM"/>
        </w:rPr>
        <w:t>Կապիտալի շուկայի զարգացում</w:t>
      </w:r>
      <w:bookmarkEnd w:id="95"/>
      <w:bookmarkEnd w:id="96"/>
    </w:p>
    <w:p w14:paraId="34CA351A" w14:textId="77777777" w:rsidR="005F226A" w:rsidRPr="00A83C94" w:rsidRDefault="005F226A" w:rsidP="005D2928">
      <w:pPr>
        <w:tabs>
          <w:tab w:val="left" w:pos="567"/>
        </w:tabs>
        <w:spacing w:before="0" w:line="276" w:lineRule="auto"/>
        <w:ind w:firstLine="720"/>
        <w:contextualSpacing w:val="0"/>
        <w:rPr>
          <w:b w:val="0"/>
          <w:szCs w:val="22"/>
          <w:lang w:val="hy-AM"/>
        </w:rPr>
      </w:pPr>
      <w:r w:rsidRPr="00A83C94">
        <w:rPr>
          <w:b w:val="0"/>
          <w:szCs w:val="22"/>
          <w:lang w:val="hy-AM"/>
        </w:rPr>
        <w:t>Հայաստանի կապիտալի շուկայի զարգացման ուղղությամբ թիրախավորված, կոորդինացված և արդյունավետ գործողություններ իրականացնելու համար 2022 թվականին նախատեսվում է.</w:t>
      </w:r>
    </w:p>
    <w:p w14:paraId="3474364B" w14:textId="272CA071" w:rsidR="005F226A" w:rsidRPr="00A83C94" w:rsidRDefault="005F226A" w:rsidP="005C5FAF">
      <w:pPr>
        <w:pStyle w:val="ListParagraph"/>
        <w:numPr>
          <w:ilvl w:val="0"/>
          <w:numId w:val="21"/>
        </w:numPr>
        <w:tabs>
          <w:tab w:val="left" w:pos="567"/>
        </w:tabs>
        <w:spacing w:before="0" w:line="276" w:lineRule="auto"/>
        <w:ind w:left="0" w:firstLine="720"/>
        <w:rPr>
          <w:b w:val="0"/>
          <w:szCs w:val="22"/>
          <w:lang w:val="hy-AM"/>
        </w:rPr>
      </w:pPr>
      <w:bookmarkStart w:id="97" w:name="_Toc26174909"/>
      <w:r w:rsidRPr="00A83C94">
        <w:rPr>
          <w:b w:val="0"/>
          <w:szCs w:val="22"/>
          <w:lang w:val="hy-AM"/>
        </w:rPr>
        <w:t xml:space="preserve">  զարգացնել պետական պարտատոմսերի շուկայում ներդրողների հետ հարաբերությունները՝ կատարելագործելով տեղեկատվության հրապարակման համակարգերը և իրականացնելով ներդրողներին ուղղված ակտիվ միջոցառումներ</w:t>
      </w:r>
      <w:r w:rsidR="00EE3294" w:rsidRPr="00A83C94">
        <w:rPr>
          <w:b w:val="0"/>
          <w:szCs w:val="22"/>
          <w:lang w:val="hy-AM"/>
        </w:rPr>
        <w:t>,</w:t>
      </w:r>
    </w:p>
    <w:p w14:paraId="6953B921" w14:textId="75DA4D04"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ստեղծել անհրաժեշտ իրավական և ինստիտուցիոնալ ենթակառուցվածքներ՝ խոշոր համայնքների (մասնավորապես՝ Երևան քաղաքի) կողմից պարտատոմսերի շուկայի միջոցով </w:t>
      </w:r>
      <w:r w:rsidR="00EE3294" w:rsidRPr="00A83C94">
        <w:rPr>
          <w:b w:val="0"/>
          <w:szCs w:val="22"/>
          <w:lang w:val="hy-AM"/>
        </w:rPr>
        <w:t>ֆինանսավորման իրականացման համար,</w:t>
      </w:r>
    </w:p>
    <w:p w14:paraId="21834F3F" w14:textId="06353981"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խոշոր ընկերությունների կողմից կապիտալի շուկայի միջոցով ներդրո</w:t>
      </w:r>
      <w:r w:rsidR="00EE3294" w:rsidRPr="00A83C94">
        <w:rPr>
          <w:b w:val="0"/>
          <w:szCs w:val="22"/>
          <w:lang w:val="hy-AM"/>
        </w:rPr>
        <w:t>ւմների ներգրավմանն աջակցություն,</w:t>
      </w:r>
    </w:p>
    <w:p w14:paraId="4583DFFB" w14:textId="792C8F1A"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մշակել մեխանիզմներ, որոնցով բանկերը վարկային փաթեթները կգնահատեն ընկերության կողմից ՀՀ ՊԵԿ ներկայացված տվյալներից էապես չտարբերվող ֆինանսակ</w:t>
      </w:r>
      <w:r w:rsidR="00EE3294" w:rsidRPr="00A83C94">
        <w:rPr>
          <w:b w:val="0"/>
          <w:szCs w:val="22"/>
          <w:lang w:val="hy-AM"/>
        </w:rPr>
        <w:t>ան հաշվետվությունների հիման վրա,</w:t>
      </w:r>
    </w:p>
    <w:p w14:paraId="6F346D95" w14:textId="021A73B0"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ակտիվներով ապահովված արժեթղթերի թողարկումների խրախուսում, այդ  թվում՝ միջազգային </w:t>
      </w:r>
      <w:r w:rsidR="00EE3294" w:rsidRPr="00A83C94">
        <w:rPr>
          <w:b w:val="0"/>
          <w:szCs w:val="22"/>
          <w:lang w:val="hy-AM"/>
        </w:rPr>
        <w:t>վարկանիշի ստացմանն աջակցություն,</w:t>
      </w:r>
    </w:p>
    <w:p w14:paraId="495CDF52" w14:textId="49BFFD68"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հեջավորման հնարավորությունների ընդլայնման համար ածանցյալների շուկայի զա</w:t>
      </w:r>
      <w:r w:rsidR="00EE3294" w:rsidRPr="00A83C94">
        <w:rPr>
          <w:b w:val="0"/>
          <w:szCs w:val="22"/>
          <w:lang w:val="hy-AM"/>
        </w:rPr>
        <w:t>րգացման ուղղությամբ աշխատանքներ,</w:t>
      </w:r>
    </w:p>
    <w:p w14:paraId="0AF01FBD" w14:textId="77777777"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կապիտալի շուկայի, դրա ռիսկերի վերաբերյալ կրթական և իրազեկման աշխատանքների իրականացում,</w:t>
      </w:r>
    </w:p>
    <w:p w14:paraId="38FE4C0F" w14:textId="77777777"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 xml:space="preserve">  թափանցիկության բարձրացում՝ թողարկողների, արժեթղթերի, արժեթղթերով գործարքների վերաբերյալ առավել ամբողջական տեղեկատվության հրապարակման միջոցով.</w:t>
      </w:r>
    </w:p>
    <w:p w14:paraId="0EB8B059" w14:textId="77777777" w:rsidR="005F226A" w:rsidRPr="00A83C94" w:rsidRDefault="005F226A" w:rsidP="00786462">
      <w:pPr>
        <w:pStyle w:val="ListParagraph"/>
        <w:numPr>
          <w:ilvl w:val="0"/>
          <w:numId w:val="21"/>
        </w:numPr>
        <w:tabs>
          <w:tab w:val="left" w:pos="567"/>
        </w:tabs>
        <w:spacing w:before="0" w:line="276" w:lineRule="auto"/>
        <w:ind w:left="0" w:firstLine="720"/>
        <w:rPr>
          <w:b w:val="0"/>
          <w:szCs w:val="22"/>
          <w:lang w:val="hy-AM"/>
        </w:rPr>
      </w:pPr>
      <w:r w:rsidRPr="00A83C94">
        <w:rPr>
          <w:b w:val="0"/>
          <w:szCs w:val="22"/>
          <w:lang w:val="hy-AM"/>
        </w:rPr>
        <w:t>ինտեգրել պետական և կորպորատիվ արժեթղթերի դեպոզիտարիաները։</w:t>
      </w:r>
    </w:p>
    <w:p w14:paraId="15310AB6" w14:textId="77777777" w:rsidR="000825DA" w:rsidRPr="00A83C94" w:rsidRDefault="000825DA" w:rsidP="000825DA">
      <w:pPr>
        <w:pStyle w:val="ListParagraph"/>
        <w:tabs>
          <w:tab w:val="left" w:pos="567"/>
        </w:tabs>
        <w:spacing w:before="0" w:line="276" w:lineRule="auto"/>
        <w:ind w:firstLine="0"/>
        <w:rPr>
          <w:b w:val="0"/>
          <w:szCs w:val="22"/>
          <w:lang w:val="hy-AM"/>
        </w:rPr>
      </w:pPr>
    </w:p>
    <w:p w14:paraId="08C1393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98" w:name="_Toc26174911"/>
      <w:bookmarkStart w:id="99" w:name="_Toc83567459"/>
      <w:bookmarkStart w:id="100" w:name="_Toc89428282"/>
      <w:bookmarkEnd w:id="97"/>
      <w:r w:rsidRPr="00A83C94">
        <w:rPr>
          <w:rFonts w:cs="Arial"/>
          <w:szCs w:val="22"/>
          <w:lang w:val="hy-AM" w:eastAsia="en-US"/>
        </w:rPr>
        <w:t>Անշարժ գույքի կադաստր</w:t>
      </w:r>
      <w:bookmarkEnd w:id="98"/>
      <w:bookmarkEnd w:id="99"/>
      <w:bookmarkEnd w:id="100"/>
      <w:r w:rsidRPr="00A83C94">
        <w:rPr>
          <w:rFonts w:cs="Arial"/>
          <w:szCs w:val="22"/>
          <w:lang w:val="hy-AM" w:eastAsia="en-US"/>
        </w:rPr>
        <w:t xml:space="preserve"> </w:t>
      </w:r>
    </w:p>
    <w:p w14:paraId="77BBE8A9"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bookmarkStart w:id="101" w:name="_Toc26174912"/>
      <w:r w:rsidRPr="00A83C94">
        <w:rPr>
          <w:rFonts w:cs="Sylfaen"/>
          <w:b w:val="0"/>
          <w:szCs w:val="22"/>
          <w:lang w:val="hy-AM"/>
        </w:rPr>
        <w:t>ՀՀ-ում արդեն ներդրվել է անշարժ գույքի միասնական գնահատման և հարկման համակարգ, որը անշարժ գույքի հարկով արդարացի հարկման մեխանիզմներ իրականացնելու հնարավորություն է տալիս՝ ապահովելով անշարժ գույքի շուկայի գնային իրավիճակի վերաբերյալ վերլուծական տեղեկատվական բազայի ստեղծմանը:</w:t>
      </w:r>
    </w:p>
    <w:p w14:paraId="7ED98FC1"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Բարեփոխումների իրականացման գործընթացում է գույքի շուկայական գնահատման ոլորտը, մասնավորապես օրենսդրական փոփոխություններով կկարգավորվեն ոչ միայն անշարժ գույքի, այլև գույքի մյուս տեսակների՝ շարժական, բիզնեսի, ոչ նյութական ակտիվների և այլն, շուկայական գնահատումները:</w:t>
      </w:r>
    </w:p>
    <w:p w14:paraId="7B6CE2C2"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Բարեփոխումներ են նախատեսվում նաև անշարժ գույքի ռիելթորական գործունեության ոլորտում, մասնավորապես ոլորտի օրենսդրական կարգավորման և զարգացման նախադրյալների, ոլորտին անհրաժեշտ գործիքակազմի ներդրում՝ ծրագրային ապահովում, անշարժ գույքի գործակալների համար տեղեկատվական բազայի ստեղծում:</w:t>
      </w:r>
    </w:p>
    <w:p w14:paraId="1B44323A"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Ռազմավարության պահանջներից է գեոդեզիական, քարտեզագրական և երկրատեղեկատվական համակարգերի հիման վրա ազգային տարածական տվյալների ենթակառուցվածքի ստեղծումը, որի նպատակը տեղեկատվական տեխնոլոգիաների նորագույն լուծումներով ոլորտի համակարգի արդիականացումն է, որն էլ իր հերթին կնպաստի տարածական որոշումների օպերատիվության բարձրացմանը և հողային քաղաքականության պատշաճ և արդյունավետ վարմանը։</w:t>
      </w:r>
    </w:p>
    <w:p w14:paraId="22479764"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Շարունակվում են իրականացվել ՀՀ պետական մասշտաբային շարքի տպագիր քարտեզների տեղափոխումն ԱՏՀ միջավայր քարտեզագրական հիմքի ստեղծման աշխատանքների նպատակով, որոնք տնտեսության տարբեր բնագավառներում աշխատանքների արդյունավետության բարձրացման կարևոր նախադրյալ են:</w:t>
      </w:r>
    </w:p>
    <w:p w14:paraId="2F879346" w14:textId="77777777" w:rsidR="005F226A" w:rsidRPr="00A83C94" w:rsidRDefault="005F226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r w:rsidRPr="00A83C94">
        <w:rPr>
          <w:rFonts w:cs="Sylfaen"/>
          <w:b w:val="0"/>
          <w:szCs w:val="22"/>
          <w:lang w:val="hy-AM"/>
        </w:rPr>
        <w:t>Ստեղծված քարտեզագեոդեզիական հիմքով երկրատեղեկատվական համակարգը հանդիսանալու է գերատեսչական տարբեր ոլորտների համար որպես բազա:</w:t>
      </w:r>
    </w:p>
    <w:p w14:paraId="26215C43" w14:textId="77777777" w:rsidR="000825DA" w:rsidRPr="00A83C94" w:rsidRDefault="000825DA" w:rsidP="005D2928">
      <w:pPr>
        <w:tabs>
          <w:tab w:val="left" w:pos="567"/>
          <w:tab w:val="left" w:pos="720"/>
          <w:tab w:val="left" w:pos="900"/>
          <w:tab w:val="left" w:pos="1080"/>
        </w:tabs>
        <w:spacing w:before="0" w:line="276" w:lineRule="auto"/>
        <w:ind w:firstLine="720"/>
        <w:contextualSpacing w:val="0"/>
        <w:rPr>
          <w:rFonts w:cs="Sylfaen"/>
          <w:b w:val="0"/>
          <w:szCs w:val="22"/>
          <w:lang w:val="hy-AM"/>
        </w:rPr>
      </w:pPr>
    </w:p>
    <w:p w14:paraId="7B815C42" w14:textId="77777777" w:rsidR="005F226A" w:rsidRPr="00A83C94" w:rsidRDefault="005F226A" w:rsidP="005D2928">
      <w:pPr>
        <w:keepNext/>
        <w:tabs>
          <w:tab w:val="left" w:pos="567"/>
        </w:tabs>
        <w:spacing w:before="0" w:line="276" w:lineRule="auto"/>
        <w:ind w:firstLine="720"/>
        <w:contextualSpacing w:val="0"/>
        <w:outlineLvl w:val="2"/>
        <w:rPr>
          <w:rFonts w:cs="Arial"/>
          <w:szCs w:val="22"/>
          <w:lang w:val="hy-AM" w:eastAsia="en-US"/>
        </w:rPr>
      </w:pPr>
      <w:bookmarkStart w:id="102" w:name="_Toc83567460"/>
      <w:bookmarkStart w:id="103" w:name="_Toc89428283"/>
      <w:r w:rsidRPr="00A83C94">
        <w:rPr>
          <w:rFonts w:cs="Arial"/>
          <w:szCs w:val="22"/>
          <w:lang w:val="hy-AM" w:eastAsia="en-US"/>
        </w:rPr>
        <w:t>Հասարակական կարգի պահպանություն</w:t>
      </w:r>
      <w:bookmarkEnd w:id="101"/>
      <w:bookmarkEnd w:id="102"/>
      <w:bookmarkEnd w:id="103"/>
      <w:r w:rsidRPr="00A83C94">
        <w:rPr>
          <w:rFonts w:cs="Arial"/>
          <w:szCs w:val="22"/>
          <w:lang w:val="hy-AM" w:eastAsia="en-US"/>
        </w:rPr>
        <w:t xml:space="preserve"> </w:t>
      </w:r>
    </w:p>
    <w:p w14:paraId="2CBD48B0"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ՀՀ կառավարության գործունեության հիմնարար ուղենիշներին համահունչ ոստիկանության կարևորագույն հայեցակարգային խնդիրը, ոստիկանությունում մեկնարկած բարեփոխումների նպատակը ժամանակակից մարտահրավերներին դիմակայող, մասնագիտացված ու տեխնիկապես հագեցած, բարեվարք և հարգանքի արժանի ոստիկանության վերափոխումն ու ժողովրդավարական իրավակարգին բնորոշ նոր ոստիկանի կերպարի ստեղծումն է։</w:t>
      </w:r>
      <w:r w:rsidRPr="00A83C94">
        <w:rPr>
          <w:rFonts w:ascii="Calibri" w:hAnsi="Calibri" w:cs="Calibri"/>
          <w:b w:val="0"/>
          <w:szCs w:val="22"/>
          <w:lang w:val="hy-AM"/>
        </w:rPr>
        <w:t> </w:t>
      </w:r>
    </w:p>
    <w:p w14:paraId="749A5363"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Նշված նպատակադրումների իրականացմանն ուղղված միջոցառումները, որոնք ներառվել են 2020 թվականի ապրիլի 23-ին ՀՀ կառավարության կողմից ընդունված «Ոստիկանության բարեփոխումների ռազմավարությունը և դրանից բխող գործողությունների ծրագիրը հաստատելու մասին» (այսուհետ՝ Ռազմավարություն) թիվ 638-Լ որոշման մեջ, հանդիսանում են ոստիկանության գործունեության ոլորտում առաջիկա տարիներին նախատեսվող  բարեփոխումների հիմքը: </w:t>
      </w:r>
    </w:p>
    <w:p w14:paraId="5F7DF9CB"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Ռազմավարությամբ նախատեսված առաջնահերթ ուղղություններն են.</w:t>
      </w:r>
    </w:p>
    <w:p w14:paraId="7EE4D242"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Կառուցվածքային փոփոխություններ և գործառույթների հստակեցում.</w:t>
      </w:r>
    </w:p>
    <w:p w14:paraId="2B63354C"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Ժողովրդավարական խորհրդարանական պետությանը բնորոշ կառուցվածքով և գործառույթներով օժտված Ներքին գործերի նախարարության ստեղծումն է, որը կապահովի իր համակարգման ոլորտների /ոստիկանություն, միգրացիա և քաղաքացիություն, մյուս ծառայություններ/ քաղաքականության մշակումը և կկրի պատասխանատվություն ոլորտի քաղաքականության համար: Նախարարության ձևավորումը թույլ կտա ապահովել ոլորտի թե խորհրդարանական և թե քաղաքացիական վերահսկողությունը:</w:t>
      </w:r>
    </w:p>
    <w:p w14:paraId="18008040"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Պարեկային ծառայության և Օպերատիվ կառավարման կենտրոնի ստեղծում.</w:t>
      </w:r>
    </w:p>
    <w:p w14:paraId="6644D058"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Պարեկային ծառայությունը, հագեցված լինելով նորագույն տեխնոլոգիաներով, քաղաքացիներին մատուցելու է նոր որակի ծառայություն, ինչը դրսևորվելու է քաղաքացիների իրավունքների և օրինական շահերի առավել արդյունավետ պաշտպանությամբ, իրավախախտումներին և հանրորեն վտանգավոր դեպքերին արագ (օպերատիվ) արձագանքմամբ, երթևեկության կազմակերպմամբ, հանցագործությունների և պատահարների վերաբերյալ հաղորդումների հավաքագրման ժամանակակից համակարգի ստեղծմամբ, ոստիկանական ուժերի ու միջոցների առավել օպերատիվ կառավարմամբ, իրավախախտումների արդյունավետ կանխարգելմամբ: Պարեկային ծառայության հիմնական խնդիրներից է հանդիսանալու նաև ցանկացած դժվարին իրավիճակում հայտնված քաղաքացուն գործնական աջակցության ցուցաբերումը: </w:t>
      </w:r>
    </w:p>
    <w:p w14:paraId="78F9A98A"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Պարեկային ծառայությանը զուգահեռ գործարկվելու է օպերատիվ կառավարման կենտրոնը, որը հանդիսանալու է քաղաքացիներից ահազանգերի ընդունման կենտրոն և րոպեների ընթացքում տալու է անհրաժեշտ խորհրդատվություն, իսկ անհրաժեշտության դեպքում մոտեցնելու է պարեկային կարգախումբը։</w:t>
      </w:r>
    </w:p>
    <w:p w14:paraId="1CEA10B7"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Նախաքննության արդյունավետություն.</w:t>
      </w:r>
    </w:p>
    <w:p w14:paraId="5A900070"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քրեադատավարական նոր օրենսդրության կարգավորումների լույսի ներքո քրեական դատավարության կարգով իրականացվող նախաքննության առումով ոստիկանության գործառույթների հստակեցում՝ հաշվի առնելով, որ քննչական մարմինների գործող մոդելի պարագայում ոստիկանության համակարգի ողջ ռեսուրսը դուրս է մնում քրեական գործերի նախաքննության գործառույթներից, ինչը բացի հանցավորության դեմ արդյունավետ պայքարի խնդրից, խնդրահարույց է նաև պետության տրամադրության տակ եղած ռեսուրսների արդյունավետ տնօրինման տեսանկյունից,</w:t>
      </w:r>
    </w:p>
    <w:p w14:paraId="616DBF39"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երկարաժամկետ հեռանկարում քրեական ոստիկանությունում քննչական ու օպերատիվ ֆունկցիաների միավորմամբ դետեկտիվների ինստիտուտի ներդրում, որի ծառայողները լիազորված կլինեն ամբողջական քննություն իրականացնել առանձին հանցագործությունների դեպքերով:</w:t>
      </w:r>
    </w:p>
    <w:p w14:paraId="4A4DD52F"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ՀՀ քրեական դատավարության օրենսգրքի 98-րդ հոդվածի դրույթներից է բխում, որ քրեական դատավարությանը մասնակցող կամ հանցագործության մասին հաղորդում տվող</w:t>
      </w:r>
      <w:r w:rsidRPr="00A83C94">
        <w:rPr>
          <w:rFonts w:ascii="Calibri" w:hAnsi="Calibri" w:cs="Calibri"/>
          <w:b w:val="0"/>
          <w:szCs w:val="22"/>
          <w:lang w:val="hy-AM"/>
        </w:rPr>
        <w:t> </w:t>
      </w:r>
      <w:r w:rsidRPr="00A83C94">
        <w:rPr>
          <w:b w:val="0"/>
          <w:szCs w:val="22"/>
          <w:lang w:val="hy-AM"/>
        </w:rPr>
        <w:t xml:space="preserve"> յուրաքանչյուր անձ, ով կարող է հաղորդել տվյալներ, որոնք նշանակություն ունեն հանցագործությունը բացահայտելու և դրա կատարողին հայտնաբերելու համար, ինչի հետևանքով կարող են վտանգվել նրա, նրա ընտանիքի անդամի, մերձավոր ազգականի կամ մերձավորի կյանքը, առողջությունը, գույքը, իրավունքներն ու օրինական շահերը, ունի պաշտպանության իրավունք: Նշված անձանց պաշտպանության իրականացումն ապահովելու նպատակով, արդեն իսկ ընդունված օրենսդրական համապատասխան ակտերի հիման վրա ոստիկանությունում նախատեսվում է ստեղծել քրեական դատավարությանը մասնակցող կամ հանցագործության մասին հաղորդում տվող անձի, նրա ընտանիքի անդամի, մերձավոր ազգականի կամ մերձավորի (այսուհետ՝ պաշտպանության ենթակա անձ) պաշտպանություն իրականացնող մասնագիտացված ստորաբաժանում, ինչը կբարձրացնի օրենքով պաշտպանության ենթակա անձանց անվտանգության ապահովման մակարդակը:</w:t>
      </w:r>
    </w:p>
    <w:p w14:paraId="26F83FFF"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Հասարակական կարգի պահպանություն.</w:t>
      </w:r>
    </w:p>
    <w:p w14:paraId="1CBBDDE6"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Ոստիկանության հասարակական կարգը պահպանող ծառայությունների հատուկ կարողությունների զարգացում ու տակտիկական արդյունավետ լուծումների ներդրում, բանակցային ու հաղորդակցության կարողությունների զարգացում, իրավապահ համակարգում մարդու իրավունքների ստանդարտների վերաբերյալ վերապատրաստում, ինչպես նաև տեխնիկական հագեցվածության և սպառազինության բարելավում։</w:t>
      </w:r>
    </w:p>
    <w:p w14:paraId="6E3C863C"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Համայնքային ոստիկանության վերաիմաստավորում.</w:t>
      </w:r>
    </w:p>
    <w:p w14:paraId="22F6A927"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Համայնքային ոստիկանության գործառույթների վերանայում (օրենսդրական և կառուցվածքային առումներով), որոնք շատ հաճախ կրկնվում են որոշ դեպքերում՝ պրոբացիայի ծառայության, մյուս դեպքերում սոցիալական ծառայությունների գործառույթների հետ, ինչպես նաև այլ պետական մարմինների հետ իրականացվող համագործակցության շրջանակներում գործառույթների անհստակության և ոչ որոշակիության խնդրի լուծում:</w:t>
      </w:r>
    </w:p>
    <w:p w14:paraId="6BC412A9"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Ոստիկանության զորքերի վերակազմավորում.</w:t>
      </w:r>
    </w:p>
    <w:p w14:paraId="5C0CC0E6"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Ազգային գվարդիայի ձևավորում, որի կազմակերպման և գործունեության կարգն այլևս չի կարգավորվելու ռազմական օրենսդրական ակտերով: Նման փոփոխությունը պահանջելու է կառուցվածքային և օրենսդրական շտկումներ, բայց և արդյունքում փոխելու է հանրություն-ոստիկանություն հարաբերությունների էությունը՝ ոստիկանությանն ավելի մոտեցնելով թափանցիկ ու պատասխանատու գործելակերպի և պահանջվող զգայունության՝ մարդու իրավունքների պաշտպանության հարցերի նկատմամբ:</w:t>
      </w:r>
    </w:p>
    <w:p w14:paraId="705119C8" w14:textId="77777777" w:rsidR="005F226A" w:rsidRPr="00A83C94" w:rsidRDefault="005F226A" w:rsidP="005D2928">
      <w:pPr>
        <w:tabs>
          <w:tab w:val="left" w:pos="567"/>
        </w:tabs>
        <w:spacing w:before="0" w:line="276" w:lineRule="auto"/>
        <w:ind w:firstLine="720"/>
        <w:rPr>
          <w:b w:val="0"/>
          <w:szCs w:val="22"/>
          <w:lang w:val="hy-AM"/>
        </w:rPr>
      </w:pPr>
      <w:r w:rsidRPr="00A83C94">
        <w:rPr>
          <w:szCs w:val="22"/>
          <w:lang w:val="hy-AM"/>
        </w:rPr>
        <w:t>Սեփականության դեմ ուղղված հանցագործությունների կանխարգելման համակարգի վերակազմակերպում:</w:t>
      </w:r>
      <w:r w:rsidRPr="00A83C94">
        <w:rPr>
          <w:b w:val="0"/>
          <w:szCs w:val="22"/>
          <w:lang w:val="hy-AM"/>
        </w:rPr>
        <w:t xml:space="preserve"> Տվյալ դեպքում առաջնահերթ է համարվում հետևյալ միջոցառումները.</w:t>
      </w:r>
    </w:p>
    <w:p w14:paraId="725712E0"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Ոստիկանությունն իր մասնագիտացված ստորաբաժանումների միջոցով  իրականացնելու է ռազմավարական և հատուկ կարևորության օբյեկտների պահպանությունը՝ բացառապես պետական բյուջեից հատկացումների հաշվին. </w:t>
      </w:r>
    </w:p>
    <w:p w14:paraId="117C1A15"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Սեփականության դեմ ուղղված հանցագործությունների կանխարգելումը խթանելու նպատակով նշված ստորաբաժանումները մասնավոր օբյեկտների պաշտպանությունը պետք է իրականացնեն բացառապես տեխնիկական միջոցներով՝ ոստիկանության ստորաբաժանումներին միացված ահազանգման համակարգերով: </w:t>
      </w:r>
    </w:p>
    <w:p w14:paraId="61015119"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Ըստ այդմ, օբյեկտների պահակային պահպանությունը նախատեսվում  է թողնել մասնավոր պահնորդական կազմակերպություններին, այն համոզմամբ, որ ոստիկանական արագ արձագանքման ուժերի պրոֆեսիոնալիզմը մասնավոր սեփականատերերի համար առավել նախընտրելի է դարձնելու համագործակցությունը հենց ոստիկանության հետ՝ տեխնիկական միջոցներով պահպանման համակարգերի օգտագործման և «տաք հետքերով» սեփականության դեմ ոտնձգող անձանց հետապնդելու եղանակներով:</w:t>
      </w:r>
    </w:p>
    <w:p w14:paraId="0A911223"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Ոստիկանությունում ծառայության գրավչություն, կադրերի պատրաստում և մասնագիտական զարգացում.</w:t>
      </w:r>
    </w:p>
    <w:p w14:paraId="7A718B53" w14:textId="77777777" w:rsidR="005F226A" w:rsidRPr="00A83C94" w:rsidRDefault="005F226A" w:rsidP="005D2928">
      <w:pPr>
        <w:tabs>
          <w:tab w:val="left" w:pos="567"/>
        </w:tabs>
        <w:spacing w:before="0" w:line="276" w:lineRule="auto"/>
        <w:ind w:firstLine="720"/>
        <w:rPr>
          <w:b w:val="0"/>
          <w:color w:val="FF0000"/>
          <w:szCs w:val="22"/>
          <w:lang w:val="hy-AM"/>
        </w:rPr>
      </w:pPr>
      <w:r w:rsidRPr="00A83C94">
        <w:rPr>
          <w:b w:val="0"/>
          <w:szCs w:val="22"/>
          <w:lang w:val="hy-AM"/>
        </w:rPr>
        <w:t>Ոստիկանության կադրերի պատրաստման, կարողությունների շարունակական զարգացման ու բարոյահոգեբանական պատրաստման, ոստիկանության ծառայողի բարեվարքության ու հակակոռուպցիոն կրթություն ստանալու գործող կառուցակարգերի վերանայում՝ նպատակ ունենալով ոստիկանությունում ներգրավել հանցագործությունների նկատմամբ անհանդուրժողական, իրավունքների պաշտպանությանը զգայուն և հասարակության անվտանգության հարցերով մտահոգ, բարեվարք ու հարգարժան հանրային ծառայող ոստիկաններ։ Այս առումով կարևոր է լինելու ոստիկանության կրթահամալիրի կրթական ծրագրերի կազմակերպման ու բովանդակային վերանայման հարցերին լրջագույն անդրադարձը՝ ապահովելով մարդու իրավունքների վրա հիմնված մոտեցում ու միջազգային չափանիշներ: Ոստիկանության կրթահամալիրում իրականացվելու են նախնական, միջին և բարձրագույն մասնագիտական կրթական ծրագրեր:</w:t>
      </w:r>
      <w:r w:rsidRPr="00A83C94">
        <w:rPr>
          <w:b w:val="0"/>
          <w:color w:val="FF0000"/>
          <w:szCs w:val="22"/>
          <w:lang w:val="hy-AM"/>
        </w:rPr>
        <w:t xml:space="preserve"> </w:t>
      </w:r>
    </w:p>
    <w:p w14:paraId="70FADB59"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Մարդու իրավունքների պաշտպանության հարցեր.</w:t>
      </w:r>
    </w:p>
    <w:p w14:paraId="62BDCA42"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Որպես իրավախախտների հետ շփման պետության առաջին օղակ՝ ոստիկանությունում պետք է բարելավվեն քրեաիրավական ու վարչաիրավական կարգով ներգրավվող անձանց իրավունքների պաշտպանության մեխանիզմները՝ մասնավորապես, բերման ենթարկվող անձանց իրենց հասկանալի լեզվով իրավունքների մասին գրավոր ծանուցումների, ձերբակալվածների պահման վայրերում բժշկական ծառայությունների ապահովման, ինչպես նաև ոստիկանության տարբեր ծառայությունների կողմից անձանց տվյալների պաշտպանության հարցերը: </w:t>
      </w:r>
    </w:p>
    <w:p w14:paraId="26053998" w14:textId="77777777" w:rsidR="005F226A" w:rsidRPr="00A83C94" w:rsidRDefault="005F226A" w:rsidP="005D2928">
      <w:pPr>
        <w:tabs>
          <w:tab w:val="left" w:pos="567"/>
        </w:tabs>
        <w:spacing w:before="0" w:line="276" w:lineRule="auto"/>
        <w:ind w:firstLine="720"/>
        <w:rPr>
          <w:szCs w:val="22"/>
          <w:lang w:val="hy-AM"/>
        </w:rPr>
      </w:pPr>
      <w:r w:rsidRPr="00A83C94">
        <w:rPr>
          <w:szCs w:val="22"/>
          <w:lang w:val="hy-AM"/>
        </w:rPr>
        <w:t>Թափանցիկություն և հանրային հաշվետվողականություն.</w:t>
      </w:r>
    </w:p>
    <w:p w14:paraId="317F3A1C" w14:textId="77777777" w:rsidR="005F226A" w:rsidRPr="00A83C94" w:rsidRDefault="005F226A" w:rsidP="005D2928">
      <w:pPr>
        <w:tabs>
          <w:tab w:val="left" w:pos="567"/>
        </w:tabs>
        <w:spacing w:before="0" w:line="276" w:lineRule="auto"/>
        <w:ind w:firstLine="720"/>
        <w:rPr>
          <w:b w:val="0"/>
          <w:szCs w:val="22"/>
          <w:lang w:val="hy-AM"/>
        </w:rPr>
      </w:pPr>
      <w:r w:rsidRPr="00A83C94">
        <w:rPr>
          <w:b w:val="0"/>
          <w:szCs w:val="22"/>
          <w:lang w:val="hy-AM"/>
        </w:rPr>
        <w:t xml:space="preserve">Ոստիկանության աշխատանքի թափանցիկության բարելավում՝ առավել հաճախակի ու մատչելի տեղեկությունների, հաշվետվությունների և ուսումնասիրությունների վերաբերյալ տեղեկատվության տարածում, պարբերական մեդիա բրիֆինգների և հասարակայնության հետ կապերի առավել նոր ու ժամանակակից միջոցների արդյունավետ օգտագործում, ինչն առաջնային նշանակություն կունենա ոստիկանության հանդեպ հանրային դրական կարծիքի ձևավորման հարցում: </w:t>
      </w:r>
    </w:p>
    <w:p w14:paraId="78E51F5B" w14:textId="77777777" w:rsidR="005F226A" w:rsidRPr="00A83C94" w:rsidRDefault="005F226A" w:rsidP="005F226A">
      <w:pPr>
        <w:tabs>
          <w:tab w:val="left" w:pos="567"/>
        </w:tabs>
        <w:spacing w:before="0" w:line="276" w:lineRule="auto"/>
        <w:ind w:firstLine="720"/>
        <w:rPr>
          <w:b w:val="0"/>
          <w:szCs w:val="22"/>
          <w:lang w:val="hy-AM"/>
        </w:rPr>
      </w:pPr>
    </w:p>
    <w:p w14:paraId="08F0E870" w14:textId="77777777" w:rsidR="005F226A" w:rsidRPr="00A83C94" w:rsidRDefault="005F226A" w:rsidP="005F226A">
      <w:pPr>
        <w:pStyle w:val="Bullet"/>
        <w:spacing w:after="0" w:line="276" w:lineRule="auto"/>
        <w:ind w:left="0" w:firstLine="426"/>
        <w:rPr>
          <w:rFonts w:ascii="GHEA Grapalat" w:hAnsi="GHEA Grapalat" w:cs="Sylfaen"/>
          <w:szCs w:val="22"/>
          <w:lang w:val="hy-AM"/>
        </w:rPr>
      </w:pPr>
    </w:p>
    <w:p w14:paraId="1D11C644" w14:textId="77777777" w:rsidR="005F226A" w:rsidRPr="00A83C94" w:rsidRDefault="005F226A" w:rsidP="005F226A">
      <w:pPr>
        <w:tabs>
          <w:tab w:val="left" w:pos="567"/>
        </w:tabs>
        <w:spacing w:before="0" w:line="276" w:lineRule="auto"/>
        <w:ind w:firstLine="426"/>
        <w:rPr>
          <w:b w:val="0"/>
          <w:szCs w:val="22"/>
          <w:lang w:val="hy-AM"/>
        </w:rPr>
      </w:pPr>
    </w:p>
    <w:p w14:paraId="4DEFCD4F" w14:textId="77777777" w:rsidR="005F226A" w:rsidRPr="00A83C94" w:rsidRDefault="005F226A" w:rsidP="005F226A">
      <w:pPr>
        <w:spacing w:before="0" w:line="276" w:lineRule="auto"/>
        <w:ind w:firstLine="0"/>
        <w:contextualSpacing w:val="0"/>
        <w:jc w:val="left"/>
        <w:rPr>
          <w:b w:val="0"/>
          <w:szCs w:val="22"/>
          <w:lang w:val="hy-AM"/>
        </w:rPr>
      </w:pPr>
    </w:p>
    <w:p w14:paraId="551CC765" w14:textId="77777777" w:rsidR="00E206A5" w:rsidRPr="00A83C94" w:rsidRDefault="00E206A5" w:rsidP="007730AA">
      <w:pPr>
        <w:tabs>
          <w:tab w:val="left" w:pos="567"/>
        </w:tabs>
        <w:spacing w:before="0" w:line="276" w:lineRule="auto"/>
        <w:ind w:firstLine="426"/>
        <w:rPr>
          <w:b w:val="0"/>
          <w:szCs w:val="22"/>
          <w:lang w:val="hy-AM"/>
        </w:rPr>
      </w:pPr>
    </w:p>
    <w:p w14:paraId="4C1A5026" w14:textId="77777777" w:rsidR="0047224A" w:rsidRPr="00A83C94" w:rsidRDefault="0047224A" w:rsidP="007730AA">
      <w:pPr>
        <w:spacing w:before="0" w:line="276" w:lineRule="auto"/>
        <w:ind w:firstLine="0"/>
        <w:contextualSpacing w:val="0"/>
        <w:jc w:val="left"/>
        <w:rPr>
          <w:b w:val="0"/>
          <w:szCs w:val="22"/>
          <w:lang w:val="hy-AM"/>
        </w:rPr>
      </w:pPr>
      <w:r w:rsidRPr="00A83C94">
        <w:rPr>
          <w:b w:val="0"/>
          <w:szCs w:val="22"/>
          <w:lang w:val="hy-AM"/>
        </w:rPr>
        <w:br w:type="page"/>
      </w:r>
    </w:p>
    <w:p w14:paraId="695FAB17" w14:textId="77777777" w:rsidR="00027FBF" w:rsidRPr="00EB774C" w:rsidRDefault="00027FBF" w:rsidP="00027FBF">
      <w:pPr>
        <w:pStyle w:val="Heading1"/>
        <w:rPr>
          <w:bCs/>
          <w:lang w:val="hy-AM"/>
        </w:rPr>
      </w:pPr>
      <w:bookmarkStart w:id="104" w:name="_Toc51947410"/>
      <w:bookmarkStart w:id="105" w:name="_Toc52452083"/>
      <w:bookmarkStart w:id="106" w:name="_Toc45838512"/>
      <w:bookmarkStart w:id="107" w:name="_Toc46154342"/>
      <w:bookmarkStart w:id="108" w:name="_Toc57559411"/>
      <w:bookmarkStart w:id="109" w:name="_Toc83663893"/>
      <w:bookmarkStart w:id="110" w:name="_Toc83972829"/>
      <w:bookmarkStart w:id="111" w:name="_Toc46760415"/>
      <w:bookmarkStart w:id="112" w:name="_Toc89428284"/>
      <w:r w:rsidRPr="00EB774C">
        <w:rPr>
          <w:lang w:val="hy-AM"/>
        </w:rPr>
        <w:t>ՄԱՍ I - Բ. ՄԱԿՐՈՏՆՏԵՍԱԿԱՆ ԶԱՐԳԱՑՈՒՄՆԵՐ ԵՎ ԿԱՆԽԱՏԵՍՈՒՄՆԵՐ</w:t>
      </w:r>
      <w:bookmarkEnd w:id="104"/>
      <w:bookmarkEnd w:id="105"/>
      <w:bookmarkEnd w:id="106"/>
      <w:bookmarkEnd w:id="107"/>
      <w:bookmarkEnd w:id="108"/>
      <w:bookmarkEnd w:id="109"/>
      <w:bookmarkEnd w:id="110"/>
      <w:bookmarkEnd w:id="112"/>
    </w:p>
    <w:p w14:paraId="1633795C" w14:textId="77777777" w:rsidR="00027FBF" w:rsidRPr="00A83C94" w:rsidRDefault="00027FBF" w:rsidP="00027FBF">
      <w:pPr>
        <w:keepNext/>
        <w:keepLines/>
        <w:spacing w:before="0" w:line="276" w:lineRule="auto"/>
        <w:outlineLvl w:val="2"/>
        <w:rPr>
          <w:b w:val="0"/>
          <w:bCs/>
          <w:sz w:val="24"/>
          <w:lang w:val="hy-AM"/>
        </w:rPr>
      </w:pPr>
      <w:bookmarkStart w:id="113" w:name="_Toc51947412"/>
      <w:bookmarkStart w:id="114" w:name="_Toc52452085"/>
      <w:bookmarkStart w:id="115" w:name="_Toc57559412"/>
      <w:bookmarkStart w:id="116" w:name="_Toc83663894"/>
      <w:bookmarkStart w:id="117" w:name="_Toc83972830"/>
      <w:bookmarkStart w:id="118" w:name="_Toc89428285"/>
      <w:r w:rsidRPr="00A83C94">
        <w:rPr>
          <w:bCs/>
          <w:sz w:val="24"/>
          <w:lang w:val="hy-AM"/>
        </w:rPr>
        <w:t>1.1 ՄԱԿՐՈՏՆՏԵՍԱԿԱՆ ԱՄՓՈՓԱԳԻՐ ԵՎ ՇՐՋԱՆԱԿ</w:t>
      </w:r>
      <w:bookmarkEnd w:id="113"/>
      <w:bookmarkEnd w:id="114"/>
      <w:bookmarkEnd w:id="115"/>
      <w:bookmarkEnd w:id="116"/>
      <w:bookmarkEnd w:id="117"/>
      <w:bookmarkEnd w:id="118"/>
      <w:r w:rsidRPr="00A83C94">
        <w:rPr>
          <w:bCs/>
          <w:sz w:val="24"/>
          <w:lang w:val="hy-AM"/>
        </w:rPr>
        <w:t xml:space="preserve"> </w:t>
      </w:r>
    </w:p>
    <w:p w14:paraId="4FC37665" w14:textId="77777777" w:rsidR="00027FBF" w:rsidRPr="00A83C94" w:rsidRDefault="00027FBF" w:rsidP="00027FBF">
      <w:pPr>
        <w:numPr>
          <w:ilvl w:val="0"/>
          <w:numId w:val="28"/>
        </w:numPr>
        <w:tabs>
          <w:tab w:val="right" w:pos="0"/>
        </w:tabs>
        <w:spacing w:before="40" w:after="120" w:line="276" w:lineRule="auto"/>
        <w:contextualSpacing w:val="0"/>
        <w:rPr>
          <w:b w:val="0"/>
          <w:lang w:val="hy-AM"/>
        </w:rPr>
      </w:pPr>
      <w:r w:rsidRPr="00A83C94">
        <w:rPr>
          <w:rFonts w:eastAsia="Calibri"/>
          <w:b w:val="0"/>
          <w:lang w:val="hy-AM"/>
        </w:rPr>
        <w:t>Ներկայումս աշխարհը դեռևս շարունակում է կրել համավարակի բացասական հետևանքները, սակայն դրանց աստիճանական չեզոքացման սպասումով: Արժույթի միջազգային հիմնադրամը (այսուհետև՝ ԱՄՀ) հուլիսին վերանայել է 2022թ</w:t>
      </w:r>
      <w:r w:rsidRPr="00A83C94">
        <w:rPr>
          <w:rFonts w:ascii="Cambria Math" w:eastAsia="Calibri" w:hAnsi="Cambria Math" w:cs="Cambria Math"/>
          <w:b w:val="0"/>
          <w:lang w:val="hy-AM"/>
        </w:rPr>
        <w:t>․</w:t>
      </w:r>
      <w:r w:rsidRPr="00A83C94">
        <w:rPr>
          <w:rFonts w:eastAsia="Calibri"/>
          <w:b w:val="0"/>
          <w:lang w:val="hy-AM"/>
        </w:rPr>
        <w:t xml:space="preserve">-ի համաշխարհային տնտեսական աճի կանխատեսումը դեպի վերև՝ պայմանավորված շատ երկրների սպասվածից ավելի լավ զարգացումներով։ Վերջիններս ամրապնդվել են ի հաշիվ պատվաստանյութերի առկայության և որոշ խոշոր երկրներում 2021թ. համար հայտարարված լրացուցիչ օժանդակության միջոցառումների: ՀՀ գործընկեր երկրների տնտեսությունների համար կանխատեսվում է իրենց պոտենցիալ աճերից բարձր տնտեսական աճեր՝ նախանշելով վերականգման գործընթացը: </w:t>
      </w:r>
    </w:p>
    <w:p w14:paraId="18A1CE78" w14:textId="77777777" w:rsidR="00027FBF" w:rsidRPr="00A83C94" w:rsidRDefault="00027FBF" w:rsidP="00027FBF">
      <w:pPr>
        <w:pStyle w:val="ListParagraph"/>
        <w:numPr>
          <w:ilvl w:val="0"/>
          <w:numId w:val="28"/>
        </w:numPr>
        <w:spacing w:line="276" w:lineRule="auto"/>
        <w:rPr>
          <w:rFonts w:eastAsia="Calibri"/>
          <w:b w:val="0"/>
          <w:lang w:val="hy-AM"/>
        </w:rPr>
      </w:pPr>
      <w:r w:rsidRPr="00A83C94">
        <w:rPr>
          <w:rFonts w:eastAsia="Calibri"/>
          <w:b w:val="0"/>
          <w:lang w:val="hy-AM"/>
        </w:rPr>
        <w:t>2020թ</w:t>
      </w:r>
      <w:r w:rsidRPr="00A83C94">
        <w:rPr>
          <w:rFonts w:ascii="Cambria Math" w:eastAsia="Calibri" w:hAnsi="Cambria Math" w:cs="Cambria Math"/>
          <w:b w:val="0"/>
          <w:lang w:val="hy-AM"/>
        </w:rPr>
        <w:t>․</w:t>
      </w:r>
      <w:r w:rsidRPr="00A83C94">
        <w:rPr>
          <w:rFonts w:eastAsia="Calibri"/>
          <w:b w:val="0"/>
          <w:lang w:val="hy-AM"/>
        </w:rPr>
        <w:t xml:space="preserve"> սկիզբ առած նոր տիպի կորոնավիրուսի համավարակի, ինչպես նաև սեպտեմբեր-նոյեմբերին սանձազերծված Արցախյան պատերազմի ազդեցություններով պայմանավորված ՀՀ տնտեսության բացասական զարգացումների հետևանքները զգացվեցին նաև 2021թ</w:t>
      </w:r>
      <w:r w:rsidRPr="00A83C94">
        <w:rPr>
          <w:rFonts w:ascii="Cambria Math" w:eastAsia="Calibri" w:hAnsi="Cambria Math" w:cs="Cambria Math"/>
          <w:b w:val="0"/>
          <w:lang w:val="hy-AM"/>
        </w:rPr>
        <w:t>․</w:t>
      </w:r>
      <w:r w:rsidRPr="00A83C94">
        <w:rPr>
          <w:rFonts w:eastAsia="Calibri"/>
          <w:b w:val="0"/>
          <w:lang w:val="hy-AM"/>
        </w:rPr>
        <w:t xml:space="preserve"> ընթացքում, այնուամենայնիվ, 2021թ</w:t>
      </w:r>
      <w:r w:rsidRPr="00A83C94">
        <w:rPr>
          <w:rFonts w:ascii="Cambria Math" w:eastAsia="Calibri" w:hAnsi="Cambria Math" w:cs="Cambria Math"/>
          <w:b w:val="0"/>
          <w:lang w:val="hy-AM"/>
        </w:rPr>
        <w:t>․</w:t>
      </w:r>
      <w:r w:rsidRPr="00A83C94">
        <w:rPr>
          <w:rFonts w:eastAsia="Calibri"/>
          <w:b w:val="0"/>
          <w:lang w:val="hy-AM"/>
        </w:rPr>
        <w:t xml:space="preserve"> ՀՀ տնտեսությունը թևակոխեց վերականգման փուլ։ Համաշխարհային տնտեսության և ՀՀ գործընկեր երկրների սպասվածից ավելի արագ տեմպերով վերականգնման և կանխատեսված տնտեսական զարգացումների, ինչպես նաև ՀՀ ընթացիկ տնտեսական զարգացումների, Արցախյան պատերազմի գնահատվող ազդեցությունների, hամավարակի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hամավարակի համաշխարհային ճգնաժամի աստիճանական հաղթահարման պայմաններում 2021թ. սպասվում է 6.5% տնտեսական աճ։</w:t>
      </w:r>
    </w:p>
    <w:p w14:paraId="127A99E7" w14:textId="77777777" w:rsidR="00027FBF" w:rsidRPr="00A83C94" w:rsidRDefault="00027FBF" w:rsidP="00027FBF">
      <w:pPr>
        <w:pStyle w:val="ListParagraph"/>
        <w:numPr>
          <w:ilvl w:val="0"/>
          <w:numId w:val="28"/>
        </w:numPr>
        <w:spacing w:line="276" w:lineRule="auto"/>
        <w:rPr>
          <w:rFonts w:eastAsia="Calibri"/>
          <w:b w:val="0"/>
          <w:lang w:val="hy-AM"/>
        </w:rPr>
      </w:pPr>
      <w:r w:rsidRPr="00A83C94">
        <w:rPr>
          <w:rFonts w:eastAsia="Calibri"/>
          <w:b w:val="0"/>
          <w:lang w:val="hy-AM"/>
        </w:rPr>
        <w:t>Սպասվող արտաքին տնտեսական բարենպաստ միջավայրի և ՀՀ կառավարության 2021-2026թթ. ծրագրով նախատեսված տնտեսության և տնտեսական աճի ներուժի բարձրացմանն ուղղված  քաղաքականությունների և դրանցից բխող միջոցառումների պայմաններում, 2022թ</w:t>
      </w:r>
      <w:r w:rsidRPr="00A83C94">
        <w:rPr>
          <w:rFonts w:ascii="Cambria Math" w:eastAsia="Calibri" w:hAnsi="Cambria Math" w:cs="Cambria Math"/>
          <w:b w:val="0"/>
          <w:lang w:val="hy-AM"/>
        </w:rPr>
        <w:t>․</w:t>
      </w:r>
      <w:r w:rsidRPr="00A83C94">
        <w:rPr>
          <w:rFonts w:eastAsia="Calibri"/>
          <w:b w:val="0"/>
          <w:lang w:val="hy-AM"/>
        </w:rPr>
        <w:t xml:space="preserve"> </w:t>
      </w:r>
      <w:r w:rsidRPr="00A83C94">
        <w:rPr>
          <w:rFonts w:eastAsia="Calibri" w:cs="GHEA Grapalat"/>
          <w:b w:val="0"/>
          <w:lang w:val="hy-AM"/>
        </w:rPr>
        <w:t>կանխատեսվում</w:t>
      </w:r>
      <w:r w:rsidRPr="00A83C94">
        <w:rPr>
          <w:rFonts w:eastAsia="Calibri"/>
          <w:b w:val="0"/>
          <w:lang w:val="hy-AM"/>
        </w:rPr>
        <w:t xml:space="preserve"> </w:t>
      </w:r>
      <w:r w:rsidRPr="00A83C94">
        <w:rPr>
          <w:rFonts w:eastAsia="Calibri" w:cs="GHEA Grapalat"/>
          <w:b w:val="0"/>
          <w:lang w:val="hy-AM"/>
        </w:rPr>
        <w:t>է</w:t>
      </w:r>
      <w:r w:rsidRPr="00A83C94">
        <w:rPr>
          <w:rFonts w:eastAsia="Calibri"/>
          <w:b w:val="0"/>
          <w:lang w:val="hy-AM"/>
        </w:rPr>
        <w:t xml:space="preserve"> 7</w:t>
      </w:r>
      <w:r w:rsidRPr="00A83C94">
        <w:rPr>
          <w:rFonts w:ascii="Cambria Math" w:eastAsia="Calibri" w:hAnsi="Cambria Math" w:cs="Cambria Math"/>
          <w:b w:val="0"/>
          <w:lang w:val="hy-AM"/>
        </w:rPr>
        <w:t>․</w:t>
      </w:r>
      <w:r w:rsidRPr="00A83C94">
        <w:rPr>
          <w:rFonts w:eastAsia="Calibri"/>
          <w:b w:val="0"/>
          <w:lang w:val="hy-AM"/>
        </w:rPr>
        <w:t xml:space="preserve">0%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w:t>
      </w:r>
      <w:r w:rsidRPr="00A83C94">
        <w:rPr>
          <w:rFonts w:eastAsia="Calibri"/>
          <w:b w:val="0"/>
          <w:lang w:val="hy-AM"/>
        </w:rPr>
        <w:t xml:space="preserve">, </w:t>
      </w:r>
      <w:r w:rsidRPr="00A83C94">
        <w:rPr>
          <w:rFonts w:eastAsia="Calibri" w:cs="GHEA Grapalat"/>
          <w:b w:val="0"/>
          <w:lang w:val="hy-AM"/>
        </w:rPr>
        <w:t>ինչը</w:t>
      </w:r>
      <w:r w:rsidRPr="00A83C94">
        <w:rPr>
          <w:rFonts w:eastAsia="Calibri"/>
          <w:b w:val="0"/>
          <w:lang w:val="hy-AM"/>
        </w:rPr>
        <w:t xml:space="preserve"> </w:t>
      </w:r>
      <w:r w:rsidRPr="00A83C94">
        <w:rPr>
          <w:rFonts w:eastAsia="Calibri" w:cs="GHEA Grapalat"/>
          <w:b w:val="0"/>
          <w:lang w:val="hy-AM"/>
        </w:rPr>
        <w:t>համահունչ</w:t>
      </w:r>
      <w:r w:rsidRPr="00A83C94">
        <w:rPr>
          <w:rFonts w:eastAsia="Calibri"/>
          <w:b w:val="0"/>
          <w:lang w:val="hy-AM"/>
        </w:rPr>
        <w:t xml:space="preserve"> </w:t>
      </w:r>
      <w:r w:rsidRPr="00A83C94">
        <w:rPr>
          <w:rFonts w:eastAsia="Calibri" w:cs="GHEA Grapalat"/>
          <w:b w:val="0"/>
          <w:lang w:val="hy-AM"/>
        </w:rPr>
        <w:t>է</w:t>
      </w:r>
      <w:r w:rsidRPr="00A83C94">
        <w:rPr>
          <w:rFonts w:eastAsia="Calibri"/>
          <w:b w:val="0"/>
          <w:lang w:val="hy-AM"/>
        </w:rPr>
        <w:t xml:space="preserve"> </w:t>
      </w:r>
      <w:r w:rsidRPr="00A83C94">
        <w:rPr>
          <w:rFonts w:eastAsia="Calibri" w:cs="GHEA Grapalat"/>
          <w:b w:val="0"/>
          <w:lang w:val="hy-AM"/>
        </w:rPr>
        <w:t>նպատակադրած</w:t>
      </w:r>
      <w:r w:rsidRPr="00A83C94">
        <w:rPr>
          <w:rFonts w:eastAsia="Calibri"/>
          <w:b w:val="0"/>
          <w:lang w:val="hy-AM"/>
        </w:rPr>
        <w:t xml:space="preserve">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աճի</w:t>
      </w:r>
      <w:r w:rsidRPr="00A83C94">
        <w:rPr>
          <w:rFonts w:eastAsia="Calibri"/>
          <w:b w:val="0"/>
          <w:lang w:val="hy-AM"/>
        </w:rPr>
        <w:t xml:space="preserve"> </w:t>
      </w:r>
      <w:r w:rsidRPr="00A83C94">
        <w:rPr>
          <w:rFonts w:eastAsia="Calibri" w:cs="GHEA Grapalat"/>
          <w:b w:val="0"/>
          <w:lang w:val="hy-AM"/>
        </w:rPr>
        <w:t>թիրախին։ Կանխատեսված</w:t>
      </w:r>
      <w:r w:rsidRPr="00A83C94">
        <w:rPr>
          <w:rFonts w:eastAsia="Calibri"/>
          <w:b w:val="0"/>
          <w:lang w:val="hy-AM"/>
        </w:rPr>
        <w:t xml:space="preserve"> </w:t>
      </w:r>
      <w:r w:rsidRPr="00A83C94">
        <w:rPr>
          <w:rFonts w:eastAsia="Calibri" w:cs="GHEA Grapalat"/>
          <w:b w:val="0"/>
          <w:lang w:val="hy-AM"/>
        </w:rPr>
        <w:t>տնտեսական</w:t>
      </w:r>
      <w:r w:rsidRPr="00A83C94">
        <w:rPr>
          <w:rFonts w:eastAsia="Calibri"/>
          <w:b w:val="0"/>
          <w:lang w:val="hy-AM"/>
        </w:rPr>
        <w:t xml:space="preserve"> </w:t>
      </w:r>
      <w:r w:rsidRPr="00A83C94">
        <w:rPr>
          <w:rFonts w:eastAsia="Calibri" w:cs="GHEA Grapalat"/>
          <w:b w:val="0"/>
          <w:lang w:val="hy-AM"/>
        </w:rPr>
        <w:t>աճի</w:t>
      </w:r>
      <w:r w:rsidRPr="00A83C94">
        <w:rPr>
          <w:rFonts w:eastAsia="Calibri"/>
          <w:b w:val="0"/>
          <w:lang w:val="hy-AM"/>
        </w:rPr>
        <w:t xml:space="preserve"> </w:t>
      </w:r>
      <w:r w:rsidRPr="00A83C94">
        <w:rPr>
          <w:rFonts w:eastAsia="Calibri" w:cs="GHEA Grapalat"/>
          <w:b w:val="0"/>
          <w:lang w:val="hy-AM"/>
        </w:rPr>
        <w:t>հիմքում</w:t>
      </w:r>
      <w:r w:rsidRPr="00A83C94">
        <w:rPr>
          <w:rFonts w:eastAsia="Calibri"/>
          <w:b w:val="0"/>
          <w:lang w:val="hy-AM"/>
        </w:rPr>
        <w:t xml:space="preserve"> </w:t>
      </w:r>
      <w:r w:rsidRPr="00A83C94">
        <w:rPr>
          <w:rFonts w:eastAsia="Calibri" w:cs="GHEA Grapalat"/>
          <w:b w:val="0"/>
          <w:lang w:val="hy-AM"/>
        </w:rPr>
        <w:t>ընկած</w:t>
      </w:r>
      <w:r w:rsidRPr="00A83C94">
        <w:rPr>
          <w:rFonts w:eastAsia="Calibri"/>
          <w:b w:val="0"/>
          <w:lang w:val="hy-AM"/>
        </w:rPr>
        <w:t xml:space="preserve"> </w:t>
      </w:r>
      <w:r w:rsidRPr="00A83C94">
        <w:rPr>
          <w:rFonts w:eastAsia="Calibri" w:cs="GHEA Grapalat"/>
          <w:b w:val="0"/>
          <w:lang w:val="hy-AM"/>
        </w:rPr>
        <w:t>են</w:t>
      </w:r>
      <w:r w:rsidRPr="00A83C94">
        <w:rPr>
          <w:rFonts w:eastAsia="Calibri"/>
          <w:b w:val="0"/>
          <w:lang w:val="hy-AM"/>
        </w:rPr>
        <w:t xml:space="preserve"> </w:t>
      </w:r>
      <w:r w:rsidRPr="00A83C94">
        <w:rPr>
          <w:rFonts w:eastAsia="Calibri" w:cs="GHEA Grapalat"/>
          <w:b w:val="0"/>
          <w:lang w:val="hy-AM"/>
        </w:rPr>
        <w:t>ՀՀ</w:t>
      </w:r>
      <w:r w:rsidRPr="00A83C94">
        <w:rPr>
          <w:rFonts w:eastAsia="Calibri"/>
          <w:b w:val="0"/>
          <w:lang w:val="hy-AM"/>
        </w:rPr>
        <w:t xml:space="preserve"> </w:t>
      </w:r>
      <w:r w:rsidRPr="00A83C94">
        <w:rPr>
          <w:rFonts w:eastAsia="Calibri" w:cs="GHEA Grapalat"/>
          <w:b w:val="0"/>
          <w:lang w:val="hy-AM"/>
        </w:rPr>
        <w:t>կառավարության</w:t>
      </w:r>
      <w:r w:rsidRPr="00A83C94">
        <w:rPr>
          <w:rFonts w:eastAsia="Calibri"/>
          <w:b w:val="0"/>
          <w:lang w:val="hy-AM"/>
        </w:rPr>
        <w:t xml:space="preserve"> </w:t>
      </w:r>
      <w:r w:rsidRPr="00A83C94">
        <w:rPr>
          <w:rFonts w:eastAsia="Calibri" w:cs="GHEA Grapalat"/>
          <w:b w:val="0"/>
          <w:lang w:val="hy-AM"/>
        </w:rPr>
        <w:t>կ</w:t>
      </w:r>
      <w:r w:rsidRPr="00A83C94">
        <w:rPr>
          <w:rFonts w:eastAsia="Calibri"/>
          <w:b w:val="0"/>
          <w:lang w:val="hy-AM"/>
        </w:rPr>
        <w:t>ողմից թիրախավորված տնտեսական աճի ներուժի բարձրացման ուղղված այնպիսի միջոցառումներ, ինչպիսիք են մեծածավալ պետական ներդրումների իրականացումը ենթակառուցվածքներում և մարդկային կապիտալի զարգացմանը միտված ոլորտներում, գործարար միջավայրի բարելավման, տեխնոլոգիական առաջընթացի ապահովման, տնտեսության արտահանելի հատվածի և արտահանման խթանմանն ուղղված քաղաքականությունները, որոնք կխթանեն ինչպես նե</w:t>
      </w:r>
      <w:r>
        <w:rPr>
          <w:rFonts w:eastAsia="Calibri"/>
          <w:b w:val="0"/>
          <w:lang w:val="hy-AM"/>
        </w:rPr>
        <w:t>ր</w:t>
      </w:r>
      <w:r w:rsidRPr="00A83C94">
        <w:rPr>
          <w:rFonts w:eastAsia="Calibri"/>
          <w:b w:val="0"/>
          <w:lang w:val="hy-AM"/>
        </w:rPr>
        <w:t xml:space="preserve">քին, այնպես էլ օտարերկրյա միջոցներով ֆինանսավորվող մասնավոր ներդրումների իրականացումը, կնպաստեն արտահանման ծավալների մեծացմանը, ինչպես նաև ընդհանուր արտադրողականության բարձրացմանը։ </w:t>
      </w:r>
    </w:p>
    <w:p w14:paraId="046EF143" w14:textId="77777777" w:rsidR="00027FBF" w:rsidRPr="00A83C94" w:rsidRDefault="00027FBF" w:rsidP="00027FBF">
      <w:pPr>
        <w:pStyle w:val="ListParagraph"/>
        <w:spacing w:line="276" w:lineRule="auto"/>
        <w:ind w:firstLine="0"/>
        <w:rPr>
          <w:rFonts w:eastAsia="Calibri"/>
          <w:b w:val="0"/>
          <w:lang w:val="hy-AM"/>
        </w:rPr>
      </w:pPr>
    </w:p>
    <w:p w14:paraId="2F2A4F9D" w14:textId="77777777" w:rsidR="00027FBF" w:rsidRPr="00A83C94" w:rsidRDefault="00027FBF" w:rsidP="00027FBF">
      <w:pPr>
        <w:numPr>
          <w:ilvl w:val="0"/>
          <w:numId w:val="28"/>
        </w:numPr>
        <w:tabs>
          <w:tab w:val="right" w:pos="0"/>
        </w:tabs>
        <w:spacing w:before="40" w:after="120" w:line="276" w:lineRule="auto"/>
        <w:contextualSpacing w:val="0"/>
        <w:rPr>
          <w:b w:val="0"/>
          <w:lang w:val="hy-AM"/>
        </w:rPr>
      </w:pPr>
      <w:r w:rsidRPr="00A83C94">
        <w:rPr>
          <w:b w:val="0"/>
          <w:lang w:val="hy-AM"/>
        </w:rPr>
        <w:t>Ներքին պահանջարկի արագ վերականգնումը կարտացոլվի ներմուծման արագացմամբ, սակայն արտահանման առաջանցիկ աճն ու դրամական փոխանցումների բարձր մակարդակները կնպաստեն ընթացիկ հաշվի բարելավմանը:</w:t>
      </w:r>
      <w:r w:rsidRPr="00A83C94">
        <w:rPr>
          <w:rFonts w:cs="Times Armenian"/>
          <w:b w:val="0"/>
          <w:bCs/>
          <w:szCs w:val="22"/>
          <w:lang w:val="hy-AM" w:eastAsia="en-US"/>
        </w:rPr>
        <w:t xml:space="preserve"> </w:t>
      </w:r>
      <w:r w:rsidRPr="00A83C94">
        <w:rPr>
          <w:b w:val="0"/>
          <w:lang w:val="hy-AM"/>
        </w:rPr>
        <w:t>Հիմնականում դրամական փոխանցումների արագ վերականգմամբ պայմանավորված 2021թ. ընթացիկ հաշվի պակասուրդը կբարելավվի, իսկ 2022թ</w:t>
      </w:r>
      <w:r w:rsidRPr="00A83C94">
        <w:rPr>
          <w:rFonts w:ascii="Times New Roman" w:hAnsi="Times New Roman"/>
          <w:b w:val="0"/>
          <w:lang w:val="hy-AM"/>
        </w:rPr>
        <w:t>․</w:t>
      </w:r>
      <w:r w:rsidRPr="00A83C94">
        <w:rPr>
          <w:b w:val="0"/>
          <w:lang w:val="hy-AM"/>
        </w:rPr>
        <w:t xml:space="preserve"> առևտրային հաշվեկշռի վատթարացմամբ պայմանավորված՝ </w:t>
      </w:r>
      <w:r w:rsidRPr="00A83C94">
        <w:rPr>
          <w:rFonts w:cs="Times Armenian"/>
          <w:b w:val="0"/>
          <w:bCs/>
          <w:szCs w:val="22"/>
          <w:lang w:val="hy-AM" w:eastAsia="en-US"/>
        </w:rPr>
        <w:t>փոքր-ինչ կխորանա</w:t>
      </w:r>
      <w:r w:rsidRPr="00A83C94">
        <w:rPr>
          <w:b w:val="0"/>
          <w:lang w:val="hy-AM"/>
        </w:rPr>
        <w:t xml:space="preserve">: </w:t>
      </w:r>
    </w:p>
    <w:p w14:paraId="053CFD53" w14:textId="77777777" w:rsidR="00027FBF" w:rsidRPr="00A83C94" w:rsidRDefault="00027FBF" w:rsidP="00027FBF">
      <w:pPr>
        <w:numPr>
          <w:ilvl w:val="0"/>
          <w:numId w:val="28"/>
        </w:numPr>
        <w:tabs>
          <w:tab w:val="right" w:pos="0"/>
        </w:tabs>
        <w:spacing w:before="40" w:after="120" w:line="276" w:lineRule="auto"/>
        <w:contextualSpacing w:val="0"/>
        <w:rPr>
          <w:rFonts w:cs="Times Armenian"/>
          <w:b w:val="0"/>
          <w:bCs/>
          <w:szCs w:val="22"/>
          <w:lang w:val="hy-AM" w:eastAsia="en-US"/>
        </w:rPr>
      </w:pPr>
      <w:r w:rsidRPr="00A83C94">
        <w:rPr>
          <w:b w:val="0"/>
          <w:lang w:val="hy-AM"/>
        </w:rPr>
        <w:t>2021թ. ՀՀ Կառավարությունը իրականացրել է սահուն հարկաբյուջետային կոնսոլիդացիա՝ նպատակ ունենալով չխաթարել տնտեսության վերականգնումը և ապահովել պարտքի բեռի աճի տեմպի դանդաղում, իսկ 2022թ.՝ հարկաբյուջետային քաղաքականությունն ուղղված կլինի տնտեսական աճի խթանմանը՝ շեշտադրվելով պետական ներդրումների մասնաբաժնի էական մեծացումը և ծախսերի իրականացման արդյունավետության բարձրացումը, ինչպես նաև՝ պարտքի կայունություն պահպանմանը:</w:t>
      </w:r>
      <w:r w:rsidRPr="00A83C94">
        <w:rPr>
          <w:rFonts w:cs="Times Armenian"/>
          <w:b w:val="0"/>
          <w:bCs/>
          <w:szCs w:val="22"/>
          <w:lang w:val="hy-AM" w:eastAsia="en-US"/>
        </w:rPr>
        <w:t xml:space="preserve"> </w:t>
      </w:r>
    </w:p>
    <w:p w14:paraId="0FCF10FA" w14:textId="77777777" w:rsidR="00027FBF" w:rsidRPr="00A83C94" w:rsidRDefault="00027FBF" w:rsidP="00027FBF">
      <w:pPr>
        <w:numPr>
          <w:ilvl w:val="0"/>
          <w:numId w:val="28"/>
        </w:numPr>
        <w:tabs>
          <w:tab w:val="right" w:pos="0"/>
        </w:tabs>
        <w:spacing w:before="40" w:after="120" w:line="276" w:lineRule="auto"/>
        <w:contextualSpacing w:val="0"/>
        <w:rPr>
          <w:rFonts w:cs="Times Armenian"/>
          <w:b w:val="0"/>
          <w:bCs/>
          <w:szCs w:val="22"/>
          <w:lang w:val="hy-AM" w:eastAsia="en-US"/>
        </w:rPr>
      </w:pPr>
      <w:r w:rsidRPr="00A83C94">
        <w:rPr>
          <w:rFonts w:cs="Times Armenian"/>
          <w:b w:val="0"/>
          <w:bCs/>
          <w:szCs w:val="22"/>
          <w:lang w:val="hy-AM"/>
        </w:rPr>
        <w:t>Կարճաժամկետ հատվածում ՀՀ կենտրոնական բանկը կշարունակի իրականացնել գնաճային սպասումների արագացման ռիսկերի չեզոքացմանն ուղղված դրամավարկային քաղաքականություն՝ միևնույն ժամանակ ապահովելով հնարավորին նպաստավոր պայմաններ ամբողջական պահանջարկի վերականգնման համար, իսկ 2022թ. գնաճի նպատակային ցուցանիշին հասնելու նպատակով՝ ցանկացած ռիսկերի դրսևորման պարագայում պատրաստ է համապատասխանորեն արձագանքել։</w:t>
      </w:r>
    </w:p>
    <w:p w14:paraId="15CB06AA" w14:textId="77777777" w:rsidR="00027FBF" w:rsidRPr="00A83C94" w:rsidRDefault="00027FBF" w:rsidP="00027FBF">
      <w:pPr>
        <w:numPr>
          <w:ilvl w:val="0"/>
          <w:numId w:val="28"/>
        </w:numPr>
        <w:tabs>
          <w:tab w:val="right" w:pos="0"/>
        </w:tabs>
        <w:spacing w:before="40" w:after="120" w:line="276" w:lineRule="auto"/>
        <w:contextualSpacing w:val="0"/>
        <w:rPr>
          <w:rFonts w:cs="Times Armenian"/>
          <w:b w:val="0"/>
          <w:bCs/>
          <w:szCs w:val="22"/>
          <w:lang w:val="hy-AM" w:eastAsia="en-US"/>
        </w:rPr>
      </w:pPr>
      <w:r w:rsidRPr="00A83C94">
        <w:rPr>
          <w:rFonts w:cs="Times Armenian"/>
          <w:b w:val="0"/>
          <w:bCs/>
          <w:szCs w:val="22"/>
          <w:lang w:val="hy-AM" w:eastAsia="en-US"/>
        </w:rPr>
        <w:t>Հաշվի առնելով արտաքին տնտեսական միջավայրի՝ համավարակի հետագա զարգացումներով պայմանավորված որոշակի անորոշությունները,  պետական կապիտալ ներդրումների իրականացման և տնտեսության կլանման հնարավորությունների սահմանափակումները, ինչպես նաև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դրսևորումները՝ 2022թ</w:t>
      </w:r>
      <w:r w:rsidRPr="00A83C94">
        <w:rPr>
          <w:rFonts w:ascii="Cambria Math" w:hAnsi="Cambria Math" w:cs="Cambria Math"/>
          <w:b w:val="0"/>
          <w:bCs/>
          <w:szCs w:val="22"/>
          <w:lang w:val="hy-AM" w:eastAsia="en-US"/>
        </w:rPr>
        <w:t>․</w:t>
      </w:r>
      <w:r w:rsidRPr="00A83C94">
        <w:rPr>
          <w:rFonts w:cs="Times Armenian"/>
          <w:b w:val="0"/>
          <w:bCs/>
          <w:szCs w:val="22"/>
          <w:lang w:val="hy-AM" w:eastAsia="en-US"/>
        </w:rPr>
        <w:t xml:space="preserve"> </w:t>
      </w:r>
      <w:r w:rsidRPr="00A83C94">
        <w:rPr>
          <w:rFonts w:cs="GHEA Grapalat"/>
          <w:b w:val="0"/>
          <w:bCs/>
          <w:szCs w:val="22"/>
          <w:lang w:val="hy-AM" w:eastAsia="en-US"/>
        </w:rPr>
        <w:t>ՀՀ</w:t>
      </w:r>
      <w:r w:rsidRPr="00A83C94">
        <w:rPr>
          <w:rFonts w:cs="Times Armenian"/>
          <w:b w:val="0"/>
          <w:bCs/>
          <w:szCs w:val="22"/>
          <w:lang w:val="hy-AM" w:eastAsia="en-US"/>
        </w:rPr>
        <w:t xml:space="preserve"> </w:t>
      </w:r>
      <w:r w:rsidRPr="00A83C94">
        <w:rPr>
          <w:rFonts w:cs="GHEA Grapalat"/>
          <w:b w:val="0"/>
          <w:bCs/>
          <w:szCs w:val="22"/>
          <w:lang w:val="hy-AM" w:eastAsia="en-US"/>
        </w:rPr>
        <w:t>տնտեսական</w:t>
      </w:r>
      <w:r w:rsidRPr="00A83C94">
        <w:rPr>
          <w:rFonts w:cs="Times Armenian"/>
          <w:b w:val="0"/>
          <w:bCs/>
          <w:szCs w:val="22"/>
          <w:lang w:val="hy-AM" w:eastAsia="en-US"/>
        </w:rPr>
        <w:t xml:space="preserve"> </w:t>
      </w:r>
      <w:r w:rsidRPr="00A83C94">
        <w:rPr>
          <w:rFonts w:cs="GHEA Grapalat"/>
          <w:b w:val="0"/>
          <w:bCs/>
          <w:szCs w:val="22"/>
          <w:lang w:val="hy-AM" w:eastAsia="en-US"/>
        </w:rPr>
        <w:t>աճի</w:t>
      </w:r>
      <w:r w:rsidRPr="00A83C94">
        <w:rPr>
          <w:rFonts w:cs="Times Armenian"/>
          <w:b w:val="0"/>
          <w:bCs/>
          <w:szCs w:val="22"/>
          <w:lang w:val="hy-AM" w:eastAsia="en-US"/>
        </w:rPr>
        <w:t xml:space="preserve"> </w:t>
      </w:r>
      <w:r w:rsidRPr="00A83C94">
        <w:rPr>
          <w:rFonts w:cs="GHEA Grapalat"/>
          <w:b w:val="0"/>
          <w:bCs/>
          <w:szCs w:val="22"/>
          <w:lang w:val="hy-AM" w:eastAsia="en-US"/>
        </w:rPr>
        <w:t>կանխատեսումների</w:t>
      </w:r>
      <w:r w:rsidRPr="00A83C94">
        <w:rPr>
          <w:rFonts w:cs="Times Armenian"/>
          <w:b w:val="0"/>
          <w:bCs/>
          <w:szCs w:val="22"/>
          <w:lang w:val="hy-AM" w:eastAsia="en-US"/>
        </w:rPr>
        <w:t xml:space="preserve"> </w:t>
      </w:r>
      <w:r w:rsidRPr="00A83C94">
        <w:rPr>
          <w:rFonts w:cs="GHEA Grapalat"/>
          <w:b w:val="0"/>
          <w:bCs/>
          <w:szCs w:val="22"/>
          <w:lang w:val="hy-AM" w:eastAsia="en-US"/>
        </w:rPr>
        <w:t>ռիսկեր</w:t>
      </w:r>
      <w:r w:rsidRPr="00A83C94">
        <w:rPr>
          <w:rFonts w:cs="Times Armenian"/>
          <w:b w:val="0"/>
          <w:bCs/>
          <w:szCs w:val="22"/>
          <w:lang w:val="hy-AM" w:eastAsia="en-US"/>
        </w:rPr>
        <w:t>ը գնահատվում են դեպի ներքև։</w:t>
      </w:r>
    </w:p>
    <w:p w14:paraId="28CB51F2" w14:textId="77777777" w:rsidR="00027FBF" w:rsidRPr="00A83C94" w:rsidRDefault="00027FBF" w:rsidP="00027FBF">
      <w:pPr>
        <w:tabs>
          <w:tab w:val="right" w:pos="0"/>
        </w:tabs>
        <w:spacing w:before="0" w:line="276" w:lineRule="auto"/>
        <w:ind w:firstLine="284"/>
        <w:rPr>
          <w:rFonts w:cs="Times Armenian"/>
          <w:bCs/>
          <w:szCs w:val="22"/>
          <w:lang w:val="hy-AM"/>
        </w:rPr>
      </w:pPr>
      <w:r w:rsidRPr="00A83C94">
        <w:rPr>
          <w:rFonts w:eastAsia="Calibri" w:cs="Sylfaen"/>
          <w:bCs/>
          <w:i/>
          <w:iCs/>
          <w:color w:val="000000"/>
          <w:szCs w:val="22"/>
          <w:lang w:val="hy-AM"/>
        </w:rPr>
        <w:t>Աղյուսակ</w:t>
      </w:r>
      <w:r w:rsidRPr="00A83C94">
        <w:rPr>
          <w:rFonts w:eastAsia="Calibri"/>
          <w:bCs/>
          <w:i/>
          <w:iCs/>
          <w:color w:val="000000"/>
          <w:szCs w:val="22"/>
          <w:lang w:val="hy-AM"/>
        </w:rPr>
        <w:t xml:space="preserve"> 1.1. </w:t>
      </w:r>
      <w:r w:rsidRPr="00A83C94">
        <w:rPr>
          <w:rFonts w:eastAsia="Calibri"/>
          <w:b w:val="0"/>
          <w:i/>
          <w:iCs/>
          <w:color w:val="000000"/>
          <w:szCs w:val="22"/>
          <w:lang w:val="hy-AM"/>
        </w:rPr>
        <w:t>2022թ. պետական բյուջեի մակրոտնտեսական շրջանակ</w:t>
      </w:r>
    </w:p>
    <w:tbl>
      <w:tblPr>
        <w:tblStyle w:val="GridTable1Light-Accent51112"/>
        <w:tblpPr w:leftFromText="180" w:rightFromText="180" w:vertAnchor="text" w:horzAnchor="margin" w:tblpXSpec="right" w:tblpY="107"/>
        <w:tblW w:w="9488" w:type="dxa"/>
        <w:tblBorders>
          <w:top w:val="single" w:sz="12" w:space="0" w:color="4472C4"/>
          <w:left w:val="single" w:sz="12" w:space="0" w:color="4472C4"/>
          <w:bottom w:val="single" w:sz="12" w:space="0" w:color="4472C4"/>
          <w:right w:val="single" w:sz="12" w:space="0" w:color="4472C4"/>
          <w:insideH w:val="single" w:sz="6" w:space="0" w:color="4472C4"/>
          <w:insideV w:val="single" w:sz="6" w:space="0" w:color="4472C4"/>
        </w:tblBorders>
        <w:tblLayout w:type="fixed"/>
        <w:tblLook w:val="0000" w:firstRow="0" w:lastRow="0" w:firstColumn="0" w:lastColumn="0" w:noHBand="0" w:noVBand="0"/>
      </w:tblPr>
      <w:tblGrid>
        <w:gridCol w:w="3510"/>
        <w:gridCol w:w="1276"/>
        <w:gridCol w:w="1134"/>
        <w:gridCol w:w="1153"/>
        <w:gridCol w:w="1134"/>
        <w:gridCol w:w="1281"/>
      </w:tblGrid>
      <w:tr w:rsidR="00027FBF" w:rsidRPr="00A83C94" w14:paraId="4074D4C1" w14:textId="77777777" w:rsidTr="00027FBF">
        <w:trPr>
          <w:trHeight w:val="258"/>
          <w:tblHeader/>
        </w:trPr>
        <w:tc>
          <w:tcPr>
            <w:tcW w:w="3510" w:type="dxa"/>
            <w:vMerge w:val="restart"/>
            <w:noWrap/>
          </w:tcPr>
          <w:p w14:paraId="1B136E82" w14:textId="77777777" w:rsidR="00027FBF" w:rsidRPr="00A83C94" w:rsidRDefault="00027FBF" w:rsidP="00027FBF">
            <w:pPr>
              <w:spacing w:before="0" w:line="276" w:lineRule="auto"/>
              <w:rPr>
                <w:rFonts w:cs="Sylfaen"/>
                <w:b w:val="0"/>
                <w:i/>
                <w:iCs/>
                <w:sz w:val="20"/>
                <w:szCs w:val="20"/>
              </w:rPr>
            </w:pPr>
            <w:r w:rsidRPr="00A83C94">
              <w:rPr>
                <w:rFonts w:cs="Sylfaen"/>
                <w:b w:val="0"/>
                <w:i/>
                <w:iCs/>
                <w:sz w:val="20"/>
                <w:szCs w:val="20"/>
              </w:rPr>
              <w:t>Հիմնական մակրոտնտեսական ցուցանիշներ</w:t>
            </w:r>
          </w:p>
        </w:tc>
        <w:tc>
          <w:tcPr>
            <w:tcW w:w="1276" w:type="dxa"/>
          </w:tcPr>
          <w:p w14:paraId="5383308A"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2018</w:t>
            </w:r>
          </w:p>
        </w:tc>
        <w:tc>
          <w:tcPr>
            <w:tcW w:w="1134" w:type="dxa"/>
          </w:tcPr>
          <w:p w14:paraId="6AEA0AA0"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2019</w:t>
            </w:r>
          </w:p>
        </w:tc>
        <w:tc>
          <w:tcPr>
            <w:tcW w:w="1153" w:type="dxa"/>
          </w:tcPr>
          <w:p w14:paraId="2FA69CEE"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2020</w:t>
            </w:r>
          </w:p>
        </w:tc>
        <w:tc>
          <w:tcPr>
            <w:tcW w:w="1134" w:type="dxa"/>
            <w:shd w:val="clear" w:color="auto" w:fill="D9E2F3"/>
          </w:tcPr>
          <w:p w14:paraId="25DF133B"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2021</w:t>
            </w:r>
          </w:p>
        </w:tc>
        <w:tc>
          <w:tcPr>
            <w:tcW w:w="1281" w:type="dxa"/>
            <w:shd w:val="clear" w:color="auto" w:fill="D9E2F3"/>
          </w:tcPr>
          <w:p w14:paraId="79F17DD2" w14:textId="77777777" w:rsidR="00027FBF" w:rsidRPr="00A83C94" w:rsidRDefault="00027FBF" w:rsidP="00027FBF">
            <w:pPr>
              <w:spacing w:before="0" w:line="276" w:lineRule="auto"/>
              <w:ind w:firstLine="0"/>
              <w:jc w:val="center"/>
              <w:rPr>
                <w:rFonts w:cs="Arial"/>
                <w:bCs/>
                <w:sz w:val="20"/>
                <w:szCs w:val="20"/>
              </w:rPr>
            </w:pPr>
            <w:r w:rsidRPr="00A83C94">
              <w:rPr>
                <w:rFonts w:cs="Arial"/>
                <w:bCs/>
                <w:sz w:val="20"/>
                <w:szCs w:val="20"/>
              </w:rPr>
              <w:t>2022</w:t>
            </w:r>
          </w:p>
        </w:tc>
      </w:tr>
      <w:tr w:rsidR="00027FBF" w:rsidRPr="00A83C94" w14:paraId="44C879F8" w14:textId="77777777" w:rsidTr="00027FBF">
        <w:trPr>
          <w:trHeight w:val="272"/>
          <w:tblHeader/>
        </w:trPr>
        <w:tc>
          <w:tcPr>
            <w:tcW w:w="3510" w:type="dxa"/>
            <w:vMerge/>
            <w:noWrap/>
          </w:tcPr>
          <w:p w14:paraId="5D12C681" w14:textId="77777777" w:rsidR="00027FBF" w:rsidRPr="00A83C94" w:rsidRDefault="00027FBF" w:rsidP="00027FBF">
            <w:pPr>
              <w:spacing w:before="0" w:line="276" w:lineRule="auto"/>
              <w:rPr>
                <w:rFonts w:cs="Sylfaen"/>
                <w:b w:val="0"/>
                <w:sz w:val="20"/>
                <w:szCs w:val="20"/>
              </w:rPr>
            </w:pPr>
          </w:p>
        </w:tc>
        <w:tc>
          <w:tcPr>
            <w:tcW w:w="1276" w:type="dxa"/>
          </w:tcPr>
          <w:p w14:paraId="34562D43"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փաստ</w:t>
            </w:r>
          </w:p>
        </w:tc>
        <w:tc>
          <w:tcPr>
            <w:tcW w:w="1134" w:type="dxa"/>
          </w:tcPr>
          <w:p w14:paraId="69133A7B"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փաստ</w:t>
            </w:r>
          </w:p>
        </w:tc>
        <w:tc>
          <w:tcPr>
            <w:tcW w:w="1153" w:type="dxa"/>
          </w:tcPr>
          <w:p w14:paraId="21B7640A"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Փաստ</w:t>
            </w:r>
          </w:p>
        </w:tc>
        <w:tc>
          <w:tcPr>
            <w:tcW w:w="1134" w:type="dxa"/>
            <w:shd w:val="clear" w:color="auto" w:fill="D9E2F3"/>
          </w:tcPr>
          <w:p w14:paraId="1385A7EE" w14:textId="77777777" w:rsidR="00027FBF" w:rsidRPr="00A83C94" w:rsidRDefault="00027FBF" w:rsidP="00027FBF">
            <w:pPr>
              <w:spacing w:before="0" w:line="276" w:lineRule="auto"/>
              <w:ind w:firstLine="0"/>
              <w:jc w:val="center"/>
              <w:rPr>
                <w:rFonts w:cs="Arial"/>
                <w:bCs/>
                <w:sz w:val="20"/>
                <w:szCs w:val="20"/>
              </w:rPr>
            </w:pPr>
            <w:r w:rsidRPr="00A83C94">
              <w:rPr>
                <w:rFonts w:cs="Sylfaen"/>
                <w:sz w:val="20"/>
                <w:szCs w:val="20"/>
              </w:rPr>
              <w:t>սպասում</w:t>
            </w:r>
          </w:p>
        </w:tc>
        <w:tc>
          <w:tcPr>
            <w:tcW w:w="1281" w:type="dxa"/>
            <w:shd w:val="clear" w:color="auto" w:fill="D9E2F3"/>
          </w:tcPr>
          <w:p w14:paraId="09881634" w14:textId="77777777" w:rsidR="00027FBF" w:rsidRPr="00A83C94" w:rsidRDefault="00027FBF" w:rsidP="00027FBF">
            <w:pPr>
              <w:spacing w:before="0" w:line="276" w:lineRule="auto"/>
              <w:ind w:firstLine="0"/>
              <w:jc w:val="center"/>
              <w:rPr>
                <w:rFonts w:cs="Arial"/>
                <w:bCs/>
                <w:sz w:val="20"/>
                <w:szCs w:val="20"/>
              </w:rPr>
            </w:pPr>
            <w:r w:rsidRPr="00A83C94">
              <w:rPr>
                <w:sz w:val="20"/>
                <w:szCs w:val="20"/>
              </w:rPr>
              <w:t>ծրագիր</w:t>
            </w:r>
          </w:p>
        </w:tc>
      </w:tr>
      <w:tr w:rsidR="00027FBF" w:rsidRPr="00A83C94" w14:paraId="37CDC594" w14:textId="77777777" w:rsidTr="00027FBF">
        <w:trPr>
          <w:trHeight w:val="258"/>
        </w:trPr>
        <w:tc>
          <w:tcPr>
            <w:tcW w:w="3510" w:type="dxa"/>
            <w:noWrap/>
          </w:tcPr>
          <w:p w14:paraId="59FBF7F5" w14:textId="77777777" w:rsidR="00027FBF" w:rsidRPr="00A83C94" w:rsidRDefault="00027FBF" w:rsidP="00027FBF">
            <w:pPr>
              <w:spacing w:before="0" w:line="276" w:lineRule="auto"/>
              <w:ind w:firstLine="0"/>
              <w:rPr>
                <w:rFonts w:cs="Sylfaen"/>
                <w:bCs/>
                <w:sz w:val="20"/>
                <w:szCs w:val="20"/>
              </w:rPr>
            </w:pPr>
            <w:r w:rsidRPr="00A83C94">
              <w:rPr>
                <w:rFonts w:cs="Sylfaen"/>
                <w:bCs/>
                <w:sz w:val="20"/>
                <w:szCs w:val="20"/>
              </w:rPr>
              <w:t>Անվանական ՀՆԱ, մլրդ դրամ</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645C2E"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6,017.0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F3112F2" w14:textId="77777777" w:rsidR="00027FBF" w:rsidRPr="00A83C94" w:rsidRDefault="00027FBF" w:rsidP="00027FBF">
            <w:pPr>
              <w:spacing w:before="0" w:line="276" w:lineRule="auto"/>
              <w:ind w:firstLine="0"/>
              <w:jc w:val="center"/>
              <w:rPr>
                <w:sz w:val="20"/>
                <w:szCs w:val="20"/>
              </w:rPr>
            </w:pPr>
            <w:r w:rsidRPr="00A83C94">
              <w:rPr>
                <w:b w:val="0"/>
                <w:bCs/>
                <w:color w:val="000000"/>
                <w:sz w:val="20"/>
                <w:szCs w:val="20"/>
              </w:rPr>
              <w:t>6,543.3</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28B0BDA2" w14:textId="77777777" w:rsidR="00027FBF" w:rsidRPr="00A83C94" w:rsidRDefault="00027FBF" w:rsidP="00027FBF">
            <w:pPr>
              <w:spacing w:before="0" w:line="276" w:lineRule="auto"/>
              <w:ind w:firstLine="0"/>
              <w:jc w:val="center"/>
              <w:rPr>
                <w:sz w:val="20"/>
                <w:szCs w:val="20"/>
              </w:rPr>
            </w:pPr>
            <w:r w:rsidRPr="00A83C94">
              <w:rPr>
                <w:b w:val="0"/>
                <w:bCs/>
                <w:color w:val="000000"/>
                <w:sz w:val="20"/>
                <w:szCs w:val="20"/>
              </w:rPr>
              <w:t>6,181.7</w:t>
            </w:r>
          </w:p>
        </w:tc>
        <w:tc>
          <w:tcPr>
            <w:tcW w:w="1134" w:type="dxa"/>
            <w:shd w:val="clear" w:color="auto" w:fill="D9E2F3"/>
          </w:tcPr>
          <w:p w14:paraId="1F67C306" w14:textId="77777777" w:rsidR="00027FBF" w:rsidRPr="00A83C94" w:rsidRDefault="00027FBF" w:rsidP="00027FBF">
            <w:pPr>
              <w:spacing w:before="0" w:line="276" w:lineRule="auto"/>
              <w:ind w:firstLine="0"/>
              <w:jc w:val="center"/>
              <w:rPr>
                <w:b w:val="0"/>
                <w:sz w:val="20"/>
                <w:szCs w:val="20"/>
              </w:rPr>
            </w:pPr>
            <w:r w:rsidRPr="00A83C94">
              <w:rPr>
                <w:b w:val="0"/>
                <w:sz w:val="20"/>
                <w:szCs w:val="20"/>
              </w:rPr>
              <w:t>7,031.2</w:t>
            </w:r>
          </w:p>
        </w:tc>
        <w:tc>
          <w:tcPr>
            <w:tcW w:w="1281" w:type="dxa"/>
            <w:shd w:val="clear" w:color="auto" w:fill="D9E2F3"/>
          </w:tcPr>
          <w:p w14:paraId="6AB1887B" w14:textId="77777777" w:rsidR="00027FBF" w:rsidRPr="00A83C94" w:rsidRDefault="00027FBF" w:rsidP="00027FBF">
            <w:pPr>
              <w:spacing w:before="0" w:line="276" w:lineRule="auto"/>
              <w:ind w:firstLine="0"/>
              <w:jc w:val="center"/>
              <w:rPr>
                <w:b w:val="0"/>
                <w:sz w:val="20"/>
                <w:szCs w:val="20"/>
              </w:rPr>
            </w:pPr>
            <w:r w:rsidRPr="00A83C94">
              <w:rPr>
                <w:b w:val="0"/>
                <w:sz w:val="20"/>
                <w:szCs w:val="20"/>
              </w:rPr>
              <w:t>7,869.4</w:t>
            </w:r>
          </w:p>
        </w:tc>
      </w:tr>
      <w:tr w:rsidR="00027FBF" w:rsidRPr="00A83C94" w14:paraId="11BF8088" w14:textId="77777777" w:rsidTr="00027FBF">
        <w:trPr>
          <w:trHeight w:val="258"/>
        </w:trPr>
        <w:tc>
          <w:tcPr>
            <w:tcW w:w="3510" w:type="dxa"/>
            <w:noWrap/>
          </w:tcPr>
          <w:p w14:paraId="6C21920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Տնտեսական աճ,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B4F5C"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5.2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04506759"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7.6</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1B997C87" w14:textId="77777777" w:rsidR="00027FBF" w:rsidRPr="00A83C94" w:rsidRDefault="00027FBF" w:rsidP="00027FBF">
            <w:pPr>
              <w:spacing w:before="0" w:line="276" w:lineRule="auto"/>
              <w:ind w:firstLine="0"/>
              <w:jc w:val="center"/>
              <w:rPr>
                <w:rFonts w:eastAsia="Times New Roman" w:cs="Times New Roman"/>
                <w:b w:val="0"/>
                <w:sz w:val="20"/>
                <w:szCs w:val="20"/>
                <w:lang w:val="en-US"/>
              </w:rPr>
            </w:pPr>
            <w:r w:rsidRPr="00A83C94">
              <w:rPr>
                <w:b w:val="0"/>
                <w:color w:val="000000"/>
                <w:sz w:val="20"/>
                <w:szCs w:val="20"/>
                <w:lang w:val="en-US"/>
              </w:rPr>
              <w:t>-7.4</w:t>
            </w:r>
          </w:p>
        </w:tc>
        <w:tc>
          <w:tcPr>
            <w:tcW w:w="1134" w:type="dxa"/>
            <w:shd w:val="clear" w:color="auto" w:fill="D9E2F3"/>
          </w:tcPr>
          <w:p w14:paraId="6A4B0D8C"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6.5</w:t>
            </w:r>
          </w:p>
        </w:tc>
        <w:tc>
          <w:tcPr>
            <w:tcW w:w="1281" w:type="dxa"/>
            <w:shd w:val="clear" w:color="auto" w:fill="D9E2F3"/>
          </w:tcPr>
          <w:p w14:paraId="5C53B12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7.0</w:t>
            </w:r>
          </w:p>
        </w:tc>
      </w:tr>
      <w:tr w:rsidR="00027FBF" w:rsidRPr="00A83C94" w14:paraId="78A657BD" w14:textId="77777777" w:rsidTr="00027FBF">
        <w:trPr>
          <w:trHeight w:val="268"/>
        </w:trPr>
        <w:tc>
          <w:tcPr>
            <w:tcW w:w="3510" w:type="dxa"/>
            <w:noWrap/>
          </w:tcPr>
          <w:p w14:paraId="7AB29BB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ՀՆԱ դեֆլյատորի աճ,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C0802"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2.8</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59BF07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1.0</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3A641656"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2.0</w:t>
            </w:r>
          </w:p>
        </w:tc>
        <w:tc>
          <w:tcPr>
            <w:tcW w:w="1134" w:type="dxa"/>
            <w:shd w:val="clear" w:color="auto" w:fill="D9E2F3"/>
          </w:tcPr>
          <w:p w14:paraId="2CB9C1A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6.8</w:t>
            </w:r>
          </w:p>
        </w:tc>
        <w:tc>
          <w:tcPr>
            <w:tcW w:w="1281" w:type="dxa"/>
            <w:shd w:val="clear" w:color="auto" w:fill="D9E2F3"/>
          </w:tcPr>
          <w:p w14:paraId="6D47DAE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4.6</w:t>
            </w:r>
          </w:p>
        </w:tc>
      </w:tr>
      <w:tr w:rsidR="00027FBF" w:rsidRPr="00A83C94" w14:paraId="57D9DCB7" w14:textId="77777777" w:rsidTr="00027FBF">
        <w:trPr>
          <w:trHeight w:val="258"/>
        </w:trPr>
        <w:tc>
          <w:tcPr>
            <w:tcW w:w="3510" w:type="dxa"/>
            <w:noWrap/>
          </w:tcPr>
          <w:p w14:paraId="2080DCEE"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lang w:val="hy-AM"/>
              </w:rPr>
              <w:t>Գնաճ (ժամանակաշրջանի վերջ), %</w:t>
            </w:r>
          </w:p>
        </w:tc>
        <w:tc>
          <w:tcPr>
            <w:tcW w:w="1276" w:type="dxa"/>
            <w:vAlign w:val="center"/>
          </w:tcPr>
          <w:p w14:paraId="0AA86643"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1.8</w:t>
            </w:r>
          </w:p>
        </w:tc>
        <w:tc>
          <w:tcPr>
            <w:tcW w:w="1134" w:type="dxa"/>
            <w:vAlign w:val="center"/>
          </w:tcPr>
          <w:p w14:paraId="7967DCF9"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0.7</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9524FC"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3.7</w:t>
            </w:r>
          </w:p>
        </w:tc>
        <w:tc>
          <w:tcPr>
            <w:tcW w:w="1134" w:type="dxa"/>
            <w:shd w:val="clear" w:color="auto" w:fill="D9E2F3"/>
          </w:tcPr>
          <w:p w14:paraId="14B89A0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7.4</w:t>
            </w:r>
          </w:p>
        </w:tc>
        <w:tc>
          <w:tcPr>
            <w:tcW w:w="1281" w:type="dxa"/>
            <w:shd w:val="clear" w:color="auto" w:fill="D9E2F3"/>
          </w:tcPr>
          <w:p w14:paraId="08F91CF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5.2</w:t>
            </w:r>
          </w:p>
        </w:tc>
      </w:tr>
      <w:tr w:rsidR="00027FBF" w:rsidRPr="00A83C94" w14:paraId="7CD82617" w14:textId="77777777" w:rsidTr="00027FBF">
        <w:trPr>
          <w:trHeight w:val="265"/>
        </w:trPr>
        <w:tc>
          <w:tcPr>
            <w:tcW w:w="3510" w:type="dxa"/>
          </w:tcPr>
          <w:p w14:paraId="5BF54B45"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lang w:val="hy-AM"/>
              </w:rPr>
              <w:t>Գնաճ (միջին), %</w:t>
            </w:r>
          </w:p>
        </w:tc>
        <w:tc>
          <w:tcPr>
            <w:tcW w:w="1276" w:type="dxa"/>
            <w:vAlign w:val="center"/>
          </w:tcPr>
          <w:p w14:paraId="6C557A65" w14:textId="77777777" w:rsidR="00027FBF" w:rsidRPr="00A83C94" w:rsidRDefault="00027FBF" w:rsidP="00027FBF">
            <w:pPr>
              <w:spacing w:before="0" w:line="276" w:lineRule="auto"/>
              <w:ind w:firstLine="0"/>
              <w:jc w:val="center"/>
              <w:rPr>
                <w:b w:val="0"/>
                <w:bCs/>
                <w:color w:val="000000"/>
                <w:sz w:val="20"/>
                <w:szCs w:val="20"/>
              </w:rPr>
            </w:pPr>
            <w:r w:rsidRPr="00A83C94">
              <w:rPr>
                <w:b w:val="0"/>
                <w:bCs/>
                <w:color w:val="000000"/>
                <w:sz w:val="20"/>
                <w:szCs w:val="20"/>
              </w:rPr>
              <w:t>2.5</w:t>
            </w:r>
          </w:p>
        </w:tc>
        <w:tc>
          <w:tcPr>
            <w:tcW w:w="1134" w:type="dxa"/>
            <w:vAlign w:val="center"/>
          </w:tcPr>
          <w:p w14:paraId="264556D9"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1.4</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19ADF" w14:textId="77777777" w:rsidR="00027FBF" w:rsidRPr="00A83C94" w:rsidRDefault="00027FBF" w:rsidP="00027FBF">
            <w:pPr>
              <w:spacing w:before="0" w:line="276" w:lineRule="auto"/>
              <w:ind w:firstLine="0"/>
              <w:jc w:val="center"/>
              <w:rPr>
                <w:b w:val="0"/>
                <w:sz w:val="20"/>
                <w:szCs w:val="20"/>
              </w:rPr>
            </w:pPr>
            <w:r w:rsidRPr="00A83C94">
              <w:rPr>
                <w:b w:val="0"/>
                <w:sz w:val="20"/>
                <w:szCs w:val="20"/>
                <w:lang w:val="hy-AM"/>
              </w:rPr>
              <w:t>1.2</w:t>
            </w:r>
          </w:p>
        </w:tc>
        <w:tc>
          <w:tcPr>
            <w:tcW w:w="1134" w:type="dxa"/>
            <w:shd w:val="clear" w:color="auto" w:fill="D9E2F3"/>
          </w:tcPr>
          <w:p w14:paraId="1D3F474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7.0</w:t>
            </w:r>
          </w:p>
        </w:tc>
        <w:tc>
          <w:tcPr>
            <w:tcW w:w="1281" w:type="dxa"/>
            <w:shd w:val="clear" w:color="auto" w:fill="D9E2F3"/>
          </w:tcPr>
          <w:p w14:paraId="1F9D9E8C"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5.6</w:t>
            </w:r>
          </w:p>
        </w:tc>
      </w:tr>
      <w:tr w:rsidR="00027FBF" w:rsidRPr="00A83C94" w14:paraId="53DA0A8F" w14:textId="77777777" w:rsidTr="00027FBF">
        <w:trPr>
          <w:trHeight w:val="258"/>
        </w:trPr>
        <w:tc>
          <w:tcPr>
            <w:tcW w:w="9488" w:type="dxa"/>
            <w:gridSpan w:val="6"/>
            <w:shd w:val="clear" w:color="auto" w:fill="auto"/>
            <w:noWrap/>
            <w:vAlign w:val="center"/>
          </w:tcPr>
          <w:p w14:paraId="0B3A3A44" w14:textId="77777777" w:rsidR="00027FBF" w:rsidRPr="00A83C94" w:rsidRDefault="00027FBF" w:rsidP="00027FBF">
            <w:pPr>
              <w:spacing w:before="0" w:line="276" w:lineRule="auto"/>
              <w:jc w:val="center"/>
              <w:rPr>
                <w:rFonts w:cs="Arial"/>
                <w:bCs/>
                <w:sz w:val="20"/>
                <w:szCs w:val="20"/>
              </w:rPr>
            </w:pPr>
            <w:r w:rsidRPr="00A83C94">
              <w:rPr>
                <w:rFonts w:cs="Sylfaen"/>
                <w:sz w:val="20"/>
                <w:szCs w:val="20"/>
                <w:u w:val="single"/>
              </w:rPr>
              <w:t>ՀՆԱ իրական աճն ըստ ճյուղերի ավելացված արժեքների, %</w:t>
            </w:r>
          </w:p>
        </w:tc>
      </w:tr>
      <w:tr w:rsidR="00027FBF" w:rsidRPr="00A83C94" w14:paraId="3A150394" w14:textId="77777777" w:rsidTr="00027FBF">
        <w:trPr>
          <w:trHeight w:val="258"/>
        </w:trPr>
        <w:tc>
          <w:tcPr>
            <w:tcW w:w="3510" w:type="dxa"/>
            <w:noWrap/>
          </w:tcPr>
          <w:p w14:paraId="6ED3F134"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Արդյունաբերություն</w:t>
            </w:r>
          </w:p>
        </w:tc>
        <w:tc>
          <w:tcPr>
            <w:tcW w:w="1276" w:type="dxa"/>
            <w:vAlign w:val="center"/>
          </w:tcPr>
          <w:p w14:paraId="53D94F40"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4.9</w:t>
            </w:r>
          </w:p>
        </w:tc>
        <w:tc>
          <w:tcPr>
            <w:tcW w:w="1134" w:type="dxa"/>
            <w:vAlign w:val="center"/>
          </w:tcPr>
          <w:p w14:paraId="52C231BA"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11.9</w:t>
            </w:r>
          </w:p>
        </w:tc>
        <w:tc>
          <w:tcPr>
            <w:tcW w:w="1153" w:type="dxa"/>
            <w:vAlign w:val="center"/>
          </w:tcPr>
          <w:p w14:paraId="7EFA807D"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-1.7</w:t>
            </w:r>
          </w:p>
        </w:tc>
        <w:tc>
          <w:tcPr>
            <w:tcW w:w="1134" w:type="dxa"/>
            <w:shd w:val="clear" w:color="auto" w:fill="D9E2F3"/>
          </w:tcPr>
          <w:p w14:paraId="6B20260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4.3</w:t>
            </w:r>
          </w:p>
        </w:tc>
        <w:tc>
          <w:tcPr>
            <w:tcW w:w="1281" w:type="dxa"/>
            <w:shd w:val="clear" w:color="auto" w:fill="D9E2F3"/>
          </w:tcPr>
          <w:p w14:paraId="4B5FED07"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8.0</w:t>
            </w:r>
          </w:p>
        </w:tc>
      </w:tr>
      <w:tr w:rsidR="00027FBF" w:rsidRPr="00A83C94" w14:paraId="66E63223" w14:textId="77777777" w:rsidTr="00027FBF">
        <w:trPr>
          <w:trHeight w:val="65"/>
        </w:trPr>
        <w:tc>
          <w:tcPr>
            <w:tcW w:w="3510" w:type="dxa"/>
          </w:tcPr>
          <w:p w14:paraId="53371D08"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Գյուղատնտեսություն </w:t>
            </w:r>
          </w:p>
        </w:tc>
        <w:tc>
          <w:tcPr>
            <w:tcW w:w="1276" w:type="dxa"/>
            <w:vAlign w:val="center"/>
          </w:tcPr>
          <w:p w14:paraId="046194B3"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-6.9</w:t>
            </w:r>
          </w:p>
        </w:tc>
        <w:tc>
          <w:tcPr>
            <w:tcW w:w="1134" w:type="dxa"/>
            <w:vAlign w:val="center"/>
          </w:tcPr>
          <w:p w14:paraId="2E9253D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-5.8</w:t>
            </w:r>
          </w:p>
        </w:tc>
        <w:tc>
          <w:tcPr>
            <w:tcW w:w="1153" w:type="dxa"/>
            <w:vAlign w:val="center"/>
          </w:tcPr>
          <w:p w14:paraId="3EA8585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-4.1</w:t>
            </w:r>
          </w:p>
        </w:tc>
        <w:tc>
          <w:tcPr>
            <w:tcW w:w="1134" w:type="dxa"/>
            <w:shd w:val="clear" w:color="auto" w:fill="D9E2F3"/>
          </w:tcPr>
          <w:p w14:paraId="5B52FD7E"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5.6</w:t>
            </w:r>
          </w:p>
        </w:tc>
        <w:tc>
          <w:tcPr>
            <w:tcW w:w="1281" w:type="dxa"/>
            <w:shd w:val="clear" w:color="auto" w:fill="D9E2F3"/>
          </w:tcPr>
          <w:p w14:paraId="19D3A17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3.9</w:t>
            </w:r>
          </w:p>
        </w:tc>
      </w:tr>
      <w:tr w:rsidR="00027FBF" w:rsidRPr="00A83C94" w14:paraId="7D610FA6" w14:textId="77777777" w:rsidTr="00027FBF">
        <w:trPr>
          <w:trHeight w:val="258"/>
        </w:trPr>
        <w:tc>
          <w:tcPr>
            <w:tcW w:w="3510" w:type="dxa"/>
            <w:noWrap/>
          </w:tcPr>
          <w:p w14:paraId="281E55BD"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Շինարարություն </w:t>
            </w:r>
          </w:p>
        </w:tc>
        <w:tc>
          <w:tcPr>
            <w:tcW w:w="1276" w:type="dxa"/>
            <w:vAlign w:val="center"/>
          </w:tcPr>
          <w:p w14:paraId="2ECBF227"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0.6</w:t>
            </w:r>
          </w:p>
        </w:tc>
        <w:tc>
          <w:tcPr>
            <w:tcW w:w="1134" w:type="dxa"/>
            <w:vAlign w:val="center"/>
          </w:tcPr>
          <w:p w14:paraId="61158860"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6.5</w:t>
            </w:r>
          </w:p>
        </w:tc>
        <w:tc>
          <w:tcPr>
            <w:tcW w:w="1153" w:type="dxa"/>
            <w:vAlign w:val="center"/>
          </w:tcPr>
          <w:p w14:paraId="121DAC49"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-6.7</w:t>
            </w:r>
          </w:p>
        </w:tc>
        <w:tc>
          <w:tcPr>
            <w:tcW w:w="1134" w:type="dxa"/>
            <w:shd w:val="clear" w:color="auto" w:fill="D9E2F3"/>
          </w:tcPr>
          <w:p w14:paraId="1767251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1.5</w:t>
            </w:r>
          </w:p>
        </w:tc>
        <w:tc>
          <w:tcPr>
            <w:tcW w:w="1281" w:type="dxa"/>
            <w:shd w:val="clear" w:color="auto" w:fill="D9E2F3"/>
          </w:tcPr>
          <w:p w14:paraId="6B06C283"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18.0</w:t>
            </w:r>
          </w:p>
        </w:tc>
      </w:tr>
      <w:tr w:rsidR="00027FBF" w:rsidRPr="00A83C94" w14:paraId="34D11978" w14:textId="77777777" w:rsidTr="00027FBF">
        <w:trPr>
          <w:trHeight w:val="258"/>
        </w:trPr>
        <w:tc>
          <w:tcPr>
            <w:tcW w:w="3510" w:type="dxa"/>
            <w:noWrap/>
          </w:tcPr>
          <w:p w14:paraId="0FA2617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Ծառայություններ</w:t>
            </w:r>
          </w:p>
        </w:tc>
        <w:tc>
          <w:tcPr>
            <w:tcW w:w="1276" w:type="dxa"/>
            <w:vAlign w:val="center"/>
          </w:tcPr>
          <w:p w14:paraId="63811BEB"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9.1</w:t>
            </w:r>
          </w:p>
        </w:tc>
        <w:tc>
          <w:tcPr>
            <w:tcW w:w="1134" w:type="dxa"/>
            <w:vAlign w:val="center"/>
          </w:tcPr>
          <w:p w14:paraId="6B18E77A"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10.0</w:t>
            </w:r>
          </w:p>
        </w:tc>
        <w:tc>
          <w:tcPr>
            <w:tcW w:w="1153" w:type="dxa"/>
            <w:vAlign w:val="center"/>
          </w:tcPr>
          <w:p w14:paraId="35751CB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-9.7</w:t>
            </w:r>
          </w:p>
        </w:tc>
        <w:tc>
          <w:tcPr>
            <w:tcW w:w="1134" w:type="dxa"/>
            <w:shd w:val="clear" w:color="auto" w:fill="D9E2F3"/>
          </w:tcPr>
          <w:p w14:paraId="68DC94BD" w14:textId="77777777" w:rsidR="00027FBF" w:rsidRPr="00A83C94" w:rsidRDefault="00027FBF" w:rsidP="00027FBF">
            <w:pPr>
              <w:spacing w:before="0" w:line="276" w:lineRule="auto"/>
              <w:ind w:firstLine="0"/>
              <w:jc w:val="center"/>
              <w:rPr>
                <w:b w:val="0"/>
                <w:sz w:val="20"/>
                <w:szCs w:val="20"/>
              </w:rPr>
            </w:pPr>
            <w:r w:rsidRPr="00A83C94">
              <w:rPr>
                <w:b w:val="0"/>
                <w:sz w:val="20"/>
                <w:szCs w:val="20"/>
              </w:rPr>
              <w:t>8.1</w:t>
            </w:r>
          </w:p>
        </w:tc>
        <w:tc>
          <w:tcPr>
            <w:tcW w:w="1281" w:type="dxa"/>
            <w:shd w:val="clear" w:color="auto" w:fill="D9E2F3"/>
          </w:tcPr>
          <w:p w14:paraId="71431031" w14:textId="77777777" w:rsidR="00027FBF" w:rsidRPr="00A83C94" w:rsidRDefault="00027FBF" w:rsidP="00027FBF">
            <w:pPr>
              <w:spacing w:before="0" w:line="276" w:lineRule="auto"/>
              <w:ind w:firstLine="0"/>
              <w:jc w:val="center"/>
              <w:rPr>
                <w:b w:val="0"/>
                <w:sz w:val="20"/>
                <w:szCs w:val="20"/>
              </w:rPr>
            </w:pPr>
            <w:r w:rsidRPr="00A83C94">
              <w:rPr>
                <w:b w:val="0"/>
                <w:sz w:val="20"/>
                <w:szCs w:val="20"/>
              </w:rPr>
              <w:t>5.9</w:t>
            </w:r>
          </w:p>
        </w:tc>
      </w:tr>
      <w:tr w:rsidR="00027FBF" w:rsidRPr="00A83C94" w14:paraId="7D275981" w14:textId="77777777" w:rsidTr="00027FBF">
        <w:trPr>
          <w:trHeight w:val="258"/>
        </w:trPr>
        <w:tc>
          <w:tcPr>
            <w:tcW w:w="3510" w:type="dxa"/>
            <w:noWrap/>
          </w:tcPr>
          <w:p w14:paraId="54CAD933"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Զուտ հարկեր</w:t>
            </w:r>
          </w:p>
        </w:tc>
        <w:tc>
          <w:tcPr>
            <w:tcW w:w="1276" w:type="dxa"/>
            <w:vAlign w:val="center"/>
          </w:tcPr>
          <w:p w14:paraId="04FB53BF"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8.0</w:t>
            </w:r>
          </w:p>
        </w:tc>
        <w:tc>
          <w:tcPr>
            <w:tcW w:w="1134" w:type="dxa"/>
            <w:vAlign w:val="center"/>
          </w:tcPr>
          <w:p w14:paraId="38C86E2D"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7.1</w:t>
            </w:r>
          </w:p>
        </w:tc>
        <w:tc>
          <w:tcPr>
            <w:tcW w:w="1153" w:type="dxa"/>
            <w:vAlign w:val="center"/>
          </w:tcPr>
          <w:p w14:paraId="7C377921" w14:textId="77777777" w:rsidR="00027FBF" w:rsidRPr="00A83C94" w:rsidRDefault="00027FBF" w:rsidP="00027FBF">
            <w:pPr>
              <w:spacing w:before="0" w:after="200" w:line="276" w:lineRule="auto"/>
              <w:ind w:firstLine="0"/>
              <w:jc w:val="center"/>
              <w:rPr>
                <w:b w:val="0"/>
                <w:sz w:val="20"/>
                <w:szCs w:val="20"/>
                <w:lang w:val="hy-AM"/>
              </w:rPr>
            </w:pPr>
            <w:r w:rsidRPr="00A83C94">
              <w:rPr>
                <w:b w:val="0"/>
                <w:sz w:val="20"/>
                <w:szCs w:val="20"/>
                <w:lang w:val="hy-AM"/>
              </w:rPr>
              <w:t>-10.0</w:t>
            </w:r>
          </w:p>
        </w:tc>
        <w:tc>
          <w:tcPr>
            <w:tcW w:w="1134" w:type="dxa"/>
            <w:shd w:val="clear" w:color="auto" w:fill="D9E2F3"/>
          </w:tcPr>
          <w:p w14:paraId="772EDD72" w14:textId="77777777" w:rsidR="00027FBF" w:rsidRPr="00A83C94" w:rsidRDefault="00027FBF" w:rsidP="00027FBF">
            <w:pPr>
              <w:spacing w:before="0" w:line="276" w:lineRule="auto"/>
              <w:ind w:firstLine="0"/>
              <w:jc w:val="center"/>
              <w:rPr>
                <w:b w:val="0"/>
                <w:sz w:val="20"/>
                <w:szCs w:val="20"/>
              </w:rPr>
            </w:pPr>
            <w:r w:rsidRPr="00A83C94">
              <w:rPr>
                <w:b w:val="0"/>
                <w:sz w:val="20"/>
                <w:szCs w:val="20"/>
              </w:rPr>
              <w:t>7.1</w:t>
            </w:r>
          </w:p>
        </w:tc>
        <w:tc>
          <w:tcPr>
            <w:tcW w:w="1281" w:type="dxa"/>
            <w:shd w:val="clear" w:color="auto" w:fill="D9E2F3"/>
          </w:tcPr>
          <w:p w14:paraId="5BF2655C" w14:textId="77777777" w:rsidR="00027FBF" w:rsidRPr="00A83C94" w:rsidRDefault="00027FBF" w:rsidP="00027FBF">
            <w:pPr>
              <w:spacing w:before="0" w:line="276" w:lineRule="auto"/>
              <w:ind w:firstLine="0"/>
              <w:jc w:val="center"/>
              <w:rPr>
                <w:b w:val="0"/>
                <w:sz w:val="20"/>
                <w:szCs w:val="20"/>
              </w:rPr>
            </w:pPr>
            <w:r w:rsidRPr="00A83C94">
              <w:rPr>
                <w:b w:val="0"/>
                <w:sz w:val="20"/>
                <w:szCs w:val="20"/>
              </w:rPr>
              <w:t>6.8</w:t>
            </w:r>
          </w:p>
        </w:tc>
      </w:tr>
      <w:tr w:rsidR="00027FBF" w:rsidRPr="00A83C94" w14:paraId="772920D3" w14:textId="77777777" w:rsidTr="00027FBF">
        <w:trPr>
          <w:trHeight w:val="258"/>
        </w:trPr>
        <w:tc>
          <w:tcPr>
            <w:tcW w:w="9488" w:type="dxa"/>
            <w:gridSpan w:val="6"/>
            <w:shd w:val="clear" w:color="auto" w:fill="auto"/>
            <w:noWrap/>
            <w:vAlign w:val="center"/>
          </w:tcPr>
          <w:p w14:paraId="69A196F5" w14:textId="77777777" w:rsidR="00027FBF" w:rsidRPr="00A83C94" w:rsidRDefault="00027FBF" w:rsidP="00027FBF">
            <w:pPr>
              <w:spacing w:before="0" w:line="276" w:lineRule="auto"/>
              <w:jc w:val="center"/>
              <w:rPr>
                <w:rFonts w:cs="Arial"/>
                <w:bCs/>
                <w:sz w:val="20"/>
                <w:szCs w:val="20"/>
              </w:rPr>
            </w:pPr>
            <w:r w:rsidRPr="00A83C94">
              <w:rPr>
                <w:rFonts w:cs="Sylfaen"/>
                <w:sz w:val="20"/>
                <w:szCs w:val="20"/>
                <w:u w:val="single"/>
              </w:rPr>
              <w:t>ՀՆԱ ծախսային բաղադրիչների իրական աճերը, %</w:t>
            </w:r>
          </w:p>
        </w:tc>
      </w:tr>
      <w:tr w:rsidR="00027FBF" w:rsidRPr="00A83C94" w14:paraId="460287DA" w14:textId="77777777" w:rsidTr="00027FBF">
        <w:trPr>
          <w:trHeight w:val="258"/>
        </w:trPr>
        <w:tc>
          <w:tcPr>
            <w:tcW w:w="3510" w:type="dxa"/>
          </w:tcPr>
          <w:p w14:paraId="7FDD2719"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Վերջնական սպառում</w:t>
            </w:r>
          </w:p>
        </w:tc>
        <w:tc>
          <w:tcPr>
            <w:tcW w:w="1276" w:type="dxa"/>
            <w:vAlign w:val="center"/>
          </w:tcPr>
          <w:p w14:paraId="6231F260"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3.8</w:t>
            </w:r>
          </w:p>
        </w:tc>
        <w:tc>
          <w:tcPr>
            <w:tcW w:w="1134" w:type="dxa"/>
            <w:vAlign w:val="center"/>
          </w:tcPr>
          <w:p w14:paraId="312C364D"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11.7</w:t>
            </w:r>
          </w:p>
        </w:tc>
        <w:tc>
          <w:tcPr>
            <w:tcW w:w="1153" w:type="dxa"/>
            <w:vAlign w:val="center"/>
          </w:tcPr>
          <w:p w14:paraId="082BF14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-10.1</w:t>
            </w:r>
          </w:p>
        </w:tc>
        <w:tc>
          <w:tcPr>
            <w:tcW w:w="1134" w:type="dxa"/>
            <w:shd w:val="clear" w:color="auto" w:fill="D9E2F3"/>
          </w:tcPr>
          <w:p w14:paraId="18D316D1" w14:textId="77777777" w:rsidR="00027FBF" w:rsidRPr="00872014" w:rsidRDefault="00027FBF" w:rsidP="00027FBF">
            <w:pPr>
              <w:spacing w:before="0" w:line="276" w:lineRule="auto"/>
              <w:ind w:firstLine="0"/>
              <w:jc w:val="center"/>
              <w:rPr>
                <w:b w:val="0"/>
                <w:sz w:val="20"/>
                <w:szCs w:val="20"/>
              </w:rPr>
            </w:pPr>
            <w:r w:rsidRPr="00872014">
              <w:rPr>
                <w:b w:val="0"/>
                <w:sz w:val="20"/>
                <w:szCs w:val="20"/>
              </w:rPr>
              <w:t>7.7</w:t>
            </w:r>
          </w:p>
        </w:tc>
        <w:tc>
          <w:tcPr>
            <w:tcW w:w="1281" w:type="dxa"/>
            <w:shd w:val="clear" w:color="auto" w:fill="D9E2F3"/>
          </w:tcPr>
          <w:p w14:paraId="751F1F59" w14:textId="77777777" w:rsidR="00027FBF" w:rsidRPr="00872014" w:rsidRDefault="00027FBF" w:rsidP="00027FBF">
            <w:pPr>
              <w:spacing w:before="0" w:line="276" w:lineRule="auto"/>
              <w:ind w:firstLine="0"/>
              <w:jc w:val="center"/>
              <w:rPr>
                <w:b w:val="0"/>
                <w:sz w:val="20"/>
                <w:szCs w:val="20"/>
              </w:rPr>
            </w:pPr>
            <w:r w:rsidRPr="00872014">
              <w:rPr>
                <w:b w:val="0"/>
                <w:sz w:val="20"/>
                <w:szCs w:val="20"/>
              </w:rPr>
              <w:t>4.7</w:t>
            </w:r>
          </w:p>
        </w:tc>
      </w:tr>
      <w:tr w:rsidR="00027FBF" w:rsidRPr="00A83C94" w14:paraId="63A962F2" w14:textId="77777777" w:rsidTr="00027FBF">
        <w:trPr>
          <w:trHeight w:val="258"/>
        </w:trPr>
        <w:tc>
          <w:tcPr>
            <w:tcW w:w="3510" w:type="dxa"/>
          </w:tcPr>
          <w:p w14:paraId="6A228D09"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Պետական</w:t>
            </w:r>
          </w:p>
        </w:tc>
        <w:tc>
          <w:tcPr>
            <w:tcW w:w="1276" w:type="dxa"/>
            <w:vAlign w:val="center"/>
          </w:tcPr>
          <w:p w14:paraId="4A89801D"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-3.0</w:t>
            </w:r>
          </w:p>
        </w:tc>
        <w:tc>
          <w:tcPr>
            <w:tcW w:w="1134" w:type="dxa"/>
            <w:vAlign w:val="center"/>
          </w:tcPr>
          <w:p w14:paraId="1804BD5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12.9</w:t>
            </w:r>
          </w:p>
        </w:tc>
        <w:tc>
          <w:tcPr>
            <w:tcW w:w="1153" w:type="dxa"/>
            <w:vAlign w:val="center"/>
          </w:tcPr>
          <w:p w14:paraId="08DF8BAB"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15.2</w:t>
            </w:r>
          </w:p>
        </w:tc>
        <w:tc>
          <w:tcPr>
            <w:tcW w:w="1134" w:type="dxa"/>
            <w:shd w:val="clear" w:color="auto" w:fill="D9E2F3"/>
          </w:tcPr>
          <w:p w14:paraId="02FDDE4A"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-1.4</w:t>
            </w:r>
          </w:p>
        </w:tc>
        <w:tc>
          <w:tcPr>
            <w:tcW w:w="1281" w:type="dxa"/>
            <w:shd w:val="clear" w:color="auto" w:fill="D9E2F3"/>
          </w:tcPr>
          <w:p w14:paraId="60457514" w14:textId="77777777" w:rsidR="00027FBF" w:rsidRPr="008413F5" w:rsidRDefault="00027FBF" w:rsidP="00027FBF">
            <w:pPr>
              <w:spacing w:before="0" w:line="276" w:lineRule="auto"/>
              <w:ind w:firstLine="0"/>
              <w:jc w:val="center"/>
              <w:rPr>
                <w:b w:val="0"/>
                <w:sz w:val="20"/>
                <w:szCs w:val="20"/>
                <w:lang w:val="en-US"/>
              </w:rPr>
            </w:pPr>
            <w:r w:rsidRPr="00872014">
              <w:rPr>
                <w:b w:val="0"/>
                <w:sz w:val="20"/>
                <w:szCs w:val="20"/>
              </w:rPr>
              <w:t>-</w:t>
            </w:r>
            <w:r>
              <w:rPr>
                <w:b w:val="0"/>
                <w:sz w:val="20"/>
                <w:szCs w:val="20"/>
                <w:lang w:val="en-US"/>
              </w:rPr>
              <w:t>1</w:t>
            </w:r>
            <w:r w:rsidRPr="00872014">
              <w:rPr>
                <w:b w:val="0"/>
                <w:sz w:val="20"/>
                <w:szCs w:val="20"/>
              </w:rPr>
              <w:t>.</w:t>
            </w:r>
            <w:r>
              <w:rPr>
                <w:b w:val="0"/>
                <w:sz w:val="20"/>
                <w:szCs w:val="20"/>
                <w:lang w:val="en-US"/>
              </w:rPr>
              <w:t>9</w:t>
            </w:r>
          </w:p>
        </w:tc>
      </w:tr>
      <w:tr w:rsidR="00027FBF" w:rsidRPr="00A83C94" w14:paraId="6A839992" w14:textId="77777777" w:rsidTr="00027FBF">
        <w:trPr>
          <w:trHeight w:val="258"/>
        </w:trPr>
        <w:tc>
          <w:tcPr>
            <w:tcW w:w="3510" w:type="dxa"/>
          </w:tcPr>
          <w:p w14:paraId="7445D738"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Մասնավոր</w:t>
            </w:r>
          </w:p>
        </w:tc>
        <w:tc>
          <w:tcPr>
            <w:tcW w:w="1276" w:type="dxa"/>
            <w:vAlign w:val="center"/>
          </w:tcPr>
          <w:p w14:paraId="365E8278"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4.8</w:t>
            </w:r>
          </w:p>
        </w:tc>
        <w:tc>
          <w:tcPr>
            <w:tcW w:w="1134" w:type="dxa"/>
            <w:vAlign w:val="center"/>
          </w:tcPr>
          <w:p w14:paraId="62C00AA3"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11.5</w:t>
            </w:r>
          </w:p>
        </w:tc>
        <w:tc>
          <w:tcPr>
            <w:tcW w:w="1153" w:type="dxa"/>
            <w:vAlign w:val="center"/>
          </w:tcPr>
          <w:p w14:paraId="7C64EF45"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-13.9</w:t>
            </w:r>
          </w:p>
        </w:tc>
        <w:tc>
          <w:tcPr>
            <w:tcW w:w="1134" w:type="dxa"/>
            <w:shd w:val="clear" w:color="auto" w:fill="D9E2F3"/>
          </w:tcPr>
          <w:p w14:paraId="473C2506" w14:textId="77777777" w:rsidR="00027FBF" w:rsidRPr="00872014" w:rsidRDefault="00027FBF" w:rsidP="00027FBF">
            <w:pPr>
              <w:spacing w:before="0" w:line="276" w:lineRule="auto"/>
              <w:ind w:firstLine="0"/>
              <w:jc w:val="center"/>
              <w:rPr>
                <w:b w:val="0"/>
                <w:sz w:val="20"/>
                <w:szCs w:val="20"/>
              </w:rPr>
            </w:pPr>
            <w:r w:rsidRPr="00872014">
              <w:rPr>
                <w:b w:val="0"/>
                <w:sz w:val="20"/>
                <w:szCs w:val="20"/>
              </w:rPr>
              <w:t>9.6</w:t>
            </w:r>
          </w:p>
        </w:tc>
        <w:tc>
          <w:tcPr>
            <w:tcW w:w="1281" w:type="dxa"/>
            <w:shd w:val="clear" w:color="auto" w:fill="D9E2F3"/>
          </w:tcPr>
          <w:p w14:paraId="696533DD" w14:textId="77777777" w:rsidR="00027FBF" w:rsidRPr="00872014" w:rsidRDefault="00027FBF" w:rsidP="00027FBF">
            <w:pPr>
              <w:spacing w:before="0" w:after="200" w:line="276" w:lineRule="auto"/>
              <w:ind w:firstLine="0"/>
              <w:jc w:val="center"/>
              <w:rPr>
                <w:b w:val="0"/>
                <w:sz w:val="20"/>
                <w:szCs w:val="20"/>
              </w:rPr>
            </w:pPr>
            <w:r w:rsidRPr="00872014">
              <w:rPr>
                <w:b w:val="0"/>
                <w:sz w:val="20"/>
                <w:szCs w:val="20"/>
              </w:rPr>
              <w:t>6.0</w:t>
            </w:r>
          </w:p>
        </w:tc>
      </w:tr>
      <w:tr w:rsidR="00027FBF" w:rsidRPr="00A83C94" w14:paraId="5B91ECE3" w14:textId="77777777" w:rsidTr="00027FBF">
        <w:trPr>
          <w:trHeight w:val="258"/>
        </w:trPr>
        <w:tc>
          <w:tcPr>
            <w:tcW w:w="3510" w:type="dxa"/>
          </w:tcPr>
          <w:p w14:paraId="55A772A5" w14:textId="77777777" w:rsidR="00027FBF" w:rsidRPr="00A83C94" w:rsidRDefault="00027FBF" w:rsidP="00027FBF">
            <w:pPr>
              <w:spacing w:before="0" w:line="276" w:lineRule="auto"/>
              <w:ind w:firstLine="0"/>
              <w:jc w:val="left"/>
              <w:rPr>
                <w:rFonts w:cs="Sylfaen"/>
                <w:b w:val="0"/>
                <w:sz w:val="20"/>
                <w:szCs w:val="20"/>
              </w:rPr>
            </w:pPr>
            <w:r w:rsidRPr="00A83C94">
              <w:rPr>
                <w:rFonts w:cs="Sylfaen"/>
                <w:b w:val="0"/>
                <w:sz w:val="20"/>
                <w:szCs w:val="20"/>
              </w:rPr>
              <w:t>Հիմնական միջոցներում ներդրումներ</w:t>
            </w:r>
            <w:r w:rsidRPr="00A83C94">
              <w:rPr>
                <w:rFonts w:cs="Sylfaen"/>
                <w:b w:val="0"/>
                <w:sz w:val="20"/>
                <w:szCs w:val="20"/>
                <w:vertAlign w:val="superscript"/>
              </w:rPr>
              <w:footnoteReference w:id="1"/>
            </w:r>
          </w:p>
        </w:tc>
        <w:tc>
          <w:tcPr>
            <w:tcW w:w="1276" w:type="dxa"/>
            <w:vAlign w:val="center"/>
          </w:tcPr>
          <w:p w14:paraId="13E60068"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4.8</w:t>
            </w:r>
          </w:p>
        </w:tc>
        <w:tc>
          <w:tcPr>
            <w:tcW w:w="1134" w:type="dxa"/>
            <w:vAlign w:val="center"/>
          </w:tcPr>
          <w:p w14:paraId="79AA4ECC"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4.4</w:t>
            </w:r>
          </w:p>
        </w:tc>
        <w:tc>
          <w:tcPr>
            <w:tcW w:w="1153" w:type="dxa"/>
            <w:vAlign w:val="center"/>
          </w:tcPr>
          <w:p w14:paraId="159DF115"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-8.6</w:t>
            </w:r>
          </w:p>
        </w:tc>
        <w:tc>
          <w:tcPr>
            <w:tcW w:w="1134" w:type="dxa"/>
            <w:shd w:val="clear" w:color="auto" w:fill="D9E2F3"/>
            <w:vAlign w:val="center"/>
          </w:tcPr>
          <w:p w14:paraId="6736679A" w14:textId="77777777" w:rsidR="00027FBF" w:rsidRPr="00872014" w:rsidRDefault="00027FBF" w:rsidP="00027FBF">
            <w:pPr>
              <w:spacing w:before="0" w:line="276" w:lineRule="auto"/>
              <w:ind w:firstLine="0"/>
              <w:jc w:val="center"/>
              <w:rPr>
                <w:b w:val="0"/>
                <w:sz w:val="20"/>
                <w:szCs w:val="20"/>
              </w:rPr>
            </w:pPr>
            <w:r w:rsidRPr="00872014">
              <w:rPr>
                <w:b w:val="0"/>
                <w:sz w:val="20"/>
                <w:szCs w:val="20"/>
              </w:rPr>
              <w:t>3.6</w:t>
            </w:r>
          </w:p>
        </w:tc>
        <w:tc>
          <w:tcPr>
            <w:tcW w:w="1281" w:type="dxa"/>
            <w:shd w:val="clear" w:color="auto" w:fill="D9E2F3"/>
            <w:vAlign w:val="center"/>
          </w:tcPr>
          <w:p w14:paraId="2D3168E5" w14:textId="77777777" w:rsidR="00027FBF" w:rsidRPr="00872014" w:rsidRDefault="00027FBF" w:rsidP="00027FBF">
            <w:pPr>
              <w:spacing w:before="0" w:line="276" w:lineRule="auto"/>
              <w:ind w:firstLine="0"/>
              <w:jc w:val="center"/>
              <w:rPr>
                <w:b w:val="0"/>
                <w:sz w:val="20"/>
                <w:szCs w:val="20"/>
              </w:rPr>
            </w:pPr>
            <w:r w:rsidRPr="00872014">
              <w:rPr>
                <w:b w:val="0"/>
                <w:sz w:val="20"/>
                <w:szCs w:val="20"/>
              </w:rPr>
              <w:t>22.</w:t>
            </w:r>
            <w:r>
              <w:rPr>
                <w:b w:val="0"/>
                <w:sz w:val="20"/>
                <w:szCs w:val="20"/>
                <w:lang w:val="en-US"/>
              </w:rPr>
              <w:t>1</w:t>
            </w:r>
          </w:p>
        </w:tc>
      </w:tr>
      <w:tr w:rsidR="00027FBF" w:rsidRPr="00A83C94" w14:paraId="27E3315F" w14:textId="77777777" w:rsidTr="00027FBF">
        <w:trPr>
          <w:trHeight w:val="258"/>
        </w:trPr>
        <w:tc>
          <w:tcPr>
            <w:tcW w:w="3510" w:type="dxa"/>
          </w:tcPr>
          <w:p w14:paraId="08399630"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Պետական</w:t>
            </w:r>
          </w:p>
        </w:tc>
        <w:tc>
          <w:tcPr>
            <w:tcW w:w="1276" w:type="dxa"/>
            <w:vAlign w:val="center"/>
          </w:tcPr>
          <w:p w14:paraId="24435B1F"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3.4</w:t>
            </w:r>
          </w:p>
        </w:tc>
        <w:tc>
          <w:tcPr>
            <w:tcW w:w="1134" w:type="dxa"/>
            <w:vAlign w:val="center"/>
          </w:tcPr>
          <w:p w14:paraId="470B8A2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13.7</w:t>
            </w:r>
          </w:p>
        </w:tc>
        <w:tc>
          <w:tcPr>
            <w:tcW w:w="1153" w:type="dxa"/>
            <w:vAlign w:val="center"/>
          </w:tcPr>
          <w:p w14:paraId="20BEF3F9"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7.5</w:t>
            </w:r>
          </w:p>
        </w:tc>
        <w:tc>
          <w:tcPr>
            <w:tcW w:w="1134" w:type="dxa"/>
            <w:shd w:val="clear" w:color="auto" w:fill="D9E2F3"/>
          </w:tcPr>
          <w:p w14:paraId="58A26515"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15.6</w:t>
            </w:r>
          </w:p>
        </w:tc>
        <w:tc>
          <w:tcPr>
            <w:tcW w:w="1281" w:type="dxa"/>
            <w:shd w:val="clear" w:color="auto" w:fill="D9E2F3"/>
          </w:tcPr>
          <w:p w14:paraId="690CB75C" w14:textId="77777777" w:rsidR="00027FBF" w:rsidRPr="008413F5" w:rsidRDefault="00027FBF" w:rsidP="00027FBF">
            <w:pPr>
              <w:spacing w:before="0" w:line="276" w:lineRule="auto"/>
              <w:ind w:firstLine="0"/>
              <w:jc w:val="center"/>
              <w:rPr>
                <w:b w:val="0"/>
                <w:sz w:val="20"/>
                <w:szCs w:val="20"/>
                <w:lang w:val="en-US"/>
              </w:rPr>
            </w:pPr>
            <w:r w:rsidRPr="00872014">
              <w:rPr>
                <w:b w:val="0"/>
                <w:sz w:val="20"/>
                <w:szCs w:val="20"/>
              </w:rPr>
              <w:t>4</w:t>
            </w:r>
            <w:r>
              <w:rPr>
                <w:b w:val="0"/>
                <w:sz w:val="20"/>
                <w:szCs w:val="20"/>
                <w:lang w:val="en-US"/>
              </w:rPr>
              <w:t>4</w:t>
            </w:r>
            <w:r w:rsidRPr="00872014">
              <w:rPr>
                <w:b w:val="0"/>
                <w:sz w:val="20"/>
                <w:szCs w:val="20"/>
              </w:rPr>
              <w:t>.</w:t>
            </w:r>
            <w:r>
              <w:rPr>
                <w:b w:val="0"/>
                <w:sz w:val="20"/>
                <w:szCs w:val="20"/>
                <w:lang w:val="en-US"/>
              </w:rPr>
              <w:t>5</w:t>
            </w:r>
          </w:p>
        </w:tc>
      </w:tr>
      <w:tr w:rsidR="00027FBF" w:rsidRPr="00A83C94" w14:paraId="33926913" w14:textId="77777777" w:rsidTr="00027FBF">
        <w:trPr>
          <w:trHeight w:val="258"/>
        </w:trPr>
        <w:tc>
          <w:tcPr>
            <w:tcW w:w="3510" w:type="dxa"/>
          </w:tcPr>
          <w:p w14:paraId="51E9C108" w14:textId="77777777" w:rsidR="00027FBF" w:rsidRPr="00A83C94" w:rsidRDefault="00027FBF" w:rsidP="00027FBF">
            <w:pPr>
              <w:spacing w:before="0" w:line="276" w:lineRule="auto"/>
              <w:ind w:firstLine="0"/>
              <w:rPr>
                <w:rFonts w:cs="Sylfaen"/>
                <w:b w:val="0"/>
                <w:i/>
                <w:sz w:val="20"/>
                <w:szCs w:val="20"/>
              </w:rPr>
            </w:pPr>
            <w:r w:rsidRPr="00A83C94">
              <w:rPr>
                <w:rFonts w:cs="Sylfaen"/>
                <w:b w:val="0"/>
                <w:i/>
                <w:sz w:val="20"/>
                <w:szCs w:val="20"/>
              </w:rPr>
              <w:t>Մասնավոր</w:t>
            </w:r>
          </w:p>
        </w:tc>
        <w:tc>
          <w:tcPr>
            <w:tcW w:w="1276" w:type="dxa"/>
            <w:vAlign w:val="center"/>
          </w:tcPr>
          <w:p w14:paraId="0F9F409A"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5.1</w:t>
            </w:r>
          </w:p>
        </w:tc>
        <w:tc>
          <w:tcPr>
            <w:tcW w:w="1134" w:type="dxa"/>
            <w:vAlign w:val="center"/>
          </w:tcPr>
          <w:p w14:paraId="6B7E0E9D"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2.6</w:t>
            </w:r>
          </w:p>
        </w:tc>
        <w:tc>
          <w:tcPr>
            <w:tcW w:w="1153" w:type="dxa"/>
            <w:vAlign w:val="center"/>
          </w:tcPr>
          <w:p w14:paraId="5E037F7D"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-12.0</w:t>
            </w:r>
          </w:p>
        </w:tc>
        <w:tc>
          <w:tcPr>
            <w:tcW w:w="1134" w:type="dxa"/>
            <w:shd w:val="clear" w:color="auto" w:fill="D9E2F3"/>
          </w:tcPr>
          <w:p w14:paraId="473ED253" w14:textId="77777777" w:rsidR="00027FBF" w:rsidRPr="00872014" w:rsidRDefault="00027FBF" w:rsidP="00027FBF">
            <w:pPr>
              <w:spacing w:before="0" w:line="276" w:lineRule="auto"/>
              <w:ind w:firstLine="0"/>
              <w:jc w:val="center"/>
              <w:rPr>
                <w:b w:val="0"/>
                <w:sz w:val="20"/>
                <w:szCs w:val="20"/>
              </w:rPr>
            </w:pPr>
            <w:r w:rsidRPr="00872014">
              <w:rPr>
                <w:b w:val="0"/>
                <w:sz w:val="20"/>
                <w:szCs w:val="20"/>
              </w:rPr>
              <w:t>0.6</w:t>
            </w:r>
          </w:p>
        </w:tc>
        <w:tc>
          <w:tcPr>
            <w:tcW w:w="1281" w:type="dxa"/>
            <w:shd w:val="clear" w:color="auto" w:fill="D9E2F3"/>
          </w:tcPr>
          <w:p w14:paraId="501793EA"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15.6</w:t>
            </w:r>
          </w:p>
        </w:tc>
      </w:tr>
      <w:tr w:rsidR="00027FBF" w:rsidRPr="00A83C94" w14:paraId="4EAE4171" w14:textId="77777777" w:rsidTr="00027FBF">
        <w:trPr>
          <w:trHeight w:val="258"/>
        </w:trPr>
        <w:tc>
          <w:tcPr>
            <w:tcW w:w="3510" w:type="dxa"/>
          </w:tcPr>
          <w:p w14:paraId="12D5DB6A"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Արտահանում </w:t>
            </w:r>
          </w:p>
        </w:tc>
        <w:tc>
          <w:tcPr>
            <w:tcW w:w="1276" w:type="dxa"/>
            <w:vAlign w:val="center"/>
          </w:tcPr>
          <w:p w14:paraId="314F3F5C"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5.0</w:t>
            </w:r>
          </w:p>
        </w:tc>
        <w:tc>
          <w:tcPr>
            <w:tcW w:w="1134" w:type="dxa"/>
            <w:vAlign w:val="center"/>
          </w:tcPr>
          <w:p w14:paraId="483E7BB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16.0</w:t>
            </w:r>
          </w:p>
        </w:tc>
        <w:tc>
          <w:tcPr>
            <w:tcW w:w="1153" w:type="dxa"/>
            <w:vAlign w:val="center"/>
          </w:tcPr>
          <w:p w14:paraId="201C3C40"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-33.4</w:t>
            </w:r>
          </w:p>
        </w:tc>
        <w:tc>
          <w:tcPr>
            <w:tcW w:w="1134" w:type="dxa"/>
            <w:shd w:val="clear" w:color="auto" w:fill="D9E2F3"/>
          </w:tcPr>
          <w:p w14:paraId="76401BE5" w14:textId="77777777" w:rsidR="00027FBF" w:rsidRPr="00872014" w:rsidRDefault="00027FBF" w:rsidP="00027FBF">
            <w:pPr>
              <w:spacing w:before="0" w:line="276" w:lineRule="auto"/>
              <w:ind w:firstLine="0"/>
              <w:jc w:val="center"/>
              <w:rPr>
                <w:b w:val="0"/>
                <w:sz w:val="20"/>
                <w:szCs w:val="20"/>
              </w:rPr>
            </w:pPr>
            <w:r w:rsidRPr="00872014">
              <w:rPr>
                <w:b w:val="0"/>
                <w:sz w:val="20"/>
                <w:szCs w:val="20"/>
              </w:rPr>
              <w:t>7.6</w:t>
            </w:r>
          </w:p>
        </w:tc>
        <w:tc>
          <w:tcPr>
            <w:tcW w:w="1281" w:type="dxa"/>
            <w:shd w:val="clear" w:color="auto" w:fill="D9E2F3"/>
          </w:tcPr>
          <w:p w14:paraId="147B0652"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14.3</w:t>
            </w:r>
          </w:p>
        </w:tc>
      </w:tr>
      <w:tr w:rsidR="00027FBF" w:rsidRPr="00A83C94" w14:paraId="5DB3A74C" w14:textId="77777777" w:rsidTr="00027FBF">
        <w:trPr>
          <w:trHeight w:val="272"/>
        </w:trPr>
        <w:tc>
          <w:tcPr>
            <w:tcW w:w="3510" w:type="dxa"/>
          </w:tcPr>
          <w:p w14:paraId="0E117B19"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Ներմուծում </w:t>
            </w:r>
          </w:p>
        </w:tc>
        <w:tc>
          <w:tcPr>
            <w:tcW w:w="1276" w:type="dxa"/>
            <w:vAlign w:val="center"/>
          </w:tcPr>
          <w:p w14:paraId="4FAC28E6" w14:textId="77777777" w:rsidR="00027FBF" w:rsidRPr="00A83C94" w:rsidRDefault="00027FBF" w:rsidP="00027FBF">
            <w:pPr>
              <w:spacing w:before="0" w:line="276" w:lineRule="auto"/>
              <w:ind w:firstLine="0"/>
              <w:jc w:val="center"/>
              <w:rPr>
                <w:b w:val="0"/>
                <w:color w:val="000000"/>
                <w:sz w:val="20"/>
                <w:szCs w:val="20"/>
              </w:rPr>
            </w:pPr>
            <w:r w:rsidRPr="00A83C94">
              <w:rPr>
                <w:b w:val="0"/>
                <w:color w:val="000000"/>
                <w:sz w:val="20"/>
                <w:szCs w:val="20"/>
              </w:rPr>
              <w:t>13.3</w:t>
            </w:r>
          </w:p>
        </w:tc>
        <w:tc>
          <w:tcPr>
            <w:tcW w:w="1134" w:type="dxa"/>
            <w:vAlign w:val="center"/>
          </w:tcPr>
          <w:p w14:paraId="1AA9EFF3"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11.6</w:t>
            </w:r>
          </w:p>
        </w:tc>
        <w:tc>
          <w:tcPr>
            <w:tcW w:w="1153" w:type="dxa"/>
            <w:vAlign w:val="center"/>
          </w:tcPr>
          <w:p w14:paraId="0467027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szCs w:val="20"/>
              </w:rPr>
              <w:t>-31.4</w:t>
            </w:r>
          </w:p>
        </w:tc>
        <w:tc>
          <w:tcPr>
            <w:tcW w:w="1134" w:type="dxa"/>
            <w:shd w:val="clear" w:color="auto" w:fill="D9E2F3"/>
          </w:tcPr>
          <w:p w14:paraId="7ED54F43" w14:textId="77777777" w:rsidR="00027FBF" w:rsidRPr="00872014" w:rsidRDefault="00027FBF" w:rsidP="00027FBF">
            <w:pPr>
              <w:spacing w:before="0" w:line="276" w:lineRule="auto"/>
              <w:ind w:firstLine="0"/>
              <w:jc w:val="center"/>
              <w:rPr>
                <w:b w:val="0"/>
                <w:sz w:val="20"/>
                <w:szCs w:val="20"/>
              </w:rPr>
            </w:pPr>
            <w:r w:rsidRPr="00872014">
              <w:rPr>
                <w:b w:val="0"/>
                <w:sz w:val="20"/>
                <w:szCs w:val="20"/>
              </w:rPr>
              <w:t>8.2</w:t>
            </w:r>
          </w:p>
        </w:tc>
        <w:tc>
          <w:tcPr>
            <w:tcW w:w="1281" w:type="dxa"/>
            <w:shd w:val="clear" w:color="auto" w:fill="D9E2F3"/>
          </w:tcPr>
          <w:p w14:paraId="584EAF9B" w14:textId="77777777" w:rsidR="00027FBF" w:rsidRPr="00872014" w:rsidRDefault="00027FBF" w:rsidP="00027FBF">
            <w:pPr>
              <w:spacing w:before="0" w:line="276" w:lineRule="auto"/>
              <w:ind w:firstLine="0"/>
              <w:jc w:val="center"/>
              <w:rPr>
                <w:b w:val="0"/>
                <w:sz w:val="20"/>
                <w:szCs w:val="20"/>
              </w:rPr>
            </w:pPr>
            <w:r w:rsidRPr="00872014">
              <w:rPr>
                <w:b w:val="0"/>
                <w:sz w:val="20"/>
                <w:szCs w:val="20"/>
              </w:rPr>
              <w:t>15.3</w:t>
            </w:r>
          </w:p>
        </w:tc>
      </w:tr>
      <w:tr w:rsidR="00027FBF" w:rsidRPr="00A83C94" w14:paraId="5A30AB7D" w14:textId="77777777" w:rsidTr="00027FBF">
        <w:trPr>
          <w:trHeight w:val="258"/>
        </w:trPr>
        <w:tc>
          <w:tcPr>
            <w:tcW w:w="9488" w:type="dxa"/>
            <w:gridSpan w:val="6"/>
            <w:shd w:val="clear" w:color="auto" w:fill="auto"/>
            <w:noWrap/>
            <w:vAlign w:val="center"/>
          </w:tcPr>
          <w:p w14:paraId="5025EE38" w14:textId="77777777" w:rsidR="00027FBF" w:rsidRPr="00A83C94" w:rsidRDefault="00027FBF" w:rsidP="00027FBF">
            <w:pPr>
              <w:spacing w:before="0" w:line="276" w:lineRule="auto"/>
              <w:jc w:val="center"/>
              <w:rPr>
                <w:rFonts w:cs="Arial"/>
                <w:bCs/>
                <w:sz w:val="20"/>
                <w:szCs w:val="20"/>
              </w:rPr>
            </w:pPr>
            <w:r w:rsidRPr="00A83C94">
              <w:rPr>
                <w:rFonts w:cs="Sylfaen"/>
                <w:sz w:val="20"/>
                <w:szCs w:val="20"/>
                <w:u w:val="single"/>
              </w:rPr>
              <w:t>Արտաքին հատված (մլն ԱՄՆ դոլար)</w:t>
            </w:r>
          </w:p>
        </w:tc>
      </w:tr>
      <w:tr w:rsidR="00027FBF" w:rsidRPr="00A83C94" w14:paraId="62EF1B2E" w14:textId="77777777" w:rsidTr="00027FBF">
        <w:trPr>
          <w:trHeight w:val="258"/>
        </w:trPr>
        <w:tc>
          <w:tcPr>
            <w:tcW w:w="3510" w:type="dxa"/>
            <w:shd w:val="clear" w:color="auto" w:fill="auto"/>
          </w:tcPr>
          <w:p w14:paraId="182FCFC0"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Ընթացիկ հաշիվ</w:t>
            </w:r>
          </w:p>
        </w:tc>
        <w:tc>
          <w:tcPr>
            <w:tcW w:w="1276" w:type="dxa"/>
            <w:vAlign w:val="center"/>
          </w:tcPr>
          <w:p w14:paraId="7D41BD75"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-875.9</w:t>
            </w:r>
          </w:p>
        </w:tc>
        <w:tc>
          <w:tcPr>
            <w:tcW w:w="1134" w:type="dxa"/>
            <w:vAlign w:val="center"/>
          </w:tcPr>
          <w:p w14:paraId="5E0E20F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-1,002.3</w:t>
            </w:r>
          </w:p>
        </w:tc>
        <w:tc>
          <w:tcPr>
            <w:tcW w:w="1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14BB44"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-478.7</w:t>
            </w:r>
          </w:p>
        </w:tc>
        <w:tc>
          <w:tcPr>
            <w:tcW w:w="1134" w:type="dxa"/>
            <w:shd w:val="clear" w:color="auto" w:fill="D9E2F3"/>
          </w:tcPr>
          <w:p w14:paraId="3960F75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-241.8</w:t>
            </w:r>
          </w:p>
        </w:tc>
        <w:tc>
          <w:tcPr>
            <w:tcW w:w="1281" w:type="dxa"/>
            <w:shd w:val="clear" w:color="auto" w:fill="D9E2F3"/>
          </w:tcPr>
          <w:p w14:paraId="57FEBEE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-455.6</w:t>
            </w:r>
          </w:p>
        </w:tc>
      </w:tr>
      <w:tr w:rsidR="00027FBF" w:rsidRPr="00A83C94" w14:paraId="0AF58BC3" w14:textId="77777777" w:rsidTr="00027FBF">
        <w:trPr>
          <w:trHeight w:val="258"/>
        </w:trPr>
        <w:tc>
          <w:tcPr>
            <w:tcW w:w="3510" w:type="dxa"/>
            <w:shd w:val="clear" w:color="auto" w:fill="auto"/>
          </w:tcPr>
          <w:p w14:paraId="09F29D70" w14:textId="77777777" w:rsidR="00027FBF" w:rsidRPr="00A83C94" w:rsidRDefault="00027FBF" w:rsidP="00027FBF">
            <w:pPr>
              <w:spacing w:before="0" w:line="276" w:lineRule="auto"/>
              <w:ind w:firstLine="0"/>
              <w:jc w:val="left"/>
              <w:rPr>
                <w:rFonts w:cs="Sylfaen"/>
                <w:b w:val="0"/>
                <w:sz w:val="20"/>
                <w:szCs w:val="20"/>
              </w:rPr>
            </w:pPr>
            <w:r w:rsidRPr="00A83C94">
              <w:rPr>
                <w:rFonts w:cs="Sylfaen"/>
                <w:b w:val="0"/>
                <w:sz w:val="20"/>
                <w:szCs w:val="20"/>
              </w:rPr>
              <w:t>Ապրանքների և ծառայությունների հաշվեկշիռ</w:t>
            </w:r>
          </w:p>
        </w:tc>
        <w:tc>
          <w:tcPr>
            <w:tcW w:w="1276" w:type="dxa"/>
            <w:vAlign w:val="center"/>
          </w:tcPr>
          <w:p w14:paraId="3B8E907A"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-1,699.8</w:t>
            </w:r>
          </w:p>
        </w:tc>
        <w:tc>
          <w:tcPr>
            <w:tcW w:w="1134" w:type="dxa"/>
            <w:vAlign w:val="center"/>
          </w:tcPr>
          <w:p w14:paraId="67497A66"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-1,794.8</w:t>
            </w:r>
          </w:p>
        </w:tc>
        <w:tc>
          <w:tcPr>
            <w:tcW w:w="1153" w:type="dxa"/>
            <w:vAlign w:val="center"/>
          </w:tcPr>
          <w:p w14:paraId="08E9925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-1,256.1</w:t>
            </w:r>
          </w:p>
        </w:tc>
        <w:tc>
          <w:tcPr>
            <w:tcW w:w="1134" w:type="dxa"/>
            <w:shd w:val="clear" w:color="auto" w:fill="D9E2F3"/>
          </w:tcPr>
          <w:p w14:paraId="039FF40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-1,334.6</w:t>
            </w:r>
          </w:p>
        </w:tc>
        <w:tc>
          <w:tcPr>
            <w:tcW w:w="1281" w:type="dxa"/>
            <w:shd w:val="clear" w:color="auto" w:fill="D9E2F3"/>
          </w:tcPr>
          <w:p w14:paraId="2A61F4B5"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-1,657.5</w:t>
            </w:r>
          </w:p>
        </w:tc>
      </w:tr>
      <w:tr w:rsidR="00027FBF" w:rsidRPr="00A83C94" w14:paraId="67253F2D" w14:textId="77777777" w:rsidTr="00027FBF">
        <w:trPr>
          <w:trHeight w:val="258"/>
        </w:trPr>
        <w:tc>
          <w:tcPr>
            <w:tcW w:w="3510" w:type="dxa"/>
            <w:shd w:val="clear" w:color="auto" w:fill="auto"/>
          </w:tcPr>
          <w:p w14:paraId="08FF80AD"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Արտահանում</w:t>
            </w:r>
          </w:p>
        </w:tc>
        <w:tc>
          <w:tcPr>
            <w:tcW w:w="1276" w:type="dxa"/>
            <w:vAlign w:val="center"/>
          </w:tcPr>
          <w:p w14:paraId="4CF80F3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4,941.7</w:t>
            </w:r>
          </w:p>
        </w:tc>
        <w:tc>
          <w:tcPr>
            <w:tcW w:w="1134" w:type="dxa"/>
            <w:vAlign w:val="center"/>
          </w:tcPr>
          <w:p w14:paraId="636D7F4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5,718.1</w:t>
            </w:r>
          </w:p>
        </w:tc>
        <w:tc>
          <w:tcPr>
            <w:tcW w:w="1153" w:type="dxa"/>
            <w:vAlign w:val="center"/>
          </w:tcPr>
          <w:p w14:paraId="7AB9E5F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3,762.6</w:t>
            </w:r>
          </w:p>
        </w:tc>
        <w:tc>
          <w:tcPr>
            <w:tcW w:w="1134" w:type="dxa"/>
            <w:shd w:val="clear" w:color="auto" w:fill="D9E2F3"/>
          </w:tcPr>
          <w:p w14:paraId="48B846FE"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4,521.2</w:t>
            </w:r>
          </w:p>
        </w:tc>
        <w:tc>
          <w:tcPr>
            <w:tcW w:w="1281" w:type="dxa"/>
            <w:shd w:val="clear" w:color="auto" w:fill="D9E2F3"/>
          </w:tcPr>
          <w:p w14:paraId="60884754"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5,270.7</w:t>
            </w:r>
          </w:p>
        </w:tc>
      </w:tr>
      <w:tr w:rsidR="00027FBF" w:rsidRPr="00A83C94" w14:paraId="01EE93F4" w14:textId="77777777" w:rsidTr="00027FBF">
        <w:trPr>
          <w:trHeight w:val="258"/>
        </w:trPr>
        <w:tc>
          <w:tcPr>
            <w:tcW w:w="3510" w:type="dxa"/>
            <w:shd w:val="clear" w:color="auto" w:fill="auto"/>
          </w:tcPr>
          <w:p w14:paraId="1AF57D23"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Փոփոխություն,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CE6EB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12.1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87B76B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15.7</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438648CF"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-34.2</w:t>
            </w:r>
          </w:p>
        </w:tc>
        <w:tc>
          <w:tcPr>
            <w:tcW w:w="1134" w:type="dxa"/>
            <w:shd w:val="clear" w:color="auto" w:fill="D9E2F3"/>
          </w:tcPr>
          <w:p w14:paraId="11A4107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20.2</w:t>
            </w:r>
          </w:p>
        </w:tc>
        <w:tc>
          <w:tcPr>
            <w:tcW w:w="1281" w:type="dxa"/>
            <w:shd w:val="clear" w:color="auto" w:fill="D9E2F3"/>
          </w:tcPr>
          <w:p w14:paraId="5E190C02"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16.6</w:t>
            </w:r>
          </w:p>
        </w:tc>
      </w:tr>
      <w:tr w:rsidR="00027FBF" w:rsidRPr="00A83C94" w14:paraId="17629EBF" w14:textId="77777777" w:rsidTr="00027FBF">
        <w:trPr>
          <w:trHeight w:val="430"/>
        </w:trPr>
        <w:tc>
          <w:tcPr>
            <w:tcW w:w="3510" w:type="dxa"/>
            <w:shd w:val="clear" w:color="auto" w:fill="auto"/>
          </w:tcPr>
          <w:p w14:paraId="38AEA858"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Ներմուծում</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F7D145C"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6,641.5</w:t>
            </w:r>
          </w:p>
        </w:tc>
        <w:tc>
          <w:tcPr>
            <w:tcW w:w="1134" w:type="dxa"/>
            <w:tcBorders>
              <w:top w:val="single" w:sz="4" w:space="0" w:color="000000"/>
              <w:left w:val="nil"/>
              <w:bottom w:val="single" w:sz="4" w:space="0" w:color="000000"/>
              <w:right w:val="single" w:sz="4" w:space="0" w:color="000000"/>
            </w:tcBorders>
            <w:shd w:val="clear" w:color="auto" w:fill="auto"/>
          </w:tcPr>
          <w:p w14:paraId="1C82D67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7,512.9</w:t>
            </w:r>
          </w:p>
        </w:tc>
        <w:tc>
          <w:tcPr>
            <w:tcW w:w="1153" w:type="dxa"/>
            <w:tcBorders>
              <w:top w:val="single" w:sz="4" w:space="0" w:color="000000"/>
              <w:left w:val="nil"/>
              <w:bottom w:val="single" w:sz="4" w:space="0" w:color="000000"/>
              <w:right w:val="single" w:sz="4" w:space="0" w:color="000000"/>
            </w:tcBorders>
            <w:shd w:val="clear" w:color="auto" w:fill="auto"/>
          </w:tcPr>
          <w:p w14:paraId="626AE3F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5,018.7</w:t>
            </w:r>
          </w:p>
        </w:tc>
        <w:tc>
          <w:tcPr>
            <w:tcW w:w="1134" w:type="dxa"/>
            <w:shd w:val="clear" w:color="auto" w:fill="D9E2F3"/>
          </w:tcPr>
          <w:p w14:paraId="39B8EFF9"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5,855.8</w:t>
            </w:r>
          </w:p>
        </w:tc>
        <w:tc>
          <w:tcPr>
            <w:tcW w:w="1281" w:type="dxa"/>
            <w:shd w:val="clear" w:color="auto" w:fill="D9E2F3"/>
          </w:tcPr>
          <w:p w14:paraId="06DAEA7E"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6,928.2</w:t>
            </w:r>
          </w:p>
        </w:tc>
      </w:tr>
      <w:tr w:rsidR="00027FBF" w:rsidRPr="00A83C94" w14:paraId="63D2ED6E" w14:textId="77777777" w:rsidTr="00027FBF">
        <w:trPr>
          <w:trHeight w:val="258"/>
        </w:trPr>
        <w:tc>
          <w:tcPr>
            <w:tcW w:w="3510" w:type="dxa"/>
            <w:shd w:val="clear" w:color="auto" w:fill="auto"/>
            <w:noWrap/>
          </w:tcPr>
          <w:p w14:paraId="3D70B6FD"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Փոփոխություն,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8EB31"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17.5</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44D38420"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13.1</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0180AADA"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-33.2</w:t>
            </w:r>
          </w:p>
        </w:tc>
        <w:tc>
          <w:tcPr>
            <w:tcW w:w="1134" w:type="dxa"/>
            <w:shd w:val="clear" w:color="auto" w:fill="D9E2F3"/>
          </w:tcPr>
          <w:p w14:paraId="40271DE6"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16.7</w:t>
            </w:r>
          </w:p>
        </w:tc>
        <w:tc>
          <w:tcPr>
            <w:tcW w:w="1281" w:type="dxa"/>
            <w:shd w:val="clear" w:color="auto" w:fill="D9E2F3"/>
          </w:tcPr>
          <w:p w14:paraId="37B2DCF1"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18.3</w:t>
            </w:r>
          </w:p>
        </w:tc>
      </w:tr>
      <w:tr w:rsidR="00027FBF" w:rsidRPr="00A83C94" w14:paraId="1E9D3462" w14:textId="77777777" w:rsidTr="00027FBF">
        <w:trPr>
          <w:trHeight w:val="258"/>
        </w:trPr>
        <w:tc>
          <w:tcPr>
            <w:tcW w:w="3510" w:type="dxa"/>
            <w:shd w:val="clear" w:color="auto" w:fill="auto"/>
            <w:noWrap/>
          </w:tcPr>
          <w:p w14:paraId="2DEB73AC"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Դրամական փոխանցումներ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157BD"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1,136.2</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604FC7B9"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1,143.8</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6FADEAC8"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1,040.2</w:t>
            </w:r>
          </w:p>
        </w:tc>
        <w:tc>
          <w:tcPr>
            <w:tcW w:w="1134" w:type="dxa"/>
            <w:shd w:val="clear" w:color="auto" w:fill="D9E2F3"/>
          </w:tcPr>
          <w:p w14:paraId="7E14EE0B"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1,398.8</w:t>
            </w:r>
          </w:p>
        </w:tc>
        <w:tc>
          <w:tcPr>
            <w:tcW w:w="1281" w:type="dxa"/>
            <w:shd w:val="clear" w:color="auto" w:fill="D9E2F3"/>
          </w:tcPr>
          <w:p w14:paraId="03FD11B6" w14:textId="77777777" w:rsidR="00027FBF" w:rsidRPr="00A83C94" w:rsidRDefault="00027FBF" w:rsidP="00027FBF">
            <w:pPr>
              <w:spacing w:before="0" w:line="276" w:lineRule="auto"/>
              <w:ind w:firstLine="0"/>
              <w:jc w:val="center"/>
              <w:rPr>
                <w:b w:val="0"/>
                <w:sz w:val="20"/>
                <w:szCs w:val="20"/>
                <w:lang w:val="hy-AM"/>
              </w:rPr>
            </w:pPr>
            <w:r w:rsidRPr="00A83C94">
              <w:rPr>
                <w:b w:val="0"/>
                <w:sz w:val="20"/>
                <w:szCs w:val="20"/>
                <w:lang w:val="hy-AM"/>
              </w:rPr>
              <w:t>1,468.7</w:t>
            </w:r>
          </w:p>
        </w:tc>
      </w:tr>
      <w:tr w:rsidR="00027FBF" w:rsidRPr="00A83C94" w14:paraId="6ABA2E19" w14:textId="77777777" w:rsidTr="00027FBF">
        <w:trPr>
          <w:trHeight w:val="177"/>
        </w:trPr>
        <w:tc>
          <w:tcPr>
            <w:tcW w:w="9488" w:type="dxa"/>
            <w:gridSpan w:val="6"/>
            <w:shd w:val="clear" w:color="auto" w:fill="auto"/>
            <w:noWrap/>
            <w:vAlign w:val="center"/>
          </w:tcPr>
          <w:p w14:paraId="0FEF4F19" w14:textId="77777777" w:rsidR="00027FBF" w:rsidRPr="00A83C94" w:rsidRDefault="00027FBF" w:rsidP="00027FBF">
            <w:pPr>
              <w:spacing w:before="0" w:line="276" w:lineRule="auto"/>
              <w:jc w:val="center"/>
              <w:rPr>
                <w:sz w:val="20"/>
                <w:szCs w:val="20"/>
              </w:rPr>
            </w:pPr>
            <w:r w:rsidRPr="00A83C94">
              <w:rPr>
                <w:rFonts w:cs="Sylfaen"/>
                <w:sz w:val="20"/>
                <w:szCs w:val="20"/>
                <w:u w:val="single"/>
              </w:rPr>
              <w:t>ՀՆԱ-ի նկատմամբ %</w:t>
            </w:r>
          </w:p>
        </w:tc>
      </w:tr>
      <w:tr w:rsidR="00027FBF" w:rsidRPr="00A83C94" w14:paraId="1D294E9D" w14:textId="77777777" w:rsidTr="00027FBF">
        <w:trPr>
          <w:trHeight w:val="258"/>
        </w:trPr>
        <w:tc>
          <w:tcPr>
            <w:tcW w:w="3510" w:type="dxa"/>
            <w:shd w:val="clear" w:color="auto" w:fill="auto"/>
            <w:noWrap/>
          </w:tcPr>
          <w:p w14:paraId="038761E2"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 xml:space="preserve">Ընթացիկ հաշիվ </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2C4AF"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-7.0</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7A006681"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-7.4</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7C6969A8"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-3.8</w:t>
            </w:r>
          </w:p>
        </w:tc>
        <w:tc>
          <w:tcPr>
            <w:tcW w:w="1134" w:type="dxa"/>
            <w:shd w:val="clear" w:color="auto" w:fill="D9E2F3"/>
          </w:tcPr>
          <w:p w14:paraId="7307498A"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-1.7</w:t>
            </w:r>
          </w:p>
        </w:tc>
        <w:tc>
          <w:tcPr>
            <w:tcW w:w="1281" w:type="dxa"/>
            <w:shd w:val="clear" w:color="auto" w:fill="D9E2F3"/>
          </w:tcPr>
          <w:p w14:paraId="799D288B"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-3.0</w:t>
            </w:r>
          </w:p>
        </w:tc>
      </w:tr>
      <w:tr w:rsidR="00027FBF" w:rsidRPr="00A83C94" w14:paraId="654E17E7" w14:textId="77777777" w:rsidTr="00027FBF">
        <w:trPr>
          <w:trHeight w:val="258"/>
        </w:trPr>
        <w:tc>
          <w:tcPr>
            <w:tcW w:w="3510" w:type="dxa"/>
            <w:shd w:val="clear" w:color="auto" w:fill="auto"/>
            <w:noWrap/>
          </w:tcPr>
          <w:p w14:paraId="54B9A916" w14:textId="77777777" w:rsidR="00027FBF" w:rsidRPr="00A83C94" w:rsidRDefault="00027FBF" w:rsidP="00027FBF">
            <w:pPr>
              <w:spacing w:before="0" w:line="276" w:lineRule="auto"/>
              <w:ind w:firstLine="0"/>
              <w:jc w:val="left"/>
              <w:rPr>
                <w:rFonts w:cs="Sylfaen"/>
                <w:b w:val="0"/>
                <w:sz w:val="20"/>
                <w:szCs w:val="20"/>
                <w:u w:val="single"/>
              </w:rPr>
            </w:pPr>
            <w:r w:rsidRPr="00A83C94">
              <w:rPr>
                <w:rFonts w:cs="Sylfaen"/>
                <w:b w:val="0"/>
                <w:sz w:val="20"/>
                <w:szCs w:val="20"/>
              </w:rPr>
              <w:t>Ապրանքների և ծառայությունների հաշվեկշիռ</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719898D7"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-13.6</w:t>
            </w:r>
          </w:p>
        </w:tc>
        <w:tc>
          <w:tcPr>
            <w:tcW w:w="1134" w:type="dxa"/>
            <w:tcBorders>
              <w:top w:val="nil"/>
              <w:left w:val="nil"/>
              <w:bottom w:val="single" w:sz="4" w:space="0" w:color="000000"/>
              <w:right w:val="single" w:sz="4" w:space="0" w:color="000000"/>
            </w:tcBorders>
            <w:shd w:val="clear" w:color="auto" w:fill="auto"/>
            <w:vAlign w:val="center"/>
          </w:tcPr>
          <w:p w14:paraId="062C66DF"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-13.2</w:t>
            </w:r>
          </w:p>
        </w:tc>
        <w:tc>
          <w:tcPr>
            <w:tcW w:w="1153" w:type="dxa"/>
            <w:tcBorders>
              <w:top w:val="nil"/>
              <w:left w:val="nil"/>
              <w:bottom w:val="single" w:sz="4" w:space="0" w:color="000000"/>
              <w:right w:val="single" w:sz="4" w:space="0" w:color="000000"/>
            </w:tcBorders>
            <w:shd w:val="clear" w:color="auto" w:fill="auto"/>
            <w:vAlign w:val="center"/>
          </w:tcPr>
          <w:p w14:paraId="707328BD"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-9.9</w:t>
            </w:r>
          </w:p>
        </w:tc>
        <w:tc>
          <w:tcPr>
            <w:tcW w:w="1134" w:type="dxa"/>
            <w:shd w:val="clear" w:color="auto" w:fill="D9E2F3"/>
          </w:tcPr>
          <w:p w14:paraId="0CEECF8D"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-9.6</w:t>
            </w:r>
          </w:p>
        </w:tc>
        <w:tc>
          <w:tcPr>
            <w:tcW w:w="1281" w:type="dxa"/>
            <w:shd w:val="clear" w:color="auto" w:fill="D9E2F3"/>
          </w:tcPr>
          <w:p w14:paraId="409D157C"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-10.9</w:t>
            </w:r>
          </w:p>
        </w:tc>
      </w:tr>
      <w:tr w:rsidR="00027FBF" w:rsidRPr="00A83C94" w14:paraId="6C4BCECC" w14:textId="77777777" w:rsidTr="00027FBF">
        <w:trPr>
          <w:trHeight w:val="258"/>
        </w:trPr>
        <w:tc>
          <w:tcPr>
            <w:tcW w:w="3510" w:type="dxa"/>
            <w:shd w:val="clear" w:color="auto" w:fill="auto"/>
          </w:tcPr>
          <w:p w14:paraId="7FF7DB4C"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Արտահանում</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62A4DF67"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39.7</w:t>
            </w:r>
          </w:p>
        </w:tc>
        <w:tc>
          <w:tcPr>
            <w:tcW w:w="1134" w:type="dxa"/>
            <w:tcBorders>
              <w:top w:val="nil"/>
              <w:left w:val="nil"/>
              <w:bottom w:val="single" w:sz="4" w:space="0" w:color="000000"/>
              <w:right w:val="single" w:sz="4" w:space="0" w:color="000000"/>
            </w:tcBorders>
            <w:shd w:val="clear" w:color="auto" w:fill="auto"/>
            <w:vAlign w:val="center"/>
          </w:tcPr>
          <w:p w14:paraId="6A1B68BA"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42.0</w:t>
            </w:r>
          </w:p>
        </w:tc>
        <w:tc>
          <w:tcPr>
            <w:tcW w:w="1153" w:type="dxa"/>
            <w:tcBorders>
              <w:top w:val="nil"/>
              <w:left w:val="nil"/>
              <w:bottom w:val="single" w:sz="4" w:space="0" w:color="000000"/>
              <w:right w:val="single" w:sz="4" w:space="0" w:color="000000"/>
            </w:tcBorders>
            <w:shd w:val="clear" w:color="auto" w:fill="auto"/>
            <w:vAlign w:val="center"/>
          </w:tcPr>
          <w:p w14:paraId="388DA081"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29.8</w:t>
            </w:r>
          </w:p>
        </w:tc>
        <w:tc>
          <w:tcPr>
            <w:tcW w:w="1134" w:type="dxa"/>
            <w:shd w:val="clear" w:color="auto" w:fill="D9E2F3"/>
          </w:tcPr>
          <w:p w14:paraId="2C535526"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32.6</w:t>
            </w:r>
          </w:p>
        </w:tc>
        <w:tc>
          <w:tcPr>
            <w:tcW w:w="1281" w:type="dxa"/>
            <w:shd w:val="clear" w:color="auto" w:fill="D9E2F3"/>
          </w:tcPr>
          <w:p w14:paraId="13F655F2"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34.5</w:t>
            </w:r>
          </w:p>
        </w:tc>
      </w:tr>
      <w:tr w:rsidR="00027FBF" w:rsidRPr="00A83C94" w14:paraId="62E5D943" w14:textId="77777777" w:rsidTr="00027FBF">
        <w:trPr>
          <w:trHeight w:val="258"/>
        </w:trPr>
        <w:tc>
          <w:tcPr>
            <w:tcW w:w="3510" w:type="dxa"/>
            <w:shd w:val="clear" w:color="auto" w:fill="auto"/>
          </w:tcPr>
          <w:p w14:paraId="3349568E"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Ներմուծում</w:t>
            </w:r>
          </w:p>
        </w:tc>
        <w:tc>
          <w:tcPr>
            <w:tcW w:w="1276" w:type="dxa"/>
            <w:tcBorders>
              <w:top w:val="nil"/>
              <w:left w:val="single" w:sz="4" w:space="0" w:color="000000"/>
              <w:bottom w:val="single" w:sz="4" w:space="0" w:color="000000"/>
              <w:right w:val="single" w:sz="4" w:space="0" w:color="000000"/>
            </w:tcBorders>
            <w:shd w:val="clear" w:color="auto" w:fill="auto"/>
            <w:vAlign w:val="center"/>
          </w:tcPr>
          <w:p w14:paraId="1F8A5589"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53.3</w:t>
            </w:r>
          </w:p>
        </w:tc>
        <w:tc>
          <w:tcPr>
            <w:tcW w:w="1134" w:type="dxa"/>
            <w:tcBorders>
              <w:top w:val="nil"/>
              <w:left w:val="nil"/>
              <w:bottom w:val="single" w:sz="4" w:space="0" w:color="000000"/>
              <w:right w:val="single" w:sz="4" w:space="0" w:color="000000"/>
            </w:tcBorders>
            <w:shd w:val="clear" w:color="auto" w:fill="auto"/>
            <w:vAlign w:val="center"/>
          </w:tcPr>
          <w:p w14:paraId="19003B58"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55.2</w:t>
            </w:r>
          </w:p>
        </w:tc>
        <w:tc>
          <w:tcPr>
            <w:tcW w:w="1153" w:type="dxa"/>
            <w:tcBorders>
              <w:top w:val="nil"/>
              <w:left w:val="nil"/>
              <w:bottom w:val="single" w:sz="4" w:space="0" w:color="000000"/>
              <w:right w:val="single" w:sz="4" w:space="0" w:color="000000"/>
            </w:tcBorders>
            <w:shd w:val="clear" w:color="auto" w:fill="auto"/>
            <w:vAlign w:val="center"/>
          </w:tcPr>
          <w:p w14:paraId="38F158E4"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39.7</w:t>
            </w:r>
          </w:p>
        </w:tc>
        <w:tc>
          <w:tcPr>
            <w:tcW w:w="1134" w:type="dxa"/>
            <w:shd w:val="clear" w:color="auto" w:fill="D9E2F3"/>
          </w:tcPr>
          <w:p w14:paraId="1DEBE5F7"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42.2</w:t>
            </w:r>
          </w:p>
        </w:tc>
        <w:tc>
          <w:tcPr>
            <w:tcW w:w="1281" w:type="dxa"/>
            <w:shd w:val="clear" w:color="auto" w:fill="D9E2F3"/>
          </w:tcPr>
          <w:p w14:paraId="7DE204FA"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45.4</w:t>
            </w:r>
          </w:p>
        </w:tc>
      </w:tr>
      <w:tr w:rsidR="00027FBF" w:rsidRPr="00A83C94" w14:paraId="5BF9B86E" w14:textId="77777777" w:rsidTr="00027FBF">
        <w:trPr>
          <w:trHeight w:val="258"/>
        </w:trPr>
        <w:tc>
          <w:tcPr>
            <w:tcW w:w="3510" w:type="dxa"/>
            <w:shd w:val="clear" w:color="auto" w:fill="auto"/>
          </w:tcPr>
          <w:p w14:paraId="26CCD5A7" w14:textId="77777777" w:rsidR="00027FBF" w:rsidRPr="00A83C94" w:rsidRDefault="00027FBF" w:rsidP="00027FBF">
            <w:pPr>
              <w:spacing w:before="0" w:line="276" w:lineRule="auto"/>
              <w:ind w:firstLine="0"/>
              <w:rPr>
                <w:rFonts w:cs="Sylfaen"/>
                <w:b w:val="0"/>
                <w:sz w:val="20"/>
                <w:szCs w:val="20"/>
              </w:rPr>
            </w:pPr>
            <w:r w:rsidRPr="00A83C94">
              <w:rPr>
                <w:rFonts w:cs="Sylfaen"/>
                <w:b w:val="0"/>
                <w:sz w:val="20"/>
                <w:szCs w:val="20"/>
              </w:rPr>
              <w:t>Դրամական փոխանցումներ</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D3A3E"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9.1</w:t>
            </w:r>
          </w:p>
        </w:tc>
        <w:tc>
          <w:tcPr>
            <w:tcW w:w="1134" w:type="dxa"/>
            <w:tcBorders>
              <w:top w:val="single" w:sz="4" w:space="0" w:color="000000"/>
              <w:left w:val="nil"/>
              <w:bottom w:val="single" w:sz="4" w:space="0" w:color="000000"/>
              <w:right w:val="single" w:sz="4" w:space="0" w:color="000000"/>
            </w:tcBorders>
            <w:shd w:val="clear" w:color="auto" w:fill="auto"/>
            <w:vAlign w:val="center"/>
          </w:tcPr>
          <w:p w14:paraId="31201672" w14:textId="77777777" w:rsidR="00027FBF" w:rsidRPr="00A83C94" w:rsidRDefault="00027FBF" w:rsidP="00027FBF">
            <w:pPr>
              <w:spacing w:before="0" w:line="276" w:lineRule="auto"/>
              <w:ind w:firstLine="0"/>
              <w:jc w:val="center"/>
              <w:rPr>
                <w:rFonts w:eastAsia="Times New Roman" w:cs="Times New Roman"/>
                <w:b w:val="0"/>
                <w:sz w:val="20"/>
                <w:szCs w:val="20"/>
              </w:rPr>
            </w:pPr>
            <w:r w:rsidRPr="00A83C94">
              <w:rPr>
                <w:b w:val="0"/>
                <w:color w:val="000000"/>
                <w:sz w:val="20"/>
              </w:rPr>
              <w:t>8.4</w:t>
            </w:r>
          </w:p>
        </w:tc>
        <w:tc>
          <w:tcPr>
            <w:tcW w:w="1153" w:type="dxa"/>
            <w:tcBorders>
              <w:top w:val="single" w:sz="4" w:space="0" w:color="000000"/>
              <w:left w:val="nil"/>
              <w:bottom w:val="single" w:sz="4" w:space="0" w:color="000000"/>
              <w:right w:val="single" w:sz="4" w:space="0" w:color="000000"/>
            </w:tcBorders>
            <w:shd w:val="clear" w:color="auto" w:fill="auto"/>
            <w:vAlign w:val="center"/>
          </w:tcPr>
          <w:p w14:paraId="3709D68D" w14:textId="77777777" w:rsidR="00027FBF" w:rsidRPr="00A83C94" w:rsidRDefault="00027FBF" w:rsidP="00027FBF">
            <w:pPr>
              <w:spacing w:before="0" w:line="276" w:lineRule="auto"/>
              <w:ind w:firstLine="0"/>
              <w:jc w:val="center"/>
              <w:rPr>
                <w:rFonts w:eastAsia="Times New Roman" w:cs="Arial"/>
                <w:b w:val="0"/>
                <w:bCs/>
                <w:sz w:val="20"/>
                <w:szCs w:val="20"/>
              </w:rPr>
            </w:pPr>
            <w:r w:rsidRPr="00A83C94">
              <w:rPr>
                <w:b w:val="0"/>
                <w:color w:val="000000"/>
                <w:sz w:val="20"/>
              </w:rPr>
              <w:t>8.2</w:t>
            </w:r>
          </w:p>
        </w:tc>
        <w:tc>
          <w:tcPr>
            <w:tcW w:w="1134" w:type="dxa"/>
            <w:shd w:val="clear" w:color="auto" w:fill="D9E2F3"/>
          </w:tcPr>
          <w:p w14:paraId="0F78AF79"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10.1</w:t>
            </w:r>
          </w:p>
        </w:tc>
        <w:tc>
          <w:tcPr>
            <w:tcW w:w="1281" w:type="dxa"/>
            <w:shd w:val="clear" w:color="auto" w:fill="D9E2F3"/>
          </w:tcPr>
          <w:p w14:paraId="23F07D0A" w14:textId="77777777" w:rsidR="00027FBF" w:rsidRPr="00A83C94" w:rsidRDefault="00027FBF" w:rsidP="00027FBF">
            <w:pPr>
              <w:spacing w:before="0" w:line="276" w:lineRule="auto"/>
              <w:ind w:firstLine="0"/>
              <w:jc w:val="center"/>
              <w:rPr>
                <w:b w:val="0"/>
                <w:color w:val="000000"/>
                <w:sz w:val="20"/>
              </w:rPr>
            </w:pPr>
            <w:r w:rsidRPr="00A83C94">
              <w:rPr>
                <w:b w:val="0"/>
                <w:color w:val="000000"/>
                <w:sz w:val="20"/>
              </w:rPr>
              <w:t>9.6</w:t>
            </w:r>
          </w:p>
        </w:tc>
      </w:tr>
    </w:tbl>
    <w:p w14:paraId="16253EF6" w14:textId="77777777" w:rsidR="00027FBF" w:rsidRPr="00A83C94" w:rsidRDefault="00027FBF" w:rsidP="00027FBF">
      <w:pPr>
        <w:tabs>
          <w:tab w:val="right" w:pos="0"/>
        </w:tabs>
        <w:spacing w:before="0" w:line="276" w:lineRule="auto"/>
        <w:rPr>
          <w:rFonts w:cs="Times Armenian"/>
          <w:bCs/>
          <w:szCs w:val="22"/>
          <w:lang w:val="en-US"/>
        </w:rPr>
      </w:pPr>
    </w:p>
    <w:p w14:paraId="2DED2588" w14:textId="77777777" w:rsidR="00027FBF" w:rsidRPr="00A83C94" w:rsidRDefault="00027FBF" w:rsidP="00027FBF">
      <w:pPr>
        <w:keepNext/>
        <w:keepLines/>
        <w:spacing w:before="0" w:line="276" w:lineRule="auto"/>
        <w:outlineLvl w:val="2"/>
        <w:rPr>
          <w:b w:val="0"/>
          <w:bCs/>
          <w:color w:val="1F497D"/>
          <w:sz w:val="28"/>
          <w:szCs w:val="28"/>
          <w:lang w:val="hy-AM"/>
        </w:rPr>
      </w:pPr>
    </w:p>
    <w:p w14:paraId="7DC594CA" w14:textId="77777777" w:rsidR="00027FBF" w:rsidRPr="00A83C94" w:rsidRDefault="00027FBF" w:rsidP="00027FBF">
      <w:pPr>
        <w:keepNext/>
        <w:keepLines/>
        <w:spacing w:before="0" w:line="276" w:lineRule="auto"/>
        <w:outlineLvl w:val="2"/>
        <w:rPr>
          <w:b w:val="0"/>
          <w:bCs/>
          <w:color w:val="1F497D"/>
          <w:sz w:val="28"/>
          <w:szCs w:val="28"/>
          <w:lang w:val="hy-AM"/>
        </w:rPr>
      </w:pPr>
    </w:p>
    <w:p w14:paraId="1FEA070A" w14:textId="77777777" w:rsidR="00027FBF" w:rsidRPr="00A83C94" w:rsidRDefault="00027FBF" w:rsidP="00027FBF">
      <w:pPr>
        <w:spacing w:before="0" w:line="259" w:lineRule="auto"/>
        <w:rPr>
          <w:b w:val="0"/>
          <w:bCs/>
          <w:color w:val="1F497D"/>
          <w:sz w:val="28"/>
          <w:szCs w:val="28"/>
          <w:lang w:val="hy-AM"/>
        </w:rPr>
      </w:pPr>
      <w:r w:rsidRPr="00A83C94">
        <w:rPr>
          <w:bCs/>
          <w:color w:val="1F497D"/>
          <w:sz w:val="28"/>
          <w:szCs w:val="28"/>
          <w:lang w:val="hy-AM"/>
        </w:rPr>
        <w:br w:type="page"/>
      </w:r>
    </w:p>
    <w:p w14:paraId="701CD5A2" w14:textId="77777777" w:rsidR="00027FBF" w:rsidRPr="00A83C94" w:rsidRDefault="00027FBF" w:rsidP="00027FBF">
      <w:pPr>
        <w:keepNext/>
        <w:keepLines/>
        <w:spacing w:before="0" w:line="276" w:lineRule="auto"/>
        <w:outlineLvl w:val="2"/>
        <w:rPr>
          <w:bCs/>
          <w:sz w:val="24"/>
          <w:lang w:val="hy-AM"/>
        </w:rPr>
      </w:pPr>
      <w:bookmarkStart w:id="119" w:name="_Toc51947413"/>
      <w:bookmarkStart w:id="120" w:name="_Toc52452086"/>
      <w:bookmarkStart w:id="121" w:name="_Toc57559413"/>
      <w:bookmarkStart w:id="122" w:name="_Toc83663895"/>
      <w:bookmarkStart w:id="123" w:name="_Toc83972831"/>
      <w:bookmarkStart w:id="124" w:name="_Toc89428286"/>
      <w:r w:rsidRPr="00A83C94">
        <w:rPr>
          <w:bCs/>
          <w:sz w:val="24"/>
          <w:lang w:val="hy-AM"/>
        </w:rPr>
        <w:t>1.2. ՀԱՄԱՇԽԱՐՀԱՅԻՆ ՏՆՏԵՍՈՒԹՅԱՆ ԵՎ ԳՈՐԾԸՆԿԵՐ ԵՐԿՐՆԵՐԻ ԶԱՐԳԱՑՈՒՄՆԵՐ ԵՎ ԿԱՆԽԱՏԵՍՈՒՄՆԵՐ</w:t>
      </w:r>
      <w:bookmarkEnd w:id="119"/>
      <w:bookmarkEnd w:id="120"/>
      <w:bookmarkEnd w:id="121"/>
      <w:bookmarkEnd w:id="122"/>
      <w:bookmarkEnd w:id="123"/>
      <w:bookmarkEnd w:id="124"/>
    </w:p>
    <w:p w14:paraId="1D3CA13D" w14:textId="77777777" w:rsidR="00027FBF" w:rsidRPr="00A83C94" w:rsidRDefault="00027FBF" w:rsidP="00027FBF">
      <w:pPr>
        <w:spacing w:before="0" w:line="276" w:lineRule="auto"/>
        <w:rPr>
          <w:rFonts w:cs="Sylfaen"/>
          <w:b w:val="0"/>
          <w:szCs w:val="22"/>
          <w:lang w:val="hy-AM"/>
        </w:rPr>
      </w:pPr>
      <w:r w:rsidRPr="00A83C94">
        <w:rPr>
          <w:rFonts w:eastAsia="Calibri"/>
          <w:bCs/>
          <w:lang w:val="hy-AM"/>
        </w:rPr>
        <w:t>Համաշխարհային տնտեսությունը՝ կորոնավիրուսի համավարակի հետևանքով առաջացած խորը անկումից հետո, արագ վերականգնվում է:</w:t>
      </w:r>
      <w:r w:rsidRPr="00A83C94">
        <w:rPr>
          <w:rFonts w:eastAsia="Calibri"/>
          <w:lang w:val="hy-AM"/>
        </w:rPr>
        <w:t xml:space="preserve"> </w:t>
      </w:r>
      <w:r w:rsidRPr="00A83C94">
        <w:rPr>
          <w:rFonts w:cs="Courier New"/>
          <w:b w:val="0"/>
          <w:lang w:val="hy-AM"/>
        </w:rPr>
        <w:t xml:space="preserve">Տնտեսական ակտիվության աճի սպասումները ամրապնդվել են՝ շնորհիվ պատվաստանյութերի առկայության և որոշ խոշոր երկրներում լրացուցիչ օժանդակության միջոցառումների։ </w:t>
      </w:r>
      <w:r w:rsidRPr="00A83C94">
        <w:rPr>
          <w:rFonts w:cs="Courier New"/>
          <w:b w:val="0"/>
          <w:szCs w:val="22"/>
          <w:lang w:val="hy-AM"/>
        </w:rPr>
        <w:t>Այդուհանդերձ, ե</w:t>
      </w:r>
      <w:r w:rsidRPr="00A83C94">
        <w:rPr>
          <w:rFonts w:cs="Sylfaen"/>
          <w:b w:val="0"/>
          <w:lang w:val="hy-AM"/>
        </w:rPr>
        <w:t xml:space="preserve">րկրների </w:t>
      </w:r>
      <w:r w:rsidRPr="00A83C94">
        <w:rPr>
          <w:rFonts w:cs="Courier New"/>
          <w:b w:val="0"/>
          <w:lang w:val="hy-AM"/>
        </w:rPr>
        <w:t xml:space="preserve">տնտեսական հեռանկարները զգալի տարբերվում են՝ կախված պատվաստանյութերի հասանելիության աստիճանից և կիրառման ընթացքից։ </w:t>
      </w:r>
      <w:r w:rsidRPr="00A83C94">
        <w:rPr>
          <w:rFonts w:cs="Sylfaen"/>
          <w:b w:val="0"/>
          <w:lang w:val="hy-AM"/>
        </w:rPr>
        <w:t>ԱՄՀ-ի</w:t>
      </w:r>
      <w:r w:rsidRPr="00A83C94">
        <w:rPr>
          <w:rFonts w:cs="Courier New"/>
          <w:b w:val="0"/>
          <w:lang w:val="hy-AM"/>
        </w:rPr>
        <w:t xml:space="preserve"> հուլիսի </w:t>
      </w:r>
      <w:r w:rsidRPr="00A83C94">
        <w:rPr>
          <w:rFonts w:cs="Sylfaen"/>
          <w:b w:val="0"/>
          <w:lang w:val="hy-AM"/>
        </w:rPr>
        <w:t xml:space="preserve">գնահատականներով </w:t>
      </w:r>
      <w:r w:rsidRPr="00A83C94">
        <w:rPr>
          <w:rFonts w:cs="Courier New"/>
          <w:b w:val="0"/>
          <w:lang w:val="hy-AM"/>
        </w:rPr>
        <w:t>2021թ. համաշխարհային տնտեսական աճը կ</w:t>
      </w:r>
      <w:r w:rsidRPr="00A83C94">
        <w:rPr>
          <w:rFonts w:cs="Sylfaen"/>
          <w:b w:val="0"/>
          <w:lang w:val="hy-AM"/>
        </w:rPr>
        <w:t>կազմի 6.0%, իսկ հաջորդ տարի</w:t>
      </w:r>
      <w:r w:rsidRPr="00A83C94">
        <w:rPr>
          <w:rFonts w:ascii="Cambria Math" w:hAnsi="Cambria Math" w:cs="Cambria Math"/>
          <w:b w:val="0"/>
          <w:lang w:val="hy-AM"/>
        </w:rPr>
        <w:t xml:space="preserve">՝ </w:t>
      </w:r>
      <w:r w:rsidRPr="00A83C94">
        <w:rPr>
          <w:rFonts w:cs="Sylfaen"/>
          <w:b w:val="0"/>
          <w:szCs w:val="22"/>
          <w:lang w:val="hy-AM"/>
        </w:rPr>
        <w:t>4.9%, ընդ որում, 2022թ</w:t>
      </w:r>
      <w:r w:rsidRPr="00A83C94">
        <w:rPr>
          <w:rFonts w:ascii="Cambria Math" w:hAnsi="Cambria Math" w:cs="Cambria Math"/>
          <w:b w:val="0"/>
          <w:szCs w:val="22"/>
          <w:lang w:val="hy-AM"/>
        </w:rPr>
        <w:t>․</w:t>
      </w:r>
      <w:r w:rsidRPr="00A83C94">
        <w:rPr>
          <w:rFonts w:cs="Sylfaen"/>
          <w:b w:val="0"/>
          <w:szCs w:val="22"/>
          <w:lang w:val="hy-AM"/>
        </w:rPr>
        <w:t xml:space="preserve"> ցուցանիշը ապրիլի կանխատեսումների համեմատ վերանայվել է դրական ուղղությամբ՝ պայմանավորված շատ երկրների սպասվածից ավելի լավ զարգացումներով: </w:t>
      </w:r>
      <w:r w:rsidRPr="00A83C94">
        <w:rPr>
          <w:rFonts w:cs="Courier New"/>
          <w:b w:val="0"/>
          <w:szCs w:val="22"/>
          <w:lang w:val="hy-AM"/>
        </w:rPr>
        <w:t>Հ</w:t>
      </w:r>
      <w:r w:rsidRPr="00A83C94">
        <w:rPr>
          <w:rFonts w:cs="Sylfaen"/>
          <w:b w:val="0"/>
          <w:szCs w:val="22"/>
          <w:lang w:val="hy-AM"/>
        </w:rPr>
        <w:t>ամաձայն ԱՄՀ-ի</w:t>
      </w:r>
      <w:r w:rsidRPr="00A83C94">
        <w:rPr>
          <w:rFonts w:cs="Courier New"/>
          <w:b w:val="0"/>
          <w:szCs w:val="22"/>
          <w:lang w:val="hy-AM"/>
        </w:rPr>
        <w:t xml:space="preserve"> հուլիսի </w:t>
      </w:r>
      <w:r w:rsidRPr="00A83C94">
        <w:rPr>
          <w:rFonts w:cs="Sylfaen"/>
          <w:b w:val="0"/>
          <w:szCs w:val="22"/>
          <w:lang w:val="hy-AM"/>
        </w:rPr>
        <w:t xml:space="preserve">գնահատականների </w:t>
      </w:r>
      <w:r w:rsidRPr="00A83C94">
        <w:rPr>
          <w:rFonts w:cs="Courier New"/>
          <w:b w:val="0"/>
          <w:szCs w:val="22"/>
          <w:lang w:val="hy-AM"/>
        </w:rPr>
        <w:t>2021թ. ՀՀ հիմնական գործընկեր երկրներից</w:t>
      </w:r>
      <w:r w:rsidRPr="00A83C94">
        <w:rPr>
          <w:rFonts w:ascii="Cambria Math" w:hAnsi="Cambria Math" w:cs="Cambria Math"/>
          <w:b w:val="0"/>
          <w:szCs w:val="22"/>
          <w:lang w:val="hy-AM"/>
        </w:rPr>
        <w:t>․</w:t>
      </w:r>
      <w:r w:rsidRPr="00A83C94">
        <w:rPr>
          <w:rFonts w:cs="Courier New"/>
          <w:b w:val="0"/>
          <w:szCs w:val="22"/>
          <w:lang w:val="hy-AM"/>
        </w:rPr>
        <w:t xml:space="preserve"> ՌԴ-ում կանխատեսվում է 4.4%, Եվրոգոտում՝ 4.6, ԱՄՆ-ում՝ 7.0, իսկ Չինաստանում՝ 8.1% աճ: Այդուհանդերձ, հ</w:t>
      </w:r>
      <w:r w:rsidRPr="00A83C94">
        <w:rPr>
          <w:rFonts w:eastAsia="Calibri" w:cs="Sylfaen"/>
          <w:b w:val="0"/>
          <w:szCs w:val="22"/>
          <w:lang w:val="hy-AM"/>
        </w:rPr>
        <w:t>ամավարակի հետ կապված անորոշությունները և իրավիճակի վատթարացման ռիսկերը պահպանվում են</w:t>
      </w:r>
      <w:r w:rsidRPr="00A83C94">
        <w:rPr>
          <w:rFonts w:cs="Sylfaen"/>
          <w:b w:val="0"/>
          <w:szCs w:val="22"/>
          <w:lang w:val="hy-AM"/>
        </w:rPr>
        <w:t>։</w:t>
      </w:r>
    </w:p>
    <w:p w14:paraId="3A025E87" w14:textId="77777777" w:rsidR="00027FBF" w:rsidRPr="00A83C94" w:rsidRDefault="00027FBF" w:rsidP="00027FBF">
      <w:pPr>
        <w:spacing w:before="0" w:line="276" w:lineRule="auto"/>
        <w:rPr>
          <w:rFonts w:cs="Sylfaen"/>
          <w:b w:val="0"/>
          <w:szCs w:val="22"/>
          <w:lang w:val="hy-AM"/>
        </w:rPr>
      </w:pPr>
    </w:p>
    <w:p w14:paraId="07F131D2" w14:textId="77777777" w:rsidR="00027FBF" w:rsidRPr="00A83C94" w:rsidRDefault="00027FBF" w:rsidP="00027FBF">
      <w:pPr>
        <w:keepNext/>
        <w:keepLines/>
        <w:spacing w:before="0" w:line="276" w:lineRule="auto"/>
        <w:rPr>
          <w:rFonts w:cs="Sylfaen"/>
          <w:b w:val="0"/>
          <w:bCs/>
          <w:i/>
          <w:color w:val="000000"/>
          <w:szCs w:val="22"/>
          <w:lang w:val="hy-AM"/>
        </w:rPr>
      </w:pPr>
      <w:r w:rsidRPr="00A83C94">
        <w:rPr>
          <w:rFonts w:cs="Sylfaen"/>
          <w:bCs/>
          <w:i/>
          <w:color w:val="000000"/>
          <w:szCs w:val="22"/>
          <w:lang w:val="hy-AM"/>
        </w:rPr>
        <w:t xml:space="preserve">Աղյուսակ 1.2. </w:t>
      </w:r>
      <w:r w:rsidRPr="00A83C94">
        <w:rPr>
          <w:rFonts w:cs="Sylfaen"/>
          <w:b w:val="0"/>
          <w:bCs/>
          <w:i/>
          <w:color w:val="000000"/>
          <w:szCs w:val="22"/>
          <w:lang w:val="hy-AM"/>
        </w:rPr>
        <w:t>ԱՄՀ կանխատեսումներ</w:t>
      </w:r>
    </w:p>
    <w:tbl>
      <w:tblPr>
        <w:tblpPr w:leftFromText="180" w:rightFromText="180" w:bottomFromText="160" w:vertAnchor="text" w:horzAnchor="margin" w:tblpY="40"/>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2111"/>
        <w:gridCol w:w="829"/>
        <w:gridCol w:w="1229"/>
        <w:gridCol w:w="1007"/>
        <w:gridCol w:w="1000"/>
        <w:gridCol w:w="1147"/>
        <w:gridCol w:w="1007"/>
        <w:gridCol w:w="1416"/>
      </w:tblGrid>
      <w:tr w:rsidR="00027FBF" w:rsidRPr="00A83C94" w14:paraId="0E33D08E" w14:textId="77777777" w:rsidTr="00027FBF">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14:paraId="4B10F16C" w14:textId="77777777" w:rsidR="00027FBF" w:rsidRPr="00A83C94" w:rsidRDefault="00027FBF" w:rsidP="00027FBF">
            <w:pPr>
              <w:spacing w:before="0" w:line="276" w:lineRule="auto"/>
              <w:jc w:val="center"/>
              <w:rPr>
                <w:rFonts w:eastAsia="Calibri" w:cs="Sylfaen"/>
                <w:b w:val="0"/>
                <w:bCs/>
                <w:color w:val="FFFFFF" w:themeColor="background1"/>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0070C0"/>
            <w:vAlign w:val="center"/>
          </w:tcPr>
          <w:p w14:paraId="640A958C" w14:textId="77777777" w:rsidR="00027FBF" w:rsidRPr="00A83C94" w:rsidRDefault="00027FBF" w:rsidP="00027FBF">
            <w:pPr>
              <w:spacing w:before="0" w:line="276" w:lineRule="auto"/>
              <w:ind w:right="-14" w:firstLine="0"/>
              <w:jc w:val="center"/>
              <w:rPr>
                <w:rFonts w:eastAsia="Calibri"/>
                <w:bCs/>
                <w:color w:val="FFFFFF" w:themeColor="background1"/>
                <w:sz w:val="20"/>
                <w:szCs w:val="20"/>
                <w:lang w:val="hy-AM"/>
              </w:rPr>
            </w:pPr>
            <w:r w:rsidRPr="00A83C94">
              <w:rPr>
                <w:rFonts w:eastAsia="Calibri"/>
                <w:bCs/>
                <w:color w:val="FFFFFF" w:themeColor="background1"/>
                <w:sz w:val="20"/>
                <w:szCs w:val="20"/>
                <w:lang w:val="hy-AM"/>
              </w:rPr>
              <w:t>2020</w:t>
            </w:r>
          </w:p>
        </w:tc>
        <w:tc>
          <w:tcPr>
            <w:tcW w:w="0" w:type="auto"/>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14:paraId="0518097C" w14:textId="77777777" w:rsidR="00027FBF" w:rsidRPr="00A83C94" w:rsidRDefault="00027FBF" w:rsidP="00027FBF">
            <w:pPr>
              <w:spacing w:before="0" w:line="276" w:lineRule="auto"/>
              <w:ind w:right="-14" w:firstLine="0"/>
              <w:jc w:val="center"/>
              <w:rPr>
                <w:rFonts w:eastAsia="Calibri"/>
                <w:b w:val="0"/>
                <w:color w:val="FFFFFF" w:themeColor="background1"/>
                <w:sz w:val="20"/>
                <w:szCs w:val="20"/>
                <w:lang w:val="hy-AM"/>
              </w:rPr>
            </w:pPr>
            <w:r w:rsidRPr="00A83C94">
              <w:rPr>
                <w:rFonts w:eastAsia="Calibri"/>
                <w:bCs/>
                <w:color w:val="FFFFFF" w:themeColor="background1"/>
                <w:sz w:val="20"/>
                <w:szCs w:val="20"/>
                <w:lang w:val="hy-AM"/>
              </w:rPr>
              <w:t>2021թ</w:t>
            </w:r>
            <w:r w:rsidRPr="00A83C94">
              <w:rPr>
                <w:rFonts w:ascii="Cambria Math" w:eastAsia="Calibri" w:hAnsi="Cambria Math" w:cs="Cambria Math"/>
                <w:bCs/>
                <w:color w:val="FFFFFF" w:themeColor="background1"/>
                <w:sz w:val="20"/>
                <w:szCs w:val="20"/>
                <w:lang w:val="hy-AM"/>
              </w:rPr>
              <w:t>․</w:t>
            </w:r>
            <w:r w:rsidRPr="00A83C94">
              <w:rPr>
                <w:rFonts w:eastAsia="Calibri"/>
                <w:bCs/>
                <w:color w:val="FFFFFF" w:themeColor="background1"/>
                <w:sz w:val="20"/>
                <w:szCs w:val="20"/>
                <w:lang w:val="hy-AM"/>
              </w:rPr>
              <w:t>-ի կանխատեսում</w:t>
            </w:r>
          </w:p>
        </w:tc>
        <w:tc>
          <w:tcPr>
            <w:tcW w:w="3627" w:type="dxa"/>
            <w:gridSpan w:val="3"/>
            <w:tcBorders>
              <w:top w:val="single" w:sz="4" w:space="0" w:color="8EAADB"/>
              <w:left w:val="single" w:sz="4" w:space="0" w:color="8EAADB"/>
              <w:bottom w:val="single" w:sz="4" w:space="0" w:color="8EAADB"/>
              <w:right w:val="single" w:sz="4" w:space="0" w:color="8EAADB"/>
            </w:tcBorders>
            <w:shd w:val="clear" w:color="auto" w:fill="0070C0"/>
            <w:vAlign w:val="center"/>
          </w:tcPr>
          <w:p w14:paraId="06308390" w14:textId="77777777" w:rsidR="00027FBF" w:rsidRPr="00A83C94" w:rsidRDefault="00027FBF" w:rsidP="00027FBF">
            <w:pPr>
              <w:spacing w:before="0" w:after="200" w:line="276" w:lineRule="auto"/>
              <w:ind w:right="-14" w:firstLine="0"/>
              <w:jc w:val="center"/>
              <w:rPr>
                <w:rFonts w:eastAsia="Calibri"/>
                <w:b w:val="0"/>
                <w:color w:val="FFFFFF" w:themeColor="background1"/>
                <w:sz w:val="20"/>
                <w:szCs w:val="20"/>
                <w:lang w:val="hy-AM"/>
              </w:rPr>
            </w:pPr>
            <w:r w:rsidRPr="00A83C94">
              <w:rPr>
                <w:rFonts w:eastAsia="Calibri"/>
                <w:bCs/>
                <w:color w:val="FFFFFF" w:themeColor="background1"/>
                <w:sz w:val="20"/>
                <w:szCs w:val="20"/>
                <w:lang w:val="hy-AM"/>
              </w:rPr>
              <w:t xml:space="preserve">2022 թ.-ի </w:t>
            </w:r>
            <w:r w:rsidRPr="00A83C94">
              <w:rPr>
                <w:rFonts w:eastAsia="Calibri"/>
                <w:bCs/>
                <w:color w:val="FFFFFF" w:themeColor="background1"/>
                <w:sz w:val="20"/>
                <w:szCs w:val="20"/>
                <w:lang w:val="en-US"/>
              </w:rPr>
              <w:t xml:space="preserve">                                        </w:t>
            </w:r>
            <w:r w:rsidRPr="00A83C94">
              <w:rPr>
                <w:rFonts w:eastAsia="Calibri"/>
                <w:bCs/>
                <w:color w:val="FFFFFF" w:themeColor="background1"/>
                <w:sz w:val="20"/>
                <w:szCs w:val="20"/>
                <w:lang w:val="hy-AM"/>
              </w:rPr>
              <w:t>կանխատեսում</w:t>
            </w:r>
          </w:p>
        </w:tc>
      </w:tr>
      <w:tr w:rsidR="00027FBF" w:rsidRPr="00A83C94" w14:paraId="6BDB0B22" w14:textId="77777777" w:rsidTr="00027FBF">
        <w:trPr>
          <w:trHeight w:val="503"/>
        </w:trPr>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tcPr>
          <w:p w14:paraId="74D495A0" w14:textId="77777777" w:rsidR="00027FBF" w:rsidRPr="00A83C94" w:rsidRDefault="00027FBF" w:rsidP="00027FBF">
            <w:pPr>
              <w:spacing w:before="0" w:line="276" w:lineRule="auto"/>
              <w:jc w:val="center"/>
              <w:rPr>
                <w:rFonts w:eastAsia="Calibri" w:cs="Sylfaen"/>
                <w:b w:val="0"/>
                <w:bCs/>
                <w:sz w:val="16"/>
                <w:szCs w:val="16"/>
                <w:lang w:val="hy-AM"/>
              </w:rPr>
            </w:pP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A7D0441"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Փաստ</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4918DF18"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5A337F5F"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Ապրիլ</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04AA4FAF"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Հուլիս</w:t>
            </w:r>
          </w:p>
        </w:tc>
        <w:tc>
          <w:tcPr>
            <w:tcW w:w="1147"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4BF9CD5"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202</w:t>
            </w:r>
            <w:r w:rsidRPr="00A83C94">
              <w:rPr>
                <w:rFonts w:eastAsia="Calibri"/>
                <w:b w:val="0"/>
                <w:sz w:val="20"/>
                <w:szCs w:val="20"/>
                <w:lang w:val="en-US"/>
              </w:rPr>
              <w:t>1</w:t>
            </w:r>
            <w:r w:rsidRPr="00A83C94">
              <w:rPr>
                <w:rFonts w:eastAsia="Calibri"/>
                <w:b w:val="0"/>
                <w:sz w:val="20"/>
                <w:szCs w:val="20"/>
                <w:lang w:val="hy-AM"/>
              </w:rPr>
              <w:t xml:space="preserve"> Հունվար</w:t>
            </w:r>
          </w:p>
        </w:tc>
        <w:tc>
          <w:tcPr>
            <w:tcW w:w="0" w:type="auto"/>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15F049F5" w14:textId="77777777" w:rsidR="00027FBF" w:rsidRPr="00A83C94" w:rsidRDefault="00027FBF" w:rsidP="00027FBF">
            <w:pPr>
              <w:spacing w:before="0" w:line="276" w:lineRule="auto"/>
              <w:ind w:firstLine="0"/>
              <w:jc w:val="center"/>
              <w:rPr>
                <w:rFonts w:eastAsia="Calibri"/>
                <w:b w:val="0"/>
                <w:sz w:val="20"/>
                <w:szCs w:val="20"/>
                <w:lang w:val="hy-AM"/>
              </w:rPr>
            </w:pPr>
            <w:r w:rsidRPr="00A83C94">
              <w:rPr>
                <w:rFonts w:eastAsia="Calibri"/>
                <w:b w:val="0"/>
                <w:sz w:val="20"/>
                <w:szCs w:val="20"/>
                <w:lang w:val="hy-AM"/>
              </w:rPr>
              <w:t>2</w:t>
            </w:r>
            <w:r w:rsidRPr="00A83C94">
              <w:rPr>
                <w:rFonts w:eastAsia="Calibri"/>
                <w:b w:val="0"/>
                <w:sz w:val="20"/>
                <w:szCs w:val="20"/>
              </w:rPr>
              <w:t>02</w:t>
            </w:r>
            <w:r w:rsidRPr="00A83C94">
              <w:rPr>
                <w:rFonts w:eastAsia="Calibri"/>
                <w:b w:val="0"/>
                <w:sz w:val="20"/>
                <w:szCs w:val="20"/>
                <w:lang w:val="en-US"/>
              </w:rPr>
              <w:t>1</w:t>
            </w:r>
            <w:r w:rsidRPr="00A83C94">
              <w:rPr>
                <w:rFonts w:eastAsia="Calibri"/>
                <w:b w:val="0"/>
                <w:sz w:val="20"/>
                <w:szCs w:val="20"/>
              </w:rPr>
              <w:t xml:space="preserve"> Ապրիլ</w:t>
            </w:r>
          </w:p>
        </w:tc>
        <w:tc>
          <w:tcPr>
            <w:tcW w:w="1416" w:type="dxa"/>
            <w:tcBorders>
              <w:top w:val="single" w:sz="4" w:space="0" w:color="8EAADB"/>
              <w:left w:val="single" w:sz="4" w:space="0" w:color="8EAADB"/>
              <w:bottom w:val="single" w:sz="4" w:space="0" w:color="8EAADB"/>
              <w:right w:val="single" w:sz="4" w:space="0" w:color="8EAADB"/>
            </w:tcBorders>
            <w:shd w:val="clear" w:color="auto" w:fill="D9E2F3"/>
            <w:vAlign w:val="center"/>
            <w:hideMark/>
          </w:tcPr>
          <w:p w14:paraId="3E5206C8" w14:textId="77777777" w:rsidR="00027FBF" w:rsidRPr="00A83C94" w:rsidRDefault="00027FBF" w:rsidP="00027FBF">
            <w:pPr>
              <w:spacing w:before="0" w:line="276" w:lineRule="auto"/>
              <w:ind w:right="-14" w:firstLine="0"/>
              <w:jc w:val="center"/>
              <w:rPr>
                <w:rFonts w:eastAsia="Calibri"/>
                <w:b w:val="0"/>
                <w:sz w:val="20"/>
                <w:szCs w:val="20"/>
              </w:rPr>
            </w:pPr>
            <w:r w:rsidRPr="00A83C94">
              <w:rPr>
                <w:rFonts w:eastAsia="Calibri"/>
                <w:b w:val="0"/>
                <w:sz w:val="20"/>
                <w:szCs w:val="20"/>
              </w:rPr>
              <w:t>202</w:t>
            </w:r>
            <w:r w:rsidRPr="00A83C94">
              <w:rPr>
                <w:rFonts w:eastAsia="Calibri"/>
                <w:b w:val="0"/>
                <w:sz w:val="20"/>
                <w:szCs w:val="20"/>
                <w:lang w:val="en-US"/>
              </w:rPr>
              <w:t xml:space="preserve">1 </w:t>
            </w:r>
            <w:r w:rsidRPr="00A83C94">
              <w:rPr>
                <w:rFonts w:eastAsia="Calibri"/>
                <w:b w:val="0"/>
                <w:sz w:val="20"/>
                <w:szCs w:val="20"/>
                <w:lang w:val="hy-AM"/>
              </w:rPr>
              <w:t xml:space="preserve">   </w:t>
            </w:r>
            <w:r w:rsidRPr="00A83C94">
              <w:rPr>
                <w:rFonts w:eastAsia="Calibri"/>
                <w:b w:val="0"/>
                <w:sz w:val="20"/>
                <w:szCs w:val="20"/>
              </w:rPr>
              <w:t>Հու</w:t>
            </w:r>
            <w:r w:rsidRPr="00A83C94">
              <w:rPr>
                <w:rFonts w:eastAsia="Calibri"/>
                <w:b w:val="0"/>
                <w:sz w:val="20"/>
                <w:szCs w:val="20"/>
                <w:lang w:val="hy-AM"/>
              </w:rPr>
              <w:t>լ</w:t>
            </w:r>
            <w:r w:rsidRPr="00A83C94">
              <w:rPr>
                <w:rFonts w:eastAsia="Calibri"/>
                <w:b w:val="0"/>
                <w:sz w:val="20"/>
                <w:szCs w:val="20"/>
              </w:rPr>
              <w:t>իս</w:t>
            </w:r>
          </w:p>
        </w:tc>
      </w:tr>
      <w:tr w:rsidR="00027FBF" w:rsidRPr="00A83C94" w14:paraId="6FF96632" w14:textId="77777777" w:rsidTr="00027FBF">
        <w:trPr>
          <w:trHeight w:val="14"/>
        </w:trPr>
        <w:tc>
          <w:tcPr>
            <w:tcW w:w="0" w:type="auto"/>
            <w:tcBorders>
              <w:top w:val="single" w:sz="4" w:space="0" w:color="8EAADB"/>
              <w:left w:val="single" w:sz="4" w:space="0" w:color="8EAADB"/>
              <w:bottom w:val="single" w:sz="4" w:space="0" w:color="8EAADB"/>
              <w:right w:val="single" w:sz="4" w:space="0" w:color="8EAADB"/>
            </w:tcBorders>
            <w:hideMark/>
          </w:tcPr>
          <w:p w14:paraId="4D470772"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Աշխարհ</w:t>
            </w:r>
            <w:r w:rsidRPr="00A83C94">
              <w:rPr>
                <w:rFonts w:eastAsia="Calibri"/>
                <w:bCs/>
                <w:color w:val="000000"/>
                <w:sz w:val="16"/>
                <w:szCs w:val="16"/>
                <w:lang w:val="hy-AM"/>
              </w:rPr>
              <w:t xml:space="preserve">ի տնտեսական աճ, </w:t>
            </w:r>
            <w:r w:rsidRPr="00A83C94">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hideMark/>
          </w:tcPr>
          <w:p w14:paraId="38F57010"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-3.2</w:t>
            </w:r>
          </w:p>
        </w:tc>
        <w:tc>
          <w:tcPr>
            <w:tcW w:w="0" w:type="auto"/>
            <w:tcBorders>
              <w:top w:val="single" w:sz="4" w:space="0" w:color="8EAADB"/>
              <w:left w:val="single" w:sz="4" w:space="0" w:color="8EAADB"/>
              <w:bottom w:val="single" w:sz="4" w:space="0" w:color="8EAADB"/>
              <w:right w:val="single" w:sz="4" w:space="0" w:color="8EAADB"/>
            </w:tcBorders>
            <w:hideMark/>
          </w:tcPr>
          <w:p w14:paraId="3AD8F2E0"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5.5</w:t>
            </w:r>
          </w:p>
        </w:tc>
        <w:tc>
          <w:tcPr>
            <w:tcW w:w="0" w:type="auto"/>
            <w:tcBorders>
              <w:top w:val="single" w:sz="4" w:space="0" w:color="8EAADB"/>
              <w:left w:val="single" w:sz="4" w:space="0" w:color="8EAADB"/>
              <w:bottom w:val="single" w:sz="4" w:space="0" w:color="8EAADB"/>
              <w:right w:val="single" w:sz="4" w:space="0" w:color="8EAADB"/>
            </w:tcBorders>
            <w:hideMark/>
          </w:tcPr>
          <w:p w14:paraId="2FEA45C8"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6.0</w:t>
            </w:r>
          </w:p>
        </w:tc>
        <w:tc>
          <w:tcPr>
            <w:tcW w:w="0" w:type="auto"/>
            <w:tcBorders>
              <w:top w:val="single" w:sz="4" w:space="0" w:color="8EAADB"/>
              <w:left w:val="single" w:sz="4" w:space="0" w:color="8EAADB"/>
              <w:bottom w:val="single" w:sz="4" w:space="0" w:color="8EAADB"/>
              <w:right w:val="single" w:sz="4" w:space="0" w:color="8EAADB"/>
            </w:tcBorders>
            <w:hideMark/>
          </w:tcPr>
          <w:p w14:paraId="4983CB4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6.0</w:t>
            </w:r>
          </w:p>
        </w:tc>
        <w:tc>
          <w:tcPr>
            <w:tcW w:w="1147" w:type="dxa"/>
            <w:tcBorders>
              <w:top w:val="single" w:sz="4" w:space="0" w:color="8EAADB"/>
              <w:left w:val="single" w:sz="4" w:space="0" w:color="8EAADB"/>
              <w:bottom w:val="single" w:sz="4" w:space="0" w:color="8EAADB"/>
              <w:right w:val="single" w:sz="4" w:space="0" w:color="8EAADB"/>
            </w:tcBorders>
            <w:hideMark/>
          </w:tcPr>
          <w:p w14:paraId="601ADA94"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4.2</w:t>
            </w:r>
          </w:p>
        </w:tc>
        <w:tc>
          <w:tcPr>
            <w:tcW w:w="0" w:type="auto"/>
            <w:tcBorders>
              <w:top w:val="single" w:sz="4" w:space="0" w:color="8EAADB"/>
              <w:left w:val="single" w:sz="4" w:space="0" w:color="8EAADB"/>
              <w:bottom w:val="single" w:sz="4" w:space="0" w:color="8EAADB"/>
              <w:right w:val="single" w:sz="4" w:space="0" w:color="8EAADB"/>
            </w:tcBorders>
            <w:hideMark/>
          </w:tcPr>
          <w:p w14:paraId="014053E9"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1416" w:type="dxa"/>
            <w:tcBorders>
              <w:top w:val="single" w:sz="4" w:space="0" w:color="8EAADB"/>
              <w:left w:val="single" w:sz="4" w:space="0" w:color="8EAADB"/>
              <w:bottom w:val="single" w:sz="4" w:space="0" w:color="8EAADB"/>
              <w:right w:val="single" w:sz="4" w:space="0" w:color="8EAADB"/>
            </w:tcBorders>
            <w:hideMark/>
          </w:tcPr>
          <w:p w14:paraId="1BDFB397"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4.9</w:t>
            </w:r>
          </w:p>
        </w:tc>
      </w:tr>
      <w:tr w:rsidR="00027FBF" w:rsidRPr="00A83C94" w14:paraId="5E4B8377" w14:textId="77777777" w:rsidTr="00027FBF">
        <w:trPr>
          <w:trHeight w:val="265"/>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DD2764D"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sz w:val="16"/>
                <w:szCs w:val="16"/>
              </w:rPr>
              <w:t>ՌԴ</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E113A06"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-3.0</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15EBA7B0"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3.0</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C8CC490"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F5D6F94"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0E8E3B23"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3.9</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17F744D"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119D657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3.1</w:t>
            </w:r>
          </w:p>
        </w:tc>
      </w:tr>
      <w:tr w:rsidR="00027FBF" w:rsidRPr="00A83C94" w14:paraId="5108D2C4" w14:textId="77777777" w:rsidTr="00027FBF">
        <w:trPr>
          <w:trHeight w:val="352"/>
        </w:trPr>
        <w:tc>
          <w:tcPr>
            <w:tcW w:w="0" w:type="auto"/>
            <w:tcBorders>
              <w:top w:val="single" w:sz="4" w:space="0" w:color="8EAADB"/>
              <w:left w:val="single" w:sz="4" w:space="0" w:color="8EAADB"/>
              <w:bottom w:val="single" w:sz="4" w:space="0" w:color="8EAADB"/>
              <w:right w:val="single" w:sz="4" w:space="0" w:color="8EAADB"/>
            </w:tcBorders>
            <w:hideMark/>
          </w:tcPr>
          <w:p w14:paraId="11FF58C4"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Եվրոգոտի</w:t>
            </w:r>
          </w:p>
        </w:tc>
        <w:tc>
          <w:tcPr>
            <w:tcW w:w="0" w:type="auto"/>
            <w:tcBorders>
              <w:top w:val="single" w:sz="4" w:space="0" w:color="8EAADB"/>
              <w:left w:val="single" w:sz="4" w:space="0" w:color="8EAADB"/>
              <w:bottom w:val="single" w:sz="4" w:space="0" w:color="8EAADB"/>
              <w:right w:val="single" w:sz="4" w:space="0" w:color="8EAADB"/>
            </w:tcBorders>
            <w:hideMark/>
          </w:tcPr>
          <w:p w14:paraId="0BFD21FC"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-6.5</w:t>
            </w:r>
          </w:p>
        </w:tc>
        <w:tc>
          <w:tcPr>
            <w:tcW w:w="0" w:type="auto"/>
            <w:tcBorders>
              <w:top w:val="single" w:sz="4" w:space="0" w:color="8EAADB"/>
              <w:left w:val="single" w:sz="4" w:space="0" w:color="8EAADB"/>
              <w:bottom w:val="single" w:sz="4" w:space="0" w:color="8EAADB"/>
              <w:right w:val="single" w:sz="4" w:space="0" w:color="8EAADB"/>
            </w:tcBorders>
            <w:hideMark/>
          </w:tcPr>
          <w:p w14:paraId="090D7EAB"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4.2</w:t>
            </w:r>
          </w:p>
        </w:tc>
        <w:tc>
          <w:tcPr>
            <w:tcW w:w="0" w:type="auto"/>
            <w:tcBorders>
              <w:top w:val="single" w:sz="4" w:space="0" w:color="8EAADB"/>
              <w:left w:val="single" w:sz="4" w:space="0" w:color="8EAADB"/>
              <w:bottom w:val="single" w:sz="4" w:space="0" w:color="8EAADB"/>
              <w:right w:val="single" w:sz="4" w:space="0" w:color="8EAADB"/>
            </w:tcBorders>
            <w:hideMark/>
          </w:tcPr>
          <w:p w14:paraId="65C1097C"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4.4</w:t>
            </w:r>
          </w:p>
        </w:tc>
        <w:tc>
          <w:tcPr>
            <w:tcW w:w="0" w:type="auto"/>
            <w:tcBorders>
              <w:top w:val="single" w:sz="4" w:space="0" w:color="8EAADB"/>
              <w:left w:val="single" w:sz="4" w:space="0" w:color="8EAADB"/>
              <w:bottom w:val="single" w:sz="4" w:space="0" w:color="8EAADB"/>
              <w:right w:val="single" w:sz="4" w:space="0" w:color="8EAADB"/>
            </w:tcBorders>
            <w:hideMark/>
          </w:tcPr>
          <w:p w14:paraId="3995D00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4.6</w:t>
            </w:r>
          </w:p>
        </w:tc>
        <w:tc>
          <w:tcPr>
            <w:tcW w:w="1147" w:type="dxa"/>
            <w:tcBorders>
              <w:top w:val="single" w:sz="4" w:space="0" w:color="8EAADB"/>
              <w:left w:val="single" w:sz="4" w:space="0" w:color="8EAADB"/>
              <w:bottom w:val="single" w:sz="4" w:space="0" w:color="8EAADB"/>
              <w:right w:val="single" w:sz="4" w:space="0" w:color="8EAADB"/>
            </w:tcBorders>
            <w:hideMark/>
          </w:tcPr>
          <w:p w14:paraId="435BAC83"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3.6</w:t>
            </w:r>
          </w:p>
        </w:tc>
        <w:tc>
          <w:tcPr>
            <w:tcW w:w="0" w:type="auto"/>
            <w:tcBorders>
              <w:top w:val="single" w:sz="4" w:space="0" w:color="8EAADB"/>
              <w:left w:val="single" w:sz="4" w:space="0" w:color="8EAADB"/>
              <w:bottom w:val="single" w:sz="4" w:space="0" w:color="8EAADB"/>
              <w:right w:val="single" w:sz="4" w:space="0" w:color="8EAADB"/>
            </w:tcBorders>
            <w:hideMark/>
          </w:tcPr>
          <w:p w14:paraId="2EF5E7F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3.8</w:t>
            </w:r>
          </w:p>
        </w:tc>
        <w:tc>
          <w:tcPr>
            <w:tcW w:w="1416" w:type="dxa"/>
            <w:tcBorders>
              <w:top w:val="single" w:sz="4" w:space="0" w:color="8EAADB"/>
              <w:left w:val="single" w:sz="4" w:space="0" w:color="8EAADB"/>
              <w:bottom w:val="single" w:sz="4" w:space="0" w:color="8EAADB"/>
              <w:right w:val="single" w:sz="4" w:space="0" w:color="8EAADB"/>
            </w:tcBorders>
            <w:hideMark/>
          </w:tcPr>
          <w:p w14:paraId="2AD1E347"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cs="Sylfaen"/>
                <w:b w:val="0"/>
                <w:sz w:val="20"/>
                <w:szCs w:val="20"/>
                <w:lang w:val="en-US"/>
              </w:rPr>
              <w:t>4.3</w:t>
            </w:r>
          </w:p>
        </w:tc>
      </w:tr>
      <w:tr w:rsidR="00027FBF" w:rsidRPr="00A83C94" w14:paraId="4F1EF0F7" w14:textId="77777777" w:rsidTr="00027FBF">
        <w:trPr>
          <w:trHeight w:val="267"/>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5A8A76FA"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Չինաստան</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D03437E"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2.3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5140F71D"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454F22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8.4</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9DB4546"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8.1</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3BFD4640"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hy-AM"/>
              </w:rPr>
              <w:t>5</w:t>
            </w:r>
            <w:r w:rsidRPr="00A83C94">
              <w:rPr>
                <w:rFonts w:eastAsia="Calibri"/>
                <w:b w:val="0"/>
                <w:sz w:val="20"/>
                <w:szCs w:val="20"/>
                <w:lang w:val="en-US"/>
              </w:rPr>
              <w:t>.6</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7E7CEB73"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5.6</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196191B1"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5.7</w:t>
            </w:r>
          </w:p>
        </w:tc>
      </w:tr>
      <w:tr w:rsidR="00027FBF" w:rsidRPr="00A83C94" w14:paraId="4847CF8F" w14:textId="77777777" w:rsidTr="00027FBF">
        <w:trPr>
          <w:trHeight w:val="234"/>
        </w:trPr>
        <w:tc>
          <w:tcPr>
            <w:tcW w:w="0" w:type="auto"/>
            <w:tcBorders>
              <w:top w:val="single" w:sz="4" w:space="0" w:color="8EAADB"/>
              <w:left w:val="single" w:sz="4" w:space="0" w:color="8EAADB"/>
              <w:bottom w:val="single" w:sz="4" w:space="0" w:color="8EAADB"/>
              <w:right w:val="single" w:sz="4" w:space="0" w:color="8EAADB"/>
            </w:tcBorders>
            <w:hideMark/>
          </w:tcPr>
          <w:p w14:paraId="710F2060"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ԱՄՆ</w:t>
            </w:r>
          </w:p>
        </w:tc>
        <w:tc>
          <w:tcPr>
            <w:tcW w:w="0" w:type="auto"/>
            <w:tcBorders>
              <w:top w:val="single" w:sz="4" w:space="0" w:color="8EAADB"/>
              <w:left w:val="single" w:sz="4" w:space="0" w:color="8EAADB"/>
              <w:bottom w:val="single" w:sz="4" w:space="0" w:color="8EAADB"/>
              <w:right w:val="single" w:sz="4" w:space="0" w:color="8EAADB"/>
            </w:tcBorders>
            <w:hideMark/>
          </w:tcPr>
          <w:p w14:paraId="6C59EB3F"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-3.5</w:t>
            </w:r>
          </w:p>
        </w:tc>
        <w:tc>
          <w:tcPr>
            <w:tcW w:w="0" w:type="auto"/>
            <w:tcBorders>
              <w:top w:val="single" w:sz="4" w:space="0" w:color="8EAADB"/>
              <w:left w:val="single" w:sz="4" w:space="0" w:color="8EAADB"/>
              <w:bottom w:val="single" w:sz="4" w:space="0" w:color="8EAADB"/>
              <w:right w:val="single" w:sz="4" w:space="0" w:color="8EAADB"/>
            </w:tcBorders>
            <w:hideMark/>
          </w:tcPr>
          <w:p w14:paraId="50A2D123"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5.1</w:t>
            </w:r>
          </w:p>
        </w:tc>
        <w:tc>
          <w:tcPr>
            <w:tcW w:w="0" w:type="auto"/>
            <w:tcBorders>
              <w:top w:val="single" w:sz="4" w:space="0" w:color="8EAADB"/>
              <w:left w:val="single" w:sz="4" w:space="0" w:color="8EAADB"/>
              <w:bottom w:val="single" w:sz="4" w:space="0" w:color="8EAADB"/>
              <w:right w:val="single" w:sz="4" w:space="0" w:color="8EAADB"/>
            </w:tcBorders>
            <w:hideMark/>
          </w:tcPr>
          <w:p w14:paraId="113E124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6.4</w:t>
            </w:r>
          </w:p>
        </w:tc>
        <w:tc>
          <w:tcPr>
            <w:tcW w:w="0" w:type="auto"/>
            <w:tcBorders>
              <w:top w:val="single" w:sz="4" w:space="0" w:color="8EAADB"/>
              <w:left w:val="single" w:sz="4" w:space="0" w:color="8EAADB"/>
              <w:bottom w:val="single" w:sz="4" w:space="0" w:color="8EAADB"/>
              <w:right w:val="single" w:sz="4" w:space="0" w:color="8EAADB"/>
            </w:tcBorders>
            <w:hideMark/>
          </w:tcPr>
          <w:p w14:paraId="15509446"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7.0</w:t>
            </w:r>
          </w:p>
        </w:tc>
        <w:tc>
          <w:tcPr>
            <w:tcW w:w="1147" w:type="dxa"/>
            <w:tcBorders>
              <w:top w:val="single" w:sz="4" w:space="0" w:color="8EAADB"/>
              <w:left w:val="single" w:sz="4" w:space="0" w:color="8EAADB"/>
              <w:bottom w:val="single" w:sz="4" w:space="0" w:color="8EAADB"/>
              <w:right w:val="single" w:sz="4" w:space="0" w:color="8EAADB"/>
            </w:tcBorders>
            <w:hideMark/>
          </w:tcPr>
          <w:p w14:paraId="4F5510C7"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2.5</w:t>
            </w:r>
          </w:p>
        </w:tc>
        <w:tc>
          <w:tcPr>
            <w:tcW w:w="0" w:type="auto"/>
            <w:tcBorders>
              <w:top w:val="single" w:sz="4" w:space="0" w:color="8EAADB"/>
              <w:left w:val="single" w:sz="4" w:space="0" w:color="8EAADB"/>
              <w:bottom w:val="single" w:sz="4" w:space="0" w:color="8EAADB"/>
              <w:right w:val="single" w:sz="4" w:space="0" w:color="8EAADB"/>
            </w:tcBorders>
            <w:hideMark/>
          </w:tcPr>
          <w:p w14:paraId="0D7189D9"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3.5</w:t>
            </w:r>
          </w:p>
        </w:tc>
        <w:tc>
          <w:tcPr>
            <w:tcW w:w="1416" w:type="dxa"/>
            <w:tcBorders>
              <w:top w:val="single" w:sz="4" w:space="0" w:color="8EAADB"/>
              <w:left w:val="single" w:sz="4" w:space="0" w:color="8EAADB"/>
              <w:bottom w:val="single" w:sz="4" w:space="0" w:color="8EAADB"/>
              <w:right w:val="single" w:sz="4" w:space="0" w:color="8EAADB"/>
            </w:tcBorders>
            <w:hideMark/>
          </w:tcPr>
          <w:p w14:paraId="57C1FE5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hy-AM"/>
              </w:rPr>
              <w:t>4.</w:t>
            </w:r>
            <w:r w:rsidRPr="00A83C94">
              <w:rPr>
                <w:rFonts w:eastAsia="Calibri"/>
                <w:b w:val="0"/>
                <w:sz w:val="20"/>
                <w:szCs w:val="20"/>
                <w:lang w:val="en-US"/>
              </w:rPr>
              <w:t>9</w:t>
            </w:r>
          </w:p>
        </w:tc>
      </w:tr>
      <w:tr w:rsidR="00027FBF" w:rsidRPr="00A83C94" w14:paraId="035D0B54" w14:textId="77777777" w:rsidTr="00027FBF">
        <w:trPr>
          <w:trHeight w:val="14"/>
        </w:trPr>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05F28D60" w14:textId="77777777" w:rsidR="00027FBF" w:rsidRPr="00A83C94" w:rsidRDefault="00027FBF" w:rsidP="00027FBF">
            <w:pPr>
              <w:spacing w:before="0" w:line="276" w:lineRule="auto"/>
              <w:ind w:firstLine="0"/>
              <w:jc w:val="left"/>
              <w:rPr>
                <w:rFonts w:eastAsia="Calibri" w:cs="Sylfaen"/>
                <w:b w:val="0"/>
                <w:bCs/>
                <w:sz w:val="16"/>
                <w:szCs w:val="16"/>
              </w:rPr>
            </w:pPr>
            <w:r w:rsidRPr="00A83C94">
              <w:rPr>
                <w:rFonts w:eastAsia="Calibri"/>
                <w:bCs/>
                <w:color w:val="000000"/>
                <w:sz w:val="16"/>
                <w:szCs w:val="16"/>
              </w:rPr>
              <w:t>Համաշխարհային առևտ</w:t>
            </w:r>
            <w:r w:rsidRPr="00A83C94">
              <w:rPr>
                <w:rFonts w:eastAsia="Calibri"/>
                <w:bCs/>
                <w:color w:val="000000"/>
                <w:sz w:val="16"/>
                <w:szCs w:val="16"/>
                <w:lang w:val="hy-AM"/>
              </w:rPr>
              <w:t xml:space="preserve">րի աճ, </w:t>
            </w:r>
            <w:r w:rsidRPr="00A83C94">
              <w:rPr>
                <w:rFonts w:eastAsia="Calibri"/>
                <w:bCs/>
                <w:color w:val="000000"/>
                <w:sz w:val="16"/>
                <w:szCs w:val="16"/>
              </w:rPr>
              <w:t>%</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52648FB"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68CAAC5C"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8.1</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24323D5"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8.4</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24C27720"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9.7</w:t>
            </w:r>
          </w:p>
        </w:tc>
        <w:tc>
          <w:tcPr>
            <w:tcW w:w="1147" w:type="dxa"/>
            <w:tcBorders>
              <w:top w:val="single" w:sz="4" w:space="0" w:color="8EAADB"/>
              <w:left w:val="single" w:sz="4" w:space="0" w:color="8EAADB"/>
              <w:bottom w:val="single" w:sz="4" w:space="0" w:color="8EAADB"/>
              <w:right w:val="single" w:sz="4" w:space="0" w:color="8EAADB"/>
            </w:tcBorders>
            <w:shd w:val="clear" w:color="auto" w:fill="D9E2F3"/>
            <w:hideMark/>
          </w:tcPr>
          <w:p w14:paraId="5360CACF" w14:textId="77777777" w:rsidR="00027FBF" w:rsidRPr="00A83C94" w:rsidRDefault="00027FBF" w:rsidP="00027FBF">
            <w:pPr>
              <w:spacing w:before="0" w:line="276" w:lineRule="auto"/>
              <w:ind w:firstLine="0"/>
              <w:jc w:val="center"/>
              <w:rPr>
                <w:rFonts w:eastAsia="Calibri"/>
                <w:b w:val="0"/>
                <w:sz w:val="20"/>
                <w:szCs w:val="20"/>
                <w:lang w:val="en-US"/>
              </w:rPr>
            </w:pPr>
            <w:r w:rsidRPr="00A83C94">
              <w:rPr>
                <w:rFonts w:eastAsia="Calibri"/>
                <w:b w:val="0"/>
                <w:sz w:val="20"/>
                <w:szCs w:val="20"/>
                <w:lang w:val="en-US"/>
              </w:rPr>
              <w:t>6.3</w:t>
            </w:r>
          </w:p>
        </w:tc>
        <w:tc>
          <w:tcPr>
            <w:tcW w:w="0" w:type="auto"/>
            <w:tcBorders>
              <w:top w:val="single" w:sz="4" w:space="0" w:color="8EAADB"/>
              <w:left w:val="single" w:sz="4" w:space="0" w:color="8EAADB"/>
              <w:bottom w:val="single" w:sz="4" w:space="0" w:color="8EAADB"/>
              <w:right w:val="single" w:sz="4" w:space="0" w:color="8EAADB"/>
            </w:tcBorders>
            <w:shd w:val="clear" w:color="auto" w:fill="D9E2F3"/>
            <w:hideMark/>
          </w:tcPr>
          <w:p w14:paraId="43514C47" w14:textId="77777777" w:rsidR="00027FBF" w:rsidRPr="00A83C94" w:rsidRDefault="00027FBF" w:rsidP="00027FBF">
            <w:pPr>
              <w:spacing w:before="0" w:line="276" w:lineRule="auto"/>
              <w:ind w:firstLine="0"/>
              <w:jc w:val="center"/>
              <w:rPr>
                <w:rFonts w:eastAsia="Calibri" w:cs="Sylfaen"/>
                <w:b w:val="0"/>
                <w:sz w:val="20"/>
                <w:szCs w:val="20"/>
                <w:lang w:val="en-US"/>
              </w:rPr>
            </w:pPr>
            <w:r w:rsidRPr="00A83C94">
              <w:rPr>
                <w:rFonts w:eastAsia="Calibri"/>
                <w:b w:val="0"/>
                <w:sz w:val="20"/>
                <w:szCs w:val="20"/>
                <w:lang w:val="en-US"/>
              </w:rPr>
              <w:t>6.5</w:t>
            </w:r>
          </w:p>
        </w:tc>
        <w:tc>
          <w:tcPr>
            <w:tcW w:w="1416" w:type="dxa"/>
            <w:tcBorders>
              <w:top w:val="single" w:sz="4" w:space="0" w:color="8EAADB"/>
              <w:left w:val="single" w:sz="4" w:space="0" w:color="8EAADB"/>
              <w:bottom w:val="single" w:sz="4" w:space="0" w:color="8EAADB"/>
              <w:right w:val="single" w:sz="4" w:space="0" w:color="8EAADB"/>
            </w:tcBorders>
            <w:shd w:val="clear" w:color="auto" w:fill="D9E2F3"/>
            <w:hideMark/>
          </w:tcPr>
          <w:p w14:paraId="20E81AE8" w14:textId="77777777" w:rsidR="00027FBF" w:rsidRPr="00A83C94" w:rsidRDefault="00027FBF" w:rsidP="00027FBF">
            <w:pPr>
              <w:spacing w:before="0" w:line="276" w:lineRule="auto"/>
              <w:ind w:firstLine="0"/>
              <w:jc w:val="center"/>
              <w:rPr>
                <w:rFonts w:eastAsia="Calibri" w:cs="Sylfaen"/>
                <w:b w:val="0"/>
                <w:sz w:val="20"/>
                <w:szCs w:val="20"/>
              </w:rPr>
            </w:pPr>
            <w:r w:rsidRPr="00A83C94">
              <w:rPr>
                <w:rFonts w:eastAsia="Calibri"/>
                <w:b w:val="0"/>
                <w:sz w:val="20"/>
                <w:szCs w:val="20"/>
                <w:lang w:val="en-US"/>
              </w:rPr>
              <w:t>7</w:t>
            </w:r>
            <w:r w:rsidRPr="00A83C94">
              <w:rPr>
                <w:rFonts w:eastAsia="Calibri"/>
                <w:b w:val="0"/>
                <w:sz w:val="20"/>
                <w:szCs w:val="20"/>
              </w:rPr>
              <w:t>.0</w:t>
            </w:r>
          </w:p>
        </w:tc>
      </w:tr>
    </w:tbl>
    <w:p w14:paraId="23884F36" w14:textId="77777777" w:rsidR="00027FBF" w:rsidRPr="00A83C94" w:rsidRDefault="00027FBF" w:rsidP="00027FBF">
      <w:pPr>
        <w:spacing w:before="0" w:line="276" w:lineRule="auto"/>
        <w:rPr>
          <w:rFonts w:cs="Sylfaen"/>
          <w:i/>
          <w:sz w:val="16"/>
          <w:szCs w:val="16"/>
          <w:lang w:val="hy-AM"/>
        </w:rPr>
      </w:pPr>
      <w:r w:rsidRPr="00A83C94">
        <w:rPr>
          <w:rFonts w:cs="Sylfaen"/>
          <w:i/>
          <w:sz w:val="16"/>
          <w:szCs w:val="16"/>
        </w:rPr>
        <w:t>Աղբյուրը</w:t>
      </w:r>
      <w:r w:rsidRPr="00A83C94">
        <w:rPr>
          <w:rFonts w:cs="Sylfaen"/>
          <w:i/>
          <w:sz w:val="16"/>
          <w:szCs w:val="16"/>
          <w:lang w:val="en-US"/>
        </w:rPr>
        <w:t xml:space="preserve">` </w:t>
      </w:r>
      <w:r w:rsidRPr="00A83C94">
        <w:rPr>
          <w:rFonts w:cs="Sylfaen"/>
          <w:i/>
          <w:sz w:val="16"/>
          <w:szCs w:val="16"/>
          <w:lang w:val="hy-AM"/>
        </w:rPr>
        <w:t>ԱՄՀ «</w:t>
      </w:r>
      <w:r w:rsidRPr="00A83C94">
        <w:rPr>
          <w:rFonts w:cs="Sylfaen"/>
          <w:i/>
          <w:sz w:val="16"/>
          <w:szCs w:val="16"/>
          <w:lang w:val="en-US"/>
        </w:rPr>
        <w:t>World Economic Outlook</w:t>
      </w:r>
      <w:r w:rsidRPr="00A83C94">
        <w:rPr>
          <w:rFonts w:cs="Sylfaen"/>
          <w:i/>
          <w:sz w:val="16"/>
          <w:szCs w:val="16"/>
          <w:lang w:val="hy-AM"/>
        </w:rPr>
        <w:t>»</w:t>
      </w:r>
    </w:p>
    <w:p w14:paraId="3F539F36" w14:textId="77777777" w:rsidR="00027FBF" w:rsidRPr="00A83C94" w:rsidRDefault="00027FBF" w:rsidP="00027FBF">
      <w:pPr>
        <w:spacing w:before="0" w:line="276" w:lineRule="auto"/>
        <w:rPr>
          <w:rFonts w:cs="Sylfaen"/>
          <w:i/>
          <w:sz w:val="16"/>
          <w:szCs w:val="16"/>
          <w:lang w:val="hy-AM"/>
        </w:rPr>
      </w:pPr>
    </w:p>
    <w:p w14:paraId="060FB73B" w14:textId="77777777" w:rsidR="00027FBF" w:rsidRPr="00A83C94" w:rsidRDefault="00027FBF" w:rsidP="00027FBF">
      <w:pPr>
        <w:spacing w:before="0" w:line="276" w:lineRule="auto"/>
        <w:rPr>
          <w:rFonts w:eastAsia="Calibri"/>
          <w:b w:val="0"/>
          <w:bCs/>
          <w:color w:val="FF0000"/>
          <w:szCs w:val="22"/>
          <w:lang w:val="hy-AM"/>
        </w:rPr>
      </w:pPr>
      <w:bookmarkStart w:id="125" w:name="_Toc51947414"/>
      <w:bookmarkStart w:id="126" w:name="_Toc52452087"/>
      <w:r w:rsidRPr="00A83C94">
        <w:rPr>
          <w:rFonts w:eastAsia="Calibri"/>
          <w:szCs w:val="22"/>
          <w:lang w:val="hy-AM"/>
        </w:rPr>
        <w:t xml:space="preserve">Հումքային ապրանքների համաշխարհային գները կտրուկ աճում են։ </w:t>
      </w:r>
      <w:r w:rsidRPr="00A83C94">
        <w:rPr>
          <w:rFonts w:eastAsia="Calibri"/>
          <w:b w:val="0"/>
          <w:bCs/>
          <w:szCs w:val="22"/>
          <w:lang w:val="hy-AM"/>
        </w:rPr>
        <w:t>Համավարակով պայմանավորված` ամբողջ աշխարհում պահանջարկի անկումը, անորոշության բարձրացումը և նավթի շուկայում հիմնական խաղացողների միջև տարաձայնությունները 2020թ</w:t>
      </w:r>
      <w:r w:rsidRPr="00A83C94">
        <w:rPr>
          <w:rFonts w:ascii="Cambria Math" w:eastAsia="Calibri" w:hAnsi="Cambria Math" w:cs="Cambria Math"/>
          <w:b w:val="0"/>
          <w:bCs/>
          <w:szCs w:val="22"/>
          <w:lang w:val="hy-AM"/>
        </w:rPr>
        <w:t>․</w:t>
      </w:r>
      <w:r w:rsidRPr="00A83C94">
        <w:rPr>
          <w:rFonts w:eastAsia="Calibri"/>
          <w:b w:val="0"/>
          <w:bCs/>
          <w:szCs w:val="22"/>
          <w:lang w:val="hy-AM"/>
        </w:rPr>
        <w:t xml:space="preserve"> հանգեցրել են նավթի միջազգային գների շուրջ 34% նվազման, մինչդեռ պղնձի միջազգային գները, պայմանավորված երկրորդ կիսամյակի զարգացումներով, աճել են 2.7%-ով: </w:t>
      </w:r>
      <w:r w:rsidRPr="00A83C94">
        <w:rPr>
          <w:rFonts w:eastAsia="Calibri"/>
          <w:b w:val="0"/>
          <w:bCs/>
          <w:color w:val="FF0000"/>
          <w:szCs w:val="22"/>
          <w:lang w:val="hy-AM"/>
        </w:rPr>
        <w:t xml:space="preserve"> </w:t>
      </w:r>
    </w:p>
    <w:p w14:paraId="23F51965" w14:textId="77777777" w:rsidR="00027FBF" w:rsidRPr="00A83C94" w:rsidRDefault="00027FBF" w:rsidP="00027FBF">
      <w:pPr>
        <w:spacing w:before="0" w:line="276" w:lineRule="auto"/>
        <w:rPr>
          <w:rFonts w:eastAsia="Calibri"/>
          <w:b w:val="0"/>
          <w:szCs w:val="22"/>
          <w:lang w:val="hy-AM"/>
        </w:rPr>
      </w:pPr>
      <w:r w:rsidRPr="00A83C94">
        <w:rPr>
          <w:rFonts w:eastAsia="Calibri"/>
          <w:b w:val="0"/>
          <w:szCs w:val="22"/>
          <w:lang w:val="hy-AM"/>
        </w:rPr>
        <w:t>2021թ. հունվար-օգոստոս ամիսներին նավթի միջազգային գներն աճել են 59.8%-ով, պղնձի գները՝ 60.1%-ով: Վերջին կանխատեսումներով</w:t>
      </w:r>
      <w:r w:rsidRPr="00A83C94">
        <w:rPr>
          <w:rStyle w:val="FootnoteReference"/>
          <w:rFonts w:eastAsia="Calibri"/>
          <w:b w:val="0"/>
          <w:lang w:val="hy-AM"/>
        </w:rPr>
        <w:footnoteReference w:id="2"/>
      </w:r>
      <w:r w:rsidRPr="00A83C94">
        <w:rPr>
          <w:rFonts w:eastAsia="Calibri"/>
          <w:b w:val="0"/>
          <w:szCs w:val="22"/>
          <w:lang w:val="hy-AM"/>
        </w:rPr>
        <w:t xml:space="preserve"> 2021թ. նավթի բորսային գները կաճեն 62.4%-ով, իսկ պղնձի գները՝ 52.2%</w:t>
      </w:r>
      <w:r w:rsidRPr="00A83C94">
        <w:rPr>
          <w:rFonts w:eastAsia="Calibri"/>
          <w:b w:val="0"/>
          <w:szCs w:val="22"/>
          <w:lang w:val="hy-AM"/>
        </w:rPr>
        <w:noBreakHyphen/>
        <w:t>ով, ընդ որում՝ 2022թ. պղնձի գները կշարունակեն աճել, իսկ նավթի գները՝ կսկսեն նվազել, համամապատասխանաբար՝ 1</w:t>
      </w:r>
      <w:r w:rsidRPr="00A83C94">
        <w:rPr>
          <w:rFonts w:ascii="Cambria Math" w:eastAsia="Calibri" w:hAnsi="Cambria Math"/>
          <w:b w:val="0"/>
          <w:szCs w:val="22"/>
          <w:lang w:val="hy-AM"/>
        </w:rPr>
        <w:t>․</w:t>
      </w:r>
      <w:r w:rsidRPr="00A83C94">
        <w:rPr>
          <w:rFonts w:eastAsia="Calibri"/>
          <w:b w:val="0"/>
          <w:szCs w:val="22"/>
          <w:lang w:val="hy-AM"/>
        </w:rPr>
        <w:t>5% և -2</w:t>
      </w:r>
      <w:r w:rsidRPr="00A83C94">
        <w:rPr>
          <w:rFonts w:ascii="Cambria Math" w:eastAsia="Calibri" w:hAnsi="Cambria Math"/>
          <w:b w:val="0"/>
          <w:szCs w:val="22"/>
          <w:lang w:val="hy-AM"/>
        </w:rPr>
        <w:t>․</w:t>
      </w:r>
      <w:r w:rsidRPr="00A83C94">
        <w:rPr>
          <w:rFonts w:eastAsia="Calibri"/>
          <w:b w:val="0"/>
          <w:szCs w:val="22"/>
          <w:lang w:val="hy-AM"/>
        </w:rPr>
        <w:t>9%-ով։</w:t>
      </w:r>
    </w:p>
    <w:p w14:paraId="0CDBEBB2" w14:textId="77777777" w:rsidR="00027FBF" w:rsidRPr="00A83C94" w:rsidRDefault="00027FBF" w:rsidP="00027FBF">
      <w:pPr>
        <w:spacing w:line="276" w:lineRule="auto"/>
        <w:rPr>
          <w:rFonts w:eastAsia="Calibri"/>
          <w:b w:val="0"/>
          <w:szCs w:val="22"/>
          <w:lang w:val="hy-AM" w:eastAsia="en-US"/>
        </w:rPr>
      </w:pPr>
      <w:r w:rsidRPr="00A83C94">
        <w:rPr>
          <w:rFonts w:eastAsia="Calibri"/>
          <w:szCs w:val="22"/>
          <w:lang w:val="hy-AM" w:eastAsia="en-US"/>
        </w:rPr>
        <w:t>Զարգացող երկրներում ազգային արժույթները թուլացել են, իսկ երկրների ռիսկի հավելավճարները՝ որոշակի կտրուկ բարձրացումից հետո նվազել և կայունացել են:</w:t>
      </w:r>
      <w:r w:rsidRPr="00A83C94" w:rsidDel="00F227B8">
        <w:rPr>
          <w:rFonts w:eastAsia="Calibri"/>
          <w:szCs w:val="22"/>
          <w:lang w:val="hy-AM" w:eastAsia="en-US"/>
        </w:rPr>
        <w:t xml:space="preserve"> </w:t>
      </w:r>
      <w:r w:rsidRPr="00A83C94">
        <w:rPr>
          <w:rFonts w:eastAsia="Calibri"/>
          <w:b w:val="0"/>
          <w:szCs w:val="22"/>
          <w:lang w:val="hy-AM" w:eastAsia="en-US"/>
        </w:rPr>
        <w:t>Համավարակն իր բացասական ազդեցությունն է թողել նաև միջազգային ֆինանսական շուկաների վրա, երկրների միջև առևտրային սահմանափակումները, ներդրումային միջավայրի բարձր անորոշությունը թուլացրել են զարգացող երկրների ազգային արժույթները,  երկրների ռիսկի հավելավճարներն՝ անցած տարվա կտրուկ բարձրացումից հետո նվազել են և կայունացել</w:t>
      </w:r>
      <w:r w:rsidRPr="00A83C94">
        <w:rPr>
          <w:rFonts w:eastAsia="Calibri"/>
          <w:b w:val="0"/>
          <w:szCs w:val="22"/>
          <w:vertAlign w:val="superscript"/>
          <w:lang w:val="hy-AM" w:eastAsia="en-US"/>
        </w:rPr>
        <w:footnoteReference w:id="3"/>
      </w:r>
      <w:r w:rsidRPr="00A83C94">
        <w:rPr>
          <w:rFonts w:eastAsia="Calibri"/>
          <w:b w:val="0"/>
          <w:szCs w:val="22"/>
          <w:lang w:val="hy-AM" w:eastAsia="en-US"/>
        </w:rPr>
        <w:t>։</w:t>
      </w:r>
    </w:p>
    <w:p w14:paraId="6BEDC163" w14:textId="77777777" w:rsidR="00027FBF" w:rsidRPr="00A83C94" w:rsidRDefault="00027FBF" w:rsidP="00027FBF">
      <w:pPr>
        <w:keepNext/>
        <w:keepLines/>
        <w:spacing w:before="0" w:line="276" w:lineRule="auto"/>
        <w:rPr>
          <w:rFonts w:eastAsia="Calibri"/>
          <w:b w:val="0"/>
          <w:color w:val="000000"/>
          <w:szCs w:val="22"/>
          <w:lang w:val="hy-AM"/>
        </w:rPr>
      </w:pPr>
      <w:r w:rsidRPr="00A83C94">
        <w:rPr>
          <w:rFonts w:eastAsia="Calibri"/>
          <w:color w:val="000000"/>
          <w:szCs w:val="22"/>
          <w:lang w:val="hy-AM"/>
        </w:rPr>
        <w:t>Միջազգային տնտեսական և ֆինանսական զարգացումները և կանխատեսումները</w:t>
      </w:r>
    </w:p>
    <w:tbl>
      <w:tblPr>
        <w:tblStyle w:val="TableGrid2214"/>
        <w:tblW w:w="10184" w:type="dxa"/>
        <w:tblInd w:w="-8" w:type="dxa"/>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ayout w:type="fixed"/>
        <w:tblLook w:val="04A0" w:firstRow="1" w:lastRow="0" w:firstColumn="1" w:lastColumn="0" w:noHBand="0" w:noVBand="1"/>
      </w:tblPr>
      <w:tblGrid>
        <w:gridCol w:w="5076"/>
        <w:gridCol w:w="5108"/>
      </w:tblGrid>
      <w:tr w:rsidR="00027FBF" w:rsidRPr="00564083" w14:paraId="4B7A7766" w14:textId="77777777" w:rsidTr="00027FBF">
        <w:trPr>
          <w:trHeight w:val="3799"/>
        </w:trPr>
        <w:tc>
          <w:tcPr>
            <w:tcW w:w="5076" w:type="dxa"/>
            <w:tcBorders>
              <w:top w:val="single" w:sz="6" w:space="0" w:color="4F81BD"/>
              <w:left w:val="single" w:sz="6" w:space="0" w:color="4F81BD"/>
              <w:bottom w:val="single" w:sz="6" w:space="0" w:color="4F81BD"/>
              <w:right w:val="single" w:sz="6" w:space="0" w:color="4F81BD"/>
            </w:tcBorders>
            <w:hideMark/>
          </w:tcPr>
          <w:p w14:paraId="1B20D5DF" w14:textId="77777777" w:rsidR="00027FBF" w:rsidRPr="00A83C94" w:rsidRDefault="00027FBF" w:rsidP="00027FBF">
            <w:pPr>
              <w:spacing w:line="240" w:lineRule="auto"/>
              <w:ind w:firstLine="0"/>
              <w:rPr>
                <w:lang w:val="hy-AM"/>
              </w:rPr>
            </w:pPr>
            <w:r w:rsidRPr="00A83C94">
              <w:rPr>
                <w:bCs/>
                <w:i/>
                <w:noProof/>
                <w:sz w:val="18"/>
                <w:szCs w:val="18"/>
                <w:lang w:val="en-US" w:eastAsia="en-US"/>
              </w:rPr>
              <w:drawing>
                <wp:anchor distT="0" distB="0" distL="114300" distR="114300" simplePos="0" relativeHeight="251704320" behindDoc="1" locked="0" layoutInCell="1" allowOverlap="1" wp14:anchorId="06F2DD08" wp14:editId="2E163082">
                  <wp:simplePos x="0" y="0"/>
                  <wp:positionH relativeFrom="column">
                    <wp:posOffset>-13970</wp:posOffset>
                  </wp:positionH>
                  <wp:positionV relativeFrom="paragraph">
                    <wp:posOffset>537845</wp:posOffset>
                  </wp:positionV>
                  <wp:extent cx="3145790" cy="1810385"/>
                  <wp:effectExtent l="0" t="0" r="16510" b="18415"/>
                  <wp:wrapTight wrapText="bothSides">
                    <wp:wrapPolygon edited="0">
                      <wp:start x="0" y="0"/>
                      <wp:lineTo x="0" y="21592"/>
                      <wp:lineTo x="21583" y="21592"/>
                      <wp:lineTo x="21583" y="0"/>
                      <wp:lineTo x="0" y="0"/>
                    </wp:wrapPolygon>
                  </wp:wrapTight>
                  <wp:docPr id="89" name="Chart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A83C94">
              <w:rPr>
                <w:bCs/>
                <w:i/>
                <w:sz w:val="18"/>
                <w:szCs w:val="18"/>
                <w:lang w:val="hy-AM"/>
              </w:rPr>
              <w:t>Գծապատկեր 1.1. Համաշխարհային խոր անկումից հետո տնտեսությունները</w:t>
            </w:r>
            <w:r w:rsidRPr="00A83C94">
              <w:rPr>
                <w:lang w:val="hy-AM"/>
              </w:rPr>
              <w:t xml:space="preserve"> </w:t>
            </w:r>
            <w:r w:rsidRPr="00A83C94">
              <w:rPr>
                <w:bCs/>
                <w:i/>
                <w:sz w:val="18"/>
                <w:szCs w:val="18"/>
                <w:lang w:val="hy-AM"/>
              </w:rPr>
              <w:t>վերականգնվում են (տնտեսական աճեր, %)</w:t>
            </w:r>
          </w:p>
          <w:p w14:paraId="55B99CDC" w14:textId="77777777" w:rsidR="00027FBF" w:rsidRPr="00A83C94" w:rsidRDefault="00027FBF" w:rsidP="00027FBF">
            <w:pPr>
              <w:spacing w:before="0" w:line="240" w:lineRule="auto"/>
              <w:ind w:firstLine="0"/>
              <w:jc w:val="left"/>
              <w:rPr>
                <w:b w:val="0"/>
                <w:i/>
                <w:sz w:val="16"/>
                <w:szCs w:val="16"/>
                <w:lang w:val="hy-AM"/>
              </w:rPr>
            </w:pPr>
            <w:r w:rsidRPr="00A83C94">
              <w:rPr>
                <w:i/>
                <w:sz w:val="16"/>
                <w:szCs w:val="16"/>
                <w:lang w:val="hy-AM"/>
              </w:rPr>
              <w:t xml:space="preserve"> </w:t>
            </w:r>
            <w:r w:rsidRPr="00A83C94">
              <w:rPr>
                <w:b w:val="0"/>
                <w:i/>
                <w:sz w:val="16"/>
                <w:szCs w:val="16"/>
                <w:lang w:val="hy-AM"/>
              </w:rPr>
              <w:t>Աղբյուրը՝ ԱՄՀ</w:t>
            </w:r>
          </w:p>
        </w:tc>
        <w:tc>
          <w:tcPr>
            <w:tcW w:w="5108" w:type="dxa"/>
            <w:tcBorders>
              <w:top w:val="single" w:sz="6" w:space="0" w:color="4F81BD"/>
              <w:left w:val="single" w:sz="6" w:space="0" w:color="4F81BD"/>
              <w:bottom w:val="single" w:sz="6" w:space="0" w:color="4F81BD"/>
              <w:right w:val="single" w:sz="6" w:space="0" w:color="4F81BD"/>
            </w:tcBorders>
            <w:hideMark/>
          </w:tcPr>
          <w:p w14:paraId="4CC37D63" w14:textId="77777777" w:rsidR="00027FBF" w:rsidRPr="00A83C94" w:rsidRDefault="00027FBF" w:rsidP="00027FBF">
            <w:pPr>
              <w:spacing w:before="0" w:line="240" w:lineRule="auto"/>
              <w:ind w:firstLine="0"/>
              <w:rPr>
                <w:i/>
                <w:sz w:val="18"/>
                <w:szCs w:val="18"/>
                <w:lang w:val="hy-AM"/>
              </w:rPr>
            </w:pPr>
            <w:r w:rsidRPr="00A83C94">
              <w:rPr>
                <w:bCs/>
                <w:i/>
                <w:sz w:val="18"/>
                <w:szCs w:val="18"/>
                <w:lang w:val="hy-AM"/>
              </w:rPr>
              <w:t xml:space="preserve">Գծապատկեր 1.2 </w:t>
            </w:r>
            <w:r w:rsidRPr="00A83C94">
              <w:rPr>
                <w:i/>
                <w:sz w:val="18"/>
                <w:szCs w:val="18"/>
                <w:lang w:val="hy-AM"/>
              </w:rPr>
              <w:t>Հումքային ապրանքների գների դինամիկան</w:t>
            </w:r>
          </w:p>
          <w:p w14:paraId="02AE142A" w14:textId="77777777" w:rsidR="00027FBF" w:rsidRPr="00A83C94" w:rsidRDefault="00027FBF" w:rsidP="00027FBF">
            <w:pPr>
              <w:spacing w:before="0" w:line="240" w:lineRule="auto"/>
              <w:rPr>
                <w:bCs/>
                <w:i/>
                <w:sz w:val="18"/>
                <w:szCs w:val="18"/>
                <w:lang w:val="hy-AM"/>
              </w:rPr>
            </w:pPr>
            <w:r w:rsidRPr="00A83C94">
              <w:rPr>
                <w:noProof/>
                <w:lang w:val="en-US" w:eastAsia="en-US"/>
              </w:rPr>
              <w:drawing>
                <wp:anchor distT="0" distB="0" distL="114300" distR="114300" simplePos="0" relativeHeight="251707392" behindDoc="1" locked="0" layoutInCell="1" allowOverlap="1" wp14:anchorId="244FB256" wp14:editId="20794F2E">
                  <wp:simplePos x="0" y="0"/>
                  <wp:positionH relativeFrom="column">
                    <wp:posOffset>-70485</wp:posOffset>
                  </wp:positionH>
                  <wp:positionV relativeFrom="paragraph">
                    <wp:posOffset>175895</wp:posOffset>
                  </wp:positionV>
                  <wp:extent cx="3181985" cy="1810385"/>
                  <wp:effectExtent l="0" t="0" r="18415" b="18415"/>
                  <wp:wrapTight wrapText="bothSides">
                    <wp:wrapPolygon edited="0">
                      <wp:start x="0" y="0"/>
                      <wp:lineTo x="0" y="21592"/>
                      <wp:lineTo x="21596" y="21592"/>
                      <wp:lineTo x="2159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p>
          <w:p w14:paraId="6B483086" w14:textId="77777777" w:rsidR="00027FBF" w:rsidRPr="00A83C94" w:rsidRDefault="00027FBF" w:rsidP="00027FBF">
            <w:pPr>
              <w:spacing w:before="0" w:line="240" w:lineRule="auto"/>
              <w:ind w:firstLine="0"/>
              <w:rPr>
                <w:b w:val="0"/>
                <w:sz w:val="16"/>
                <w:szCs w:val="16"/>
                <w:lang w:val="hy-AM"/>
              </w:rPr>
            </w:pPr>
            <w:r w:rsidRPr="00A83C94">
              <w:rPr>
                <w:b w:val="0"/>
                <w:i/>
                <w:sz w:val="16"/>
                <w:szCs w:val="16"/>
                <w:lang w:val="hy-AM"/>
              </w:rPr>
              <w:t xml:space="preserve">Աղբյուրը՝ կանխատեսումները ըստ Բլումբերգի </w:t>
            </w:r>
          </w:p>
        </w:tc>
      </w:tr>
      <w:tr w:rsidR="00027FBF" w:rsidRPr="00564083" w14:paraId="79E943C5" w14:textId="77777777" w:rsidTr="00027FBF">
        <w:trPr>
          <w:trHeight w:val="204"/>
        </w:trPr>
        <w:tc>
          <w:tcPr>
            <w:tcW w:w="5076" w:type="dxa"/>
            <w:tcBorders>
              <w:top w:val="single" w:sz="6" w:space="0" w:color="4F81BD"/>
              <w:left w:val="single" w:sz="6" w:space="0" w:color="4F81BD"/>
              <w:bottom w:val="single" w:sz="6" w:space="0" w:color="4F81BD"/>
              <w:right w:val="single" w:sz="6" w:space="0" w:color="4F81BD"/>
            </w:tcBorders>
            <w:hideMark/>
          </w:tcPr>
          <w:p w14:paraId="3443520E"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 xml:space="preserve">Գծապատկեր 1.3. Համաշխարհային առևտուրը վերականգնվում է </w:t>
            </w:r>
          </w:p>
          <w:p w14:paraId="15AFC04D" w14:textId="77777777" w:rsidR="00027FBF" w:rsidRPr="00A83C94" w:rsidRDefault="00027FBF" w:rsidP="00027FBF">
            <w:pPr>
              <w:spacing w:before="0" w:line="240" w:lineRule="auto"/>
              <w:ind w:firstLine="0"/>
              <w:rPr>
                <w:b w:val="0"/>
                <w:i/>
                <w:sz w:val="16"/>
                <w:szCs w:val="16"/>
                <w:lang w:val="hy-AM"/>
              </w:rPr>
            </w:pPr>
            <w:r w:rsidRPr="00A83C94">
              <w:rPr>
                <w:noProof/>
                <w:lang w:val="en-US" w:eastAsia="en-US"/>
              </w:rPr>
              <w:drawing>
                <wp:anchor distT="0" distB="0" distL="114300" distR="114300" simplePos="0" relativeHeight="251716608" behindDoc="1" locked="0" layoutInCell="1" allowOverlap="1" wp14:anchorId="68DF6B8E" wp14:editId="5E2E0A3D">
                  <wp:simplePos x="0" y="0"/>
                  <wp:positionH relativeFrom="column">
                    <wp:posOffset>-6985</wp:posOffset>
                  </wp:positionH>
                  <wp:positionV relativeFrom="paragraph">
                    <wp:posOffset>140335</wp:posOffset>
                  </wp:positionV>
                  <wp:extent cx="3096260" cy="1748790"/>
                  <wp:effectExtent l="0" t="0" r="8890" b="3810"/>
                  <wp:wrapTight wrapText="bothSides">
                    <wp:wrapPolygon edited="0">
                      <wp:start x="0" y="0"/>
                      <wp:lineTo x="0" y="21412"/>
                      <wp:lineTo x="21529" y="21412"/>
                      <wp:lineTo x="21529" y="0"/>
                      <wp:lineTo x="0" y="0"/>
                    </wp:wrapPolygon>
                  </wp:wrapTight>
                  <wp:docPr id="2065" name="Chart 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V relativeFrom="margin">
                    <wp14:pctHeight>0</wp14:pctHeight>
                  </wp14:sizeRelV>
                </wp:anchor>
              </w:drawing>
            </w:r>
          </w:p>
          <w:p w14:paraId="1270FBF4" w14:textId="77777777" w:rsidR="00027FBF" w:rsidRPr="00A83C94" w:rsidRDefault="00027FBF" w:rsidP="00027FBF">
            <w:pPr>
              <w:spacing w:before="0" w:line="240" w:lineRule="auto"/>
              <w:ind w:firstLine="0"/>
              <w:rPr>
                <w:b w:val="0"/>
                <w:i/>
                <w:sz w:val="16"/>
                <w:szCs w:val="16"/>
                <w:lang w:val="hy-AM"/>
              </w:rPr>
            </w:pPr>
            <w:r w:rsidRPr="00A83C94">
              <w:rPr>
                <w:b w:val="0"/>
                <w:i/>
                <w:sz w:val="16"/>
                <w:szCs w:val="16"/>
                <w:lang w:val="hy-AM"/>
              </w:rPr>
              <w:t>Աղբյուրը՝ ԱՄՀ</w:t>
            </w:r>
          </w:p>
        </w:tc>
        <w:tc>
          <w:tcPr>
            <w:tcW w:w="5108" w:type="dxa"/>
            <w:tcBorders>
              <w:top w:val="single" w:sz="6" w:space="0" w:color="4F81BD"/>
              <w:left w:val="single" w:sz="6" w:space="0" w:color="4F81BD"/>
              <w:bottom w:val="single" w:sz="6" w:space="0" w:color="4F81BD"/>
              <w:right w:val="single" w:sz="6" w:space="0" w:color="4F81BD"/>
            </w:tcBorders>
          </w:tcPr>
          <w:p w14:paraId="137E790A"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Գծապատկեր 1.4. Զարգացող երկրներում ազգային արժույթները  դոլարի նկատմամբ կայունացել են</w:t>
            </w:r>
          </w:p>
          <w:p w14:paraId="75F62D5A" w14:textId="77777777" w:rsidR="00027FBF" w:rsidRPr="00A83C94" w:rsidRDefault="00027FBF" w:rsidP="00027FBF">
            <w:pPr>
              <w:spacing w:before="0" w:line="240" w:lineRule="auto"/>
              <w:ind w:firstLine="0"/>
              <w:rPr>
                <w:b w:val="0"/>
                <w:i/>
                <w:sz w:val="16"/>
                <w:szCs w:val="16"/>
                <w:lang w:val="hy-AM"/>
              </w:rPr>
            </w:pPr>
          </w:p>
          <w:p w14:paraId="0036C2CC" w14:textId="77777777" w:rsidR="00027FBF" w:rsidRPr="00A83C94" w:rsidRDefault="00027FBF" w:rsidP="00027FBF">
            <w:pPr>
              <w:spacing w:before="0" w:line="240" w:lineRule="auto"/>
              <w:ind w:firstLine="0"/>
              <w:jc w:val="left"/>
              <w:rPr>
                <w:b w:val="0"/>
                <w:i/>
                <w:sz w:val="16"/>
                <w:szCs w:val="16"/>
                <w:lang w:val="hy-AM"/>
              </w:rPr>
            </w:pPr>
            <w:r w:rsidRPr="00A83C94">
              <w:rPr>
                <w:b w:val="0"/>
                <w:noProof/>
                <w:lang w:val="en-US" w:eastAsia="en-US"/>
              </w:rPr>
              <w:drawing>
                <wp:inline distT="0" distB="0" distL="0" distR="0" wp14:anchorId="274BB654" wp14:editId="1E9E8B23">
                  <wp:extent cx="3124200" cy="1762125"/>
                  <wp:effectExtent l="0" t="0" r="0" b="95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DBAB34" w14:textId="77777777" w:rsidR="00027FBF" w:rsidRPr="00A83C94" w:rsidRDefault="00027FBF" w:rsidP="00027FBF">
            <w:pPr>
              <w:spacing w:before="0" w:line="240" w:lineRule="auto"/>
              <w:ind w:firstLine="0"/>
              <w:jc w:val="left"/>
              <w:rPr>
                <w:b w:val="0"/>
                <w:i/>
                <w:sz w:val="16"/>
                <w:szCs w:val="16"/>
                <w:lang w:val="hy-AM"/>
              </w:rPr>
            </w:pPr>
            <w:r w:rsidRPr="00A83C94">
              <w:rPr>
                <w:b w:val="0"/>
                <w:i/>
                <w:sz w:val="16"/>
                <w:szCs w:val="16"/>
                <w:lang w:val="hy-AM"/>
              </w:rPr>
              <w:t>Աղբյուրը՝ Բլումբերգ, ՀՀ ԿԲ, ՀՀ ՖՆ հաշվարկներ</w:t>
            </w:r>
          </w:p>
          <w:p w14:paraId="3943D258" w14:textId="77777777" w:rsidR="00027FBF" w:rsidRPr="00A83C94" w:rsidRDefault="00027FBF" w:rsidP="00027FBF">
            <w:pPr>
              <w:spacing w:before="0" w:line="240" w:lineRule="auto"/>
              <w:ind w:firstLine="0"/>
              <w:rPr>
                <w:b w:val="0"/>
                <w:i/>
                <w:sz w:val="16"/>
                <w:szCs w:val="16"/>
                <w:lang w:val="hy-AM"/>
              </w:rPr>
            </w:pPr>
          </w:p>
        </w:tc>
      </w:tr>
      <w:tr w:rsidR="00027FBF" w:rsidRPr="00A83C94" w14:paraId="4ECE08DF" w14:textId="77777777" w:rsidTr="00027FBF">
        <w:trPr>
          <w:trHeight w:val="3556"/>
        </w:trPr>
        <w:tc>
          <w:tcPr>
            <w:tcW w:w="5076" w:type="dxa"/>
            <w:tcBorders>
              <w:top w:val="single" w:sz="6" w:space="0" w:color="4F81BD"/>
              <w:left w:val="single" w:sz="6" w:space="0" w:color="4F81BD"/>
              <w:bottom w:val="single" w:sz="6" w:space="0" w:color="4F81BD"/>
              <w:right w:val="single" w:sz="6" w:space="0" w:color="4F81BD"/>
            </w:tcBorders>
            <w:hideMark/>
          </w:tcPr>
          <w:p w14:paraId="04D9D98D"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Գծապատկեր 1.5. Բաժնետոմսերի միջազգային շուկան  վերականգնվել է</w:t>
            </w:r>
          </w:p>
          <w:p w14:paraId="347BA8CD" w14:textId="77777777" w:rsidR="00027FBF" w:rsidRPr="00A83C94" w:rsidRDefault="00027FBF" w:rsidP="00027FBF">
            <w:pPr>
              <w:spacing w:before="0" w:line="240" w:lineRule="auto"/>
              <w:ind w:firstLine="0"/>
              <w:rPr>
                <w:i/>
                <w:sz w:val="18"/>
                <w:szCs w:val="18"/>
                <w:lang w:val="hy-AM"/>
              </w:rPr>
            </w:pPr>
            <w:r w:rsidRPr="00A83C94">
              <w:rPr>
                <w:b w:val="0"/>
                <w:noProof/>
                <w:lang w:val="en-US" w:eastAsia="en-US"/>
              </w:rPr>
              <w:drawing>
                <wp:inline distT="0" distB="0" distL="0" distR="0" wp14:anchorId="434C704B" wp14:editId="667CB806">
                  <wp:extent cx="3095625" cy="1977292"/>
                  <wp:effectExtent l="0" t="0" r="9525" b="444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7078B41" w14:textId="77777777" w:rsidR="00027FBF" w:rsidRPr="00A83C94" w:rsidRDefault="00027FBF" w:rsidP="00027FBF">
            <w:pPr>
              <w:spacing w:before="0" w:line="240" w:lineRule="auto"/>
              <w:ind w:firstLine="0"/>
              <w:rPr>
                <w:b w:val="0"/>
                <w:bCs/>
                <w:i/>
                <w:sz w:val="18"/>
                <w:szCs w:val="18"/>
                <w:lang w:val="hy-AM"/>
              </w:rPr>
            </w:pPr>
          </w:p>
          <w:p w14:paraId="4775FABB" w14:textId="77777777" w:rsidR="00027FBF" w:rsidRPr="00A83C94" w:rsidRDefault="00027FBF" w:rsidP="00027FBF">
            <w:pPr>
              <w:spacing w:before="0" w:line="240" w:lineRule="auto"/>
              <w:ind w:firstLine="0"/>
              <w:jc w:val="left"/>
              <w:rPr>
                <w:b w:val="0"/>
                <w:bCs/>
                <w:i/>
                <w:sz w:val="18"/>
                <w:szCs w:val="18"/>
                <w:lang w:val="hy-AM"/>
              </w:rPr>
            </w:pPr>
            <w:r w:rsidRPr="00A83C94">
              <w:rPr>
                <w:b w:val="0"/>
                <w:i/>
                <w:sz w:val="16"/>
                <w:szCs w:val="16"/>
                <w:lang w:val="hy-AM"/>
              </w:rPr>
              <w:t>Աղբյուրը՝ Բլումբերգ, ՀՀ ՖՆ հաշվարկներ</w:t>
            </w:r>
          </w:p>
        </w:tc>
        <w:tc>
          <w:tcPr>
            <w:tcW w:w="5108" w:type="dxa"/>
            <w:tcBorders>
              <w:top w:val="single" w:sz="6" w:space="0" w:color="4F81BD"/>
              <w:left w:val="single" w:sz="6" w:space="0" w:color="4F81BD"/>
              <w:bottom w:val="single" w:sz="6" w:space="0" w:color="4F81BD"/>
              <w:right w:val="single" w:sz="6" w:space="0" w:color="4F81BD"/>
            </w:tcBorders>
            <w:hideMark/>
          </w:tcPr>
          <w:p w14:paraId="1420A1AB" w14:textId="77777777" w:rsidR="00027FBF" w:rsidRPr="00A83C94" w:rsidRDefault="00027FBF" w:rsidP="00027FBF">
            <w:pPr>
              <w:spacing w:line="240" w:lineRule="auto"/>
              <w:ind w:firstLine="0"/>
              <w:rPr>
                <w:bCs/>
                <w:i/>
                <w:sz w:val="18"/>
                <w:szCs w:val="18"/>
                <w:lang w:val="hy-AM"/>
              </w:rPr>
            </w:pPr>
            <w:r w:rsidRPr="00A83C94">
              <w:rPr>
                <w:bCs/>
                <w:i/>
                <w:sz w:val="18"/>
                <w:szCs w:val="18"/>
                <w:lang w:val="hy-AM"/>
              </w:rPr>
              <w:t>Գծապատկեր 1.6. Զարգացող երկրներում ռիսկի հավելավճարները</w:t>
            </w:r>
            <w:r w:rsidRPr="00A83C94">
              <w:rPr>
                <w:bCs/>
                <w:i/>
                <w:sz w:val="18"/>
                <w:szCs w:val="18"/>
                <w:lang w:val="hy-AM"/>
              </w:rPr>
              <w:footnoteReference w:id="4"/>
            </w:r>
            <w:r w:rsidRPr="00A83C94">
              <w:rPr>
                <w:bCs/>
                <w:i/>
                <w:sz w:val="18"/>
                <w:szCs w:val="18"/>
                <w:lang w:val="hy-AM"/>
              </w:rPr>
              <w:t xml:space="preserve"> կայունացել են։ </w:t>
            </w:r>
          </w:p>
          <w:p w14:paraId="42E6C668" w14:textId="77777777" w:rsidR="00027FBF" w:rsidRPr="00A83C94" w:rsidRDefault="00027FBF" w:rsidP="00027FBF">
            <w:pPr>
              <w:rPr>
                <w:lang w:val="hy-AM"/>
              </w:rPr>
            </w:pPr>
            <w:r w:rsidRPr="00A83C94">
              <w:rPr>
                <w:b w:val="0"/>
                <w:noProof/>
                <w:lang w:val="en-US" w:eastAsia="en-US"/>
              </w:rPr>
              <w:drawing>
                <wp:inline distT="0" distB="0" distL="0" distR="0" wp14:anchorId="59ACA2A8" wp14:editId="4EE8F720">
                  <wp:extent cx="3181350" cy="2035534"/>
                  <wp:effectExtent l="0" t="0" r="0" b="3175"/>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5660D8" w14:textId="77777777" w:rsidR="00027FBF" w:rsidRPr="00A83C94" w:rsidRDefault="00027FBF" w:rsidP="00027FBF">
            <w:pPr>
              <w:spacing w:before="0" w:line="240" w:lineRule="auto"/>
              <w:ind w:firstLine="0"/>
              <w:jc w:val="left"/>
              <w:rPr>
                <w:b w:val="0"/>
                <w:bCs/>
                <w:i/>
                <w:sz w:val="16"/>
                <w:szCs w:val="16"/>
                <w:lang w:val="en-US"/>
              </w:rPr>
            </w:pPr>
            <w:r w:rsidRPr="00A83C94">
              <w:rPr>
                <w:b w:val="0"/>
                <w:i/>
                <w:sz w:val="16"/>
                <w:szCs w:val="16"/>
                <w:lang w:val="hy-AM"/>
              </w:rPr>
              <w:t>Աղբյուրը՝ Բլումբերգ</w:t>
            </w:r>
            <w:r w:rsidRPr="00A83C94" w:rsidDel="00E34D0C">
              <w:rPr>
                <w:b w:val="0"/>
                <w:bCs/>
                <w:i/>
                <w:sz w:val="18"/>
                <w:szCs w:val="18"/>
                <w:lang w:val="hy-AM"/>
              </w:rPr>
              <w:t xml:space="preserve"> </w:t>
            </w:r>
          </w:p>
        </w:tc>
      </w:tr>
    </w:tbl>
    <w:p w14:paraId="51373B03" w14:textId="77777777" w:rsidR="00027FBF" w:rsidRPr="00A83C94" w:rsidRDefault="00027FBF" w:rsidP="00027FBF">
      <w:pPr>
        <w:spacing w:before="0" w:line="276" w:lineRule="auto"/>
        <w:rPr>
          <w:rFonts w:eastAsia="Calibri"/>
          <w:szCs w:val="22"/>
          <w:lang w:val="hy-AM"/>
        </w:rPr>
      </w:pPr>
    </w:p>
    <w:p w14:paraId="4EDFC06D" w14:textId="77777777" w:rsidR="00027FBF" w:rsidRPr="00A83C94" w:rsidRDefault="00027FBF" w:rsidP="00027FBF">
      <w:pPr>
        <w:spacing w:line="276" w:lineRule="auto"/>
        <w:rPr>
          <w:b w:val="0"/>
          <w:bCs/>
          <w:szCs w:val="22"/>
          <w:lang w:val="hy-AM" w:eastAsia="en-US"/>
        </w:rPr>
      </w:pPr>
      <w:r w:rsidRPr="00A83C94">
        <w:rPr>
          <w:bCs/>
          <w:lang w:val="hy-AM"/>
        </w:rPr>
        <w:t>Առողջապահական և տնտեսական ճգնաժամին հակազդելու համար աշխարհում Կառավարությունները և Կենտրոնական բանկերը ավելի «ագրեսիվ» են խթանում տնտեսություններին, քան իրականացրել են համաշխարհային ֆինանսական ճգնաժամի ժամանակ։</w:t>
      </w:r>
      <w:r w:rsidRPr="00A83C94">
        <w:rPr>
          <w:lang w:val="hy-AM"/>
        </w:rPr>
        <w:t xml:space="preserve"> </w:t>
      </w:r>
      <w:r w:rsidRPr="00A83C94">
        <w:rPr>
          <w:b w:val="0"/>
          <w:bCs/>
          <w:lang w:val="hy-AM"/>
        </w:rPr>
        <w:t>COVID-19 համարավարակի հետևանքները հաղթահարելու համար հարկաբյուջետային քաղաքականությունը առանցքային դերակատարում ունի։ Ընդհանուր առմամբ, համավարակին հակազդելու համար մշակված հարկաբյուջետային փաթեթներն աշխարհի մակարդակով գնահատվում են 16.5 տրիլիոն դոլար (վերաբերում է ինչպես 2020, այնպես էլ 2021թ</w:t>
      </w:r>
      <w:r w:rsidRPr="00A83C94">
        <w:rPr>
          <w:rFonts w:ascii="Cambria Math" w:hAnsi="Cambria Math" w:cs="Cambria Math"/>
          <w:b w:val="0"/>
          <w:bCs/>
          <w:lang w:val="hy-AM"/>
        </w:rPr>
        <w:t>․</w:t>
      </w:r>
      <w:r w:rsidRPr="00A83C94">
        <w:rPr>
          <w:b w:val="0"/>
          <w:bCs/>
          <w:lang w:val="hy-AM"/>
        </w:rPr>
        <w:t xml:space="preserve"> համար նախատեսված միջոցառումներին)</w:t>
      </w:r>
      <w:r w:rsidRPr="00A83C94">
        <w:rPr>
          <w:b w:val="0"/>
          <w:bCs/>
          <w:vertAlign w:val="superscript"/>
        </w:rPr>
        <w:footnoteReference w:id="5"/>
      </w:r>
      <w:r w:rsidRPr="00A83C94">
        <w:rPr>
          <w:b w:val="0"/>
          <w:bCs/>
          <w:lang w:val="hy-AM"/>
        </w:rPr>
        <w:t>։ Վերջինից 10 տրիլիոնը վերաբերում է ծախսային և հարկային միջոցառումներին (բյուջեի վրա ուղղակի ազդեցություն ունեցող), իսկ 6 տրիլիոնը՝ պետական վարկերի, կապիտալի ներարկումների և վարկային երաշխիքների տրամադրմանը։ Կենտրոնական բանկերը ևս խթանող դրամավարկային քաղաքականությամբ (տոկոսադրույքների նվազեցում և ֆինանսական շուկայից ակտիվների ձեռք բերման աննախադեպ ծրագրերի իրականացում) հակազդել են համավարակի տարածման տնտեսական ազդեցություններին։</w:t>
      </w:r>
    </w:p>
    <w:p w14:paraId="78E5E35F" w14:textId="77777777" w:rsidR="00027FBF" w:rsidRPr="00A83C94" w:rsidRDefault="00027FBF" w:rsidP="00027FBF">
      <w:pPr>
        <w:spacing w:line="276" w:lineRule="auto"/>
        <w:rPr>
          <w:b w:val="0"/>
          <w:bCs/>
          <w:lang w:val="hy-AM"/>
        </w:rPr>
      </w:pPr>
      <w:r w:rsidRPr="00A83C94">
        <w:rPr>
          <w:b w:val="0"/>
          <w:bCs/>
          <w:lang w:val="hy-AM"/>
        </w:rPr>
        <w:t>Խթանող հարկաբյուջետային քաղաքականության պայմաններում 2020թ. աշխարհում գրանցվել է պետական բյուջեի պակասուրդի և պարտքի բեռի էական աճ: 2021թ. սպասվող վերականգնման պայմաններում Կառավարությունները սկսել են իրականացնել հարկաբյուջետային կոնսոլիդացիա՝ պետական պարտքի բեռի աճը մեղմելու և հետագայում կայունացնելու նպատակադրմամբ:</w:t>
      </w:r>
    </w:p>
    <w:p w14:paraId="2650A22F" w14:textId="77777777" w:rsidR="00027FBF" w:rsidRPr="00A83C94" w:rsidRDefault="00027FBF" w:rsidP="00027FBF">
      <w:pPr>
        <w:spacing w:line="276" w:lineRule="auto"/>
        <w:rPr>
          <w:b w:val="0"/>
          <w:bCs/>
          <w:lang w:val="hy-AM"/>
        </w:rPr>
      </w:pPr>
    </w:p>
    <w:p w14:paraId="7E6AA37C" w14:textId="77777777" w:rsidR="00027FBF" w:rsidRPr="00A83C94" w:rsidRDefault="00027FBF" w:rsidP="00027FBF">
      <w:pPr>
        <w:spacing w:line="276" w:lineRule="auto"/>
        <w:rPr>
          <w:b w:val="0"/>
          <w:bCs/>
          <w:lang w:val="hy-AM"/>
        </w:rPr>
      </w:pPr>
    </w:p>
    <w:p w14:paraId="5C0ED803" w14:textId="77777777" w:rsidR="00027FBF" w:rsidRPr="00A83C94" w:rsidRDefault="00027FBF" w:rsidP="00027FBF">
      <w:pPr>
        <w:spacing w:line="276" w:lineRule="auto"/>
        <w:rPr>
          <w:b w:val="0"/>
          <w:bCs/>
          <w:lang w:val="hy-AM"/>
        </w:rPr>
      </w:pPr>
    </w:p>
    <w:p w14:paraId="4081D09E" w14:textId="77777777" w:rsidR="00027FBF" w:rsidRPr="00A83C94" w:rsidRDefault="00027FBF" w:rsidP="00027FBF">
      <w:pPr>
        <w:pStyle w:val="af3"/>
      </w:pPr>
      <w:r w:rsidRPr="00A83C94">
        <w:t xml:space="preserve">Գծապատկեր 1.7. Համաշխարհային տնտեսության և հարկաբյուջետային քաղաքականության արձագանքը (% ՀՆԱ-ում) ճգնաժամերի և հաջորդող տարիներին </w:t>
      </w:r>
    </w:p>
    <w:p w14:paraId="4F2D1BF5" w14:textId="77777777" w:rsidR="00027FBF" w:rsidRPr="00A83C94" w:rsidRDefault="00027FBF" w:rsidP="00027FBF">
      <w:pPr>
        <w:spacing w:before="0" w:line="276" w:lineRule="auto"/>
        <w:rPr>
          <w:rFonts w:eastAsia="Calibri"/>
          <w:szCs w:val="22"/>
          <w:lang w:val="hy-AM"/>
        </w:rPr>
      </w:pPr>
    </w:p>
    <w:p w14:paraId="109668B0" w14:textId="77777777" w:rsidR="00027FBF" w:rsidRPr="00A83C94" w:rsidRDefault="00027FBF" w:rsidP="00027FBF">
      <w:pPr>
        <w:keepNext/>
        <w:keepLines/>
        <w:spacing w:before="0" w:line="276" w:lineRule="auto"/>
        <w:jc w:val="left"/>
        <w:outlineLvl w:val="2"/>
        <w:rPr>
          <w:rFonts w:cs="Sylfaen"/>
          <w:i/>
          <w:sz w:val="16"/>
          <w:szCs w:val="16"/>
          <w:lang w:val="hy-AM"/>
        </w:rPr>
      </w:pPr>
    </w:p>
    <w:tbl>
      <w:tblPr>
        <w:tblW w:w="9619" w:type="dxa"/>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3159"/>
        <w:gridCol w:w="3273"/>
        <w:gridCol w:w="3187"/>
      </w:tblGrid>
      <w:tr w:rsidR="00027FBF" w:rsidRPr="00A83C94" w14:paraId="713170B1" w14:textId="77777777" w:rsidTr="00027FBF">
        <w:trPr>
          <w:trHeight w:val="3593"/>
        </w:trPr>
        <w:tc>
          <w:tcPr>
            <w:tcW w:w="3159" w:type="dxa"/>
            <w:tcBorders>
              <w:top w:val="single" w:sz="6" w:space="0" w:color="4472C4"/>
              <w:left w:val="single" w:sz="6" w:space="0" w:color="4472C4"/>
              <w:bottom w:val="single" w:sz="6" w:space="0" w:color="4472C4"/>
              <w:right w:val="single" w:sz="6" w:space="0" w:color="4472C4"/>
            </w:tcBorders>
            <w:hideMark/>
          </w:tcPr>
          <w:p w14:paraId="753AE3E1" w14:textId="77777777" w:rsidR="00027FBF" w:rsidRPr="00A83C94" w:rsidRDefault="00027FBF" w:rsidP="00027FBF">
            <w:pPr>
              <w:ind w:right="-29" w:firstLine="0"/>
              <w:rPr>
                <w:b w:val="0"/>
                <w:noProof/>
                <w:lang w:val="en-US"/>
              </w:rPr>
            </w:pPr>
            <w:r w:rsidRPr="00A83C94">
              <w:rPr>
                <w:b w:val="0"/>
                <w:noProof/>
                <w:lang w:val="en-US" w:eastAsia="en-US"/>
              </w:rPr>
              <w:drawing>
                <wp:inline distT="0" distB="0" distL="0" distR="0" wp14:anchorId="5A5D5646" wp14:editId="49C3987E">
                  <wp:extent cx="1844431" cy="2562860"/>
                  <wp:effectExtent l="0" t="0" r="3810" b="889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F451490" w14:textId="77777777" w:rsidR="00027FBF" w:rsidRPr="00A83C94" w:rsidRDefault="00027FBF" w:rsidP="00027FBF">
            <w:pPr>
              <w:ind w:firstLine="0"/>
            </w:pPr>
            <w:r w:rsidRPr="00A83C94">
              <w:rPr>
                <w:rFonts w:eastAsia="Calibri"/>
                <w:b w:val="0"/>
                <w:i/>
                <w:sz w:val="16"/>
                <w:szCs w:val="16"/>
                <w:lang w:val="hy-AM"/>
              </w:rPr>
              <w:t>Աղբյուրը՝ ԱՄՀ, 2021թ. կանխատեսում:</w:t>
            </w:r>
          </w:p>
        </w:tc>
        <w:tc>
          <w:tcPr>
            <w:tcW w:w="3273" w:type="dxa"/>
            <w:tcBorders>
              <w:top w:val="single" w:sz="6" w:space="0" w:color="4472C4"/>
              <w:left w:val="single" w:sz="6" w:space="0" w:color="4472C4"/>
              <w:bottom w:val="single" w:sz="6" w:space="0" w:color="4472C4"/>
              <w:right w:val="single" w:sz="6" w:space="0" w:color="4472C4"/>
            </w:tcBorders>
            <w:hideMark/>
          </w:tcPr>
          <w:p w14:paraId="4832D2D2" w14:textId="77777777" w:rsidR="00027FBF" w:rsidRPr="00A83C94" w:rsidRDefault="00027FBF" w:rsidP="00027FBF">
            <w:pPr>
              <w:spacing w:before="0" w:line="276" w:lineRule="auto"/>
              <w:ind w:firstLine="0"/>
            </w:pPr>
            <w:r w:rsidRPr="00A83C94">
              <w:rPr>
                <w:b w:val="0"/>
                <w:noProof/>
                <w:lang w:val="en-US" w:eastAsia="en-US"/>
              </w:rPr>
              <w:drawing>
                <wp:inline distT="0" distB="0" distL="0" distR="0" wp14:anchorId="6FBDE42D" wp14:editId="62E77A59">
                  <wp:extent cx="1866900" cy="27146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3187" w:type="dxa"/>
            <w:tcBorders>
              <w:top w:val="single" w:sz="6" w:space="0" w:color="4472C4"/>
              <w:left w:val="single" w:sz="6" w:space="0" w:color="4472C4"/>
              <w:bottom w:val="single" w:sz="6" w:space="0" w:color="4472C4"/>
              <w:right w:val="single" w:sz="6" w:space="0" w:color="4472C4"/>
            </w:tcBorders>
            <w:hideMark/>
          </w:tcPr>
          <w:p w14:paraId="60CE9B87" w14:textId="77777777" w:rsidR="00027FBF" w:rsidRPr="00A83C94" w:rsidRDefault="00027FBF" w:rsidP="00027FBF">
            <w:pPr>
              <w:spacing w:before="0" w:line="276" w:lineRule="auto"/>
              <w:ind w:firstLine="0"/>
            </w:pPr>
            <w:r w:rsidRPr="00A83C94">
              <w:rPr>
                <w:b w:val="0"/>
                <w:noProof/>
                <w:lang w:val="en-US" w:eastAsia="en-US"/>
              </w:rPr>
              <w:drawing>
                <wp:inline distT="0" distB="0" distL="0" distR="0" wp14:anchorId="654D86AA" wp14:editId="6A341BE5">
                  <wp:extent cx="1866900" cy="27527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10BD30A9" w14:textId="77777777" w:rsidR="00027FBF" w:rsidRPr="00A83C94" w:rsidRDefault="00027FBF" w:rsidP="00027FBF">
      <w:pPr>
        <w:keepNext/>
        <w:keepLines/>
        <w:spacing w:before="240" w:after="60" w:line="276" w:lineRule="auto"/>
        <w:ind w:firstLine="0"/>
        <w:outlineLvl w:val="2"/>
        <w:rPr>
          <w:bCs/>
          <w:sz w:val="24"/>
          <w:lang w:val="hy-AM" w:eastAsia="en-US"/>
        </w:rPr>
      </w:pPr>
      <w:r w:rsidRPr="00A83C94">
        <w:rPr>
          <w:bCs/>
          <w:sz w:val="28"/>
          <w:szCs w:val="28"/>
          <w:lang w:val="hy-AM"/>
        </w:rPr>
        <w:br w:type="page"/>
      </w:r>
      <w:bookmarkStart w:id="127" w:name="_Toc57559414"/>
      <w:bookmarkStart w:id="128" w:name="_Toc83663896"/>
      <w:bookmarkStart w:id="129" w:name="_Toc83972832"/>
      <w:bookmarkStart w:id="130" w:name="_Toc45705389"/>
      <w:bookmarkStart w:id="131" w:name="_Toc89428287"/>
      <w:bookmarkEnd w:id="125"/>
      <w:bookmarkEnd w:id="126"/>
      <w:r w:rsidRPr="00A83C94">
        <w:rPr>
          <w:bCs/>
          <w:sz w:val="24"/>
          <w:lang w:val="hy-AM" w:eastAsia="en-US"/>
        </w:rPr>
        <w:t>1.3. ՀՀ ՄԱԿՐՈՏՆՏԵՍԱԿԱՆ ԶԱՐԳԱՑՈՒՄՆԵՐ ԵՎ ԿԱՆԽԱՏԵՍՈՒՄՆԵՐ</w:t>
      </w:r>
      <w:bookmarkEnd w:id="127"/>
      <w:bookmarkEnd w:id="128"/>
      <w:bookmarkEnd w:id="129"/>
      <w:bookmarkEnd w:id="131"/>
    </w:p>
    <w:p w14:paraId="45008EB3"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bookmarkStart w:id="132" w:name="_Toc45705385"/>
      <w:bookmarkStart w:id="133" w:name="_Toc51360523"/>
      <w:r w:rsidRPr="00A83C94">
        <w:rPr>
          <w:rFonts w:eastAsia="Calibri"/>
          <w:bCs/>
          <w:sz w:val="24"/>
          <w:lang w:val="hy-AM" w:eastAsia="en-US"/>
        </w:rPr>
        <w:t>1.3.1. ՀՆԱ և տնտեսական աճ</w:t>
      </w:r>
      <w:bookmarkEnd w:id="132"/>
      <w:bookmarkEnd w:id="133"/>
    </w:p>
    <w:p w14:paraId="416F318F" w14:textId="77777777" w:rsidR="00027FBF" w:rsidRPr="00A83C94" w:rsidRDefault="00027FBF" w:rsidP="00027FBF">
      <w:pPr>
        <w:spacing w:before="40" w:after="60" w:line="276" w:lineRule="auto"/>
        <w:ind w:firstLine="634"/>
        <w:contextualSpacing w:val="0"/>
        <w:rPr>
          <w:rFonts w:cs="Sylfaen"/>
          <w:b w:val="0"/>
          <w:bCs/>
          <w:szCs w:val="22"/>
          <w:lang w:val="hy-AM" w:eastAsia="en-US"/>
        </w:rPr>
      </w:pPr>
      <w:r w:rsidRPr="00A83C94">
        <w:rPr>
          <w:rFonts w:cs="Sylfaen"/>
          <w:bCs/>
          <w:szCs w:val="22"/>
          <w:lang w:val="hy-AM" w:eastAsia="en-US"/>
        </w:rPr>
        <w:t xml:space="preserve">2020թ. Համավարակի և Արցախյան պատերազմի բացասական ազդեցություններով պայմանավորված գրանցվեց 7.4% տնտեսական անկում: </w:t>
      </w:r>
      <w:r w:rsidRPr="00A83C94">
        <w:rPr>
          <w:rFonts w:cs="Sylfaen"/>
          <w:b w:val="0"/>
          <w:bCs/>
          <w:szCs w:val="22"/>
          <w:lang w:val="hy-AM" w:eastAsia="en-US"/>
        </w:rPr>
        <w:t xml:space="preserve">Նվազեցին տնտեսության բոլոր ճյուղերը, սակայն տնտեսական անկմանը հիմնականում նպաստեց ծառայությունների ճյուղը։ Պահանջարկի տեսանկյունից տնտեսական անկումը պայմանավորեցին ներքին պահանջարկի (հատկապես՝ մասնավոր սպառման) և արտահանման նվազումները։ </w:t>
      </w:r>
    </w:p>
    <w:p w14:paraId="61CD0E31" w14:textId="77777777" w:rsidR="00027FBF" w:rsidRPr="00A83C94" w:rsidRDefault="00027FBF" w:rsidP="00027FBF">
      <w:pPr>
        <w:spacing w:before="40" w:after="120" w:line="276" w:lineRule="auto"/>
        <w:ind w:firstLine="634"/>
        <w:contextualSpacing w:val="0"/>
        <w:rPr>
          <w:rFonts w:cs="Sylfaen"/>
          <w:b w:val="0"/>
          <w:szCs w:val="22"/>
          <w:lang w:val="hy-AM" w:eastAsia="en-US"/>
        </w:rPr>
      </w:pPr>
      <w:r w:rsidRPr="00A83C94">
        <w:rPr>
          <w:rFonts w:cs="Sylfaen"/>
          <w:szCs w:val="22"/>
          <w:lang w:val="hy-AM" w:eastAsia="en-US"/>
        </w:rPr>
        <w:t xml:space="preserve">2021թ. առաջին եռամսյակում տնտեսության անկման տեմպերը դանդաղեցին,  կիսամյակում տնտեսական աճի տեմպը վերականգնվեց և գրանցվեց 5.0% տնտեսական աճ։ </w:t>
      </w:r>
      <w:r w:rsidRPr="00A83C94">
        <w:rPr>
          <w:rFonts w:cs="Sylfaen"/>
          <w:b w:val="0"/>
          <w:szCs w:val="22"/>
          <w:lang w:val="hy-AM" w:eastAsia="en-US"/>
        </w:rPr>
        <w:t>Տնտեսության բոլոր ճյուղերն աճեցին, սակայն տնտեսական աճը պայմանավորվեց հիմնականում ծառայությունների աճով (նպաստումը՝ 3.1 տոկոսային կետ)։</w:t>
      </w:r>
    </w:p>
    <w:tbl>
      <w:tblPr>
        <w:tblW w:w="0" w:type="auto"/>
        <w:jc w:val="center"/>
        <w:tblBorders>
          <w:top w:val="single" w:sz="4" w:space="0" w:color="2E74B5"/>
          <w:left w:val="single" w:sz="4" w:space="0" w:color="2E74B5"/>
          <w:bottom w:val="single" w:sz="4" w:space="0" w:color="2E74B5"/>
          <w:right w:val="single" w:sz="4" w:space="0" w:color="2E74B5"/>
          <w:insideH w:val="single" w:sz="4" w:space="0" w:color="2E74B5"/>
          <w:insideV w:val="single" w:sz="4" w:space="0" w:color="2E74B5"/>
        </w:tblBorders>
        <w:tblLook w:val="04A0" w:firstRow="1" w:lastRow="0" w:firstColumn="1" w:lastColumn="0" w:noHBand="0" w:noVBand="1"/>
      </w:tblPr>
      <w:tblGrid>
        <w:gridCol w:w="4845"/>
        <w:gridCol w:w="4901"/>
      </w:tblGrid>
      <w:tr w:rsidR="00027FBF" w:rsidRPr="00564083" w14:paraId="091030A3" w14:textId="77777777" w:rsidTr="00027FBF">
        <w:trPr>
          <w:trHeight w:val="3430"/>
          <w:jc w:val="center"/>
        </w:trPr>
        <w:tc>
          <w:tcPr>
            <w:tcW w:w="4963" w:type="dxa"/>
          </w:tcPr>
          <w:p w14:paraId="12A66670"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1.8. ՀՆԱ աճ (%) և ճյուղերի նպաստում- ները ՀՆԱ աճին (տ.կ.)</w:t>
            </w:r>
          </w:p>
          <w:p w14:paraId="14B49B1A" w14:textId="77777777" w:rsidR="00027FBF" w:rsidRPr="00A83C94" w:rsidRDefault="00027FBF" w:rsidP="00027FBF">
            <w:pPr>
              <w:spacing w:before="0" w:line="276" w:lineRule="auto"/>
              <w:ind w:firstLine="29"/>
              <w:contextualSpacing w:val="0"/>
              <w:jc w:val="left"/>
              <w:rPr>
                <w:rFonts w:ascii="Times New Roman" w:hAnsi="Times New Roman"/>
                <w:b w:val="0"/>
                <w:sz w:val="24"/>
                <w:lang w:val="en-US" w:eastAsia="en-US"/>
              </w:rPr>
            </w:pPr>
            <w:r w:rsidRPr="00A83C94">
              <w:rPr>
                <w:rFonts w:ascii="Times New Roman" w:hAnsi="Times New Roman"/>
                <w:b w:val="0"/>
                <w:noProof/>
                <w:color w:val="1F4E79"/>
                <w:sz w:val="24"/>
                <w:lang w:val="en-US" w:eastAsia="en-US"/>
              </w:rPr>
              <w:drawing>
                <wp:inline distT="0" distB="0" distL="0" distR="0" wp14:anchorId="6C1F0EDC" wp14:editId="7E89F29F">
                  <wp:extent cx="2903855" cy="1698625"/>
                  <wp:effectExtent l="0" t="0" r="10795" b="15875"/>
                  <wp:docPr id="2073" name="Chart 2073">
                    <a:extLst xmlns:a="http://schemas.openxmlformats.org/drawingml/2006/main">
                      <a:ext uri="{FF2B5EF4-FFF2-40B4-BE49-F238E27FC236}">
                        <a16:creationId xmlns:a16="http://schemas.microsoft.com/office/drawing/2014/main" id="{B706C3B2-915B-4C24-A125-9A8A708CD2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FAEE1B3" w14:textId="77777777" w:rsidR="00027FBF" w:rsidRPr="00A83C94" w:rsidRDefault="00027FBF" w:rsidP="00027FBF">
            <w:pPr>
              <w:spacing w:before="0" w:line="276" w:lineRule="auto"/>
              <w:ind w:firstLine="0"/>
              <w:jc w:val="left"/>
              <w:rPr>
                <w:b w:val="0"/>
                <w:i/>
                <w:sz w:val="16"/>
                <w:szCs w:val="16"/>
                <w:lang w:val="hy-AM" w:eastAsia="en-US"/>
              </w:rPr>
            </w:pPr>
            <w:r w:rsidRPr="00A83C94">
              <w:rPr>
                <w:rFonts w:eastAsia="Calibri"/>
                <w:b w:val="0"/>
                <w:i/>
                <w:sz w:val="16"/>
                <w:szCs w:val="16"/>
                <w:lang w:val="hy-AM"/>
              </w:rPr>
              <w:t>Աղբյուրը՝ ՀՀ ՎԿ, ՀՀ ՖՆ հաշվարկներ</w:t>
            </w:r>
            <w:r w:rsidRPr="00A83C94">
              <w:rPr>
                <w:b w:val="0"/>
                <w:i/>
                <w:sz w:val="18"/>
                <w:szCs w:val="16"/>
                <w:lang w:val="hy-AM" w:eastAsia="en-US"/>
              </w:rPr>
              <w:t xml:space="preserve"> </w:t>
            </w:r>
          </w:p>
        </w:tc>
        <w:tc>
          <w:tcPr>
            <w:tcW w:w="4963" w:type="dxa"/>
          </w:tcPr>
          <w:p w14:paraId="23158524"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1.9. ՀՆԱ աճ (%) և պահանջարկի բաղա- դրիչների նպաստումները ՀՆԱ աճին (տ.կ.)</w:t>
            </w:r>
          </w:p>
          <w:p w14:paraId="0BA18C53" w14:textId="77777777" w:rsidR="00027FBF" w:rsidRPr="00A83C94" w:rsidRDefault="00027FBF" w:rsidP="00027FBF">
            <w:pPr>
              <w:spacing w:before="0" w:line="276" w:lineRule="auto"/>
              <w:ind w:firstLine="0"/>
              <w:rPr>
                <w:i/>
                <w:noProof/>
                <w:szCs w:val="22"/>
                <w:lang w:val="hy-AM" w:eastAsia="en-US"/>
              </w:rPr>
            </w:pPr>
            <w:r w:rsidRPr="00A83C94">
              <w:rPr>
                <w:i/>
                <w:noProof/>
                <w:color w:val="1F4E79"/>
                <w:szCs w:val="22"/>
                <w:lang w:val="en-US" w:eastAsia="en-US"/>
              </w:rPr>
              <w:drawing>
                <wp:inline distT="0" distB="0" distL="0" distR="0" wp14:anchorId="0D2DC2C3" wp14:editId="2F957634">
                  <wp:extent cx="2962275" cy="1698984"/>
                  <wp:effectExtent l="0" t="0" r="9525" b="15875"/>
                  <wp:docPr id="2074" name="Chart 2074">
                    <a:extLst xmlns:a="http://schemas.openxmlformats.org/drawingml/2006/main">
                      <a:ext uri="{FF2B5EF4-FFF2-40B4-BE49-F238E27FC236}">
                        <a16:creationId xmlns:a16="http://schemas.microsoft.com/office/drawing/2014/main" id="{9315E2B3-D3AE-476A-B7C4-ACF3898E8B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910240" w14:textId="77777777" w:rsidR="00027FBF" w:rsidRPr="00A83C94" w:rsidRDefault="00027FBF" w:rsidP="00027FBF">
            <w:pPr>
              <w:spacing w:before="40" w:line="276" w:lineRule="auto"/>
              <w:ind w:firstLine="0"/>
              <w:contextualSpacing w:val="0"/>
              <w:jc w:val="left"/>
              <w:rPr>
                <w:b w:val="0"/>
                <w:i/>
                <w:sz w:val="16"/>
                <w:szCs w:val="16"/>
                <w:lang w:val="hy-AM" w:eastAsia="en-US"/>
              </w:rPr>
            </w:pPr>
            <w:r w:rsidRPr="00A83C94">
              <w:rPr>
                <w:rFonts w:eastAsia="Calibri"/>
                <w:b w:val="0"/>
                <w:i/>
                <w:sz w:val="16"/>
                <w:szCs w:val="16"/>
                <w:lang w:val="hy-AM"/>
              </w:rPr>
              <w:t>Աղբյուրը՝ ՀՀ ՎԿ, ՀՀ ՖՆ հաշվարկներ</w:t>
            </w:r>
          </w:p>
        </w:tc>
      </w:tr>
    </w:tbl>
    <w:p w14:paraId="4D269975" w14:textId="77777777" w:rsidR="00027FBF" w:rsidRPr="00A83C94" w:rsidRDefault="00027FBF" w:rsidP="00027FBF">
      <w:pPr>
        <w:spacing w:after="120" w:line="276" w:lineRule="auto"/>
        <w:ind w:firstLine="634"/>
        <w:contextualSpacing w:val="0"/>
        <w:rPr>
          <w:rFonts w:cs="Sylfaen"/>
          <w:b w:val="0"/>
          <w:szCs w:val="22"/>
          <w:lang w:val="hy-AM" w:eastAsia="en-US"/>
        </w:rPr>
      </w:pPr>
    </w:p>
    <w:p w14:paraId="5CD9F8D7" w14:textId="77777777" w:rsidR="00027FBF" w:rsidRPr="00A83C94" w:rsidRDefault="00027FBF" w:rsidP="00027FBF">
      <w:pPr>
        <w:spacing w:after="120" w:line="276" w:lineRule="auto"/>
        <w:ind w:firstLine="634"/>
        <w:contextualSpacing w:val="0"/>
        <w:rPr>
          <w:rFonts w:cs="Sylfaen"/>
          <w:b w:val="0"/>
          <w:szCs w:val="22"/>
          <w:lang w:val="hy-AM" w:eastAsia="en-US"/>
        </w:rPr>
      </w:pPr>
      <w:r w:rsidRPr="00A83C94">
        <w:rPr>
          <w:rFonts w:cs="Sylfaen"/>
          <w:b w:val="0"/>
          <w:szCs w:val="22"/>
          <w:lang w:val="hy-AM" w:eastAsia="en-US"/>
        </w:rPr>
        <w:t xml:space="preserve">Հուլիս-օգոստոս ամիսներին </w:t>
      </w:r>
      <w:r w:rsidRPr="00A83C94">
        <w:rPr>
          <w:rFonts w:cs="Sylfaen"/>
          <w:b w:val="0"/>
          <w:bCs/>
          <w:szCs w:val="22"/>
          <w:lang w:val="hy-AM" w:eastAsia="en-US"/>
        </w:rPr>
        <w:t>տնտեսական ակտիվության աճը շարունակվեց և</w:t>
      </w:r>
      <w:r w:rsidRPr="00A83C94">
        <w:rPr>
          <w:rFonts w:cs="Sylfaen"/>
          <w:bCs/>
          <w:szCs w:val="22"/>
          <w:lang w:val="hy-AM" w:eastAsia="en-US"/>
        </w:rPr>
        <w:t xml:space="preserve"> </w:t>
      </w:r>
      <w:r w:rsidRPr="00A83C94">
        <w:rPr>
          <w:rFonts w:cs="Sylfaen"/>
          <w:b w:val="0"/>
          <w:bCs/>
          <w:szCs w:val="22"/>
          <w:lang w:val="hy-AM" w:eastAsia="en-US"/>
        </w:rPr>
        <w:t>ա</w:t>
      </w:r>
      <w:r w:rsidRPr="00A83C94">
        <w:rPr>
          <w:rFonts w:cs="Sylfaen"/>
          <w:b w:val="0"/>
          <w:szCs w:val="22"/>
          <w:lang w:val="hy-AM" w:eastAsia="en-US"/>
        </w:rPr>
        <w:t>րդյունքում</w:t>
      </w:r>
      <w:r w:rsidRPr="00A83C94">
        <w:rPr>
          <w:rFonts w:cs="Sylfaen"/>
          <w:bCs/>
          <w:szCs w:val="22"/>
          <w:lang w:val="hy-AM" w:eastAsia="en-US"/>
        </w:rPr>
        <w:t xml:space="preserve"> </w:t>
      </w:r>
      <w:r w:rsidRPr="00A83C94">
        <w:rPr>
          <w:rFonts w:cs="Sylfaen"/>
          <w:b w:val="0"/>
          <w:szCs w:val="22"/>
          <w:lang w:val="hy-AM" w:eastAsia="en-US"/>
        </w:rPr>
        <w:t>2021թ. հունվար-օգոստոսին արձանագրվեց տնտեսական ակտիվության (ՏԱՑ) 4.9% աճ, ինչը պայմանավորված էր հիմնականում ծառայությունների աճով (2.5 տոկոսային կետ</w:t>
      </w:r>
      <w:r w:rsidRPr="00A83C94">
        <w:rPr>
          <w:rFonts w:cs="Sylfaen"/>
          <w:b w:val="0"/>
          <w:szCs w:val="22"/>
          <w:vertAlign w:val="superscript"/>
          <w:lang w:eastAsia="en-US"/>
        </w:rPr>
        <w:footnoteReference w:id="6"/>
      </w:r>
      <w:r w:rsidRPr="00A83C94">
        <w:rPr>
          <w:rFonts w:cs="Sylfaen"/>
          <w:b w:val="0"/>
          <w:szCs w:val="22"/>
          <w:lang w:val="hy-AM" w:eastAsia="en-US"/>
        </w:rPr>
        <w:t>)։ Մյուս ճյուղերի համախառն թողարկումների իրական աճերը ևս նպաստեցին տնտեսական ակտիվությանը։</w:t>
      </w:r>
    </w:p>
    <w:tbl>
      <w:tblPr>
        <w:tblStyle w:val="TableGrid1250"/>
        <w:tblW w:w="0" w:type="auto"/>
        <w:jc w:val="center"/>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4928"/>
        <w:gridCol w:w="4812"/>
      </w:tblGrid>
      <w:tr w:rsidR="00027FBF" w:rsidRPr="00A83C94" w14:paraId="146AB315" w14:textId="77777777" w:rsidTr="00027FBF">
        <w:trPr>
          <w:trHeight w:val="4129"/>
          <w:jc w:val="center"/>
        </w:trPr>
        <w:tc>
          <w:tcPr>
            <w:tcW w:w="5069" w:type="dxa"/>
            <w:shd w:val="clear" w:color="auto" w:fill="auto"/>
          </w:tcPr>
          <w:p w14:paraId="312C3A0E" w14:textId="77777777" w:rsidR="00027FBF" w:rsidRPr="00A83C94" w:rsidRDefault="00027FBF" w:rsidP="00027FBF">
            <w:pPr>
              <w:spacing w:before="0" w:after="60" w:line="240" w:lineRule="auto"/>
              <w:ind w:firstLine="0"/>
              <w:contextualSpacing w:val="0"/>
              <w:rPr>
                <w:rFonts w:eastAsia="Calibri"/>
                <w:i/>
                <w:noProof/>
                <w:sz w:val="18"/>
                <w:szCs w:val="18"/>
                <w:lang w:val="hy-AM" w:eastAsia="en-US"/>
              </w:rPr>
            </w:pPr>
            <w:r w:rsidRPr="00A83C94">
              <w:rPr>
                <w:rFonts w:eastAsia="Calibri"/>
                <w:i/>
                <w:noProof/>
                <w:sz w:val="18"/>
                <w:szCs w:val="18"/>
                <w:lang w:val="hy-AM" w:eastAsia="en-US"/>
              </w:rPr>
              <w:t>Գծապատկեր 1.10. ՏԱՑ և տնտեսության ճյուղերի իրա- կան աճերը նախորդ տարվա նույն ժամանակահատ- վածի նկատմամբ (%)</w:t>
            </w:r>
          </w:p>
          <w:p w14:paraId="08BBFEC9" w14:textId="77777777" w:rsidR="00027FBF" w:rsidRPr="00A83C94" w:rsidRDefault="00027FBF" w:rsidP="00027FBF">
            <w:pPr>
              <w:spacing w:before="0" w:line="276" w:lineRule="auto"/>
              <w:ind w:firstLine="0"/>
              <w:rPr>
                <w:rFonts w:eastAsia="Calibri"/>
                <w:i/>
                <w:noProof/>
                <w:szCs w:val="22"/>
                <w:lang w:val="hy-AM" w:eastAsia="en-US"/>
              </w:rPr>
            </w:pPr>
            <w:r w:rsidRPr="00A83C94">
              <w:rPr>
                <w:rFonts w:eastAsia="Calibri"/>
                <w:i/>
                <w:noProof/>
                <w:szCs w:val="22"/>
                <w:lang w:val="en-US" w:eastAsia="en-US"/>
              </w:rPr>
              <w:drawing>
                <wp:inline distT="0" distB="0" distL="0" distR="0" wp14:anchorId="13E467AF" wp14:editId="3C6A604B">
                  <wp:extent cx="3064510" cy="2176145"/>
                  <wp:effectExtent l="0" t="0" r="2540" b="14605"/>
                  <wp:docPr id="2075" name="Chart 2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F2A1460"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w:t>
            </w:r>
          </w:p>
        </w:tc>
        <w:tc>
          <w:tcPr>
            <w:tcW w:w="4949" w:type="dxa"/>
          </w:tcPr>
          <w:p w14:paraId="7C5C78EB" w14:textId="77777777" w:rsidR="00027FBF" w:rsidRPr="00A83C94" w:rsidRDefault="00027FBF" w:rsidP="00027FBF">
            <w:pPr>
              <w:spacing w:before="0" w:line="240" w:lineRule="auto"/>
              <w:ind w:firstLine="0"/>
              <w:rPr>
                <w:rFonts w:eastAsia="Calibri"/>
                <w:i/>
                <w:noProof/>
                <w:szCs w:val="22"/>
                <w:lang w:val="hy-AM" w:eastAsia="en-US"/>
              </w:rPr>
            </w:pPr>
            <w:r w:rsidRPr="00A83C94">
              <w:rPr>
                <w:rFonts w:eastAsia="Calibri"/>
                <w:i/>
                <w:noProof/>
                <w:sz w:val="18"/>
                <w:szCs w:val="18"/>
                <w:lang w:val="en-US" w:eastAsia="en-US"/>
              </w:rPr>
              <w:drawing>
                <wp:anchor distT="0" distB="0" distL="114300" distR="114300" simplePos="0" relativeHeight="251722752" behindDoc="1" locked="0" layoutInCell="1" allowOverlap="1" wp14:anchorId="57FCEE2B" wp14:editId="1D49C80E">
                  <wp:simplePos x="0" y="0"/>
                  <wp:positionH relativeFrom="column">
                    <wp:posOffset>-3810</wp:posOffset>
                  </wp:positionH>
                  <wp:positionV relativeFrom="paragraph">
                    <wp:posOffset>502920</wp:posOffset>
                  </wp:positionV>
                  <wp:extent cx="3028950" cy="2176145"/>
                  <wp:effectExtent l="0" t="0" r="0" b="14605"/>
                  <wp:wrapTight wrapText="bothSides">
                    <wp:wrapPolygon edited="0">
                      <wp:start x="0" y="0"/>
                      <wp:lineTo x="0" y="21556"/>
                      <wp:lineTo x="21464" y="21556"/>
                      <wp:lineTo x="21464" y="0"/>
                      <wp:lineTo x="0" y="0"/>
                    </wp:wrapPolygon>
                  </wp:wrapTight>
                  <wp:docPr id="2076" name="Chart 20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r w:rsidRPr="00A83C94">
              <w:rPr>
                <w:rFonts w:eastAsia="Calibri"/>
                <w:i/>
                <w:noProof/>
                <w:sz w:val="18"/>
                <w:szCs w:val="18"/>
                <w:lang w:val="hy-AM" w:eastAsia="en-US"/>
              </w:rPr>
              <w:t>Գծապատկեր 1.11. ՏԱՑ և տնտեսության ճյուղերի իրական աճերը նախորդ տարվա նույն ամսվա նկատ- մամբ (%)</w:t>
            </w:r>
          </w:p>
          <w:p w14:paraId="0297CB9B"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w:t>
            </w:r>
            <w:r w:rsidRPr="00A83C94" w:rsidDel="00DA0563">
              <w:rPr>
                <w:rFonts w:eastAsia="Calibri"/>
                <w:b w:val="0"/>
                <w:i/>
                <w:sz w:val="18"/>
                <w:szCs w:val="16"/>
                <w:lang w:val="hy-AM" w:eastAsia="en-US"/>
              </w:rPr>
              <w:t xml:space="preserve"> </w:t>
            </w:r>
          </w:p>
        </w:tc>
      </w:tr>
      <w:tr w:rsidR="00027FBF" w:rsidRPr="00564083" w14:paraId="1CBF96BF" w14:textId="77777777" w:rsidTr="00027FBF">
        <w:trPr>
          <w:trHeight w:val="411"/>
          <w:jc w:val="center"/>
        </w:trPr>
        <w:tc>
          <w:tcPr>
            <w:tcW w:w="5069" w:type="dxa"/>
          </w:tcPr>
          <w:p w14:paraId="5C64E1D4" w14:textId="77777777" w:rsidR="00027FBF" w:rsidRPr="00A83C94" w:rsidRDefault="00027FBF" w:rsidP="00027FBF">
            <w:pPr>
              <w:spacing w:before="0" w:after="60" w:line="240" w:lineRule="auto"/>
              <w:ind w:firstLine="0"/>
              <w:contextualSpacing w:val="0"/>
              <w:jc w:val="left"/>
              <w:rPr>
                <w:rFonts w:eastAsia="Calibri"/>
                <w:i/>
                <w:noProof/>
                <w:szCs w:val="22"/>
                <w:lang w:val="hy-AM" w:eastAsia="en-US"/>
              </w:rPr>
            </w:pPr>
            <w:r w:rsidRPr="00A83C94">
              <w:rPr>
                <w:rFonts w:eastAsia="Calibri"/>
                <w:i/>
                <w:noProof/>
                <w:sz w:val="18"/>
                <w:szCs w:val="18"/>
                <w:lang w:val="hy-AM" w:eastAsia="en-US"/>
              </w:rPr>
              <w:t>Գծապատկեր 1.12. Տնտեսության ճյուղերի նպաստում- ները ՏԱՑ-ին (տ.կ.)</w:t>
            </w:r>
            <w:r w:rsidRPr="00A83C94">
              <w:rPr>
                <w:rFonts w:eastAsia="Calibri"/>
                <w:i/>
                <w:noProof/>
                <w:szCs w:val="22"/>
                <w:lang w:val="hy-AM" w:eastAsia="en-US"/>
              </w:rPr>
              <w:t xml:space="preserve"> </w:t>
            </w:r>
            <w:r w:rsidRPr="00A83C94">
              <w:rPr>
                <w:rFonts w:eastAsia="Calibri"/>
                <w:i/>
                <w:noProof/>
                <w:szCs w:val="22"/>
                <w:lang w:val="en-US" w:eastAsia="en-US"/>
              </w:rPr>
              <w:drawing>
                <wp:inline distT="0" distB="0" distL="0" distR="0" wp14:anchorId="328C9229" wp14:editId="55CFF6E6">
                  <wp:extent cx="3095625" cy="2134235"/>
                  <wp:effectExtent l="0" t="0" r="9525" b="18415"/>
                  <wp:docPr id="2077" name="Chart 20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5387183"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 ՀՀ ՖՆ հաշվարկներ</w:t>
            </w:r>
            <w:r w:rsidRPr="00A83C94">
              <w:rPr>
                <w:rFonts w:eastAsia="Calibri"/>
                <w:b w:val="0"/>
                <w:i/>
                <w:sz w:val="18"/>
                <w:szCs w:val="16"/>
                <w:lang w:val="hy-AM" w:eastAsia="en-US"/>
              </w:rPr>
              <w:t xml:space="preserve"> </w:t>
            </w:r>
          </w:p>
        </w:tc>
        <w:tc>
          <w:tcPr>
            <w:tcW w:w="4949" w:type="dxa"/>
          </w:tcPr>
          <w:p w14:paraId="01676CDC" w14:textId="77777777" w:rsidR="00027FBF" w:rsidRPr="00A83C94" w:rsidRDefault="00027FBF" w:rsidP="00027FBF">
            <w:pPr>
              <w:spacing w:before="0" w:line="240" w:lineRule="auto"/>
              <w:ind w:firstLine="0"/>
              <w:contextualSpacing w:val="0"/>
              <w:rPr>
                <w:rFonts w:eastAsia="Calibri"/>
                <w:i/>
                <w:noProof/>
                <w:sz w:val="18"/>
                <w:szCs w:val="18"/>
                <w:lang w:val="hy-AM" w:eastAsia="en-US"/>
              </w:rPr>
            </w:pPr>
            <w:r w:rsidRPr="00A83C94">
              <w:rPr>
                <w:rFonts w:eastAsia="Calibri"/>
                <w:i/>
                <w:noProof/>
                <w:sz w:val="18"/>
                <w:szCs w:val="18"/>
                <w:lang w:val="hy-AM" w:eastAsia="en-US"/>
              </w:rPr>
              <w:t>Գծապատկեր 1.13. Տնտեսության ճյուղերի նպաս-տումները ՏԱՑ-ին նախորդ տարվա նույն ամսվա նկատմամբ (տ.կ.)</w:t>
            </w:r>
          </w:p>
          <w:p w14:paraId="77C7E539" w14:textId="77777777" w:rsidR="00027FBF" w:rsidRPr="00A83C94" w:rsidRDefault="00027FBF" w:rsidP="00027FBF">
            <w:pPr>
              <w:spacing w:before="0" w:line="276" w:lineRule="auto"/>
              <w:ind w:firstLine="0"/>
              <w:rPr>
                <w:rFonts w:eastAsia="Calibri"/>
                <w:i/>
                <w:noProof/>
                <w:szCs w:val="22"/>
                <w:lang w:val="hy-AM" w:eastAsia="en-US"/>
              </w:rPr>
            </w:pPr>
            <w:r w:rsidRPr="00A83C94">
              <w:rPr>
                <w:rFonts w:eastAsia="Calibri"/>
                <w:i/>
                <w:noProof/>
                <w:szCs w:val="22"/>
                <w:lang w:val="en-US" w:eastAsia="en-US"/>
              </w:rPr>
              <w:drawing>
                <wp:inline distT="0" distB="0" distL="0" distR="0" wp14:anchorId="263FC4C0" wp14:editId="776BC281">
                  <wp:extent cx="2941983" cy="1983740"/>
                  <wp:effectExtent l="0" t="0" r="10795" b="16510"/>
                  <wp:docPr id="2078" name="Chart 2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AB1A97A" w14:textId="77777777" w:rsidR="00027FBF" w:rsidRPr="00A83C94" w:rsidRDefault="00027FBF" w:rsidP="00027FBF">
            <w:pPr>
              <w:spacing w:before="0" w:line="276" w:lineRule="auto"/>
              <w:ind w:firstLine="0"/>
              <w:jc w:val="left"/>
              <w:rPr>
                <w:rFonts w:eastAsia="Calibri"/>
                <w:b w:val="0"/>
                <w:i/>
                <w:sz w:val="16"/>
                <w:szCs w:val="16"/>
                <w:lang w:val="hy-AM" w:eastAsia="en-US"/>
              </w:rPr>
            </w:pPr>
            <w:r w:rsidRPr="00A83C94">
              <w:rPr>
                <w:rFonts w:eastAsia="Calibri"/>
                <w:b w:val="0"/>
                <w:i/>
                <w:sz w:val="16"/>
                <w:szCs w:val="16"/>
                <w:lang w:val="hy-AM"/>
              </w:rPr>
              <w:t>Աղբյուրը՝ ՀՀ ՎԿ, ՀՀ ՖՆ հաշվարկներ</w:t>
            </w:r>
          </w:p>
        </w:tc>
      </w:tr>
    </w:tbl>
    <w:p w14:paraId="7D06E6AA" w14:textId="77777777" w:rsidR="00027FBF" w:rsidRPr="00A83C94" w:rsidRDefault="00027FBF" w:rsidP="00027FBF">
      <w:pPr>
        <w:spacing w:after="120" w:line="276" w:lineRule="auto"/>
        <w:ind w:firstLine="533"/>
        <w:contextualSpacing w:val="0"/>
        <w:rPr>
          <w:rFonts w:eastAsia="Calibri" w:cs="Sylfaen"/>
          <w:szCs w:val="22"/>
          <w:lang w:val="hy-AM" w:eastAsia="en-US"/>
        </w:rPr>
      </w:pPr>
      <w:r w:rsidRPr="00A83C94">
        <w:rPr>
          <w:rFonts w:eastAsia="Calibri" w:cs="Sylfaen"/>
          <w:bCs/>
          <w:szCs w:val="22"/>
          <w:lang w:val="hy-AM" w:eastAsia="en-US"/>
        </w:rPr>
        <w:t xml:space="preserve">2021թ. առաջին կիսամյակում </w:t>
      </w:r>
      <w:r w:rsidRPr="00A83C94">
        <w:rPr>
          <w:rFonts w:cs="Sylfaen"/>
          <w:bCs/>
          <w:noProof/>
          <w:szCs w:val="22"/>
          <w:lang w:val="hy-AM" w:eastAsia="en-US"/>
        </w:rPr>
        <w:t xml:space="preserve">վերականգնվեց նաև ներքին պահանջարկի աճը։ </w:t>
      </w:r>
      <w:r w:rsidRPr="00A83C94">
        <w:rPr>
          <w:rFonts w:cs="Sylfaen"/>
          <w:b w:val="0"/>
          <w:bCs/>
          <w:noProof/>
          <w:szCs w:val="22"/>
          <w:lang w:val="hy-AM" w:eastAsia="en-US"/>
        </w:rPr>
        <w:t>Ներքին</w:t>
      </w:r>
      <w:r w:rsidRPr="00A83C94">
        <w:rPr>
          <w:rFonts w:cs="Sylfaen"/>
          <w:bCs/>
          <w:noProof/>
          <w:szCs w:val="22"/>
          <w:lang w:val="hy-AM" w:eastAsia="en-US"/>
        </w:rPr>
        <w:t xml:space="preserve"> </w:t>
      </w:r>
      <w:r w:rsidRPr="00A83C94">
        <w:rPr>
          <w:rFonts w:cs="Sylfaen"/>
          <w:b w:val="0"/>
          <w:bCs/>
          <w:noProof/>
          <w:szCs w:val="22"/>
          <w:lang w:val="hy-AM" w:eastAsia="en-US"/>
        </w:rPr>
        <w:t xml:space="preserve">պահանջարկի աճը պայմանավորվեց հիմնականում վերջնական սպառման աճով, որի մեջ էական դեր խաղաց մասնավոր սպառման աճը։ </w:t>
      </w:r>
      <w:r w:rsidRPr="00A83C94">
        <w:rPr>
          <w:rFonts w:cs="Sylfaen"/>
          <w:b w:val="0"/>
          <w:noProof/>
          <w:szCs w:val="22"/>
          <w:lang w:val="hy-AM" w:eastAsia="en-US"/>
        </w:rPr>
        <w:t>Կ</w:t>
      </w:r>
      <w:r w:rsidRPr="00A83C94">
        <w:rPr>
          <w:rFonts w:eastAsia="Calibri" w:cs="Sylfaen"/>
          <w:b w:val="0"/>
          <w:szCs w:val="22"/>
          <w:lang w:val="hy-AM" w:eastAsia="en-US"/>
        </w:rPr>
        <w:t>ապիտալ ներդրումները ևս աճեցին՝ պայմանավորված պետական ներդրումների աճով։ Մինչդեռ արտահանումը և ներմուծումը նվազեցին, ընդ որում արտահանման նվազումը ներմուծման նկատմամբ առաջանցիկ էր, որի արդյունքում զուտ արտահանումը բացասաբար նպաստեց ՀՆԱ-ի իրական աճին։ Տնտեսության ներքին պահանջարկի աճի միտումները շարունակվեցին նաև հուլիս-օգոստոս ամիսներին, մասնավորապես՝ սպառման աճի մասին են վկայում առևտրի և ծառայությունների աճերը, իսկ կապիտալ ներդրումների աճի մասին՝ շինարարության աճը։</w:t>
      </w:r>
      <w:r w:rsidRPr="00A83C94">
        <w:rPr>
          <w:rFonts w:eastAsia="Calibri" w:cs="Sylfaen"/>
          <w:szCs w:val="22"/>
          <w:lang w:val="hy-AM" w:eastAsia="en-US"/>
        </w:rPr>
        <w:t xml:space="preserve"> </w:t>
      </w:r>
    </w:p>
    <w:p w14:paraId="0CCBFA54"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084F11A8"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5C6502CA"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2A28F865" w14:textId="77777777" w:rsidR="00027FBF" w:rsidRPr="00A83C94" w:rsidRDefault="00027FBF" w:rsidP="00027FBF">
      <w:pPr>
        <w:spacing w:after="120" w:line="276" w:lineRule="auto"/>
        <w:ind w:firstLine="533"/>
        <w:contextualSpacing w:val="0"/>
        <w:rPr>
          <w:rFonts w:eastAsia="Calibri" w:cs="Sylfaen"/>
          <w:szCs w:val="22"/>
          <w:lang w:val="hy-AM" w:eastAsia="en-US"/>
        </w:rPr>
      </w:pPr>
    </w:p>
    <w:p w14:paraId="00CDFB95" w14:textId="77777777" w:rsidR="00027FBF" w:rsidRPr="00A83C94" w:rsidRDefault="00027FBF" w:rsidP="00027FBF">
      <w:pPr>
        <w:spacing w:after="120" w:line="276" w:lineRule="auto"/>
        <w:ind w:firstLine="533"/>
        <w:contextualSpacing w:val="0"/>
        <w:rPr>
          <w:rFonts w:eastAsia="Calibri" w:cs="Sylfaen"/>
          <w:szCs w:val="22"/>
          <w:lang w:val="hy-AM" w:eastAsia="en-US"/>
        </w:rPr>
      </w:pPr>
    </w:p>
    <w:tbl>
      <w:tblPr>
        <w:tblpPr w:leftFromText="180" w:rightFromText="180" w:vertAnchor="text" w:horzAnchor="margin" w:tblpX="-5" w:tblpY="126"/>
        <w:tblW w:w="9923" w:type="dxa"/>
        <w:shd w:val="clear" w:color="auto" w:fill="DEEAF6"/>
        <w:tblLayout w:type="fixed"/>
        <w:tblLook w:val="04A0" w:firstRow="1" w:lastRow="0" w:firstColumn="1" w:lastColumn="0" w:noHBand="0" w:noVBand="1"/>
      </w:tblPr>
      <w:tblGrid>
        <w:gridCol w:w="5868"/>
        <w:gridCol w:w="4055"/>
      </w:tblGrid>
      <w:tr w:rsidR="00027FBF" w:rsidRPr="00564083" w14:paraId="24AB5611" w14:textId="77777777" w:rsidTr="00027FBF">
        <w:tc>
          <w:tcPr>
            <w:tcW w:w="9923" w:type="dxa"/>
            <w:gridSpan w:val="2"/>
            <w:shd w:val="clear" w:color="auto" w:fill="DEEAF6"/>
          </w:tcPr>
          <w:p w14:paraId="79394224" w14:textId="77777777" w:rsidR="00027FBF" w:rsidRPr="00A83C94" w:rsidRDefault="00027FBF" w:rsidP="00027FBF">
            <w:pPr>
              <w:keepNext/>
              <w:keepLines/>
              <w:spacing w:before="60" w:after="40" w:line="276" w:lineRule="auto"/>
              <w:ind w:firstLine="0"/>
              <w:contextualSpacing w:val="0"/>
              <w:jc w:val="left"/>
              <w:rPr>
                <w:i/>
                <w:szCs w:val="22"/>
                <w:lang w:val="hy-AM" w:eastAsia="en-US"/>
              </w:rPr>
            </w:pPr>
            <w:r w:rsidRPr="00A83C94">
              <w:rPr>
                <w:i/>
                <w:szCs w:val="22"/>
                <w:lang w:val="hy-AM" w:eastAsia="en-US"/>
              </w:rPr>
              <w:t xml:space="preserve">Ներդիր 1. Կորոնավիրուսային համավարակի </w:t>
            </w:r>
            <w:r w:rsidRPr="00A83C94">
              <w:rPr>
                <w:i/>
                <w:szCs w:val="22"/>
                <w:lang w:val="sk-SK" w:eastAsia="en-US"/>
              </w:rPr>
              <w:t>(COVID-19)</w:t>
            </w:r>
            <w:r w:rsidRPr="00A83C94">
              <w:rPr>
                <w:i/>
                <w:szCs w:val="22"/>
                <w:lang w:val="hy-AM" w:eastAsia="en-US"/>
              </w:rPr>
              <w:t xml:space="preserve"> զարգացման դինամիկան ՀՀ-ում</w:t>
            </w:r>
          </w:p>
        </w:tc>
      </w:tr>
      <w:tr w:rsidR="00027FBF" w:rsidRPr="00564083" w14:paraId="2A584FF0" w14:textId="77777777" w:rsidTr="00027FBF">
        <w:tc>
          <w:tcPr>
            <w:tcW w:w="9923" w:type="dxa"/>
            <w:gridSpan w:val="2"/>
            <w:shd w:val="clear" w:color="auto" w:fill="DEEAF6"/>
          </w:tcPr>
          <w:p w14:paraId="5C119A46" w14:textId="77777777" w:rsidR="00027FBF" w:rsidRPr="00A83C94" w:rsidRDefault="00027FBF" w:rsidP="00027FBF">
            <w:pPr>
              <w:spacing w:before="0" w:line="276" w:lineRule="auto"/>
              <w:ind w:firstLine="0"/>
              <w:contextualSpacing w:val="0"/>
              <w:jc w:val="left"/>
              <w:rPr>
                <w:b w:val="0"/>
                <w:sz w:val="18"/>
                <w:szCs w:val="18"/>
                <w:lang w:val="hy-AM" w:eastAsia="en-US"/>
              </w:rPr>
            </w:pPr>
            <w:r w:rsidRPr="00A83C94">
              <w:rPr>
                <w:b w:val="0"/>
                <w:sz w:val="18"/>
                <w:szCs w:val="18"/>
                <w:lang w:val="hy-AM" w:eastAsia="en-US"/>
              </w:rPr>
              <w:t>ՀՀ-ում կորոնավիրուսի համավարակի տարածումը շարունակվեց նաև 2021թ.:</w:t>
            </w:r>
          </w:p>
        </w:tc>
      </w:tr>
      <w:tr w:rsidR="00027FBF" w:rsidRPr="00A83C94" w14:paraId="6459B88E" w14:textId="77777777" w:rsidTr="00027FBF">
        <w:tc>
          <w:tcPr>
            <w:tcW w:w="5868" w:type="dxa"/>
            <w:shd w:val="clear" w:color="auto" w:fill="DEEAF6"/>
          </w:tcPr>
          <w:p w14:paraId="18FF823B" w14:textId="77777777" w:rsidR="00027FBF" w:rsidRPr="00A83C94" w:rsidRDefault="00027FBF" w:rsidP="00027FBF">
            <w:pPr>
              <w:spacing w:before="0" w:line="276" w:lineRule="auto"/>
              <w:ind w:firstLine="0"/>
              <w:contextualSpacing w:val="0"/>
              <w:jc w:val="left"/>
              <w:rPr>
                <w:b w:val="0"/>
                <w:sz w:val="18"/>
                <w:szCs w:val="18"/>
                <w:lang w:val="hy-AM" w:eastAsia="en-US"/>
              </w:rPr>
            </w:pPr>
            <w:r w:rsidRPr="00A83C94">
              <w:rPr>
                <w:rFonts w:ascii="Arial Armenian" w:hAnsi="Arial Armenian"/>
                <w:noProof/>
                <w:sz w:val="24"/>
                <w:shd w:val="clear" w:color="auto" w:fill="D9D9D9"/>
                <w:lang w:val="en-US" w:eastAsia="en-US"/>
              </w:rPr>
              <w:drawing>
                <wp:inline distT="0" distB="0" distL="0" distR="0" wp14:anchorId="7C11B703" wp14:editId="4EA6DA83">
                  <wp:extent cx="3562184" cy="2209800"/>
                  <wp:effectExtent l="0" t="0" r="635" b="0"/>
                  <wp:docPr id="1"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33D552" w14:textId="77777777" w:rsidR="00027FBF" w:rsidRPr="00A83C94" w:rsidRDefault="00027FBF" w:rsidP="00027FBF">
            <w:pPr>
              <w:spacing w:before="0" w:line="240" w:lineRule="auto"/>
              <w:ind w:firstLine="0"/>
              <w:contextualSpacing w:val="0"/>
              <w:jc w:val="left"/>
              <w:rPr>
                <w:b w:val="0"/>
                <w:sz w:val="18"/>
                <w:szCs w:val="18"/>
                <w:lang w:val="hy-AM" w:eastAsia="en-US"/>
              </w:rPr>
            </w:pPr>
            <w:r w:rsidRPr="00A83C94">
              <w:rPr>
                <w:b w:val="0"/>
                <w:i/>
                <w:sz w:val="18"/>
                <w:szCs w:val="18"/>
                <w:lang w:val="en-US" w:eastAsia="en-US"/>
              </w:rPr>
              <w:t>Աղբյուրը՝ ՀՀ առողջապահության նախարարություն</w:t>
            </w:r>
          </w:p>
        </w:tc>
        <w:tc>
          <w:tcPr>
            <w:tcW w:w="4055" w:type="dxa"/>
            <w:shd w:val="clear" w:color="auto" w:fill="DEEAF6"/>
          </w:tcPr>
          <w:p w14:paraId="688B73FE" w14:textId="77777777" w:rsidR="00027FBF" w:rsidRPr="00A83C94" w:rsidRDefault="00027FBF" w:rsidP="00027FBF">
            <w:pPr>
              <w:spacing w:before="0" w:line="276" w:lineRule="auto"/>
              <w:ind w:firstLine="0"/>
              <w:contextualSpacing w:val="0"/>
              <w:jc w:val="left"/>
              <w:rPr>
                <w:b w:val="0"/>
                <w:sz w:val="18"/>
                <w:szCs w:val="18"/>
                <w:lang w:val="hy-AM" w:eastAsia="en-US"/>
              </w:rPr>
            </w:pPr>
            <w:r w:rsidRPr="00A83C94">
              <w:rPr>
                <w:rFonts w:ascii="Arial Armenian" w:hAnsi="Arial Armenian"/>
                <w:noProof/>
                <w:color w:val="1F4E79"/>
                <w:sz w:val="24"/>
                <w:lang w:val="en-US" w:eastAsia="en-US"/>
              </w:rPr>
              <w:drawing>
                <wp:inline distT="0" distB="0" distL="0" distR="0" wp14:anchorId="7219A722" wp14:editId="5D2DB17F">
                  <wp:extent cx="2472690" cy="2209800"/>
                  <wp:effectExtent l="0" t="0" r="3810" b="0"/>
                  <wp:docPr id="153" name="Chart 34">
                    <a:extLst xmlns:a="http://schemas.openxmlformats.org/drawingml/2006/main">
                      <a:ext uri="{FF2B5EF4-FFF2-40B4-BE49-F238E27FC236}">
                        <a16:creationId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8EDC2DF" w14:textId="77777777" w:rsidR="00027FBF" w:rsidRPr="00A83C94" w:rsidRDefault="00027FBF" w:rsidP="00027FBF">
            <w:pPr>
              <w:spacing w:before="0" w:line="276" w:lineRule="auto"/>
              <w:ind w:firstLine="0"/>
              <w:contextualSpacing w:val="0"/>
              <w:jc w:val="left"/>
              <w:rPr>
                <w:b w:val="0"/>
                <w:sz w:val="18"/>
                <w:szCs w:val="18"/>
                <w:lang w:val="hy-AM" w:eastAsia="en-US"/>
              </w:rPr>
            </w:pPr>
          </w:p>
        </w:tc>
      </w:tr>
      <w:tr w:rsidR="00027FBF" w:rsidRPr="00564083" w14:paraId="3F766385" w14:textId="77777777" w:rsidTr="00027FBF">
        <w:tc>
          <w:tcPr>
            <w:tcW w:w="9923" w:type="dxa"/>
            <w:gridSpan w:val="2"/>
            <w:shd w:val="clear" w:color="auto" w:fill="DEEAF6"/>
          </w:tcPr>
          <w:p w14:paraId="610A0DBB" w14:textId="77777777" w:rsidR="00027FBF" w:rsidRPr="00A83C94" w:rsidRDefault="00027FBF" w:rsidP="00027FBF">
            <w:pPr>
              <w:tabs>
                <w:tab w:val="right" w:pos="0"/>
              </w:tabs>
              <w:spacing w:before="60" w:after="60" w:line="276" w:lineRule="auto"/>
              <w:ind w:firstLine="187"/>
              <w:contextualSpacing w:val="0"/>
              <w:rPr>
                <w:rFonts w:cs="Sylfaen"/>
                <w:b w:val="0"/>
                <w:sz w:val="18"/>
                <w:szCs w:val="18"/>
                <w:lang w:val="hy-AM" w:eastAsia="en-US"/>
              </w:rPr>
            </w:pPr>
            <w:r w:rsidRPr="00A83C94">
              <w:rPr>
                <w:b w:val="0"/>
                <w:sz w:val="18"/>
                <w:szCs w:val="18"/>
                <w:lang w:val="hy-AM" w:eastAsia="en-US"/>
              </w:rPr>
              <w:t>2021-2025թթ</w:t>
            </w:r>
            <w:r w:rsidRPr="00A83C94">
              <w:rPr>
                <w:rFonts w:cs="Cambria Math"/>
                <w:b w:val="0"/>
                <w:sz w:val="18"/>
                <w:szCs w:val="18"/>
                <w:lang w:val="hy-AM" w:eastAsia="en-US"/>
              </w:rPr>
              <w:t>.</w:t>
            </w:r>
            <w:r w:rsidRPr="00A83C94">
              <w:rPr>
                <w:b w:val="0"/>
                <w:sz w:val="18"/>
                <w:szCs w:val="18"/>
                <w:lang w:val="hy-AM" w:eastAsia="en-US"/>
              </w:rPr>
              <w:t xml:space="preserve"> իմունականխարգելման ազգային ծրագրով նախատեսվում է </w:t>
            </w:r>
            <w:r w:rsidRPr="00A83C94">
              <w:rPr>
                <w:rFonts w:cs="Sylfaen"/>
                <w:b w:val="0"/>
                <w:sz w:val="18"/>
                <w:szCs w:val="18"/>
                <w:lang w:val="hy-AM" w:eastAsia="en-US"/>
              </w:rPr>
              <w:t>կորոնավիրուսային</w:t>
            </w:r>
            <w:r w:rsidRPr="00A83C94">
              <w:rPr>
                <w:b w:val="0"/>
                <w:sz w:val="18"/>
                <w:szCs w:val="18"/>
                <w:lang w:val="hy-AM" w:eastAsia="en-US"/>
              </w:rPr>
              <w:t xml:space="preserve"> </w:t>
            </w:r>
            <w:r w:rsidRPr="00A83C94">
              <w:rPr>
                <w:rFonts w:cs="Sylfaen"/>
                <w:b w:val="0"/>
                <w:sz w:val="18"/>
                <w:szCs w:val="18"/>
                <w:lang w:val="hy-AM" w:eastAsia="en-US"/>
              </w:rPr>
              <w:t>հիվանդության</w:t>
            </w:r>
            <w:r w:rsidRPr="00A83C94">
              <w:rPr>
                <w:b w:val="0"/>
                <w:sz w:val="18"/>
                <w:szCs w:val="18"/>
                <w:lang w:val="hy-AM" w:eastAsia="en-US"/>
              </w:rPr>
              <w:t xml:space="preserve"> (COVID-19) </w:t>
            </w:r>
            <w:r w:rsidRPr="00A83C94">
              <w:rPr>
                <w:rFonts w:cs="Sylfaen"/>
                <w:b w:val="0"/>
                <w:sz w:val="18"/>
                <w:szCs w:val="18"/>
                <w:lang w:val="hy-AM" w:eastAsia="en-US"/>
              </w:rPr>
              <w:t>համաճարակային</w:t>
            </w:r>
            <w:r w:rsidRPr="00A83C94">
              <w:rPr>
                <w:b w:val="0"/>
                <w:sz w:val="18"/>
                <w:szCs w:val="18"/>
                <w:lang w:val="hy-AM" w:eastAsia="en-US"/>
              </w:rPr>
              <w:t xml:space="preserve"> </w:t>
            </w:r>
            <w:r w:rsidRPr="00A83C94">
              <w:rPr>
                <w:rFonts w:cs="Sylfaen"/>
                <w:b w:val="0"/>
                <w:sz w:val="18"/>
                <w:szCs w:val="18"/>
                <w:lang w:val="hy-AM" w:eastAsia="en-US"/>
              </w:rPr>
              <w:t>իրավիճակի</w:t>
            </w:r>
            <w:r w:rsidRPr="00A83C94">
              <w:rPr>
                <w:b w:val="0"/>
                <w:sz w:val="18"/>
                <w:szCs w:val="18"/>
                <w:lang w:val="hy-AM" w:eastAsia="en-US"/>
              </w:rPr>
              <w:t xml:space="preserve"> </w:t>
            </w:r>
            <w:r w:rsidRPr="00A83C94">
              <w:rPr>
                <w:rFonts w:cs="Sylfaen"/>
                <w:b w:val="0"/>
                <w:sz w:val="18"/>
                <w:szCs w:val="18"/>
                <w:lang w:val="hy-AM" w:eastAsia="en-US"/>
              </w:rPr>
              <w:t>գնահատում</w:t>
            </w:r>
            <w:r w:rsidRPr="00A83C94">
              <w:rPr>
                <w:b w:val="0"/>
                <w:sz w:val="18"/>
                <w:szCs w:val="18"/>
                <w:lang w:val="hy-AM" w:eastAsia="en-US"/>
              </w:rPr>
              <w:t xml:space="preserve"> </w:t>
            </w:r>
            <w:r w:rsidRPr="00A83C94">
              <w:rPr>
                <w:rFonts w:cs="Sylfaen"/>
                <w:b w:val="0"/>
                <w:sz w:val="18"/>
                <w:szCs w:val="18"/>
                <w:lang w:val="hy-AM" w:eastAsia="en-US"/>
              </w:rPr>
              <w:t>և</w:t>
            </w:r>
            <w:r w:rsidRPr="00A83C94">
              <w:rPr>
                <w:b w:val="0"/>
                <w:sz w:val="18"/>
                <w:szCs w:val="18"/>
                <w:lang w:val="hy-AM" w:eastAsia="en-US"/>
              </w:rPr>
              <w:t xml:space="preserve"> </w:t>
            </w:r>
            <w:r w:rsidRPr="00A83C94">
              <w:rPr>
                <w:rFonts w:cs="Sylfaen"/>
                <w:b w:val="0"/>
                <w:sz w:val="18"/>
                <w:szCs w:val="18"/>
                <w:lang w:val="hy-AM" w:eastAsia="en-US"/>
              </w:rPr>
              <w:t>բնակչության</w:t>
            </w:r>
            <w:r w:rsidRPr="00A83C94">
              <w:rPr>
                <w:b w:val="0"/>
                <w:sz w:val="18"/>
                <w:szCs w:val="18"/>
                <w:lang w:val="hy-AM" w:eastAsia="en-US"/>
              </w:rPr>
              <w:t xml:space="preserve"> </w:t>
            </w:r>
            <w:r w:rsidRPr="00A83C94">
              <w:rPr>
                <w:rFonts w:cs="Sylfaen"/>
                <w:b w:val="0"/>
                <w:sz w:val="18"/>
                <w:szCs w:val="18"/>
                <w:lang w:val="hy-AM" w:eastAsia="en-US"/>
              </w:rPr>
              <w:t>ռիսկի</w:t>
            </w:r>
            <w:r w:rsidRPr="00A83C94">
              <w:rPr>
                <w:b w:val="0"/>
                <w:sz w:val="18"/>
                <w:szCs w:val="18"/>
                <w:lang w:val="hy-AM" w:eastAsia="en-US"/>
              </w:rPr>
              <w:t xml:space="preserve"> </w:t>
            </w:r>
            <w:r w:rsidRPr="00A83C94">
              <w:rPr>
                <w:rFonts w:cs="Sylfaen"/>
                <w:b w:val="0"/>
                <w:sz w:val="18"/>
                <w:szCs w:val="18"/>
                <w:lang w:val="hy-AM" w:eastAsia="en-US"/>
              </w:rPr>
              <w:t>խմբերի</w:t>
            </w:r>
            <w:r w:rsidRPr="00A83C94">
              <w:rPr>
                <w:b w:val="0"/>
                <w:sz w:val="18"/>
                <w:szCs w:val="18"/>
                <w:lang w:val="hy-AM" w:eastAsia="en-US"/>
              </w:rPr>
              <w:t xml:space="preserve"> </w:t>
            </w:r>
            <w:r w:rsidRPr="00A83C94">
              <w:rPr>
                <w:rFonts w:cs="Sylfaen"/>
                <w:b w:val="0"/>
                <w:sz w:val="18"/>
                <w:szCs w:val="18"/>
                <w:lang w:val="hy-AM" w:eastAsia="en-US"/>
              </w:rPr>
              <w:t>շրջանում</w:t>
            </w:r>
            <w:r w:rsidRPr="00A83C94">
              <w:rPr>
                <w:b w:val="0"/>
                <w:sz w:val="18"/>
                <w:szCs w:val="18"/>
                <w:lang w:val="hy-AM" w:eastAsia="en-US"/>
              </w:rPr>
              <w:t xml:space="preserve"> </w:t>
            </w:r>
            <w:r w:rsidRPr="00A83C94">
              <w:rPr>
                <w:rFonts w:cs="Sylfaen"/>
                <w:b w:val="0"/>
                <w:sz w:val="18"/>
                <w:szCs w:val="18"/>
                <w:lang w:val="hy-AM" w:eastAsia="en-US"/>
              </w:rPr>
              <w:t>համաճարակաբանական</w:t>
            </w:r>
            <w:r w:rsidRPr="00A83C94">
              <w:rPr>
                <w:b w:val="0"/>
                <w:sz w:val="18"/>
                <w:szCs w:val="18"/>
                <w:lang w:val="hy-AM" w:eastAsia="en-US"/>
              </w:rPr>
              <w:t xml:space="preserve"> </w:t>
            </w:r>
            <w:r w:rsidRPr="00A83C94">
              <w:rPr>
                <w:rFonts w:cs="Sylfaen"/>
                <w:b w:val="0"/>
                <w:sz w:val="18"/>
                <w:szCs w:val="18"/>
                <w:lang w:val="hy-AM" w:eastAsia="en-US"/>
              </w:rPr>
              <w:t>ցուցումով</w:t>
            </w:r>
            <w:r w:rsidRPr="00A83C94">
              <w:rPr>
                <w:b w:val="0"/>
                <w:sz w:val="18"/>
                <w:szCs w:val="18"/>
                <w:lang w:val="hy-AM" w:eastAsia="en-US"/>
              </w:rPr>
              <w:t xml:space="preserve"> </w:t>
            </w:r>
            <w:r w:rsidRPr="00A83C94">
              <w:rPr>
                <w:rFonts w:cs="Sylfaen"/>
                <w:b w:val="0"/>
                <w:sz w:val="18"/>
                <w:szCs w:val="18"/>
                <w:lang w:val="hy-AM" w:eastAsia="en-US"/>
              </w:rPr>
              <w:t>զանգվածային</w:t>
            </w:r>
            <w:r w:rsidRPr="00A83C94">
              <w:rPr>
                <w:b w:val="0"/>
                <w:sz w:val="18"/>
                <w:szCs w:val="18"/>
                <w:lang w:val="hy-AM" w:eastAsia="en-US"/>
              </w:rPr>
              <w:t xml:space="preserve"> </w:t>
            </w:r>
            <w:r w:rsidRPr="00A83C94">
              <w:rPr>
                <w:rFonts w:cs="Sylfaen"/>
                <w:b w:val="0"/>
                <w:sz w:val="18"/>
                <w:szCs w:val="18"/>
                <w:lang w:val="hy-AM" w:eastAsia="en-US"/>
              </w:rPr>
              <w:t>պատվաստումների</w:t>
            </w:r>
            <w:r w:rsidRPr="00A83C94">
              <w:rPr>
                <w:b w:val="0"/>
                <w:sz w:val="18"/>
                <w:szCs w:val="18"/>
                <w:lang w:val="hy-AM" w:eastAsia="en-US"/>
              </w:rPr>
              <w:t xml:space="preserve"> </w:t>
            </w:r>
            <w:r w:rsidRPr="00A83C94">
              <w:rPr>
                <w:rFonts w:cs="Sylfaen"/>
                <w:b w:val="0"/>
                <w:sz w:val="18"/>
                <w:szCs w:val="18"/>
                <w:lang w:val="hy-AM" w:eastAsia="en-US"/>
              </w:rPr>
              <w:t xml:space="preserve">իրականացում, որն արդեն իսկ մեկնարկել է, ինչի շրջանակներում՝ </w:t>
            </w:r>
          </w:p>
          <w:p w14:paraId="59BD9939"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Մարտի 28-ին ՀՀ ներկրվել է «AstraZeneca» պատվաստանյութի առաջին խմբաքանակը</w:t>
            </w:r>
            <w:r w:rsidRPr="00A83C94">
              <w:rPr>
                <w:rFonts w:cs="Segoe UI Historic"/>
                <w:b w:val="0"/>
                <w:sz w:val="18"/>
                <w:szCs w:val="18"/>
                <w:lang w:val="hy-AM" w:eastAsia="en-US"/>
              </w:rPr>
              <w:t>` 24</w:t>
            </w:r>
            <w:r w:rsidRPr="00A83C94">
              <w:rPr>
                <w:rFonts w:eastAsia="Calibri" w:cs="Segoe UI Historic"/>
                <w:b w:val="0"/>
                <w:sz w:val="18"/>
                <w:szCs w:val="18"/>
                <w:lang w:val="hy-AM" w:eastAsia="en-US"/>
              </w:rPr>
              <w:t xml:space="preserve">000 դեղաչափ: Նախատեսված է եղել </w:t>
            </w:r>
            <w:r w:rsidRPr="00A83C94">
              <w:rPr>
                <w:rFonts w:cs="Segoe UI Historic"/>
                <w:b w:val="0"/>
                <w:sz w:val="18"/>
                <w:szCs w:val="18"/>
                <w:lang w:val="hy-AM" w:eastAsia="en-US"/>
              </w:rPr>
              <w:t>65 և բարձր տարիքի մարդկանց, բուժաշխատողների, 16-54տ</w:t>
            </w:r>
            <w:r w:rsidRPr="00A83C94">
              <w:rPr>
                <w:rFonts w:ascii="Cambria Math" w:eastAsia="MS Mincho" w:hAnsi="Cambria Math" w:cs="Cambria Math"/>
                <w:b w:val="0"/>
                <w:sz w:val="18"/>
                <w:szCs w:val="18"/>
                <w:lang w:val="hy-AM" w:eastAsia="en-US"/>
              </w:rPr>
              <w:t>․</w:t>
            </w:r>
            <w:r w:rsidRPr="00A83C94">
              <w:rPr>
                <w:rFonts w:cs="Segoe UI Historic"/>
                <w:b w:val="0"/>
                <w:sz w:val="18"/>
                <w:szCs w:val="18"/>
                <w:lang w:val="hy-AM" w:eastAsia="en-US"/>
              </w:rPr>
              <w:t xml:space="preserve"> քրոնիկ հիվանդների և սոցիալական խնամքի կենտրոնի աշխատողների պատվաստման համար։</w:t>
            </w:r>
          </w:p>
          <w:p w14:paraId="59ABF4D3"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Ապրիլի 8-ին ներկրվել է «Sputnik-V» պատվաստանյութի առաջին խմբաքանակը՝ 15000 դեղաչափ` 7500 անձի համար։</w:t>
            </w:r>
            <w:r w:rsidRPr="00A83C94">
              <w:rPr>
                <w:rFonts w:ascii="Calibri" w:eastAsia="Calibri" w:hAnsi="Calibri" w:cs="Calibri"/>
                <w:b w:val="0"/>
                <w:sz w:val="18"/>
                <w:szCs w:val="18"/>
                <w:lang w:val="hy-AM" w:eastAsia="en-US"/>
              </w:rPr>
              <w:t> </w:t>
            </w:r>
          </w:p>
          <w:p w14:paraId="34DC29AE"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Ապրիլի 26-ին ներկրվել է «Sputnik-V» պատվաստանյութի նոր խմբաքանակ` 14000 անձի համար, իսկ 1000 մարդու պատվաստման համար Ռուսաստանը նվիրել է լրացուցիչ 2000 միավոր դեղաչափ։</w:t>
            </w:r>
          </w:p>
          <w:p w14:paraId="7D37C8AE"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Մայիսի 1-ին ներկրվել է ՉԺՀ կառավարության կողմից ՀՀ-ին որպես նվիրատվություն տրամադրված «Կորոնավակ» պատվաստանյութը` 100 հազար դեղաչափ` 50 հազար անձի համար: Պատվաստանյութով կարող են պատվաստվել 18-ից բարձր բոլոր քաղաքացիները` ըստ դիմելիության և կամավորության սկզբունքի։</w:t>
            </w:r>
          </w:p>
          <w:p w14:paraId="601ABE8F"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Մայիսի 12-ին ներկրվել է 14000 երկրորդ դեղաչափ «Sputnik-V» պատվաստանյութ: Դրանք նախատեսված են եղել 18-54 տարեկան բուժաշխատողների, քրոնիկ հիվանդների, սոցիալական խնամքի կենտրոնների բնակիչների և աշխատակիցների համար: </w:t>
            </w:r>
          </w:p>
          <w:p w14:paraId="7D0D5DD2" w14:textId="77777777" w:rsidR="00027FBF" w:rsidRPr="00A83C94" w:rsidRDefault="00027FBF" w:rsidP="00027FBF">
            <w:pPr>
              <w:numPr>
                <w:ilvl w:val="0"/>
                <w:numId w:val="51"/>
              </w:numPr>
              <w:tabs>
                <w:tab w:val="right" w:pos="0"/>
                <w:tab w:val="left" w:pos="360"/>
                <w:tab w:val="left" w:pos="687"/>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Մայիսի 17-ին ներկրվել է «AstraZeneca» պատվաստանյութի երկրորդ խմբաքանակը` 50 հազար դեղաչափ:</w:t>
            </w:r>
            <w:r w:rsidRPr="00A83C94">
              <w:rPr>
                <w:rFonts w:eastAsia="Calibri" w:cs="Segoe UI Historic"/>
                <w:b w:val="0"/>
                <w:sz w:val="18"/>
                <w:szCs w:val="18"/>
                <w:lang w:val="hy-AM" w:eastAsia="en-US"/>
              </w:rPr>
              <w:t xml:space="preserve"> </w:t>
            </w:r>
            <w:r w:rsidRPr="00A83C94">
              <w:rPr>
                <w:rFonts w:cs="Segoe UI Historic"/>
                <w:b w:val="0"/>
                <w:sz w:val="18"/>
                <w:szCs w:val="18"/>
                <w:lang w:val="hy-AM" w:eastAsia="en-US"/>
              </w:rPr>
              <w:t xml:space="preserve">«AstraZeneca»-ով կարող են պատվաստվել ՀՀ 18 տարեկանից բարձր բոլոր քաղաքացիները, ինչպես նաև օտարերկրացիները: </w:t>
            </w:r>
          </w:p>
          <w:p w14:paraId="04D53462" w14:textId="77777777" w:rsidR="00027FBF" w:rsidRPr="00A83C94" w:rsidRDefault="00027FBF" w:rsidP="00027FBF">
            <w:pPr>
              <w:numPr>
                <w:ilvl w:val="0"/>
                <w:numId w:val="51"/>
              </w:numPr>
              <w:tabs>
                <w:tab w:val="right" w:pos="0"/>
                <w:tab w:val="left" w:pos="360"/>
                <w:tab w:val="left" w:pos="687"/>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Մայիսի 22-ին «Sputnik-V» պատվաստանյութից օգտվելու հնարավորություններն ընդլայնվել են, և քրոնիկ հիվանդների համար հանվել է պատվաստումների մինչև 54 տարիքային շեմը։ </w:t>
            </w:r>
          </w:p>
          <w:p w14:paraId="02474715"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cs="Segoe UI Historic"/>
                <w:b w:val="0"/>
                <w:sz w:val="18"/>
                <w:szCs w:val="18"/>
                <w:lang w:val="hy-AM" w:eastAsia="en-US"/>
              </w:rPr>
              <w:t xml:space="preserve">Հունիսի 28-ից սկսած ՀՀ-ում 18 տարեկանից բարձր անձիք կարող են պատվաստվել առկա պատվաստանյութերից յուրաքանչյուրով՝ ըստ նախընտրության: </w:t>
            </w:r>
          </w:p>
          <w:p w14:paraId="037E9BF1"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2021թ. հուլիսի 7-ի դրությամբ ընդհանուր առմամբ ՀՀ ներմուծվել էր 294,460 դեղաչափ պատվաստանյութ, որից 120,060 դեղաչափ «Sputnik-V», 100,000 դեղաչափ CoronaVac և 74,400 դեղաչափ «AstraZeneca»: Պատվաստումներն իրականացվում են առողջության առաջնային պահպանման կազմակերպություններում, ինչպես նաև շարժական պատվաստումային խմբերի կողմից հանրային վայրերում: Կարող են պատվաստվել նաև Հայաստանում բնակվող օտարերկրյա քաղաքացիները: Պատվաստումներն անվճար են բոլորի համար և իրականացվում են միայն կամավորության սկզբունքով:</w:t>
            </w:r>
          </w:p>
          <w:p w14:paraId="2B311F95"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Հուլիսի 10-ին Հայաստանի Հանրապետությունում հայտարարված կարանտինի ժամկետը երկարաձգվել է մինչև 2021 թվականի դեկտեմբերի 20-ը:</w:t>
            </w:r>
          </w:p>
          <w:p w14:paraId="169555FD" w14:textId="77777777" w:rsidR="00027FBF" w:rsidRPr="00A83C94" w:rsidRDefault="00027FBF" w:rsidP="00027FBF">
            <w:pPr>
              <w:numPr>
                <w:ilvl w:val="0"/>
                <w:numId w:val="51"/>
              </w:numPr>
              <w:tabs>
                <w:tab w:val="right" w:pos="0"/>
                <w:tab w:val="left" w:pos="360"/>
              </w:tabs>
              <w:spacing w:before="60" w:after="60" w:line="276" w:lineRule="auto"/>
              <w:ind w:left="0" w:firstLine="180"/>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3-ին ՀՀ ներկրվել է կորոնավիրուսային հիվանդության դեմ «ԱստրաԶենեկա/Վաքսզևրիա» պատվաստանյութի հերթական խմբաքանակը՝ 50400 դեղաչափ: Պատվաստանյութը ձեռք է բերվել «COVAX FACILITY» նախաձեռնության շրջանականերում: Այն նախատեսված է 18 տարեկան և բարձր տարիքի անձանց շրջանում կորոնավիրուսային հիվանդության դեմ պատվաստումներ իրականացնելու համար: Բացի այդ, Ֆրանսիայի կառավարությունը որոշում է կայացրել Հայաստանին նվիրաբերել է 200 հազար դեղաչափ պատվաստանյութ:</w:t>
            </w:r>
          </w:p>
          <w:p w14:paraId="7A107E58"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18-ին ձեռք է բերվել</w:t>
            </w:r>
            <w:r w:rsidRPr="00A83C94">
              <w:rPr>
                <w:rFonts w:ascii="Times New Roman" w:hAnsi="Times New Roman"/>
                <w:b w:val="0"/>
                <w:sz w:val="24"/>
                <w:lang w:val="hy-AM" w:eastAsia="en-US"/>
              </w:rPr>
              <w:t xml:space="preserve"> </w:t>
            </w:r>
            <w:r w:rsidRPr="00A83C94">
              <w:rPr>
                <w:rFonts w:eastAsia="Calibri" w:cs="Segoe UI Historic"/>
                <w:b w:val="0"/>
                <w:sz w:val="18"/>
                <w:szCs w:val="18"/>
                <w:lang w:val="hy-AM" w:eastAsia="en-US"/>
              </w:rPr>
              <w:t>200 հազար դեղաչափ չինական «Սինոֆարմ» պատվաստանյութի խմբաքանակ` 100 հազար անձի համար։</w:t>
            </w:r>
          </w:p>
          <w:p w14:paraId="65CBFDB3"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Օգոստոսի 30-ին ձեռք է բերվել ռուսական «Սպուտնիկ-Վի» պատվաստանյութի երկրորդ դեղաչափի հերթական խմբաքանակը` 15000 անձի համար:</w:t>
            </w:r>
          </w:p>
          <w:p w14:paraId="5DD0AAB2"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3-ին Լիտվայի Հանրապետության կողմից Հայաստանի առողջապահության նախարարությանը, որպես նվիրատվություն, տրամադրվել է 27,500 դեղաչափ «ԱստրաԶենեկա» պատվաստանյութ:</w:t>
            </w:r>
          </w:p>
          <w:p w14:paraId="2931535F"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6-ին Բելգիայի Թագավորության կողմից Հայաստանի առողջապահության նախարարությանը, որպես նվիրատվություն, տրամադրվել է «ԱստրաԶենեկա/Վաքսզևրիա» պատվաստանյութի հերթական խմբաքանակը՝ 187,200 դեղաչափ։</w:t>
            </w:r>
          </w:p>
          <w:p w14:paraId="64581BC8"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ab/>
              <w:t>Սեպտեմբերի 14-ին Հայաստան է ներկրվել Ֆրանսիայի Հանրապետությունից Հայաստանի Հանրապետությանը նվիրաբերած «ԱստրաԶենեկա» պատվաստանյութի առաջին խմբաքանակը` 25 000 դեղաչափ:</w:t>
            </w:r>
          </w:p>
          <w:p w14:paraId="232EB14F"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Սեպտեմբերի 19-ի դրությամբ կատարվել է 366,779 պատվաստում, որից առաջին դեղաչափ` 237,454, երկրորդ դեղաչափ` 129,325։</w:t>
            </w:r>
          </w:p>
          <w:p w14:paraId="5154DB85" w14:textId="77777777" w:rsidR="00027FBF" w:rsidRPr="00A83C94" w:rsidRDefault="00027FBF" w:rsidP="00027FBF">
            <w:pPr>
              <w:numPr>
                <w:ilvl w:val="0"/>
                <w:numId w:val="51"/>
              </w:numPr>
              <w:tabs>
                <w:tab w:val="right" w:pos="0"/>
                <w:tab w:val="left" w:pos="360"/>
              </w:tabs>
              <w:spacing w:before="60" w:after="60" w:line="276" w:lineRule="auto"/>
              <w:ind w:left="0" w:firstLine="187"/>
              <w:contextualSpacing w:val="0"/>
              <w:rPr>
                <w:rFonts w:eastAsia="Calibri" w:cs="Segoe UI Historic"/>
                <w:b w:val="0"/>
                <w:sz w:val="18"/>
                <w:szCs w:val="18"/>
                <w:lang w:val="hy-AM" w:eastAsia="en-US"/>
              </w:rPr>
            </w:pPr>
            <w:r w:rsidRPr="00A83C94">
              <w:rPr>
                <w:rFonts w:eastAsia="Calibri" w:cs="Segoe UI Historic"/>
                <w:b w:val="0"/>
                <w:sz w:val="18"/>
                <w:szCs w:val="18"/>
                <w:lang w:val="hy-AM" w:eastAsia="en-US"/>
              </w:rPr>
              <w:t>2021թ. նախատեսվում է պատվաստել բնակչության 10%-ին։ Ներկայացված ցուցանիշը կարող է փոխվել՝ համաճարակային իրավիճակով պայմանավորված։</w:t>
            </w:r>
          </w:p>
        </w:tc>
      </w:tr>
    </w:tbl>
    <w:p w14:paraId="3BD4B5DD" w14:textId="77777777" w:rsidR="00027FBF" w:rsidRPr="00A83C94" w:rsidRDefault="00027FBF" w:rsidP="00027FBF">
      <w:pPr>
        <w:spacing w:after="60" w:line="276" w:lineRule="auto"/>
        <w:ind w:firstLine="360"/>
        <w:contextualSpacing w:val="0"/>
        <w:rPr>
          <w:rFonts w:eastAsia="GHEA Grapalat" w:cs="GHEA Grapalat"/>
          <w:b w:val="0"/>
          <w:szCs w:val="22"/>
          <w:lang w:val="hy-AM" w:eastAsia="en-US"/>
        </w:rPr>
      </w:pPr>
      <w:r w:rsidRPr="00A83C94">
        <w:rPr>
          <w:rFonts w:cs="Sylfaen"/>
          <w:bCs/>
          <w:szCs w:val="22"/>
          <w:u w:val="single"/>
          <w:lang w:val="hy-AM" w:eastAsia="en-US"/>
        </w:rPr>
        <w:t>Կանխատեսում։</w:t>
      </w:r>
      <w:r w:rsidRPr="00A83C94">
        <w:rPr>
          <w:rFonts w:cs="Sylfaen"/>
          <w:bCs/>
          <w:szCs w:val="22"/>
          <w:lang w:val="hy-AM" w:eastAsia="en-US"/>
        </w:rPr>
        <w:t xml:space="preserve"> ՀՀ և գործընկեր երկրների ընթացիկ և կանխատեսված տնտեսական զարգացումների, Արցախյան պատերազմի գնահատվող ազդեցությունների, </w:t>
      </w:r>
      <w:r w:rsidRPr="00A83C94">
        <w:rPr>
          <w:rFonts w:cs="Sylfaen"/>
          <w:szCs w:val="22"/>
          <w:lang w:val="hy-AM" w:eastAsia="en-US"/>
        </w:rPr>
        <w:t xml:space="preserve">Համավարակի և Արցախյան պատերազմի բացասական ազդեցությունների մեղմմանն ու տնտեսության վերականգնմանն ուղղված կառավարության կողմից իրականացված և իրականացվող հարկաբյուջետային միջոցառումների, ինչպես նաև Համավարակի համաշխարհային ճգնաժամի աստիճանական հաղթահարման պայմաններում 2021թ. տնտեսական աճը կվերականգնվի և կկազմի 6.5%: 2022թ. սպասվող </w:t>
      </w:r>
      <w:r w:rsidRPr="00A83C94">
        <w:rPr>
          <w:lang w:val="hy-AM"/>
        </w:rPr>
        <w:t>արտաքին տնտեսական բարենպաստ միջավայրի և ՀՀ կառավարության նպատակադրած տնտեսության ներուժի բարձրացմանն ուղղված միջոցառումների (առավել մանրամասն տես 1.4 բաժնում) պայմաններում կանխատեսվում է 7</w:t>
      </w:r>
      <w:r w:rsidRPr="00A83C94">
        <w:rPr>
          <w:rFonts w:ascii="Cambria Math" w:hAnsi="Cambria Math" w:cs="Cambria Math"/>
          <w:lang w:val="hy-AM"/>
        </w:rPr>
        <w:t>․</w:t>
      </w:r>
      <w:r w:rsidRPr="00A83C94">
        <w:rPr>
          <w:rFonts w:cs="Sylfaen"/>
          <w:szCs w:val="22"/>
          <w:lang w:val="hy-AM" w:eastAsia="en-US"/>
        </w:rPr>
        <w:t>0% տնտեսական աճ:</w:t>
      </w:r>
      <w:r w:rsidRPr="00A83C94">
        <w:rPr>
          <w:rFonts w:eastAsia="Calibri" w:cs="Sylfaen"/>
          <w:szCs w:val="22"/>
          <w:lang w:val="hy-AM" w:eastAsia="en-US"/>
        </w:rPr>
        <w:t xml:space="preserve"> </w:t>
      </w:r>
      <w:r w:rsidRPr="00A83C94">
        <w:rPr>
          <w:rFonts w:eastAsia="Calibri" w:cs="Sylfaen"/>
          <w:b w:val="0"/>
          <w:szCs w:val="22"/>
          <w:lang w:val="hy-AM" w:eastAsia="en-US"/>
        </w:rPr>
        <w:t>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 </w:t>
      </w:r>
      <w:r w:rsidRPr="00A83C94">
        <w:rPr>
          <w:rFonts w:eastAsia="Calibri" w:cs="Sylfaen"/>
          <w:b w:val="0"/>
          <w:szCs w:val="22"/>
          <w:lang w:val="hy-AM" w:eastAsia="en-US"/>
        </w:rPr>
        <w:t xml:space="preserve"> տ</w:t>
      </w:r>
      <w:r w:rsidRPr="00A83C94">
        <w:rPr>
          <w:rFonts w:eastAsia="GHEA Grapalat" w:cs="GHEA Grapalat"/>
          <w:b w:val="0"/>
          <w:szCs w:val="22"/>
          <w:lang w:val="hy-AM" w:eastAsia="en-US"/>
        </w:rPr>
        <w:t>նտեսական աճը պայմանավորված կլինի հիմնականում ծառայությունների աճերով, իսկ 2022 թ</w:t>
      </w:r>
      <w:r w:rsidRPr="00A83C94">
        <w:rPr>
          <w:rFonts w:ascii="Cambria Math" w:eastAsia="GHEA Grapalat" w:hAnsi="Cambria Math" w:cs="Cambria Math"/>
          <w:b w:val="0"/>
          <w:szCs w:val="22"/>
          <w:lang w:val="hy-AM" w:eastAsia="en-US"/>
        </w:rPr>
        <w:t>․</w:t>
      </w:r>
      <w:r w:rsidRPr="00A83C94">
        <w:rPr>
          <w:rFonts w:eastAsia="GHEA Grapalat"/>
          <w:b w:val="0"/>
          <w:szCs w:val="22"/>
          <w:lang w:val="hy-AM" w:eastAsia="en-US"/>
        </w:rPr>
        <w:t xml:space="preserve"> աճի արագացումը կապահովեն արդյունաբերության և շինարարության ճյուղերը</w:t>
      </w:r>
      <w:r w:rsidRPr="00A83C94">
        <w:rPr>
          <w:rFonts w:eastAsia="GHEA Grapalat" w:cs="GHEA Grapalat"/>
          <w:b w:val="0"/>
          <w:szCs w:val="22"/>
          <w:lang w:val="hy-AM" w:eastAsia="en-US"/>
        </w:rPr>
        <w:t xml:space="preserve">: Տնտեսության մյուս ճյուղերը նույնպես դրական ազդեցություն կունենան տնտեսական աճի վրա: Ամբողջական պահանջարկը նույնպես կաճի՝ պայմանավորված ներքին պահանջարկի աճով: </w:t>
      </w:r>
    </w:p>
    <w:p w14:paraId="6A51C33D" w14:textId="77777777" w:rsidR="00027FBF" w:rsidRPr="00A83C94" w:rsidRDefault="00027FBF" w:rsidP="00027FBF">
      <w:pPr>
        <w:spacing w:before="40" w:after="60" w:line="276" w:lineRule="auto"/>
        <w:ind w:firstLine="634"/>
        <w:contextualSpacing w:val="0"/>
        <w:rPr>
          <w:rFonts w:cs="Sylfaen"/>
          <w:b w:val="0"/>
          <w:szCs w:val="22"/>
          <w:lang w:val="hy-AM" w:eastAsia="en-US"/>
        </w:rPr>
      </w:pPr>
      <w:r w:rsidRPr="00A83C94">
        <w:rPr>
          <w:rFonts w:cs="Sylfaen"/>
          <w:b w:val="0"/>
          <w:szCs w:val="22"/>
          <w:lang w:val="it-IT" w:eastAsia="en-US"/>
        </w:rPr>
        <w:t>202</w:t>
      </w:r>
      <w:r w:rsidRPr="00A83C94">
        <w:rPr>
          <w:rFonts w:cs="Sylfaen"/>
          <w:b w:val="0"/>
          <w:szCs w:val="22"/>
          <w:lang w:val="hy-AM" w:eastAsia="en-US"/>
        </w:rPr>
        <w:t>1թ.</w:t>
      </w:r>
      <w:r w:rsidRPr="00A83C94">
        <w:rPr>
          <w:rFonts w:cs="Sylfaen"/>
          <w:b w:val="0"/>
          <w:szCs w:val="22"/>
          <w:lang w:val="it-IT" w:eastAsia="en-US"/>
        </w:rPr>
        <w:t xml:space="preserve"> </w:t>
      </w:r>
      <w:r w:rsidRPr="00A83C94">
        <w:rPr>
          <w:rFonts w:cs="Times Armenian"/>
          <w:b w:val="0"/>
          <w:szCs w:val="22"/>
          <w:lang w:val="it-IT" w:eastAsia="en-US"/>
        </w:rPr>
        <w:t>դեֆլյատորը կաճի</w:t>
      </w:r>
      <w:r w:rsidRPr="00A83C94">
        <w:rPr>
          <w:rFonts w:cs="Times Armenian"/>
          <w:b w:val="0"/>
          <w:szCs w:val="22"/>
          <w:lang w:val="hy-AM" w:eastAsia="en-US"/>
        </w:rPr>
        <w:t>՝</w:t>
      </w:r>
      <w:r w:rsidRPr="00A83C94">
        <w:rPr>
          <w:rFonts w:cs="Times Armenian"/>
          <w:b w:val="0"/>
          <w:szCs w:val="22"/>
          <w:lang w:val="it-IT" w:eastAsia="en-US"/>
        </w:rPr>
        <w:t xml:space="preserve"> </w:t>
      </w:r>
      <w:r w:rsidRPr="00A83C94">
        <w:rPr>
          <w:rFonts w:cs="Times Armenian"/>
          <w:b w:val="0"/>
          <w:szCs w:val="22"/>
          <w:lang w:val="hy-AM" w:eastAsia="en-US"/>
        </w:rPr>
        <w:t>պայմանավորված</w:t>
      </w:r>
      <w:r w:rsidRPr="00A83C94">
        <w:rPr>
          <w:rFonts w:cs="Sylfaen"/>
          <w:b w:val="0"/>
          <w:szCs w:val="22"/>
          <w:lang w:val="hy-AM" w:eastAsia="en-US"/>
        </w:rPr>
        <w:t xml:space="preserve"> ՍԳԻ-ի և</w:t>
      </w:r>
      <w:r w:rsidRPr="00A83C94">
        <w:rPr>
          <w:rFonts w:cs="Sylfaen"/>
          <w:b w:val="0"/>
          <w:szCs w:val="22"/>
          <w:lang w:val="it-IT" w:eastAsia="en-US"/>
        </w:rPr>
        <w:t xml:space="preserve"> </w:t>
      </w:r>
      <w:r w:rsidRPr="00A83C94">
        <w:rPr>
          <w:rFonts w:cs="Sylfaen"/>
          <w:b w:val="0"/>
          <w:szCs w:val="22"/>
          <w:lang w:val="hy-AM" w:eastAsia="en-US"/>
        </w:rPr>
        <w:t>ապրանքների միջազգային գների զարգացումներով, իսկ 2022թ.՝ ՍԳԻ-ին համահունչ կդանդաղի:</w:t>
      </w:r>
    </w:p>
    <w:p w14:paraId="5DBBE0D6" w14:textId="77777777" w:rsidR="00027FBF" w:rsidRPr="00A83C94" w:rsidRDefault="00027FBF" w:rsidP="00027FBF">
      <w:pPr>
        <w:tabs>
          <w:tab w:val="right" w:pos="0"/>
        </w:tabs>
        <w:spacing w:before="40" w:after="120" w:line="276" w:lineRule="auto"/>
        <w:ind w:firstLine="562"/>
        <w:contextualSpacing w:val="0"/>
        <w:rPr>
          <w:rFonts w:cs="Sylfaen"/>
          <w:szCs w:val="22"/>
          <w:lang w:val="hy-AM" w:eastAsia="en-US"/>
        </w:rPr>
      </w:pPr>
      <w:r w:rsidRPr="00A83C94">
        <w:rPr>
          <w:rFonts w:cs="Sylfaen"/>
          <w:szCs w:val="22"/>
          <w:lang w:val="hy-AM" w:eastAsia="en-US"/>
        </w:rPr>
        <w:t>Վերոնշյալ զարգացումների պայմաններում անվանական ՀՆԱ-ն 2021թ. կկազմի 7,031.2 մլրդ դրամ՝ 635.9 մլրդ դրամով ավելին լինելով 2021թ. պետական բյուջեով ծրագրված ցուցանիշից, և 151.0 մլրդ դրամով` 2022-2024թթ. ՄԺԾԾ ցուցանիշից: Իսկ 2022թ. անվանական ՀՆԱ-ն կաճի՝ կազմելով 7,869.4 մլրդ դրամ։</w:t>
      </w:r>
    </w:p>
    <w:p w14:paraId="0BAD5E3E" w14:textId="77777777" w:rsidR="00027FBF" w:rsidRPr="00A83C94" w:rsidRDefault="00027FBF" w:rsidP="00027FBF">
      <w:pPr>
        <w:spacing w:after="60" w:line="276" w:lineRule="auto"/>
        <w:ind w:firstLine="360"/>
        <w:contextualSpacing w:val="0"/>
        <w:rPr>
          <w:rFonts w:cs="Sylfaen"/>
          <w:bCs/>
          <w:szCs w:val="22"/>
          <w:u w:val="single"/>
          <w:lang w:val="hy-AM" w:eastAsia="en-US"/>
        </w:rPr>
      </w:pPr>
    </w:p>
    <w:tbl>
      <w:tblPr>
        <w:tblStyle w:val="TableGrid7130"/>
        <w:tblW w:w="0" w:type="auto"/>
        <w:tblBorders>
          <w:top w:val="single" w:sz="6" w:space="0" w:color="4472C4"/>
          <w:left w:val="single" w:sz="6" w:space="0" w:color="4472C4"/>
          <w:bottom w:val="single" w:sz="6" w:space="0" w:color="4472C4"/>
          <w:right w:val="single" w:sz="6" w:space="0" w:color="4472C4"/>
          <w:insideH w:val="single" w:sz="6" w:space="0" w:color="4472C4"/>
          <w:insideV w:val="single" w:sz="6" w:space="0" w:color="4472C4"/>
        </w:tblBorders>
        <w:tblLook w:val="04A0" w:firstRow="1" w:lastRow="0" w:firstColumn="1" w:lastColumn="0" w:noHBand="0" w:noVBand="1"/>
      </w:tblPr>
      <w:tblGrid>
        <w:gridCol w:w="4841"/>
        <w:gridCol w:w="4899"/>
      </w:tblGrid>
      <w:tr w:rsidR="00027FBF" w:rsidRPr="00564083" w14:paraId="10097931" w14:textId="77777777" w:rsidTr="00027FBF">
        <w:trPr>
          <w:trHeight w:val="3489"/>
        </w:trPr>
        <w:tc>
          <w:tcPr>
            <w:tcW w:w="4841" w:type="dxa"/>
          </w:tcPr>
          <w:p w14:paraId="1505249A" w14:textId="77777777" w:rsidR="00027FBF" w:rsidRPr="00A83C94" w:rsidRDefault="00027FBF" w:rsidP="00027FBF">
            <w:pPr>
              <w:spacing w:before="0" w:line="240" w:lineRule="auto"/>
              <w:ind w:firstLine="0"/>
              <w:rPr>
                <w:i/>
                <w:noProof/>
                <w:sz w:val="18"/>
                <w:szCs w:val="18"/>
                <w:lang w:val="hy-AM" w:eastAsia="en-US"/>
              </w:rPr>
            </w:pPr>
            <w:r w:rsidRPr="00A83C94">
              <w:rPr>
                <w:i/>
                <w:noProof/>
                <w:szCs w:val="22"/>
                <w:lang w:val="en-US" w:eastAsia="en-US"/>
              </w:rPr>
              <w:drawing>
                <wp:anchor distT="0" distB="0" distL="114300" distR="114300" simplePos="0" relativeHeight="251725824" behindDoc="0" locked="0" layoutInCell="1" allowOverlap="1" wp14:anchorId="3CFF2F93" wp14:editId="24D0FD76">
                  <wp:simplePos x="0" y="0"/>
                  <wp:positionH relativeFrom="column">
                    <wp:posOffset>-41275</wp:posOffset>
                  </wp:positionH>
                  <wp:positionV relativeFrom="paragraph">
                    <wp:posOffset>339090</wp:posOffset>
                  </wp:positionV>
                  <wp:extent cx="3076575" cy="1876425"/>
                  <wp:effectExtent l="0" t="0" r="9525" b="9525"/>
                  <wp:wrapSquare wrapText="bothSides"/>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Pr="00A83C94">
              <w:rPr>
                <w:i/>
                <w:noProof/>
                <w:sz w:val="18"/>
                <w:szCs w:val="18"/>
                <w:lang w:val="hy-AM" w:eastAsia="en-US"/>
              </w:rPr>
              <w:t>Գծապատկեր 1.14. Անվանական ՀՆԱ և տնտեսական աճ</w:t>
            </w:r>
          </w:p>
          <w:p w14:paraId="0159E4A4" w14:textId="77777777" w:rsidR="00027FBF" w:rsidRPr="00A83C94" w:rsidRDefault="00027FBF" w:rsidP="00027FBF">
            <w:pPr>
              <w:spacing w:before="0" w:line="276" w:lineRule="auto"/>
              <w:ind w:firstLine="0"/>
              <w:jc w:val="left"/>
              <w:rPr>
                <w:i/>
                <w:sz w:val="16"/>
                <w:szCs w:val="16"/>
                <w:lang w:val="hy-AM" w:eastAsia="en-US"/>
              </w:rPr>
            </w:pPr>
            <w:r w:rsidRPr="00A83C94">
              <w:rPr>
                <w:rFonts w:eastAsia="Calibri"/>
                <w:b w:val="0"/>
                <w:i/>
                <w:sz w:val="16"/>
                <w:szCs w:val="16"/>
                <w:lang w:val="hy-AM"/>
              </w:rPr>
              <w:t>Աղբյուրը՝ ՀՀ ՎԿ, ՀՀ ՖՆ հաշվարկներ և կանխատեսումներ</w:t>
            </w:r>
          </w:p>
        </w:tc>
        <w:tc>
          <w:tcPr>
            <w:tcW w:w="4899" w:type="dxa"/>
          </w:tcPr>
          <w:p w14:paraId="70A51FFF" w14:textId="77777777" w:rsidR="00027FBF" w:rsidRPr="00A83C94" w:rsidRDefault="00027FBF" w:rsidP="00027FBF">
            <w:pPr>
              <w:spacing w:before="0" w:line="240" w:lineRule="auto"/>
              <w:ind w:firstLine="0"/>
              <w:rPr>
                <w:i/>
                <w:noProof/>
                <w:sz w:val="18"/>
                <w:szCs w:val="18"/>
                <w:lang w:val="hy-AM" w:eastAsia="en-US"/>
              </w:rPr>
            </w:pPr>
            <w:r w:rsidRPr="00A83C94">
              <w:rPr>
                <w:i/>
                <w:noProof/>
                <w:sz w:val="18"/>
                <w:szCs w:val="18"/>
                <w:lang w:val="hy-AM" w:eastAsia="en-US"/>
              </w:rPr>
              <w:t>Գծապատկեր 1.15.</w:t>
            </w:r>
            <w:r w:rsidRPr="00A83C94">
              <w:rPr>
                <w:i/>
                <w:noProof/>
                <w:color w:val="FF0000"/>
                <w:sz w:val="18"/>
                <w:szCs w:val="18"/>
                <w:lang w:val="hy-AM" w:eastAsia="en-US"/>
              </w:rPr>
              <w:t xml:space="preserve"> </w:t>
            </w:r>
            <w:r w:rsidRPr="00A83C94">
              <w:rPr>
                <w:i/>
                <w:noProof/>
                <w:sz w:val="18"/>
                <w:szCs w:val="18"/>
                <w:lang w:val="hy-AM" w:eastAsia="en-US"/>
              </w:rPr>
              <w:t xml:space="preserve">Իրական ՀՆԱ անկումը/աճը տնտե- սական ճգնաժամերի և հաջորդող տարիներին </w:t>
            </w:r>
          </w:p>
          <w:p w14:paraId="09C9713A" w14:textId="77777777" w:rsidR="00027FBF" w:rsidRPr="00A83C94" w:rsidRDefault="00027FBF" w:rsidP="00027FBF">
            <w:pPr>
              <w:spacing w:before="40" w:after="160" w:line="276" w:lineRule="auto"/>
              <w:ind w:firstLine="0"/>
              <w:contextualSpacing w:val="0"/>
              <w:jc w:val="left"/>
              <w:rPr>
                <w:b w:val="0"/>
                <w:i/>
                <w:szCs w:val="16"/>
                <w:lang w:val="hy-AM" w:eastAsia="en-US"/>
              </w:rPr>
            </w:pPr>
            <w:r w:rsidRPr="00A83C94">
              <w:rPr>
                <w:b w:val="0"/>
                <w:i/>
                <w:noProof/>
                <w:sz w:val="18"/>
                <w:szCs w:val="16"/>
                <w:lang w:val="en-US" w:eastAsia="en-US"/>
              </w:rPr>
              <w:drawing>
                <wp:inline distT="0" distB="0" distL="0" distR="0" wp14:anchorId="0098504B" wp14:editId="6E4CF81A">
                  <wp:extent cx="3092450" cy="1876425"/>
                  <wp:effectExtent l="0" t="0" r="12700" b="9525"/>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A83C94">
              <w:rPr>
                <w:rFonts w:eastAsia="Calibri"/>
                <w:b w:val="0"/>
                <w:i/>
                <w:sz w:val="16"/>
                <w:szCs w:val="16"/>
                <w:lang w:val="hy-AM"/>
              </w:rPr>
              <w:t>Աղբյուրը՝ ՀՀ ՎԿ, ՀՀ ՖՆ կանխատեսում</w:t>
            </w:r>
          </w:p>
        </w:tc>
      </w:tr>
      <w:tr w:rsidR="00027FBF" w:rsidRPr="00564083" w14:paraId="1D4601F1" w14:textId="77777777" w:rsidTr="00027FBF">
        <w:trPr>
          <w:trHeight w:val="628"/>
        </w:trPr>
        <w:tc>
          <w:tcPr>
            <w:tcW w:w="4841" w:type="dxa"/>
          </w:tcPr>
          <w:p w14:paraId="567B0C57"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 xml:space="preserve">Գծապատկեր 1.16. Տնտեսության առանձին ճյուղերի նպաստումները տնտեսական աճին </w:t>
            </w:r>
          </w:p>
          <w:p w14:paraId="499540A5" w14:textId="77777777" w:rsidR="00027FBF" w:rsidRPr="00A83C94" w:rsidRDefault="00027FBF" w:rsidP="00027FBF">
            <w:pPr>
              <w:spacing w:before="0" w:line="276" w:lineRule="auto"/>
              <w:ind w:firstLine="29"/>
              <w:contextualSpacing w:val="0"/>
              <w:jc w:val="left"/>
              <w:rPr>
                <w:rFonts w:ascii="Times New Roman" w:hAnsi="Times New Roman"/>
                <w:sz w:val="24"/>
                <w:lang w:val="en-US" w:eastAsia="en-US"/>
              </w:rPr>
            </w:pPr>
            <w:r w:rsidRPr="00A83C94">
              <w:rPr>
                <w:rFonts w:ascii="Times New Roman" w:hAnsi="Times New Roman"/>
                <w:b w:val="0"/>
                <w:noProof/>
                <w:sz w:val="24"/>
                <w:shd w:val="clear" w:color="auto" w:fill="B4C6E7"/>
                <w:lang w:val="en-US" w:eastAsia="en-US"/>
              </w:rPr>
              <w:drawing>
                <wp:inline distT="0" distB="0" distL="0" distR="0" wp14:anchorId="19D6F9C1" wp14:editId="67382D50">
                  <wp:extent cx="3021330" cy="1868170"/>
                  <wp:effectExtent l="0" t="0" r="7620" b="1778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DDDC803" w14:textId="77777777" w:rsidR="00027FBF" w:rsidRPr="00A83C94" w:rsidRDefault="00027FBF" w:rsidP="00027FBF">
            <w:pPr>
              <w:spacing w:before="40" w:line="276" w:lineRule="auto"/>
              <w:ind w:firstLine="0"/>
              <w:jc w:val="left"/>
              <w:rPr>
                <w:b w:val="0"/>
                <w:i/>
                <w:sz w:val="16"/>
                <w:szCs w:val="16"/>
                <w:lang w:val="hy-AM" w:eastAsia="en-US"/>
              </w:rPr>
            </w:pPr>
            <w:r w:rsidRPr="00A83C94">
              <w:rPr>
                <w:b w:val="0"/>
                <w:i/>
                <w:sz w:val="16"/>
                <w:szCs w:val="16"/>
                <w:lang w:val="hy-AM" w:eastAsia="en-US"/>
              </w:rPr>
              <w:t xml:space="preserve">Աղբյուրը՝ </w:t>
            </w:r>
            <w:r w:rsidRPr="00A83C94">
              <w:rPr>
                <w:rFonts w:eastAsia="Calibri"/>
                <w:b w:val="0"/>
                <w:i/>
                <w:sz w:val="16"/>
                <w:szCs w:val="16"/>
                <w:lang w:val="hy-AM"/>
              </w:rPr>
              <w:t>ՀՀ ՎԿ, ՀՀ ՖՆ հաշվարկներ և կանխատեսումներ</w:t>
            </w:r>
          </w:p>
        </w:tc>
        <w:tc>
          <w:tcPr>
            <w:tcW w:w="4899" w:type="dxa"/>
          </w:tcPr>
          <w:p w14:paraId="404F25A2" w14:textId="77777777" w:rsidR="00027FBF" w:rsidRPr="00A83C94" w:rsidRDefault="00027FBF" w:rsidP="00027FBF">
            <w:pPr>
              <w:spacing w:before="0" w:after="60" w:line="240" w:lineRule="auto"/>
              <w:ind w:firstLine="0"/>
              <w:contextualSpacing w:val="0"/>
              <w:rPr>
                <w:i/>
                <w:noProof/>
                <w:sz w:val="18"/>
                <w:szCs w:val="18"/>
                <w:lang w:val="hy-AM" w:eastAsia="en-US"/>
              </w:rPr>
            </w:pPr>
            <w:r w:rsidRPr="00A83C94">
              <w:rPr>
                <w:i/>
                <w:noProof/>
                <w:sz w:val="18"/>
                <w:szCs w:val="18"/>
                <w:lang w:val="hy-AM" w:eastAsia="en-US"/>
              </w:rPr>
              <w:t>Գծապատկեր 1.17. Տնտեսական աճին պահանջարկի բաղադրիչների նպաստումները</w:t>
            </w:r>
          </w:p>
          <w:p w14:paraId="37638C26" w14:textId="77777777" w:rsidR="00027FBF" w:rsidRPr="00A83C94" w:rsidRDefault="00027FBF" w:rsidP="00027FBF">
            <w:pPr>
              <w:spacing w:before="0" w:line="276" w:lineRule="auto"/>
              <w:ind w:firstLine="0"/>
              <w:contextualSpacing w:val="0"/>
              <w:jc w:val="left"/>
              <w:rPr>
                <w:rFonts w:ascii="Times New Roman" w:hAnsi="Times New Roman"/>
                <w:b w:val="0"/>
                <w:sz w:val="24"/>
                <w:lang w:val="en-US" w:eastAsia="en-US"/>
              </w:rPr>
            </w:pPr>
            <w:r w:rsidRPr="00A83C94">
              <w:rPr>
                <w:rFonts w:ascii="Times New Roman" w:hAnsi="Times New Roman" w:cs="Sylfaen"/>
                <w:noProof/>
                <w:sz w:val="24"/>
                <w:lang w:val="en-US" w:eastAsia="en-US"/>
              </w:rPr>
              <w:drawing>
                <wp:inline distT="0" distB="0" distL="0" distR="0" wp14:anchorId="712F4BD9" wp14:editId="3E7DB25A">
                  <wp:extent cx="3123565" cy="1868446"/>
                  <wp:effectExtent l="0" t="0" r="635" b="1778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044E8C" w14:textId="77777777" w:rsidR="00027FBF" w:rsidRPr="00A83C94" w:rsidRDefault="00027FBF" w:rsidP="00027FBF">
            <w:pPr>
              <w:spacing w:before="40" w:line="276" w:lineRule="auto"/>
              <w:ind w:firstLine="0"/>
              <w:jc w:val="left"/>
              <w:rPr>
                <w:b w:val="0"/>
                <w:i/>
                <w:szCs w:val="22"/>
                <w:lang w:val="hy-AM" w:eastAsia="en-US"/>
              </w:rPr>
            </w:pPr>
            <w:r w:rsidRPr="00A83C94">
              <w:rPr>
                <w:b w:val="0"/>
                <w:i/>
                <w:sz w:val="16"/>
                <w:szCs w:val="16"/>
                <w:lang w:val="hy-AM" w:eastAsia="en-US"/>
              </w:rPr>
              <w:t xml:space="preserve">Աղբյուրը՝ ՀՀ ՎԿ, ՀՀ </w:t>
            </w:r>
            <w:r w:rsidRPr="00A83C94">
              <w:rPr>
                <w:b w:val="0"/>
                <w:i/>
                <w:sz w:val="18"/>
                <w:szCs w:val="16"/>
                <w:lang w:val="hy-AM" w:eastAsia="en-US"/>
              </w:rPr>
              <w:t>ՖՆ</w:t>
            </w:r>
            <w:r w:rsidRPr="00A83C94">
              <w:rPr>
                <w:b w:val="0"/>
                <w:i/>
                <w:sz w:val="16"/>
                <w:szCs w:val="16"/>
                <w:lang w:val="hy-AM" w:eastAsia="en-US"/>
              </w:rPr>
              <w:t xml:space="preserve"> հաշվարկներ և կանխատեսումներ</w:t>
            </w:r>
          </w:p>
        </w:tc>
      </w:tr>
    </w:tbl>
    <w:p w14:paraId="21C52D0E" w14:textId="77777777" w:rsidR="00027FBF" w:rsidRPr="00A83C94" w:rsidRDefault="00027FBF" w:rsidP="00027FBF">
      <w:pPr>
        <w:spacing w:after="60" w:line="276" w:lineRule="auto"/>
        <w:ind w:firstLine="562"/>
        <w:contextualSpacing w:val="0"/>
        <w:rPr>
          <w:rFonts w:cs="Sylfaen"/>
          <w:bCs/>
          <w:noProof/>
          <w:szCs w:val="22"/>
          <w:u w:val="single"/>
          <w:lang w:val="hy-AM" w:eastAsia="en-US"/>
        </w:rPr>
      </w:pPr>
    </w:p>
    <w:p w14:paraId="245E4166" w14:textId="77777777" w:rsidR="00027FBF" w:rsidRPr="00A83C94" w:rsidRDefault="00027FBF" w:rsidP="00027FBF">
      <w:pPr>
        <w:spacing w:after="60" w:line="276" w:lineRule="auto"/>
        <w:ind w:firstLine="562"/>
        <w:contextualSpacing w:val="0"/>
        <w:rPr>
          <w:rFonts w:cs="Sylfaen"/>
          <w:b w:val="0"/>
          <w:szCs w:val="22"/>
          <w:lang w:val="hy-AM" w:eastAsia="en-US"/>
        </w:rPr>
      </w:pPr>
      <w:r w:rsidRPr="00A83C94">
        <w:rPr>
          <w:rFonts w:cs="Sylfaen"/>
          <w:bCs/>
          <w:noProof/>
          <w:szCs w:val="22"/>
          <w:u w:val="single"/>
          <w:lang w:val="hy-AM" w:eastAsia="en-US"/>
        </w:rPr>
        <w:t>Համախառն առաջարկի կանխատեսում</w:t>
      </w:r>
      <w:r w:rsidRPr="00A83C94">
        <w:rPr>
          <w:rFonts w:cs="Sylfaen"/>
          <w:bCs/>
          <w:noProof/>
          <w:szCs w:val="22"/>
          <w:lang w:val="hy-AM" w:eastAsia="en-US"/>
        </w:rPr>
        <w:t xml:space="preserve">. </w:t>
      </w:r>
      <w:r w:rsidRPr="00A83C94">
        <w:rPr>
          <w:rFonts w:cs="Sylfaen"/>
          <w:b w:val="0"/>
          <w:noProof/>
          <w:szCs w:val="22"/>
          <w:lang w:val="hy-AM" w:eastAsia="en-US"/>
        </w:rPr>
        <w:t xml:space="preserve">2021թ. համավարակի և Արցախյան պատերազմի բացասական ազդեցությունների աստիճանական չեզոքացման արդյունքում՝ ներքին և արտաքին պահանջարկի վերականգնմամբ պայմանավորված սպասվում է տնտեսության աճի տեմպերի վերականգնում։ </w:t>
      </w:r>
      <w:r w:rsidRPr="00A83C94">
        <w:rPr>
          <w:rFonts w:cs="Sylfaen"/>
          <w:b w:val="0"/>
          <w:szCs w:val="22"/>
          <w:lang w:val="hy-AM" w:eastAsia="en-US"/>
        </w:rPr>
        <w:t>Տնտեսական աճը պայմանավորված կլինի հիմնականում ծառայությունների (ներառյալ առևտուրը) առաջանցիկ աճով (8.1%):  Արդյունաբերության, գյուղատնտեսության և շինարարության ճյուղերը նույնպես կաճեն (համապատասխանաբար՝ 4</w:t>
      </w:r>
      <w:r w:rsidRPr="00A83C94">
        <w:rPr>
          <w:rFonts w:ascii="Cambria Math" w:hAnsi="Cambria Math" w:cs="Cambria Math"/>
          <w:b w:val="0"/>
          <w:szCs w:val="22"/>
          <w:lang w:val="hy-AM" w:eastAsia="en-US"/>
        </w:rPr>
        <w:t>․</w:t>
      </w:r>
      <w:r w:rsidRPr="00A83C94">
        <w:rPr>
          <w:b w:val="0"/>
          <w:szCs w:val="22"/>
          <w:lang w:val="hy-AM" w:eastAsia="en-US"/>
        </w:rPr>
        <w:t>3</w:t>
      </w:r>
      <w:r w:rsidRPr="00A83C94">
        <w:rPr>
          <w:rFonts w:cs="Sylfaen"/>
          <w:b w:val="0"/>
          <w:szCs w:val="22"/>
          <w:lang w:val="hy-AM" w:eastAsia="en-US"/>
        </w:rPr>
        <w:t>%, 5.6% և 1.5%)` դրական նպաստելով տնտեսական աճին:</w:t>
      </w:r>
    </w:p>
    <w:p w14:paraId="4EFFB6F0" w14:textId="77777777" w:rsidR="00027FBF" w:rsidRPr="00A83C94" w:rsidRDefault="00027FBF" w:rsidP="00027FBF">
      <w:pPr>
        <w:spacing w:after="60" w:line="276" w:lineRule="auto"/>
        <w:ind w:firstLine="562"/>
        <w:contextualSpacing w:val="0"/>
        <w:rPr>
          <w:rFonts w:cs="Sylfaen"/>
          <w:bCs/>
          <w:noProof/>
          <w:szCs w:val="22"/>
          <w:u w:val="single"/>
          <w:lang w:val="hy-AM" w:eastAsia="en-US"/>
        </w:rPr>
      </w:pPr>
      <w:r w:rsidRPr="00A83C94">
        <w:rPr>
          <w:rFonts w:eastAsia="Calibri" w:cs="Sylfaen"/>
          <w:b w:val="0"/>
          <w:bCs/>
          <w:szCs w:val="22"/>
          <w:lang w:val="hy-AM" w:eastAsia="en-US"/>
        </w:rPr>
        <w:t xml:space="preserve">2022թ. համավարակի և Արցախյան պատերազմի բացասական ազդեցությունների չեզոքացման հետ մեկտեղ, պայմանավորված ներքին և արտաքին պահանջարկի վերականգնմամբ, պղնձի գների բարձր մակարդակով, </w:t>
      </w:r>
      <w:r w:rsidRPr="00A83C94">
        <w:rPr>
          <w:rFonts w:cs="Sylfaen"/>
          <w:b w:val="0"/>
          <w:bCs/>
          <w:noProof/>
          <w:szCs w:val="22"/>
          <w:lang w:val="hy-AM" w:eastAsia="en-US"/>
        </w:rPr>
        <w:t xml:space="preserve">ինչպես նաև </w:t>
      </w:r>
      <w:r w:rsidRPr="00A83C94">
        <w:rPr>
          <w:rFonts w:eastAsia="Calibri" w:cs="Sylfaen"/>
          <w:b w:val="0"/>
          <w:bCs/>
          <w:szCs w:val="22"/>
          <w:lang w:val="hy-AM" w:eastAsia="en-US"/>
        </w:rPr>
        <w:t>ՀՀ կառավարության կողմից նախատեսված մասնավոր ներդրումների խթանման,</w:t>
      </w:r>
      <w:r w:rsidRPr="00A83C94">
        <w:rPr>
          <w:rFonts w:cs="Sylfaen"/>
          <w:b w:val="0"/>
          <w:bCs/>
          <w:noProof/>
          <w:szCs w:val="22"/>
          <w:lang w:val="hy-AM" w:eastAsia="en-US"/>
        </w:rPr>
        <w:t xml:space="preserve"> գործարար միջավայրի բարելավման, տեխնոլոգիական առաջընթացի ապահովման, տնտեսության արտահանելի հատվածի և արտահաննամ խթանմանն ուղղված քաղաքականություններով, մեծածավալ պետական ներդրումների իրականացմամբ</w:t>
      </w:r>
      <w:r w:rsidRPr="00A83C94">
        <w:rPr>
          <w:rFonts w:eastAsia="Calibri" w:cs="Sylfaen"/>
          <w:b w:val="0"/>
          <w:bCs/>
          <w:szCs w:val="22"/>
          <w:lang w:val="hy-AM" w:eastAsia="en-US"/>
        </w:rPr>
        <w:t>` արդյունաբերությունը կաճի 8</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0%-ով, շինարարության ճյուղը՝ 18</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0%-ով, իսկ ծառայությունները և գյուղատնտեսությունը՝ համապատասխանաբար 5.9%-ով և 3.9%-ով:  </w:t>
      </w:r>
    </w:p>
    <w:tbl>
      <w:tblPr>
        <w:tblStyle w:val="TableGrid8130"/>
        <w:tblW w:w="0" w:type="auto"/>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4887"/>
        <w:gridCol w:w="4859"/>
      </w:tblGrid>
      <w:tr w:rsidR="00027FBF" w:rsidRPr="00564083" w14:paraId="599CB4CA" w14:textId="77777777" w:rsidTr="00027FBF">
        <w:trPr>
          <w:trHeight w:val="3783"/>
        </w:trPr>
        <w:tc>
          <w:tcPr>
            <w:tcW w:w="4887" w:type="dxa"/>
          </w:tcPr>
          <w:p w14:paraId="431A0551" w14:textId="77777777" w:rsidR="00027FBF" w:rsidRPr="00A83C94" w:rsidRDefault="00027FBF" w:rsidP="00027FBF">
            <w:pPr>
              <w:spacing w:before="0" w:line="240" w:lineRule="auto"/>
              <w:ind w:firstLine="0"/>
              <w:rPr>
                <w:i/>
                <w:noProof/>
                <w:sz w:val="18"/>
                <w:szCs w:val="18"/>
                <w:lang w:val="hy-AM" w:eastAsia="en-US"/>
              </w:rPr>
            </w:pPr>
            <w:r w:rsidRPr="00A83C94">
              <w:rPr>
                <w:i/>
                <w:noProof/>
                <w:szCs w:val="22"/>
                <w:lang w:val="en-US" w:eastAsia="en-US"/>
              </w:rPr>
              <w:drawing>
                <wp:anchor distT="0" distB="0" distL="114300" distR="114300" simplePos="0" relativeHeight="251728896" behindDoc="0" locked="0" layoutInCell="1" allowOverlap="1" wp14:anchorId="772FFD89" wp14:editId="071E5E9E">
                  <wp:simplePos x="0" y="0"/>
                  <wp:positionH relativeFrom="column">
                    <wp:posOffset>-5137</wp:posOffset>
                  </wp:positionH>
                  <wp:positionV relativeFrom="paragraph">
                    <wp:posOffset>373901</wp:posOffset>
                  </wp:positionV>
                  <wp:extent cx="3112135" cy="1807845"/>
                  <wp:effectExtent l="0" t="0" r="12065" b="1905"/>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r w:rsidRPr="00A83C94">
              <w:rPr>
                <w:i/>
                <w:noProof/>
                <w:sz w:val="18"/>
                <w:szCs w:val="18"/>
                <w:lang w:val="hy-AM" w:eastAsia="en-US"/>
              </w:rPr>
              <w:t>Գծապատկեր 1.18. Ճյուղերի տեսակարար կշիռները ՀՆԱ-ի կազմում</w:t>
            </w:r>
          </w:p>
          <w:p w14:paraId="584ADAC7" w14:textId="77777777" w:rsidR="00027FBF" w:rsidRPr="00A83C94" w:rsidRDefault="00027FBF" w:rsidP="00027FBF">
            <w:pPr>
              <w:spacing w:before="40" w:line="276" w:lineRule="auto"/>
              <w:ind w:firstLine="0"/>
              <w:contextualSpacing w:val="0"/>
              <w:jc w:val="left"/>
              <w:rPr>
                <w:b w:val="0"/>
                <w:i/>
                <w:sz w:val="16"/>
                <w:szCs w:val="16"/>
                <w:lang w:val="hy-AM" w:eastAsia="en-US"/>
              </w:rPr>
            </w:pPr>
            <w:r w:rsidRPr="00A83C94">
              <w:rPr>
                <w:b w:val="0"/>
                <w:i/>
                <w:sz w:val="16"/>
                <w:szCs w:val="16"/>
                <w:lang w:val="hy-AM" w:eastAsia="en-US"/>
              </w:rPr>
              <w:t>Աղբյուրը՝ ՀՀ ՎԿ, ՀՀ ՖՆ հաշվարկներ և կանխատեսումներ</w:t>
            </w:r>
          </w:p>
        </w:tc>
        <w:tc>
          <w:tcPr>
            <w:tcW w:w="4859" w:type="dxa"/>
          </w:tcPr>
          <w:p w14:paraId="4AB7E2C7" w14:textId="77777777" w:rsidR="00027FBF" w:rsidRPr="00A83C94" w:rsidRDefault="00027FBF" w:rsidP="00027FBF">
            <w:pPr>
              <w:spacing w:before="0" w:line="240" w:lineRule="auto"/>
              <w:ind w:firstLine="0"/>
              <w:rPr>
                <w:i/>
                <w:noProof/>
                <w:sz w:val="18"/>
                <w:szCs w:val="18"/>
                <w:lang w:val="hy-AM" w:eastAsia="en-US"/>
              </w:rPr>
            </w:pPr>
            <w:r w:rsidRPr="00A83C94">
              <w:rPr>
                <w:i/>
                <w:noProof/>
                <w:sz w:val="18"/>
                <w:szCs w:val="18"/>
                <w:lang w:val="en-US" w:eastAsia="en-US"/>
              </w:rPr>
              <w:drawing>
                <wp:anchor distT="0" distB="0" distL="114300" distR="114300" simplePos="0" relativeHeight="251719680" behindDoc="0" locked="0" layoutInCell="1" allowOverlap="1" wp14:anchorId="332091F7" wp14:editId="038C7DE9">
                  <wp:simplePos x="0" y="0"/>
                  <wp:positionH relativeFrom="column">
                    <wp:posOffset>32963</wp:posOffset>
                  </wp:positionH>
                  <wp:positionV relativeFrom="paragraph">
                    <wp:posOffset>378317</wp:posOffset>
                  </wp:positionV>
                  <wp:extent cx="3102610" cy="1807845"/>
                  <wp:effectExtent l="0" t="0" r="2540" b="1905"/>
                  <wp:wrapSquare wrapText="bothSides"/>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Pr="00A83C94">
              <w:rPr>
                <w:i/>
                <w:noProof/>
                <w:sz w:val="18"/>
                <w:szCs w:val="18"/>
                <w:lang w:val="hy-AM" w:eastAsia="en-US"/>
              </w:rPr>
              <w:t>Գծապատկեր 1.19. Ծախսային բաղադրիչների տեսա- կարար կշիռները ՀՆԱ-ի կազմում</w:t>
            </w:r>
          </w:p>
          <w:p w14:paraId="0B83C802" w14:textId="77777777" w:rsidR="00027FBF" w:rsidRPr="00A83C94" w:rsidRDefault="00027FBF" w:rsidP="00027FBF">
            <w:pPr>
              <w:spacing w:before="40" w:line="276" w:lineRule="auto"/>
              <w:ind w:firstLine="0"/>
              <w:contextualSpacing w:val="0"/>
              <w:jc w:val="left"/>
              <w:rPr>
                <w:b w:val="0"/>
                <w:i/>
                <w:sz w:val="16"/>
                <w:szCs w:val="16"/>
                <w:lang w:val="hy-AM" w:eastAsia="en-US"/>
              </w:rPr>
            </w:pPr>
            <w:r w:rsidRPr="00A83C94">
              <w:rPr>
                <w:b w:val="0"/>
                <w:i/>
                <w:sz w:val="16"/>
                <w:szCs w:val="16"/>
                <w:lang w:val="hy-AM" w:eastAsia="en-US"/>
              </w:rPr>
              <w:t>Աղբյուրը՝ ՀՀ ՎԿ, ՀՀ ՖՆ հաշվարկներ և կանխատեսումներ</w:t>
            </w:r>
          </w:p>
        </w:tc>
      </w:tr>
    </w:tbl>
    <w:p w14:paraId="6BD08ED5" w14:textId="77777777" w:rsidR="00027FBF" w:rsidRPr="00A83C94" w:rsidRDefault="00027FBF" w:rsidP="00027FBF">
      <w:pPr>
        <w:spacing w:after="60" w:line="276" w:lineRule="auto"/>
        <w:ind w:firstLine="562"/>
        <w:contextualSpacing w:val="0"/>
        <w:rPr>
          <w:rFonts w:eastAsia="Calibri" w:cs="Sylfaen"/>
          <w:b w:val="0"/>
          <w:bCs/>
          <w:szCs w:val="22"/>
          <w:lang w:val="hy-AM" w:eastAsia="en-US"/>
        </w:rPr>
      </w:pPr>
      <w:r w:rsidRPr="00A83C94">
        <w:rPr>
          <w:rFonts w:eastAsia="Calibri"/>
          <w:bCs/>
          <w:szCs w:val="22"/>
          <w:u w:val="single"/>
          <w:lang w:val="hy-AM" w:eastAsia="en-US"/>
        </w:rPr>
        <w:t>Համախառն պահանջարկ</w:t>
      </w:r>
      <w:r w:rsidRPr="00A83C94">
        <w:rPr>
          <w:rFonts w:eastAsia="Calibri" w:cs="Times Armenian"/>
          <w:szCs w:val="22"/>
          <w:u w:val="single"/>
          <w:lang w:val="hy-AM" w:eastAsia="en-US"/>
        </w:rPr>
        <w:t xml:space="preserve">ի </w:t>
      </w:r>
      <w:r w:rsidRPr="00A83C94">
        <w:rPr>
          <w:rFonts w:eastAsia="Calibri" w:cs="Sylfaen"/>
          <w:szCs w:val="22"/>
          <w:u w:val="single"/>
          <w:lang w:val="hy-AM" w:eastAsia="en-US"/>
        </w:rPr>
        <w:t>կանխատեսում.</w:t>
      </w:r>
      <w:r w:rsidRPr="00A83C94">
        <w:rPr>
          <w:rFonts w:eastAsia="Calibri" w:cs="Sylfaen"/>
          <w:szCs w:val="22"/>
          <w:lang w:val="hy-AM" w:eastAsia="en-US"/>
        </w:rPr>
        <w:t xml:space="preserve"> </w:t>
      </w:r>
      <w:r w:rsidRPr="00A83C94">
        <w:rPr>
          <w:rFonts w:eastAsia="Calibri" w:cs="Sylfaen"/>
          <w:b w:val="0"/>
          <w:bCs/>
          <w:szCs w:val="22"/>
          <w:lang w:val="hy-AM" w:eastAsia="en-US"/>
        </w:rPr>
        <w:t xml:space="preserve">Համավարակի և Արցախյան պատերազմի բացասական ազդեցությունների աստիճանական թուլացման պայմաններում 2021թ. վերջնական սպառումը </w:t>
      </w:r>
      <w:r>
        <w:rPr>
          <w:rFonts w:eastAsia="Calibri" w:cs="Sylfaen"/>
          <w:b w:val="0"/>
          <w:bCs/>
          <w:szCs w:val="22"/>
          <w:lang w:val="hy-AM" w:eastAsia="en-US"/>
        </w:rPr>
        <w:t xml:space="preserve">իրական արտահայտությամբ </w:t>
      </w:r>
      <w:r w:rsidRPr="00A83C94">
        <w:rPr>
          <w:rFonts w:eastAsia="Calibri" w:cs="Sylfaen"/>
          <w:b w:val="0"/>
          <w:bCs/>
          <w:szCs w:val="22"/>
          <w:lang w:val="hy-AM" w:eastAsia="en-US"/>
        </w:rPr>
        <w:t>կաճի 7.7%-ով, իսկ ներդրումները՝ 3.6%-ով։ Սպառման և ներդրումների աճին կնպաստեն տնօրինվող եկամտի աճը, նախորդ տարի մասնավոր հատվածում կուտակված խնայողությունների օգտագործումը, ինչպես նաև 2020թ. իրականացված և 2021թ. շարունակվող  ՀՀ կառավարության կողմից վարվող համավարակի և Արցախյան պատերազմի հետևանքների մեղմանն ու ներդրումային միջավայրի բարելավմանն ուղղված քաղաքականությունները։ 2022թ. սպառումը կաճի 4.</w:t>
      </w:r>
      <w:r w:rsidRPr="005427C8">
        <w:rPr>
          <w:rFonts w:eastAsia="Calibri" w:cs="Sylfaen"/>
          <w:b w:val="0"/>
          <w:bCs/>
          <w:szCs w:val="22"/>
          <w:lang w:val="hy-AM" w:eastAsia="en-US"/>
        </w:rPr>
        <w:t>7</w:t>
      </w:r>
      <w:r w:rsidRPr="00A83C94">
        <w:rPr>
          <w:rFonts w:eastAsia="Calibri" w:cs="Sylfaen"/>
          <w:b w:val="0"/>
          <w:bCs/>
          <w:szCs w:val="22"/>
          <w:lang w:val="hy-AM" w:eastAsia="en-US"/>
        </w:rPr>
        <w:t>%-ով, իսկ ներդրումները՝ 22.</w:t>
      </w:r>
      <w:r w:rsidRPr="008413F5">
        <w:rPr>
          <w:rFonts w:eastAsia="Calibri" w:cs="Sylfaen"/>
          <w:b w:val="0"/>
          <w:bCs/>
          <w:szCs w:val="22"/>
          <w:lang w:val="hy-AM" w:eastAsia="en-US"/>
        </w:rPr>
        <w:t>1</w:t>
      </w:r>
      <w:r w:rsidRPr="00A83C94">
        <w:rPr>
          <w:rFonts w:eastAsia="Calibri" w:cs="Sylfaen"/>
          <w:b w:val="0"/>
          <w:bCs/>
          <w:szCs w:val="22"/>
          <w:lang w:val="hy-AM" w:eastAsia="en-US"/>
        </w:rPr>
        <w:t>%-ով: Ներդրումների աճը կպայմանավորվի ՀՀ կառավարության կողմից ենթակառուցվածքներում խոշոր պետական ներդրումներով (</w:t>
      </w:r>
      <w:r w:rsidRPr="005427C8">
        <w:rPr>
          <w:rFonts w:eastAsia="Calibri" w:cs="Sylfaen"/>
          <w:b w:val="0"/>
          <w:bCs/>
          <w:szCs w:val="22"/>
          <w:lang w:val="hy-AM" w:eastAsia="en-US"/>
        </w:rPr>
        <w:t>4</w:t>
      </w:r>
      <w:r w:rsidRPr="008413F5">
        <w:rPr>
          <w:rFonts w:eastAsia="Calibri" w:cs="Sylfaen"/>
          <w:b w:val="0"/>
          <w:bCs/>
          <w:szCs w:val="22"/>
          <w:lang w:val="hy-AM" w:eastAsia="en-US"/>
        </w:rPr>
        <w:t>4</w:t>
      </w:r>
      <w:r w:rsidRPr="005427C8">
        <w:rPr>
          <w:rFonts w:eastAsia="Calibri" w:cs="Sylfaen"/>
          <w:b w:val="0"/>
          <w:bCs/>
          <w:szCs w:val="22"/>
          <w:lang w:val="hy-AM" w:eastAsia="en-US"/>
        </w:rPr>
        <w:t>.</w:t>
      </w:r>
      <w:r w:rsidRPr="008413F5">
        <w:rPr>
          <w:rFonts w:eastAsia="Calibri" w:cs="Sylfaen"/>
          <w:b w:val="0"/>
          <w:bCs/>
          <w:szCs w:val="22"/>
          <w:lang w:val="hy-AM" w:eastAsia="en-US"/>
        </w:rPr>
        <w:t>5</w:t>
      </w:r>
      <w:r w:rsidRPr="00A83C94">
        <w:rPr>
          <w:rFonts w:eastAsia="Calibri" w:cs="Sylfaen"/>
          <w:b w:val="0"/>
          <w:bCs/>
          <w:szCs w:val="22"/>
          <w:lang w:val="hy-AM" w:eastAsia="en-US"/>
        </w:rPr>
        <w:t>% պետական ներդրումների աճ), ինչպես նաև ՀՀ կառավարության կողմից մասնավոր ներդրումների խթանման քաղաքականության իրականացման արդյունքում ներքին և օտարերկրյա միջոցներով ֆինանսավորվող մասնավոր ներդրումներով (</w:t>
      </w:r>
      <w:r w:rsidRPr="005427C8">
        <w:rPr>
          <w:rFonts w:eastAsia="Calibri" w:cs="Sylfaen"/>
          <w:b w:val="0"/>
          <w:bCs/>
          <w:szCs w:val="22"/>
          <w:lang w:val="hy-AM" w:eastAsia="en-US"/>
        </w:rPr>
        <w:t>15.</w:t>
      </w:r>
      <w:r w:rsidRPr="00AF2ED1">
        <w:rPr>
          <w:rFonts w:eastAsia="Calibri" w:cs="Sylfaen"/>
          <w:b w:val="0"/>
          <w:bCs/>
          <w:szCs w:val="22"/>
          <w:lang w:val="hy-AM" w:eastAsia="en-US"/>
        </w:rPr>
        <w:t>6</w:t>
      </w:r>
      <w:r w:rsidRPr="00A83C94">
        <w:rPr>
          <w:rFonts w:eastAsia="Calibri" w:cs="Sylfaen"/>
          <w:b w:val="0"/>
          <w:bCs/>
          <w:szCs w:val="22"/>
          <w:lang w:val="hy-AM" w:eastAsia="en-US"/>
        </w:rPr>
        <w:t>% մասնավոր ներդրումների աճ)։</w:t>
      </w:r>
    </w:p>
    <w:p w14:paraId="3B047F56" w14:textId="77777777" w:rsidR="00027FBF" w:rsidRPr="00A83C94" w:rsidRDefault="00027FBF" w:rsidP="00027FBF">
      <w:pPr>
        <w:spacing w:before="40" w:after="60" w:line="276" w:lineRule="auto"/>
        <w:ind w:firstLine="562"/>
        <w:contextualSpacing w:val="0"/>
        <w:rPr>
          <w:rFonts w:eastAsia="Calibri" w:cs="Sylfaen"/>
          <w:b w:val="0"/>
          <w:bCs/>
          <w:szCs w:val="22"/>
          <w:lang w:val="hy-AM" w:eastAsia="en-US"/>
        </w:rPr>
      </w:pPr>
      <w:r w:rsidRPr="00A83C94">
        <w:rPr>
          <w:rFonts w:eastAsia="Calibri" w:cs="Sylfaen"/>
          <w:b w:val="0"/>
          <w:bCs/>
          <w:szCs w:val="22"/>
          <w:lang w:val="hy-AM" w:eastAsia="en-US"/>
        </w:rPr>
        <w:t>2021թ. արտահանումը և ներմուծումը կաճեն համապատասխանաբար 7.6%-ով և 8.2%-ով՝ պայմանավորված ներքին և արտաքին պահանջարկի, ինչպես նաև տնտեսական ակտիվության վերականգմամբ։ ՀՀ և համաշխարհային տնտեսական աճերի, ՀՀ տնտեսության արտահանելի հատվածի զարգացումների, տնօրինվող եկամտի աճի, զբոսաշրջության վերականգման, ինչպես նաև արտահանմանը և ներդրումների խրախուսմանն ուղղված ՀՀ կառավարության քաղաքականության պայմաններում 2022թ. արտահանումն ու ներմուծումը կաճեն համապատասխանաբար` 14.3%-ով և 15.3%-ով:</w:t>
      </w:r>
    </w:p>
    <w:p w14:paraId="3695C6C2" w14:textId="77777777" w:rsidR="00027FBF" w:rsidRPr="00A83C94" w:rsidRDefault="00027FBF" w:rsidP="00027FBF">
      <w:pPr>
        <w:spacing w:before="40" w:after="60" w:line="276" w:lineRule="auto"/>
        <w:ind w:firstLine="562"/>
        <w:contextualSpacing w:val="0"/>
        <w:rPr>
          <w:rFonts w:eastAsia="Calibri" w:cs="Sylfaen"/>
          <w:b w:val="0"/>
          <w:bCs/>
          <w:szCs w:val="22"/>
          <w:lang w:val="hy-AM" w:eastAsia="en-US"/>
        </w:rPr>
      </w:pPr>
    </w:p>
    <w:p w14:paraId="2AF6C304"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bookmarkStart w:id="134" w:name="_Toc51360524"/>
      <w:r w:rsidRPr="00A83C94">
        <w:rPr>
          <w:rFonts w:eastAsia="Calibri"/>
          <w:bCs/>
          <w:sz w:val="24"/>
          <w:lang w:val="hy-AM" w:eastAsia="en-US"/>
        </w:rPr>
        <w:t>1.3.2. Աշխատանքի շուկա</w:t>
      </w:r>
      <w:bookmarkEnd w:id="134"/>
    </w:p>
    <w:p w14:paraId="57A42F51" w14:textId="77777777" w:rsidR="00027FBF" w:rsidRPr="00A83C94" w:rsidRDefault="00027FBF" w:rsidP="00027FBF">
      <w:pPr>
        <w:tabs>
          <w:tab w:val="num" w:pos="720"/>
          <w:tab w:val="left" w:pos="9450"/>
        </w:tabs>
        <w:spacing w:before="40" w:after="60" w:line="276" w:lineRule="auto"/>
        <w:ind w:firstLine="630"/>
        <w:contextualSpacing w:val="0"/>
        <w:rPr>
          <w:rFonts w:cs="Times Armenian"/>
          <w:szCs w:val="22"/>
          <w:lang w:val="hy-AM" w:eastAsia="en-US"/>
        </w:rPr>
      </w:pPr>
      <w:r w:rsidRPr="00A83C94">
        <w:rPr>
          <w:rFonts w:cs="Times Armenian"/>
          <w:bCs/>
          <w:szCs w:val="22"/>
          <w:lang w:val="hy-AM" w:eastAsia="en-US"/>
        </w:rPr>
        <w:t>Տնտեսական անկման պայմաններում 2020թ. գործազրկության մակարդակն աճել է՝ 17.9%-ից հասնելով 18.1%-ի, իսկ աշխատուժի մասնակցության մակարդակը նվազել՝ 58.9%-ից հասնելով 57.7%-ի:</w:t>
      </w:r>
      <w:r w:rsidRPr="00A83C94">
        <w:rPr>
          <w:rFonts w:cs="Times Armenian"/>
          <w:b w:val="0"/>
          <w:szCs w:val="22"/>
          <w:lang w:val="hy-AM" w:eastAsia="en-US"/>
        </w:rPr>
        <w:t xml:space="preserve"> Նույն ժամանակաշրջանում և΄ զբաղվածների, և΄ գործազուրկների թիվը նվազել է՝ համապատասխանաբար 1.9%-ով և 0.1%-ով: Միջին ամսական աշխատավարձը 2020թ. աճել է 3.9%-ով, միաժամանակ իրական աշխատավարձը` 1.2% միջին գնաճի պայմաններում ավելացել է 2.7%-ով:</w:t>
      </w:r>
    </w:p>
    <w:p w14:paraId="50B81F79" w14:textId="77777777" w:rsidR="00027FBF" w:rsidRPr="00A83C94" w:rsidRDefault="00027FBF" w:rsidP="00027FBF">
      <w:pPr>
        <w:spacing w:before="40" w:after="60" w:line="276" w:lineRule="auto"/>
        <w:ind w:firstLine="634"/>
        <w:contextualSpacing w:val="0"/>
        <w:rPr>
          <w:rFonts w:eastAsiaTheme="majorEastAsia"/>
          <w:b w:val="0"/>
          <w:lang w:val="hy-AM"/>
        </w:rPr>
      </w:pPr>
      <w:r w:rsidRPr="00A83C94">
        <w:rPr>
          <w:rFonts w:eastAsiaTheme="majorEastAsia"/>
          <w:bCs/>
          <w:lang w:val="hy-AM"/>
        </w:rPr>
        <w:t>2021թ. I եռամսյակում գործազրկության մակարդակը նախորդ տարվա նույն եռամսյակի նկատմամբ նվազել է 2.7 տոկոսային կետով՝ կազմելով 17.0%:</w:t>
      </w:r>
      <w:r w:rsidRPr="00A83C94">
        <w:rPr>
          <w:rFonts w:eastAsiaTheme="majorEastAsia"/>
          <w:lang w:val="hy-AM"/>
        </w:rPr>
        <w:t xml:space="preserve"> </w:t>
      </w:r>
      <w:r w:rsidRPr="00A83C94">
        <w:rPr>
          <w:rFonts w:eastAsiaTheme="majorEastAsia"/>
          <w:b w:val="0"/>
          <w:lang w:val="hy-AM"/>
        </w:rPr>
        <w:t>Գործազուրկների թիվը նվազել է 17.1%-ով՝ կազմելով 193.0 հազար մարդ: Նշենք, որ միաժամանակ 0.2%-ով նվազել է նաև զբաղվածների թիվը՝ կազմելով 943.8 հազ. մարդ: Աշխատուժի առաջարկը (տնտեսապես ակտիվ բնակչություն) ևս նվազել է 3.6%-ով՝ կազմելով 1136.8 հազար մարդ: Աշխատանքի շուկայի ցուցանիշների շարժընթացը հիմնականում բացատրվում է 2020թ. տեղի ունեցած ժողովրդագրական տեղաշարժով:</w:t>
      </w:r>
    </w:p>
    <w:p w14:paraId="429C581F" w14:textId="77777777" w:rsidR="00027FBF" w:rsidRPr="00A83C94" w:rsidRDefault="00027FBF" w:rsidP="00027FBF">
      <w:pPr>
        <w:spacing w:after="120" w:line="276" w:lineRule="auto"/>
        <w:ind w:firstLine="562"/>
        <w:rPr>
          <w:rFonts w:eastAsiaTheme="majorEastAsia"/>
          <w:lang w:val="hy-AM"/>
        </w:rPr>
      </w:pPr>
      <w:r w:rsidRPr="00A83C94">
        <w:rPr>
          <w:rFonts w:eastAsiaTheme="majorEastAsia"/>
          <w:bCs/>
          <w:lang w:val="hy-AM"/>
        </w:rPr>
        <w:t>2021թ. տնտեսական վերականգնման պայմաններում աշխատանքի շուկայում կդրսևորվեն դրական զարգացումներ։</w:t>
      </w:r>
      <w:r w:rsidRPr="00A83C94">
        <w:rPr>
          <w:rFonts w:eastAsiaTheme="majorEastAsia"/>
          <w:lang w:val="hy-AM"/>
        </w:rPr>
        <w:t xml:space="preserve"> </w:t>
      </w:r>
      <w:r w:rsidRPr="00A83C94">
        <w:rPr>
          <w:rFonts w:eastAsiaTheme="majorEastAsia"/>
          <w:b w:val="0"/>
          <w:lang w:val="hy-AM"/>
        </w:rPr>
        <w:t xml:space="preserve">Այս պայմաններում ակնկալվում է զբաղվածության աճ և գործազրկության նվազում։  </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ayout w:type="fixed"/>
        <w:tblLook w:val="04A0" w:firstRow="1" w:lastRow="0" w:firstColumn="1" w:lastColumn="0" w:noHBand="0" w:noVBand="1"/>
      </w:tblPr>
      <w:tblGrid>
        <w:gridCol w:w="5063"/>
        <w:gridCol w:w="4961"/>
      </w:tblGrid>
      <w:tr w:rsidR="00027FBF" w:rsidRPr="00A83C94" w14:paraId="7E3404B2" w14:textId="77777777" w:rsidTr="00027FBF">
        <w:trPr>
          <w:trHeight w:val="3144"/>
        </w:trPr>
        <w:tc>
          <w:tcPr>
            <w:tcW w:w="5063" w:type="dxa"/>
          </w:tcPr>
          <w:p w14:paraId="02ED7E13" w14:textId="77777777" w:rsidR="00027FBF" w:rsidRPr="00A83C94" w:rsidRDefault="00027FBF" w:rsidP="00027FBF">
            <w:pPr>
              <w:spacing w:before="40" w:after="60" w:line="240" w:lineRule="auto"/>
              <w:ind w:left="158" w:firstLine="0"/>
              <w:contextualSpacing w:val="0"/>
              <w:rPr>
                <w:rFonts w:cs="Times Armenian"/>
                <w:bCs/>
                <w:i/>
                <w:sz w:val="18"/>
                <w:szCs w:val="18"/>
                <w:lang w:val="hy-AM" w:eastAsia="en-US"/>
              </w:rPr>
            </w:pPr>
            <w:r w:rsidRPr="00A83C94">
              <w:rPr>
                <w:rFonts w:cs="Times Armenian"/>
                <w:bCs/>
                <w:i/>
                <w:sz w:val="18"/>
                <w:szCs w:val="18"/>
                <w:lang w:val="hy-AM" w:eastAsia="en-US"/>
              </w:rPr>
              <w:t>Գծապատկեր 1.</w:t>
            </w:r>
            <w:r w:rsidRPr="00A83C94">
              <w:rPr>
                <w:rFonts w:cs="Times Armenian"/>
                <w:bCs/>
                <w:i/>
                <w:sz w:val="18"/>
                <w:szCs w:val="18"/>
                <w:lang w:val="en-US" w:eastAsia="en-US"/>
              </w:rPr>
              <w:t>20.</w:t>
            </w:r>
            <w:r w:rsidRPr="00A83C94">
              <w:rPr>
                <w:rFonts w:cs="Times Armenian"/>
                <w:bCs/>
                <w:i/>
                <w:sz w:val="18"/>
                <w:szCs w:val="18"/>
                <w:lang w:val="hy-AM" w:eastAsia="en-US"/>
              </w:rPr>
              <w:t xml:space="preserve"> Գործազրկություն և զբաղվածություն </w:t>
            </w:r>
          </w:p>
          <w:p w14:paraId="6C0A4616" w14:textId="77777777" w:rsidR="00027FBF" w:rsidRPr="00A83C94" w:rsidRDefault="00027FBF" w:rsidP="00027FBF">
            <w:pPr>
              <w:spacing w:before="40" w:after="60" w:line="240" w:lineRule="auto"/>
              <w:ind w:firstLine="0"/>
              <w:contextualSpacing w:val="0"/>
              <w:jc w:val="left"/>
              <w:rPr>
                <w:rFonts w:cs="Times Armenian"/>
                <w:b w:val="0"/>
                <w:bCs/>
                <w:szCs w:val="22"/>
                <w:lang w:val="en-US" w:eastAsia="en-US"/>
              </w:rPr>
            </w:pPr>
            <w:r w:rsidRPr="00A83C94">
              <w:rPr>
                <w:rFonts w:cs="Times Armenian"/>
                <w:b w:val="0"/>
                <w:bCs/>
                <w:noProof/>
                <w:szCs w:val="22"/>
                <w:lang w:val="en-US" w:eastAsia="en-US"/>
              </w:rPr>
              <w:drawing>
                <wp:inline distT="0" distB="0" distL="0" distR="0" wp14:anchorId="3FC70A91" wp14:editId="51ED3BFC">
                  <wp:extent cx="2962275" cy="2105025"/>
                  <wp:effectExtent l="0" t="0" r="9525" b="9525"/>
                  <wp:docPr id="8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12FBA1F" w14:textId="77777777" w:rsidR="00027FBF" w:rsidRPr="00A83C94" w:rsidRDefault="00027FBF" w:rsidP="00027FBF">
            <w:pPr>
              <w:spacing w:before="40" w:after="60" w:line="240" w:lineRule="auto"/>
              <w:ind w:left="155" w:firstLine="0"/>
              <w:contextualSpacing w:val="0"/>
              <w:jc w:val="left"/>
              <w:rPr>
                <w:rFonts w:cs="Times Armenian"/>
                <w:bCs/>
                <w:i/>
                <w:sz w:val="16"/>
                <w:szCs w:val="16"/>
                <w:lang w:val="hy-AM" w:eastAsia="en-US"/>
              </w:rPr>
            </w:pPr>
            <w:r w:rsidRPr="00A83C94">
              <w:rPr>
                <w:rFonts w:cs="Times Armenian"/>
                <w:b w:val="0"/>
                <w:i/>
                <w:sz w:val="16"/>
                <w:szCs w:val="16"/>
                <w:lang w:val="en-US" w:eastAsia="en-US"/>
              </w:rPr>
              <w:t>Աղբյուրը՝ ՀՀ ՎԿ</w:t>
            </w:r>
          </w:p>
        </w:tc>
        <w:tc>
          <w:tcPr>
            <w:tcW w:w="4961" w:type="dxa"/>
          </w:tcPr>
          <w:p w14:paraId="7F04190A" w14:textId="77777777" w:rsidR="00027FBF" w:rsidRPr="00A83C94" w:rsidRDefault="00027FBF" w:rsidP="00027FBF">
            <w:pPr>
              <w:spacing w:before="40" w:line="240" w:lineRule="auto"/>
              <w:ind w:left="173" w:firstLine="0"/>
              <w:contextualSpacing w:val="0"/>
              <w:jc w:val="left"/>
              <w:rPr>
                <w:rFonts w:cs="Times Armenian"/>
                <w:noProof/>
                <w:sz w:val="18"/>
                <w:szCs w:val="18"/>
                <w:lang w:val="hy-AM" w:eastAsia="en-US"/>
              </w:rPr>
            </w:pPr>
            <w:r w:rsidRPr="00A83C94">
              <w:rPr>
                <w:rFonts w:cs="Times Armenian"/>
                <w:b w:val="0"/>
                <w:noProof/>
                <w:szCs w:val="22"/>
                <w:lang w:val="en-US" w:eastAsia="en-US"/>
              </w:rPr>
              <w:drawing>
                <wp:anchor distT="0" distB="0" distL="114300" distR="114300" simplePos="0" relativeHeight="251731968" behindDoc="1" locked="0" layoutInCell="1" allowOverlap="1" wp14:anchorId="15230E30" wp14:editId="7CE40088">
                  <wp:simplePos x="0" y="0"/>
                  <wp:positionH relativeFrom="column">
                    <wp:posOffset>-6985</wp:posOffset>
                  </wp:positionH>
                  <wp:positionV relativeFrom="paragraph">
                    <wp:posOffset>372110</wp:posOffset>
                  </wp:positionV>
                  <wp:extent cx="2987040" cy="2105025"/>
                  <wp:effectExtent l="0" t="0" r="3810" b="9525"/>
                  <wp:wrapTight wrapText="bothSides">
                    <wp:wrapPolygon edited="0">
                      <wp:start x="0" y="0"/>
                      <wp:lineTo x="0" y="21502"/>
                      <wp:lineTo x="21490" y="21502"/>
                      <wp:lineTo x="21490" y="0"/>
                      <wp:lineTo x="0" y="0"/>
                    </wp:wrapPolygon>
                  </wp:wrapTight>
                  <wp:docPr id="157"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sidRPr="00A83C94">
              <w:rPr>
                <w:rFonts w:cs="Times Armenian"/>
                <w:bCs/>
                <w:i/>
                <w:iCs/>
                <w:sz w:val="18"/>
                <w:szCs w:val="18"/>
                <w:lang w:val="hy-AM" w:eastAsia="en-US"/>
              </w:rPr>
              <w:t>Գծապատկեր 1.21. Միջին ամսական անվանական աշխատավարձի կուտակային աճ</w:t>
            </w:r>
            <w:r w:rsidRPr="00A83C94">
              <w:rPr>
                <w:rFonts w:cs="Times Armenian"/>
                <w:noProof/>
                <w:sz w:val="18"/>
                <w:szCs w:val="18"/>
                <w:lang w:val="hy-AM" w:eastAsia="en-US"/>
              </w:rPr>
              <w:t xml:space="preserve">, 2021թ., % </w:t>
            </w:r>
          </w:p>
          <w:p w14:paraId="5B419668" w14:textId="77777777" w:rsidR="00027FBF" w:rsidRPr="00A83C94" w:rsidRDefault="00027FBF" w:rsidP="00027FBF">
            <w:pPr>
              <w:spacing w:before="0" w:after="60" w:line="240" w:lineRule="auto"/>
              <w:ind w:left="173" w:firstLine="0"/>
              <w:contextualSpacing w:val="0"/>
              <w:jc w:val="left"/>
              <w:rPr>
                <w:rFonts w:cs="Times Armenian"/>
                <w:bCs/>
                <w:i/>
                <w:sz w:val="16"/>
                <w:szCs w:val="16"/>
                <w:lang w:val="hy-AM" w:eastAsia="en-US"/>
              </w:rPr>
            </w:pPr>
            <w:r w:rsidRPr="00A83C94">
              <w:rPr>
                <w:rFonts w:cs="Times Armenian"/>
                <w:b w:val="0"/>
                <w:i/>
                <w:sz w:val="16"/>
                <w:szCs w:val="16"/>
                <w:lang w:val="hy-AM" w:eastAsia="en-US"/>
              </w:rPr>
              <w:t>Աղբյուրը՝ ՀՀ ՎԿ</w:t>
            </w:r>
          </w:p>
        </w:tc>
      </w:tr>
    </w:tbl>
    <w:p w14:paraId="2CA5169A" w14:textId="77777777" w:rsidR="00027FBF" w:rsidRPr="00A83C94" w:rsidRDefault="00027FBF" w:rsidP="00027FBF">
      <w:pPr>
        <w:spacing w:after="60" w:line="276" w:lineRule="auto"/>
        <w:ind w:firstLine="634"/>
        <w:contextualSpacing w:val="0"/>
        <w:rPr>
          <w:rFonts w:cs="Times Armenian"/>
          <w:szCs w:val="22"/>
          <w:lang w:val="hy-AM" w:eastAsia="en-US"/>
        </w:rPr>
      </w:pPr>
      <w:r w:rsidRPr="00A83C94">
        <w:rPr>
          <w:rFonts w:cs="Times Armenian"/>
          <w:szCs w:val="22"/>
          <w:lang w:val="hy-AM" w:eastAsia="en-US"/>
        </w:rPr>
        <w:t>2021թ. տարեսկզբից</w:t>
      </w:r>
      <w:r w:rsidRPr="00A83C94">
        <w:rPr>
          <w:rFonts w:cs="Times Armenian"/>
          <w:szCs w:val="22"/>
          <w:lang w:eastAsia="en-US"/>
        </w:rPr>
        <w:t xml:space="preserve"> </w:t>
      </w:r>
      <w:r w:rsidRPr="00A83C94">
        <w:rPr>
          <w:rFonts w:cs="Times Armenian"/>
          <w:szCs w:val="22"/>
          <w:lang w:val="en-US" w:eastAsia="en-US"/>
        </w:rPr>
        <w:t>տնտեսության</w:t>
      </w:r>
      <w:r w:rsidRPr="00A83C94">
        <w:rPr>
          <w:rFonts w:cs="Times Armenian"/>
          <w:szCs w:val="22"/>
          <w:lang w:eastAsia="en-US"/>
        </w:rPr>
        <w:t xml:space="preserve"> </w:t>
      </w:r>
      <w:r w:rsidRPr="00A83C94">
        <w:rPr>
          <w:rFonts w:cs="Times Armenian"/>
          <w:szCs w:val="22"/>
          <w:lang w:val="en-US" w:eastAsia="en-US"/>
        </w:rPr>
        <w:t>վերականգնման</w:t>
      </w:r>
      <w:r w:rsidRPr="00A83C94">
        <w:rPr>
          <w:rFonts w:cs="Times Armenian"/>
          <w:szCs w:val="22"/>
          <w:lang w:eastAsia="en-US"/>
        </w:rPr>
        <w:t xml:space="preserve"> </w:t>
      </w:r>
      <w:r w:rsidRPr="00A83C94">
        <w:rPr>
          <w:rFonts w:cs="Times Armenian"/>
          <w:szCs w:val="22"/>
          <w:lang w:val="en-US" w:eastAsia="en-US"/>
        </w:rPr>
        <w:t>պայմաններում</w:t>
      </w:r>
      <w:r w:rsidRPr="00A83C94">
        <w:rPr>
          <w:rFonts w:cs="Times Armenian"/>
          <w:szCs w:val="22"/>
          <w:lang w:eastAsia="en-US"/>
        </w:rPr>
        <w:t xml:space="preserve"> </w:t>
      </w:r>
      <w:r w:rsidRPr="00A83C94">
        <w:rPr>
          <w:rFonts w:cs="Times Armenian"/>
          <w:szCs w:val="22"/>
          <w:lang w:val="hy-AM" w:eastAsia="en-US"/>
        </w:rPr>
        <w:t xml:space="preserve">միջին ամսական անվանական աշխատավարձի աճի տեմպը (հատկապես մասնավոր հատվածում) սկսեց աստիճանաբար </w:t>
      </w:r>
      <w:r w:rsidRPr="00A83C94">
        <w:rPr>
          <w:rFonts w:cs="Times Armenian"/>
          <w:szCs w:val="22"/>
          <w:lang w:val="en-US" w:eastAsia="en-US"/>
        </w:rPr>
        <w:t>արագանալ</w:t>
      </w:r>
      <w:r w:rsidRPr="00A83C94">
        <w:rPr>
          <w:rFonts w:cs="Times Armenian"/>
          <w:szCs w:val="22"/>
          <w:lang w:val="hy-AM" w:eastAsia="en-US"/>
        </w:rPr>
        <w:t xml:space="preserve">: </w:t>
      </w:r>
      <w:r w:rsidRPr="00A83C94">
        <w:rPr>
          <w:rFonts w:cs="Times Armenian"/>
          <w:b w:val="0"/>
          <w:szCs w:val="22"/>
          <w:lang w:val="hy-AM" w:eastAsia="en-US"/>
        </w:rPr>
        <w:t>2021թ. հունվար-հուլիսին միջին ամսական անվանական աշխատավարձն աճել է 5.7%-ով՝ կազմելով 197,881 դրամ: Միաժամանակ, սպառողական գների ինդեքսի 6.1% աճի պարագայում իրական աշխատավարձը նվազել է 0.4%-ով: Պետական հատվածում միջին ամսական անվանական աշխատավարձն աճել է 3.6%-ով՝ կազմելով  171,763 դրամ, իսկ մասնավոր հատվածում՝ 6.5%-ով՝ կազմելով 210,336 դրամ:</w:t>
      </w:r>
    </w:p>
    <w:p w14:paraId="5460E830" w14:textId="77777777" w:rsidR="00027FBF" w:rsidRPr="00A83C94" w:rsidRDefault="00027FBF" w:rsidP="00027FBF">
      <w:pPr>
        <w:keepNext/>
        <w:keepLines/>
        <w:spacing w:before="0" w:line="276" w:lineRule="auto"/>
        <w:jc w:val="left"/>
        <w:outlineLvl w:val="2"/>
        <w:rPr>
          <w:rFonts w:cs="Times Armenian"/>
          <w:b w:val="0"/>
          <w:szCs w:val="22"/>
          <w:lang w:val="hy-AM" w:eastAsia="en-US"/>
        </w:rPr>
      </w:pPr>
    </w:p>
    <w:p w14:paraId="24B855E7"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 xml:space="preserve">1.3.3. ՀՀ վճարային հաշվեկշիռ, արտահանում և ներմուծում </w:t>
      </w:r>
    </w:p>
    <w:p w14:paraId="4EC437F0" w14:textId="77777777" w:rsidR="00027FBF" w:rsidRPr="00A83C94" w:rsidRDefault="00027FBF" w:rsidP="00027FBF">
      <w:pPr>
        <w:spacing w:before="0" w:after="120" w:line="276" w:lineRule="auto"/>
        <w:ind w:left="5" w:firstLine="1"/>
        <w:contextualSpacing w:val="0"/>
        <w:rPr>
          <w:rFonts w:eastAsia="Calibri" w:cs="Sylfaen"/>
          <w:b w:val="0"/>
          <w:szCs w:val="22"/>
          <w:lang w:val="hy-AM" w:eastAsia="en-US"/>
        </w:rPr>
      </w:pPr>
      <w:r w:rsidRPr="00A83C94">
        <w:rPr>
          <w:rFonts w:cs="Times Armenian"/>
          <w:szCs w:val="22"/>
          <w:lang w:val="hy-AM" w:eastAsia="en-US"/>
        </w:rPr>
        <w:t xml:space="preserve">          2020</w:t>
      </w:r>
      <w:r w:rsidRPr="00A83C94">
        <w:rPr>
          <w:rFonts w:cs="Sylfaen"/>
          <w:lang w:val="hy-AM"/>
        </w:rPr>
        <w:t>թ</w:t>
      </w:r>
      <w:r w:rsidRPr="00A83C94">
        <w:rPr>
          <w:rFonts w:ascii="Cambria Math" w:eastAsia="Calibri" w:hAnsi="Cambria Math" w:cs="Cambria Math"/>
          <w:szCs w:val="22"/>
          <w:lang w:val="hy-AM" w:eastAsia="en-US"/>
        </w:rPr>
        <w:t>․</w:t>
      </w:r>
      <w:r w:rsidRPr="00A83C94">
        <w:rPr>
          <w:rFonts w:eastAsia="Calibri" w:cs="Sylfaen"/>
          <w:szCs w:val="22"/>
          <w:lang w:val="hy-AM" w:eastAsia="en-US"/>
        </w:rPr>
        <w:t xml:space="preserve"> ՀՀ վճարային հաշվեկշռի ընթացիկ հաշվի պակասուրդը նախորդ տարվա համեմատ բարելավվել է՝ կազմելով ՀՆԱ-ի 3.8%-ը: </w:t>
      </w:r>
      <w:r w:rsidRPr="00A83C94">
        <w:rPr>
          <w:rFonts w:eastAsia="Calibri" w:cs="Sylfaen"/>
          <w:b w:val="0"/>
          <w:szCs w:val="22"/>
          <w:lang w:val="hy-AM" w:eastAsia="en-US"/>
        </w:rPr>
        <w:t>Ընթացիկ հաշվի բարելավումը պայմանավորված է եղել ապրանքների և ծառայությունների բացասական հաշվեկշիռի կրճատմամբ՝ հիմնականում համավարակի պատճառով գլոբալ զբոսաշրջության կրճատման և ներքին թույլ պահանջարկի հետևանքով ապրանքների և ծառայությունների ներմուծման ավելի խորը անկման, ինչպես նաև անհատույց տրամադրվող դրամական փոխանցումների (երկրորդային եկամուտների) աճի արդյունքում:</w:t>
      </w:r>
    </w:p>
    <w:p w14:paraId="58A2D4CB" w14:textId="77777777" w:rsidR="00027FBF" w:rsidRPr="00A83C94" w:rsidRDefault="00027FBF" w:rsidP="00027FBF">
      <w:pPr>
        <w:spacing w:before="0" w:after="120" w:line="276" w:lineRule="auto"/>
        <w:ind w:left="8" w:firstLine="1"/>
        <w:contextualSpacing w:val="0"/>
        <w:rPr>
          <w:rFonts w:eastAsia="Calibri" w:cs="Sylfaen"/>
          <w:b w:val="0"/>
          <w:szCs w:val="22"/>
          <w:lang w:val="hy-AM" w:eastAsia="en-US"/>
        </w:rPr>
      </w:pPr>
      <w:r w:rsidRPr="00A83C94">
        <w:rPr>
          <w:rFonts w:cs="Sylfaen"/>
          <w:lang w:val="hy-AM"/>
        </w:rPr>
        <w:t xml:space="preserve">         2021թ</w:t>
      </w:r>
      <w:r w:rsidRPr="00A83C94">
        <w:rPr>
          <w:rFonts w:ascii="Cambria Math" w:hAnsi="Cambria Math" w:cs="Cambria Math"/>
          <w:lang w:val="hy-AM"/>
        </w:rPr>
        <w:t>․</w:t>
      </w:r>
      <w:r w:rsidRPr="00A83C94">
        <w:rPr>
          <w:rFonts w:cs="Sylfaen"/>
          <w:lang w:val="hy-AM"/>
        </w:rPr>
        <w:t xml:space="preserve"> </w:t>
      </w:r>
      <w:r w:rsidRPr="00A83C94">
        <w:rPr>
          <w:rFonts w:cs="GHEA Grapalat"/>
          <w:lang w:val="hy-AM"/>
        </w:rPr>
        <w:t>առաջին</w:t>
      </w:r>
      <w:r w:rsidRPr="00A83C94">
        <w:rPr>
          <w:rFonts w:cs="Sylfaen"/>
          <w:lang w:val="hy-AM"/>
        </w:rPr>
        <w:t xml:space="preserve"> </w:t>
      </w:r>
      <w:r w:rsidRPr="00A83C94">
        <w:rPr>
          <w:rFonts w:cs="GHEA Grapalat"/>
          <w:lang w:val="hy-AM"/>
        </w:rPr>
        <w:t>եռամսյակ</w:t>
      </w:r>
      <w:r w:rsidRPr="00A83C94">
        <w:rPr>
          <w:rFonts w:cs="Sylfaen"/>
          <w:lang w:val="hy-AM"/>
        </w:rPr>
        <w:t>ում ընթացիկ հաշվի պակասուրդը նախորդ</w:t>
      </w:r>
      <w:r w:rsidRPr="00A83C94">
        <w:rPr>
          <w:rFonts w:cs="Sylfaen"/>
          <w:lang w:val="it-IT"/>
        </w:rPr>
        <w:t xml:space="preserve"> </w:t>
      </w:r>
      <w:r w:rsidRPr="00A83C94">
        <w:rPr>
          <w:rFonts w:cs="Sylfaen"/>
          <w:lang w:val="hy-AM"/>
        </w:rPr>
        <w:t>տարվա</w:t>
      </w:r>
      <w:r w:rsidRPr="00A83C94">
        <w:rPr>
          <w:rFonts w:cs="Sylfaen"/>
          <w:lang w:val="it-IT"/>
        </w:rPr>
        <w:t xml:space="preserve"> </w:t>
      </w:r>
      <w:r w:rsidRPr="00A83C94">
        <w:rPr>
          <w:rFonts w:cs="Sylfaen"/>
          <w:lang w:val="hy-AM"/>
        </w:rPr>
        <w:t>առաջին եռամսյակի համեմատ բարելավվել է 5</w:t>
      </w:r>
      <w:r w:rsidRPr="00A83C94">
        <w:rPr>
          <w:rFonts w:cs="Sylfaen"/>
          <w:lang w:val="it-IT"/>
        </w:rPr>
        <w:t>.</w:t>
      </w:r>
      <w:r w:rsidRPr="00A83C94">
        <w:rPr>
          <w:rFonts w:cs="Sylfaen"/>
          <w:lang w:val="hy-AM"/>
        </w:rPr>
        <w:t>5 տոկոսային կետով՝ կազմելով ՀՆԱ-ի 3.4</w:t>
      </w:r>
      <w:r w:rsidRPr="00A83C94">
        <w:rPr>
          <w:rFonts w:cs="Sylfaen"/>
          <w:lang w:val="it-IT"/>
        </w:rPr>
        <w:t>%</w:t>
      </w:r>
      <w:r w:rsidRPr="00A83C94">
        <w:rPr>
          <w:rFonts w:cs="Sylfaen"/>
          <w:lang w:val="hy-AM"/>
        </w:rPr>
        <w:t xml:space="preserve">, </w:t>
      </w:r>
      <w:r w:rsidRPr="00A83C94">
        <w:rPr>
          <w:rFonts w:cs="Sylfaen"/>
          <w:b w:val="0"/>
          <w:lang w:val="hy-AM"/>
        </w:rPr>
        <w:t>որը հիմնականում պայմանավորված էր ապրանքների և ծառայությունների բացասական հաշվեկշիռի կրճատմամբ և տնային տնտեսություններին անհատույց տրամադրվող դրամական փոխանցումների աճով: Մ</w:t>
      </w:r>
      <w:r w:rsidRPr="00A83C94">
        <w:rPr>
          <w:rFonts w:eastAsia="Calibri" w:cs="Sylfaen"/>
          <w:b w:val="0"/>
          <w:szCs w:val="22"/>
          <w:lang w:val="hy-AM" w:eastAsia="en-US"/>
        </w:rPr>
        <w:t>ասնավորապես՝ ը</w:t>
      </w:r>
      <w:r w:rsidRPr="00A83C94">
        <w:rPr>
          <w:rFonts w:cs="Sylfaen"/>
          <w:b w:val="0"/>
          <w:lang w:val="hy-AM"/>
        </w:rPr>
        <w:t xml:space="preserve">նթացիկ տարվա հունվար-հուլիս ամիսներին տեղի է ունեցել արտերկրից ստացված դրամական փոխանցումների զգալի աճ </w:t>
      </w:r>
      <w:r w:rsidRPr="00A83C94">
        <w:rPr>
          <w:rFonts w:cs="Sylfaen"/>
          <w:b w:val="0"/>
          <w:lang w:val="it-IT"/>
        </w:rPr>
        <w:t>(</w:t>
      </w:r>
      <w:r w:rsidRPr="00A83C94">
        <w:rPr>
          <w:rFonts w:cs="Sylfaen"/>
          <w:b w:val="0"/>
          <w:lang w:val="hy-AM"/>
        </w:rPr>
        <w:t>մոտ 79</w:t>
      </w:r>
      <w:r w:rsidRPr="00A83C94">
        <w:rPr>
          <w:rFonts w:cs="Sylfaen"/>
          <w:b w:val="0"/>
          <w:lang w:val="it-IT"/>
        </w:rPr>
        <w:t>%</w:t>
      </w:r>
      <w:r w:rsidRPr="00A83C94">
        <w:rPr>
          <w:rFonts w:cs="Sylfaen"/>
          <w:b w:val="0"/>
          <w:lang w:val="hy-AM"/>
        </w:rPr>
        <w:t>-ով</w:t>
      </w:r>
      <w:r w:rsidRPr="00A83C94">
        <w:rPr>
          <w:rStyle w:val="FootnoteReference"/>
          <w:rFonts w:cs="Sylfaen"/>
          <w:b w:val="0"/>
          <w:lang w:val="hy-AM"/>
        </w:rPr>
        <w:footnoteReference w:id="7"/>
      </w:r>
      <w:r w:rsidRPr="00A83C94">
        <w:rPr>
          <w:rFonts w:cs="Sylfaen"/>
          <w:b w:val="0"/>
          <w:lang w:val="it-IT"/>
        </w:rPr>
        <w:t>)</w:t>
      </w:r>
      <w:r w:rsidRPr="00A83C94">
        <w:rPr>
          <w:rFonts w:cs="Sylfaen"/>
          <w:b w:val="0"/>
          <w:lang w:val="hy-AM"/>
        </w:rPr>
        <w:t xml:space="preserve">։ </w:t>
      </w:r>
      <w:r w:rsidRPr="00A83C94">
        <w:rPr>
          <w:rFonts w:eastAsia="Calibri" w:cs="Sylfaen"/>
          <w:b w:val="0"/>
          <w:szCs w:val="22"/>
          <w:lang w:val="hy-AM" w:eastAsia="en-US"/>
        </w:rPr>
        <w:t xml:space="preserve">      </w:t>
      </w:r>
    </w:p>
    <w:p w14:paraId="79CA4B15" w14:textId="77777777" w:rsidR="00027FBF" w:rsidRPr="00A83C94" w:rsidRDefault="00027FBF" w:rsidP="00027FBF">
      <w:pPr>
        <w:spacing w:before="0" w:after="120" w:line="276" w:lineRule="auto"/>
        <w:ind w:firstLine="0"/>
        <w:contextualSpacing w:val="0"/>
        <w:rPr>
          <w:b w:val="0"/>
          <w:lang w:val="hy-AM"/>
        </w:rPr>
      </w:pPr>
      <w:r w:rsidRPr="00A83C94">
        <w:rPr>
          <w:rFonts w:eastAsia="Calibri" w:cs="Sylfaen"/>
          <w:b w:val="0"/>
          <w:szCs w:val="22"/>
          <w:lang w:val="hy-AM" w:eastAsia="en-US"/>
        </w:rPr>
        <w:t xml:space="preserve">  </w:t>
      </w:r>
      <w:r w:rsidRPr="00A83C94">
        <w:rPr>
          <w:rFonts w:eastAsia="Calibri" w:cs="Sylfaen"/>
          <w:bCs/>
          <w:szCs w:val="22"/>
          <w:u w:val="single"/>
          <w:lang w:val="hy-AM" w:eastAsia="en-US"/>
        </w:rPr>
        <w:t>Կանխատեսում։</w:t>
      </w:r>
      <w:r w:rsidRPr="00A83C94">
        <w:rPr>
          <w:rFonts w:eastAsia="Calibri" w:cs="Sylfaen"/>
          <w:b w:val="0"/>
          <w:szCs w:val="22"/>
          <w:lang w:val="hy-AM" w:eastAsia="en-US"/>
        </w:rPr>
        <w:t xml:space="preserve"> </w:t>
      </w:r>
      <w:r w:rsidRPr="00A83C94">
        <w:rPr>
          <w:b w:val="0"/>
          <w:lang w:val="hy-AM"/>
        </w:rPr>
        <w:t>Ներքին պահանջարկի արագ վերականգնումը կարտացոլվի ներմուծման արագացմամբ, սակայն արտահանման առաջանցիկ աճն ու դրամական փոխանցումների բարձր մակարդակները կնպաստեն ընթացիկ հաշվի բարելավմանը, որը 2021թ</w:t>
      </w:r>
      <w:r w:rsidRPr="00A83C94">
        <w:rPr>
          <w:rFonts w:ascii="Cambria Math" w:hAnsi="Cambria Math" w:cs="Cambria Math"/>
          <w:b w:val="0"/>
          <w:lang w:val="hy-AM"/>
        </w:rPr>
        <w:t>․</w:t>
      </w:r>
      <w:r w:rsidRPr="00A83C94">
        <w:rPr>
          <w:rFonts w:eastAsiaTheme="majorEastAsia"/>
          <w:b w:val="0"/>
          <w:lang w:val="hy-AM"/>
        </w:rPr>
        <w:t xml:space="preserve"> կմոտենա</w:t>
      </w:r>
      <w:r w:rsidRPr="00A83C94">
        <w:rPr>
          <w:rFonts w:eastAsiaTheme="majorEastAsia"/>
          <w:b w:val="0"/>
          <w:lang w:val="it-IT"/>
        </w:rPr>
        <w:t xml:space="preserve"> </w:t>
      </w:r>
      <w:r w:rsidRPr="00A83C94">
        <w:rPr>
          <w:rFonts w:eastAsiaTheme="majorEastAsia"/>
          <w:b w:val="0"/>
          <w:lang w:val="hy-AM"/>
        </w:rPr>
        <w:t>ՀՆԱ</w:t>
      </w:r>
      <w:r w:rsidRPr="00A83C94">
        <w:rPr>
          <w:rFonts w:eastAsiaTheme="majorEastAsia"/>
          <w:b w:val="0"/>
          <w:lang w:val="it-IT"/>
        </w:rPr>
        <w:t>-</w:t>
      </w:r>
      <w:r w:rsidRPr="00A83C94">
        <w:rPr>
          <w:rFonts w:eastAsiaTheme="majorEastAsia"/>
          <w:b w:val="0"/>
          <w:lang w:val="hy-AM"/>
        </w:rPr>
        <w:t>ի</w:t>
      </w:r>
      <w:r w:rsidRPr="00A83C94">
        <w:rPr>
          <w:rFonts w:eastAsiaTheme="majorEastAsia"/>
          <w:b w:val="0"/>
          <w:lang w:val="it-IT"/>
        </w:rPr>
        <w:t xml:space="preserve"> </w:t>
      </w:r>
      <w:r w:rsidRPr="00A83C94">
        <w:rPr>
          <w:rFonts w:eastAsiaTheme="majorEastAsia"/>
          <w:b w:val="0"/>
          <w:lang w:val="hy-AM"/>
        </w:rPr>
        <w:t>1</w:t>
      </w:r>
      <w:r w:rsidRPr="00A83C94">
        <w:rPr>
          <w:rFonts w:eastAsiaTheme="majorEastAsia"/>
          <w:b w:val="0"/>
          <w:lang w:val="it-IT"/>
        </w:rPr>
        <w:t>.</w:t>
      </w:r>
      <w:r w:rsidRPr="00A83C94">
        <w:rPr>
          <w:rFonts w:eastAsiaTheme="majorEastAsia"/>
          <w:b w:val="0"/>
          <w:lang w:val="hy-AM"/>
        </w:rPr>
        <w:t>7</w:t>
      </w:r>
      <w:r w:rsidRPr="00A83C94">
        <w:rPr>
          <w:rFonts w:eastAsiaTheme="majorEastAsia"/>
          <w:b w:val="0"/>
          <w:lang w:val="it-IT"/>
        </w:rPr>
        <w:t xml:space="preserve">% </w:t>
      </w:r>
      <w:r w:rsidRPr="00A83C94">
        <w:rPr>
          <w:rFonts w:eastAsiaTheme="majorEastAsia"/>
          <w:b w:val="0"/>
          <w:lang w:val="hy-AM"/>
        </w:rPr>
        <w:t>մակարդակի</w:t>
      </w:r>
      <w:r w:rsidRPr="00A83C94">
        <w:rPr>
          <w:b w:val="0"/>
          <w:lang w:val="hy-AM"/>
        </w:rPr>
        <w:t>:</w:t>
      </w:r>
      <w:r w:rsidRPr="00A83C94">
        <w:rPr>
          <w:rFonts w:cs="Times Armenian"/>
          <w:b w:val="0"/>
          <w:bCs/>
          <w:szCs w:val="22"/>
          <w:lang w:val="hy-AM" w:eastAsia="en-US"/>
        </w:rPr>
        <w:t xml:space="preserve"> </w:t>
      </w:r>
      <w:r w:rsidRPr="00A83C94">
        <w:rPr>
          <w:rFonts w:eastAsiaTheme="majorEastAsia"/>
          <w:b w:val="0"/>
          <w:lang w:val="hy-AM"/>
        </w:rPr>
        <w:t>2022թ</w:t>
      </w:r>
      <w:r w:rsidRPr="00A83C94">
        <w:rPr>
          <w:rFonts w:ascii="Cambria Math" w:eastAsiaTheme="majorEastAsia" w:hAnsi="Cambria Math" w:cs="Cambria Math"/>
          <w:b w:val="0"/>
          <w:lang w:val="hy-AM"/>
        </w:rPr>
        <w:t xml:space="preserve">․ </w:t>
      </w:r>
      <w:r w:rsidRPr="00A83C94">
        <w:rPr>
          <w:rFonts w:eastAsiaTheme="majorEastAsia"/>
          <w:b w:val="0"/>
          <w:lang w:val="hy-AM"/>
        </w:rPr>
        <w:t>ընթացիկ</w:t>
      </w:r>
      <w:r w:rsidRPr="00A83C94">
        <w:rPr>
          <w:rFonts w:eastAsiaTheme="majorEastAsia"/>
          <w:b w:val="0"/>
          <w:lang w:val="it-IT"/>
        </w:rPr>
        <w:t xml:space="preserve"> </w:t>
      </w:r>
      <w:r w:rsidRPr="00A83C94">
        <w:rPr>
          <w:rFonts w:eastAsiaTheme="majorEastAsia"/>
          <w:b w:val="0"/>
          <w:lang w:val="hy-AM"/>
        </w:rPr>
        <w:t>հաշվի</w:t>
      </w:r>
      <w:r w:rsidRPr="00A83C94">
        <w:rPr>
          <w:rFonts w:eastAsiaTheme="majorEastAsia"/>
          <w:b w:val="0"/>
          <w:lang w:val="it-IT"/>
        </w:rPr>
        <w:t xml:space="preserve"> </w:t>
      </w:r>
      <w:r w:rsidRPr="00A83C94">
        <w:rPr>
          <w:rFonts w:eastAsiaTheme="majorEastAsia"/>
          <w:b w:val="0"/>
          <w:lang w:val="hy-AM"/>
        </w:rPr>
        <w:t>պակասուրդը</w:t>
      </w:r>
      <w:r w:rsidRPr="00A83C94">
        <w:rPr>
          <w:rFonts w:eastAsiaTheme="majorEastAsia"/>
          <w:b w:val="0"/>
          <w:lang w:val="it-IT"/>
        </w:rPr>
        <w:t xml:space="preserve"> </w:t>
      </w:r>
      <w:r w:rsidRPr="00A83C94">
        <w:rPr>
          <w:rFonts w:eastAsiaTheme="majorEastAsia"/>
          <w:b w:val="0"/>
          <w:lang w:val="hy-AM"/>
        </w:rPr>
        <w:t>կխորանա՝</w:t>
      </w:r>
      <w:r w:rsidRPr="00A83C94">
        <w:rPr>
          <w:rFonts w:eastAsiaTheme="majorEastAsia"/>
          <w:b w:val="0"/>
          <w:lang w:val="it-IT"/>
        </w:rPr>
        <w:t xml:space="preserve"> </w:t>
      </w:r>
      <w:r w:rsidRPr="00A83C94">
        <w:rPr>
          <w:rFonts w:eastAsiaTheme="majorEastAsia"/>
          <w:b w:val="0"/>
          <w:lang w:val="hy-AM"/>
        </w:rPr>
        <w:t>ձգտելով</w:t>
      </w:r>
      <w:r w:rsidRPr="00A83C94">
        <w:rPr>
          <w:rFonts w:eastAsiaTheme="majorEastAsia"/>
          <w:b w:val="0"/>
          <w:lang w:val="it-IT"/>
        </w:rPr>
        <w:t xml:space="preserve"> </w:t>
      </w:r>
      <w:r w:rsidRPr="00A83C94">
        <w:rPr>
          <w:rFonts w:eastAsiaTheme="majorEastAsia"/>
          <w:b w:val="0"/>
          <w:lang w:val="hy-AM"/>
        </w:rPr>
        <w:t>իր</w:t>
      </w:r>
      <w:r w:rsidRPr="00A83C94">
        <w:rPr>
          <w:rFonts w:eastAsiaTheme="majorEastAsia"/>
          <w:b w:val="0"/>
          <w:lang w:val="it-IT"/>
        </w:rPr>
        <w:t xml:space="preserve"> </w:t>
      </w:r>
      <w:r w:rsidRPr="00A83C94">
        <w:rPr>
          <w:rFonts w:eastAsiaTheme="majorEastAsia"/>
          <w:b w:val="0"/>
          <w:lang w:val="hy-AM"/>
        </w:rPr>
        <w:t>հավասարակշիռ</w:t>
      </w:r>
      <w:r w:rsidRPr="00A83C94">
        <w:rPr>
          <w:rFonts w:eastAsiaTheme="majorEastAsia"/>
          <w:b w:val="0"/>
          <w:lang w:val="it-IT"/>
        </w:rPr>
        <w:t xml:space="preserve"> </w:t>
      </w:r>
      <w:r w:rsidRPr="00A83C94">
        <w:rPr>
          <w:rFonts w:eastAsiaTheme="majorEastAsia"/>
          <w:b w:val="0"/>
          <w:lang w:val="hy-AM"/>
        </w:rPr>
        <w:t>մակարդակին</w:t>
      </w:r>
      <w:r w:rsidRPr="00A83C94">
        <w:rPr>
          <w:rFonts w:eastAsiaTheme="majorEastAsia"/>
          <w:b w:val="0"/>
          <w:lang w:val="it-IT"/>
        </w:rPr>
        <w:t>:</w:t>
      </w:r>
      <w:r w:rsidRPr="00A83C94">
        <w:rPr>
          <w:rFonts w:eastAsiaTheme="majorEastAsia"/>
          <w:b w:val="0"/>
          <w:lang w:val="hy-AM"/>
        </w:rPr>
        <w:t xml:space="preserve"> </w:t>
      </w:r>
      <w:r w:rsidRPr="00A83C94">
        <w:rPr>
          <w:b w:val="0"/>
          <w:lang w:val="hy-AM"/>
        </w:rPr>
        <w:t>Ընթացիկ հաշվի պակասուրդի ավելացումը մեծամասամբ պայմանավորված կլինի ՀՀ կառավարության կողմից պետական ներդրումների իրականացման և մասանվոր ներդրումների խթանման արդյունքում ակնկալվող ներդրումային բնույթի ապրանքների ներմուծման աճի հաշվին առևտրային բացասական հաշվեկշռի խորացմամբ:</w:t>
      </w:r>
    </w:p>
    <w:p w14:paraId="60AF4E93" w14:textId="77777777" w:rsidR="00027FBF" w:rsidRPr="00A83C94" w:rsidRDefault="00027FBF" w:rsidP="00027FBF">
      <w:pPr>
        <w:keepNext/>
        <w:keepLines/>
        <w:tabs>
          <w:tab w:val="left" w:pos="0"/>
        </w:tabs>
        <w:spacing w:before="0" w:line="276" w:lineRule="auto"/>
        <w:ind w:firstLine="0"/>
        <w:contextualSpacing w:val="0"/>
        <w:jc w:val="left"/>
        <w:rPr>
          <w:rFonts w:eastAsia="Calibri"/>
          <w:b w:val="0"/>
          <w:i/>
          <w:sz w:val="18"/>
          <w:szCs w:val="18"/>
          <w:lang w:val="hy-AM" w:eastAsia="en-US"/>
        </w:rPr>
      </w:pPr>
      <w:r w:rsidRPr="00A83C94">
        <w:rPr>
          <w:rFonts w:eastAsia="Calibri"/>
          <w:b w:val="0"/>
          <w:i/>
          <w:noProof/>
          <w:sz w:val="18"/>
          <w:szCs w:val="18"/>
          <w:lang w:val="en-US" w:eastAsia="en-US"/>
        </w:rPr>
        <w:drawing>
          <wp:anchor distT="0" distB="0" distL="114300" distR="114300" simplePos="0" relativeHeight="251685888" behindDoc="1" locked="0" layoutInCell="1" allowOverlap="1" wp14:anchorId="51F54AFB" wp14:editId="4A4A567A">
            <wp:simplePos x="0" y="0"/>
            <wp:positionH relativeFrom="column">
              <wp:posOffset>3073400</wp:posOffset>
            </wp:positionH>
            <wp:positionV relativeFrom="paragraph">
              <wp:posOffset>300355</wp:posOffset>
            </wp:positionV>
            <wp:extent cx="3115310" cy="2264410"/>
            <wp:effectExtent l="0" t="0" r="8890" b="2540"/>
            <wp:wrapTight wrapText="bothSides">
              <wp:wrapPolygon edited="0">
                <wp:start x="0" y="0"/>
                <wp:lineTo x="0" y="21443"/>
                <wp:lineTo x="21530" y="21443"/>
                <wp:lineTo x="21530" y="0"/>
                <wp:lineTo x="0" y="0"/>
              </wp:wrapPolygon>
            </wp:wrapTight>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anchor>
        </w:drawing>
      </w:r>
      <w:r w:rsidRPr="00A83C94">
        <w:rPr>
          <w:rFonts w:eastAsia="Calibri" w:cs="Sylfaen"/>
          <w:i/>
          <w:szCs w:val="22"/>
          <w:lang w:val="hy-AM" w:eastAsia="en-US"/>
        </w:rPr>
        <w:t>Գծապատկեր</w:t>
      </w:r>
      <w:r w:rsidRPr="00A83C94">
        <w:rPr>
          <w:rFonts w:eastAsia="Calibri" w:cs="Times Armenian"/>
          <w:i/>
          <w:szCs w:val="22"/>
          <w:lang w:val="hy-AM" w:eastAsia="en-US"/>
        </w:rPr>
        <w:t xml:space="preserve"> 1.22.</w:t>
      </w:r>
      <w:r w:rsidRPr="00A83C94">
        <w:rPr>
          <w:rFonts w:eastAsia="Calibri" w:cs="Times Armenian"/>
          <w:b w:val="0"/>
          <w:i/>
          <w:sz w:val="21"/>
          <w:szCs w:val="20"/>
          <w:lang w:val="hy-AM" w:eastAsia="en-US"/>
        </w:rPr>
        <w:t xml:space="preserve"> </w:t>
      </w:r>
      <w:r w:rsidRPr="00A83C94">
        <w:rPr>
          <w:rFonts w:eastAsia="Calibri" w:cs="Sylfaen"/>
          <w:b w:val="0"/>
          <w:i/>
          <w:sz w:val="20"/>
          <w:szCs w:val="20"/>
          <w:lang w:val="hy-AM" w:eastAsia="en-US"/>
        </w:rPr>
        <w:t>Ընթացիկ հաշվի պակասուրդը և բաղադրատարրերը (ՀՆԱ-ում %)</w:t>
      </w:r>
    </w:p>
    <w:p w14:paraId="4066579C" w14:textId="77777777" w:rsidR="00027FBF" w:rsidRPr="00A83C94" w:rsidRDefault="00027FBF" w:rsidP="00027FBF">
      <w:pPr>
        <w:spacing w:before="0" w:line="276" w:lineRule="auto"/>
        <w:ind w:firstLine="0"/>
        <w:contextualSpacing w:val="0"/>
        <w:rPr>
          <w:rFonts w:eastAsia="Calibri"/>
          <w:b w:val="0"/>
          <w:i/>
          <w:sz w:val="16"/>
          <w:szCs w:val="16"/>
          <w:lang w:val="hy-AM"/>
        </w:rPr>
      </w:pPr>
      <w:r w:rsidRPr="00A83C94">
        <w:rPr>
          <w:rFonts w:eastAsia="Calibri"/>
          <w:b w:val="0"/>
          <w:i/>
          <w:noProof/>
          <w:sz w:val="16"/>
          <w:szCs w:val="16"/>
          <w:lang w:val="en-US" w:eastAsia="en-US"/>
        </w:rPr>
        <w:drawing>
          <wp:anchor distT="0" distB="0" distL="114300" distR="114300" simplePos="0" relativeHeight="251682816" behindDoc="1" locked="0" layoutInCell="1" allowOverlap="1" wp14:anchorId="20E45140" wp14:editId="720DD04D">
            <wp:simplePos x="0" y="0"/>
            <wp:positionH relativeFrom="column">
              <wp:posOffset>-8255</wp:posOffset>
            </wp:positionH>
            <wp:positionV relativeFrom="paragraph">
              <wp:posOffset>66675</wp:posOffset>
            </wp:positionV>
            <wp:extent cx="2934335" cy="2264410"/>
            <wp:effectExtent l="0" t="0" r="18415" b="21590"/>
            <wp:wrapTight wrapText="bothSides">
              <wp:wrapPolygon edited="0">
                <wp:start x="0" y="0"/>
                <wp:lineTo x="0" y="21624"/>
                <wp:lineTo x="21595" y="21624"/>
                <wp:lineTo x="21595" y="0"/>
                <wp:lineTo x="0" y="0"/>
              </wp:wrapPolygon>
            </wp:wrapTight>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anchor>
        </w:drawing>
      </w:r>
      <w:r w:rsidRPr="00A83C94">
        <w:rPr>
          <w:rFonts w:eastAsia="Calibri"/>
          <w:b w:val="0"/>
          <w:i/>
          <w:sz w:val="16"/>
          <w:szCs w:val="16"/>
          <w:lang w:val="hy-AM"/>
        </w:rPr>
        <w:t>Աղբյուրը՝ ՀՀ ՎԿ, ՀՀ ՖՆ հաշվարկներ և  կանխատեսումներ</w:t>
      </w:r>
    </w:p>
    <w:p w14:paraId="313BDF54" w14:textId="77777777" w:rsidR="00027FBF" w:rsidRPr="00A83C94" w:rsidRDefault="00027FBF" w:rsidP="00027FBF">
      <w:pPr>
        <w:spacing w:before="0" w:after="120" w:line="276" w:lineRule="auto"/>
        <w:ind w:firstLine="0"/>
        <w:contextualSpacing w:val="0"/>
        <w:rPr>
          <w:rFonts w:eastAsia="Calibri" w:cs="Sylfaen"/>
          <w:szCs w:val="22"/>
          <w:u w:val="single"/>
          <w:lang w:val="hy-AM" w:eastAsia="en-US"/>
        </w:rPr>
      </w:pPr>
    </w:p>
    <w:p w14:paraId="60F36351" w14:textId="77777777" w:rsidR="00027FBF" w:rsidRPr="00A83C94" w:rsidRDefault="00027FBF" w:rsidP="00027FBF">
      <w:pPr>
        <w:spacing w:before="0" w:after="120" w:line="276" w:lineRule="auto"/>
        <w:ind w:left="7" w:firstLine="1"/>
        <w:contextualSpacing w:val="0"/>
        <w:rPr>
          <w:rFonts w:eastAsia="Calibri" w:cs="Sylfaen"/>
          <w:b w:val="0"/>
          <w:szCs w:val="22"/>
          <w:lang w:val="hy-AM" w:eastAsia="en-US"/>
        </w:rPr>
      </w:pPr>
      <w:r w:rsidRPr="00A83C94">
        <w:rPr>
          <w:rFonts w:eastAsia="Calibri" w:cs="Sylfaen"/>
          <w:szCs w:val="22"/>
          <w:lang w:val="hy-AM" w:eastAsia="en-US"/>
        </w:rPr>
        <w:t xml:space="preserve">        </w:t>
      </w:r>
      <w:r w:rsidRPr="00A83C94">
        <w:rPr>
          <w:rFonts w:eastAsia="Calibri" w:cs="Sylfaen"/>
          <w:szCs w:val="22"/>
          <w:u w:val="single"/>
          <w:lang w:val="hy-AM" w:eastAsia="en-US"/>
        </w:rPr>
        <w:t>Արտահանում:</w:t>
      </w:r>
      <w:r w:rsidRPr="00A83C94">
        <w:rPr>
          <w:rFonts w:eastAsia="Calibri" w:cs="Sylfaen"/>
          <w:szCs w:val="22"/>
          <w:lang w:val="hy-AM" w:eastAsia="en-US"/>
        </w:rPr>
        <w:t xml:space="preserve"> 2020թ. արձանագրվել է ապրանքների և ծառայությունների դոլարային արտահանման 34.2% անկում: </w:t>
      </w:r>
      <w:r w:rsidRPr="00A83C94">
        <w:rPr>
          <w:rFonts w:eastAsia="Calibri" w:cs="Sylfaen"/>
          <w:b w:val="0"/>
          <w:bCs/>
          <w:szCs w:val="22"/>
          <w:lang w:val="hy-AM" w:eastAsia="en-US"/>
        </w:rPr>
        <w:t xml:space="preserve">Հիմնականում պայմանավորված համավարակի հետևանքով տնտեսությունում արտադրության կրճատմամբ, սահմանափակումներով և արտաքին պահանջարկի նվազմամբ ապրանքների </w:t>
      </w:r>
      <w:r w:rsidRPr="00A83C94">
        <w:rPr>
          <w:rFonts w:eastAsia="Calibri" w:cs="Sylfaen"/>
          <w:b w:val="0"/>
          <w:szCs w:val="22"/>
          <w:lang w:val="hy-AM" w:eastAsia="en-US"/>
        </w:rPr>
        <w:t>արտահանումը 2020թ</w:t>
      </w:r>
      <w:r w:rsidRPr="00A83C94">
        <w:rPr>
          <w:rFonts w:ascii="MS Gothic" w:eastAsia="MS Gothic" w:hAnsi="MS Gothic" w:cs="MS Gothic" w:hint="eastAsia"/>
          <w:b w:val="0"/>
          <w:szCs w:val="22"/>
          <w:lang w:val="hy-AM" w:eastAsia="en-US"/>
        </w:rPr>
        <w:t>․</w:t>
      </w:r>
      <w:r>
        <w:rPr>
          <w:rFonts w:ascii="MS Gothic" w:eastAsia="MS Gothic" w:hAnsi="MS Gothic" w:cs="MS Gothic" w:hint="eastAsia"/>
          <w:b w:val="0"/>
          <w:szCs w:val="22"/>
          <w:lang w:val="hy-AM" w:eastAsia="en-US"/>
        </w:rPr>
        <w:t xml:space="preserve"> </w:t>
      </w:r>
      <w:r w:rsidRPr="00A83C94">
        <w:rPr>
          <w:rFonts w:eastAsia="Calibri" w:cs="Sylfaen"/>
          <w:b w:val="0"/>
          <w:szCs w:val="22"/>
          <w:lang w:val="hy-AM" w:eastAsia="en-US"/>
        </w:rPr>
        <w:t>կրճատվել է 19.2%-ով: Համավարակի պայմաններում տուրիզմի կտրուկ անկման հետևանքով առավել մեծ վնասներ է կրել ծառայությունների արտահանումը՝ 2020թ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 կրճատվելով 54.5%-ով:</w:t>
      </w:r>
    </w:p>
    <w:p w14:paraId="74361767" w14:textId="77777777" w:rsidR="00027FBF" w:rsidRPr="00A83C94" w:rsidRDefault="00027FBF" w:rsidP="00027FBF">
      <w:pPr>
        <w:spacing w:before="0" w:after="120" w:line="276" w:lineRule="auto"/>
        <w:ind w:firstLine="720"/>
        <w:contextualSpacing w:val="0"/>
        <w:rPr>
          <w:rFonts w:eastAsia="Calibri" w:cs="Sylfaen"/>
          <w:b w:val="0"/>
          <w:szCs w:val="22"/>
          <w:lang w:val="hy-AM" w:eastAsia="en-US"/>
        </w:rPr>
      </w:pPr>
      <w:r w:rsidRPr="00A83C94">
        <w:rPr>
          <w:rFonts w:eastAsia="Calibri" w:cs="Sylfaen"/>
          <w:szCs w:val="22"/>
          <w:lang w:val="hy-AM" w:eastAsia="en-US"/>
        </w:rPr>
        <w:t>Ծառայությունների նվազման նախորդ տարվա միտումները շարունակվում են</w:t>
      </w:r>
      <w:r w:rsidRPr="00A83C94">
        <w:rPr>
          <w:rFonts w:ascii="Cambria Math" w:eastAsia="Calibri" w:hAnsi="Cambria Math" w:cs="Cambria Math"/>
          <w:szCs w:val="22"/>
          <w:lang w:val="hy-AM" w:eastAsia="en-US"/>
        </w:rPr>
        <w:t>․</w:t>
      </w:r>
      <w:r w:rsidRPr="00A83C94">
        <w:rPr>
          <w:rFonts w:eastAsia="Calibri" w:cs="Sylfaen"/>
          <w:b w:val="0"/>
          <w:szCs w:val="22"/>
          <w:lang w:val="hy-AM" w:eastAsia="en-US"/>
        </w:rPr>
        <w:t xml:space="preserve"> </w:t>
      </w:r>
      <w:r w:rsidRPr="00A83C94">
        <w:rPr>
          <w:rFonts w:eastAsia="Calibri" w:cs="Sylfaen"/>
          <w:szCs w:val="22"/>
          <w:lang w:val="hy-AM" w:eastAsia="en-US"/>
        </w:rPr>
        <w:t xml:space="preserve">2021թ. նույնպես համավարակից առավել մեծ վնասներ է կրում ծառայությունների արտահանման ոլորտը։ </w:t>
      </w:r>
      <w:r w:rsidRPr="00A83C94">
        <w:rPr>
          <w:rFonts w:eastAsia="Calibri" w:cs="Sylfaen"/>
          <w:b w:val="0"/>
          <w:szCs w:val="22"/>
          <w:lang w:val="hy-AM" w:eastAsia="en-US"/>
        </w:rPr>
        <w:t>2021թ. առաջին կիսամյակում ծառայությունների արտահանումը կրճատվել է 14.9%-ով</w:t>
      </w:r>
      <w:r w:rsidRPr="00A83C94">
        <w:rPr>
          <w:rFonts w:eastAsia="Calibri" w:cs="Sylfaen"/>
          <w:b w:val="0"/>
          <w:szCs w:val="22"/>
          <w:vertAlign w:val="superscript"/>
          <w:lang w:val="hy-AM" w:eastAsia="en-US"/>
        </w:rPr>
        <w:footnoteReference w:id="8"/>
      </w:r>
      <w:r w:rsidRPr="00A83C94">
        <w:rPr>
          <w:rFonts w:eastAsia="Calibri" w:cs="Sylfaen"/>
          <w:b w:val="0"/>
          <w:szCs w:val="22"/>
          <w:lang w:val="hy-AM" w:eastAsia="en-US"/>
        </w:rPr>
        <w:t xml:space="preserve">, որին հիմնականում նպաստել է զբոսաշրջության արտահանման շուրջ 22% անկումը։ </w:t>
      </w:r>
    </w:p>
    <w:p w14:paraId="5A2CC9B8" w14:textId="77777777" w:rsidR="00027FBF" w:rsidRPr="00A83C94" w:rsidRDefault="00027FBF" w:rsidP="00027FBF">
      <w:pPr>
        <w:spacing w:before="0" w:after="120" w:line="276" w:lineRule="auto"/>
        <w:ind w:left="7" w:firstLine="1"/>
        <w:contextualSpacing w:val="0"/>
        <w:rPr>
          <w:rFonts w:eastAsiaTheme="majorEastAsia"/>
          <w:b w:val="0"/>
          <w:lang w:val="hy-AM"/>
        </w:rPr>
      </w:pPr>
      <w:r w:rsidRPr="00A83C94">
        <w:rPr>
          <w:rFonts w:eastAsiaTheme="majorEastAsia"/>
          <w:bCs/>
          <w:lang w:val="hy-AM"/>
        </w:rPr>
        <w:t xml:space="preserve">          ՀՀ ապրանքների արտահանումը սկսել է արագ վերականգնվել</w:t>
      </w:r>
      <w:r w:rsidRPr="00A83C94">
        <w:rPr>
          <w:rFonts w:ascii="Cambria Math" w:eastAsiaTheme="majorEastAsia" w:hAnsi="Cambria Math" w:cs="Cambria Math"/>
          <w:bCs/>
          <w:lang w:val="hy-AM"/>
        </w:rPr>
        <w:t>․</w:t>
      </w:r>
      <w:r w:rsidRPr="00A83C94">
        <w:rPr>
          <w:rFonts w:eastAsiaTheme="majorEastAsia"/>
          <w:bCs/>
          <w:lang w:val="hy-AM"/>
        </w:rPr>
        <w:t xml:space="preserve"> 2021թ. հունվար-օգոստոս ամիսներին աճը կազմել է 21.8%</w:t>
      </w:r>
      <w:r w:rsidRPr="00A83C94">
        <w:rPr>
          <w:rFonts w:eastAsiaTheme="majorEastAsia"/>
          <w:lang w:val="hy-AM"/>
        </w:rPr>
        <w:t xml:space="preserve">, </w:t>
      </w:r>
      <w:r w:rsidRPr="00A83C94">
        <w:rPr>
          <w:rFonts w:eastAsiaTheme="majorEastAsia"/>
          <w:b w:val="0"/>
          <w:lang w:val="hy-AM"/>
        </w:rPr>
        <w:t xml:space="preserve">ինչը տեղի է ունեցել տնտեսական ակտիվության վերականգման, պղնձի համաշխարհային գների աճի և արտաքին պահանջարկի վերականգնման հաշվին: </w:t>
      </w:r>
    </w:p>
    <w:p w14:paraId="03438910" w14:textId="77777777" w:rsidR="00027FBF" w:rsidRPr="00A83C94" w:rsidRDefault="00027FBF" w:rsidP="00027FBF">
      <w:pPr>
        <w:keepNext/>
        <w:keepLines/>
        <w:spacing w:before="0" w:line="276" w:lineRule="auto"/>
        <w:ind w:firstLine="0"/>
        <w:contextualSpacing w:val="0"/>
        <w:rPr>
          <w:rFonts w:eastAsia="Calibri" w:cs="Sylfaen"/>
          <w:b w:val="0"/>
          <w:bCs/>
          <w:i/>
          <w:sz w:val="20"/>
          <w:szCs w:val="20"/>
          <w:lang w:val="hy-AM" w:eastAsia="en-US"/>
        </w:rPr>
      </w:pPr>
      <w:r w:rsidRPr="00A83C94">
        <w:rPr>
          <w:rFonts w:eastAsia="Calibri"/>
          <w:i/>
          <w:noProof/>
          <w:color w:val="990033"/>
          <w:szCs w:val="22"/>
          <w:lang w:val="en-US" w:eastAsia="en-US"/>
        </w:rPr>
        <w:drawing>
          <wp:anchor distT="0" distB="0" distL="114300" distR="114300" simplePos="0" relativeHeight="251692032" behindDoc="1" locked="0" layoutInCell="1" allowOverlap="1" wp14:anchorId="16FD01D3" wp14:editId="033BCC34">
            <wp:simplePos x="0" y="0"/>
            <wp:positionH relativeFrom="margin">
              <wp:align>left</wp:align>
            </wp:positionH>
            <wp:positionV relativeFrom="paragraph">
              <wp:posOffset>318770</wp:posOffset>
            </wp:positionV>
            <wp:extent cx="3295650" cy="2028825"/>
            <wp:effectExtent l="0" t="0" r="0" b="9525"/>
            <wp:wrapTight wrapText="bothSides">
              <wp:wrapPolygon edited="0">
                <wp:start x="0" y="0"/>
                <wp:lineTo x="0" y="21499"/>
                <wp:lineTo x="21475" y="21499"/>
                <wp:lineTo x="21475" y="0"/>
                <wp:lineTo x="0" y="0"/>
              </wp:wrapPolygon>
            </wp:wrapTight>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Pr="00A83C94">
        <w:rPr>
          <w:rFonts w:eastAsia="Calibri"/>
          <w:i/>
          <w:noProof/>
          <w:szCs w:val="22"/>
          <w:lang w:val="en-US" w:eastAsia="en-US"/>
        </w:rPr>
        <w:drawing>
          <wp:anchor distT="0" distB="0" distL="114300" distR="114300" simplePos="0" relativeHeight="251695104" behindDoc="1" locked="0" layoutInCell="1" allowOverlap="1" wp14:anchorId="2815A47C" wp14:editId="6153E85D">
            <wp:simplePos x="0" y="0"/>
            <wp:positionH relativeFrom="margin">
              <wp:posOffset>3409315</wp:posOffset>
            </wp:positionH>
            <wp:positionV relativeFrom="paragraph">
              <wp:posOffset>319405</wp:posOffset>
            </wp:positionV>
            <wp:extent cx="3076575" cy="2019300"/>
            <wp:effectExtent l="0" t="0" r="9525" b="0"/>
            <wp:wrapTight wrapText="bothSides">
              <wp:wrapPolygon edited="0">
                <wp:start x="0" y="0"/>
                <wp:lineTo x="0" y="21396"/>
                <wp:lineTo x="21533" y="21396"/>
                <wp:lineTo x="21533"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A83C94">
        <w:rPr>
          <w:rFonts w:eastAsia="Calibri" w:cs="Sylfaen"/>
          <w:i/>
          <w:szCs w:val="22"/>
          <w:lang w:val="hy-AM" w:eastAsia="en-US"/>
        </w:rPr>
        <w:t>Գծապատկեր 1.23</w:t>
      </w:r>
      <w:r w:rsidRPr="00A83C94">
        <w:rPr>
          <w:rFonts w:ascii="MS Gothic" w:eastAsia="MS Gothic" w:hAnsi="MS Gothic" w:cs="MS Gothic" w:hint="eastAsia"/>
          <w:i/>
          <w:szCs w:val="22"/>
          <w:lang w:val="hy-AM" w:eastAsia="en-US"/>
        </w:rPr>
        <w:t>․</w:t>
      </w:r>
      <w:r w:rsidRPr="00A83C94">
        <w:rPr>
          <w:rFonts w:eastAsia="Calibri" w:cs="Sylfaen"/>
          <w:b w:val="0"/>
          <w:bCs/>
          <w:i/>
          <w:sz w:val="20"/>
          <w:szCs w:val="20"/>
          <w:lang w:val="hy-AM" w:eastAsia="en-US"/>
        </w:rPr>
        <w:t xml:space="preserve"> 2021թ. ապրանքների արտահանման միտումները, %</w:t>
      </w:r>
    </w:p>
    <w:p w14:paraId="50EDEFE5" w14:textId="77777777" w:rsidR="00027FBF" w:rsidRPr="00A83C94" w:rsidRDefault="00027FBF" w:rsidP="00027FBF">
      <w:pPr>
        <w:spacing w:before="0" w:line="276" w:lineRule="auto"/>
        <w:ind w:firstLine="540"/>
        <w:contextualSpacing w:val="0"/>
        <w:rPr>
          <w:rFonts w:eastAsia="Calibri"/>
          <w:b w:val="0"/>
          <w:i/>
          <w:sz w:val="16"/>
          <w:szCs w:val="16"/>
          <w:lang w:val="hy-AM"/>
        </w:rPr>
      </w:pPr>
      <w:r w:rsidRPr="00A83C94">
        <w:rPr>
          <w:rFonts w:eastAsia="Calibri"/>
          <w:b w:val="0"/>
          <w:i/>
          <w:sz w:val="16"/>
          <w:szCs w:val="16"/>
          <w:lang w:val="hy-AM"/>
        </w:rPr>
        <w:t>Աղբյուրը՝ ՀՀ ՎԿ և ՀՀ ՖՆ հաշվարկներ:</w:t>
      </w:r>
    </w:p>
    <w:p w14:paraId="5319102A" w14:textId="77777777" w:rsidR="00027FBF" w:rsidRPr="00A83C94" w:rsidRDefault="00027FBF" w:rsidP="00027FBF">
      <w:pPr>
        <w:spacing w:before="0" w:line="276" w:lineRule="auto"/>
        <w:ind w:firstLine="0"/>
        <w:contextualSpacing w:val="0"/>
        <w:rPr>
          <w:rFonts w:eastAsia="Calibri" w:cs="Sylfaen"/>
          <w:szCs w:val="22"/>
          <w:u w:val="single"/>
          <w:lang w:val="hy-AM" w:eastAsia="en-US"/>
        </w:rPr>
      </w:pPr>
    </w:p>
    <w:p w14:paraId="038E024A" w14:textId="77777777" w:rsidR="00027FBF" w:rsidRPr="00A83C94" w:rsidRDefault="00027FBF" w:rsidP="00027FBF">
      <w:pPr>
        <w:tabs>
          <w:tab w:val="left" w:pos="0"/>
        </w:tabs>
        <w:spacing w:before="0" w:after="120" w:line="276" w:lineRule="auto"/>
        <w:ind w:firstLine="539"/>
        <w:contextualSpacing w:val="0"/>
        <w:rPr>
          <w:rFonts w:eastAsia="Calibri" w:cs="Sylfaen"/>
          <w:b w:val="0"/>
          <w:color w:val="FF0000"/>
          <w:szCs w:val="22"/>
          <w:lang w:val="hy-AM" w:eastAsia="en-US"/>
        </w:rPr>
      </w:pPr>
      <w:r w:rsidRPr="00A83C94">
        <w:rPr>
          <w:rFonts w:eastAsiaTheme="majorEastAsia"/>
          <w:iCs/>
          <w:u w:val="single"/>
          <w:lang w:val="hy-AM"/>
        </w:rPr>
        <w:t>Կանխատեսում</w:t>
      </w:r>
      <w:r w:rsidRPr="00A83C94">
        <w:rPr>
          <w:rFonts w:eastAsiaTheme="majorEastAsia"/>
          <w:lang w:val="hy-AM"/>
        </w:rPr>
        <w:t xml:space="preserve">։ </w:t>
      </w:r>
      <w:r w:rsidRPr="00A83C94">
        <w:rPr>
          <w:rFonts w:eastAsiaTheme="majorEastAsia"/>
          <w:b w:val="0"/>
          <w:lang w:val="hy-AM"/>
        </w:rPr>
        <w:t>2021թ. սպասվում է մոտ 20.2% արտահանման աճ, ինչը պայմանավորված կլինելի արտաքին պահանջարկի վերականգմամբ, մետաղների միջազգային գների աճով և դեպի Հայաստան ժամանման սահմանափակումների որոշակի թուլացմամբ։ Այդուհանդերձ՝ Սոթքի հանքավայրի շահագործման մասշտաբների կրճատումը և դեպի Արցախ արտահանման հետ կապված կորուստները ապրանքների արտահանման զսպող գործոններ կհանդիսանան, իսկ տուրիզմի հաշվին ծառայությունների արտահանման վերականգնումը կլինի համեմատաբար դանդաղ: Համաշխարհային և ՀՀ տնտեսական ակտիվության, պղնձի գների բարձր մակարդակով, զբոսաշրջության աստիճանական վերականգնմամբ և արտահանելի հատվածի ներդրումների խթանմանն ուղղված ՀՀ կառավարության քաղաքականության ջանքերին համահունչ 2022թ. ակնկալվում է ապրանքների և ծառայությունների արտահանման 16.6% աճ:</w:t>
      </w:r>
      <w:r w:rsidRPr="00A83C94">
        <w:rPr>
          <w:rFonts w:eastAsia="Calibri" w:cs="Sylfaen"/>
          <w:b w:val="0"/>
          <w:color w:val="FF0000"/>
          <w:szCs w:val="22"/>
          <w:lang w:val="hy-AM" w:eastAsia="en-US"/>
        </w:rPr>
        <w:t xml:space="preserve"> </w:t>
      </w:r>
    </w:p>
    <w:p w14:paraId="79FA7AFD" w14:textId="77777777" w:rsidR="00027FBF" w:rsidRPr="00A83C94" w:rsidRDefault="00027FBF" w:rsidP="00027FBF">
      <w:pPr>
        <w:spacing w:line="276" w:lineRule="auto"/>
        <w:rPr>
          <w:rFonts w:eastAsiaTheme="majorEastAsia"/>
          <w:bCs/>
          <w:lang w:val="hy-AM"/>
        </w:rPr>
      </w:pPr>
      <w:r w:rsidRPr="00A83C94">
        <w:rPr>
          <w:rFonts w:eastAsia="Calibri" w:cs="Sylfaen"/>
          <w:szCs w:val="22"/>
          <w:u w:val="single"/>
          <w:lang w:val="hy-AM" w:eastAsia="en-US"/>
        </w:rPr>
        <w:t>Ներմուծում:</w:t>
      </w:r>
      <w:r w:rsidRPr="00A83C94">
        <w:rPr>
          <w:rFonts w:eastAsia="Calibri" w:cs="Sylfaen"/>
          <w:szCs w:val="22"/>
          <w:lang w:val="hy-AM" w:eastAsia="en-US"/>
        </w:rPr>
        <w:t xml:space="preserve"> </w:t>
      </w:r>
      <w:r w:rsidRPr="00A83C94">
        <w:rPr>
          <w:rFonts w:eastAsiaTheme="majorEastAsia"/>
          <w:bCs/>
          <w:lang w:val="hy-AM"/>
        </w:rPr>
        <w:t>2020թ. ապրանքների և ծառայությունների ներմուծումը նվազել է 33.2%-ով:</w:t>
      </w:r>
      <w:r w:rsidRPr="00A83C94">
        <w:rPr>
          <w:rFonts w:eastAsiaTheme="majorEastAsia"/>
          <w:b w:val="0"/>
          <w:bCs/>
          <w:lang w:val="hy-AM"/>
        </w:rPr>
        <w:t xml:space="preserve"> 2020թ</w:t>
      </w:r>
      <w:r w:rsidRPr="00A83C94">
        <w:rPr>
          <w:rFonts w:ascii="Cambria Math" w:eastAsiaTheme="majorEastAsia" w:hAnsi="Cambria Math" w:cs="Cambria Math"/>
          <w:b w:val="0"/>
          <w:bCs/>
          <w:lang w:val="hy-AM"/>
        </w:rPr>
        <w:t>․</w:t>
      </w:r>
      <w:r w:rsidRPr="00A83C94">
        <w:rPr>
          <w:rFonts w:eastAsiaTheme="majorEastAsia"/>
          <w:b w:val="0"/>
          <w:bCs/>
          <w:lang w:val="hy-AM"/>
        </w:rPr>
        <w:t xml:space="preserve"> արձանագրվել է ապրանքների ներմուծման 20% անկում`</w:t>
      </w:r>
      <w:r w:rsidRPr="00A83C94">
        <w:rPr>
          <w:rFonts w:eastAsiaTheme="majorEastAsia"/>
          <w:b w:val="0"/>
          <w:lang w:val="hy-AM"/>
        </w:rPr>
        <w:t xml:space="preserve"> պայմանավորված հիմնականում ավտոմեքենաների ներկրման մաքսատուրքերի բարձրացման հետևանքով դրանց ծավալների կտրուկ նվազմամբ, ինչպես նաև համավարակի, Արցախյան պատերազմի և տնտեսական ակտիվության անկման պայմաններում ներքին պահանջարկի նվազմամբ։ Ծառայությունների ներմուծման նվազումը 2020թ. կազմել է 59.8% և հիմնականում պայմանավորվել է սահմանափակումների հետևանքով ճանապարհորդության և դրա հետ կապված ծառայությունների կտրուկ անկմամբ (մոտ 80%):</w:t>
      </w:r>
    </w:p>
    <w:p w14:paraId="194D3F43" w14:textId="77777777" w:rsidR="00027FBF" w:rsidRPr="00A83C94" w:rsidRDefault="00027FBF" w:rsidP="00027FBF">
      <w:pPr>
        <w:tabs>
          <w:tab w:val="left" w:pos="0"/>
        </w:tabs>
        <w:spacing w:before="0" w:after="120" w:line="276" w:lineRule="auto"/>
        <w:ind w:firstLine="539"/>
        <w:contextualSpacing w:val="0"/>
        <w:rPr>
          <w:rFonts w:eastAsia="Calibri" w:cs="Sylfaen"/>
          <w:szCs w:val="22"/>
          <w:lang w:val="hy-AM" w:eastAsia="en-US"/>
        </w:rPr>
      </w:pPr>
      <w:r w:rsidRPr="00A83C94">
        <w:rPr>
          <w:rFonts w:eastAsia="Calibri" w:cs="Sylfaen"/>
          <w:szCs w:val="22"/>
          <w:lang w:val="hy-AM" w:eastAsia="en-US"/>
        </w:rPr>
        <w:t xml:space="preserve">Չնայած տարեսկզբի նվազման տեմպերին 2021թ. հունվար-օգոստոս ամիսներին արձանագրվել է ապրանքների ներմուծման 7.7% աճ՝ </w:t>
      </w:r>
      <w:r w:rsidRPr="00A83C94">
        <w:rPr>
          <w:rFonts w:eastAsia="Calibri" w:cs="Sylfaen"/>
          <w:b w:val="0"/>
          <w:szCs w:val="22"/>
          <w:lang w:val="hy-AM" w:eastAsia="en-US"/>
        </w:rPr>
        <w:t>հիմնականում տնտեսական ակտիվության աստիճանական վերականգնման պայմաններում ներքին պահանջարկի վերականգնմամբ պայմանավորված: 2021թ. առաջին կիսամյակի տվյալներով ծառայությունների ներմուծումը շարունակել է անկում</w:t>
      </w:r>
      <w:r w:rsidRPr="00A83C94">
        <w:rPr>
          <w:rFonts w:eastAsia="Calibri" w:cs="Sylfaen"/>
          <w:b w:val="0"/>
          <w:szCs w:val="22"/>
          <w:vertAlign w:val="superscript"/>
          <w:lang w:val="hy-AM" w:eastAsia="en-US"/>
        </w:rPr>
        <w:footnoteReference w:id="9"/>
      </w:r>
      <w:r w:rsidRPr="00A83C94">
        <w:rPr>
          <w:rFonts w:eastAsia="Calibri" w:cs="Sylfaen"/>
          <w:b w:val="0"/>
          <w:szCs w:val="22"/>
          <w:lang w:val="hy-AM" w:eastAsia="en-US"/>
        </w:rPr>
        <w:t xml:space="preserve"> ապրել՝ հիմնականում ճանապարհորդության խորը անկման հաշվին: </w:t>
      </w:r>
      <w:r w:rsidRPr="00A83C94">
        <w:rPr>
          <w:rFonts w:eastAsia="Calibri" w:cs="Sylfaen"/>
          <w:szCs w:val="22"/>
          <w:lang w:val="hy-AM" w:eastAsia="en-US"/>
        </w:rPr>
        <w:t xml:space="preserve"> </w:t>
      </w:r>
    </w:p>
    <w:p w14:paraId="4380B0DA" w14:textId="77777777" w:rsidR="00027FBF" w:rsidRPr="00A83C94" w:rsidRDefault="00027FBF" w:rsidP="00027FBF">
      <w:pPr>
        <w:tabs>
          <w:tab w:val="left" w:pos="0"/>
        </w:tabs>
        <w:spacing w:before="0" w:after="120" w:line="276" w:lineRule="auto"/>
        <w:ind w:firstLine="539"/>
        <w:contextualSpacing w:val="0"/>
        <w:rPr>
          <w:rFonts w:eastAsia="Calibri" w:cs="Sylfaen"/>
          <w:b w:val="0"/>
          <w:bCs/>
          <w:i/>
          <w:iCs/>
          <w:szCs w:val="22"/>
          <w:lang w:val="hy-AM" w:eastAsia="en-US"/>
        </w:rPr>
      </w:pPr>
      <w:r w:rsidRPr="00A83C94">
        <w:rPr>
          <w:rFonts w:eastAsia="Calibri"/>
          <w:bCs/>
          <w:i/>
          <w:iCs/>
          <w:noProof/>
          <w:szCs w:val="22"/>
          <w:lang w:val="en-US" w:eastAsia="en-US"/>
        </w:rPr>
        <w:drawing>
          <wp:anchor distT="0" distB="0" distL="114300" distR="114300" simplePos="0" relativeHeight="251688960" behindDoc="1" locked="0" layoutInCell="1" allowOverlap="1" wp14:anchorId="6B0614EB" wp14:editId="635D731B">
            <wp:simplePos x="0" y="0"/>
            <wp:positionH relativeFrom="margin">
              <wp:posOffset>3133559</wp:posOffset>
            </wp:positionH>
            <wp:positionV relativeFrom="paragraph">
              <wp:posOffset>370233</wp:posOffset>
            </wp:positionV>
            <wp:extent cx="3162300" cy="1943100"/>
            <wp:effectExtent l="0" t="0" r="0" b="0"/>
            <wp:wrapTight wrapText="bothSides">
              <wp:wrapPolygon edited="0">
                <wp:start x="0" y="0"/>
                <wp:lineTo x="0" y="21388"/>
                <wp:lineTo x="21470" y="21388"/>
                <wp:lineTo x="21470"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Pr="00A83C94">
        <w:rPr>
          <w:rFonts w:eastAsia="Calibri" w:cs="Sylfaen"/>
          <w:bCs/>
          <w:i/>
          <w:iCs/>
          <w:noProof/>
          <w:szCs w:val="22"/>
          <w:lang w:val="en-US" w:eastAsia="en-US"/>
        </w:rPr>
        <w:drawing>
          <wp:anchor distT="0" distB="0" distL="114300" distR="114300" simplePos="0" relativeHeight="251679744" behindDoc="1" locked="0" layoutInCell="1" allowOverlap="1" wp14:anchorId="1315B6D7" wp14:editId="43141C63">
            <wp:simplePos x="0" y="0"/>
            <wp:positionH relativeFrom="margin">
              <wp:posOffset>36195</wp:posOffset>
            </wp:positionH>
            <wp:positionV relativeFrom="paragraph">
              <wp:posOffset>376196</wp:posOffset>
            </wp:positionV>
            <wp:extent cx="3051175" cy="1966595"/>
            <wp:effectExtent l="0" t="0" r="15875" b="14605"/>
            <wp:wrapTight wrapText="bothSides">
              <wp:wrapPolygon edited="0">
                <wp:start x="0" y="0"/>
                <wp:lineTo x="0" y="21551"/>
                <wp:lineTo x="21578" y="21551"/>
                <wp:lineTo x="21578" y="0"/>
                <wp:lineTo x="0" y="0"/>
              </wp:wrapPolygon>
            </wp:wrapTight>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anchor>
        </w:drawing>
      </w:r>
      <w:r w:rsidRPr="00A83C94">
        <w:rPr>
          <w:rFonts w:eastAsia="Calibri" w:cs="Sylfaen"/>
          <w:bCs/>
          <w:i/>
          <w:iCs/>
          <w:szCs w:val="22"/>
          <w:lang w:val="hy-AM" w:eastAsia="en-US"/>
        </w:rPr>
        <w:t>Գծապատկեր 1.24</w:t>
      </w:r>
      <w:r w:rsidRPr="00A83C94">
        <w:rPr>
          <w:rFonts w:ascii="MS Gothic" w:eastAsia="MS Gothic" w:hAnsi="MS Gothic" w:cs="MS Gothic" w:hint="eastAsia"/>
          <w:bCs/>
          <w:i/>
          <w:iCs/>
          <w:szCs w:val="22"/>
          <w:lang w:val="hy-AM" w:eastAsia="en-US"/>
        </w:rPr>
        <w:t>․</w:t>
      </w:r>
      <w:r w:rsidRPr="00A83C94">
        <w:rPr>
          <w:rFonts w:eastAsia="Calibri" w:cs="Sylfaen"/>
          <w:b w:val="0"/>
          <w:bCs/>
          <w:i/>
          <w:iCs/>
          <w:sz w:val="21"/>
          <w:szCs w:val="21"/>
          <w:lang w:val="hy-AM" w:eastAsia="en-US"/>
        </w:rPr>
        <w:t xml:space="preserve"> </w:t>
      </w:r>
      <w:r w:rsidRPr="00A83C94">
        <w:rPr>
          <w:rFonts w:eastAsia="Calibri" w:cs="Sylfaen"/>
          <w:b w:val="0"/>
          <w:bCs/>
          <w:i/>
          <w:iCs/>
          <w:sz w:val="20"/>
          <w:szCs w:val="20"/>
          <w:lang w:val="hy-AM" w:eastAsia="en-US"/>
        </w:rPr>
        <w:t>2021թ. ապրանքների ներմուծման միտումները, %</w:t>
      </w:r>
    </w:p>
    <w:p w14:paraId="3B0D67EC" w14:textId="77777777" w:rsidR="00027FBF" w:rsidRPr="00A83C94" w:rsidRDefault="00027FBF" w:rsidP="00027FBF">
      <w:pPr>
        <w:tabs>
          <w:tab w:val="left" w:pos="0"/>
        </w:tabs>
        <w:spacing w:before="0" w:line="276" w:lineRule="auto"/>
        <w:ind w:firstLine="0"/>
        <w:contextualSpacing w:val="0"/>
        <w:rPr>
          <w:rFonts w:eastAsia="Calibri" w:cs="Sylfaen"/>
          <w:b w:val="0"/>
          <w:i/>
          <w:sz w:val="18"/>
          <w:szCs w:val="18"/>
          <w:lang w:val="hy-AM" w:eastAsia="en-US"/>
        </w:rPr>
      </w:pPr>
      <w:r w:rsidRPr="00A83C94">
        <w:rPr>
          <w:rFonts w:eastAsia="Calibri"/>
          <w:b w:val="0"/>
          <w:i/>
          <w:sz w:val="16"/>
          <w:szCs w:val="16"/>
          <w:lang w:val="hy-AM"/>
        </w:rPr>
        <w:t>Աղբյուրը՝ ՀՀ ՎԿ և ՀՀ ՖՆ հաշվարկներ</w:t>
      </w:r>
      <w:r w:rsidRPr="00A83C94">
        <w:rPr>
          <w:rFonts w:eastAsia="Calibri" w:cs="Sylfaen"/>
          <w:b w:val="0"/>
          <w:i/>
          <w:sz w:val="18"/>
          <w:szCs w:val="18"/>
          <w:lang w:val="hy-AM" w:eastAsia="en-US"/>
        </w:rPr>
        <w:t xml:space="preserve">:  </w:t>
      </w:r>
    </w:p>
    <w:p w14:paraId="0C58A294" w14:textId="77777777" w:rsidR="00027FBF" w:rsidRPr="00A83C94" w:rsidRDefault="00027FBF" w:rsidP="00027FBF">
      <w:pPr>
        <w:spacing w:line="276" w:lineRule="auto"/>
        <w:rPr>
          <w:rFonts w:eastAsiaTheme="majorEastAsia"/>
          <w:iCs/>
          <w:u w:val="single"/>
          <w:lang w:val="hy-AM"/>
        </w:rPr>
      </w:pPr>
    </w:p>
    <w:p w14:paraId="3F61B313" w14:textId="77777777" w:rsidR="00027FBF" w:rsidRPr="00A83C94" w:rsidRDefault="00027FBF" w:rsidP="00027FBF">
      <w:pPr>
        <w:spacing w:line="276" w:lineRule="auto"/>
        <w:rPr>
          <w:rFonts w:eastAsiaTheme="majorEastAsia"/>
          <w:b w:val="0"/>
          <w:lang w:val="hy-AM"/>
        </w:rPr>
      </w:pPr>
      <w:r w:rsidRPr="00A83C94">
        <w:rPr>
          <w:rFonts w:eastAsiaTheme="majorEastAsia"/>
          <w:iCs/>
          <w:u w:val="single"/>
          <w:lang w:val="hy-AM"/>
        </w:rPr>
        <w:t>Կանխատեսում</w:t>
      </w:r>
      <w:r w:rsidRPr="00A83C94">
        <w:rPr>
          <w:rFonts w:eastAsiaTheme="majorEastAsia"/>
          <w:lang w:val="hy-AM"/>
        </w:rPr>
        <w:t xml:space="preserve">։ </w:t>
      </w:r>
      <w:r w:rsidRPr="00A83C94">
        <w:rPr>
          <w:rFonts w:eastAsiaTheme="majorEastAsia"/>
          <w:b w:val="0"/>
          <w:lang w:val="hy-AM"/>
        </w:rPr>
        <w:t>Ապրանքների և ծառայությունների նկատմամբ ներքին պահանջարկի աստիճանական վերականգնմամբ պայմանավորված 2021թ. սպասվում է շուրջ 16.7% ներմուծման աճ: Բարձր տնտեսական աճի,  երկրների միջև սահմանափակումների վերացմանը զուգընթաց զբոսաշրջության վերականգման, ինչպես նաև ներդրուների խթանմանն ուղղված ՀՀ կառավարության քաղաքականության ջանքերին համահունչ ներդրումային բնույթի ապրանքների աճի հաշվին` 2022թ. ներմուծման աճը կկազմի մոտ 18.3%:</w:t>
      </w:r>
    </w:p>
    <w:p w14:paraId="221FB94B" w14:textId="77777777" w:rsidR="00027FBF" w:rsidRPr="00A83C94" w:rsidRDefault="00027FBF" w:rsidP="00027FBF">
      <w:pPr>
        <w:tabs>
          <w:tab w:val="left" w:pos="0"/>
          <w:tab w:val="num" w:pos="720"/>
        </w:tabs>
        <w:spacing w:before="0" w:after="120" w:line="276" w:lineRule="auto"/>
        <w:ind w:firstLine="539"/>
        <w:contextualSpacing w:val="0"/>
        <w:rPr>
          <w:rFonts w:eastAsia="Calibri" w:cs="Sylfaen"/>
          <w:b w:val="0"/>
          <w:szCs w:val="22"/>
          <w:lang w:val="hy-AM" w:eastAsia="en-US"/>
        </w:rPr>
      </w:pPr>
    </w:p>
    <w:p w14:paraId="36144079" w14:textId="77777777" w:rsidR="00027FBF" w:rsidRPr="00A83C94" w:rsidRDefault="00027FBF" w:rsidP="00027FBF">
      <w:pPr>
        <w:tabs>
          <w:tab w:val="left" w:pos="0"/>
        </w:tabs>
        <w:spacing w:before="0" w:line="276" w:lineRule="auto"/>
        <w:ind w:firstLine="0"/>
        <w:rPr>
          <w:rFonts w:eastAsia="Calibri" w:cs="Sylfaen"/>
          <w:b w:val="0"/>
          <w:i/>
          <w:sz w:val="18"/>
          <w:szCs w:val="18"/>
          <w:lang w:val="hy-AM" w:eastAsia="en-US"/>
        </w:rPr>
      </w:pPr>
      <w:r w:rsidRPr="00A83C94">
        <w:rPr>
          <w:rFonts w:eastAsia="Calibri" w:cs="Sylfaen"/>
          <w:b w:val="0"/>
          <w:noProof/>
          <w:szCs w:val="22"/>
          <w:lang w:val="en-US" w:eastAsia="en-US"/>
        </w:rPr>
        <w:drawing>
          <wp:anchor distT="0" distB="0" distL="114300" distR="114300" simplePos="0" relativeHeight="251701248" behindDoc="1" locked="0" layoutInCell="1" allowOverlap="1" wp14:anchorId="7591EA56" wp14:editId="79D7E66A">
            <wp:simplePos x="0" y="0"/>
            <wp:positionH relativeFrom="margin">
              <wp:align>left</wp:align>
            </wp:positionH>
            <wp:positionV relativeFrom="paragraph">
              <wp:posOffset>477851</wp:posOffset>
            </wp:positionV>
            <wp:extent cx="3171825" cy="2009775"/>
            <wp:effectExtent l="0" t="0" r="9525" b="9525"/>
            <wp:wrapTight wrapText="bothSides">
              <wp:wrapPolygon edited="0">
                <wp:start x="0" y="0"/>
                <wp:lineTo x="0" y="21498"/>
                <wp:lineTo x="21535" y="21498"/>
                <wp:lineTo x="21535" y="0"/>
                <wp:lineTo x="0" y="0"/>
              </wp:wrapPolygon>
            </wp:wrapTight>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A83C94">
        <w:rPr>
          <w:rFonts w:eastAsia="Calibri" w:cs="Sylfaen"/>
          <w:b w:val="0"/>
          <w:noProof/>
          <w:color w:val="C00000"/>
          <w:szCs w:val="22"/>
          <w:lang w:val="en-US" w:eastAsia="en-US"/>
        </w:rPr>
        <w:drawing>
          <wp:anchor distT="0" distB="0" distL="114300" distR="114300" simplePos="0" relativeHeight="251698176" behindDoc="1" locked="0" layoutInCell="1" allowOverlap="1" wp14:anchorId="6AAF7667" wp14:editId="685E3E08">
            <wp:simplePos x="0" y="0"/>
            <wp:positionH relativeFrom="column">
              <wp:posOffset>3232785</wp:posOffset>
            </wp:positionH>
            <wp:positionV relativeFrom="paragraph">
              <wp:posOffset>473710</wp:posOffset>
            </wp:positionV>
            <wp:extent cx="3066415" cy="2009775"/>
            <wp:effectExtent l="0" t="0" r="635" b="9525"/>
            <wp:wrapTight wrapText="bothSides">
              <wp:wrapPolygon edited="0">
                <wp:start x="0" y="0"/>
                <wp:lineTo x="0" y="21498"/>
                <wp:lineTo x="21470" y="21498"/>
                <wp:lineTo x="21470" y="0"/>
                <wp:lineTo x="0" y="0"/>
              </wp:wrapPolygon>
            </wp:wrapTight>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A83C94">
        <w:rPr>
          <w:rFonts w:eastAsia="Calibri" w:cs="Sylfaen"/>
          <w:i/>
          <w:szCs w:val="22"/>
          <w:lang w:val="hy-AM" w:eastAsia="en-US"/>
        </w:rPr>
        <w:t>Գծապարկեր 1.25</w:t>
      </w:r>
      <w:r w:rsidRPr="00A83C94">
        <w:rPr>
          <w:rFonts w:ascii="MS Gothic" w:eastAsia="MS Gothic" w:hAnsi="MS Gothic" w:cs="MS Gothic" w:hint="eastAsia"/>
          <w:i/>
          <w:szCs w:val="22"/>
          <w:lang w:val="hy-AM" w:eastAsia="en-US"/>
        </w:rPr>
        <w:t>․</w:t>
      </w:r>
      <w:r w:rsidRPr="00A83C94">
        <w:rPr>
          <w:rFonts w:eastAsia="Calibri" w:cs="Sylfaen"/>
          <w:b w:val="0"/>
          <w:bCs/>
          <w:sz w:val="21"/>
          <w:szCs w:val="21"/>
          <w:lang w:val="hy-AM" w:eastAsia="en-US"/>
        </w:rPr>
        <w:t xml:space="preserve"> </w:t>
      </w:r>
      <w:r w:rsidRPr="00A83C94">
        <w:rPr>
          <w:rFonts w:eastAsia="Calibri" w:cs="Sylfaen"/>
          <w:b w:val="0"/>
          <w:bCs/>
          <w:i/>
          <w:sz w:val="20"/>
          <w:szCs w:val="20"/>
          <w:lang w:val="hy-AM" w:eastAsia="en-US"/>
        </w:rPr>
        <w:t>ՀՀ ապրանքների և ծառայությունների արտահանման և ներմուծման միտումները ՀՖՃ տարիներին և 2018-2022թթ., %</w:t>
      </w:r>
      <w:r w:rsidRPr="00A83C94">
        <w:rPr>
          <w:rFonts w:eastAsia="Calibri" w:cs="Sylfaen"/>
          <w:b w:val="0"/>
          <w:bCs/>
          <w:sz w:val="21"/>
          <w:szCs w:val="21"/>
          <w:lang w:val="hy-AM" w:eastAsia="en-US"/>
        </w:rPr>
        <w:t xml:space="preserve">  </w:t>
      </w:r>
    </w:p>
    <w:p w14:paraId="41FA2DB6" w14:textId="77777777" w:rsidR="00027FBF" w:rsidRPr="00A83C94" w:rsidRDefault="00027FBF" w:rsidP="00027FBF">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Աղբյուր՝ ՀՀ ՎԿ և  ՀՀ ՖՆ հաշվարկներ և կանխաեսումներ:</w:t>
      </w:r>
    </w:p>
    <w:p w14:paraId="35B86B18"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7EF15899"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0BE0E078"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4D100ADF"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1.3.4. Փոխարժեքներ</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87"/>
        <w:gridCol w:w="222"/>
      </w:tblGrid>
      <w:tr w:rsidR="00027FBF" w:rsidRPr="00564083" w14:paraId="3783B971" w14:textId="77777777" w:rsidTr="00027FBF">
        <w:trPr>
          <w:trHeight w:val="309"/>
        </w:trPr>
        <w:tc>
          <w:tcPr>
            <w:tcW w:w="5181" w:type="dxa"/>
          </w:tcPr>
          <w:p w14:paraId="7B7DFE73" w14:textId="77777777" w:rsidR="00027FBF" w:rsidRPr="00A83C94" w:rsidRDefault="00027FBF" w:rsidP="00027FBF">
            <w:pPr>
              <w:spacing w:before="0" w:after="120" w:line="276" w:lineRule="auto"/>
              <w:ind w:right="-31" w:firstLine="539"/>
              <w:contextualSpacing w:val="0"/>
              <w:rPr>
                <w:rFonts w:cs="Sylfaen"/>
                <w:b w:val="0"/>
                <w:szCs w:val="22"/>
                <w:lang w:val="hy-AM" w:eastAsia="en-US"/>
              </w:rPr>
            </w:pPr>
            <w:r w:rsidRPr="00A83C94">
              <w:rPr>
                <w:rFonts w:cs="Sylfaen"/>
                <w:szCs w:val="22"/>
                <w:lang w:val="hy-AM" w:eastAsia="en-US"/>
              </w:rPr>
              <w:t xml:space="preserve">Համավարակով պայմանավորված 2020թ. </w:t>
            </w:r>
            <w:r w:rsidRPr="00A83C94">
              <w:rPr>
                <w:rFonts w:cs="Sylfaen"/>
                <w:szCs w:val="22"/>
                <w:lang w:val="hy-AM"/>
              </w:rPr>
              <w:t xml:space="preserve">ՀՀ փոխարժեքի շուկայում </w:t>
            </w:r>
            <w:r w:rsidRPr="00A83C94">
              <w:rPr>
                <w:rFonts w:cs="Sylfaen"/>
                <w:szCs w:val="22"/>
                <w:lang w:val="hy-AM" w:eastAsia="en-US"/>
              </w:rPr>
              <w:t xml:space="preserve">նկատվել են արժեզրկման միտումներ: </w:t>
            </w:r>
            <w:r w:rsidRPr="00A83C94">
              <w:rPr>
                <w:rFonts w:cs="Sylfaen"/>
                <w:b w:val="0"/>
                <w:szCs w:val="22"/>
                <w:lang w:val="hy-AM" w:eastAsia="en-US"/>
              </w:rPr>
              <w:t xml:space="preserve">Նախորդ տարվա միջինի համեմատ դրամն արժեզրկվել է </w:t>
            </w:r>
            <w:r w:rsidRPr="00A83C94">
              <w:rPr>
                <w:rFonts w:eastAsiaTheme="majorEastAsia"/>
                <w:b w:val="0"/>
                <w:lang w:val="hy-AM"/>
              </w:rPr>
              <w:t>ԱՄՆ</w:t>
            </w:r>
            <w:r w:rsidRPr="00A83C94">
              <w:rPr>
                <w:rFonts w:cs="Sylfaen"/>
                <w:b w:val="0"/>
                <w:szCs w:val="22"/>
                <w:lang w:val="hy-AM" w:eastAsia="en-US"/>
              </w:rPr>
              <w:t xml:space="preserve"> դոլարի և եվրոյի նկատմամբ (համապատասխանաբար՝ 1.8% և 3</w:t>
            </w:r>
            <w:r w:rsidRPr="00A83C94">
              <w:rPr>
                <w:rFonts w:ascii="Cambria Math" w:hAnsi="Cambria Math" w:cs="Sylfaen"/>
                <w:b w:val="0"/>
                <w:szCs w:val="22"/>
                <w:lang w:val="hy-AM" w:eastAsia="en-US"/>
              </w:rPr>
              <w:t>․</w:t>
            </w:r>
            <w:r w:rsidRPr="00A83C94">
              <w:rPr>
                <w:rFonts w:cs="Sylfaen"/>
                <w:b w:val="0"/>
                <w:szCs w:val="22"/>
                <w:lang w:val="hy-AM" w:eastAsia="en-US"/>
              </w:rPr>
              <w:t>6%), մինչդեռ աժեվորվել՝ ռուսական ռուբլու նկատմամբ (9</w:t>
            </w:r>
            <w:r w:rsidRPr="00A83C94">
              <w:rPr>
                <w:rFonts w:ascii="Cambria Math" w:hAnsi="Cambria Math" w:cs="Cambria Math"/>
                <w:b w:val="0"/>
                <w:szCs w:val="22"/>
                <w:lang w:val="hy-AM" w:eastAsia="en-US"/>
              </w:rPr>
              <w:t>․</w:t>
            </w:r>
            <w:r w:rsidRPr="00A83C94">
              <w:rPr>
                <w:rFonts w:cs="Sylfaen"/>
                <w:b w:val="0"/>
                <w:szCs w:val="22"/>
                <w:lang w:val="hy-AM" w:eastAsia="en-US"/>
              </w:rPr>
              <w:t xml:space="preserve">4%)։ </w:t>
            </w:r>
          </w:p>
          <w:p w14:paraId="2B978222" w14:textId="77777777" w:rsidR="00027FBF" w:rsidRPr="00A83C94" w:rsidRDefault="00027FBF" w:rsidP="00027FBF">
            <w:pPr>
              <w:spacing w:before="0" w:after="120" w:line="276" w:lineRule="auto"/>
              <w:ind w:firstLine="539"/>
              <w:contextualSpacing w:val="0"/>
              <w:rPr>
                <w:rFonts w:cs="Sylfaen"/>
                <w:b w:val="0"/>
                <w:szCs w:val="22"/>
                <w:lang w:val="hy-AM" w:eastAsia="en-US"/>
              </w:rPr>
            </w:pPr>
            <w:r w:rsidRPr="00A83C94">
              <w:rPr>
                <w:rFonts w:cs="Sylfaen"/>
                <w:bCs/>
                <w:szCs w:val="22"/>
                <w:lang w:val="hy-AM" w:eastAsia="en-US"/>
              </w:rPr>
              <w:t xml:space="preserve">ՀՀ դրամը շարունակել է արժեզրկվել նաև 2021թ. ընթացքում՝ հիմնականում պայմանավորված համավարակի և Արցախյան պատերազմի հետևանքով ձևավորված սպասումներով։ </w:t>
            </w:r>
            <w:r w:rsidRPr="00A83C94">
              <w:rPr>
                <w:rFonts w:cs="Sylfaen"/>
                <w:b w:val="0"/>
                <w:szCs w:val="22"/>
                <w:lang w:val="hy-AM" w:eastAsia="en-US"/>
              </w:rPr>
              <w:t>2021թ. հունվար-օգոստոս ամիսներին ՀՀ դրամի միջին փոխարժեքը կազմել է մոտ 514</w:t>
            </w:r>
            <w:r w:rsidRPr="00A83C94">
              <w:rPr>
                <w:rFonts w:ascii="Cambria Math" w:hAnsi="Cambria Math" w:cs="Sylfaen"/>
                <w:b w:val="0"/>
                <w:szCs w:val="22"/>
                <w:lang w:val="hy-AM" w:eastAsia="en-US"/>
              </w:rPr>
              <w:t>․</w:t>
            </w:r>
            <w:r w:rsidRPr="00A83C94">
              <w:rPr>
                <w:rFonts w:cs="Sylfaen"/>
                <w:b w:val="0"/>
                <w:szCs w:val="22"/>
                <w:lang w:val="hy-AM" w:eastAsia="en-US"/>
              </w:rPr>
              <w:t>4.0 ՀՀ դրամ ԱՄՆ դոլարի դիմաց՝ նախորդ տարվա նույն ժամանակահատվածի միջինի նկատմամբ արժեզրկվելով 5.9%-ով: ՀՀ փոխարժեքի շուկայում սկսած հունիսից նկատվել են արժևորման միտումներ, որն իր առավելագույն արժեքին հասել է հուլիսի 27-ին՝ կազմելով 482</w:t>
            </w:r>
            <w:r w:rsidRPr="00A83C94">
              <w:rPr>
                <w:rFonts w:ascii="Cambria Math" w:hAnsi="Cambria Math" w:cs="Sylfaen"/>
                <w:b w:val="0"/>
                <w:szCs w:val="22"/>
                <w:lang w:val="hy-AM" w:eastAsia="en-US"/>
              </w:rPr>
              <w:t>․</w:t>
            </w:r>
            <w:r w:rsidRPr="00A83C94">
              <w:rPr>
                <w:rFonts w:cs="Sylfaen"/>
                <w:b w:val="0"/>
                <w:szCs w:val="22"/>
                <w:lang w:val="hy-AM" w:eastAsia="en-US"/>
              </w:rPr>
              <w:t>3 ՀՀ դրամ մեկ ԱՄՆ դոլարի դիմաց, որից հետո ԱՄՆ դոլարի նկատմամբ ՀՀ դրամը դրսևորել է հարաբերականորեն կայուն վարքագիծ: 2021թ. հունվար-օգոստոս ամիսներին ՀՀ դրամն եվրոյի նկատմամբ արժեզրկվել է շուրջ 12.3%-ով, իսկ ռուսական ռուբլու նկատմամբ՝ 0.3%-ով:</w:t>
            </w:r>
            <w:r w:rsidRPr="00A83C94">
              <w:rPr>
                <w:rFonts w:eastAsiaTheme="majorEastAsia"/>
                <w:lang w:val="hy-AM"/>
              </w:rPr>
              <w:t xml:space="preserve"> </w:t>
            </w:r>
          </w:p>
          <w:p w14:paraId="6E680BAB" w14:textId="77777777" w:rsidR="00027FBF" w:rsidRPr="00A83C94" w:rsidRDefault="00027FBF" w:rsidP="00027FBF">
            <w:pPr>
              <w:spacing w:before="0" w:after="120" w:line="276" w:lineRule="auto"/>
              <w:ind w:firstLine="539"/>
              <w:contextualSpacing w:val="0"/>
              <w:rPr>
                <w:rFonts w:eastAsia="Times New Roman"/>
                <w:b w:val="0"/>
                <w:szCs w:val="22"/>
                <w:lang w:val="hy-AM" w:eastAsia="en-US"/>
              </w:rPr>
            </w:pPr>
            <w:r w:rsidRPr="00A83C94">
              <w:rPr>
                <w:bCs/>
                <w:szCs w:val="22"/>
                <w:lang w:val="hy-AM" w:eastAsia="en-US"/>
              </w:rPr>
              <w:t>ՀՀ արտաքին առևտրի տեսանկյունից առավել կարևոր արժույթներից բաղկացած զամբյուղի նկատմամբ ՀՀ ազգային արժույթն</w:t>
            </w:r>
            <w:r w:rsidRPr="00A83C94">
              <w:rPr>
                <w:rFonts w:cs="Sylfaen"/>
                <w:bCs/>
                <w:szCs w:val="22"/>
                <w:lang w:val="hy-AM" w:eastAsia="en-US"/>
              </w:rPr>
              <w:t xml:space="preserve"> իրական արտահայտությամբ 2020թ. արժևորվել է 1.7%-ով</w:t>
            </w:r>
            <w:r w:rsidRPr="00A83C94">
              <w:rPr>
                <w:rFonts w:cs="Sylfaen"/>
                <w:b w:val="0"/>
                <w:szCs w:val="22"/>
                <w:lang w:val="hy-AM" w:eastAsia="en-US"/>
              </w:rPr>
              <w:t>, իսկ անվանական արտահայտությամբ՝ 4.2%-ով: 2021թ. հունվար-հուլիս ամիսներին ՀՀ դրամի իրական արդյունավետ փոխարժեքի արժեզրկումը կազմել է 5.0%, իսկ անվանականի արժեզրկումը՝ 5.1%՝ իր</w:t>
            </w:r>
            <w:r w:rsidRPr="00A83C94">
              <w:rPr>
                <w:b w:val="0"/>
                <w:szCs w:val="22"/>
                <w:lang w:val="hy-AM" w:eastAsia="en-US"/>
              </w:rPr>
              <w:t xml:space="preserve"> դրական ազդեցությունը թողնելով տեղական ապրանքների արտաքին մրցունակության վրա: </w:t>
            </w:r>
          </w:p>
          <w:tbl>
            <w:tblPr>
              <w:tblStyle w:val="TableGrid9121"/>
              <w:tblW w:w="10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1"/>
              <w:gridCol w:w="5090"/>
            </w:tblGrid>
            <w:tr w:rsidR="00027FBF" w:rsidRPr="00564083" w14:paraId="427E3C18" w14:textId="77777777" w:rsidTr="00027FBF">
              <w:trPr>
                <w:trHeight w:val="309"/>
              </w:trPr>
              <w:tc>
                <w:tcPr>
                  <w:tcW w:w="5181" w:type="dxa"/>
                </w:tcPr>
                <w:p w14:paraId="28949D9A" w14:textId="77777777" w:rsidR="00027FBF" w:rsidRPr="00A83C94" w:rsidRDefault="00027FBF" w:rsidP="00027FBF">
                  <w:pPr>
                    <w:spacing w:before="0" w:line="240" w:lineRule="auto"/>
                    <w:ind w:right="-267" w:firstLine="0"/>
                    <w:contextualSpacing w:val="0"/>
                    <w:rPr>
                      <w:rFonts w:cs="Sylfaen"/>
                      <w:b w:val="0"/>
                      <w:i/>
                      <w:sz w:val="18"/>
                      <w:szCs w:val="18"/>
                      <w:lang w:val="hy-AM" w:eastAsia="en-US"/>
                    </w:rPr>
                  </w:pPr>
                  <w:r w:rsidRPr="00A83C94">
                    <w:rPr>
                      <w:rFonts w:cs="Sylfaen"/>
                      <w:i/>
                      <w:sz w:val="18"/>
                      <w:szCs w:val="18"/>
                      <w:lang w:val="hy-AM" w:eastAsia="en-US"/>
                    </w:rPr>
                    <w:t xml:space="preserve">Գծապատկեր 1.26. </w:t>
                  </w:r>
                  <w:r w:rsidRPr="00A83C94">
                    <w:rPr>
                      <w:rFonts w:cs="Sylfaen"/>
                      <w:b w:val="0"/>
                      <w:i/>
                      <w:sz w:val="18"/>
                      <w:szCs w:val="18"/>
                      <w:lang w:val="hy-AM" w:eastAsia="en-US"/>
                    </w:rPr>
                    <w:t xml:space="preserve">ՀՀ դրամի անվանական </w:t>
                  </w:r>
                </w:p>
                <w:p w14:paraId="686EE7CC" w14:textId="77777777" w:rsidR="00027FBF" w:rsidRPr="00A83C94" w:rsidRDefault="00027FBF" w:rsidP="00027FBF">
                  <w:pPr>
                    <w:spacing w:before="0" w:line="240" w:lineRule="auto"/>
                    <w:ind w:right="-267" w:firstLine="0"/>
                    <w:contextualSpacing w:val="0"/>
                    <w:rPr>
                      <w:rFonts w:cs="Sylfaen"/>
                      <w:b w:val="0"/>
                      <w:i/>
                      <w:sz w:val="18"/>
                      <w:szCs w:val="18"/>
                      <w:lang w:val="hy-AM" w:eastAsia="en-US"/>
                    </w:rPr>
                  </w:pPr>
                  <w:r w:rsidRPr="00A83C94">
                    <w:rPr>
                      <w:rFonts w:cs="Sylfaen"/>
                      <w:b w:val="0"/>
                      <w:i/>
                      <w:sz w:val="18"/>
                      <w:szCs w:val="18"/>
                      <w:lang w:val="hy-AM" w:eastAsia="en-US"/>
                    </w:rPr>
                    <w:t xml:space="preserve">փոխարժեքի օրական դինամիկան </w:t>
                  </w:r>
                </w:p>
                <w:p w14:paraId="01BF6890" w14:textId="77777777" w:rsidR="00027FBF" w:rsidRPr="00A83C94" w:rsidRDefault="00027FBF" w:rsidP="00027FBF">
                  <w:pPr>
                    <w:spacing w:before="0" w:line="240" w:lineRule="auto"/>
                    <w:ind w:right="-267" w:firstLine="0"/>
                    <w:contextualSpacing w:val="0"/>
                    <w:rPr>
                      <w:rFonts w:cs="Sylfaen"/>
                      <w:b w:val="0"/>
                      <w:i/>
                      <w:sz w:val="18"/>
                      <w:szCs w:val="18"/>
                      <w:lang w:val="hy-AM" w:eastAsia="en-US"/>
                    </w:rPr>
                  </w:pPr>
                  <w:r w:rsidRPr="00A83C94">
                    <w:rPr>
                      <w:rFonts w:cs="Sylfaen"/>
                      <w:b w:val="0"/>
                      <w:i/>
                      <w:noProof/>
                      <w:sz w:val="18"/>
                      <w:szCs w:val="18"/>
                      <w:lang w:val="en-US" w:eastAsia="en-US"/>
                    </w:rPr>
                    <w:drawing>
                      <wp:anchor distT="0" distB="0" distL="114300" distR="114300" simplePos="0" relativeHeight="251710464" behindDoc="1" locked="0" layoutInCell="1" allowOverlap="1" wp14:anchorId="027EB956" wp14:editId="5298D874">
                        <wp:simplePos x="0" y="0"/>
                        <wp:positionH relativeFrom="margin">
                          <wp:posOffset>-26670</wp:posOffset>
                        </wp:positionH>
                        <wp:positionV relativeFrom="paragraph">
                          <wp:posOffset>230505</wp:posOffset>
                        </wp:positionV>
                        <wp:extent cx="3133725" cy="2114550"/>
                        <wp:effectExtent l="0" t="0" r="9525" b="0"/>
                        <wp:wrapTight wrapText="bothSides">
                          <wp:wrapPolygon edited="0">
                            <wp:start x="0" y="0"/>
                            <wp:lineTo x="0" y="21405"/>
                            <wp:lineTo x="21534" y="21405"/>
                            <wp:lineTo x="21534" y="0"/>
                            <wp:lineTo x="0" y="0"/>
                          </wp:wrapPolygon>
                        </wp:wrapTight>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r w:rsidRPr="00A83C94">
                    <w:rPr>
                      <w:rFonts w:cs="Sylfaen"/>
                      <w:b w:val="0"/>
                      <w:i/>
                      <w:sz w:val="18"/>
                      <w:szCs w:val="18"/>
                      <w:lang w:val="hy-AM" w:eastAsia="en-US"/>
                    </w:rPr>
                    <w:t>հիմնական արժույթների նկատմամբ</w:t>
                  </w:r>
                </w:p>
                <w:p w14:paraId="271AFB8F" w14:textId="77777777" w:rsidR="00027FBF" w:rsidRPr="00A83C94" w:rsidRDefault="00027FBF" w:rsidP="00027FBF">
                  <w:pPr>
                    <w:tabs>
                      <w:tab w:val="left" w:pos="0"/>
                      <w:tab w:val="num" w:pos="720"/>
                    </w:tabs>
                    <w:spacing w:before="0" w:line="276" w:lineRule="auto"/>
                    <w:ind w:firstLine="0"/>
                    <w:rPr>
                      <w:rFonts w:cs="Sylfaen"/>
                      <w:b w:val="0"/>
                      <w:i/>
                      <w:sz w:val="18"/>
                      <w:szCs w:val="18"/>
                      <w:lang w:val="hy-AM" w:eastAsia="en-US"/>
                    </w:rPr>
                  </w:pPr>
                  <w:r w:rsidRPr="00A83C94">
                    <w:rPr>
                      <w:b w:val="0"/>
                      <w:i/>
                      <w:sz w:val="16"/>
                      <w:szCs w:val="16"/>
                      <w:lang w:val="hy-AM"/>
                    </w:rPr>
                    <w:t>Աղբյուրը՝ ՀՀ ԿԲ, ՀՀ ՖՆ հաշվարկներ</w:t>
                  </w:r>
                </w:p>
              </w:tc>
              <w:tc>
                <w:tcPr>
                  <w:tcW w:w="5090" w:type="dxa"/>
                </w:tcPr>
                <w:p w14:paraId="51316CF9" w14:textId="77777777" w:rsidR="00027FBF" w:rsidRPr="00A83C94" w:rsidRDefault="00027FBF" w:rsidP="00027FBF">
                  <w:pPr>
                    <w:spacing w:before="0" w:line="240" w:lineRule="auto"/>
                    <w:ind w:right="217" w:firstLine="0"/>
                    <w:contextualSpacing w:val="0"/>
                    <w:rPr>
                      <w:rFonts w:cs="Sylfaen"/>
                      <w:b w:val="0"/>
                      <w:i/>
                      <w:sz w:val="18"/>
                      <w:szCs w:val="18"/>
                      <w:lang w:val="hy-AM" w:eastAsia="en-US"/>
                    </w:rPr>
                  </w:pPr>
                  <w:r w:rsidRPr="00A83C94">
                    <w:rPr>
                      <w:rFonts w:cs="Sylfaen"/>
                      <w:b w:val="0"/>
                      <w:i/>
                      <w:noProof/>
                      <w:sz w:val="18"/>
                      <w:szCs w:val="18"/>
                      <w:lang w:val="en-US" w:eastAsia="en-US"/>
                    </w:rPr>
                    <w:drawing>
                      <wp:anchor distT="0" distB="0" distL="114300" distR="114300" simplePos="0" relativeHeight="251713536" behindDoc="1" locked="0" layoutInCell="1" allowOverlap="1" wp14:anchorId="4CB4CD88" wp14:editId="4F3DC0C2">
                        <wp:simplePos x="0" y="0"/>
                        <wp:positionH relativeFrom="column">
                          <wp:posOffset>-27940</wp:posOffset>
                        </wp:positionH>
                        <wp:positionV relativeFrom="paragraph">
                          <wp:posOffset>546735</wp:posOffset>
                        </wp:positionV>
                        <wp:extent cx="3076575" cy="2114550"/>
                        <wp:effectExtent l="0" t="0" r="9525" b="0"/>
                        <wp:wrapTight wrapText="bothSides">
                          <wp:wrapPolygon edited="0">
                            <wp:start x="0" y="0"/>
                            <wp:lineTo x="0" y="21405"/>
                            <wp:lineTo x="21533" y="21405"/>
                            <wp:lineTo x="21533" y="0"/>
                            <wp:lineTo x="0" y="0"/>
                          </wp:wrapPolygon>
                        </wp:wrapTight>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Pr="00A83C94">
                    <w:rPr>
                      <w:rFonts w:cs="Sylfaen"/>
                      <w:i/>
                      <w:sz w:val="18"/>
                      <w:szCs w:val="18"/>
                      <w:lang w:val="hy-AM" w:eastAsia="en-US"/>
                    </w:rPr>
                    <w:t>Գծապատկեր 1.27.</w:t>
                  </w:r>
                  <w:r w:rsidRPr="00A83C94">
                    <w:rPr>
                      <w:rFonts w:cs="Sylfaen"/>
                      <w:b w:val="0"/>
                      <w:i/>
                      <w:sz w:val="18"/>
                      <w:szCs w:val="18"/>
                      <w:lang w:val="hy-AM" w:eastAsia="en-US"/>
                    </w:rPr>
                    <w:t xml:space="preserve"> ՀՀ իրական և անվանական արդյունավետ փոխարժեքների կուտակային տ/տ աճերի դինամիկան</w:t>
                  </w:r>
                </w:p>
                <w:p w14:paraId="702E7CFF" w14:textId="77777777" w:rsidR="00027FBF" w:rsidRPr="00A83C94" w:rsidRDefault="00027FBF" w:rsidP="00027FBF">
                  <w:pPr>
                    <w:tabs>
                      <w:tab w:val="left" w:pos="0"/>
                      <w:tab w:val="num" w:pos="720"/>
                    </w:tabs>
                    <w:spacing w:before="0" w:line="276" w:lineRule="auto"/>
                    <w:ind w:firstLine="0"/>
                    <w:rPr>
                      <w:rFonts w:cs="Sylfaen"/>
                      <w:b w:val="0"/>
                      <w:sz w:val="16"/>
                      <w:szCs w:val="16"/>
                      <w:lang w:val="hy-AM" w:eastAsia="en-US"/>
                    </w:rPr>
                  </w:pPr>
                  <w:r w:rsidRPr="00A83C94">
                    <w:rPr>
                      <w:b w:val="0"/>
                      <w:i/>
                      <w:sz w:val="16"/>
                      <w:szCs w:val="16"/>
                      <w:lang w:val="hy-AM"/>
                    </w:rPr>
                    <w:t>Աղբյուրը՝ ՀՀ ԿԲ, ՀՀ ՖՆ հաշվարկներ</w:t>
                  </w:r>
                </w:p>
              </w:tc>
            </w:tr>
          </w:tbl>
          <w:p w14:paraId="7FD44F7D" w14:textId="77777777" w:rsidR="00027FBF" w:rsidRPr="00A83C94" w:rsidRDefault="00027FBF" w:rsidP="00027FBF">
            <w:pPr>
              <w:spacing w:before="0" w:line="240" w:lineRule="auto"/>
              <w:ind w:firstLine="0"/>
              <w:contextualSpacing w:val="0"/>
              <w:jc w:val="left"/>
              <w:rPr>
                <w:rFonts w:cs="Sylfaen"/>
                <w:b w:val="0"/>
                <w:sz w:val="18"/>
                <w:szCs w:val="18"/>
                <w:lang w:val="hy-AM" w:eastAsia="en-US"/>
              </w:rPr>
            </w:pPr>
          </w:p>
        </w:tc>
        <w:tc>
          <w:tcPr>
            <w:tcW w:w="5090" w:type="dxa"/>
          </w:tcPr>
          <w:p w14:paraId="0EFA6866" w14:textId="77777777" w:rsidR="00027FBF" w:rsidRPr="00A83C94" w:rsidRDefault="00027FBF" w:rsidP="00027FBF">
            <w:pPr>
              <w:spacing w:before="0" w:line="240" w:lineRule="auto"/>
              <w:ind w:right="217" w:firstLine="0"/>
              <w:contextualSpacing w:val="0"/>
              <w:rPr>
                <w:rFonts w:cs="Sylfaen"/>
                <w:b w:val="0"/>
                <w:i/>
                <w:noProof/>
                <w:sz w:val="18"/>
                <w:szCs w:val="18"/>
                <w:lang w:val="hy-AM" w:eastAsia="en-US"/>
              </w:rPr>
            </w:pPr>
          </w:p>
        </w:tc>
      </w:tr>
    </w:tbl>
    <w:p w14:paraId="536DFA38"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p>
    <w:p w14:paraId="3D250BD6" w14:textId="77777777" w:rsidR="00027FBF" w:rsidRPr="00A83C94" w:rsidRDefault="00027FBF" w:rsidP="00027FBF">
      <w:pPr>
        <w:spacing w:before="0" w:after="120" w:line="240" w:lineRule="auto"/>
        <w:ind w:firstLine="0"/>
        <w:contextualSpacing w:val="0"/>
        <w:jc w:val="left"/>
        <w:rPr>
          <w:rFonts w:eastAsia="Calibri"/>
          <w:bCs/>
          <w:sz w:val="24"/>
          <w:lang w:val="hy-AM" w:eastAsia="en-US"/>
        </w:rPr>
      </w:pPr>
      <w:r w:rsidRPr="00A83C94">
        <w:rPr>
          <w:rFonts w:eastAsia="Calibri"/>
          <w:bCs/>
          <w:sz w:val="24"/>
          <w:lang w:val="hy-AM" w:eastAsia="en-US"/>
        </w:rPr>
        <w:t xml:space="preserve">1.3.5. Գնաճ և դրամավարկային քաղաքականություն </w:t>
      </w:r>
    </w:p>
    <w:p w14:paraId="5143F43F" w14:textId="77777777" w:rsidR="00027FBF" w:rsidRPr="00A83C94" w:rsidRDefault="00027FBF" w:rsidP="00027FBF">
      <w:pPr>
        <w:spacing w:after="120" w:line="276" w:lineRule="auto"/>
        <w:rPr>
          <w:rFonts w:eastAsia="Calibri" w:cs="Sylfaen"/>
          <w:b w:val="0"/>
          <w:szCs w:val="22"/>
          <w:lang w:val="hy-AM" w:eastAsia="en-US"/>
        </w:rPr>
      </w:pPr>
      <w:r w:rsidRPr="00A83C94">
        <w:rPr>
          <w:rFonts w:eastAsia="Calibri" w:cs="Sylfaen"/>
          <w:bCs/>
          <w:szCs w:val="22"/>
          <w:lang w:val="hy-AM"/>
        </w:rPr>
        <w:t>2020 թվականին ՀՀ սպառողական շուկայում ցածր գնաճային միջավայրը պահպանվել է մինչև նոյեմբեր ամիսը, իսկ դեկտեմբերին գնաճը մոտեցել է իր նպատակային ցուցանիշին:</w:t>
      </w:r>
      <w:r w:rsidRPr="00A83C94">
        <w:rPr>
          <w:rFonts w:eastAsia="Calibri" w:cs="Sylfaen"/>
          <w:b w:val="0"/>
          <w:szCs w:val="22"/>
          <w:lang w:val="hy-AM"/>
        </w:rPr>
        <w:t xml:space="preserve"> 12-ամսյա գնաճը դեկտեմբերին կազմել է 3.7%, իսկ միջին գնաճը՝ 1.2%։ 2020թ դեկտեմբերի գնաճի կտրուկ արագացումը հիմնականում պայմանավորված էր առաջարկի գործոններով՝  մեծամասամբ ՀՀ դրամի արժեզրկմամբ և միջազգային գների աճով:</w:t>
      </w:r>
    </w:p>
    <w:p w14:paraId="36FDF71E" w14:textId="77777777" w:rsidR="00027FBF" w:rsidRPr="00A83C94" w:rsidRDefault="00027FBF" w:rsidP="00027FBF">
      <w:pPr>
        <w:spacing w:before="0" w:after="120" w:line="276" w:lineRule="auto"/>
        <w:ind w:firstLine="720"/>
        <w:contextualSpacing w:val="0"/>
        <w:rPr>
          <w:sz w:val="24"/>
          <w:lang w:val="hy-AM"/>
        </w:rPr>
      </w:pPr>
      <w:r w:rsidRPr="00A83C94">
        <w:rPr>
          <w:rFonts w:cs="Sylfaen"/>
          <w:bCs/>
          <w:szCs w:val="22"/>
          <w:lang w:val="hy-AM" w:eastAsia="en-US"/>
        </w:rPr>
        <w:t>2021թ. հունվար-օգոստոս ամիսներին գնաճը նախորդ տարվա նույն ժամանակահատվածի համեմատ արագացել է՝ կազմելով 8.8%, 1.8%-ի համեմատ։</w:t>
      </w:r>
      <w:r w:rsidRPr="00A83C94">
        <w:rPr>
          <w:rFonts w:cs="Sylfaen"/>
          <w:b w:val="0"/>
          <w:szCs w:val="22"/>
          <w:lang w:val="hy-AM" w:eastAsia="en-US"/>
        </w:rPr>
        <w:t xml:space="preserve"> Տարվա ընթացքում բարձր գնաճային միջավայրը պայմանավորված էր հիմնականում պարենային և հումքային ապրանքների միջազգային գների բարձրացումով, ՀՀ դրամի արժեզրկմամբ և որոշ սեզոնային ապրանքների (մասնավորապես բանջարեղենի) գների աճի արագացմամբ:</w:t>
      </w:r>
    </w:p>
    <w:p w14:paraId="47FE18C2" w14:textId="77777777" w:rsidR="00027FBF" w:rsidRPr="00A83C94" w:rsidRDefault="00027FBF" w:rsidP="00027FBF">
      <w:pPr>
        <w:spacing w:before="0" w:after="120" w:line="276" w:lineRule="auto"/>
        <w:ind w:firstLine="720"/>
        <w:contextualSpacing w:val="0"/>
        <w:rPr>
          <w:rFonts w:eastAsia="Calibri"/>
          <w:b w:val="0"/>
          <w:szCs w:val="22"/>
          <w:lang w:val="hy-AM" w:eastAsia="en-US"/>
        </w:rPr>
      </w:pPr>
      <w:r w:rsidRPr="00A83C94">
        <w:rPr>
          <w:rFonts w:eastAsia="Calibri"/>
          <w:szCs w:val="22"/>
          <w:lang w:val="hy-AM" w:eastAsia="en-US"/>
        </w:rPr>
        <w:t>2020թ</w:t>
      </w:r>
      <w:r w:rsidRPr="00A83C94">
        <w:rPr>
          <w:rFonts w:eastAsia="Calibri" w:cs="Cambria Math"/>
          <w:szCs w:val="22"/>
          <w:lang w:val="hy-AM" w:eastAsia="en-US"/>
        </w:rPr>
        <w:t>.</w:t>
      </w:r>
      <w:r w:rsidRPr="00A83C94">
        <w:rPr>
          <w:rFonts w:eastAsia="Calibri"/>
          <w:szCs w:val="22"/>
          <w:lang w:val="hy-AM" w:eastAsia="en-US"/>
        </w:rPr>
        <w:t xml:space="preserve"> ՀՀ կենտրոնական բանկի դրամավարկային քաղաքականությունն ունեցել է խթանող ուղղվածություն։ </w:t>
      </w:r>
      <w:r w:rsidRPr="00A83C94">
        <w:rPr>
          <w:rFonts w:eastAsia="Calibri" w:cs="Sylfaen"/>
          <w:b w:val="0"/>
          <w:szCs w:val="22"/>
          <w:lang w:val="hy-AM"/>
        </w:rPr>
        <w:t xml:space="preserve">2020 թվականին գնաճի դանդաղմանը և համավարակի տարածման բացասական ազդեցություներին հակազդելու նպատակով ՀՀ Կենտրոնական բանկն իջեցրել է վերաֆինանսավորման տոկոսադրույքը ընդհանուր առմամբ 1.25 տոկոսային կետով՝ իրականացնելով խթանող դրամավարկային քաղաքականություն: Սակայն 2020թ. դեկտեմբերի 15-ին, պայմանավորված գնաճի և գնաճային սպասումների արագացմամբ, ինչպես նաև արտաքին հատվածից սպասվող գնաճային զարգացումներով ՀՀ ԿԲ-ն կտրուկ բարձրացրել է վերաֆինանսավորման տոկոսադրույքը 1.0 տոկոսային կետով՝ սահմանելով այն 5.25%: </w:t>
      </w:r>
    </w:p>
    <w:p w14:paraId="7A08A2AA" w14:textId="77777777" w:rsidR="00027FBF" w:rsidRPr="00A83C94" w:rsidRDefault="00027FBF" w:rsidP="00027FBF">
      <w:pPr>
        <w:spacing w:before="40" w:after="120" w:line="276" w:lineRule="auto"/>
        <w:contextualSpacing w:val="0"/>
        <w:rPr>
          <w:rFonts w:eastAsia="Calibri"/>
          <w:b w:val="0"/>
          <w:szCs w:val="22"/>
          <w:lang w:val="hy-AM" w:eastAsia="en-US"/>
        </w:rPr>
      </w:pPr>
      <w:r w:rsidRPr="00A83C94">
        <w:rPr>
          <w:rFonts w:eastAsia="Calibri"/>
          <w:bCs/>
          <w:szCs w:val="22"/>
          <w:lang w:val="hy-AM" w:eastAsia="en-US"/>
        </w:rPr>
        <w:t>Գնաճի արագացմանը հակազդելու նպատակով 2021թ. ընթացքում ՀՀ ԿԲ-ն խստացրել է դրամավարկային պայմանները։</w:t>
      </w:r>
      <w:r w:rsidRPr="00A83C94">
        <w:rPr>
          <w:rFonts w:eastAsia="Calibri"/>
          <w:b w:val="0"/>
          <w:szCs w:val="22"/>
          <w:lang w:val="hy-AM" w:eastAsia="en-US"/>
        </w:rPr>
        <w:t xml:space="preserve"> 2021թ. հունվար–սեպտեմբեր ամիսներին ՀՀ ԿԲ-ը շարունակել է բարձրացնել վերաֆինանսավորման տոկոսադրույքը ընդհանուր առմամբ 2 տոկոսային կետով` բարձր գնաճային սպասումները և հասարակության մոտ ձևավորված անորոշությունը նվազեցնելու նպատակով: Բացի դրանից ՀՀ առևտային բանկերի համար բարձրացվել է ՀՀ դրամով պարտադիր պահուստավորման նորմատիվը (որը 0 տոկոսից սահմանվել է 2 տոկոս), </w:t>
      </w:r>
      <w:r w:rsidRPr="00A83C94">
        <w:rPr>
          <w:b w:val="0"/>
          <w:szCs w:val="22"/>
          <w:lang w:val="hy-AM" w:eastAsia="en-US"/>
        </w:rPr>
        <w:t>ինչպես նաև իրականացրել մակրոպրուդենցիալ քաղաքականության այլ միջոցառումներ</w:t>
      </w:r>
      <w:r w:rsidRPr="00A83C94">
        <w:rPr>
          <w:rFonts w:eastAsia="Calibri"/>
          <w:b w:val="0"/>
          <w:szCs w:val="22"/>
          <w:lang w:val="hy-AM" w:eastAsia="en-US"/>
        </w:rPr>
        <w:t>։</w:t>
      </w:r>
    </w:p>
    <w:p w14:paraId="38554BF2" w14:textId="77777777" w:rsidR="00027FBF" w:rsidRPr="00A83C94" w:rsidRDefault="00027FBF" w:rsidP="00027FBF">
      <w:pPr>
        <w:spacing w:before="40" w:after="120" w:line="276" w:lineRule="auto"/>
        <w:contextualSpacing w:val="0"/>
        <w:rPr>
          <w:b w:val="0"/>
          <w:szCs w:val="22"/>
          <w:lang w:val="hy-AM" w:eastAsia="en-US"/>
        </w:rPr>
      </w:pPr>
      <w:r w:rsidRPr="00A83C94">
        <w:rPr>
          <w:rFonts w:eastAsia="Calibri"/>
          <w:b w:val="0"/>
          <w:szCs w:val="22"/>
          <w:lang w:val="hy-AM" w:eastAsia="en-US"/>
        </w:rPr>
        <w:t xml:space="preserve">Փողի շուկայի տոկոսադրույքների ձևավորումը վերաֆինանսավորման տոկոսադրույքի շուրջ ապահովելու համար ԿԲ-ն շարունակել է բավարարել իրացվելիության նկատմամբ բանկային համակարգի պահանջարկը՝ ռեպո գործարքների միջոցով ավելացնելով զուտ իրացվելիության ներարկման չափը։ </w:t>
      </w:r>
      <w:r w:rsidRPr="00A83C94">
        <w:rPr>
          <w:b w:val="0"/>
          <w:szCs w:val="22"/>
          <w:lang w:val="hy-AM" w:eastAsia="en-US"/>
        </w:rPr>
        <w:t xml:space="preserve"> </w:t>
      </w:r>
    </w:p>
    <w:p w14:paraId="3B4F43E1" w14:textId="77777777" w:rsidR="00027FBF" w:rsidRPr="00A83C94" w:rsidRDefault="00027FBF" w:rsidP="00027FBF">
      <w:pPr>
        <w:spacing w:before="0" w:after="120" w:line="276" w:lineRule="auto"/>
        <w:contextualSpacing w:val="0"/>
        <w:rPr>
          <w:rFonts w:ascii="Times New Roman" w:eastAsiaTheme="minorHAnsi" w:hAnsi="Times New Roman"/>
          <w:b w:val="0"/>
          <w:sz w:val="24"/>
          <w:lang w:val="hy-AM" w:eastAsia="hy-AM"/>
        </w:rPr>
      </w:pPr>
      <w:r w:rsidRPr="00A83C94">
        <w:rPr>
          <w:rFonts w:eastAsia="Calibri" w:cs="Sylfaen"/>
          <w:szCs w:val="22"/>
          <w:u w:val="single"/>
          <w:lang w:val="hy-AM" w:eastAsia="en-US"/>
        </w:rPr>
        <w:t>Կանխատեսում.</w:t>
      </w:r>
      <w:r w:rsidRPr="00A83C94">
        <w:rPr>
          <w:rFonts w:eastAsia="Calibri" w:cs="Sylfaen"/>
          <w:b w:val="0"/>
          <w:szCs w:val="22"/>
          <w:lang w:val="hy-AM" w:eastAsia="en-US"/>
        </w:rPr>
        <w:t xml:space="preserve"> ԿԲ-ն կարճաժամկետ հատվածում անհրաժեշտ է համարում շարունակել որդեգրած դրամավարկային քաղաքականությունը, որն ուղղված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ցանկացած ռիսկերի դրսևորման պարագայում պատրաստ է համապատասխանորեն արձագանքել՝ միջնաժամկետ հատվածում գնաճի նպատակային ցուցանիշին հասնելու նպատակով</w:t>
      </w:r>
      <w:r w:rsidRPr="00A83C94">
        <w:rPr>
          <w:rFonts w:eastAsia="Calibri" w:cs="Sylfaen"/>
          <w:vertAlign w:val="superscript"/>
          <w:lang w:val="hy-AM"/>
        </w:rPr>
        <w:footnoteReference w:id="10"/>
      </w:r>
      <w:r w:rsidRPr="00A83C94">
        <w:rPr>
          <w:rFonts w:eastAsia="Calibri" w:cs="Sylfaen"/>
          <w:lang w:val="hy-AM"/>
        </w:rPr>
        <w:t>:</w:t>
      </w:r>
      <w:r w:rsidRPr="00A83C94">
        <w:rPr>
          <w:rFonts w:eastAsiaTheme="minorHAnsi"/>
          <w:lang w:val="hy-AM" w:eastAsia="hy-AM"/>
        </w:rPr>
        <w:t xml:space="preserve"> </w:t>
      </w:r>
    </w:p>
    <w:p w14:paraId="6AEBD4B8" w14:textId="77777777" w:rsidR="00027FBF" w:rsidRPr="00A83C94" w:rsidRDefault="00027FBF" w:rsidP="00027FBF">
      <w:pPr>
        <w:spacing w:before="0" w:after="120" w:line="276" w:lineRule="auto"/>
        <w:contextualSpacing w:val="0"/>
        <w:rPr>
          <w:rFonts w:eastAsia="Calibri" w:cs="Sylfaen"/>
          <w:b w:val="0"/>
          <w:szCs w:val="22"/>
          <w:lang w:val="hy-AM" w:eastAsia="en-US"/>
        </w:rPr>
      </w:pPr>
    </w:p>
    <w:p w14:paraId="744C89B5" w14:textId="77777777" w:rsidR="00027FBF" w:rsidRPr="00A83C94" w:rsidRDefault="00027FBF" w:rsidP="00027FBF">
      <w:pPr>
        <w:keepNext/>
        <w:keepLines/>
        <w:spacing w:before="0" w:after="120" w:line="276" w:lineRule="auto"/>
        <w:ind w:firstLine="0"/>
        <w:contextualSpacing w:val="0"/>
        <w:rPr>
          <w:rFonts w:cs="Sylfaen"/>
          <w:b w:val="0"/>
          <w:i/>
          <w:sz w:val="20"/>
          <w:szCs w:val="20"/>
          <w:lang w:val="hy-AM" w:eastAsia="en-US"/>
        </w:rPr>
      </w:pPr>
      <w:r w:rsidRPr="00A83C94">
        <w:rPr>
          <w:rFonts w:cs="Sylfaen"/>
          <w:i/>
          <w:szCs w:val="22"/>
          <w:lang w:val="hy-AM" w:eastAsia="en-US"/>
        </w:rPr>
        <w:t>Գծապատկեր 1.28.</w:t>
      </w:r>
      <w:r w:rsidRPr="00A83C94">
        <w:rPr>
          <w:rFonts w:cs="Sylfaen"/>
          <w:i/>
          <w:sz w:val="21"/>
          <w:szCs w:val="21"/>
          <w:lang w:val="hy-AM" w:eastAsia="en-US"/>
        </w:rPr>
        <w:t xml:space="preserve"> </w:t>
      </w:r>
      <w:r w:rsidRPr="00A83C94">
        <w:rPr>
          <w:rFonts w:cs="Sylfaen"/>
          <w:b w:val="0"/>
          <w:i/>
          <w:sz w:val="20"/>
          <w:szCs w:val="20"/>
          <w:lang w:val="hy-AM" w:eastAsia="en-US"/>
        </w:rPr>
        <w:t>Սպառողական գների աճը, դրամավարկային քաղաքականության հիմնական ցուցանիշները 2017-2021թթ. և գնաճի կանխատեսումները 2020-2022թթ.</w:t>
      </w:r>
    </w:p>
    <w:p w14:paraId="374BD021" w14:textId="77777777" w:rsidR="00027FBF" w:rsidRPr="00A83C94" w:rsidRDefault="00027FBF" w:rsidP="00027FBF">
      <w:pPr>
        <w:spacing w:before="0" w:line="240" w:lineRule="auto"/>
        <w:ind w:firstLine="0"/>
        <w:contextualSpacing w:val="0"/>
        <w:jc w:val="left"/>
        <w:rPr>
          <w:rFonts w:cs="Sylfaen"/>
          <w:noProof/>
          <w:sz w:val="24"/>
          <w:lang w:val="hy-AM" w:eastAsia="en-US"/>
        </w:rPr>
      </w:pPr>
      <w:r w:rsidRPr="00A83C94">
        <w:rPr>
          <w:rFonts w:cs="Sylfaen"/>
          <w:noProof/>
          <w:sz w:val="24"/>
          <w:lang w:val="en-US" w:eastAsia="en-US"/>
        </w:rPr>
        <w:drawing>
          <wp:inline distT="0" distB="0" distL="0" distR="0" wp14:anchorId="0F18B0F7" wp14:editId="4149A914">
            <wp:extent cx="3024000" cy="1980000"/>
            <wp:effectExtent l="0" t="0" r="5080" b="12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A83C94">
        <w:rPr>
          <w:rFonts w:cs="Sylfaen"/>
          <w:noProof/>
          <w:sz w:val="24"/>
          <w:lang w:val="hy-AM" w:eastAsia="en-US"/>
        </w:rPr>
        <w:t xml:space="preserve"> </w:t>
      </w:r>
      <w:r w:rsidRPr="00A83C94">
        <w:rPr>
          <w:rFonts w:cs="Sylfaen"/>
          <w:noProof/>
          <w:sz w:val="24"/>
          <w:lang w:val="en-US" w:eastAsia="en-US"/>
        </w:rPr>
        <w:drawing>
          <wp:inline distT="0" distB="0" distL="0" distR="0" wp14:anchorId="41E84AB1" wp14:editId="07864DC2">
            <wp:extent cx="3024000" cy="1980000"/>
            <wp:effectExtent l="0" t="0" r="5080" b="127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A83C94">
        <w:rPr>
          <w:rFonts w:cs="Sylfaen"/>
          <w:noProof/>
          <w:sz w:val="24"/>
          <w:lang w:val="en-US" w:eastAsia="en-US"/>
        </w:rPr>
        <w:drawing>
          <wp:inline distT="0" distB="0" distL="0" distR="0" wp14:anchorId="4661BCB4" wp14:editId="2E912C32">
            <wp:extent cx="6102000" cy="485775"/>
            <wp:effectExtent l="0" t="0" r="13335"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27C40B3" w14:textId="77777777" w:rsidR="00027FBF" w:rsidRPr="00A83C94" w:rsidRDefault="00027FBF" w:rsidP="00027FBF">
      <w:pPr>
        <w:spacing w:before="0" w:line="240" w:lineRule="auto"/>
        <w:ind w:firstLine="0"/>
        <w:contextualSpacing w:val="0"/>
        <w:jc w:val="left"/>
        <w:rPr>
          <w:rFonts w:eastAsia="Calibri" w:cs="Sylfaen"/>
          <w:b w:val="0"/>
          <w:i/>
          <w:sz w:val="24"/>
          <w:lang w:val="hy-AM" w:eastAsia="en-US"/>
        </w:rPr>
      </w:pPr>
      <w:r w:rsidRPr="00A83C94">
        <w:rPr>
          <w:rFonts w:cs="Sylfaen"/>
          <w:noProof/>
          <w:sz w:val="24"/>
          <w:lang w:val="en-US" w:eastAsia="en-US"/>
        </w:rPr>
        <w:drawing>
          <wp:inline distT="0" distB="0" distL="0" distR="0" wp14:anchorId="125935BC" wp14:editId="036F3049">
            <wp:extent cx="6102000" cy="2160000"/>
            <wp:effectExtent l="0" t="0" r="13335" b="1206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3CB1481" w14:textId="77777777" w:rsidR="00027FBF" w:rsidRPr="00A83C94" w:rsidRDefault="00027FBF" w:rsidP="00027FBF">
      <w:pPr>
        <w:spacing w:before="0" w:line="240" w:lineRule="auto"/>
        <w:ind w:firstLine="0"/>
        <w:contextualSpacing w:val="0"/>
        <w:jc w:val="left"/>
        <w:rPr>
          <w:rFonts w:eastAsia="Calibri" w:cs="Sylfaen"/>
          <w:b w:val="0"/>
          <w:i/>
          <w:sz w:val="24"/>
          <w:lang w:val="hy-AM" w:eastAsia="en-US"/>
        </w:rPr>
      </w:pPr>
      <w:r w:rsidRPr="00A83C94">
        <w:rPr>
          <w:rFonts w:ascii="Times New Roman" w:hAnsi="Times New Roman"/>
          <w:b w:val="0"/>
          <w:noProof/>
          <w:sz w:val="24"/>
          <w:lang w:val="en-US" w:eastAsia="en-US"/>
        </w:rPr>
        <w:drawing>
          <wp:inline distT="0" distB="0" distL="0" distR="0" wp14:anchorId="5B9C22D4" wp14:editId="0FF115B5">
            <wp:extent cx="3024000" cy="1980000"/>
            <wp:effectExtent l="0" t="0" r="5080" b="127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A83C94">
        <w:rPr>
          <w:rFonts w:eastAsia="Calibri" w:cs="Sylfaen"/>
          <w:b w:val="0"/>
          <w:i/>
          <w:sz w:val="24"/>
          <w:lang w:val="hy-AM" w:eastAsia="en-US"/>
        </w:rPr>
        <w:t xml:space="preserve"> </w:t>
      </w:r>
      <w:r w:rsidRPr="00A83C94">
        <w:rPr>
          <w:rFonts w:ascii="Times New Roman" w:hAnsi="Times New Roman"/>
          <w:b w:val="0"/>
          <w:noProof/>
          <w:sz w:val="24"/>
          <w:lang w:val="en-US" w:eastAsia="en-US"/>
        </w:rPr>
        <w:drawing>
          <wp:inline distT="0" distB="0" distL="0" distR="0" wp14:anchorId="2EDA6971" wp14:editId="0C0BDFBB">
            <wp:extent cx="3024000" cy="1980000"/>
            <wp:effectExtent l="0" t="0" r="5080" b="127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DE6DE8" w14:textId="77777777" w:rsidR="00027FBF" w:rsidRPr="00A83C94" w:rsidRDefault="00027FBF" w:rsidP="00027FBF">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 xml:space="preserve">Աղբյուրը՝ ՀՀ ԿԲ, ՀՀ ՖՆ հաշվարկներ և կանխատեսումներ </w:t>
      </w:r>
    </w:p>
    <w:p w14:paraId="302B3D57" w14:textId="77777777" w:rsidR="00027FBF" w:rsidRPr="00A83C94" w:rsidRDefault="00027FBF" w:rsidP="00027FBF">
      <w:pPr>
        <w:spacing w:before="0"/>
        <w:rPr>
          <w:rFonts w:eastAsia="Calibri" w:cs="Sylfaen"/>
          <w:b w:val="0"/>
          <w:i/>
          <w:sz w:val="18"/>
          <w:szCs w:val="18"/>
          <w:lang w:val="hy-AM"/>
        </w:rPr>
      </w:pPr>
      <w:r w:rsidRPr="00A83C94">
        <w:rPr>
          <w:rFonts w:eastAsia="Calibri"/>
          <w:b w:val="0"/>
          <w:bCs/>
          <w:lang w:val="hy-AM"/>
        </w:rPr>
        <w:br w:type="page"/>
      </w:r>
    </w:p>
    <w:p w14:paraId="05DD0734" w14:textId="77777777" w:rsidR="00027FBF" w:rsidRPr="00A83C94" w:rsidRDefault="00027FBF" w:rsidP="00027FBF">
      <w:pPr>
        <w:keepNext/>
        <w:keepLines/>
        <w:spacing w:before="0" w:line="276" w:lineRule="auto"/>
        <w:outlineLvl w:val="2"/>
        <w:rPr>
          <w:b w:val="0"/>
          <w:bCs/>
          <w:sz w:val="24"/>
          <w:lang w:val="hy-AM"/>
        </w:rPr>
      </w:pPr>
      <w:bookmarkStart w:id="135" w:name="_Toc46760406"/>
      <w:bookmarkStart w:id="136" w:name="_Toc51947415"/>
      <w:bookmarkStart w:id="137" w:name="_Toc52452088"/>
      <w:bookmarkStart w:id="138" w:name="_Toc57559415"/>
      <w:bookmarkStart w:id="139" w:name="_Toc83663897"/>
      <w:bookmarkStart w:id="140" w:name="_Toc83972833"/>
      <w:bookmarkStart w:id="141" w:name="_Toc89428288"/>
      <w:bookmarkEnd w:id="130"/>
      <w:r w:rsidRPr="00A83C94">
        <w:rPr>
          <w:bCs/>
          <w:sz w:val="24"/>
          <w:lang w:val="hy-AM"/>
        </w:rPr>
        <w:t>1.4. ԿԱՆԽԱՏԵՍՈՒՄՆԵՐԻ ՀԻՄՔՈՒՄ ԸՆԿԱԾ ԵՆԹԱԴՐՈՒԹՅՈՒՆՆԵՐԸ</w:t>
      </w:r>
      <w:bookmarkEnd w:id="135"/>
      <w:bookmarkEnd w:id="136"/>
      <w:bookmarkEnd w:id="137"/>
      <w:bookmarkEnd w:id="138"/>
      <w:bookmarkEnd w:id="139"/>
      <w:bookmarkEnd w:id="140"/>
      <w:bookmarkEnd w:id="141"/>
    </w:p>
    <w:p w14:paraId="0B6A0C24" w14:textId="77777777" w:rsidR="00027FBF" w:rsidRPr="00A83C94" w:rsidRDefault="00027FBF" w:rsidP="00027FBF">
      <w:pPr>
        <w:spacing w:after="120" w:line="276" w:lineRule="auto"/>
        <w:ind w:firstLine="709"/>
        <w:contextualSpacing w:val="0"/>
        <w:rPr>
          <w:rFonts w:eastAsia="Calibri" w:cs="Sylfaen"/>
          <w:b w:val="0"/>
          <w:bCs/>
          <w:szCs w:val="22"/>
          <w:lang w:val="hy-AM" w:eastAsia="en-US"/>
        </w:rPr>
      </w:pPr>
      <w:r w:rsidRPr="00A83C94">
        <w:rPr>
          <w:rFonts w:eastAsia="Calibri" w:cs="Sylfaen"/>
          <w:b w:val="0"/>
          <w:bCs/>
          <w:szCs w:val="22"/>
          <w:lang w:val="hy-AM" w:eastAsia="en-US"/>
        </w:rPr>
        <w:t>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Բյուջեի</w:t>
      </w:r>
      <w:r w:rsidRPr="00A83C94">
        <w:rPr>
          <w:rFonts w:eastAsia="Calibri" w:cs="Sylfaen"/>
          <w:b w:val="0"/>
          <w:bCs/>
          <w:szCs w:val="22"/>
          <w:lang w:val="hy-AM" w:eastAsia="en-US"/>
        </w:rPr>
        <w:t xml:space="preserve">  մակրոտնտեսական շրջանակի կանխատեսումներն իրականացվել են ՀՀ ՖՆ կողմից՝ կիրառելով տնտեսաչափական մոդելներ, և առանձին շոկերի և հարկաբյուջետային միջոցառումների ազդեցությունների գնահատման համար՝ ՀՀ ՖՆ հարկաբյուջետային քաղաքականության դինամիկ ստոխաստիկ ընդհանուր հավասարակշռության (The Fiscal Strategy Model: A Structural Framework for Fiscal Policy Analysis in Armenia) մոդելը</w:t>
      </w:r>
      <w:r w:rsidRPr="00A83C94">
        <w:rPr>
          <w:rFonts w:eastAsia="Calibri"/>
          <w:b w:val="0"/>
          <w:szCs w:val="22"/>
          <w:vertAlign w:val="superscript"/>
          <w:lang w:val="es-ES" w:eastAsia="en-US"/>
        </w:rPr>
        <w:footnoteReference w:id="11"/>
      </w:r>
      <w:r w:rsidRPr="00A83C94">
        <w:rPr>
          <w:rFonts w:eastAsia="Calibri"/>
          <w:b w:val="0"/>
          <w:szCs w:val="22"/>
          <w:vertAlign w:val="superscript"/>
          <w:lang w:val="es-ES" w:eastAsia="en-US"/>
        </w:rPr>
        <w:t xml:space="preserve">, </w:t>
      </w:r>
      <w:r w:rsidRPr="00A83C94">
        <w:rPr>
          <w:rFonts w:eastAsia="Calibri" w:cs="Sylfaen"/>
          <w:b w:val="0"/>
          <w:bCs/>
          <w:szCs w:val="22"/>
          <w:lang w:val="hy-AM" w:eastAsia="en-US"/>
        </w:rPr>
        <w:t>որոնց համար տեղեկատվական հիմք են հանդիսացել նեքին և արտաքին ընթացիկ տնտեսական և ֆինանսական զարգացումները, ՀՀ կառավարության 2021-2026թթ. ծրագրով նախատեսված բարձր տնտեսական աճի ապահովմանն ուղղված քաղաքականությունները,  Արցախյան պատերազմի տնտեսական հետևանքների վերաբերյալ ՀՀ ՖՆ գնահատականները, ինչպես նաև ՀՀ գործընկեր երկրների տնտեսական  զարգացումների և հումքային ապրանքների համաշխարհային գների միջազգային կառույցների կողմից արված կանխատեսումները: Մասնավորապես՝</w:t>
      </w:r>
    </w:p>
    <w:p w14:paraId="7E608808" w14:textId="77777777" w:rsidR="00027FBF" w:rsidRPr="00A83C94" w:rsidRDefault="00027FBF" w:rsidP="00027FBF">
      <w:pPr>
        <w:numPr>
          <w:ilvl w:val="0"/>
          <w:numId w:val="54"/>
        </w:numPr>
        <w:spacing w:before="0" w:line="276" w:lineRule="auto"/>
        <w:ind w:left="426"/>
        <w:contextualSpacing w:val="0"/>
        <w:jc w:val="left"/>
        <w:rPr>
          <w:rFonts w:eastAsia="Calibri" w:cs="Sylfaen"/>
          <w:bCs/>
          <w:szCs w:val="22"/>
          <w:lang w:val="hy-AM" w:eastAsia="en-US"/>
        </w:rPr>
      </w:pPr>
      <w:r w:rsidRPr="00A83C94">
        <w:rPr>
          <w:rFonts w:eastAsia="Calibri" w:cs="Sylfaen"/>
          <w:bCs/>
          <w:szCs w:val="22"/>
          <w:lang w:val="hy-AM" w:eastAsia="en-US"/>
        </w:rPr>
        <w:t>Արտաքին  գործոններ.</w:t>
      </w:r>
    </w:p>
    <w:p w14:paraId="584F9BA2"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2021թ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համար հայտարարված խոշոր հարկաբյուջետային աջակցությունը կխթանի զարգացած երկրների տնտեսական ակտիվությունը, ինչը կստեղծի դրական երկրորդային ազդեցություններ առևտրային գործընկերների համար: </w:t>
      </w:r>
      <w:r w:rsidRPr="00A83C94">
        <w:rPr>
          <w:rFonts w:cs="Courier New"/>
          <w:b w:val="0"/>
          <w:szCs w:val="22"/>
          <w:lang w:val="hy-AM" w:eastAsia="en-US"/>
        </w:rPr>
        <w:t>Համավարակի հաղթահարման նպատակով կիրառվող</w:t>
      </w:r>
      <w:r w:rsidRPr="00A83C94">
        <w:rPr>
          <w:rFonts w:eastAsia="Calibri" w:cs="Sylfaen"/>
          <w:b w:val="0"/>
          <w:bCs/>
          <w:szCs w:val="22"/>
          <w:lang w:val="hy-AM" w:eastAsia="en-US"/>
        </w:rPr>
        <w:t xml:space="preserve"> պատվաստանյութերը լայնորեն մատչելի կլինեն զարգացած, ինչպես նաև որոշ զարգացող երկրներում,</w:t>
      </w:r>
      <w:r w:rsidRPr="00A83C94">
        <w:rPr>
          <w:rFonts w:cs="Courier New"/>
          <w:b w:val="0"/>
          <w:szCs w:val="22"/>
          <w:lang w:val="hy-AM" w:eastAsia="en-US"/>
        </w:rPr>
        <w:t xml:space="preserve"> տնտեսական սահմանափակումներն աստիճանաբար կհանվեն:</w:t>
      </w:r>
      <w:r w:rsidRPr="00A83C94">
        <w:rPr>
          <w:rFonts w:eastAsia="Calibri" w:cs="Sylfaen"/>
          <w:b w:val="0"/>
          <w:bCs/>
          <w:szCs w:val="22"/>
          <w:lang w:val="hy-AM" w:eastAsia="en-US"/>
        </w:rPr>
        <w:t xml:space="preserve"> Այս պայմաններում ԱՄՀ կանխատեսումների համաձայն 2021թ.  ՀՀ հիմ</w:t>
      </w:r>
      <w:r w:rsidRPr="00A83C94">
        <w:rPr>
          <w:rFonts w:eastAsia="Calibri" w:cs="Sylfaen"/>
          <w:b w:val="0"/>
          <w:bCs/>
          <w:szCs w:val="22"/>
          <w:lang w:val="hy-AM" w:eastAsia="en-US"/>
        </w:rPr>
        <w:softHyphen/>
        <w:t>նական գործընկեր երկրների արտաքին պահանջարկը կաճի 4.9%-ով</w:t>
      </w:r>
      <w:r w:rsidRPr="00A83C94">
        <w:rPr>
          <w:rFonts w:eastAsia="Calibri"/>
          <w:b w:val="0"/>
          <w:sz w:val="24"/>
          <w:vertAlign w:val="superscript"/>
          <w:lang w:val="es-ES" w:eastAsia="en-US"/>
        </w:rPr>
        <w:footnoteReference w:id="12"/>
      </w:r>
      <w:r w:rsidRPr="00A83C94">
        <w:rPr>
          <w:rFonts w:eastAsia="Calibri" w:cs="Sylfaen"/>
          <w:b w:val="0"/>
          <w:bCs/>
          <w:szCs w:val="22"/>
          <w:lang w:val="hy-AM" w:eastAsia="en-US"/>
        </w:rPr>
        <w:t>:</w:t>
      </w:r>
    </w:p>
    <w:p w14:paraId="01127218"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bCs/>
          <w:szCs w:val="22"/>
          <w:lang w:val="hy-AM" w:eastAsia="en-US"/>
        </w:rPr>
        <w:t>2022թ. պատվաստանյութերը լայնորեն հասանելի կլինեն նաև զարգացող երկրների մեծամասնությունում, արդյունքում մինչև 2022թ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ավարտը վարակի տարածումն ամենուր կնվազի՝ հասնելով ցածր մակարդակի: Այս համատեքստում, և 2021թ.-ից փոխանցվող դրական տենտեսական և հակաբյուջետային միջոցառումների ազդեցությունների պայմաններում, 2022թ. ՀՀ գործընկեր երկրների տնտեսությունների համար կանխատեսվում  է իրենց նախաճգնաժամային պոտենցիալ աճերից բարձր տնտեսական աճեր՝ նախանշելով վերականգման գործընթացը: Արդյունքում, 2022թ. վերջում տեղի կունենա ՀՀ արտաքին պահանջարկի վերականգնումը, սակայն  նոր՝ նախաճգնաժամային մակարդակից ցածր ներուժային մակարդակի պայմաններում։</w:t>
      </w:r>
    </w:p>
    <w:p w14:paraId="3BAFA6D6"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b w:val="0"/>
          <w:szCs w:val="22"/>
          <w:lang w:val="hy-AM" w:eastAsia="en-US"/>
        </w:rPr>
        <w:t>2021թ. նավթի և պղնձի բորսային գները կգրանցեն բարձր աճեր, պայմանավորված հիմնականում համաշխարհային պահանջարկի վերականգմամբ, նավթի գների բարձրացմանը կնպաստի նաև OPEC+ անդամների միջև առաջարկի շուրջ պայմանավորվածությունները: Ըստ «Բլումբերգ» միջազգային հեղինակավոր կազմակերպության օգոստոսի դրությամբ ամփոփած  կանխատեսումների 2021թ. նավթի միջազգային գները կաճեն 62.3</w:t>
      </w:r>
      <w:r w:rsidRPr="00A83C94">
        <w:rPr>
          <w:rFonts w:eastAsia="Calibri" w:cs="Sylfaen"/>
          <w:b w:val="0"/>
          <w:bCs/>
          <w:szCs w:val="22"/>
          <w:lang w:val="hy-AM" w:eastAsia="en-US"/>
        </w:rPr>
        <w:t>%-ով, իսկ պղնձի գները՝ 52.2%</w:t>
      </w:r>
      <w:r w:rsidRPr="00A83C94">
        <w:rPr>
          <w:rFonts w:eastAsia="Calibri"/>
          <w:b w:val="0"/>
          <w:szCs w:val="22"/>
          <w:lang w:val="hy-AM" w:eastAsia="en-US"/>
        </w:rPr>
        <w:t>: 2022թ. նավթի և պղնձի գների փոփոխությունը կլինեն ոչ նշանակալի:</w:t>
      </w:r>
    </w:p>
    <w:p w14:paraId="5CA02859"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szCs w:val="22"/>
          <w:lang w:val="hy-AM" w:eastAsia="en-US"/>
        </w:rPr>
        <w:t xml:space="preserve">Աշխարհում տուրիզմի վերականգնումը տեղի կունենա թույլ տեմպերով, պայմանավորված համավարակի հաղթահարման անորոշություններով: Ըստ </w:t>
      </w:r>
      <w:r w:rsidRPr="00A83C94">
        <w:rPr>
          <w:rFonts w:eastAsia="+mn-ea" w:cs="+mn-cs"/>
          <w:b w:val="0"/>
          <w:color w:val="000000"/>
          <w:kern w:val="24"/>
          <w:szCs w:val="22"/>
          <w:lang w:val="hy-AM" w:eastAsia="en-US"/>
        </w:rPr>
        <w:t>տուրիզմի համաշխարհային կազմակերպության (</w:t>
      </w:r>
      <w:r w:rsidRPr="00A83C94">
        <w:rPr>
          <w:rFonts w:eastAsia="Calibri" w:cs="Sylfaen"/>
          <w:b w:val="0"/>
          <w:szCs w:val="22"/>
          <w:lang w:val="es-ES" w:eastAsia="en-US"/>
        </w:rPr>
        <w:t xml:space="preserve">UNWTO) </w:t>
      </w:r>
      <w:r w:rsidRPr="00A83C94">
        <w:rPr>
          <w:rFonts w:eastAsia="Calibri" w:cs="Sylfaen"/>
          <w:b w:val="0"/>
          <w:szCs w:val="22"/>
          <w:lang w:val="hy-AM" w:eastAsia="en-US"/>
        </w:rPr>
        <w:t>հարցումների վրա հիմնված գնահատականների</w:t>
      </w:r>
      <w:r w:rsidRPr="00A83C94">
        <w:rPr>
          <w:rStyle w:val="FootnoteReference"/>
          <w:rFonts w:eastAsia="Calibri" w:cs="Sylfaen"/>
          <w:b w:val="0"/>
          <w:szCs w:val="22"/>
          <w:lang w:val="hy-AM" w:eastAsia="en-US"/>
        </w:rPr>
        <w:footnoteReference w:id="13"/>
      </w:r>
      <w:r w:rsidRPr="00A83C94">
        <w:rPr>
          <w:rFonts w:eastAsia="Calibri" w:cs="Sylfaen"/>
          <w:b w:val="0"/>
          <w:szCs w:val="22"/>
          <w:lang w:val="hy-AM" w:eastAsia="en-US"/>
        </w:rPr>
        <w:t xml:space="preserve"> համաշխարհային զբոսաշրջությունը 2019թ</w:t>
      </w:r>
      <w:r w:rsidRPr="00A83C94">
        <w:rPr>
          <w:rFonts w:eastAsia="Calibri" w:cs="Sylfaen"/>
          <w:b w:val="0"/>
          <w:szCs w:val="22"/>
          <w:lang w:val="es-ES" w:eastAsia="en-US"/>
        </w:rPr>
        <w:t>.</w:t>
      </w:r>
      <w:r w:rsidRPr="00A83C94">
        <w:rPr>
          <w:rFonts w:eastAsia="Calibri" w:cs="Sylfaen"/>
          <w:b w:val="0"/>
          <w:szCs w:val="22"/>
          <w:lang w:val="hy-AM" w:eastAsia="en-US"/>
        </w:rPr>
        <w:t xml:space="preserve"> մակարդակին կհասնի միայն 2024թ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-ին:  ՀՀ համար՝ հաշվի առնելով հետպատերազմյան ազդեցությունների և </w:t>
      </w:r>
      <w:r w:rsidRPr="00A83C94">
        <w:rPr>
          <w:rFonts w:eastAsia="Calibri" w:cs="Sylfaen"/>
          <w:b w:val="0"/>
          <w:bCs/>
          <w:szCs w:val="22"/>
          <w:lang w:val="hy-AM" w:eastAsia="en-US"/>
        </w:rPr>
        <w:t>այլ երկրների զգուշավոր քաղաքականությունների արդյունքում</w:t>
      </w:r>
      <w:r w:rsidRPr="00A83C94">
        <w:rPr>
          <w:rFonts w:eastAsia="Calibri" w:cs="Sylfaen"/>
          <w:b w:val="0"/>
          <w:szCs w:val="22"/>
          <w:lang w:val="hy-AM" w:eastAsia="en-US"/>
        </w:rPr>
        <w:t xml:space="preserve"> համաշխարհային տնտեսության նկատմամաբ ավելի դանդաղ վերականգնումը, ենթադրվել է, որ ծառայությունների արտահանումը 2019թ. մակարդակին կհասնի 2024թ.-ին, իսկ ներմուծումը հետ կմնա՝ վերականգնվելով  միայն 2025թ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-ին։ </w:t>
      </w:r>
    </w:p>
    <w:p w14:paraId="0738C403" w14:textId="77777777" w:rsidR="00027FBF" w:rsidRPr="00A83C94" w:rsidRDefault="00027FBF" w:rsidP="00027FBF">
      <w:pPr>
        <w:numPr>
          <w:ilvl w:val="0"/>
          <w:numId w:val="52"/>
        </w:numPr>
        <w:spacing w:before="0" w:after="120" w:line="276" w:lineRule="auto"/>
        <w:ind w:left="709"/>
        <w:contextualSpacing w:val="0"/>
        <w:rPr>
          <w:rFonts w:eastAsia="Calibri" w:cs="Sylfaen"/>
          <w:b w:val="0"/>
          <w:bCs/>
          <w:szCs w:val="22"/>
          <w:lang w:val="hy-AM" w:eastAsia="en-US"/>
        </w:rPr>
      </w:pPr>
      <w:r w:rsidRPr="00A83C94">
        <w:rPr>
          <w:rFonts w:eastAsia="Calibri" w:cs="Sylfaen"/>
          <w:b w:val="0"/>
          <w:szCs w:val="22"/>
          <w:lang w:val="hy-AM" w:eastAsia="en-US"/>
        </w:rPr>
        <w:t>Դ</w:t>
      </w:r>
      <w:r w:rsidRPr="00A83C94">
        <w:rPr>
          <w:rFonts w:eastAsia="Calibri" w:cs="Sylfaen"/>
          <w:b w:val="0"/>
          <w:szCs w:val="22"/>
          <w:lang w:val="es-ES" w:eastAsia="en-US"/>
        </w:rPr>
        <w:t>րամական փոխանցումներ</w:t>
      </w:r>
      <w:r w:rsidRPr="00A83C94">
        <w:rPr>
          <w:rFonts w:eastAsia="Calibri" w:cs="Sylfaen"/>
          <w:b w:val="0"/>
          <w:szCs w:val="22"/>
          <w:lang w:val="hy-AM" w:eastAsia="en-US"/>
        </w:rPr>
        <w:t>ի</w:t>
      </w:r>
      <w:r w:rsidRPr="00A83C94">
        <w:rPr>
          <w:rFonts w:eastAsia="Calibri" w:cs="Sylfaen"/>
          <w:b w:val="0"/>
          <w:szCs w:val="22"/>
          <w:lang w:val="es-ES" w:eastAsia="en-US"/>
        </w:rPr>
        <w:t xml:space="preserve"> ԱՄՆ-ից դեպի Հայաստան 2020թ</w:t>
      </w:r>
      <w:r w:rsidRPr="00A83C94">
        <w:rPr>
          <w:rFonts w:ascii="Cambria Math" w:eastAsia="Calibri" w:hAnsi="Cambria Math" w:cs="Cambria Math"/>
          <w:b w:val="0"/>
          <w:szCs w:val="22"/>
          <w:lang w:val="es-ES" w:eastAsia="en-US"/>
        </w:rPr>
        <w:t>․</w:t>
      </w:r>
      <w:r w:rsidRPr="00A83C94">
        <w:rPr>
          <w:rFonts w:eastAsia="Calibri" w:cs="Sylfaen"/>
          <w:b w:val="0"/>
          <w:szCs w:val="22"/>
          <w:lang w:val="es-ES" w:eastAsia="en-US"/>
        </w:rPr>
        <w:t xml:space="preserve"> հունիս ամսից սկսված աննախադեպ բարձր աճը</w:t>
      </w:r>
      <w:r w:rsidRPr="00A83C94">
        <w:rPr>
          <w:rFonts w:eastAsia="Calibri" w:cs="Sylfaen"/>
          <w:b w:val="0"/>
          <w:szCs w:val="22"/>
          <w:lang w:val="hy-AM" w:eastAsia="en-US"/>
        </w:rPr>
        <w:t>, ենթադրվում է, որ</w:t>
      </w:r>
      <w:r w:rsidRPr="00A83C94">
        <w:rPr>
          <w:rFonts w:eastAsia="Calibri" w:cs="Sylfaen"/>
          <w:b w:val="0"/>
          <w:szCs w:val="22"/>
          <w:lang w:val="es-ES" w:eastAsia="en-US"/>
        </w:rPr>
        <w:t xml:space="preserve"> կրելու է ժամանակավոր բնույթ և 2021թ</w:t>
      </w:r>
      <w:r w:rsidRPr="00A83C94">
        <w:rPr>
          <w:rFonts w:ascii="Cambria Math" w:eastAsia="Calibri" w:hAnsi="Cambria Math" w:cs="Cambria Math"/>
          <w:b w:val="0"/>
          <w:szCs w:val="22"/>
          <w:lang w:val="es-ES" w:eastAsia="en-US"/>
        </w:rPr>
        <w:t>․</w:t>
      </w:r>
      <w:r w:rsidRPr="00A83C94">
        <w:rPr>
          <w:rFonts w:eastAsia="Calibri" w:cs="Sylfaen"/>
          <w:b w:val="0"/>
          <w:szCs w:val="22"/>
          <w:lang w:val="es-ES" w:eastAsia="en-US"/>
        </w:rPr>
        <w:t xml:space="preserve"> ընթացքում տեղի է ունենալու աստիճանական վերադարձ նախորդ զարգացումներին</w:t>
      </w:r>
      <w:r w:rsidRPr="00A83C94">
        <w:rPr>
          <w:rFonts w:ascii="Cambria Math" w:eastAsia="Calibri" w:hAnsi="Cambria Math" w:cs="Cambria Math"/>
          <w:b w:val="0"/>
          <w:szCs w:val="22"/>
          <w:lang w:val="hy-AM" w:eastAsia="en-US"/>
        </w:rPr>
        <w:t>․</w:t>
      </w:r>
      <w:r w:rsidRPr="00A83C94">
        <w:rPr>
          <w:rFonts w:eastAsia="Calibri" w:cs="Sylfaen"/>
          <w:b w:val="0"/>
          <w:szCs w:val="22"/>
          <w:lang w:val="es-ES" w:eastAsia="en-US"/>
        </w:rPr>
        <w:t xml:space="preserve"> </w:t>
      </w:r>
      <w:r w:rsidRPr="00A83C94">
        <w:rPr>
          <w:rFonts w:eastAsia="Calibri" w:cs="Sylfaen"/>
          <w:b w:val="0"/>
          <w:szCs w:val="22"/>
          <w:lang w:val="af-ZA" w:eastAsia="en-US"/>
        </w:rPr>
        <w:t>2021</w:t>
      </w:r>
      <w:r w:rsidRPr="00A83C94">
        <w:rPr>
          <w:rFonts w:eastAsia="Calibri" w:cs="Sylfaen"/>
          <w:b w:val="0"/>
          <w:szCs w:val="22"/>
          <w:lang w:val="hy-AM" w:eastAsia="en-US"/>
        </w:rPr>
        <w:t>թ</w:t>
      </w:r>
      <w:r w:rsidRPr="00A83C94">
        <w:rPr>
          <w:rFonts w:eastAsia="Calibri" w:cs="Sylfaen"/>
          <w:b w:val="0"/>
          <w:szCs w:val="22"/>
          <w:lang w:val="af-ZA" w:eastAsia="en-US"/>
        </w:rPr>
        <w:t xml:space="preserve">. </w:t>
      </w:r>
      <w:r w:rsidRPr="00A83C94">
        <w:rPr>
          <w:rFonts w:eastAsia="Calibri" w:cs="Sylfaen"/>
          <w:b w:val="0"/>
          <w:szCs w:val="22"/>
          <w:lang w:val="hy-AM" w:eastAsia="en-US"/>
        </w:rPr>
        <w:t>գնահատվում է</w:t>
      </w:r>
      <w:r w:rsidRPr="00A83C94">
        <w:rPr>
          <w:rFonts w:eastAsia="Calibri" w:cs="Sylfaen"/>
          <w:b w:val="0"/>
          <w:szCs w:val="22"/>
          <w:lang w:val="af-ZA" w:eastAsia="en-US"/>
        </w:rPr>
        <w:t xml:space="preserve"> </w:t>
      </w:r>
      <w:r w:rsidRPr="00A83C94">
        <w:rPr>
          <w:rFonts w:eastAsia="Calibri" w:cs="Sylfaen"/>
          <w:b w:val="0"/>
          <w:szCs w:val="22"/>
          <w:lang w:val="hy-AM" w:eastAsia="en-US"/>
        </w:rPr>
        <w:t>ԱՄՆ-ից դրամական</w:t>
      </w:r>
      <w:r w:rsidRPr="00A83C94">
        <w:rPr>
          <w:rFonts w:eastAsia="Calibri" w:cs="Sylfaen"/>
          <w:b w:val="0"/>
          <w:szCs w:val="22"/>
          <w:lang w:val="af-ZA" w:eastAsia="en-US"/>
        </w:rPr>
        <w:t xml:space="preserve"> </w:t>
      </w:r>
      <w:r w:rsidRPr="00A83C94">
        <w:rPr>
          <w:rFonts w:eastAsia="Calibri" w:cs="Sylfaen"/>
          <w:b w:val="0"/>
          <w:szCs w:val="22"/>
          <w:lang w:val="hy-AM" w:eastAsia="en-US"/>
        </w:rPr>
        <w:t>փոխանցումների</w:t>
      </w:r>
      <w:r w:rsidRPr="00A83C94">
        <w:rPr>
          <w:rFonts w:eastAsia="Calibri" w:cs="Sylfaen"/>
          <w:b w:val="0"/>
          <w:szCs w:val="22"/>
          <w:lang w:val="af-ZA" w:eastAsia="en-US"/>
        </w:rPr>
        <w:t xml:space="preserve"> </w:t>
      </w:r>
      <w:r w:rsidRPr="00A83C94">
        <w:rPr>
          <w:rFonts w:eastAsia="Calibri" w:cs="Sylfaen"/>
          <w:b w:val="0"/>
          <w:szCs w:val="22"/>
          <w:lang w:val="hy-AM" w:eastAsia="en-US"/>
        </w:rPr>
        <w:t>աճի տեմպի դանդաղում</w:t>
      </w:r>
      <w:r w:rsidRPr="00A83C94">
        <w:rPr>
          <w:rFonts w:eastAsia="Calibri" w:cs="Sylfaen"/>
          <w:b w:val="0"/>
          <w:szCs w:val="22"/>
          <w:lang w:val="af-ZA" w:eastAsia="en-US"/>
        </w:rPr>
        <w:t>,</w:t>
      </w:r>
      <w:r w:rsidRPr="00A83C94">
        <w:rPr>
          <w:rFonts w:eastAsia="Calibri" w:cs="Sylfaen"/>
          <w:b w:val="0"/>
          <w:szCs w:val="22"/>
          <w:lang w:val="hy-AM" w:eastAsia="en-US"/>
        </w:rPr>
        <w:t xml:space="preserve"> իսկ </w:t>
      </w:r>
      <w:r w:rsidRPr="00A83C94">
        <w:rPr>
          <w:rFonts w:eastAsia="Calibri" w:cs="Sylfaen"/>
          <w:b w:val="0"/>
          <w:szCs w:val="22"/>
          <w:lang w:val="es-ES" w:eastAsia="en-US"/>
        </w:rPr>
        <w:t>ՌԴ–ից դրամական փոխանցումներ</w:t>
      </w:r>
      <w:r w:rsidRPr="00A83C94">
        <w:rPr>
          <w:rFonts w:eastAsia="Calibri" w:cs="Sylfaen"/>
          <w:b w:val="0"/>
          <w:szCs w:val="22"/>
          <w:lang w:val="hy-AM" w:eastAsia="en-US"/>
        </w:rPr>
        <w:t>ի բարձր</w:t>
      </w:r>
      <w:r w:rsidRPr="00A83C94">
        <w:rPr>
          <w:rFonts w:eastAsia="Calibri" w:cs="Sylfaen"/>
          <w:b w:val="0"/>
          <w:szCs w:val="22"/>
          <w:lang w:val="es-ES" w:eastAsia="en-US"/>
        </w:rPr>
        <w:t xml:space="preserve"> աճ՝ պայմանավորված սահմանափակումների վերացման հետևանքով դեպի ՌԴ սեզոնային արտագնա աշխատանքի մեկնողների թվի աճով</w:t>
      </w:r>
      <w:r w:rsidRPr="00A83C94">
        <w:rPr>
          <w:rFonts w:eastAsia="Calibri" w:cs="Sylfaen"/>
          <w:b w:val="0"/>
          <w:szCs w:val="22"/>
          <w:lang w:val="hy-AM" w:eastAsia="en-US"/>
        </w:rPr>
        <w:t xml:space="preserve"> և ՌԴ տնտեսական դրական զարգացումներով:</w:t>
      </w:r>
    </w:p>
    <w:p w14:paraId="27C46D39" w14:textId="77777777" w:rsidR="00027FBF" w:rsidRPr="00A83C94" w:rsidRDefault="00027FBF" w:rsidP="00027FBF">
      <w:pPr>
        <w:spacing w:before="40" w:after="120" w:line="276" w:lineRule="auto"/>
        <w:rPr>
          <w:rFonts w:eastAsia="Calibri" w:cs="Sylfaen"/>
          <w:b w:val="0"/>
          <w:szCs w:val="22"/>
          <w:lang w:val="hy-AM" w:eastAsia="en-US"/>
        </w:rPr>
      </w:pPr>
    </w:p>
    <w:p w14:paraId="359EFE25"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COVID-19 համավարակային իրավիճակ: </w:t>
      </w:r>
      <w:r w:rsidRPr="00A83C94">
        <w:rPr>
          <w:rFonts w:eastAsia="Calibri" w:cs="Sylfaen"/>
          <w:b w:val="0"/>
          <w:bCs/>
          <w:szCs w:val="22"/>
          <w:lang w:val="hy-AM" w:eastAsia="en-US"/>
        </w:rPr>
        <w:t>Իմունականխարգելման 2021-2025թթ. ազգային ծրագրով նախատեսվում է կորոնավիրուսային հիվանդության բնակչության ռիսկային խմբերի շրջանում զանգվածային պատվաստումների իրականացում, 2021թ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համավարակի աստիճանական չեզոքացում, իսկ միջնաժամկետում՝ կայուն համաճարակային իրավիճակ (լաբորատոր հաստատված եզակի դեպքեր)։ Ընդ որում՝ զանգվածային պատվաստումների իրականացումն արդեն իսկ մեկնարկել է, ինչի շրջանակներում՝ մարտ ամսից սկսած Հայաստան է ներկրվել «AstraZeneca», «Sputnik-V», «Կորոնավակ» պատվաստանյութերը: 2021թ. նախատեսվում է պատվաստել բնակչության 10%-ին, ինչի արդյունքում 2021թ. համավարակի բացասական ազդեցությունները աստիճանաբար կթուլանան, իսկ միջնաժամկետում լրացուցիչ բացասական ազդեցություններ չեն սպասվում: </w:t>
      </w:r>
    </w:p>
    <w:p w14:paraId="2F88B47F" w14:textId="77777777" w:rsidR="00027FBF" w:rsidRPr="00A83C94" w:rsidRDefault="00027FBF" w:rsidP="00027FBF">
      <w:pPr>
        <w:spacing w:before="0" w:line="276" w:lineRule="auto"/>
        <w:ind w:left="426" w:firstLine="0"/>
        <w:rPr>
          <w:rFonts w:eastAsia="Calibri" w:cs="Sylfaen"/>
          <w:bCs/>
          <w:szCs w:val="22"/>
          <w:lang w:val="hy-AM" w:eastAsia="en-US"/>
        </w:rPr>
      </w:pPr>
    </w:p>
    <w:p w14:paraId="2A814AEC"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Արցախյան պատերազմի հիմնական տնտեսական հետևանքներ: </w:t>
      </w:r>
      <w:r w:rsidRPr="00A83C94">
        <w:rPr>
          <w:rFonts w:eastAsia="Calibri" w:cs="Sylfaen"/>
          <w:b w:val="0"/>
          <w:bCs/>
          <w:szCs w:val="22"/>
          <w:lang w:val="hy-AM" w:eastAsia="en-US"/>
        </w:rPr>
        <w:t xml:space="preserve">Արցախյան պատերազմի  հետևանքով տնտեսություն փոխանցվող բացասական հետևանքները գնահատվել են հաշվի առնելով հետևյալ հանգամանքները՝ </w:t>
      </w:r>
    </w:p>
    <w:p w14:paraId="3D2410F5" w14:textId="77777777" w:rsidR="00027FBF" w:rsidRPr="00A83C94" w:rsidRDefault="00027FBF" w:rsidP="00027FBF">
      <w:pPr>
        <w:numPr>
          <w:ilvl w:val="0"/>
          <w:numId w:val="55"/>
        </w:numPr>
        <w:spacing w:before="40" w:after="120" w:line="276" w:lineRule="auto"/>
        <w:ind w:left="1134" w:hanging="283"/>
        <w:contextualSpacing w:val="0"/>
        <w:rPr>
          <w:rFonts w:eastAsia="Calibri" w:cs="Sylfaen"/>
          <w:b w:val="0"/>
          <w:bCs/>
          <w:szCs w:val="22"/>
          <w:lang w:val="hy-AM" w:eastAsia="en-US"/>
        </w:rPr>
      </w:pPr>
      <w:r w:rsidRPr="00A83C94">
        <w:rPr>
          <w:rFonts w:eastAsia="Calibri" w:cs="Sylfaen"/>
          <w:b w:val="0"/>
          <w:bCs/>
          <w:szCs w:val="22"/>
          <w:lang w:val="hy-AM" w:eastAsia="en-US"/>
        </w:rPr>
        <w:t xml:space="preserve">ՀՀ գյուղատնտեսական նշանակություն ունեցող հողատարածքների Ադրբեջանի վերահսկողության տակ անցնելու և Ադրբեջանի հետ սահմանամերձ դառնալու արդյունքում ՀՀ  Սյունիքի, Գեղարքունիքի և Վայոց ձորի  մարզերում գյուղատնտեսության ոլորտի, ինչպես նաև Սոթքի հանքավայրի շահագործման մասշտաբների կրճատման հետևանքով արտահանման, զբաղվածության, հարկային եկամուտների նվազման հետևանքով կրած և առաջացող վնասները: </w:t>
      </w:r>
    </w:p>
    <w:p w14:paraId="2BAB5CF3" w14:textId="77777777" w:rsidR="00027FBF" w:rsidRPr="00A83C94" w:rsidRDefault="00027FBF" w:rsidP="00027FBF">
      <w:pPr>
        <w:numPr>
          <w:ilvl w:val="0"/>
          <w:numId w:val="55"/>
        </w:numPr>
        <w:spacing w:before="40" w:after="120" w:line="276" w:lineRule="auto"/>
        <w:ind w:left="1134" w:hanging="283"/>
        <w:contextualSpacing w:val="0"/>
        <w:rPr>
          <w:rFonts w:eastAsia="Calibri" w:cs="Sylfaen"/>
          <w:b w:val="0"/>
          <w:bCs/>
          <w:szCs w:val="22"/>
          <w:lang w:val="hy-AM" w:eastAsia="en-US"/>
        </w:rPr>
      </w:pPr>
      <w:r w:rsidRPr="00A83C94">
        <w:rPr>
          <w:rFonts w:eastAsia="Calibri" w:cs="Sylfaen"/>
          <w:b w:val="0"/>
          <w:bCs/>
          <w:szCs w:val="22"/>
          <w:lang w:val="hy-AM" w:eastAsia="en-US"/>
        </w:rPr>
        <w:t>Արցախյան պատերազմի հետևանքով առաջացած նոր իրողությունների պայմաններում Արցախում ներքին պահանջարկի նվազման արդյունքում ՀՀ-ից դեպի Արցախ արտահանման ծավալների կրճատումը:</w:t>
      </w:r>
    </w:p>
    <w:p w14:paraId="681996DD" w14:textId="77777777" w:rsidR="00027FBF" w:rsidRPr="00A83C94" w:rsidRDefault="00027FBF" w:rsidP="00027FBF">
      <w:pPr>
        <w:spacing w:before="40" w:after="120" w:line="276" w:lineRule="auto"/>
        <w:ind w:left="709" w:firstLine="0"/>
        <w:contextualSpacing w:val="0"/>
        <w:jc w:val="left"/>
        <w:rPr>
          <w:rFonts w:eastAsia="Calibri" w:cs="Sylfaen"/>
          <w:b w:val="0"/>
          <w:szCs w:val="22"/>
          <w:lang w:val="hy-AM" w:eastAsia="en-US"/>
        </w:rPr>
      </w:pPr>
    </w:p>
    <w:p w14:paraId="38BD8C27"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Կառավարության 2021-2026թթ. ծրագրից բխող թիրախներ և գործողություններ։ </w:t>
      </w:r>
      <w:r w:rsidRPr="00A83C94">
        <w:rPr>
          <w:rFonts w:eastAsia="Calibri" w:cs="Sylfaen"/>
          <w:b w:val="0"/>
          <w:bCs/>
          <w:szCs w:val="22"/>
          <w:lang w:val="hy-AM" w:eastAsia="en-US"/>
        </w:rPr>
        <w:t>ՀՀ կառավարության ծրագրում նպատակարդված թիրախներին համահունչ 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w:t>
      </w:r>
      <w:r w:rsidRPr="00A83C94">
        <w:rPr>
          <w:rFonts w:eastAsia="Calibri" w:cs="Sylfaen"/>
          <w:b w:val="0"/>
          <w:bCs/>
          <w:szCs w:val="22"/>
          <w:lang w:val="hy-AM" w:eastAsia="en-US"/>
        </w:rPr>
        <w:t>տնտեսական աճի կանխատեսումների հիմքում դրվել է հետևյալ ենթադրությունները</w:t>
      </w:r>
      <w:r w:rsidRPr="00A83C94">
        <w:rPr>
          <w:rFonts w:ascii="Cambria Math" w:eastAsia="Calibri" w:hAnsi="Cambria Math" w:cs="Cambria Math"/>
          <w:b w:val="0"/>
          <w:bCs/>
          <w:szCs w:val="22"/>
          <w:lang w:val="hy-AM" w:eastAsia="en-US"/>
        </w:rPr>
        <w:t>․</w:t>
      </w:r>
    </w:p>
    <w:p w14:paraId="5AB69546"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 xml:space="preserve">Գործարար միջավայրի բարելավման արդյունքում մասնավոր ներդրումների, այդ թվում օտարերկրյա ուղղակի ներդրումների մակարդակի բարձրացում, </w:t>
      </w:r>
    </w:p>
    <w:p w14:paraId="298987DB"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Ենթակառուցվածքներում, տնտեսության արտադրողական ոլորտներում մեծածավալ պետական կապիտալ ներդրումների թիրախավորված իրականացում,</w:t>
      </w:r>
    </w:p>
    <w:p w14:paraId="1C2DA5D7"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Տնտեսության արտահանելի հատվածի և արտահանման խթանմանն ուղղված քաղաքականության արդյունքում արտահանման ծավալների մեծացում,</w:t>
      </w:r>
    </w:p>
    <w:p w14:paraId="1E3FF54F" w14:textId="77777777" w:rsidR="00027FBF" w:rsidRPr="00A83C94" w:rsidRDefault="00027FBF" w:rsidP="00027FBF">
      <w:pPr>
        <w:pStyle w:val="ListParagraph"/>
        <w:numPr>
          <w:ilvl w:val="0"/>
          <w:numId w:val="57"/>
        </w:numPr>
        <w:spacing w:before="0" w:line="276" w:lineRule="auto"/>
        <w:contextualSpacing w:val="0"/>
        <w:rPr>
          <w:rFonts w:eastAsia="Calibri" w:cs="Sylfaen"/>
          <w:b w:val="0"/>
          <w:szCs w:val="22"/>
          <w:lang w:val="hy-AM" w:eastAsia="en-US"/>
        </w:rPr>
      </w:pPr>
      <w:r w:rsidRPr="00A83C94">
        <w:rPr>
          <w:rFonts w:eastAsia="Calibri" w:cs="Sylfaen"/>
          <w:b w:val="0"/>
          <w:szCs w:val="22"/>
          <w:lang w:val="hy-AM" w:eastAsia="en-US"/>
        </w:rPr>
        <w:t>Բարձր տեխնոլոգիական առաջընթացի ապահովմանն ուղղված քաղաքականության իրականացման արդյունքում մրցակցության և արտադրողականության բարձրացում։</w:t>
      </w:r>
    </w:p>
    <w:p w14:paraId="16B2A720" w14:textId="77777777" w:rsidR="00027FBF" w:rsidRPr="00A83C94" w:rsidRDefault="00027FBF" w:rsidP="00027FBF">
      <w:pPr>
        <w:pStyle w:val="ListParagraph"/>
        <w:spacing w:before="0" w:line="276" w:lineRule="auto"/>
        <w:ind w:left="1200" w:firstLine="0"/>
        <w:contextualSpacing w:val="0"/>
        <w:rPr>
          <w:rFonts w:eastAsia="Calibri" w:cs="Sylfaen"/>
          <w:b w:val="0"/>
          <w:szCs w:val="22"/>
          <w:lang w:val="hy-AM" w:eastAsia="en-US"/>
        </w:rPr>
      </w:pPr>
    </w:p>
    <w:p w14:paraId="5EC23EC8" w14:textId="77777777" w:rsidR="00027FBF" w:rsidRPr="00A83C94" w:rsidRDefault="00027FBF" w:rsidP="00027FBF">
      <w:pPr>
        <w:numPr>
          <w:ilvl w:val="0"/>
          <w:numId w:val="54"/>
        </w:numPr>
        <w:spacing w:before="0" w:line="276" w:lineRule="auto"/>
        <w:ind w:left="426"/>
        <w:contextualSpacing w:val="0"/>
        <w:rPr>
          <w:rFonts w:eastAsia="Calibri" w:cs="Sylfaen"/>
          <w:bCs/>
          <w:szCs w:val="22"/>
          <w:lang w:val="hy-AM" w:eastAsia="en-US"/>
        </w:rPr>
      </w:pPr>
      <w:r w:rsidRPr="00A83C94">
        <w:rPr>
          <w:rFonts w:eastAsia="Calibri" w:cs="Sylfaen"/>
          <w:bCs/>
          <w:szCs w:val="22"/>
          <w:lang w:val="hy-AM" w:eastAsia="en-US"/>
        </w:rPr>
        <w:t xml:space="preserve">Տնտեսության ներուժ և պաբերաշրջաններ: </w:t>
      </w:r>
      <w:r w:rsidRPr="00A83C94">
        <w:rPr>
          <w:rFonts w:eastAsia="Calibri" w:cs="Sylfaen"/>
          <w:b w:val="0"/>
          <w:szCs w:val="22"/>
          <w:lang w:val="hy-AM" w:eastAsia="en-US"/>
        </w:rPr>
        <w:t>2020թ.  համավարակի և Արցախյան պատերազմի հետևանքով առաջացած  տնտեսական անկման պայմաններում ՀՀ տնտեսությունը կրել է ոչ միայն ցիկլային բացասական զարգացումներ, այլ նաև նվազել է տնտեսության ներուժը և ներուժային աճը, պայմանավորված ինչպես արտադրողականության անկմամբ, այնպես էլ արտադրական գործոնների՝ աշխատուժի և կապիտալի, ներուժային մակարդակների նվազմամբ։  2022 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 xml:space="preserve"> պետական կապիտալ ծախսերի մակարդակի թիրախային բարձրացման, ներդրումային միջավայրի բարելավման և արտահանման առաջանցիկ աճի պայմաններում ներուժային աճն աստիճանաբար կվերականգնվի։ Իսկ ներքին պահանջարկի վերականգնման արդյունքում տնտեսությունում կփակվի ՀՆԱ բացասական ճեղքը:</w:t>
      </w:r>
    </w:p>
    <w:p w14:paraId="5CEF556C" w14:textId="77777777" w:rsidR="00027FBF" w:rsidRPr="00A83C94" w:rsidRDefault="00027FBF" w:rsidP="00027FBF">
      <w:pPr>
        <w:spacing w:before="0" w:line="276" w:lineRule="auto"/>
        <w:ind w:left="426" w:firstLine="0"/>
        <w:rPr>
          <w:rFonts w:eastAsia="Calibri" w:cs="Sylfaen"/>
          <w:bCs/>
          <w:szCs w:val="22"/>
          <w:lang w:val="hy-AM" w:eastAsia="en-US"/>
        </w:rPr>
      </w:pPr>
    </w:p>
    <w:p w14:paraId="64ACF71C" w14:textId="77777777" w:rsidR="00027FBF" w:rsidRPr="00A83C94" w:rsidRDefault="00027FBF" w:rsidP="00027FBF">
      <w:pPr>
        <w:numPr>
          <w:ilvl w:val="0"/>
          <w:numId w:val="54"/>
        </w:numPr>
        <w:spacing w:before="0" w:line="276" w:lineRule="auto"/>
        <w:ind w:left="426"/>
        <w:contextualSpacing w:val="0"/>
        <w:jc w:val="left"/>
        <w:rPr>
          <w:rFonts w:eastAsia="Calibri" w:cs="Sylfaen"/>
          <w:bCs/>
          <w:szCs w:val="22"/>
          <w:lang w:val="hy-AM" w:eastAsia="en-US"/>
        </w:rPr>
      </w:pPr>
      <w:r w:rsidRPr="00A83C94">
        <w:rPr>
          <w:rFonts w:eastAsia="Calibri" w:cs="Sylfaen"/>
          <w:bCs/>
          <w:szCs w:val="22"/>
          <w:lang w:val="hy-AM" w:eastAsia="en-US"/>
        </w:rPr>
        <w:t>Հարկաբյուջետային քաղաքականություն</w:t>
      </w:r>
      <w:r w:rsidRPr="00A83C94">
        <w:rPr>
          <w:rFonts w:eastAsia="Calibri" w:cs="Sylfaen"/>
          <w:bCs/>
          <w:szCs w:val="22"/>
          <w:lang w:val="en-US" w:eastAsia="en-US"/>
        </w:rPr>
        <w:t>.</w:t>
      </w:r>
    </w:p>
    <w:p w14:paraId="5A90D612" w14:textId="77777777" w:rsidR="00027FBF" w:rsidRPr="00A83C94" w:rsidRDefault="00027FBF" w:rsidP="00027FBF">
      <w:pPr>
        <w:spacing w:before="0" w:line="276" w:lineRule="auto"/>
        <w:ind w:firstLine="0"/>
        <w:contextualSpacing w:val="0"/>
        <w:jc w:val="left"/>
        <w:rPr>
          <w:rFonts w:eastAsia="Calibri" w:cs="Sylfaen"/>
          <w:bCs/>
          <w:szCs w:val="22"/>
          <w:lang w:val="hy-AM" w:eastAsia="en-US"/>
        </w:rPr>
      </w:pPr>
    </w:p>
    <w:p w14:paraId="017155C5" w14:textId="77777777" w:rsidR="00027FBF" w:rsidRPr="00A83C94" w:rsidRDefault="00027FBF" w:rsidP="00027FBF">
      <w:pPr>
        <w:numPr>
          <w:ilvl w:val="0"/>
          <w:numId w:val="53"/>
        </w:numPr>
        <w:spacing w:before="40" w:after="120" w:line="276" w:lineRule="auto"/>
        <w:ind w:left="1134" w:hanging="283"/>
        <w:contextualSpacing w:val="0"/>
        <w:rPr>
          <w:rFonts w:eastAsia="Calibri" w:cs="Sylfaen"/>
          <w:b w:val="0"/>
          <w:szCs w:val="22"/>
          <w:lang w:val="hy-AM" w:eastAsia="en-US"/>
        </w:rPr>
      </w:pPr>
      <w:r w:rsidRPr="00A83C94">
        <w:rPr>
          <w:rFonts w:eastAsia="Calibri" w:cs="Sylfaen"/>
          <w:b w:val="0"/>
          <w:szCs w:val="22"/>
          <w:lang w:val="hy-AM" w:eastAsia="en-US"/>
        </w:rPr>
        <w:t>2021թ. կշարունակվեն կառավարության հակաճգնաժամային միջոցառումները՝ ուղղված COVID-19 համավարակի և Արցախյան պատերազմի հետևանքների մեղմանը: Միաժամանակ, նպատակ ունենալով ապահովել հարկաբյուջետային կայունությունը և աջակցել տնտեսական վերականգնմանը` հարկաբյուջետային քաղաքականությունը 2021թ. կլինի զսպող, այնուհետև, 2022 թվականին հարկաբյուջետային քաղաքականության ազդեցությունն ամբողջական պահանջարկի վրա կլինի չեզոք:</w:t>
      </w:r>
    </w:p>
    <w:p w14:paraId="73F42940" w14:textId="77777777" w:rsidR="00027FBF" w:rsidRPr="00A83C94" w:rsidRDefault="00027FBF" w:rsidP="00027FBF">
      <w:pPr>
        <w:numPr>
          <w:ilvl w:val="0"/>
          <w:numId w:val="53"/>
        </w:numPr>
        <w:spacing w:before="40" w:after="120" w:line="276" w:lineRule="auto"/>
        <w:ind w:left="1134" w:hanging="283"/>
        <w:contextualSpacing w:val="0"/>
        <w:rPr>
          <w:rFonts w:eastAsia="Calibri" w:cs="Sylfaen"/>
          <w:b w:val="0"/>
          <w:szCs w:val="22"/>
          <w:lang w:val="hy-AM" w:eastAsia="en-US"/>
        </w:rPr>
      </w:pPr>
      <w:r w:rsidRPr="00A83C94">
        <w:rPr>
          <w:rFonts w:eastAsia="Calibri" w:cs="Sylfaen"/>
          <w:b w:val="0"/>
          <w:szCs w:val="22"/>
          <w:lang w:val="hy-AM" w:eastAsia="en-US"/>
        </w:rPr>
        <w:t>2022թ</w:t>
      </w:r>
      <w:r w:rsidRPr="00A83C94">
        <w:rPr>
          <w:rFonts w:ascii="Cambria Math" w:eastAsia="Calibri" w:hAnsi="Cambria Math" w:cs="Cambria Math"/>
          <w:b w:val="0"/>
          <w:szCs w:val="22"/>
          <w:lang w:val="hy-AM" w:eastAsia="en-US"/>
        </w:rPr>
        <w:t>․</w:t>
      </w:r>
      <w:r w:rsidRPr="00A83C94">
        <w:rPr>
          <w:rFonts w:eastAsia="Calibri" w:cs="Sylfaen"/>
          <w:b w:val="0"/>
          <w:szCs w:val="22"/>
          <w:lang w:val="hy-AM" w:eastAsia="en-US"/>
        </w:rPr>
        <w:t>-ին ՀՀ Կառավարությունը թիրախավորում է պարտքի կայունության պահպանման պայմաններում նպաստել բարձր տնտեսական աճի ապահովմանը, միաժամանակ վերադարձ կատարելով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w:t>
      </w:r>
    </w:p>
    <w:p w14:paraId="78DF6F6A" w14:textId="77777777" w:rsidR="00027FBF" w:rsidRPr="00A83C94" w:rsidRDefault="00027FBF" w:rsidP="00027FBF">
      <w:pPr>
        <w:numPr>
          <w:ilvl w:val="0"/>
          <w:numId w:val="54"/>
        </w:numPr>
        <w:spacing w:before="0" w:line="276" w:lineRule="auto"/>
        <w:contextualSpacing w:val="0"/>
        <w:jc w:val="left"/>
        <w:rPr>
          <w:rFonts w:eastAsia="Calibri" w:cs="Sylfaen"/>
          <w:bCs/>
          <w:szCs w:val="22"/>
          <w:lang w:val="hy-AM" w:eastAsia="en-US"/>
        </w:rPr>
      </w:pPr>
      <w:r w:rsidRPr="00A83C94">
        <w:rPr>
          <w:rFonts w:eastAsia="Calibri" w:cs="Sylfaen"/>
          <w:bCs/>
          <w:szCs w:val="22"/>
          <w:lang w:eastAsia="en-US"/>
        </w:rPr>
        <w:t>Գնաճ և դ</w:t>
      </w:r>
      <w:r w:rsidRPr="00A83C94">
        <w:rPr>
          <w:rFonts w:eastAsia="Calibri" w:cs="Sylfaen"/>
          <w:bCs/>
          <w:szCs w:val="22"/>
          <w:lang w:val="hy-AM" w:eastAsia="en-US"/>
        </w:rPr>
        <w:t>րամավարկային քաղաքականություն</w:t>
      </w:r>
      <w:r w:rsidRPr="00A83C94">
        <w:rPr>
          <w:rFonts w:eastAsia="Calibri" w:cs="Sylfaen"/>
          <w:bCs/>
          <w:szCs w:val="22"/>
          <w:lang w:eastAsia="en-US"/>
        </w:rPr>
        <w:t>.</w:t>
      </w:r>
      <w:r w:rsidRPr="00A83C94">
        <w:rPr>
          <w:b w:val="0"/>
          <w:sz w:val="24"/>
          <w:lang w:val="hy-AM" w:eastAsia="en-US"/>
        </w:rPr>
        <w:t xml:space="preserve"> </w:t>
      </w:r>
    </w:p>
    <w:p w14:paraId="2EC221EE" w14:textId="77777777" w:rsidR="00027FBF" w:rsidRPr="00A83C94" w:rsidRDefault="00027FBF" w:rsidP="00027FBF">
      <w:pPr>
        <w:numPr>
          <w:ilvl w:val="1"/>
          <w:numId w:val="56"/>
        </w:numPr>
        <w:spacing w:before="0" w:line="276" w:lineRule="auto"/>
        <w:ind w:left="1134" w:hanging="283"/>
        <w:contextualSpacing w:val="0"/>
        <w:rPr>
          <w:rFonts w:eastAsia="Calibri" w:cs="Sylfaen"/>
          <w:b w:val="0"/>
          <w:bCs/>
          <w:szCs w:val="22"/>
          <w:lang w:val="hy-AM" w:eastAsia="en-US"/>
        </w:rPr>
      </w:pPr>
      <w:r w:rsidRPr="00A83C94">
        <w:rPr>
          <w:rFonts w:eastAsia="Calibri" w:cs="Sylfaen"/>
          <w:bCs/>
          <w:szCs w:val="22"/>
          <w:lang w:val="hy-AM" w:eastAsia="en-US"/>
        </w:rPr>
        <w:tab/>
      </w:r>
      <w:r w:rsidRPr="00A83C94">
        <w:rPr>
          <w:rFonts w:eastAsia="Calibri" w:cs="Sylfaen"/>
          <w:b w:val="0"/>
          <w:bCs/>
          <w:szCs w:val="22"/>
          <w:lang w:val="hy-AM" w:eastAsia="en-US"/>
        </w:rPr>
        <w:t>2020թ</w:t>
      </w:r>
      <w:r w:rsidRPr="00A83C94">
        <w:rPr>
          <w:rFonts w:ascii="Cambria Math" w:eastAsia="Calibri" w:hAnsi="Cambria Math" w:cs="Cambria Math"/>
          <w:b w:val="0"/>
          <w:bCs/>
          <w:szCs w:val="22"/>
          <w:lang w:val="hy-AM" w:eastAsia="en-US"/>
        </w:rPr>
        <w:t>․</w:t>
      </w:r>
      <w:r w:rsidRPr="00A83C94">
        <w:rPr>
          <w:rFonts w:eastAsia="Calibri" w:cs="Sylfaen"/>
          <w:b w:val="0"/>
          <w:bCs/>
          <w:szCs w:val="22"/>
          <w:lang w:val="hy-AM" w:eastAsia="en-US"/>
        </w:rPr>
        <w:t xml:space="preserve"> դեկտմեբերից արձանագրված գնաճի արագացումը կշարունավի  նաև 2021թ-ին պայմանավորված՝ միջազգային պարենային ապրանքների գների աճով, փոխարժեքի արժեզրկմամբ, Արցախյան պատերազմի բացասական հետևանքներով, մաքսատուրքերի և ակցիզային հարկերի բարձրացմամբ, ինչպես նաև էլեկտրաէներգիայի սակագների փոփոխության հետևանքներով:</w:t>
      </w:r>
    </w:p>
    <w:p w14:paraId="689C7B01" w14:textId="77777777" w:rsidR="00027FBF" w:rsidRPr="00A83C94" w:rsidRDefault="00027FBF" w:rsidP="00027FBF">
      <w:pPr>
        <w:numPr>
          <w:ilvl w:val="1"/>
          <w:numId w:val="56"/>
        </w:numPr>
        <w:spacing w:before="0" w:line="276" w:lineRule="auto"/>
        <w:ind w:left="1134" w:hanging="283"/>
        <w:contextualSpacing w:val="0"/>
        <w:rPr>
          <w:rFonts w:eastAsia="Calibri" w:cs="Sylfaen"/>
          <w:b w:val="0"/>
          <w:bCs/>
          <w:szCs w:val="22"/>
          <w:lang w:val="hy-AM" w:eastAsia="en-US"/>
        </w:rPr>
      </w:pPr>
      <w:r w:rsidRPr="00A83C94">
        <w:rPr>
          <w:rFonts w:eastAsia="Calibri" w:cs="Sylfaen"/>
          <w:b w:val="0"/>
          <w:bCs/>
          <w:szCs w:val="22"/>
          <w:lang w:val="hy-AM" w:eastAsia="en-US"/>
        </w:rPr>
        <w:t>2021թ. դրամավարկային քաղաքականությունըմիտված կլինի գնաճային սպասումների արագացման ռիսկերի չեզոքացմանը՝ միևնույն ժամանակ ապահովելով հնարավորին նպաստավոր պայմաններ ամբողջական պահանջարկի վերականգնման համար, իսկ 2022թ.-ին ԿԲ քաղաքականությունը ուղղված է լինելու գնաճի կայունացմանը թիրախի շուրջ:</w:t>
      </w:r>
    </w:p>
    <w:p w14:paraId="5627C382" w14:textId="77777777" w:rsidR="00027FBF" w:rsidRPr="00A83C94" w:rsidRDefault="00027FBF" w:rsidP="00027FBF">
      <w:pPr>
        <w:keepNext/>
        <w:keepLines/>
        <w:spacing w:before="0" w:line="276" w:lineRule="auto"/>
        <w:outlineLvl w:val="2"/>
        <w:rPr>
          <w:rFonts w:eastAsia="GHEA Grapalat" w:cs="GHEA Grapalat"/>
          <w:b w:val="0"/>
          <w:color w:val="000000"/>
          <w:szCs w:val="22"/>
          <w:lang w:val="hy-AM"/>
        </w:rPr>
      </w:pPr>
      <w:r w:rsidRPr="00A83C94">
        <w:rPr>
          <w:rFonts w:eastAsia="Calibri" w:cs="Sylfaen"/>
          <w:b w:val="0"/>
          <w:bCs/>
          <w:color w:val="C00000"/>
          <w:szCs w:val="22"/>
          <w:lang w:val="hy-AM"/>
        </w:rPr>
        <w:br w:type="page"/>
      </w:r>
    </w:p>
    <w:p w14:paraId="4E842C84" w14:textId="77777777" w:rsidR="00027FBF" w:rsidRPr="00A83C94" w:rsidRDefault="00027FBF" w:rsidP="00027FBF">
      <w:pPr>
        <w:spacing w:before="0" w:line="240" w:lineRule="auto"/>
        <w:ind w:firstLine="0"/>
        <w:contextualSpacing w:val="0"/>
        <w:jc w:val="left"/>
        <w:rPr>
          <w:rFonts w:eastAsia="GHEA Grapalat" w:cs="GHEA Grapalat"/>
          <w:b w:val="0"/>
          <w:color w:val="000000"/>
          <w:szCs w:val="22"/>
          <w:lang w:val="hy-AM"/>
        </w:rPr>
      </w:pPr>
    </w:p>
    <w:p w14:paraId="3FAC9912" w14:textId="77777777" w:rsidR="00027FBF" w:rsidRPr="00A83C94" w:rsidRDefault="00027FBF" w:rsidP="00027FBF">
      <w:pPr>
        <w:keepNext/>
        <w:keepLines/>
        <w:spacing w:before="240" w:after="60" w:line="276" w:lineRule="auto"/>
        <w:ind w:firstLine="0"/>
        <w:outlineLvl w:val="2"/>
        <w:rPr>
          <w:bCs/>
          <w:sz w:val="24"/>
          <w:lang w:val="hy-AM" w:eastAsia="en-US"/>
        </w:rPr>
      </w:pPr>
      <w:bookmarkStart w:id="142" w:name="_Toc46154348"/>
      <w:bookmarkStart w:id="143" w:name="_Toc51360534"/>
      <w:bookmarkStart w:id="144" w:name="_Toc51947417"/>
      <w:bookmarkStart w:id="145" w:name="_Toc52452090"/>
      <w:bookmarkStart w:id="146" w:name="_Toc57559417"/>
      <w:bookmarkStart w:id="147" w:name="_Toc83663898"/>
      <w:bookmarkStart w:id="148" w:name="_Toc83972834"/>
      <w:bookmarkStart w:id="149" w:name="_Toc89428289"/>
      <w:r w:rsidRPr="00A83C94">
        <w:rPr>
          <w:bCs/>
          <w:sz w:val="24"/>
          <w:lang w:val="hy-AM" w:eastAsia="en-US"/>
        </w:rPr>
        <w:t>1.5. ՄԱԿՐՈՏՆՏԵՍԱԿԱՆ ԿԱՆԽԱՏԵՍՈՒՄՆԵՐԻ ՌԻՍԿԵՐԸ</w:t>
      </w:r>
      <w:bookmarkEnd w:id="142"/>
      <w:bookmarkEnd w:id="143"/>
      <w:bookmarkEnd w:id="144"/>
      <w:bookmarkEnd w:id="145"/>
      <w:bookmarkEnd w:id="146"/>
      <w:bookmarkEnd w:id="147"/>
      <w:bookmarkEnd w:id="148"/>
      <w:bookmarkEnd w:id="149"/>
    </w:p>
    <w:p w14:paraId="5B792E90" w14:textId="77777777" w:rsidR="00027FBF" w:rsidRPr="00A83C94" w:rsidRDefault="00027FBF" w:rsidP="00027FBF">
      <w:pPr>
        <w:spacing w:before="0" w:after="120" w:line="276" w:lineRule="auto"/>
        <w:ind w:right="540" w:firstLine="360"/>
        <w:contextualSpacing w:val="0"/>
        <w:rPr>
          <w:rFonts w:eastAsia="Calibri"/>
          <w:b w:val="0"/>
          <w:szCs w:val="22"/>
          <w:lang w:val="hy-AM" w:eastAsia="en-US"/>
        </w:rPr>
      </w:pPr>
      <w:r w:rsidRPr="00A83C94">
        <w:rPr>
          <w:rFonts w:eastAsia="Calibri"/>
          <w:b w:val="0"/>
          <w:szCs w:val="22"/>
          <w:lang w:val="es-ES" w:eastAsia="en-US"/>
        </w:rPr>
        <w:t>Կանխատեսման առկա ռիսկերը պայմանավորվում են ինչպես արտաքին, այնպես էլ ներքին տնտեսական գործոններով, որոնք կարող են հանգեցնել ինչպես տնտեսական աճի տեմպերի ավելացմանը, այնպես էլ նվազմանը՝ ներկայացված կենտրոնական</w:t>
      </w:r>
      <w:r w:rsidRPr="00A83C94">
        <w:rPr>
          <w:rFonts w:eastAsia="Calibri"/>
          <w:b w:val="0"/>
          <w:szCs w:val="22"/>
          <w:lang w:val="hy-AM" w:eastAsia="en-US"/>
        </w:rPr>
        <w:t xml:space="preserve"> </w:t>
      </w:r>
      <w:r w:rsidRPr="00A83C94">
        <w:rPr>
          <w:rFonts w:eastAsia="Calibri"/>
          <w:b w:val="0"/>
          <w:szCs w:val="22"/>
          <w:lang w:val="es-ES" w:eastAsia="en-US"/>
        </w:rPr>
        <w:t>կանխատեսումների համեմատ:</w:t>
      </w:r>
      <w:r w:rsidRPr="00A83C94">
        <w:rPr>
          <w:rFonts w:eastAsia="Calibri"/>
          <w:b w:val="0"/>
          <w:szCs w:val="22"/>
          <w:lang w:val="hy-AM" w:eastAsia="en-US"/>
        </w:rPr>
        <w:t xml:space="preserve"> Ռիսկերի տեղի ունենալու դեպքում շեղումներ կարձանագրվեն սույն փաստաթղթի </w:t>
      </w:r>
      <w:r w:rsidRPr="00A83C94">
        <w:rPr>
          <w:rFonts w:eastAsia="Calibri"/>
          <w:b w:val="0"/>
          <w:szCs w:val="22"/>
          <w:lang w:val="es-ES" w:eastAsia="en-US"/>
        </w:rPr>
        <w:t>1.4</w:t>
      </w:r>
      <w:r w:rsidRPr="00A83C94">
        <w:rPr>
          <w:rFonts w:eastAsia="Calibri"/>
          <w:b w:val="0"/>
          <w:szCs w:val="22"/>
          <w:lang w:val="hy-AM" w:eastAsia="en-US"/>
        </w:rPr>
        <w:t xml:space="preserve"> բաժնում ներկայացված ենթադրություններից՝ հանգեցնելով մակրոտնտեսական կանխատեսումներից շեղումների և դրա հետևանքով էլ հարկաբյուջետային շրջանակի ցուցանիշների շեղման այս ՄԺԾԾ շրջանակից։</w:t>
      </w:r>
    </w:p>
    <w:p w14:paraId="52FC4126" w14:textId="77777777" w:rsidR="00027FBF" w:rsidRPr="00A83C94" w:rsidRDefault="00027FBF" w:rsidP="00027FBF">
      <w:pPr>
        <w:spacing w:before="0" w:after="120" w:line="276" w:lineRule="auto"/>
        <w:ind w:right="540" w:firstLine="360"/>
        <w:contextualSpacing w:val="0"/>
        <w:rPr>
          <w:rFonts w:eastAsia="Calibri"/>
          <w:b w:val="0"/>
          <w:szCs w:val="22"/>
          <w:lang w:val="hy-AM" w:eastAsia="en-US"/>
        </w:rPr>
      </w:pPr>
      <w:r w:rsidRPr="00A83C94">
        <w:rPr>
          <w:rFonts w:cs="Times Armenian"/>
          <w:b w:val="0"/>
          <w:bCs/>
          <w:szCs w:val="22"/>
          <w:lang w:val="hy-AM" w:eastAsia="en-US"/>
        </w:rPr>
        <w:t>Հաշվի առնելով արտաքին տնտեսական միջավայրի՝ Համավարակի հետագա զարգացումներով պայմանավորված որոշակի անորոշությունները,  պետական կապիտալ ներդրումների իրականացման և տնտեսության կլանման հնարավորությունների սահմանափակումները, ինչպես նաև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դրսևորումները բյուջեի շրջանակում 2022թ</w:t>
      </w:r>
      <w:r w:rsidRPr="00A83C94">
        <w:rPr>
          <w:rFonts w:ascii="Cambria Math" w:hAnsi="Cambria Math" w:cs="Cambria Math"/>
          <w:b w:val="0"/>
          <w:bCs/>
          <w:szCs w:val="22"/>
          <w:lang w:val="hy-AM" w:eastAsia="en-US"/>
        </w:rPr>
        <w:t>․</w:t>
      </w:r>
      <w:r w:rsidRPr="00A83C94">
        <w:rPr>
          <w:rFonts w:cs="Times Armenian"/>
          <w:b w:val="0"/>
          <w:bCs/>
          <w:szCs w:val="22"/>
          <w:lang w:val="hy-AM" w:eastAsia="en-US"/>
        </w:rPr>
        <w:t xml:space="preserve"> ՀՀ տնտեսական աճի կանխատեսումների ռիսկերը գնահատվում են դեպի ներքև։</w:t>
      </w:r>
    </w:p>
    <w:p w14:paraId="325C2BCB" w14:textId="77777777" w:rsidR="00027FBF" w:rsidRPr="00A83C94" w:rsidRDefault="00027FBF" w:rsidP="00027FBF">
      <w:pPr>
        <w:spacing w:before="0" w:after="120" w:line="480" w:lineRule="auto"/>
        <w:ind w:firstLine="0"/>
        <w:contextualSpacing w:val="0"/>
        <w:jc w:val="left"/>
        <w:rPr>
          <w:sz w:val="24"/>
          <w:lang w:val="hy-AM" w:eastAsia="en-US"/>
        </w:rPr>
      </w:pPr>
      <w:r w:rsidRPr="00A83C94">
        <w:rPr>
          <w:sz w:val="24"/>
          <w:lang w:val="hy-AM" w:eastAsia="en-US"/>
        </w:rPr>
        <w:t>1.5.1. ՀՀ տնտեսական աճի դեպի ներքև ուղղությամբ ռիսկեր</w:t>
      </w:r>
    </w:p>
    <w:p w14:paraId="1508CE2F"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 xml:space="preserve">Արտաքին միջավայրից բխող դեպի ներքև ռիսկերը պայմանվորված են՝ </w:t>
      </w:r>
    </w:p>
    <w:p w14:paraId="0DDAA6D6"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Համաշխարհային տնտեսության, մասնավորապես ՀՀ գործընկեր երկրների տնտեսությունների սպասվածից ավելի դանդաղ վերականգմամբ,  </w:t>
      </w:r>
    </w:p>
    <w:p w14:paraId="183F1757"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Համավարակի դեմ պատվաստանյութերի տարածման սպասվածից ավելի դանդաղ  ընթացքով, պատվաստումներ կատարելու նկատմամբ բնակչության թույլ պատրաստակամությամբ, երկրների սահմանների բացման և փոխադրումների սահմանափակումների վերացման սպասվածից ավելի դանդաղ ընթացքով, ինչպես նաև համավարակի դեմ պատվաստումների սպասվածից վատ արդյունքներով:</w:t>
      </w:r>
    </w:p>
    <w:p w14:paraId="476F35E7" w14:textId="77777777" w:rsidR="00027FBF" w:rsidRPr="00A83C94" w:rsidRDefault="00027FBF" w:rsidP="00027FBF">
      <w:pPr>
        <w:spacing w:before="40" w:after="120" w:line="276" w:lineRule="auto"/>
        <w:ind w:left="1080" w:right="540" w:firstLine="0"/>
        <w:rPr>
          <w:rFonts w:eastAsia="Calibri" w:cs="Sylfaen"/>
          <w:b w:val="0"/>
          <w:bCs/>
          <w:szCs w:val="22"/>
          <w:lang w:val="hy-AM" w:eastAsia="en-US"/>
        </w:rPr>
      </w:pPr>
    </w:p>
    <w:p w14:paraId="1073BBD5"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Ներքին միջավայրից բխող դեպի ներքև ռիսկերը պայմանավորված են՝</w:t>
      </w:r>
    </w:p>
    <w:p w14:paraId="42F996D9"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szCs w:val="22"/>
          <w:lang w:val="hy-AM" w:eastAsia="en-US"/>
        </w:rPr>
        <w:t>ՀՀ-ում</w:t>
      </w:r>
      <w:r w:rsidRPr="00A83C94">
        <w:rPr>
          <w:rFonts w:eastAsia="Calibri" w:cs="Sylfaen"/>
          <w:b w:val="0"/>
          <w:i/>
          <w:szCs w:val="22"/>
          <w:lang w:val="hy-AM" w:eastAsia="en-US"/>
        </w:rPr>
        <w:t xml:space="preserve"> </w:t>
      </w:r>
      <w:r w:rsidRPr="00A83C94">
        <w:rPr>
          <w:rFonts w:eastAsia="Calibri" w:cs="Sylfaen"/>
          <w:b w:val="0"/>
          <w:szCs w:val="22"/>
          <w:lang w:val="hy-AM" w:eastAsia="en-US"/>
        </w:rPr>
        <w:t xml:space="preserve">կորոնավիրուսի համավարակի տարածման անորոշություններով,  այդ թվում բնակչության պատվաստումների ավելի ցածր ցուցանիշով, ինչպես նաև </w:t>
      </w:r>
      <w:r w:rsidRPr="00A83C94">
        <w:rPr>
          <w:rFonts w:eastAsia="Calibri" w:cs="Sylfaen"/>
          <w:b w:val="0"/>
          <w:bCs/>
          <w:szCs w:val="22"/>
          <w:lang w:val="hy-AM" w:eastAsia="en-US"/>
        </w:rPr>
        <w:t>նոր</w:t>
      </w:r>
      <w:r w:rsidRPr="00A83C94">
        <w:rPr>
          <w:rFonts w:ascii="Calibri" w:eastAsia="Calibri" w:hAnsi="Calibri" w:cs="Calibri"/>
          <w:b w:val="0"/>
          <w:bCs/>
          <w:szCs w:val="22"/>
          <w:lang w:val="hy-AM" w:eastAsia="en-US"/>
        </w:rPr>
        <w:t> </w:t>
      </w:r>
      <w:r w:rsidRPr="00A83C94">
        <w:rPr>
          <w:rFonts w:eastAsia="Calibri" w:cs="Sylfaen"/>
          <w:b w:val="0"/>
          <w:bCs/>
          <w:szCs w:val="22"/>
          <w:lang w:val="hy-AM" w:eastAsia="en-US"/>
        </w:rPr>
        <w:t xml:space="preserve">շտամերի տարածման հետևանքով հետագա տնտեսական կորուստներով, </w:t>
      </w:r>
    </w:p>
    <w:p w14:paraId="7C1CCCB5"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ՀՀ կառավարության աջակցության փաթեթների ազդեցությունների ավելի դանդաղ դրսևորումներով, </w:t>
      </w:r>
    </w:p>
    <w:p w14:paraId="77E63FB3"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cs="Times Armenian"/>
          <w:b w:val="0"/>
          <w:bCs/>
          <w:szCs w:val="22"/>
          <w:lang w:val="hy-AM" w:eastAsia="en-US"/>
        </w:rPr>
        <w:t>Պետական կապիտալ ներդրումների իրականացման և տնտեսության կլանման հնարավորությունների սահմանափակումներով,</w:t>
      </w:r>
    </w:p>
    <w:p w14:paraId="5726B149"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cs="Times Armenian"/>
          <w:b w:val="0"/>
          <w:bCs/>
          <w:szCs w:val="22"/>
          <w:lang w:val="hy-AM" w:eastAsia="en-US"/>
        </w:rPr>
        <w:t xml:space="preserve"> ՀՀ կառավարության գործարար միջավայրի բարելավմանն ու արտահանման խթանմանն ուղղված քաղաքականությունների ազդեցությունների սպասվածից ավելի ուշ և/կամ ավելի թույլ դրսևորումներով,</w:t>
      </w:r>
    </w:p>
    <w:p w14:paraId="026C0FB8" w14:textId="77777777" w:rsidR="00027FBF" w:rsidRPr="00A83C94" w:rsidRDefault="00027FBF" w:rsidP="00027FBF">
      <w:pPr>
        <w:spacing w:before="40" w:after="120" w:line="276" w:lineRule="auto"/>
        <w:ind w:left="1080" w:right="540" w:firstLine="0"/>
        <w:contextualSpacing w:val="0"/>
        <w:rPr>
          <w:rFonts w:eastAsia="Calibri" w:cs="Sylfaen"/>
          <w:b w:val="0"/>
          <w:bCs/>
          <w:szCs w:val="22"/>
          <w:lang w:val="hy-AM" w:eastAsia="en-US"/>
        </w:rPr>
      </w:pPr>
    </w:p>
    <w:p w14:paraId="06A3C34A"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ՀՀ կառավարության այլ կառուցվածքային բարեփոխումների ակնկալվող արդյունքների սպասվածից ավելի ուշ արտահայտմամբ:</w:t>
      </w:r>
    </w:p>
    <w:p w14:paraId="53879F43" w14:textId="77777777" w:rsidR="00027FBF" w:rsidRPr="00A83C94" w:rsidRDefault="00027FBF" w:rsidP="00027FBF">
      <w:pPr>
        <w:spacing w:before="0" w:after="120" w:line="480" w:lineRule="auto"/>
        <w:ind w:firstLine="0"/>
        <w:contextualSpacing w:val="0"/>
        <w:jc w:val="left"/>
        <w:rPr>
          <w:sz w:val="24"/>
          <w:lang w:val="hy-AM" w:eastAsia="en-US"/>
        </w:rPr>
      </w:pPr>
      <w:r w:rsidRPr="00A83C94">
        <w:rPr>
          <w:sz w:val="24"/>
          <w:lang w:val="hy-AM" w:eastAsia="en-US"/>
        </w:rPr>
        <w:t xml:space="preserve">1.5.2. Տնտեսական աճի դեպի վերև ուղղությամբ ռիսկեր </w:t>
      </w:r>
    </w:p>
    <w:p w14:paraId="14F5B2B6"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 w:val="0"/>
          <w:bCs/>
          <w:szCs w:val="22"/>
          <w:lang w:val="hy-AM" w:eastAsia="en-US"/>
        </w:rPr>
        <w:t xml:space="preserve">     </w:t>
      </w:r>
      <w:r w:rsidRPr="00A83C94">
        <w:rPr>
          <w:rFonts w:eastAsia="Calibri" w:cs="Sylfaen"/>
          <w:bCs/>
          <w:szCs w:val="22"/>
          <w:lang w:val="hy-AM" w:eastAsia="en-US"/>
        </w:rPr>
        <w:t xml:space="preserve">Արտաքին գործոններից բխող դեպի վերև ռիսկերը պայմանավորված են՝ </w:t>
      </w:r>
    </w:p>
    <w:p w14:paraId="30D5B175"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 ՀՀ գործընկեր երկրների, մասնավորապես՝ Ռուսաստանի, Եվրոգոտու, ԱՄՆ-ի և Չինաստանի արտաքին պահանջարկի վերականգման, ինչպես նաև հանքահումքային ապրանքների, մասնավորապես՝ պղնձի միջազգային գների սպասվածից ավելի դրական զարգացումներով: </w:t>
      </w:r>
    </w:p>
    <w:p w14:paraId="110597F8"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Աշխարհի մասշտաբով, պատվաստանյութերի առավել ընդգրկուն և մասսայական կիրառման արդյունքում երկրների միջև սահմանափակումների նախատեսվածից արագ վերացման պայմաններում համաշխարհային տուրիզմի սպասվածից ավելի շուտ վերականգմամբ։</w:t>
      </w:r>
    </w:p>
    <w:p w14:paraId="1EA3BCFE"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 xml:space="preserve">ԱՄՆ-ից դեպի Հայաստան դրամական փոխանցումների բարձր մակարդակի պահպանմամբ։ </w:t>
      </w:r>
    </w:p>
    <w:p w14:paraId="0A962316" w14:textId="77777777" w:rsidR="00027FBF" w:rsidRPr="00A83C94" w:rsidRDefault="00027FBF" w:rsidP="00027FBF">
      <w:pPr>
        <w:numPr>
          <w:ilvl w:val="0"/>
          <w:numId w:val="58"/>
        </w:numPr>
        <w:spacing w:before="40" w:after="120" w:line="276" w:lineRule="auto"/>
        <w:ind w:right="540"/>
        <w:contextualSpacing w:val="0"/>
        <w:rPr>
          <w:rFonts w:eastAsia="Calibri" w:cs="Sylfaen"/>
          <w:b w:val="0"/>
          <w:bCs/>
          <w:szCs w:val="22"/>
          <w:lang w:val="hy-AM" w:eastAsia="en-US"/>
        </w:rPr>
      </w:pPr>
      <w:r w:rsidRPr="00A83C94">
        <w:rPr>
          <w:rFonts w:eastAsia="Calibri" w:cs="Sylfaen"/>
          <w:b w:val="0"/>
          <w:bCs/>
          <w:szCs w:val="22"/>
          <w:lang w:val="hy-AM" w:eastAsia="en-US"/>
        </w:rPr>
        <w:t>ԵՄ աջակցության շրջանակներում 2022թ</w:t>
      </w:r>
      <w:r w:rsidRPr="00A83C94">
        <w:rPr>
          <w:rFonts w:ascii="Cambria Math" w:eastAsia="Calibri" w:hAnsi="Cambria Math" w:cs="Cambria Math"/>
          <w:b w:val="0"/>
          <w:bCs/>
          <w:szCs w:val="22"/>
          <w:lang w:val="hy-AM" w:eastAsia="en-US"/>
        </w:rPr>
        <w:t>․</w:t>
      </w:r>
      <w:r w:rsidRPr="00A83C94">
        <w:rPr>
          <w:rFonts w:eastAsia="Calibri"/>
          <w:b w:val="0"/>
          <w:bCs/>
          <w:szCs w:val="22"/>
          <w:lang w:val="hy-AM" w:eastAsia="en-US"/>
        </w:rPr>
        <w:t xml:space="preserve"> նախատեսվող ներդրումների սպասվածից ավել իրականացմամբ։</w:t>
      </w:r>
    </w:p>
    <w:p w14:paraId="3CCCA90E" w14:textId="77777777" w:rsidR="00027FBF" w:rsidRPr="00A83C94" w:rsidRDefault="00027FBF" w:rsidP="00027FBF">
      <w:pPr>
        <w:spacing w:before="40" w:after="120" w:line="276" w:lineRule="auto"/>
        <w:ind w:right="540" w:firstLine="0"/>
        <w:rPr>
          <w:rFonts w:eastAsia="Calibri" w:cs="Sylfaen"/>
          <w:bCs/>
          <w:szCs w:val="22"/>
          <w:lang w:val="hy-AM" w:eastAsia="en-US"/>
        </w:rPr>
      </w:pPr>
      <w:r w:rsidRPr="00A83C94">
        <w:rPr>
          <w:rFonts w:eastAsia="Calibri" w:cs="Sylfaen"/>
          <w:bCs/>
          <w:szCs w:val="22"/>
          <w:lang w:val="hy-AM" w:eastAsia="en-US"/>
        </w:rPr>
        <w:t xml:space="preserve">Ներքին միջավայրից բխող դեպի վերև ռիսկերը պայմանավորված են` </w:t>
      </w:r>
    </w:p>
    <w:p w14:paraId="127E626B"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ՀՀ կառավարության Տնտեսական արձագանքման ծրագրով</w:t>
      </w:r>
      <w:r w:rsidRPr="00A83C94">
        <w:rPr>
          <w:rFonts w:eastAsia="Calibri" w:cs="Sylfaen"/>
          <w:b w:val="0"/>
          <w:bCs/>
          <w:szCs w:val="22"/>
          <w:vertAlign w:val="superscript"/>
          <w:lang w:val="hy-AM" w:eastAsia="en-US"/>
        </w:rPr>
        <w:footnoteReference w:id="14"/>
      </w:r>
      <w:r w:rsidRPr="00A83C94">
        <w:rPr>
          <w:rFonts w:eastAsia="Calibri" w:cs="Sylfaen"/>
          <w:b w:val="0"/>
          <w:bCs/>
          <w:szCs w:val="22"/>
          <w:lang w:val="hy-AM" w:eastAsia="en-US"/>
        </w:rPr>
        <w:t xml:space="preserve"> նախատեսված խոշոր մասնավոր ներդրումային ծրագրերի իրականացմամբ,</w:t>
      </w:r>
    </w:p>
    <w:p w14:paraId="15925EAB"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szCs w:val="22"/>
          <w:lang w:val="hy-AM" w:eastAsia="en-US"/>
        </w:rPr>
        <w:t>ՀՀ կառավարության  ծրագրում նպատակադրված թիրախների ավելի շուտ ապահովմամբ և արդյունավետ իրականացմամբ։</w:t>
      </w:r>
    </w:p>
    <w:p w14:paraId="2B4677A6"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Մասնավոր ներդրումների խթանմանն ուղղված ծրագրի (ANIF) իրականացման՝ տնտեսական ակտիվության վրա հնարավոր լրացուցիչ դրական ազդեցությամբ,</w:t>
      </w:r>
    </w:p>
    <w:p w14:paraId="4968F79E" w14:textId="77777777" w:rsidR="00027FBF" w:rsidRPr="00A83C94" w:rsidRDefault="00027FBF" w:rsidP="00027FBF">
      <w:pPr>
        <w:numPr>
          <w:ilvl w:val="0"/>
          <w:numId w:val="58"/>
        </w:numPr>
        <w:spacing w:before="40" w:after="120" w:line="276" w:lineRule="auto"/>
        <w:ind w:right="540"/>
        <w:contextualSpacing w:val="0"/>
        <w:jc w:val="left"/>
        <w:rPr>
          <w:rFonts w:eastAsia="Calibri" w:cs="Sylfaen"/>
          <w:b w:val="0"/>
          <w:szCs w:val="22"/>
          <w:lang w:val="hy-AM" w:eastAsia="en-US"/>
        </w:rPr>
      </w:pPr>
      <w:r w:rsidRPr="00A83C94">
        <w:rPr>
          <w:rFonts w:eastAsia="Calibri" w:cs="Sylfaen"/>
          <w:b w:val="0"/>
          <w:bCs/>
          <w:szCs w:val="22"/>
          <w:lang w:val="hy-AM" w:eastAsia="en-US"/>
        </w:rPr>
        <w:t>Ամուլսարի շահագործումից բխող տնտեսական ակտիվությամբ:</w:t>
      </w:r>
    </w:p>
    <w:p w14:paraId="5AF039D8" w14:textId="77777777" w:rsidR="00027FBF" w:rsidRPr="00A83C94" w:rsidRDefault="00027FBF" w:rsidP="00027FBF">
      <w:pPr>
        <w:spacing w:before="60" w:after="60" w:line="276" w:lineRule="auto"/>
        <w:ind w:right="115" w:firstLine="432"/>
        <w:contextualSpacing w:val="0"/>
        <w:rPr>
          <w:rFonts w:eastAsia="Calibri" w:cs="Sylfaen"/>
          <w:b w:val="0"/>
          <w:bCs/>
          <w:szCs w:val="22"/>
          <w:lang w:val="hy-AM" w:eastAsia="en-US"/>
        </w:rPr>
      </w:pPr>
      <w:r w:rsidRPr="00A83C94">
        <w:rPr>
          <w:rFonts w:eastAsia="Calibri" w:cs="Sylfaen"/>
          <w:b w:val="0"/>
          <w:bCs/>
          <w:szCs w:val="22"/>
          <w:lang w:val="hy-AM" w:eastAsia="en-US"/>
        </w:rPr>
        <w:t>Տնտեսական աճի ռիսկերը ներկայացված են ներքոնշյալ Գծապատկեր 1.32-ում և Աղյուսակ 1.4-ում:</w:t>
      </w:r>
    </w:p>
    <w:p w14:paraId="4CE7FE51" w14:textId="77777777" w:rsidR="00027FBF" w:rsidRPr="00A83C94" w:rsidRDefault="00027FBF" w:rsidP="00027FBF">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A83C94">
        <w:rPr>
          <w:rFonts w:eastAsia="Calibri" w:cs="Sylfaen"/>
          <w:bCs/>
          <w:i/>
          <w:iCs/>
          <w:color w:val="000000"/>
          <w:sz w:val="20"/>
          <w:szCs w:val="20"/>
          <w:lang w:val="hy-AM" w:eastAsia="en-US"/>
        </w:rPr>
        <w:t xml:space="preserve">Գծապատկեր 1.32. </w:t>
      </w:r>
      <w:r w:rsidRPr="00A83C94">
        <w:rPr>
          <w:rFonts w:eastAsia="Calibri" w:cs="Sylfaen"/>
          <w:b w:val="0"/>
          <w:bCs/>
          <w:i/>
          <w:iCs/>
          <w:color w:val="000000"/>
          <w:sz w:val="20"/>
          <w:szCs w:val="20"/>
          <w:lang w:val="hy-AM" w:eastAsia="en-US"/>
        </w:rPr>
        <w:t>Իրական ՀՆԱ աճի կանխատեսման հավանականությունների բաշխումը (Fan Chart)</w:t>
      </w:r>
    </w:p>
    <w:p w14:paraId="7B144403" w14:textId="77777777" w:rsidR="00027FBF" w:rsidRPr="00A83C94" w:rsidRDefault="00027FBF" w:rsidP="00027FBF">
      <w:pPr>
        <w:keepNext/>
        <w:keepLines/>
        <w:spacing w:before="0" w:line="276" w:lineRule="auto"/>
        <w:ind w:right="111" w:firstLine="0"/>
        <w:contextualSpacing w:val="0"/>
        <w:jc w:val="left"/>
        <w:rPr>
          <w:rFonts w:eastAsia="Calibri" w:cs="Sylfaen"/>
          <w:b w:val="0"/>
          <w:bCs/>
          <w:i/>
          <w:iCs/>
          <w:color w:val="000000"/>
          <w:sz w:val="20"/>
          <w:szCs w:val="20"/>
          <w:lang w:val="hy-AM" w:eastAsia="en-US"/>
        </w:rPr>
      </w:pPr>
      <w:r w:rsidRPr="00A83C94">
        <w:rPr>
          <w:noProof/>
          <w:lang w:val="en-US" w:eastAsia="en-US"/>
        </w:rPr>
        <w:drawing>
          <wp:inline distT="0" distB="0" distL="0" distR="0" wp14:anchorId="3E92CDF1" wp14:editId="20F37B8E">
            <wp:extent cx="6111240" cy="2773680"/>
            <wp:effectExtent l="0" t="0" r="3810" b="7620"/>
            <wp:docPr id="10" name="Chart 10">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821815" w14:textId="77777777" w:rsidR="00027FBF" w:rsidRPr="00A83C94" w:rsidRDefault="00027FBF" w:rsidP="00027FBF">
      <w:pPr>
        <w:tabs>
          <w:tab w:val="left" w:pos="0"/>
          <w:tab w:val="num" w:pos="720"/>
        </w:tabs>
        <w:spacing w:before="0" w:line="276" w:lineRule="auto"/>
        <w:ind w:firstLine="0"/>
        <w:rPr>
          <w:rFonts w:eastAsia="Calibri"/>
          <w:b w:val="0"/>
          <w:i/>
          <w:sz w:val="16"/>
          <w:szCs w:val="16"/>
          <w:lang w:val="hy-AM"/>
        </w:rPr>
      </w:pPr>
      <w:r w:rsidRPr="00A83C94">
        <w:rPr>
          <w:rFonts w:eastAsia="Calibri"/>
          <w:b w:val="0"/>
          <w:i/>
          <w:sz w:val="16"/>
          <w:szCs w:val="16"/>
          <w:lang w:val="hy-AM"/>
        </w:rPr>
        <w:t>Աղբյուրը՝ ՀՀ ՖՆ գնահատումներ և կանխատեսումներ</w:t>
      </w:r>
    </w:p>
    <w:p w14:paraId="40E2B42C" w14:textId="77777777" w:rsidR="00027FBF" w:rsidRPr="00A83C94" w:rsidRDefault="00027FBF" w:rsidP="00027FBF">
      <w:pPr>
        <w:spacing w:before="0" w:line="240" w:lineRule="auto"/>
        <w:ind w:right="111" w:firstLine="0"/>
        <w:contextualSpacing w:val="0"/>
        <w:jc w:val="left"/>
        <w:rPr>
          <w:rFonts w:eastAsia="Calibri"/>
          <w:b w:val="0"/>
          <w:sz w:val="18"/>
          <w:szCs w:val="18"/>
          <w:lang w:val="hy-AM" w:eastAsia="en-US"/>
        </w:rPr>
      </w:pPr>
    </w:p>
    <w:p w14:paraId="5426CDF4" w14:textId="77777777" w:rsidR="00027FBF" w:rsidRPr="00A83C94" w:rsidRDefault="00027FBF" w:rsidP="00027FBF">
      <w:pPr>
        <w:ind w:right="111" w:firstLine="0"/>
        <w:rPr>
          <w:sz w:val="20"/>
          <w:szCs w:val="20"/>
          <w:lang w:val="hy-AM"/>
        </w:rPr>
      </w:pPr>
      <w:r w:rsidRPr="00A83C94">
        <w:rPr>
          <w:rFonts w:eastAsia="Calibri" w:cs="Sylfaen"/>
          <w:bCs/>
          <w:i/>
          <w:iCs/>
          <w:color w:val="000000"/>
          <w:sz w:val="20"/>
          <w:szCs w:val="20"/>
          <w:lang w:val="hy-AM" w:eastAsia="en-US"/>
        </w:rPr>
        <w:t>Աղյուսակ</w:t>
      </w:r>
      <w:r w:rsidRPr="00A83C94">
        <w:rPr>
          <w:rFonts w:eastAsia="Calibri"/>
          <w:bCs/>
          <w:i/>
          <w:iCs/>
          <w:color w:val="000000"/>
          <w:sz w:val="20"/>
          <w:szCs w:val="20"/>
          <w:lang w:val="hy-AM" w:eastAsia="en-US"/>
        </w:rPr>
        <w:t xml:space="preserve"> 1.4. </w:t>
      </w:r>
      <w:r w:rsidRPr="00A83C94">
        <w:rPr>
          <w:rFonts w:eastAsia="Calibri" w:cs="Sylfaen"/>
          <w:b w:val="0"/>
          <w:bCs/>
          <w:i/>
          <w:iCs/>
          <w:color w:val="000000"/>
          <w:sz w:val="20"/>
          <w:szCs w:val="20"/>
          <w:lang w:val="hy-AM" w:eastAsia="en-US"/>
        </w:rPr>
        <w:t>Իրական</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ՀՆԱ-ի աճի կանխատեսման</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հավանականությունների</w:t>
      </w:r>
      <w:r w:rsidRPr="00A83C94">
        <w:rPr>
          <w:rFonts w:eastAsia="Calibri"/>
          <w:b w:val="0"/>
          <w:bCs/>
          <w:i/>
          <w:iCs/>
          <w:color w:val="000000"/>
          <w:sz w:val="20"/>
          <w:szCs w:val="20"/>
          <w:lang w:val="hy-AM" w:eastAsia="en-US"/>
        </w:rPr>
        <w:t xml:space="preserve"> </w:t>
      </w:r>
      <w:r w:rsidRPr="00A83C94">
        <w:rPr>
          <w:rFonts w:eastAsia="Calibri" w:cs="Sylfaen"/>
          <w:b w:val="0"/>
          <w:bCs/>
          <w:i/>
          <w:iCs/>
          <w:color w:val="000000"/>
          <w:sz w:val="20"/>
          <w:szCs w:val="20"/>
          <w:lang w:val="hy-AM" w:eastAsia="en-US"/>
        </w:rPr>
        <w:t>բաշխումը, (կուտակային</w:t>
      </w:r>
      <w:r w:rsidRPr="00A83C94">
        <w:rPr>
          <w:rFonts w:cs="Sylfaen"/>
          <w:b w:val="0"/>
          <w:sz w:val="20"/>
          <w:szCs w:val="20"/>
          <w:u w:val="single"/>
          <w:lang w:val="es-ES" w:eastAsia="en-US"/>
        </w:rPr>
        <w:t>)</w:t>
      </w:r>
      <w:bookmarkStart w:id="150" w:name="_Hlk56530504"/>
      <w:r w:rsidRPr="00A83C94">
        <w:rPr>
          <w:rFonts w:eastAsia="Calibri"/>
          <w:sz w:val="20"/>
          <w:szCs w:val="20"/>
          <w:vertAlign w:val="superscript"/>
          <w:lang w:val="hy-AM"/>
        </w:rPr>
        <w:footnoteReference w:id="15"/>
      </w:r>
    </w:p>
    <w:tbl>
      <w:tblPr>
        <w:tblW w:w="8433" w:type="dxa"/>
        <w:tblInd w:w="675"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1474"/>
        <w:gridCol w:w="1440"/>
        <w:gridCol w:w="1530"/>
        <w:gridCol w:w="1710"/>
      </w:tblGrid>
      <w:tr w:rsidR="00027FBF" w:rsidRPr="00564083" w14:paraId="18985B6F" w14:textId="77777777" w:rsidTr="00027FBF">
        <w:trPr>
          <w:trHeight w:val="459"/>
        </w:trPr>
        <w:tc>
          <w:tcPr>
            <w:tcW w:w="2279" w:type="dxa"/>
            <w:vMerge w:val="restart"/>
            <w:shd w:val="clear" w:color="auto" w:fill="auto"/>
            <w:vAlign w:val="center"/>
            <w:hideMark/>
          </w:tcPr>
          <w:p w14:paraId="6FB7FEE7" w14:textId="77777777" w:rsidR="00027FBF" w:rsidRPr="00A83C94" w:rsidRDefault="00027FBF" w:rsidP="00027FBF">
            <w:pPr>
              <w:tabs>
                <w:tab w:val="center" w:pos="4677"/>
                <w:tab w:val="right" w:pos="9355"/>
              </w:tabs>
              <w:spacing w:before="0" w:line="240" w:lineRule="auto"/>
              <w:ind w:right="111" w:firstLine="152"/>
              <w:jc w:val="center"/>
              <w:rPr>
                <w:rFonts w:eastAsia="Calibri" w:cs="Calibri"/>
                <w:color w:val="000000"/>
                <w:sz w:val="18"/>
                <w:szCs w:val="18"/>
                <w:lang w:val="hy-AM"/>
              </w:rPr>
            </w:pPr>
            <w:bookmarkStart w:id="151" w:name="_Hlk56530454"/>
            <w:bookmarkEnd w:id="150"/>
            <w:r w:rsidRPr="00A83C94">
              <w:rPr>
                <w:rFonts w:eastAsia="Calibri" w:cs="Sylfaen"/>
                <w:color w:val="000000"/>
                <w:sz w:val="18"/>
                <w:szCs w:val="18"/>
              </w:rPr>
              <w:t>Տնտեսական</w:t>
            </w:r>
            <w:r w:rsidRPr="00A83C94">
              <w:rPr>
                <w:rFonts w:eastAsia="Calibri" w:cs="Calibri"/>
                <w:color w:val="000000"/>
                <w:sz w:val="18"/>
                <w:szCs w:val="18"/>
              </w:rPr>
              <w:t xml:space="preserve"> </w:t>
            </w:r>
            <w:r w:rsidRPr="00A83C94">
              <w:rPr>
                <w:rFonts w:eastAsia="Calibri" w:cs="Sylfaen"/>
                <w:color w:val="000000"/>
                <w:sz w:val="18"/>
                <w:szCs w:val="18"/>
              </w:rPr>
              <w:t>աճի</w:t>
            </w:r>
            <w:r w:rsidRPr="00A83C94">
              <w:rPr>
                <w:rFonts w:eastAsia="Calibri" w:cs="Calibri"/>
                <w:color w:val="000000"/>
                <w:sz w:val="18"/>
                <w:szCs w:val="18"/>
              </w:rPr>
              <w:t xml:space="preserve"> </w:t>
            </w:r>
            <w:r w:rsidRPr="00A83C94">
              <w:rPr>
                <w:rFonts w:eastAsia="Calibri" w:cs="Sylfaen"/>
                <w:color w:val="000000"/>
                <w:sz w:val="18"/>
                <w:szCs w:val="18"/>
              </w:rPr>
              <w:t>միջակայքը</w:t>
            </w:r>
            <w:r w:rsidRPr="00A83C94">
              <w:rPr>
                <w:rFonts w:eastAsia="Calibri" w:cs="Calibri"/>
                <w:color w:val="000000"/>
                <w:sz w:val="18"/>
                <w:szCs w:val="18"/>
                <w:lang w:val="hy-AM"/>
              </w:rPr>
              <w:t xml:space="preserve">, </w:t>
            </w:r>
            <w:r w:rsidRPr="00A83C94">
              <w:rPr>
                <w:rFonts w:eastAsia="Calibri" w:cs="Calibri"/>
                <w:color w:val="000000"/>
                <w:sz w:val="18"/>
                <w:szCs w:val="18"/>
              </w:rPr>
              <w:t>%</w:t>
            </w:r>
          </w:p>
        </w:tc>
        <w:tc>
          <w:tcPr>
            <w:tcW w:w="6154" w:type="dxa"/>
            <w:gridSpan w:val="4"/>
            <w:shd w:val="clear" w:color="auto" w:fill="auto"/>
            <w:vAlign w:val="center"/>
            <w:hideMark/>
          </w:tcPr>
          <w:p w14:paraId="00BAC807" w14:textId="77777777" w:rsidR="00027FBF" w:rsidRPr="00A83C94" w:rsidRDefault="00027FBF" w:rsidP="00027FBF">
            <w:pPr>
              <w:tabs>
                <w:tab w:val="center" w:pos="4677"/>
                <w:tab w:val="right" w:pos="9355"/>
              </w:tabs>
              <w:spacing w:before="0" w:line="240" w:lineRule="auto"/>
              <w:ind w:right="111" w:firstLine="0"/>
              <w:jc w:val="center"/>
              <w:rPr>
                <w:rFonts w:eastAsia="Calibri" w:cs="Calibri"/>
                <w:color w:val="000000"/>
                <w:sz w:val="18"/>
                <w:szCs w:val="18"/>
                <w:lang w:val="hy-AM"/>
              </w:rPr>
            </w:pPr>
            <w:r w:rsidRPr="00A83C94">
              <w:rPr>
                <w:rFonts w:eastAsia="Calibri" w:cs="Sylfaen"/>
                <w:color w:val="000000"/>
                <w:sz w:val="18"/>
                <w:szCs w:val="18"/>
                <w:lang w:val="hy-AM"/>
              </w:rPr>
              <w:t>Տնտեսական</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աճի</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տվյալ</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միջակայքում</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ձևավորվելու</w:t>
            </w:r>
            <w:r w:rsidRPr="00A83C94">
              <w:rPr>
                <w:rFonts w:eastAsia="Calibri" w:cs="Calibri"/>
                <w:color w:val="000000"/>
                <w:sz w:val="18"/>
                <w:szCs w:val="18"/>
                <w:lang w:val="hy-AM"/>
              </w:rPr>
              <w:t xml:space="preserve"> </w:t>
            </w:r>
            <w:r w:rsidRPr="00A83C94">
              <w:rPr>
                <w:rFonts w:eastAsia="Calibri" w:cs="Sylfaen"/>
                <w:color w:val="000000"/>
                <w:sz w:val="18"/>
                <w:szCs w:val="18"/>
                <w:lang w:val="hy-AM"/>
              </w:rPr>
              <w:t>հավանականությունը</w:t>
            </w:r>
            <w:r w:rsidRPr="00A83C94">
              <w:rPr>
                <w:rFonts w:eastAsia="Calibri" w:cs="Calibri"/>
                <w:color w:val="000000"/>
                <w:sz w:val="18"/>
                <w:szCs w:val="18"/>
                <w:lang w:val="hy-AM"/>
              </w:rPr>
              <w:t>, %</w:t>
            </w:r>
          </w:p>
        </w:tc>
      </w:tr>
      <w:tr w:rsidR="00027FBF" w:rsidRPr="00A83C94" w14:paraId="235E8614" w14:textId="77777777" w:rsidTr="00027FBF">
        <w:trPr>
          <w:trHeight w:val="930"/>
        </w:trPr>
        <w:tc>
          <w:tcPr>
            <w:tcW w:w="2279" w:type="dxa"/>
            <w:vMerge/>
            <w:vAlign w:val="center"/>
            <w:hideMark/>
          </w:tcPr>
          <w:p w14:paraId="27F86F38" w14:textId="77777777" w:rsidR="00027FBF" w:rsidRPr="00A83C94" w:rsidRDefault="00027FBF" w:rsidP="00027FBF">
            <w:pPr>
              <w:spacing w:before="0" w:line="240" w:lineRule="auto"/>
              <w:ind w:right="111" w:firstLine="0"/>
              <w:jc w:val="left"/>
              <w:rPr>
                <w:rFonts w:eastAsia="Calibri" w:cs="Calibri"/>
                <w:color w:val="000000"/>
                <w:sz w:val="18"/>
                <w:szCs w:val="18"/>
                <w:lang w:val="hy-AM"/>
              </w:rPr>
            </w:pPr>
          </w:p>
        </w:tc>
        <w:tc>
          <w:tcPr>
            <w:tcW w:w="1474" w:type="dxa"/>
            <w:shd w:val="clear" w:color="auto" w:fill="auto"/>
            <w:noWrap/>
            <w:vAlign w:val="center"/>
            <w:hideMark/>
          </w:tcPr>
          <w:p w14:paraId="00CF77AD"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 </w:t>
            </w:r>
            <w:r w:rsidRPr="00A83C94">
              <w:rPr>
                <w:rFonts w:cs="Sylfaen"/>
                <w:color w:val="000000"/>
                <w:sz w:val="20"/>
                <w:szCs w:val="20"/>
              </w:rPr>
              <w:t>եռ</w:t>
            </w:r>
            <w:r w:rsidRPr="00A83C94">
              <w:rPr>
                <w:color w:val="000000"/>
                <w:sz w:val="20"/>
                <w:szCs w:val="20"/>
              </w:rPr>
              <w:t>.</w:t>
            </w:r>
          </w:p>
        </w:tc>
        <w:tc>
          <w:tcPr>
            <w:tcW w:w="1440" w:type="dxa"/>
            <w:shd w:val="clear" w:color="auto" w:fill="auto"/>
            <w:vAlign w:val="center"/>
            <w:hideMark/>
          </w:tcPr>
          <w:p w14:paraId="322EC5C8"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II </w:t>
            </w:r>
            <w:r w:rsidRPr="00A83C94">
              <w:rPr>
                <w:rFonts w:cs="Sylfaen"/>
                <w:color w:val="000000"/>
                <w:sz w:val="20"/>
                <w:szCs w:val="20"/>
              </w:rPr>
              <w:t>եռ</w:t>
            </w:r>
            <w:r w:rsidRPr="00A83C94">
              <w:rPr>
                <w:color w:val="000000"/>
                <w:sz w:val="20"/>
                <w:szCs w:val="20"/>
              </w:rPr>
              <w:t>.</w:t>
            </w:r>
          </w:p>
        </w:tc>
        <w:tc>
          <w:tcPr>
            <w:tcW w:w="1530" w:type="dxa"/>
            <w:shd w:val="clear" w:color="auto" w:fill="auto"/>
            <w:noWrap/>
            <w:vAlign w:val="center"/>
            <w:hideMark/>
          </w:tcPr>
          <w:p w14:paraId="47666602"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III </w:t>
            </w:r>
            <w:r w:rsidRPr="00A83C94">
              <w:rPr>
                <w:rFonts w:cs="Sylfaen"/>
                <w:color w:val="000000"/>
                <w:sz w:val="20"/>
                <w:szCs w:val="20"/>
              </w:rPr>
              <w:t>եռ</w:t>
            </w:r>
            <w:r w:rsidRPr="00A83C94">
              <w:rPr>
                <w:color w:val="000000"/>
                <w:sz w:val="20"/>
                <w:szCs w:val="20"/>
              </w:rPr>
              <w:t>.</w:t>
            </w:r>
          </w:p>
        </w:tc>
        <w:tc>
          <w:tcPr>
            <w:tcW w:w="1710" w:type="dxa"/>
            <w:shd w:val="clear" w:color="auto" w:fill="auto"/>
            <w:vAlign w:val="center"/>
            <w:hideMark/>
          </w:tcPr>
          <w:p w14:paraId="3E6427FA" w14:textId="77777777" w:rsidR="00027FBF" w:rsidRPr="00A83C94" w:rsidRDefault="00027FBF" w:rsidP="00027FBF">
            <w:pPr>
              <w:ind w:right="111" w:firstLine="106"/>
              <w:jc w:val="center"/>
              <w:rPr>
                <w:rFonts w:eastAsia="Calibri" w:cs="Calibri"/>
                <w:color w:val="000000"/>
                <w:sz w:val="20"/>
                <w:szCs w:val="20"/>
                <w:lang w:val="hy-AM"/>
              </w:rPr>
            </w:pPr>
            <w:r w:rsidRPr="00A83C94">
              <w:rPr>
                <w:color w:val="000000"/>
                <w:sz w:val="20"/>
                <w:szCs w:val="20"/>
              </w:rPr>
              <w:t>202</w:t>
            </w:r>
            <w:r w:rsidRPr="00A83C94">
              <w:rPr>
                <w:color w:val="000000"/>
                <w:sz w:val="20"/>
                <w:szCs w:val="20"/>
                <w:lang w:val="hy-AM"/>
              </w:rPr>
              <w:t>2</w:t>
            </w:r>
            <w:r w:rsidRPr="00A83C94">
              <w:rPr>
                <w:color w:val="000000"/>
                <w:sz w:val="20"/>
                <w:szCs w:val="20"/>
              </w:rPr>
              <w:t xml:space="preserve"> IV </w:t>
            </w:r>
            <w:r w:rsidRPr="00A83C94">
              <w:rPr>
                <w:rFonts w:cs="Sylfaen"/>
                <w:color w:val="000000"/>
                <w:sz w:val="20"/>
                <w:szCs w:val="20"/>
              </w:rPr>
              <w:t>եռ</w:t>
            </w:r>
            <w:r w:rsidRPr="00A83C94">
              <w:rPr>
                <w:color w:val="000000"/>
                <w:sz w:val="20"/>
                <w:szCs w:val="20"/>
              </w:rPr>
              <w:t>.</w:t>
            </w:r>
          </w:p>
        </w:tc>
      </w:tr>
      <w:tr w:rsidR="00027FBF" w:rsidRPr="00A83C94" w14:paraId="239D80F6" w14:textId="77777777" w:rsidTr="00027FBF">
        <w:trPr>
          <w:trHeight w:val="257"/>
        </w:trPr>
        <w:tc>
          <w:tcPr>
            <w:tcW w:w="2279" w:type="dxa"/>
            <w:shd w:val="clear" w:color="auto" w:fill="auto"/>
            <w:noWrap/>
            <w:vAlign w:val="bottom"/>
            <w:hideMark/>
          </w:tcPr>
          <w:p w14:paraId="7C4A6216" w14:textId="77777777" w:rsidR="00027FBF" w:rsidRPr="00A83C94" w:rsidRDefault="00027FBF" w:rsidP="00027FBF">
            <w:pPr>
              <w:ind w:right="111" w:hanging="45"/>
              <w:jc w:val="center"/>
              <w:rPr>
                <w:b w:val="0"/>
                <w:bCs/>
                <w:color w:val="000000"/>
                <w:lang w:val="en-US"/>
              </w:rPr>
            </w:pPr>
            <w:r w:rsidRPr="00A83C94">
              <w:rPr>
                <w:b w:val="0"/>
                <w:bCs/>
                <w:color w:val="000000"/>
                <w:lang w:val="en-US"/>
              </w:rPr>
              <w:t>1-3</w:t>
            </w:r>
          </w:p>
        </w:tc>
        <w:tc>
          <w:tcPr>
            <w:tcW w:w="1474" w:type="dxa"/>
            <w:shd w:val="clear" w:color="auto" w:fill="auto"/>
            <w:noWrap/>
            <w:hideMark/>
          </w:tcPr>
          <w:p w14:paraId="4CA1E85E" w14:textId="77777777" w:rsidR="00027FBF" w:rsidRPr="00A83C94" w:rsidRDefault="00027FBF" w:rsidP="00027FBF">
            <w:pPr>
              <w:ind w:right="111"/>
              <w:jc w:val="center"/>
              <w:rPr>
                <w:b w:val="0"/>
                <w:color w:val="000000"/>
              </w:rPr>
            </w:pPr>
            <w:r w:rsidRPr="00A83C94">
              <w:rPr>
                <w:b w:val="0"/>
              </w:rPr>
              <w:t>11.9</w:t>
            </w:r>
          </w:p>
        </w:tc>
        <w:tc>
          <w:tcPr>
            <w:tcW w:w="1440" w:type="dxa"/>
            <w:shd w:val="clear" w:color="auto" w:fill="auto"/>
            <w:noWrap/>
            <w:hideMark/>
          </w:tcPr>
          <w:p w14:paraId="7A5C3A15" w14:textId="77777777" w:rsidR="00027FBF" w:rsidRPr="00A83C94" w:rsidRDefault="00027FBF" w:rsidP="00027FBF">
            <w:pPr>
              <w:ind w:right="111"/>
              <w:jc w:val="center"/>
              <w:rPr>
                <w:b w:val="0"/>
                <w:bCs/>
                <w:color w:val="000000"/>
              </w:rPr>
            </w:pPr>
            <w:r w:rsidRPr="00A83C94">
              <w:rPr>
                <w:b w:val="0"/>
              </w:rPr>
              <w:t>12.8</w:t>
            </w:r>
          </w:p>
        </w:tc>
        <w:tc>
          <w:tcPr>
            <w:tcW w:w="1530" w:type="dxa"/>
            <w:shd w:val="clear" w:color="auto" w:fill="auto"/>
            <w:noWrap/>
            <w:hideMark/>
          </w:tcPr>
          <w:p w14:paraId="3F2D32F6" w14:textId="77777777" w:rsidR="00027FBF" w:rsidRPr="00A83C94" w:rsidRDefault="00027FBF" w:rsidP="00027FBF">
            <w:pPr>
              <w:ind w:right="111"/>
              <w:jc w:val="center"/>
              <w:rPr>
                <w:b w:val="0"/>
                <w:bCs/>
                <w:color w:val="000000"/>
              </w:rPr>
            </w:pPr>
            <w:r w:rsidRPr="00A83C94">
              <w:rPr>
                <w:b w:val="0"/>
              </w:rPr>
              <w:t>13.1</w:t>
            </w:r>
          </w:p>
        </w:tc>
        <w:tc>
          <w:tcPr>
            <w:tcW w:w="1710" w:type="dxa"/>
            <w:shd w:val="clear" w:color="auto" w:fill="auto"/>
            <w:noWrap/>
            <w:hideMark/>
          </w:tcPr>
          <w:p w14:paraId="4408E09B" w14:textId="77777777" w:rsidR="00027FBF" w:rsidRPr="00A83C94" w:rsidRDefault="00027FBF" w:rsidP="00027FBF">
            <w:pPr>
              <w:ind w:right="111"/>
              <w:jc w:val="center"/>
              <w:rPr>
                <w:b w:val="0"/>
                <w:bCs/>
                <w:color w:val="000000"/>
              </w:rPr>
            </w:pPr>
            <w:r w:rsidRPr="00A83C94">
              <w:rPr>
                <w:b w:val="0"/>
              </w:rPr>
              <w:t>13.6</w:t>
            </w:r>
          </w:p>
        </w:tc>
      </w:tr>
      <w:tr w:rsidR="00027FBF" w:rsidRPr="00A83C94" w14:paraId="6B2C9A5E" w14:textId="77777777" w:rsidTr="00027FBF">
        <w:trPr>
          <w:trHeight w:val="275"/>
        </w:trPr>
        <w:tc>
          <w:tcPr>
            <w:tcW w:w="2279" w:type="dxa"/>
            <w:shd w:val="clear" w:color="auto" w:fill="auto"/>
            <w:noWrap/>
            <w:vAlign w:val="bottom"/>
            <w:hideMark/>
          </w:tcPr>
          <w:p w14:paraId="6C69315C" w14:textId="77777777" w:rsidR="00027FBF" w:rsidRPr="00A83C94" w:rsidRDefault="00027FBF" w:rsidP="00027FBF">
            <w:pPr>
              <w:ind w:right="111" w:hanging="45"/>
              <w:jc w:val="center"/>
              <w:rPr>
                <w:b w:val="0"/>
                <w:bCs/>
                <w:color w:val="000000"/>
                <w:lang w:val="en-US"/>
              </w:rPr>
            </w:pPr>
            <w:r w:rsidRPr="00A83C94">
              <w:rPr>
                <w:b w:val="0"/>
                <w:bCs/>
                <w:color w:val="000000"/>
                <w:lang w:val="en-US"/>
              </w:rPr>
              <w:t>3-5</w:t>
            </w:r>
          </w:p>
        </w:tc>
        <w:tc>
          <w:tcPr>
            <w:tcW w:w="1474" w:type="dxa"/>
            <w:shd w:val="clear" w:color="auto" w:fill="auto"/>
            <w:noWrap/>
            <w:hideMark/>
          </w:tcPr>
          <w:p w14:paraId="1A978804" w14:textId="77777777" w:rsidR="00027FBF" w:rsidRPr="00A83C94" w:rsidRDefault="00027FBF" w:rsidP="00027FBF">
            <w:pPr>
              <w:ind w:right="111"/>
              <w:jc w:val="center"/>
              <w:rPr>
                <w:b w:val="0"/>
                <w:bCs/>
                <w:color w:val="000000"/>
              </w:rPr>
            </w:pPr>
            <w:r w:rsidRPr="00A83C94">
              <w:rPr>
                <w:b w:val="0"/>
              </w:rPr>
              <w:t>21.4</w:t>
            </w:r>
          </w:p>
        </w:tc>
        <w:tc>
          <w:tcPr>
            <w:tcW w:w="1440" w:type="dxa"/>
            <w:shd w:val="clear" w:color="auto" w:fill="auto"/>
            <w:noWrap/>
            <w:hideMark/>
          </w:tcPr>
          <w:p w14:paraId="4249C304" w14:textId="77777777" w:rsidR="00027FBF" w:rsidRPr="00A83C94" w:rsidRDefault="00027FBF" w:rsidP="00027FBF">
            <w:pPr>
              <w:ind w:right="111"/>
              <w:jc w:val="center"/>
              <w:rPr>
                <w:b w:val="0"/>
                <w:color w:val="000000"/>
              </w:rPr>
            </w:pPr>
            <w:r w:rsidRPr="00A83C94">
              <w:rPr>
                <w:b w:val="0"/>
              </w:rPr>
              <w:t>21.0</w:t>
            </w:r>
          </w:p>
        </w:tc>
        <w:tc>
          <w:tcPr>
            <w:tcW w:w="1530" w:type="dxa"/>
            <w:shd w:val="clear" w:color="auto" w:fill="auto"/>
            <w:noWrap/>
            <w:hideMark/>
          </w:tcPr>
          <w:p w14:paraId="22CB47D2" w14:textId="77777777" w:rsidR="00027FBF" w:rsidRPr="00A83C94" w:rsidRDefault="00027FBF" w:rsidP="00027FBF">
            <w:pPr>
              <w:ind w:right="111"/>
              <w:jc w:val="center"/>
              <w:rPr>
                <w:b w:val="0"/>
                <w:bCs/>
                <w:color w:val="000000"/>
              </w:rPr>
            </w:pPr>
            <w:r w:rsidRPr="00A83C94">
              <w:rPr>
                <w:b w:val="0"/>
              </w:rPr>
              <w:t>20.8</w:t>
            </w:r>
          </w:p>
        </w:tc>
        <w:tc>
          <w:tcPr>
            <w:tcW w:w="1710" w:type="dxa"/>
            <w:shd w:val="clear" w:color="auto" w:fill="auto"/>
            <w:noWrap/>
            <w:hideMark/>
          </w:tcPr>
          <w:p w14:paraId="6B8F152F" w14:textId="77777777" w:rsidR="00027FBF" w:rsidRPr="00A83C94" w:rsidRDefault="00027FBF" w:rsidP="00027FBF">
            <w:pPr>
              <w:ind w:right="111"/>
              <w:jc w:val="center"/>
              <w:rPr>
                <w:b w:val="0"/>
                <w:bCs/>
                <w:color w:val="000000"/>
              </w:rPr>
            </w:pPr>
            <w:r w:rsidRPr="00A83C94">
              <w:rPr>
                <w:b w:val="0"/>
              </w:rPr>
              <w:t>20.5</w:t>
            </w:r>
          </w:p>
        </w:tc>
      </w:tr>
      <w:tr w:rsidR="00027FBF" w:rsidRPr="00A83C94" w14:paraId="7EDAD169" w14:textId="77777777" w:rsidTr="00027FBF">
        <w:trPr>
          <w:trHeight w:val="279"/>
        </w:trPr>
        <w:tc>
          <w:tcPr>
            <w:tcW w:w="2279" w:type="dxa"/>
            <w:shd w:val="clear" w:color="auto" w:fill="auto"/>
            <w:noWrap/>
            <w:vAlign w:val="bottom"/>
            <w:hideMark/>
          </w:tcPr>
          <w:p w14:paraId="292AF060" w14:textId="77777777" w:rsidR="00027FBF" w:rsidRPr="00A83C94" w:rsidRDefault="00027FBF" w:rsidP="00027FBF">
            <w:pPr>
              <w:ind w:right="111" w:hanging="45"/>
              <w:jc w:val="center"/>
              <w:rPr>
                <w:b w:val="0"/>
                <w:bCs/>
                <w:color w:val="000000"/>
                <w:lang w:val="en-US"/>
              </w:rPr>
            </w:pPr>
            <w:r w:rsidRPr="00A83C94">
              <w:rPr>
                <w:b w:val="0"/>
                <w:bCs/>
                <w:color w:val="000000"/>
                <w:lang w:val="en-US"/>
              </w:rPr>
              <w:t>5-7</w:t>
            </w:r>
          </w:p>
        </w:tc>
        <w:tc>
          <w:tcPr>
            <w:tcW w:w="1474" w:type="dxa"/>
            <w:shd w:val="clear" w:color="auto" w:fill="auto"/>
            <w:noWrap/>
            <w:hideMark/>
          </w:tcPr>
          <w:p w14:paraId="6F545FD3" w14:textId="77777777" w:rsidR="00027FBF" w:rsidRPr="00A83C94" w:rsidRDefault="00027FBF" w:rsidP="00027FBF">
            <w:pPr>
              <w:ind w:right="111"/>
              <w:jc w:val="center"/>
              <w:rPr>
                <w:bCs/>
                <w:color w:val="000000"/>
              </w:rPr>
            </w:pPr>
            <w:r w:rsidRPr="00A83C94">
              <w:t>28.6</w:t>
            </w:r>
          </w:p>
        </w:tc>
        <w:tc>
          <w:tcPr>
            <w:tcW w:w="1440" w:type="dxa"/>
            <w:shd w:val="clear" w:color="auto" w:fill="auto"/>
            <w:noWrap/>
            <w:hideMark/>
          </w:tcPr>
          <w:p w14:paraId="12ED1066" w14:textId="77777777" w:rsidR="00027FBF" w:rsidRPr="00A83C94" w:rsidRDefault="00027FBF" w:rsidP="00027FBF">
            <w:pPr>
              <w:ind w:right="111"/>
              <w:jc w:val="center"/>
              <w:rPr>
                <w:bCs/>
                <w:color w:val="000000"/>
              </w:rPr>
            </w:pPr>
            <w:r w:rsidRPr="00A83C94">
              <w:t>27.0</w:t>
            </w:r>
          </w:p>
        </w:tc>
        <w:tc>
          <w:tcPr>
            <w:tcW w:w="1530" w:type="dxa"/>
            <w:shd w:val="clear" w:color="auto" w:fill="auto"/>
            <w:noWrap/>
            <w:hideMark/>
          </w:tcPr>
          <w:p w14:paraId="2B9ADE84" w14:textId="77777777" w:rsidR="00027FBF" w:rsidRPr="00A83C94" w:rsidRDefault="00027FBF" w:rsidP="00027FBF">
            <w:pPr>
              <w:ind w:right="111"/>
              <w:jc w:val="center"/>
              <w:rPr>
                <w:color w:val="000000"/>
              </w:rPr>
            </w:pPr>
            <w:r w:rsidRPr="00A83C94">
              <w:t>26.2</w:t>
            </w:r>
          </w:p>
        </w:tc>
        <w:tc>
          <w:tcPr>
            <w:tcW w:w="1710" w:type="dxa"/>
            <w:shd w:val="clear" w:color="auto" w:fill="auto"/>
            <w:noWrap/>
            <w:hideMark/>
          </w:tcPr>
          <w:p w14:paraId="6F57300A" w14:textId="77777777" w:rsidR="00027FBF" w:rsidRPr="00A83C94" w:rsidRDefault="00027FBF" w:rsidP="00027FBF">
            <w:pPr>
              <w:ind w:right="111"/>
              <w:jc w:val="center"/>
              <w:rPr>
                <w:color w:val="000000"/>
              </w:rPr>
            </w:pPr>
            <w:r w:rsidRPr="00A83C94">
              <w:t>25.2</w:t>
            </w:r>
          </w:p>
        </w:tc>
      </w:tr>
      <w:tr w:rsidR="00027FBF" w:rsidRPr="00A83C94" w14:paraId="305EAFB6" w14:textId="77777777" w:rsidTr="00027FBF">
        <w:trPr>
          <w:trHeight w:val="283"/>
        </w:trPr>
        <w:tc>
          <w:tcPr>
            <w:tcW w:w="2279" w:type="dxa"/>
            <w:shd w:val="clear" w:color="auto" w:fill="auto"/>
            <w:noWrap/>
            <w:vAlign w:val="bottom"/>
            <w:hideMark/>
          </w:tcPr>
          <w:p w14:paraId="2BA0AAFF" w14:textId="77777777" w:rsidR="00027FBF" w:rsidRPr="00A83C94" w:rsidRDefault="00027FBF" w:rsidP="00027FBF">
            <w:pPr>
              <w:ind w:right="111" w:hanging="45"/>
              <w:jc w:val="center"/>
              <w:rPr>
                <w:b w:val="0"/>
                <w:bCs/>
                <w:color w:val="000000"/>
                <w:lang w:val="en-US"/>
              </w:rPr>
            </w:pPr>
            <w:r w:rsidRPr="00A83C94">
              <w:rPr>
                <w:b w:val="0"/>
                <w:bCs/>
                <w:color w:val="000000"/>
                <w:lang w:val="en-US"/>
              </w:rPr>
              <w:t>7-9</w:t>
            </w:r>
          </w:p>
        </w:tc>
        <w:tc>
          <w:tcPr>
            <w:tcW w:w="1474" w:type="dxa"/>
            <w:shd w:val="clear" w:color="auto" w:fill="auto"/>
            <w:noWrap/>
            <w:hideMark/>
          </w:tcPr>
          <w:p w14:paraId="4DCCCA3C" w14:textId="77777777" w:rsidR="00027FBF" w:rsidRPr="00A83C94" w:rsidRDefault="00027FBF" w:rsidP="00027FBF">
            <w:pPr>
              <w:ind w:right="111"/>
              <w:jc w:val="center"/>
              <w:rPr>
                <w:b w:val="0"/>
                <w:bCs/>
                <w:color w:val="000000"/>
              </w:rPr>
            </w:pPr>
            <w:r w:rsidRPr="00A83C94">
              <w:rPr>
                <w:b w:val="0"/>
              </w:rPr>
              <w:t>24.1</w:t>
            </w:r>
          </w:p>
        </w:tc>
        <w:tc>
          <w:tcPr>
            <w:tcW w:w="1440" w:type="dxa"/>
            <w:shd w:val="clear" w:color="auto" w:fill="auto"/>
            <w:noWrap/>
            <w:hideMark/>
          </w:tcPr>
          <w:p w14:paraId="44773238" w14:textId="77777777" w:rsidR="00027FBF" w:rsidRPr="00A83C94" w:rsidRDefault="00027FBF" w:rsidP="00027FBF">
            <w:pPr>
              <w:ind w:right="111"/>
              <w:jc w:val="center"/>
              <w:rPr>
                <w:b w:val="0"/>
                <w:bCs/>
                <w:color w:val="000000"/>
              </w:rPr>
            </w:pPr>
            <w:r w:rsidRPr="00A83C94">
              <w:rPr>
                <w:b w:val="0"/>
              </w:rPr>
              <w:t>22.8</w:t>
            </w:r>
          </w:p>
        </w:tc>
        <w:tc>
          <w:tcPr>
            <w:tcW w:w="1530" w:type="dxa"/>
            <w:shd w:val="clear" w:color="auto" w:fill="auto"/>
            <w:noWrap/>
            <w:hideMark/>
          </w:tcPr>
          <w:p w14:paraId="2BCE60B1" w14:textId="77777777" w:rsidR="00027FBF" w:rsidRPr="00A83C94" w:rsidRDefault="00027FBF" w:rsidP="00027FBF">
            <w:pPr>
              <w:ind w:right="111"/>
              <w:jc w:val="center"/>
              <w:rPr>
                <w:b w:val="0"/>
                <w:bCs/>
                <w:color w:val="000000"/>
              </w:rPr>
            </w:pPr>
            <w:r w:rsidRPr="00A83C94">
              <w:rPr>
                <w:b w:val="0"/>
              </w:rPr>
              <w:t>22.3</w:t>
            </w:r>
          </w:p>
        </w:tc>
        <w:tc>
          <w:tcPr>
            <w:tcW w:w="1710" w:type="dxa"/>
            <w:shd w:val="clear" w:color="auto" w:fill="auto"/>
            <w:noWrap/>
            <w:hideMark/>
          </w:tcPr>
          <w:p w14:paraId="276031AE" w14:textId="77777777" w:rsidR="00027FBF" w:rsidRPr="00A83C94" w:rsidRDefault="00027FBF" w:rsidP="00027FBF">
            <w:pPr>
              <w:ind w:right="111"/>
              <w:jc w:val="center"/>
              <w:rPr>
                <w:b w:val="0"/>
                <w:bCs/>
                <w:color w:val="000000"/>
              </w:rPr>
            </w:pPr>
            <w:r w:rsidRPr="00A83C94">
              <w:rPr>
                <w:b w:val="0"/>
              </w:rPr>
              <w:t>21.3</w:t>
            </w:r>
          </w:p>
        </w:tc>
      </w:tr>
      <w:bookmarkEnd w:id="151"/>
    </w:tbl>
    <w:p w14:paraId="3B87A83E" w14:textId="77777777" w:rsidR="00027FBF" w:rsidRPr="00A83C94" w:rsidRDefault="00027FBF" w:rsidP="00027FBF">
      <w:pPr>
        <w:ind w:right="115" w:firstLine="562"/>
        <w:contextualSpacing w:val="0"/>
        <w:rPr>
          <w:rFonts w:eastAsia="Calibri" w:cs="Sylfaen"/>
          <w:b w:val="0"/>
          <w:sz w:val="2"/>
          <w:szCs w:val="2"/>
          <w:lang w:val="hy-AM" w:eastAsia="en-US"/>
        </w:rPr>
      </w:pPr>
    </w:p>
    <w:p w14:paraId="5E4E252B" w14:textId="77777777" w:rsidR="00027FBF" w:rsidRPr="00A83C94" w:rsidRDefault="00027FBF" w:rsidP="00027FBF">
      <w:pPr>
        <w:spacing w:before="0" w:line="276" w:lineRule="auto"/>
        <w:ind w:right="111"/>
        <w:contextualSpacing w:val="0"/>
        <w:rPr>
          <w:rFonts w:eastAsia="Calibri" w:cs="Sylfaen"/>
          <w:b w:val="0"/>
          <w:szCs w:val="22"/>
          <w:lang w:val="hy-AM" w:eastAsia="en-US"/>
        </w:rPr>
      </w:pPr>
      <w:r w:rsidRPr="00A83C94">
        <w:rPr>
          <w:rFonts w:eastAsia="Calibri" w:cs="Sylfaen"/>
          <w:b w:val="0"/>
          <w:szCs w:val="22"/>
          <w:lang w:val="hy-AM" w:eastAsia="en-US"/>
        </w:rPr>
        <w:t>Ինչպես</w:t>
      </w:r>
      <w:r w:rsidRPr="00A83C94">
        <w:rPr>
          <w:rFonts w:eastAsia="Calibri" w:cs="Sylfaen"/>
          <w:b w:val="0"/>
          <w:szCs w:val="22"/>
          <w:lang w:val="it-IT" w:eastAsia="en-US"/>
        </w:rPr>
        <w:t xml:space="preserve"> </w:t>
      </w:r>
      <w:r w:rsidRPr="00A83C94">
        <w:rPr>
          <w:rFonts w:eastAsia="Calibri" w:cs="Sylfaen"/>
          <w:b w:val="0"/>
          <w:szCs w:val="22"/>
          <w:lang w:val="hy-AM" w:eastAsia="en-US"/>
        </w:rPr>
        <w:t>երևում</w:t>
      </w:r>
      <w:r w:rsidRPr="00A83C94">
        <w:rPr>
          <w:rFonts w:eastAsia="Calibri" w:cs="Sylfaen"/>
          <w:b w:val="0"/>
          <w:szCs w:val="22"/>
          <w:lang w:val="it-IT" w:eastAsia="en-US"/>
        </w:rPr>
        <w:t xml:space="preserve"> </w:t>
      </w:r>
      <w:r w:rsidRPr="00A83C94">
        <w:rPr>
          <w:rFonts w:eastAsia="Calibri" w:cs="Sylfaen"/>
          <w:b w:val="0"/>
          <w:szCs w:val="22"/>
          <w:lang w:val="hy-AM" w:eastAsia="en-US"/>
        </w:rPr>
        <w:t>է</w:t>
      </w:r>
      <w:r w:rsidRPr="00A83C94">
        <w:rPr>
          <w:rFonts w:eastAsia="Calibri" w:cs="Sylfaen"/>
          <w:b w:val="0"/>
          <w:szCs w:val="22"/>
          <w:lang w:val="it-IT" w:eastAsia="en-US"/>
        </w:rPr>
        <w:t xml:space="preserve"> </w:t>
      </w:r>
      <w:r w:rsidRPr="00A83C94">
        <w:rPr>
          <w:rFonts w:eastAsia="Calibri" w:cs="Sylfaen"/>
          <w:b w:val="0"/>
          <w:szCs w:val="22"/>
          <w:lang w:val="hy-AM" w:eastAsia="en-US"/>
        </w:rPr>
        <w:t>Գծապատկեր</w:t>
      </w:r>
      <w:r w:rsidRPr="00A83C94">
        <w:rPr>
          <w:rFonts w:eastAsia="Calibri" w:cs="Sylfaen"/>
          <w:b w:val="0"/>
          <w:szCs w:val="22"/>
          <w:lang w:val="it-IT" w:eastAsia="en-US"/>
        </w:rPr>
        <w:t xml:space="preserve"> </w:t>
      </w:r>
      <w:r w:rsidRPr="00A83C94">
        <w:rPr>
          <w:rFonts w:eastAsia="Calibri" w:cs="Sylfaen"/>
          <w:b w:val="0"/>
          <w:szCs w:val="22"/>
          <w:lang w:val="hy-AM" w:eastAsia="en-US"/>
        </w:rPr>
        <w:t>1.32-ից, 2022թ.</w:t>
      </w:r>
      <w:r w:rsidRPr="00A83C94" w:rsidDel="00301E27">
        <w:rPr>
          <w:rFonts w:eastAsia="Calibri" w:cs="Sylfaen"/>
          <w:b w:val="0"/>
          <w:szCs w:val="22"/>
          <w:lang w:val="hy-AM" w:eastAsia="en-US"/>
        </w:rPr>
        <w:t xml:space="preserve"> </w:t>
      </w:r>
      <w:r w:rsidRPr="00A83C94">
        <w:rPr>
          <w:rFonts w:eastAsia="Calibri" w:cs="Sylfaen"/>
          <w:b w:val="0"/>
          <w:szCs w:val="22"/>
          <w:lang w:val="hy-AM" w:eastAsia="en-US"/>
        </w:rPr>
        <w:t xml:space="preserve">տնտեսական աճի ձևավորման ամենաբարձր հավանականությունը գտնվում է 5-7% միջակայքում (Աղյուսակ 1.4-ում այն հոծ նշումով է), իսկ իրական ՀՆԱ-ի տարեկան աճի կենտրոնական կանխատեսումներից շեղման ռիսկերը ուղղված են դեպի ներքև: </w:t>
      </w:r>
    </w:p>
    <w:p w14:paraId="76F4C9DF" w14:textId="77777777" w:rsidR="00027FBF" w:rsidRPr="00A83C94" w:rsidRDefault="00027FBF" w:rsidP="00027FBF">
      <w:pPr>
        <w:spacing w:before="0" w:after="160" w:line="259" w:lineRule="auto"/>
        <w:ind w:right="111" w:firstLine="0"/>
        <w:contextualSpacing w:val="0"/>
        <w:jc w:val="left"/>
        <w:rPr>
          <w:rFonts w:ascii="Times New Roman" w:hAnsi="Times New Roman"/>
          <w:b w:val="0"/>
          <w:sz w:val="24"/>
          <w:lang w:val="hy-AM" w:eastAsia="en-US"/>
        </w:rPr>
      </w:pPr>
      <w:r w:rsidRPr="00A83C94">
        <w:rPr>
          <w:rFonts w:ascii="Times New Roman" w:hAnsi="Times New Roman"/>
          <w:b w:val="0"/>
          <w:sz w:val="24"/>
          <w:lang w:val="hy-AM" w:eastAsia="en-US"/>
        </w:rPr>
        <w:br w:type="page"/>
      </w:r>
    </w:p>
    <w:p w14:paraId="27F15564" w14:textId="77777777" w:rsidR="00027FBF" w:rsidRPr="00A83C94" w:rsidRDefault="00027FBF" w:rsidP="00027FBF">
      <w:pPr>
        <w:spacing w:before="0" w:after="160" w:line="259" w:lineRule="auto"/>
        <w:ind w:right="111" w:firstLine="0"/>
        <w:contextualSpacing w:val="0"/>
        <w:jc w:val="left"/>
        <w:rPr>
          <w:rFonts w:ascii="Times New Roman" w:hAnsi="Times New Roman"/>
          <w:b w:val="0"/>
          <w:sz w:val="24"/>
          <w:lang w:val="hy-AM" w:eastAsia="en-US"/>
        </w:rPr>
      </w:pPr>
    </w:p>
    <w:tbl>
      <w:tblPr>
        <w:tblStyle w:val="TableGrid1213"/>
        <w:tblW w:w="10931"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31"/>
      </w:tblGrid>
      <w:tr w:rsidR="00027FBF" w:rsidRPr="00A83C94" w14:paraId="4CD3C80B" w14:textId="77777777" w:rsidTr="00027FBF">
        <w:trPr>
          <w:trHeight w:val="9147"/>
        </w:trPr>
        <w:tc>
          <w:tcPr>
            <w:tcW w:w="10931" w:type="dxa"/>
          </w:tcPr>
          <w:p w14:paraId="7065AE06" w14:textId="77777777" w:rsidR="00027FBF" w:rsidRPr="00A83C94" w:rsidRDefault="00027FBF" w:rsidP="00027FBF">
            <w:pPr>
              <w:keepNext/>
              <w:keepLines/>
              <w:spacing w:before="0" w:after="0" w:line="276" w:lineRule="auto"/>
              <w:outlineLvl w:val="2"/>
              <w:rPr>
                <w:b w:val="0"/>
                <w:bCs/>
                <w:sz w:val="28"/>
                <w:szCs w:val="28"/>
                <w:lang w:val="hy-AM"/>
              </w:rPr>
            </w:pPr>
            <w:r w:rsidRPr="00A83C94">
              <w:rPr>
                <w:rFonts w:eastAsia="GHEA Grapalat" w:cs="GHEA Grapalat"/>
                <w:lang w:val="hy-AM"/>
              </w:rPr>
              <w:br w:type="page"/>
            </w:r>
            <w:bookmarkStart w:id="152" w:name="_Toc51360535"/>
            <w:bookmarkStart w:id="153" w:name="_Toc51947418"/>
            <w:bookmarkStart w:id="154" w:name="_Toc57559418"/>
            <w:bookmarkStart w:id="155" w:name="_Toc83663899"/>
            <w:bookmarkStart w:id="156" w:name="_Toc83972835"/>
            <w:bookmarkStart w:id="157" w:name="_Toc89428290"/>
            <w:r w:rsidRPr="00A83C94">
              <w:rPr>
                <w:bCs/>
                <w:sz w:val="24"/>
                <w:lang w:val="hy-AM"/>
              </w:rPr>
              <w:t>1.6. ՀԱՄԵՄԱՏՈՒԹՅՈՒՆ ՆԱԽՈՐԴ ԿԱՆԽԱՏԵՍՈՒՄՆԵՐԻ ՀԵՏ</w:t>
            </w:r>
            <w:bookmarkEnd w:id="152"/>
            <w:bookmarkEnd w:id="153"/>
            <w:bookmarkEnd w:id="154"/>
            <w:bookmarkEnd w:id="155"/>
            <w:bookmarkEnd w:id="156"/>
            <w:bookmarkEnd w:id="157"/>
          </w:p>
          <w:p w14:paraId="07D20E13" w14:textId="77777777" w:rsidR="00027FBF" w:rsidRPr="00A83C94" w:rsidRDefault="00027FBF" w:rsidP="00027FBF">
            <w:pPr>
              <w:keepNext/>
              <w:keepLines/>
              <w:tabs>
                <w:tab w:val="left" w:pos="10227"/>
              </w:tabs>
              <w:spacing w:line="276" w:lineRule="auto"/>
              <w:ind w:left="541" w:right="111" w:firstLine="26"/>
              <w:rPr>
                <w:rFonts w:eastAsia="Calibri" w:cs="Sylfaen"/>
                <w:bCs/>
                <w:i/>
                <w:iCs/>
                <w:color w:val="000000"/>
                <w:sz w:val="20"/>
                <w:szCs w:val="20"/>
                <w:lang w:val="hy-AM"/>
              </w:rPr>
            </w:pPr>
            <w:r w:rsidRPr="00A83C94">
              <w:rPr>
                <w:rFonts w:eastAsia="Calibri" w:cs="Sylfaen"/>
                <w:bCs/>
                <w:i/>
                <w:iCs/>
                <w:color w:val="000000"/>
                <w:lang w:val="hy-AM"/>
              </w:rPr>
              <w:t xml:space="preserve">Աղյուսակ 1.5. </w:t>
            </w:r>
            <w:r w:rsidRPr="00A83C94">
              <w:rPr>
                <w:rFonts w:eastAsia="Calibri" w:cs="Sylfaen"/>
                <w:bCs/>
                <w:i/>
                <w:iCs/>
                <w:color w:val="000000"/>
                <w:sz w:val="20"/>
                <w:szCs w:val="20"/>
                <w:lang w:val="hy-AM"/>
              </w:rPr>
              <w:t>ՀՆԱ-ի կանխատեսումները</w:t>
            </w:r>
            <w:r w:rsidRPr="00A83C94">
              <w:rPr>
                <w:rFonts w:eastAsia="Calibri"/>
                <w:bCs/>
                <w:i/>
                <w:iCs/>
                <w:color w:val="000000"/>
                <w:sz w:val="20"/>
                <w:szCs w:val="20"/>
                <w:lang w:val="hy-AM"/>
              </w:rPr>
              <w:t xml:space="preserve"> </w:t>
            </w:r>
            <w:r w:rsidRPr="00A83C94">
              <w:rPr>
                <w:rFonts w:eastAsia="Calibri" w:cs="Sylfaen"/>
                <w:bCs/>
                <w:i/>
                <w:iCs/>
                <w:color w:val="000000"/>
                <w:sz w:val="20"/>
                <w:szCs w:val="20"/>
                <w:lang w:val="hy-AM"/>
              </w:rPr>
              <w:t xml:space="preserve">2022-2024 թթ. ՄԺԾԾ-ով  և 2021թ. և 2022թ. </w:t>
            </w:r>
          </w:p>
          <w:p w14:paraId="2072A5FA" w14:textId="77777777" w:rsidR="00027FBF" w:rsidRPr="00A83C94" w:rsidRDefault="00027FBF" w:rsidP="00027FBF">
            <w:pPr>
              <w:keepNext/>
              <w:keepLines/>
              <w:tabs>
                <w:tab w:val="left" w:pos="10227"/>
              </w:tabs>
              <w:spacing w:line="276" w:lineRule="auto"/>
              <w:ind w:left="541" w:right="111" w:firstLine="26"/>
              <w:rPr>
                <w:rFonts w:eastAsia="Calibri" w:cs="Sylfaen"/>
                <w:b w:val="0"/>
                <w:bCs/>
                <w:i/>
                <w:iCs/>
                <w:color w:val="4F81BD"/>
                <w:lang w:val="hy-AM"/>
              </w:rPr>
            </w:pPr>
            <w:r w:rsidRPr="00A83C94">
              <w:rPr>
                <w:rFonts w:eastAsia="Calibri" w:cs="Sylfaen"/>
                <w:bCs/>
                <w:i/>
                <w:iCs/>
                <w:color w:val="000000"/>
                <w:sz w:val="20"/>
                <w:szCs w:val="20"/>
                <w:lang w:val="hy-AM"/>
              </w:rPr>
              <w:t>պետական բյուջեներով</w:t>
            </w:r>
          </w:p>
          <w:tbl>
            <w:tblPr>
              <w:tblW w:w="9242" w:type="dxa"/>
              <w:tblInd w:w="508"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052"/>
              <w:gridCol w:w="2324"/>
              <w:gridCol w:w="1527"/>
              <w:gridCol w:w="1890"/>
              <w:gridCol w:w="1449"/>
            </w:tblGrid>
            <w:tr w:rsidR="00027FBF" w:rsidRPr="00A83C94" w14:paraId="373CBB22" w14:textId="77777777" w:rsidTr="00027FBF">
              <w:trPr>
                <w:trHeight w:val="303"/>
              </w:trPr>
              <w:tc>
                <w:tcPr>
                  <w:tcW w:w="2052" w:type="dxa"/>
                  <w:vMerge w:val="restart"/>
                  <w:shd w:val="clear" w:color="auto" w:fill="9CC2E5"/>
                  <w:noWrap/>
                  <w:vAlign w:val="center"/>
                  <w:hideMark/>
                </w:tcPr>
                <w:p w14:paraId="69562EB3"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Ցուցանիշներ</w:t>
                  </w:r>
                </w:p>
              </w:tc>
              <w:tc>
                <w:tcPr>
                  <w:tcW w:w="2324" w:type="dxa"/>
                  <w:vMerge w:val="restart"/>
                  <w:shd w:val="clear" w:color="auto" w:fill="9CC2E5"/>
                  <w:vAlign w:val="center"/>
                  <w:hideMark/>
                </w:tcPr>
                <w:p w14:paraId="2A4A82CA"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Ծրագիր</w:t>
                  </w:r>
                </w:p>
              </w:tc>
              <w:tc>
                <w:tcPr>
                  <w:tcW w:w="1527" w:type="dxa"/>
                  <w:shd w:val="clear" w:color="auto" w:fill="9CC2E5"/>
                  <w:vAlign w:val="center"/>
                </w:tcPr>
                <w:p w14:paraId="0788393B"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2020</w:t>
                  </w:r>
                </w:p>
              </w:tc>
              <w:tc>
                <w:tcPr>
                  <w:tcW w:w="1890" w:type="dxa"/>
                  <w:shd w:val="clear" w:color="auto" w:fill="9CC2E5"/>
                  <w:vAlign w:val="center"/>
                  <w:hideMark/>
                </w:tcPr>
                <w:p w14:paraId="1008489B"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2021</w:t>
                  </w:r>
                </w:p>
              </w:tc>
              <w:tc>
                <w:tcPr>
                  <w:tcW w:w="1449" w:type="dxa"/>
                  <w:shd w:val="clear" w:color="auto" w:fill="9CC2E5"/>
                  <w:vAlign w:val="center"/>
                  <w:hideMark/>
                </w:tcPr>
                <w:p w14:paraId="28D61051"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2022</w:t>
                  </w:r>
                </w:p>
              </w:tc>
            </w:tr>
            <w:tr w:rsidR="00027FBF" w:rsidRPr="00A83C94" w14:paraId="7240AE81" w14:textId="77777777" w:rsidTr="00027FBF">
              <w:trPr>
                <w:trHeight w:val="303"/>
              </w:trPr>
              <w:tc>
                <w:tcPr>
                  <w:tcW w:w="2052" w:type="dxa"/>
                  <w:vMerge/>
                  <w:vAlign w:val="center"/>
                  <w:hideMark/>
                </w:tcPr>
                <w:p w14:paraId="2FE3DAAC" w14:textId="77777777" w:rsidR="00027FBF" w:rsidRPr="00A83C94" w:rsidRDefault="00027FBF" w:rsidP="00027FBF">
                  <w:pPr>
                    <w:spacing w:before="0"/>
                    <w:jc w:val="center"/>
                    <w:rPr>
                      <w:rFonts w:cs="Calibri"/>
                      <w:b w:val="0"/>
                      <w:bCs/>
                      <w:color w:val="000000"/>
                      <w:sz w:val="18"/>
                      <w:szCs w:val="18"/>
                      <w:lang w:val="hy-AM"/>
                    </w:rPr>
                  </w:pPr>
                </w:p>
              </w:tc>
              <w:tc>
                <w:tcPr>
                  <w:tcW w:w="2324" w:type="dxa"/>
                  <w:vMerge/>
                  <w:vAlign w:val="center"/>
                  <w:hideMark/>
                </w:tcPr>
                <w:p w14:paraId="5348D1B9" w14:textId="77777777" w:rsidR="00027FBF" w:rsidRPr="00A83C94" w:rsidRDefault="00027FBF" w:rsidP="00027FBF">
                  <w:pPr>
                    <w:spacing w:before="0"/>
                    <w:jc w:val="center"/>
                    <w:rPr>
                      <w:rFonts w:cs="Calibri"/>
                      <w:b w:val="0"/>
                      <w:bCs/>
                      <w:color w:val="000000"/>
                      <w:sz w:val="18"/>
                      <w:szCs w:val="18"/>
                      <w:lang w:val="hy-AM"/>
                    </w:rPr>
                  </w:pPr>
                </w:p>
              </w:tc>
              <w:tc>
                <w:tcPr>
                  <w:tcW w:w="1527" w:type="dxa"/>
                  <w:shd w:val="clear" w:color="auto" w:fill="9CC2E5"/>
                  <w:vAlign w:val="center"/>
                </w:tcPr>
                <w:p w14:paraId="2BA28CDC" w14:textId="77777777" w:rsidR="00027FBF" w:rsidRPr="00A83C94" w:rsidRDefault="00027FBF" w:rsidP="00027FBF">
                  <w:pPr>
                    <w:spacing w:before="0"/>
                    <w:ind w:firstLine="0"/>
                    <w:jc w:val="center"/>
                    <w:rPr>
                      <w:rFonts w:cs="Calibri"/>
                      <w:i/>
                      <w:iCs/>
                      <w:color w:val="000000"/>
                      <w:sz w:val="18"/>
                      <w:szCs w:val="18"/>
                      <w:lang w:val="hy-AM"/>
                    </w:rPr>
                  </w:pPr>
                  <w:r w:rsidRPr="00A83C94">
                    <w:rPr>
                      <w:rFonts w:cs="Calibri"/>
                      <w:i/>
                      <w:iCs/>
                      <w:color w:val="000000"/>
                      <w:sz w:val="18"/>
                      <w:szCs w:val="18"/>
                      <w:lang w:val="hy-AM"/>
                    </w:rPr>
                    <w:t>փաստ*/կանխ.</w:t>
                  </w:r>
                </w:p>
              </w:tc>
              <w:tc>
                <w:tcPr>
                  <w:tcW w:w="1890" w:type="dxa"/>
                  <w:shd w:val="clear" w:color="auto" w:fill="9CC2E5"/>
                  <w:vAlign w:val="center"/>
                  <w:hideMark/>
                </w:tcPr>
                <w:p w14:paraId="1602A7EB" w14:textId="77777777" w:rsidR="00027FBF" w:rsidRPr="00A83C94" w:rsidRDefault="00027FBF" w:rsidP="00027FBF">
                  <w:pPr>
                    <w:spacing w:before="0"/>
                    <w:ind w:firstLine="0"/>
                    <w:jc w:val="center"/>
                    <w:rPr>
                      <w:rFonts w:cs="Calibri"/>
                      <w:i/>
                      <w:iCs/>
                      <w:color w:val="000000"/>
                      <w:sz w:val="18"/>
                      <w:szCs w:val="18"/>
                      <w:lang w:val="hy-AM"/>
                    </w:rPr>
                  </w:pPr>
                  <w:r w:rsidRPr="00A83C94">
                    <w:rPr>
                      <w:rFonts w:cs="Calibri"/>
                      <w:i/>
                      <w:iCs/>
                      <w:color w:val="000000"/>
                      <w:sz w:val="18"/>
                      <w:szCs w:val="18"/>
                      <w:lang w:val="hy-AM"/>
                    </w:rPr>
                    <w:t>կանխ.</w:t>
                  </w:r>
                </w:p>
              </w:tc>
              <w:tc>
                <w:tcPr>
                  <w:tcW w:w="1449" w:type="dxa"/>
                  <w:shd w:val="clear" w:color="auto" w:fill="9CC2E5"/>
                  <w:vAlign w:val="center"/>
                  <w:hideMark/>
                </w:tcPr>
                <w:p w14:paraId="7EF0AD98" w14:textId="77777777" w:rsidR="00027FBF" w:rsidRPr="00A83C94" w:rsidRDefault="00027FBF" w:rsidP="00027FBF">
                  <w:pPr>
                    <w:spacing w:before="0"/>
                    <w:ind w:firstLine="0"/>
                    <w:jc w:val="center"/>
                    <w:rPr>
                      <w:rFonts w:cs="Calibri"/>
                      <w:i/>
                      <w:iCs/>
                      <w:color w:val="000000"/>
                      <w:sz w:val="18"/>
                      <w:szCs w:val="18"/>
                      <w:lang w:val="hy-AM"/>
                    </w:rPr>
                  </w:pPr>
                  <w:r w:rsidRPr="00A83C94">
                    <w:rPr>
                      <w:rFonts w:cs="Calibri"/>
                      <w:i/>
                      <w:iCs/>
                      <w:color w:val="000000"/>
                      <w:sz w:val="18"/>
                      <w:szCs w:val="18"/>
                      <w:lang w:val="hy-AM"/>
                    </w:rPr>
                    <w:t>կանխ.</w:t>
                  </w:r>
                </w:p>
              </w:tc>
            </w:tr>
            <w:tr w:rsidR="00027FBF" w:rsidRPr="00A83C94" w14:paraId="70DAAA1A" w14:textId="77777777" w:rsidTr="00027FBF">
              <w:trPr>
                <w:trHeight w:val="303"/>
              </w:trPr>
              <w:tc>
                <w:tcPr>
                  <w:tcW w:w="2052" w:type="dxa"/>
                  <w:vMerge w:val="restart"/>
                  <w:shd w:val="clear" w:color="auto" w:fill="auto"/>
                  <w:vAlign w:val="center"/>
                </w:tcPr>
                <w:p w14:paraId="367388AB" w14:textId="77777777" w:rsidR="00027FBF" w:rsidRPr="00A83C94" w:rsidRDefault="00027FBF" w:rsidP="00027FBF">
                  <w:pPr>
                    <w:spacing w:before="0" w:line="276" w:lineRule="auto"/>
                    <w:ind w:firstLine="0"/>
                    <w:rPr>
                      <w:rFonts w:cs="Calibri"/>
                      <w:bCs/>
                      <w:color w:val="000000"/>
                      <w:sz w:val="18"/>
                      <w:szCs w:val="18"/>
                      <w:lang w:val="hy-AM"/>
                    </w:rPr>
                  </w:pPr>
                  <w:r w:rsidRPr="00A83C94">
                    <w:rPr>
                      <w:rFonts w:cs="Calibri"/>
                      <w:bCs/>
                      <w:color w:val="000000"/>
                      <w:sz w:val="18"/>
                      <w:szCs w:val="18"/>
                      <w:lang w:val="hy-AM"/>
                    </w:rPr>
                    <w:t>Անվանական ՀՆԱ, մլրդ դրամ</w:t>
                  </w:r>
                </w:p>
              </w:tc>
              <w:tc>
                <w:tcPr>
                  <w:tcW w:w="2324" w:type="dxa"/>
                  <w:shd w:val="clear" w:color="auto" w:fill="auto"/>
                  <w:vAlign w:val="center"/>
                </w:tcPr>
                <w:p w14:paraId="094EE111"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321CED98"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6,181.7</w:t>
                  </w:r>
                </w:p>
              </w:tc>
              <w:tc>
                <w:tcPr>
                  <w:tcW w:w="1890" w:type="dxa"/>
                  <w:shd w:val="clear" w:color="auto" w:fill="auto"/>
                  <w:noWrap/>
                  <w:vAlign w:val="center"/>
                </w:tcPr>
                <w:p w14:paraId="1AD39E56"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7,031.2</w:t>
                  </w:r>
                </w:p>
              </w:tc>
              <w:tc>
                <w:tcPr>
                  <w:tcW w:w="1449" w:type="dxa"/>
                  <w:shd w:val="clear" w:color="auto" w:fill="auto"/>
                  <w:vAlign w:val="center"/>
                </w:tcPr>
                <w:p w14:paraId="436E12F9"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7,869.4</w:t>
                  </w:r>
                </w:p>
              </w:tc>
            </w:tr>
            <w:tr w:rsidR="00027FBF" w:rsidRPr="00A83C94" w14:paraId="4963FD66" w14:textId="77777777" w:rsidTr="00027FBF">
              <w:trPr>
                <w:trHeight w:val="303"/>
              </w:trPr>
              <w:tc>
                <w:tcPr>
                  <w:tcW w:w="2052" w:type="dxa"/>
                  <w:vMerge/>
                  <w:shd w:val="clear" w:color="auto" w:fill="auto"/>
                  <w:vAlign w:val="center"/>
                  <w:hideMark/>
                </w:tcPr>
                <w:p w14:paraId="0FBCAADF"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53F3F791"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516D4540"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6,181.7</w:t>
                  </w:r>
                </w:p>
              </w:tc>
              <w:tc>
                <w:tcPr>
                  <w:tcW w:w="1890" w:type="dxa"/>
                  <w:shd w:val="clear" w:color="auto" w:fill="auto"/>
                  <w:noWrap/>
                  <w:hideMark/>
                </w:tcPr>
                <w:p w14:paraId="68067E5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 xml:space="preserve">6,880.2 </w:t>
                  </w:r>
                </w:p>
              </w:tc>
              <w:tc>
                <w:tcPr>
                  <w:tcW w:w="1449" w:type="dxa"/>
                  <w:shd w:val="clear" w:color="auto" w:fill="auto"/>
                  <w:hideMark/>
                </w:tcPr>
                <w:p w14:paraId="5C29C47E"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 xml:space="preserve"> 7,570.8 </w:t>
                  </w:r>
                </w:p>
              </w:tc>
            </w:tr>
            <w:tr w:rsidR="00027FBF" w:rsidRPr="00A83C94" w14:paraId="18C01B26" w14:textId="77777777" w:rsidTr="00027FBF">
              <w:trPr>
                <w:trHeight w:val="303"/>
              </w:trPr>
              <w:tc>
                <w:tcPr>
                  <w:tcW w:w="2052" w:type="dxa"/>
                  <w:vMerge/>
                  <w:vAlign w:val="center"/>
                  <w:hideMark/>
                </w:tcPr>
                <w:p w14:paraId="1BFD13EA"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56F1B406"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119436FB"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6,075.9</w:t>
                  </w:r>
                </w:p>
              </w:tc>
              <w:tc>
                <w:tcPr>
                  <w:tcW w:w="1890" w:type="dxa"/>
                  <w:shd w:val="clear" w:color="auto" w:fill="auto"/>
                  <w:noWrap/>
                  <w:vAlign w:val="center"/>
                  <w:hideMark/>
                </w:tcPr>
                <w:p w14:paraId="7E0DE4C4"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6,395.3</w:t>
                  </w:r>
                </w:p>
              </w:tc>
              <w:tc>
                <w:tcPr>
                  <w:tcW w:w="1449" w:type="dxa"/>
                  <w:shd w:val="clear" w:color="auto" w:fill="auto"/>
                  <w:vAlign w:val="center"/>
                  <w:hideMark/>
                </w:tcPr>
                <w:p w14:paraId="760E2C22"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r w:rsidR="00027FBF" w:rsidRPr="00564083" w14:paraId="1496BA9D" w14:textId="77777777" w:rsidTr="00027FBF">
              <w:trPr>
                <w:trHeight w:val="303"/>
              </w:trPr>
              <w:tc>
                <w:tcPr>
                  <w:tcW w:w="2052" w:type="dxa"/>
                  <w:vMerge w:val="restart"/>
                  <w:shd w:val="clear" w:color="auto" w:fill="auto"/>
                  <w:vAlign w:val="center"/>
                </w:tcPr>
                <w:p w14:paraId="1CDE51F4" w14:textId="77777777" w:rsidR="00027FBF" w:rsidRPr="00A83C94" w:rsidRDefault="00027FBF" w:rsidP="00027FBF">
                  <w:pPr>
                    <w:spacing w:before="0" w:line="276" w:lineRule="auto"/>
                    <w:ind w:firstLine="0"/>
                    <w:rPr>
                      <w:rFonts w:cs="Calibri"/>
                      <w:bCs/>
                      <w:color w:val="000000"/>
                      <w:sz w:val="18"/>
                      <w:szCs w:val="18"/>
                      <w:lang w:val="hy-AM"/>
                    </w:rPr>
                  </w:pPr>
                  <w:r w:rsidRPr="00A83C94">
                    <w:rPr>
                      <w:rFonts w:cs="Calibri"/>
                      <w:bCs/>
                      <w:color w:val="000000"/>
                      <w:sz w:val="18"/>
                      <w:szCs w:val="18"/>
                      <w:lang w:val="hy-AM"/>
                    </w:rPr>
                    <w:t>Տնտեսական</w:t>
                  </w:r>
                  <w:r w:rsidRPr="00A83C94">
                    <w:rPr>
                      <w:rFonts w:cs="Calibri"/>
                      <w:bCs/>
                      <w:color w:val="000000"/>
                      <w:sz w:val="18"/>
                      <w:szCs w:val="18"/>
                    </w:rPr>
                    <w:t xml:space="preserve"> (</w:t>
                  </w:r>
                  <w:r w:rsidRPr="00A83C94">
                    <w:rPr>
                      <w:rFonts w:cs="Calibri"/>
                      <w:bCs/>
                      <w:color w:val="000000"/>
                      <w:sz w:val="18"/>
                      <w:szCs w:val="18"/>
                      <w:lang w:val="hy-AM"/>
                    </w:rPr>
                    <w:t>իրական ՀՆԱ-ի</w:t>
                  </w:r>
                  <w:r w:rsidRPr="00A83C94">
                    <w:rPr>
                      <w:rFonts w:cs="Calibri"/>
                      <w:bCs/>
                      <w:color w:val="000000"/>
                      <w:sz w:val="18"/>
                      <w:szCs w:val="18"/>
                    </w:rPr>
                    <w:t>)</w:t>
                  </w:r>
                  <w:r w:rsidRPr="00A83C94">
                    <w:rPr>
                      <w:rFonts w:cs="Calibri"/>
                      <w:bCs/>
                      <w:color w:val="000000"/>
                      <w:sz w:val="18"/>
                      <w:szCs w:val="18"/>
                      <w:lang w:val="hy-AM"/>
                    </w:rPr>
                    <w:t xml:space="preserve"> աճ, </w:t>
                  </w:r>
                  <w:r w:rsidRPr="00A83C94">
                    <w:rPr>
                      <w:rFonts w:cs="Calibri"/>
                      <w:bCs/>
                      <w:color w:val="000000"/>
                      <w:sz w:val="18"/>
                      <w:szCs w:val="18"/>
                    </w:rPr>
                    <w:t>%</w:t>
                  </w:r>
                </w:p>
              </w:tc>
              <w:tc>
                <w:tcPr>
                  <w:tcW w:w="2324" w:type="dxa"/>
                  <w:shd w:val="clear" w:color="auto" w:fill="auto"/>
                  <w:vAlign w:val="center"/>
                </w:tcPr>
                <w:p w14:paraId="17FACC9E"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0B888E1C"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-7.4</w:t>
                  </w:r>
                </w:p>
              </w:tc>
              <w:tc>
                <w:tcPr>
                  <w:tcW w:w="1890" w:type="dxa"/>
                  <w:shd w:val="clear" w:color="auto" w:fill="auto"/>
                  <w:noWrap/>
                  <w:vAlign w:val="center"/>
                </w:tcPr>
                <w:p w14:paraId="10C0914E"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6.5</w:t>
                  </w:r>
                </w:p>
              </w:tc>
              <w:tc>
                <w:tcPr>
                  <w:tcW w:w="1449" w:type="dxa"/>
                  <w:shd w:val="clear" w:color="auto" w:fill="auto"/>
                  <w:vAlign w:val="center"/>
                </w:tcPr>
                <w:p w14:paraId="46931B9A"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7.0</w:t>
                  </w:r>
                </w:p>
              </w:tc>
            </w:tr>
            <w:tr w:rsidR="00027FBF" w:rsidRPr="00564083" w14:paraId="77020364" w14:textId="77777777" w:rsidTr="00027FBF">
              <w:trPr>
                <w:trHeight w:val="303"/>
              </w:trPr>
              <w:tc>
                <w:tcPr>
                  <w:tcW w:w="2052" w:type="dxa"/>
                  <w:vMerge/>
                  <w:shd w:val="clear" w:color="auto" w:fill="auto"/>
                  <w:vAlign w:val="center"/>
                  <w:hideMark/>
                </w:tcPr>
                <w:p w14:paraId="7581E070"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128C2CDD"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26A1DDA6"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-7.4</w:t>
                  </w:r>
                </w:p>
              </w:tc>
              <w:tc>
                <w:tcPr>
                  <w:tcW w:w="1890" w:type="dxa"/>
                  <w:shd w:val="clear" w:color="auto" w:fill="auto"/>
                  <w:noWrap/>
                  <w:hideMark/>
                </w:tcPr>
                <w:p w14:paraId="2AC0E819"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6.0</w:t>
                  </w:r>
                </w:p>
              </w:tc>
              <w:tc>
                <w:tcPr>
                  <w:tcW w:w="1449" w:type="dxa"/>
                  <w:shd w:val="clear" w:color="auto" w:fill="auto"/>
                  <w:hideMark/>
                </w:tcPr>
                <w:p w14:paraId="4594C2CD"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5.2</w:t>
                  </w:r>
                </w:p>
              </w:tc>
            </w:tr>
            <w:tr w:rsidR="00027FBF" w:rsidRPr="00564083" w14:paraId="6A92C10B" w14:textId="77777777" w:rsidTr="00027FBF">
              <w:trPr>
                <w:trHeight w:val="303"/>
              </w:trPr>
              <w:tc>
                <w:tcPr>
                  <w:tcW w:w="2052" w:type="dxa"/>
                  <w:vMerge/>
                  <w:vAlign w:val="center"/>
                  <w:hideMark/>
                </w:tcPr>
                <w:p w14:paraId="23491A20" w14:textId="77777777" w:rsidR="00027FBF" w:rsidRPr="00A83C94" w:rsidRDefault="00027FBF" w:rsidP="00027FBF">
                  <w:pPr>
                    <w:spacing w:before="0" w:line="276" w:lineRule="auto"/>
                    <w:rPr>
                      <w:rFonts w:cs="Calibri"/>
                      <w:bCs/>
                      <w:color w:val="000000"/>
                      <w:sz w:val="18"/>
                      <w:szCs w:val="18"/>
                      <w:lang w:val="hy-AM"/>
                    </w:rPr>
                  </w:pPr>
                </w:p>
              </w:tc>
              <w:tc>
                <w:tcPr>
                  <w:tcW w:w="2324" w:type="dxa"/>
                  <w:shd w:val="clear" w:color="auto" w:fill="auto"/>
                  <w:vAlign w:val="center"/>
                  <w:hideMark/>
                </w:tcPr>
                <w:p w14:paraId="467C0EC6"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204F90E8"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-7.9</w:t>
                  </w:r>
                </w:p>
              </w:tc>
              <w:tc>
                <w:tcPr>
                  <w:tcW w:w="1890" w:type="dxa"/>
                  <w:shd w:val="clear" w:color="auto" w:fill="auto"/>
                  <w:noWrap/>
                  <w:vAlign w:val="center"/>
                  <w:hideMark/>
                </w:tcPr>
                <w:p w14:paraId="2776D8FE"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3.2</w:t>
                  </w:r>
                </w:p>
              </w:tc>
              <w:tc>
                <w:tcPr>
                  <w:tcW w:w="1449" w:type="dxa"/>
                  <w:shd w:val="clear" w:color="auto" w:fill="auto"/>
                  <w:vAlign w:val="center"/>
                  <w:hideMark/>
                </w:tcPr>
                <w:p w14:paraId="156F5168"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r w:rsidR="00027FBF" w:rsidRPr="00564083" w14:paraId="4C328B15" w14:textId="77777777" w:rsidTr="00027FBF">
              <w:trPr>
                <w:trHeight w:val="303"/>
              </w:trPr>
              <w:tc>
                <w:tcPr>
                  <w:tcW w:w="2052" w:type="dxa"/>
                  <w:vMerge w:val="restart"/>
                  <w:shd w:val="clear" w:color="auto" w:fill="auto"/>
                  <w:vAlign w:val="center"/>
                </w:tcPr>
                <w:p w14:paraId="1B04C107" w14:textId="77777777" w:rsidR="00027FBF" w:rsidRPr="00A83C94" w:rsidRDefault="00027FBF" w:rsidP="00027FBF">
                  <w:pPr>
                    <w:spacing w:before="0" w:line="276" w:lineRule="auto"/>
                    <w:ind w:firstLine="0"/>
                    <w:jc w:val="left"/>
                    <w:rPr>
                      <w:rFonts w:cs="Calibri"/>
                      <w:bCs/>
                      <w:color w:val="000000"/>
                      <w:sz w:val="18"/>
                      <w:szCs w:val="18"/>
                      <w:lang w:val="hy-AM"/>
                    </w:rPr>
                  </w:pPr>
                  <w:r w:rsidRPr="00A83C94">
                    <w:rPr>
                      <w:rFonts w:cs="Calibri"/>
                      <w:bCs/>
                      <w:color w:val="000000"/>
                      <w:sz w:val="18"/>
                      <w:szCs w:val="18"/>
                      <w:lang w:val="hy-AM"/>
                    </w:rPr>
                    <w:t>ՀՆԱ-ի դեֆլյատորի աճ, %</w:t>
                  </w:r>
                </w:p>
              </w:tc>
              <w:tc>
                <w:tcPr>
                  <w:tcW w:w="2324" w:type="dxa"/>
                  <w:shd w:val="clear" w:color="auto" w:fill="auto"/>
                  <w:vAlign w:val="center"/>
                </w:tcPr>
                <w:p w14:paraId="206DF0F4"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 Պետական բյուջե</w:t>
                  </w:r>
                </w:p>
              </w:tc>
              <w:tc>
                <w:tcPr>
                  <w:tcW w:w="1527" w:type="dxa"/>
                  <w:vAlign w:val="center"/>
                </w:tcPr>
                <w:p w14:paraId="34C1781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890" w:type="dxa"/>
                  <w:shd w:val="clear" w:color="auto" w:fill="auto"/>
                  <w:noWrap/>
                  <w:vAlign w:val="center"/>
                </w:tcPr>
                <w:p w14:paraId="7D28CDB6"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6.8</w:t>
                  </w:r>
                </w:p>
              </w:tc>
              <w:tc>
                <w:tcPr>
                  <w:tcW w:w="1449" w:type="dxa"/>
                  <w:shd w:val="clear" w:color="auto" w:fill="auto"/>
                  <w:vAlign w:val="center"/>
                </w:tcPr>
                <w:p w14:paraId="2168CAA3"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4.6</w:t>
                  </w:r>
                </w:p>
              </w:tc>
            </w:tr>
            <w:tr w:rsidR="00027FBF" w:rsidRPr="00564083" w14:paraId="71FAACD4" w14:textId="77777777" w:rsidTr="00027FBF">
              <w:trPr>
                <w:trHeight w:val="303"/>
              </w:trPr>
              <w:tc>
                <w:tcPr>
                  <w:tcW w:w="2052" w:type="dxa"/>
                  <w:vMerge/>
                  <w:shd w:val="clear" w:color="auto" w:fill="auto"/>
                  <w:vAlign w:val="center"/>
                  <w:hideMark/>
                </w:tcPr>
                <w:p w14:paraId="4A0E837D" w14:textId="77777777" w:rsidR="00027FBF" w:rsidRPr="00A83C94" w:rsidRDefault="00027FBF" w:rsidP="00027FBF">
                  <w:pPr>
                    <w:spacing w:before="0" w:line="276" w:lineRule="auto"/>
                    <w:rPr>
                      <w:rFonts w:cs="Calibri"/>
                      <w:b w:val="0"/>
                      <w:bCs/>
                      <w:color w:val="000000"/>
                      <w:sz w:val="18"/>
                      <w:szCs w:val="18"/>
                      <w:lang w:val="hy-AM"/>
                    </w:rPr>
                  </w:pPr>
                </w:p>
              </w:tc>
              <w:tc>
                <w:tcPr>
                  <w:tcW w:w="2324" w:type="dxa"/>
                  <w:shd w:val="clear" w:color="auto" w:fill="auto"/>
                  <w:vAlign w:val="center"/>
                  <w:hideMark/>
                </w:tcPr>
                <w:p w14:paraId="29D72A9A"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2022-2024 ՄԺԾԾ</w:t>
                  </w:r>
                </w:p>
              </w:tc>
              <w:tc>
                <w:tcPr>
                  <w:tcW w:w="1527" w:type="dxa"/>
                </w:tcPr>
                <w:p w14:paraId="3E8A27C4"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890" w:type="dxa"/>
                  <w:shd w:val="clear" w:color="auto" w:fill="auto"/>
                  <w:noWrap/>
                  <w:hideMark/>
                </w:tcPr>
                <w:p w14:paraId="5524718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5.0</w:t>
                  </w:r>
                </w:p>
              </w:tc>
              <w:tc>
                <w:tcPr>
                  <w:tcW w:w="1449" w:type="dxa"/>
                  <w:shd w:val="clear" w:color="auto" w:fill="auto"/>
                  <w:hideMark/>
                </w:tcPr>
                <w:p w14:paraId="72243463"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4.6</w:t>
                  </w:r>
                </w:p>
              </w:tc>
            </w:tr>
            <w:tr w:rsidR="00027FBF" w:rsidRPr="00564083" w14:paraId="3B82A53A" w14:textId="77777777" w:rsidTr="00027FBF">
              <w:trPr>
                <w:trHeight w:val="303"/>
              </w:trPr>
              <w:tc>
                <w:tcPr>
                  <w:tcW w:w="2052" w:type="dxa"/>
                  <w:vMerge/>
                  <w:vAlign w:val="center"/>
                  <w:hideMark/>
                </w:tcPr>
                <w:p w14:paraId="38C52C63" w14:textId="77777777" w:rsidR="00027FBF" w:rsidRPr="00A83C94" w:rsidRDefault="00027FBF" w:rsidP="00027FBF">
                  <w:pPr>
                    <w:spacing w:before="0" w:line="276" w:lineRule="auto"/>
                    <w:rPr>
                      <w:rFonts w:cs="Calibri"/>
                      <w:b w:val="0"/>
                      <w:bCs/>
                      <w:color w:val="000000"/>
                      <w:sz w:val="18"/>
                      <w:szCs w:val="18"/>
                      <w:lang w:val="hy-AM"/>
                    </w:rPr>
                  </w:pPr>
                </w:p>
              </w:tc>
              <w:tc>
                <w:tcPr>
                  <w:tcW w:w="2324" w:type="dxa"/>
                  <w:shd w:val="clear" w:color="auto" w:fill="auto"/>
                  <w:vAlign w:val="center"/>
                  <w:hideMark/>
                </w:tcPr>
                <w:p w14:paraId="7F44B70A" w14:textId="77777777" w:rsidR="00027FBF" w:rsidRPr="00A83C94" w:rsidRDefault="00027FBF" w:rsidP="00027FBF">
                  <w:pPr>
                    <w:spacing w:before="0" w:line="276" w:lineRule="auto"/>
                    <w:ind w:firstLine="0"/>
                    <w:rPr>
                      <w:rFonts w:cs="Calibri"/>
                      <w:b w:val="0"/>
                      <w:i/>
                      <w:iCs/>
                      <w:color w:val="000000"/>
                      <w:sz w:val="18"/>
                      <w:szCs w:val="18"/>
                      <w:lang w:val="hy-AM"/>
                    </w:rPr>
                  </w:pPr>
                  <w:r w:rsidRPr="00A83C94">
                    <w:rPr>
                      <w:rFonts w:cs="Calibri"/>
                      <w:b w:val="0"/>
                      <w:i/>
                      <w:iCs/>
                      <w:color w:val="000000"/>
                      <w:sz w:val="18"/>
                      <w:szCs w:val="18"/>
                      <w:lang w:val="hy-AM"/>
                    </w:rPr>
                    <w:t>2021 Պետական բյուջե</w:t>
                  </w:r>
                </w:p>
              </w:tc>
              <w:tc>
                <w:tcPr>
                  <w:tcW w:w="1527" w:type="dxa"/>
                  <w:vAlign w:val="center"/>
                </w:tcPr>
                <w:p w14:paraId="0A2EFC1D"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0.4</w:t>
                  </w:r>
                </w:p>
              </w:tc>
              <w:tc>
                <w:tcPr>
                  <w:tcW w:w="1890" w:type="dxa"/>
                  <w:shd w:val="clear" w:color="auto" w:fill="auto"/>
                  <w:noWrap/>
                  <w:vAlign w:val="center"/>
                  <w:hideMark/>
                </w:tcPr>
                <w:p w14:paraId="478A9337"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b w:val="0"/>
                      <w:sz w:val="18"/>
                      <w:szCs w:val="18"/>
                      <w:lang w:val="hy-AM"/>
                    </w:rPr>
                    <w:t>2.0</w:t>
                  </w:r>
                </w:p>
              </w:tc>
              <w:tc>
                <w:tcPr>
                  <w:tcW w:w="1449" w:type="dxa"/>
                  <w:shd w:val="clear" w:color="auto" w:fill="auto"/>
                  <w:vAlign w:val="center"/>
                  <w:hideMark/>
                </w:tcPr>
                <w:p w14:paraId="2A3E850A" w14:textId="77777777" w:rsidR="00027FBF" w:rsidRPr="00A83C94" w:rsidRDefault="00027FBF" w:rsidP="00027FBF">
                  <w:pPr>
                    <w:spacing w:before="0" w:line="276" w:lineRule="auto"/>
                    <w:ind w:firstLine="0"/>
                    <w:jc w:val="center"/>
                    <w:rPr>
                      <w:rFonts w:cs="Calibri"/>
                      <w:b w:val="0"/>
                      <w:color w:val="000000"/>
                      <w:sz w:val="18"/>
                      <w:szCs w:val="18"/>
                      <w:lang w:val="hy-AM"/>
                    </w:rPr>
                  </w:pPr>
                  <w:r w:rsidRPr="00A83C94">
                    <w:rPr>
                      <w:rFonts w:cs="Calibri"/>
                      <w:b w:val="0"/>
                      <w:color w:val="000000"/>
                      <w:sz w:val="18"/>
                      <w:szCs w:val="18"/>
                      <w:lang w:val="hy-AM"/>
                    </w:rPr>
                    <w:t>-</w:t>
                  </w:r>
                </w:p>
              </w:tc>
            </w:tr>
          </w:tbl>
          <w:p w14:paraId="1E097EAF" w14:textId="77777777" w:rsidR="00027FBF" w:rsidRPr="00A83C94" w:rsidRDefault="00027FBF" w:rsidP="00027FBF">
            <w:pPr>
              <w:spacing w:line="276" w:lineRule="auto"/>
              <w:ind w:right="111"/>
              <w:rPr>
                <w:rFonts w:eastAsia="Calibri"/>
                <w:b w:val="0"/>
                <w:sz w:val="18"/>
                <w:szCs w:val="18"/>
                <w:lang w:val="hy-AM"/>
              </w:rPr>
            </w:pPr>
            <w:r w:rsidRPr="00A83C94">
              <w:rPr>
                <w:rFonts w:eastAsia="Calibri"/>
                <w:b w:val="0"/>
                <w:sz w:val="18"/>
                <w:szCs w:val="18"/>
                <w:lang w:val="hy-AM"/>
              </w:rPr>
              <w:t xml:space="preserve">* </w:t>
            </w:r>
            <w:r w:rsidRPr="00A83C94">
              <w:rPr>
                <w:rFonts w:cs="Calibri"/>
                <w:b w:val="0"/>
                <w:i/>
                <w:iCs/>
                <w:color w:val="000000"/>
                <w:sz w:val="18"/>
                <w:szCs w:val="18"/>
                <w:lang w:val="hy-AM"/>
              </w:rPr>
              <w:t xml:space="preserve">2022-2024 ՄԺԾԾ և 2022 պետական բյուջեի համար 2020թ. ցուցանիշները փաստացի են </w:t>
            </w:r>
          </w:p>
          <w:p w14:paraId="6D4DC687" w14:textId="77777777" w:rsidR="00027FBF" w:rsidRPr="00A83C94" w:rsidRDefault="00027FBF" w:rsidP="00027FBF">
            <w:pPr>
              <w:tabs>
                <w:tab w:val="left" w:pos="541"/>
                <w:tab w:val="num" w:pos="720"/>
              </w:tabs>
              <w:spacing w:before="0" w:after="0" w:line="276" w:lineRule="auto"/>
              <w:ind w:firstLine="0"/>
              <w:rPr>
                <w:rFonts w:eastAsia="Calibri"/>
                <w:b w:val="0"/>
                <w:i/>
                <w:sz w:val="16"/>
                <w:szCs w:val="16"/>
                <w:lang w:val="hy-AM"/>
              </w:rPr>
            </w:pPr>
            <w:r w:rsidRPr="00A83C94">
              <w:rPr>
                <w:rFonts w:eastAsia="Calibri"/>
                <w:b w:val="0"/>
                <w:i/>
                <w:sz w:val="16"/>
                <w:szCs w:val="16"/>
                <w:lang w:val="hy-AM"/>
              </w:rPr>
              <w:t xml:space="preserve">           Աղբյուրը ՝ ՀՀ ՖՆ կանխատեսումներ</w:t>
            </w:r>
          </w:p>
          <w:p w14:paraId="5BC629C5" w14:textId="77777777" w:rsidR="00027FBF" w:rsidRPr="00A83C94" w:rsidRDefault="00027FBF" w:rsidP="00027FBF">
            <w:pPr>
              <w:spacing w:before="0" w:after="0"/>
              <w:rPr>
                <w:rFonts w:eastAsia="Calibri"/>
                <w:b w:val="0"/>
                <w:sz w:val="18"/>
                <w:szCs w:val="18"/>
                <w:lang w:val="hy-AM"/>
              </w:rPr>
            </w:pPr>
          </w:p>
          <w:p w14:paraId="5C3D46CD" w14:textId="77777777" w:rsidR="00027FBF" w:rsidRPr="00A83C94" w:rsidRDefault="00027FBF" w:rsidP="00027FBF">
            <w:pPr>
              <w:keepNext/>
              <w:keepLines/>
              <w:spacing w:before="0" w:after="0" w:line="276" w:lineRule="auto"/>
              <w:ind w:left="541" w:firstLine="26"/>
              <w:rPr>
                <w:rFonts w:eastAsia="Calibri" w:cs="Sylfaen"/>
                <w:bCs/>
                <w:i/>
                <w:iCs/>
                <w:color w:val="000000"/>
                <w:sz w:val="20"/>
                <w:szCs w:val="20"/>
                <w:lang w:val="hy-AM"/>
              </w:rPr>
            </w:pPr>
            <w:r w:rsidRPr="00A83C94">
              <w:rPr>
                <w:rFonts w:eastAsia="Calibri" w:cs="Sylfaen"/>
                <w:bCs/>
                <w:i/>
                <w:iCs/>
                <w:color w:val="000000"/>
                <w:lang w:val="hy-AM"/>
              </w:rPr>
              <w:t>Աղյուսակ</w:t>
            </w:r>
            <w:r w:rsidRPr="00A83C94">
              <w:rPr>
                <w:rFonts w:eastAsia="Calibri"/>
                <w:bCs/>
                <w:i/>
                <w:iCs/>
                <w:color w:val="000000"/>
                <w:lang w:val="hy-AM"/>
              </w:rPr>
              <w:t xml:space="preserve"> 1.6.</w:t>
            </w:r>
            <w:r w:rsidRPr="00A83C94">
              <w:rPr>
                <w:rFonts w:eastAsia="Calibri"/>
                <w:bCs/>
                <w:i/>
                <w:iCs/>
                <w:color w:val="000000"/>
                <w:sz w:val="20"/>
                <w:szCs w:val="20"/>
                <w:lang w:val="hy-AM"/>
              </w:rPr>
              <w:t xml:space="preserve"> </w:t>
            </w:r>
            <w:r w:rsidRPr="00A83C94">
              <w:rPr>
                <w:rFonts w:eastAsia="Calibri" w:cs="Sylfaen"/>
                <w:bCs/>
                <w:i/>
                <w:iCs/>
                <w:color w:val="000000"/>
                <w:sz w:val="20"/>
                <w:szCs w:val="20"/>
                <w:lang w:val="hy-AM"/>
              </w:rPr>
              <w:t xml:space="preserve">Ընթացիկ հաշվի կանխատեսումները 2022-2024թթ. ՄԺԾԾ-ով, 2021թ. և 2022թ. </w:t>
            </w:r>
          </w:p>
          <w:p w14:paraId="35D21751" w14:textId="77777777" w:rsidR="00027FBF" w:rsidRPr="00A83C94" w:rsidRDefault="00027FBF" w:rsidP="00027FBF">
            <w:pPr>
              <w:keepNext/>
              <w:keepLines/>
              <w:spacing w:before="0" w:after="0" w:line="276" w:lineRule="auto"/>
              <w:ind w:left="541" w:firstLine="26"/>
              <w:rPr>
                <w:rFonts w:eastAsia="Calibri" w:cs="Sylfaen"/>
                <w:bCs/>
                <w:i/>
                <w:iCs/>
                <w:color w:val="000000"/>
                <w:sz w:val="20"/>
                <w:szCs w:val="20"/>
                <w:lang w:val="hy-AM"/>
              </w:rPr>
            </w:pPr>
            <w:r w:rsidRPr="00A83C94">
              <w:rPr>
                <w:rFonts w:eastAsia="Calibri" w:cs="Sylfaen"/>
                <w:bCs/>
                <w:i/>
                <w:iCs/>
                <w:color w:val="000000"/>
                <w:sz w:val="20"/>
                <w:szCs w:val="20"/>
                <w:lang w:val="hy-AM"/>
              </w:rPr>
              <w:t>պետական բյուջեներով</w:t>
            </w:r>
          </w:p>
          <w:tbl>
            <w:tblPr>
              <w:tblW w:w="9360" w:type="dxa"/>
              <w:tblInd w:w="39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ook w:val="04A0" w:firstRow="1" w:lastRow="0" w:firstColumn="1" w:lastColumn="0" w:noHBand="0" w:noVBand="1"/>
            </w:tblPr>
            <w:tblGrid>
              <w:gridCol w:w="2279"/>
              <w:gridCol w:w="2374"/>
              <w:gridCol w:w="1527"/>
              <w:gridCol w:w="1685"/>
              <w:gridCol w:w="1495"/>
            </w:tblGrid>
            <w:tr w:rsidR="00027FBF" w:rsidRPr="00A83C94" w14:paraId="11087F7B" w14:textId="77777777" w:rsidTr="00027FBF">
              <w:trPr>
                <w:trHeight w:val="384"/>
              </w:trPr>
              <w:tc>
                <w:tcPr>
                  <w:tcW w:w="2279" w:type="dxa"/>
                  <w:vMerge w:val="restart"/>
                  <w:shd w:val="clear" w:color="auto" w:fill="9CC2E5"/>
                  <w:noWrap/>
                  <w:vAlign w:val="center"/>
                  <w:hideMark/>
                </w:tcPr>
                <w:p w14:paraId="57D54708" w14:textId="77777777" w:rsidR="00027FBF" w:rsidRPr="00A83C94" w:rsidRDefault="00027FBF" w:rsidP="00027FBF">
                  <w:pPr>
                    <w:spacing w:before="0"/>
                    <w:jc w:val="center"/>
                    <w:rPr>
                      <w:rFonts w:cs="Calibri"/>
                      <w:b w:val="0"/>
                      <w:bCs/>
                      <w:color w:val="000000"/>
                      <w:sz w:val="18"/>
                      <w:szCs w:val="18"/>
                      <w:lang w:val="hy-AM"/>
                    </w:rPr>
                  </w:pPr>
                  <w:r w:rsidRPr="00A83C94">
                    <w:rPr>
                      <w:rFonts w:cs="Calibri"/>
                      <w:bCs/>
                      <w:color w:val="000000"/>
                      <w:sz w:val="18"/>
                      <w:szCs w:val="18"/>
                      <w:lang w:val="hy-AM"/>
                    </w:rPr>
                    <w:t>Ցուցանիշներ</w:t>
                  </w:r>
                </w:p>
              </w:tc>
              <w:tc>
                <w:tcPr>
                  <w:tcW w:w="2374" w:type="dxa"/>
                  <w:vMerge w:val="restart"/>
                  <w:shd w:val="clear" w:color="auto" w:fill="9CC2E5"/>
                  <w:vAlign w:val="center"/>
                  <w:hideMark/>
                </w:tcPr>
                <w:p w14:paraId="2C12D81F" w14:textId="77777777" w:rsidR="00027FBF" w:rsidRPr="00A83C94" w:rsidRDefault="00027FBF" w:rsidP="00027FBF">
                  <w:pPr>
                    <w:spacing w:before="0"/>
                    <w:ind w:firstLine="0"/>
                    <w:rPr>
                      <w:rFonts w:cs="Calibri"/>
                      <w:b w:val="0"/>
                      <w:bCs/>
                      <w:color w:val="000000"/>
                      <w:sz w:val="18"/>
                      <w:szCs w:val="18"/>
                      <w:lang w:val="hy-AM"/>
                    </w:rPr>
                  </w:pPr>
                  <w:r w:rsidRPr="00A83C94">
                    <w:rPr>
                      <w:rFonts w:cs="Calibri"/>
                      <w:bCs/>
                      <w:color w:val="000000"/>
                      <w:sz w:val="18"/>
                      <w:szCs w:val="18"/>
                      <w:lang w:val="hy-AM"/>
                    </w:rPr>
                    <w:t>Ծրագիր</w:t>
                  </w:r>
                </w:p>
              </w:tc>
              <w:tc>
                <w:tcPr>
                  <w:tcW w:w="1527" w:type="dxa"/>
                  <w:shd w:val="clear" w:color="auto" w:fill="9CC2E5"/>
                  <w:vAlign w:val="center"/>
                </w:tcPr>
                <w:p w14:paraId="69F9EB69"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2020</w:t>
                  </w:r>
                </w:p>
              </w:tc>
              <w:tc>
                <w:tcPr>
                  <w:tcW w:w="1685" w:type="dxa"/>
                  <w:shd w:val="clear" w:color="auto" w:fill="9CC2E5"/>
                  <w:vAlign w:val="center"/>
                  <w:hideMark/>
                </w:tcPr>
                <w:p w14:paraId="33C9064B"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2021</w:t>
                  </w:r>
                </w:p>
              </w:tc>
              <w:tc>
                <w:tcPr>
                  <w:tcW w:w="1495" w:type="dxa"/>
                  <w:shd w:val="clear" w:color="auto" w:fill="9CC2E5"/>
                  <w:vAlign w:val="center"/>
                  <w:hideMark/>
                </w:tcPr>
                <w:p w14:paraId="42033B58" w14:textId="77777777" w:rsidR="00027FBF" w:rsidRPr="00A83C94" w:rsidRDefault="00027FBF" w:rsidP="00027FBF">
                  <w:pPr>
                    <w:spacing w:before="0"/>
                    <w:ind w:firstLine="0"/>
                    <w:jc w:val="center"/>
                    <w:rPr>
                      <w:rFonts w:cs="Calibri"/>
                      <w:b w:val="0"/>
                      <w:bCs/>
                      <w:color w:val="000000"/>
                      <w:sz w:val="18"/>
                      <w:szCs w:val="18"/>
                      <w:lang w:val="hy-AM"/>
                    </w:rPr>
                  </w:pPr>
                  <w:r w:rsidRPr="00A83C94">
                    <w:rPr>
                      <w:rFonts w:cs="Calibri"/>
                      <w:bCs/>
                      <w:color w:val="000000"/>
                      <w:sz w:val="18"/>
                      <w:szCs w:val="18"/>
                      <w:lang w:val="hy-AM"/>
                    </w:rPr>
                    <w:t>2022</w:t>
                  </w:r>
                </w:p>
              </w:tc>
            </w:tr>
            <w:tr w:rsidR="00027FBF" w:rsidRPr="00A83C94" w14:paraId="27D73C19" w14:textId="77777777" w:rsidTr="00027FBF">
              <w:trPr>
                <w:trHeight w:val="384"/>
              </w:trPr>
              <w:tc>
                <w:tcPr>
                  <w:tcW w:w="2279" w:type="dxa"/>
                  <w:vMerge/>
                  <w:shd w:val="clear" w:color="auto" w:fill="9CC2E5"/>
                  <w:vAlign w:val="center"/>
                  <w:hideMark/>
                </w:tcPr>
                <w:p w14:paraId="0E0F435D" w14:textId="77777777" w:rsidR="00027FBF" w:rsidRPr="00A83C94" w:rsidRDefault="00027FBF" w:rsidP="00027FBF">
                  <w:pPr>
                    <w:spacing w:before="0"/>
                    <w:rPr>
                      <w:rFonts w:cs="Calibri"/>
                      <w:b w:val="0"/>
                      <w:bCs/>
                      <w:color w:val="000000"/>
                      <w:sz w:val="18"/>
                      <w:szCs w:val="18"/>
                      <w:lang w:val="hy-AM"/>
                    </w:rPr>
                  </w:pPr>
                </w:p>
              </w:tc>
              <w:tc>
                <w:tcPr>
                  <w:tcW w:w="2374" w:type="dxa"/>
                  <w:vMerge/>
                  <w:shd w:val="clear" w:color="auto" w:fill="9CC2E5"/>
                  <w:vAlign w:val="center"/>
                  <w:hideMark/>
                </w:tcPr>
                <w:p w14:paraId="7A980AAB" w14:textId="77777777" w:rsidR="00027FBF" w:rsidRPr="00A83C94" w:rsidRDefault="00027FBF" w:rsidP="00027FBF">
                  <w:pPr>
                    <w:spacing w:before="0"/>
                    <w:rPr>
                      <w:rFonts w:cs="Calibri"/>
                      <w:b w:val="0"/>
                      <w:bCs/>
                      <w:color w:val="000000"/>
                      <w:sz w:val="18"/>
                      <w:szCs w:val="18"/>
                      <w:lang w:val="hy-AM"/>
                    </w:rPr>
                  </w:pPr>
                </w:p>
              </w:tc>
              <w:tc>
                <w:tcPr>
                  <w:tcW w:w="1527" w:type="dxa"/>
                  <w:shd w:val="clear" w:color="auto" w:fill="9CC2E5"/>
                  <w:vAlign w:val="center"/>
                </w:tcPr>
                <w:p w14:paraId="35DE31B1" w14:textId="77777777" w:rsidR="00027FBF" w:rsidRPr="00A83C94" w:rsidRDefault="00027FBF" w:rsidP="00027FBF">
                  <w:pPr>
                    <w:spacing w:before="0"/>
                    <w:ind w:firstLine="0"/>
                    <w:rPr>
                      <w:rFonts w:cs="Calibri"/>
                      <w:i/>
                      <w:iCs/>
                      <w:color w:val="000000"/>
                      <w:sz w:val="18"/>
                      <w:szCs w:val="18"/>
                      <w:lang w:val="hy-AM"/>
                    </w:rPr>
                  </w:pPr>
                  <w:r w:rsidRPr="00A83C94">
                    <w:rPr>
                      <w:rFonts w:cs="Calibri"/>
                      <w:i/>
                      <w:iCs/>
                      <w:color w:val="000000"/>
                      <w:sz w:val="18"/>
                      <w:szCs w:val="18"/>
                      <w:lang w:val="hy-AM"/>
                    </w:rPr>
                    <w:t>փաստ*/կանխ.</w:t>
                  </w:r>
                </w:p>
              </w:tc>
              <w:tc>
                <w:tcPr>
                  <w:tcW w:w="1685" w:type="dxa"/>
                  <w:shd w:val="clear" w:color="auto" w:fill="9CC2E5"/>
                  <w:vAlign w:val="center"/>
                  <w:hideMark/>
                </w:tcPr>
                <w:p w14:paraId="2825189C" w14:textId="77777777" w:rsidR="00027FBF" w:rsidRPr="00A83C94" w:rsidRDefault="00027FBF" w:rsidP="00027FBF">
                  <w:pPr>
                    <w:spacing w:before="0"/>
                    <w:ind w:firstLine="0"/>
                    <w:rPr>
                      <w:rFonts w:cs="Calibri"/>
                      <w:i/>
                      <w:iCs/>
                      <w:color w:val="000000"/>
                      <w:sz w:val="18"/>
                      <w:szCs w:val="18"/>
                      <w:lang w:val="hy-AM"/>
                    </w:rPr>
                  </w:pPr>
                  <w:r w:rsidRPr="00A83C94">
                    <w:rPr>
                      <w:rFonts w:cs="Calibri"/>
                      <w:i/>
                      <w:iCs/>
                      <w:color w:val="000000"/>
                      <w:sz w:val="18"/>
                      <w:szCs w:val="18"/>
                      <w:lang w:val="hy-AM"/>
                    </w:rPr>
                    <w:t>կանխ.</w:t>
                  </w:r>
                </w:p>
              </w:tc>
              <w:tc>
                <w:tcPr>
                  <w:tcW w:w="1495" w:type="dxa"/>
                  <w:shd w:val="clear" w:color="auto" w:fill="9CC2E5"/>
                  <w:vAlign w:val="center"/>
                  <w:hideMark/>
                </w:tcPr>
                <w:p w14:paraId="322DF330" w14:textId="77777777" w:rsidR="00027FBF" w:rsidRPr="00A83C94" w:rsidRDefault="00027FBF" w:rsidP="00027FBF">
                  <w:pPr>
                    <w:spacing w:before="0"/>
                    <w:ind w:firstLine="0"/>
                    <w:rPr>
                      <w:rFonts w:cs="Calibri"/>
                      <w:i/>
                      <w:iCs/>
                      <w:color w:val="000000"/>
                      <w:sz w:val="18"/>
                      <w:szCs w:val="18"/>
                      <w:lang w:val="hy-AM"/>
                    </w:rPr>
                  </w:pPr>
                  <w:r w:rsidRPr="00A83C94">
                    <w:rPr>
                      <w:rFonts w:cs="Calibri"/>
                      <w:i/>
                      <w:iCs/>
                      <w:color w:val="000000"/>
                      <w:sz w:val="18"/>
                      <w:szCs w:val="18"/>
                      <w:lang w:val="hy-AM"/>
                    </w:rPr>
                    <w:t>կանխ.</w:t>
                  </w:r>
                </w:p>
              </w:tc>
            </w:tr>
            <w:tr w:rsidR="00027FBF" w:rsidRPr="00A83C94" w14:paraId="05989377" w14:textId="77777777" w:rsidTr="00027FBF">
              <w:trPr>
                <w:trHeight w:val="384"/>
              </w:trPr>
              <w:tc>
                <w:tcPr>
                  <w:tcW w:w="2279" w:type="dxa"/>
                  <w:vMerge w:val="restart"/>
                  <w:shd w:val="clear" w:color="auto" w:fill="auto"/>
                  <w:vAlign w:val="center"/>
                  <w:hideMark/>
                </w:tcPr>
                <w:p w14:paraId="072965C0" w14:textId="77777777" w:rsidR="00027FBF" w:rsidRPr="00A83C94" w:rsidRDefault="00027FBF" w:rsidP="00027FBF">
                  <w:pPr>
                    <w:spacing w:before="0"/>
                    <w:ind w:firstLine="0"/>
                    <w:rPr>
                      <w:rFonts w:cs="Calibri"/>
                      <w:b w:val="0"/>
                      <w:bCs/>
                      <w:color w:val="000000"/>
                      <w:sz w:val="18"/>
                      <w:szCs w:val="18"/>
                      <w:lang w:val="hy-AM"/>
                    </w:rPr>
                  </w:pPr>
                  <w:r w:rsidRPr="00A83C94">
                    <w:rPr>
                      <w:rFonts w:cs="Calibri"/>
                      <w:bCs/>
                      <w:color w:val="000000"/>
                      <w:sz w:val="18"/>
                      <w:szCs w:val="18"/>
                      <w:lang w:val="hy-AM"/>
                    </w:rPr>
                    <w:t>Ընթացիկ հաշիվ, մլն ԱՄՆ դոլար</w:t>
                  </w:r>
                </w:p>
              </w:tc>
              <w:tc>
                <w:tcPr>
                  <w:tcW w:w="2374" w:type="dxa"/>
                  <w:shd w:val="clear" w:color="auto" w:fill="auto"/>
                  <w:vAlign w:val="center"/>
                </w:tcPr>
                <w:p w14:paraId="5A3121FB"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 xml:space="preserve">2022 </w:t>
                  </w:r>
                  <w:r w:rsidRPr="00A83C94">
                    <w:rPr>
                      <w:rFonts w:cs="Calibri"/>
                      <w:b w:val="0"/>
                      <w:i/>
                      <w:iCs/>
                      <w:color w:val="000000"/>
                      <w:sz w:val="18"/>
                      <w:szCs w:val="18"/>
                      <w:lang w:val="hy-AM"/>
                    </w:rPr>
                    <w:t>Պետական բյուջե</w:t>
                  </w:r>
                </w:p>
              </w:tc>
              <w:tc>
                <w:tcPr>
                  <w:tcW w:w="1527" w:type="dxa"/>
                  <w:vAlign w:val="center"/>
                </w:tcPr>
                <w:p w14:paraId="29F192F8"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-478.7</w:t>
                  </w:r>
                </w:p>
              </w:tc>
              <w:tc>
                <w:tcPr>
                  <w:tcW w:w="1685" w:type="dxa"/>
                  <w:shd w:val="clear" w:color="auto" w:fill="auto"/>
                  <w:noWrap/>
                  <w:vAlign w:val="center"/>
                </w:tcPr>
                <w:p w14:paraId="33A00671" w14:textId="77777777" w:rsidR="00027FBF" w:rsidRPr="00A83C94" w:rsidRDefault="00027FBF" w:rsidP="00027FBF">
                  <w:pPr>
                    <w:spacing w:before="0"/>
                    <w:ind w:firstLine="0"/>
                    <w:jc w:val="center"/>
                    <w:rPr>
                      <w:rFonts w:cs="Calibri"/>
                      <w:b w:val="0"/>
                      <w:color w:val="000000"/>
                      <w:sz w:val="18"/>
                      <w:szCs w:val="18"/>
                      <w:lang w:val="hy-AM"/>
                    </w:rPr>
                  </w:pPr>
                  <w:r w:rsidRPr="00A83C94">
                    <w:rPr>
                      <w:rFonts w:cs="Calibri"/>
                      <w:b w:val="0"/>
                      <w:color w:val="000000"/>
                      <w:sz w:val="18"/>
                      <w:szCs w:val="18"/>
                      <w:lang w:val="hy-AM"/>
                    </w:rPr>
                    <w:t>-241.8</w:t>
                  </w:r>
                </w:p>
              </w:tc>
              <w:tc>
                <w:tcPr>
                  <w:tcW w:w="1495" w:type="dxa"/>
                  <w:shd w:val="clear" w:color="auto" w:fill="auto"/>
                  <w:vAlign w:val="center"/>
                </w:tcPr>
                <w:p w14:paraId="1D23E86E" w14:textId="77777777" w:rsidR="00027FBF" w:rsidRPr="00A83C94" w:rsidRDefault="00027FBF" w:rsidP="00027FBF">
                  <w:pPr>
                    <w:spacing w:before="0"/>
                    <w:ind w:firstLine="0"/>
                    <w:jc w:val="center"/>
                    <w:rPr>
                      <w:rFonts w:cs="Calibri"/>
                      <w:b w:val="0"/>
                      <w:color w:val="000000"/>
                      <w:sz w:val="18"/>
                      <w:szCs w:val="18"/>
                      <w:lang w:val="hy-AM"/>
                    </w:rPr>
                  </w:pPr>
                  <w:r w:rsidRPr="00A83C94">
                    <w:rPr>
                      <w:rFonts w:cs="Calibri"/>
                      <w:b w:val="0"/>
                      <w:color w:val="000000"/>
                      <w:sz w:val="18"/>
                      <w:szCs w:val="18"/>
                      <w:lang w:val="hy-AM"/>
                    </w:rPr>
                    <w:t>-455.6</w:t>
                  </w:r>
                </w:p>
              </w:tc>
            </w:tr>
            <w:tr w:rsidR="00027FBF" w:rsidRPr="00A83C94" w14:paraId="36426BF3" w14:textId="77777777" w:rsidTr="00027FBF">
              <w:trPr>
                <w:trHeight w:val="384"/>
              </w:trPr>
              <w:tc>
                <w:tcPr>
                  <w:tcW w:w="2279" w:type="dxa"/>
                  <w:vMerge/>
                  <w:vAlign w:val="center"/>
                  <w:hideMark/>
                </w:tcPr>
                <w:p w14:paraId="495DE4FE"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hideMark/>
                </w:tcPr>
                <w:p w14:paraId="3226B6EC"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2</w:t>
                  </w:r>
                  <w:r w:rsidRPr="00A83C94">
                    <w:rPr>
                      <w:rFonts w:cs="Calibri"/>
                      <w:b w:val="0"/>
                      <w:i/>
                      <w:iCs/>
                      <w:color w:val="000000"/>
                      <w:sz w:val="18"/>
                      <w:szCs w:val="18"/>
                    </w:rPr>
                    <w:t>-202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p>
              </w:tc>
              <w:tc>
                <w:tcPr>
                  <w:tcW w:w="1527" w:type="dxa"/>
                </w:tcPr>
                <w:p w14:paraId="12443CA0"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-478.7</w:t>
                  </w:r>
                </w:p>
              </w:tc>
              <w:tc>
                <w:tcPr>
                  <w:tcW w:w="1685" w:type="dxa"/>
                  <w:shd w:val="clear" w:color="auto" w:fill="auto"/>
                  <w:noWrap/>
                  <w:hideMark/>
                </w:tcPr>
                <w:p w14:paraId="5ED6852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-281.3</w:t>
                  </w:r>
                </w:p>
              </w:tc>
              <w:tc>
                <w:tcPr>
                  <w:tcW w:w="1495" w:type="dxa"/>
                  <w:shd w:val="clear" w:color="auto" w:fill="auto"/>
                  <w:hideMark/>
                </w:tcPr>
                <w:p w14:paraId="66BE86B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-421.6</w:t>
                  </w:r>
                </w:p>
              </w:tc>
            </w:tr>
            <w:tr w:rsidR="00027FBF" w:rsidRPr="00A83C94" w14:paraId="1DF64B04" w14:textId="77777777" w:rsidTr="00027FBF">
              <w:trPr>
                <w:trHeight w:val="384"/>
              </w:trPr>
              <w:tc>
                <w:tcPr>
                  <w:tcW w:w="2279" w:type="dxa"/>
                  <w:vMerge/>
                  <w:vAlign w:val="center"/>
                  <w:hideMark/>
                </w:tcPr>
                <w:p w14:paraId="2D342AD6"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tcPr>
                <w:p w14:paraId="455C1A40"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1</w:t>
                  </w:r>
                  <w:r w:rsidRPr="00A83C94">
                    <w:rPr>
                      <w:rFonts w:cs="Calibri"/>
                      <w:b w:val="0"/>
                      <w:i/>
                      <w:iCs/>
                      <w:color w:val="000000"/>
                      <w:sz w:val="18"/>
                      <w:szCs w:val="18"/>
                    </w:rPr>
                    <w:t xml:space="preserve"> Պետական բյուջե</w:t>
                  </w:r>
                </w:p>
              </w:tc>
              <w:tc>
                <w:tcPr>
                  <w:tcW w:w="1527" w:type="dxa"/>
                </w:tcPr>
                <w:p w14:paraId="7967E02A"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-731.7</w:t>
                  </w:r>
                </w:p>
              </w:tc>
              <w:tc>
                <w:tcPr>
                  <w:tcW w:w="1685" w:type="dxa"/>
                  <w:shd w:val="clear" w:color="auto" w:fill="auto"/>
                  <w:noWrap/>
                </w:tcPr>
                <w:p w14:paraId="210FA01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-772.3</w:t>
                  </w:r>
                </w:p>
              </w:tc>
              <w:tc>
                <w:tcPr>
                  <w:tcW w:w="1495" w:type="dxa"/>
                  <w:shd w:val="clear" w:color="auto" w:fill="auto"/>
                  <w:vAlign w:val="center"/>
                </w:tcPr>
                <w:p w14:paraId="6F7CB345"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w:t>
                  </w:r>
                </w:p>
              </w:tc>
            </w:tr>
            <w:tr w:rsidR="00027FBF" w:rsidRPr="00A83C94" w14:paraId="3C4AEB2D" w14:textId="77777777" w:rsidTr="00027FBF">
              <w:trPr>
                <w:trHeight w:val="384"/>
              </w:trPr>
              <w:tc>
                <w:tcPr>
                  <w:tcW w:w="2279" w:type="dxa"/>
                  <w:vMerge w:val="restart"/>
                  <w:shd w:val="clear" w:color="auto" w:fill="auto"/>
                  <w:vAlign w:val="center"/>
                  <w:hideMark/>
                </w:tcPr>
                <w:p w14:paraId="0CA89021" w14:textId="77777777" w:rsidR="00027FBF" w:rsidRPr="00A83C94" w:rsidRDefault="00027FBF" w:rsidP="00027FBF">
                  <w:pPr>
                    <w:spacing w:before="0"/>
                    <w:ind w:firstLine="0"/>
                    <w:rPr>
                      <w:rFonts w:cs="Calibri"/>
                      <w:b w:val="0"/>
                      <w:bCs/>
                      <w:color w:val="000000"/>
                      <w:sz w:val="18"/>
                      <w:szCs w:val="18"/>
                    </w:rPr>
                  </w:pPr>
                  <w:r w:rsidRPr="00A83C94">
                    <w:rPr>
                      <w:rFonts w:cs="Calibri"/>
                      <w:bCs/>
                      <w:color w:val="000000"/>
                      <w:sz w:val="18"/>
                      <w:szCs w:val="18"/>
                    </w:rPr>
                    <w:t>Ընթացիկ հաշիվ, %-ով՝ ՀՆԱ-ի նկատմամբ</w:t>
                  </w:r>
                </w:p>
              </w:tc>
              <w:tc>
                <w:tcPr>
                  <w:tcW w:w="2374" w:type="dxa"/>
                  <w:shd w:val="clear" w:color="auto" w:fill="auto"/>
                  <w:vAlign w:val="center"/>
                </w:tcPr>
                <w:p w14:paraId="39ADF3E4"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lang w:val="hy-AM"/>
                    </w:rPr>
                    <w:t>2022 պետկան բյուջե</w:t>
                  </w:r>
                </w:p>
              </w:tc>
              <w:tc>
                <w:tcPr>
                  <w:tcW w:w="1527" w:type="dxa"/>
                  <w:vAlign w:val="center"/>
                </w:tcPr>
                <w:p w14:paraId="61724A9E"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-3.8</w:t>
                  </w:r>
                </w:p>
              </w:tc>
              <w:tc>
                <w:tcPr>
                  <w:tcW w:w="1685" w:type="dxa"/>
                  <w:shd w:val="clear" w:color="auto" w:fill="auto"/>
                  <w:noWrap/>
                  <w:vAlign w:val="center"/>
                </w:tcPr>
                <w:p w14:paraId="78A5729A"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-1.7</w:t>
                  </w:r>
                </w:p>
              </w:tc>
              <w:tc>
                <w:tcPr>
                  <w:tcW w:w="1495" w:type="dxa"/>
                  <w:shd w:val="clear" w:color="auto" w:fill="auto"/>
                  <w:vAlign w:val="center"/>
                </w:tcPr>
                <w:p w14:paraId="7E2A6AAA"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-3.0</w:t>
                  </w:r>
                </w:p>
              </w:tc>
            </w:tr>
            <w:tr w:rsidR="00027FBF" w:rsidRPr="00A83C94" w14:paraId="00E9A395" w14:textId="77777777" w:rsidTr="00027FBF">
              <w:trPr>
                <w:trHeight w:val="384"/>
              </w:trPr>
              <w:tc>
                <w:tcPr>
                  <w:tcW w:w="2279" w:type="dxa"/>
                  <w:vMerge/>
                  <w:vAlign w:val="center"/>
                  <w:hideMark/>
                </w:tcPr>
                <w:p w14:paraId="212CFB16"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hideMark/>
                </w:tcPr>
                <w:p w14:paraId="55A93762"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2</w:t>
                  </w:r>
                  <w:r w:rsidRPr="00A83C94">
                    <w:rPr>
                      <w:rFonts w:cs="Calibri"/>
                      <w:b w:val="0"/>
                      <w:i/>
                      <w:iCs/>
                      <w:color w:val="000000"/>
                      <w:sz w:val="18"/>
                      <w:szCs w:val="18"/>
                    </w:rPr>
                    <w:t>-202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p>
              </w:tc>
              <w:tc>
                <w:tcPr>
                  <w:tcW w:w="1527" w:type="dxa"/>
                  <w:vAlign w:val="center"/>
                </w:tcPr>
                <w:p w14:paraId="57BE93E0"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-3.8</w:t>
                  </w:r>
                </w:p>
              </w:tc>
              <w:tc>
                <w:tcPr>
                  <w:tcW w:w="1685" w:type="dxa"/>
                  <w:shd w:val="clear" w:color="auto" w:fill="auto"/>
                  <w:noWrap/>
                  <w:vAlign w:val="center"/>
                  <w:hideMark/>
                </w:tcPr>
                <w:p w14:paraId="453BDA15"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-2.1</w:t>
                  </w:r>
                </w:p>
              </w:tc>
              <w:tc>
                <w:tcPr>
                  <w:tcW w:w="1495" w:type="dxa"/>
                  <w:shd w:val="clear" w:color="auto" w:fill="auto"/>
                  <w:vAlign w:val="center"/>
                  <w:hideMark/>
                </w:tcPr>
                <w:p w14:paraId="242A2C13"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-2.9</w:t>
                  </w:r>
                </w:p>
              </w:tc>
            </w:tr>
            <w:tr w:rsidR="00027FBF" w:rsidRPr="00A83C94" w14:paraId="0DF0379F" w14:textId="77777777" w:rsidTr="00027FBF">
              <w:trPr>
                <w:trHeight w:val="384"/>
              </w:trPr>
              <w:tc>
                <w:tcPr>
                  <w:tcW w:w="2279" w:type="dxa"/>
                  <w:vMerge/>
                  <w:vAlign w:val="center"/>
                  <w:hideMark/>
                </w:tcPr>
                <w:p w14:paraId="1E3533F8" w14:textId="77777777" w:rsidR="00027FBF" w:rsidRPr="00A83C94" w:rsidRDefault="00027FBF" w:rsidP="00027FBF">
                  <w:pPr>
                    <w:spacing w:before="0"/>
                    <w:rPr>
                      <w:rFonts w:cs="Calibri"/>
                      <w:b w:val="0"/>
                      <w:bCs/>
                      <w:color w:val="000000"/>
                      <w:sz w:val="18"/>
                      <w:szCs w:val="18"/>
                    </w:rPr>
                  </w:pPr>
                </w:p>
              </w:tc>
              <w:tc>
                <w:tcPr>
                  <w:tcW w:w="2374" w:type="dxa"/>
                  <w:shd w:val="clear" w:color="auto" w:fill="auto"/>
                  <w:vAlign w:val="center"/>
                </w:tcPr>
                <w:p w14:paraId="7A176458" w14:textId="77777777" w:rsidR="00027FBF" w:rsidRPr="00A83C94" w:rsidRDefault="00027FBF" w:rsidP="00027FBF">
                  <w:pPr>
                    <w:spacing w:before="0"/>
                    <w:ind w:firstLine="0"/>
                    <w:jc w:val="left"/>
                    <w:rPr>
                      <w:rFonts w:cs="Calibri"/>
                      <w:b w:val="0"/>
                      <w:i/>
                      <w:iCs/>
                      <w:color w:val="000000"/>
                      <w:sz w:val="18"/>
                      <w:szCs w:val="18"/>
                    </w:rPr>
                  </w:pPr>
                  <w:r w:rsidRPr="00A83C94">
                    <w:rPr>
                      <w:rFonts w:cs="Calibri"/>
                      <w:b w:val="0"/>
                      <w:i/>
                      <w:iCs/>
                      <w:color w:val="000000"/>
                      <w:sz w:val="18"/>
                      <w:szCs w:val="18"/>
                    </w:rPr>
                    <w:t>202</w:t>
                  </w:r>
                  <w:r w:rsidRPr="00A83C94">
                    <w:rPr>
                      <w:rFonts w:cs="Calibri"/>
                      <w:b w:val="0"/>
                      <w:i/>
                      <w:iCs/>
                      <w:color w:val="000000"/>
                      <w:sz w:val="18"/>
                      <w:szCs w:val="18"/>
                      <w:lang w:val="hy-AM"/>
                    </w:rPr>
                    <w:t>1</w:t>
                  </w:r>
                  <w:r w:rsidRPr="00A83C94">
                    <w:rPr>
                      <w:rFonts w:cs="Calibri"/>
                      <w:b w:val="0"/>
                      <w:i/>
                      <w:iCs/>
                      <w:color w:val="000000"/>
                      <w:sz w:val="18"/>
                      <w:szCs w:val="18"/>
                    </w:rPr>
                    <w:t xml:space="preserve"> Պետական բյուջե</w:t>
                  </w:r>
                </w:p>
              </w:tc>
              <w:tc>
                <w:tcPr>
                  <w:tcW w:w="1527" w:type="dxa"/>
                </w:tcPr>
                <w:p w14:paraId="6E717299" w14:textId="77777777" w:rsidR="00027FBF" w:rsidRPr="00A83C94" w:rsidRDefault="00027FBF" w:rsidP="00027FBF">
                  <w:pPr>
                    <w:spacing w:before="0"/>
                    <w:ind w:firstLine="0"/>
                    <w:jc w:val="center"/>
                    <w:rPr>
                      <w:rFonts w:cs="Calibri"/>
                      <w:b w:val="0"/>
                      <w:color w:val="000000"/>
                      <w:sz w:val="18"/>
                      <w:szCs w:val="18"/>
                      <w:lang w:val="hy-AM"/>
                    </w:rPr>
                  </w:pPr>
                  <w:r w:rsidRPr="00A83C94">
                    <w:rPr>
                      <w:rFonts w:cs="Calibri"/>
                      <w:b w:val="0"/>
                      <w:color w:val="000000"/>
                      <w:sz w:val="18"/>
                      <w:szCs w:val="18"/>
                      <w:lang w:val="hy-AM"/>
                    </w:rPr>
                    <w:t>-5.9</w:t>
                  </w:r>
                </w:p>
              </w:tc>
              <w:tc>
                <w:tcPr>
                  <w:tcW w:w="1685" w:type="dxa"/>
                  <w:shd w:val="clear" w:color="auto" w:fill="auto"/>
                  <w:noWrap/>
                </w:tcPr>
                <w:p w14:paraId="11464C19"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-6.1</w:t>
                  </w:r>
                </w:p>
              </w:tc>
              <w:tc>
                <w:tcPr>
                  <w:tcW w:w="1495" w:type="dxa"/>
                  <w:shd w:val="clear" w:color="auto" w:fill="auto"/>
                  <w:vAlign w:val="center"/>
                </w:tcPr>
                <w:p w14:paraId="50E21FF1" w14:textId="77777777" w:rsidR="00027FBF" w:rsidRPr="00A83C94" w:rsidRDefault="00027FBF" w:rsidP="00027FBF">
                  <w:pPr>
                    <w:spacing w:before="0"/>
                    <w:ind w:firstLine="0"/>
                    <w:jc w:val="center"/>
                    <w:rPr>
                      <w:rFonts w:cs="Calibri"/>
                      <w:b w:val="0"/>
                      <w:color w:val="000000"/>
                      <w:sz w:val="18"/>
                      <w:szCs w:val="18"/>
                    </w:rPr>
                  </w:pPr>
                  <w:r w:rsidRPr="00A83C94">
                    <w:rPr>
                      <w:rFonts w:cs="Calibri"/>
                      <w:b w:val="0"/>
                      <w:color w:val="000000"/>
                      <w:sz w:val="18"/>
                      <w:szCs w:val="18"/>
                      <w:lang w:val="hy-AM"/>
                    </w:rPr>
                    <w:t>-</w:t>
                  </w:r>
                </w:p>
              </w:tc>
            </w:tr>
          </w:tbl>
          <w:p w14:paraId="539284C9" w14:textId="77777777" w:rsidR="00027FBF" w:rsidRPr="00A83C94" w:rsidRDefault="00027FBF" w:rsidP="00027FBF">
            <w:pPr>
              <w:spacing w:before="0" w:after="0" w:line="276" w:lineRule="auto"/>
              <w:rPr>
                <w:rFonts w:eastAsia="Calibri"/>
                <w:b w:val="0"/>
                <w:sz w:val="18"/>
                <w:szCs w:val="18"/>
                <w:lang w:val="hy-AM"/>
              </w:rPr>
            </w:pPr>
            <w:r w:rsidRPr="00A83C94">
              <w:rPr>
                <w:rFonts w:eastAsia="Calibri"/>
                <w:b w:val="0"/>
                <w:sz w:val="18"/>
                <w:szCs w:val="18"/>
              </w:rPr>
              <w:t xml:space="preserve">* </w:t>
            </w:r>
            <w:r w:rsidRPr="00A83C94">
              <w:rPr>
                <w:rFonts w:cs="Calibri"/>
                <w:b w:val="0"/>
                <w:i/>
                <w:iCs/>
                <w:color w:val="000000"/>
                <w:sz w:val="18"/>
                <w:szCs w:val="18"/>
              </w:rPr>
              <w:t>2022-202</w:t>
            </w:r>
            <w:r w:rsidRPr="00A83C94">
              <w:rPr>
                <w:rFonts w:cs="Calibri"/>
                <w:b w:val="0"/>
                <w:i/>
                <w:iCs/>
                <w:color w:val="000000"/>
                <w:sz w:val="18"/>
                <w:szCs w:val="18"/>
                <w:lang w:val="hy-AM"/>
              </w:rPr>
              <w:t>4</w:t>
            </w:r>
            <w:r w:rsidRPr="00A83C94">
              <w:rPr>
                <w:rFonts w:cs="Calibri"/>
                <w:b w:val="0"/>
                <w:i/>
                <w:iCs/>
                <w:color w:val="000000"/>
                <w:sz w:val="18"/>
                <w:szCs w:val="18"/>
              </w:rPr>
              <w:t xml:space="preserve"> ՄԺԾԾ</w:t>
            </w:r>
            <w:r w:rsidRPr="00A83C94">
              <w:rPr>
                <w:rFonts w:cs="Calibri"/>
                <w:b w:val="0"/>
                <w:i/>
                <w:iCs/>
                <w:color w:val="000000"/>
                <w:sz w:val="18"/>
                <w:szCs w:val="18"/>
                <w:lang w:val="hy-AM"/>
              </w:rPr>
              <w:t xml:space="preserve"> և 2022 պետական բյուջեի</w:t>
            </w:r>
            <w:r w:rsidRPr="00A83C94">
              <w:rPr>
                <w:rFonts w:cs="Calibri"/>
                <w:b w:val="0"/>
                <w:i/>
                <w:iCs/>
                <w:color w:val="000000"/>
                <w:sz w:val="18"/>
                <w:szCs w:val="18"/>
              </w:rPr>
              <w:t xml:space="preserve"> </w:t>
            </w:r>
            <w:r w:rsidRPr="00A83C94">
              <w:rPr>
                <w:rFonts w:cs="Calibri"/>
                <w:b w:val="0"/>
                <w:i/>
                <w:iCs/>
                <w:color w:val="000000"/>
                <w:sz w:val="18"/>
                <w:szCs w:val="18"/>
                <w:lang w:val="hy-AM"/>
              </w:rPr>
              <w:t xml:space="preserve">համար </w:t>
            </w:r>
            <w:r w:rsidRPr="00A83C94">
              <w:rPr>
                <w:rFonts w:cs="Calibri"/>
                <w:b w:val="0"/>
                <w:i/>
                <w:iCs/>
                <w:color w:val="000000"/>
                <w:sz w:val="18"/>
                <w:szCs w:val="18"/>
              </w:rPr>
              <w:t>2020</w:t>
            </w:r>
            <w:r w:rsidRPr="00A83C94">
              <w:rPr>
                <w:rFonts w:cs="Calibri"/>
                <w:b w:val="0"/>
                <w:i/>
                <w:iCs/>
                <w:color w:val="000000"/>
                <w:sz w:val="18"/>
                <w:szCs w:val="18"/>
                <w:lang w:val="hy-AM"/>
              </w:rPr>
              <w:t xml:space="preserve">թ. ցուցանիշները փաստացի են </w:t>
            </w:r>
            <w:r w:rsidRPr="00A83C94">
              <w:rPr>
                <w:rFonts w:eastAsia="Calibri"/>
                <w:b w:val="0"/>
                <w:lang w:val="hy-AM"/>
              </w:rPr>
              <w:t xml:space="preserve">  </w:t>
            </w:r>
          </w:p>
          <w:p w14:paraId="36FCEB70" w14:textId="77777777" w:rsidR="00027FBF" w:rsidRPr="00A83C94" w:rsidRDefault="00027FBF" w:rsidP="00027FBF">
            <w:pPr>
              <w:tabs>
                <w:tab w:val="left" w:pos="0"/>
                <w:tab w:val="num" w:pos="720"/>
              </w:tabs>
              <w:spacing w:before="0" w:after="0" w:line="276" w:lineRule="auto"/>
              <w:ind w:firstLine="399"/>
              <w:rPr>
                <w:rFonts w:eastAsia="Calibri"/>
                <w:b w:val="0"/>
                <w:i/>
                <w:sz w:val="16"/>
                <w:szCs w:val="16"/>
                <w:lang w:val="hy-AM"/>
              </w:rPr>
            </w:pPr>
            <w:r w:rsidRPr="00A83C94">
              <w:rPr>
                <w:rFonts w:eastAsia="Calibri"/>
                <w:b w:val="0"/>
                <w:i/>
                <w:sz w:val="16"/>
                <w:szCs w:val="16"/>
                <w:lang w:val="hy-AM"/>
              </w:rPr>
              <w:t>Աղբյուրը ՝ ՀՀ ՖՆ կանխատեսումներ</w:t>
            </w:r>
          </w:p>
          <w:p w14:paraId="1FE0E80E" w14:textId="77777777" w:rsidR="00027FBF" w:rsidRPr="00A83C94" w:rsidRDefault="00027FBF" w:rsidP="00027FBF">
            <w:pPr>
              <w:spacing w:before="0" w:after="0" w:line="276" w:lineRule="auto"/>
              <w:rPr>
                <w:rFonts w:eastAsia="Calibri"/>
                <w:b w:val="0"/>
                <w:sz w:val="18"/>
                <w:szCs w:val="18"/>
                <w:lang w:val="hy-AM"/>
              </w:rPr>
            </w:pPr>
          </w:p>
          <w:p w14:paraId="123315B0" w14:textId="77777777" w:rsidR="00027FBF" w:rsidRPr="00A83C94" w:rsidRDefault="00027FBF" w:rsidP="00027FBF">
            <w:pPr>
              <w:spacing w:before="0" w:after="0" w:line="276" w:lineRule="auto"/>
              <w:ind w:hanging="824"/>
              <w:rPr>
                <w:rFonts w:eastAsia="GHEA Grapalat" w:cs="GHEA Grapalat"/>
                <w:lang w:val="hy-AM"/>
              </w:rPr>
            </w:pPr>
          </w:p>
        </w:tc>
      </w:tr>
    </w:tbl>
    <w:p w14:paraId="73AE364B" w14:textId="77777777" w:rsidR="00027FBF" w:rsidRPr="00A83C94" w:rsidRDefault="00027FBF" w:rsidP="00027FBF">
      <w:pPr>
        <w:spacing w:before="0"/>
        <w:rPr>
          <w:lang w:val="hy-AM"/>
        </w:rPr>
      </w:pPr>
    </w:p>
    <w:p w14:paraId="7D65D573" w14:textId="77777777" w:rsidR="00027FBF" w:rsidRPr="00A83C94" w:rsidRDefault="00027FBF" w:rsidP="00027FBF">
      <w:pPr>
        <w:spacing w:before="0" w:line="259" w:lineRule="auto"/>
        <w:rPr>
          <w:b w:val="0"/>
          <w:bCs/>
          <w:color w:val="1F497D"/>
          <w:sz w:val="28"/>
          <w:szCs w:val="28"/>
        </w:rPr>
      </w:pPr>
    </w:p>
    <w:p w14:paraId="46BAA6DF" w14:textId="77777777" w:rsidR="00027FBF" w:rsidRPr="00A83C94" w:rsidRDefault="00027FBF" w:rsidP="00027FBF">
      <w:pPr>
        <w:spacing w:before="0" w:line="259" w:lineRule="auto"/>
        <w:rPr>
          <w:b w:val="0"/>
          <w:bCs/>
          <w:color w:val="1F497D"/>
          <w:sz w:val="28"/>
          <w:szCs w:val="28"/>
        </w:rPr>
      </w:pPr>
    </w:p>
    <w:p w14:paraId="01A089DD" w14:textId="77777777" w:rsidR="00027FBF" w:rsidRPr="00A83C94" w:rsidRDefault="00027FBF" w:rsidP="00027FBF">
      <w:pPr>
        <w:spacing w:before="0" w:line="259" w:lineRule="auto"/>
        <w:rPr>
          <w:b w:val="0"/>
          <w:bCs/>
          <w:color w:val="1F497D"/>
          <w:sz w:val="28"/>
          <w:szCs w:val="28"/>
        </w:rPr>
      </w:pPr>
    </w:p>
    <w:p w14:paraId="06D59664" w14:textId="77777777" w:rsidR="00027FBF" w:rsidRPr="00A83C94" w:rsidRDefault="00027FBF" w:rsidP="00027FBF">
      <w:pPr>
        <w:spacing w:before="0" w:line="259" w:lineRule="auto"/>
        <w:rPr>
          <w:b w:val="0"/>
          <w:bCs/>
          <w:color w:val="1F497D"/>
          <w:sz w:val="28"/>
          <w:szCs w:val="28"/>
        </w:rPr>
      </w:pPr>
    </w:p>
    <w:p w14:paraId="4AF72929" w14:textId="77777777" w:rsidR="00027FBF" w:rsidRPr="00A83C94" w:rsidRDefault="00027FBF" w:rsidP="00027FBF">
      <w:pPr>
        <w:keepNext/>
        <w:keepLines/>
        <w:spacing w:before="0" w:line="276" w:lineRule="auto"/>
        <w:outlineLvl w:val="2"/>
        <w:rPr>
          <w:b w:val="0"/>
          <w:bCs/>
          <w:color w:val="1F497D"/>
          <w:sz w:val="28"/>
          <w:szCs w:val="28"/>
        </w:rPr>
      </w:pPr>
      <w:r w:rsidRPr="00A83C94">
        <w:rPr>
          <w:bCs/>
          <w:color w:val="1F497D"/>
          <w:sz w:val="28"/>
          <w:szCs w:val="28"/>
        </w:rPr>
        <w:br w:type="page"/>
      </w:r>
    </w:p>
    <w:p w14:paraId="45521421" w14:textId="77777777" w:rsidR="00027FBF" w:rsidRPr="00A83C94" w:rsidRDefault="00027FBF" w:rsidP="00027FBF">
      <w:pPr>
        <w:keepNext/>
        <w:tabs>
          <w:tab w:val="left" w:pos="567"/>
        </w:tabs>
        <w:spacing w:before="0" w:line="276" w:lineRule="auto"/>
        <w:ind w:firstLine="426"/>
        <w:outlineLvl w:val="0"/>
        <w:rPr>
          <w:sz w:val="28"/>
          <w:szCs w:val="20"/>
          <w:lang w:val="hy-AM"/>
        </w:rPr>
      </w:pPr>
      <w:bookmarkStart w:id="158" w:name="_Toc57655452"/>
      <w:bookmarkStart w:id="159" w:name="_Toc83199220"/>
      <w:bookmarkStart w:id="160" w:name="_Toc83972836"/>
      <w:bookmarkStart w:id="161" w:name="_Toc89428291"/>
      <w:bookmarkEnd w:id="111"/>
      <w:r w:rsidRPr="00A83C94">
        <w:rPr>
          <w:sz w:val="28"/>
          <w:szCs w:val="20"/>
          <w:lang w:val="hy-AM"/>
        </w:rPr>
        <w:t>ՄԱՍ I-Գ</w:t>
      </w:r>
      <w:bookmarkStart w:id="162" w:name="_Toc46154350"/>
      <w:r w:rsidRPr="00A83C94">
        <w:rPr>
          <w:rFonts w:ascii="Cambria Math" w:hAnsi="Cambria Math"/>
          <w:sz w:val="28"/>
          <w:szCs w:val="20"/>
          <w:lang w:val="hy-AM"/>
        </w:rPr>
        <w:t>.</w:t>
      </w:r>
      <w:r w:rsidRPr="00A83C94">
        <w:rPr>
          <w:sz w:val="28"/>
          <w:szCs w:val="20"/>
          <w:lang w:val="hy-AM"/>
        </w:rPr>
        <w:t xml:space="preserve"> ՀԱՐԿԱԲՅՈՒՋԵՏԱՅԻՆ ՔԱՂԱՔԱԿԱՆՈՒԹՅԱՆ ՀԻՄՆԱԿԱՆ ՈՒՂՂՈՒԹՅՈՒՆՆԵՐԸ ԵՎ ԿԱՆԽԱՏԵՍՈՒՄՆԵՐԸ</w:t>
      </w:r>
      <w:bookmarkEnd w:id="158"/>
      <w:bookmarkEnd w:id="159"/>
      <w:bookmarkEnd w:id="160"/>
      <w:bookmarkEnd w:id="162"/>
      <w:bookmarkEnd w:id="161"/>
    </w:p>
    <w:p w14:paraId="78DB0F60" w14:textId="77777777" w:rsidR="00027FBF" w:rsidRPr="00A83C94" w:rsidRDefault="00027FBF" w:rsidP="00027FBF">
      <w:pPr>
        <w:keepNext/>
        <w:tabs>
          <w:tab w:val="left" w:pos="567"/>
        </w:tabs>
        <w:spacing w:before="0" w:line="276" w:lineRule="auto"/>
        <w:ind w:firstLine="426"/>
        <w:outlineLvl w:val="0"/>
        <w:rPr>
          <w:sz w:val="28"/>
          <w:szCs w:val="20"/>
          <w:lang w:val="hy-AM"/>
        </w:rPr>
      </w:pPr>
    </w:p>
    <w:p w14:paraId="06E9CA78" w14:textId="77777777" w:rsidR="00027FBF" w:rsidRPr="00A83C94" w:rsidRDefault="00027FBF" w:rsidP="00027FBF">
      <w:pPr>
        <w:keepNext/>
        <w:keepLines/>
        <w:spacing w:before="0" w:line="312" w:lineRule="auto"/>
        <w:ind w:firstLine="0"/>
        <w:outlineLvl w:val="2"/>
        <w:rPr>
          <w:sz w:val="24"/>
          <w:lang w:val="hy-AM" w:eastAsia="en-US"/>
        </w:rPr>
      </w:pPr>
      <w:bookmarkStart w:id="163" w:name="_Toc46154351"/>
      <w:bookmarkStart w:id="164" w:name="_Toc57655453"/>
      <w:bookmarkStart w:id="165" w:name="_Toc83199221"/>
      <w:bookmarkStart w:id="166" w:name="_Toc83972837"/>
      <w:bookmarkStart w:id="167" w:name="_Toc89428292"/>
      <w:r w:rsidRPr="00A83C94">
        <w:rPr>
          <w:sz w:val="24"/>
          <w:lang w:val="hy-AM" w:eastAsia="en-US"/>
        </w:rPr>
        <w:t xml:space="preserve">2.1. </w:t>
      </w:r>
      <w:bookmarkStart w:id="168" w:name="_Toc45838522"/>
      <w:r w:rsidRPr="00A83C94">
        <w:rPr>
          <w:sz w:val="24"/>
          <w:lang w:val="hy-AM" w:eastAsia="en-US"/>
        </w:rPr>
        <w:t>ՀԱՐԿԱԲՅՈՒՋԵՏԱՅԻՆ ԸՆԴՀԱՆՈՒՐ ԱԿՆԱՐԿ ԵՎ ՀԱՐԿԱԲՅՈՒՋԵՏԱՅԻՆ ՇՐՋԱՆԱԿ</w:t>
      </w:r>
      <w:bookmarkEnd w:id="163"/>
      <w:bookmarkEnd w:id="164"/>
      <w:bookmarkEnd w:id="165"/>
      <w:bookmarkEnd w:id="166"/>
      <w:bookmarkEnd w:id="168"/>
      <w:bookmarkEnd w:id="167"/>
    </w:p>
    <w:p w14:paraId="520902FB"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2020 թվականի ընթացքում տեղի ունեցած և իրենց բնույթով աննախադեպ բացասական ցնցումներ պարունակող զարգացումների (կորոնավիրուսի համավարակ և Արցախյան պատերազմ) արդյունքում տեղի ունեցած տնտեսական անկման պայմաններում կառավարությունն իրականացրել է հակապարբերաշրջանային հարկաբյուջետային քաղաքականություն, ինչի արդյունքում արձանագրվել է պետական բյուջեի ծախսերի զգալի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ինչը հանգեցրել է պետական բյուջեի պակասուրդի և կառավարության պարտքի աճին։</w:t>
      </w:r>
    </w:p>
    <w:p w14:paraId="3EC44986"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COVID-19 համավարակի հետևանքներով առաջացած իրավիճակը և Արցախյան պատերազմը հարկաբյուջետային կանոններով սահմանված կարգով համարվել են «բացառիկ դեպքեր», որի հիման վրա 2020 թվականին կիրառել է պարտքի և ծախսերի բնականոն իրավիճակի համար գործող կանոններից տարբերվող մոտեցումներ։ Հաշվի առնելով 2020թ. տեղի ունեցեած բացասական երևույթնեի երկարատև ազդեցությունները՝ «բացառիկ դեպքի» կարգավորումները շարունակվել են նաև 2021 թվականին:</w:t>
      </w:r>
    </w:p>
    <w:p w14:paraId="0B457A91"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2021 թվականին տնտեսության վերականգնման պայմաններում հարկաբյուջետային քաղաքականության նպատակն է ապահովել հարկաբյուջետային կայունությունը՝ միաժամանակ աջակցելով տնտեսական վերականգնմանը և պայմաններ ստեղծելով ՀՀ կառավարության պարտքի նվազման համար։ Այդ նպատակով, 2021թ. սկզբում հարկաբյուջետային քաղաքականության ազդեցությունն ամբողջական պահանջարկի վրա եղել է խթանող, ինչն աստիճանաբար կթուլանա՝ տարեկան կտրվածքով դառնալով զսպող:</w:t>
      </w:r>
    </w:p>
    <w:p w14:paraId="037BBAD6"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Կառավարությունը 2021 թվականին շարունակում է իրականացնել հակաճգնաժամային միջոցառումներ ուղղված ինչպես կորոնավիրուսի, այնպես էլ Արցախյան պատերազմի բացասական հետևանքների մեղմմանը:</w:t>
      </w:r>
    </w:p>
    <w:p w14:paraId="3CBB5306"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2022թ. հարկաբյուջետային քաղաքականությունը ՀՀ կառավարության 2021-2026թթ. ծրագրին համահունչ ուղղված կլինի տնտեսական աճի խթանմանը՝ շեշտադրելով պետական ներդրումների մասնաբաժնի էական մեծացումը և ծախսերի իրականացման արդյունավետության բարձրացումը, ինչպես նաև՝ պարտքի կայունության պահպանմանը: 2022-2026 թվականների ՀՀ կառավարության պարտքի բեռի նվազեցման ծրագրի նպատակադրումների համահունչ, 2022թ</w:t>
      </w:r>
      <w:r w:rsidRPr="00A83C94">
        <w:rPr>
          <w:rFonts w:ascii="Cambria Math" w:hAnsi="Cambria Math" w:cs="Cambria Math"/>
          <w:b w:val="0"/>
          <w:szCs w:val="22"/>
          <w:lang w:val="hy-AM" w:eastAsia="en-US"/>
        </w:rPr>
        <w:t>․</w:t>
      </w:r>
      <w:r w:rsidRPr="00A83C94">
        <w:rPr>
          <w:rFonts w:cs="Arial"/>
          <w:b w:val="0"/>
          <w:szCs w:val="22"/>
          <w:lang w:val="hy-AM" w:eastAsia="en-US"/>
        </w:rPr>
        <w:t>-</w:t>
      </w:r>
      <w:r w:rsidRPr="00A83C94">
        <w:rPr>
          <w:rFonts w:cs="GHEA Grapalat"/>
          <w:b w:val="0"/>
          <w:szCs w:val="22"/>
          <w:lang w:val="hy-AM" w:eastAsia="en-US"/>
        </w:rPr>
        <w:t>ին</w:t>
      </w:r>
      <w:r w:rsidRPr="00A83C94">
        <w:rPr>
          <w:rFonts w:cs="Arial"/>
          <w:b w:val="0"/>
          <w:szCs w:val="22"/>
          <w:lang w:val="hy-AM" w:eastAsia="en-US"/>
        </w:rPr>
        <w:t xml:space="preserve"> </w:t>
      </w:r>
      <w:r w:rsidRPr="00A83C94">
        <w:rPr>
          <w:rFonts w:cs="GHEA Grapalat"/>
          <w:b w:val="0"/>
          <w:szCs w:val="22"/>
          <w:lang w:val="hy-AM" w:eastAsia="en-US"/>
        </w:rPr>
        <w:t>կ</w:t>
      </w:r>
      <w:r w:rsidRPr="00A83C94">
        <w:rPr>
          <w:rFonts w:cs="Arial"/>
          <w:b w:val="0"/>
          <w:szCs w:val="22"/>
          <w:lang w:val="hy-AM" w:eastAsia="en-US"/>
        </w:rPr>
        <w:t>շարունակվի սահուն հարկաբյուջետային կոնսոլիդացիան՝ պետական բյուջեի պակասուրդ/ՀՆԱ և կառավարության պարտք/ՀՆԱ ցուցանիշների նվազմամբ, հիմքեր ստեղծելով  մինչև 2026 թվականը 60% սահմանային շեմից ցածր կառավարության պարտք/ՀՆԱ ցուցանիշի ապահովման համար և ստեղծելով «հարկաբյուջետային տարածք» հնարավոր շոկերին արձագանքելու նպատակով:</w:t>
      </w:r>
    </w:p>
    <w:p w14:paraId="796CD841" w14:textId="77777777" w:rsidR="00027FBF" w:rsidRPr="00A83C94" w:rsidRDefault="00027FBF" w:rsidP="00027FBF">
      <w:pPr>
        <w:numPr>
          <w:ilvl w:val="0"/>
          <w:numId w:val="37"/>
        </w:numPr>
        <w:spacing w:before="0" w:after="120" w:line="276" w:lineRule="auto"/>
        <w:ind w:left="567" w:hanging="283"/>
        <w:contextualSpacing w:val="0"/>
        <w:rPr>
          <w:rFonts w:cs="Arial"/>
          <w:b w:val="0"/>
          <w:szCs w:val="22"/>
          <w:lang w:val="hy-AM" w:eastAsia="en-US"/>
        </w:rPr>
      </w:pPr>
      <w:r w:rsidRPr="00A83C94">
        <w:rPr>
          <w:rFonts w:cs="Arial"/>
          <w:b w:val="0"/>
          <w:szCs w:val="22"/>
          <w:lang w:val="hy-AM" w:eastAsia="en-US"/>
        </w:rPr>
        <w:t>2022 թվականին բարձր տնտեսական աճի պայմաններում, կառավարությունը նախատեսում է իրականացնել հարկային վարչարարության բարելավմանն ուղղված միջոցառումներ, ինչպես նաև հարկային օրենսդրության բարեփոխումներ: Վերջիններիս արդյունքում ակնկալվում է ապահովել հարկեր/ՀՆԱ հարաբերակցության շուրջ 0.9 տոկոսային կետով բարելավում:</w:t>
      </w:r>
    </w:p>
    <w:p w14:paraId="5FB135F7" w14:textId="77777777" w:rsidR="00027FBF" w:rsidRPr="00A83C94" w:rsidRDefault="00027FBF" w:rsidP="00027FBF">
      <w:pPr>
        <w:numPr>
          <w:ilvl w:val="0"/>
          <w:numId w:val="37"/>
        </w:numPr>
        <w:spacing w:before="0" w:after="240" w:line="276" w:lineRule="auto"/>
        <w:ind w:left="567" w:hanging="283"/>
        <w:contextualSpacing w:val="0"/>
        <w:rPr>
          <w:b w:val="0"/>
          <w:szCs w:val="22"/>
          <w:lang w:val="hy-AM" w:eastAsia="en-US"/>
        </w:rPr>
      </w:pPr>
      <w:r w:rsidRPr="00A83C94">
        <w:rPr>
          <w:b w:val="0"/>
          <w:szCs w:val="22"/>
          <w:lang w:val="hy-AM" w:eastAsia="en-US"/>
        </w:rPr>
        <w:t>Տնտեսական աճի բարձր տեմպի ապահովման ռիսկերի առարկայացման, ինչպես նաև հարկային վարչարարության կամ օրենսդրական բարեփոխումների սպասվածից ավելի փոքր արդյունքի պարագայում, կառաջանան պետական բյուջեի հարկային եկամուտների՝ կանխատեսված մակարդակից դեպի ներքև շեղման ռիսկեր, ինչի պայմաններում անհրաժեշտ կլինի նաև համապատասխան չափով նվազեցնել պետական բյուջեի ընթացիկ ծախսերը՝ հարկաբյուջետային կանոններին համապատասխանությունն ապահովելու նպատակով:</w:t>
      </w:r>
    </w:p>
    <w:p w14:paraId="2C70246A" w14:textId="77777777" w:rsidR="00027FBF" w:rsidRPr="00A83C94" w:rsidRDefault="00027FBF" w:rsidP="00027FBF">
      <w:pPr>
        <w:spacing w:before="0" w:line="276" w:lineRule="auto"/>
        <w:ind w:firstLine="0"/>
        <w:contextualSpacing w:val="0"/>
        <w:rPr>
          <w:rFonts w:eastAsia="Calibri" w:cs="Arial"/>
          <w:b w:val="0"/>
          <w:bCs/>
          <w:i/>
          <w:iCs/>
          <w:sz w:val="20"/>
          <w:szCs w:val="20"/>
          <w:lang w:val="hy-AM" w:eastAsia="en-US"/>
        </w:rPr>
      </w:pPr>
      <w:r w:rsidRPr="00A83C94">
        <w:rPr>
          <w:rFonts w:eastAsia="Calibri" w:cs="Arial"/>
          <w:i/>
          <w:iCs/>
          <w:sz w:val="20"/>
          <w:szCs w:val="20"/>
          <w:lang w:val="hy-AM" w:eastAsia="en-US"/>
        </w:rPr>
        <w:t xml:space="preserve">Աղյուսակ 2.1. </w:t>
      </w:r>
      <w:r w:rsidRPr="00A83C94">
        <w:rPr>
          <w:rFonts w:eastAsia="Calibri" w:cs="Arial"/>
          <w:b w:val="0"/>
          <w:bCs/>
          <w:i/>
          <w:iCs/>
          <w:sz w:val="20"/>
          <w:szCs w:val="20"/>
          <w:lang w:val="hy-AM" w:eastAsia="en-US"/>
        </w:rPr>
        <w:t>202</w:t>
      </w:r>
      <w:r w:rsidRPr="00872014">
        <w:rPr>
          <w:rFonts w:eastAsia="Calibri" w:cs="Arial"/>
          <w:b w:val="0"/>
          <w:bCs/>
          <w:i/>
          <w:iCs/>
          <w:sz w:val="20"/>
          <w:szCs w:val="20"/>
          <w:lang w:val="hy-AM" w:eastAsia="en-US"/>
        </w:rPr>
        <w:t>2</w:t>
      </w:r>
      <w:r w:rsidRPr="00A83C94">
        <w:rPr>
          <w:rFonts w:eastAsia="Calibri" w:cs="Arial"/>
          <w:b w:val="0"/>
          <w:bCs/>
          <w:i/>
          <w:iCs/>
          <w:sz w:val="20"/>
          <w:szCs w:val="20"/>
          <w:lang w:val="hy-AM" w:eastAsia="en-US"/>
        </w:rPr>
        <w:t>թ. պետական բյուջեի հարկաբյուջետային շրջանակ</w:t>
      </w:r>
    </w:p>
    <w:tbl>
      <w:tblPr>
        <w:tblW w:w="8596" w:type="dxa"/>
        <w:jc w:val="center"/>
        <w:tblLook w:val="04A0" w:firstRow="1" w:lastRow="0" w:firstColumn="1" w:lastColumn="0" w:noHBand="0" w:noVBand="1"/>
      </w:tblPr>
      <w:tblGrid>
        <w:gridCol w:w="3140"/>
        <w:gridCol w:w="1080"/>
        <w:gridCol w:w="1080"/>
        <w:gridCol w:w="1080"/>
        <w:gridCol w:w="1108"/>
        <w:gridCol w:w="1108"/>
      </w:tblGrid>
      <w:tr w:rsidR="00027FBF" w:rsidRPr="00A83C94" w14:paraId="22586D63" w14:textId="77777777" w:rsidTr="00027FBF">
        <w:trPr>
          <w:trHeight w:val="300"/>
          <w:jc w:val="center"/>
        </w:trPr>
        <w:tc>
          <w:tcPr>
            <w:tcW w:w="3140" w:type="dxa"/>
            <w:tcBorders>
              <w:top w:val="single" w:sz="8" w:space="0" w:color="4472C4"/>
              <w:left w:val="single" w:sz="8" w:space="0" w:color="4472C4"/>
              <w:bottom w:val="single" w:sz="12" w:space="0" w:color="4472C4"/>
              <w:right w:val="nil"/>
            </w:tcBorders>
            <w:shd w:val="clear" w:color="000000" w:fill="8EA9DB"/>
            <w:noWrap/>
            <w:vAlign w:val="center"/>
            <w:hideMark/>
          </w:tcPr>
          <w:p w14:paraId="6531CE9F"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ascii="Calibri" w:hAnsi="Calibri" w:cs="Calibri"/>
                <w:bCs/>
                <w:color w:val="FFFFFF"/>
                <w:sz w:val="20"/>
                <w:szCs w:val="20"/>
                <w:lang w:val="hy-AM" w:eastAsia="en-US"/>
              </w:rPr>
              <w:t> </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42D09AFB"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2018</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57D65444"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2019</w:t>
            </w:r>
          </w:p>
        </w:tc>
        <w:tc>
          <w:tcPr>
            <w:tcW w:w="1080" w:type="dxa"/>
            <w:tcBorders>
              <w:top w:val="single" w:sz="8" w:space="0" w:color="4472C4"/>
              <w:left w:val="single" w:sz="8" w:space="0" w:color="4472C4"/>
              <w:bottom w:val="single" w:sz="12" w:space="0" w:color="4472C4"/>
              <w:right w:val="nil"/>
            </w:tcBorders>
            <w:shd w:val="clear" w:color="000000" w:fill="8EA9DB"/>
            <w:noWrap/>
            <w:vAlign w:val="center"/>
            <w:hideMark/>
          </w:tcPr>
          <w:p w14:paraId="546BA0AD"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2020</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noWrap/>
            <w:vAlign w:val="center"/>
            <w:hideMark/>
          </w:tcPr>
          <w:p w14:paraId="3FFFDCDF"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2021</w:t>
            </w:r>
          </w:p>
        </w:tc>
        <w:tc>
          <w:tcPr>
            <w:tcW w:w="1108" w:type="dxa"/>
            <w:tcBorders>
              <w:top w:val="single" w:sz="8" w:space="0" w:color="4472C4"/>
              <w:left w:val="single" w:sz="8" w:space="0" w:color="4472C4"/>
              <w:bottom w:val="single" w:sz="12" w:space="0" w:color="4472C4"/>
              <w:right w:val="single" w:sz="12" w:space="0" w:color="4472C4"/>
            </w:tcBorders>
            <w:shd w:val="clear" w:color="000000" w:fill="8EA9DB"/>
          </w:tcPr>
          <w:p w14:paraId="55C9308D"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2022</w:t>
            </w:r>
          </w:p>
        </w:tc>
      </w:tr>
      <w:tr w:rsidR="00027FBF" w:rsidRPr="00A83C94" w14:paraId="3118ED11" w14:textId="77777777" w:rsidTr="00027FBF">
        <w:trPr>
          <w:trHeight w:val="249"/>
          <w:jc w:val="center"/>
        </w:trPr>
        <w:tc>
          <w:tcPr>
            <w:tcW w:w="3140" w:type="dxa"/>
            <w:tcBorders>
              <w:top w:val="nil"/>
              <w:left w:val="single" w:sz="8" w:space="0" w:color="4472C4"/>
              <w:bottom w:val="single" w:sz="8" w:space="0" w:color="5B9BD5"/>
              <w:right w:val="nil"/>
            </w:tcBorders>
            <w:shd w:val="clear" w:color="000000" w:fill="8EA9DB"/>
            <w:noWrap/>
            <w:vAlign w:val="center"/>
            <w:hideMark/>
          </w:tcPr>
          <w:p w14:paraId="3569327A"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մլրդ դրամ</w:t>
            </w:r>
          </w:p>
        </w:tc>
        <w:tc>
          <w:tcPr>
            <w:tcW w:w="3240" w:type="dxa"/>
            <w:gridSpan w:val="3"/>
            <w:tcBorders>
              <w:top w:val="single" w:sz="12" w:space="0" w:color="4472C4"/>
              <w:left w:val="single" w:sz="8" w:space="0" w:color="4472C4"/>
              <w:bottom w:val="single" w:sz="8" w:space="0" w:color="5B9BD5"/>
              <w:right w:val="single" w:sz="8" w:space="0" w:color="4472C4"/>
            </w:tcBorders>
            <w:shd w:val="clear" w:color="000000" w:fill="8EA9DB"/>
            <w:noWrap/>
            <w:vAlign w:val="center"/>
            <w:hideMark/>
          </w:tcPr>
          <w:p w14:paraId="1FC23F0D"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Փաստացի</w:t>
            </w:r>
          </w:p>
        </w:tc>
        <w:tc>
          <w:tcPr>
            <w:tcW w:w="1108" w:type="dxa"/>
            <w:tcBorders>
              <w:top w:val="nil"/>
              <w:left w:val="nil"/>
              <w:bottom w:val="single" w:sz="8" w:space="0" w:color="5B9BD5"/>
              <w:right w:val="nil"/>
            </w:tcBorders>
            <w:shd w:val="clear" w:color="000000" w:fill="8EA9DB"/>
            <w:vAlign w:val="center"/>
            <w:hideMark/>
          </w:tcPr>
          <w:p w14:paraId="79F98932"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 xml:space="preserve">Սպասում </w:t>
            </w:r>
          </w:p>
        </w:tc>
        <w:tc>
          <w:tcPr>
            <w:tcW w:w="1108" w:type="dxa"/>
            <w:tcBorders>
              <w:top w:val="nil"/>
              <w:left w:val="single" w:sz="8" w:space="0" w:color="4472C4"/>
              <w:bottom w:val="single" w:sz="8" w:space="0" w:color="5B9BD5"/>
              <w:right w:val="single" w:sz="8" w:space="0" w:color="4472C4"/>
            </w:tcBorders>
            <w:shd w:val="clear" w:color="000000" w:fill="8EA9DB"/>
            <w:vAlign w:val="center"/>
          </w:tcPr>
          <w:p w14:paraId="75113B32" w14:textId="77777777" w:rsidR="00027FBF" w:rsidRPr="00A83C94" w:rsidRDefault="00027FBF" w:rsidP="00027FBF">
            <w:pPr>
              <w:spacing w:before="0" w:line="240" w:lineRule="auto"/>
              <w:ind w:firstLine="0"/>
              <w:contextualSpacing w:val="0"/>
              <w:jc w:val="center"/>
              <w:rPr>
                <w:rFonts w:cs="Arial"/>
                <w:bCs/>
                <w:color w:val="FFFFFF"/>
                <w:sz w:val="20"/>
                <w:szCs w:val="20"/>
                <w:lang w:val="hy-AM" w:eastAsia="en-US"/>
              </w:rPr>
            </w:pPr>
            <w:r w:rsidRPr="00A83C94">
              <w:rPr>
                <w:rFonts w:cs="Arial"/>
                <w:bCs/>
                <w:color w:val="FFFFFF"/>
                <w:sz w:val="20"/>
                <w:szCs w:val="20"/>
                <w:lang w:val="hy-AM" w:eastAsia="en-US"/>
              </w:rPr>
              <w:t>Բյուջե</w:t>
            </w:r>
          </w:p>
        </w:tc>
      </w:tr>
      <w:tr w:rsidR="00027FBF" w:rsidRPr="00A83C94" w14:paraId="215E04C9" w14:textId="77777777" w:rsidTr="00027FBF">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14:paraId="244B816A"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7FB089FC"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1341.7</w:t>
            </w:r>
          </w:p>
        </w:tc>
        <w:tc>
          <w:tcPr>
            <w:tcW w:w="1080" w:type="dxa"/>
            <w:tcBorders>
              <w:top w:val="nil"/>
              <w:left w:val="single" w:sz="8" w:space="0" w:color="4472C4"/>
              <w:bottom w:val="single" w:sz="8" w:space="0" w:color="5B9BD5"/>
              <w:right w:val="nil"/>
            </w:tcBorders>
            <w:shd w:val="clear" w:color="000000" w:fill="FFFFFF"/>
            <w:noWrap/>
            <w:vAlign w:val="center"/>
            <w:hideMark/>
          </w:tcPr>
          <w:p w14:paraId="32AA7784"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1565.5</w:t>
            </w:r>
          </w:p>
        </w:tc>
        <w:tc>
          <w:tcPr>
            <w:tcW w:w="1080" w:type="dxa"/>
            <w:tcBorders>
              <w:top w:val="nil"/>
              <w:left w:val="single" w:sz="8" w:space="0" w:color="4472C4"/>
              <w:bottom w:val="single" w:sz="8" w:space="0" w:color="5B9BD5"/>
              <w:right w:val="nil"/>
            </w:tcBorders>
            <w:shd w:val="clear" w:color="000000" w:fill="FFFFFF"/>
            <w:noWrap/>
            <w:vAlign w:val="center"/>
          </w:tcPr>
          <w:p w14:paraId="50B7DD3E"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1,560.7</w:t>
            </w:r>
          </w:p>
        </w:tc>
        <w:tc>
          <w:tcPr>
            <w:tcW w:w="1108" w:type="dxa"/>
            <w:tcBorders>
              <w:top w:val="nil"/>
              <w:left w:val="single" w:sz="8" w:space="0" w:color="4472C4"/>
              <w:bottom w:val="single" w:sz="8" w:space="0" w:color="5B9BD5"/>
              <w:right w:val="nil"/>
            </w:tcBorders>
            <w:shd w:val="clear" w:color="000000" w:fill="DEEAF6"/>
            <w:noWrap/>
            <w:vAlign w:val="center"/>
          </w:tcPr>
          <w:p w14:paraId="38AF68A5"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1,656.9</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3C4E429B" w14:textId="77777777" w:rsidR="00027FBF" w:rsidRPr="00A83C94" w:rsidRDefault="00027FBF" w:rsidP="00027FBF">
            <w:pPr>
              <w:spacing w:before="0" w:line="240" w:lineRule="auto"/>
              <w:ind w:firstLine="0"/>
              <w:contextualSpacing w:val="0"/>
              <w:jc w:val="right"/>
              <w:rPr>
                <w:color w:val="000000"/>
                <w:sz w:val="20"/>
                <w:lang w:val="hy-AM"/>
              </w:rPr>
            </w:pPr>
            <w:r w:rsidRPr="00A83C94">
              <w:rPr>
                <w:color w:val="000000"/>
                <w:sz w:val="20"/>
                <w:lang w:val="en-US"/>
              </w:rPr>
              <w:t>1,94</w:t>
            </w:r>
            <w:r>
              <w:rPr>
                <w:color w:val="000000"/>
                <w:sz w:val="20"/>
                <w:lang w:val="hy-AM"/>
              </w:rPr>
              <w:t>7</w:t>
            </w:r>
            <w:r w:rsidRPr="00A83C94">
              <w:rPr>
                <w:color w:val="000000"/>
                <w:sz w:val="20"/>
                <w:lang w:val="en-US"/>
              </w:rPr>
              <w:t>.</w:t>
            </w:r>
            <w:r>
              <w:rPr>
                <w:color w:val="000000"/>
                <w:sz w:val="20"/>
                <w:lang w:val="hy-AM"/>
              </w:rPr>
              <w:t>8</w:t>
            </w:r>
          </w:p>
        </w:tc>
      </w:tr>
      <w:tr w:rsidR="00027FBF" w:rsidRPr="00A83C94" w14:paraId="22A9F157"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2EEA49A5" w14:textId="77777777" w:rsidR="00027FBF" w:rsidRPr="00A83C94" w:rsidRDefault="00027FBF" w:rsidP="00027FBF">
            <w:pPr>
              <w:spacing w:before="0" w:line="240" w:lineRule="auto"/>
              <w:ind w:left="308" w:firstLine="0"/>
              <w:contextualSpacing w:val="0"/>
              <w:jc w:val="left"/>
              <w:rPr>
                <w:rFonts w:cs="Arial"/>
                <w:color w:val="000000"/>
                <w:sz w:val="20"/>
                <w:szCs w:val="20"/>
                <w:lang w:val="hy-AM" w:eastAsia="en-US"/>
              </w:rPr>
            </w:pPr>
            <w:r w:rsidRPr="00A83C94">
              <w:rPr>
                <w:rFonts w:cs="Arial"/>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6D180260"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1258.1</w:t>
            </w:r>
          </w:p>
        </w:tc>
        <w:tc>
          <w:tcPr>
            <w:tcW w:w="1080" w:type="dxa"/>
            <w:tcBorders>
              <w:top w:val="nil"/>
              <w:left w:val="single" w:sz="8" w:space="0" w:color="4472C4"/>
              <w:bottom w:val="single" w:sz="8" w:space="0" w:color="5B9BD5"/>
              <w:right w:val="nil"/>
            </w:tcBorders>
            <w:shd w:val="clear" w:color="000000" w:fill="FFFFFF"/>
            <w:noWrap/>
            <w:vAlign w:val="center"/>
            <w:hideMark/>
          </w:tcPr>
          <w:p w14:paraId="4D2008FF"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1464.3</w:t>
            </w:r>
          </w:p>
        </w:tc>
        <w:tc>
          <w:tcPr>
            <w:tcW w:w="1080" w:type="dxa"/>
            <w:tcBorders>
              <w:top w:val="nil"/>
              <w:left w:val="single" w:sz="8" w:space="0" w:color="4472C4"/>
              <w:bottom w:val="single" w:sz="8" w:space="0" w:color="5B9BD5"/>
              <w:right w:val="nil"/>
            </w:tcBorders>
            <w:shd w:val="clear" w:color="000000" w:fill="FFFFFF"/>
            <w:noWrap/>
            <w:vAlign w:val="center"/>
          </w:tcPr>
          <w:p w14:paraId="6105FCAC"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1,385.2</w:t>
            </w:r>
          </w:p>
        </w:tc>
        <w:tc>
          <w:tcPr>
            <w:tcW w:w="1108" w:type="dxa"/>
            <w:tcBorders>
              <w:top w:val="nil"/>
              <w:left w:val="single" w:sz="8" w:space="0" w:color="4472C4"/>
              <w:bottom w:val="single" w:sz="8" w:space="0" w:color="5B9BD5"/>
              <w:right w:val="nil"/>
            </w:tcBorders>
            <w:shd w:val="clear" w:color="000000" w:fill="DEEAF6"/>
            <w:noWrap/>
            <w:vAlign w:val="center"/>
          </w:tcPr>
          <w:p w14:paraId="3DBB2AC0"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1,581.0</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5063E08A" w14:textId="77777777" w:rsidR="00027FBF" w:rsidRPr="00DA6FB0" w:rsidRDefault="00027FBF" w:rsidP="00027FBF">
            <w:pPr>
              <w:spacing w:before="0" w:line="240" w:lineRule="auto"/>
              <w:ind w:firstLine="0"/>
              <w:contextualSpacing w:val="0"/>
              <w:jc w:val="right"/>
              <w:rPr>
                <w:color w:val="000000"/>
                <w:sz w:val="20"/>
                <w:lang w:val="hy-AM"/>
              </w:rPr>
            </w:pPr>
            <w:r w:rsidRPr="00A83C94">
              <w:rPr>
                <w:color w:val="000000"/>
                <w:sz w:val="20"/>
                <w:lang w:val="en-US"/>
              </w:rPr>
              <w:t>1,843.</w:t>
            </w:r>
            <w:r>
              <w:rPr>
                <w:color w:val="000000"/>
                <w:sz w:val="20"/>
                <w:lang w:val="hy-AM"/>
              </w:rPr>
              <w:t>9</w:t>
            </w:r>
          </w:p>
        </w:tc>
      </w:tr>
      <w:tr w:rsidR="00027FBF" w:rsidRPr="00A83C94" w14:paraId="31DF29F5"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6C9C5CF6"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45A738B6"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1447.1</w:t>
            </w:r>
          </w:p>
        </w:tc>
        <w:tc>
          <w:tcPr>
            <w:tcW w:w="1080" w:type="dxa"/>
            <w:tcBorders>
              <w:top w:val="nil"/>
              <w:left w:val="single" w:sz="8" w:space="0" w:color="4472C4"/>
              <w:bottom w:val="single" w:sz="8" w:space="0" w:color="5B9BD5"/>
              <w:right w:val="nil"/>
            </w:tcBorders>
            <w:shd w:val="clear" w:color="000000" w:fill="FFFFFF"/>
            <w:noWrap/>
            <w:vAlign w:val="center"/>
            <w:hideMark/>
          </w:tcPr>
          <w:p w14:paraId="3B3774F6"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rPr>
              <w:t>1629.4</w:t>
            </w:r>
          </w:p>
        </w:tc>
        <w:tc>
          <w:tcPr>
            <w:tcW w:w="1080" w:type="dxa"/>
            <w:tcBorders>
              <w:top w:val="nil"/>
              <w:left w:val="single" w:sz="8" w:space="0" w:color="4472C4"/>
              <w:bottom w:val="single" w:sz="8" w:space="0" w:color="5B9BD5"/>
              <w:right w:val="nil"/>
            </w:tcBorders>
            <w:shd w:val="clear" w:color="000000" w:fill="FFFFFF"/>
            <w:noWrap/>
            <w:vAlign w:val="center"/>
          </w:tcPr>
          <w:p w14:paraId="598EC8D9"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1,894.6</w:t>
            </w:r>
          </w:p>
        </w:tc>
        <w:tc>
          <w:tcPr>
            <w:tcW w:w="1108" w:type="dxa"/>
            <w:tcBorders>
              <w:top w:val="nil"/>
              <w:left w:val="single" w:sz="8" w:space="0" w:color="4472C4"/>
              <w:bottom w:val="single" w:sz="8" w:space="0" w:color="5B9BD5"/>
              <w:right w:val="nil"/>
            </w:tcBorders>
            <w:shd w:val="clear" w:color="000000" w:fill="DEEAF6"/>
            <w:noWrap/>
            <w:vAlign w:val="center"/>
          </w:tcPr>
          <w:p w14:paraId="55BC119C"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1,986.0</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2AFC7347" w14:textId="77777777" w:rsidR="00027FBF" w:rsidRPr="00DA6FB0" w:rsidRDefault="00027FBF" w:rsidP="00027FBF">
            <w:pPr>
              <w:spacing w:before="0" w:line="240" w:lineRule="auto"/>
              <w:ind w:firstLine="0"/>
              <w:contextualSpacing w:val="0"/>
              <w:jc w:val="right"/>
              <w:rPr>
                <w:color w:val="000000"/>
                <w:sz w:val="20"/>
                <w:lang w:val="hy-AM"/>
              </w:rPr>
            </w:pPr>
            <w:r w:rsidRPr="00E5336E">
              <w:rPr>
                <w:color w:val="000000"/>
                <w:sz w:val="20"/>
                <w:lang w:val="en-US"/>
              </w:rPr>
              <w:t>2,18</w:t>
            </w:r>
            <w:r>
              <w:rPr>
                <w:color w:val="000000"/>
                <w:sz w:val="20"/>
                <w:lang w:val="hy-AM"/>
              </w:rPr>
              <w:t>4</w:t>
            </w:r>
            <w:r w:rsidRPr="00E5336E">
              <w:rPr>
                <w:color w:val="000000"/>
                <w:sz w:val="20"/>
                <w:lang w:val="en-US"/>
              </w:rPr>
              <w:t>.</w:t>
            </w:r>
            <w:r>
              <w:rPr>
                <w:color w:val="000000"/>
                <w:sz w:val="20"/>
                <w:lang w:val="hy-AM"/>
              </w:rPr>
              <w:t>0</w:t>
            </w:r>
          </w:p>
        </w:tc>
      </w:tr>
      <w:tr w:rsidR="00027FBF" w:rsidRPr="00A83C94" w14:paraId="38A25412"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59597A90"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58BFC8FE"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1299</w:t>
            </w:r>
          </w:p>
        </w:tc>
        <w:tc>
          <w:tcPr>
            <w:tcW w:w="1080" w:type="dxa"/>
            <w:tcBorders>
              <w:top w:val="nil"/>
              <w:left w:val="single" w:sz="8" w:space="0" w:color="4472C4"/>
              <w:bottom w:val="single" w:sz="8" w:space="0" w:color="5B9BD5"/>
              <w:right w:val="nil"/>
            </w:tcBorders>
            <w:shd w:val="clear" w:color="000000" w:fill="FFFFFF"/>
            <w:noWrap/>
            <w:vAlign w:val="center"/>
            <w:hideMark/>
          </w:tcPr>
          <w:p w14:paraId="508E9A94"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1437.1</w:t>
            </w:r>
          </w:p>
        </w:tc>
        <w:tc>
          <w:tcPr>
            <w:tcW w:w="1080" w:type="dxa"/>
            <w:tcBorders>
              <w:top w:val="nil"/>
              <w:left w:val="single" w:sz="8" w:space="0" w:color="4472C4"/>
              <w:bottom w:val="single" w:sz="8" w:space="0" w:color="5B9BD5"/>
              <w:right w:val="nil"/>
            </w:tcBorders>
            <w:shd w:val="clear" w:color="000000" w:fill="FFFFFF"/>
            <w:noWrap/>
            <w:vAlign w:val="center"/>
          </w:tcPr>
          <w:p w14:paraId="09CD0599"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1,668.5</w:t>
            </w:r>
          </w:p>
        </w:tc>
        <w:tc>
          <w:tcPr>
            <w:tcW w:w="1108" w:type="dxa"/>
            <w:tcBorders>
              <w:top w:val="nil"/>
              <w:left w:val="single" w:sz="8" w:space="0" w:color="4472C4"/>
              <w:bottom w:val="single" w:sz="8" w:space="0" w:color="5B9BD5"/>
              <w:right w:val="nil"/>
            </w:tcBorders>
            <w:shd w:val="clear" w:color="000000" w:fill="DEEAF6"/>
            <w:noWrap/>
            <w:vAlign w:val="center"/>
          </w:tcPr>
          <w:p w14:paraId="195C6C4A"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1,762.2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09B32515" w14:textId="77777777" w:rsidR="00027FBF" w:rsidRPr="00D51F9A" w:rsidRDefault="00027FBF" w:rsidP="00027FBF">
            <w:pPr>
              <w:spacing w:before="0" w:line="240" w:lineRule="auto"/>
              <w:ind w:firstLine="0"/>
              <w:contextualSpacing w:val="0"/>
              <w:jc w:val="right"/>
              <w:rPr>
                <w:b w:val="0"/>
                <w:color w:val="000000"/>
                <w:sz w:val="20"/>
                <w:lang w:val="hy-AM"/>
              </w:rPr>
            </w:pPr>
            <w:r w:rsidRPr="00E5336E">
              <w:rPr>
                <w:b w:val="0"/>
                <w:color w:val="000000"/>
                <w:sz w:val="20"/>
                <w:lang w:val="en-US"/>
              </w:rPr>
              <w:t>1,84</w:t>
            </w:r>
            <w:r>
              <w:rPr>
                <w:b w:val="0"/>
                <w:color w:val="000000"/>
                <w:sz w:val="20"/>
                <w:lang w:val="hy-AM"/>
              </w:rPr>
              <w:t>2</w:t>
            </w:r>
            <w:r w:rsidRPr="00E5336E">
              <w:rPr>
                <w:b w:val="0"/>
                <w:color w:val="000000"/>
                <w:sz w:val="20"/>
                <w:lang w:val="en-US"/>
              </w:rPr>
              <w:t>.</w:t>
            </w:r>
            <w:r>
              <w:rPr>
                <w:b w:val="0"/>
                <w:color w:val="000000"/>
                <w:sz w:val="20"/>
                <w:lang w:val="hy-AM"/>
              </w:rPr>
              <w:t>2</w:t>
            </w:r>
          </w:p>
        </w:tc>
      </w:tr>
      <w:tr w:rsidR="00027FBF" w:rsidRPr="00A83C94" w14:paraId="73C64D43"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46800E48"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39B0AE88"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148.1</w:t>
            </w:r>
          </w:p>
        </w:tc>
        <w:tc>
          <w:tcPr>
            <w:tcW w:w="1080" w:type="dxa"/>
            <w:tcBorders>
              <w:top w:val="nil"/>
              <w:left w:val="single" w:sz="8" w:space="0" w:color="4472C4"/>
              <w:bottom w:val="single" w:sz="8" w:space="0" w:color="5B9BD5"/>
              <w:right w:val="nil"/>
            </w:tcBorders>
            <w:shd w:val="clear" w:color="000000" w:fill="FFFFFF"/>
            <w:noWrap/>
            <w:vAlign w:val="center"/>
            <w:hideMark/>
          </w:tcPr>
          <w:p w14:paraId="4A247118"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192.3</w:t>
            </w:r>
          </w:p>
        </w:tc>
        <w:tc>
          <w:tcPr>
            <w:tcW w:w="1080" w:type="dxa"/>
            <w:tcBorders>
              <w:top w:val="nil"/>
              <w:left w:val="single" w:sz="8" w:space="0" w:color="4472C4"/>
              <w:bottom w:val="single" w:sz="8" w:space="0" w:color="5B9BD5"/>
              <w:right w:val="nil"/>
            </w:tcBorders>
            <w:shd w:val="clear" w:color="000000" w:fill="FFFFFF"/>
            <w:noWrap/>
            <w:vAlign w:val="center"/>
          </w:tcPr>
          <w:p w14:paraId="73138FD0"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226.2</w:t>
            </w:r>
          </w:p>
        </w:tc>
        <w:tc>
          <w:tcPr>
            <w:tcW w:w="1108" w:type="dxa"/>
            <w:tcBorders>
              <w:top w:val="nil"/>
              <w:left w:val="single" w:sz="8" w:space="0" w:color="4472C4"/>
              <w:bottom w:val="single" w:sz="8" w:space="0" w:color="5B9BD5"/>
              <w:right w:val="nil"/>
            </w:tcBorders>
            <w:shd w:val="clear" w:color="000000" w:fill="DEEAF6"/>
            <w:noWrap/>
            <w:vAlign w:val="center"/>
          </w:tcPr>
          <w:p w14:paraId="5081268F"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223.8</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05B10981" w14:textId="77777777" w:rsidR="00027FBF" w:rsidRPr="00A83C94" w:rsidRDefault="00027FBF" w:rsidP="00027FBF">
            <w:pPr>
              <w:spacing w:before="0" w:line="240" w:lineRule="auto"/>
              <w:ind w:firstLine="0"/>
              <w:contextualSpacing w:val="0"/>
              <w:jc w:val="right"/>
              <w:rPr>
                <w:b w:val="0"/>
                <w:color w:val="000000"/>
                <w:sz w:val="20"/>
                <w:lang w:val="en-US"/>
              </w:rPr>
            </w:pPr>
            <w:r w:rsidRPr="00E5336E">
              <w:rPr>
                <w:b w:val="0"/>
                <w:color w:val="000000"/>
                <w:sz w:val="20"/>
                <w:lang w:val="hy-AM"/>
              </w:rPr>
              <w:t>34</w:t>
            </w:r>
            <w:r>
              <w:rPr>
                <w:b w:val="0"/>
                <w:color w:val="000000"/>
                <w:sz w:val="20"/>
                <w:lang w:val="hy-AM"/>
              </w:rPr>
              <w:t>1</w:t>
            </w:r>
            <w:r w:rsidRPr="00E5336E">
              <w:rPr>
                <w:b w:val="0"/>
                <w:color w:val="000000"/>
                <w:sz w:val="20"/>
                <w:lang w:val="hy-AM"/>
              </w:rPr>
              <w:t>.</w:t>
            </w:r>
            <w:r>
              <w:rPr>
                <w:b w:val="0"/>
                <w:color w:val="000000"/>
                <w:sz w:val="20"/>
                <w:lang w:val="hy-AM"/>
              </w:rPr>
              <w:t>9</w:t>
            </w:r>
          </w:p>
        </w:tc>
      </w:tr>
      <w:tr w:rsidR="00027FBF" w:rsidRPr="00A83C94" w14:paraId="22E8F487" w14:textId="77777777" w:rsidTr="00027FBF">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14:paraId="198EF469"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Պետական բյուջեի դեֆիցիտ (-) / պրոֆիցիտ (+)</w:t>
            </w:r>
          </w:p>
        </w:tc>
        <w:tc>
          <w:tcPr>
            <w:tcW w:w="1080" w:type="dxa"/>
            <w:tcBorders>
              <w:top w:val="nil"/>
              <w:left w:val="single" w:sz="8" w:space="0" w:color="4472C4"/>
              <w:bottom w:val="single" w:sz="8" w:space="0" w:color="5B9BD5"/>
              <w:right w:val="nil"/>
            </w:tcBorders>
            <w:shd w:val="clear" w:color="000000" w:fill="FFFFFF"/>
            <w:noWrap/>
            <w:vAlign w:val="center"/>
            <w:hideMark/>
          </w:tcPr>
          <w:p w14:paraId="1C43175F"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-105.4</w:t>
            </w:r>
          </w:p>
        </w:tc>
        <w:tc>
          <w:tcPr>
            <w:tcW w:w="1080" w:type="dxa"/>
            <w:tcBorders>
              <w:top w:val="nil"/>
              <w:left w:val="single" w:sz="8" w:space="0" w:color="4472C4"/>
              <w:bottom w:val="single" w:sz="8" w:space="0" w:color="5B9BD5"/>
              <w:right w:val="nil"/>
            </w:tcBorders>
            <w:shd w:val="clear" w:color="000000" w:fill="FFFFFF"/>
            <w:noWrap/>
            <w:vAlign w:val="center"/>
            <w:hideMark/>
          </w:tcPr>
          <w:p w14:paraId="54E445F7" w14:textId="77777777" w:rsidR="00027FBF" w:rsidRPr="00A83C94" w:rsidRDefault="00027FBF" w:rsidP="00027FBF">
            <w:pPr>
              <w:spacing w:before="0" w:line="240" w:lineRule="auto"/>
              <w:ind w:firstLine="0"/>
              <w:contextualSpacing w:val="0"/>
              <w:jc w:val="right"/>
              <w:rPr>
                <w:rFonts w:cs="Arial"/>
                <w:b w:val="0"/>
                <w:bCs/>
                <w:color w:val="000000"/>
                <w:sz w:val="20"/>
                <w:szCs w:val="20"/>
                <w:lang w:val="en-US" w:eastAsia="en-US"/>
              </w:rPr>
            </w:pPr>
            <w:r w:rsidRPr="00A83C94">
              <w:rPr>
                <w:rFonts w:cs="Arial"/>
                <w:b w:val="0"/>
                <w:bCs/>
                <w:color w:val="000000"/>
                <w:sz w:val="20"/>
                <w:szCs w:val="20"/>
                <w:lang w:val="hy-AM"/>
              </w:rPr>
              <w:t>-64.0</w:t>
            </w:r>
          </w:p>
        </w:tc>
        <w:tc>
          <w:tcPr>
            <w:tcW w:w="1080" w:type="dxa"/>
            <w:tcBorders>
              <w:top w:val="nil"/>
              <w:left w:val="single" w:sz="8" w:space="0" w:color="4472C4"/>
              <w:bottom w:val="single" w:sz="8" w:space="0" w:color="5B9BD5"/>
              <w:right w:val="nil"/>
            </w:tcBorders>
            <w:shd w:val="clear" w:color="000000" w:fill="FFFFFF"/>
            <w:noWrap/>
            <w:vAlign w:val="center"/>
          </w:tcPr>
          <w:p w14:paraId="545D063F"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-334.0</w:t>
            </w:r>
          </w:p>
        </w:tc>
        <w:tc>
          <w:tcPr>
            <w:tcW w:w="1108" w:type="dxa"/>
            <w:tcBorders>
              <w:top w:val="nil"/>
              <w:left w:val="single" w:sz="8" w:space="0" w:color="4472C4"/>
              <w:bottom w:val="single" w:sz="8" w:space="0" w:color="5B9BD5"/>
              <w:right w:val="nil"/>
            </w:tcBorders>
            <w:shd w:val="clear" w:color="000000" w:fill="DEEAF6"/>
            <w:noWrap/>
            <w:vAlign w:val="center"/>
          </w:tcPr>
          <w:p w14:paraId="0FC57FD9"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-329.1</w:t>
            </w:r>
          </w:p>
        </w:tc>
        <w:tc>
          <w:tcPr>
            <w:tcW w:w="1108" w:type="dxa"/>
            <w:tcBorders>
              <w:top w:val="nil"/>
              <w:left w:val="single" w:sz="8" w:space="0" w:color="4472C4"/>
              <w:bottom w:val="single" w:sz="4" w:space="0" w:color="4472C4"/>
              <w:right w:val="single" w:sz="8" w:space="0" w:color="4472C4"/>
            </w:tcBorders>
            <w:shd w:val="clear" w:color="000000" w:fill="DEEAF6"/>
            <w:vAlign w:val="center"/>
          </w:tcPr>
          <w:p w14:paraId="26C65CF5" w14:textId="77777777" w:rsidR="00027FBF" w:rsidRPr="00D51F9A" w:rsidRDefault="00027FBF" w:rsidP="00027FBF">
            <w:pPr>
              <w:spacing w:before="0" w:line="240" w:lineRule="auto"/>
              <w:ind w:firstLine="0"/>
              <w:contextualSpacing w:val="0"/>
              <w:jc w:val="right"/>
              <w:rPr>
                <w:b w:val="0"/>
                <w:color w:val="000000"/>
                <w:sz w:val="20"/>
                <w:lang w:val="hy-AM"/>
              </w:rPr>
            </w:pPr>
            <w:r w:rsidRPr="00E5336E">
              <w:rPr>
                <w:b w:val="0"/>
                <w:color w:val="000000"/>
                <w:sz w:val="20"/>
                <w:lang w:val="en-US"/>
              </w:rPr>
              <w:t>-2</w:t>
            </w:r>
            <w:r>
              <w:rPr>
                <w:b w:val="0"/>
                <w:color w:val="000000"/>
                <w:sz w:val="20"/>
                <w:lang w:val="hy-AM"/>
              </w:rPr>
              <w:t>36.3</w:t>
            </w:r>
          </w:p>
        </w:tc>
      </w:tr>
      <w:tr w:rsidR="00027FBF" w:rsidRPr="00A83C94" w14:paraId="154798AA"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5DF9AA7F"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5B9BD5"/>
              <w:right w:val="nil"/>
            </w:tcBorders>
            <w:shd w:val="clear" w:color="000000" w:fill="FFFFFF"/>
            <w:noWrap/>
            <w:vAlign w:val="center"/>
            <w:hideMark/>
          </w:tcPr>
          <w:p w14:paraId="4E0EA09A"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3082.9</w:t>
            </w:r>
          </w:p>
        </w:tc>
        <w:tc>
          <w:tcPr>
            <w:tcW w:w="1080" w:type="dxa"/>
            <w:tcBorders>
              <w:top w:val="nil"/>
              <w:left w:val="single" w:sz="8" w:space="0" w:color="4472C4"/>
              <w:bottom w:val="single" w:sz="8" w:space="0" w:color="5B9BD5"/>
              <w:right w:val="nil"/>
            </w:tcBorders>
            <w:shd w:val="clear" w:color="000000" w:fill="FFFFFF"/>
            <w:noWrap/>
            <w:vAlign w:val="center"/>
            <w:hideMark/>
          </w:tcPr>
          <w:p w14:paraId="22342550"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rPr>
              <w:t>3277.3</w:t>
            </w:r>
          </w:p>
        </w:tc>
        <w:tc>
          <w:tcPr>
            <w:tcW w:w="1080" w:type="dxa"/>
            <w:tcBorders>
              <w:top w:val="nil"/>
              <w:left w:val="single" w:sz="8" w:space="0" w:color="4472C4"/>
              <w:bottom w:val="single" w:sz="8" w:space="0" w:color="5B9BD5"/>
              <w:right w:val="nil"/>
            </w:tcBorders>
            <w:shd w:val="clear" w:color="000000" w:fill="FFFFFF"/>
            <w:noWrap/>
            <w:vAlign w:val="center"/>
          </w:tcPr>
          <w:p w14:paraId="45884115"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3,923.9</w:t>
            </w:r>
          </w:p>
        </w:tc>
        <w:tc>
          <w:tcPr>
            <w:tcW w:w="1108" w:type="dxa"/>
            <w:tcBorders>
              <w:top w:val="nil"/>
              <w:left w:val="single" w:sz="8" w:space="0" w:color="4472C4"/>
              <w:bottom w:val="single" w:sz="8" w:space="0" w:color="5B9BD5"/>
              <w:right w:val="nil"/>
            </w:tcBorders>
            <w:shd w:val="clear" w:color="000000" w:fill="DEEAF6"/>
            <w:noWrap/>
            <w:vAlign w:val="center"/>
          </w:tcPr>
          <w:p w14:paraId="1735A65C"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4,273.9</w:t>
            </w:r>
          </w:p>
        </w:tc>
        <w:tc>
          <w:tcPr>
            <w:tcW w:w="1108" w:type="dxa"/>
            <w:tcBorders>
              <w:top w:val="single" w:sz="8" w:space="0" w:color="5B9BD5"/>
              <w:left w:val="single" w:sz="8" w:space="0" w:color="4472C4"/>
              <w:bottom w:val="single" w:sz="4" w:space="0" w:color="4472C4"/>
              <w:right w:val="single" w:sz="8" w:space="0" w:color="4472C4"/>
            </w:tcBorders>
            <w:shd w:val="clear" w:color="000000" w:fill="DEEAF6"/>
            <w:vAlign w:val="center"/>
          </w:tcPr>
          <w:p w14:paraId="003BE833" w14:textId="77777777" w:rsidR="00027FBF" w:rsidRPr="00A83C94" w:rsidRDefault="00027FBF" w:rsidP="00027FBF">
            <w:pPr>
              <w:spacing w:before="0" w:line="240" w:lineRule="auto"/>
              <w:ind w:firstLine="0"/>
              <w:contextualSpacing w:val="0"/>
              <w:jc w:val="right"/>
              <w:rPr>
                <w:b w:val="0"/>
                <w:color w:val="000000"/>
                <w:sz w:val="20"/>
                <w:lang w:val="en-US"/>
              </w:rPr>
            </w:pPr>
            <w:r w:rsidRPr="00A31A06">
              <w:rPr>
                <w:b w:val="0"/>
                <w:color w:val="000000"/>
                <w:sz w:val="20"/>
                <w:lang w:val="en-US"/>
              </w:rPr>
              <w:t>4,740.</w:t>
            </w:r>
            <w:r>
              <w:rPr>
                <w:b w:val="0"/>
                <w:color w:val="000000"/>
                <w:sz w:val="20"/>
                <w:lang w:val="en-US"/>
              </w:rPr>
              <w:t>8</w:t>
            </w:r>
          </w:p>
        </w:tc>
      </w:tr>
      <w:tr w:rsidR="00027FBF" w:rsidRPr="00A83C94" w14:paraId="18324E57" w14:textId="77777777" w:rsidTr="00027FBF">
        <w:trPr>
          <w:trHeight w:val="300"/>
          <w:jc w:val="center"/>
        </w:trPr>
        <w:tc>
          <w:tcPr>
            <w:tcW w:w="4220" w:type="dxa"/>
            <w:gridSpan w:val="2"/>
            <w:tcBorders>
              <w:top w:val="single" w:sz="8" w:space="0" w:color="5B9BD5"/>
              <w:left w:val="single" w:sz="8" w:space="0" w:color="4472C4"/>
              <w:bottom w:val="single" w:sz="8" w:space="0" w:color="5B9BD5"/>
              <w:right w:val="single" w:sz="8" w:space="0" w:color="4472C4"/>
            </w:tcBorders>
            <w:shd w:val="clear" w:color="000000" w:fill="FFFFFF"/>
            <w:vAlign w:val="center"/>
            <w:hideMark/>
          </w:tcPr>
          <w:p w14:paraId="76B864B5" w14:textId="77777777" w:rsidR="00027FBF" w:rsidRPr="00A83C94" w:rsidRDefault="00027FBF" w:rsidP="00027FBF">
            <w:pPr>
              <w:spacing w:before="0" w:line="240" w:lineRule="auto"/>
              <w:ind w:firstLine="0"/>
              <w:contextualSpacing w:val="0"/>
              <w:jc w:val="center"/>
              <w:rPr>
                <w:rFonts w:cs="Arial"/>
                <w:bCs/>
                <w:color w:val="000000"/>
                <w:sz w:val="20"/>
                <w:szCs w:val="20"/>
                <w:lang w:val="hy-AM" w:eastAsia="en-US"/>
              </w:rPr>
            </w:pPr>
            <w:r w:rsidRPr="00A83C94">
              <w:rPr>
                <w:rFonts w:cs="Arial"/>
                <w:bCs/>
                <w:color w:val="000000"/>
                <w:sz w:val="20"/>
                <w:szCs w:val="20"/>
                <w:lang w:val="hy-AM" w:eastAsia="en-US"/>
              </w:rPr>
              <w:t>կշիռը ՀՆԱ-ում, %</w:t>
            </w:r>
          </w:p>
        </w:tc>
        <w:tc>
          <w:tcPr>
            <w:tcW w:w="1080" w:type="dxa"/>
            <w:tcBorders>
              <w:top w:val="nil"/>
              <w:left w:val="nil"/>
              <w:bottom w:val="single" w:sz="8" w:space="0" w:color="5B9BD5"/>
              <w:right w:val="nil"/>
            </w:tcBorders>
            <w:shd w:val="clear" w:color="000000" w:fill="FFFFFF"/>
            <w:noWrap/>
            <w:vAlign w:val="center"/>
            <w:hideMark/>
          </w:tcPr>
          <w:p w14:paraId="1AFC6FBE" w14:textId="77777777" w:rsidR="00027FBF" w:rsidRPr="00A83C94" w:rsidRDefault="00027FBF" w:rsidP="00027FBF">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14:paraId="61579EF8" w14:textId="77777777" w:rsidR="00027FBF" w:rsidRPr="00A83C94" w:rsidRDefault="00027FBF" w:rsidP="00027FBF">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108" w:type="dxa"/>
            <w:tcBorders>
              <w:top w:val="nil"/>
              <w:left w:val="single" w:sz="8" w:space="0" w:color="4472C4"/>
              <w:bottom w:val="single" w:sz="8" w:space="0" w:color="5B9BD5"/>
              <w:right w:val="nil"/>
            </w:tcBorders>
            <w:shd w:val="clear" w:color="000000" w:fill="DEEAF6"/>
            <w:noWrap/>
            <w:vAlign w:val="center"/>
            <w:hideMark/>
          </w:tcPr>
          <w:p w14:paraId="797A6CDA" w14:textId="77777777" w:rsidR="00027FBF" w:rsidRPr="00A83C94" w:rsidRDefault="00027FBF" w:rsidP="00027FBF">
            <w:pPr>
              <w:spacing w:before="0" w:line="240" w:lineRule="auto"/>
              <w:ind w:firstLine="0"/>
              <w:contextualSpacing w:val="0"/>
              <w:jc w:val="center"/>
              <w:rPr>
                <w:rFonts w:cs="Arial"/>
                <w:b w:val="0"/>
                <w:bCs/>
                <w:color w:val="000000"/>
                <w:sz w:val="20"/>
                <w:szCs w:val="20"/>
                <w:lang w:val="hy-AM" w:eastAsia="en-US"/>
              </w:rPr>
            </w:pPr>
            <w:r w:rsidRPr="00A83C94">
              <w:rPr>
                <w:rFonts w:ascii="Calibri" w:hAnsi="Calibri" w:cs="Calibri"/>
                <w:b w:val="0"/>
                <w:bCs/>
                <w:color w:val="000000"/>
                <w:sz w:val="20"/>
                <w:szCs w:val="20"/>
                <w:lang w:val="hy-AM" w:eastAsia="en-US"/>
              </w:rPr>
              <w:t> </w:t>
            </w:r>
          </w:p>
        </w:tc>
        <w:tc>
          <w:tcPr>
            <w:tcW w:w="1108" w:type="dxa"/>
            <w:tcBorders>
              <w:top w:val="nil"/>
              <w:left w:val="single" w:sz="8" w:space="0" w:color="4472C4"/>
              <w:bottom w:val="single" w:sz="8" w:space="0" w:color="5B9BD5"/>
              <w:right w:val="single" w:sz="8" w:space="0" w:color="4472C4"/>
            </w:tcBorders>
            <w:shd w:val="clear" w:color="000000" w:fill="DEEAF6"/>
          </w:tcPr>
          <w:p w14:paraId="68AEE273" w14:textId="77777777" w:rsidR="00027FBF" w:rsidRPr="00A83C94" w:rsidRDefault="00027FBF" w:rsidP="00027FBF">
            <w:pPr>
              <w:spacing w:before="0" w:line="240" w:lineRule="auto"/>
              <w:ind w:firstLine="0"/>
              <w:contextualSpacing w:val="0"/>
              <w:jc w:val="center"/>
              <w:rPr>
                <w:rFonts w:ascii="Calibri" w:hAnsi="Calibri" w:cs="Calibri"/>
                <w:b w:val="0"/>
                <w:bCs/>
                <w:color w:val="000000"/>
                <w:sz w:val="20"/>
                <w:szCs w:val="20"/>
                <w:lang w:val="hy-AM" w:eastAsia="en-US"/>
              </w:rPr>
            </w:pPr>
          </w:p>
        </w:tc>
      </w:tr>
      <w:tr w:rsidR="00027FBF" w:rsidRPr="00A83C94" w14:paraId="152133BC" w14:textId="77777777" w:rsidTr="00027FBF">
        <w:trPr>
          <w:trHeight w:val="825"/>
          <w:jc w:val="center"/>
        </w:trPr>
        <w:tc>
          <w:tcPr>
            <w:tcW w:w="3140" w:type="dxa"/>
            <w:tcBorders>
              <w:top w:val="nil"/>
              <w:left w:val="single" w:sz="8" w:space="0" w:color="4472C4"/>
              <w:bottom w:val="single" w:sz="8" w:space="0" w:color="5B9BD5"/>
              <w:right w:val="nil"/>
            </w:tcBorders>
            <w:shd w:val="clear" w:color="000000" w:fill="FFFFFF"/>
            <w:vAlign w:val="center"/>
            <w:hideMark/>
          </w:tcPr>
          <w:p w14:paraId="5CF41D0C"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եկամուտներ և պաշտոնական տրանսֆերտներ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1C0B2D1A"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22.3</w:t>
            </w:r>
          </w:p>
        </w:tc>
        <w:tc>
          <w:tcPr>
            <w:tcW w:w="1080" w:type="dxa"/>
            <w:tcBorders>
              <w:top w:val="nil"/>
              <w:left w:val="single" w:sz="8" w:space="0" w:color="4472C4"/>
              <w:bottom w:val="single" w:sz="8" w:space="0" w:color="5B9BD5"/>
              <w:right w:val="nil"/>
            </w:tcBorders>
            <w:shd w:val="clear" w:color="000000" w:fill="FFFFFF"/>
            <w:noWrap/>
            <w:vAlign w:val="center"/>
            <w:hideMark/>
          </w:tcPr>
          <w:p w14:paraId="73CE0CD1"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23.9</w:t>
            </w:r>
          </w:p>
        </w:tc>
        <w:tc>
          <w:tcPr>
            <w:tcW w:w="1080" w:type="dxa"/>
            <w:tcBorders>
              <w:top w:val="nil"/>
              <w:left w:val="single" w:sz="8" w:space="0" w:color="4472C4"/>
              <w:bottom w:val="single" w:sz="8" w:space="0" w:color="5B9BD5"/>
              <w:right w:val="nil"/>
            </w:tcBorders>
            <w:shd w:val="clear" w:color="000000" w:fill="FFFFFF"/>
            <w:noWrap/>
            <w:vAlign w:val="center"/>
          </w:tcPr>
          <w:p w14:paraId="42CEADFA"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25.2</w:t>
            </w:r>
          </w:p>
        </w:tc>
        <w:tc>
          <w:tcPr>
            <w:tcW w:w="1108" w:type="dxa"/>
            <w:tcBorders>
              <w:top w:val="nil"/>
              <w:left w:val="single" w:sz="8" w:space="0" w:color="4472C4"/>
              <w:bottom w:val="single" w:sz="8" w:space="0" w:color="5B9BD5"/>
              <w:right w:val="nil"/>
            </w:tcBorders>
            <w:shd w:val="clear" w:color="000000" w:fill="DEEAF6"/>
            <w:noWrap/>
            <w:vAlign w:val="center"/>
          </w:tcPr>
          <w:p w14:paraId="0DF539FF"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23.6</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13BEADE0" w14:textId="77777777" w:rsidR="00027FBF" w:rsidRPr="00DA6FB0" w:rsidRDefault="00027FBF" w:rsidP="00027FBF">
            <w:pPr>
              <w:spacing w:before="0" w:line="240" w:lineRule="auto"/>
              <w:ind w:firstLine="0"/>
              <w:contextualSpacing w:val="0"/>
              <w:jc w:val="right"/>
              <w:rPr>
                <w:color w:val="000000"/>
                <w:sz w:val="20"/>
                <w:lang w:val="hy-AM"/>
              </w:rPr>
            </w:pPr>
            <w:r w:rsidRPr="00A83C94">
              <w:rPr>
                <w:color w:val="000000"/>
                <w:sz w:val="20"/>
                <w:lang w:val="en-US"/>
              </w:rPr>
              <w:t>24.</w:t>
            </w:r>
            <w:r>
              <w:rPr>
                <w:color w:val="000000"/>
                <w:sz w:val="20"/>
                <w:lang w:val="hy-AM"/>
              </w:rPr>
              <w:t>8</w:t>
            </w:r>
          </w:p>
        </w:tc>
      </w:tr>
      <w:tr w:rsidR="00027FBF" w:rsidRPr="00A83C94" w14:paraId="42BF23E9"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35CA601B" w14:textId="77777777" w:rsidR="00027FBF" w:rsidRPr="00A83C94" w:rsidRDefault="00027FBF" w:rsidP="00027FBF">
            <w:pPr>
              <w:spacing w:before="0" w:line="240" w:lineRule="auto"/>
              <w:ind w:left="308" w:firstLine="0"/>
              <w:contextualSpacing w:val="0"/>
              <w:jc w:val="left"/>
              <w:rPr>
                <w:rFonts w:cs="Arial"/>
                <w:color w:val="000000"/>
                <w:sz w:val="20"/>
                <w:szCs w:val="20"/>
                <w:lang w:val="hy-AM" w:eastAsia="en-US"/>
              </w:rPr>
            </w:pPr>
            <w:r w:rsidRPr="00A83C94">
              <w:rPr>
                <w:rFonts w:cs="Arial"/>
                <w:color w:val="000000"/>
                <w:sz w:val="20"/>
                <w:szCs w:val="20"/>
                <w:lang w:val="hy-AM" w:eastAsia="en-US"/>
              </w:rPr>
              <w:t>Հարկային եկամուտներ և տուրքեր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2FD5B71D"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20.9</w:t>
            </w:r>
          </w:p>
        </w:tc>
        <w:tc>
          <w:tcPr>
            <w:tcW w:w="1080" w:type="dxa"/>
            <w:tcBorders>
              <w:top w:val="nil"/>
              <w:left w:val="single" w:sz="8" w:space="0" w:color="4472C4"/>
              <w:bottom w:val="single" w:sz="8" w:space="0" w:color="5B9BD5"/>
              <w:right w:val="nil"/>
            </w:tcBorders>
            <w:shd w:val="clear" w:color="000000" w:fill="FFFFFF"/>
            <w:noWrap/>
            <w:vAlign w:val="center"/>
            <w:hideMark/>
          </w:tcPr>
          <w:p w14:paraId="34DE9C11"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22.4</w:t>
            </w:r>
          </w:p>
        </w:tc>
        <w:tc>
          <w:tcPr>
            <w:tcW w:w="1080" w:type="dxa"/>
            <w:tcBorders>
              <w:top w:val="nil"/>
              <w:left w:val="single" w:sz="8" w:space="0" w:color="4472C4"/>
              <w:bottom w:val="single" w:sz="8" w:space="0" w:color="5B9BD5"/>
              <w:right w:val="nil"/>
            </w:tcBorders>
            <w:shd w:val="clear" w:color="000000" w:fill="FFFFFF"/>
            <w:noWrap/>
            <w:vAlign w:val="center"/>
          </w:tcPr>
          <w:p w14:paraId="5B160B6B"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22.4</w:t>
            </w:r>
          </w:p>
        </w:tc>
        <w:tc>
          <w:tcPr>
            <w:tcW w:w="1108" w:type="dxa"/>
            <w:tcBorders>
              <w:top w:val="nil"/>
              <w:left w:val="single" w:sz="8" w:space="0" w:color="4472C4"/>
              <w:bottom w:val="single" w:sz="8" w:space="0" w:color="5B9BD5"/>
              <w:right w:val="nil"/>
            </w:tcBorders>
            <w:shd w:val="clear" w:color="000000" w:fill="DEEAF6"/>
            <w:noWrap/>
            <w:vAlign w:val="center"/>
          </w:tcPr>
          <w:p w14:paraId="77C10081"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22.5</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23D3FA3"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23.4</w:t>
            </w:r>
          </w:p>
        </w:tc>
      </w:tr>
      <w:tr w:rsidR="00027FBF" w:rsidRPr="00A83C94" w14:paraId="0B939A7A"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39D1775D" w14:textId="77777777" w:rsidR="00027FBF" w:rsidRPr="00A83C94" w:rsidRDefault="00027FBF" w:rsidP="00027FBF">
            <w:pPr>
              <w:spacing w:before="0" w:line="240" w:lineRule="auto"/>
              <w:ind w:firstLine="0"/>
              <w:contextualSpacing w:val="0"/>
              <w:jc w:val="left"/>
              <w:rPr>
                <w:rFonts w:cs="Arial"/>
                <w:color w:val="000000"/>
                <w:sz w:val="20"/>
                <w:szCs w:val="20"/>
                <w:lang w:val="hy-AM" w:eastAsia="en-US"/>
              </w:rPr>
            </w:pPr>
            <w:r w:rsidRPr="00A83C94">
              <w:rPr>
                <w:rFonts w:cs="Arial"/>
                <w:color w:val="000000"/>
                <w:sz w:val="20"/>
                <w:szCs w:val="20"/>
                <w:lang w:val="hy-AM" w:eastAsia="en-US"/>
              </w:rPr>
              <w:t>Պետական բյուջեի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33DCFCD5"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24.0</w:t>
            </w:r>
          </w:p>
        </w:tc>
        <w:tc>
          <w:tcPr>
            <w:tcW w:w="1080" w:type="dxa"/>
            <w:tcBorders>
              <w:top w:val="nil"/>
              <w:left w:val="single" w:sz="8" w:space="0" w:color="4472C4"/>
              <w:bottom w:val="single" w:sz="8" w:space="0" w:color="5B9BD5"/>
              <w:right w:val="nil"/>
            </w:tcBorders>
            <w:shd w:val="clear" w:color="000000" w:fill="FFFFFF"/>
            <w:noWrap/>
            <w:vAlign w:val="center"/>
            <w:hideMark/>
          </w:tcPr>
          <w:p w14:paraId="3FDC4D3F"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24.9</w:t>
            </w:r>
          </w:p>
        </w:tc>
        <w:tc>
          <w:tcPr>
            <w:tcW w:w="1080" w:type="dxa"/>
            <w:tcBorders>
              <w:top w:val="nil"/>
              <w:left w:val="single" w:sz="8" w:space="0" w:color="4472C4"/>
              <w:bottom w:val="single" w:sz="8" w:space="0" w:color="5B9BD5"/>
              <w:right w:val="nil"/>
            </w:tcBorders>
            <w:shd w:val="clear" w:color="000000" w:fill="FFFFFF"/>
            <w:noWrap/>
            <w:vAlign w:val="center"/>
          </w:tcPr>
          <w:p w14:paraId="018C49E0"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30.6</w:t>
            </w:r>
          </w:p>
        </w:tc>
        <w:tc>
          <w:tcPr>
            <w:tcW w:w="1108" w:type="dxa"/>
            <w:tcBorders>
              <w:top w:val="nil"/>
              <w:left w:val="single" w:sz="8" w:space="0" w:color="4472C4"/>
              <w:bottom w:val="single" w:sz="8" w:space="0" w:color="5B9BD5"/>
              <w:right w:val="nil"/>
            </w:tcBorders>
            <w:shd w:val="clear" w:color="000000" w:fill="DEEAF6"/>
            <w:noWrap/>
            <w:vAlign w:val="center"/>
          </w:tcPr>
          <w:p w14:paraId="7DFABDA2"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28.2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1749F6F4" w14:textId="77777777" w:rsidR="00027FBF" w:rsidRPr="00A83C94" w:rsidRDefault="00027FBF" w:rsidP="00027FBF">
            <w:pPr>
              <w:spacing w:before="0" w:line="240" w:lineRule="auto"/>
              <w:ind w:firstLine="0"/>
              <w:contextualSpacing w:val="0"/>
              <w:jc w:val="right"/>
              <w:rPr>
                <w:color w:val="000000"/>
                <w:sz w:val="20"/>
                <w:lang w:val="en-US"/>
              </w:rPr>
            </w:pPr>
            <w:r w:rsidRPr="00E5336E">
              <w:rPr>
                <w:color w:val="000000"/>
                <w:sz w:val="20"/>
                <w:lang w:val="en-US"/>
              </w:rPr>
              <w:t>27.8</w:t>
            </w:r>
          </w:p>
        </w:tc>
      </w:tr>
      <w:tr w:rsidR="00027FBF" w:rsidRPr="00A83C94" w14:paraId="50D4D5C9" w14:textId="77777777" w:rsidTr="00027FBF">
        <w:trPr>
          <w:trHeight w:val="300"/>
          <w:jc w:val="center"/>
        </w:trPr>
        <w:tc>
          <w:tcPr>
            <w:tcW w:w="3140" w:type="dxa"/>
            <w:tcBorders>
              <w:top w:val="nil"/>
              <w:left w:val="single" w:sz="8" w:space="0" w:color="4472C4"/>
              <w:bottom w:val="single" w:sz="8" w:space="0" w:color="5B9BD5"/>
              <w:right w:val="nil"/>
            </w:tcBorders>
            <w:shd w:val="clear" w:color="000000" w:fill="FFFFFF"/>
            <w:vAlign w:val="center"/>
            <w:hideMark/>
          </w:tcPr>
          <w:p w14:paraId="3899F7C3"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Ընթացիկ ծախսեր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05C2CB96"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21.6</w:t>
            </w:r>
          </w:p>
        </w:tc>
        <w:tc>
          <w:tcPr>
            <w:tcW w:w="1080" w:type="dxa"/>
            <w:tcBorders>
              <w:top w:val="nil"/>
              <w:left w:val="single" w:sz="8" w:space="0" w:color="4472C4"/>
              <w:bottom w:val="single" w:sz="8" w:space="0" w:color="5B9BD5"/>
              <w:right w:val="nil"/>
            </w:tcBorders>
            <w:shd w:val="clear" w:color="000000" w:fill="FFFFFF"/>
            <w:noWrap/>
            <w:vAlign w:val="center"/>
            <w:hideMark/>
          </w:tcPr>
          <w:p w14:paraId="1D08E182"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22.0</w:t>
            </w:r>
          </w:p>
        </w:tc>
        <w:tc>
          <w:tcPr>
            <w:tcW w:w="1080" w:type="dxa"/>
            <w:tcBorders>
              <w:top w:val="nil"/>
              <w:left w:val="single" w:sz="8" w:space="0" w:color="4472C4"/>
              <w:bottom w:val="single" w:sz="8" w:space="0" w:color="5B9BD5"/>
              <w:right w:val="nil"/>
            </w:tcBorders>
            <w:shd w:val="clear" w:color="000000" w:fill="FFFFFF"/>
            <w:noWrap/>
            <w:vAlign w:val="center"/>
          </w:tcPr>
          <w:p w14:paraId="78BFEB8D"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27.0</w:t>
            </w:r>
          </w:p>
        </w:tc>
        <w:tc>
          <w:tcPr>
            <w:tcW w:w="1108" w:type="dxa"/>
            <w:tcBorders>
              <w:top w:val="nil"/>
              <w:left w:val="single" w:sz="8" w:space="0" w:color="4472C4"/>
              <w:bottom w:val="single" w:sz="8" w:space="0" w:color="5B9BD5"/>
              <w:right w:val="nil"/>
            </w:tcBorders>
            <w:shd w:val="clear" w:color="000000" w:fill="DEEAF6"/>
            <w:noWrap/>
            <w:vAlign w:val="center"/>
          </w:tcPr>
          <w:p w14:paraId="75BC6A51"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25.1</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5847AD6B"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23.4</w:t>
            </w:r>
          </w:p>
        </w:tc>
      </w:tr>
      <w:tr w:rsidR="00027FBF" w:rsidRPr="00A83C94" w14:paraId="2B9FCE94" w14:textId="77777777" w:rsidTr="00027FBF">
        <w:trPr>
          <w:trHeight w:val="555"/>
          <w:jc w:val="center"/>
        </w:trPr>
        <w:tc>
          <w:tcPr>
            <w:tcW w:w="3140" w:type="dxa"/>
            <w:tcBorders>
              <w:top w:val="nil"/>
              <w:left w:val="single" w:sz="8" w:space="0" w:color="4472C4"/>
              <w:bottom w:val="single" w:sz="8" w:space="0" w:color="5B9BD5"/>
              <w:right w:val="nil"/>
            </w:tcBorders>
            <w:shd w:val="clear" w:color="000000" w:fill="FFFFFF"/>
            <w:vAlign w:val="center"/>
            <w:hideMark/>
          </w:tcPr>
          <w:p w14:paraId="101A59C9" w14:textId="77777777" w:rsidR="00027FBF" w:rsidRPr="00A83C94" w:rsidRDefault="00027FBF" w:rsidP="00027FBF">
            <w:pPr>
              <w:spacing w:before="0" w:line="240" w:lineRule="auto"/>
              <w:ind w:left="308" w:firstLine="0"/>
              <w:contextualSpacing w:val="0"/>
              <w:jc w:val="left"/>
              <w:rPr>
                <w:rFonts w:cs="Arial"/>
                <w:b w:val="0"/>
                <w:color w:val="000000"/>
                <w:sz w:val="20"/>
                <w:szCs w:val="20"/>
                <w:lang w:val="hy-AM" w:eastAsia="en-US"/>
              </w:rPr>
            </w:pPr>
            <w:r w:rsidRPr="00A83C94">
              <w:rPr>
                <w:rFonts w:cs="Arial"/>
                <w:b w:val="0"/>
                <w:color w:val="000000"/>
                <w:sz w:val="20"/>
                <w:szCs w:val="20"/>
                <w:lang w:val="hy-AM" w:eastAsia="en-US"/>
              </w:rPr>
              <w:t>Ոչ ֆինանսական ակտիվների հետ գործառնություններ</w:t>
            </w:r>
          </w:p>
        </w:tc>
        <w:tc>
          <w:tcPr>
            <w:tcW w:w="1080" w:type="dxa"/>
            <w:tcBorders>
              <w:top w:val="nil"/>
              <w:left w:val="single" w:sz="8" w:space="0" w:color="4472C4"/>
              <w:bottom w:val="single" w:sz="8" w:space="0" w:color="5B9BD5"/>
              <w:right w:val="nil"/>
            </w:tcBorders>
            <w:shd w:val="clear" w:color="000000" w:fill="FFFFFF"/>
            <w:noWrap/>
            <w:vAlign w:val="center"/>
            <w:hideMark/>
          </w:tcPr>
          <w:p w14:paraId="5DF33EB9"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2.5</w:t>
            </w:r>
          </w:p>
        </w:tc>
        <w:tc>
          <w:tcPr>
            <w:tcW w:w="1080" w:type="dxa"/>
            <w:tcBorders>
              <w:top w:val="nil"/>
              <w:left w:val="single" w:sz="8" w:space="0" w:color="4472C4"/>
              <w:bottom w:val="single" w:sz="8" w:space="0" w:color="5B9BD5"/>
              <w:right w:val="nil"/>
            </w:tcBorders>
            <w:shd w:val="clear" w:color="000000" w:fill="FFFFFF"/>
            <w:noWrap/>
            <w:vAlign w:val="center"/>
            <w:hideMark/>
          </w:tcPr>
          <w:p w14:paraId="57BA1CB7"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2.9</w:t>
            </w:r>
          </w:p>
        </w:tc>
        <w:tc>
          <w:tcPr>
            <w:tcW w:w="1080" w:type="dxa"/>
            <w:tcBorders>
              <w:top w:val="nil"/>
              <w:left w:val="single" w:sz="8" w:space="0" w:color="4472C4"/>
              <w:bottom w:val="single" w:sz="8" w:space="0" w:color="5B9BD5"/>
              <w:right w:val="nil"/>
            </w:tcBorders>
            <w:shd w:val="clear" w:color="000000" w:fill="FFFFFF"/>
            <w:noWrap/>
            <w:vAlign w:val="center"/>
          </w:tcPr>
          <w:p w14:paraId="19EC8CB2" w14:textId="77777777" w:rsidR="00027FBF" w:rsidRPr="00A83C94" w:rsidRDefault="00027FBF" w:rsidP="00027FBF">
            <w:pPr>
              <w:spacing w:before="0" w:line="240" w:lineRule="auto"/>
              <w:ind w:firstLine="0"/>
              <w:contextualSpacing w:val="0"/>
              <w:jc w:val="right"/>
              <w:rPr>
                <w:rFonts w:cs="Arial"/>
                <w:b w:val="0"/>
                <w:bCs/>
                <w:color w:val="000000"/>
                <w:sz w:val="20"/>
                <w:szCs w:val="20"/>
                <w:lang w:val="hy-AM" w:eastAsia="en-US"/>
              </w:rPr>
            </w:pPr>
            <w:r w:rsidRPr="00A83C94">
              <w:rPr>
                <w:rFonts w:cs="Arial"/>
                <w:b w:val="0"/>
                <w:bCs/>
                <w:color w:val="000000"/>
                <w:sz w:val="20"/>
                <w:szCs w:val="20"/>
                <w:lang w:val="hy-AM" w:eastAsia="en-US"/>
              </w:rPr>
              <w:t>3.7</w:t>
            </w:r>
          </w:p>
        </w:tc>
        <w:tc>
          <w:tcPr>
            <w:tcW w:w="1108" w:type="dxa"/>
            <w:tcBorders>
              <w:top w:val="nil"/>
              <w:left w:val="single" w:sz="8" w:space="0" w:color="4472C4"/>
              <w:bottom w:val="single" w:sz="8" w:space="0" w:color="5B9BD5"/>
              <w:right w:val="nil"/>
            </w:tcBorders>
            <w:shd w:val="clear" w:color="000000" w:fill="DEEAF6"/>
            <w:noWrap/>
            <w:vAlign w:val="center"/>
          </w:tcPr>
          <w:p w14:paraId="22DE57F1" w14:textId="77777777" w:rsidR="00027FBF" w:rsidRPr="00A83C94" w:rsidRDefault="00027FBF" w:rsidP="00027FBF">
            <w:pPr>
              <w:spacing w:before="0" w:line="240" w:lineRule="auto"/>
              <w:ind w:firstLine="0"/>
              <w:contextualSpacing w:val="0"/>
              <w:jc w:val="right"/>
              <w:rPr>
                <w:b w:val="0"/>
                <w:color w:val="000000"/>
                <w:sz w:val="20"/>
                <w:lang w:val="en-US"/>
              </w:rPr>
            </w:pPr>
            <w:r w:rsidRPr="00A83C94">
              <w:rPr>
                <w:b w:val="0"/>
                <w:color w:val="000000"/>
                <w:sz w:val="20"/>
                <w:lang w:val="en-US"/>
              </w:rPr>
              <w:t>3.2</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46E072C5" w14:textId="77777777" w:rsidR="00027FBF" w:rsidRPr="00E5336E" w:rsidRDefault="00027FBF" w:rsidP="00027FBF">
            <w:pPr>
              <w:spacing w:before="0" w:line="240" w:lineRule="auto"/>
              <w:ind w:firstLine="0"/>
              <w:contextualSpacing w:val="0"/>
              <w:jc w:val="right"/>
              <w:rPr>
                <w:b w:val="0"/>
                <w:color w:val="000000"/>
                <w:sz w:val="20"/>
                <w:lang w:val="hy-AM"/>
              </w:rPr>
            </w:pPr>
            <w:r>
              <w:rPr>
                <w:b w:val="0"/>
                <w:color w:val="000000"/>
                <w:sz w:val="20"/>
                <w:lang w:val="hy-AM"/>
              </w:rPr>
              <w:t>4.3</w:t>
            </w:r>
          </w:p>
        </w:tc>
      </w:tr>
      <w:tr w:rsidR="00027FBF" w:rsidRPr="00A83C94" w14:paraId="546F4680" w14:textId="77777777" w:rsidTr="00027FBF">
        <w:trPr>
          <w:trHeight w:val="585"/>
          <w:jc w:val="center"/>
        </w:trPr>
        <w:tc>
          <w:tcPr>
            <w:tcW w:w="3140" w:type="dxa"/>
            <w:tcBorders>
              <w:top w:val="nil"/>
              <w:left w:val="single" w:sz="8" w:space="0" w:color="4472C4"/>
              <w:bottom w:val="single" w:sz="8" w:space="0" w:color="5B9BD5"/>
              <w:right w:val="nil"/>
            </w:tcBorders>
            <w:shd w:val="clear" w:color="000000" w:fill="FFFFFF"/>
            <w:vAlign w:val="center"/>
            <w:hideMark/>
          </w:tcPr>
          <w:p w14:paraId="2CC4C388"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Պետական բյուջեի դեֆիցիտ (-) / պրոֆիցիտ (+)</w:t>
            </w:r>
            <w:r w:rsidRPr="00A83C94">
              <w:rPr>
                <w:rFonts w:ascii="Arial Armenian" w:hAnsi="Arial Armenian" w:cs="Arial"/>
                <w:bCs/>
                <w:color w:val="000000"/>
                <w:sz w:val="16"/>
                <w:szCs w:val="16"/>
                <w:lang w:val="hy-AM" w:eastAsia="en-US"/>
              </w:rPr>
              <w:t> </w:t>
            </w:r>
          </w:p>
        </w:tc>
        <w:tc>
          <w:tcPr>
            <w:tcW w:w="1080" w:type="dxa"/>
            <w:tcBorders>
              <w:top w:val="nil"/>
              <w:left w:val="single" w:sz="8" w:space="0" w:color="4472C4"/>
              <w:bottom w:val="single" w:sz="8" w:space="0" w:color="5B9BD5"/>
              <w:right w:val="nil"/>
            </w:tcBorders>
            <w:shd w:val="clear" w:color="000000" w:fill="FFFFFF"/>
            <w:noWrap/>
            <w:vAlign w:val="center"/>
            <w:hideMark/>
          </w:tcPr>
          <w:p w14:paraId="138E01FD"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-1.8</w:t>
            </w:r>
          </w:p>
        </w:tc>
        <w:tc>
          <w:tcPr>
            <w:tcW w:w="1080" w:type="dxa"/>
            <w:tcBorders>
              <w:top w:val="nil"/>
              <w:left w:val="single" w:sz="8" w:space="0" w:color="4472C4"/>
              <w:bottom w:val="single" w:sz="8" w:space="0" w:color="5B9BD5"/>
              <w:right w:val="nil"/>
            </w:tcBorders>
            <w:shd w:val="clear" w:color="000000" w:fill="FFFFFF"/>
            <w:noWrap/>
            <w:vAlign w:val="center"/>
            <w:hideMark/>
          </w:tcPr>
          <w:p w14:paraId="49EF089F"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-1.0</w:t>
            </w:r>
          </w:p>
        </w:tc>
        <w:tc>
          <w:tcPr>
            <w:tcW w:w="1080" w:type="dxa"/>
            <w:tcBorders>
              <w:top w:val="nil"/>
              <w:left w:val="single" w:sz="8" w:space="0" w:color="4472C4"/>
              <w:bottom w:val="single" w:sz="8" w:space="0" w:color="5B9BD5"/>
              <w:right w:val="nil"/>
            </w:tcBorders>
            <w:shd w:val="clear" w:color="000000" w:fill="FFFFFF"/>
            <w:noWrap/>
            <w:vAlign w:val="center"/>
          </w:tcPr>
          <w:p w14:paraId="722AA110"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-5.4</w:t>
            </w:r>
          </w:p>
        </w:tc>
        <w:tc>
          <w:tcPr>
            <w:tcW w:w="1108" w:type="dxa"/>
            <w:tcBorders>
              <w:top w:val="nil"/>
              <w:left w:val="single" w:sz="8" w:space="0" w:color="4472C4"/>
              <w:bottom w:val="single" w:sz="8" w:space="0" w:color="5B9BD5"/>
              <w:right w:val="nil"/>
            </w:tcBorders>
            <w:shd w:val="clear" w:color="000000" w:fill="DEEAF6"/>
            <w:noWrap/>
            <w:vAlign w:val="center"/>
          </w:tcPr>
          <w:p w14:paraId="6871D2D4"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-4.7</w:t>
            </w:r>
          </w:p>
        </w:tc>
        <w:tc>
          <w:tcPr>
            <w:tcW w:w="1108" w:type="dxa"/>
            <w:tcBorders>
              <w:top w:val="nil"/>
              <w:left w:val="single" w:sz="8" w:space="0" w:color="4472C4"/>
              <w:bottom w:val="single" w:sz="8" w:space="0" w:color="5B9BD5"/>
              <w:right w:val="single" w:sz="8" w:space="0" w:color="4472C4"/>
            </w:tcBorders>
            <w:shd w:val="clear" w:color="000000" w:fill="DEEAF6"/>
            <w:vAlign w:val="center"/>
          </w:tcPr>
          <w:p w14:paraId="71B1FE22" w14:textId="77777777" w:rsidR="00027FBF" w:rsidRPr="00DA6FB0" w:rsidRDefault="00027FBF" w:rsidP="00027FBF">
            <w:pPr>
              <w:spacing w:before="0" w:line="240" w:lineRule="auto"/>
              <w:ind w:firstLine="0"/>
              <w:contextualSpacing w:val="0"/>
              <w:jc w:val="right"/>
              <w:rPr>
                <w:color w:val="000000"/>
                <w:sz w:val="20"/>
                <w:lang w:val="hy-AM"/>
              </w:rPr>
            </w:pPr>
            <w:r w:rsidRPr="00A83C94">
              <w:rPr>
                <w:color w:val="000000"/>
                <w:sz w:val="20"/>
                <w:lang w:val="en-US"/>
              </w:rPr>
              <w:t>-3.</w:t>
            </w:r>
            <w:r>
              <w:rPr>
                <w:color w:val="000000"/>
                <w:sz w:val="20"/>
                <w:lang w:val="hy-AM"/>
              </w:rPr>
              <w:t>0</w:t>
            </w:r>
          </w:p>
        </w:tc>
      </w:tr>
      <w:tr w:rsidR="00027FBF" w:rsidRPr="00A83C94" w14:paraId="01C54CEC" w14:textId="77777777" w:rsidTr="00027FBF">
        <w:trPr>
          <w:trHeight w:val="300"/>
          <w:jc w:val="center"/>
        </w:trPr>
        <w:tc>
          <w:tcPr>
            <w:tcW w:w="3140" w:type="dxa"/>
            <w:tcBorders>
              <w:top w:val="nil"/>
              <w:left w:val="single" w:sz="8" w:space="0" w:color="4472C4"/>
              <w:bottom w:val="single" w:sz="8" w:space="0" w:color="4472C4"/>
              <w:right w:val="nil"/>
            </w:tcBorders>
            <w:shd w:val="clear" w:color="000000" w:fill="FFFFFF"/>
            <w:vAlign w:val="center"/>
            <w:hideMark/>
          </w:tcPr>
          <w:p w14:paraId="4BF088EC" w14:textId="77777777" w:rsidR="00027FBF" w:rsidRPr="00A83C94" w:rsidRDefault="00027FBF" w:rsidP="00027FBF">
            <w:pPr>
              <w:spacing w:before="0" w:line="240" w:lineRule="auto"/>
              <w:ind w:firstLine="0"/>
              <w:contextualSpacing w:val="0"/>
              <w:jc w:val="left"/>
              <w:rPr>
                <w:rFonts w:cs="Arial"/>
                <w:bCs/>
                <w:color w:val="000000"/>
                <w:sz w:val="20"/>
                <w:szCs w:val="20"/>
                <w:lang w:val="hy-AM" w:eastAsia="en-US"/>
              </w:rPr>
            </w:pPr>
            <w:r w:rsidRPr="00A83C94">
              <w:rPr>
                <w:rFonts w:cs="Arial"/>
                <w:bCs/>
                <w:color w:val="000000"/>
                <w:sz w:val="20"/>
                <w:szCs w:val="20"/>
                <w:lang w:val="hy-AM" w:eastAsia="en-US"/>
              </w:rPr>
              <w:t>Կառավարության պարտք</w:t>
            </w:r>
          </w:p>
        </w:tc>
        <w:tc>
          <w:tcPr>
            <w:tcW w:w="1080" w:type="dxa"/>
            <w:tcBorders>
              <w:top w:val="nil"/>
              <w:left w:val="single" w:sz="8" w:space="0" w:color="4472C4"/>
              <w:bottom w:val="single" w:sz="8" w:space="0" w:color="4472C4"/>
              <w:right w:val="nil"/>
            </w:tcBorders>
            <w:shd w:val="clear" w:color="000000" w:fill="FFFFFF"/>
            <w:noWrap/>
            <w:vAlign w:val="center"/>
            <w:hideMark/>
          </w:tcPr>
          <w:p w14:paraId="65C19934"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51.2</w:t>
            </w:r>
          </w:p>
        </w:tc>
        <w:tc>
          <w:tcPr>
            <w:tcW w:w="1080" w:type="dxa"/>
            <w:tcBorders>
              <w:top w:val="nil"/>
              <w:left w:val="single" w:sz="8" w:space="0" w:color="4472C4"/>
              <w:bottom w:val="single" w:sz="8" w:space="0" w:color="4472C4"/>
              <w:right w:val="nil"/>
            </w:tcBorders>
            <w:shd w:val="clear" w:color="000000" w:fill="FFFFFF"/>
            <w:noWrap/>
            <w:vAlign w:val="center"/>
            <w:hideMark/>
          </w:tcPr>
          <w:p w14:paraId="4F1F4711"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50.1</w:t>
            </w:r>
          </w:p>
        </w:tc>
        <w:tc>
          <w:tcPr>
            <w:tcW w:w="1080" w:type="dxa"/>
            <w:tcBorders>
              <w:top w:val="nil"/>
              <w:left w:val="single" w:sz="8" w:space="0" w:color="4472C4"/>
              <w:bottom w:val="single" w:sz="8" w:space="0" w:color="4472C4"/>
              <w:right w:val="nil"/>
            </w:tcBorders>
            <w:shd w:val="clear" w:color="000000" w:fill="FFFFFF"/>
            <w:noWrap/>
            <w:vAlign w:val="center"/>
          </w:tcPr>
          <w:p w14:paraId="7DF63595" w14:textId="77777777" w:rsidR="00027FBF" w:rsidRPr="00A83C94" w:rsidRDefault="00027FBF" w:rsidP="00027FBF">
            <w:pPr>
              <w:spacing w:before="0" w:line="240" w:lineRule="auto"/>
              <w:ind w:firstLine="0"/>
              <w:contextualSpacing w:val="0"/>
              <w:jc w:val="right"/>
              <w:rPr>
                <w:rFonts w:cs="Arial"/>
                <w:bCs/>
                <w:color w:val="000000"/>
                <w:sz w:val="20"/>
                <w:szCs w:val="20"/>
                <w:lang w:val="hy-AM" w:eastAsia="en-US"/>
              </w:rPr>
            </w:pPr>
            <w:r w:rsidRPr="00A83C94">
              <w:rPr>
                <w:rFonts w:cs="Arial"/>
                <w:bCs/>
                <w:color w:val="000000"/>
                <w:sz w:val="20"/>
                <w:szCs w:val="20"/>
                <w:lang w:val="hy-AM" w:eastAsia="en-US"/>
              </w:rPr>
              <w:t>63.5</w:t>
            </w:r>
          </w:p>
        </w:tc>
        <w:tc>
          <w:tcPr>
            <w:tcW w:w="1108" w:type="dxa"/>
            <w:tcBorders>
              <w:top w:val="nil"/>
              <w:left w:val="single" w:sz="8" w:space="0" w:color="4472C4"/>
              <w:bottom w:val="single" w:sz="8" w:space="0" w:color="4472C4"/>
              <w:right w:val="nil"/>
            </w:tcBorders>
            <w:shd w:val="clear" w:color="000000" w:fill="DEEAF6"/>
            <w:noWrap/>
            <w:vAlign w:val="center"/>
          </w:tcPr>
          <w:p w14:paraId="6972903C" w14:textId="77777777" w:rsidR="00027FBF" w:rsidRPr="00A83C94" w:rsidRDefault="00027FBF" w:rsidP="00027FBF">
            <w:pPr>
              <w:spacing w:before="0" w:line="240" w:lineRule="auto"/>
              <w:ind w:firstLine="0"/>
              <w:contextualSpacing w:val="0"/>
              <w:jc w:val="right"/>
              <w:rPr>
                <w:color w:val="000000"/>
                <w:sz w:val="20"/>
                <w:lang w:val="en-US"/>
              </w:rPr>
            </w:pPr>
            <w:r w:rsidRPr="00A83C94">
              <w:rPr>
                <w:color w:val="000000"/>
                <w:sz w:val="20"/>
                <w:lang w:val="en-US"/>
              </w:rPr>
              <w:t>60.8</w:t>
            </w:r>
          </w:p>
        </w:tc>
        <w:tc>
          <w:tcPr>
            <w:tcW w:w="1108" w:type="dxa"/>
            <w:tcBorders>
              <w:top w:val="nil"/>
              <w:left w:val="single" w:sz="8" w:space="0" w:color="4472C4"/>
              <w:bottom w:val="single" w:sz="8" w:space="0" w:color="4472C4"/>
              <w:right w:val="single" w:sz="8" w:space="0" w:color="4472C4"/>
            </w:tcBorders>
            <w:shd w:val="clear" w:color="000000" w:fill="DEEAF6"/>
            <w:vAlign w:val="center"/>
          </w:tcPr>
          <w:p w14:paraId="6B14386B" w14:textId="77777777" w:rsidR="00027FBF" w:rsidRPr="003C0DA9" w:rsidRDefault="00027FBF" w:rsidP="00027FBF">
            <w:pPr>
              <w:spacing w:before="0" w:line="240" w:lineRule="auto"/>
              <w:ind w:firstLine="0"/>
              <w:contextualSpacing w:val="0"/>
              <w:jc w:val="right"/>
              <w:rPr>
                <w:color w:val="000000"/>
                <w:sz w:val="20"/>
                <w:lang w:val="en-US"/>
              </w:rPr>
            </w:pPr>
            <w:r w:rsidRPr="00A31A06">
              <w:rPr>
                <w:color w:val="000000"/>
                <w:sz w:val="20"/>
                <w:lang w:val="en-US"/>
              </w:rPr>
              <w:t>60.2</w:t>
            </w:r>
          </w:p>
        </w:tc>
      </w:tr>
    </w:tbl>
    <w:p w14:paraId="0924AA84" w14:textId="77777777" w:rsidR="00027FBF" w:rsidRPr="00A83C94" w:rsidRDefault="00027FBF" w:rsidP="00027FBF">
      <w:pPr>
        <w:spacing w:before="0" w:line="276" w:lineRule="auto"/>
        <w:ind w:left="567" w:hanging="567"/>
        <w:contextualSpacing w:val="0"/>
        <w:rPr>
          <w:rFonts w:cs="Calibri"/>
          <w:b w:val="0"/>
          <w:i/>
          <w:iCs/>
          <w:color w:val="000000"/>
          <w:sz w:val="18"/>
          <w:szCs w:val="18"/>
          <w:lang w:val="hy-AM"/>
        </w:rPr>
      </w:pPr>
      <w:r w:rsidRPr="00A83C94">
        <w:rPr>
          <w:rFonts w:cs="Calibri"/>
          <w:b w:val="0"/>
          <w:i/>
          <w:iCs/>
          <w:color w:val="000000"/>
          <w:sz w:val="18"/>
          <w:szCs w:val="18"/>
          <w:lang w:val="hy-AM"/>
        </w:rPr>
        <w:t>Աղբյուրը՝ ՀՀ ՖՆ կանխատեսումներ</w:t>
      </w:r>
      <w:bookmarkStart w:id="169" w:name="_Toc45838524"/>
      <w:bookmarkStart w:id="170" w:name="_Toc46154353"/>
    </w:p>
    <w:p w14:paraId="5EAE46F2" w14:textId="77777777" w:rsidR="00027FBF" w:rsidRPr="00A83C94" w:rsidRDefault="00027FBF" w:rsidP="00027FBF">
      <w:pPr>
        <w:spacing w:before="0" w:line="276" w:lineRule="auto"/>
        <w:ind w:firstLine="0"/>
        <w:contextualSpacing w:val="0"/>
        <w:rPr>
          <w:rFonts w:eastAsia="Calibri" w:cs="Arial"/>
          <w:b w:val="0"/>
          <w:bCs/>
          <w:sz w:val="20"/>
          <w:szCs w:val="20"/>
          <w:lang w:val="hy-AM" w:eastAsia="en-US"/>
        </w:rPr>
      </w:pPr>
    </w:p>
    <w:p w14:paraId="5EE49D33" w14:textId="77777777" w:rsidR="00027FBF" w:rsidRPr="00A83C94" w:rsidRDefault="00027FBF" w:rsidP="00027FBF">
      <w:pPr>
        <w:spacing w:before="0" w:line="276" w:lineRule="auto"/>
        <w:ind w:firstLine="0"/>
        <w:contextualSpacing w:val="0"/>
        <w:rPr>
          <w:rFonts w:eastAsia="Calibri" w:cs="Arial"/>
          <w:b w:val="0"/>
          <w:bCs/>
          <w:sz w:val="20"/>
          <w:szCs w:val="20"/>
          <w:lang w:val="hy-AM" w:eastAsia="en-US"/>
        </w:rPr>
      </w:pPr>
    </w:p>
    <w:p w14:paraId="036FA2A5" w14:textId="77777777" w:rsidR="00027FBF" w:rsidRPr="00A83C94" w:rsidRDefault="00027FBF" w:rsidP="00027FBF">
      <w:pPr>
        <w:keepNext/>
        <w:keepLines/>
        <w:spacing w:before="0" w:line="312" w:lineRule="auto"/>
        <w:ind w:firstLine="0"/>
        <w:outlineLvl w:val="2"/>
        <w:rPr>
          <w:sz w:val="24"/>
          <w:lang w:val="hy-AM" w:eastAsia="en-US"/>
        </w:rPr>
      </w:pPr>
      <w:bookmarkStart w:id="171" w:name="_Toc57655454"/>
      <w:bookmarkStart w:id="172" w:name="_Toc83199222"/>
      <w:bookmarkStart w:id="173" w:name="_Toc83972838"/>
      <w:bookmarkStart w:id="174" w:name="_Toc89428293"/>
      <w:r w:rsidRPr="00A83C94">
        <w:rPr>
          <w:sz w:val="24"/>
          <w:lang w:val="hy-AM" w:eastAsia="en-US"/>
        </w:rPr>
        <w:t>2</w:t>
      </w:r>
      <w:r w:rsidRPr="00A83C94">
        <w:rPr>
          <w:rFonts w:cs="Cambria Math"/>
          <w:sz w:val="24"/>
          <w:lang w:val="hy-AM" w:eastAsia="en-US"/>
        </w:rPr>
        <w:t>.</w:t>
      </w:r>
      <w:r w:rsidRPr="00A83C94">
        <w:rPr>
          <w:sz w:val="24"/>
          <w:lang w:val="hy-AM" w:eastAsia="en-US"/>
        </w:rPr>
        <w:t>2</w:t>
      </w:r>
      <w:r w:rsidRPr="00A83C94">
        <w:rPr>
          <w:rFonts w:cs="Cambria Math"/>
          <w:sz w:val="24"/>
          <w:lang w:val="hy-AM" w:eastAsia="en-US"/>
        </w:rPr>
        <w:t>.</w:t>
      </w:r>
      <w:r w:rsidRPr="00A83C94">
        <w:rPr>
          <w:sz w:val="24"/>
          <w:lang w:val="hy-AM" w:eastAsia="en-US"/>
        </w:rPr>
        <w:t xml:space="preserve"> ՀԱՐԿԱԲՅՈՒՋԵՏԱՅԻՆ ՔԱՂԱՔԱԿԱՆՈՒԹՅԱՆ ՄԻՏՈՒՄՆԵՐԸ ԵՎ ԿԱՆԽԱՏԵՍՈՒՄՆԵՐԸ</w:t>
      </w:r>
      <w:bookmarkEnd w:id="169"/>
      <w:bookmarkEnd w:id="170"/>
      <w:bookmarkEnd w:id="171"/>
      <w:bookmarkEnd w:id="172"/>
      <w:bookmarkEnd w:id="173"/>
      <w:bookmarkEnd w:id="174"/>
    </w:p>
    <w:p w14:paraId="6CBF43BE" w14:textId="77777777" w:rsidR="00027FBF" w:rsidRPr="00A83C94" w:rsidRDefault="00027FBF" w:rsidP="00027FBF">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2020 թվականի զարգացումները</w:t>
      </w:r>
    </w:p>
    <w:p w14:paraId="0096CBE2" w14:textId="77777777" w:rsidR="00027FBF" w:rsidRPr="00A83C94" w:rsidRDefault="00027FBF" w:rsidP="00027FBF">
      <w:pPr>
        <w:tabs>
          <w:tab w:val="num" w:pos="720"/>
        </w:tabs>
        <w:spacing w:before="0" w:line="240" w:lineRule="auto"/>
        <w:contextualSpacing w:val="0"/>
        <w:rPr>
          <w:rFonts w:eastAsia="Calibri" w:cs="Sylfaen"/>
          <w:bCs/>
          <w:szCs w:val="22"/>
          <w:lang w:val="hy-AM" w:eastAsia="en-US"/>
        </w:rPr>
      </w:pPr>
      <w:r w:rsidRPr="00A83C94">
        <w:rPr>
          <w:rFonts w:eastAsia="Calibri" w:cs="Sylfaen"/>
          <w:bCs/>
          <w:szCs w:val="22"/>
          <w:lang w:val="hy-AM" w:eastAsia="en-US"/>
        </w:rPr>
        <w:t xml:space="preserve">2020 թվականին COVID-19 համավարակի տարածման հետևանքով տնտեսական անկման պայմաններում հարկաբյուջետային քաղաքականության ազդեցությունը տնտեսության վրա եղել է էական խթանող: </w:t>
      </w:r>
    </w:p>
    <w:p w14:paraId="34185A52" w14:textId="77777777" w:rsidR="00027FBF" w:rsidRPr="00A83C94" w:rsidRDefault="00027FBF" w:rsidP="00027FBF">
      <w:pPr>
        <w:tabs>
          <w:tab w:val="num" w:pos="720"/>
        </w:tabs>
        <w:spacing w:before="0" w:after="160" w:line="240" w:lineRule="auto"/>
        <w:contextualSpacing w:val="0"/>
        <w:rPr>
          <w:rFonts w:eastAsia="Calibri"/>
          <w:b w:val="0"/>
          <w:szCs w:val="22"/>
          <w:lang w:val="hy-AM" w:eastAsia="en-US"/>
        </w:rPr>
      </w:pPr>
      <w:r w:rsidRPr="00A83C94">
        <w:rPr>
          <w:rFonts w:eastAsia="Calibri" w:cs="GHEA Grapalat"/>
          <w:b w:val="0"/>
          <w:szCs w:val="22"/>
          <w:lang w:val="hy-AM" w:eastAsia="en-US"/>
        </w:rPr>
        <w:t xml:space="preserve">2020 թվականին ՀՀ </w:t>
      </w:r>
      <w:r w:rsidRPr="00A83C94">
        <w:rPr>
          <w:rFonts w:eastAsia="Calibri"/>
          <w:b w:val="0"/>
          <w:szCs w:val="22"/>
          <w:lang w:val="hy-AM" w:eastAsia="en-US"/>
        </w:rPr>
        <w:t>պետական</w:t>
      </w:r>
      <w:r w:rsidRPr="00A83C94">
        <w:rPr>
          <w:rFonts w:eastAsia="Calibri" w:cs="GHEA Grapalat"/>
          <w:b w:val="0"/>
          <w:szCs w:val="22"/>
          <w:lang w:val="hy-AM" w:eastAsia="en-US"/>
        </w:rPr>
        <w:t xml:space="preserve"> բյուջեի ընդհանուր եկամուտները կազմել են ՀՆԱ-ի 25.2%</w:t>
      </w:r>
      <w:r w:rsidRPr="00A83C94">
        <w:rPr>
          <w:rFonts w:eastAsia="Calibri" w:cs="GHEA Grapalat"/>
          <w:b w:val="0"/>
          <w:szCs w:val="22"/>
          <w:lang w:val="hy-AM" w:eastAsia="en-US"/>
        </w:rPr>
        <w:noBreakHyphen/>
        <w:t>ը՝ նախորդ տարվա 23.9%-ի դիմաց, իսկ հարկեր և տուրքերը՝ ՀՆԱ-ի 22.4%-ը՝ նախորդ տարվա նկատմամբ լինելով անփոփոխ: 2020 թվականին նախորդ տարվա համեմատ այլ  եկամուտները ՀՆԱ-ի նկատմամբ բարելավվել են 0.6 տոկոսային կետով, որը հիմնականում պայմանավորված է</w:t>
      </w:r>
      <w:r w:rsidRPr="00A83C94" w:rsidDel="00B0558D">
        <w:rPr>
          <w:rFonts w:eastAsia="Calibri" w:cs="GHEA Grapalat"/>
          <w:b w:val="0"/>
          <w:szCs w:val="22"/>
          <w:lang w:val="hy-AM" w:eastAsia="en-US"/>
        </w:rPr>
        <w:t xml:space="preserve"> </w:t>
      </w:r>
      <w:r w:rsidRPr="00A83C94">
        <w:rPr>
          <w:rFonts w:eastAsia="Calibri" w:cs="GHEA Grapalat"/>
          <w:b w:val="0"/>
          <w:szCs w:val="22"/>
          <w:lang w:val="hy-AM" w:eastAsia="en-US"/>
        </w:rPr>
        <w:t xml:space="preserve">«Հայաստան» համահայկական հիմնադրամից պետական բյուջե մուտքագրված միջոցներով, իսկ պաշտոնական դրամաշնորհները նախորդ տարվա համեմատ բարելավվել են 0.7 տոկոսային կետով` պայմանավորված համավարակի պայմաններում դոնորներից ստացված դրամաշնորհներով: Արդյունքում 2020 թվականին ՀՀ պետական բյուջեի ընդհանուր եկամուտները նախորդ տարվա համեմատ նվազել են 0.3%-ով և կազմել 1560.7 մլրդ դրամ, իսկ հարկեր և տուրքերը նախորդ տարվա համեմատն նվազել են 5.4%-ով և կազմել 1385.2 մլրդ դրամ: </w:t>
      </w:r>
    </w:p>
    <w:p w14:paraId="254DBEA1" w14:textId="77777777" w:rsidR="00027FBF" w:rsidRPr="00A83C94" w:rsidRDefault="00027FBF" w:rsidP="00027FBF">
      <w:pPr>
        <w:tabs>
          <w:tab w:val="num" w:pos="720"/>
        </w:tabs>
        <w:spacing w:before="0" w:after="160" w:line="240" w:lineRule="auto"/>
        <w:contextualSpacing w:val="0"/>
        <w:rPr>
          <w:rFonts w:eastAsia="Calibri" w:cs="GHEA Grapalat"/>
          <w:b w:val="0"/>
          <w:szCs w:val="22"/>
          <w:lang w:val="hy-AM" w:eastAsia="en-US"/>
        </w:rPr>
      </w:pPr>
      <w:r w:rsidRPr="00A83C94">
        <w:rPr>
          <w:rFonts w:eastAsia="Calibri" w:cs="GHEA Grapalat"/>
          <w:b w:val="0"/>
          <w:szCs w:val="22"/>
          <w:lang w:val="hy-AM" w:eastAsia="en-US"/>
        </w:rPr>
        <w:t xml:space="preserve">2020 թվականին արձանագրվել է պետական բյուջեի ծախսերի աճ՝ պայմանավորված պետական բյուջեով նախատեսված, ինչպես նաև հակաճգնաժամային միջոցառումների և ռազմական գործողությունների հետևանքով ծագած լրացուցիչ ծախսերի կարիքով: Պետական բյուջեի ծախսերի կշիռը ՀՆԱ-ում </w:t>
      </w:r>
      <w:r w:rsidRPr="00A83C94">
        <w:rPr>
          <w:rFonts w:eastAsia="Calibri"/>
          <w:b w:val="0"/>
          <w:szCs w:val="22"/>
          <w:lang w:val="hy-AM" w:eastAsia="en-US"/>
        </w:rPr>
        <w:t>2020</w:t>
      </w:r>
      <w:r w:rsidRPr="00A83C94">
        <w:rPr>
          <w:rFonts w:eastAsia="Calibri" w:cs="GHEA Grapalat"/>
          <w:b w:val="0"/>
          <w:szCs w:val="22"/>
          <w:lang w:val="hy-AM" w:eastAsia="en-US"/>
        </w:rPr>
        <w:t xml:space="preserve"> թվականին աճել է 5.7 տոկոսային կետով՝ կազմելով 30.6%, որում ընթացիկ ծախսերի կշիռն աճել է 5.0 տոկոսային կետով՝ կազմելով 27.0%, որն իր մեջ ներառում է կորոնավիրուսի տարածմամբ պայմանավորված հակաճգնաժամային ծրագրերի սոցիալական և տնտեսական միջոցառումների իրականացումը, </w:t>
      </w:r>
      <w:r w:rsidRPr="00A83C94">
        <w:rPr>
          <w:rFonts w:eastAsia="Calibri"/>
          <w:b w:val="0"/>
          <w:szCs w:val="22"/>
          <w:lang w:val="hy-AM" w:eastAsia="en-US"/>
        </w:rPr>
        <w:t>առողջապահական</w:t>
      </w:r>
      <w:r w:rsidRPr="00A83C94">
        <w:rPr>
          <w:rFonts w:eastAsia="Calibri" w:cs="GHEA Grapalat"/>
          <w:b w:val="0"/>
          <w:szCs w:val="22"/>
          <w:lang w:val="hy-AM" w:eastAsia="en-US"/>
        </w:rPr>
        <w:t xml:space="preserve"> ծախսերի աճը, պատերազմական իրավիճակով պայմանավորված ծախսերը: Ոչ ֆինանսական ակտիվների հետ գործառնությունների կշիռն ՀՆԱ-ի նկատմամբ 2020թ. աճել է 0.7 տոկոսային կետով՝ կազմելով 3.7% (որից 0.9 տոկոսային կետը Արցախյան պատերազմով պայմանավորված ռազմական լրացուցիչ ծախսերն են): </w:t>
      </w:r>
    </w:p>
    <w:p w14:paraId="3296E65E" w14:textId="77777777" w:rsidR="00027FBF" w:rsidRPr="00A83C94" w:rsidRDefault="00027FBF" w:rsidP="00027FBF">
      <w:pPr>
        <w:tabs>
          <w:tab w:val="num" w:pos="720"/>
        </w:tabs>
        <w:spacing w:before="0" w:after="160" w:line="240" w:lineRule="auto"/>
        <w:contextualSpacing w:val="0"/>
        <w:rPr>
          <w:rFonts w:eastAsia="Calibri" w:cs="GHEA Grapalat"/>
          <w:b w:val="0"/>
          <w:szCs w:val="22"/>
          <w:lang w:val="hy-AM" w:eastAsia="en-US"/>
        </w:rPr>
      </w:pPr>
      <w:r w:rsidRPr="00A83C94">
        <w:rPr>
          <w:rFonts w:eastAsia="Calibri" w:cs="GHEA Grapalat"/>
          <w:b w:val="0"/>
          <w:szCs w:val="22"/>
          <w:lang w:val="hy-AM" w:eastAsia="en-US"/>
        </w:rPr>
        <w:t xml:space="preserve">2020 թվականին վերոնշյալ զարգացումների արդյունքում տեղի է ունեցել պետական բյուջեի պակասուրդի աճ, որը կազմել է շուրջ 334.0 մլրդ դրամ, կամ ՀՆԱ-ի 5.4%-ը՝ նախորդ տարվա համեմատ աճելով 4.4 տոկոսային կետով: ՀՆԱ անկումը, պետական բյուջեի պակասուրդի ավելացումը, ինչպես նաև ԱՄՆ դոլարի նկատմամբ ՀՀ դրամի արժեզրկումը հանգեցրել են ՀՀ կառավարության պարտքի բեռի ավելացմանը, որը կազմել է ՀՆԱ-ի 63.5%՝ նախորդ տարվա նկատմամբ աճելով 13.4 տոկոսային կետով և հատելով հարկաբյուջետային կանոններով </w:t>
      </w:r>
      <w:r w:rsidRPr="00A83C94">
        <w:rPr>
          <w:rFonts w:eastAsia="Calibri"/>
          <w:b w:val="0"/>
          <w:szCs w:val="22"/>
          <w:lang w:val="hy-AM" w:eastAsia="en-US"/>
        </w:rPr>
        <w:t>սահմանված</w:t>
      </w:r>
      <w:r w:rsidRPr="00A83C94">
        <w:rPr>
          <w:rFonts w:eastAsia="Calibri" w:cs="GHEA Grapalat"/>
          <w:b w:val="0"/>
          <w:szCs w:val="22"/>
          <w:lang w:val="hy-AM" w:eastAsia="en-US"/>
        </w:rPr>
        <w:t xml:space="preserve"> 60% սահմանային շեմը: Կառավարության պարտք/ՀՆԱ ցուցանիշի աճին ամենաշատը հավասարապես նպաստել են տնտեսական անկումը և փոխարժեքի արժեզրկումը՝ 3.9-ական տոկոսային կետ։ Առաջնային հաշվեկշռի նպաստումը կազմել է 2.7%-ային կետ, իսկ իրական տոկոսադրույքի դրական նպաստումը կազմել է 1.7%-ային կետ (տես՝ Գծապատկեր 2.5)։</w:t>
      </w:r>
    </w:p>
    <w:p w14:paraId="621064FF" w14:textId="77777777" w:rsidR="00027FBF" w:rsidRPr="00A83C94" w:rsidRDefault="00027FBF" w:rsidP="00027FBF">
      <w:pPr>
        <w:autoSpaceDE w:val="0"/>
        <w:autoSpaceDN w:val="0"/>
        <w:adjustRightInd w:val="0"/>
        <w:spacing w:before="0" w:after="160" w:line="240" w:lineRule="auto"/>
        <w:contextualSpacing w:val="0"/>
        <w:rPr>
          <w:rFonts w:eastAsia="Calibri" w:cs="GHEA Grapalat"/>
          <w:b w:val="0"/>
          <w:szCs w:val="22"/>
          <w:lang w:val="hy-AM" w:eastAsia="en-US"/>
        </w:rPr>
      </w:pPr>
      <w:r w:rsidRPr="00A83C94">
        <w:rPr>
          <w:rFonts w:eastAsia="Calibri" w:cs="Sylfaen"/>
          <w:szCs w:val="22"/>
          <w:lang w:val="hy-AM" w:eastAsia="en-US"/>
        </w:rPr>
        <w:t xml:space="preserve">Արդյունքում, </w:t>
      </w:r>
      <w:r w:rsidRPr="00A83C94">
        <w:rPr>
          <w:rFonts w:eastAsia="Calibri" w:cs="GHEA Grapalat"/>
          <w:bCs/>
          <w:szCs w:val="22"/>
          <w:lang w:val="hy-AM" w:eastAsia="en-US"/>
        </w:rPr>
        <w:t>2020 թվականի ընթացքում COVID-19 համավարակի տարածման հետևանքով տնտեսական անկման պայմաններում հարկաբյուջետային քաղաքականության ազդեցությունն ամբողջական պահանջարկի վրա գնահատվում է էական խթանող:</w:t>
      </w:r>
      <w:r w:rsidRPr="00A83C94">
        <w:rPr>
          <w:rFonts w:eastAsia="Calibri" w:cs="GHEA Grapalat"/>
          <w:b w:val="0"/>
          <w:szCs w:val="22"/>
          <w:lang w:val="hy-AM" w:eastAsia="en-US"/>
        </w:rPr>
        <w:t xml:space="preserve"> Համախառն պահանջարկի վրա հարկաբյուջետային քաղաքականությունը 2020 թվականին նախորդ տարվա նկատմամբ ունեցել է 5.0 ընդլայնող ազդեցություն` պայմանավորված եկամուտների (0.5) և ծախսերի ընդլայնող (4.5) ազդեցություններով: Ընդ որում, հարկաբյուջետային ազդակն էապես մեծ է ինչպես նախորդ տարվա չեզոք, այնպես էլ պետական բյուջեով ծրագրված 2.2 խթանող ազդակի համեմատ:</w:t>
      </w:r>
    </w:p>
    <w:p w14:paraId="29FF7FB7" w14:textId="77777777" w:rsidR="00027FBF" w:rsidRPr="00A83C94" w:rsidRDefault="00027FBF" w:rsidP="00027FBF">
      <w:pPr>
        <w:autoSpaceDE w:val="0"/>
        <w:autoSpaceDN w:val="0"/>
        <w:adjustRightInd w:val="0"/>
        <w:spacing w:before="0" w:after="160" w:line="240" w:lineRule="auto"/>
        <w:contextualSpacing w:val="0"/>
        <w:rPr>
          <w:rFonts w:eastAsia="Calibri" w:cs="GHEA Grapalat"/>
          <w:b w:val="0"/>
          <w:szCs w:val="22"/>
          <w:lang w:val="hy-AM" w:eastAsia="en-US"/>
        </w:rPr>
      </w:pPr>
      <w:r w:rsidRPr="00A83C94">
        <w:rPr>
          <w:rFonts w:eastAsia="Calibri" w:cs="GHEA Grapalat"/>
          <w:szCs w:val="22"/>
          <w:lang w:val="hy-AM" w:eastAsia="en-US"/>
        </w:rPr>
        <w:t>Հարկաբյուջետային կանոններ:</w:t>
      </w:r>
      <w:r w:rsidRPr="00A83C94">
        <w:rPr>
          <w:rFonts w:eastAsia="Calibri" w:cs="GHEA Grapalat"/>
          <w:b w:val="0"/>
          <w:szCs w:val="22"/>
          <w:lang w:val="hy-AM" w:eastAsia="en-US"/>
        </w:rPr>
        <w:t xml:space="preserve"> Համավարակի հետևանքով առաջացած իրավիճակը և Արցախյան պատերազմը համարելով բացառիկ դեպք (ինչն արտացոլվել է «Հայաստանի Հանրապետության 2020 թվականի պետական բյուջեի մասին օրենքում փոփոխություններ և լրացումներ կատարելու մասին» ՀՀ օրենքների նախագծերին հավանություն տալու վերաբերյալ կառավարության՝ 2020թ. ապրիլի 23-ի (587-Ա) և սեպտեմբերի 29</w:t>
      </w:r>
      <w:r w:rsidRPr="00A83C94">
        <w:rPr>
          <w:rFonts w:eastAsia="Calibri" w:cs="GHEA Grapalat"/>
          <w:b w:val="0"/>
          <w:szCs w:val="22"/>
          <w:lang w:val="hy-AM" w:eastAsia="en-US"/>
        </w:rPr>
        <w:noBreakHyphen/>
        <w:t>ի (N 1600-Ա) որոշումներում), հարկաբյուջետային կանոնների համակարգին համահունչ («Հայաստանի Հանրապետության բյուջետային համակարգի մասին» ՀՀ օրենքի 21-րդ հոդվածի 8.3 կետին համապատասխան) 2020 թվականին հնարավոր է եղել շեղվել պարտքի և ծախսերի բնականոն իրավիճակի համար գործող տրամաբանությունից. բյուջեի պակասուրդը եղել է ավելի մեծ, քան կապիտալ ծախսերն են, իսկ ընթացիկ առաջնային ծախսերի աճը գերազանցել է նախորդ 7 տարիների անվանական ՀՆԱ</w:t>
      </w:r>
      <w:r w:rsidRPr="00A83C94">
        <w:rPr>
          <w:rFonts w:eastAsia="Calibri" w:cs="GHEA Grapalat"/>
          <w:b w:val="0"/>
          <w:szCs w:val="22"/>
          <w:lang w:val="hy-AM" w:eastAsia="en-US"/>
        </w:rPr>
        <w:noBreakHyphen/>
        <w:t>ի աճի միջին տեմպը:</w:t>
      </w:r>
    </w:p>
    <w:p w14:paraId="49D34F05" w14:textId="77777777" w:rsidR="00027FBF" w:rsidRPr="00A83C94" w:rsidRDefault="00027FBF" w:rsidP="00027FBF">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2021թ. ընթացիկ զարգացումներ</w:t>
      </w:r>
    </w:p>
    <w:p w14:paraId="4A8B4DDB"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szCs w:val="22"/>
          <w:lang w:val="hy-AM" w:eastAsia="en-US"/>
        </w:rPr>
        <w:t>2021 թվականի առաջին ութ ամիսներին հարկաբյուջետային քաղաքականության նպատակն է եղել ապահովել հարկաբյուջետային կայունությունը՝ միաժամանակ աջակցելով տնտեսական վերականգնմանը և աճի տիրույթ վերադարձին</w:t>
      </w:r>
      <w:r w:rsidRPr="00A83C94">
        <w:rPr>
          <w:rFonts w:eastAsia="Calibri"/>
          <w:b w:val="0"/>
          <w:szCs w:val="22"/>
          <w:lang w:val="hy-AM" w:eastAsia="en-US"/>
        </w:rPr>
        <w:t>: Այս նպատակների իրականացման համար հարկաբյուջետային քաղաքականությունն առաջին եռամսյակում եղել է խթանող, այնուհետև աստիճանաբար թուլացել է խթանման չափը՝ առաջին կիսամյակի արդյունքներով լինելով զսպող՝ պայմանավորված ծախսերի թերակատարմամբ:</w:t>
      </w:r>
    </w:p>
    <w:p w14:paraId="5D3698A2"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եկամուտները:</w:t>
      </w:r>
      <w:r w:rsidRPr="00A83C94">
        <w:rPr>
          <w:rFonts w:eastAsia="Calibri"/>
          <w:b w:val="0"/>
          <w:szCs w:val="22"/>
          <w:lang w:val="hy-AM" w:eastAsia="en-US"/>
        </w:rPr>
        <w:t xml:space="preserve"> Համավարակի և Արցախյան պատերազմի հետևանքով առաջացած տնտեսական ճգնաժամն իր բացասական ազդեցությունը շարունակել է ունենալ առաջին եռամյսակի պետական բյուջեի եկամուտների վրա, սակայն երկրորդ եռամսյակից սկսած տնտեսության վերականգնմանը զուգահեռ հարկային եկամուտներն ունեցել են աճի արագացման միտում: 2021 թվականի առաջին ութ ամիսների արդյունքներով ՀՀ պետական բյուջեի ընդհանուր եկամուտները կազմել են 1040.6 մլրդ դրամ՝ նախորդ տարվա նույն ժամանակահատվածի համեմատ աճելով 11.0%-ով, իսկ հարկերը և տուրքերը կազմել են 983.9 մլրդ դրամ՝ նախորդ տարվա նույն ժամանակահատվածի համեմատ աճելով 10.9%-ով: </w:t>
      </w:r>
    </w:p>
    <w:p w14:paraId="128A6309" w14:textId="77777777" w:rsidR="00027FBF" w:rsidRPr="00A83C94" w:rsidRDefault="00027FBF" w:rsidP="00027FBF">
      <w:pPr>
        <w:keepNext/>
        <w:keepLines/>
        <w:tabs>
          <w:tab w:val="left" w:pos="2160"/>
          <w:tab w:val="left" w:pos="2552"/>
        </w:tabs>
        <w:autoSpaceDE w:val="0"/>
        <w:autoSpaceDN w:val="0"/>
        <w:adjustRightInd w:val="0"/>
        <w:spacing w:before="0" w:line="240" w:lineRule="auto"/>
        <w:ind w:left="360" w:firstLine="0"/>
        <w:contextualSpacing w:val="0"/>
        <w:jc w:val="center"/>
        <w:rPr>
          <w:rFonts w:eastAsia="GHEA Grapalat" w:cs="GHEA Grapalat"/>
          <w:b w:val="0"/>
          <w:noProof/>
          <w:szCs w:val="22"/>
          <w:lang w:val="hy-AM" w:eastAsia="en-US"/>
        </w:rPr>
      </w:pPr>
      <w:r w:rsidRPr="00A83C94">
        <w:rPr>
          <w:rFonts w:eastAsia="Calibri" w:cs="Arial"/>
          <w:bCs/>
          <w:i/>
          <w:iCs/>
          <w:noProof/>
          <w:sz w:val="21"/>
          <w:szCs w:val="21"/>
          <w:lang w:val="hy-AM" w:eastAsia="en-US"/>
        </w:rPr>
        <w:t xml:space="preserve">Գծապատկեր 2.1 </w:t>
      </w:r>
      <w:r w:rsidRPr="00A83C94">
        <w:rPr>
          <w:rFonts w:eastAsia="GHEA Grapalat" w:cs="GHEA Grapalat"/>
          <w:noProof/>
          <w:szCs w:val="22"/>
          <w:lang w:val="hy-AM" w:eastAsia="en-US"/>
        </w:rPr>
        <w:t xml:space="preserve"> </w:t>
      </w:r>
      <w:r w:rsidRPr="00A83C94">
        <w:rPr>
          <w:rFonts w:eastAsia="GHEA Grapalat" w:cs="GHEA Grapalat"/>
          <w:b w:val="0"/>
          <w:noProof/>
          <w:szCs w:val="22"/>
          <w:lang w:val="hy-AM" w:eastAsia="en-US"/>
        </w:rPr>
        <w:t>Պետական բյուջեի հարկային եկամուտները 2020-2021 թվականներին ըստ ամիսների</w:t>
      </w:r>
    </w:p>
    <w:p w14:paraId="6205FE20" w14:textId="77777777" w:rsidR="00027FBF" w:rsidRPr="00A83C94" w:rsidRDefault="00027FBF" w:rsidP="00027FBF">
      <w:pPr>
        <w:keepNext/>
        <w:keepLines/>
        <w:tabs>
          <w:tab w:val="left" w:pos="2160"/>
          <w:tab w:val="left" w:pos="2552"/>
        </w:tabs>
        <w:autoSpaceDE w:val="0"/>
        <w:autoSpaceDN w:val="0"/>
        <w:adjustRightInd w:val="0"/>
        <w:spacing w:before="0" w:line="240" w:lineRule="auto"/>
        <w:ind w:left="360" w:hanging="360"/>
        <w:contextualSpacing w:val="0"/>
        <w:jc w:val="center"/>
        <w:rPr>
          <w:rFonts w:eastAsia="GHEA Grapalat" w:cs="GHEA Grapalat"/>
          <w:b w:val="0"/>
          <w:noProof/>
          <w:szCs w:val="22"/>
          <w:lang w:val="en-US" w:eastAsia="en-US"/>
        </w:rPr>
      </w:pPr>
      <w:r w:rsidRPr="00A83C94">
        <w:rPr>
          <w:rFonts w:eastAsia="GHEA Grapalat" w:cs="GHEA Grapalat"/>
          <w:b w:val="0"/>
          <w:noProof/>
          <w:szCs w:val="22"/>
          <w:lang w:val="en-US" w:eastAsia="en-US"/>
        </w:rPr>
        <w:drawing>
          <wp:inline distT="0" distB="0" distL="0" distR="0" wp14:anchorId="02AC3EEF" wp14:editId="24F7189D">
            <wp:extent cx="5673488" cy="2647950"/>
            <wp:effectExtent l="57150" t="0" r="60960" b="114300"/>
            <wp:docPr id="14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AF2F1C3" w14:textId="77777777" w:rsidR="00027FBF" w:rsidRPr="00A83C94" w:rsidRDefault="00027FBF" w:rsidP="0002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18"/>
          <w:szCs w:val="18"/>
          <w:lang w:val="hy-AM" w:eastAsia="en-US"/>
        </w:rPr>
      </w:pPr>
      <w:r w:rsidRPr="00A83C94">
        <w:rPr>
          <w:rFonts w:eastAsia="Calibri" w:cs="Arial"/>
          <w:b w:val="0"/>
          <w:bCs/>
          <w:i/>
          <w:iCs/>
          <w:sz w:val="18"/>
          <w:szCs w:val="18"/>
          <w:lang w:val="hy-AM" w:eastAsia="en-US"/>
        </w:rPr>
        <w:t>Աղբյուրը՝ ՀՀ ՖՆ</w:t>
      </w:r>
    </w:p>
    <w:p w14:paraId="75317B09"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ծախսերը:</w:t>
      </w:r>
      <w:r w:rsidRPr="00A83C94">
        <w:rPr>
          <w:rFonts w:eastAsia="Calibri"/>
          <w:b w:val="0"/>
          <w:szCs w:val="22"/>
          <w:lang w:val="hy-AM" w:eastAsia="en-US"/>
        </w:rPr>
        <w:t xml:space="preserve"> 2021 թվականի հունվար-օգոստոս ամիսներին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Պետական բյուջեի ծախսերը նշված ժամանակահատվածում կազմել են 1184.1 մլրդ դրամ՝ նախորդ տարվա նույն ժամանակահատվածի համեմատ աճելով 10.4%-ով: Ընդ որում, ընթացիկ ծախսերը կազմել են 1080.5 մլրդ դրամ` նախորդ տարվա նույն ժամանակահատվածի համեմատ աճելով 8.8%</w:t>
      </w:r>
      <w:r w:rsidRPr="00A83C94">
        <w:rPr>
          <w:rFonts w:eastAsia="Calibri"/>
          <w:b w:val="0"/>
          <w:szCs w:val="22"/>
          <w:lang w:val="hy-AM" w:eastAsia="en-US"/>
        </w:rPr>
        <w:noBreakHyphen/>
        <w:t xml:space="preserve">ով, որն իր մեջ ներառում է Արցախյան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14:paraId="064A0721"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b w:val="0"/>
          <w:szCs w:val="22"/>
          <w:lang w:val="hy-AM" w:eastAsia="en-US"/>
        </w:rPr>
        <w:t>Ոչ ֆինանսական ակտիվների հետ գործառնությունները 2021 թվականի հունվար-օգոստոս ամիսներին կազմել են 103.6 մլրդ դրամ, որում ոչ ֆինանսական ակտիվների գծով ծախսերը (կապիտալ ծախսեր) կազմել են 104.5 մլրդ դրամ` նախորդ տարվա նույն ժամանակահատվածի նկատմամբ աճելով 29.8%</w:t>
      </w:r>
      <w:r w:rsidRPr="00A83C94">
        <w:rPr>
          <w:rFonts w:eastAsia="Calibri"/>
          <w:b w:val="0"/>
          <w:szCs w:val="22"/>
          <w:lang w:val="hy-AM" w:eastAsia="en-US"/>
        </w:rPr>
        <w:noBreakHyphen/>
        <w:t xml:space="preserve">ով, որը հիմնականում պայմանավորված է պաշտպանությանն ուղղված ծախսերի աճով, որն էլ իր հերթին եռամսյակային վերաբաշխման արդյունք է: </w:t>
      </w:r>
    </w:p>
    <w:p w14:paraId="61001E08"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Պետական բյուջեի պակասուրդը:</w:t>
      </w:r>
      <w:r w:rsidRPr="00A83C94">
        <w:rPr>
          <w:rFonts w:eastAsia="Calibri"/>
          <w:b w:val="0"/>
          <w:szCs w:val="22"/>
          <w:lang w:val="hy-AM" w:eastAsia="en-US"/>
        </w:rPr>
        <w:t xml:space="preserve"> Վերոնշյալ զարգացումների արդյունքում պետական բյուջեն եղել է պակասուրդային: 2021 թվականի առաջին ութ ամիսների ընթացքում ձևավորվել է պետական բյուջեի 143.5 մլրդ դրամ պակասուրդ՝ նախորդ տարվա նույն ժամանակահատվածի 135.3</w:t>
      </w:r>
      <w:r w:rsidRPr="00A83C94">
        <w:rPr>
          <w:rFonts w:ascii="Calibri" w:eastAsia="Calibri" w:hAnsi="Calibri" w:cs="Calibri"/>
          <w:b w:val="0"/>
          <w:szCs w:val="22"/>
          <w:lang w:val="hy-AM" w:eastAsia="en-US"/>
        </w:rPr>
        <w:t> </w:t>
      </w:r>
      <w:r w:rsidRPr="00A83C94">
        <w:rPr>
          <w:rFonts w:eastAsia="Calibri"/>
          <w:b w:val="0"/>
          <w:szCs w:val="22"/>
          <w:lang w:val="hy-AM" w:eastAsia="en-US"/>
        </w:rPr>
        <w:t xml:space="preserve">մլրդ դրամի դիմաց: </w:t>
      </w:r>
    </w:p>
    <w:p w14:paraId="5C8CF6B7" w14:textId="77777777" w:rsidR="00027FBF" w:rsidRPr="00A83C94" w:rsidRDefault="00027FBF" w:rsidP="00027FBF">
      <w:pPr>
        <w:autoSpaceDE w:val="0"/>
        <w:autoSpaceDN w:val="0"/>
        <w:adjustRightInd w:val="0"/>
        <w:spacing w:before="0" w:after="160" w:line="240" w:lineRule="auto"/>
        <w:contextualSpacing w:val="0"/>
        <w:rPr>
          <w:rFonts w:eastAsia="Calibri"/>
          <w:b w:val="0"/>
          <w:szCs w:val="22"/>
          <w:lang w:val="hy-AM" w:eastAsia="en-US"/>
        </w:rPr>
      </w:pPr>
      <w:r w:rsidRPr="00A83C94">
        <w:rPr>
          <w:rFonts w:eastAsia="Calibri"/>
          <w:i/>
          <w:szCs w:val="22"/>
          <w:lang w:val="hy-AM" w:eastAsia="en-US"/>
        </w:rPr>
        <w:t>Հարկաբյուջետային ազդակը:</w:t>
      </w:r>
      <w:r w:rsidRPr="00A83C94">
        <w:rPr>
          <w:rFonts w:eastAsia="Calibri"/>
          <w:b w:val="0"/>
          <w:szCs w:val="22"/>
          <w:lang w:val="hy-AM" w:eastAsia="en-US"/>
        </w:rPr>
        <w:t xml:space="preserve"> 2021 թվականի առաջին կիսամյակի ընթացքում տնտեսության վերականգնման և թույլ պահանջարկի պայմաններում հարկաբյուջետային քաղաքականության ազդեցությունն ամբողջական պահանջարկի վրա գնահատվում է զսպող: </w:t>
      </w:r>
    </w:p>
    <w:p w14:paraId="26E1B435" w14:textId="77777777" w:rsidR="00027FBF" w:rsidRPr="00A83C94" w:rsidRDefault="00027FBF" w:rsidP="00027FBF">
      <w:pPr>
        <w:spacing w:before="0" w:after="120" w:line="276" w:lineRule="auto"/>
        <w:ind w:firstLine="0"/>
        <w:contextualSpacing w:val="0"/>
        <w:rPr>
          <w:rFonts w:eastAsia="Calibri" w:cs="Arial"/>
          <w:bCs/>
          <w:szCs w:val="22"/>
          <w:u w:val="single"/>
          <w:lang w:val="hy-AM" w:eastAsia="en-US"/>
        </w:rPr>
      </w:pPr>
      <w:r w:rsidRPr="00A83C94">
        <w:rPr>
          <w:rFonts w:eastAsia="Calibri" w:cs="Arial"/>
          <w:bCs/>
          <w:szCs w:val="22"/>
          <w:u w:val="single"/>
          <w:lang w:val="hy-AM" w:eastAsia="en-US"/>
        </w:rPr>
        <w:t xml:space="preserve">Կարճաժամկետ կանխատեսումներ </w:t>
      </w:r>
    </w:p>
    <w:p w14:paraId="3BCB140B" w14:textId="77777777" w:rsidR="00027FBF" w:rsidRPr="00A83C94" w:rsidRDefault="00027FBF" w:rsidP="00027FBF">
      <w:pPr>
        <w:spacing w:before="0" w:after="160" w:line="276" w:lineRule="auto"/>
        <w:ind w:firstLine="630"/>
        <w:contextualSpacing w:val="0"/>
        <w:rPr>
          <w:rFonts w:eastAsia="Calibri" w:cs="GHEA Grapalat"/>
          <w:b w:val="0"/>
          <w:szCs w:val="22"/>
          <w:lang w:val="hy-AM" w:eastAsia="en-US"/>
        </w:rPr>
      </w:pPr>
      <w:r w:rsidRPr="00A83C94">
        <w:rPr>
          <w:rFonts w:eastAsia="Calibri" w:cs="GHEA Grapalat"/>
          <w:bCs/>
          <w:szCs w:val="22"/>
          <w:lang w:val="hy-AM" w:eastAsia="en-US"/>
        </w:rPr>
        <w:t>Հարկաբյուջետային և պարտքային կայուն միջավայր ձևավորելու անհրաժեշտությունից ելնելով՝ 2021 թվականին մեկնարկել է հարկաբյուջետային կոնսոլիդացիան, ինչի պայմաններում հարկաբյուջետային քաղաքականության ազդեցությունը կլինի զսպող:</w:t>
      </w:r>
      <w:r w:rsidRPr="00A83C94">
        <w:rPr>
          <w:rFonts w:eastAsia="Calibri" w:cs="GHEA Grapalat"/>
          <w:b w:val="0"/>
          <w:szCs w:val="22"/>
          <w:lang w:val="hy-AM" w:eastAsia="en-US"/>
        </w:rPr>
        <w:t xml:space="preserve"> 2021թ.</w:t>
      </w:r>
      <w:r w:rsidRPr="00A83C94">
        <w:rPr>
          <w:rFonts w:eastAsia="Calibri" w:cs="GHEA Grapalat"/>
          <w:b w:val="0"/>
          <w:szCs w:val="22"/>
          <w:lang w:val="hy-AM" w:eastAsia="en-US"/>
        </w:rPr>
        <w:noBreakHyphen/>
        <w:t>ին, հաշվի առնելով նախորդ տարվա բացասական իրադարձությունների հետևանքները, ևս մեկ տարի օգտագործվել են հարկաբյուջետային կանոնների համակարգով նախատեսված բացառիկ դեպքի կարգավորումները</w:t>
      </w:r>
      <w:r w:rsidRPr="00A83C94">
        <w:rPr>
          <w:rFonts w:eastAsia="Calibri" w:cs="GHEA Grapalat"/>
          <w:b w:val="0"/>
          <w:szCs w:val="22"/>
          <w:vertAlign w:val="superscript"/>
          <w:lang w:val="hy-AM" w:eastAsia="en-US"/>
        </w:rPr>
        <w:footnoteReference w:id="16"/>
      </w:r>
      <w:r w:rsidRPr="00A83C94">
        <w:rPr>
          <w:rFonts w:eastAsia="Calibri" w:cs="GHEA Grapalat"/>
          <w:b w:val="0"/>
          <w:szCs w:val="22"/>
          <w:vertAlign w:val="superscript"/>
          <w:lang w:val="hy-AM" w:eastAsia="en-US"/>
        </w:rPr>
        <w:t xml:space="preserve">, </w:t>
      </w:r>
      <w:r w:rsidRPr="00A83C94">
        <w:rPr>
          <w:rFonts w:eastAsia="Calibri" w:cs="GHEA Grapalat"/>
          <w:b w:val="0"/>
          <w:szCs w:val="22"/>
          <w:lang w:val="hy-AM" w:eastAsia="en-US"/>
        </w:rPr>
        <w:t>իսկ պետական ֆինանսների «ոսկե կանոնների» տրամաբանությանը և հարկաբյուջետային կանոնների ամբողջական պահպանմանը վերադարձ կկատարվի 2022 թվականից: Այդ համատեքստում, պետական բյուջեի կապիտալ ծախսերը 2021թ. կլինեն ավելի փոքր, քան բյուջեի պակասուրդը: Միևնույն ժամանակ, տնտեսության վերականգնումը չխաթարելու և մակրոտնտեսական կայունությանը նպաստելու նպատակով, նախատեսվում է իրականացնել հարկաբյուջետային սահուն կոնսոլիդացիա, ինչի արդյունքում կապահովվի կառավարության պարտքի բեռի նվազող միտման պահպանումը:</w:t>
      </w:r>
    </w:p>
    <w:p w14:paraId="78CCCC13" w14:textId="77777777" w:rsidR="00027FBF" w:rsidRPr="00A83C94" w:rsidRDefault="00027FBF" w:rsidP="00027FBF">
      <w:pPr>
        <w:autoSpaceDE w:val="0"/>
        <w:autoSpaceDN w:val="0"/>
        <w:adjustRightInd w:val="0"/>
        <w:spacing w:before="0" w:after="120" w:line="276" w:lineRule="auto"/>
        <w:ind w:firstLine="709"/>
        <w:contextualSpacing w:val="0"/>
        <w:rPr>
          <w:rFonts w:eastAsia="Calibri" w:cs="GHEA Grapalat"/>
          <w:b w:val="0"/>
          <w:szCs w:val="22"/>
          <w:lang w:val="hy-AM" w:eastAsia="en-US"/>
        </w:rPr>
      </w:pPr>
      <w:r w:rsidRPr="00A83C94">
        <w:rPr>
          <w:rFonts w:eastAsia="Calibri" w:cs="GHEA Grapalat"/>
          <w:b w:val="0"/>
          <w:bCs/>
          <w:szCs w:val="22"/>
          <w:lang w:val="hy-AM" w:eastAsia="en-US"/>
        </w:rPr>
        <w:t xml:space="preserve">2021թ.-ին սպասվում է հարկեր/ՀՆԱ հարաբերակցության 0.1 տոկոսային կետով բարելավում՝ պայմանավորված հիմնականում օրենսդրական փոփոխություններով (մասնավորապես՝ դրոշմանիշային վճարների աճով և արտահանման տուրքի կիրառմամբ): </w:t>
      </w:r>
      <w:r w:rsidRPr="00A83C94">
        <w:rPr>
          <w:rFonts w:eastAsia="Calibri" w:cs="GHEA Grapalat"/>
          <w:b w:val="0"/>
          <w:szCs w:val="22"/>
          <w:lang w:val="hy-AM" w:eastAsia="en-US"/>
        </w:rPr>
        <w:t>2021թ. հարկային եկամուտները կկազմեն 1581.0 մլրդ դրամ, կամ ՀՆԱ-ի 22.5%-ը: Պետական բյուջեի ընդհանուր ծախսերը նախորդ տարվա համեմատ կաճեն շուրջ 4.8%-ով՝ ներառելով COVID-19 համավարակի և Արցախյան պատերազմի հետևանքների մեղմանն ուղղված ծախսերը և կազմելով 1986.0 մլրդ դրամ, կամ ՀՆԱ-ի 28.2%-ը: Վերջինս, նախորդ տարվա համապատասխան ցուցանիշից փոքր է 2.4 տոկոսային կետով: Արդյունքում, պետական բյուջեի պակասուրդը 2020 թվականի նկատմամբ կնվազի՝ կազմելով շուրջ 329.1 մլրդ դրամ, կամ ՀՆԱ-ի շուրջ 4.7 տոկոսը, իսկ հարկաբյուջետային քաղաքականության ազդեցությունը ամբողջական պահանջարկի վրա կլինի 1.9% զսպող (եկամուտների չեզոք(0.2%) և ծախսերի 2.2% զսպող ազդեցություններով): Վերջինս այլ գործոնների հետ կնպաստի կառավարության պարտք/ՀՆԱ հարաբերակցության նվազմանը, որը կկազմի շուրջ 60.8 տոկոս՝ նախորդ տարվա համեմատ նվազելով 2.7 տոկոսային կետով:</w:t>
      </w:r>
    </w:p>
    <w:p w14:paraId="63BDEC30" w14:textId="77777777" w:rsidR="00027FBF" w:rsidRPr="00A83C94" w:rsidRDefault="00027FBF" w:rsidP="00027FBF">
      <w:pPr>
        <w:autoSpaceDE w:val="0"/>
        <w:autoSpaceDN w:val="0"/>
        <w:adjustRightInd w:val="0"/>
        <w:spacing w:before="0" w:after="120" w:line="276" w:lineRule="auto"/>
        <w:ind w:firstLine="709"/>
        <w:contextualSpacing w:val="0"/>
        <w:rPr>
          <w:rFonts w:eastAsia="Calibri"/>
          <w:b w:val="0"/>
          <w:szCs w:val="22"/>
          <w:lang w:val="hy-AM" w:eastAsia="en-US"/>
        </w:rPr>
      </w:pPr>
      <w:r w:rsidRPr="00A83C94">
        <w:rPr>
          <w:rFonts w:eastAsia="Calibri"/>
          <w:szCs w:val="22"/>
          <w:lang w:val="hy-AM" w:eastAsia="en-US"/>
        </w:rPr>
        <w:t>Նպատակ ունենալով նպաստել տնտեսական աճի ներուժի բարձրացմանը և միաժամանակ ապահովել հարկաբյուջետային կայունություն՝ հարկաբյուջետային քաղաքականությամբ թիրախավորվել է էապես բարձրացնել պետական ներդումների մակարդակը և միաժամանակ ապահովել ՀՀ կառավարության պարտքի բեռի նվազող միտումը:</w:t>
      </w:r>
      <w:r w:rsidRPr="00A83C94">
        <w:rPr>
          <w:rFonts w:eastAsia="Calibri"/>
          <w:b w:val="0"/>
          <w:bCs/>
          <w:szCs w:val="22"/>
          <w:lang w:val="hy-AM" w:eastAsia="en-US"/>
        </w:rPr>
        <w:t xml:space="preserve"> Բ</w:t>
      </w:r>
      <w:r w:rsidRPr="00A83C94">
        <w:rPr>
          <w:rFonts w:eastAsia="Calibri"/>
          <w:b w:val="0"/>
          <w:szCs w:val="22"/>
          <w:lang w:val="hy-AM" w:eastAsia="en-US"/>
        </w:rPr>
        <w:t>արձր տնտեսական աճի պայմաններում, հարկային վարչարարության լրացուցիչ ջանքի և օրենսդրական բարեփոխումների արդյունքում, ակնկալվում է, որ հարկեր/ՀՆԱ հարաբերակցությունը 2022թ.-ին կբարելավվի շուրջ 0.9 տոկոսային կետով՝ կազմելով շուրջ 1843.</w:t>
      </w:r>
      <w:r>
        <w:rPr>
          <w:rFonts w:eastAsia="Calibri"/>
          <w:b w:val="0"/>
          <w:szCs w:val="22"/>
          <w:lang w:val="hy-AM" w:eastAsia="en-US"/>
        </w:rPr>
        <w:t>9</w:t>
      </w:r>
      <w:r w:rsidRPr="00A83C94">
        <w:rPr>
          <w:rFonts w:eastAsia="Calibri"/>
          <w:b w:val="0"/>
          <w:szCs w:val="22"/>
          <w:lang w:val="hy-AM" w:eastAsia="en-US"/>
        </w:rPr>
        <w:t xml:space="preserve"> մլրդ դրամ, կամ ՀՆԱ-ի 23.4%-ը: Պետական բյուջեի ընթացիկ ծախսերը կկազմեն </w:t>
      </w:r>
      <w:r w:rsidRPr="002A203C">
        <w:rPr>
          <w:rFonts w:eastAsia="Calibri"/>
          <w:b w:val="0"/>
          <w:szCs w:val="22"/>
          <w:lang w:val="hy-AM" w:eastAsia="en-US"/>
        </w:rPr>
        <w:t>1,84</w:t>
      </w:r>
      <w:r w:rsidRPr="0017201C">
        <w:rPr>
          <w:rFonts w:eastAsia="Calibri"/>
          <w:b w:val="0"/>
          <w:szCs w:val="22"/>
          <w:lang w:val="hy-AM" w:eastAsia="en-US"/>
        </w:rPr>
        <w:t>2</w:t>
      </w:r>
      <w:r w:rsidRPr="002A203C">
        <w:rPr>
          <w:rFonts w:eastAsia="Calibri"/>
          <w:b w:val="0"/>
          <w:szCs w:val="22"/>
          <w:lang w:val="hy-AM" w:eastAsia="en-US"/>
        </w:rPr>
        <w:t>.</w:t>
      </w:r>
      <w:r>
        <w:rPr>
          <w:rFonts w:eastAsia="Calibri"/>
          <w:b w:val="0"/>
          <w:szCs w:val="22"/>
          <w:lang w:val="hy-AM" w:eastAsia="en-US"/>
        </w:rPr>
        <w:t>2</w:t>
      </w:r>
      <w:r w:rsidRPr="00A83C94">
        <w:rPr>
          <w:rFonts w:eastAsia="Calibri"/>
          <w:b w:val="0"/>
          <w:szCs w:val="22"/>
          <w:lang w:val="hy-AM" w:eastAsia="en-US"/>
        </w:rPr>
        <w:t xml:space="preserve"> մլրդ դրամ, որոնց կազմում ընթացիկ առաջնային ծախսերը սահմանափակված կլինեն նախորդ 7 տարիների ՀՆԱ-ների փաստացի անվանական միջին աճի չափով, իսկ ոչ ֆինանսական ակտիվների հետ գործառնությունների դերը զգալիորեն կբարելավվի՝ հասնելով ՀՆԱ-ի </w:t>
      </w:r>
      <w:r>
        <w:rPr>
          <w:rFonts w:eastAsia="Calibri"/>
          <w:b w:val="0"/>
          <w:szCs w:val="22"/>
          <w:lang w:val="hy-AM" w:eastAsia="en-US"/>
        </w:rPr>
        <w:t>4.3</w:t>
      </w:r>
      <w:r w:rsidRPr="00A83C94">
        <w:rPr>
          <w:rFonts w:eastAsia="Calibri"/>
          <w:b w:val="0"/>
          <w:szCs w:val="22"/>
          <w:lang w:val="hy-AM" w:eastAsia="en-US"/>
        </w:rPr>
        <w:t>%-ին՝ 2021թ. սպասվող 3.2%-ի համեմատ աճելով 1.</w:t>
      </w:r>
      <w:r>
        <w:rPr>
          <w:rFonts w:eastAsia="Calibri"/>
          <w:b w:val="0"/>
          <w:szCs w:val="22"/>
          <w:lang w:val="hy-AM" w:eastAsia="en-US"/>
        </w:rPr>
        <w:t>1</w:t>
      </w:r>
      <w:r w:rsidRPr="00A83C94">
        <w:rPr>
          <w:rFonts w:eastAsia="Calibri"/>
          <w:b w:val="0"/>
          <w:szCs w:val="22"/>
          <w:lang w:val="hy-AM" w:eastAsia="en-US"/>
        </w:rPr>
        <w:t xml:space="preserve"> տոկոսային կետով, որում ոչ ֆինանսական ակտիվների գծով ծախսերը կհասնեն ՀՆԱ-ի </w:t>
      </w:r>
      <w:r>
        <w:rPr>
          <w:rFonts w:eastAsia="Calibri"/>
          <w:b w:val="0"/>
          <w:szCs w:val="22"/>
          <w:lang w:val="hy-AM" w:eastAsia="en-US"/>
        </w:rPr>
        <w:t>4</w:t>
      </w:r>
      <w:r w:rsidRPr="00A83C94">
        <w:rPr>
          <w:rFonts w:eastAsia="Calibri"/>
          <w:b w:val="0"/>
          <w:szCs w:val="22"/>
          <w:lang w:val="hy-AM" w:eastAsia="en-US"/>
        </w:rPr>
        <w:t>.</w:t>
      </w:r>
      <w:r>
        <w:rPr>
          <w:rFonts w:eastAsia="Calibri"/>
          <w:b w:val="0"/>
          <w:szCs w:val="22"/>
          <w:lang w:val="hy-AM" w:eastAsia="en-US"/>
        </w:rPr>
        <w:t>5</w:t>
      </w:r>
      <w:r w:rsidRPr="00A83C94">
        <w:rPr>
          <w:rFonts w:eastAsia="Calibri"/>
          <w:b w:val="0"/>
          <w:szCs w:val="22"/>
          <w:lang w:val="hy-AM" w:eastAsia="en-US"/>
        </w:rPr>
        <w:t>%-ի:</w:t>
      </w:r>
    </w:p>
    <w:p w14:paraId="081ACDE0" w14:textId="77777777" w:rsidR="00027FBF" w:rsidRPr="00A83C94" w:rsidRDefault="00027FBF" w:rsidP="00027FBF">
      <w:pPr>
        <w:autoSpaceDE w:val="0"/>
        <w:autoSpaceDN w:val="0"/>
        <w:adjustRightInd w:val="0"/>
        <w:spacing w:before="0" w:after="120" w:line="276" w:lineRule="auto"/>
        <w:ind w:firstLine="709"/>
        <w:contextualSpacing w:val="0"/>
        <w:rPr>
          <w:rFonts w:eastAsia="Calibri"/>
          <w:b w:val="0"/>
          <w:szCs w:val="22"/>
          <w:lang w:val="hy-AM" w:eastAsia="en-US"/>
        </w:rPr>
      </w:pPr>
      <w:r w:rsidRPr="00A83C94">
        <w:rPr>
          <w:rFonts w:eastAsia="Calibri"/>
          <w:b w:val="0"/>
          <w:szCs w:val="22"/>
          <w:lang w:val="hy-AM" w:eastAsia="en-US"/>
        </w:rPr>
        <w:t>2022 թվականին, պետական բյուջեի դեֆիցիտը կնվազի՝ կազմելով ՀՆԱ-ի 3.</w:t>
      </w:r>
      <w:r>
        <w:rPr>
          <w:rFonts w:eastAsia="Calibri"/>
          <w:b w:val="0"/>
          <w:szCs w:val="22"/>
          <w:lang w:val="hy-AM" w:eastAsia="en-US"/>
        </w:rPr>
        <w:t>0</w:t>
      </w:r>
      <w:r w:rsidRPr="00A83C94">
        <w:rPr>
          <w:rFonts w:eastAsia="Calibri" w:cs="Sylfaen"/>
          <w:b w:val="0"/>
          <w:szCs w:val="22"/>
          <w:lang w:val="hy-AM" w:eastAsia="en-US"/>
        </w:rPr>
        <w:t>%-</w:t>
      </w:r>
      <w:r w:rsidRPr="00A83C94">
        <w:rPr>
          <w:rFonts w:eastAsia="Calibri"/>
          <w:b w:val="0"/>
          <w:szCs w:val="22"/>
          <w:lang w:val="hy-AM" w:eastAsia="en-US"/>
        </w:rPr>
        <w:t xml:space="preserve">ի չափ, իսկ հարկաբյուջետային քաղաքականությունը կլինի չեզոք՝ </w:t>
      </w:r>
      <w:r w:rsidRPr="00A83C94">
        <w:rPr>
          <w:rFonts w:eastAsia="Calibri" w:cs="Times Armenian"/>
          <w:b w:val="0"/>
          <w:bCs/>
          <w:szCs w:val="22"/>
          <w:lang w:val="hy-AM" w:eastAsia="en-US"/>
        </w:rPr>
        <w:t>չխաթարելով տնտեսական աճը և ապահովելով պարտքի բեռի նվազումը</w:t>
      </w:r>
      <w:r w:rsidRPr="00A83C94">
        <w:rPr>
          <w:rFonts w:eastAsia="Calibri"/>
          <w:b w:val="0"/>
          <w:szCs w:val="22"/>
          <w:lang w:val="hy-AM" w:eastAsia="en-US"/>
        </w:rPr>
        <w:t xml:space="preserve">: </w:t>
      </w:r>
    </w:p>
    <w:p w14:paraId="0758B517"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127D4FF"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202329D5"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00089923"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64E79580"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235F3BC6"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1784EE1A"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61AF26BF"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176E5C49"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FD70966"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79086B0"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7E8BF8DB"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5AD6F18D"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02FDA224" w14:textId="77777777" w:rsidR="00027FBF" w:rsidRPr="00A83C94" w:rsidRDefault="00027FBF" w:rsidP="00027FBF">
      <w:pPr>
        <w:spacing w:before="0" w:line="276" w:lineRule="auto"/>
        <w:ind w:firstLine="0"/>
        <w:contextualSpacing w:val="0"/>
        <w:jc w:val="left"/>
        <w:rPr>
          <w:rFonts w:eastAsia="Calibri"/>
          <w:bCs/>
          <w:i/>
          <w:iCs/>
          <w:sz w:val="21"/>
          <w:szCs w:val="21"/>
          <w:lang w:val="hy-AM" w:eastAsia="en-US"/>
        </w:rPr>
      </w:pPr>
    </w:p>
    <w:p w14:paraId="5741F27A" w14:textId="77777777" w:rsidR="00027FBF" w:rsidRPr="00A83C94" w:rsidRDefault="00027FBF" w:rsidP="00027FBF">
      <w:pPr>
        <w:spacing w:before="0" w:line="276" w:lineRule="auto"/>
        <w:ind w:firstLine="0"/>
        <w:contextualSpacing w:val="0"/>
        <w:jc w:val="left"/>
        <w:rPr>
          <w:rFonts w:eastAsia="Calibri"/>
          <w:b w:val="0"/>
          <w:i/>
          <w:iCs/>
          <w:sz w:val="21"/>
          <w:szCs w:val="21"/>
          <w:lang w:val="hy-AM" w:eastAsia="en-US"/>
        </w:rPr>
      </w:pPr>
      <w:r w:rsidRPr="00A83C94">
        <w:rPr>
          <w:rFonts w:eastAsia="Calibri"/>
          <w:bCs/>
          <w:i/>
          <w:iCs/>
          <w:sz w:val="21"/>
          <w:szCs w:val="21"/>
          <w:lang w:val="hy-AM" w:eastAsia="en-US"/>
        </w:rPr>
        <w:t>Գծապատկեր 2.2.</w:t>
      </w:r>
      <w:r w:rsidRPr="00A83C94">
        <w:rPr>
          <w:rFonts w:eastAsia="Calibri"/>
          <w:b w:val="0"/>
          <w:i/>
          <w:iCs/>
          <w:sz w:val="21"/>
          <w:szCs w:val="21"/>
          <w:lang w:val="hy-AM" w:eastAsia="en-US"/>
        </w:rPr>
        <w:t xml:space="preserve"> Պետական բյուջեի եկամուտները, ծախսերը և պակասուրդը, մլրդ դրամ</w:t>
      </w:r>
    </w:p>
    <w:p w14:paraId="18002364" w14:textId="77777777" w:rsidR="00027FBF" w:rsidRPr="00A83C94" w:rsidRDefault="00027FBF" w:rsidP="00027FBF">
      <w:pPr>
        <w:spacing w:before="0" w:line="276" w:lineRule="auto"/>
        <w:ind w:firstLine="0"/>
        <w:contextualSpacing w:val="0"/>
        <w:rPr>
          <w:rFonts w:eastAsia="Calibri"/>
          <w:szCs w:val="22"/>
          <w:lang w:val="hy-AM" w:eastAsia="en-US"/>
        </w:rPr>
      </w:pPr>
      <w:r w:rsidRPr="00A83C94">
        <w:rPr>
          <w:rFonts w:eastAsia="Calibri"/>
          <w:b w:val="0"/>
          <w:noProof/>
          <w:sz w:val="20"/>
          <w:szCs w:val="20"/>
          <w:lang w:val="en-US" w:eastAsia="en-US"/>
        </w:rPr>
        <w:drawing>
          <wp:inline distT="0" distB="0" distL="0" distR="0" wp14:anchorId="367804F2" wp14:editId="35629474">
            <wp:extent cx="2952000" cy="2857500"/>
            <wp:effectExtent l="0" t="0" r="1270" b="0"/>
            <wp:docPr id="103" name="Chart 10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Pr="00A83C94">
        <w:rPr>
          <w:rFonts w:eastAsia="Calibri"/>
          <w:szCs w:val="22"/>
          <w:lang w:val="hy-AM" w:eastAsia="en-US"/>
        </w:rPr>
        <w:t xml:space="preserve"> </w:t>
      </w:r>
      <w:r w:rsidRPr="00A83C94">
        <w:rPr>
          <w:rFonts w:eastAsia="Calibri"/>
          <w:b w:val="0"/>
          <w:noProof/>
          <w:sz w:val="20"/>
          <w:szCs w:val="20"/>
          <w:lang w:val="en-US" w:eastAsia="en-US"/>
        </w:rPr>
        <w:drawing>
          <wp:inline distT="0" distB="0" distL="0" distR="0" wp14:anchorId="21E5E622" wp14:editId="0BBA5E7A">
            <wp:extent cx="2952000" cy="2857500"/>
            <wp:effectExtent l="0" t="0" r="1270" b="0"/>
            <wp:docPr id="104" name="Chart 10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85A817A" w14:textId="77777777" w:rsidR="00027FBF" w:rsidRPr="00A83C94" w:rsidRDefault="00027FBF" w:rsidP="00027FBF">
      <w:pPr>
        <w:spacing w:before="0" w:line="276" w:lineRule="auto"/>
        <w:ind w:firstLine="0"/>
        <w:contextualSpacing w:val="0"/>
        <w:jc w:val="left"/>
        <w:rPr>
          <w:rFonts w:eastAsia="Calibri"/>
          <w:b w:val="0"/>
          <w:i/>
          <w:iCs/>
          <w:sz w:val="21"/>
          <w:szCs w:val="21"/>
          <w:lang w:val="hy-AM" w:eastAsia="en-US"/>
        </w:rPr>
      </w:pPr>
      <w:r w:rsidRPr="00A83C94">
        <w:rPr>
          <w:rFonts w:eastAsia="Calibri"/>
          <w:bCs/>
          <w:i/>
          <w:iCs/>
          <w:sz w:val="21"/>
          <w:szCs w:val="21"/>
          <w:lang w:val="hy-AM" w:eastAsia="en-US"/>
        </w:rPr>
        <w:t>Գծապատկեր 2.3.</w:t>
      </w:r>
      <w:r w:rsidRPr="00A83C94">
        <w:rPr>
          <w:rFonts w:eastAsia="Calibri"/>
          <w:b w:val="0"/>
          <w:i/>
          <w:iCs/>
          <w:sz w:val="21"/>
          <w:szCs w:val="21"/>
          <w:lang w:val="hy-AM" w:eastAsia="en-US"/>
        </w:rPr>
        <w:t xml:space="preserve"> Հարկաբյուջետային ազդակը</w:t>
      </w:r>
    </w:p>
    <w:p w14:paraId="23261078" w14:textId="77777777" w:rsidR="00027FBF" w:rsidRPr="00A83C94" w:rsidRDefault="00027FBF" w:rsidP="00027FBF">
      <w:pPr>
        <w:spacing w:before="0" w:line="276" w:lineRule="auto"/>
        <w:ind w:firstLine="0"/>
        <w:contextualSpacing w:val="0"/>
        <w:rPr>
          <w:rFonts w:eastAsia="Calibri"/>
          <w:b w:val="0"/>
          <w:szCs w:val="22"/>
          <w:lang w:val="hy-AM" w:eastAsia="en-US"/>
        </w:rPr>
      </w:pPr>
      <w:r w:rsidRPr="00A83C94">
        <w:rPr>
          <w:rFonts w:eastAsia="Calibri"/>
          <w:b w:val="0"/>
          <w:noProof/>
          <w:szCs w:val="22"/>
          <w:lang w:val="en-US" w:eastAsia="en-US"/>
        </w:rPr>
        <w:drawing>
          <wp:inline distT="0" distB="0" distL="0" distR="0" wp14:anchorId="07C723AC" wp14:editId="7DB03D8B">
            <wp:extent cx="5969000" cy="2495550"/>
            <wp:effectExtent l="0" t="0" r="12700" b="0"/>
            <wp:docPr id="149" name="Chart 1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06529BB2" w14:textId="77777777" w:rsidR="00027FBF" w:rsidRPr="00A83C94" w:rsidRDefault="00027FBF" w:rsidP="00027FBF">
      <w:pPr>
        <w:autoSpaceDE w:val="0"/>
        <w:autoSpaceDN w:val="0"/>
        <w:adjustRightInd w:val="0"/>
        <w:spacing w:before="0" w:line="276" w:lineRule="auto"/>
        <w:ind w:firstLine="709"/>
        <w:contextualSpacing w:val="0"/>
        <w:rPr>
          <w:rFonts w:eastAsia="Calibri" w:cs="Arial"/>
          <w:b w:val="0"/>
          <w:bCs/>
          <w:i/>
          <w:iCs/>
          <w:sz w:val="18"/>
          <w:szCs w:val="18"/>
          <w:lang w:val="hy-AM" w:eastAsia="en-US"/>
        </w:rPr>
      </w:pPr>
      <w:r w:rsidRPr="00A83C94">
        <w:rPr>
          <w:rFonts w:eastAsia="Calibri" w:cs="Arial"/>
          <w:b w:val="0"/>
          <w:bCs/>
          <w:i/>
          <w:iCs/>
          <w:sz w:val="18"/>
          <w:szCs w:val="18"/>
          <w:lang w:val="hy-AM" w:eastAsia="en-US"/>
        </w:rPr>
        <w:t>Աղբյուրը՝ ՀՀ ՖՆ գնահատականներ</w:t>
      </w:r>
    </w:p>
    <w:p w14:paraId="2A2BB5CF" w14:textId="77777777" w:rsidR="00027FBF" w:rsidRPr="00A83C94" w:rsidRDefault="00027FBF" w:rsidP="00027FBF">
      <w:pPr>
        <w:spacing w:before="40" w:after="60" w:line="276" w:lineRule="auto"/>
        <w:contextualSpacing w:val="0"/>
        <w:rPr>
          <w:rFonts w:eastAsia="Calibri"/>
          <w:b w:val="0"/>
          <w:szCs w:val="22"/>
          <w:lang w:val="hy-AM" w:eastAsia="en-US"/>
        </w:rPr>
      </w:pPr>
      <w:r w:rsidRPr="00A83C94">
        <w:rPr>
          <w:rFonts w:eastAsia="Calibri"/>
          <w:szCs w:val="22"/>
          <w:lang w:val="hy-AM" w:eastAsia="en-US"/>
        </w:rPr>
        <w:t xml:space="preserve">2022 թվականից վերադարձ կկատարվի </w:t>
      </w:r>
      <w:r w:rsidRPr="00A83C94">
        <w:rPr>
          <w:rFonts w:eastAsia="Calibri"/>
          <w:bCs/>
          <w:szCs w:val="22"/>
          <w:lang w:val="hy-AM" w:eastAsia="en-US"/>
        </w:rPr>
        <w:t xml:space="preserve">հարկաբյուջետային կանոններով սահմանված պետական ֆինանսների «ոսկե կանոնների» տրամաբանությանը՝ կայուն հիմքեր ստեղծելով երկարաժամկետ բարձր տնտեսական աճի ապահովման համար, ապահովելով պարտք/ՀՆԱ հարաբերակցության նվազող հետագիծը և ծախսերի կառուցվածքի բարելավումը: </w:t>
      </w:r>
      <w:r w:rsidRPr="00A83C94">
        <w:rPr>
          <w:rFonts w:eastAsia="Calibri"/>
          <w:b w:val="0"/>
          <w:szCs w:val="22"/>
          <w:lang w:val="hy-AM" w:eastAsia="en-US"/>
        </w:rPr>
        <w:t>Մասնավորապես նախատեսվել է ընդհանուր ծախսերում կապիտալ ծախսերի մասնաբաժնի մեծացում, ինչի արդյունքում կապիտալ ծախսերի ծավալը կգերազանցի պետական բյուջեի պակասուրդի մեծությունը: Բացի այդ, հարկեր/ՀՆԱ հարաբերակցության բարելավման և ընթացիկ ծախսերի՝ հարկաբյուջետային կանոններին համապատասխան սահմանափակ աճի պայմաններում, կանխատեսվող հորիզոնում ընթացիկ ծախսերի մակարդակը կհավասարվի հարկային եկամուտներ/ՀՆԱ հարաբերակցությանը:</w:t>
      </w:r>
    </w:p>
    <w:p w14:paraId="69EA9E3D"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68C57468"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7A0FA959"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45E0A6EE"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5670CC01" w14:textId="77777777" w:rsidR="00027FBF" w:rsidRPr="00A83C94" w:rsidRDefault="00027FBF" w:rsidP="00027FBF">
      <w:pPr>
        <w:spacing w:before="0" w:line="276" w:lineRule="auto"/>
        <w:ind w:firstLine="709"/>
        <w:contextualSpacing w:val="0"/>
        <w:rPr>
          <w:rFonts w:eastAsia="Calibri"/>
          <w:bCs/>
          <w:i/>
          <w:iCs/>
          <w:sz w:val="21"/>
          <w:szCs w:val="21"/>
          <w:lang w:val="hy-AM" w:eastAsia="en-US"/>
        </w:rPr>
      </w:pPr>
    </w:p>
    <w:p w14:paraId="404F3082" w14:textId="77777777" w:rsidR="00027FBF" w:rsidRPr="00A83C94" w:rsidRDefault="00027FBF" w:rsidP="00027FBF">
      <w:pPr>
        <w:spacing w:before="0" w:line="276" w:lineRule="auto"/>
        <w:ind w:firstLine="709"/>
        <w:contextualSpacing w:val="0"/>
        <w:rPr>
          <w:rFonts w:eastAsia="Calibri"/>
          <w:b w:val="0"/>
          <w:i/>
          <w:iCs/>
          <w:sz w:val="21"/>
          <w:szCs w:val="21"/>
          <w:lang w:val="hy-AM" w:eastAsia="en-US"/>
        </w:rPr>
      </w:pPr>
      <w:r w:rsidRPr="00A83C94">
        <w:rPr>
          <w:rFonts w:eastAsia="Calibri"/>
          <w:bCs/>
          <w:i/>
          <w:iCs/>
          <w:sz w:val="21"/>
          <w:szCs w:val="21"/>
          <w:lang w:val="hy-AM" w:eastAsia="en-US"/>
        </w:rPr>
        <w:t>Գծապատկեր 2.4.</w:t>
      </w:r>
      <w:r w:rsidRPr="00A83C94">
        <w:rPr>
          <w:rFonts w:eastAsia="Calibri"/>
          <w:b w:val="0"/>
          <w:i/>
          <w:iCs/>
          <w:sz w:val="21"/>
          <w:szCs w:val="21"/>
          <w:lang w:val="hy-AM" w:eastAsia="en-US"/>
        </w:rPr>
        <w:t xml:space="preserve"> 2022 թվականին վերադարձը «Ոսկե կանոնների» պահպանմանը</w:t>
      </w:r>
    </w:p>
    <w:p w14:paraId="3904C584" w14:textId="77777777" w:rsidR="00027FBF" w:rsidRPr="00A83C94" w:rsidRDefault="00027FBF" w:rsidP="00027FBF">
      <w:pPr>
        <w:spacing w:before="0" w:line="240" w:lineRule="auto"/>
        <w:ind w:firstLine="0"/>
        <w:contextualSpacing w:val="0"/>
        <w:jc w:val="center"/>
        <w:rPr>
          <w:rFonts w:eastAsia="Calibri"/>
          <w:b w:val="0"/>
          <w:noProof/>
          <w:sz w:val="20"/>
          <w:szCs w:val="20"/>
          <w:lang w:val="hy-AM" w:eastAsia="en-US"/>
        </w:rPr>
      </w:pPr>
      <w:r w:rsidRPr="00A83C94">
        <w:rPr>
          <w:rFonts w:eastAsia="Calibri"/>
          <w:b w:val="0"/>
          <w:noProof/>
          <w:sz w:val="20"/>
          <w:szCs w:val="20"/>
          <w:lang w:val="en-US" w:eastAsia="en-US"/>
        </w:rPr>
        <w:drawing>
          <wp:inline distT="0" distB="0" distL="0" distR="0" wp14:anchorId="6D36094F" wp14:editId="4D1019CE">
            <wp:extent cx="2916000" cy="2700000"/>
            <wp:effectExtent l="0" t="0" r="17780" b="5715"/>
            <wp:docPr id="106" name="Chart 10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A83C94">
        <w:rPr>
          <w:rFonts w:eastAsia="Calibri"/>
          <w:b w:val="0"/>
          <w:noProof/>
          <w:sz w:val="20"/>
          <w:szCs w:val="20"/>
          <w:lang w:val="hy-AM" w:eastAsia="en-US"/>
        </w:rPr>
        <w:t xml:space="preserve"> </w:t>
      </w:r>
      <w:r w:rsidRPr="00A83C94">
        <w:rPr>
          <w:rFonts w:eastAsia="Calibri"/>
          <w:b w:val="0"/>
          <w:noProof/>
          <w:sz w:val="20"/>
          <w:szCs w:val="20"/>
          <w:lang w:val="en-US" w:eastAsia="en-US"/>
        </w:rPr>
        <w:drawing>
          <wp:inline distT="0" distB="0" distL="0" distR="0" wp14:anchorId="7DBAC248" wp14:editId="00BC4B2E">
            <wp:extent cx="2916000" cy="2700000"/>
            <wp:effectExtent l="0" t="0" r="17780" b="5715"/>
            <wp:docPr id="107" name="Chart 10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71A2E13" w14:textId="77777777" w:rsidR="00027FBF" w:rsidRPr="00A83C94" w:rsidRDefault="00027FBF" w:rsidP="0002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r w:rsidRPr="00A83C94">
        <w:rPr>
          <w:rFonts w:eastAsia="Calibri" w:cs="Arial"/>
          <w:b w:val="0"/>
          <w:bCs/>
          <w:i/>
          <w:iCs/>
          <w:sz w:val="20"/>
          <w:szCs w:val="20"/>
          <w:lang w:val="hy-AM" w:eastAsia="en-US"/>
        </w:rPr>
        <w:t>Աղբյուրը՝ ՀՀ ՖՆ</w:t>
      </w:r>
    </w:p>
    <w:p w14:paraId="12664F92" w14:textId="77777777" w:rsidR="00027FBF" w:rsidRPr="00A83C94" w:rsidRDefault="00027FBF" w:rsidP="00027F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ind w:firstLine="709"/>
        <w:contextualSpacing w:val="0"/>
        <w:rPr>
          <w:rFonts w:eastAsia="Calibri" w:cs="Arial"/>
          <w:b w:val="0"/>
          <w:bCs/>
          <w:i/>
          <w:iCs/>
          <w:sz w:val="20"/>
          <w:szCs w:val="20"/>
          <w:lang w:val="hy-AM" w:eastAsia="en-US"/>
        </w:rPr>
      </w:pPr>
    </w:p>
    <w:p w14:paraId="7A073E25" w14:textId="77777777" w:rsidR="00027FBF" w:rsidRPr="00A83C94" w:rsidRDefault="00027FBF" w:rsidP="00027FBF">
      <w:pPr>
        <w:autoSpaceDE w:val="0"/>
        <w:autoSpaceDN w:val="0"/>
        <w:adjustRightInd w:val="0"/>
        <w:spacing w:before="0" w:after="160" w:line="276" w:lineRule="auto"/>
        <w:ind w:firstLine="709"/>
        <w:contextualSpacing w:val="0"/>
        <w:rPr>
          <w:rFonts w:eastAsia="Calibri" w:cs="GHEA Grapalat"/>
          <w:b w:val="0"/>
          <w:szCs w:val="22"/>
          <w:lang w:val="hy-AM" w:eastAsia="en-US"/>
        </w:rPr>
      </w:pPr>
      <w:r w:rsidRPr="00A83C94">
        <w:rPr>
          <w:rFonts w:eastAsia="Calibri" w:cs="GHEA Grapalat"/>
          <w:szCs w:val="22"/>
          <w:lang w:val="hy-AM" w:eastAsia="en-US"/>
        </w:rPr>
        <w:t>2021թ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-ից մեկնարկել է ՀՀ հարկաբյուջետային կանոններով պահանջվող հարկաբյուջետային կոնսոլիդացիան, որը կշարունակվի 2022թ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-ին՝ ինչպես նախատեսված է 2022-2026 թթ</w:t>
      </w:r>
      <w:r w:rsidRPr="00A83C94">
        <w:rPr>
          <w:rFonts w:ascii="Cambria Math" w:eastAsia="Calibri" w:hAnsi="Cambria Math" w:cs="Cambria Math"/>
          <w:szCs w:val="22"/>
          <w:lang w:val="hy-AM" w:eastAsia="en-US"/>
        </w:rPr>
        <w:t>․</w:t>
      </w:r>
      <w:r w:rsidRPr="00A83C94">
        <w:rPr>
          <w:rFonts w:eastAsia="Calibri" w:cs="GHEA Grapalat"/>
          <w:szCs w:val="22"/>
          <w:lang w:val="hy-AM" w:eastAsia="en-US"/>
        </w:rPr>
        <w:t xml:space="preserve"> ՀՀ կառավարության պարտքի բեռի նվազեցման ծրագրով, որով թիրախավորվել է միջնաժամկետ հորիզոնում կառավարության պարտք/ՀՆԱ ցուցանիշը նվազեցնել 60% սահմանային շեմից։</w:t>
      </w:r>
      <w:r w:rsidRPr="00A83C94">
        <w:rPr>
          <w:rFonts w:eastAsia="Calibri" w:cs="GHEA Grapalat"/>
          <w:b w:val="0"/>
          <w:szCs w:val="22"/>
          <w:lang w:val="hy-AM" w:eastAsia="en-US"/>
        </w:rPr>
        <w:t xml:space="preserve"> 2022թ</w:t>
      </w:r>
      <w:r w:rsidRPr="00A83C94">
        <w:rPr>
          <w:rFonts w:ascii="Cambria Math" w:eastAsia="Calibri" w:hAnsi="Cambria Math" w:cs="Cambria Math"/>
          <w:b w:val="0"/>
          <w:szCs w:val="22"/>
          <w:lang w:val="hy-AM" w:eastAsia="en-US"/>
        </w:rPr>
        <w:t>․</w:t>
      </w:r>
      <w:r w:rsidRPr="00A83C94">
        <w:rPr>
          <w:rFonts w:eastAsia="Calibri" w:cs="GHEA Grapalat"/>
          <w:b w:val="0"/>
          <w:szCs w:val="22"/>
          <w:lang w:val="hy-AM" w:eastAsia="en-US"/>
        </w:rPr>
        <w:t>-ին նախատեսված պետական բյուջեի պակասուրդ/ՀՆԱ-ի պայմաններում կառավարության պարտք/ՀՆԱ ցուցանիշը ավելի կմոտենա 60% շեմին՝ հնարավորություն տալով հաջորդ տարիներին ապահովելով պարտքի նվազեցման միջնաժամկետ թիրախը։ ՀՀ կառավարության պարտք/ՀՆԱ ցուցանիշի 0.</w:t>
      </w:r>
      <w:r w:rsidRPr="001E50D2">
        <w:rPr>
          <w:rFonts w:eastAsia="Calibri" w:cs="GHEA Grapalat"/>
          <w:b w:val="0"/>
          <w:szCs w:val="22"/>
          <w:lang w:val="hy-AM" w:eastAsia="en-US"/>
        </w:rPr>
        <w:t>5</w:t>
      </w:r>
      <w:r w:rsidRPr="00A83C94">
        <w:rPr>
          <w:rFonts w:eastAsia="Calibri" w:cs="GHEA Grapalat"/>
          <w:b w:val="0"/>
          <w:szCs w:val="22"/>
          <w:lang w:val="hy-AM" w:eastAsia="en-US"/>
        </w:rPr>
        <w:t xml:space="preserve"> տոկոսային կետով նվազմանը նպաստող հիմնական գործոնը կլինի տնտեսական աճը և հարկաբյուջետային քաղաքականության հետևանքով պետական բյուջեի առաջնային հաշվեկշռի բարելավումը։ </w:t>
      </w:r>
    </w:p>
    <w:p w14:paraId="02E814CB" w14:textId="77777777" w:rsidR="00027FBF" w:rsidRPr="00A83C94" w:rsidRDefault="00027FBF" w:rsidP="00027FBF">
      <w:pPr>
        <w:autoSpaceDE w:val="0"/>
        <w:autoSpaceDN w:val="0"/>
        <w:adjustRightInd w:val="0"/>
        <w:spacing w:before="0" w:after="160" w:line="240" w:lineRule="auto"/>
        <w:ind w:firstLine="709"/>
        <w:contextualSpacing w:val="0"/>
        <w:rPr>
          <w:rFonts w:eastAsia="Calibri" w:cs="GHEA Grapalat"/>
          <w:b w:val="0"/>
          <w:i/>
          <w:szCs w:val="22"/>
          <w:lang w:val="hy-AM" w:eastAsia="en-US"/>
        </w:rPr>
      </w:pPr>
      <w:r w:rsidRPr="00A83C94">
        <w:rPr>
          <w:rFonts w:eastAsia="Calibri" w:cs="GHEA Grapalat"/>
          <w:i/>
          <w:szCs w:val="22"/>
          <w:lang w:val="hy-AM" w:eastAsia="en-US"/>
        </w:rPr>
        <w:t>Գծապատկեր 2.5.</w:t>
      </w:r>
      <w:r w:rsidRPr="00A83C94">
        <w:rPr>
          <w:rFonts w:eastAsia="Calibri" w:cs="GHEA Grapalat"/>
          <w:b w:val="0"/>
          <w:i/>
          <w:szCs w:val="22"/>
          <w:lang w:val="hy-AM" w:eastAsia="en-US"/>
        </w:rPr>
        <w:t xml:space="preserve"> ՀՀ կառավարության պարտքի դինամիկան և այն պայմանավորող գործոնները </w:t>
      </w:r>
    </w:p>
    <w:p w14:paraId="1C727342" w14:textId="77777777" w:rsidR="00027FBF" w:rsidRPr="00A83C94" w:rsidRDefault="00027FBF" w:rsidP="00027FBF">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 xml:space="preserve">  </w:t>
      </w:r>
      <w:r w:rsidRPr="00A83C94">
        <w:rPr>
          <w:rFonts w:ascii="Calibri" w:eastAsia="Calibri" w:hAnsi="Calibri"/>
          <w:noProof/>
          <w:szCs w:val="22"/>
          <w:lang w:val="en-US" w:eastAsia="en-US"/>
        </w:rPr>
        <w:drawing>
          <wp:inline distT="0" distB="0" distL="0" distR="0" wp14:anchorId="529CE379" wp14:editId="67CF88E6">
            <wp:extent cx="2844000" cy="2879725"/>
            <wp:effectExtent l="0" t="0" r="13970" b="15875"/>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A83C94">
        <w:rPr>
          <w:rFonts w:ascii="Calibri" w:eastAsia="Calibri" w:hAnsi="Calibri"/>
          <w:b w:val="0"/>
          <w:noProof/>
          <w:szCs w:val="22"/>
          <w:lang w:val="en-US" w:eastAsia="en-US"/>
        </w:rPr>
        <w:drawing>
          <wp:inline distT="0" distB="0" distL="0" distR="0" wp14:anchorId="1FC3D319" wp14:editId="36861D01">
            <wp:extent cx="2964815" cy="2886075"/>
            <wp:effectExtent l="0" t="0" r="6985" b="9525"/>
            <wp:docPr id="119" name="Char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DBC77B4" w14:textId="77777777" w:rsidR="00027FBF" w:rsidRPr="00A83C94" w:rsidRDefault="00027FBF" w:rsidP="00027FBF">
      <w:pPr>
        <w:autoSpaceDE w:val="0"/>
        <w:autoSpaceDN w:val="0"/>
        <w:adjustRightInd w:val="0"/>
        <w:spacing w:before="0" w:after="160" w:line="240" w:lineRule="auto"/>
        <w:ind w:firstLine="0"/>
        <w:contextualSpacing w:val="0"/>
        <w:rPr>
          <w:rFonts w:eastAsia="Calibri" w:cs="GHEA Grapalat"/>
          <w:b w:val="0"/>
          <w:szCs w:val="22"/>
          <w:lang w:val="hy-AM" w:eastAsia="en-US"/>
        </w:rPr>
      </w:pPr>
      <w:r w:rsidRPr="00A83C94">
        <w:rPr>
          <w:rFonts w:eastAsia="Calibri" w:cs="GHEA Grapalat"/>
          <w:b w:val="0"/>
          <w:szCs w:val="22"/>
          <w:lang w:val="hy-AM" w:eastAsia="en-US"/>
        </w:rPr>
        <w:t>Աղբյուրը՝ ՀՀ ՖՆ</w:t>
      </w:r>
    </w:p>
    <w:p w14:paraId="7249253B" w14:textId="77777777" w:rsidR="00027FBF" w:rsidRPr="00A83C94" w:rsidRDefault="00027FBF" w:rsidP="00027FBF">
      <w:pPr>
        <w:spacing w:before="0" w:line="276" w:lineRule="auto"/>
        <w:ind w:firstLine="709"/>
        <w:contextualSpacing w:val="0"/>
        <w:rPr>
          <w:rFonts w:eastAsia="Calibri" w:cs="Arial"/>
          <w:b w:val="0"/>
          <w:bCs/>
          <w:i/>
          <w:iCs/>
          <w:sz w:val="20"/>
          <w:szCs w:val="20"/>
          <w:lang w:val="hy-AM" w:eastAsia="en-US"/>
        </w:rPr>
      </w:pPr>
    </w:p>
    <w:p w14:paraId="7B26378D"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rPr>
          <w:rFonts w:eastAsia="Calibri"/>
          <w:bCs/>
          <w:color w:val="000000"/>
          <w:szCs w:val="22"/>
          <w:lang w:val="hy-AM" w:eastAsia="en-US"/>
        </w:rPr>
      </w:pPr>
      <w:bookmarkStart w:id="175" w:name="_Toc45840842"/>
      <w:bookmarkStart w:id="176" w:name="_Toc45841159"/>
      <w:bookmarkEnd w:id="175"/>
      <w:bookmarkEnd w:id="176"/>
      <w:r w:rsidRPr="00A83C94">
        <w:rPr>
          <w:rFonts w:eastAsia="Calibri"/>
          <w:bCs/>
          <w:color w:val="000000"/>
          <w:szCs w:val="22"/>
          <w:lang w:val="hy-AM" w:eastAsia="en-US"/>
        </w:rPr>
        <w:t>Ներդիր 4։ Կորոնավիրուսի ճգնաժամի հաղթահարմանն ուղղված հարկաբյուջետային քաղաքականության միջոցառումները</w:t>
      </w:r>
    </w:p>
    <w:p w14:paraId="042E0474"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 xml:space="preserve">COVID-19 համավարակի տարածման բացասական ազդեցությունները ՀՀ տնտեսության վրա արտացոլվել են ինչպես արտաքին աշխարհից փոխանցվող շոկերի այնպես էլ ներքին տնտեսական սահմանափակումների տեսքով: Տնտեսական խորը անկումը կանխելու, ինչպես նաև հետագա վերականգնումը խթանելու համար, կառավարությունը 2020 թվականին նախատեսել էր իրականացնել 150 մլրդ դրամ (ՀՆԱ-ի 2.4%-ի չափով) ընդհանուր գումարի չափով սոցիալ-տնտեսական աջակցության միջոցառումների ծրագիր: </w:t>
      </w:r>
    </w:p>
    <w:p w14:paraId="746D7CBA"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contextualSpacing w:val="0"/>
        <w:rPr>
          <w:rFonts w:eastAsia="Calibri"/>
          <w:b w:val="0"/>
          <w:color w:val="000000"/>
          <w:szCs w:val="22"/>
          <w:lang w:val="hy-AM" w:eastAsia="en-US"/>
        </w:rPr>
      </w:pPr>
      <w:r w:rsidRPr="00A83C94">
        <w:rPr>
          <w:rFonts w:eastAsia="Calibri"/>
          <w:b w:val="0"/>
          <w:color w:val="000000"/>
          <w:szCs w:val="22"/>
          <w:lang w:val="hy-AM" w:eastAsia="en-US"/>
        </w:rPr>
        <w:t>2020 թվականին փաստացի ծախսվել է 39.0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իսկ բյուջեից վարկավորումը կազմել է 19.4 մլրդ դրամ, որոնք միասին կազմում են ՀՆԱ-ի 0.95 տոկոսը: Մասնավորապես, սոցիալական աջակցության ծրագրերի գծով հատկացվել է 26.0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իսկ տնտեսական հետևանքների չեզոքացման նպատակով տրամադրվել է 32.4</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 (որից 13.0 մլրդ դրամը բյուջեի ծախսերի աճի միջոցով, իսկ 19.4 մլրդ դրամը` դեֆիցիտի ֆինանսավորման գործառնությունների (ներքին վարկավորման) միջոցով): Երկարաժամկետ տնտեսական զարգացմանն ուղղված, 80.0 մլրդ դրամ նախապես ծրագրավորված ծավալով միջոցառումները 2020 թվականի ընթացքում չեն իրականացվել: COVID-19 համավարակի տարածման կանխարգելման առողջապահական ազդեցությունների մեղմման նպատակով կառավարությունն իրականացրել է նաև լրացուցիչ առողջապահական ծախսեր, որոնց ծավալը դեկտեմբերի վերջի դրությամբ կազմել է մոտ 36.4 մլրդ դրամ (ներառյալ Համաշխարհային բանկի աջակցությամբ իրականացվող ծրագրերը): Առավել մանրամասն ներկայացված է պետական բյուջեի 2020թ.-ի հաշվետվությունում:</w:t>
      </w:r>
    </w:p>
    <w:p w14:paraId="2756DA51"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6"/>
        <w:contextualSpacing w:val="0"/>
        <w:rPr>
          <w:rFonts w:eastAsia="Calibri"/>
          <w:b w:val="0"/>
          <w:color w:val="000000"/>
          <w:szCs w:val="22"/>
          <w:lang w:val="hy-AM" w:eastAsia="en-US"/>
        </w:rPr>
      </w:pPr>
      <w:r w:rsidRPr="00A83C94">
        <w:rPr>
          <w:rFonts w:eastAsia="Calibri"/>
          <w:b w:val="0"/>
          <w:color w:val="000000"/>
          <w:szCs w:val="22"/>
          <w:lang w:val="hy-AM" w:eastAsia="en-US"/>
        </w:rPr>
        <w:t>Բացի վերոնշյալ ծրագրերից, կառավարության հակաճգնաժամային արձագանքը ներառել է նաև շահութահարկի կանխավճարի գծով հիմնարար փոփոխությունները, որոնց միջոցով աջակցություն է ցուցաբերվել շահութահարկ վճարող տնտեսավարող սուբյեկտներին շրջանառու ֆինանսական միջոցների հետ կապված խնդիրների լուծման նպատակով, որի ընդհանուր ծավալը սկզբնական շրջանում գնահատված 65 մլրդ դրամի փոխարեն ներկայումս գնահատվում է շուրջ 70</w:t>
      </w:r>
      <w:r w:rsidRPr="00A83C94">
        <w:rPr>
          <w:rFonts w:ascii="Calibri" w:eastAsia="Calibri" w:hAnsi="Calibri" w:cs="Calibri"/>
          <w:b w:val="0"/>
          <w:color w:val="000000"/>
          <w:szCs w:val="22"/>
          <w:lang w:val="hy-AM" w:eastAsia="en-US"/>
        </w:rPr>
        <w:t> </w:t>
      </w:r>
      <w:r w:rsidRPr="00A83C94">
        <w:rPr>
          <w:rFonts w:eastAsia="Calibri"/>
          <w:b w:val="0"/>
          <w:color w:val="000000"/>
          <w:szCs w:val="22"/>
          <w:lang w:val="hy-AM" w:eastAsia="en-US"/>
        </w:rPr>
        <w:t>մլրդ դրամի չափ (որից տնտեսության մեջ թողնված շահութահարկի կանխավճարները 2020 թվականին կազմել են մոտ 52.0 մլրդ դրամ):</w:t>
      </w:r>
    </w:p>
    <w:p w14:paraId="4A021AE2"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 xml:space="preserve">Արդյունքում հակաճգնաժամային հարկաբյուջետային միջոցառումների չափը 2020 թվականին կազմել է 164.8 մլրդ դրամ կամ ՀՆԱ-ի 2.7%-ը: </w:t>
      </w:r>
    </w:p>
    <w:p w14:paraId="4DCE388D"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Հակաճգնաժամային հարկաբյուջետային միջոցառումները շարունակել են իրականացվել նաև 2021 թվականին: Կորոնավիրուսի տարածմամբ պայմանավորված՝ սոցիալ-տնտեսական բացասական հետևանքների մեղմման ուղղությամբ ընթացիկ տարվա հունվար-հունիս ամիսներին իրականացվել են շուրջ 19.8 մլրդ դրամի չափով ծրագրեր, որոնց կազմում առողջապահական ծրագրերին ուղղված ծախսերը կազմել են 13.1 մլրդ դրամ, տնտեսական աջակցության ծրագրերը՝ 5.9 մլրդ դրամ, 725.9 մլն դրամ ուղղվել է ընդհանուր բնույթի հանրային ծառայություններին, 1 մլն դրամ՝ սոցիալական պաշտպանությանը:</w:t>
      </w:r>
    </w:p>
    <w:p w14:paraId="7B5C5B00"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hy-AM" w:eastAsia="en-US"/>
        </w:rPr>
      </w:pPr>
      <w:r w:rsidRPr="00A83C94">
        <w:rPr>
          <w:rFonts w:eastAsia="Calibri"/>
          <w:b w:val="0"/>
          <w:color w:val="000000"/>
          <w:szCs w:val="22"/>
          <w:lang w:val="hy-AM" w:eastAsia="en-US"/>
        </w:rPr>
        <w:t>Արցախյան պատերազմի հետևանքների հակազդման ուղղությամբ իրականացված ծախսերը կազմել են շուրջ 41.1 մլրդ դրամ, որից սոցիալական պաշտպանության ոլորտի ծախսերը կազմել են շուրջ 39.0 մլրդ դրամ:</w:t>
      </w:r>
    </w:p>
    <w:p w14:paraId="211C10C7"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hy-AM" w:eastAsia="en-US"/>
        </w:rPr>
      </w:pPr>
      <w:r w:rsidRPr="00A83C94">
        <w:rPr>
          <w:rFonts w:eastAsia="Calibri"/>
          <w:bCs/>
          <w:i/>
          <w:iCs/>
          <w:szCs w:val="22"/>
          <w:lang w:val="hy-AM" w:eastAsia="en-US"/>
        </w:rPr>
        <w:t>Գծապատկեր 2.6. Հարկաբյուջետային քաղաքականությունների արձագանքը տնտեսական ճգնաժամերին</w:t>
      </w:r>
    </w:p>
    <w:p w14:paraId="4CBC6CD9"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center"/>
        <w:rPr>
          <w:rFonts w:eastAsia="Calibri"/>
          <w:b w:val="0"/>
          <w:color w:val="000000"/>
          <w:szCs w:val="22"/>
          <w:lang w:val="en-US" w:eastAsia="en-US"/>
        </w:rPr>
      </w:pPr>
      <w:r w:rsidRPr="00A83C94">
        <w:rPr>
          <w:rFonts w:eastAsia="Calibri"/>
          <w:b w:val="0"/>
          <w:noProof/>
          <w:szCs w:val="22"/>
          <w:shd w:val="clear" w:color="auto" w:fill="D5DCE4"/>
          <w:lang w:val="en-US" w:eastAsia="en-US"/>
        </w:rPr>
        <w:drawing>
          <wp:inline distT="0" distB="0" distL="0" distR="0" wp14:anchorId="52138EAC" wp14:editId="5355381F">
            <wp:extent cx="3009900" cy="2520000"/>
            <wp:effectExtent l="0" t="0" r="0" b="13970"/>
            <wp:docPr id="120" name="Chart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Pr="00A83C94">
        <w:rPr>
          <w:rFonts w:eastAsia="Calibri"/>
          <w:b w:val="0"/>
          <w:noProof/>
          <w:szCs w:val="22"/>
          <w:shd w:val="clear" w:color="auto" w:fill="D5DCE4"/>
          <w:lang w:val="en-US" w:eastAsia="en-US"/>
        </w:rPr>
        <w:drawing>
          <wp:inline distT="0" distB="0" distL="0" distR="0" wp14:anchorId="0756DCB9" wp14:editId="2A5E686B">
            <wp:extent cx="2926080" cy="2520000"/>
            <wp:effectExtent l="0" t="0" r="7620" b="13970"/>
            <wp:docPr id="121"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3A89067"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en-US" w:eastAsia="en-US"/>
        </w:rPr>
      </w:pPr>
      <w:r w:rsidRPr="00A83C94">
        <w:rPr>
          <w:rFonts w:eastAsia="Calibri"/>
          <w:bCs/>
          <w:i/>
          <w:iCs/>
          <w:szCs w:val="22"/>
          <w:lang w:val="en-US" w:eastAsia="en-US"/>
        </w:rPr>
        <w:t>Գծապատկեր 2.7. Հարկաբյուջետային քաղաքականության արձագանքը համավարակի տնտեսական հետևանքներին առանձին երկրներում</w:t>
      </w:r>
    </w:p>
    <w:p w14:paraId="24B8BBE0"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left"/>
        <w:rPr>
          <w:rFonts w:eastAsia="Calibri"/>
          <w:b w:val="0"/>
          <w:szCs w:val="22"/>
          <w:lang w:val="en-US" w:eastAsia="en-US"/>
        </w:rPr>
      </w:pPr>
      <w:r w:rsidRPr="00A83C94">
        <w:rPr>
          <w:rFonts w:ascii="Calibri" w:eastAsia="Calibri" w:hAnsi="Calibri"/>
          <w:noProof/>
          <w:sz w:val="18"/>
          <w:szCs w:val="22"/>
          <w:lang w:val="en-US" w:eastAsia="en-US"/>
        </w:rPr>
        <w:drawing>
          <wp:inline distT="0" distB="0" distL="0" distR="0" wp14:anchorId="02D8A817" wp14:editId="4CB53E51">
            <wp:extent cx="5943600" cy="3085465"/>
            <wp:effectExtent l="0" t="0" r="0" b="635"/>
            <wp:docPr id="112" name="Chart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E0C4EF9"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jc w:val="left"/>
        <w:rPr>
          <w:rFonts w:eastAsia="Calibri"/>
          <w:bCs/>
          <w:i/>
          <w:iCs/>
          <w:szCs w:val="22"/>
          <w:lang w:val="en-US" w:eastAsia="en-US"/>
        </w:rPr>
      </w:pPr>
      <w:r w:rsidRPr="00A83C94">
        <w:rPr>
          <w:rFonts w:eastAsia="Calibri"/>
          <w:bCs/>
          <w:i/>
          <w:iCs/>
          <w:szCs w:val="22"/>
          <w:lang w:val="en-US" w:eastAsia="en-US"/>
        </w:rPr>
        <w:t>Գծապատկեր 2.8. Հարկաբյուջետային քաղաքականության արձագանքը համավարակի տնտեսական հետևանքներին առանձին երկրների խմբերում (միայն ծախսային և եկամտային միջոցառումներ)</w:t>
      </w:r>
    </w:p>
    <w:p w14:paraId="193E950E"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0"/>
        <w:contextualSpacing w:val="0"/>
        <w:jc w:val="left"/>
        <w:rPr>
          <w:rFonts w:eastAsia="Calibri"/>
          <w:b w:val="0"/>
          <w:color w:val="000000"/>
          <w:szCs w:val="22"/>
          <w:lang w:val="en-US" w:eastAsia="en-US"/>
        </w:rPr>
      </w:pPr>
      <w:r w:rsidRPr="00A83C94">
        <w:rPr>
          <w:rFonts w:eastAsia="Calibri"/>
          <w:b w:val="0"/>
          <w:noProof/>
          <w:color w:val="000000"/>
          <w:szCs w:val="22"/>
          <w:lang w:val="en-US" w:eastAsia="en-US"/>
        </w:rPr>
        <w:drawing>
          <wp:inline distT="0" distB="0" distL="0" distR="0" wp14:anchorId="6024799A" wp14:editId="7259E10F">
            <wp:extent cx="5943600" cy="231057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55703" cy="2315277"/>
                    </a:xfrm>
                    <a:prstGeom prst="rect">
                      <a:avLst/>
                    </a:prstGeom>
                    <a:noFill/>
                  </pic:spPr>
                </pic:pic>
              </a:graphicData>
            </a:graphic>
          </wp:inline>
        </w:drawing>
      </w:r>
    </w:p>
    <w:p w14:paraId="10E8F176"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en-US" w:eastAsia="en-US"/>
        </w:rPr>
      </w:pPr>
      <w:r w:rsidRPr="00A83C94">
        <w:rPr>
          <w:rFonts w:eastAsia="Calibri"/>
          <w:b w:val="0"/>
          <w:color w:val="000000"/>
          <w:szCs w:val="22"/>
          <w:lang w:val="en-US" w:eastAsia="en-US"/>
        </w:rPr>
        <w:t>Ընդհանուր առմամբ, համավարակին հակազդելու համար մշակված հարկաբյուջետային փաթեթներն աշխարհի մակարդակով գնահատվում են 16</w:t>
      </w:r>
      <w:r w:rsidRPr="00A83C94">
        <w:rPr>
          <w:rFonts w:ascii="Cambria Math" w:eastAsia="Calibri" w:hAnsi="Cambria Math" w:cs="Cambria Math"/>
          <w:b w:val="0"/>
          <w:color w:val="000000"/>
          <w:szCs w:val="22"/>
          <w:lang w:val="hy-AM" w:eastAsia="en-US"/>
        </w:rPr>
        <w:t>․</w:t>
      </w:r>
      <w:r w:rsidRPr="00A83C94">
        <w:rPr>
          <w:rFonts w:eastAsia="Calibri"/>
          <w:b w:val="0"/>
          <w:color w:val="000000"/>
          <w:szCs w:val="22"/>
          <w:lang w:val="hy-AM" w:eastAsia="en-US"/>
        </w:rPr>
        <w:t>5</w:t>
      </w:r>
      <w:r w:rsidRPr="00A83C94">
        <w:rPr>
          <w:rFonts w:eastAsia="Calibri"/>
          <w:b w:val="0"/>
          <w:color w:val="000000"/>
          <w:szCs w:val="22"/>
          <w:lang w:val="en-US" w:eastAsia="en-US"/>
        </w:rPr>
        <w:t xml:space="preserve"> տրիլիոն դոլար (2020, 2021 թվականի </w:t>
      </w:r>
      <w:r w:rsidRPr="00A83C94">
        <w:rPr>
          <w:rFonts w:eastAsia="Calibri"/>
          <w:b w:val="0"/>
          <w:color w:val="000000"/>
          <w:szCs w:val="22"/>
          <w:lang w:val="hy-AM" w:eastAsia="en-US"/>
        </w:rPr>
        <w:t xml:space="preserve">և հաջորդ տարիների </w:t>
      </w:r>
      <w:r w:rsidRPr="00A83C94">
        <w:rPr>
          <w:rFonts w:eastAsia="Calibri"/>
          <w:b w:val="0"/>
          <w:color w:val="000000"/>
          <w:szCs w:val="22"/>
          <w:lang w:val="en-US" w:eastAsia="en-US"/>
        </w:rPr>
        <w:t>համար նախատեսված միջոցառումներ)</w:t>
      </w:r>
      <w:r w:rsidRPr="00A83C94">
        <w:rPr>
          <w:rFonts w:eastAsia="Calibri"/>
          <w:b w:val="0"/>
          <w:color w:val="000000"/>
          <w:szCs w:val="22"/>
          <w:vertAlign w:val="superscript"/>
          <w:lang w:val="en-US" w:eastAsia="en-US"/>
        </w:rPr>
        <w:footnoteReference w:id="17"/>
      </w:r>
      <w:r w:rsidRPr="00A83C94">
        <w:rPr>
          <w:rFonts w:eastAsia="Calibri"/>
          <w:b w:val="0"/>
          <w:color w:val="000000"/>
          <w:szCs w:val="22"/>
          <w:lang w:val="en-US" w:eastAsia="en-US"/>
        </w:rPr>
        <w:t xml:space="preserve">։ Վերջինից 10 տրիլիոնը վերաբերում է ծախսային և հարկային միջոցառումներին, իսկ 6 տրիլիոնը՝ պետական վարկերին, կապիտալի ներարկումներին և վարկային երաշխիքներին։ Առավել խոշոր հակազդման փաթեթներով առանձնանում են </w:t>
      </w:r>
      <w:r w:rsidRPr="00A83C94">
        <w:rPr>
          <w:rFonts w:eastAsia="Calibri"/>
          <w:b w:val="0"/>
          <w:color w:val="000000"/>
          <w:szCs w:val="22"/>
          <w:lang w:val="hy-AM" w:eastAsia="en-US"/>
        </w:rPr>
        <w:t xml:space="preserve">Իտալիան, </w:t>
      </w:r>
      <w:r w:rsidRPr="00A83C94">
        <w:rPr>
          <w:rFonts w:eastAsia="Calibri"/>
          <w:b w:val="0"/>
          <w:color w:val="000000"/>
          <w:szCs w:val="22"/>
          <w:lang w:val="en-US" w:eastAsia="en-US"/>
        </w:rPr>
        <w:t>Ճապոնիան և Գերմանիան, որոնք իրականաց</w:t>
      </w:r>
      <w:r w:rsidRPr="00A83C94">
        <w:rPr>
          <w:rFonts w:eastAsia="Calibri"/>
          <w:b w:val="0"/>
          <w:color w:val="000000"/>
          <w:szCs w:val="22"/>
          <w:lang w:val="hy-AM" w:eastAsia="en-US"/>
        </w:rPr>
        <w:t>ում են</w:t>
      </w:r>
      <w:r w:rsidRPr="00A83C94">
        <w:rPr>
          <w:rFonts w:eastAsia="Calibri"/>
          <w:b w:val="0"/>
          <w:color w:val="000000"/>
          <w:szCs w:val="22"/>
          <w:lang w:val="en-US" w:eastAsia="en-US"/>
        </w:rPr>
        <w:t xml:space="preserve"> ՀՆԱ-ի ավելի քան 40%-ի չափով միջոցառումներ: Հատկանշական է, որ երկրների մեծ մասը կիրառում է պետական վարկավորումը կամ երաշխիքները՝ որպես աջակցության հիմնական գործիքներ: </w:t>
      </w:r>
    </w:p>
    <w:p w14:paraId="5383F842" w14:textId="77777777" w:rsidR="00027FBF" w:rsidRPr="00A83C94" w:rsidRDefault="00027FBF" w:rsidP="00027FBF">
      <w:pPr>
        <w:pBdr>
          <w:top w:val="single" w:sz="4" w:space="1" w:color="auto"/>
          <w:left w:val="single" w:sz="4" w:space="1" w:color="auto"/>
          <w:bottom w:val="single" w:sz="4" w:space="1" w:color="auto"/>
          <w:right w:val="single" w:sz="4" w:space="1" w:color="auto"/>
        </w:pBdr>
        <w:shd w:val="clear" w:color="auto" w:fill="D5DCE4"/>
        <w:spacing w:before="0" w:after="120" w:line="276" w:lineRule="auto"/>
        <w:ind w:firstLine="709"/>
        <w:contextualSpacing w:val="0"/>
        <w:rPr>
          <w:rFonts w:eastAsia="Calibri"/>
          <w:b w:val="0"/>
          <w:color w:val="000000"/>
          <w:szCs w:val="22"/>
          <w:lang w:val="en-US" w:eastAsia="en-US"/>
        </w:rPr>
      </w:pPr>
      <w:r w:rsidRPr="00A83C94">
        <w:rPr>
          <w:rFonts w:eastAsia="Calibri"/>
          <w:b w:val="0"/>
          <w:color w:val="000000"/>
          <w:szCs w:val="22"/>
          <w:lang w:val="en-US" w:eastAsia="en-US"/>
        </w:rPr>
        <w:t xml:space="preserve">Սակայն պետք է նշել, որ հակազդման միջոցառումների ծավալները շեշտակիորեն տարբեր են ըստ զարգացող և զարգացած երկրների։ Այսպես, զարգացած երկրների գումարային փաթեթները մոտ են ՀՆԱ </w:t>
      </w:r>
      <w:r w:rsidRPr="00A83C94">
        <w:rPr>
          <w:rFonts w:eastAsia="Calibri"/>
          <w:b w:val="0"/>
          <w:color w:val="000000"/>
          <w:szCs w:val="22"/>
          <w:lang w:val="hy-AM" w:eastAsia="en-US"/>
        </w:rPr>
        <w:t>30</w:t>
      </w:r>
      <w:r w:rsidRPr="00A83C94">
        <w:rPr>
          <w:rFonts w:eastAsia="Calibri"/>
          <w:b w:val="0"/>
          <w:color w:val="000000"/>
          <w:szCs w:val="22"/>
          <w:lang w:val="en-US" w:eastAsia="en-US"/>
        </w:rPr>
        <w:t>%-ին, մինչդեռ զարգացող երկրներում` 7%-ին, իսկ ցածր եկամտային երկրներում՝ 2%</w:t>
      </w:r>
      <w:r w:rsidRPr="00A83C94">
        <w:rPr>
          <w:rFonts w:eastAsia="Calibri"/>
          <w:b w:val="0"/>
          <w:color w:val="000000"/>
          <w:szCs w:val="22"/>
          <w:lang w:val="en-US" w:eastAsia="en-US"/>
        </w:rPr>
        <w:noBreakHyphen/>
        <w:t>ին։ Հայաստանի փաթեթը, որը հանրագումարային առումով գնահատվում է 2020</w:t>
      </w:r>
      <w:r w:rsidRPr="00A83C94">
        <w:rPr>
          <w:rFonts w:eastAsia="Calibri"/>
          <w:b w:val="0"/>
          <w:color w:val="000000"/>
          <w:szCs w:val="22"/>
          <w:lang w:val="hy-AM" w:eastAsia="en-US"/>
        </w:rPr>
        <w:t>թ</w:t>
      </w:r>
      <w:r w:rsidRPr="00A83C94">
        <w:rPr>
          <w:rFonts w:ascii="Cambria Math" w:eastAsia="Calibri" w:hAnsi="Cambria Math" w:cs="Cambria Math"/>
          <w:b w:val="0"/>
          <w:color w:val="000000"/>
          <w:szCs w:val="22"/>
          <w:lang w:val="hy-AM" w:eastAsia="en-US"/>
        </w:rPr>
        <w:t>․</w:t>
      </w:r>
      <w:r w:rsidRPr="00A83C94">
        <w:rPr>
          <w:rFonts w:eastAsia="Calibri"/>
          <w:b w:val="0"/>
          <w:color w:val="000000"/>
          <w:szCs w:val="22"/>
          <w:lang w:val="hy-AM" w:eastAsia="en-US"/>
        </w:rPr>
        <w:t xml:space="preserve">-ի </w:t>
      </w:r>
      <w:r w:rsidRPr="00A83C94">
        <w:rPr>
          <w:rFonts w:eastAsia="Calibri"/>
          <w:b w:val="0"/>
          <w:color w:val="000000"/>
          <w:szCs w:val="22"/>
          <w:lang w:val="en-US" w:eastAsia="en-US"/>
        </w:rPr>
        <w:t>ՀՆԱ 3.</w:t>
      </w:r>
      <w:r w:rsidRPr="00A83C94">
        <w:rPr>
          <w:rFonts w:eastAsia="Calibri"/>
          <w:b w:val="0"/>
          <w:color w:val="000000"/>
          <w:szCs w:val="22"/>
          <w:lang w:val="hy-AM" w:eastAsia="en-US"/>
        </w:rPr>
        <w:t>9</w:t>
      </w:r>
      <w:r w:rsidRPr="00A83C94">
        <w:rPr>
          <w:rFonts w:eastAsia="Calibri"/>
          <w:b w:val="0"/>
          <w:color w:val="000000"/>
          <w:szCs w:val="22"/>
          <w:lang w:val="en-US" w:eastAsia="en-US"/>
        </w:rPr>
        <w:t>%-ի</w:t>
      </w:r>
      <w:r w:rsidRPr="00A83C94">
        <w:rPr>
          <w:rFonts w:eastAsia="Calibri"/>
          <w:b w:val="0"/>
          <w:color w:val="000000"/>
          <w:szCs w:val="22"/>
          <w:vertAlign w:val="superscript"/>
          <w:lang w:val="en-US" w:eastAsia="en-US"/>
        </w:rPr>
        <w:footnoteReference w:id="18"/>
      </w:r>
      <w:r w:rsidRPr="00A83C94">
        <w:rPr>
          <w:rFonts w:eastAsia="Calibri"/>
          <w:b w:val="0"/>
          <w:color w:val="000000"/>
          <w:szCs w:val="22"/>
          <w:vertAlign w:val="superscript"/>
          <w:lang w:val="en-US" w:eastAsia="en-US"/>
        </w:rPr>
        <w:t xml:space="preserve"> </w:t>
      </w:r>
      <w:r w:rsidRPr="00A83C94">
        <w:rPr>
          <w:rFonts w:eastAsia="Calibri"/>
          <w:b w:val="0"/>
          <w:color w:val="000000"/>
          <w:szCs w:val="22"/>
          <w:lang w:val="en-US" w:eastAsia="en-US"/>
        </w:rPr>
        <w:t>շրջանակներում, համադրելի է զարգացող երկրների փաթեթների հետ։</w:t>
      </w:r>
    </w:p>
    <w:p w14:paraId="08D7E541" w14:textId="77777777" w:rsidR="00027FBF" w:rsidRPr="00A83C94" w:rsidRDefault="00027FBF" w:rsidP="00027FBF">
      <w:pPr>
        <w:spacing w:before="0"/>
        <w:rPr>
          <w:lang w:val="hy-AM"/>
        </w:rPr>
      </w:pPr>
    </w:p>
    <w:p w14:paraId="5D82A9F4" w14:textId="77777777" w:rsidR="00027FBF" w:rsidRPr="00A83C94" w:rsidRDefault="00027FBF" w:rsidP="00027FBF">
      <w:pPr>
        <w:keepNext/>
        <w:keepLines/>
        <w:spacing w:before="0" w:line="312" w:lineRule="auto"/>
        <w:contextualSpacing w:val="0"/>
        <w:jc w:val="left"/>
        <w:outlineLvl w:val="2"/>
        <w:rPr>
          <w:sz w:val="24"/>
          <w:lang w:val="hy-AM" w:eastAsia="en-US"/>
        </w:rPr>
      </w:pPr>
      <w:bookmarkStart w:id="177" w:name="_Toc45838526"/>
      <w:bookmarkStart w:id="178" w:name="_Toc46154354"/>
      <w:bookmarkStart w:id="179" w:name="_Toc52452094"/>
      <w:bookmarkStart w:id="180" w:name="_Toc52188795"/>
      <w:bookmarkStart w:id="181" w:name="_Toc57655455"/>
      <w:bookmarkStart w:id="182" w:name="_Toc83199223"/>
      <w:bookmarkStart w:id="183" w:name="_Toc83972839"/>
      <w:bookmarkStart w:id="184" w:name="_Toc89428294"/>
      <w:r w:rsidRPr="00A83C94">
        <w:rPr>
          <w:sz w:val="24"/>
          <w:lang w:val="hy-AM" w:eastAsia="en-US"/>
        </w:rPr>
        <w:t>2.3. ՀԱՐԿԱԲՅՈՒՋԵՏԱՅԻՆ ՌԻՍԿԵՐ</w:t>
      </w:r>
      <w:bookmarkEnd w:id="177"/>
      <w:bookmarkEnd w:id="178"/>
      <w:bookmarkEnd w:id="179"/>
      <w:bookmarkEnd w:id="180"/>
      <w:bookmarkEnd w:id="181"/>
      <w:bookmarkEnd w:id="182"/>
      <w:bookmarkEnd w:id="183"/>
      <w:bookmarkEnd w:id="184"/>
    </w:p>
    <w:p w14:paraId="78BEF072" w14:textId="77777777" w:rsidR="00027FBF" w:rsidRPr="00A83C94" w:rsidRDefault="00027FBF" w:rsidP="00027FBF">
      <w:pPr>
        <w:spacing w:before="0" w:after="120" w:line="276" w:lineRule="auto"/>
        <w:ind w:firstLine="709"/>
        <w:contextualSpacing w:val="0"/>
        <w:rPr>
          <w:rFonts w:eastAsia="Calibri"/>
          <w:b w:val="0"/>
          <w:szCs w:val="22"/>
          <w:lang w:val="hy-AM" w:eastAsia="en-US"/>
        </w:rPr>
      </w:pPr>
      <w:r w:rsidRPr="00A83C94">
        <w:rPr>
          <w:rFonts w:eastAsia="Calibri"/>
          <w:b w:val="0"/>
          <w:szCs w:val="22"/>
          <w:lang w:val="hy-AM" w:eastAsia="en-US"/>
        </w:rPr>
        <w:t>Հարկաբյուջետային կանխատեսումները հիմնված են մի շարք ենթադրությունների և հիմնական դատողությունների վրա,  որոնց համար օգտագործվել է տվյալ պահի դրությամբ առկա և հասանելի ամբողջ տեղեկատվությունը</w:t>
      </w:r>
      <w:r w:rsidRPr="00A83C94">
        <w:rPr>
          <w:rFonts w:eastAsia="Calibri"/>
          <w:b w:val="0"/>
          <w:szCs w:val="22"/>
          <w:vertAlign w:val="superscript"/>
          <w:lang w:val="hy-AM" w:eastAsia="en-US"/>
        </w:rPr>
        <w:footnoteReference w:id="19"/>
      </w:r>
      <w:r w:rsidRPr="00A83C94">
        <w:rPr>
          <w:rFonts w:eastAsia="Calibri"/>
          <w:b w:val="0"/>
          <w:szCs w:val="22"/>
          <w:lang w:val="hy-AM" w:eastAsia="en-US"/>
        </w:rPr>
        <w:t>: Ինչպես ցանկացած կանխատեսում, հարկաբյուջետային կանխատեսումները նույնպես պարունակում են ռիսկեր առ այն, որ փաստացի իրադարձությունները կարող են տարբերվել սպասումներից: 2021 թվականի պետական բյուջեի հիմքում ընկած հիմնական մակրոտնտեսական հարկաբյուջետային ռիսկերը հետևյալն են՝</w:t>
      </w:r>
    </w:p>
    <w:p w14:paraId="501B3A74"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COVID-19 համավարակի անորոշություններ։</w:t>
      </w:r>
      <w:r w:rsidRPr="00A83C94">
        <w:rPr>
          <w:b w:val="0"/>
          <w:bCs/>
          <w:lang w:val="hy-AM"/>
        </w:rPr>
        <w:t xml:space="preserve"> 2020թ. տնտեսական ճգնաժամով պայմանավորված տնտեսական աճի անորոշությունները դեռևս պահպանվում են և առկա են տնտեսական աճի երկկողմանի ռիսկեր: Տնտեսական աճի բացասական ռիսկերի ի հայտ գալու պարագայում հարկային եկամուտները 2022թ. բյուջեի հարկաբյուջետային շրջանակից ավելի ցածր կլինեն: Հաշվի առնելով նաև այն, որ ընթացիկ ծախսերը, համաձայն հարկաբյուջետային կանոնների, 2022թ.-ին սահմանափակված են հարկային եկամուտներով և նախորդ 7 տարիների անվանական ՀՆԱ-ի աճի տեմպով, ապա կառավարության հնարավորությունները ընթացիկ ծախսերի իրականացման գծով տնտեսական աճի՝ կանխատեսումներից ավելի ցածր լինելու պարագայում նույնպես կկրճատվեն: Այդ ռիսկերի առարկայանալու պարագայում պետք է վերանայվեն համապատասխան ծախսային ծրագրերը։</w:t>
      </w:r>
    </w:p>
    <w:p w14:paraId="3F9E437D"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Համավարակի և Արցախյան պատերազմի հետևանքների մեղմանն և տնտեսության հետագա վերականգնմանն ուղղված ՀՀ կառավարության միջոցառումների ընթացքը</w:t>
      </w:r>
      <w:r w:rsidRPr="00A83C94">
        <w:rPr>
          <w:b w:val="0"/>
          <w:bCs/>
          <w:lang w:val="hy-AM"/>
        </w:rPr>
        <w:t xml:space="preserve">։ ՀՀ կառավարության կողմից իրականացվող COVID 19-ի հետևանքների չեզոքացման, ինչպես նաև Արցախյան պատերազմի հետևանքների մեղմանն ուղղված միջոցառումների գծով հնարավոր է նախատեսվեն աջակցության նոր ծրագրեր, որոնց արդյունքում հարկաբյուջետային շրջանակի ցուցանիշները վերանայման կարիք կունենան: </w:t>
      </w:r>
    </w:p>
    <w:p w14:paraId="358FF9F6"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Հարկային քաղաքականության լրացուցիչ միջոցառումներ:</w:t>
      </w:r>
      <w:r w:rsidRPr="00A83C94">
        <w:rPr>
          <w:b w:val="0"/>
          <w:bCs/>
          <w:lang w:val="hy-AM"/>
        </w:rPr>
        <w:t xml:space="preserve"> Հարկային օրենսդրության փոփոխությունների գծով 2022թ. համար հաշվի են առնվել արդեն իսկ հարկային օրենսգրքով հաստատված փոփոխությունները: Սակայն, հարկային ճեղքի նվազեցման միջոցառումների շրջանակներում քննարկվում են նաև հավելյալ բարեփոխումների իրականացման նպատակահարմարության հարցերը</w:t>
      </w:r>
      <w:r w:rsidRPr="00A83C94">
        <w:rPr>
          <w:rFonts w:ascii="Cambria Math" w:hAnsi="Cambria Math" w:cs="Cambria Math"/>
          <w:b w:val="0"/>
          <w:bCs/>
          <w:lang w:val="hy-AM"/>
        </w:rPr>
        <w:t>․</w:t>
      </w:r>
      <w:r w:rsidRPr="00A83C94">
        <w:rPr>
          <w:b w:val="0"/>
          <w:bCs/>
          <w:lang w:val="hy-AM"/>
        </w:rPr>
        <w:t xml:space="preserve"> շրջանառության հարկի շեմի փոփոխություն և դրույքաչափի ճշգրտում, բնապահպանական հարկի ներդրում, գործող բնապահպանական հարկերի դրույքաչափի բարձրացում, ԱԱՀ արտոնությունների վերացում և այլն՝ ուղղված հարկային քաղաքականության ճեղքի կրճատմանը և հարկային եկամուտների՝ ՀՆԱ-ի նկատմամբ մակարդակի բարձրացմանը: Իրականացման ժամկետների անորոշություններով պայմանավորված դրանք 2022թ. պետական բյուջեի հիմքում դրվող կանխատեսումներում ներառվել են որպես ռիսկեր, որոնք կարող հանգեցնել հարկային եկամուտների կանխատեսումների դեպի վերև շեղմանը: </w:t>
      </w:r>
    </w:p>
    <w:p w14:paraId="6F752D41" w14:textId="77777777" w:rsidR="00027FBF" w:rsidRPr="00A83C94" w:rsidRDefault="00027FBF" w:rsidP="00027FBF">
      <w:pPr>
        <w:numPr>
          <w:ilvl w:val="0"/>
          <w:numId w:val="50"/>
        </w:numPr>
        <w:spacing w:before="0" w:after="160" w:line="276" w:lineRule="auto"/>
        <w:ind w:left="567" w:hanging="283"/>
        <w:contextualSpacing w:val="0"/>
        <w:rPr>
          <w:b w:val="0"/>
          <w:bCs/>
          <w:lang w:val="hy-AM"/>
        </w:rPr>
      </w:pPr>
      <w:r w:rsidRPr="00A83C94">
        <w:rPr>
          <w:lang w:val="hy-AM"/>
        </w:rPr>
        <w:t>Կապիտալ ծախսերի թերակատարում</w:t>
      </w:r>
      <w:r w:rsidRPr="00A83C94">
        <w:rPr>
          <w:b w:val="0"/>
          <w:bCs/>
          <w:lang w:val="hy-AM"/>
        </w:rPr>
        <w:t xml:space="preserve">: 2022թ. պետական բյուջեի սցենարում նախատեսվել է կապիտալ ծախսերի զգալի աճ՝ հասցնելով դրանց մակարդակը ՀՆԱ-ի </w:t>
      </w:r>
      <w:r>
        <w:rPr>
          <w:b w:val="0"/>
          <w:bCs/>
          <w:lang w:val="hy-AM"/>
        </w:rPr>
        <w:t>4.5</w:t>
      </w:r>
      <w:r w:rsidRPr="00A83C94">
        <w:rPr>
          <w:b w:val="0"/>
          <w:bCs/>
          <w:lang w:val="hy-AM"/>
        </w:rPr>
        <w:t>%</w:t>
      </w:r>
      <w:r w:rsidRPr="00A83C94">
        <w:rPr>
          <w:b w:val="0"/>
          <w:bCs/>
          <w:lang w:val="hy-AM"/>
        </w:rPr>
        <w:noBreakHyphen/>
        <w:t xml:space="preserve">ին: Սակայն հաշվի առնելով նախորդ տարիների փաստացի ցածր կատարողականները (չնայած այն հանգամանքին, որ առկա է եղել կատարողականների բարելավման միտում), առկա է ծրագրավորված ցուցանիշների թերակատարման ռիսկ, ինչը կարող է բացասական ազդեցություն ունենալ տնտեսական աճի վրա՝ հետևաբար նաև հարկաբյուջետային շրջանակի ցուցանիշների վրա: </w:t>
      </w:r>
    </w:p>
    <w:p w14:paraId="7D55FD1D" w14:textId="77777777" w:rsidR="00027FBF" w:rsidRPr="00A83C94" w:rsidRDefault="00027FBF" w:rsidP="00027FBF">
      <w:pPr>
        <w:spacing w:before="0" w:after="120" w:line="276" w:lineRule="auto"/>
        <w:ind w:firstLine="709"/>
        <w:contextualSpacing w:val="0"/>
        <w:rPr>
          <w:rFonts w:eastAsia="Calibri"/>
          <w:szCs w:val="22"/>
          <w:lang w:val="hy-AM" w:eastAsia="en-US"/>
        </w:rPr>
      </w:pPr>
      <w:r w:rsidRPr="00A83C94">
        <w:rPr>
          <w:rFonts w:eastAsia="Calibri"/>
          <w:szCs w:val="22"/>
          <w:lang w:val="hy-AM" w:eastAsia="en-US"/>
        </w:rPr>
        <w:t>Հարկաբյուջետային շրջանակի հնարավոր փոփոխությունները մակրոտնտեսական կանխատեսումների շեղումների դեպքում և սթրես թեստերի ներքո</w:t>
      </w:r>
      <w:r w:rsidRPr="00A83C94">
        <w:rPr>
          <w:rFonts w:eastAsia="Calibri"/>
          <w:szCs w:val="22"/>
          <w:vertAlign w:val="superscript"/>
          <w:lang w:val="en-US" w:eastAsia="en-US"/>
        </w:rPr>
        <w:footnoteReference w:id="20"/>
      </w:r>
      <w:r w:rsidRPr="00A83C94">
        <w:rPr>
          <w:rFonts w:eastAsia="Calibri"/>
          <w:szCs w:val="22"/>
          <w:lang w:val="hy-AM" w:eastAsia="en-US"/>
        </w:rPr>
        <w:t>.</w:t>
      </w:r>
    </w:p>
    <w:p w14:paraId="66DC2DF4" w14:textId="77777777" w:rsidR="00027FBF" w:rsidRPr="00A83C94" w:rsidRDefault="00027FBF" w:rsidP="00027FBF">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Հարկային եկամուտներ:</w:t>
      </w:r>
      <w:r w:rsidRPr="00A83C94">
        <w:rPr>
          <w:rFonts w:eastAsia="Calibri"/>
          <w:b w:val="0"/>
          <w:szCs w:val="22"/>
          <w:lang w:val="hy-AM" w:eastAsia="en-US"/>
        </w:rPr>
        <w:t xml:space="preserve"> Կանխատեսվող հորիզոնում ՀՀ պետական բյուջեի հարկային եկամուտների վրա գնահատված է մակրոտնտեսական ցուցանիշների՝ իրական ՀՆԱ-ի աճի, գնաճի, փոխարժեքի տատանողականության և ներմուծման ռիսկերի շեղման ամփոփ գնահատականը: Հարկային եկամուտների վրա ազդող վերոնշյալ ռիսկերի միաժամանակյա ի հայտ գալու պարագայում հարկային եկամուտների ծրագրված մակարդակից շեղումը 2022 թվականին կկազմի շուրջ 27.0 մլրդ ՀՀ դրամ:</w:t>
      </w:r>
    </w:p>
    <w:p w14:paraId="27DBE38D" w14:textId="77777777" w:rsidR="00027FBF" w:rsidRPr="00A83C94" w:rsidRDefault="00027FBF" w:rsidP="00027FBF">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Պետական բյուջեի ծախսեր:</w:t>
      </w:r>
      <w:r w:rsidRPr="00A83C94">
        <w:rPr>
          <w:rFonts w:eastAsia="Calibri"/>
          <w:b w:val="0"/>
          <w:szCs w:val="22"/>
          <w:lang w:val="hy-AM" w:eastAsia="en-US"/>
        </w:rPr>
        <w:t xml:space="preserve"> 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 ՀՀ պետական բյուջեի ծախսերի վրա գնահատված է մակրոտնտեսական ցուցանիշների՝ իրական ՀՆԱ-ի աճի, գնաճի, փոխարժեքի տատանողականության և ներմուծման ռիսկերի շեղման ամփոփ գնահատականը, որոնց միաժամանակյա ի հայտ գալու պարագայում 2022 թվականին ՀՀ պետական բյուջեի դեֆիցիտի լրացուցիչ ֆինանսավորման պահանջը կկազմի շուրջ 22</w:t>
      </w:r>
      <w:r w:rsidRPr="00A83C94">
        <w:rPr>
          <w:rFonts w:eastAsia="Calibri" w:cs="Sylfaen"/>
          <w:b w:val="0"/>
          <w:szCs w:val="22"/>
          <w:lang w:val="hy-AM" w:eastAsia="en-US"/>
        </w:rPr>
        <w:t>.4 մլրդ ՀՀ դրամ կամ ՀՆԱ-ի 0.3%-ը:</w:t>
      </w:r>
      <w:r w:rsidRPr="00A83C94">
        <w:rPr>
          <w:rFonts w:eastAsia="Calibri"/>
          <w:b w:val="0"/>
          <w:szCs w:val="22"/>
          <w:lang w:val="hy-AM" w:eastAsia="en-US"/>
        </w:rPr>
        <w:t xml:space="preserve"> Ընդ որում` ՀՀ կառա</w:t>
      </w:r>
      <w:r w:rsidRPr="00A83C94">
        <w:rPr>
          <w:rFonts w:eastAsia="Calibri"/>
          <w:b w:val="0"/>
          <w:szCs w:val="22"/>
          <w:lang w:val="hy-AM" w:eastAsia="en-US"/>
        </w:rPr>
        <w:softHyphen/>
        <w:t>վարու</w:t>
      </w:r>
      <w:r w:rsidRPr="00A83C94">
        <w:rPr>
          <w:rFonts w:eastAsia="Calibri"/>
          <w:b w:val="0"/>
          <w:szCs w:val="22"/>
          <w:lang w:val="hy-AM" w:eastAsia="en-US"/>
        </w:rPr>
        <w:softHyphen/>
        <w:t>թյան տնտեսական քաղաքականության հիմնական նպատակադրումը լինելու է սոցիալական բնույթի ծախսերի կրճատման բացառումը, իսկ հնարավորության դեպքում` բյուջեի ծախսերի ամբողջական իրականացումը:</w:t>
      </w:r>
    </w:p>
    <w:p w14:paraId="39B56001" w14:textId="77777777" w:rsidR="00027FBF" w:rsidRPr="00A83C94" w:rsidRDefault="00027FBF" w:rsidP="00027FBF">
      <w:pPr>
        <w:numPr>
          <w:ilvl w:val="1"/>
          <w:numId w:val="38"/>
        </w:numPr>
        <w:spacing w:before="0" w:after="120" w:line="276" w:lineRule="auto"/>
        <w:ind w:left="567" w:hanging="283"/>
        <w:contextualSpacing w:val="0"/>
        <w:rPr>
          <w:rFonts w:eastAsia="Calibri"/>
          <w:b w:val="0"/>
          <w:szCs w:val="22"/>
          <w:lang w:val="hy-AM" w:eastAsia="en-US"/>
        </w:rPr>
      </w:pPr>
      <w:r w:rsidRPr="00A83C94">
        <w:rPr>
          <w:rFonts w:eastAsia="Calibri"/>
          <w:szCs w:val="22"/>
          <w:lang w:val="hy-AM" w:eastAsia="en-US"/>
        </w:rPr>
        <w:t>ՀՀ կառավարության պարտք։</w:t>
      </w:r>
      <w:r w:rsidRPr="00A83C94">
        <w:rPr>
          <w:rFonts w:eastAsia="Calibri"/>
          <w:b w:val="0"/>
          <w:szCs w:val="22"/>
          <w:lang w:val="hy-AM" w:eastAsia="en-US"/>
        </w:rPr>
        <w:t xml:space="preserve"> </w:t>
      </w:r>
      <w:r w:rsidRPr="00A83C94">
        <w:rPr>
          <w:rFonts w:eastAsia="Calibri" w:cs="Sylfaen"/>
          <w:b w:val="0"/>
          <w:szCs w:val="22"/>
          <w:lang w:val="hy-AM" w:eastAsia="en-US"/>
        </w:rPr>
        <w:t>ՀՀ կառավարության պարտքը շարունակում է գնահատվել կայուն և կառավարելի, սակայն բավականին շոշափելի են պարտքի բեռի ներկա մակարդակից բխող ռիսկերը: Մասնավորապես, չնայած՝ պարտք</w:t>
      </w:r>
      <w:r w:rsidRPr="00E011D0">
        <w:rPr>
          <w:rFonts w:eastAsia="Calibri" w:cs="Sylfaen"/>
          <w:b w:val="0"/>
          <w:szCs w:val="22"/>
          <w:lang w:val="hy-AM" w:eastAsia="en-US"/>
        </w:rPr>
        <w:t>ն</w:t>
      </w:r>
      <w:r w:rsidRPr="00A83C94">
        <w:rPr>
          <w:rFonts w:eastAsia="Calibri" w:cs="Sylfaen"/>
          <w:b w:val="0"/>
          <w:szCs w:val="22"/>
          <w:lang w:val="hy-AM" w:eastAsia="en-US"/>
        </w:rPr>
        <w:t xml:space="preserve"> ըստ ԱՄՀ և ՀԲ մեթոդաբանության գնահատվում է ցածր ռիսկային (բայց միևնույն ժամանակ խիստ մոտ միջին ռիսկայնության սահմանագծին), սակայն տնտեսական աճի և փոխարժեքի շոկերի դեպքում պարտք/ՀՆԱ ցուցանիշը բարձր է մնում ՀՀ հարկաբյուջետային կանոններով սահմանված 60% սահմանային շեմից։</w:t>
      </w:r>
      <w:r w:rsidRPr="00A83C94">
        <w:rPr>
          <w:rFonts w:eastAsia="Calibri"/>
          <w:b w:val="0"/>
          <w:szCs w:val="22"/>
          <w:lang w:val="hy-AM" w:eastAsia="en-US"/>
        </w:rPr>
        <w:t xml:space="preserve"> Բացի այդ, </w:t>
      </w:r>
      <w:r w:rsidRPr="00A83C94">
        <w:rPr>
          <w:rFonts w:eastAsia="Calibri" w:cs="Sylfaen"/>
          <w:b w:val="0"/>
          <w:szCs w:val="22"/>
          <w:lang w:val="hy-AM" w:eastAsia="en-US"/>
        </w:rPr>
        <w:t>ՀՀ</w:t>
      </w:r>
      <w:r w:rsidRPr="00A83C94">
        <w:rPr>
          <w:rFonts w:eastAsia="Calibri"/>
          <w:b w:val="0"/>
          <w:szCs w:val="22"/>
          <w:lang w:val="hy-AM" w:eastAsia="en-US"/>
        </w:rPr>
        <w:t xml:space="preserve"> </w:t>
      </w:r>
      <w:r w:rsidRPr="00A83C94">
        <w:rPr>
          <w:rFonts w:eastAsia="Calibri" w:cs="Sylfaen"/>
          <w:b w:val="0"/>
          <w:szCs w:val="22"/>
          <w:lang w:val="hy-AM" w:eastAsia="en-US"/>
        </w:rPr>
        <w:t>կառավարության</w:t>
      </w:r>
      <w:r w:rsidRPr="00A83C94">
        <w:rPr>
          <w:rFonts w:eastAsia="Calibri"/>
          <w:b w:val="0"/>
          <w:szCs w:val="22"/>
          <w:lang w:val="hy-AM" w:eastAsia="en-US"/>
        </w:rPr>
        <w:t xml:space="preserve"> </w:t>
      </w:r>
      <w:r w:rsidRPr="00A83C94">
        <w:rPr>
          <w:rFonts w:eastAsia="Calibri" w:cs="Sylfaen"/>
          <w:b w:val="0"/>
          <w:szCs w:val="22"/>
          <w:lang w:val="hy-AM" w:eastAsia="en-US"/>
        </w:rPr>
        <w:t>պարտքի</w:t>
      </w:r>
      <w:r w:rsidRPr="00A83C94">
        <w:rPr>
          <w:rFonts w:eastAsia="Calibri"/>
          <w:b w:val="0"/>
          <w:szCs w:val="22"/>
          <w:lang w:val="hy-AM" w:eastAsia="en-US"/>
        </w:rPr>
        <w:t xml:space="preserve"> </w:t>
      </w:r>
      <w:r w:rsidRPr="00A83C94">
        <w:rPr>
          <w:rFonts w:eastAsia="Calibri" w:cs="Sylfaen"/>
          <w:b w:val="0"/>
          <w:szCs w:val="22"/>
          <w:lang w:val="hy-AM" w:eastAsia="en-US"/>
        </w:rPr>
        <w:t>պորտֆելը</w:t>
      </w:r>
      <w:r w:rsidRPr="00A83C94">
        <w:rPr>
          <w:rFonts w:eastAsia="Calibri"/>
          <w:b w:val="0"/>
          <w:szCs w:val="22"/>
          <w:lang w:val="hy-AM" w:eastAsia="en-US"/>
        </w:rPr>
        <w:t xml:space="preserve"> </w:t>
      </w:r>
      <w:r w:rsidRPr="00A83C94">
        <w:rPr>
          <w:rFonts w:eastAsia="Calibri" w:cs="Sylfaen"/>
          <w:b w:val="0"/>
          <w:szCs w:val="22"/>
          <w:lang w:val="hy-AM" w:eastAsia="en-US"/>
        </w:rPr>
        <w:t>շարունակում</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մնալ</w:t>
      </w:r>
      <w:r w:rsidRPr="00A83C94">
        <w:rPr>
          <w:rFonts w:eastAsia="Calibri"/>
          <w:b w:val="0"/>
          <w:szCs w:val="22"/>
          <w:lang w:val="hy-AM" w:eastAsia="en-US"/>
        </w:rPr>
        <w:t xml:space="preserve"> </w:t>
      </w:r>
      <w:r w:rsidRPr="00A83C94">
        <w:rPr>
          <w:rFonts w:eastAsia="Calibri" w:cs="Sylfaen"/>
          <w:b w:val="0"/>
          <w:szCs w:val="22"/>
          <w:lang w:val="hy-AM" w:eastAsia="en-US"/>
        </w:rPr>
        <w:t>խոցելի՝</w:t>
      </w:r>
      <w:r w:rsidRPr="00A83C94">
        <w:rPr>
          <w:rFonts w:eastAsia="Calibri"/>
          <w:b w:val="0"/>
          <w:szCs w:val="22"/>
          <w:lang w:val="hy-AM" w:eastAsia="en-US"/>
        </w:rPr>
        <w:t xml:space="preserve"> </w:t>
      </w:r>
      <w:r w:rsidRPr="00A83C94">
        <w:rPr>
          <w:rFonts w:eastAsia="Calibri" w:cs="Sylfaen"/>
          <w:b w:val="0"/>
          <w:szCs w:val="22"/>
          <w:lang w:val="hy-AM" w:eastAsia="en-US"/>
        </w:rPr>
        <w:t>պայմանավորված</w:t>
      </w:r>
      <w:r w:rsidRPr="00A83C94">
        <w:rPr>
          <w:rFonts w:eastAsia="Calibri"/>
          <w:b w:val="0"/>
          <w:szCs w:val="22"/>
          <w:lang w:val="hy-AM" w:eastAsia="en-US"/>
        </w:rPr>
        <w:t xml:space="preserve"> </w:t>
      </w:r>
      <w:r w:rsidRPr="00A83C94">
        <w:rPr>
          <w:rFonts w:eastAsia="Calibri" w:cs="Sylfaen"/>
          <w:b w:val="0"/>
          <w:szCs w:val="22"/>
          <w:lang w:val="hy-AM" w:eastAsia="en-US"/>
        </w:rPr>
        <w:t>արտարժութային</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ոչ</w:t>
      </w:r>
      <w:r w:rsidRPr="00A83C94">
        <w:rPr>
          <w:rFonts w:eastAsia="Calibri"/>
          <w:b w:val="0"/>
          <w:szCs w:val="22"/>
          <w:lang w:val="hy-AM" w:eastAsia="en-US"/>
        </w:rPr>
        <w:t xml:space="preserve"> </w:t>
      </w:r>
      <w:r w:rsidRPr="00A83C94">
        <w:rPr>
          <w:rFonts w:eastAsia="Calibri" w:cs="Sylfaen"/>
          <w:b w:val="0"/>
          <w:szCs w:val="22"/>
          <w:lang w:val="hy-AM" w:eastAsia="en-US"/>
        </w:rPr>
        <w:t>ռեզիդետների</w:t>
      </w:r>
      <w:r w:rsidRPr="00A83C94">
        <w:rPr>
          <w:rFonts w:eastAsia="Calibri"/>
          <w:b w:val="0"/>
          <w:szCs w:val="22"/>
          <w:lang w:val="hy-AM" w:eastAsia="en-US"/>
        </w:rPr>
        <w:t xml:space="preserve"> </w:t>
      </w:r>
      <w:r w:rsidRPr="00A83C94">
        <w:rPr>
          <w:rFonts w:eastAsia="Calibri" w:cs="Sylfaen"/>
          <w:b w:val="0"/>
          <w:szCs w:val="22"/>
          <w:lang w:val="hy-AM" w:eastAsia="en-US"/>
        </w:rPr>
        <w:t>նկատմամբ</w:t>
      </w:r>
      <w:r w:rsidRPr="00A83C94">
        <w:rPr>
          <w:rFonts w:eastAsia="Calibri"/>
          <w:b w:val="0"/>
          <w:szCs w:val="22"/>
          <w:lang w:val="hy-AM" w:eastAsia="en-US"/>
        </w:rPr>
        <w:t xml:space="preserve"> </w:t>
      </w:r>
      <w:r w:rsidRPr="00A83C94">
        <w:rPr>
          <w:rFonts w:eastAsia="Calibri" w:cs="Sylfaen"/>
          <w:b w:val="0"/>
          <w:szCs w:val="22"/>
          <w:lang w:val="hy-AM" w:eastAsia="en-US"/>
        </w:rPr>
        <w:t>պարտքի</w:t>
      </w:r>
      <w:r w:rsidRPr="00A83C94">
        <w:rPr>
          <w:rFonts w:eastAsia="Calibri"/>
          <w:b w:val="0"/>
          <w:szCs w:val="22"/>
          <w:lang w:val="hy-AM" w:eastAsia="en-US"/>
        </w:rPr>
        <w:t xml:space="preserve"> </w:t>
      </w:r>
      <w:r w:rsidRPr="00A83C94">
        <w:rPr>
          <w:rFonts w:eastAsia="Calibri" w:cs="Sylfaen"/>
          <w:b w:val="0"/>
          <w:szCs w:val="22"/>
          <w:lang w:val="hy-AM" w:eastAsia="en-US"/>
        </w:rPr>
        <w:t>բարձր</w:t>
      </w:r>
      <w:r w:rsidRPr="00A83C94">
        <w:rPr>
          <w:rFonts w:eastAsia="Calibri"/>
          <w:b w:val="0"/>
          <w:szCs w:val="22"/>
          <w:lang w:val="hy-AM" w:eastAsia="en-US"/>
        </w:rPr>
        <w:t xml:space="preserve"> </w:t>
      </w:r>
      <w:r w:rsidRPr="00A83C94">
        <w:rPr>
          <w:rFonts w:eastAsia="Calibri" w:cs="Sylfaen"/>
          <w:b w:val="0"/>
          <w:szCs w:val="22"/>
          <w:lang w:val="hy-AM" w:eastAsia="en-US"/>
        </w:rPr>
        <w:t xml:space="preserve">մասնաբաժիններով։ </w:t>
      </w:r>
      <w:r w:rsidRPr="00A83C94">
        <w:rPr>
          <w:rFonts w:eastAsia="Calibri"/>
          <w:b w:val="0"/>
          <w:szCs w:val="22"/>
          <w:lang w:val="hy-AM" w:eastAsia="en-US"/>
        </w:rPr>
        <w:t xml:space="preserve">Պարտքի կայունության ապահովման համար հրամայական է հարկաբյուջետային կոնսոլիդացիայի իրականացումը և պարտքի բեռի նվազեցումը պարտք/ՀՆԱ սահմանային 60%-ի շեմից։ </w:t>
      </w:r>
    </w:p>
    <w:p w14:paraId="7E30E0A6" w14:textId="77777777" w:rsidR="00027FBF" w:rsidRPr="00A83C94" w:rsidRDefault="00027FBF" w:rsidP="00027FBF">
      <w:pPr>
        <w:spacing w:before="0" w:after="160" w:line="276" w:lineRule="auto"/>
        <w:ind w:firstLine="709"/>
        <w:contextualSpacing w:val="0"/>
        <w:rPr>
          <w:rFonts w:eastAsia="Calibri"/>
          <w:b w:val="0"/>
          <w:szCs w:val="22"/>
          <w:lang w:val="hy-AM" w:eastAsia="en-US"/>
        </w:rPr>
      </w:pPr>
      <w:r w:rsidRPr="00A83C94">
        <w:rPr>
          <w:rFonts w:eastAsia="Calibri"/>
          <w:b w:val="0"/>
          <w:szCs w:val="22"/>
          <w:lang w:val="hy-AM" w:eastAsia="en-US"/>
        </w:rPr>
        <w:t>Ամփոփելով հարկաբյուջետային ռիսկերի նկարագրությունը կարող ենք նշել, որ 2020թ. ճգնաժամային իրավիճակով և դրա դրսևորումների շարունակությամբ պայմանավորված ռիսկերն առավելապես վերաբերում են առկա անորոշություններին: Մասնավորապես, անորոշություններ են առկա ինչպես տնտեսության վերականգնման ընթացքի և տևողության հետ կապված, այնպես էլ հարկաբյուջետային քաղաքականության միջոցառումների չափի և ժամկետների, ինչպես նաև վերջիններիս արդյունավետության գծով: Նշված ռիսկերի ի հայտ գալու կամ անորոշությունների վերաբերյալ նոր տեղեկատվության առկայության պայմաններում, առաջիկա տարիների հարկաբյուջետային շրջանակը կարող է վերանայվել։</w:t>
      </w:r>
    </w:p>
    <w:p w14:paraId="34273BCA" w14:textId="77777777" w:rsidR="00027FBF" w:rsidRPr="00A83C94" w:rsidRDefault="00027FBF" w:rsidP="00027FBF">
      <w:pPr>
        <w:keepNext/>
        <w:keepLines/>
        <w:spacing w:before="0" w:after="160" w:line="276" w:lineRule="auto"/>
        <w:ind w:firstLine="0"/>
        <w:contextualSpacing w:val="0"/>
        <w:outlineLvl w:val="2"/>
        <w:rPr>
          <w:rFonts w:eastAsia="Calibri"/>
          <w:sz w:val="24"/>
          <w:lang w:val="hy-AM" w:eastAsia="en-US"/>
        </w:rPr>
      </w:pPr>
      <w:bookmarkStart w:id="185" w:name="_Toc83972840"/>
      <w:bookmarkStart w:id="186" w:name="_Toc89428295"/>
      <w:r w:rsidRPr="00A83C94">
        <w:rPr>
          <w:rFonts w:eastAsia="Calibri"/>
          <w:sz w:val="24"/>
          <w:lang w:val="hy-AM" w:eastAsia="en-US"/>
        </w:rPr>
        <w:t>2.4. ՀԱՐԿԱԲՅՈՒՋԵՏԱՅԻՆ  ՔԱՂԱՔԱԿԱՆՈՒԹՅԱՆ ՀԱՄԱՊԱՏԱՍԽԱՆՈՒԹՅՈՒՆԸ ՀԱՐԿԱԲՅՈՒՋԵՏԱՅԻՆ ԿԱՆՈՆՆԵՐԻՆ</w:t>
      </w:r>
      <w:bookmarkEnd w:id="185"/>
      <w:bookmarkEnd w:id="186"/>
    </w:p>
    <w:p w14:paraId="602D750B" w14:textId="77777777" w:rsidR="00027FBF" w:rsidRPr="00A83C94" w:rsidRDefault="00027FBF" w:rsidP="00027FBF">
      <w:pPr>
        <w:spacing w:before="0" w:line="276" w:lineRule="auto"/>
        <w:ind w:firstLine="709"/>
        <w:contextualSpacing w:val="0"/>
        <w:rPr>
          <w:rFonts w:eastAsia="Calibri"/>
          <w:szCs w:val="22"/>
          <w:lang w:val="hy-AM" w:eastAsia="en-US"/>
        </w:rPr>
      </w:pPr>
      <w:r w:rsidRPr="00A83C94">
        <w:rPr>
          <w:rFonts w:eastAsia="Calibri"/>
          <w:b w:val="0"/>
          <w:szCs w:val="22"/>
          <w:lang w:val="hy-AM" w:eastAsia="en-US"/>
        </w:rPr>
        <w:t>ՀՀ հարկաբյուջետային կանոնների ներկա համակարգը գործարկվել է ՀՀ Ազգային ժողովի կողմից 2017 թվականի դեկտեմբերի 20-ին ՀՀ բյուջետային համակարգի մասին և Պետական պարտքի մասին ՀՀ օրենքներում փոփոխություններ և լրացումն</w:t>
      </w:r>
      <w:r w:rsidRPr="00A83C94">
        <w:rPr>
          <w:rFonts w:eastAsia="Calibri"/>
          <w:b w:val="0"/>
          <w:szCs w:val="22"/>
          <w:lang w:val="hy-AM" w:eastAsia="en-US"/>
        </w:rPr>
        <w:softHyphen/>
        <w:t>եր կատարող օրենքների, ինչպես նաև են ՀՀ Կառավարության՝ 2018 թվականի օգոստոսի 23-ի N 942-Ն որոշման ընդունմամբ: Կանոնների համակարգը ներառում է ծախսային կանոններ, որոնք ուժի մեջ են մտնում պարտքի սահմանված շեմերը գերազանցելիս։ Մասնավորապես</w:t>
      </w:r>
      <w:r w:rsidRPr="00A83C94">
        <w:rPr>
          <w:rFonts w:ascii="Cambria Math" w:eastAsia="Calibri" w:hAnsi="Cambria Math" w:cs="Cambria Math"/>
          <w:b w:val="0"/>
          <w:szCs w:val="22"/>
          <w:lang w:val="hy-AM" w:eastAsia="en-US"/>
        </w:rPr>
        <w:t>․</w:t>
      </w:r>
    </w:p>
    <w:p w14:paraId="4AF01DD5"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Երբ կառավարության պարտք/ՀՆԱ հարաբերակցությունը գերազանցում է 40%-ը, պետական բյուջեի կապիտալ ծախսերը չպետք է փոքր լինեն բյուջեի պակասուրդից:</w:t>
      </w:r>
    </w:p>
    <w:p w14:paraId="78B5515D"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Կառավարության պարտք/ՀՆԱ հարաբերակցության՝ 50-60% միջակայքում գտնվելու դեպքում,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14:paraId="5EFF4695"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14:paraId="0243AE41" w14:textId="77777777" w:rsidR="00027FBF" w:rsidRPr="00A83C94" w:rsidRDefault="00027FBF" w:rsidP="00027FBF">
      <w:pPr>
        <w:numPr>
          <w:ilvl w:val="0"/>
          <w:numId w:val="39"/>
        </w:numPr>
        <w:spacing w:before="0" w:line="276" w:lineRule="auto"/>
        <w:ind w:left="709" w:hanging="283"/>
        <w:contextualSpacing w:val="0"/>
        <w:rPr>
          <w:rFonts w:eastAsia="Calibri"/>
          <w:szCs w:val="22"/>
          <w:lang w:val="hy-AM" w:eastAsia="en-US"/>
        </w:rPr>
      </w:pPr>
      <w:r w:rsidRPr="00A83C94">
        <w:rPr>
          <w:rFonts w:eastAsia="Calibri"/>
          <w:b w:val="0"/>
          <w:szCs w:val="22"/>
          <w:lang w:val="hy-AM" w:eastAsia="en-US"/>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պարագայում:</w:t>
      </w:r>
    </w:p>
    <w:p w14:paraId="7980AB35" w14:textId="77777777" w:rsidR="00027FBF" w:rsidRPr="00A83C94" w:rsidRDefault="00027FBF" w:rsidP="00027FBF">
      <w:pPr>
        <w:spacing w:before="0" w:line="276" w:lineRule="auto"/>
        <w:ind w:firstLine="709"/>
        <w:contextualSpacing w:val="0"/>
        <w:rPr>
          <w:rFonts w:eastAsia="Calibri"/>
          <w:szCs w:val="22"/>
          <w:lang w:val="hy-AM" w:eastAsia="en-US"/>
        </w:rPr>
      </w:pPr>
      <w:r w:rsidRPr="00A83C94">
        <w:rPr>
          <w:rFonts w:eastAsia="Calibri"/>
          <w:szCs w:val="22"/>
          <w:lang w:val="hy-AM" w:eastAsia="en-US"/>
        </w:rPr>
        <w:t>2020թ</w:t>
      </w:r>
      <w:r w:rsidRPr="00A83C94">
        <w:rPr>
          <w:rFonts w:eastAsia="Calibri" w:cs="Cambria Math"/>
          <w:szCs w:val="22"/>
          <w:lang w:val="hy-AM" w:eastAsia="en-US"/>
        </w:rPr>
        <w:t>.</w:t>
      </w:r>
      <w:r w:rsidRPr="00A83C94">
        <w:rPr>
          <w:rFonts w:eastAsia="Calibri"/>
          <w:szCs w:val="22"/>
          <w:lang w:val="hy-AM" w:eastAsia="en-US"/>
        </w:rPr>
        <w:t>-ի պետական բյուջեի ինչպես վերանայված ծրագրային ցուցանիշները, այնպես էլ փաստացի ցուցանիշները շեղվել են ծախսային կանոններով բնականոն իրավիճակի համար սահմանված պահանջներից՝ մնալով օրենսդրության շրջանակում, քանի որ տնտեսական ցնցումներով պայմանավորված՝ իրավիճակը ճանաչվել է բացառիկ։</w:t>
      </w:r>
      <w:r w:rsidRPr="00A83C94">
        <w:rPr>
          <w:rFonts w:eastAsia="Calibri"/>
          <w:b w:val="0"/>
          <w:szCs w:val="22"/>
          <w:lang w:val="hy-AM" w:eastAsia="en-US"/>
        </w:rPr>
        <w:t xml:space="preserve"> Վերջինիս իրավական հիմքերը ձևավորված են «ՀՀ բյուջետային համակարգի մասին» ՀՀ օրենքի 21</w:t>
      </w:r>
      <w:r w:rsidRPr="00A83C94">
        <w:rPr>
          <w:rFonts w:eastAsia="Calibri"/>
          <w:b w:val="0"/>
          <w:szCs w:val="22"/>
          <w:lang w:val="hy-AM" w:eastAsia="en-US"/>
        </w:rPr>
        <w:noBreakHyphen/>
        <w:t>րդ հոդվածի 8.3 կետով և ՀՀ կառավարության N 942-Ն որոշման 3-րդ կետով նախատեսված դրույթներով, իսկ իրավիճակը բացառիկ է ճանաչվել ՀՀ կառավարության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 ապրիլի 23-ի </w:t>
      </w:r>
      <w:r w:rsidRPr="00A83C94">
        <w:rPr>
          <w:rFonts w:eastAsia="Calibri" w:cs="GHEA Grapalat"/>
          <w:b w:val="0"/>
          <w:szCs w:val="22"/>
          <w:lang w:val="hy-AM" w:eastAsia="en-US"/>
        </w:rPr>
        <w:t>587-Ա և սեպտեմբերի 29</w:t>
      </w:r>
      <w:r w:rsidRPr="00A83C94">
        <w:rPr>
          <w:rFonts w:eastAsia="Calibri" w:cs="GHEA Grapalat"/>
          <w:b w:val="0"/>
          <w:szCs w:val="22"/>
          <w:lang w:val="hy-AM" w:eastAsia="en-US"/>
        </w:rPr>
        <w:noBreakHyphen/>
        <w:t>ի 1600</w:t>
      </w:r>
      <w:r w:rsidRPr="00A83C94">
        <w:rPr>
          <w:rFonts w:eastAsia="Calibri" w:cs="GHEA Grapalat"/>
          <w:b w:val="0"/>
          <w:szCs w:val="22"/>
          <w:lang w:val="hy-AM" w:eastAsia="en-US"/>
        </w:rPr>
        <w:noBreakHyphen/>
        <w:t xml:space="preserve">Ա </w:t>
      </w:r>
      <w:r w:rsidRPr="00A83C94">
        <w:rPr>
          <w:rFonts w:eastAsia="Calibri"/>
          <w:b w:val="0"/>
          <w:szCs w:val="22"/>
          <w:lang w:val="hy-AM" w:eastAsia="en-US"/>
        </w:rPr>
        <w:t>որոշումներով։ Այս հանգամանքը հանգեցրել է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իրականցված հարկաբյուջետային խթանող քաղաքականության արդյունքում ՀՀ կառավարության պարտքի բեռի շեղմանը 60% սահմանային շեմից, որի պայմաններում կառավարությունը պետք է ծրագրի հարկաբյուջետային կոնսոլիդացիա՝ պարտքի բեռը այդ շեմային ցուցանիշից նվազեցնելու նպատակադրմամբ։</w:t>
      </w:r>
    </w:p>
    <w:p w14:paraId="583507EA" w14:textId="77777777" w:rsidR="00027FBF" w:rsidRPr="00A83C94" w:rsidRDefault="00027FBF" w:rsidP="00027FBF">
      <w:pPr>
        <w:spacing w:before="0" w:line="276" w:lineRule="auto"/>
        <w:ind w:firstLine="706"/>
        <w:contextualSpacing w:val="0"/>
        <w:rPr>
          <w:rFonts w:eastAsia="Calibri"/>
          <w:szCs w:val="22"/>
          <w:lang w:val="hy-AM" w:eastAsia="en-US"/>
        </w:rPr>
      </w:pPr>
      <w:r w:rsidRPr="00A83C94">
        <w:rPr>
          <w:rFonts w:eastAsia="Calibri"/>
          <w:szCs w:val="22"/>
          <w:lang w:val="hy-AM" w:eastAsia="en-US"/>
        </w:rPr>
        <w:t>2021թ</w:t>
      </w:r>
      <w:r w:rsidRPr="00A83C94">
        <w:rPr>
          <w:rFonts w:ascii="Cambria Math" w:eastAsia="Calibri" w:hAnsi="Cambria Math" w:cs="Cambria Math"/>
          <w:szCs w:val="22"/>
          <w:lang w:val="hy-AM" w:eastAsia="en-US"/>
        </w:rPr>
        <w:t>․</w:t>
      </w:r>
      <w:r w:rsidRPr="00A83C94">
        <w:rPr>
          <w:rFonts w:eastAsia="Calibri"/>
          <w:szCs w:val="22"/>
          <w:lang w:val="hy-AM" w:eastAsia="en-US"/>
        </w:rPr>
        <w:t>-ի սկսել է իրականացվել սահուն հարկաբյուջետային կոնսոլիդացիա՝ համահունչ 2022-2026 թվականների ՀՀ կառավարության պարտքի բեռի նվազեցման ծրագրի նպատակադրումներին։</w:t>
      </w:r>
      <w:r w:rsidRPr="00A83C94">
        <w:rPr>
          <w:rFonts w:eastAsia="Calibri"/>
          <w:b w:val="0"/>
          <w:szCs w:val="22"/>
          <w:lang w:val="hy-AM" w:eastAsia="en-US"/>
        </w:rPr>
        <w:t xml:space="preserve"> Մասնավորապես, բյուջեի պակասուրդը կրճատվում է աստիճանական եղանակով՝ նպատակ դնելով չխաթարել վերականգնման փուլում տնտեսական ակտիվությունը և կառուցվածքային բարեփոխումների ընթացքը: Արդյունքում կառավարության պարտք/ՀՆԱ ցուցանիշը կնվազի  2.7 տոկոսային կետով՝ հիմք կհանդիսանա միջնաժամկետ հատվածում հարկաբյուջետային կանոններին համահունչ «առավել անվտանգ մակարդակներ» պարտքի բեռի նվազեցման ճանապարհով պետական պարտքի կայունության ամրապնդման համար։ Միևնույն ժամանակ սպասվում է, որ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պետական բյուջեի կատարումը շարունակելու է շեղվել հարկաբյուջետային կանոններից, քանի որ 2020թ.-ի տնտեսական ցնցման հետևանքների պահպանմամբ պայմանավորված, ՀՀ օրենսդրությանը համապատասխան կարգով, 2021թ.-ին ևս կպահպանվեն բացառիկ իրավիճակի կարգավորումները (որն ամրագրված է նաև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 պետական բյուջեի ուղերձում): Սակայն նախատեսվում է 2021թ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-ին որոշակիորեն կրճատել կանոններից շեղման չափը, ինչը հնարավորություն կտա 2022թ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-ից վերադառնալ հարկաբյուջետային կանոնների ամբողջական պահպանմանը։ </w:t>
      </w:r>
    </w:p>
    <w:p w14:paraId="057D8FED" w14:textId="77777777" w:rsidR="00027FBF" w:rsidRPr="00A83C94" w:rsidRDefault="00027FBF" w:rsidP="00027FBF">
      <w:pPr>
        <w:spacing w:before="0" w:line="276" w:lineRule="auto"/>
        <w:ind w:firstLine="706"/>
        <w:contextualSpacing w:val="0"/>
        <w:rPr>
          <w:rFonts w:eastAsia="Calibri"/>
          <w:b w:val="0"/>
          <w:szCs w:val="22"/>
          <w:lang w:val="hy-AM" w:eastAsia="en-US"/>
        </w:rPr>
      </w:pPr>
      <w:r w:rsidRPr="00A83C94">
        <w:rPr>
          <w:rFonts w:eastAsia="Calibri"/>
          <w:szCs w:val="22"/>
          <w:lang w:val="hy-AM" w:eastAsia="en-US"/>
        </w:rPr>
        <w:t>2022թ</w:t>
      </w:r>
      <w:r w:rsidRPr="00A83C94">
        <w:rPr>
          <w:rFonts w:ascii="Cambria Math" w:eastAsia="Calibri" w:hAnsi="Cambria Math" w:cs="Cambria Math"/>
          <w:szCs w:val="22"/>
          <w:lang w:val="hy-AM" w:eastAsia="en-US"/>
        </w:rPr>
        <w:t>․</w:t>
      </w:r>
      <w:r w:rsidRPr="00A83C94">
        <w:rPr>
          <w:rFonts w:eastAsia="Calibri"/>
          <w:szCs w:val="22"/>
          <w:lang w:val="hy-AM" w:eastAsia="en-US"/>
        </w:rPr>
        <w:t>-ին ՀՀ Կառավարությունը վերադարձ կկատարի ՀՀ օրենսդրությամբ բնականոն իրավիճակների համար սահմանված ծախսային կանոնների, այդ թվում՝ պետական ֆինանսների «ոսկե կանոնների» և ընթացիկ առաջնային ծախսերի աճի տեմպի՝ երկարաժամկետ տնտեսական աճի միջին տեմպով սահմանափակման կանոնի ամբողջական պահպանմանը, միաժամանակ ապահովելով պարտք/ՀՆԱ հարաբերակցության նվազող հետագիծը և ծախսերի կառուցվածքի բարելավում:</w:t>
      </w:r>
      <w:r w:rsidRPr="00A83C94">
        <w:rPr>
          <w:rFonts w:eastAsia="Calibri"/>
          <w:b w:val="0"/>
          <w:szCs w:val="22"/>
          <w:lang w:val="hy-AM" w:eastAsia="en-US"/>
        </w:rPr>
        <w:t xml:space="preserve"> Ծախսային կանոնների պահպանումը հնարավորություն է տալիս զսպել եկամուտ գեներացնելու կարողություններին պարտավորությունների (ընթացիկ ծախսերի գծով ստանձնվող օրենսդրական պարտավորությունների և պարտքային պարտավորությունների ձևով) առաջանցիկ ավելացումը։ Ավելին, պլանավորված կապիտալ ծախսերը գերազանցում են բյուջեի պակասուրդը շուրջ </w:t>
      </w:r>
      <w:r>
        <w:rPr>
          <w:rFonts w:eastAsia="Calibri"/>
          <w:b w:val="0"/>
          <w:szCs w:val="22"/>
          <w:lang w:val="hy-AM" w:eastAsia="en-US"/>
        </w:rPr>
        <w:t>1</w:t>
      </w:r>
      <w:r w:rsidRPr="008413F5">
        <w:rPr>
          <w:rFonts w:eastAsia="Calibri"/>
          <w:b w:val="0"/>
          <w:szCs w:val="22"/>
          <w:lang w:val="hy-AM" w:eastAsia="en-US"/>
        </w:rPr>
        <w:t>05</w:t>
      </w:r>
      <w:r>
        <w:rPr>
          <w:rFonts w:eastAsia="Calibri"/>
          <w:b w:val="0"/>
          <w:szCs w:val="22"/>
          <w:lang w:val="hy-AM" w:eastAsia="en-US"/>
        </w:rPr>
        <w:t>.</w:t>
      </w:r>
      <w:r w:rsidRPr="003C0DA9">
        <w:rPr>
          <w:rFonts w:eastAsia="Calibri"/>
          <w:b w:val="0"/>
          <w:szCs w:val="22"/>
          <w:lang w:val="hy-AM" w:eastAsia="en-US"/>
        </w:rPr>
        <w:t>6</w:t>
      </w:r>
      <w:r w:rsidRPr="00A83C94">
        <w:rPr>
          <w:rFonts w:eastAsia="Calibri"/>
          <w:b w:val="0"/>
          <w:szCs w:val="22"/>
          <w:lang w:val="hy-AM" w:eastAsia="en-US"/>
        </w:rPr>
        <w:t xml:space="preserve"> մլրդ դրամով՝ ապահովելով պարտքի զուտ ներգրավմանն առաջանցիկ պետական ակտիվներ ավելացում և կառավարելի պահելով երկրի իրական պարտքային դիրքը և հետևաբար՝ երկարաժամկետ հարկաբյուջետային ռիսկերը։ Միաժամանակ կառավարության պարտք/ՀՆԱ ցուցանիշը կկազմի 60.</w:t>
      </w:r>
      <w:r w:rsidRPr="0011745F">
        <w:rPr>
          <w:rFonts w:eastAsia="Calibri"/>
          <w:b w:val="0"/>
          <w:szCs w:val="22"/>
          <w:lang w:val="hy-AM" w:eastAsia="en-US"/>
        </w:rPr>
        <w:t>2</w:t>
      </w:r>
      <w:r w:rsidRPr="00A83C94">
        <w:rPr>
          <w:rFonts w:eastAsia="Calibri"/>
          <w:b w:val="0"/>
          <w:szCs w:val="22"/>
          <w:lang w:val="hy-AM" w:eastAsia="en-US"/>
        </w:rPr>
        <w:t>%` ցածր լինելով 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-ի ցուցանիշից </w:t>
      </w:r>
      <w:r w:rsidRPr="0011745F">
        <w:rPr>
          <w:rFonts w:eastAsia="Calibri"/>
          <w:b w:val="0"/>
          <w:szCs w:val="22"/>
          <w:lang w:val="hy-AM" w:eastAsia="en-US"/>
        </w:rPr>
        <w:t>3.2</w:t>
      </w:r>
      <w:r w:rsidRPr="00A83C94">
        <w:rPr>
          <w:rFonts w:eastAsia="Calibri"/>
          <w:b w:val="0"/>
          <w:szCs w:val="22"/>
          <w:lang w:val="hy-AM" w:eastAsia="en-US"/>
        </w:rPr>
        <w:t xml:space="preserve"> տոկոսային կետով։ 2022 թվականի համար ծրագրված հարկաբյուջետային զարգացումները հնարավորություն կտան շարունակել հարկաբյուջետային կոնսոլիդացիան ՀՀ կառավարության պարտքի նվազեցման ծրագրի ամբողջ հորիզոնում՝ մինչև 2026 թվականը, և ապահովել կառավարության պարտք/ՀՆԱ ցուցանիշի 60%-ից ցածր մակարդակ Ծրագրով նախատեսվող ժամանակահատվածում։ (առավել մանրամասն տես՝ «Հարկաբյուջետային քաղաքականության հիմնական ուղղությունները և կանխատեսումները հատվածում»):</w:t>
      </w:r>
    </w:p>
    <w:p w14:paraId="3D072A80" w14:textId="77777777" w:rsidR="00027FBF" w:rsidRPr="00A83C94" w:rsidRDefault="00027FBF" w:rsidP="00027FBF">
      <w:pPr>
        <w:keepNext/>
        <w:keepLines/>
        <w:spacing w:before="0" w:after="120" w:line="276" w:lineRule="auto"/>
        <w:ind w:firstLine="0"/>
        <w:contextualSpacing w:val="0"/>
        <w:rPr>
          <w:rFonts w:eastAsia="Calibri"/>
          <w:b w:val="0"/>
          <w:i/>
          <w:iCs/>
          <w:szCs w:val="22"/>
          <w:lang w:val="hy-AM" w:eastAsia="en-US"/>
        </w:rPr>
      </w:pPr>
      <w:r w:rsidRPr="00A83C94">
        <w:rPr>
          <w:rFonts w:eastAsia="Calibri"/>
          <w:i/>
          <w:iCs/>
          <w:szCs w:val="22"/>
          <w:lang w:val="hy-AM" w:eastAsia="en-US"/>
        </w:rPr>
        <w:t>Աղյուսակ 2.4.</w:t>
      </w:r>
      <w:r w:rsidRPr="00A83C94">
        <w:rPr>
          <w:rFonts w:eastAsia="Calibri"/>
          <w:b w:val="0"/>
          <w:i/>
          <w:iCs/>
          <w:szCs w:val="22"/>
          <w:lang w:val="hy-AM" w:eastAsia="en-US"/>
        </w:rPr>
        <w:t xml:space="preserve"> </w:t>
      </w:r>
      <w:r w:rsidRPr="00A83C94">
        <w:rPr>
          <w:rFonts w:eastAsia="Calibri"/>
          <w:b w:val="0"/>
          <w:bCs/>
          <w:i/>
          <w:iCs/>
          <w:szCs w:val="22"/>
          <w:lang w:val="hy-AM" w:eastAsia="en-US"/>
        </w:rPr>
        <w:t>Փաստացի և ծրագրավորված հարկաբյուջետային քաղաքականության համապատասխանությունը հարկաբյուջետային կանոններին</w:t>
      </w:r>
    </w:p>
    <w:tbl>
      <w:tblPr>
        <w:tblW w:w="10206" w:type="dxa"/>
        <w:tblInd w:w="-23" w:type="dxa"/>
        <w:tblBorders>
          <w:top w:val="single" w:sz="18" w:space="0" w:color="4472C4"/>
          <w:left w:val="single" w:sz="18" w:space="0" w:color="4472C4"/>
          <w:bottom w:val="single" w:sz="18" w:space="0" w:color="4472C4"/>
          <w:right w:val="single" w:sz="18" w:space="0" w:color="4472C4"/>
          <w:insideH w:val="single" w:sz="6" w:space="0" w:color="4472C4"/>
          <w:insideV w:val="single" w:sz="6" w:space="0" w:color="4472C4"/>
        </w:tblBorders>
        <w:tblLayout w:type="fixed"/>
        <w:tblLook w:val="04A0" w:firstRow="1" w:lastRow="0" w:firstColumn="1" w:lastColumn="0" w:noHBand="0" w:noVBand="1"/>
      </w:tblPr>
      <w:tblGrid>
        <w:gridCol w:w="1402"/>
        <w:gridCol w:w="1575"/>
        <w:gridCol w:w="992"/>
        <w:gridCol w:w="851"/>
        <w:gridCol w:w="992"/>
        <w:gridCol w:w="851"/>
        <w:gridCol w:w="992"/>
        <w:gridCol w:w="850"/>
        <w:gridCol w:w="787"/>
        <w:gridCol w:w="914"/>
      </w:tblGrid>
      <w:tr w:rsidR="00027FBF" w:rsidRPr="00A83C94" w14:paraId="1B1A5B8B" w14:textId="77777777" w:rsidTr="00027FBF">
        <w:trPr>
          <w:trHeight w:val="466"/>
          <w:tblHeader/>
        </w:trPr>
        <w:tc>
          <w:tcPr>
            <w:tcW w:w="1402" w:type="dxa"/>
            <w:vMerge w:val="restart"/>
            <w:tcBorders>
              <w:top w:val="single" w:sz="18" w:space="0" w:color="4472C4"/>
              <w:bottom w:val="single" w:sz="2" w:space="0" w:color="4472C4"/>
              <w:right w:val="single" w:sz="2" w:space="0" w:color="4472C4"/>
            </w:tcBorders>
            <w:shd w:val="clear" w:color="auto" w:fill="5B9BD5"/>
            <w:vAlign w:val="center"/>
            <w:hideMark/>
          </w:tcPr>
          <w:p w14:paraId="56F63B34"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Կանոնի ցուցանիշ</w:t>
            </w:r>
          </w:p>
        </w:tc>
        <w:tc>
          <w:tcPr>
            <w:tcW w:w="1575" w:type="dxa"/>
            <w:vMerge w:val="restart"/>
            <w:tcBorders>
              <w:top w:val="single" w:sz="18" w:space="0" w:color="4472C4"/>
              <w:left w:val="single" w:sz="2" w:space="0" w:color="4472C4"/>
              <w:bottom w:val="single" w:sz="2" w:space="0" w:color="4472C4"/>
              <w:right w:val="single" w:sz="2" w:space="0" w:color="4472C4"/>
            </w:tcBorders>
            <w:shd w:val="clear" w:color="auto" w:fill="5B9BD5"/>
            <w:vAlign w:val="center"/>
            <w:hideMark/>
          </w:tcPr>
          <w:p w14:paraId="3F4A1767"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Ուղենի-շային ցուցանիշ</w:t>
            </w:r>
          </w:p>
        </w:tc>
        <w:tc>
          <w:tcPr>
            <w:tcW w:w="184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18709845"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2019</w:t>
            </w:r>
          </w:p>
        </w:tc>
        <w:tc>
          <w:tcPr>
            <w:tcW w:w="1843"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328E5E57"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2020</w:t>
            </w:r>
          </w:p>
        </w:tc>
        <w:tc>
          <w:tcPr>
            <w:tcW w:w="1842"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1AC61031"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2021</w:t>
            </w:r>
          </w:p>
        </w:tc>
        <w:tc>
          <w:tcPr>
            <w:tcW w:w="1701" w:type="dxa"/>
            <w:gridSpan w:val="2"/>
            <w:tcBorders>
              <w:top w:val="single" w:sz="18" w:space="0" w:color="4472C4"/>
              <w:left w:val="single" w:sz="2" w:space="0" w:color="4472C4"/>
              <w:bottom w:val="single" w:sz="2" w:space="0" w:color="4472C4"/>
              <w:right w:val="single" w:sz="2" w:space="0" w:color="4472C4"/>
            </w:tcBorders>
            <w:shd w:val="clear" w:color="auto" w:fill="5B9BD5"/>
            <w:noWrap/>
            <w:vAlign w:val="bottom"/>
            <w:hideMark/>
          </w:tcPr>
          <w:p w14:paraId="3B67E072" w14:textId="77777777" w:rsidR="00027FBF" w:rsidRPr="00A83C94" w:rsidRDefault="00027FBF" w:rsidP="00027FBF">
            <w:pPr>
              <w:spacing w:before="0" w:after="160" w:line="276" w:lineRule="auto"/>
              <w:ind w:firstLine="5"/>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2022</w:t>
            </w:r>
          </w:p>
        </w:tc>
      </w:tr>
      <w:tr w:rsidR="00027FBF" w:rsidRPr="00A83C94" w14:paraId="385922C7" w14:textId="77777777" w:rsidTr="00027FBF">
        <w:trPr>
          <w:cantSplit/>
          <w:trHeight w:val="850"/>
          <w:tblHeader/>
        </w:trPr>
        <w:tc>
          <w:tcPr>
            <w:tcW w:w="1402" w:type="dxa"/>
            <w:vMerge/>
            <w:tcBorders>
              <w:top w:val="single" w:sz="2" w:space="0" w:color="4472C4"/>
              <w:bottom w:val="single" w:sz="2" w:space="0" w:color="4472C4"/>
              <w:right w:val="single" w:sz="2" w:space="0" w:color="4472C4"/>
            </w:tcBorders>
            <w:shd w:val="clear" w:color="auto" w:fill="5B9BD5"/>
            <w:vAlign w:val="center"/>
            <w:hideMark/>
          </w:tcPr>
          <w:p w14:paraId="5D36AD13" w14:textId="77777777" w:rsidR="00027FBF" w:rsidRPr="00A83C94" w:rsidRDefault="00027FBF" w:rsidP="00027FBF">
            <w:pPr>
              <w:spacing w:before="0" w:after="160" w:line="276" w:lineRule="auto"/>
              <w:ind w:firstLine="0"/>
              <w:contextualSpacing w:val="0"/>
              <w:jc w:val="left"/>
              <w:rPr>
                <w:rFonts w:eastAsia="Calibri" w:cs="Arial"/>
                <w:b w:val="0"/>
                <w:color w:val="FFFFFF"/>
                <w:szCs w:val="22"/>
                <w:lang w:val="en-US" w:eastAsia="en-US"/>
              </w:rPr>
            </w:pPr>
          </w:p>
        </w:tc>
        <w:tc>
          <w:tcPr>
            <w:tcW w:w="1575" w:type="dxa"/>
            <w:vMerge/>
            <w:tcBorders>
              <w:top w:val="single" w:sz="2" w:space="0" w:color="4472C4"/>
              <w:left w:val="single" w:sz="2" w:space="0" w:color="4472C4"/>
              <w:bottom w:val="single" w:sz="2" w:space="0" w:color="4472C4"/>
              <w:right w:val="single" w:sz="2" w:space="0" w:color="4472C4"/>
            </w:tcBorders>
            <w:shd w:val="clear" w:color="auto" w:fill="5B9BD5"/>
            <w:vAlign w:val="center"/>
            <w:hideMark/>
          </w:tcPr>
          <w:p w14:paraId="159A99FB" w14:textId="77777777" w:rsidR="00027FBF" w:rsidRPr="00A83C94" w:rsidRDefault="00027FBF" w:rsidP="00027FBF">
            <w:pPr>
              <w:spacing w:before="0" w:after="160" w:line="276" w:lineRule="auto"/>
              <w:ind w:firstLine="0"/>
              <w:contextualSpacing w:val="0"/>
              <w:jc w:val="left"/>
              <w:rPr>
                <w:rFonts w:eastAsia="Calibri" w:cs="Arial"/>
                <w:b w:val="0"/>
                <w:color w:val="FFFFFF"/>
                <w:szCs w:val="22"/>
                <w:lang w:val="en-US" w:eastAsia="en-US"/>
              </w:rPr>
            </w:pP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6711F11F" w14:textId="77777777" w:rsidR="00027FBF" w:rsidRPr="00A83C94" w:rsidRDefault="00027FBF" w:rsidP="00027FBF">
            <w:pPr>
              <w:spacing w:before="0" w:after="160" w:line="276" w:lineRule="auto"/>
              <w:ind w:left="6" w:right="113"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365C2248"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Փաստ</w:t>
            </w:r>
            <w:r w:rsidRPr="00A83C94">
              <w:rPr>
                <w:rFonts w:ascii="Cambria Math" w:eastAsia="Calibri" w:hAnsi="Cambria Math" w:cs="Cambria Math"/>
                <w:b w:val="0"/>
                <w:color w:val="FFFFFF"/>
                <w:szCs w:val="22"/>
                <w:lang w:val="en-US" w:eastAsia="en-US"/>
              </w:rPr>
              <w:t>․</w:t>
            </w: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79BECD7"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03D9AEEE"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Փաստ</w:t>
            </w:r>
            <w:r w:rsidRPr="00A83C94">
              <w:rPr>
                <w:rFonts w:ascii="Cambria Math" w:eastAsia="Calibri" w:hAnsi="Cambria Math" w:cs="Cambria Math"/>
                <w:b w:val="0"/>
                <w:color w:val="FFFFFF"/>
                <w:szCs w:val="22"/>
                <w:lang w:val="en-US" w:eastAsia="en-US"/>
              </w:rPr>
              <w:t>․</w:t>
            </w:r>
          </w:p>
        </w:tc>
        <w:tc>
          <w:tcPr>
            <w:tcW w:w="992"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1188420"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3491AB26"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Պլան</w:t>
            </w:r>
          </w:p>
        </w:tc>
        <w:tc>
          <w:tcPr>
            <w:tcW w:w="787"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535F9D61"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Սահմ</w:t>
            </w:r>
            <w:r w:rsidRPr="00A83C94">
              <w:rPr>
                <w:rFonts w:ascii="Cambria Math" w:eastAsia="Calibri" w:hAnsi="Cambria Math" w:cs="Cambria Math"/>
                <w:b w:val="0"/>
                <w:color w:val="FFFFFF"/>
                <w:szCs w:val="22"/>
                <w:lang w:val="en-US" w:eastAsia="en-US"/>
              </w:rPr>
              <w:t>․</w:t>
            </w:r>
          </w:p>
        </w:tc>
        <w:tc>
          <w:tcPr>
            <w:tcW w:w="914" w:type="dxa"/>
            <w:tcBorders>
              <w:top w:val="single" w:sz="2" w:space="0" w:color="4472C4"/>
              <w:left w:val="single" w:sz="2" w:space="0" w:color="4472C4"/>
              <w:bottom w:val="single" w:sz="2" w:space="0" w:color="4472C4"/>
              <w:right w:val="single" w:sz="2" w:space="0" w:color="4472C4"/>
            </w:tcBorders>
            <w:shd w:val="clear" w:color="auto" w:fill="5B9BD5"/>
            <w:textDirection w:val="btLr"/>
            <w:vAlign w:val="center"/>
            <w:hideMark/>
          </w:tcPr>
          <w:p w14:paraId="16258482" w14:textId="77777777" w:rsidR="00027FBF" w:rsidRPr="00A83C94" w:rsidRDefault="00027FBF" w:rsidP="00027FBF">
            <w:pPr>
              <w:spacing w:before="0" w:after="160" w:line="276" w:lineRule="auto"/>
              <w:ind w:firstLine="0"/>
              <w:contextualSpacing w:val="0"/>
              <w:jc w:val="center"/>
              <w:rPr>
                <w:rFonts w:eastAsia="Calibri" w:cs="Arial"/>
                <w:b w:val="0"/>
                <w:color w:val="FFFFFF"/>
                <w:szCs w:val="22"/>
                <w:lang w:val="en-US" w:eastAsia="en-US"/>
              </w:rPr>
            </w:pPr>
            <w:r w:rsidRPr="00A83C94">
              <w:rPr>
                <w:rFonts w:eastAsia="Calibri" w:cs="Arial"/>
                <w:b w:val="0"/>
                <w:color w:val="FFFFFF"/>
                <w:szCs w:val="22"/>
                <w:lang w:val="en-US" w:eastAsia="en-US"/>
              </w:rPr>
              <w:t>Պլան</w:t>
            </w:r>
          </w:p>
        </w:tc>
      </w:tr>
      <w:tr w:rsidR="00027FBF" w:rsidRPr="00A83C94" w14:paraId="65CA84AE" w14:textId="77777777" w:rsidTr="00027FBF">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4E9804EF" w14:textId="77777777" w:rsidR="00027FBF" w:rsidRPr="00A83C94" w:rsidRDefault="00027FBF" w:rsidP="00027FBF">
            <w:pPr>
              <w:spacing w:before="0" w:after="160" w:line="276" w:lineRule="auto"/>
              <w:ind w:firstLine="0"/>
              <w:contextualSpacing w:val="0"/>
              <w:jc w:val="left"/>
              <w:rPr>
                <w:rFonts w:eastAsia="Calibri" w:cs="Arial"/>
                <w:b w:val="0"/>
                <w:color w:val="000000"/>
                <w:sz w:val="16"/>
                <w:szCs w:val="16"/>
                <w:lang w:eastAsia="en-US"/>
              </w:rPr>
            </w:pP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ոչ</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ֆինանսական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ակտիվների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գծով</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ծախսեր</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9021A18"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eastAsia="en-US"/>
              </w:rPr>
            </w:pPr>
            <w:r w:rsidRPr="00A83C94">
              <w:rPr>
                <w:rFonts w:eastAsia="Calibri" w:cs="Arial"/>
                <w:b w:val="0"/>
                <w:color w:val="000000"/>
                <w:sz w:val="16"/>
                <w:szCs w:val="16"/>
                <w:lang w:eastAsia="en-US"/>
              </w:rPr>
              <w:t xml:space="preserve">&gt;/= </w:t>
            </w: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պակասուրդ</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մլրդ</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դրամ</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0AFD95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64</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530E706"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193</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01B888E"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334.0</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B526BFB"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22</w:t>
            </w:r>
            <w:r>
              <w:rPr>
                <w:rFonts w:eastAsia="Calibri" w:cs="Arial"/>
                <w:b w:val="0"/>
                <w:color w:val="000000"/>
                <w:sz w:val="16"/>
                <w:szCs w:val="16"/>
                <w:lang w:val="en-US" w:eastAsia="en-US"/>
              </w:rPr>
              <w:t>7</w:t>
            </w:r>
            <w:r w:rsidRPr="00A83C94">
              <w:rPr>
                <w:rFonts w:eastAsia="Calibri" w:cs="Arial"/>
                <w:b w:val="0"/>
                <w:color w:val="000000"/>
                <w:sz w:val="16"/>
                <w:szCs w:val="16"/>
                <w:lang w:val="en-US" w:eastAsia="en-US"/>
              </w:rPr>
              <w:t>.</w:t>
            </w:r>
            <w:r>
              <w:rPr>
                <w:rFonts w:eastAsia="Calibri" w:cs="Arial"/>
                <w:b w:val="0"/>
                <w:color w:val="000000"/>
                <w:sz w:val="16"/>
                <w:szCs w:val="16"/>
                <w:lang w:val="en-US" w:eastAsia="en-US"/>
              </w:rPr>
              <w:t>7</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74053F17"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329.1</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8525D6E"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223.8</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AD6F30A" w14:textId="77777777" w:rsidR="00027FBF" w:rsidRPr="005D3017"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Pr>
                <w:rFonts w:eastAsia="Calibri" w:cs="Arial"/>
                <w:b w:val="0"/>
                <w:color w:val="000000"/>
                <w:sz w:val="16"/>
                <w:szCs w:val="16"/>
                <w:lang w:val="hy-AM" w:eastAsia="en-US"/>
              </w:rPr>
              <w:t>2</w:t>
            </w:r>
            <w:r>
              <w:rPr>
                <w:rFonts w:eastAsia="Calibri" w:cs="Arial"/>
                <w:b w:val="0"/>
                <w:color w:val="000000"/>
                <w:sz w:val="16"/>
                <w:szCs w:val="16"/>
                <w:lang w:val="en-US" w:eastAsia="en-US"/>
              </w:rPr>
              <w:t>36</w:t>
            </w:r>
            <w:r>
              <w:rPr>
                <w:rFonts w:eastAsia="Calibri" w:cs="Arial"/>
                <w:b w:val="0"/>
                <w:color w:val="000000"/>
                <w:sz w:val="16"/>
                <w:szCs w:val="16"/>
                <w:lang w:val="hy-AM" w:eastAsia="en-US"/>
              </w:rPr>
              <w:t>.</w:t>
            </w:r>
            <w:r>
              <w:rPr>
                <w:rFonts w:eastAsia="Calibri" w:cs="Arial"/>
                <w:b w:val="0"/>
                <w:color w:val="000000"/>
                <w:sz w:val="16"/>
                <w:szCs w:val="16"/>
                <w:lang w:val="en-US" w:eastAsia="en-US"/>
              </w:rPr>
              <w:t>3</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0336BBAD" w14:textId="77777777" w:rsidR="00027FBF" w:rsidRPr="001A1206"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Pr>
                <w:rFonts w:eastAsia="Calibri" w:cs="Arial"/>
                <w:b w:val="0"/>
                <w:color w:val="000000"/>
                <w:sz w:val="16"/>
                <w:szCs w:val="16"/>
                <w:lang w:val="hy-AM" w:eastAsia="en-US"/>
              </w:rPr>
              <w:t>3</w:t>
            </w:r>
            <w:r>
              <w:rPr>
                <w:rFonts w:eastAsia="Calibri" w:cs="Arial"/>
                <w:b w:val="0"/>
                <w:color w:val="000000"/>
                <w:sz w:val="16"/>
                <w:szCs w:val="16"/>
                <w:lang w:val="en-US" w:eastAsia="en-US"/>
              </w:rPr>
              <w:t>41</w:t>
            </w:r>
            <w:r>
              <w:rPr>
                <w:rFonts w:eastAsia="Calibri" w:cs="Arial"/>
                <w:b w:val="0"/>
                <w:color w:val="000000"/>
                <w:sz w:val="16"/>
                <w:szCs w:val="16"/>
                <w:lang w:val="hy-AM" w:eastAsia="en-US"/>
              </w:rPr>
              <w:t>.</w:t>
            </w:r>
            <w:r>
              <w:rPr>
                <w:rFonts w:eastAsia="Calibri" w:cs="Arial"/>
                <w:b w:val="0"/>
                <w:color w:val="000000"/>
                <w:sz w:val="16"/>
                <w:szCs w:val="16"/>
                <w:lang w:val="en-US" w:eastAsia="en-US"/>
              </w:rPr>
              <w:t>9</w:t>
            </w:r>
          </w:p>
        </w:tc>
      </w:tr>
      <w:tr w:rsidR="00027FBF" w:rsidRPr="00A83C94" w14:paraId="50216E73" w14:textId="77777777" w:rsidTr="00027FBF">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25510731" w14:textId="77777777" w:rsidR="00027FBF" w:rsidRPr="00A83C94" w:rsidRDefault="00027FBF" w:rsidP="00027FBF">
            <w:pPr>
              <w:spacing w:before="0" w:after="160" w:line="276" w:lineRule="auto"/>
              <w:ind w:firstLine="0"/>
              <w:contextualSpacing w:val="0"/>
              <w:jc w:val="left"/>
              <w:rPr>
                <w:rFonts w:eastAsia="Calibri" w:cs="Arial"/>
                <w:b w:val="0"/>
                <w:color w:val="000000"/>
                <w:sz w:val="16"/>
                <w:szCs w:val="16"/>
                <w:lang w:eastAsia="en-US"/>
              </w:rPr>
            </w:pPr>
            <w:r w:rsidRPr="00A83C94">
              <w:rPr>
                <w:rFonts w:eastAsia="Calibri" w:cs="Arial"/>
                <w:b w:val="0"/>
                <w:color w:val="000000"/>
                <w:sz w:val="16"/>
                <w:szCs w:val="16"/>
                <w:lang w:val="en-US" w:eastAsia="en-US"/>
              </w:rPr>
              <w:t>Պետական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բյուջեի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ընթացիկ</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առաջնային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ծախսերի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աճի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տեմպ</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308DB69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eastAsia="en-US"/>
              </w:rPr>
            </w:pPr>
            <w:r w:rsidRPr="00A83C94">
              <w:rPr>
                <w:rFonts w:eastAsia="Calibri" w:cs="Arial"/>
                <w:b w:val="0"/>
                <w:color w:val="000000"/>
                <w:sz w:val="16"/>
                <w:szCs w:val="16"/>
                <w:lang w:eastAsia="en-US"/>
              </w:rPr>
              <w:t xml:space="preserve">&lt;/= </w:t>
            </w:r>
            <w:r w:rsidRPr="00A83C94">
              <w:rPr>
                <w:rFonts w:eastAsia="Calibri" w:cs="Arial"/>
                <w:b w:val="0"/>
                <w:color w:val="000000"/>
                <w:sz w:val="16"/>
                <w:szCs w:val="16"/>
                <w:lang w:val="en-US" w:eastAsia="en-US"/>
              </w:rPr>
              <w:t>նախորդ</w:t>
            </w:r>
            <w:r w:rsidRPr="00A83C94">
              <w:rPr>
                <w:rFonts w:eastAsia="Calibri" w:cs="Arial"/>
                <w:b w:val="0"/>
                <w:color w:val="000000"/>
                <w:sz w:val="16"/>
                <w:szCs w:val="16"/>
                <w:lang w:eastAsia="en-US"/>
              </w:rPr>
              <w:t xml:space="preserve"> 7 </w:t>
            </w:r>
            <w:r w:rsidRPr="00A83C94">
              <w:rPr>
                <w:rFonts w:eastAsia="Calibri" w:cs="Arial"/>
                <w:b w:val="0"/>
                <w:color w:val="000000"/>
                <w:sz w:val="16"/>
                <w:szCs w:val="16"/>
                <w:lang w:val="en-US" w:eastAsia="en-US"/>
              </w:rPr>
              <w:t>տարիների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անվանական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ՀՆԱ</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աճի</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միջին</w:t>
            </w:r>
            <w:r w:rsidRPr="00A83C94">
              <w:rPr>
                <w:rFonts w:eastAsia="Calibri" w:cs="Arial"/>
                <w:b w:val="0"/>
                <w:color w:val="000000"/>
                <w:sz w:val="16"/>
                <w:szCs w:val="16"/>
                <w:lang w:eastAsia="en-US"/>
              </w:rPr>
              <w:t xml:space="preserve"> </w:t>
            </w:r>
            <w:r w:rsidRPr="00A83C94">
              <w:rPr>
                <w:rFonts w:eastAsia="Calibri" w:cs="Arial"/>
                <w:b w:val="0"/>
                <w:color w:val="000000"/>
                <w:sz w:val="16"/>
                <w:szCs w:val="16"/>
                <w:lang w:val="en-US" w:eastAsia="en-US"/>
              </w:rPr>
              <w:t>տեմպ</w:t>
            </w:r>
            <w:r w:rsidRPr="00A83C94">
              <w:rPr>
                <w:rFonts w:eastAsia="Calibri" w:cs="Arial"/>
                <w:b w:val="0"/>
                <w:color w:val="000000"/>
                <w:sz w:val="16"/>
                <w:szCs w:val="16"/>
                <w:lang w:eastAsia="en-US"/>
              </w:rPr>
              <w:t>, %</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47A1DBBA"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6.1</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27773C7F"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5.9</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2458AA6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5.9</w:t>
            </w:r>
          </w:p>
        </w:tc>
        <w:tc>
          <w:tcPr>
            <w:tcW w:w="851" w:type="dxa"/>
            <w:tcBorders>
              <w:top w:val="single" w:sz="2" w:space="0" w:color="4472C4"/>
              <w:left w:val="single" w:sz="2" w:space="0" w:color="4472C4"/>
              <w:bottom w:val="single" w:sz="2" w:space="0" w:color="4472C4"/>
              <w:right w:val="single" w:sz="2" w:space="0" w:color="4472C4"/>
            </w:tcBorders>
            <w:shd w:val="clear" w:color="000000" w:fill="FFFFFF"/>
            <w:vAlign w:val="center"/>
            <w:hideMark/>
          </w:tcPr>
          <w:p w14:paraId="788D27B2"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14.8</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A38DD69"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6.4</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5292E7D3"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11.6</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68D46BF5"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4.1</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383E7BD5"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4.1</w:t>
            </w:r>
          </w:p>
        </w:tc>
      </w:tr>
      <w:tr w:rsidR="00027FBF" w:rsidRPr="00A83C94" w14:paraId="1F24F232" w14:textId="77777777" w:rsidTr="00027FBF">
        <w:trPr>
          <w:trHeight w:val="954"/>
        </w:trPr>
        <w:tc>
          <w:tcPr>
            <w:tcW w:w="1402" w:type="dxa"/>
            <w:tcBorders>
              <w:top w:val="single" w:sz="2" w:space="0" w:color="4472C4"/>
              <w:bottom w:val="single" w:sz="2" w:space="0" w:color="4472C4"/>
              <w:right w:val="single" w:sz="2" w:space="0" w:color="4472C4"/>
            </w:tcBorders>
            <w:shd w:val="clear" w:color="auto" w:fill="auto"/>
            <w:vAlign w:val="center"/>
            <w:hideMark/>
          </w:tcPr>
          <w:p w14:paraId="2D9703FA" w14:textId="77777777" w:rsidR="00027FBF" w:rsidRPr="00A83C94" w:rsidRDefault="00027FBF" w:rsidP="00027FBF">
            <w:pPr>
              <w:spacing w:before="0" w:after="160" w:line="276" w:lineRule="auto"/>
              <w:ind w:firstLine="0"/>
              <w:contextualSpacing w:val="0"/>
              <w:jc w:val="left"/>
              <w:rPr>
                <w:rFonts w:eastAsia="Calibri" w:cs="Arial"/>
                <w:b w:val="0"/>
                <w:color w:val="000000"/>
                <w:sz w:val="16"/>
                <w:szCs w:val="16"/>
                <w:lang w:val="en-US" w:eastAsia="en-US"/>
              </w:rPr>
            </w:pPr>
            <w:r w:rsidRPr="00A83C94">
              <w:rPr>
                <w:rFonts w:eastAsia="Calibri" w:cs="Arial"/>
                <w:b w:val="0"/>
                <w:color w:val="000000"/>
                <w:sz w:val="16"/>
                <w:szCs w:val="16"/>
                <w:lang w:val="en-US" w:eastAsia="en-US"/>
              </w:rPr>
              <w:t>Պետական բյուջեի ընթացիկ ծախսեր</w:t>
            </w:r>
          </w:p>
        </w:tc>
        <w:tc>
          <w:tcPr>
            <w:tcW w:w="1575"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15804B44"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&lt;/= հարկային եկամուտների և տուրքերի ծավալ, մլրդ դրամ**</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75D42114"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6605F100"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1437.1</w:t>
            </w:r>
          </w:p>
        </w:tc>
        <w:tc>
          <w:tcPr>
            <w:tcW w:w="992" w:type="dxa"/>
            <w:tcBorders>
              <w:top w:val="single" w:sz="2" w:space="0" w:color="4472C4"/>
              <w:left w:val="single" w:sz="2" w:space="0" w:color="4472C4"/>
              <w:bottom w:val="single" w:sz="2" w:space="0" w:color="4472C4"/>
              <w:right w:val="single" w:sz="2" w:space="0" w:color="4472C4"/>
            </w:tcBorders>
            <w:shd w:val="clear" w:color="auto" w:fill="auto"/>
            <w:vAlign w:val="center"/>
            <w:hideMark/>
          </w:tcPr>
          <w:p w14:paraId="0CFB8D35"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1" w:type="dxa"/>
            <w:tcBorders>
              <w:top w:val="single" w:sz="2" w:space="0" w:color="4472C4"/>
              <w:left w:val="single" w:sz="2" w:space="0" w:color="4472C4"/>
              <w:bottom w:val="single" w:sz="2" w:space="0" w:color="4472C4"/>
              <w:right w:val="single" w:sz="2" w:space="0" w:color="4472C4"/>
            </w:tcBorders>
            <w:shd w:val="clear" w:color="auto" w:fill="auto"/>
            <w:noWrap/>
            <w:vAlign w:val="center"/>
            <w:hideMark/>
          </w:tcPr>
          <w:p w14:paraId="2964D590"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1668.5</w:t>
            </w:r>
          </w:p>
        </w:tc>
        <w:tc>
          <w:tcPr>
            <w:tcW w:w="992"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1C61CEB4"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w:t>
            </w:r>
          </w:p>
        </w:tc>
        <w:tc>
          <w:tcPr>
            <w:tcW w:w="850"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6F439D9D"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1762.2</w:t>
            </w:r>
          </w:p>
        </w:tc>
        <w:tc>
          <w:tcPr>
            <w:tcW w:w="787" w:type="dxa"/>
            <w:tcBorders>
              <w:top w:val="single" w:sz="2" w:space="0" w:color="4472C4"/>
              <w:left w:val="single" w:sz="2" w:space="0" w:color="4472C4"/>
              <w:bottom w:val="single" w:sz="2" w:space="0" w:color="4472C4"/>
              <w:right w:val="single" w:sz="2" w:space="0" w:color="4472C4"/>
            </w:tcBorders>
            <w:shd w:val="clear" w:color="000000" w:fill="D9E2F3"/>
            <w:vAlign w:val="center"/>
            <w:hideMark/>
          </w:tcPr>
          <w:p w14:paraId="10028227"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1843.</w:t>
            </w:r>
            <w:r>
              <w:rPr>
                <w:rFonts w:eastAsia="Calibri" w:cs="Arial"/>
                <w:b w:val="0"/>
                <w:color w:val="000000"/>
                <w:sz w:val="16"/>
                <w:szCs w:val="16"/>
                <w:lang w:val="en-US" w:eastAsia="en-US"/>
              </w:rPr>
              <w:t>9</w:t>
            </w:r>
          </w:p>
        </w:tc>
        <w:tc>
          <w:tcPr>
            <w:tcW w:w="914" w:type="dxa"/>
            <w:tcBorders>
              <w:top w:val="single" w:sz="2" w:space="0" w:color="4472C4"/>
              <w:left w:val="single" w:sz="2" w:space="0" w:color="4472C4"/>
              <w:bottom w:val="single" w:sz="2" w:space="0" w:color="4472C4"/>
              <w:right w:val="single" w:sz="2" w:space="0" w:color="4472C4"/>
            </w:tcBorders>
            <w:shd w:val="clear" w:color="000000" w:fill="D9E2F3"/>
            <w:noWrap/>
            <w:vAlign w:val="center"/>
            <w:hideMark/>
          </w:tcPr>
          <w:p w14:paraId="4B47DE38" w14:textId="77777777" w:rsidR="00027FBF" w:rsidRPr="00A83C94" w:rsidRDefault="00027FBF" w:rsidP="00027FBF">
            <w:pPr>
              <w:spacing w:before="0" w:after="160" w:line="276" w:lineRule="auto"/>
              <w:ind w:firstLine="0"/>
              <w:contextualSpacing w:val="0"/>
              <w:jc w:val="center"/>
              <w:rPr>
                <w:rFonts w:eastAsia="Calibri" w:cs="Arial"/>
                <w:b w:val="0"/>
                <w:color w:val="000000"/>
                <w:sz w:val="16"/>
                <w:szCs w:val="16"/>
                <w:lang w:val="en-US" w:eastAsia="en-US"/>
              </w:rPr>
            </w:pPr>
            <w:r w:rsidRPr="00A83C94">
              <w:rPr>
                <w:rFonts w:eastAsia="Calibri" w:cs="Arial"/>
                <w:b w:val="0"/>
                <w:color w:val="000000"/>
                <w:sz w:val="16"/>
                <w:szCs w:val="16"/>
                <w:lang w:val="en-US" w:eastAsia="en-US"/>
              </w:rPr>
              <w:t>1842.</w:t>
            </w:r>
            <w:r>
              <w:rPr>
                <w:rFonts w:eastAsia="Calibri" w:cs="Arial"/>
                <w:b w:val="0"/>
                <w:color w:val="000000"/>
                <w:sz w:val="16"/>
                <w:szCs w:val="16"/>
                <w:lang w:val="en-US" w:eastAsia="en-US"/>
              </w:rPr>
              <w:t>2</w:t>
            </w:r>
          </w:p>
        </w:tc>
      </w:tr>
      <w:tr w:rsidR="00027FBF" w:rsidRPr="00A83C94" w14:paraId="186C9D77" w14:textId="77777777" w:rsidTr="00027FBF">
        <w:trPr>
          <w:trHeight w:val="445"/>
        </w:trPr>
        <w:tc>
          <w:tcPr>
            <w:tcW w:w="2977" w:type="dxa"/>
            <w:gridSpan w:val="2"/>
            <w:tcBorders>
              <w:top w:val="single" w:sz="2" w:space="0" w:color="4472C4"/>
              <w:bottom w:val="single" w:sz="18" w:space="0" w:color="4472C4"/>
              <w:right w:val="single" w:sz="2" w:space="0" w:color="4472C4"/>
            </w:tcBorders>
            <w:shd w:val="clear" w:color="auto" w:fill="auto"/>
            <w:vAlign w:val="center"/>
            <w:hideMark/>
          </w:tcPr>
          <w:p w14:paraId="676C388F"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Կառավարության պարտք/ՀՆԱ, %</w:t>
            </w:r>
          </w:p>
        </w:tc>
        <w:tc>
          <w:tcPr>
            <w:tcW w:w="1843" w:type="dxa"/>
            <w:gridSpan w:val="2"/>
            <w:tcBorders>
              <w:top w:val="single" w:sz="2" w:space="0" w:color="4472C4"/>
              <w:left w:val="single" w:sz="2" w:space="0" w:color="4472C4"/>
              <w:bottom w:val="single" w:sz="18" w:space="0" w:color="4472C4"/>
              <w:right w:val="single" w:sz="2" w:space="0" w:color="4472C4"/>
            </w:tcBorders>
            <w:shd w:val="clear" w:color="auto" w:fill="auto"/>
            <w:vAlign w:val="center"/>
            <w:hideMark/>
          </w:tcPr>
          <w:p w14:paraId="3DC2C255"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50.1</w:t>
            </w:r>
          </w:p>
        </w:tc>
        <w:tc>
          <w:tcPr>
            <w:tcW w:w="1843" w:type="dxa"/>
            <w:gridSpan w:val="2"/>
            <w:tcBorders>
              <w:top w:val="single" w:sz="2" w:space="0" w:color="4472C4"/>
              <w:left w:val="single" w:sz="2" w:space="0" w:color="4472C4"/>
              <w:bottom w:val="single" w:sz="18" w:space="0" w:color="4472C4"/>
              <w:right w:val="single" w:sz="2" w:space="0" w:color="4472C4"/>
            </w:tcBorders>
            <w:shd w:val="clear" w:color="auto" w:fill="FFFFFF"/>
            <w:noWrap/>
            <w:vAlign w:val="center"/>
            <w:hideMark/>
          </w:tcPr>
          <w:p w14:paraId="73A5FE6F"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63.5</w:t>
            </w:r>
          </w:p>
        </w:tc>
        <w:tc>
          <w:tcPr>
            <w:tcW w:w="1842"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421ED412"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60.8</w:t>
            </w:r>
          </w:p>
        </w:tc>
        <w:tc>
          <w:tcPr>
            <w:tcW w:w="1701" w:type="dxa"/>
            <w:gridSpan w:val="2"/>
            <w:tcBorders>
              <w:top w:val="single" w:sz="2" w:space="0" w:color="4472C4"/>
              <w:left w:val="single" w:sz="2" w:space="0" w:color="4472C4"/>
              <w:bottom w:val="single" w:sz="18" w:space="0" w:color="4472C4"/>
              <w:right w:val="single" w:sz="2" w:space="0" w:color="4472C4"/>
            </w:tcBorders>
            <w:shd w:val="clear" w:color="auto" w:fill="D9E2F3"/>
            <w:noWrap/>
            <w:vAlign w:val="center"/>
            <w:hideMark/>
          </w:tcPr>
          <w:p w14:paraId="33BA982C" w14:textId="77777777" w:rsidR="00027FBF" w:rsidRPr="00A83C94" w:rsidRDefault="00027FBF" w:rsidP="00027FBF">
            <w:pPr>
              <w:spacing w:before="0" w:after="160" w:line="276" w:lineRule="auto"/>
              <w:ind w:firstLine="0"/>
              <w:contextualSpacing w:val="0"/>
              <w:jc w:val="center"/>
              <w:rPr>
                <w:rFonts w:eastAsia="Calibri" w:cs="Arial"/>
                <w:b w:val="0"/>
                <w:color w:val="000000"/>
                <w:sz w:val="20"/>
                <w:szCs w:val="20"/>
                <w:lang w:val="en-US" w:eastAsia="en-US"/>
              </w:rPr>
            </w:pPr>
            <w:r w:rsidRPr="00A83C94">
              <w:rPr>
                <w:rFonts w:eastAsia="Calibri" w:cs="Arial"/>
                <w:b w:val="0"/>
                <w:color w:val="000000"/>
                <w:sz w:val="20"/>
                <w:szCs w:val="20"/>
                <w:lang w:val="en-US" w:eastAsia="en-US"/>
              </w:rPr>
              <w:t>60</w:t>
            </w:r>
            <w:r w:rsidRPr="00A83C94">
              <w:rPr>
                <w:rFonts w:ascii="Cambria Math" w:eastAsia="Calibri" w:hAnsi="Cambria Math" w:cs="Cambria Math"/>
                <w:b w:val="0"/>
                <w:color w:val="000000"/>
                <w:sz w:val="20"/>
                <w:szCs w:val="20"/>
                <w:lang w:val="en-US" w:eastAsia="en-US"/>
              </w:rPr>
              <w:t>․</w:t>
            </w:r>
            <w:r>
              <w:rPr>
                <w:rFonts w:eastAsia="Calibri" w:cs="Arial"/>
                <w:b w:val="0"/>
                <w:color w:val="000000"/>
                <w:sz w:val="20"/>
                <w:szCs w:val="20"/>
                <w:lang w:val="en-US" w:eastAsia="en-US"/>
              </w:rPr>
              <w:t>2</w:t>
            </w:r>
          </w:p>
        </w:tc>
      </w:tr>
    </w:tbl>
    <w:p w14:paraId="19E18AAA" w14:textId="77777777" w:rsidR="00027FBF" w:rsidRPr="00A83C94" w:rsidRDefault="00027FBF" w:rsidP="00027FBF">
      <w:pPr>
        <w:spacing w:before="0" w:line="240" w:lineRule="auto"/>
        <w:ind w:left="284" w:firstLine="0"/>
        <w:contextualSpacing w:val="0"/>
        <w:jc w:val="left"/>
        <w:rPr>
          <w:rFonts w:eastAsia="Calibri"/>
          <w:i/>
          <w:szCs w:val="22"/>
          <w:lang w:val="hy-AM" w:eastAsia="en-US"/>
        </w:rPr>
      </w:pPr>
      <w:r w:rsidRPr="00A83C94">
        <w:rPr>
          <w:rFonts w:eastAsia="Calibri"/>
          <w:b w:val="0"/>
          <w:i/>
          <w:szCs w:val="22"/>
          <w:lang w:val="hy-AM" w:eastAsia="en-US"/>
        </w:rPr>
        <w:t>*Հաշվարկված է որպես երկու տարի առաջ (t-2) արձանագրված ցուցանիշի նկատմամբ համապատասխան տարվա (t) հավելաճի տեմպի կես</w:t>
      </w:r>
    </w:p>
    <w:p w14:paraId="7C916A94" w14:textId="77777777" w:rsidR="00027FBF" w:rsidRPr="00A83C94" w:rsidRDefault="00027FBF" w:rsidP="00027FBF">
      <w:pPr>
        <w:spacing w:before="0" w:line="240" w:lineRule="auto"/>
        <w:ind w:left="284" w:firstLine="0"/>
        <w:contextualSpacing w:val="0"/>
        <w:jc w:val="left"/>
        <w:rPr>
          <w:rFonts w:eastAsia="Calibri"/>
          <w:szCs w:val="22"/>
          <w:lang w:val="hy-AM" w:eastAsia="en-US"/>
        </w:rPr>
      </w:pPr>
      <w:r w:rsidRPr="00A83C94">
        <w:rPr>
          <w:rFonts w:eastAsia="Calibri"/>
          <w:b w:val="0"/>
          <w:i/>
          <w:szCs w:val="22"/>
          <w:lang w:val="hy-AM" w:eastAsia="en-US"/>
        </w:rPr>
        <w:t>**Պետական պարտքի առկա չափի դեպքում կիրառելի չէ</w:t>
      </w:r>
    </w:p>
    <w:p w14:paraId="71B2B343" w14:textId="77777777" w:rsidR="00027FBF" w:rsidRPr="00A83C94" w:rsidRDefault="00027FBF" w:rsidP="00027FBF">
      <w:pPr>
        <w:spacing w:before="0" w:after="120"/>
        <w:ind w:firstLine="720"/>
        <w:contextualSpacing w:val="0"/>
        <w:rPr>
          <w:rFonts w:eastAsia="Calibri"/>
          <w:i/>
          <w:iCs/>
          <w:szCs w:val="22"/>
          <w:lang w:val="hy-AM" w:eastAsia="en-US"/>
        </w:rPr>
      </w:pPr>
    </w:p>
    <w:p w14:paraId="6F940926" w14:textId="77777777" w:rsidR="00027FBF" w:rsidRPr="00A83C94" w:rsidRDefault="00027FBF" w:rsidP="00027FBF">
      <w:pPr>
        <w:spacing w:before="0" w:after="120"/>
        <w:ind w:firstLine="720"/>
        <w:contextualSpacing w:val="0"/>
        <w:rPr>
          <w:rFonts w:eastAsia="Calibri"/>
          <w:i/>
          <w:iCs/>
          <w:szCs w:val="22"/>
          <w:lang w:val="hy-AM" w:eastAsia="en-US"/>
        </w:rPr>
      </w:pPr>
    </w:p>
    <w:p w14:paraId="1D2FE1BB" w14:textId="77777777" w:rsidR="00027FBF" w:rsidRPr="00A83C94" w:rsidRDefault="00027FBF" w:rsidP="00027FBF">
      <w:pPr>
        <w:spacing w:before="0" w:after="120"/>
        <w:ind w:firstLine="720"/>
        <w:contextualSpacing w:val="0"/>
        <w:rPr>
          <w:rFonts w:eastAsia="Calibri"/>
          <w:i/>
          <w:iCs/>
          <w:szCs w:val="22"/>
          <w:lang w:val="hy-AM" w:eastAsia="en-US"/>
        </w:rPr>
      </w:pPr>
    </w:p>
    <w:p w14:paraId="50F37E33" w14:textId="77777777" w:rsidR="00027FBF" w:rsidRPr="00A83C94" w:rsidRDefault="00027FBF" w:rsidP="00027FBF">
      <w:pPr>
        <w:spacing w:before="0" w:after="120"/>
        <w:ind w:firstLine="720"/>
        <w:contextualSpacing w:val="0"/>
        <w:rPr>
          <w:rFonts w:eastAsia="Calibri"/>
          <w:i/>
          <w:iCs/>
          <w:szCs w:val="22"/>
          <w:lang w:val="hy-AM" w:eastAsia="en-US"/>
        </w:rPr>
      </w:pPr>
    </w:p>
    <w:p w14:paraId="283D5E5E" w14:textId="77777777" w:rsidR="00027FBF" w:rsidRPr="00A83C94" w:rsidRDefault="00027FBF" w:rsidP="00027FBF">
      <w:pPr>
        <w:spacing w:before="0" w:after="120"/>
        <w:ind w:firstLine="720"/>
        <w:contextualSpacing w:val="0"/>
        <w:rPr>
          <w:rFonts w:eastAsia="Calibri"/>
          <w:i/>
          <w:iCs/>
          <w:szCs w:val="22"/>
          <w:lang w:val="hy-AM" w:eastAsia="en-US"/>
        </w:rPr>
      </w:pPr>
    </w:p>
    <w:p w14:paraId="555A0EF1" w14:textId="77777777" w:rsidR="00027FBF" w:rsidRPr="00A83C94" w:rsidRDefault="00027FBF" w:rsidP="00027FBF">
      <w:pPr>
        <w:spacing w:before="0" w:after="120"/>
        <w:ind w:firstLine="720"/>
        <w:contextualSpacing w:val="0"/>
        <w:rPr>
          <w:rFonts w:eastAsia="Calibri"/>
          <w:i/>
          <w:iCs/>
          <w:szCs w:val="22"/>
          <w:lang w:val="hy-AM" w:eastAsia="en-US"/>
        </w:rPr>
      </w:pPr>
    </w:p>
    <w:p w14:paraId="7AFC28BC" w14:textId="77777777" w:rsidR="00027FBF" w:rsidRPr="00A83C94" w:rsidRDefault="00027FBF" w:rsidP="00027FBF">
      <w:pPr>
        <w:spacing w:before="0" w:after="120"/>
        <w:ind w:firstLine="720"/>
        <w:contextualSpacing w:val="0"/>
        <w:rPr>
          <w:rFonts w:eastAsia="Calibri"/>
          <w:i/>
          <w:iCs/>
          <w:szCs w:val="22"/>
          <w:lang w:val="hy-AM" w:eastAsia="en-US"/>
        </w:rPr>
      </w:pPr>
    </w:p>
    <w:p w14:paraId="36B3B7CC" w14:textId="77777777" w:rsidR="00027FBF" w:rsidRPr="00A83C94" w:rsidRDefault="00027FBF" w:rsidP="00027FBF">
      <w:pPr>
        <w:spacing w:before="0" w:after="120"/>
        <w:ind w:firstLine="720"/>
        <w:contextualSpacing w:val="0"/>
        <w:rPr>
          <w:rFonts w:eastAsia="Calibri"/>
          <w:i/>
          <w:iCs/>
          <w:szCs w:val="22"/>
          <w:lang w:val="hy-AM" w:eastAsia="en-US"/>
        </w:rPr>
      </w:pPr>
    </w:p>
    <w:p w14:paraId="279EDE8F" w14:textId="77777777" w:rsidR="00027FBF" w:rsidRPr="00A83C94" w:rsidRDefault="00027FBF" w:rsidP="00027FBF">
      <w:pPr>
        <w:spacing w:before="0" w:after="120"/>
        <w:ind w:firstLine="720"/>
        <w:contextualSpacing w:val="0"/>
        <w:rPr>
          <w:rFonts w:eastAsia="Calibri"/>
          <w:i/>
          <w:iCs/>
          <w:szCs w:val="22"/>
          <w:lang w:val="hy-AM" w:eastAsia="en-US"/>
        </w:rPr>
      </w:pPr>
    </w:p>
    <w:p w14:paraId="14CCD870" w14:textId="77777777" w:rsidR="00027FBF" w:rsidRPr="00A83C94" w:rsidRDefault="00027FBF" w:rsidP="00027FBF">
      <w:pPr>
        <w:keepNext/>
        <w:keepLines/>
        <w:spacing w:before="0" w:line="276" w:lineRule="auto"/>
        <w:ind w:firstLine="0"/>
        <w:outlineLvl w:val="2"/>
        <w:rPr>
          <w:sz w:val="24"/>
          <w:lang w:val="hy-AM" w:eastAsia="en-US"/>
        </w:rPr>
      </w:pPr>
      <w:bookmarkStart w:id="187" w:name="_Toc45838555"/>
      <w:bookmarkStart w:id="188" w:name="_Toc46154356"/>
      <w:bookmarkStart w:id="189" w:name="_Toc52452096"/>
      <w:bookmarkStart w:id="190" w:name="_Toc57655457"/>
      <w:bookmarkStart w:id="191" w:name="_Toc83972841"/>
      <w:bookmarkStart w:id="192" w:name="_Toc89428296"/>
      <w:r w:rsidRPr="00A83C94">
        <w:rPr>
          <w:sz w:val="24"/>
          <w:lang w:val="hy-AM" w:eastAsia="en-US"/>
        </w:rPr>
        <w:t>2.5. ՊԵՏԱԿԱՆ ԲՅՈՒՋԵԻ ՑՈՒՑԱՆԻՇՆԵՐԻ ԿԱՆԽԱՏԵՍՈՒՄՆԵՐԻ ՀԱՄԵՄԱՏԱԿԱՆ ԱՂՅՈՒՍԱԿՆԵՐ</w:t>
      </w:r>
      <w:bookmarkEnd w:id="187"/>
      <w:bookmarkEnd w:id="188"/>
      <w:bookmarkEnd w:id="189"/>
      <w:bookmarkEnd w:id="190"/>
      <w:bookmarkEnd w:id="191"/>
      <w:bookmarkEnd w:id="192"/>
    </w:p>
    <w:p w14:paraId="1197F4EA" w14:textId="77777777" w:rsidR="00027FBF" w:rsidRPr="00A83C94" w:rsidRDefault="00027FBF" w:rsidP="00027FBF">
      <w:pPr>
        <w:keepNext/>
        <w:keepLines/>
        <w:spacing w:before="0" w:line="276" w:lineRule="auto"/>
        <w:ind w:firstLine="0"/>
        <w:outlineLvl w:val="2"/>
        <w:rPr>
          <w:sz w:val="28"/>
          <w:szCs w:val="28"/>
          <w:lang w:val="hy-AM" w:eastAsia="en-US"/>
        </w:rPr>
      </w:pPr>
    </w:p>
    <w:p w14:paraId="0D9B7FA4" w14:textId="77777777" w:rsidR="00027FBF" w:rsidRPr="00A83C94" w:rsidRDefault="00027FBF" w:rsidP="00027FBF">
      <w:pPr>
        <w:spacing w:before="0" w:line="276"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 xml:space="preserve">Աղյուսակ 2.5.1. </w:t>
      </w:r>
      <w:r w:rsidRPr="00A83C94">
        <w:rPr>
          <w:rFonts w:eastAsia="Calibri" w:cs="Sylfaen"/>
          <w:b w:val="0"/>
          <w:bCs/>
          <w:i/>
          <w:iCs/>
          <w:color w:val="000000"/>
          <w:sz w:val="20"/>
          <w:szCs w:val="20"/>
          <w:lang w:val="hy-AM" w:eastAsia="en-US"/>
        </w:rPr>
        <w:t>Պետական բյուջեի եկամուտների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6D5CEC14"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217C66C2"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3C7EF273"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6D27F4AD"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30E274F4"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7AAD81E3"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3EC8B499"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20D9BCF8"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5C3339C1"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43B7BC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1,560.7</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90852E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F60C73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67E49F4"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4C51D0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8F7B8B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276F5AA"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25.2%</w:t>
            </w:r>
          </w:p>
        </w:tc>
        <w:tc>
          <w:tcPr>
            <w:tcW w:w="940" w:type="dxa"/>
            <w:tcBorders>
              <w:top w:val="nil"/>
              <w:left w:val="nil"/>
              <w:bottom w:val="single" w:sz="8" w:space="0" w:color="2F75B5"/>
              <w:right w:val="single" w:sz="8" w:space="0" w:color="2F75B5"/>
            </w:tcBorders>
            <w:shd w:val="clear" w:color="auto" w:fill="auto"/>
            <w:noWrap/>
            <w:vAlign w:val="center"/>
            <w:hideMark/>
          </w:tcPr>
          <w:p w14:paraId="48BB4DC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4A3AF0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267610C"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55E7E82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3CC1600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618DDA2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1,710.6</w:t>
            </w:r>
          </w:p>
        </w:tc>
        <w:tc>
          <w:tcPr>
            <w:tcW w:w="940" w:type="dxa"/>
            <w:tcBorders>
              <w:top w:val="nil"/>
              <w:left w:val="nil"/>
              <w:bottom w:val="single" w:sz="8" w:space="0" w:color="2F75B5"/>
              <w:right w:val="single" w:sz="8" w:space="0" w:color="2F75B5"/>
            </w:tcBorders>
            <w:shd w:val="clear" w:color="auto" w:fill="auto"/>
            <w:noWrap/>
            <w:vAlign w:val="center"/>
            <w:hideMark/>
          </w:tcPr>
          <w:p w14:paraId="19F74D2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1,858.8</w:t>
            </w:r>
          </w:p>
        </w:tc>
        <w:tc>
          <w:tcPr>
            <w:tcW w:w="940" w:type="dxa"/>
            <w:tcBorders>
              <w:top w:val="nil"/>
              <w:left w:val="nil"/>
              <w:bottom w:val="single" w:sz="8" w:space="0" w:color="2F75B5"/>
              <w:right w:val="single" w:sz="8" w:space="0" w:color="2F75B5"/>
            </w:tcBorders>
            <w:shd w:val="clear" w:color="auto" w:fill="auto"/>
            <w:noWrap/>
            <w:vAlign w:val="center"/>
            <w:hideMark/>
          </w:tcPr>
          <w:p w14:paraId="3F56DCF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2,051.1</w:t>
            </w:r>
          </w:p>
        </w:tc>
      </w:tr>
      <w:tr w:rsidR="00027FBF" w:rsidRPr="00A83C94" w14:paraId="0F0A4E29"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302CC1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D5D9509"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A2B479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24.5%</w:t>
            </w:r>
          </w:p>
        </w:tc>
        <w:tc>
          <w:tcPr>
            <w:tcW w:w="940" w:type="dxa"/>
            <w:tcBorders>
              <w:top w:val="nil"/>
              <w:left w:val="nil"/>
              <w:bottom w:val="single" w:sz="8" w:space="0" w:color="2F75B5"/>
              <w:right w:val="single" w:sz="8" w:space="0" w:color="2F75B5"/>
            </w:tcBorders>
            <w:shd w:val="clear" w:color="auto" w:fill="auto"/>
            <w:noWrap/>
            <w:vAlign w:val="center"/>
            <w:hideMark/>
          </w:tcPr>
          <w:p w14:paraId="69667D7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24.4%</w:t>
            </w:r>
          </w:p>
        </w:tc>
        <w:tc>
          <w:tcPr>
            <w:tcW w:w="940" w:type="dxa"/>
            <w:tcBorders>
              <w:top w:val="nil"/>
              <w:left w:val="nil"/>
              <w:bottom w:val="single" w:sz="8" w:space="0" w:color="2F75B5"/>
              <w:right w:val="single" w:sz="8" w:space="0" w:color="2F75B5"/>
            </w:tcBorders>
            <w:shd w:val="clear" w:color="auto" w:fill="auto"/>
            <w:noWrap/>
            <w:vAlign w:val="center"/>
            <w:hideMark/>
          </w:tcPr>
          <w:p w14:paraId="1BE72F3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24.7%</w:t>
            </w:r>
          </w:p>
        </w:tc>
      </w:tr>
      <w:tr w:rsidR="00027FBF" w:rsidRPr="00A83C94" w14:paraId="64184FE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96528D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8DC0DC1"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0D087C8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1,695.0</w:t>
            </w:r>
          </w:p>
        </w:tc>
        <w:tc>
          <w:tcPr>
            <w:tcW w:w="940" w:type="dxa"/>
            <w:tcBorders>
              <w:top w:val="nil"/>
              <w:left w:val="nil"/>
              <w:bottom w:val="single" w:sz="8" w:space="0" w:color="2F75B5"/>
              <w:right w:val="single" w:sz="8" w:space="0" w:color="2F75B5"/>
            </w:tcBorders>
            <w:shd w:val="clear" w:color="auto" w:fill="auto"/>
            <w:noWrap/>
            <w:vAlign w:val="center"/>
            <w:hideMark/>
          </w:tcPr>
          <w:p w14:paraId="199F2C7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A7921F4"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AA7A29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3BD341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C844FE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AF9A92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23.9%</w:t>
            </w:r>
          </w:p>
        </w:tc>
        <w:tc>
          <w:tcPr>
            <w:tcW w:w="940" w:type="dxa"/>
            <w:tcBorders>
              <w:top w:val="nil"/>
              <w:left w:val="nil"/>
              <w:bottom w:val="single" w:sz="8" w:space="0" w:color="2F75B5"/>
              <w:right w:val="single" w:sz="8" w:space="0" w:color="2F75B5"/>
            </w:tcBorders>
            <w:shd w:val="clear" w:color="auto" w:fill="auto"/>
            <w:noWrap/>
            <w:vAlign w:val="center"/>
            <w:hideMark/>
          </w:tcPr>
          <w:p w14:paraId="36DA45E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EB7C258"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7AEF1CC0"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C15D8DF"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5D2D9E3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3A1B1DC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1,488.7</w:t>
            </w:r>
          </w:p>
        </w:tc>
        <w:tc>
          <w:tcPr>
            <w:tcW w:w="940" w:type="dxa"/>
            <w:tcBorders>
              <w:top w:val="nil"/>
              <w:left w:val="nil"/>
              <w:bottom w:val="single" w:sz="8" w:space="0" w:color="2F75B5"/>
              <w:right w:val="single" w:sz="8" w:space="0" w:color="2F75B5"/>
            </w:tcBorders>
            <w:shd w:val="clear" w:color="auto" w:fill="auto"/>
            <w:noWrap/>
            <w:vAlign w:val="center"/>
            <w:hideMark/>
          </w:tcPr>
          <w:p w14:paraId="3D5198C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1,669.9</w:t>
            </w:r>
          </w:p>
        </w:tc>
        <w:tc>
          <w:tcPr>
            <w:tcW w:w="940" w:type="dxa"/>
            <w:tcBorders>
              <w:top w:val="nil"/>
              <w:left w:val="nil"/>
              <w:bottom w:val="single" w:sz="8" w:space="0" w:color="2F75B5"/>
              <w:right w:val="single" w:sz="8" w:space="0" w:color="2F75B5"/>
            </w:tcBorders>
            <w:shd w:val="clear" w:color="auto" w:fill="auto"/>
            <w:noWrap/>
            <w:vAlign w:val="center"/>
            <w:hideMark/>
          </w:tcPr>
          <w:p w14:paraId="7E5E18E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1,885.9</w:t>
            </w:r>
          </w:p>
        </w:tc>
      </w:tr>
      <w:tr w:rsidR="00027FBF" w:rsidRPr="00A83C94" w14:paraId="6C7CD7E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22EFE3E"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FDC5A2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37C5F6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22.9%</w:t>
            </w: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564608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c>
          <w:tcPr>
            <w:tcW w:w="940" w:type="dxa"/>
            <w:tcBorders>
              <w:top w:val="nil"/>
              <w:left w:val="nil"/>
              <w:bottom w:val="single" w:sz="8" w:space="0" w:color="2F75B5"/>
              <w:right w:val="single" w:sz="8" w:space="0" w:color="2F75B5"/>
            </w:tcBorders>
            <w:shd w:val="clear" w:color="auto" w:fill="auto"/>
            <w:noWrap/>
            <w:vAlign w:val="center"/>
            <w:hideMark/>
          </w:tcPr>
          <w:p w14:paraId="66D74B9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24.0%</w:t>
            </w:r>
          </w:p>
        </w:tc>
      </w:tr>
      <w:tr w:rsidR="00027FBF" w:rsidRPr="00A83C94" w14:paraId="4327C76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C74455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393DA1D"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A23726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1,477.7</w:t>
            </w:r>
          </w:p>
        </w:tc>
        <w:tc>
          <w:tcPr>
            <w:tcW w:w="940" w:type="dxa"/>
            <w:tcBorders>
              <w:top w:val="nil"/>
              <w:left w:val="nil"/>
              <w:bottom w:val="single" w:sz="8" w:space="0" w:color="2F75B5"/>
              <w:right w:val="single" w:sz="8" w:space="0" w:color="2F75B5"/>
            </w:tcBorders>
            <w:shd w:val="clear" w:color="auto" w:fill="auto"/>
            <w:noWrap/>
            <w:vAlign w:val="center"/>
            <w:hideMark/>
          </w:tcPr>
          <w:p w14:paraId="7CE8105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1,509.5</w:t>
            </w:r>
          </w:p>
        </w:tc>
        <w:tc>
          <w:tcPr>
            <w:tcW w:w="940" w:type="dxa"/>
            <w:tcBorders>
              <w:top w:val="nil"/>
              <w:left w:val="nil"/>
              <w:bottom w:val="single" w:sz="8" w:space="0" w:color="2F75B5"/>
              <w:right w:val="single" w:sz="8" w:space="0" w:color="2F75B5"/>
            </w:tcBorders>
            <w:shd w:val="clear" w:color="auto" w:fill="auto"/>
            <w:noWrap/>
            <w:vAlign w:val="center"/>
            <w:hideMark/>
          </w:tcPr>
          <w:p w14:paraId="6DC895C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0713F77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819332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9CC2142"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7249C6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24.3%</w:t>
            </w:r>
          </w:p>
        </w:tc>
        <w:tc>
          <w:tcPr>
            <w:tcW w:w="940" w:type="dxa"/>
            <w:tcBorders>
              <w:top w:val="nil"/>
              <w:left w:val="nil"/>
              <w:bottom w:val="single" w:sz="8" w:space="0" w:color="2F75B5"/>
              <w:right w:val="single" w:sz="8" w:space="0" w:color="2F75B5"/>
            </w:tcBorders>
            <w:shd w:val="clear" w:color="auto" w:fill="auto"/>
            <w:noWrap/>
            <w:vAlign w:val="center"/>
            <w:hideMark/>
          </w:tcPr>
          <w:p w14:paraId="7290AA1A"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23.6%</w:t>
            </w:r>
          </w:p>
        </w:tc>
        <w:tc>
          <w:tcPr>
            <w:tcW w:w="940" w:type="dxa"/>
            <w:tcBorders>
              <w:top w:val="nil"/>
              <w:left w:val="nil"/>
              <w:bottom w:val="single" w:sz="8" w:space="0" w:color="2F75B5"/>
              <w:right w:val="single" w:sz="8" w:space="0" w:color="2F75B5"/>
            </w:tcBorders>
            <w:shd w:val="clear" w:color="auto" w:fill="auto"/>
            <w:noWrap/>
            <w:vAlign w:val="center"/>
            <w:hideMark/>
          </w:tcPr>
          <w:p w14:paraId="32DA985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13331C0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4083A6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6AB4B25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312BA82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2DE982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1,617.3</w:t>
            </w:r>
          </w:p>
        </w:tc>
        <w:tc>
          <w:tcPr>
            <w:tcW w:w="940" w:type="dxa"/>
            <w:tcBorders>
              <w:top w:val="nil"/>
              <w:left w:val="nil"/>
              <w:bottom w:val="single" w:sz="8" w:space="0" w:color="2F75B5"/>
              <w:right w:val="single" w:sz="8" w:space="0" w:color="2F75B5"/>
            </w:tcBorders>
            <w:shd w:val="clear" w:color="auto" w:fill="auto"/>
            <w:noWrap/>
            <w:vAlign w:val="center"/>
            <w:hideMark/>
          </w:tcPr>
          <w:p w14:paraId="607F6AD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1,819.2</w:t>
            </w:r>
          </w:p>
        </w:tc>
      </w:tr>
      <w:tr w:rsidR="00027FBF" w:rsidRPr="00A83C94" w14:paraId="73E5335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AC691B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ED18954"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78E1F8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25D3B5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23.5%</w:t>
            </w:r>
          </w:p>
        </w:tc>
        <w:tc>
          <w:tcPr>
            <w:tcW w:w="940" w:type="dxa"/>
            <w:tcBorders>
              <w:top w:val="nil"/>
              <w:left w:val="nil"/>
              <w:bottom w:val="single" w:sz="8" w:space="0" w:color="2F75B5"/>
              <w:right w:val="single" w:sz="8" w:space="0" w:color="2F75B5"/>
            </w:tcBorders>
            <w:shd w:val="clear" w:color="auto" w:fill="auto"/>
            <w:noWrap/>
            <w:vAlign w:val="center"/>
            <w:hideMark/>
          </w:tcPr>
          <w:p w14:paraId="5DBB422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24.0%</w:t>
            </w:r>
          </w:p>
        </w:tc>
      </w:tr>
      <w:tr w:rsidR="00027FBF" w:rsidRPr="00A83C94" w14:paraId="7D8BFBC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AF0AA9D"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DCE207A"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7C0C13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8C0124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1,656.9</w:t>
            </w:r>
          </w:p>
        </w:tc>
        <w:tc>
          <w:tcPr>
            <w:tcW w:w="940" w:type="dxa"/>
            <w:tcBorders>
              <w:top w:val="nil"/>
              <w:left w:val="nil"/>
              <w:bottom w:val="single" w:sz="8" w:space="0" w:color="2F75B5"/>
              <w:right w:val="single" w:sz="8" w:space="0" w:color="2F75B5"/>
            </w:tcBorders>
            <w:shd w:val="clear" w:color="auto" w:fill="auto"/>
            <w:noWrap/>
            <w:vAlign w:val="center"/>
            <w:hideMark/>
          </w:tcPr>
          <w:p w14:paraId="6B88E37C"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A83C94">
              <w:rPr>
                <w:rFonts w:cs="Calibri"/>
                <w:b w:val="0"/>
                <w:color w:val="000000"/>
                <w:sz w:val="20"/>
                <w:szCs w:val="20"/>
                <w:lang w:val="en-US" w:eastAsia="en-US"/>
              </w:rPr>
              <w:t>1,94</w:t>
            </w:r>
            <w:r>
              <w:rPr>
                <w:rFonts w:cs="Calibri"/>
                <w:b w:val="0"/>
                <w:color w:val="000000"/>
                <w:sz w:val="20"/>
                <w:szCs w:val="20"/>
                <w:lang w:val="hy-AM" w:eastAsia="en-US"/>
              </w:rPr>
              <w:t>7</w:t>
            </w:r>
            <w:r w:rsidRPr="00A83C94">
              <w:rPr>
                <w:rFonts w:cs="Calibri"/>
                <w:b w:val="0"/>
                <w:color w:val="000000"/>
                <w:sz w:val="20"/>
                <w:szCs w:val="20"/>
                <w:lang w:val="en-US" w:eastAsia="en-US"/>
              </w:rPr>
              <w:t>.</w:t>
            </w:r>
            <w:r>
              <w:rPr>
                <w:rFonts w:cs="Calibri"/>
                <w:b w:val="0"/>
                <w:color w:val="000000"/>
                <w:sz w:val="20"/>
                <w:szCs w:val="20"/>
                <w:lang w:val="hy-AM" w:eastAsia="en-US"/>
              </w:rPr>
              <w:t>8</w:t>
            </w:r>
          </w:p>
        </w:tc>
      </w:tr>
      <w:tr w:rsidR="00027FBF" w:rsidRPr="00A83C94" w14:paraId="1078ECE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E466172"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D154B1F"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4EFD61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FF493C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23.6%</w:t>
            </w:r>
          </w:p>
        </w:tc>
        <w:tc>
          <w:tcPr>
            <w:tcW w:w="940" w:type="dxa"/>
            <w:tcBorders>
              <w:top w:val="nil"/>
              <w:left w:val="nil"/>
              <w:bottom w:val="single" w:sz="8" w:space="0" w:color="2F75B5"/>
              <w:right w:val="single" w:sz="8" w:space="0" w:color="2F75B5"/>
            </w:tcBorders>
            <w:shd w:val="clear" w:color="auto" w:fill="auto"/>
            <w:noWrap/>
            <w:vAlign w:val="center"/>
            <w:hideMark/>
          </w:tcPr>
          <w:p w14:paraId="44D73E2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w:t>
            </w:r>
            <w:r>
              <w:rPr>
                <w:rFonts w:cs="Calibri"/>
                <w:b w:val="0"/>
                <w:i/>
                <w:iCs/>
                <w:color w:val="000000"/>
                <w:sz w:val="20"/>
                <w:szCs w:val="20"/>
                <w:lang w:val="hy-AM" w:eastAsia="en-US"/>
              </w:rPr>
              <w:t>8</w:t>
            </w:r>
            <w:r w:rsidRPr="00A83C94">
              <w:rPr>
                <w:rFonts w:cs="Calibri"/>
                <w:b w:val="0"/>
                <w:i/>
                <w:iCs/>
                <w:color w:val="000000"/>
                <w:sz w:val="20"/>
                <w:szCs w:val="20"/>
                <w:lang w:val="en-US" w:eastAsia="en-US"/>
              </w:rPr>
              <w:t>%</w:t>
            </w:r>
          </w:p>
        </w:tc>
      </w:tr>
    </w:tbl>
    <w:p w14:paraId="0A247E36" w14:textId="77777777" w:rsidR="00027FBF" w:rsidRPr="00A83C94" w:rsidRDefault="00027FBF" w:rsidP="00027FBF">
      <w:pPr>
        <w:spacing w:before="0" w:line="276" w:lineRule="auto"/>
        <w:ind w:firstLine="0"/>
        <w:contextualSpacing w:val="0"/>
        <w:rPr>
          <w:rFonts w:eastAsia="Calibri"/>
          <w:bCs/>
          <w:i/>
          <w:iCs/>
          <w:color w:val="000000"/>
          <w:szCs w:val="22"/>
          <w:lang w:val="hy-AM" w:eastAsia="en-US"/>
        </w:rPr>
      </w:pPr>
    </w:p>
    <w:p w14:paraId="350A8482"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2.5.2.</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հարկային եկամուտների կանխատեսումների համեմատական աղյուսակը (մլրդ դրամ)</w:t>
      </w:r>
    </w:p>
    <w:p w14:paraId="6F8A2D1D" w14:textId="77777777" w:rsidR="00027FBF" w:rsidRPr="00A83C94" w:rsidRDefault="00027FBF" w:rsidP="00027FBF">
      <w:pPr>
        <w:spacing w:before="0" w:line="259" w:lineRule="auto"/>
        <w:ind w:firstLine="0"/>
        <w:contextualSpacing w:val="0"/>
        <w:rPr>
          <w:rFonts w:eastAsia="Calibri"/>
          <w:bCs/>
          <w:i/>
          <w:iCs/>
          <w:sz w:val="20"/>
          <w:szCs w:val="20"/>
          <w:lang w:val="hy-AM" w:eastAsia="en-US"/>
        </w:rPr>
      </w:pP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1EEBD8AA"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22F1B317"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2D702F15"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43CAF52C"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5C2C69D5"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2EE4E9D8"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73B04B62"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8E3B96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334BFDA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54FD99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1,385.2</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35A9C5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262BA6F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4DA99DE3"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4D48D4A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E12F3CA"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81F868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2C7852CA"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F0CEB3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D7132F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F1AEAAC"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46A9C730"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7A4B5C4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1,621.2</w:t>
            </w:r>
          </w:p>
        </w:tc>
        <w:tc>
          <w:tcPr>
            <w:tcW w:w="940" w:type="dxa"/>
            <w:tcBorders>
              <w:top w:val="nil"/>
              <w:left w:val="nil"/>
              <w:bottom w:val="single" w:sz="8" w:space="0" w:color="2F75B5"/>
              <w:right w:val="single" w:sz="8" w:space="0" w:color="2F75B5"/>
            </w:tcBorders>
            <w:shd w:val="clear" w:color="auto" w:fill="auto"/>
            <w:noWrap/>
            <w:vAlign w:val="center"/>
            <w:hideMark/>
          </w:tcPr>
          <w:p w14:paraId="381FA91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1,787.5</w:t>
            </w:r>
          </w:p>
        </w:tc>
        <w:tc>
          <w:tcPr>
            <w:tcW w:w="940" w:type="dxa"/>
            <w:tcBorders>
              <w:top w:val="nil"/>
              <w:left w:val="nil"/>
              <w:bottom w:val="single" w:sz="8" w:space="0" w:color="2F75B5"/>
              <w:right w:val="single" w:sz="8" w:space="0" w:color="2F75B5"/>
            </w:tcBorders>
            <w:shd w:val="clear" w:color="auto" w:fill="auto"/>
            <w:noWrap/>
            <w:vAlign w:val="center"/>
            <w:hideMark/>
          </w:tcPr>
          <w:p w14:paraId="31A7CD0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1,988.8</w:t>
            </w:r>
          </w:p>
        </w:tc>
      </w:tr>
      <w:tr w:rsidR="00027FBF" w:rsidRPr="00A83C94" w14:paraId="243DDD3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ABC70F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A4681A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DE8E04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23.2%</w:t>
            </w:r>
          </w:p>
        </w:tc>
        <w:tc>
          <w:tcPr>
            <w:tcW w:w="940" w:type="dxa"/>
            <w:tcBorders>
              <w:top w:val="nil"/>
              <w:left w:val="nil"/>
              <w:bottom w:val="single" w:sz="8" w:space="0" w:color="2F75B5"/>
              <w:right w:val="single" w:sz="8" w:space="0" w:color="2F75B5"/>
            </w:tcBorders>
            <w:shd w:val="clear" w:color="auto" w:fill="auto"/>
            <w:noWrap/>
            <w:vAlign w:val="center"/>
            <w:hideMark/>
          </w:tcPr>
          <w:p w14:paraId="29F0B9E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23.5%</w:t>
            </w:r>
          </w:p>
        </w:tc>
        <w:tc>
          <w:tcPr>
            <w:tcW w:w="940" w:type="dxa"/>
            <w:tcBorders>
              <w:top w:val="nil"/>
              <w:left w:val="nil"/>
              <w:bottom w:val="single" w:sz="8" w:space="0" w:color="2F75B5"/>
              <w:right w:val="single" w:sz="8" w:space="0" w:color="2F75B5"/>
            </w:tcBorders>
            <w:shd w:val="clear" w:color="auto" w:fill="auto"/>
            <w:noWrap/>
            <w:vAlign w:val="center"/>
            <w:hideMark/>
          </w:tcPr>
          <w:p w14:paraId="13183F3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23.9%</w:t>
            </w:r>
          </w:p>
        </w:tc>
      </w:tr>
      <w:tr w:rsidR="00027FBF" w:rsidRPr="00A83C94" w14:paraId="565F09E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45CAF0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2B422F2"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73AD71C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1,602.3</w:t>
            </w:r>
          </w:p>
        </w:tc>
        <w:tc>
          <w:tcPr>
            <w:tcW w:w="940" w:type="dxa"/>
            <w:tcBorders>
              <w:top w:val="nil"/>
              <w:left w:val="nil"/>
              <w:bottom w:val="single" w:sz="8" w:space="0" w:color="2F75B5"/>
              <w:right w:val="single" w:sz="8" w:space="0" w:color="2F75B5"/>
            </w:tcBorders>
            <w:shd w:val="clear" w:color="auto" w:fill="auto"/>
            <w:noWrap/>
            <w:vAlign w:val="center"/>
            <w:hideMark/>
          </w:tcPr>
          <w:p w14:paraId="5FF2032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26EF94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7966F0B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70B408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5B7469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31B2C7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22.6%</w:t>
            </w:r>
          </w:p>
        </w:tc>
        <w:tc>
          <w:tcPr>
            <w:tcW w:w="940" w:type="dxa"/>
            <w:tcBorders>
              <w:top w:val="nil"/>
              <w:left w:val="nil"/>
              <w:bottom w:val="single" w:sz="8" w:space="0" w:color="2F75B5"/>
              <w:right w:val="single" w:sz="8" w:space="0" w:color="2F75B5"/>
            </w:tcBorders>
            <w:shd w:val="clear" w:color="auto" w:fill="auto"/>
            <w:noWrap/>
            <w:vAlign w:val="center"/>
            <w:hideMark/>
          </w:tcPr>
          <w:p w14:paraId="44860B3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5689D49"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7FF119C"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D2E0F65"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6B11916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1C03CBB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1,395.9</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8AA5D2E"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1,600.3</w:t>
            </w:r>
          </w:p>
        </w:tc>
        <w:tc>
          <w:tcPr>
            <w:tcW w:w="940" w:type="dxa"/>
            <w:tcBorders>
              <w:top w:val="nil"/>
              <w:left w:val="nil"/>
              <w:bottom w:val="single" w:sz="8" w:space="0" w:color="2F75B5"/>
              <w:right w:val="single" w:sz="8" w:space="0" w:color="2F75B5"/>
            </w:tcBorders>
            <w:shd w:val="clear" w:color="auto" w:fill="auto"/>
            <w:noWrap/>
            <w:vAlign w:val="center"/>
            <w:hideMark/>
          </w:tcPr>
          <w:p w14:paraId="1AC58EA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1,819.7</w:t>
            </w:r>
          </w:p>
        </w:tc>
      </w:tr>
      <w:tr w:rsidR="00027FBF" w:rsidRPr="00A83C94" w14:paraId="3A964AD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F535F3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C77CC9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AF19FF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21.5%</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291B28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2A7A8D9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23.2%</w:t>
            </w:r>
          </w:p>
        </w:tc>
      </w:tr>
      <w:tr w:rsidR="00027FBF" w:rsidRPr="00A83C94" w14:paraId="3E4158D2"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C3314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545D8E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639E7ED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1,349.8</w:t>
            </w:r>
          </w:p>
        </w:tc>
        <w:tc>
          <w:tcPr>
            <w:tcW w:w="940" w:type="dxa"/>
            <w:tcBorders>
              <w:top w:val="nil"/>
              <w:left w:val="nil"/>
              <w:bottom w:val="single" w:sz="8" w:space="0" w:color="2F75B5"/>
              <w:right w:val="single" w:sz="8" w:space="0" w:color="2F75B5"/>
            </w:tcBorders>
            <w:shd w:val="clear" w:color="auto" w:fill="auto"/>
            <w:noWrap/>
            <w:vAlign w:val="center"/>
            <w:hideMark/>
          </w:tcPr>
          <w:p w14:paraId="5274DA0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1,440.1</w:t>
            </w:r>
          </w:p>
        </w:tc>
        <w:tc>
          <w:tcPr>
            <w:tcW w:w="940" w:type="dxa"/>
            <w:tcBorders>
              <w:top w:val="nil"/>
              <w:left w:val="nil"/>
              <w:bottom w:val="single" w:sz="8" w:space="0" w:color="2F75B5"/>
              <w:right w:val="single" w:sz="8" w:space="0" w:color="2F75B5"/>
            </w:tcBorders>
            <w:shd w:val="clear" w:color="auto" w:fill="auto"/>
            <w:noWrap/>
            <w:vAlign w:val="center"/>
            <w:hideMark/>
          </w:tcPr>
          <w:p w14:paraId="67DDACF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6E523629"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BF94900"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5728799"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5C8E98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22.2%</w:t>
            </w:r>
          </w:p>
        </w:tc>
        <w:tc>
          <w:tcPr>
            <w:tcW w:w="940" w:type="dxa"/>
            <w:tcBorders>
              <w:top w:val="nil"/>
              <w:left w:val="nil"/>
              <w:bottom w:val="single" w:sz="8" w:space="0" w:color="2F75B5"/>
              <w:right w:val="single" w:sz="8" w:space="0" w:color="2F75B5"/>
            </w:tcBorders>
            <w:shd w:val="clear" w:color="auto" w:fill="auto"/>
            <w:noWrap/>
            <w:vAlign w:val="center"/>
            <w:hideMark/>
          </w:tcPr>
          <w:p w14:paraId="27B2A3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22.5%</w:t>
            </w:r>
          </w:p>
        </w:tc>
        <w:tc>
          <w:tcPr>
            <w:tcW w:w="940" w:type="dxa"/>
            <w:tcBorders>
              <w:top w:val="nil"/>
              <w:left w:val="nil"/>
              <w:bottom w:val="single" w:sz="8" w:space="0" w:color="2F75B5"/>
              <w:right w:val="single" w:sz="8" w:space="0" w:color="2F75B5"/>
            </w:tcBorders>
            <w:shd w:val="clear" w:color="auto" w:fill="auto"/>
            <w:noWrap/>
            <w:vAlign w:val="center"/>
            <w:hideMark/>
          </w:tcPr>
          <w:p w14:paraId="0B26E60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70D6ED13"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62F4AA85"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5F3E923F"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7E7D643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B7B3A7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1,540.5</w:t>
            </w:r>
          </w:p>
        </w:tc>
        <w:tc>
          <w:tcPr>
            <w:tcW w:w="940" w:type="dxa"/>
            <w:tcBorders>
              <w:top w:val="nil"/>
              <w:left w:val="nil"/>
              <w:bottom w:val="single" w:sz="8" w:space="0" w:color="2F75B5"/>
              <w:right w:val="single" w:sz="8" w:space="0" w:color="2F75B5"/>
            </w:tcBorders>
            <w:shd w:val="clear" w:color="auto" w:fill="auto"/>
            <w:noWrap/>
            <w:vAlign w:val="center"/>
            <w:hideMark/>
          </w:tcPr>
          <w:p w14:paraId="317F045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1,733.5</w:t>
            </w:r>
          </w:p>
        </w:tc>
      </w:tr>
      <w:tr w:rsidR="00027FBF" w:rsidRPr="00A83C94" w14:paraId="7A576934"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051DFD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004671C"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3F485A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6B714E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22.4%</w:t>
            </w:r>
          </w:p>
        </w:tc>
        <w:tc>
          <w:tcPr>
            <w:tcW w:w="940" w:type="dxa"/>
            <w:tcBorders>
              <w:top w:val="nil"/>
              <w:left w:val="nil"/>
              <w:bottom w:val="single" w:sz="8" w:space="0" w:color="2F75B5"/>
              <w:right w:val="single" w:sz="8" w:space="0" w:color="2F75B5"/>
            </w:tcBorders>
            <w:shd w:val="clear" w:color="auto" w:fill="auto"/>
            <w:noWrap/>
            <w:vAlign w:val="center"/>
            <w:hideMark/>
          </w:tcPr>
          <w:p w14:paraId="68AAC5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22.9%</w:t>
            </w:r>
          </w:p>
        </w:tc>
      </w:tr>
      <w:tr w:rsidR="00027FBF" w:rsidRPr="00A83C94" w14:paraId="6D6ED58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66BE10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3A4D48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157A637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345873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1,581.0</w:t>
            </w:r>
          </w:p>
        </w:tc>
        <w:tc>
          <w:tcPr>
            <w:tcW w:w="940" w:type="dxa"/>
            <w:tcBorders>
              <w:top w:val="nil"/>
              <w:left w:val="nil"/>
              <w:bottom w:val="single" w:sz="8" w:space="0" w:color="2F75B5"/>
              <w:right w:val="single" w:sz="8" w:space="0" w:color="2F75B5"/>
            </w:tcBorders>
            <w:shd w:val="clear" w:color="auto" w:fill="auto"/>
            <w:noWrap/>
            <w:vAlign w:val="center"/>
            <w:hideMark/>
          </w:tcPr>
          <w:p w14:paraId="6D624145"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A83C94">
              <w:rPr>
                <w:rFonts w:cs="Calibri"/>
                <w:b w:val="0"/>
                <w:color w:val="000000"/>
                <w:sz w:val="20"/>
                <w:szCs w:val="20"/>
                <w:lang w:val="en-US" w:eastAsia="en-US"/>
              </w:rPr>
              <w:t>1,843.</w:t>
            </w:r>
            <w:r>
              <w:rPr>
                <w:rFonts w:cs="Calibri"/>
                <w:b w:val="0"/>
                <w:color w:val="000000"/>
                <w:sz w:val="20"/>
                <w:szCs w:val="20"/>
                <w:lang w:val="hy-AM" w:eastAsia="en-US"/>
              </w:rPr>
              <w:t>9</w:t>
            </w:r>
          </w:p>
        </w:tc>
      </w:tr>
      <w:tr w:rsidR="00027FBF" w:rsidRPr="00A83C94" w14:paraId="15C54DE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00341D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80190D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F1DBF9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34B4AD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22.5%</w:t>
            </w:r>
          </w:p>
        </w:tc>
        <w:tc>
          <w:tcPr>
            <w:tcW w:w="940" w:type="dxa"/>
            <w:tcBorders>
              <w:top w:val="nil"/>
              <w:left w:val="nil"/>
              <w:bottom w:val="single" w:sz="8" w:space="0" w:color="2F75B5"/>
              <w:right w:val="single" w:sz="8" w:space="0" w:color="2F75B5"/>
            </w:tcBorders>
            <w:shd w:val="clear" w:color="auto" w:fill="auto"/>
            <w:noWrap/>
            <w:vAlign w:val="center"/>
            <w:hideMark/>
          </w:tcPr>
          <w:p w14:paraId="4A82C4D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r>
    </w:tbl>
    <w:p w14:paraId="4D4B92A7"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6745FFC9"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2.5.3.</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ծախսերի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08BFBACF"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0372AA2D"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60F71FE4"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038F59BB"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2D71FDA0"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091BC0CA"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272659BF"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3E6E5E3B"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2B21DEC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D6BDD2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1,894.6</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E109DE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1E86743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587ADB8C"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054DCB7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482FD8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044FC7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30.6%</w:t>
            </w:r>
          </w:p>
        </w:tc>
        <w:tc>
          <w:tcPr>
            <w:tcW w:w="940" w:type="dxa"/>
            <w:tcBorders>
              <w:top w:val="nil"/>
              <w:left w:val="nil"/>
              <w:bottom w:val="single" w:sz="8" w:space="0" w:color="2F75B5"/>
              <w:right w:val="single" w:sz="8" w:space="0" w:color="2F75B5"/>
            </w:tcBorders>
            <w:shd w:val="clear" w:color="auto" w:fill="auto"/>
            <w:noWrap/>
            <w:vAlign w:val="center"/>
            <w:hideMark/>
          </w:tcPr>
          <w:p w14:paraId="7195FB3A"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1D3E16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44EBCDB"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C456D5C"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0E816B0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15F3576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1,868.2</w:t>
            </w:r>
          </w:p>
        </w:tc>
        <w:tc>
          <w:tcPr>
            <w:tcW w:w="940" w:type="dxa"/>
            <w:tcBorders>
              <w:top w:val="nil"/>
              <w:left w:val="nil"/>
              <w:bottom w:val="single" w:sz="8" w:space="0" w:color="2F75B5"/>
              <w:right w:val="single" w:sz="8" w:space="0" w:color="2F75B5"/>
            </w:tcBorders>
            <w:shd w:val="clear" w:color="auto" w:fill="auto"/>
            <w:noWrap/>
            <w:vAlign w:val="center"/>
            <w:hideMark/>
          </w:tcPr>
          <w:p w14:paraId="336C502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2,027.7</w:t>
            </w:r>
          </w:p>
        </w:tc>
        <w:tc>
          <w:tcPr>
            <w:tcW w:w="940" w:type="dxa"/>
            <w:tcBorders>
              <w:top w:val="nil"/>
              <w:left w:val="nil"/>
              <w:bottom w:val="single" w:sz="8" w:space="0" w:color="2F75B5"/>
              <w:right w:val="single" w:sz="8" w:space="0" w:color="2F75B5"/>
            </w:tcBorders>
            <w:shd w:val="clear" w:color="auto" w:fill="auto"/>
            <w:noWrap/>
            <w:vAlign w:val="center"/>
            <w:hideMark/>
          </w:tcPr>
          <w:p w14:paraId="5D4AA95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2,235.5</w:t>
            </w:r>
          </w:p>
        </w:tc>
      </w:tr>
      <w:tr w:rsidR="00027FBF" w:rsidRPr="00A83C94" w14:paraId="59A55BA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BAFE00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531FE14"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9ED0C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26.8%</w:t>
            </w:r>
          </w:p>
        </w:tc>
        <w:tc>
          <w:tcPr>
            <w:tcW w:w="940" w:type="dxa"/>
            <w:tcBorders>
              <w:top w:val="nil"/>
              <w:left w:val="nil"/>
              <w:bottom w:val="single" w:sz="8" w:space="0" w:color="2F75B5"/>
              <w:right w:val="single" w:sz="8" w:space="0" w:color="2F75B5"/>
            </w:tcBorders>
            <w:shd w:val="clear" w:color="auto" w:fill="auto"/>
            <w:noWrap/>
            <w:vAlign w:val="center"/>
            <w:hideMark/>
          </w:tcPr>
          <w:p w14:paraId="55F5015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26.6%</w:t>
            </w:r>
          </w:p>
        </w:tc>
        <w:tc>
          <w:tcPr>
            <w:tcW w:w="940" w:type="dxa"/>
            <w:tcBorders>
              <w:top w:val="nil"/>
              <w:left w:val="nil"/>
              <w:bottom w:val="single" w:sz="8" w:space="0" w:color="2F75B5"/>
              <w:right w:val="single" w:sz="8" w:space="0" w:color="2F75B5"/>
            </w:tcBorders>
            <w:shd w:val="clear" w:color="auto" w:fill="auto"/>
            <w:noWrap/>
            <w:vAlign w:val="center"/>
            <w:hideMark/>
          </w:tcPr>
          <w:p w14:paraId="3340D7D9"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26.9%</w:t>
            </w:r>
          </w:p>
        </w:tc>
      </w:tr>
      <w:tr w:rsidR="00027FBF" w:rsidRPr="00A83C94" w14:paraId="5AB2AC1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7B8E10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A9D32C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0BB15AA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1,855.7</w:t>
            </w:r>
          </w:p>
        </w:tc>
        <w:tc>
          <w:tcPr>
            <w:tcW w:w="940" w:type="dxa"/>
            <w:tcBorders>
              <w:top w:val="nil"/>
              <w:left w:val="nil"/>
              <w:bottom w:val="single" w:sz="8" w:space="0" w:color="2F75B5"/>
              <w:right w:val="single" w:sz="8" w:space="0" w:color="2F75B5"/>
            </w:tcBorders>
            <w:shd w:val="clear" w:color="auto" w:fill="auto"/>
            <w:noWrap/>
            <w:vAlign w:val="center"/>
            <w:hideMark/>
          </w:tcPr>
          <w:p w14:paraId="2DEF7D2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7A11BC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319C3E1"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3815E5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50D74AA"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041930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26.2%</w:t>
            </w:r>
          </w:p>
        </w:tc>
        <w:tc>
          <w:tcPr>
            <w:tcW w:w="940" w:type="dxa"/>
            <w:tcBorders>
              <w:top w:val="nil"/>
              <w:left w:val="nil"/>
              <w:bottom w:val="single" w:sz="8" w:space="0" w:color="2F75B5"/>
              <w:right w:val="single" w:sz="8" w:space="0" w:color="2F75B5"/>
            </w:tcBorders>
            <w:shd w:val="clear" w:color="auto" w:fill="auto"/>
            <w:noWrap/>
            <w:vAlign w:val="center"/>
            <w:hideMark/>
          </w:tcPr>
          <w:p w14:paraId="7EB20AE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F59CCFD"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5842D6C9"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E7C4A89"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51441B4C"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3CD825E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1,850.2</w:t>
            </w:r>
          </w:p>
        </w:tc>
        <w:tc>
          <w:tcPr>
            <w:tcW w:w="940" w:type="dxa"/>
            <w:tcBorders>
              <w:top w:val="nil"/>
              <w:left w:val="nil"/>
              <w:bottom w:val="single" w:sz="8" w:space="0" w:color="2F75B5"/>
              <w:right w:val="single" w:sz="8" w:space="0" w:color="2F75B5"/>
            </w:tcBorders>
            <w:shd w:val="clear" w:color="auto" w:fill="auto"/>
            <w:noWrap/>
            <w:vAlign w:val="center"/>
            <w:hideMark/>
          </w:tcPr>
          <w:p w14:paraId="4B33BD7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1,879.0</w:t>
            </w:r>
          </w:p>
        </w:tc>
        <w:tc>
          <w:tcPr>
            <w:tcW w:w="940" w:type="dxa"/>
            <w:tcBorders>
              <w:top w:val="nil"/>
              <w:left w:val="nil"/>
              <w:bottom w:val="single" w:sz="8" w:space="0" w:color="2F75B5"/>
              <w:right w:val="single" w:sz="8" w:space="0" w:color="2F75B5"/>
            </w:tcBorders>
            <w:shd w:val="clear" w:color="auto" w:fill="auto"/>
            <w:noWrap/>
            <w:vAlign w:val="center"/>
            <w:hideMark/>
          </w:tcPr>
          <w:p w14:paraId="1AF8DCF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2,026.1</w:t>
            </w:r>
          </w:p>
        </w:tc>
      </w:tr>
      <w:tr w:rsidR="00027FBF" w:rsidRPr="00A83C94" w14:paraId="451D4278"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736C70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B7ECBA9"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A57E3F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28.4%</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8D259B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26.3%</w:t>
            </w:r>
          </w:p>
        </w:tc>
        <w:tc>
          <w:tcPr>
            <w:tcW w:w="940" w:type="dxa"/>
            <w:tcBorders>
              <w:top w:val="nil"/>
              <w:left w:val="nil"/>
              <w:bottom w:val="single" w:sz="8" w:space="0" w:color="2F75B5"/>
              <w:right w:val="single" w:sz="8" w:space="0" w:color="2F75B5"/>
            </w:tcBorders>
            <w:shd w:val="clear" w:color="auto" w:fill="auto"/>
            <w:noWrap/>
            <w:vAlign w:val="center"/>
            <w:hideMark/>
          </w:tcPr>
          <w:p w14:paraId="18C7D40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25.8%</w:t>
            </w:r>
          </w:p>
        </w:tc>
      </w:tr>
      <w:tr w:rsidR="00027FBF" w:rsidRPr="00A83C94" w14:paraId="2678316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E8BC51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314F8D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769B491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1,907.4</w:t>
            </w:r>
          </w:p>
        </w:tc>
        <w:tc>
          <w:tcPr>
            <w:tcW w:w="940" w:type="dxa"/>
            <w:tcBorders>
              <w:top w:val="nil"/>
              <w:left w:val="nil"/>
              <w:bottom w:val="single" w:sz="8" w:space="0" w:color="2F75B5"/>
              <w:right w:val="single" w:sz="8" w:space="0" w:color="2F75B5"/>
            </w:tcBorders>
            <w:shd w:val="clear" w:color="auto" w:fill="auto"/>
            <w:noWrap/>
            <w:vAlign w:val="center"/>
            <w:hideMark/>
          </w:tcPr>
          <w:p w14:paraId="3E50C4C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1,850.9</w:t>
            </w:r>
          </w:p>
        </w:tc>
        <w:tc>
          <w:tcPr>
            <w:tcW w:w="940" w:type="dxa"/>
            <w:tcBorders>
              <w:top w:val="nil"/>
              <w:left w:val="nil"/>
              <w:bottom w:val="single" w:sz="8" w:space="0" w:color="2F75B5"/>
              <w:right w:val="single" w:sz="8" w:space="0" w:color="2F75B5"/>
            </w:tcBorders>
            <w:shd w:val="clear" w:color="auto" w:fill="auto"/>
            <w:noWrap/>
            <w:vAlign w:val="center"/>
            <w:hideMark/>
          </w:tcPr>
          <w:p w14:paraId="3B9A388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38FB1F7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C0CB88D"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F10DB87"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4C2AFE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31.4%</w:t>
            </w:r>
          </w:p>
        </w:tc>
        <w:tc>
          <w:tcPr>
            <w:tcW w:w="940" w:type="dxa"/>
            <w:tcBorders>
              <w:top w:val="nil"/>
              <w:left w:val="nil"/>
              <w:bottom w:val="single" w:sz="8" w:space="0" w:color="2F75B5"/>
              <w:right w:val="single" w:sz="8" w:space="0" w:color="2F75B5"/>
            </w:tcBorders>
            <w:shd w:val="clear" w:color="auto" w:fill="auto"/>
            <w:noWrap/>
            <w:vAlign w:val="center"/>
            <w:hideMark/>
          </w:tcPr>
          <w:p w14:paraId="3BE1D21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28.9%</w:t>
            </w:r>
          </w:p>
        </w:tc>
        <w:tc>
          <w:tcPr>
            <w:tcW w:w="940" w:type="dxa"/>
            <w:tcBorders>
              <w:top w:val="nil"/>
              <w:left w:val="nil"/>
              <w:bottom w:val="single" w:sz="8" w:space="0" w:color="2F75B5"/>
              <w:right w:val="single" w:sz="8" w:space="0" w:color="2F75B5"/>
            </w:tcBorders>
            <w:shd w:val="clear" w:color="auto" w:fill="auto"/>
            <w:noWrap/>
            <w:vAlign w:val="center"/>
            <w:hideMark/>
          </w:tcPr>
          <w:p w14:paraId="614541D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420C5618"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14F2A33F"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3B6D7643"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715EC20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B4670A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1,936.0</w:t>
            </w:r>
          </w:p>
        </w:tc>
        <w:tc>
          <w:tcPr>
            <w:tcW w:w="940" w:type="dxa"/>
            <w:tcBorders>
              <w:top w:val="nil"/>
              <w:left w:val="nil"/>
              <w:bottom w:val="single" w:sz="8" w:space="0" w:color="2F75B5"/>
              <w:right w:val="single" w:sz="8" w:space="0" w:color="2F75B5"/>
            </w:tcBorders>
            <w:shd w:val="clear" w:color="auto" w:fill="auto"/>
            <w:noWrap/>
            <w:vAlign w:val="center"/>
            <w:hideMark/>
          </w:tcPr>
          <w:p w14:paraId="385C253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2,000.9</w:t>
            </w:r>
          </w:p>
        </w:tc>
      </w:tr>
      <w:tr w:rsidR="00027FBF" w:rsidRPr="00A83C94" w14:paraId="3F28A866"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E4FA98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126FBC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F95DE6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382F35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28.1%</w:t>
            </w:r>
          </w:p>
        </w:tc>
        <w:tc>
          <w:tcPr>
            <w:tcW w:w="940" w:type="dxa"/>
            <w:tcBorders>
              <w:top w:val="nil"/>
              <w:left w:val="nil"/>
              <w:bottom w:val="single" w:sz="8" w:space="0" w:color="2F75B5"/>
              <w:right w:val="single" w:sz="8" w:space="0" w:color="2F75B5"/>
            </w:tcBorders>
            <w:shd w:val="clear" w:color="auto" w:fill="auto"/>
            <w:noWrap/>
            <w:vAlign w:val="center"/>
            <w:hideMark/>
          </w:tcPr>
          <w:p w14:paraId="11BDF33A"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26.4%</w:t>
            </w:r>
          </w:p>
        </w:tc>
      </w:tr>
      <w:tr w:rsidR="00027FBF" w:rsidRPr="00A83C94" w14:paraId="6082026E"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5D130F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5503A6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41DCCCD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EAA5A7F"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1,986.0</w:t>
            </w:r>
          </w:p>
        </w:tc>
        <w:tc>
          <w:tcPr>
            <w:tcW w:w="940" w:type="dxa"/>
            <w:tcBorders>
              <w:top w:val="nil"/>
              <w:left w:val="nil"/>
              <w:bottom w:val="single" w:sz="8" w:space="0" w:color="2F75B5"/>
              <w:right w:val="single" w:sz="8" w:space="0" w:color="2F75B5"/>
            </w:tcBorders>
            <w:shd w:val="clear" w:color="auto" w:fill="auto"/>
            <w:noWrap/>
            <w:vAlign w:val="center"/>
            <w:hideMark/>
          </w:tcPr>
          <w:p w14:paraId="785E9B8A"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en-US" w:eastAsia="en-US"/>
              </w:rPr>
              <w:t>2,18</w:t>
            </w:r>
            <w:r>
              <w:rPr>
                <w:rFonts w:cs="Calibri"/>
                <w:b w:val="0"/>
                <w:color w:val="000000"/>
                <w:sz w:val="20"/>
                <w:szCs w:val="20"/>
                <w:lang w:val="hy-AM" w:eastAsia="en-US"/>
              </w:rPr>
              <w:t>4</w:t>
            </w:r>
            <w:r w:rsidRPr="00387D6C">
              <w:rPr>
                <w:rFonts w:cs="Calibri"/>
                <w:b w:val="0"/>
                <w:color w:val="000000"/>
                <w:sz w:val="20"/>
                <w:szCs w:val="20"/>
                <w:lang w:val="en-US" w:eastAsia="en-US"/>
              </w:rPr>
              <w:t>.</w:t>
            </w:r>
            <w:r>
              <w:rPr>
                <w:rFonts w:cs="Calibri"/>
                <w:b w:val="0"/>
                <w:color w:val="000000"/>
                <w:sz w:val="20"/>
                <w:szCs w:val="20"/>
                <w:lang w:val="hy-AM" w:eastAsia="en-US"/>
              </w:rPr>
              <w:t>0</w:t>
            </w:r>
          </w:p>
        </w:tc>
      </w:tr>
      <w:tr w:rsidR="00027FBF" w:rsidRPr="00A83C94" w14:paraId="5C90533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6A4153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FCDF3D6"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B10161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632D00F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28.2%</w:t>
            </w:r>
          </w:p>
        </w:tc>
        <w:tc>
          <w:tcPr>
            <w:tcW w:w="940" w:type="dxa"/>
            <w:tcBorders>
              <w:top w:val="nil"/>
              <w:left w:val="nil"/>
              <w:bottom w:val="single" w:sz="8" w:space="0" w:color="2F75B5"/>
              <w:right w:val="single" w:sz="8" w:space="0" w:color="2F75B5"/>
            </w:tcBorders>
            <w:shd w:val="clear" w:color="auto" w:fill="auto"/>
            <w:noWrap/>
            <w:vAlign w:val="center"/>
            <w:hideMark/>
          </w:tcPr>
          <w:p w14:paraId="508A168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387D6C">
              <w:rPr>
                <w:rFonts w:cs="Calibri"/>
                <w:b w:val="0"/>
                <w:i/>
                <w:iCs/>
                <w:color w:val="000000"/>
                <w:sz w:val="20"/>
                <w:szCs w:val="20"/>
                <w:lang w:val="en-US" w:eastAsia="en-US"/>
              </w:rPr>
              <w:t>27.8</w:t>
            </w:r>
            <w:r w:rsidRPr="00A83C94">
              <w:rPr>
                <w:rFonts w:cs="Calibri"/>
                <w:b w:val="0"/>
                <w:i/>
                <w:iCs/>
                <w:color w:val="000000"/>
                <w:sz w:val="20"/>
                <w:szCs w:val="20"/>
                <w:lang w:val="en-US" w:eastAsia="en-US"/>
              </w:rPr>
              <w:t>%</w:t>
            </w:r>
          </w:p>
        </w:tc>
      </w:tr>
    </w:tbl>
    <w:p w14:paraId="27D4B0E8"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p w14:paraId="259384E8"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2.5.4.</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ընթացիկ ծախսերի կանխատեսումների համեմատական աղյուսակը (մլրդ դրամ)</w:t>
      </w: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101E302B"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275E7CD8"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6EE825A9"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5AF9B144"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381254B2"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32480615"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55464EBA"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712AA19B"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0B86BC29"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AED265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1,668.5</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6E3DED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EE7FF9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44F5C93C"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05471901"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396F044"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08C1D5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27.0%</w:t>
            </w:r>
          </w:p>
        </w:tc>
        <w:tc>
          <w:tcPr>
            <w:tcW w:w="940" w:type="dxa"/>
            <w:tcBorders>
              <w:top w:val="nil"/>
              <w:left w:val="nil"/>
              <w:bottom w:val="single" w:sz="8" w:space="0" w:color="2F75B5"/>
              <w:right w:val="single" w:sz="8" w:space="0" w:color="2F75B5"/>
            </w:tcBorders>
            <w:shd w:val="clear" w:color="auto" w:fill="auto"/>
            <w:noWrap/>
            <w:vAlign w:val="center"/>
            <w:hideMark/>
          </w:tcPr>
          <w:p w14:paraId="3A4DAA9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096D1A7"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3BEB0F5"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435ED46"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43DC4E2D"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75AFF39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1,479.9</w:t>
            </w:r>
          </w:p>
        </w:tc>
        <w:tc>
          <w:tcPr>
            <w:tcW w:w="940" w:type="dxa"/>
            <w:tcBorders>
              <w:top w:val="nil"/>
              <w:left w:val="nil"/>
              <w:bottom w:val="single" w:sz="8" w:space="0" w:color="2F75B5"/>
              <w:right w:val="single" w:sz="8" w:space="0" w:color="2F75B5"/>
            </w:tcBorders>
            <w:shd w:val="clear" w:color="auto" w:fill="auto"/>
            <w:noWrap/>
            <w:vAlign w:val="center"/>
            <w:hideMark/>
          </w:tcPr>
          <w:p w14:paraId="7A206FC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1,568.3</w:t>
            </w:r>
          </w:p>
        </w:tc>
        <w:tc>
          <w:tcPr>
            <w:tcW w:w="940" w:type="dxa"/>
            <w:tcBorders>
              <w:top w:val="nil"/>
              <w:left w:val="nil"/>
              <w:bottom w:val="single" w:sz="8" w:space="0" w:color="2F75B5"/>
              <w:right w:val="single" w:sz="8" w:space="0" w:color="2F75B5"/>
            </w:tcBorders>
            <w:shd w:val="clear" w:color="auto" w:fill="auto"/>
            <w:noWrap/>
            <w:vAlign w:val="center"/>
            <w:hideMark/>
          </w:tcPr>
          <w:p w14:paraId="496DC8D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1,680.0</w:t>
            </w:r>
          </w:p>
        </w:tc>
      </w:tr>
      <w:tr w:rsidR="00027FBF" w:rsidRPr="00A83C94" w14:paraId="5187BE58"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5975A1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A68930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8DC54F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21.2%</w:t>
            </w:r>
          </w:p>
        </w:tc>
        <w:tc>
          <w:tcPr>
            <w:tcW w:w="940" w:type="dxa"/>
            <w:tcBorders>
              <w:top w:val="nil"/>
              <w:left w:val="nil"/>
              <w:bottom w:val="single" w:sz="8" w:space="0" w:color="2F75B5"/>
              <w:right w:val="single" w:sz="8" w:space="0" w:color="2F75B5"/>
            </w:tcBorders>
            <w:shd w:val="clear" w:color="auto" w:fill="auto"/>
            <w:noWrap/>
            <w:vAlign w:val="center"/>
            <w:hideMark/>
          </w:tcPr>
          <w:p w14:paraId="47B586FD"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20.6%</w:t>
            </w:r>
          </w:p>
        </w:tc>
        <w:tc>
          <w:tcPr>
            <w:tcW w:w="940" w:type="dxa"/>
            <w:tcBorders>
              <w:top w:val="nil"/>
              <w:left w:val="nil"/>
              <w:bottom w:val="single" w:sz="8" w:space="0" w:color="2F75B5"/>
              <w:right w:val="single" w:sz="8" w:space="0" w:color="2F75B5"/>
            </w:tcBorders>
            <w:shd w:val="clear" w:color="auto" w:fill="auto"/>
            <w:noWrap/>
            <w:vAlign w:val="center"/>
            <w:hideMark/>
          </w:tcPr>
          <w:p w14:paraId="1A087546"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20.2%</w:t>
            </w:r>
          </w:p>
        </w:tc>
      </w:tr>
      <w:tr w:rsidR="00027FBF" w:rsidRPr="00A83C94" w14:paraId="7F9C818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F9E0D7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D782DE1"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1684F6C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1,568.0</w:t>
            </w:r>
          </w:p>
        </w:tc>
        <w:tc>
          <w:tcPr>
            <w:tcW w:w="940" w:type="dxa"/>
            <w:tcBorders>
              <w:top w:val="nil"/>
              <w:left w:val="nil"/>
              <w:bottom w:val="single" w:sz="8" w:space="0" w:color="2F75B5"/>
              <w:right w:val="single" w:sz="8" w:space="0" w:color="2F75B5"/>
            </w:tcBorders>
            <w:shd w:val="clear" w:color="auto" w:fill="auto"/>
            <w:noWrap/>
            <w:vAlign w:val="center"/>
            <w:hideMark/>
          </w:tcPr>
          <w:p w14:paraId="05FC8C5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4A16B4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4E6A72F4"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227EA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06269EB"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A86499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22.1%</w:t>
            </w:r>
          </w:p>
        </w:tc>
        <w:tc>
          <w:tcPr>
            <w:tcW w:w="940" w:type="dxa"/>
            <w:tcBorders>
              <w:top w:val="nil"/>
              <w:left w:val="nil"/>
              <w:bottom w:val="single" w:sz="8" w:space="0" w:color="2F75B5"/>
              <w:right w:val="single" w:sz="8" w:space="0" w:color="2F75B5"/>
            </w:tcBorders>
            <w:shd w:val="clear" w:color="auto" w:fill="auto"/>
            <w:noWrap/>
            <w:vAlign w:val="center"/>
            <w:hideMark/>
          </w:tcPr>
          <w:p w14:paraId="5CC305F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0C7DCB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7CC287C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64C8CFC2"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06D72C82"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07D3215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1,628.0</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9B2BD3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1,629.0</w:t>
            </w:r>
          </w:p>
        </w:tc>
        <w:tc>
          <w:tcPr>
            <w:tcW w:w="940" w:type="dxa"/>
            <w:tcBorders>
              <w:top w:val="nil"/>
              <w:left w:val="nil"/>
              <w:bottom w:val="single" w:sz="8" w:space="0" w:color="2F75B5"/>
              <w:right w:val="single" w:sz="8" w:space="0" w:color="2F75B5"/>
            </w:tcBorders>
            <w:shd w:val="clear" w:color="auto" w:fill="auto"/>
            <w:noWrap/>
            <w:vAlign w:val="center"/>
            <w:hideMark/>
          </w:tcPr>
          <w:p w14:paraId="691243DE"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1,699.9</w:t>
            </w:r>
          </w:p>
        </w:tc>
      </w:tr>
      <w:tr w:rsidR="00027FBF" w:rsidRPr="00A83C94" w14:paraId="5D3FE5E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DDF6E87"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FA0027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88C604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25.0%</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C559E9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22.8%</w:t>
            </w:r>
          </w:p>
        </w:tc>
        <w:tc>
          <w:tcPr>
            <w:tcW w:w="940" w:type="dxa"/>
            <w:tcBorders>
              <w:top w:val="nil"/>
              <w:left w:val="nil"/>
              <w:bottom w:val="single" w:sz="8" w:space="0" w:color="2F75B5"/>
              <w:right w:val="single" w:sz="8" w:space="0" w:color="2F75B5"/>
            </w:tcBorders>
            <w:shd w:val="clear" w:color="auto" w:fill="auto"/>
            <w:noWrap/>
            <w:vAlign w:val="center"/>
            <w:hideMark/>
          </w:tcPr>
          <w:p w14:paraId="4BB0EB4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21.6%</w:t>
            </w:r>
          </w:p>
        </w:tc>
      </w:tr>
      <w:tr w:rsidR="00027FBF" w:rsidRPr="00A83C94" w14:paraId="10A1A70D"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762BAB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1A1A705"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519128A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1,622.7</w:t>
            </w:r>
          </w:p>
        </w:tc>
        <w:tc>
          <w:tcPr>
            <w:tcW w:w="940" w:type="dxa"/>
            <w:tcBorders>
              <w:top w:val="nil"/>
              <w:left w:val="nil"/>
              <w:bottom w:val="single" w:sz="8" w:space="0" w:color="2F75B5"/>
              <w:right w:val="single" w:sz="8" w:space="0" w:color="2F75B5"/>
            </w:tcBorders>
            <w:shd w:val="clear" w:color="auto" w:fill="auto"/>
            <w:noWrap/>
            <w:vAlign w:val="center"/>
            <w:hideMark/>
          </w:tcPr>
          <w:p w14:paraId="48D0A31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1,634.6</w:t>
            </w:r>
          </w:p>
        </w:tc>
        <w:tc>
          <w:tcPr>
            <w:tcW w:w="940" w:type="dxa"/>
            <w:tcBorders>
              <w:top w:val="nil"/>
              <w:left w:val="nil"/>
              <w:bottom w:val="single" w:sz="8" w:space="0" w:color="2F75B5"/>
              <w:right w:val="single" w:sz="8" w:space="0" w:color="2F75B5"/>
            </w:tcBorders>
            <w:shd w:val="clear" w:color="auto" w:fill="auto"/>
            <w:noWrap/>
            <w:vAlign w:val="center"/>
            <w:hideMark/>
          </w:tcPr>
          <w:p w14:paraId="070CC9A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38EBE0F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24924FDA"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C0E258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5C282E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26.7%</w:t>
            </w:r>
          </w:p>
        </w:tc>
        <w:tc>
          <w:tcPr>
            <w:tcW w:w="940" w:type="dxa"/>
            <w:tcBorders>
              <w:top w:val="nil"/>
              <w:left w:val="nil"/>
              <w:bottom w:val="single" w:sz="8" w:space="0" w:color="2F75B5"/>
              <w:right w:val="single" w:sz="8" w:space="0" w:color="2F75B5"/>
            </w:tcBorders>
            <w:shd w:val="clear" w:color="auto" w:fill="auto"/>
            <w:noWrap/>
            <w:vAlign w:val="center"/>
            <w:hideMark/>
          </w:tcPr>
          <w:p w14:paraId="722405F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25.6%</w:t>
            </w:r>
          </w:p>
        </w:tc>
        <w:tc>
          <w:tcPr>
            <w:tcW w:w="940" w:type="dxa"/>
            <w:tcBorders>
              <w:top w:val="nil"/>
              <w:left w:val="nil"/>
              <w:bottom w:val="single" w:sz="8" w:space="0" w:color="2F75B5"/>
              <w:right w:val="single" w:sz="8" w:space="0" w:color="2F75B5"/>
            </w:tcBorders>
            <w:shd w:val="clear" w:color="auto" w:fill="auto"/>
            <w:noWrap/>
            <w:vAlign w:val="center"/>
            <w:hideMark/>
          </w:tcPr>
          <w:p w14:paraId="6B04F9B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71375DF6"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C22C364"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6CAEB4BC"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05586F3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CB009A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1,738.9</w:t>
            </w:r>
          </w:p>
        </w:tc>
        <w:tc>
          <w:tcPr>
            <w:tcW w:w="940" w:type="dxa"/>
            <w:tcBorders>
              <w:top w:val="nil"/>
              <w:left w:val="nil"/>
              <w:bottom w:val="single" w:sz="8" w:space="0" w:color="2F75B5"/>
              <w:right w:val="single" w:sz="8" w:space="0" w:color="2F75B5"/>
            </w:tcBorders>
            <w:shd w:val="clear" w:color="auto" w:fill="auto"/>
            <w:noWrap/>
            <w:vAlign w:val="center"/>
            <w:hideMark/>
          </w:tcPr>
          <w:p w14:paraId="786FB9C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1,708.3</w:t>
            </w:r>
          </w:p>
        </w:tc>
      </w:tr>
      <w:tr w:rsidR="00027FBF" w:rsidRPr="00A83C94" w14:paraId="2F22905F"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41C8FA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6BF685D"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8136CE8"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C45F82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25.3%</w:t>
            </w:r>
          </w:p>
        </w:tc>
        <w:tc>
          <w:tcPr>
            <w:tcW w:w="940" w:type="dxa"/>
            <w:tcBorders>
              <w:top w:val="nil"/>
              <w:left w:val="nil"/>
              <w:bottom w:val="single" w:sz="8" w:space="0" w:color="2F75B5"/>
              <w:right w:val="single" w:sz="8" w:space="0" w:color="2F75B5"/>
            </w:tcBorders>
            <w:shd w:val="clear" w:color="auto" w:fill="auto"/>
            <w:noWrap/>
            <w:vAlign w:val="center"/>
            <w:hideMark/>
          </w:tcPr>
          <w:p w14:paraId="434E5513"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22.6%</w:t>
            </w:r>
          </w:p>
        </w:tc>
      </w:tr>
      <w:tr w:rsidR="00027FBF" w:rsidRPr="00A83C94" w14:paraId="539478BE"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C09578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D6F35F9"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5E76752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17A834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1,762.2</w:t>
            </w:r>
          </w:p>
        </w:tc>
        <w:tc>
          <w:tcPr>
            <w:tcW w:w="940" w:type="dxa"/>
            <w:tcBorders>
              <w:top w:val="nil"/>
              <w:left w:val="nil"/>
              <w:bottom w:val="single" w:sz="8" w:space="0" w:color="2F75B5"/>
              <w:right w:val="single" w:sz="8" w:space="0" w:color="2F75B5"/>
            </w:tcBorders>
            <w:shd w:val="clear" w:color="auto" w:fill="auto"/>
            <w:noWrap/>
            <w:vAlign w:val="center"/>
            <w:hideMark/>
          </w:tcPr>
          <w:p w14:paraId="540B60FC" w14:textId="77777777" w:rsidR="00027FBF" w:rsidRPr="001538BF" w:rsidRDefault="00027FBF" w:rsidP="00027FBF">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en-US" w:eastAsia="en-US"/>
              </w:rPr>
              <w:t>1,84</w:t>
            </w:r>
            <w:r>
              <w:rPr>
                <w:rFonts w:cs="Calibri"/>
                <w:b w:val="0"/>
                <w:color w:val="000000"/>
                <w:sz w:val="20"/>
                <w:szCs w:val="20"/>
                <w:lang w:val="hy-AM" w:eastAsia="en-US"/>
              </w:rPr>
              <w:t>2</w:t>
            </w:r>
            <w:r w:rsidRPr="00387D6C">
              <w:rPr>
                <w:rFonts w:cs="Calibri"/>
                <w:b w:val="0"/>
                <w:color w:val="000000"/>
                <w:sz w:val="20"/>
                <w:szCs w:val="20"/>
                <w:lang w:val="en-US" w:eastAsia="en-US"/>
              </w:rPr>
              <w:t>.</w:t>
            </w:r>
            <w:r>
              <w:rPr>
                <w:rFonts w:cs="Calibri"/>
                <w:b w:val="0"/>
                <w:color w:val="000000"/>
                <w:sz w:val="20"/>
                <w:szCs w:val="20"/>
                <w:lang w:val="hy-AM" w:eastAsia="en-US"/>
              </w:rPr>
              <w:t>2</w:t>
            </w:r>
          </w:p>
        </w:tc>
      </w:tr>
      <w:tr w:rsidR="00027FBF" w:rsidRPr="00A83C94" w14:paraId="382B267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1E8E41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E843D9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23BE33D"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E895EA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25.1%</w:t>
            </w:r>
          </w:p>
        </w:tc>
        <w:tc>
          <w:tcPr>
            <w:tcW w:w="940" w:type="dxa"/>
            <w:tcBorders>
              <w:top w:val="nil"/>
              <w:left w:val="nil"/>
              <w:bottom w:val="single" w:sz="8" w:space="0" w:color="2F75B5"/>
              <w:right w:val="single" w:sz="8" w:space="0" w:color="2F75B5"/>
            </w:tcBorders>
            <w:shd w:val="clear" w:color="auto" w:fill="auto"/>
            <w:noWrap/>
            <w:vAlign w:val="center"/>
            <w:hideMark/>
          </w:tcPr>
          <w:p w14:paraId="1701B93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23.4%</w:t>
            </w:r>
          </w:p>
        </w:tc>
      </w:tr>
    </w:tbl>
    <w:p w14:paraId="6A6F282C"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p w14:paraId="45651FBD"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537F63E2"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5927C737"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66127B52"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6E11D9AB"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3DD87001"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334DAC02" w14:textId="77777777" w:rsidR="00027FBF" w:rsidRPr="00A83C94" w:rsidRDefault="00027FBF" w:rsidP="00027FBF">
      <w:pPr>
        <w:spacing w:before="0" w:line="259" w:lineRule="auto"/>
        <w:ind w:firstLine="0"/>
        <w:contextualSpacing w:val="0"/>
        <w:rPr>
          <w:rFonts w:eastAsia="Calibri"/>
          <w:bCs/>
          <w:i/>
          <w:iCs/>
          <w:color w:val="000000"/>
          <w:szCs w:val="22"/>
          <w:lang w:val="hy-AM" w:eastAsia="en-US"/>
        </w:rPr>
      </w:pPr>
    </w:p>
    <w:p w14:paraId="45CC93CE"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2.5.5.</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ոչ ֆինանսական ակտիվների գծով զուտ ծախսերի կանխատեսումների համեմատական աղյուսակը (մլրդ դրամ)</w:t>
      </w:r>
    </w:p>
    <w:p w14:paraId="544F1FD3"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7BA080A6"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7A84C142"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51F6F87D"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0AA7A277"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5C10548B"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798843DD"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6D99BFD5"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7745AD0"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25CCB6C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398DBD2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226.2</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0D9D489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65F7C6FD"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09830FA5"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E614C1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5B1A03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A5C5A3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3.7%</w:t>
            </w:r>
          </w:p>
        </w:tc>
        <w:tc>
          <w:tcPr>
            <w:tcW w:w="940" w:type="dxa"/>
            <w:tcBorders>
              <w:top w:val="nil"/>
              <w:left w:val="nil"/>
              <w:bottom w:val="single" w:sz="8" w:space="0" w:color="2F75B5"/>
              <w:right w:val="single" w:sz="8" w:space="0" w:color="2F75B5"/>
            </w:tcBorders>
            <w:shd w:val="clear" w:color="auto" w:fill="auto"/>
            <w:noWrap/>
            <w:vAlign w:val="center"/>
            <w:hideMark/>
          </w:tcPr>
          <w:p w14:paraId="43FDA99A"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56046A5"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383DFB3E"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3FBEF68"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731C20AD"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191E7A05"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388.3</w:t>
            </w:r>
          </w:p>
        </w:tc>
        <w:tc>
          <w:tcPr>
            <w:tcW w:w="940" w:type="dxa"/>
            <w:tcBorders>
              <w:top w:val="nil"/>
              <w:left w:val="nil"/>
              <w:bottom w:val="single" w:sz="8" w:space="0" w:color="2F75B5"/>
              <w:right w:val="single" w:sz="8" w:space="0" w:color="2F75B5"/>
            </w:tcBorders>
            <w:shd w:val="clear" w:color="auto" w:fill="auto"/>
            <w:noWrap/>
            <w:vAlign w:val="center"/>
            <w:hideMark/>
          </w:tcPr>
          <w:p w14:paraId="413BDE5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459.4</w:t>
            </w:r>
          </w:p>
        </w:tc>
        <w:tc>
          <w:tcPr>
            <w:tcW w:w="940" w:type="dxa"/>
            <w:tcBorders>
              <w:top w:val="nil"/>
              <w:left w:val="nil"/>
              <w:bottom w:val="single" w:sz="8" w:space="0" w:color="2F75B5"/>
              <w:right w:val="single" w:sz="8" w:space="0" w:color="2F75B5"/>
            </w:tcBorders>
            <w:shd w:val="clear" w:color="auto" w:fill="auto"/>
            <w:noWrap/>
            <w:vAlign w:val="center"/>
            <w:hideMark/>
          </w:tcPr>
          <w:p w14:paraId="30CCB4B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555.5</w:t>
            </w:r>
          </w:p>
        </w:tc>
      </w:tr>
      <w:tr w:rsidR="00027FBF" w:rsidRPr="00A83C94" w14:paraId="585FF137"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CDC51CA"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B3A8B2C"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FF9FA3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5.6%</w:t>
            </w:r>
          </w:p>
        </w:tc>
        <w:tc>
          <w:tcPr>
            <w:tcW w:w="940" w:type="dxa"/>
            <w:tcBorders>
              <w:top w:val="nil"/>
              <w:left w:val="nil"/>
              <w:bottom w:val="single" w:sz="8" w:space="0" w:color="2F75B5"/>
              <w:right w:val="single" w:sz="8" w:space="0" w:color="2F75B5"/>
            </w:tcBorders>
            <w:shd w:val="clear" w:color="auto" w:fill="auto"/>
            <w:noWrap/>
            <w:vAlign w:val="center"/>
            <w:hideMark/>
          </w:tcPr>
          <w:p w14:paraId="73FFF02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6.0%</w:t>
            </w:r>
          </w:p>
        </w:tc>
        <w:tc>
          <w:tcPr>
            <w:tcW w:w="940" w:type="dxa"/>
            <w:tcBorders>
              <w:top w:val="nil"/>
              <w:left w:val="nil"/>
              <w:bottom w:val="single" w:sz="8" w:space="0" w:color="2F75B5"/>
              <w:right w:val="single" w:sz="8" w:space="0" w:color="2F75B5"/>
            </w:tcBorders>
            <w:shd w:val="clear" w:color="auto" w:fill="auto"/>
            <w:noWrap/>
            <w:vAlign w:val="center"/>
            <w:hideMark/>
          </w:tcPr>
          <w:p w14:paraId="3CAD1DE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6.7%</w:t>
            </w:r>
          </w:p>
        </w:tc>
      </w:tr>
      <w:tr w:rsidR="00027FBF" w:rsidRPr="00A83C94" w14:paraId="403FDBA4"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3B5B8D3"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D805B6F"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604070A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287.7</w:t>
            </w:r>
          </w:p>
        </w:tc>
        <w:tc>
          <w:tcPr>
            <w:tcW w:w="940" w:type="dxa"/>
            <w:tcBorders>
              <w:top w:val="nil"/>
              <w:left w:val="nil"/>
              <w:bottom w:val="single" w:sz="8" w:space="0" w:color="2F75B5"/>
              <w:right w:val="single" w:sz="8" w:space="0" w:color="2F75B5"/>
            </w:tcBorders>
            <w:shd w:val="clear" w:color="auto" w:fill="auto"/>
            <w:noWrap/>
            <w:vAlign w:val="center"/>
            <w:hideMark/>
          </w:tcPr>
          <w:p w14:paraId="232E09B7"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837658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212F03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CDA015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2731E03"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55308A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4.1%</w:t>
            </w:r>
          </w:p>
        </w:tc>
        <w:tc>
          <w:tcPr>
            <w:tcW w:w="940" w:type="dxa"/>
            <w:tcBorders>
              <w:top w:val="nil"/>
              <w:left w:val="nil"/>
              <w:bottom w:val="single" w:sz="8" w:space="0" w:color="2F75B5"/>
              <w:right w:val="single" w:sz="8" w:space="0" w:color="2F75B5"/>
            </w:tcBorders>
            <w:shd w:val="clear" w:color="auto" w:fill="auto"/>
            <w:noWrap/>
            <w:vAlign w:val="center"/>
            <w:hideMark/>
          </w:tcPr>
          <w:p w14:paraId="2D806F1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3320C69"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62436625"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B952552"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33C5AA5C"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412550A8"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222.2</w:t>
            </w:r>
          </w:p>
        </w:tc>
        <w:tc>
          <w:tcPr>
            <w:tcW w:w="940" w:type="dxa"/>
            <w:tcBorders>
              <w:top w:val="nil"/>
              <w:left w:val="nil"/>
              <w:bottom w:val="single" w:sz="8" w:space="0" w:color="2F75B5"/>
              <w:right w:val="single" w:sz="8" w:space="0" w:color="2F75B5"/>
            </w:tcBorders>
            <w:shd w:val="clear" w:color="auto" w:fill="auto"/>
            <w:noWrap/>
            <w:vAlign w:val="center"/>
            <w:hideMark/>
          </w:tcPr>
          <w:p w14:paraId="4F941093"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250.0</w:t>
            </w:r>
          </w:p>
        </w:tc>
        <w:tc>
          <w:tcPr>
            <w:tcW w:w="940" w:type="dxa"/>
            <w:tcBorders>
              <w:top w:val="nil"/>
              <w:left w:val="nil"/>
              <w:bottom w:val="single" w:sz="8" w:space="0" w:color="2F75B5"/>
              <w:right w:val="single" w:sz="8" w:space="0" w:color="2F75B5"/>
            </w:tcBorders>
            <w:shd w:val="clear" w:color="auto" w:fill="auto"/>
            <w:noWrap/>
            <w:vAlign w:val="center"/>
            <w:hideMark/>
          </w:tcPr>
          <w:p w14:paraId="7E4CC58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326.2</w:t>
            </w:r>
          </w:p>
        </w:tc>
      </w:tr>
      <w:tr w:rsidR="00027FBF" w:rsidRPr="00A83C94" w14:paraId="2BEB2AA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EB294F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40AE8A2"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18B5B3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3.4%</w:t>
            </w:r>
          </w:p>
        </w:tc>
        <w:tc>
          <w:tcPr>
            <w:tcW w:w="940" w:type="dxa"/>
            <w:tcBorders>
              <w:top w:val="nil"/>
              <w:left w:val="nil"/>
              <w:bottom w:val="single" w:sz="8" w:space="0" w:color="2F75B5"/>
              <w:right w:val="single" w:sz="8" w:space="0" w:color="2F75B5"/>
            </w:tcBorders>
            <w:shd w:val="clear" w:color="auto" w:fill="auto"/>
            <w:noWrap/>
            <w:vAlign w:val="center"/>
            <w:hideMark/>
          </w:tcPr>
          <w:p w14:paraId="7A36B740"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3.5%</w:t>
            </w:r>
          </w:p>
        </w:tc>
        <w:tc>
          <w:tcPr>
            <w:tcW w:w="940" w:type="dxa"/>
            <w:tcBorders>
              <w:top w:val="nil"/>
              <w:left w:val="nil"/>
              <w:bottom w:val="single" w:sz="8" w:space="0" w:color="2F75B5"/>
              <w:right w:val="single" w:sz="8" w:space="0" w:color="2F75B5"/>
            </w:tcBorders>
            <w:shd w:val="clear" w:color="auto" w:fill="auto"/>
            <w:noWrap/>
            <w:vAlign w:val="center"/>
            <w:hideMark/>
          </w:tcPr>
          <w:p w14:paraId="2020F88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4.2%</w:t>
            </w:r>
          </w:p>
        </w:tc>
      </w:tr>
      <w:tr w:rsidR="00027FBF" w:rsidRPr="00A83C94" w14:paraId="78D03FC6"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77CF6FA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BFB3B99"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202A460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284.7</w:t>
            </w:r>
          </w:p>
        </w:tc>
        <w:tc>
          <w:tcPr>
            <w:tcW w:w="940" w:type="dxa"/>
            <w:tcBorders>
              <w:top w:val="nil"/>
              <w:left w:val="nil"/>
              <w:bottom w:val="single" w:sz="8" w:space="0" w:color="2F75B5"/>
              <w:right w:val="single" w:sz="8" w:space="0" w:color="2F75B5"/>
            </w:tcBorders>
            <w:shd w:val="clear" w:color="auto" w:fill="auto"/>
            <w:noWrap/>
            <w:vAlign w:val="center"/>
            <w:hideMark/>
          </w:tcPr>
          <w:p w14:paraId="10CC841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216.3</w:t>
            </w:r>
          </w:p>
        </w:tc>
        <w:tc>
          <w:tcPr>
            <w:tcW w:w="940" w:type="dxa"/>
            <w:tcBorders>
              <w:top w:val="nil"/>
              <w:left w:val="nil"/>
              <w:bottom w:val="single" w:sz="8" w:space="0" w:color="2F75B5"/>
              <w:right w:val="single" w:sz="8" w:space="0" w:color="2F75B5"/>
            </w:tcBorders>
            <w:shd w:val="clear" w:color="auto" w:fill="auto"/>
            <w:noWrap/>
            <w:vAlign w:val="center"/>
            <w:hideMark/>
          </w:tcPr>
          <w:p w14:paraId="10F3ECC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61A21017"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82B7DD2"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6786DAE5"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B887BD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4.7%</w:t>
            </w:r>
          </w:p>
        </w:tc>
        <w:tc>
          <w:tcPr>
            <w:tcW w:w="940" w:type="dxa"/>
            <w:tcBorders>
              <w:top w:val="nil"/>
              <w:left w:val="nil"/>
              <w:bottom w:val="single" w:sz="8" w:space="0" w:color="2F75B5"/>
              <w:right w:val="single" w:sz="8" w:space="0" w:color="2F75B5"/>
            </w:tcBorders>
            <w:shd w:val="clear" w:color="auto" w:fill="auto"/>
            <w:noWrap/>
            <w:vAlign w:val="center"/>
            <w:hideMark/>
          </w:tcPr>
          <w:p w14:paraId="7E03386C"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3.4%</w:t>
            </w:r>
          </w:p>
        </w:tc>
        <w:tc>
          <w:tcPr>
            <w:tcW w:w="940" w:type="dxa"/>
            <w:tcBorders>
              <w:top w:val="nil"/>
              <w:left w:val="nil"/>
              <w:bottom w:val="single" w:sz="8" w:space="0" w:color="2F75B5"/>
              <w:right w:val="single" w:sz="8" w:space="0" w:color="2F75B5"/>
            </w:tcBorders>
            <w:shd w:val="clear" w:color="auto" w:fill="auto"/>
            <w:noWrap/>
            <w:vAlign w:val="center"/>
            <w:hideMark/>
          </w:tcPr>
          <w:p w14:paraId="5C98813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5629C8FA"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21503EE3"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1E895FF6"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17331D8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EFFE676"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197.2</w:t>
            </w:r>
          </w:p>
        </w:tc>
        <w:tc>
          <w:tcPr>
            <w:tcW w:w="940" w:type="dxa"/>
            <w:tcBorders>
              <w:top w:val="nil"/>
              <w:left w:val="nil"/>
              <w:bottom w:val="single" w:sz="8" w:space="0" w:color="2F75B5"/>
              <w:right w:val="single" w:sz="8" w:space="0" w:color="2F75B5"/>
            </w:tcBorders>
            <w:shd w:val="clear" w:color="auto" w:fill="auto"/>
            <w:noWrap/>
            <w:vAlign w:val="center"/>
            <w:hideMark/>
          </w:tcPr>
          <w:p w14:paraId="5A38F55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292.6</w:t>
            </w:r>
          </w:p>
        </w:tc>
      </w:tr>
      <w:tr w:rsidR="00027FBF" w:rsidRPr="00A83C94" w14:paraId="3BE14E79"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C0FF0A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A8FAAE8"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649C4C43"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5B26993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2.9%</w:t>
            </w:r>
          </w:p>
        </w:tc>
        <w:tc>
          <w:tcPr>
            <w:tcW w:w="940" w:type="dxa"/>
            <w:tcBorders>
              <w:top w:val="nil"/>
              <w:left w:val="nil"/>
              <w:bottom w:val="single" w:sz="8" w:space="0" w:color="2F75B5"/>
              <w:right w:val="single" w:sz="8" w:space="0" w:color="2F75B5"/>
            </w:tcBorders>
            <w:shd w:val="clear" w:color="auto" w:fill="auto"/>
            <w:noWrap/>
            <w:vAlign w:val="center"/>
            <w:hideMark/>
          </w:tcPr>
          <w:p w14:paraId="72D04B2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3.9%</w:t>
            </w:r>
          </w:p>
        </w:tc>
      </w:tr>
      <w:tr w:rsidR="00027FBF" w:rsidRPr="00A83C94" w14:paraId="710044B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D8C504C"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AF1535F"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7181C3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2FFF088"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223.8</w:t>
            </w:r>
          </w:p>
        </w:tc>
        <w:tc>
          <w:tcPr>
            <w:tcW w:w="940" w:type="dxa"/>
            <w:tcBorders>
              <w:top w:val="nil"/>
              <w:left w:val="nil"/>
              <w:bottom w:val="single" w:sz="8" w:space="0" w:color="2F75B5"/>
              <w:right w:val="single" w:sz="8" w:space="0" w:color="2F75B5"/>
            </w:tcBorders>
            <w:shd w:val="clear" w:color="auto" w:fill="auto"/>
            <w:noWrap/>
            <w:vAlign w:val="center"/>
            <w:hideMark/>
          </w:tcPr>
          <w:p w14:paraId="1FBB56DE" w14:textId="77777777" w:rsidR="00027FBF" w:rsidRPr="00A83C94" w:rsidRDefault="00027FBF" w:rsidP="00027FBF">
            <w:pPr>
              <w:spacing w:before="0" w:line="240" w:lineRule="auto"/>
              <w:ind w:firstLine="0"/>
              <w:contextualSpacing w:val="0"/>
              <w:jc w:val="right"/>
              <w:rPr>
                <w:rFonts w:cs="Calibri"/>
                <w:b w:val="0"/>
                <w:color w:val="000000"/>
                <w:sz w:val="20"/>
                <w:szCs w:val="20"/>
                <w:lang w:val="hy-AM" w:eastAsia="en-US"/>
              </w:rPr>
            </w:pPr>
            <w:r w:rsidRPr="00387D6C">
              <w:rPr>
                <w:rFonts w:cs="Calibri"/>
                <w:b w:val="0"/>
                <w:color w:val="000000"/>
                <w:sz w:val="20"/>
                <w:szCs w:val="20"/>
                <w:lang w:val="hy-AM" w:eastAsia="en-US"/>
              </w:rPr>
              <w:t>34</w:t>
            </w:r>
            <w:r>
              <w:rPr>
                <w:rFonts w:cs="Calibri"/>
                <w:b w:val="0"/>
                <w:color w:val="000000"/>
                <w:sz w:val="20"/>
                <w:szCs w:val="20"/>
                <w:lang w:val="hy-AM" w:eastAsia="en-US"/>
              </w:rPr>
              <w:t>1</w:t>
            </w:r>
            <w:r w:rsidRPr="00387D6C">
              <w:rPr>
                <w:rFonts w:cs="Calibri"/>
                <w:b w:val="0"/>
                <w:color w:val="000000"/>
                <w:sz w:val="20"/>
                <w:szCs w:val="20"/>
                <w:lang w:val="hy-AM" w:eastAsia="en-US"/>
              </w:rPr>
              <w:t>.</w:t>
            </w:r>
            <w:r>
              <w:rPr>
                <w:rFonts w:cs="Calibri"/>
                <w:b w:val="0"/>
                <w:color w:val="000000"/>
                <w:sz w:val="20"/>
                <w:szCs w:val="20"/>
                <w:lang w:val="hy-AM" w:eastAsia="en-US"/>
              </w:rPr>
              <w:t>9</w:t>
            </w:r>
          </w:p>
        </w:tc>
      </w:tr>
      <w:tr w:rsidR="00027FBF" w:rsidRPr="00A83C94" w14:paraId="46E186D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59C214"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387754C1"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54FB41A2"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611D5A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3.2%</w:t>
            </w:r>
          </w:p>
        </w:tc>
        <w:tc>
          <w:tcPr>
            <w:tcW w:w="940" w:type="dxa"/>
            <w:tcBorders>
              <w:top w:val="nil"/>
              <w:left w:val="nil"/>
              <w:bottom w:val="single" w:sz="8" w:space="0" w:color="2F75B5"/>
              <w:right w:val="single" w:sz="8" w:space="0" w:color="2F75B5"/>
            </w:tcBorders>
            <w:shd w:val="clear" w:color="auto" w:fill="auto"/>
            <w:noWrap/>
            <w:vAlign w:val="center"/>
            <w:hideMark/>
          </w:tcPr>
          <w:p w14:paraId="353ED79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Pr>
                <w:rFonts w:cs="Calibri"/>
                <w:b w:val="0"/>
                <w:i/>
                <w:iCs/>
                <w:color w:val="000000"/>
                <w:sz w:val="20"/>
                <w:szCs w:val="20"/>
                <w:lang w:val="hy-AM" w:eastAsia="en-US"/>
              </w:rPr>
              <w:t>4.3</w:t>
            </w:r>
            <w:r w:rsidRPr="00A83C94">
              <w:rPr>
                <w:rFonts w:cs="Calibri"/>
                <w:b w:val="0"/>
                <w:i/>
                <w:iCs/>
                <w:color w:val="000000"/>
                <w:sz w:val="20"/>
                <w:szCs w:val="20"/>
                <w:lang w:val="en-US" w:eastAsia="en-US"/>
              </w:rPr>
              <w:t>%</w:t>
            </w:r>
          </w:p>
        </w:tc>
      </w:tr>
    </w:tbl>
    <w:p w14:paraId="54FF78F1"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p>
    <w:p w14:paraId="67CF9947" w14:textId="77777777" w:rsidR="00027FBF" w:rsidRPr="00A83C94" w:rsidRDefault="00027FBF" w:rsidP="00027FBF">
      <w:pPr>
        <w:spacing w:before="0" w:line="259" w:lineRule="auto"/>
        <w:ind w:firstLine="0"/>
        <w:contextualSpacing w:val="0"/>
        <w:rPr>
          <w:rFonts w:eastAsia="Calibri" w:cs="Sylfaen"/>
          <w:b w:val="0"/>
          <w:bCs/>
          <w:i/>
          <w:iCs/>
          <w:color w:val="000000"/>
          <w:sz w:val="20"/>
          <w:szCs w:val="20"/>
          <w:lang w:val="hy-AM" w:eastAsia="en-US"/>
        </w:rPr>
      </w:pPr>
      <w:r w:rsidRPr="00A83C94">
        <w:rPr>
          <w:rFonts w:eastAsia="Calibri"/>
          <w:bCs/>
          <w:i/>
          <w:iCs/>
          <w:color w:val="000000"/>
          <w:szCs w:val="22"/>
          <w:lang w:val="hy-AM" w:eastAsia="en-US"/>
        </w:rPr>
        <w:t>Աղյուսակ 2.5.6.</w:t>
      </w:r>
      <w:r w:rsidRPr="00A83C94">
        <w:rPr>
          <w:rFonts w:eastAsia="Calibri"/>
          <w:bCs/>
          <w:i/>
          <w:iCs/>
          <w:sz w:val="20"/>
          <w:szCs w:val="20"/>
          <w:lang w:val="hy-AM" w:eastAsia="en-US"/>
        </w:rPr>
        <w:t xml:space="preserve"> </w:t>
      </w:r>
      <w:r w:rsidRPr="00A83C94">
        <w:rPr>
          <w:rFonts w:eastAsia="Calibri" w:cs="Sylfaen"/>
          <w:b w:val="0"/>
          <w:bCs/>
          <w:i/>
          <w:iCs/>
          <w:color w:val="000000"/>
          <w:sz w:val="20"/>
          <w:szCs w:val="20"/>
          <w:lang w:val="hy-AM" w:eastAsia="en-US"/>
        </w:rPr>
        <w:t>Պետական բյուջեի պակասուրդի ֆինանսավորման կանխատեսումների համեմատական աղյուսակը (մլրդ դրամ)</w:t>
      </w:r>
    </w:p>
    <w:p w14:paraId="22382FEE" w14:textId="77777777" w:rsidR="00027FBF" w:rsidRPr="00A83C94" w:rsidRDefault="00027FBF" w:rsidP="00027FBF">
      <w:pPr>
        <w:rPr>
          <w:lang w:val="hy-AM"/>
        </w:rPr>
      </w:pPr>
    </w:p>
    <w:tbl>
      <w:tblPr>
        <w:tblW w:w="7400" w:type="dxa"/>
        <w:tblInd w:w="1160" w:type="dxa"/>
        <w:tblLook w:val="04A0" w:firstRow="1" w:lastRow="0" w:firstColumn="1" w:lastColumn="0" w:noHBand="0" w:noVBand="1"/>
      </w:tblPr>
      <w:tblGrid>
        <w:gridCol w:w="1360"/>
        <w:gridCol w:w="3220"/>
        <w:gridCol w:w="940"/>
        <w:gridCol w:w="940"/>
        <w:gridCol w:w="940"/>
      </w:tblGrid>
      <w:tr w:rsidR="00027FBF" w:rsidRPr="00A83C94" w14:paraId="554BF675" w14:textId="77777777" w:rsidTr="00027FBF">
        <w:trPr>
          <w:trHeight w:val="585"/>
        </w:trPr>
        <w:tc>
          <w:tcPr>
            <w:tcW w:w="1360" w:type="dxa"/>
            <w:tcBorders>
              <w:top w:val="single" w:sz="8" w:space="0" w:color="FFFFFF"/>
              <w:left w:val="single" w:sz="8" w:space="0" w:color="FFFFFF"/>
              <w:bottom w:val="nil"/>
              <w:right w:val="single" w:sz="8" w:space="0" w:color="FFFFFF"/>
            </w:tcBorders>
            <w:shd w:val="clear" w:color="000000" w:fill="2F75B5"/>
            <w:noWrap/>
            <w:vAlign w:val="center"/>
            <w:hideMark/>
          </w:tcPr>
          <w:p w14:paraId="60938FF5"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Ընդունման տարին</w:t>
            </w:r>
          </w:p>
        </w:tc>
        <w:tc>
          <w:tcPr>
            <w:tcW w:w="3220" w:type="dxa"/>
            <w:tcBorders>
              <w:top w:val="single" w:sz="8" w:space="0" w:color="FFFFFF"/>
              <w:left w:val="nil"/>
              <w:bottom w:val="nil"/>
              <w:right w:val="single" w:sz="8" w:space="0" w:color="FFFFFF"/>
            </w:tcBorders>
            <w:shd w:val="clear" w:color="000000" w:fill="2F75B5"/>
            <w:noWrap/>
            <w:vAlign w:val="center"/>
            <w:hideMark/>
          </w:tcPr>
          <w:p w14:paraId="18068352" w14:textId="77777777" w:rsidR="00027FBF" w:rsidRPr="00A83C94" w:rsidRDefault="00027FBF" w:rsidP="00027FBF">
            <w:pPr>
              <w:spacing w:before="0" w:line="240" w:lineRule="auto"/>
              <w:ind w:firstLine="0"/>
              <w:contextualSpacing w:val="0"/>
              <w:rPr>
                <w:rFonts w:cs="Calibri"/>
                <w:bCs/>
                <w:color w:val="FFFFFF"/>
                <w:sz w:val="20"/>
                <w:szCs w:val="20"/>
                <w:lang w:val="en-US" w:eastAsia="en-US"/>
              </w:rPr>
            </w:pPr>
            <w:r w:rsidRPr="00A83C94">
              <w:rPr>
                <w:rFonts w:cs="Calibri"/>
                <w:bCs/>
                <w:color w:val="FFFFFF"/>
                <w:sz w:val="20"/>
                <w:szCs w:val="20"/>
                <w:lang w:val="en-US" w:eastAsia="en-US"/>
              </w:rPr>
              <w:t>Ծրագիր</w:t>
            </w:r>
          </w:p>
        </w:tc>
        <w:tc>
          <w:tcPr>
            <w:tcW w:w="940" w:type="dxa"/>
            <w:tcBorders>
              <w:top w:val="single" w:sz="8" w:space="0" w:color="FFFFFF"/>
              <w:left w:val="nil"/>
              <w:bottom w:val="nil"/>
              <w:right w:val="single" w:sz="8" w:space="0" w:color="FFFFFF"/>
            </w:tcBorders>
            <w:shd w:val="clear" w:color="000000" w:fill="2F75B5"/>
            <w:noWrap/>
            <w:vAlign w:val="center"/>
            <w:hideMark/>
          </w:tcPr>
          <w:p w14:paraId="4CE8A80C"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2020</w:t>
            </w:r>
          </w:p>
        </w:tc>
        <w:tc>
          <w:tcPr>
            <w:tcW w:w="940" w:type="dxa"/>
            <w:tcBorders>
              <w:top w:val="single" w:sz="8" w:space="0" w:color="FFFFFF"/>
              <w:left w:val="nil"/>
              <w:bottom w:val="nil"/>
              <w:right w:val="single" w:sz="8" w:space="0" w:color="FFFFFF"/>
            </w:tcBorders>
            <w:shd w:val="clear" w:color="000000" w:fill="2F75B5"/>
            <w:noWrap/>
            <w:vAlign w:val="center"/>
            <w:hideMark/>
          </w:tcPr>
          <w:p w14:paraId="1483A43C"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2021</w:t>
            </w:r>
          </w:p>
        </w:tc>
        <w:tc>
          <w:tcPr>
            <w:tcW w:w="940" w:type="dxa"/>
            <w:tcBorders>
              <w:top w:val="single" w:sz="8" w:space="0" w:color="FFFFFF"/>
              <w:left w:val="nil"/>
              <w:bottom w:val="nil"/>
              <w:right w:val="single" w:sz="8" w:space="0" w:color="FFFFFF"/>
            </w:tcBorders>
            <w:shd w:val="clear" w:color="000000" w:fill="2F75B5"/>
            <w:noWrap/>
            <w:vAlign w:val="center"/>
            <w:hideMark/>
          </w:tcPr>
          <w:p w14:paraId="19405D67" w14:textId="77777777" w:rsidR="00027FBF" w:rsidRPr="00A83C94" w:rsidRDefault="00027FBF" w:rsidP="00027FBF">
            <w:pPr>
              <w:spacing w:before="0" w:line="240" w:lineRule="auto"/>
              <w:ind w:firstLine="0"/>
              <w:contextualSpacing w:val="0"/>
              <w:jc w:val="center"/>
              <w:rPr>
                <w:rFonts w:cs="Calibri"/>
                <w:bCs/>
                <w:color w:val="FFFFFF"/>
                <w:sz w:val="20"/>
                <w:szCs w:val="20"/>
                <w:lang w:val="en-US" w:eastAsia="en-US"/>
              </w:rPr>
            </w:pPr>
            <w:r w:rsidRPr="00A83C94">
              <w:rPr>
                <w:rFonts w:cs="Calibri"/>
                <w:bCs/>
                <w:color w:val="FFFFFF"/>
                <w:sz w:val="20"/>
                <w:szCs w:val="20"/>
                <w:lang w:val="en-US" w:eastAsia="en-US"/>
              </w:rPr>
              <w:t>2022</w:t>
            </w:r>
          </w:p>
        </w:tc>
      </w:tr>
      <w:tr w:rsidR="00027FBF" w:rsidRPr="00A83C94" w14:paraId="044DF764" w14:textId="77777777" w:rsidTr="00027FBF">
        <w:trPr>
          <w:trHeight w:val="315"/>
        </w:trPr>
        <w:tc>
          <w:tcPr>
            <w:tcW w:w="1360" w:type="dxa"/>
            <w:vMerge w:val="restart"/>
            <w:tcBorders>
              <w:top w:val="single" w:sz="8" w:space="0" w:color="2F75B5"/>
              <w:left w:val="single" w:sz="8" w:space="0" w:color="2F75B5"/>
              <w:bottom w:val="single" w:sz="8" w:space="0" w:color="2F75B5"/>
              <w:right w:val="single" w:sz="8" w:space="0" w:color="2F75B5"/>
            </w:tcBorders>
            <w:shd w:val="clear" w:color="auto" w:fill="auto"/>
            <w:noWrap/>
            <w:vAlign w:val="center"/>
            <w:hideMark/>
          </w:tcPr>
          <w:p w14:paraId="5E3ACFA0"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w:t>
            </w:r>
          </w:p>
        </w:tc>
        <w:tc>
          <w:tcPr>
            <w:tcW w:w="3220" w:type="dxa"/>
            <w:tcBorders>
              <w:top w:val="single" w:sz="8" w:space="0" w:color="2F75B5"/>
              <w:left w:val="nil"/>
              <w:bottom w:val="single" w:sz="8" w:space="0" w:color="2F75B5"/>
              <w:right w:val="single" w:sz="8" w:space="0" w:color="2F75B5"/>
            </w:tcBorders>
            <w:shd w:val="clear" w:color="auto" w:fill="auto"/>
            <w:noWrap/>
            <w:vAlign w:val="center"/>
            <w:hideMark/>
          </w:tcPr>
          <w:p w14:paraId="113C2743"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Փաստացի</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4BBAEBAA"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334.0</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5CEFA6AF"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single" w:sz="8" w:space="0" w:color="2F75B5"/>
              <w:left w:val="nil"/>
              <w:bottom w:val="single" w:sz="8" w:space="0" w:color="2F75B5"/>
              <w:right w:val="single" w:sz="8" w:space="0" w:color="2F75B5"/>
            </w:tcBorders>
            <w:shd w:val="clear" w:color="auto" w:fill="auto"/>
            <w:noWrap/>
            <w:vAlign w:val="center"/>
            <w:hideMark/>
          </w:tcPr>
          <w:p w14:paraId="70DA5DD0"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CC5FA9B" w14:textId="77777777" w:rsidTr="00027FBF">
        <w:trPr>
          <w:trHeight w:val="315"/>
        </w:trPr>
        <w:tc>
          <w:tcPr>
            <w:tcW w:w="1360" w:type="dxa"/>
            <w:vMerge/>
            <w:tcBorders>
              <w:top w:val="single" w:sz="8" w:space="0" w:color="2F75B5"/>
              <w:left w:val="single" w:sz="8" w:space="0" w:color="2F75B5"/>
              <w:bottom w:val="single" w:sz="8" w:space="0" w:color="2F75B5"/>
              <w:right w:val="single" w:sz="8" w:space="0" w:color="2F75B5"/>
            </w:tcBorders>
            <w:vAlign w:val="center"/>
            <w:hideMark/>
          </w:tcPr>
          <w:p w14:paraId="3E187080"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AA0A8AE"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073EE4F"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5.4%</w:t>
            </w:r>
          </w:p>
        </w:tc>
        <w:tc>
          <w:tcPr>
            <w:tcW w:w="940" w:type="dxa"/>
            <w:tcBorders>
              <w:top w:val="nil"/>
              <w:left w:val="nil"/>
              <w:bottom w:val="single" w:sz="8" w:space="0" w:color="2F75B5"/>
              <w:right w:val="single" w:sz="8" w:space="0" w:color="2F75B5"/>
            </w:tcBorders>
            <w:shd w:val="clear" w:color="auto" w:fill="auto"/>
            <w:noWrap/>
            <w:vAlign w:val="center"/>
            <w:hideMark/>
          </w:tcPr>
          <w:p w14:paraId="4A8A1109"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2DBC52EC"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2B45D13D"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422BE21A"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2019</w:t>
            </w:r>
          </w:p>
        </w:tc>
        <w:tc>
          <w:tcPr>
            <w:tcW w:w="3220" w:type="dxa"/>
            <w:tcBorders>
              <w:top w:val="nil"/>
              <w:left w:val="nil"/>
              <w:bottom w:val="single" w:sz="8" w:space="0" w:color="2F75B5"/>
              <w:right w:val="single" w:sz="8" w:space="0" w:color="2F75B5"/>
            </w:tcBorders>
            <w:shd w:val="clear" w:color="auto" w:fill="auto"/>
            <w:noWrap/>
            <w:vAlign w:val="center"/>
            <w:hideMark/>
          </w:tcPr>
          <w:p w14:paraId="288DD876"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2020-2022</w:t>
            </w:r>
          </w:p>
        </w:tc>
        <w:tc>
          <w:tcPr>
            <w:tcW w:w="940" w:type="dxa"/>
            <w:tcBorders>
              <w:top w:val="nil"/>
              <w:left w:val="nil"/>
              <w:bottom w:val="single" w:sz="8" w:space="0" w:color="2F75B5"/>
              <w:right w:val="single" w:sz="8" w:space="0" w:color="2F75B5"/>
            </w:tcBorders>
            <w:shd w:val="clear" w:color="auto" w:fill="auto"/>
            <w:noWrap/>
            <w:vAlign w:val="center"/>
            <w:hideMark/>
          </w:tcPr>
          <w:p w14:paraId="64B5F89D"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157.6</w:t>
            </w:r>
          </w:p>
        </w:tc>
        <w:tc>
          <w:tcPr>
            <w:tcW w:w="940" w:type="dxa"/>
            <w:tcBorders>
              <w:top w:val="nil"/>
              <w:left w:val="nil"/>
              <w:bottom w:val="single" w:sz="8" w:space="0" w:color="2F75B5"/>
              <w:right w:val="single" w:sz="8" w:space="0" w:color="2F75B5"/>
            </w:tcBorders>
            <w:shd w:val="clear" w:color="auto" w:fill="auto"/>
            <w:noWrap/>
            <w:vAlign w:val="center"/>
            <w:hideMark/>
          </w:tcPr>
          <w:p w14:paraId="340F7F65"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169.0</w:t>
            </w:r>
          </w:p>
        </w:tc>
        <w:tc>
          <w:tcPr>
            <w:tcW w:w="940" w:type="dxa"/>
            <w:tcBorders>
              <w:top w:val="nil"/>
              <w:left w:val="nil"/>
              <w:bottom w:val="single" w:sz="8" w:space="0" w:color="2F75B5"/>
              <w:right w:val="single" w:sz="8" w:space="0" w:color="2F75B5"/>
            </w:tcBorders>
            <w:shd w:val="clear" w:color="auto" w:fill="auto"/>
            <w:noWrap/>
            <w:vAlign w:val="center"/>
            <w:hideMark/>
          </w:tcPr>
          <w:p w14:paraId="51970FCB"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184.4</w:t>
            </w:r>
          </w:p>
        </w:tc>
      </w:tr>
      <w:tr w:rsidR="00027FBF" w:rsidRPr="00A83C94" w14:paraId="2734E1C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078D99E"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7414EAD"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0F74193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w:t>
            </w:r>
          </w:p>
        </w:tc>
        <w:tc>
          <w:tcPr>
            <w:tcW w:w="940" w:type="dxa"/>
            <w:tcBorders>
              <w:top w:val="nil"/>
              <w:left w:val="nil"/>
              <w:bottom w:val="single" w:sz="8" w:space="0" w:color="2F75B5"/>
              <w:right w:val="single" w:sz="8" w:space="0" w:color="2F75B5"/>
            </w:tcBorders>
            <w:shd w:val="clear" w:color="auto" w:fill="auto"/>
            <w:noWrap/>
            <w:vAlign w:val="center"/>
            <w:hideMark/>
          </w:tcPr>
          <w:p w14:paraId="73F9238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w:t>
            </w:r>
          </w:p>
        </w:tc>
        <w:tc>
          <w:tcPr>
            <w:tcW w:w="940" w:type="dxa"/>
            <w:tcBorders>
              <w:top w:val="nil"/>
              <w:left w:val="nil"/>
              <w:bottom w:val="single" w:sz="8" w:space="0" w:color="2F75B5"/>
              <w:right w:val="single" w:sz="8" w:space="0" w:color="2F75B5"/>
            </w:tcBorders>
            <w:shd w:val="clear" w:color="auto" w:fill="auto"/>
            <w:noWrap/>
            <w:vAlign w:val="center"/>
            <w:hideMark/>
          </w:tcPr>
          <w:p w14:paraId="37D5FC1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2.2%</w:t>
            </w:r>
          </w:p>
        </w:tc>
      </w:tr>
      <w:tr w:rsidR="00027FBF" w:rsidRPr="00A83C94" w14:paraId="23FED8E7"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32C6B749"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C72282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2020թ.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127A9E8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160.7</w:t>
            </w:r>
          </w:p>
        </w:tc>
        <w:tc>
          <w:tcPr>
            <w:tcW w:w="940" w:type="dxa"/>
            <w:tcBorders>
              <w:top w:val="nil"/>
              <w:left w:val="nil"/>
              <w:bottom w:val="single" w:sz="8" w:space="0" w:color="2F75B5"/>
              <w:right w:val="single" w:sz="8" w:space="0" w:color="2F75B5"/>
            </w:tcBorders>
            <w:shd w:val="clear" w:color="auto" w:fill="auto"/>
            <w:noWrap/>
            <w:vAlign w:val="center"/>
            <w:hideMark/>
          </w:tcPr>
          <w:p w14:paraId="05209CC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4F2A475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682F759B"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2D3CDA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1285D1FF"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32D5D1F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2.3%</w:t>
            </w:r>
          </w:p>
        </w:tc>
        <w:tc>
          <w:tcPr>
            <w:tcW w:w="940" w:type="dxa"/>
            <w:tcBorders>
              <w:top w:val="nil"/>
              <w:left w:val="nil"/>
              <w:bottom w:val="single" w:sz="8" w:space="0" w:color="2F75B5"/>
              <w:right w:val="single" w:sz="8" w:space="0" w:color="2F75B5"/>
            </w:tcBorders>
            <w:shd w:val="clear" w:color="auto" w:fill="auto"/>
            <w:noWrap/>
            <w:vAlign w:val="center"/>
            <w:hideMark/>
          </w:tcPr>
          <w:p w14:paraId="4FE40522"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79A5C97B"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r>
      <w:tr w:rsidR="00027FBF" w:rsidRPr="00A83C94" w14:paraId="14159D14"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7FBFBA4F"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2020</w:t>
            </w:r>
          </w:p>
        </w:tc>
        <w:tc>
          <w:tcPr>
            <w:tcW w:w="3220" w:type="dxa"/>
            <w:tcBorders>
              <w:top w:val="nil"/>
              <w:left w:val="nil"/>
              <w:bottom w:val="single" w:sz="8" w:space="0" w:color="2F75B5"/>
              <w:right w:val="single" w:sz="8" w:space="0" w:color="2F75B5"/>
            </w:tcBorders>
            <w:shd w:val="clear" w:color="auto" w:fill="auto"/>
            <w:noWrap/>
            <w:vAlign w:val="center"/>
            <w:hideMark/>
          </w:tcPr>
          <w:p w14:paraId="795B6454"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2021-2023</w:t>
            </w:r>
          </w:p>
        </w:tc>
        <w:tc>
          <w:tcPr>
            <w:tcW w:w="940" w:type="dxa"/>
            <w:tcBorders>
              <w:top w:val="nil"/>
              <w:left w:val="nil"/>
              <w:bottom w:val="single" w:sz="8" w:space="0" w:color="2F75B5"/>
              <w:right w:val="single" w:sz="8" w:space="0" w:color="2F75B5"/>
            </w:tcBorders>
            <w:shd w:val="clear" w:color="auto" w:fill="auto"/>
            <w:noWrap/>
            <w:vAlign w:val="center"/>
            <w:hideMark/>
          </w:tcPr>
          <w:p w14:paraId="4224DFA1"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361.5</w:t>
            </w:r>
            <w:r w:rsidRPr="00A83C94">
              <w:rPr>
                <w:rFonts w:ascii="Calibri" w:hAnsi="Calibri" w:cs="Calibri"/>
                <w:b w:val="0"/>
                <w:color w:val="000000"/>
                <w:sz w:val="20"/>
                <w:szCs w:val="20"/>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BA3F9B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209.1</w:t>
            </w:r>
          </w:p>
        </w:tc>
        <w:tc>
          <w:tcPr>
            <w:tcW w:w="940" w:type="dxa"/>
            <w:tcBorders>
              <w:top w:val="nil"/>
              <w:left w:val="nil"/>
              <w:bottom w:val="single" w:sz="8" w:space="0" w:color="2F75B5"/>
              <w:right w:val="single" w:sz="8" w:space="0" w:color="2F75B5"/>
            </w:tcBorders>
            <w:shd w:val="clear" w:color="auto" w:fill="auto"/>
            <w:noWrap/>
            <w:vAlign w:val="center"/>
            <w:hideMark/>
          </w:tcPr>
          <w:p w14:paraId="7CB05764"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140.2</w:t>
            </w:r>
          </w:p>
        </w:tc>
      </w:tr>
      <w:tr w:rsidR="00027FBF" w:rsidRPr="00A83C94" w14:paraId="231B22DD"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1C37C49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227D6A7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40690A2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5.6%</w:t>
            </w:r>
            <w:r w:rsidRPr="00A83C94">
              <w:rPr>
                <w:rFonts w:ascii="Calibri" w:hAnsi="Calibri" w:cs="Calibri"/>
                <w:b w:val="0"/>
                <w:i/>
                <w:iCs/>
                <w:color w:val="000000"/>
                <w:sz w:val="18"/>
                <w:szCs w:val="18"/>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8B74E3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2.9%</w:t>
            </w:r>
          </w:p>
        </w:tc>
        <w:tc>
          <w:tcPr>
            <w:tcW w:w="940" w:type="dxa"/>
            <w:tcBorders>
              <w:top w:val="nil"/>
              <w:left w:val="nil"/>
              <w:bottom w:val="single" w:sz="8" w:space="0" w:color="2F75B5"/>
              <w:right w:val="single" w:sz="8" w:space="0" w:color="2F75B5"/>
            </w:tcBorders>
            <w:shd w:val="clear" w:color="auto" w:fill="auto"/>
            <w:noWrap/>
            <w:vAlign w:val="center"/>
            <w:hideMark/>
          </w:tcPr>
          <w:p w14:paraId="4B414C5B"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1.8%</w:t>
            </w:r>
          </w:p>
        </w:tc>
      </w:tr>
      <w:tr w:rsidR="00027FBF" w:rsidRPr="00A83C94" w14:paraId="46F92B40"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63155006"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3ABEAEB"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2021թ.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5601310"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429.7</w:t>
            </w:r>
          </w:p>
        </w:tc>
        <w:tc>
          <w:tcPr>
            <w:tcW w:w="940" w:type="dxa"/>
            <w:tcBorders>
              <w:top w:val="nil"/>
              <w:left w:val="nil"/>
              <w:bottom w:val="single" w:sz="8" w:space="0" w:color="2F75B5"/>
              <w:right w:val="single" w:sz="8" w:space="0" w:color="2F75B5"/>
            </w:tcBorders>
            <w:shd w:val="clear" w:color="auto" w:fill="auto"/>
            <w:noWrap/>
            <w:vAlign w:val="center"/>
            <w:hideMark/>
          </w:tcPr>
          <w:p w14:paraId="41C8108C"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341.4</w:t>
            </w:r>
          </w:p>
        </w:tc>
        <w:tc>
          <w:tcPr>
            <w:tcW w:w="940" w:type="dxa"/>
            <w:tcBorders>
              <w:top w:val="nil"/>
              <w:left w:val="nil"/>
              <w:bottom w:val="single" w:sz="8" w:space="0" w:color="2F75B5"/>
              <w:right w:val="single" w:sz="8" w:space="0" w:color="2F75B5"/>
            </w:tcBorders>
            <w:shd w:val="clear" w:color="auto" w:fill="auto"/>
            <w:noWrap/>
            <w:vAlign w:val="center"/>
            <w:hideMark/>
          </w:tcPr>
          <w:p w14:paraId="332FAC7E"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ascii="Calibri" w:hAnsi="Calibri" w:cs="Calibri"/>
                <w:b w:val="0"/>
                <w:color w:val="000000"/>
                <w:sz w:val="20"/>
                <w:szCs w:val="20"/>
                <w:lang w:val="en-US" w:eastAsia="en-US"/>
              </w:rPr>
              <w:t> </w:t>
            </w:r>
          </w:p>
        </w:tc>
      </w:tr>
      <w:tr w:rsidR="00027FBF" w:rsidRPr="00A83C94" w14:paraId="438FECD5"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5FFD090B"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0950E03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7EB54835"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7.1%</w:t>
            </w:r>
          </w:p>
        </w:tc>
        <w:tc>
          <w:tcPr>
            <w:tcW w:w="940" w:type="dxa"/>
            <w:tcBorders>
              <w:top w:val="nil"/>
              <w:left w:val="nil"/>
              <w:bottom w:val="single" w:sz="8" w:space="0" w:color="2F75B5"/>
              <w:right w:val="single" w:sz="8" w:space="0" w:color="2F75B5"/>
            </w:tcBorders>
            <w:shd w:val="clear" w:color="auto" w:fill="auto"/>
            <w:noWrap/>
            <w:vAlign w:val="center"/>
            <w:hideMark/>
          </w:tcPr>
          <w:p w14:paraId="0BA010FE"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5.3%</w:t>
            </w:r>
          </w:p>
        </w:tc>
        <w:tc>
          <w:tcPr>
            <w:tcW w:w="940" w:type="dxa"/>
            <w:tcBorders>
              <w:top w:val="nil"/>
              <w:left w:val="nil"/>
              <w:bottom w:val="single" w:sz="8" w:space="0" w:color="2F75B5"/>
              <w:right w:val="single" w:sz="8" w:space="0" w:color="2F75B5"/>
            </w:tcBorders>
            <w:shd w:val="clear" w:color="auto" w:fill="auto"/>
            <w:noWrap/>
            <w:vAlign w:val="center"/>
            <w:hideMark/>
          </w:tcPr>
          <w:p w14:paraId="16B89DF1"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ascii="Calibri" w:hAnsi="Calibri" w:cs="Calibri"/>
                <w:b w:val="0"/>
                <w:i/>
                <w:iCs/>
                <w:color w:val="000000"/>
                <w:sz w:val="20"/>
                <w:szCs w:val="20"/>
                <w:lang w:val="en-US" w:eastAsia="en-US"/>
              </w:rPr>
              <w:t> </w:t>
            </w:r>
          </w:p>
        </w:tc>
      </w:tr>
      <w:tr w:rsidR="00027FBF" w:rsidRPr="00A83C94" w14:paraId="3072E1FF" w14:textId="77777777" w:rsidTr="00027FBF">
        <w:trPr>
          <w:trHeight w:val="315"/>
        </w:trPr>
        <w:tc>
          <w:tcPr>
            <w:tcW w:w="1360" w:type="dxa"/>
            <w:vMerge w:val="restart"/>
            <w:tcBorders>
              <w:top w:val="nil"/>
              <w:left w:val="single" w:sz="8" w:space="0" w:color="2F75B5"/>
              <w:bottom w:val="single" w:sz="8" w:space="0" w:color="2F75B5"/>
              <w:right w:val="single" w:sz="8" w:space="0" w:color="2F75B5"/>
            </w:tcBorders>
            <w:shd w:val="clear" w:color="auto" w:fill="auto"/>
            <w:noWrap/>
            <w:vAlign w:val="center"/>
            <w:hideMark/>
          </w:tcPr>
          <w:p w14:paraId="037D8FC2" w14:textId="77777777" w:rsidR="00027FBF" w:rsidRPr="00A83C94" w:rsidRDefault="00027FBF"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2021</w:t>
            </w:r>
          </w:p>
        </w:tc>
        <w:tc>
          <w:tcPr>
            <w:tcW w:w="3220" w:type="dxa"/>
            <w:tcBorders>
              <w:top w:val="nil"/>
              <w:left w:val="nil"/>
              <w:bottom w:val="single" w:sz="8" w:space="0" w:color="2F75B5"/>
              <w:right w:val="single" w:sz="8" w:space="0" w:color="2F75B5"/>
            </w:tcBorders>
            <w:shd w:val="clear" w:color="auto" w:fill="auto"/>
            <w:noWrap/>
            <w:vAlign w:val="center"/>
            <w:hideMark/>
          </w:tcPr>
          <w:p w14:paraId="0300B9EE"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ՄԺԾԾ 2022-2024</w:t>
            </w:r>
          </w:p>
        </w:tc>
        <w:tc>
          <w:tcPr>
            <w:tcW w:w="940" w:type="dxa"/>
            <w:tcBorders>
              <w:top w:val="nil"/>
              <w:left w:val="nil"/>
              <w:bottom w:val="single" w:sz="8" w:space="0" w:color="2F75B5"/>
              <w:right w:val="single" w:sz="8" w:space="0" w:color="2F75B5"/>
            </w:tcBorders>
            <w:shd w:val="clear" w:color="auto" w:fill="auto"/>
            <w:noWrap/>
            <w:vAlign w:val="center"/>
            <w:hideMark/>
          </w:tcPr>
          <w:p w14:paraId="4DE998A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5914909"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318.8</w:t>
            </w:r>
          </w:p>
        </w:tc>
        <w:tc>
          <w:tcPr>
            <w:tcW w:w="940" w:type="dxa"/>
            <w:tcBorders>
              <w:top w:val="nil"/>
              <w:left w:val="nil"/>
              <w:bottom w:val="single" w:sz="8" w:space="0" w:color="2F75B5"/>
              <w:right w:val="single" w:sz="8" w:space="0" w:color="2F75B5"/>
            </w:tcBorders>
            <w:shd w:val="clear" w:color="auto" w:fill="auto"/>
            <w:noWrap/>
            <w:vAlign w:val="center"/>
            <w:hideMark/>
          </w:tcPr>
          <w:p w14:paraId="01ABA202"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181.7</w:t>
            </w:r>
          </w:p>
        </w:tc>
      </w:tr>
      <w:tr w:rsidR="00027FBF" w:rsidRPr="00A83C94" w14:paraId="78A8EDAA"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4254C11D"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48815F55"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26332C01"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142BD9F7"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4.6%</w:t>
            </w:r>
          </w:p>
        </w:tc>
        <w:tc>
          <w:tcPr>
            <w:tcW w:w="940" w:type="dxa"/>
            <w:tcBorders>
              <w:top w:val="nil"/>
              <w:left w:val="nil"/>
              <w:bottom w:val="single" w:sz="8" w:space="0" w:color="2F75B5"/>
              <w:right w:val="single" w:sz="8" w:space="0" w:color="2F75B5"/>
            </w:tcBorders>
            <w:shd w:val="clear" w:color="auto" w:fill="auto"/>
            <w:noWrap/>
            <w:vAlign w:val="center"/>
            <w:hideMark/>
          </w:tcPr>
          <w:p w14:paraId="715583A9"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2.4%</w:t>
            </w:r>
          </w:p>
        </w:tc>
      </w:tr>
      <w:tr w:rsidR="00027FBF" w:rsidRPr="00A83C94" w14:paraId="19EBB2AC"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3B29BF5"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7615A998" w14:textId="77777777" w:rsidR="00027FBF" w:rsidRPr="00A83C94" w:rsidRDefault="00027FBF"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2022թ. Պետական բյուջե</w:t>
            </w:r>
          </w:p>
        </w:tc>
        <w:tc>
          <w:tcPr>
            <w:tcW w:w="940" w:type="dxa"/>
            <w:tcBorders>
              <w:top w:val="nil"/>
              <w:left w:val="nil"/>
              <w:bottom w:val="single" w:sz="8" w:space="0" w:color="2F75B5"/>
              <w:right w:val="single" w:sz="8" w:space="0" w:color="2F75B5"/>
            </w:tcBorders>
            <w:shd w:val="clear" w:color="auto" w:fill="auto"/>
            <w:noWrap/>
            <w:vAlign w:val="center"/>
            <w:hideMark/>
          </w:tcPr>
          <w:p w14:paraId="381810C6"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0E484CC8" w14:textId="77777777" w:rsidR="00027FBF" w:rsidRPr="00A83C94" w:rsidRDefault="00027FBF" w:rsidP="00027FBF">
            <w:pPr>
              <w:spacing w:before="0" w:line="240" w:lineRule="auto"/>
              <w:ind w:firstLine="0"/>
              <w:contextualSpacing w:val="0"/>
              <w:jc w:val="right"/>
              <w:rPr>
                <w:rFonts w:cs="Calibri"/>
                <w:b w:val="0"/>
                <w:color w:val="000000"/>
                <w:sz w:val="20"/>
                <w:szCs w:val="20"/>
                <w:lang w:val="en-US" w:eastAsia="en-US"/>
              </w:rPr>
            </w:pPr>
            <w:r w:rsidRPr="00A83C94">
              <w:rPr>
                <w:rFonts w:cs="Calibri"/>
                <w:b w:val="0"/>
                <w:color w:val="000000"/>
                <w:sz w:val="20"/>
                <w:szCs w:val="20"/>
                <w:lang w:val="en-US" w:eastAsia="en-US"/>
              </w:rPr>
              <w:t>329.1</w:t>
            </w:r>
          </w:p>
        </w:tc>
        <w:tc>
          <w:tcPr>
            <w:tcW w:w="940" w:type="dxa"/>
            <w:tcBorders>
              <w:top w:val="nil"/>
              <w:left w:val="nil"/>
              <w:bottom w:val="single" w:sz="8" w:space="0" w:color="2F75B5"/>
              <w:right w:val="single" w:sz="8" w:space="0" w:color="2F75B5"/>
            </w:tcBorders>
            <w:shd w:val="clear" w:color="auto" w:fill="auto"/>
            <w:noWrap/>
            <w:vAlign w:val="center"/>
            <w:hideMark/>
          </w:tcPr>
          <w:p w14:paraId="06B647C3" w14:textId="77777777" w:rsidR="00027FBF" w:rsidRPr="00387D6C" w:rsidRDefault="00027FBF" w:rsidP="00027FBF">
            <w:pPr>
              <w:spacing w:before="0" w:line="240" w:lineRule="auto"/>
              <w:ind w:firstLine="0"/>
              <w:contextualSpacing w:val="0"/>
              <w:jc w:val="right"/>
              <w:rPr>
                <w:rFonts w:cs="Calibri"/>
                <w:b w:val="0"/>
                <w:color w:val="000000"/>
                <w:sz w:val="20"/>
                <w:szCs w:val="20"/>
                <w:lang w:val="hy-AM" w:eastAsia="en-US"/>
              </w:rPr>
            </w:pPr>
            <w:r>
              <w:rPr>
                <w:rFonts w:cs="Calibri"/>
                <w:b w:val="0"/>
                <w:color w:val="000000"/>
                <w:sz w:val="20"/>
                <w:szCs w:val="20"/>
                <w:lang w:val="hy-AM" w:eastAsia="en-US"/>
              </w:rPr>
              <w:t>236.3</w:t>
            </w:r>
          </w:p>
        </w:tc>
      </w:tr>
      <w:tr w:rsidR="00027FBF" w:rsidRPr="00A83C94" w14:paraId="71493203" w14:textId="77777777" w:rsidTr="00027FBF">
        <w:trPr>
          <w:trHeight w:val="315"/>
        </w:trPr>
        <w:tc>
          <w:tcPr>
            <w:tcW w:w="1360" w:type="dxa"/>
            <w:vMerge/>
            <w:tcBorders>
              <w:top w:val="nil"/>
              <w:left w:val="single" w:sz="8" w:space="0" w:color="2F75B5"/>
              <w:bottom w:val="single" w:sz="8" w:space="0" w:color="2F75B5"/>
              <w:right w:val="single" w:sz="8" w:space="0" w:color="2F75B5"/>
            </w:tcBorders>
            <w:vAlign w:val="center"/>
            <w:hideMark/>
          </w:tcPr>
          <w:p w14:paraId="0232381F" w14:textId="77777777" w:rsidR="00027FBF" w:rsidRPr="00A83C94" w:rsidRDefault="00027FBF" w:rsidP="00027FBF">
            <w:pPr>
              <w:spacing w:before="0" w:line="240" w:lineRule="auto"/>
              <w:ind w:firstLine="0"/>
              <w:contextualSpacing w:val="0"/>
              <w:jc w:val="left"/>
              <w:rPr>
                <w:rFonts w:cs="Calibri"/>
                <w:bCs/>
                <w:color w:val="000000"/>
                <w:sz w:val="20"/>
                <w:szCs w:val="20"/>
                <w:lang w:val="en-US" w:eastAsia="en-US"/>
              </w:rPr>
            </w:pPr>
          </w:p>
        </w:tc>
        <w:tc>
          <w:tcPr>
            <w:tcW w:w="3220" w:type="dxa"/>
            <w:tcBorders>
              <w:top w:val="nil"/>
              <w:left w:val="nil"/>
              <w:bottom w:val="single" w:sz="8" w:space="0" w:color="2F75B5"/>
              <w:right w:val="single" w:sz="8" w:space="0" w:color="2F75B5"/>
            </w:tcBorders>
            <w:shd w:val="clear" w:color="auto" w:fill="auto"/>
            <w:noWrap/>
            <w:vAlign w:val="center"/>
            <w:hideMark/>
          </w:tcPr>
          <w:p w14:paraId="5B9FA340" w14:textId="77777777" w:rsidR="00027FBF" w:rsidRPr="00A83C94" w:rsidRDefault="00027FBF" w:rsidP="00027FBF">
            <w:pPr>
              <w:spacing w:before="0" w:line="240" w:lineRule="auto"/>
              <w:ind w:firstLine="0"/>
              <w:contextualSpacing w:val="0"/>
              <w:rPr>
                <w:rFonts w:cs="Calibri"/>
                <w:b w:val="0"/>
                <w:i/>
                <w:iCs/>
                <w:color w:val="000000"/>
                <w:sz w:val="20"/>
                <w:szCs w:val="20"/>
                <w:lang w:val="en-US" w:eastAsia="en-US"/>
              </w:rPr>
            </w:pPr>
            <w:r w:rsidRPr="00A83C94">
              <w:rPr>
                <w:rFonts w:cs="Calibri"/>
                <w:b w:val="0"/>
                <w:i/>
                <w:iCs/>
                <w:color w:val="000000"/>
                <w:sz w:val="20"/>
                <w:szCs w:val="20"/>
                <w:lang w:val="en-US" w:eastAsia="en-US"/>
              </w:rPr>
              <w:t>%-ով՝ ՀՆԱ-ի նկատմամբ</w:t>
            </w:r>
          </w:p>
        </w:tc>
        <w:tc>
          <w:tcPr>
            <w:tcW w:w="940" w:type="dxa"/>
            <w:tcBorders>
              <w:top w:val="nil"/>
              <w:left w:val="nil"/>
              <w:bottom w:val="single" w:sz="8" w:space="0" w:color="2F75B5"/>
              <w:right w:val="single" w:sz="8" w:space="0" w:color="2F75B5"/>
            </w:tcBorders>
            <w:shd w:val="clear" w:color="auto" w:fill="auto"/>
            <w:noWrap/>
            <w:vAlign w:val="center"/>
            <w:hideMark/>
          </w:tcPr>
          <w:p w14:paraId="1646AB9E" w14:textId="77777777" w:rsidR="00027FBF" w:rsidRPr="00A83C94" w:rsidRDefault="00027FBF" w:rsidP="00027FBF">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940" w:type="dxa"/>
            <w:tcBorders>
              <w:top w:val="nil"/>
              <w:left w:val="nil"/>
              <w:bottom w:val="single" w:sz="8" w:space="0" w:color="2F75B5"/>
              <w:right w:val="single" w:sz="8" w:space="0" w:color="2F75B5"/>
            </w:tcBorders>
            <w:shd w:val="clear" w:color="auto" w:fill="auto"/>
            <w:noWrap/>
            <w:vAlign w:val="center"/>
            <w:hideMark/>
          </w:tcPr>
          <w:p w14:paraId="30327CF4"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4.7%</w:t>
            </w:r>
          </w:p>
        </w:tc>
        <w:tc>
          <w:tcPr>
            <w:tcW w:w="940" w:type="dxa"/>
            <w:tcBorders>
              <w:top w:val="nil"/>
              <w:left w:val="nil"/>
              <w:bottom w:val="single" w:sz="8" w:space="0" w:color="2F75B5"/>
              <w:right w:val="single" w:sz="8" w:space="0" w:color="2F75B5"/>
            </w:tcBorders>
            <w:shd w:val="clear" w:color="auto" w:fill="auto"/>
            <w:noWrap/>
            <w:vAlign w:val="center"/>
            <w:hideMark/>
          </w:tcPr>
          <w:p w14:paraId="1BF06B18" w14:textId="77777777" w:rsidR="00027FBF" w:rsidRPr="00A83C94" w:rsidRDefault="00027FBF" w:rsidP="00027FBF">
            <w:pPr>
              <w:spacing w:before="0" w:line="240" w:lineRule="auto"/>
              <w:ind w:firstLine="0"/>
              <w:contextualSpacing w:val="0"/>
              <w:jc w:val="right"/>
              <w:rPr>
                <w:rFonts w:cs="Calibri"/>
                <w:b w:val="0"/>
                <w:i/>
                <w:iCs/>
                <w:color w:val="000000"/>
                <w:sz w:val="20"/>
                <w:szCs w:val="20"/>
                <w:lang w:val="en-US" w:eastAsia="en-US"/>
              </w:rPr>
            </w:pPr>
            <w:r w:rsidRPr="00A83C94">
              <w:rPr>
                <w:rFonts w:cs="Calibri"/>
                <w:b w:val="0"/>
                <w:i/>
                <w:iCs/>
                <w:color w:val="000000"/>
                <w:sz w:val="20"/>
                <w:szCs w:val="20"/>
                <w:lang w:val="en-US" w:eastAsia="en-US"/>
              </w:rPr>
              <w:t>3.</w:t>
            </w:r>
            <w:r>
              <w:rPr>
                <w:rFonts w:cs="Calibri"/>
                <w:b w:val="0"/>
                <w:i/>
                <w:iCs/>
                <w:color w:val="000000"/>
                <w:sz w:val="20"/>
                <w:szCs w:val="20"/>
                <w:lang w:val="hy-AM" w:eastAsia="en-US"/>
              </w:rPr>
              <w:t>0</w:t>
            </w:r>
            <w:r w:rsidRPr="00A83C94">
              <w:rPr>
                <w:rFonts w:cs="Calibri"/>
                <w:b w:val="0"/>
                <w:i/>
                <w:iCs/>
                <w:color w:val="000000"/>
                <w:sz w:val="20"/>
                <w:szCs w:val="20"/>
                <w:lang w:val="en-US" w:eastAsia="en-US"/>
              </w:rPr>
              <w:t>%</w:t>
            </w:r>
          </w:p>
        </w:tc>
      </w:tr>
    </w:tbl>
    <w:p w14:paraId="20108312" w14:textId="77777777" w:rsidR="00027FBF" w:rsidRPr="00A83C94" w:rsidRDefault="00027FBF" w:rsidP="00027FBF">
      <w:pPr>
        <w:spacing w:before="0" w:after="160" w:line="259" w:lineRule="auto"/>
        <w:ind w:firstLine="0"/>
        <w:contextualSpacing w:val="0"/>
        <w:jc w:val="left"/>
        <w:rPr>
          <w:rFonts w:ascii="Calibri" w:eastAsia="Calibri" w:hAnsi="Calibri"/>
          <w:b w:val="0"/>
          <w:szCs w:val="22"/>
          <w:lang w:val="en-US" w:eastAsia="en-US"/>
        </w:rPr>
      </w:pPr>
    </w:p>
    <w:p w14:paraId="34810542" w14:textId="77777777" w:rsidR="00027FBF" w:rsidRDefault="00027FBF" w:rsidP="00027FBF">
      <w:pPr>
        <w:spacing w:before="0" w:line="240" w:lineRule="auto"/>
        <w:ind w:firstLine="0"/>
        <w:contextualSpacing w:val="0"/>
        <w:jc w:val="left"/>
        <w:rPr>
          <w:sz w:val="28"/>
          <w:szCs w:val="20"/>
          <w:lang w:val="hy-AM"/>
        </w:rPr>
      </w:pPr>
      <w:r>
        <w:rPr>
          <w:lang w:val="hy-AM"/>
        </w:rPr>
        <w:br w:type="page"/>
      </w:r>
    </w:p>
    <w:p w14:paraId="54B385E6" w14:textId="77777777" w:rsidR="00027FBF" w:rsidRPr="00A83C94" w:rsidRDefault="00027FBF" w:rsidP="00027FBF">
      <w:pPr>
        <w:pStyle w:val="Heading1"/>
        <w:rPr>
          <w:lang w:val="sk-SK"/>
        </w:rPr>
      </w:pPr>
      <w:bookmarkStart w:id="193" w:name="_Toc83972842"/>
      <w:bookmarkStart w:id="194" w:name="_Toc89428297"/>
      <w:r w:rsidRPr="00EB774C">
        <w:rPr>
          <w:lang w:val="hy-AM"/>
        </w:rPr>
        <w:t>ՄԱՍ</w:t>
      </w:r>
      <w:r w:rsidRPr="00A83C94">
        <w:rPr>
          <w:lang w:val="sk-SK"/>
        </w:rPr>
        <w:t xml:space="preserve"> II-</w:t>
      </w:r>
      <w:r w:rsidRPr="00EB774C">
        <w:rPr>
          <w:lang w:val="hy-AM"/>
        </w:rPr>
        <w:t>Ա</w:t>
      </w:r>
      <w:r w:rsidRPr="00A83C94">
        <w:rPr>
          <w:lang w:val="sk-SK"/>
        </w:rPr>
        <w:t xml:space="preserve"> </w:t>
      </w:r>
      <w:r w:rsidRPr="00EB774C">
        <w:rPr>
          <w:lang w:val="hy-AM"/>
        </w:rPr>
        <w:t>ՊԵՏԱԿԱՆ</w:t>
      </w:r>
      <w:r w:rsidRPr="00A83C94">
        <w:rPr>
          <w:lang w:val="sk-SK"/>
        </w:rPr>
        <w:t xml:space="preserve"> </w:t>
      </w:r>
      <w:r w:rsidRPr="00EB774C">
        <w:rPr>
          <w:lang w:val="hy-AM"/>
        </w:rPr>
        <w:t>ԲՅՈՒՋԵԻ</w:t>
      </w:r>
      <w:r w:rsidRPr="00A83C94">
        <w:rPr>
          <w:lang w:val="sk-SK"/>
        </w:rPr>
        <w:t xml:space="preserve"> </w:t>
      </w:r>
      <w:r w:rsidRPr="00EB774C">
        <w:rPr>
          <w:lang w:val="hy-AM"/>
        </w:rPr>
        <w:t>ՑՈՒՑԱՆԻՇՆԵՐԻ</w:t>
      </w:r>
      <w:r w:rsidRPr="00A83C94">
        <w:rPr>
          <w:lang w:val="sk-SK"/>
        </w:rPr>
        <w:t xml:space="preserve"> </w:t>
      </w:r>
      <w:r w:rsidRPr="00EB774C">
        <w:rPr>
          <w:lang w:val="hy-AM"/>
        </w:rPr>
        <w:t>ԿԱՆԽԱՏԵՍՈՒՄՆԵՐ</w:t>
      </w:r>
      <w:bookmarkEnd w:id="193"/>
      <w:bookmarkEnd w:id="194"/>
    </w:p>
    <w:p w14:paraId="0624A8FE" w14:textId="77777777" w:rsidR="00027FBF" w:rsidRPr="00A83C94" w:rsidRDefault="00027FBF" w:rsidP="00027FBF">
      <w:pPr>
        <w:keepNext/>
        <w:spacing w:before="0" w:line="276" w:lineRule="auto"/>
        <w:ind w:firstLine="566"/>
        <w:outlineLvl w:val="1"/>
        <w:rPr>
          <w:rFonts w:eastAsia="Calibri" w:cs="Times LatArm"/>
          <w:sz w:val="24"/>
          <w:lang w:val="hy-AM" w:eastAsia="en-US"/>
        </w:rPr>
      </w:pPr>
      <w:bookmarkStart w:id="195" w:name="_Toc26174926"/>
      <w:bookmarkStart w:id="196" w:name="_Toc83972843"/>
      <w:bookmarkStart w:id="197" w:name="_Toc89428298"/>
      <w:r w:rsidRPr="00A83C94">
        <w:rPr>
          <w:rFonts w:eastAsia="Calibri" w:cs="Times LatArm"/>
          <w:sz w:val="24"/>
          <w:lang w:val="hy-AM" w:eastAsia="en-US"/>
        </w:rPr>
        <w:t>Հարկաբյուջետային սկզբունքները և ցուցանիշները</w:t>
      </w:r>
      <w:bookmarkEnd w:id="195"/>
      <w:bookmarkEnd w:id="196"/>
      <w:bookmarkEnd w:id="197"/>
    </w:p>
    <w:p w14:paraId="4773C2FC" w14:textId="77777777" w:rsidR="00027FBF" w:rsidRPr="00A83C94" w:rsidRDefault="00027FBF" w:rsidP="00027FBF">
      <w:pPr>
        <w:spacing w:before="0" w:line="276" w:lineRule="auto"/>
        <w:ind w:firstLine="538"/>
        <w:rPr>
          <w:rFonts w:eastAsia="Calibri"/>
          <w:b w:val="0"/>
          <w:szCs w:val="22"/>
          <w:lang w:val="hy-AM" w:eastAsia="en-US"/>
        </w:rPr>
      </w:pPr>
      <w:r w:rsidRPr="00A83C94">
        <w:rPr>
          <w:rFonts w:eastAsia="Calibri"/>
          <w:b w:val="0"/>
          <w:szCs w:val="22"/>
          <w:lang w:val="hy-AM" w:eastAsia="en-US"/>
        </w:rPr>
        <w:t>ՀՀ 2022 թվա</w:t>
      </w:r>
      <w:r w:rsidRPr="00A83C94">
        <w:rPr>
          <w:rFonts w:eastAsia="Calibri"/>
          <w:b w:val="0"/>
          <w:szCs w:val="22"/>
          <w:lang w:val="hy-AM" w:eastAsia="en-US"/>
        </w:rPr>
        <w:softHyphen/>
        <w:t>կա</w:t>
      </w:r>
      <w:r w:rsidRPr="00A83C94">
        <w:rPr>
          <w:rFonts w:eastAsia="Calibri"/>
          <w:b w:val="0"/>
          <w:szCs w:val="22"/>
          <w:lang w:val="hy-AM" w:eastAsia="en-US"/>
        </w:rPr>
        <w:softHyphen/>
      </w:r>
      <w:r w:rsidRPr="00A83C94">
        <w:rPr>
          <w:rFonts w:eastAsia="Calibri"/>
          <w:b w:val="0"/>
          <w:szCs w:val="22"/>
          <w:lang w:val="hy-AM" w:eastAsia="en-US"/>
        </w:rPr>
        <w:softHyphen/>
        <w:t>նի պետական բյուջեի նախագծի մշակման ընթացքում ՀՀ կա</w:t>
      </w:r>
      <w:r w:rsidRPr="00A83C94">
        <w:rPr>
          <w:rFonts w:eastAsia="Calibri"/>
          <w:b w:val="0"/>
          <w:szCs w:val="22"/>
          <w:lang w:val="hy-AM" w:eastAsia="en-US"/>
        </w:rPr>
        <w:softHyphen/>
        <w:t>ռա</w:t>
      </w:r>
      <w:r w:rsidRPr="00A83C94">
        <w:rPr>
          <w:rFonts w:eastAsia="Calibri"/>
          <w:b w:val="0"/>
          <w:szCs w:val="22"/>
          <w:lang w:val="hy-AM" w:eastAsia="en-US"/>
        </w:rPr>
        <w:softHyphen/>
        <w:t>վա</w:t>
      </w:r>
      <w:r w:rsidRPr="00A83C94">
        <w:rPr>
          <w:rFonts w:eastAsia="Calibri"/>
          <w:b w:val="0"/>
          <w:szCs w:val="22"/>
          <w:lang w:val="hy-AM" w:eastAsia="en-US"/>
        </w:rPr>
        <w:softHyphen/>
      </w:r>
      <w:r w:rsidRPr="00A83C94">
        <w:rPr>
          <w:rFonts w:eastAsia="Calibri"/>
          <w:b w:val="0"/>
          <w:szCs w:val="22"/>
          <w:lang w:val="hy-AM" w:eastAsia="en-US"/>
        </w:rPr>
        <w:softHyphen/>
        <w:t>րու</w:t>
      </w:r>
      <w:r w:rsidRPr="00A83C94">
        <w:rPr>
          <w:rFonts w:eastAsia="Calibri"/>
          <w:b w:val="0"/>
          <w:szCs w:val="22"/>
          <w:lang w:val="hy-AM" w:eastAsia="en-US"/>
        </w:rPr>
        <w:softHyphen/>
        <w:t>թյունն առաջնորդվել է ՀՀ 2022-2024թթ. Պետական միջնաժամկետ ծախսերի ծրագրով ամրագրված հիմնական սկզբունքներով: Ստորև բերված Աղյուսակ 1</w:t>
      </w:r>
      <w:r w:rsidRPr="00A83C94">
        <w:rPr>
          <w:rFonts w:eastAsia="Calibri"/>
          <w:b w:val="0"/>
          <w:szCs w:val="22"/>
          <w:lang w:val="hy-AM" w:eastAsia="en-US"/>
        </w:rPr>
        <w:noBreakHyphen/>
        <w:t xml:space="preserve">ում ներկայացված են 2018-2022թթ պետական բյուջեների ցուցանիշներն  արտացոլող ամփոփ ցուցանիշները: </w:t>
      </w:r>
    </w:p>
    <w:p w14:paraId="3F0C058E" w14:textId="77777777" w:rsidR="00027FBF" w:rsidRPr="00A83C94" w:rsidRDefault="00027FBF" w:rsidP="00027FBF">
      <w:pPr>
        <w:spacing w:before="0" w:line="276" w:lineRule="auto"/>
        <w:ind w:firstLine="538"/>
        <w:rPr>
          <w:rFonts w:eastAsia="Calibri"/>
          <w:b w:val="0"/>
          <w:szCs w:val="22"/>
          <w:lang w:val="hy-AM" w:eastAsia="en-US"/>
        </w:rPr>
      </w:pPr>
    </w:p>
    <w:p w14:paraId="4B3DE16A" w14:textId="2CC10BE9" w:rsidR="00027FBF" w:rsidRPr="00A83C94" w:rsidRDefault="00027FBF" w:rsidP="00027FBF">
      <w:pPr>
        <w:pStyle w:val="Caption"/>
        <w:rPr>
          <w:b/>
          <w:i/>
          <w:sz w:val="20"/>
          <w:szCs w:val="20"/>
          <w:lang w:val="hy-AM"/>
        </w:rPr>
      </w:pPr>
      <w:bookmarkStart w:id="198" w:name="_Ref496723843"/>
      <w:bookmarkStart w:id="199" w:name="_Toc525773064"/>
      <w:bookmarkStart w:id="200" w:name="_Toc20590404"/>
      <w:bookmarkStart w:id="201" w:name="_Toc83928938"/>
      <w:bookmarkStart w:id="202" w:name="_Toc89428761"/>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w:t>
      </w:r>
      <w:r>
        <w:fldChar w:fldCharType="end"/>
      </w:r>
      <w:r w:rsidRPr="008B1D49">
        <w:rPr>
          <w:lang w:val="hy-AM"/>
        </w:rPr>
        <w:t xml:space="preserve">. </w:t>
      </w:r>
      <w:r w:rsidRPr="00A83C94">
        <w:rPr>
          <w:b/>
          <w:i/>
          <w:sz w:val="20"/>
          <w:szCs w:val="20"/>
          <w:lang w:val="hy-AM"/>
        </w:rPr>
        <w:t>2018-2022թթ պետական բյուջեի ամփոփ ցուցանիշները</w:t>
      </w:r>
      <w:bookmarkEnd w:id="198"/>
      <w:bookmarkEnd w:id="199"/>
      <w:bookmarkEnd w:id="200"/>
      <w:r w:rsidRPr="00A83C94">
        <w:rPr>
          <w:b/>
          <w:i/>
          <w:sz w:val="20"/>
          <w:szCs w:val="20"/>
          <w:lang w:val="hy-AM"/>
        </w:rPr>
        <w:t xml:space="preserve"> (մլրդ դրամով)</w:t>
      </w:r>
      <w:bookmarkEnd w:id="201"/>
      <w:bookmarkEnd w:id="202"/>
    </w:p>
    <w:tbl>
      <w:tblPr>
        <w:tblW w:w="10034" w:type="dxa"/>
        <w:tblInd w:w="93" w:type="dxa"/>
        <w:tblLayout w:type="fixed"/>
        <w:tblLook w:val="04A0" w:firstRow="1" w:lastRow="0" w:firstColumn="1" w:lastColumn="0" w:noHBand="0" w:noVBand="1"/>
      </w:tblPr>
      <w:tblGrid>
        <w:gridCol w:w="3435"/>
        <w:gridCol w:w="1319"/>
        <w:gridCol w:w="1320"/>
        <w:gridCol w:w="1320"/>
        <w:gridCol w:w="1320"/>
        <w:gridCol w:w="1320"/>
      </w:tblGrid>
      <w:tr w:rsidR="00340C59" w:rsidRPr="00A83C94" w14:paraId="34C9D4CE" w14:textId="77777777" w:rsidTr="0019638A">
        <w:trPr>
          <w:trHeight w:val="885"/>
        </w:trPr>
        <w:tc>
          <w:tcPr>
            <w:tcW w:w="3435" w:type="dxa"/>
            <w:tcBorders>
              <w:top w:val="single" w:sz="4" w:space="0" w:color="auto"/>
              <w:left w:val="single" w:sz="4" w:space="0" w:color="auto"/>
              <w:bottom w:val="single" w:sz="4" w:space="0" w:color="auto"/>
              <w:right w:val="single" w:sz="4" w:space="0" w:color="auto"/>
            </w:tcBorders>
            <w:shd w:val="clear" w:color="auto" w:fill="4F81BD" w:themeFill="accent1"/>
            <w:vAlign w:val="center"/>
            <w:hideMark/>
          </w:tcPr>
          <w:p w14:paraId="595A7D69" w14:textId="77777777" w:rsidR="00340C59" w:rsidRPr="00A83C94" w:rsidRDefault="00340C59"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Ցուցանիշներ</w:t>
            </w:r>
          </w:p>
        </w:tc>
        <w:tc>
          <w:tcPr>
            <w:tcW w:w="1319" w:type="dxa"/>
            <w:tcBorders>
              <w:top w:val="single" w:sz="4" w:space="0" w:color="auto"/>
              <w:left w:val="nil"/>
              <w:bottom w:val="single" w:sz="4" w:space="0" w:color="auto"/>
              <w:right w:val="single" w:sz="4" w:space="0" w:color="auto"/>
            </w:tcBorders>
            <w:shd w:val="clear" w:color="auto" w:fill="4F81BD" w:themeFill="accent1"/>
            <w:vAlign w:val="center"/>
          </w:tcPr>
          <w:p w14:paraId="7F8A11B6" w14:textId="77777777" w:rsidR="00340C59" w:rsidRPr="00A83C94" w:rsidRDefault="00340C59"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2018թ</w:t>
            </w:r>
            <w:r w:rsidRPr="00A83C94">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6ED67AE2" w14:textId="77777777" w:rsidR="00340C59" w:rsidRPr="00A83C94" w:rsidRDefault="00340C59"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2019թ</w:t>
            </w:r>
            <w:r w:rsidRPr="00A83C94">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35353566" w14:textId="77777777" w:rsidR="00340C59" w:rsidRPr="00A83C94" w:rsidRDefault="00340C59"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2020թ</w:t>
            </w:r>
            <w:r w:rsidRPr="00A83C94">
              <w:rPr>
                <w:rFonts w:cs="Calibri"/>
                <w:color w:val="FFFFFF" w:themeColor="background1"/>
                <w:sz w:val="20"/>
                <w:szCs w:val="20"/>
                <w:lang w:val="en-US" w:eastAsia="en-US"/>
              </w:rPr>
              <w:br/>
              <w:t>փաստ</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554E694A" w14:textId="77777777" w:rsidR="00340C59" w:rsidRPr="00A83C94" w:rsidRDefault="00340C59"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2021թ</w:t>
            </w:r>
            <w:r w:rsidRPr="00A83C94">
              <w:rPr>
                <w:rFonts w:cs="Calibri"/>
                <w:color w:val="FFFFFF" w:themeColor="background1"/>
                <w:sz w:val="20"/>
                <w:szCs w:val="20"/>
                <w:lang w:val="en-US" w:eastAsia="en-US"/>
              </w:rPr>
              <w:br/>
              <w:t>բյուջե</w:t>
            </w:r>
          </w:p>
        </w:tc>
        <w:tc>
          <w:tcPr>
            <w:tcW w:w="1320" w:type="dxa"/>
            <w:tcBorders>
              <w:top w:val="single" w:sz="4" w:space="0" w:color="auto"/>
              <w:left w:val="nil"/>
              <w:bottom w:val="single" w:sz="4" w:space="0" w:color="auto"/>
              <w:right w:val="single" w:sz="4" w:space="0" w:color="auto"/>
            </w:tcBorders>
            <w:shd w:val="clear" w:color="auto" w:fill="4F81BD" w:themeFill="accent1"/>
            <w:vAlign w:val="center"/>
            <w:hideMark/>
          </w:tcPr>
          <w:p w14:paraId="3C2A108D" w14:textId="77777777" w:rsidR="00340C59" w:rsidRPr="00A83C94" w:rsidRDefault="00340C59"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2022թ</w:t>
            </w:r>
            <w:r w:rsidRPr="00A83C94">
              <w:rPr>
                <w:rFonts w:cs="Calibri"/>
                <w:color w:val="FFFFFF" w:themeColor="background1"/>
                <w:sz w:val="20"/>
                <w:szCs w:val="20"/>
                <w:lang w:val="en-US" w:eastAsia="en-US"/>
              </w:rPr>
              <w:br/>
              <w:t>կանխատեսում</w:t>
            </w:r>
          </w:p>
        </w:tc>
      </w:tr>
      <w:tr w:rsidR="00340C59" w:rsidRPr="00A83C94" w14:paraId="2A1D95B9"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DF5A5AC"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BE5F1" w:themeFill="accent1" w:themeFillTint="33"/>
            <w:noWrap/>
            <w:vAlign w:val="center"/>
          </w:tcPr>
          <w:p w14:paraId="13E1923A"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1,341.7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4FB36D46"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1,565.5</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3173E4B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1,560.7</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461AACA8"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1,509.5</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085E70E4"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Pr>
                <w:color w:val="000000"/>
                <w:sz w:val="20"/>
                <w:szCs w:val="20"/>
              </w:rPr>
              <w:t>1,947.8</w:t>
            </w:r>
          </w:p>
        </w:tc>
      </w:tr>
      <w:tr w:rsidR="00340C59" w:rsidRPr="00A83C94" w14:paraId="75E39EF8"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4C05AB34"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14:paraId="1085D14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8BAF732"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37AA27E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15C9DB1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7BE75CE4"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Pr>
                <w:rFonts w:ascii="Calibri" w:hAnsi="Calibri" w:cs="Calibri"/>
                <w:color w:val="000000"/>
                <w:sz w:val="20"/>
                <w:szCs w:val="20"/>
              </w:rPr>
              <w:t> </w:t>
            </w:r>
          </w:p>
        </w:tc>
      </w:tr>
      <w:tr w:rsidR="00340C59" w:rsidRPr="00A83C94" w14:paraId="652FA5F8"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385691F2"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noWrap/>
            <w:vAlign w:val="center"/>
          </w:tcPr>
          <w:p w14:paraId="6C29C282"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1,330.5</w:t>
            </w:r>
          </w:p>
        </w:tc>
        <w:tc>
          <w:tcPr>
            <w:tcW w:w="1320" w:type="dxa"/>
            <w:tcBorders>
              <w:top w:val="nil"/>
              <w:left w:val="nil"/>
              <w:bottom w:val="single" w:sz="4" w:space="0" w:color="auto"/>
              <w:right w:val="single" w:sz="4" w:space="0" w:color="auto"/>
            </w:tcBorders>
            <w:shd w:val="clear" w:color="auto" w:fill="auto"/>
            <w:noWrap/>
            <w:vAlign w:val="center"/>
            <w:hideMark/>
          </w:tcPr>
          <w:p w14:paraId="1917EE03"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1,553.1</w:t>
            </w:r>
          </w:p>
        </w:tc>
        <w:tc>
          <w:tcPr>
            <w:tcW w:w="1320" w:type="dxa"/>
            <w:tcBorders>
              <w:top w:val="nil"/>
              <w:left w:val="nil"/>
              <w:bottom w:val="single" w:sz="4" w:space="0" w:color="auto"/>
              <w:right w:val="single" w:sz="4" w:space="0" w:color="auto"/>
            </w:tcBorders>
            <w:shd w:val="clear" w:color="auto" w:fill="auto"/>
            <w:noWrap/>
            <w:vAlign w:val="center"/>
            <w:hideMark/>
          </w:tcPr>
          <w:p w14:paraId="4612BB70"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1,507.5</w:t>
            </w:r>
          </w:p>
        </w:tc>
        <w:tc>
          <w:tcPr>
            <w:tcW w:w="1320" w:type="dxa"/>
            <w:tcBorders>
              <w:top w:val="nil"/>
              <w:left w:val="nil"/>
              <w:bottom w:val="single" w:sz="4" w:space="0" w:color="auto"/>
              <w:right w:val="single" w:sz="4" w:space="0" w:color="auto"/>
            </w:tcBorders>
            <w:shd w:val="clear" w:color="auto" w:fill="auto"/>
            <w:noWrap/>
            <w:vAlign w:val="center"/>
            <w:hideMark/>
          </w:tcPr>
          <w:p w14:paraId="57AD8310" w14:textId="77777777" w:rsidR="00340C59" w:rsidRPr="00E5396F" w:rsidRDefault="00340C59" w:rsidP="0019638A">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1,485.2</w:t>
            </w:r>
          </w:p>
        </w:tc>
        <w:tc>
          <w:tcPr>
            <w:tcW w:w="1320" w:type="dxa"/>
            <w:tcBorders>
              <w:top w:val="nil"/>
              <w:left w:val="nil"/>
              <w:bottom w:val="single" w:sz="4" w:space="0" w:color="auto"/>
              <w:right w:val="single" w:sz="4" w:space="0" w:color="auto"/>
            </w:tcBorders>
            <w:shd w:val="clear" w:color="auto" w:fill="auto"/>
            <w:noWrap/>
            <w:vAlign w:val="center"/>
          </w:tcPr>
          <w:p w14:paraId="3689F2AD" w14:textId="77777777" w:rsidR="00340C59" w:rsidRPr="007128FB" w:rsidRDefault="00340C59" w:rsidP="0019638A">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1,906.</w:t>
            </w:r>
            <w:r>
              <w:rPr>
                <w:b w:val="0"/>
                <w:color w:val="000000"/>
                <w:sz w:val="20"/>
                <w:szCs w:val="20"/>
                <w:lang w:val="en-US"/>
              </w:rPr>
              <w:t>0</w:t>
            </w:r>
          </w:p>
        </w:tc>
      </w:tr>
      <w:tr w:rsidR="00340C59" w:rsidRPr="00A83C94" w14:paraId="05E01295"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FFF141A"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14:paraId="27B310B3"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1B946232"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2687D05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43513C1A" w14:textId="77777777" w:rsidR="00340C59" w:rsidRPr="00E5396F" w:rsidRDefault="00340C59" w:rsidP="0019638A">
            <w:pPr>
              <w:spacing w:before="0" w:line="276" w:lineRule="auto"/>
              <w:ind w:firstLine="0"/>
              <w:contextualSpacing w:val="0"/>
              <w:jc w:val="center"/>
              <w:rPr>
                <w:rFonts w:cs="Calibri"/>
                <w:b w:val="0"/>
                <w:color w:val="000000"/>
                <w:sz w:val="20"/>
                <w:szCs w:val="20"/>
                <w:lang w:val="en-US" w:eastAsia="en-US"/>
              </w:rPr>
            </w:pPr>
            <w:r w:rsidRPr="00E5396F">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1E7B93C1" w14:textId="77777777" w:rsidR="00340C59" w:rsidRPr="00E5396F" w:rsidRDefault="00340C59" w:rsidP="0019638A">
            <w:pPr>
              <w:spacing w:before="0" w:line="276" w:lineRule="auto"/>
              <w:ind w:firstLine="0"/>
              <w:contextualSpacing w:val="0"/>
              <w:jc w:val="center"/>
              <w:rPr>
                <w:rFonts w:cs="Calibri"/>
                <w:b w:val="0"/>
                <w:color w:val="000000"/>
                <w:sz w:val="20"/>
                <w:szCs w:val="20"/>
                <w:lang w:val="en-US" w:eastAsia="en-US"/>
              </w:rPr>
            </w:pPr>
            <w:r w:rsidRPr="00E5396F">
              <w:rPr>
                <w:rFonts w:ascii="Calibri" w:hAnsi="Calibri" w:cs="Calibri"/>
                <w:b w:val="0"/>
                <w:color w:val="000000"/>
                <w:sz w:val="20"/>
                <w:szCs w:val="20"/>
              </w:rPr>
              <w:t> </w:t>
            </w:r>
          </w:p>
        </w:tc>
      </w:tr>
      <w:tr w:rsidR="00340C59" w:rsidRPr="00A83C94" w14:paraId="54E74B29"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0358BD7"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 - հարկեր և պետական տուրքեր </w:t>
            </w:r>
          </w:p>
        </w:tc>
        <w:tc>
          <w:tcPr>
            <w:tcW w:w="1319" w:type="dxa"/>
            <w:tcBorders>
              <w:top w:val="nil"/>
              <w:left w:val="nil"/>
              <w:bottom w:val="single" w:sz="4" w:space="0" w:color="auto"/>
              <w:right w:val="single" w:sz="4" w:space="0" w:color="auto"/>
            </w:tcBorders>
            <w:shd w:val="clear" w:color="auto" w:fill="auto"/>
            <w:noWrap/>
            <w:vAlign w:val="center"/>
          </w:tcPr>
          <w:p w14:paraId="214262F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1,258.1</w:t>
            </w:r>
          </w:p>
        </w:tc>
        <w:tc>
          <w:tcPr>
            <w:tcW w:w="1320" w:type="dxa"/>
            <w:tcBorders>
              <w:top w:val="nil"/>
              <w:left w:val="nil"/>
              <w:bottom w:val="single" w:sz="4" w:space="0" w:color="auto"/>
              <w:right w:val="single" w:sz="4" w:space="0" w:color="auto"/>
            </w:tcBorders>
            <w:shd w:val="clear" w:color="auto" w:fill="auto"/>
            <w:noWrap/>
            <w:vAlign w:val="center"/>
            <w:hideMark/>
          </w:tcPr>
          <w:p w14:paraId="0ADA74FF"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1,464.3</w:t>
            </w:r>
          </w:p>
        </w:tc>
        <w:tc>
          <w:tcPr>
            <w:tcW w:w="1320" w:type="dxa"/>
            <w:tcBorders>
              <w:top w:val="nil"/>
              <w:left w:val="nil"/>
              <w:bottom w:val="single" w:sz="4" w:space="0" w:color="auto"/>
              <w:right w:val="single" w:sz="4" w:space="0" w:color="auto"/>
            </w:tcBorders>
            <w:shd w:val="clear" w:color="auto" w:fill="auto"/>
            <w:noWrap/>
            <w:vAlign w:val="center"/>
            <w:hideMark/>
          </w:tcPr>
          <w:p w14:paraId="79C71A66"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1,385.2</w:t>
            </w:r>
          </w:p>
        </w:tc>
        <w:tc>
          <w:tcPr>
            <w:tcW w:w="1320" w:type="dxa"/>
            <w:tcBorders>
              <w:top w:val="nil"/>
              <w:left w:val="nil"/>
              <w:bottom w:val="single" w:sz="4" w:space="0" w:color="auto"/>
              <w:right w:val="single" w:sz="4" w:space="0" w:color="auto"/>
            </w:tcBorders>
            <w:shd w:val="clear" w:color="auto" w:fill="auto"/>
            <w:noWrap/>
            <w:vAlign w:val="center"/>
            <w:hideMark/>
          </w:tcPr>
          <w:p w14:paraId="664CAAFF" w14:textId="77777777" w:rsidR="00340C59" w:rsidRPr="00E5396F" w:rsidRDefault="00340C59" w:rsidP="0019638A">
            <w:pPr>
              <w:spacing w:before="0" w:line="276" w:lineRule="auto"/>
              <w:ind w:firstLine="0"/>
              <w:contextualSpacing w:val="0"/>
              <w:jc w:val="center"/>
              <w:rPr>
                <w:rFonts w:cs="Calibri"/>
                <w:b w:val="0"/>
                <w:color w:val="000000"/>
                <w:sz w:val="20"/>
                <w:szCs w:val="20"/>
                <w:lang w:val="en-US" w:eastAsia="en-US"/>
              </w:rPr>
            </w:pPr>
            <w:r w:rsidRPr="00E5396F">
              <w:rPr>
                <w:b w:val="0"/>
                <w:color w:val="000000"/>
                <w:sz w:val="20"/>
                <w:szCs w:val="20"/>
              </w:rPr>
              <w:t>1,440.1</w:t>
            </w:r>
          </w:p>
        </w:tc>
        <w:tc>
          <w:tcPr>
            <w:tcW w:w="1320" w:type="dxa"/>
            <w:tcBorders>
              <w:top w:val="nil"/>
              <w:left w:val="nil"/>
              <w:bottom w:val="single" w:sz="4" w:space="0" w:color="auto"/>
              <w:right w:val="single" w:sz="4" w:space="0" w:color="auto"/>
            </w:tcBorders>
            <w:shd w:val="clear" w:color="auto" w:fill="auto"/>
            <w:noWrap/>
            <w:vAlign w:val="center"/>
          </w:tcPr>
          <w:p w14:paraId="2648E0DD" w14:textId="77777777" w:rsidR="00340C59" w:rsidRPr="00E5396F" w:rsidRDefault="00340C59" w:rsidP="0019638A">
            <w:pPr>
              <w:spacing w:before="0" w:line="276" w:lineRule="auto"/>
              <w:ind w:firstLine="0"/>
              <w:contextualSpacing w:val="0"/>
              <w:jc w:val="center"/>
              <w:rPr>
                <w:rFonts w:cs="Calibri"/>
                <w:b w:val="0"/>
                <w:color w:val="000000"/>
                <w:sz w:val="20"/>
                <w:szCs w:val="20"/>
                <w:lang w:val="hy-AM" w:eastAsia="en-US"/>
              </w:rPr>
            </w:pPr>
            <w:r w:rsidRPr="00E5396F">
              <w:rPr>
                <w:b w:val="0"/>
                <w:color w:val="000000"/>
                <w:sz w:val="20"/>
                <w:szCs w:val="20"/>
              </w:rPr>
              <w:t>1,843.</w:t>
            </w:r>
            <w:r>
              <w:rPr>
                <w:b w:val="0"/>
                <w:color w:val="000000"/>
                <w:sz w:val="20"/>
                <w:szCs w:val="20"/>
              </w:rPr>
              <w:t>9</w:t>
            </w:r>
          </w:p>
        </w:tc>
      </w:tr>
      <w:tr w:rsidR="00340C59" w:rsidRPr="00A83C94" w14:paraId="2B846C56" w14:textId="77777777" w:rsidTr="0019638A">
        <w:trPr>
          <w:trHeight w:val="431"/>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83B4BAC"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BE5F1" w:themeFill="accent1" w:themeFillTint="33"/>
            <w:noWrap/>
            <w:vAlign w:val="center"/>
          </w:tcPr>
          <w:p w14:paraId="25D2CEE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1,447.1</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2358C126"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1,629.4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1EF695F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1,894.6</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74E4D3D0" w14:textId="77777777" w:rsidR="00340C59" w:rsidRPr="00A83C94" w:rsidRDefault="00340C59" w:rsidP="0019638A">
            <w:pPr>
              <w:spacing w:before="0" w:line="276" w:lineRule="auto"/>
              <w:ind w:firstLine="0"/>
              <w:contextualSpacing w:val="0"/>
              <w:jc w:val="center"/>
              <w:rPr>
                <w:rFonts w:cs="Calibri"/>
                <w:b w:val="0"/>
                <w:color w:val="000000"/>
                <w:sz w:val="20"/>
                <w:szCs w:val="20"/>
                <w:lang w:val="hy-AM" w:eastAsia="en-US"/>
              </w:rPr>
            </w:pPr>
            <w:r w:rsidRPr="00A83C94">
              <w:rPr>
                <w:color w:val="000000"/>
                <w:sz w:val="20"/>
                <w:szCs w:val="20"/>
              </w:rPr>
              <w:t>1,850.9</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099EC8A7"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color w:val="000000"/>
                <w:sz w:val="20"/>
                <w:szCs w:val="20"/>
              </w:rPr>
              <w:t>2,18</w:t>
            </w:r>
            <w:r w:rsidRPr="00D411D4">
              <w:rPr>
                <w:color w:val="000000"/>
                <w:sz w:val="20"/>
                <w:szCs w:val="20"/>
                <w:lang w:val="en-US"/>
              </w:rPr>
              <w:t>4.0</w:t>
            </w:r>
          </w:p>
        </w:tc>
      </w:tr>
      <w:tr w:rsidR="00340C59" w:rsidRPr="00A83C94" w14:paraId="142FED07"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123CE587"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14:paraId="453E2E0E"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D79A9E5"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3F77BC17"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6F77889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57C0A2BC"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rFonts w:ascii="Calibri" w:hAnsi="Calibri" w:cs="Calibri"/>
                <w:color w:val="000000"/>
                <w:sz w:val="20"/>
                <w:szCs w:val="20"/>
              </w:rPr>
              <w:t> </w:t>
            </w:r>
          </w:p>
        </w:tc>
      </w:tr>
      <w:tr w:rsidR="00340C59" w:rsidRPr="00A83C94" w14:paraId="63108C0D"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DA4DA25"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noWrap/>
            <w:vAlign w:val="center"/>
          </w:tcPr>
          <w:p w14:paraId="0851848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1,299.0</w:t>
            </w:r>
          </w:p>
        </w:tc>
        <w:tc>
          <w:tcPr>
            <w:tcW w:w="1320" w:type="dxa"/>
            <w:tcBorders>
              <w:top w:val="nil"/>
              <w:left w:val="nil"/>
              <w:bottom w:val="single" w:sz="4" w:space="0" w:color="auto"/>
              <w:right w:val="single" w:sz="4" w:space="0" w:color="auto"/>
            </w:tcBorders>
            <w:shd w:val="clear" w:color="auto" w:fill="auto"/>
            <w:noWrap/>
            <w:vAlign w:val="center"/>
            <w:hideMark/>
          </w:tcPr>
          <w:p w14:paraId="3A56D72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1,437.1</w:t>
            </w:r>
          </w:p>
        </w:tc>
        <w:tc>
          <w:tcPr>
            <w:tcW w:w="1320" w:type="dxa"/>
            <w:tcBorders>
              <w:top w:val="nil"/>
              <w:left w:val="nil"/>
              <w:bottom w:val="single" w:sz="4" w:space="0" w:color="auto"/>
              <w:right w:val="single" w:sz="4" w:space="0" w:color="auto"/>
            </w:tcBorders>
            <w:shd w:val="clear" w:color="auto" w:fill="auto"/>
            <w:noWrap/>
            <w:vAlign w:val="center"/>
            <w:hideMark/>
          </w:tcPr>
          <w:p w14:paraId="308913BE"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1,668.5</w:t>
            </w:r>
          </w:p>
        </w:tc>
        <w:tc>
          <w:tcPr>
            <w:tcW w:w="1320" w:type="dxa"/>
            <w:tcBorders>
              <w:top w:val="nil"/>
              <w:left w:val="nil"/>
              <w:bottom w:val="single" w:sz="4" w:space="0" w:color="auto"/>
              <w:right w:val="single" w:sz="4" w:space="0" w:color="auto"/>
            </w:tcBorders>
            <w:shd w:val="clear" w:color="auto" w:fill="auto"/>
            <w:noWrap/>
            <w:vAlign w:val="center"/>
            <w:hideMark/>
          </w:tcPr>
          <w:p w14:paraId="15C71D51" w14:textId="77777777" w:rsidR="00340C59" w:rsidRPr="00A83C94" w:rsidRDefault="00340C59" w:rsidP="0019638A">
            <w:pPr>
              <w:spacing w:before="0" w:line="276" w:lineRule="auto"/>
              <w:ind w:firstLine="0"/>
              <w:contextualSpacing w:val="0"/>
              <w:jc w:val="center"/>
              <w:rPr>
                <w:rFonts w:cs="Calibri"/>
                <w:b w:val="0"/>
                <w:color w:val="000000"/>
                <w:sz w:val="20"/>
                <w:szCs w:val="20"/>
                <w:lang w:val="hy-AM" w:eastAsia="en-US"/>
              </w:rPr>
            </w:pPr>
            <w:r w:rsidRPr="00A83C94">
              <w:rPr>
                <w:b w:val="0"/>
                <w:color w:val="000000"/>
                <w:sz w:val="20"/>
                <w:szCs w:val="20"/>
              </w:rPr>
              <w:t>1,634.6</w:t>
            </w:r>
          </w:p>
        </w:tc>
        <w:tc>
          <w:tcPr>
            <w:tcW w:w="1320" w:type="dxa"/>
            <w:tcBorders>
              <w:top w:val="nil"/>
              <w:left w:val="nil"/>
              <w:bottom w:val="single" w:sz="4" w:space="0" w:color="auto"/>
              <w:right w:val="single" w:sz="4" w:space="0" w:color="auto"/>
            </w:tcBorders>
            <w:shd w:val="clear" w:color="auto" w:fill="auto"/>
            <w:noWrap/>
            <w:vAlign w:val="center"/>
          </w:tcPr>
          <w:p w14:paraId="12BC763C"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b w:val="0"/>
                <w:color w:val="000000"/>
                <w:sz w:val="20"/>
                <w:szCs w:val="20"/>
              </w:rPr>
              <w:t>1,842.</w:t>
            </w:r>
            <w:r w:rsidRPr="00D411D4">
              <w:rPr>
                <w:b w:val="0"/>
                <w:color w:val="000000"/>
                <w:sz w:val="20"/>
                <w:szCs w:val="20"/>
                <w:lang w:val="en-US"/>
              </w:rPr>
              <w:t>2</w:t>
            </w:r>
          </w:p>
        </w:tc>
      </w:tr>
      <w:tr w:rsidR="00340C59" w:rsidRPr="00A83C94" w14:paraId="53E07C74" w14:textId="77777777" w:rsidTr="0019638A">
        <w:trPr>
          <w:trHeight w:val="710"/>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0CD9A7AA" w14:textId="77777777" w:rsidR="00340C59" w:rsidRPr="00A83C94" w:rsidRDefault="00340C59" w:rsidP="0019638A">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ոչ</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ֆինանսական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ակտիվների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հետ</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noWrap/>
            <w:vAlign w:val="center"/>
          </w:tcPr>
          <w:p w14:paraId="1501EF8A"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148.1</w:t>
            </w:r>
          </w:p>
        </w:tc>
        <w:tc>
          <w:tcPr>
            <w:tcW w:w="1320" w:type="dxa"/>
            <w:tcBorders>
              <w:top w:val="nil"/>
              <w:left w:val="nil"/>
              <w:bottom w:val="single" w:sz="4" w:space="0" w:color="auto"/>
              <w:right w:val="single" w:sz="4" w:space="0" w:color="auto"/>
            </w:tcBorders>
            <w:shd w:val="clear" w:color="auto" w:fill="auto"/>
            <w:noWrap/>
            <w:vAlign w:val="center"/>
            <w:hideMark/>
          </w:tcPr>
          <w:p w14:paraId="064F3F4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192.3</w:t>
            </w:r>
          </w:p>
        </w:tc>
        <w:tc>
          <w:tcPr>
            <w:tcW w:w="1320" w:type="dxa"/>
            <w:tcBorders>
              <w:top w:val="nil"/>
              <w:left w:val="nil"/>
              <w:bottom w:val="single" w:sz="4" w:space="0" w:color="auto"/>
              <w:right w:val="single" w:sz="4" w:space="0" w:color="auto"/>
            </w:tcBorders>
            <w:shd w:val="clear" w:color="auto" w:fill="auto"/>
            <w:noWrap/>
            <w:vAlign w:val="center"/>
            <w:hideMark/>
          </w:tcPr>
          <w:p w14:paraId="293A43F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226.2</w:t>
            </w:r>
          </w:p>
        </w:tc>
        <w:tc>
          <w:tcPr>
            <w:tcW w:w="1320" w:type="dxa"/>
            <w:tcBorders>
              <w:top w:val="nil"/>
              <w:left w:val="nil"/>
              <w:bottom w:val="single" w:sz="4" w:space="0" w:color="auto"/>
              <w:right w:val="single" w:sz="4" w:space="0" w:color="auto"/>
            </w:tcBorders>
            <w:shd w:val="clear" w:color="auto" w:fill="auto"/>
            <w:noWrap/>
            <w:vAlign w:val="center"/>
            <w:hideMark/>
          </w:tcPr>
          <w:p w14:paraId="3B4EC3D5"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216.3</w:t>
            </w:r>
          </w:p>
        </w:tc>
        <w:tc>
          <w:tcPr>
            <w:tcW w:w="1320" w:type="dxa"/>
            <w:tcBorders>
              <w:top w:val="nil"/>
              <w:left w:val="nil"/>
              <w:bottom w:val="single" w:sz="4" w:space="0" w:color="auto"/>
              <w:right w:val="single" w:sz="4" w:space="0" w:color="auto"/>
            </w:tcBorders>
            <w:shd w:val="clear" w:color="auto" w:fill="auto"/>
            <w:noWrap/>
            <w:vAlign w:val="center"/>
          </w:tcPr>
          <w:p w14:paraId="57BB9F70"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b w:val="0"/>
                <w:color w:val="000000"/>
                <w:sz w:val="20"/>
                <w:szCs w:val="20"/>
              </w:rPr>
              <w:t>34</w:t>
            </w:r>
            <w:r w:rsidRPr="00D411D4">
              <w:rPr>
                <w:b w:val="0"/>
                <w:color w:val="000000"/>
                <w:sz w:val="20"/>
                <w:szCs w:val="20"/>
                <w:lang w:val="en-US"/>
              </w:rPr>
              <w:t>1.9</w:t>
            </w:r>
          </w:p>
        </w:tc>
      </w:tr>
      <w:tr w:rsidR="00340C59" w:rsidRPr="00A83C94" w14:paraId="15E9DCF4"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66135624"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BE5F1" w:themeFill="accent1" w:themeFillTint="33"/>
            <w:noWrap/>
            <w:vAlign w:val="center"/>
          </w:tcPr>
          <w:p w14:paraId="0EDC816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105.4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3C5D8D4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63.9</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6C01F1D3" w14:textId="77777777" w:rsidR="00340C59" w:rsidRPr="00CD5D57" w:rsidRDefault="00340C59" w:rsidP="0019638A">
            <w:pPr>
              <w:spacing w:before="0" w:line="276" w:lineRule="auto"/>
              <w:ind w:firstLine="0"/>
              <w:contextualSpacing w:val="0"/>
              <w:jc w:val="center"/>
              <w:rPr>
                <w:rFonts w:cs="Calibri"/>
                <w:b w:val="0"/>
                <w:color w:val="000000"/>
                <w:sz w:val="20"/>
                <w:szCs w:val="20"/>
                <w:lang w:val="en-US" w:eastAsia="en-US"/>
              </w:rPr>
            </w:pPr>
            <w:r>
              <w:rPr>
                <w:color w:val="000000"/>
                <w:sz w:val="20"/>
                <w:szCs w:val="20"/>
                <w:lang w:val="en-US"/>
              </w:rPr>
              <w:t>334.0</w:t>
            </w:r>
          </w:p>
        </w:tc>
        <w:tc>
          <w:tcPr>
            <w:tcW w:w="1320" w:type="dxa"/>
            <w:tcBorders>
              <w:top w:val="nil"/>
              <w:left w:val="nil"/>
              <w:bottom w:val="single" w:sz="4" w:space="0" w:color="auto"/>
              <w:right w:val="single" w:sz="4" w:space="0" w:color="auto"/>
            </w:tcBorders>
            <w:shd w:val="clear" w:color="auto" w:fill="DBE5F1" w:themeFill="accent1" w:themeFillTint="33"/>
            <w:noWrap/>
            <w:vAlign w:val="center"/>
            <w:hideMark/>
          </w:tcPr>
          <w:p w14:paraId="21A7105C" w14:textId="77777777" w:rsidR="00340C59" w:rsidRPr="00A83C94" w:rsidRDefault="00340C59" w:rsidP="0019638A">
            <w:pPr>
              <w:spacing w:before="0" w:line="276" w:lineRule="auto"/>
              <w:ind w:firstLine="0"/>
              <w:contextualSpacing w:val="0"/>
              <w:jc w:val="center"/>
              <w:rPr>
                <w:rFonts w:cs="Calibri"/>
                <w:b w:val="0"/>
                <w:color w:val="000000"/>
                <w:sz w:val="20"/>
                <w:szCs w:val="20"/>
                <w:lang w:val="hy-AM" w:eastAsia="en-US"/>
              </w:rPr>
            </w:pPr>
            <w:r w:rsidRPr="00A83C94">
              <w:rPr>
                <w:color w:val="000000"/>
                <w:sz w:val="20"/>
                <w:szCs w:val="20"/>
              </w:rPr>
              <w:t>341.4</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212B51B2"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color w:val="000000"/>
                <w:sz w:val="20"/>
                <w:szCs w:val="20"/>
              </w:rPr>
              <w:t>236.3</w:t>
            </w:r>
          </w:p>
        </w:tc>
      </w:tr>
      <w:tr w:rsidR="00340C59" w:rsidRPr="00A83C94" w14:paraId="0057A423" w14:textId="77777777" w:rsidTr="0019638A">
        <w:trPr>
          <w:trHeight w:val="345"/>
        </w:trPr>
        <w:tc>
          <w:tcPr>
            <w:tcW w:w="3435" w:type="dxa"/>
            <w:tcBorders>
              <w:top w:val="nil"/>
              <w:left w:val="single" w:sz="4" w:space="0" w:color="auto"/>
              <w:bottom w:val="single" w:sz="4" w:space="0" w:color="auto"/>
              <w:right w:val="single" w:sz="4" w:space="0" w:color="auto"/>
            </w:tcBorders>
            <w:shd w:val="clear" w:color="000000" w:fill="FFFFFF"/>
            <w:vAlign w:val="center"/>
            <w:hideMark/>
          </w:tcPr>
          <w:p w14:paraId="47CE3476" w14:textId="77777777" w:rsidR="00340C59" w:rsidRPr="00A83C94" w:rsidRDefault="00340C59" w:rsidP="0019638A">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val="en-US" w:eastAsia="en-US"/>
              </w:rPr>
              <w:t>Բ</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Արտահայտված</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ՀՆԱ</w:t>
            </w:r>
            <w:r w:rsidRPr="00A83C94">
              <w:rPr>
                <w:rFonts w:cs="Calibri"/>
                <w:b w:val="0"/>
                <w:color w:val="000000"/>
                <w:sz w:val="20"/>
                <w:szCs w:val="20"/>
                <w:lang w:eastAsia="en-US"/>
              </w:rPr>
              <w:t>-</w:t>
            </w:r>
            <w:r w:rsidRPr="00A83C94">
              <w:rPr>
                <w:rFonts w:cs="Calibri"/>
                <w:b w:val="0"/>
                <w:color w:val="000000"/>
                <w:sz w:val="20"/>
                <w:szCs w:val="20"/>
                <w:lang w:val="en-US" w:eastAsia="en-US"/>
              </w:rPr>
              <w:t>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նկատմամբ</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ով</w:t>
            </w:r>
          </w:p>
        </w:tc>
        <w:tc>
          <w:tcPr>
            <w:tcW w:w="1319" w:type="dxa"/>
            <w:tcBorders>
              <w:top w:val="nil"/>
              <w:left w:val="nil"/>
              <w:bottom w:val="single" w:sz="4" w:space="0" w:color="auto"/>
              <w:right w:val="single" w:sz="4" w:space="0" w:color="auto"/>
            </w:tcBorders>
            <w:shd w:val="clear" w:color="000000" w:fill="FFFFFF"/>
            <w:vAlign w:val="center"/>
          </w:tcPr>
          <w:p w14:paraId="4CBF7912" w14:textId="77777777" w:rsidR="00340C59" w:rsidRPr="00A83C94" w:rsidRDefault="00340C59" w:rsidP="0019638A">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vAlign w:val="center"/>
            <w:hideMark/>
          </w:tcPr>
          <w:p w14:paraId="68947816" w14:textId="77777777" w:rsidR="00340C59" w:rsidRPr="00A83C94" w:rsidRDefault="00340C59" w:rsidP="0019638A">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22CFC7F3" w14:textId="77777777" w:rsidR="00340C59" w:rsidRPr="00A83C94" w:rsidRDefault="00340C59" w:rsidP="0019638A">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hideMark/>
          </w:tcPr>
          <w:p w14:paraId="18367498" w14:textId="77777777" w:rsidR="00340C59" w:rsidRPr="00A83C94" w:rsidRDefault="00340C59" w:rsidP="0019638A">
            <w:pPr>
              <w:spacing w:before="0" w:line="276" w:lineRule="auto"/>
              <w:ind w:firstLine="0"/>
              <w:contextualSpacing w:val="0"/>
              <w:jc w:val="center"/>
              <w:rPr>
                <w:rFonts w:cs="Calibri"/>
                <w:b w:val="0"/>
                <w:color w:val="000000"/>
                <w:sz w:val="20"/>
                <w:szCs w:val="20"/>
                <w:lang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000000" w:fill="FFFFFF"/>
            <w:noWrap/>
            <w:vAlign w:val="center"/>
          </w:tcPr>
          <w:p w14:paraId="7C23B159" w14:textId="77777777" w:rsidR="00340C59" w:rsidRPr="00D411D4" w:rsidRDefault="00340C59" w:rsidP="0019638A">
            <w:pPr>
              <w:spacing w:before="0" w:line="276" w:lineRule="auto"/>
              <w:ind w:firstLine="0"/>
              <w:contextualSpacing w:val="0"/>
              <w:jc w:val="center"/>
              <w:rPr>
                <w:rFonts w:cs="Calibri"/>
                <w:b w:val="0"/>
                <w:color w:val="000000"/>
                <w:sz w:val="20"/>
                <w:szCs w:val="20"/>
                <w:lang w:eastAsia="en-US"/>
              </w:rPr>
            </w:pPr>
            <w:r w:rsidRPr="00D411D4">
              <w:rPr>
                <w:rFonts w:ascii="Calibri" w:hAnsi="Calibri" w:cs="Calibri"/>
                <w:color w:val="000000"/>
                <w:sz w:val="20"/>
                <w:szCs w:val="20"/>
              </w:rPr>
              <w:t> </w:t>
            </w:r>
          </w:p>
        </w:tc>
      </w:tr>
      <w:tr w:rsidR="00340C59" w:rsidRPr="00A83C94" w14:paraId="7197DD4E"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3D408F7B"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1. Ընդամենը եկամուտներ</w:t>
            </w:r>
          </w:p>
        </w:tc>
        <w:tc>
          <w:tcPr>
            <w:tcW w:w="1319" w:type="dxa"/>
            <w:tcBorders>
              <w:top w:val="nil"/>
              <w:left w:val="nil"/>
              <w:bottom w:val="single" w:sz="4" w:space="0" w:color="auto"/>
              <w:right w:val="single" w:sz="4" w:space="0" w:color="auto"/>
            </w:tcBorders>
            <w:shd w:val="clear" w:color="auto" w:fill="DBE5F1" w:themeFill="accent1" w:themeFillTint="33"/>
            <w:vAlign w:val="center"/>
          </w:tcPr>
          <w:p w14:paraId="70CD476F"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22.3%</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0E3A6F2E"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23.8%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72C7E2F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25.2%</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795A3055"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23.6%</w:t>
            </w:r>
          </w:p>
        </w:tc>
        <w:tc>
          <w:tcPr>
            <w:tcW w:w="1320" w:type="dxa"/>
            <w:tcBorders>
              <w:top w:val="nil"/>
              <w:left w:val="nil"/>
              <w:bottom w:val="single" w:sz="4" w:space="0" w:color="auto"/>
              <w:right w:val="single" w:sz="4" w:space="0" w:color="auto"/>
            </w:tcBorders>
            <w:shd w:val="clear" w:color="auto" w:fill="DBE5F1" w:themeFill="accent1" w:themeFillTint="33"/>
            <w:noWrap/>
            <w:vAlign w:val="center"/>
          </w:tcPr>
          <w:p w14:paraId="13FD2597"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color w:val="000000"/>
                <w:sz w:val="20"/>
                <w:szCs w:val="20"/>
              </w:rPr>
              <w:t>24.8%</w:t>
            </w:r>
          </w:p>
        </w:tc>
      </w:tr>
      <w:tr w:rsidR="00340C59" w:rsidRPr="00A83C94" w14:paraId="2D2D4596"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A11F62A"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14:paraId="4E1D9AC6"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60C77EE3"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605BA5F3"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36FA532A"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3C553DB6"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rFonts w:ascii="Calibri" w:hAnsi="Calibri" w:cs="Calibri"/>
                <w:color w:val="000000"/>
                <w:sz w:val="20"/>
                <w:szCs w:val="20"/>
              </w:rPr>
              <w:t> </w:t>
            </w:r>
          </w:p>
        </w:tc>
      </w:tr>
      <w:tr w:rsidR="00340C59" w:rsidRPr="00A83C94" w14:paraId="0DE95EF8"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3CD3567F"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ներքին եկամուտներ</w:t>
            </w:r>
          </w:p>
        </w:tc>
        <w:tc>
          <w:tcPr>
            <w:tcW w:w="1319" w:type="dxa"/>
            <w:tcBorders>
              <w:top w:val="nil"/>
              <w:left w:val="nil"/>
              <w:bottom w:val="single" w:sz="4" w:space="0" w:color="auto"/>
              <w:right w:val="single" w:sz="4" w:space="0" w:color="auto"/>
            </w:tcBorders>
            <w:shd w:val="clear" w:color="auto" w:fill="auto"/>
            <w:vAlign w:val="center"/>
          </w:tcPr>
          <w:p w14:paraId="12AA192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22.1%</w:t>
            </w:r>
          </w:p>
        </w:tc>
        <w:tc>
          <w:tcPr>
            <w:tcW w:w="1320" w:type="dxa"/>
            <w:tcBorders>
              <w:top w:val="nil"/>
              <w:left w:val="nil"/>
              <w:bottom w:val="single" w:sz="4" w:space="0" w:color="auto"/>
              <w:right w:val="single" w:sz="4" w:space="0" w:color="auto"/>
            </w:tcBorders>
            <w:shd w:val="clear" w:color="auto" w:fill="auto"/>
            <w:vAlign w:val="center"/>
            <w:hideMark/>
          </w:tcPr>
          <w:p w14:paraId="2293F743"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23.6%</w:t>
            </w:r>
          </w:p>
        </w:tc>
        <w:tc>
          <w:tcPr>
            <w:tcW w:w="1320" w:type="dxa"/>
            <w:tcBorders>
              <w:top w:val="nil"/>
              <w:left w:val="nil"/>
              <w:bottom w:val="single" w:sz="4" w:space="0" w:color="auto"/>
              <w:right w:val="single" w:sz="4" w:space="0" w:color="auto"/>
            </w:tcBorders>
            <w:shd w:val="clear" w:color="auto" w:fill="auto"/>
            <w:vAlign w:val="center"/>
            <w:hideMark/>
          </w:tcPr>
          <w:p w14:paraId="2181961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24.4%</w:t>
            </w:r>
          </w:p>
        </w:tc>
        <w:tc>
          <w:tcPr>
            <w:tcW w:w="1320" w:type="dxa"/>
            <w:tcBorders>
              <w:top w:val="nil"/>
              <w:left w:val="nil"/>
              <w:bottom w:val="single" w:sz="4" w:space="0" w:color="auto"/>
              <w:right w:val="single" w:sz="4" w:space="0" w:color="auto"/>
            </w:tcBorders>
            <w:shd w:val="clear" w:color="auto" w:fill="auto"/>
            <w:vAlign w:val="center"/>
            <w:hideMark/>
          </w:tcPr>
          <w:p w14:paraId="0368A90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23.2%</w:t>
            </w:r>
          </w:p>
        </w:tc>
        <w:tc>
          <w:tcPr>
            <w:tcW w:w="1320" w:type="dxa"/>
            <w:tcBorders>
              <w:top w:val="nil"/>
              <w:left w:val="nil"/>
              <w:bottom w:val="single" w:sz="4" w:space="0" w:color="auto"/>
              <w:right w:val="single" w:sz="4" w:space="0" w:color="auto"/>
            </w:tcBorders>
            <w:shd w:val="clear" w:color="auto" w:fill="auto"/>
            <w:vAlign w:val="center"/>
          </w:tcPr>
          <w:p w14:paraId="61297138"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b w:val="0"/>
                <w:color w:val="000000"/>
                <w:sz w:val="20"/>
                <w:szCs w:val="20"/>
              </w:rPr>
              <w:t>24.2%</w:t>
            </w:r>
          </w:p>
        </w:tc>
      </w:tr>
      <w:tr w:rsidR="00340C59" w:rsidRPr="00A83C94" w14:paraId="713796D9"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4CECF99B"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որից` </w:t>
            </w:r>
          </w:p>
        </w:tc>
        <w:tc>
          <w:tcPr>
            <w:tcW w:w="1319" w:type="dxa"/>
            <w:tcBorders>
              <w:top w:val="nil"/>
              <w:left w:val="nil"/>
              <w:bottom w:val="single" w:sz="4" w:space="0" w:color="auto"/>
              <w:right w:val="single" w:sz="4" w:space="0" w:color="auto"/>
            </w:tcBorders>
            <w:shd w:val="clear" w:color="auto" w:fill="auto"/>
            <w:vAlign w:val="center"/>
          </w:tcPr>
          <w:p w14:paraId="3A307AE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70E8210C"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1448B27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hideMark/>
          </w:tcPr>
          <w:p w14:paraId="43F412E4"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b w:val="0"/>
                <w:color w:val="000000"/>
                <w:sz w:val="20"/>
                <w:szCs w:val="20"/>
              </w:rPr>
              <w:t> </w:t>
            </w:r>
          </w:p>
        </w:tc>
        <w:tc>
          <w:tcPr>
            <w:tcW w:w="1320" w:type="dxa"/>
            <w:tcBorders>
              <w:top w:val="nil"/>
              <w:left w:val="nil"/>
              <w:bottom w:val="single" w:sz="4" w:space="0" w:color="auto"/>
              <w:right w:val="single" w:sz="4" w:space="0" w:color="auto"/>
            </w:tcBorders>
            <w:shd w:val="clear" w:color="auto" w:fill="auto"/>
            <w:noWrap/>
            <w:vAlign w:val="center"/>
          </w:tcPr>
          <w:p w14:paraId="0585987D"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rFonts w:ascii="Calibri" w:hAnsi="Calibri" w:cs="Calibri"/>
                <w:b w:val="0"/>
                <w:color w:val="000000"/>
                <w:sz w:val="20"/>
                <w:szCs w:val="20"/>
              </w:rPr>
              <w:t> </w:t>
            </w:r>
          </w:p>
        </w:tc>
      </w:tr>
      <w:tr w:rsidR="00340C59" w:rsidRPr="00A83C94" w14:paraId="4096E881" w14:textId="77777777" w:rsidTr="0019638A">
        <w:trPr>
          <w:trHeight w:val="476"/>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7CA2FFCF"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xml:space="preserve">- հարկեր և պետական տուրքեր </w:t>
            </w:r>
          </w:p>
        </w:tc>
        <w:tc>
          <w:tcPr>
            <w:tcW w:w="1319" w:type="dxa"/>
            <w:tcBorders>
              <w:top w:val="nil"/>
              <w:left w:val="nil"/>
              <w:bottom w:val="single" w:sz="4" w:space="0" w:color="auto"/>
              <w:right w:val="single" w:sz="4" w:space="0" w:color="auto"/>
            </w:tcBorders>
            <w:shd w:val="clear" w:color="auto" w:fill="auto"/>
            <w:vAlign w:val="center"/>
          </w:tcPr>
          <w:p w14:paraId="143CA78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20.9%</w:t>
            </w:r>
          </w:p>
        </w:tc>
        <w:tc>
          <w:tcPr>
            <w:tcW w:w="1320" w:type="dxa"/>
            <w:tcBorders>
              <w:top w:val="nil"/>
              <w:left w:val="nil"/>
              <w:bottom w:val="single" w:sz="4" w:space="0" w:color="auto"/>
              <w:right w:val="single" w:sz="4" w:space="0" w:color="auto"/>
            </w:tcBorders>
            <w:shd w:val="clear" w:color="auto" w:fill="auto"/>
            <w:vAlign w:val="center"/>
            <w:hideMark/>
          </w:tcPr>
          <w:p w14:paraId="75F2CAB7"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22.3%</w:t>
            </w:r>
          </w:p>
        </w:tc>
        <w:tc>
          <w:tcPr>
            <w:tcW w:w="1320" w:type="dxa"/>
            <w:tcBorders>
              <w:top w:val="nil"/>
              <w:left w:val="nil"/>
              <w:bottom w:val="single" w:sz="4" w:space="0" w:color="auto"/>
              <w:right w:val="single" w:sz="4" w:space="0" w:color="auto"/>
            </w:tcBorders>
            <w:shd w:val="clear" w:color="auto" w:fill="auto"/>
            <w:vAlign w:val="center"/>
            <w:hideMark/>
          </w:tcPr>
          <w:p w14:paraId="7E57B9E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22.4%</w:t>
            </w:r>
          </w:p>
        </w:tc>
        <w:tc>
          <w:tcPr>
            <w:tcW w:w="1320" w:type="dxa"/>
            <w:tcBorders>
              <w:top w:val="nil"/>
              <w:left w:val="nil"/>
              <w:bottom w:val="single" w:sz="4" w:space="0" w:color="auto"/>
              <w:right w:val="single" w:sz="4" w:space="0" w:color="auto"/>
            </w:tcBorders>
            <w:shd w:val="clear" w:color="auto" w:fill="auto"/>
            <w:vAlign w:val="center"/>
            <w:hideMark/>
          </w:tcPr>
          <w:p w14:paraId="0684A53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22.5%</w:t>
            </w:r>
          </w:p>
        </w:tc>
        <w:tc>
          <w:tcPr>
            <w:tcW w:w="1320" w:type="dxa"/>
            <w:tcBorders>
              <w:top w:val="nil"/>
              <w:left w:val="nil"/>
              <w:bottom w:val="single" w:sz="4" w:space="0" w:color="auto"/>
              <w:right w:val="single" w:sz="4" w:space="0" w:color="auto"/>
            </w:tcBorders>
            <w:shd w:val="clear" w:color="auto" w:fill="auto"/>
            <w:vAlign w:val="center"/>
          </w:tcPr>
          <w:p w14:paraId="29C33361"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b w:val="0"/>
                <w:color w:val="000000"/>
                <w:sz w:val="20"/>
                <w:szCs w:val="20"/>
              </w:rPr>
              <w:t>23.4%</w:t>
            </w:r>
          </w:p>
        </w:tc>
      </w:tr>
      <w:tr w:rsidR="00340C59" w:rsidRPr="00A83C94" w14:paraId="5190ADDD" w14:textId="77777777" w:rsidTr="0019638A">
        <w:trPr>
          <w:trHeight w:val="440"/>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786275A6"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2. Ընդամենը ծախսեր</w:t>
            </w:r>
          </w:p>
        </w:tc>
        <w:tc>
          <w:tcPr>
            <w:tcW w:w="1319" w:type="dxa"/>
            <w:tcBorders>
              <w:top w:val="nil"/>
              <w:left w:val="nil"/>
              <w:bottom w:val="single" w:sz="4" w:space="0" w:color="auto"/>
              <w:right w:val="single" w:sz="4" w:space="0" w:color="auto"/>
            </w:tcBorders>
            <w:shd w:val="clear" w:color="auto" w:fill="DBE5F1" w:themeFill="accent1" w:themeFillTint="33"/>
            <w:vAlign w:val="center"/>
          </w:tcPr>
          <w:p w14:paraId="74486ADF"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24.0%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1938D9BC"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24.8%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3505CA5A"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30.6%</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3A30BC5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28.9%</w:t>
            </w:r>
          </w:p>
        </w:tc>
        <w:tc>
          <w:tcPr>
            <w:tcW w:w="1320" w:type="dxa"/>
            <w:tcBorders>
              <w:top w:val="nil"/>
              <w:left w:val="nil"/>
              <w:bottom w:val="single" w:sz="4" w:space="0" w:color="auto"/>
              <w:right w:val="single" w:sz="4" w:space="0" w:color="auto"/>
            </w:tcBorders>
            <w:shd w:val="clear" w:color="auto" w:fill="DBE5F1" w:themeFill="accent1" w:themeFillTint="33"/>
            <w:vAlign w:val="center"/>
          </w:tcPr>
          <w:p w14:paraId="7AB6CAD8"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color w:val="000000"/>
                <w:sz w:val="20"/>
                <w:szCs w:val="20"/>
              </w:rPr>
              <w:t>27.8%</w:t>
            </w:r>
          </w:p>
        </w:tc>
      </w:tr>
      <w:tr w:rsidR="00340C59" w:rsidRPr="00A83C94" w14:paraId="7FE68F47"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366AD89E"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319" w:type="dxa"/>
            <w:tcBorders>
              <w:top w:val="nil"/>
              <w:left w:val="nil"/>
              <w:bottom w:val="single" w:sz="4" w:space="0" w:color="auto"/>
              <w:right w:val="single" w:sz="4" w:space="0" w:color="auto"/>
            </w:tcBorders>
            <w:shd w:val="clear" w:color="auto" w:fill="auto"/>
            <w:vAlign w:val="center"/>
          </w:tcPr>
          <w:p w14:paraId="3C04FD5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2678BC1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00D3A582"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hideMark/>
          </w:tcPr>
          <w:p w14:paraId="52810AB9"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rFonts w:ascii="Calibri" w:hAnsi="Calibri" w:cs="Calibri"/>
                <w:color w:val="000000"/>
                <w:sz w:val="20"/>
                <w:szCs w:val="20"/>
              </w:rPr>
              <w:t> </w:t>
            </w:r>
          </w:p>
        </w:tc>
        <w:tc>
          <w:tcPr>
            <w:tcW w:w="1320" w:type="dxa"/>
            <w:tcBorders>
              <w:top w:val="nil"/>
              <w:left w:val="nil"/>
              <w:bottom w:val="single" w:sz="4" w:space="0" w:color="auto"/>
              <w:right w:val="single" w:sz="4" w:space="0" w:color="auto"/>
            </w:tcBorders>
            <w:shd w:val="clear" w:color="auto" w:fill="auto"/>
            <w:vAlign w:val="center"/>
          </w:tcPr>
          <w:p w14:paraId="3B853247"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rFonts w:ascii="Calibri" w:hAnsi="Calibri" w:cs="Calibri"/>
                <w:color w:val="000000"/>
                <w:sz w:val="20"/>
                <w:szCs w:val="20"/>
              </w:rPr>
              <w:t> </w:t>
            </w:r>
          </w:p>
        </w:tc>
      </w:tr>
      <w:tr w:rsidR="00340C59" w:rsidRPr="00A83C94" w14:paraId="4616A698" w14:textId="77777777" w:rsidTr="0019638A">
        <w:trPr>
          <w:trHeight w:val="449"/>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4B138D8E"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 ընթացիկ ծախսեր</w:t>
            </w:r>
          </w:p>
        </w:tc>
        <w:tc>
          <w:tcPr>
            <w:tcW w:w="1319" w:type="dxa"/>
            <w:tcBorders>
              <w:top w:val="nil"/>
              <w:left w:val="nil"/>
              <w:bottom w:val="single" w:sz="4" w:space="0" w:color="auto"/>
              <w:right w:val="single" w:sz="4" w:space="0" w:color="auto"/>
            </w:tcBorders>
            <w:shd w:val="clear" w:color="auto" w:fill="auto"/>
            <w:vAlign w:val="center"/>
          </w:tcPr>
          <w:p w14:paraId="482A56AE"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21.6%</w:t>
            </w:r>
          </w:p>
        </w:tc>
        <w:tc>
          <w:tcPr>
            <w:tcW w:w="1320" w:type="dxa"/>
            <w:tcBorders>
              <w:top w:val="nil"/>
              <w:left w:val="nil"/>
              <w:bottom w:val="single" w:sz="4" w:space="0" w:color="auto"/>
              <w:right w:val="single" w:sz="4" w:space="0" w:color="auto"/>
            </w:tcBorders>
            <w:shd w:val="clear" w:color="auto" w:fill="auto"/>
            <w:vAlign w:val="center"/>
            <w:hideMark/>
          </w:tcPr>
          <w:p w14:paraId="1B4C1FBD"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21.9%</w:t>
            </w:r>
          </w:p>
        </w:tc>
        <w:tc>
          <w:tcPr>
            <w:tcW w:w="1320" w:type="dxa"/>
            <w:tcBorders>
              <w:top w:val="nil"/>
              <w:left w:val="nil"/>
              <w:bottom w:val="single" w:sz="4" w:space="0" w:color="auto"/>
              <w:right w:val="single" w:sz="4" w:space="0" w:color="auto"/>
            </w:tcBorders>
            <w:shd w:val="clear" w:color="auto" w:fill="auto"/>
            <w:vAlign w:val="center"/>
            <w:hideMark/>
          </w:tcPr>
          <w:p w14:paraId="526A56EC"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27.0%</w:t>
            </w:r>
          </w:p>
        </w:tc>
        <w:tc>
          <w:tcPr>
            <w:tcW w:w="1320" w:type="dxa"/>
            <w:tcBorders>
              <w:top w:val="nil"/>
              <w:left w:val="nil"/>
              <w:bottom w:val="single" w:sz="4" w:space="0" w:color="auto"/>
              <w:right w:val="single" w:sz="4" w:space="0" w:color="auto"/>
            </w:tcBorders>
            <w:shd w:val="clear" w:color="auto" w:fill="auto"/>
            <w:vAlign w:val="center"/>
            <w:hideMark/>
          </w:tcPr>
          <w:p w14:paraId="54957D97"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25.6%</w:t>
            </w:r>
          </w:p>
        </w:tc>
        <w:tc>
          <w:tcPr>
            <w:tcW w:w="1320" w:type="dxa"/>
            <w:tcBorders>
              <w:top w:val="nil"/>
              <w:left w:val="nil"/>
              <w:bottom w:val="single" w:sz="4" w:space="0" w:color="auto"/>
              <w:right w:val="single" w:sz="4" w:space="0" w:color="auto"/>
            </w:tcBorders>
            <w:shd w:val="clear" w:color="auto" w:fill="auto"/>
            <w:vAlign w:val="center"/>
          </w:tcPr>
          <w:p w14:paraId="05FFEC3D"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b w:val="0"/>
                <w:color w:val="000000"/>
                <w:sz w:val="20"/>
                <w:szCs w:val="20"/>
              </w:rPr>
              <w:t>23.4%</w:t>
            </w:r>
          </w:p>
        </w:tc>
      </w:tr>
      <w:tr w:rsidR="00340C59" w:rsidRPr="00A83C94" w14:paraId="1625FEFE" w14:textId="77777777" w:rsidTr="0019638A">
        <w:trPr>
          <w:trHeight w:val="629"/>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6E01E52A" w14:textId="77777777" w:rsidR="00340C59" w:rsidRPr="00A83C94" w:rsidRDefault="00340C59" w:rsidP="0019638A">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ոչ</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ֆինանսական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ակտիվների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հետ</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գործառնություններ</w:t>
            </w:r>
          </w:p>
        </w:tc>
        <w:tc>
          <w:tcPr>
            <w:tcW w:w="1319" w:type="dxa"/>
            <w:tcBorders>
              <w:top w:val="nil"/>
              <w:left w:val="nil"/>
              <w:bottom w:val="single" w:sz="4" w:space="0" w:color="auto"/>
              <w:right w:val="single" w:sz="4" w:space="0" w:color="auto"/>
            </w:tcBorders>
            <w:shd w:val="clear" w:color="auto" w:fill="auto"/>
            <w:vAlign w:val="center"/>
          </w:tcPr>
          <w:p w14:paraId="59C1753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2.5%</w:t>
            </w:r>
          </w:p>
        </w:tc>
        <w:tc>
          <w:tcPr>
            <w:tcW w:w="1320" w:type="dxa"/>
            <w:tcBorders>
              <w:top w:val="nil"/>
              <w:left w:val="nil"/>
              <w:bottom w:val="single" w:sz="4" w:space="0" w:color="auto"/>
              <w:right w:val="single" w:sz="4" w:space="0" w:color="auto"/>
            </w:tcBorders>
            <w:shd w:val="clear" w:color="auto" w:fill="auto"/>
            <w:vAlign w:val="center"/>
            <w:hideMark/>
          </w:tcPr>
          <w:p w14:paraId="6DB9B93B"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2.9%</w:t>
            </w:r>
          </w:p>
        </w:tc>
        <w:tc>
          <w:tcPr>
            <w:tcW w:w="1320" w:type="dxa"/>
            <w:tcBorders>
              <w:top w:val="nil"/>
              <w:left w:val="nil"/>
              <w:bottom w:val="single" w:sz="4" w:space="0" w:color="auto"/>
              <w:right w:val="single" w:sz="4" w:space="0" w:color="auto"/>
            </w:tcBorders>
            <w:shd w:val="clear" w:color="auto" w:fill="auto"/>
            <w:vAlign w:val="center"/>
            <w:hideMark/>
          </w:tcPr>
          <w:p w14:paraId="090403DF"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3.7%</w:t>
            </w:r>
          </w:p>
        </w:tc>
        <w:tc>
          <w:tcPr>
            <w:tcW w:w="1320" w:type="dxa"/>
            <w:tcBorders>
              <w:top w:val="nil"/>
              <w:left w:val="nil"/>
              <w:bottom w:val="single" w:sz="4" w:space="0" w:color="auto"/>
              <w:right w:val="single" w:sz="4" w:space="0" w:color="auto"/>
            </w:tcBorders>
            <w:shd w:val="clear" w:color="auto" w:fill="auto"/>
            <w:vAlign w:val="center"/>
            <w:hideMark/>
          </w:tcPr>
          <w:p w14:paraId="7A154A2A"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b w:val="0"/>
                <w:color w:val="000000"/>
                <w:sz w:val="20"/>
                <w:szCs w:val="20"/>
              </w:rPr>
              <w:t>3.4%</w:t>
            </w:r>
          </w:p>
        </w:tc>
        <w:tc>
          <w:tcPr>
            <w:tcW w:w="1320" w:type="dxa"/>
            <w:tcBorders>
              <w:top w:val="nil"/>
              <w:left w:val="nil"/>
              <w:bottom w:val="single" w:sz="4" w:space="0" w:color="auto"/>
              <w:right w:val="single" w:sz="4" w:space="0" w:color="auto"/>
            </w:tcBorders>
            <w:shd w:val="clear" w:color="auto" w:fill="auto"/>
            <w:vAlign w:val="center"/>
          </w:tcPr>
          <w:p w14:paraId="1DCB2A64"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b w:val="0"/>
                <w:color w:val="000000"/>
                <w:sz w:val="20"/>
                <w:szCs w:val="20"/>
              </w:rPr>
              <w:t>4.3%</w:t>
            </w:r>
          </w:p>
        </w:tc>
      </w:tr>
      <w:tr w:rsidR="00340C59" w:rsidRPr="00A83C94" w14:paraId="60783783" w14:textId="77777777" w:rsidTr="0019638A">
        <w:trPr>
          <w:trHeight w:val="440"/>
        </w:trPr>
        <w:tc>
          <w:tcPr>
            <w:tcW w:w="3435" w:type="dxa"/>
            <w:tcBorders>
              <w:top w:val="nil"/>
              <w:left w:val="single" w:sz="4" w:space="0" w:color="auto"/>
              <w:bottom w:val="single" w:sz="4" w:space="0" w:color="auto"/>
              <w:right w:val="single" w:sz="4" w:space="0" w:color="auto"/>
            </w:tcBorders>
            <w:shd w:val="clear" w:color="auto" w:fill="DBE5F1" w:themeFill="accent1" w:themeFillTint="33"/>
            <w:vAlign w:val="center"/>
            <w:hideMark/>
          </w:tcPr>
          <w:p w14:paraId="4AB426BF"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3. Դեֆիցիտ (պակասուրդ)</w:t>
            </w:r>
          </w:p>
        </w:tc>
        <w:tc>
          <w:tcPr>
            <w:tcW w:w="1319" w:type="dxa"/>
            <w:tcBorders>
              <w:top w:val="nil"/>
              <w:left w:val="nil"/>
              <w:bottom w:val="single" w:sz="4" w:space="0" w:color="auto"/>
              <w:right w:val="single" w:sz="4" w:space="0" w:color="auto"/>
            </w:tcBorders>
            <w:shd w:val="clear" w:color="auto" w:fill="DBE5F1" w:themeFill="accent1" w:themeFillTint="33"/>
            <w:vAlign w:val="center"/>
          </w:tcPr>
          <w:p w14:paraId="7C3F4A5F"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1.8%</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23150850"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1.0%</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78ECAAD1"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Pr>
                <w:color w:val="000000"/>
                <w:sz w:val="20"/>
                <w:szCs w:val="20"/>
              </w:rPr>
              <w:t>5.4</w:t>
            </w:r>
            <w:r w:rsidRPr="00A83C94">
              <w:rPr>
                <w:color w:val="000000"/>
                <w:sz w:val="20"/>
                <w:szCs w:val="20"/>
              </w:rPr>
              <w:t>%</w:t>
            </w:r>
          </w:p>
        </w:tc>
        <w:tc>
          <w:tcPr>
            <w:tcW w:w="1320" w:type="dxa"/>
            <w:tcBorders>
              <w:top w:val="nil"/>
              <w:left w:val="nil"/>
              <w:bottom w:val="single" w:sz="4" w:space="0" w:color="auto"/>
              <w:right w:val="single" w:sz="4" w:space="0" w:color="auto"/>
            </w:tcBorders>
            <w:shd w:val="clear" w:color="auto" w:fill="DBE5F1" w:themeFill="accent1" w:themeFillTint="33"/>
            <w:vAlign w:val="center"/>
            <w:hideMark/>
          </w:tcPr>
          <w:p w14:paraId="2A621840"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5.3%</w:t>
            </w:r>
          </w:p>
        </w:tc>
        <w:tc>
          <w:tcPr>
            <w:tcW w:w="1320" w:type="dxa"/>
            <w:tcBorders>
              <w:top w:val="nil"/>
              <w:left w:val="nil"/>
              <w:bottom w:val="single" w:sz="4" w:space="0" w:color="auto"/>
              <w:right w:val="single" w:sz="4" w:space="0" w:color="auto"/>
            </w:tcBorders>
            <w:shd w:val="clear" w:color="auto" w:fill="DBE5F1" w:themeFill="accent1" w:themeFillTint="33"/>
            <w:vAlign w:val="center"/>
          </w:tcPr>
          <w:p w14:paraId="104920B3" w14:textId="77777777" w:rsidR="00340C59" w:rsidRPr="00D411D4" w:rsidRDefault="00340C59" w:rsidP="0019638A">
            <w:pPr>
              <w:spacing w:before="0" w:line="276" w:lineRule="auto"/>
              <w:ind w:firstLine="0"/>
              <w:contextualSpacing w:val="0"/>
              <w:jc w:val="center"/>
              <w:rPr>
                <w:rFonts w:cs="Calibri"/>
                <w:b w:val="0"/>
                <w:color w:val="000000"/>
                <w:sz w:val="20"/>
                <w:szCs w:val="20"/>
                <w:lang w:val="en-US" w:eastAsia="en-US"/>
              </w:rPr>
            </w:pPr>
            <w:r w:rsidRPr="00D411D4">
              <w:rPr>
                <w:color w:val="000000"/>
                <w:sz w:val="20"/>
                <w:szCs w:val="20"/>
              </w:rPr>
              <w:t>3.</w:t>
            </w:r>
            <w:r w:rsidRPr="00D411D4">
              <w:rPr>
                <w:color w:val="000000"/>
                <w:sz w:val="20"/>
                <w:szCs w:val="20"/>
                <w:lang w:val="en-US"/>
              </w:rPr>
              <w:t>0</w:t>
            </w:r>
            <w:r w:rsidRPr="00D411D4">
              <w:rPr>
                <w:color w:val="000000"/>
                <w:sz w:val="20"/>
                <w:szCs w:val="20"/>
              </w:rPr>
              <w:t>%</w:t>
            </w:r>
          </w:p>
        </w:tc>
      </w:tr>
      <w:tr w:rsidR="00340C59" w:rsidRPr="00A83C94" w14:paraId="50137A88" w14:textId="77777777" w:rsidTr="0019638A">
        <w:trPr>
          <w:trHeight w:val="345"/>
        </w:trPr>
        <w:tc>
          <w:tcPr>
            <w:tcW w:w="3435" w:type="dxa"/>
            <w:tcBorders>
              <w:top w:val="nil"/>
              <w:left w:val="single" w:sz="4" w:space="0" w:color="auto"/>
              <w:bottom w:val="single" w:sz="4" w:space="0" w:color="auto"/>
              <w:right w:val="single" w:sz="4" w:space="0" w:color="auto"/>
            </w:tcBorders>
            <w:shd w:val="clear" w:color="auto" w:fill="auto"/>
            <w:vAlign w:val="center"/>
            <w:hideMark/>
          </w:tcPr>
          <w:p w14:paraId="7EF6772D" w14:textId="77777777" w:rsidR="00340C59" w:rsidRPr="00A83C94" w:rsidRDefault="00340C59" w:rsidP="0019638A">
            <w:pPr>
              <w:spacing w:before="0" w:line="276"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Անվանական ՀՆԱ (մլրդ դրամ)</w:t>
            </w:r>
          </w:p>
        </w:tc>
        <w:tc>
          <w:tcPr>
            <w:tcW w:w="1319" w:type="dxa"/>
            <w:tcBorders>
              <w:top w:val="nil"/>
              <w:left w:val="nil"/>
              <w:bottom w:val="single" w:sz="4" w:space="0" w:color="auto"/>
              <w:right w:val="single" w:sz="4" w:space="0" w:color="auto"/>
            </w:tcBorders>
            <w:shd w:val="clear" w:color="auto" w:fill="auto"/>
            <w:noWrap/>
            <w:vAlign w:val="center"/>
          </w:tcPr>
          <w:p w14:paraId="5046EA57"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6,017.0</w:t>
            </w:r>
          </w:p>
        </w:tc>
        <w:tc>
          <w:tcPr>
            <w:tcW w:w="1320" w:type="dxa"/>
            <w:tcBorders>
              <w:top w:val="nil"/>
              <w:left w:val="nil"/>
              <w:bottom w:val="single" w:sz="4" w:space="0" w:color="auto"/>
              <w:right w:val="single" w:sz="4" w:space="0" w:color="auto"/>
            </w:tcBorders>
            <w:shd w:val="clear" w:color="auto" w:fill="auto"/>
            <w:noWrap/>
            <w:vAlign w:val="center"/>
            <w:hideMark/>
          </w:tcPr>
          <w:p w14:paraId="4B98E226"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6,569.0</w:t>
            </w:r>
          </w:p>
        </w:tc>
        <w:tc>
          <w:tcPr>
            <w:tcW w:w="1320" w:type="dxa"/>
            <w:tcBorders>
              <w:top w:val="nil"/>
              <w:left w:val="nil"/>
              <w:bottom w:val="single" w:sz="4" w:space="0" w:color="auto"/>
              <w:right w:val="single" w:sz="4" w:space="0" w:color="auto"/>
            </w:tcBorders>
            <w:shd w:val="clear" w:color="auto" w:fill="auto"/>
            <w:noWrap/>
            <w:vAlign w:val="center"/>
            <w:hideMark/>
          </w:tcPr>
          <w:p w14:paraId="43289DC7"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6,181.7</w:t>
            </w:r>
          </w:p>
        </w:tc>
        <w:tc>
          <w:tcPr>
            <w:tcW w:w="1320" w:type="dxa"/>
            <w:tcBorders>
              <w:top w:val="nil"/>
              <w:left w:val="nil"/>
              <w:bottom w:val="single" w:sz="4" w:space="0" w:color="auto"/>
              <w:right w:val="single" w:sz="4" w:space="0" w:color="auto"/>
            </w:tcBorders>
            <w:shd w:val="clear" w:color="auto" w:fill="auto"/>
            <w:noWrap/>
            <w:vAlign w:val="center"/>
            <w:hideMark/>
          </w:tcPr>
          <w:p w14:paraId="0839AA32"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sidRPr="00A83C94">
              <w:rPr>
                <w:color w:val="000000"/>
                <w:sz w:val="20"/>
                <w:szCs w:val="20"/>
              </w:rPr>
              <w:t>6,395.3</w:t>
            </w:r>
          </w:p>
        </w:tc>
        <w:tc>
          <w:tcPr>
            <w:tcW w:w="1320" w:type="dxa"/>
            <w:tcBorders>
              <w:top w:val="nil"/>
              <w:left w:val="nil"/>
              <w:bottom w:val="single" w:sz="4" w:space="0" w:color="auto"/>
              <w:right w:val="single" w:sz="4" w:space="0" w:color="auto"/>
            </w:tcBorders>
            <w:shd w:val="clear" w:color="auto" w:fill="auto"/>
            <w:noWrap/>
            <w:vAlign w:val="center"/>
          </w:tcPr>
          <w:p w14:paraId="2742FDE8" w14:textId="77777777" w:rsidR="00340C59" w:rsidRPr="00A83C94" w:rsidRDefault="00340C59" w:rsidP="0019638A">
            <w:pPr>
              <w:spacing w:before="0" w:line="276" w:lineRule="auto"/>
              <w:ind w:firstLine="0"/>
              <w:contextualSpacing w:val="0"/>
              <w:jc w:val="center"/>
              <w:rPr>
                <w:rFonts w:cs="Calibri"/>
                <w:b w:val="0"/>
                <w:color w:val="000000"/>
                <w:sz w:val="20"/>
                <w:szCs w:val="20"/>
                <w:lang w:val="en-US" w:eastAsia="en-US"/>
              </w:rPr>
            </w:pPr>
            <w:r>
              <w:rPr>
                <w:color w:val="000000"/>
                <w:sz w:val="20"/>
                <w:szCs w:val="20"/>
              </w:rPr>
              <w:t>7,869.4</w:t>
            </w:r>
          </w:p>
        </w:tc>
      </w:tr>
    </w:tbl>
    <w:p w14:paraId="6B1D24FB" w14:textId="77777777" w:rsidR="00027FBF" w:rsidRPr="00A83C94" w:rsidRDefault="00027FBF" w:rsidP="00027FBF">
      <w:pPr>
        <w:spacing w:before="0" w:line="276" w:lineRule="auto"/>
        <w:ind w:firstLine="538"/>
        <w:rPr>
          <w:rFonts w:eastAsia="Calibri"/>
          <w:b w:val="0"/>
          <w:szCs w:val="22"/>
          <w:lang w:val="hy-AM" w:eastAsia="en-US"/>
        </w:rPr>
      </w:pPr>
    </w:p>
    <w:p w14:paraId="48BBAFFC" w14:textId="77777777" w:rsidR="009D5678" w:rsidRPr="00A83C94" w:rsidRDefault="009D5678" w:rsidP="009D5678">
      <w:pPr>
        <w:spacing w:before="0" w:line="276" w:lineRule="auto"/>
        <w:ind w:firstLine="538"/>
        <w:rPr>
          <w:rFonts w:eastAsia="Calibri"/>
          <w:b w:val="0"/>
          <w:szCs w:val="22"/>
          <w:lang w:val="hy-AM" w:eastAsia="en-US"/>
        </w:rPr>
      </w:pPr>
      <w:r w:rsidRPr="00A83C94">
        <w:rPr>
          <w:rFonts w:eastAsia="Calibri"/>
          <w:b w:val="0"/>
          <w:szCs w:val="22"/>
          <w:lang w:val="hy-AM" w:eastAsia="en-US"/>
        </w:rPr>
        <w:t>Հիմք ընդունելով ՀՆԱ-ի 24.</w:t>
      </w:r>
      <w:r w:rsidRPr="0002346F">
        <w:rPr>
          <w:rFonts w:eastAsia="Calibri"/>
          <w:b w:val="0"/>
          <w:szCs w:val="22"/>
          <w:lang w:val="hy-AM" w:eastAsia="en-US"/>
        </w:rPr>
        <w:t>8</w:t>
      </w:r>
      <w:r w:rsidRPr="00A83C94">
        <w:rPr>
          <w:rFonts w:eastAsia="Calibri"/>
          <w:b w:val="0"/>
          <w:szCs w:val="22"/>
          <w:lang w:val="hy-AM" w:eastAsia="en-US"/>
        </w:rPr>
        <w:t xml:space="preserve"> %-ի չափով կանխատեսված ՀՀ 2022 թվականի պե</w:t>
      </w:r>
      <w:r w:rsidRPr="00A83C94">
        <w:rPr>
          <w:rFonts w:eastAsia="Calibri"/>
          <w:b w:val="0"/>
          <w:szCs w:val="22"/>
          <w:lang w:val="hy-AM" w:eastAsia="en-US"/>
        </w:rPr>
        <w:softHyphen/>
        <w:t>տա</w:t>
      </w:r>
      <w:r w:rsidRPr="00A83C94">
        <w:rPr>
          <w:rFonts w:eastAsia="Calibri"/>
          <w:b w:val="0"/>
          <w:szCs w:val="22"/>
          <w:lang w:val="hy-AM" w:eastAsia="en-US"/>
        </w:rPr>
        <w:softHyphen/>
        <w:t>կան բյու</w:t>
      </w:r>
      <w:r w:rsidRPr="00A83C94">
        <w:rPr>
          <w:rFonts w:eastAsia="Calibri"/>
          <w:b w:val="0"/>
          <w:szCs w:val="22"/>
          <w:lang w:val="hy-AM" w:eastAsia="en-US"/>
        </w:rPr>
        <w:softHyphen/>
        <w:t xml:space="preserve">ջեի եկամուտների մակարդակը և ելնելով ՀՆԱ-ի </w:t>
      </w:r>
      <w:r w:rsidRPr="00795205">
        <w:rPr>
          <w:rFonts w:eastAsia="Calibri"/>
          <w:b w:val="0"/>
          <w:szCs w:val="22"/>
          <w:lang w:val="hy-AM" w:eastAsia="en-US"/>
        </w:rPr>
        <w:t>3.0 %-ի չափով</w:t>
      </w:r>
      <w:r w:rsidRPr="00A83C94">
        <w:rPr>
          <w:rFonts w:eastAsia="Calibri"/>
          <w:b w:val="0"/>
          <w:szCs w:val="22"/>
          <w:lang w:val="hy-AM" w:eastAsia="en-US"/>
        </w:rPr>
        <w:t xml:space="preserve"> դեֆի</w:t>
      </w:r>
      <w:r w:rsidRPr="00A83C94">
        <w:rPr>
          <w:rFonts w:eastAsia="Calibri"/>
          <w:b w:val="0"/>
          <w:szCs w:val="22"/>
          <w:lang w:val="hy-AM" w:eastAsia="en-US"/>
        </w:rPr>
        <w:softHyphen/>
        <w:t>ցի</w:t>
      </w:r>
      <w:r w:rsidRPr="00A83C94">
        <w:rPr>
          <w:rFonts w:eastAsia="Calibri"/>
          <w:b w:val="0"/>
          <w:szCs w:val="22"/>
          <w:lang w:val="hy-AM" w:eastAsia="en-US"/>
        </w:rPr>
        <w:softHyphen/>
        <w:t>տի ֆինան</w:t>
      </w:r>
      <w:r w:rsidRPr="00A83C94">
        <w:rPr>
          <w:rFonts w:eastAsia="Calibri"/>
          <w:b w:val="0"/>
          <w:szCs w:val="22"/>
          <w:lang w:val="hy-AM" w:eastAsia="en-US"/>
        </w:rPr>
        <w:softHyphen/>
        <w:t>սա</w:t>
      </w:r>
      <w:r w:rsidRPr="00A83C94">
        <w:rPr>
          <w:rFonts w:eastAsia="Calibri"/>
          <w:b w:val="0"/>
          <w:szCs w:val="22"/>
          <w:lang w:val="hy-AM" w:eastAsia="en-US"/>
        </w:rPr>
        <w:softHyphen/>
        <w:t>վոր</w:t>
      </w:r>
      <w:r w:rsidRPr="00A83C94">
        <w:rPr>
          <w:rFonts w:eastAsia="Calibri"/>
          <w:b w:val="0"/>
          <w:szCs w:val="22"/>
          <w:lang w:val="hy-AM" w:eastAsia="en-US"/>
        </w:rPr>
        <w:softHyphen/>
        <w:t>ման հնարավորություններից, ՀՀ կառավարությունը ծրագրում է 2022 թվա</w:t>
      </w:r>
      <w:r w:rsidRPr="00A83C94">
        <w:rPr>
          <w:rFonts w:eastAsia="Calibri"/>
          <w:b w:val="0"/>
          <w:szCs w:val="22"/>
          <w:lang w:val="hy-AM" w:eastAsia="en-US"/>
        </w:rPr>
        <w:softHyphen/>
        <w:t xml:space="preserve">կանին ապահովել ծախսերը ՀՆԱ-ի </w:t>
      </w:r>
      <w:r w:rsidRPr="00795205">
        <w:rPr>
          <w:rFonts w:eastAsia="Calibri"/>
          <w:b w:val="0"/>
          <w:szCs w:val="22"/>
          <w:lang w:val="hy-AM" w:eastAsia="en-US"/>
        </w:rPr>
        <w:t>27.8 %-ի կամ 2,184.0</w:t>
      </w:r>
      <w:r w:rsidRPr="00A83C94">
        <w:rPr>
          <w:rFonts w:eastAsia="Calibri"/>
          <w:b w:val="0"/>
          <w:szCs w:val="22"/>
          <w:lang w:val="hy-AM" w:eastAsia="en-US"/>
        </w:rPr>
        <w:t xml:space="preserve"> մլրդ դրամի չափով:</w:t>
      </w:r>
    </w:p>
    <w:p w14:paraId="5820A971" w14:textId="4A15FDF0" w:rsidR="00027FBF" w:rsidRPr="00A83C94" w:rsidRDefault="00027FBF" w:rsidP="00027FBF">
      <w:pPr>
        <w:spacing w:before="0" w:line="276" w:lineRule="auto"/>
        <w:ind w:firstLine="538"/>
        <w:rPr>
          <w:rFonts w:eastAsia="Calibri"/>
          <w:b w:val="0"/>
          <w:szCs w:val="22"/>
          <w:lang w:val="hy-AM" w:eastAsia="en-US"/>
        </w:rPr>
      </w:pPr>
    </w:p>
    <w:p w14:paraId="7811426B" w14:textId="77777777" w:rsidR="00027FBF" w:rsidRPr="00A83C94" w:rsidRDefault="00027FBF" w:rsidP="00027FBF">
      <w:pPr>
        <w:spacing w:before="0" w:line="276" w:lineRule="auto"/>
        <w:rPr>
          <w:lang w:val="hy-AM"/>
        </w:rPr>
      </w:pPr>
    </w:p>
    <w:p w14:paraId="492DF210" w14:textId="77777777" w:rsidR="00027FBF" w:rsidRPr="00A83C94" w:rsidRDefault="00027FBF" w:rsidP="00027FBF">
      <w:pPr>
        <w:spacing w:before="0" w:line="240" w:lineRule="auto"/>
        <w:ind w:firstLine="0"/>
        <w:contextualSpacing w:val="0"/>
        <w:jc w:val="left"/>
        <w:rPr>
          <w:lang w:val="hy-AM"/>
        </w:rPr>
      </w:pPr>
      <w:r w:rsidRPr="00A83C94">
        <w:rPr>
          <w:lang w:val="hy-AM"/>
        </w:rPr>
        <w:br w:type="page"/>
      </w:r>
    </w:p>
    <w:p w14:paraId="6028ED11" w14:textId="77777777" w:rsidR="00D379EC" w:rsidRPr="00EB774C" w:rsidRDefault="00D379EC" w:rsidP="00A30EDC">
      <w:pPr>
        <w:pStyle w:val="Heading1"/>
        <w:rPr>
          <w:lang w:val="hy-AM"/>
        </w:rPr>
      </w:pPr>
      <w:bookmarkStart w:id="203" w:name="_Toc89428299"/>
      <w:r w:rsidRPr="00EB774C">
        <w:rPr>
          <w:lang w:val="hy-AM"/>
        </w:rPr>
        <w:t>ՄԱՍ II – Բ.</w:t>
      </w:r>
      <w:r w:rsidR="00311F2E" w:rsidRPr="00EB774C">
        <w:rPr>
          <w:lang w:val="hy-AM"/>
        </w:rPr>
        <w:t xml:space="preserve"> </w:t>
      </w:r>
      <w:r w:rsidRPr="00EB774C">
        <w:rPr>
          <w:lang w:val="hy-AM"/>
        </w:rPr>
        <w:t>ՀԱՐԿԱԲՅՈՒՋԵՏԱՅԻՆ ՑՈՒՑԱՆԻՇՆԵՐԻ ԿԱՆԽԱՏԵՍՈՒՄ</w:t>
      </w:r>
      <w:bookmarkEnd w:id="203"/>
    </w:p>
    <w:p w14:paraId="1D1BA096" w14:textId="5B8A55BF" w:rsidR="0064687E" w:rsidRPr="00A83C94" w:rsidRDefault="0064687E" w:rsidP="007730AA">
      <w:pPr>
        <w:spacing w:before="0" w:line="276" w:lineRule="auto"/>
        <w:ind w:firstLine="538"/>
        <w:rPr>
          <w:rFonts w:eastAsia="Calibri"/>
          <w:b w:val="0"/>
          <w:szCs w:val="22"/>
          <w:lang w:val="hy-AM" w:eastAsia="en-US"/>
        </w:rPr>
      </w:pPr>
      <w:r w:rsidRPr="00A83C94">
        <w:rPr>
          <w:rFonts w:eastAsia="Calibri"/>
          <w:b w:val="0"/>
          <w:szCs w:val="22"/>
          <w:lang w:val="hy-AM" w:eastAsia="en-US"/>
        </w:rPr>
        <w:t>ՀՀ 202</w:t>
      </w:r>
      <w:r w:rsidR="009D4C7A" w:rsidRPr="00A83C94">
        <w:rPr>
          <w:rFonts w:eastAsia="Calibri"/>
          <w:b w:val="0"/>
          <w:szCs w:val="22"/>
          <w:lang w:val="hy-AM" w:eastAsia="en-US"/>
        </w:rPr>
        <w:t>2</w:t>
      </w:r>
      <w:r w:rsidRPr="00A83C94">
        <w:rPr>
          <w:rFonts w:eastAsia="Calibri"/>
          <w:b w:val="0"/>
          <w:szCs w:val="22"/>
          <w:lang w:val="hy-AM" w:eastAsia="en-US"/>
        </w:rPr>
        <w:t xml:space="preserve"> թվականի պետական բյուջեի նախագծով նախատեսված բյուջետային եկա</w:t>
      </w:r>
      <w:r w:rsidRPr="00A83C94">
        <w:rPr>
          <w:rFonts w:eastAsia="Calibri"/>
          <w:b w:val="0"/>
          <w:szCs w:val="22"/>
          <w:lang w:val="hy-AM" w:eastAsia="en-US"/>
        </w:rPr>
        <w:softHyphen/>
        <w:t>մուտների կազմում, ինչպես և նախորդ տարիներին, գերակշիռ մաս են կազմում հար</w:t>
      </w:r>
      <w:r w:rsidRPr="00A83C94">
        <w:rPr>
          <w:rFonts w:eastAsia="Calibri"/>
          <w:b w:val="0"/>
          <w:szCs w:val="22"/>
          <w:lang w:val="hy-AM" w:eastAsia="en-US"/>
        </w:rPr>
        <w:softHyphen/>
        <w:t xml:space="preserve">կային եկամուտների և պետական տուրքերի գծով ակնկալվող մուտքերը, ինչը ներկայացված է </w:t>
      </w:r>
      <w:r w:rsidR="002025BB" w:rsidRPr="00A83C94">
        <w:rPr>
          <w:rFonts w:eastAsia="Calibri"/>
          <w:b w:val="0"/>
          <w:szCs w:val="22"/>
          <w:lang w:val="hy-AM" w:eastAsia="en-US"/>
        </w:rPr>
        <w:t>գծապատկերում</w:t>
      </w:r>
      <w:r w:rsidRPr="00A83C94">
        <w:rPr>
          <w:rFonts w:eastAsia="Calibri"/>
          <w:b w:val="0"/>
          <w:szCs w:val="22"/>
          <w:lang w:val="hy-AM" w:eastAsia="en-US"/>
        </w:rPr>
        <w:t>:</w:t>
      </w:r>
    </w:p>
    <w:p w14:paraId="47EC5430" w14:textId="111CC6F8" w:rsidR="0064687E" w:rsidRPr="00A83C94" w:rsidRDefault="0064687E" w:rsidP="007730AA">
      <w:pPr>
        <w:spacing w:before="0" w:line="276" w:lineRule="auto"/>
        <w:ind w:firstLine="538"/>
        <w:rPr>
          <w:rFonts w:eastAsia="Calibri"/>
          <w:b w:val="0"/>
          <w:szCs w:val="22"/>
          <w:lang w:val="hy-AM" w:eastAsia="en-US"/>
        </w:rPr>
      </w:pPr>
      <w:bookmarkStart w:id="204" w:name="_Ref497897119"/>
      <w:bookmarkStart w:id="205" w:name="_Toc525773080"/>
      <w:r w:rsidRPr="00A83C94">
        <w:rPr>
          <w:rFonts w:eastAsia="Calibri"/>
          <w:b w:val="0"/>
          <w:szCs w:val="22"/>
          <w:lang w:val="hy-AM" w:eastAsia="en-US"/>
        </w:rPr>
        <w:t xml:space="preserve"> </w:t>
      </w:r>
      <w:bookmarkStart w:id="206" w:name="_Toc530250447"/>
      <w:r w:rsidRPr="00A83C94">
        <w:rPr>
          <w:rFonts w:eastAsia="Calibri"/>
          <w:b w:val="0"/>
          <w:szCs w:val="22"/>
          <w:lang w:val="hy-AM" w:eastAsia="en-US"/>
        </w:rPr>
        <w:t>ՀՀ 20</w:t>
      </w:r>
      <w:r w:rsidR="009D4C7A" w:rsidRPr="00A83C94">
        <w:rPr>
          <w:rFonts w:eastAsia="Calibri"/>
          <w:b w:val="0"/>
          <w:szCs w:val="22"/>
          <w:lang w:val="hy-AM" w:eastAsia="en-US"/>
        </w:rPr>
        <w:t>22</w:t>
      </w:r>
      <w:r w:rsidRPr="00A83C94">
        <w:rPr>
          <w:rFonts w:eastAsia="Calibri"/>
          <w:b w:val="0"/>
          <w:szCs w:val="22"/>
          <w:lang w:val="hy-AM" w:eastAsia="en-US"/>
        </w:rPr>
        <w:t xml:space="preserve"> թվականի պետական բյուջեի նախագծով նախատեսված բյուջետային եկամուտների կառուցվածքը (%-ով ընդհանուրի նկատմամբ)</w:t>
      </w:r>
      <w:bookmarkEnd w:id="204"/>
      <w:bookmarkEnd w:id="205"/>
      <w:bookmarkEnd w:id="206"/>
      <w:r w:rsidRPr="00A83C94">
        <w:rPr>
          <w:rFonts w:eastAsia="Calibri"/>
          <w:b w:val="0"/>
          <w:szCs w:val="22"/>
          <w:lang w:val="hy-AM" w:eastAsia="en-US"/>
        </w:rPr>
        <w:tab/>
      </w:r>
    </w:p>
    <w:p w14:paraId="50668A08" w14:textId="77777777" w:rsidR="0064687E" w:rsidRPr="00A83C94" w:rsidRDefault="0064687E" w:rsidP="007730AA">
      <w:pPr>
        <w:spacing w:before="0" w:line="276" w:lineRule="auto"/>
        <w:ind w:firstLine="538"/>
        <w:rPr>
          <w:rFonts w:eastAsia="Calibri"/>
          <w:b w:val="0"/>
          <w:szCs w:val="22"/>
          <w:lang w:val="hy-AM" w:eastAsia="en-US"/>
        </w:rPr>
      </w:pPr>
    </w:p>
    <w:p w14:paraId="08CA3185" w14:textId="77777777" w:rsidR="0064687E" w:rsidRPr="00A83C94" w:rsidRDefault="0064687E" w:rsidP="007730AA">
      <w:pPr>
        <w:spacing w:before="0" w:line="276" w:lineRule="auto"/>
        <w:ind w:firstLine="538"/>
        <w:rPr>
          <w:rFonts w:eastAsia="Calibri"/>
          <w:b w:val="0"/>
          <w:szCs w:val="22"/>
          <w:lang w:val="hy-AM" w:eastAsia="en-US"/>
        </w:rPr>
      </w:pPr>
      <w:r w:rsidRPr="00A83C94">
        <w:rPr>
          <w:rFonts w:eastAsia="Calibri"/>
          <w:b w:val="0"/>
          <w:noProof/>
          <w:szCs w:val="22"/>
          <w:lang w:val="en-US" w:eastAsia="en-US"/>
        </w:rPr>
        <w:drawing>
          <wp:inline distT="0" distB="0" distL="0" distR="0" wp14:anchorId="7B52F200" wp14:editId="3ABDEA1D">
            <wp:extent cx="5157989" cy="2311758"/>
            <wp:effectExtent l="0" t="0" r="508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FDA8246" w14:textId="77777777" w:rsidR="0060175E" w:rsidRPr="00A83C94" w:rsidRDefault="0060175E" w:rsidP="007730AA">
      <w:pPr>
        <w:spacing w:before="0" w:line="276" w:lineRule="auto"/>
        <w:ind w:firstLine="538"/>
        <w:rPr>
          <w:rFonts w:eastAsia="Calibri"/>
          <w:b w:val="0"/>
          <w:szCs w:val="22"/>
          <w:lang w:val="hy-AM" w:eastAsia="en-US"/>
        </w:rPr>
      </w:pPr>
    </w:p>
    <w:p w14:paraId="0CC491CC" w14:textId="463EE9E5" w:rsidR="0064687E" w:rsidRPr="00A83C94" w:rsidRDefault="0064687E" w:rsidP="007730AA">
      <w:pPr>
        <w:spacing w:before="0" w:line="276" w:lineRule="auto"/>
        <w:ind w:firstLine="538"/>
        <w:rPr>
          <w:rFonts w:eastAsia="Calibri"/>
          <w:b w:val="0"/>
          <w:szCs w:val="22"/>
          <w:lang w:val="hy-AM" w:eastAsia="en-US"/>
        </w:rPr>
      </w:pPr>
      <w:r w:rsidRPr="00A83C94">
        <w:rPr>
          <w:rFonts w:eastAsia="Calibri"/>
          <w:b w:val="0"/>
          <w:szCs w:val="22"/>
          <w:lang w:val="hy-AM" w:eastAsia="en-US"/>
        </w:rPr>
        <w:t>ՀՀ 202</w:t>
      </w:r>
      <w:r w:rsidR="009D4C7A" w:rsidRPr="00A83C94">
        <w:rPr>
          <w:rFonts w:eastAsia="Calibri"/>
          <w:b w:val="0"/>
          <w:szCs w:val="22"/>
          <w:lang w:val="hy-AM" w:eastAsia="en-US"/>
        </w:rPr>
        <w:t>2</w:t>
      </w:r>
      <w:r w:rsidRPr="00A83C94">
        <w:rPr>
          <w:rFonts w:eastAsia="Calibri"/>
          <w:b w:val="0"/>
          <w:szCs w:val="22"/>
          <w:lang w:val="hy-AM" w:eastAsia="en-US"/>
        </w:rPr>
        <w:t xml:space="preserve"> թվականի պետական բյուջեի նախագծով նախատեսվել է 1,</w:t>
      </w:r>
      <w:r w:rsidR="00D0519F">
        <w:rPr>
          <w:rFonts w:eastAsia="Calibri"/>
          <w:b w:val="0"/>
          <w:szCs w:val="22"/>
          <w:lang w:val="hy-AM" w:eastAsia="en-US"/>
        </w:rPr>
        <w:t>94</w:t>
      </w:r>
      <w:r w:rsidR="00D0519F" w:rsidRPr="00D0519F">
        <w:rPr>
          <w:rFonts w:eastAsia="Calibri"/>
          <w:b w:val="0"/>
          <w:szCs w:val="22"/>
          <w:lang w:val="hy-AM" w:eastAsia="en-US"/>
        </w:rPr>
        <w:t>7.8</w:t>
      </w:r>
      <w:r w:rsidRPr="00A83C94">
        <w:rPr>
          <w:rFonts w:eastAsia="Calibri"/>
          <w:b w:val="0"/>
          <w:szCs w:val="22"/>
          <w:lang w:val="hy-AM" w:eastAsia="en-US"/>
        </w:rPr>
        <w:t xml:space="preserve"> մլրդ դրամ եկա</w:t>
      </w:r>
      <w:r w:rsidRPr="00A83C94">
        <w:rPr>
          <w:rFonts w:eastAsia="Calibri"/>
          <w:b w:val="0"/>
          <w:szCs w:val="22"/>
          <w:lang w:val="hy-AM" w:eastAsia="en-US"/>
        </w:rPr>
        <w:softHyphen/>
        <w:t>մուտ</w:t>
      </w:r>
      <w:r w:rsidRPr="00A83C94">
        <w:rPr>
          <w:rFonts w:eastAsia="Calibri"/>
          <w:b w:val="0"/>
          <w:szCs w:val="22"/>
          <w:lang w:val="hy-AM" w:eastAsia="en-US"/>
        </w:rPr>
        <w:softHyphen/>
      </w:r>
      <w:r w:rsidRPr="00A83C94">
        <w:rPr>
          <w:rFonts w:eastAsia="Calibri"/>
          <w:b w:val="0"/>
          <w:szCs w:val="22"/>
          <w:lang w:val="hy-AM" w:eastAsia="en-US"/>
        </w:rPr>
        <w:softHyphen/>
        <w:t>ներ, որից հարկային եկամուտների և պետական տուրքերի գծով</w:t>
      </w:r>
      <w:r w:rsidR="00426B9F" w:rsidRPr="00A83C94">
        <w:rPr>
          <w:rFonts w:eastAsia="Calibri"/>
          <w:b w:val="0"/>
          <w:szCs w:val="22"/>
          <w:lang w:val="hy-AM" w:eastAsia="en-US"/>
        </w:rPr>
        <w:t>` 1,</w:t>
      </w:r>
      <w:r w:rsidR="009473A9" w:rsidRPr="00A83C94">
        <w:rPr>
          <w:rFonts w:eastAsia="Calibri"/>
          <w:b w:val="0"/>
          <w:szCs w:val="22"/>
          <w:lang w:val="hy-AM" w:eastAsia="en-US"/>
        </w:rPr>
        <w:t>843</w:t>
      </w:r>
      <w:r w:rsidR="00426B9F" w:rsidRPr="00A83C94">
        <w:rPr>
          <w:rFonts w:eastAsia="Calibri"/>
          <w:b w:val="0"/>
          <w:szCs w:val="22"/>
          <w:lang w:val="hy-AM" w:eastAsia="en-US"/>
        </w:rPr>
        <w:t>.</w:t>
      </w:r>
      <w:r w:rsidR="00D0519F" w:rsidRPr="00D0519F">
        <w:rPr>
          <w:rFonts w:eastAsia="Calibri"/>
          <w:b w:val="0"/>
          <w:szCs w:val="22"/>
          <w:lang w:val="hy-AM" w:eastAsia="en-US"/>
        </w:rPr>
        <w:t>9</w:t>
      </w:r>
      <w:r w:rsidRPr="00A83C94">
        <w:rPr>
          <w:rFonts w:eastAsia="Calibri"/>
          <w:b w:val="0"/>
          <w:szCs w:val="22"/>
          <w:lang w:val="hy-AM" w:eastAsia="en-US"/>
        </w:rPr>
        <w:t xml:space="preserve"> մլրդ դրամ:</w:t>
      </w:r>
      <w:r w:rsidRPr="00A83C94">
        <w:rPr>
          <w:rFonts w:ascii="Calibri" w:eastAsia="Calibri" w:hAnsi="Calibri" w:cs="Calibri"/>
          <w:b w:val="0"/>
          <w:szCs w:val="22"/>
          <w:lang w:val="hy-AM" w:eastAsia="en-US"/>
        </w:rPr>
        <w:t> </w:t>
      </w:r>
      <w:r w:rsidRPr="00A83C94">
        <w:rPr>
          <w:rFonts w:eastAsia="Calibri"/>
          <w:b w:val="0"/>
          <w:szCs w:val="22"/>
          <w:lang w:val="hy-AM" w:eastAsia="en-US"/>
        </w:rPr>
        <w:t>Բյուջետային եկամուտների` ըստ առանձին եկամտատեսակների կանխա</w:t>
      </w:r>
      <w:r w:rsidRPr="00A83C94">
        <w:rPr>
          <w:rFonts w:eastAsia="Calibri"/>
          <w:b w:val="0"/>
          <w:szCs w:val="22"/>
          <w:lang w:val="hy-AM" w:eastAsia="en-US"/>
        </w:rPr>
        <w:softHyphen/>
        <w:t>տե</w:t>
      </w:r>
      <w:r w:rsidRPr="00A83C94">
        <w:rPr>
          <w:rFonts w:eastAsia="Calibri"/>
          <w:b w:val="0"/>
          <w:szCs w:val="22"/>
          <w:lang w:val="hy-AM" w:eastAsia="en-US"/>
        </w:rPr>
        <w:softHyphen/>
        <w:t>սում</w:t>
      </w:r>
      <w:r w:rsidRPr="00A83C94">
        <w:rPr>
          <w:rFonts w:eastAsia="Calibri"/>
          <w:b w:val="0"/>
          <w:szCs w:val="22"/>
          <w:lang w:val="hy-AM" w:eastAsia="en-US"/>
        </w:rPr>
        <w:softHyphen/>
        <w:t>ների ման</w:t>
      </w:r>
      <w:r w:rsidRPr="00A83C94">
        <w:rPr>
          <w:rFonts w:eastAsia="Calibri"/>
          <w:b w:val="0"/>
          <w:szCs w:val="22"/>
          <w:lang w:val="hy-AM" w:eastAsia="en-US"/>
        </w:rPr>
        <w:softHyphen/>
      </w:r>
      <w:r w:rsidRPr="00A83C94">
        <w:rPr>
          <w:rFonts w:eastAsia="Calibri"/>
          <w:b w:val="0"/>
          <w:szCs w:val="22"/>
          <w:lang w:val="hy-AM" w:eastAsia="en-US"/>
        </w:rPr>
        <w:softHyphen/>
        <w:t>րամասները ներկայացված են «Հայաստանի Հանրապետության 20</w:t>
      </w:r>
      <w:r w:rsidR="009473A9" w:rsidRPr="00A83C94">
        <w:rPr>
          <w:rFonts w:eastAsia="Calibri"/>
          <w:b w:val="0"/>
          <w:szCs w:val="22"/>
          <w:lang w:val="hy-AM" w:eastAsia="en-US"/>
        </w:rPr>
        <w:t>2</w:t>
      </w:r>
      <w:r w:rsidRPr="00A83C94">
        <w:rPr>
          <w:rFonts w:eastAsia="Calibri"/>
          <w:b w:val="0"/>
          <w:szCs w:val="22"/>
          <w:lang w:val="hy-AM" w:eastAsia="en-US"/>
        </w:rPr>
        <w:t>2 թվականի պե</w:t>
      </w:r>
      <w:r w:rsidRPr="00A83C94">
        <w:rPr>
          <w:rFonts w:eastAsia="Calibri"/>
          <w:b w:val="0"/>
          <w:szCs w:val="22"/>
          <w:lang w:val="hy-AM" w:eastAsia="en-US"/>
        </w:rPr>
        <w:softHyphen/>
        <w:t>տա</w:t>
      </w:r>
      <w:r w:rsidRPr="00A83C94">
        <w:rPr>
          <w:rFonts w:eastAsia="Calibri"/>
          <w:b w:val="0"/>
          <w:szCs w:val="22"/>
          <w:lang w:val="hy-AM" w:eastAsia="en-US"/>
        </w:rPr>
        <w:softHyphen/>
      </w:r>
      <w:r w:rsidRPr="00A83C94">
        <w:rPr>
          <w:rFonts w:eastAsia="Calibri"/>
          <w:b w:val="0"/>
          <w:szCs w:val="22"/>
          <w:lang w:val="hy-AM" w:eastAsia="en-US"/>
        </w:rPr>
        <w:softHyphen/>
        <w:t>կան բյուջեի մասին» ՀՀ օրենքի նախագծի բացատրագրի` եկամուտների կան</w:t>
      </w:r>
      <w:r w:rsidRPr="00A83C94">
        <w:rPr>
          <w:rFonts w:eastAsia="Calibri"/>
          <w:b w:val="0"/>
          <w:szCs w:val="22"/>
          <w:lang w:val="hy-AM" w:eastAsia="en-US"/>
        </w:rPr>
        <w:softHyphen/>
        <w:t>խա</w:t>
      </w:r>
      <w:r w:rsidRPr="00A83C94">
        <w:rPr>
          <w:rFonts w:eastAsia="Calibri"/>
          <w:b w:val="0"/>
          <w:szCs w:val="22"/>
          <w:lang w:val="hy-AM" w:eastAsia="en-US"/>
        </w:rPr>
        <w:softHyphen/>
        <w:t>տես</w:t>
      </w:r>
      <w:r w:rsidRPr="00A83C94">
        <w:rPr>
          <w:rFonts w:eastAsia="Calibri"/>
          <w:b w:val="0"/>
          <w:szCs w:val="22"/>
          <w:lang w:val="hy-AM" w:eastAsia="en-US"/>
        </w:rPr>
        <w:softHyphen/>
        <w:t>մանը վերաբերվող մասում (սույն ուղերձի մաս 3):</w:t>
      </w:r>
    </w:p>
    <w:p w14:paraId="6C19F4D5" w14:textId="77777777" w:rsidR="00BF7CB6" w:rsidRPr="00A83C94" w:rsidRDefault="00BF7CB6" w:rsidP="007730AA">
      <w:pPr>
        <w:spacing w:before="0" w:line="276" w:lineRule="auto"/>
        <w:ind w:firstLine="538"/>
        <w:rPr>
          <w:rFonts w:eastAsia="Calibri"/>
          <w:b w:val="0"/>
          <w:szCs w:val="22"/>
          <w:lang w:val="hy-AM" w:eastAsia="en-US"/>
        </w:rPr>
      </w:pPr>
    </w:p>
    <w:p w14:paraId="087F97AC" w14:textId="77777777" w:rsidR="00C72188" w:rsidRPr="00A83C94" w:rsidRDefault="00C72188" w:rsidP="00C72188">
      <w:pPr>
        <w:pStyle w:val="Heading2"/>
      </w:pPr>
      <w:r w:rsidRPr="00A83C94">
        <w:t xml:space="preserve">     </w:t>
      </w:r>
      <w:bookmarkStart w:id="207" w:name="_Toc89254348"/>
      <w:bookmarkStart w:id="208" w:name="_Toc89428300"/>
      <w:r w:rsidRPr="00A83C94">
        <w:t>2022 ԹՎԱԿԱՆԻ ԾԱԽՍԵՐԻ ՄԱԿԱՐԴԱԿԸ ԵՎ ԳԵՐԱԿԱՅՈՒԹՅՈՒՆՆԵՐԸ</w:t>
      </w:r>
      <w:bookmarkEnd w:id="207"/>
      <w:bookmarkEnd w:id="208"/>
    </w:p>
    <w:p w14:paraId="21EA515E" w14:textId="77777777" w:rsidR="00C72188" w:rsidRPr="00A83C94" w:rsidRDefault="00C72188" w:rsidP="00C72188">
      <w:pPr>
        <w:pStyle w:val="BodyText2"/>
      </w:pPr>
      <w:bookmarkStart w:id="209" w:name="_Toc48835701"/>
      <w:r w:rsidRPr="00A83C94">
        <w:t>Հաշվի առնելով ՀՀ 2022 թվականի պետական բյուջեի եկամուտների կանխատեսվող մակարդակը և դեֆիցիտի ու պետական պարտքի նպատակային ցուցանիշները, որոնք ներկա</w:t>
      </w:r>
      <w:r w:rsidRPr="00A83C94">
        <w:softHyphen/>
        <w:t xml:space="preserve">յացվում են հաջորդ բաժնում, ՀՀ կառավարությունը ՀՀ 2022 թվականի պետական բյուջեի ծախսերի ծավալը առաջարկում է </w:t>
      </w:r>
      <w:r w:rsidRPr="00AB5A61">
        <w:t>սահմանել 2,184.0 մլրդ</w:t>
      </w:r>
      <w:r w:rsidRPr="00A83C94">
        <w:t xml:space="preserve"> դրամի չափով:</w:t>
      </w:r>
    </w:p>
    <w:p w14:paraId="3540393F" w14:textId="77777777" w:rsidR="00C72188" w:rsidRPr="00A83C94" w:rsidRDefault="00C72188" w:rsidP="00C72188">
      <w:pPr>
        <w:pStyle w:val="BodyText2"/>
      </w:pPr>
      <w:r w:rsidRPr="00A83C94">
        <w:t>ՀՀ կա</w:t>
      </w:r>
      <w:r w:rsidRPr="00A83C94">
        <w:softHyphen/>
        <w:t>ռա</w:t>
      </w:r>
      <w:r w:rsidRPr="00A83C94">
        <w:softHyphen/>
        <w:t>վա</w:t>
      </w:r>
      <w:r w:rsidRPr="00A83C94">
        <w:softHyphen/>
        <w:t>րու</w:t>
      </w:r>
      <w:r w:rsidRPr="00A83C94">
        <w:softHyphen/>
        <w:t>թ</w:t>
      </w:r>
      <w:r w:rsidRPr="00A83C94">
        <w:softHyphen/>
        <w:t>յան 2022 թվականի ծախ</w:t>
      </w:r>
      <w:r w:rsidRPr="00A83C94">
        <w:softHyphen/>
        <w:t>սային գերա</w:t>
      </w:r>
      <w:r w:rsidRPr="00A83C94">
        <w:softHyphen/>
        <w:t>կա</w:t>
      </w:r>
      <w:r w:rsidRPr="00A83C94">
        <w:softHyphen/>
        <w:t>յու</w:t>
      </w:r>
      <w:r w:rsidRPr="00A83C94">
        <w:softHyphen/>
        <w:t>թ</w:t>
      </w:r>
      <w:r w:rsidRPr="00A83C94">
        <w:softHyphen/>
        <w:t>յուն</w:t>
      </w:r>
      <w:r w:rsidRPr="00A83C94">
        <w:softHyphen/>
        <w:t>ները բխում են ՀՀ կառավարության 2021 թվականի օգոստոսի 18-ի թիվ 1363-Ա որոշմամբ հաստատված ՀՀ կառավարության 2021-2026թթ. ծրագրի առաջնահերթություններից:</w:t>
      </w:r>
    </w:p>
    <w:p w14:paraId="7BE10544" w14:textId="77777777" w:rsidR="00C72188" w:rsidRPr="00A83C94" w:rsidRDefault="00C72188" w:rsidP="00C72188">
      <w:pPr>
        <w:pStyle w:val="BodyText2"/>
      </w:pPr>
    </w:p>
    <w:p w14:paraId="02940AAD" w14:textId="77777777" w:rsidR="00C72188" w:rsidRPr="00A83C94" w:rsidRDefault="00C72188" w:rsidP="00C72188">
      <w:pPr>
        <w:pStyle w:val="Heading2"/>
        <w:rPr>
          <w:lang w:val="es-ES"/>
        </w:rPr>
      </w:pPr>
      <w:bookmarkStart w:id="210" w:name="_Toc89254349"/>
      <w:bookmarkStart w:id="211" w:name="_Toc89428301"/>
      <w:r w:rsidRPr="00A83C94">
        <w:t>ՊԵՏԱԿԱՆ</w:t>
      </w:r>
      <w:r w:rsidRPr="00A83C94">
        <w:rPr>
          <w:lang w:val="es-ES"/>
        </w:rPr>
        <w:t xml:space="preserve"> </w:t>
      </w:r>
      <w:r w:rsidRPr="00A83C94">
        <w:t>ԲՅՈՒՋԵԻ</w:t>
      </w:r>
      <w:r w:rsidRPr="00A83C94">
        <w:rPr>
          <w:lang w:val="es-ES"/>
        </w:rPr>
        <w:t xml:space="preserve"> </w:t>
      </w:r>
      <w:r w:rsidRPr="00A83C94">
        <w:t>ԴԵՖԻՑԻՏԻ</w:t>
      </w:r>
      <w:r w:rsidRPr="00A83C94">
        <w:rPr>
          <w:lang w:val="es-ES"/>
        </w:rPr>
        <w:t xml:space="preserve"> (</w:t>
      </w:r>
      <w:r w:rsidRPr="00A83C94">
        <w:t>ՊԱԿԱՍՈՒՐԴԻ</w:t>
      </w:r>
      <w:r w:rsidRPr="00A83C94">
        <w:rPr>
          <w:lang w:val="es-ES"/>
        </w:rPr>
        <w:t xml:space="preserve">) </w:t>
      </w:r>
      <w:r w:rsidRPr="00A83C94">
        <w:t>ԵՎ</w:t>
      </w:r>
      <w:r w:rsidRPr="00A83C94">
        <w:rPr>
          <w:lang w:val="es-ES"/>
        </w:rPr>
        <w:t xml:space="preserve"> </w:t>
      </w:r>
      <w:r w:rsidRPr="00A83C94">
        <w:t>ՊԱՐՏՔԻ</w:t>
      </w:r>
      <w:r w:rsidRPr="00A83C94">
        <w:rPr>
          <w:lang w:val="es-ES"/>
        </w:rPr>
        <w:t xml:space="preserve"> </w:t>
      </w:r>
      <w:r w:rsidRPr="00A83C94">
        <w:t>ՄԱԿԱՐԴԱԿԸ</w:t>
      </w:r>
      <w:bookmarkEnd w:id="210"/>
      <w:bookmarkEnd w:id="211"/>
    </w:p>
    <w:p w14:paraId="046A43D3" w14:textId="77777777" w:rsidR="00C72188" w:rsidRPr="00A83C94" w:rsidRDefault="00C72188" w:rsidP="00C72188">
      <w:pPr>
        <w:pStyle w:val="BodyText2"/>
        <w:rPr>
          <w:lang w:val="es-ES"/>
        </w:rPr>
      </w:pPr>
      <w:bookmarkStart w:id="212" w:name="_Toc76556774"/>
      <w:bookmarkStart w:id="213" w:name="_Toc76456833"/>
      <w:bookmarkEnd w:id="209"/>
      <w:r w:rsidRPr="00A83C94">
        <w:t>ՀՀ</w:t>
      </w:r>
      <w:r w:rsidRPr="00A83C94">
        <w:rPr>
          <w:lang w:val="es-ES"/>
        </w:rPr>
        <w:t xml:space="preserve"> </w:t>
      </w:r>
      <w:r w:rsidRPr="00A83C94">
        <w:t>202</w:t>
      </w:r>
      <w:r w:rsidRPr="00A83C94">
        <w:rPr>
          <w:lang w:val="es-ES"/>
        </w:rPr>
        <w:t xml:space="preserve">2 </w:t>
      </w:r>
      <w:r w:rsidRPr="00A83C94">
        <w:t>թվականի</w:t>
      </w:r>
      <w:r w:rsidRPr="00A83C94">
        <w:rPr>
          <w:lang w:val="es-ES"/>
        </w:rPr>
        <w:t xml:space="preserve"> </w:t>
      </w:r>
      <w:r w:rsidRPr="00A83C94">
        <w:t>պետական</w:t>
      </w:r>
      <w:r w:rsidRPr="00A83C94">
        <w:rPr>
          <w:lang w:val="es-ES"/>
        </w:rPr>
        <w:t xml:space="preserve"> </w:t>
      </w:r>
      <w:r w:rsidRPr="00A83C94">
        <w:t>բյուջեի</w:t>
      </w:r>
      <w:r w:rsidRPr="00A83C94">
        <w:rPr>
          <w:lang w:val="es-ES"/>
        </w:rPr>
        <w:t xml:space="preserve"> </w:t>
      </w:r>
      <w:r w:rsidRPr="00A83C94">
        <w:t>դեֆիցիտը</w:t>
      </w:r>
      <w:r w:rsidRPr="00A83C94">
        <w:rPr>
          <w:lang w:val="es-ES"/>
        </w:rPr>
        <w:t xml:space="preserve"> </w:t>
      </w:r>
      <w:r w:rsidRPr="00A83C94">
        <w:t xml:space="preserve">ծրագրավորվել է ՀՆԱ-ի </w:t>
      </w:r>
      <w:r w:rsidRPr="008B2660">
        <w:rPr>
          <w:lang w:val="es-ES"/>
        </w:rPr>
        <w:t>3.0</w:t>
      </w:r>
      <w:r w:rsidRPr="008B2660">
        <w:t xml:space="preserve"> %-</w:t>
      </w:r>
      <w:r w:rsidRPr="00A83C94">
        <w:t>ի չա</w:t>
      </w:r>
      <w:r w:rsidRPr="00A83C94">
        <w:softHyphen/>
        <w:t xml:space="preserve">փով և կազմում </w:t>
      </w:r>
      <w:r w:rsidRPr="008B2660">
        <w:t xml:space="preserve">է </w:t>
      </w:r>
      <w:r w:rsidRPr="008B2660">
        <w:rPr>
          <w:lang w:val="es-ES"/>
        </w:rPr>
        <w:t>236.3</w:t>
      </w:r>
      <w:r w:rsidRPr="008B2660">
        <w:t xml:space="preserve"> մլրդ դրամ</w:t>
      </w:r>
      <w:r w:rsidRPr="00A83C94">
        <w:t>: Դեֆիցիտի ֆինանսավորման ներքին աղբյուրների հիմ</w:t>
      </w:r>
      <w:r w:rsidRPr="00A83C94">
        <w:softHyphen/>
        <w:t>նա</w:t>
      </w:r>
      <w:r w:rsidRPr="00A83C94">
        <w:softHyphen/>
        <w:t>կան մասը ՀՀ 202</w:t>
      </w:r>
      <w:r w:rsidRPr="00A83C94">
        <w:rPr>
          <w:lang w:val="es-ES"/>
        </w:rPr>
        <w:t>2</w:t>
      </w:r>
      <w:r w:rsidRPr="00A83C94">
        <w:t xml:space="preserve"> թվականին ձևավորվելու է պե</w:t>
      </w:r>
      <w:r w:rsidRPr="00A83C94">
        <w:softHyphen/>
      </w:r>
      <w:r w:rsidRPr="00A83C94">
        <w:softHyphen/>
        <w:t>տական արժեթղթերի տեղաբաշխումից գոյացող մուտքերից, կայունացման</w:t>
      </w:r>
      <w:r w:rsidRPr="00A83C94">
        <w:rPr>
          <w:lang w:val="es-ES"/>
        </w:rPr>
        <w:t xml:space="preserve"> </w:t>
      </w:r>
      <w:r w:rsidRPr="00A83C94">
        <w:t>դեպոզիտային</w:t>
      </w:r>
      <w:r w:rsidRPr="00A83C94">
        <w:rPr>
          <w:lang w:val="es-ES"/>
        </w:rPr>
        <w:t xml:space="preserve"> </w:t>
      </w:r>
      <w:r w:rsidRPr="00A83C94">
        <w:t>հաշվի</w:t>
      </w:r>
      <w:r w:rsidRPr="00A83C94">
        <w:rPr>
          <w:lang w:val="es-ES"/>
        </w:rPr>
        <w:t xml:space="preserve"> </w:t>
      </w:r>
      <w:r w:rsidRPr="00A83C94">
        <w:t>միջոցներից</w:t>
      </w:r>
      <w:r w:rsidRPr="00A83C94">
        <w:rPr>
          <w:lang w:val="es-ES"/>
        </w:rPr>
        <w:t xml:space="preserve">, </w:t>
      </w:r>
      <w:r w:rsidRPr="00A83C94">
        <w:t>ինչպես նաև տնտեսվարող սուբյեկտներին տրա</w:t>
      </w:r>
      <w:r w:rsidRPr="00A83C94">
        <w:softHyphen/>
        <w:t>մադրված բյուջետային վարկերի</w:t>
      </w:r>
      <w:r w:rsidRPr="00A83C94">
        <w:rPr>
          <w:lang w:val="es-ES"/>
        </w:rPr>
        <w:t xml:space="preserve"> </w:t>
      </w:r>
      <w:r w:rsidRPr="00A83C94">
        <w:t>զուտ</w:t>
      </w:r>
      <w:r w:rsidRPr="00A83C94">
        <w:rPr>
          <w:lang w:val="es-ES"/>
        </w:rPr>
        <w:t xml:space="preserve"> </w:t>
      </w:r>
      <w:r w:rsidRPr="00A83C94">
        <w:t>մուտքերից</w:t>
      </w:r>
      <w:r w:rsidRPr="00A83C94">
        <w:rPr>
          <w:lang w:val="es-ES"/>
        </w:rPr>
        <w:t xml:space="preserve"> (</w:t>
      </w:r>
      <w:r w:rsidRPr="00A83C94">
        <w:t>տրամադրվածից</w:t>
      </w:r>
      <w:r w:rsidRPr="00A83C94">
        <w:rPr>
          <w:lang w:val="es-ES"/>
        </w:rPr>
        <w:t xml:space="preserve"> </w:t>
      </w:r>
      <w:r w:rsidRPr="00A83C94">
        <w:t>հանած</w:t>
      </w:r>
      <w:r w:rsidRPr="00A83C94">
        <w:rPr>
          <w:lang w:val="es-ES"/>
        </w:rPr>
        <w:t xml:space="preserve"> </w:t>
      </w:r>
      <w:r w:rsidRPr="00A83C94">
        <w:t>մարումները</w:t>
      </w:r>
      <w:r w:rsidRPr="00A83C94">
        <w:rPr>
          <w:lang w:val="es-ES"/>
        </w:rPr>
        <w:t xml:space="preserve">): </w:t>
      </w:r>
      <w:r w:rsidRPr="00A83C94">
        <w:t>Դեռևս</w:t>
      </w:r>
      <w:r w:rsidRPr="00A83C94">
        <w:rPr>
          <w:lang w:val="es-ES"/>
        </w:rPr>
        <w:t xml:space="preserve"> </w:t>
      </w:r>
      <w:r w:rsidRPr="00A83C94">
        <w:t>զգալի</w:t>
      </w:r>
      <w:r w:rsidRPr="00A83C94">
        <w:rPr>
          <w:lang w:val="es-ES"/>
        </w:rPr>
        <w:t xml:space="preserve"> </w:t>
      </w:r>
      <w:r w:rsidRPr="00A83C94">
        <w:t>են</w:t>
      </w:r>
      <w:r w:rsidRPr="00A83C94">
        <w:rPr>
          <w:lang w:val="es-ES"/>
        </w:rPr>
        <w:t xml:space="preserve"> </w:t>
      </w:r>
      <w:r w:rsidRPr="00A83C94">
        <w:t>արտաքին</w:t>
      </w:r>
      <w:r w:rsidRPr="00A83C94">
        <w:rPr>
          <w:lang w:val="es-ES"/>
        </w:rPr>
        <w:t xml:space="preserve"> </w:t>
      </w:r>
      <w:r w:rsidRPr="00A83C94">
        <w:t>աղբյուրներից</w:t>
      </w:r>
      <w:r w:rsidRPr="00A83C94">
        <w:rPr>
          <w:lang w:val="es-ES"/>
        </w:rPr>
        <w:t xml:space="preserve">` </w:t>
      </w:r>
      <w:r w:rsidRPr="00A83C94">
        <w:t>միջազգային</w:t>
      </w:r>
      <w:r w:rsidRPr="00A83C94">
        <w:rPr>
          <w:lang w:val="es-ES"/>
        </w:rPr>
        <w:t xml:space="preserve"> </w:t>
      </w:r>
      <w:r w:rsidRPr="00A83C94">
        <w:t>կազմակերպություններից</w:t>
      </w:r>
      <w:r w:rsidRPr="00A83C94">
        <w:rPr>
          <w:lang w:val="es-ES"/>
        </w:rPr>
        <w:t xml:space="preserve"> </w:t>
      </w:r>
      <w:r w:rsidRPr="00A83C94">
        <w:t>և</w:t>
      </w:r>
      <w:r w:rsidRPr="00A83C94">
        <w:rPr>
          <w:lang w:val="es-ES"/>
        </w:rPr>
        <w:t xml:space="preserve"> </w:t>
      </w:r>
      <w:r w:rsidRPr="00A83C94">
        <w:t>օտարեր</w:t>
      </w:r>
      <w:r w:rsidRPr="00A83C94">
        <w:rPr>
          <w:lang w:val="es-ES"/>
        </w:rPr>
        <w:softHyphen/>
      </w:r>
      <w:r w:rsidRPr="00A83C94">
        <w:t>կր</w:t>
      </w:r>
      <w:r w:rsidRPr="00A83C94">
        <w:rPr>
          <w:lang w:val="es-ES"/>
        </w:rPr>
        <w:softHyphen/>
      </w:r>
      <w:r w:rsidRPr="00A83C94">
        <w:t>յա</w:t>
      </w:r>
      <w:r w:rsidRPr="00A83C94">
        <w:rPr>
          <w:lang w:val="es-ES"/>
        </w:rPr>
        <w:t xml:space="preserve"> </w:t>
      </w:r>
      <w:r w:rsidRPr="00A83C94">
        <w:t>պետություն</w:t>
      </w:r>
      <w:r w:rsidRPr="00A83C94">
        <w:rPr>
          <w:lang w:val="es-ES"/>
        </w:rPr>
        <w:softHyphen/>
      </w:r>
      <w:r w:rsidRPr="00A83C94">
        <w:t>նե</w:t>
      </w:r>
      <w:r w:rsidRPr="00A83C94">
        <w:rPr>
          <w:lang w:val="es-ES"/>
        </w:rPr>
        <w:softHyphen/>
      </w:r>
      <w:r w:rsidRPr="00A83C94">
        <w:t>րից</w:t>
      </w:r>
      <w:r w:rsidRPr="00A83C94">
        <w:rPr>
          <w:lang w:val="es-ES"/>
        </w:rPr>
        <w:t xml:space="preserve"> </w:t>
      </w:r>
      <w:r w:rsidRPr="00A83C94">
        <w:t>ստաց</w:t>
      </w:r>
      <w:r w:rsidRPr="00A83C94">
        <w:rPr>
          <w:lang w:val="es-ES"/>
        </w:rPr>
        <w:softHyphen/>
      </w:r>
      <w:r w:rsidRPr="00A83C94">
        <w:t>վելիք</w:t>
      </w:r>
      <w:r w:rsidRPr="00A83C94">
        <w:rPr>
          <w:lang w:val="es-ES"/>
        </w:rPr>
        <w:t xml:space="preserve"> </w:t>
      </w:r>
      <w:r w:rsidRPr="00A83C94">
        <w:t>վարկերի</w:t>
      </w:r>
      <w:r w:rsidRPr="00A83C94">
        <w:rPr>
          <w:lang w:val="es-ES"/>
        </w:rPr>
        <w:t xml:space="preserve"> </w:t>
      </w:r>
      <w:r w:rsidRPr="00A83C94">
        <w:t>հաշվին</w:t>
      </w:r>
      <w:r w:rsidRPr="00A83C94">
        <w:rPr>
          <w:lang w:val="es-ES"/>
        </w:rPr>
        <w:t xml:space="preserve"> </w:t>
      </w:r>
      <w:r w:rsidRPr="00A83C94">
        <w:t>պետական</w:t>
      </w:r>
      <w:r w:rsidRPr="00A83C94">
        <w:rPr>
          <w:lang w:val="es-ES"/>
        </w:rPr>
        <w:t xml:space="preserve"> </w:t>
      </w:r>
      <w:r w:rsidRPr="00A83C94">
        <w:t>բյուջեի</w:t>
      </w:r>
      <w:r w:rsidRPr="00A83C94">
        <w:rPr>
          <w:lang w:val="es-ES"/>
        </w:rPr>
        <w:t xml:space="preserve"> </w:t>
      </w:r>
      <w:r w:rsidRPr="00A83C94">
        <w:t>դեֆիցիտի</w:t>
      </w:r>
      <w:r w:rsidRPr="00A83C94">
        <w:rPr>
          <w:lang w:val="es-ES"/>
        </w:rPr>
        <w:t xml:space="preserve"> </w:t>
      </w:r>
      <w:r w:rsidRPr="00A83C94">
        <w:t>ֆի</w:t>
      </w:r>
      <w:r w:rsidRPr="00A83C94">
        <w:rPr>
          <w:lang w:val="es-ES"/>
        </w:rPr>
        <w:softHyphen/>
      </w:r>
      <w:r w:rsidRPr="00A83C94">
        <w:t>նան</w:t>
      </w:r>
      <w:r w:rsidRPr="00A83C94">
        <w:rPr>
          <w:lang w:val="es-ES"/>
        </w:rPr>
        <w:softHyphen/>
      </w:r>
      <w:r w:rsidRPr="00A83C94">
        <w:t>սա</w:t>
      </w:r>
      <w:r w:rsidRPr="00A83C94">
        <w:rPr>
          <w:lang w:val="es-ES"/>
        </w:rPr>
        <w:softHyphen/>
      </w:r>
      <w:r w:rsidRPr="00A83C94">
        <w:t>վորմանն</w:t>
      </w:r>
      <w:r w:rsidRPr="00A83C94">
        <w:rPr>
          <w:lang w:val="es-ES"/>
        </w:rPr>
        <w:t xml:space="preserve"> </w:t>
      </w:r>
      <w:r w:rsidRPr="00A83C94">
        <w:t>ուղղվող</w:t>
      </w:r>
      <w:r w:rsidRPr="00A83C94">
        <w:rPr>
          <w:lang w:val="es-ES"/>
        </w:rPr>
        <w:t xml:space="preserve"> </w:t>
      </w:r>
      <w:r w:rsidRPr="00A83C94">
        <w:t>միջոց</w:t>
      </w:r>
      <w:r w:rsidRPr="00A83C94">
        <w:rPr>
          <w:lang w:val="es-ES"/>
        </w:rPr>
        <w:softHyphen/>
      </w:r>
      <w:r w:rsidRPr="00A83C94">
        <w:t>ները</w:t>
      </w:r>
      <w:r w:rsidRPr="00A83C94">
        <w:rPr>
          <w:lang w:val="es-ES"/>
        </w:rPr>
        <w:t xml:space="preserve">: </w:t>
      </w:r>
    </w:p>
    <w:p w14:paraId="7BB8B93D" w14:textId="77777777" w:rsidR="00C72188" w:rsidRPr="00A83C94" w:rsidRDefault="00C72188" w:rsidP="00C72188">
      <w:pPr>
        <w:pStyle w:val="BodyText2"/>
        <w:rPr>
          <w:lang w:val="es-ES"/>
        </w:rPr>
      </w:pPr>
      <w:r w:rsidRPr="00A83C94">
        <w:t>Համաձայն</w:t>
      </w:r>
      <w:r w:rsidRPr="00A83C94">
        <w:rPr>
          <w:lang w:val="es-ES"/>
        </w:rPr>
        <w:t xml:space="preserve"> </w:t>
      </w:r>
      <w:r w:rsidRPr="00A83C94">
        <w:t>կանխատեսումների</w:t>
      </w:r>
      <w:r w:rsidRPr="00A83C94">
        <w:rPr>
          <w:lang w:val="es-ES"/>
        </w:rPr>
        <w:t xml:space="preserve"> </w:t>
      </w:r>
      <w:r w:rsidRPr="00A83C94">
        <w:t>ծրագրային</w:t>
      </w:r>
      <w:r w:rsidRPr="00A83C94">
        <w:rPr>
          <w:lang w:val="es-ES"/>
        </w:rPr>
        <w:t xml:space="preserve"> </w:t>
      </w:r>
      <w:r w:rsidRPr="00A83C94">
        <w:t>ժամանակահատվածում</w:t>
      </w:r>
      <w:r w:rsidRPr="00A83C94">
        <w:rPr>
          <w:lang w:val="es-ES"/>
        </w:rPr>
        <w:t xml:space="preserve"> </w:t>
      </w:r>
      <w:r w:rsidRPr="00A83C94">
        <w:t>արտաքին</w:t>
      </w:r>
      <w:r w:rsidRPr="00A83C94">
        <w:rPr>
          <w:lang w:val="es-ES"/>
        </w:rPr>
        <w:t xml:space="preserve"> </w:t>
      </w:r>
      <w:r w:rsidRPr="00A83C94">
        <w:t>օժան</w:t>
      </w:r>
      <w:r w:rsidRPr="00A83C94">
        <w:rPr>
          <w:lang w:val="es-ES"/>
        </w:rPr>
        <w:softHyphen/>
      </w:r>
      <w:r w:rsidRPr="00A83C94">
        <w:t>դա</w:t>
      </w:r>
      <w:r w:rsidRPr="00A83C94">
        <w:rPr>
          <w:lang w:val="es-ES"/>
        </w:rPr>
        <w:softHyphen/>
      </w:r>
      <w:r w:rsidRPr="00A83C94">
        <w:rPr>
          <w:lang w:val="es-ES"/>
        </w:rPr>
        <w:softHyphen/>
      </w:r>
      <w:r w:rsidRPr="00A83C94">
        <w:t>կության</w:t>
      </w:r>
      <w:r w:rsidRPr="00A83C94">
        <w:rPr>
          <w:lang w:val="es-ES"/>
        </w:rPr>
        <w:t xml:space="preserve"> </w:t>
      </w:r>
      <w:r w:rsidRPr="00A83C94">
        <w:t>կառուցվածքում</w:t>
      </w:r>
      <w:r w:rsidRPr="00A83C94">
        <w:rPr>
          <w:lang w:val="es-ES"/>
        </w:rPr>
        <w:t xml:space="preserve"> </w:t>
      </w:r>
      <w:r w:rsidRPr="00A83C94">
        <w:t>գերակշռելու</w:t>
      </w:r>
      <w:r w:rsidRPr="00A83C94">
        <w:rPr>
          <w:lang w:val="es-ES"/>
        </w:rPr>
        <w:t xml:space="preserve"> </w:t>
      </w:r>
      <w:r w:rsidRPr="00A83C94">
        <w:t>են</w:t>
      </w:r>
      <w:r w:rsidRPr="00A83C94">
        <w:rPr>
          <w:lang w:val="es-ES"/>
        </w:rPr>
        <w:t xml:space="preserve"> </w:t>
      </w:r>
      <w:r w:rsidRPr="00A83C94">
        <w:t>նպատա</w:t>
      </w:r>
      <w:r w:rsidRPr="00A83C94">
        <w:rPr>
          <w:lang w:val="es-ES"/>
        </w:rPr>
        <w:softHyphen/>
      </w:r>
      <w:r w:rsidRPr="00A83C94">
        <w:t>կային</w:t>
      </w:r>
      <w:r w:rsidRPr="00A83C94">
        <w:rPr>
          <w:lang w:val="es-ES"/>
        </w:rPr>
        <w:t xml:space="preserve"> </w:t>
      </w:r>
      <w:r w:rsidRPr="00A83C94">
        <w:t>ծրագրերի</w:t>
      </w:r>
      <w:r w:rsidRPr="00A83C94">
        <w:rPr>
          <w:lang w:val="es-ES"/>
        </w:rPr>
        <w:t xml:space="preserve"> </w:t>
      </w:r>
      <w:r w:rsidRPr="00A83C94">
        <w:t>ֆինանսավորման</w:t>
      </w:r>
      <w:r w:rsidRPr="00A83C94">
        <w:rPr>
          <w:lang w:val="es-ES"/>
        </w:rPr>
        <w:t xml:space="preserve"> </w:t>
      </w:r>
      <w:r w:rsidRPr="00A83C94">
        <w:t>համար</w:t>
      </w:r>
      <w:r w:rsidRPr="00A83C94">
        <w:rPr>
          <w:lang w:val="es-ES"/>
        </w:rPr>
        <w:t xml:space="preserve"> </w:t>
      </w:r>
      <w:r w:rsidRPr="00A83C94">
        <w:t>նախատեսված</w:t>
      </w:r>
      <w:r w:rsidRPr="00A83C94">
        <w:rPr>
          <w:lang w:val="es-ES"/>
        </w:rPr>
        <w:t xml:space="preserve"> </w:t>
      </w:r>
      <w:r w:rsidRPr="00A83C94">
        <w:t>բյուջետային</w:t>
      </w:r>
      <w:r w:rsidRPr="00A83C94">
        <w:rPr>
          <w:lang w:val="es-ES"/>
        </w:rPr>
        <w:t xml:space="preserve"> </w:t>
      </w:r>
      <w:r w:rsidRPr="00A83C94">
        <w:t>աջակցության</w:t>
      </w:r>
      <w:r w:rsidRPr="00A83C94">
        <w:rPr>
          <w:lang w:val="es-ES"/>
        </w:rPr>
        <w:t xml:space="preserve"> </w:t>
      </w:r>
      <w:r w:rsidRPr="00A83C94">
        <w:t>պաշ</w:t>
      </w:r>
      <w:r w:rsidRPr="00A83C94">
        <w:rPr>
          <w:lang w:val="es-ES"/>
        </w:rPr>
        <w:softHyphen/>
      </w:r>
      <w:r w:rsidRPr="00A83C94">
        <w:t>տո</w:t>
      </w:r>
      <w:r w:rsidRPr="00A83C94">
        <w:rPr>
          <w:lang w:val="es-ES"/>
        </w:rPr>
        <w:softHyphen/>
      </w:r>
      <w:r w:rsidRPr="00A83C94">
        <w:t>նա</w:t>
      </w:r>
      <w:r w:rsidRPr="00A83C94">
        <w:rPr>
          <w:lang w:val="es-ES"/>
        </w:rPr>
        <w:softHyphen/>
      </w:r>
      <w:r w:rsidRPr="00A83C94">
        <w:t>կան</w:t>
      </w:r>
      <w:r w:rsidRPr="00A83C94">
        <w:rPr>
          <w:lang w:val="es-ES"/>
        </w:rPr>
        <w:t xml:space="preserve"> </w:t>
      </w:r>
      <w:r w:rsidRPr="00A83C94">
        <w:t>դրամաշնորհներն</w:t>
      </w:r>
      <w:r w:rsidRPr="00A83C94">
        <w:rPr>
          <w:lang w:val="es-ES"/>
        </w:rPr>
        <w:t xml:space="preserve"> </w:t>
      </w:r>
      <w:r w:rsidRPr="00A83C94">
        <w:t>ու</w:t>
      </w:r>
      <w:r w:rsidRPr="00A83C94">
        <w:rPr>
          <w:lang w:val="es-ES"/>
        </w:rPr>
        <w:t xml:space="preserve"> </w:t>
      </w:r>
      <w:r w:rsidRPr="00A83C94">
        <w:t>վարկերը</w:t>
      </w:r>
      <w:r w:rsidRPr="00A83C94">
        <w:rPr>
          <w:lang w:val="es-ES"/>
        </w:rPr>
        <w:t xml:space="preserve"> (98.</w:t>
      </w:r>
      <w:r>
        <w:rPr>
          <w:lang w:val="es-ES"/>
        </w:rPr>
        <w:t>2</w:t>
      </w:r>
      <w:r w:rsidRPr="00A83C94">
        <w:rPr>
          <w:lang w:val="es-ES"/>
        </w:rPr>
        <w:t>%):</w:t>
      </w:r>
    </w:p>
    <w:p w14:paraId="78A743D8" w14:textId="09DA76B9" w:rsidR="00C72188" w:rsidRPr="00A83C94" w:rsidRDefault="00C72188" w:rsidP="00C72188">
      <w:pPr>
        <w:pStyle w:val="Caption"/>
        <w:rPr>
          <w:lang w:val="es-ES"/>
        </w:rPr>
      </w:pPr>
      <w:bookmarkStart w:id="214" w:name="_Ref497916450"/>
      <w:bookmarkStart w:id="215" w:name="_Toc525773066"/>
      <w:bookmarkStart w:id="216" w:name="_Toc20590406"/>
      <w:bookmarkStart w:id="217" w:name="_Toc83928939"/>
      <w:bookmarkStart w:id="218" w:name="_Toc89428762"/>
      <w:bookmarkEnd w:id="212"/>
      <w:r>
        <w:t>Աղյուսակ</w:t>
      </w:r>
      <w:r w:rsidRPr="008B1D49">
        <w:rPr>
          <w:lang w:val="es-ES"/>
        </w:rPr>
        <w:t xml:space="preserve"> </w:t>
      </w:r>
      <w:r>
        <w:fldChar w:fldCharType="begin"/>
      </w:r>
      <w:r w:rsidRPr="008B1D49">
        <w:rPr>
          <w:lang w:val="es-ES"/>
        </w:rPr>
        <w:instrText xml:space="preserve"> SEQ </w:instrText>
      </w:r>
      <w:r>
        <w:instrText>Աղյուսակ</w:instrText>
      </w:r>
      <w:r w:rsidRPr="008B1D49">
        <w:rPr>
          <w:lang w:val="es-ES"/>
        </w:rPr>
        <w:instrText xml:space="preserve"> \* ARABIC </w:instrText>
      </w:r>
      <w:r>
        <w:fldChar w:fldCharType="separate"/>
      </w:r>
      <w:r w:rsidR="00A10D4F">
        <w:rPr>
          <w:noProof/>
          <w:lang w:val="es-ES"/>
        </w:rPr>
        <w:t>2</w:t>
      </w:r>
      <w:r>
        <w:fldChar w:fldCharType="end"/>
      </w:r>
      <w:r w:rsidRPr="008150A1">
        <w:rPr>
          <w:rFonts w:ascii="Cambria Math" w:hAnsi="Cambria Math" w:cs="Cambria Math"/>
          <w:lang w:val="hy-AM"/>
        </w:rPr>
        <w:t>․</w:t>
      </w:r>
      <w:r w:rsidRPr="00A83C94">
        <w:rPr>
          <w:b/>
          <w:i/>
          <w:sz w:val="20"/>
          <w:szCs w:val="20"/>
          <w:lang w:val="hy-AM"/>
        </w:rPr>
        <w:t xml:space="preserve"> 202</w:t>
      </w:r>
      <w:r w:rsidRPr="001D270B">
        <w:rPr>
          <w:b/>
          <w:i/>
          <w:sz w:val="20"/>
          <w:szCs w:val="20"/>
          <w:lang w:val="es-ES"/>
        </w:rPr>
        <w:t>2</w:t>
      </w:r>
      <w:r w:rsidRPr="00A83C94">
        <w:rPr>
          <w:b/>
          <w:i/>
          <w:sz w:val="20"/>
          <w:szCs w:val="20"/>
          <w:lang w:val="hy-AM"/>
        </w:rPr>
        <w:t>թ ակնկալվող արտաքին օժանդակությունն ըստ բնույթի</w:t>
      </w:r>
      <w:bookmarkEnd w:id="214"/>
      <w:bookmarkEnd w:id="215"/>
      <w:bookmarkEnd w:id="216"/>
      <w:bookmarkEnd w:id="217"/>
      <w:bookmarkEnd w:id="218"/>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956"/>
        <w:gridCol w:w="1570"/>
        <w:gridCol w:w="3214"/>
      </w:tblGrid>
      <w:tr w:rsidR="00C72188" w:rsidRPr="00564083" w14:paraId="3C858D05" w14:textId="77777777" w:rsidTr="0019638A">
        <w:trPr>
          <w:trHeight w:val="551"/>
        </w:trPr>
        <w:tc>
          <w:tcPr>
            <w:tcW w:w="2544" w:type="pct"/>
            <w:shd w:val="clear" w:color="auto" w:fill="548DD4" w:themeFill="text2" w:themeFillTint="99"/>
            <w:noWrap/>
            <w:tcMar>
              <w:top w:w="0" w:type="dxa"/>
              <w:left w:w="57" w:type="dxa"/>
              <w:bottom w:w="0" w:type="dxa"/>
              <w:right w:w="113" w:type="dxa"/>
            </w:tcMar>
            <w:vAlign w:val="center"/>
          </w:tcPr>
          <w:bookmarkEnd w:id="213"/>
          <w:p w14:paraId="43E2BFB6" w14:textId="77777777" w:rsidR="00C72188" w:rsidRPr="00A83C94" w:rsidRDefault="00C72188" w:rsidP="0019638A">
            <w:pPr>
              <w:pStyle w:val="1fa"/>
              <w:spacing w:line="276" w:lineRule="auto"/>
              <w:rPr>
                <w:b/>
                <w:color w:val="FFFFFF" w:themeColor="background1"/>
                <w:szCs w:val="20"/>
              </w:rPr>
            </w:pPr>
            <w:r w:rsidRPr="00A83C94">
              <w:rPr>
                <w:b/>
                <w:color w:val="FFFFFF" w:themeColor="background1"/>
                <w:szCs w:val="20"/>
              </w:rPr>
              <w:t>Ցուցանիշներ</w:t>
            </w:r>
          </w:p>
        </w:tc>
        <w:tc>
          <w:tcPr>
            <w:tcW w:w="806" w:type="pct"/>
            <w:shd w:val="clear" w:color="auto" w:fill="548DD4" w:themeFill="text2" w:themeFillTint="99"/>
            <w:vAlign w:val="center"/>
          </w:tcPr>
          <w:p w14:paraId="6CE187E6" w14:textId="77777777" w:rsidR="00C72188" w:rsidRPr="00A83C94" w:rsidRDefault="00C72188" w:rsidP="0019638A">
            <w:pPr>
              <w:pStyle w:val="1fa"/>
              <w:spacing w:line="276" w:lineRule="auto"/>
              <w:rPr>
                <w:b/>
                <w:color w:val="FFFFFF" w:themeColor="background1"/>
                <w:szCs w:val="20"/>
              </w:rPr>
            </w:pPr>
            <w:r w:rsidRPr="00A83C94">
              <w:rPr>
                <w:b/>
                <w:color w:val="FFFFFF" w:themeColor="background1"/>
                <w:szCs w:val="20"/>
              </w:rPr>
              <w:t>Գումարը (մլրդ դրամներով)</w:t>
            </w:r>
          </w:p>
        </w:tc>
        <w:tc>
          <w:tcPr>
            <w:tcW w:w="1650" w:type="pct"/>
            <w:shd w:val="clear" w:color="auto" w:fill="548DD4" w:themeFill="text2" w:themeFillTint="99"/>
            <w:vAlign w:val="center"/>
          </w:tcPr>
          <w:p w14:paraId="23277A24" w14:textId="77777777" w:rsidR="00C72188" w:rsidRPr="00A83C94" w:rsidRDefault="00C72188" w:rsidP="0019638A">
            <w:pPr>
              <w:pStyle w:val="1fa"/>
              <w:spacing w:line="276" w:lineRule="auto"/>
              <w:rPr>
                <w:b/>
                <w:color w:val="FFFFFF" w:themeColor="background1"/>
                <w:szCs w:val="20"/>
              </w:rPr>
            </w:pPr>
            <w:r w:rsidRPr="00A83C94">
              <w:rPr>
                <w:b/>
                <w:color w:val="FFFFFF" w:themeColor="background1"/>
                <w:szCs w:val="20"/>
              </w:rPr>
              <w:t>Տեսակարար կշիռը արտաքին օժան</w:t>
            </w:r>
            <w:r w:rsidRPr="00A83C94">
              <w:rPr>
                <w:b/>
                <w:color w:val="FFFFFF" w:themeColor="background1"/>
                <w:szCs w:val="20"/>
              </w:rPr>
              <w:softHyphen/>
              <w:t>դա</w:t>
            </w:r>
            <w:r w:rsidRPr="00A83C94">
              <w:rPr>
                <w:b/>
                <w:color w:val="FFFFFF" w:themeColor="background1"/>
                <w:szCs w:val="20"/>
              </w:rPr>
              <w:softHyphen/>
              <w:t>կութ</w:t>
            </w:r>
            <w:r w:rsidRPr="00A83C94">
              <w:rPr>
                <w:b/>
                <w:color w:val="FFFFFF" w:themeColor="background1"/>
                <w:szCs w:val="20"/>
              </w:rPr>
              <w:softHyphen/>
              <w:t>յան ընդհանուր գումարում (%)</w:t>
            </w:r>
          </w:p>
        </w:tc>
      </w:tr>
      <w:tr w:rsidR="00C72188" w:rsidRPr="00A83C94" w14:paraId="08E26C5F" w14:textId="77777777" w:rsidTr="0019638A">
        <w:tc>
          <w:tcPr>
            <w:tcW w:w="2544" w:type="pct"/>
            <w:shd w:val="clear" w:color="auto" w:fill="DBE5F1" w:themeFill="accent1" w:themeFillTint="33"/>
            <w:noWrap/>
            <w:tcMar>
              <w:top w:w="0" w:type="dxa"/>
              <w:left w:w="57" w:type="dxa"/>
              <w:bottom w:w="0" w:type="dxa"/>
              <w:right w:w="113" w:type="dxa"/>
            </w:tcMar>
          </w:tcPr>
          <w:p w14:paraId="6A7FDFC4" w14:textId="77777777" w:rsidR="00C72188" w:rsidRPr="00A83C94" w:rsidRDefault="00C72188" w:rsidP="0019638A">
            <w:pPr>
              <w:pStyle w:val="1fa"/>
              <w:spacing w:line="276" w:lineRule="auto"/>
              <w:jc w:val="left"/>
              <w:rPr>
                <w:b/>
                <w:color w:val="auto"/>
                <w:szCs w:val="20"/>
              </w:rPr>
            </w:pPr>
            <w:r w:rsidRPr="00A83C94">
              <w:rPr>
                <w:color w:val="auto"/>
                <w:szCs w:val="20"/>
              </w:rPr>
              <w:t xml:space="preserve">1. </w:t>
            </w:r>
            <w:r w:rsidRPr="00A83C94">
              <w:rPr>
                <w:rFonts w:cs="Arial"/>
                <w:color w:val="auto"/>
                <w:szCs w:val="20"/>
              </w:rPr>
              <w:t>Ընդհանուր</w:t>
            </w:r>
            <w:r w:rsidRPr="00A83C94">
              <w:rPr>
                <w:color w:val="auto"/>
                <w:szCs w:val="20"/>
              </w:rPr>
              <w:t xml:space="preserve"> </w:t>
            </w:r>
            <w:r w:rsidRPr="00A83C94">
              <w:rPr>
                <w:rFonts w:cs="Arial"/>
                <w:color w:val="auto"/>
                <w:szCs w:val="20"/>
              </w:rPr>
              <w:t>բնույթի</w:t>
            </w:r>
            <w:r w:rsidRPr="00A83C94">
              <w:rPr>
                <w:color w:val="auto"/>
                <w:szCs w:val="20"/>
              </w:rPr>
              <w:t xml:space="preserve"> </w:t>
            </w:r>
            <w:r w:rsidRPr="00A83C94">
              <w:rPr>
                <w:rFonts w:cs="Arial"/>
                <w:color w:val="auto"/>
                <w:szCs w:val="20"/>
              </w:rPr>
              <w:t>բյուջետային</w:t>
            </w:r>
            <w:r w:rsidRPr="00A83C94">
              <w:rPr>
                <w:color w:val="auto"/>
                <w:szCs w:val="20"/>
              </w:rPr>
              <w:t xml:space="preserve"> </w:t>
            </w:r>
            <w:r w:rsidRPr="00A83C94">
              <w:rPr>
                <w:rFonts w:cs="Arial"/>
                <w:color w:val="auto"/>
                <w:szCs w:val="20"/>
              </w:rPr>
              <w:t>օժանդակություն</w:t>
            </w:r>
          </w:p>
        </w:tc>
        <w:tc>
          <w:tcPr>
            <w:tcW w:w="806" w:type="pct"/>
            <w:shd w:val="clear" w:color="auto" w:fill="DBE5F1" w:themeFill="accent1" w:themeFillTint="33"/>
            <w:vAlign w:val="center"/>
          </w:tcPr>
          <w:p w14:paraId="46B85212" w14:textId="77777777" w:rsidR="00C72188" w:rsidRPr="00A83C94" w:rsidRDefault="00C72188" w:rsidP="0019638A">
            <w:pPr>
              <w:pStyle w:val="1fa"/>
              <w:spacing w:line="276" w:lineRule="auto"/>
              <w:rPr>
                <w:color w:val="auto"/>
                <w:szCs w:val="20"/>
              </w:rPr>
            </w:pPr>
            <w:r w:rsidRPr="00A83C94">
              <w:rPr>
                <w:color w:val="auto"/>
                <w:szCs w:val="20"/>
              </w:rPr>
              <w:t>5.</w:t>
            </w:r>
            <w:r>
              <w:rPr>
                <w:color w:val="auto"/>
                <w:szCs w:val="20"/>
              </w:rPr>
              <w:t>0</w:t>
            </w:r>
          </w:p>
        </w:tc>
        <w:tc>
          <w:tcPr>
            <w:tcW w:w="1650" w:type="pct"/>
            <w:shd w:val="clear" w:color="auto" w:fill="DBE5F1" w:themeFill="accent1" w:themeFillTint="33"/>
            <w:vAlign w:val="center"/>
          </w:tcPr>
          <w:p w14:paraId="28315DA6" w14:textId="77777777" w:rsidR="00C72188" w:rsidRPr="00A83C94" w:rsidRDefault="00C72188" w:rsidP="0019638A">
            <w:pPr>
              <w:pStyle w:val="1fa"/>
              <w:spacing w:line="276" w:lineRule="auto"/>
              <w:rPr>
                <w:color w:val="auto"/>
                <w:szCs w:val="20"/>
              </w:rPr>
            </w:pPr>
            <w:r>
              <w:rPr>
                <w:color w:val="auto"/>
                <w:szCs w:val="20"/>
              </w:rPr>
              <w:t>1.8</w:t>
            </w:r>
          </w:p>
        </w:tc>
      </w:tr>
      <w:tr w:rsidR="00C72188" w:rsidRPr="00A83C94" w14:paraId="1428629B" w14:textId="77777777" w:rsidTr="0019638A">
        <w:tc>
          <w:tcPr>
            <w:tcW w:w="2544" w:type="pct"/>
            <w:noWrap/>
            <w:tcMar>
              <w:top w:w="0" w:type="dxa"/>
              <w:left w:w="57" w:type="dxa"/>
              <w:bottom w:w="0" w:type="dxa"/>
              <w:right w:w="113" w:type="dxa"/>
            </w:tcMar>
          </w:tcPr>
          <w:p w14:paraId="71641B6D" w14:textId="77777777" w:rsidR="00C72188" w:rsidRPr="00A83C94" w:rsidRDefault="00C72188" w:rsidP="0019638A">
            <w:pPr>
              <w:pStyle w:val="1fa"/>
              <w:spacing w:line="276" w:lineRule="auto"/>
              <w:jc w:val="left"/>
              <w:rPr>
                <w:color w:val="auto"/>
                <w:szCs w:val="20"/>
              </w:rPr>
            </w:pPr>
            <w:r w:rsidRPr="00A83C94">
              <w:rPr>
                <w:color w:val="auto"/>
                <w:szCs w:val="20"/>
              </w:rPr>
              <w:t>1.1 Պաշտոնական դրամաշնորհներ</w:t>
            </w:r>
          </w:p>
        </w:tc>
        <w:tc>
          <w:tcPr>
            <w:tcW w:w="806" w:type="pct"/>
            <w:vAlign w:val="center"/>
          </w:tcPr>
          <w:p w14:paraId="287D172A" w14:textId="77777777" w:rsidR="00C72188" w:rsidRPr="00A83C94" w:rsidRDefault="00C72188" w:rsidP="0019638A">
            <w:pPr>
              <w:pStyle w:val="1fa"/>
              <w:spacing w:line="276" w:lineRule="auto"/>
              <w:rPr>
                <w:color w:val="auto"/>
                <w:szCs w:val="20"/>
              </w:rPr>
            </w:pPr>
            <w:r w:rsidRPr="00A83C94">
              <w:rPr>
                <w:color w:val="auto"/>
                <w:szCs w:val="20"/>
              </w:rPr>
              <w:t>5.</w:t>
            </w:r>
            <w:r>
              <w:rPr>
                <w:color w:val="auto"/>
                <w:szCs w:val="20"/>
              </w:rPr>
              <w:t>0</w:t>
            </w:r>
          </w:p>
        </w:tc>
        <w:tc>
          <w:tcPr>
            <w:tcW w:w="1650" w:type="pct"/>
            <w:vAlign w:val="center"/>
          </w:tcPr>
          <w:p w14:paraId="61EE75C1" w14:textId="77777777" w:rsidR="00C72188" w:rsidRPr="00A83C94" w:rsidRDefault="00C72188" w:rsidP="0019638A">
            <w:pPr>
              <w:pStyle w:val="1fa"/>
              <w:spacing w:line="276" w:lineRule="auto"/>
              <w:rPr>
                <w:color w:val="auto"/>
                <w:szCs w:val="20"/>
              </w:rPr>
            </w:pPr>
            <w:r w:rsidRPr="00A83C94">
              <w:rPr>
                <w:color w:val="auto"/>
                <w:szCs w:val="20"/>
              </w:rPr>
              <w:t>X</w:t>
            </w:r>
          </w:p>
        </w:tc>
      </w:tr>
      <w:tr w:rsidR="00C72188" w:rsidRPr="00E93945" w14:paraId="101E96CE" w14:textId="77777777" w:rsidTr="0019638A">
        <w:trPr>
          <w:trHeight w:val="291"/>
        </w:trPr>
        <w:tc>
          <w:tcPr>
            <w:tcW w:w="2544" w:type="pct"/>
            <w:shd w:val="clear" w:color="auto" w:fill="DBE5F1" w:themeFill="accent1" w:themeFillTint="33"/>
            <w:noWrap/>
            <w:tcMar>
              <w:top w:w="0" w:type="dxa"/>
              <w:left w:w="57" w:type="dxa"/>
              <w:bottom w:w="0" w:type="dxa"/>
              <w:right w:w="113" w:type="dxa"/>
            </w:tcMar>
          </w:tcPr>
          <w:p w14:paraId="6C5B8097" w14:textId="77777777" w:rsidR="00C72188" w:rsidRPr="00A83C94" w:rsidRDefault="00C72188" w:rsidP="0019638A">
            <w:pPr>
              <w:pStyle w:val="1fa"/>
              <w:spacing w:line="276" w:lineRule="auto"/>
              <w:jc w:val="left"/>
              <w:rPr>
                <w:b/>
                <w:color w:val="auto"/>
                <w:szCs w:val="20"/>
              </w:rPr>
            </w:pPr>
            <w:r w:rsidRPr="00A83C94">
              <w:rPr>
                <w:color w:val="auto"/>
                <w:szCs w:val="20"/>
              </w:rPr>
              <w:t>2. Ծրագրային (նպատակային) օժանդակություն</w:t>
            </w:r>
          </w:p>
        </w:tc>
        <w:tc>
          <w:tcPr>
            <w:tcW w:w="806" w:type="pct"/>
            <w:shd w:val="clear" w:color="auto" w:fill="DBE5F1" w:themeFill="accent1" w:themeFillTint="33"/>
            <w:vAlign w:val="center"/>
          </w:tcPr>
          <w:p w14:paraId="0D61081C" w14:textId="77777777" w:rsidR="00C72188" w:rsidRPr="00A83C94" w:rsidRDefault="00C72188" w:rsidP="0019638A">
            <w:pPr>
              <w:pStyle w:val="1fa"/>
              <w:spacing w:line="276" w:lineRule="auto"/>
              <w:rPr>
                <w:color w:val="auto"/>
                <w:szCs w:val="20"/>
              </w:rPr>
            </w:pPr>
            <w:r>
              <w:rPr>
                <w:color w:val="auto"/>
                <w:szCs w:val="20"/>
              </w:rPr>
              <w:t>266.7</w:t>
            </w:r>
          </w:p>
        </w:tc>
        <w:tc>
          <w:tcPr>
            <w:tcW w:w="1650" w:type="pct"/>
            <w:shd w:val="clear" w:color="auto" w:fill="DBE5F1" w:themeFill="accent1" w:themeFillTint="33"/>
            <w:vAlign w:val="center"/>
          </w:tcPr>
          <w:p w14:paraId="5E80D956" w14:textId="77777777" w:rsidR="00C72188" w:rsidRPr="00A83C94" w:rsidRDefault="00C72188" w:rsidP="0019638A">
            <w:pPr>
              <w:pStyle w:val="1fa"/>
              <w:spacing w:line="276" w:lineRule="auto"/>
              <w:rPr>
                <w:color w:val="auto"/>
                <w:szCs w:val="20"/>
              </w:rPr>
            </w:pPr>
            <w:r w:rsidRPr="00A83C94">
              <w:rPr>
                <w:color w:val="auto"/>
                <w:szCs w:val="20"/>
              </w:rPr>
              <w:t>98.</w:t>
            </w:r>
            <w:r>
              <w:rPr>
                <w:color w:val="auto"/>
                <w:szCs w:val="20"/>
              </w:rPr>
              <w:t>2</w:t>
            </w:r>
          </w:p>
        </w:tc>
      </w:tr>
      <w:tr w:rsidR="00C72188" w:rsidRPr="00E93945" w14:paraId="7CC51096" w14:textId="77777777" w:rsidTr="0019638A">
        <w:tc>
          <w:tcPr>
            <w:tcW w:w="2544" w:type="pct"/>
            <w:noWrap/>
            <w:tcMar>
              <w:top w:w="0" w:type="dxa"/>
              <w:left w:w="57" w:type="dxa"/>
              <w:bottom w:w="0" w:type="dxa"/>
              <w:right w:w="113" w:type="dxa"/>
            </w:tcMar>
          </w:tcPr>
          <w:p w14:paraId="008C1928" w14:textId="77777777" w:rsidR="00C72188" w:rsidRPr="00A83C94" w:rsidRDefault="00C72188" w:rsidP="0019638A">
            <w:pPr>
              <w:pStyle w:val="1fa"/>
              <w:spacing w:line="276" w:lineRule="auto"/>
              <w:jc w:val="left"/>
              <w:rPr>
                <w:color w:val="auto"/>
                <w:szCs w:val="20"/>
              </w:rPr>
            </w:pPr>
            <w:r w:rsidRPr="00A83C94">
              <w:rPr>
                <w:color w:val="auto"/>
                <w:szCs w:val="20"/>
              </w:rPr>
              <w:t>2.1 Պաշտոնական դրամաշնորհներ</w:t>
            </w:r>
          </w:p>
        </w:tc>
        <w:tc>
          <w:tcPr>
            <w:tcW w:w="806" w:type="pct"/>
            <w:vAlign w:val="center"/>
          </w:tcPr>
          <w:p w14:paraId="19ADCF7A" w14:textId="77777777" w:rsidR="00C72188" w:rsidRPr="00A83C94" w:rsidRDefault="00C72188" w:rsidP="0019638A">
            <w:pPr>
              <w:pStyle w:val="1fa"/>
              <w:spacing w:line="276" w:lineRule="auto"/>
              <w:rPr>
                <w:color w:val="auto"/>
                <w:szCs w:val="20"/>
              </w:rPr>
            </w:pPr>
            <w:r>
              <w:rPr>
                <w:color w:val="auto"/>
                <w:szCs w:val="20"/>
              </w:rPr>
              <w:t>36.8</w:t>
            </w:r>
          </w:p>
        </w:tc>
        <w:tc>
          <w:tcPr>
            <w:tcW w:w="1650" w:type="pct"/>
            <w:vAlign w:val="center"/>
          </w:tcPr>
          <w:p w14:paraId="3BFD3AC9" w14:textId="77777777" w:rsidR="00C72188" w:rsidRPr="00A83C94" w:rsidRDefault="00C72188" w:rsidP="0019638A">
            <w:pPr>
              <w:pStyle w:val="1fa"/>
              <w:spacing w:line="276" w:lineRule="auto"/>
              <w:rPr>
                <w:color w:val="auto"/>
                <w:szCs w:val="20"/>
              </w:rPr>
            </w:pPr>
            <w:r w:rsidRPr="00A83C94">
              <w:rPr>
                <w:color w:val="auto"/>
                <w:szCs w:val="20"/>
              </w:rPr>
              <w:t>X</w:t>
            </w:r>
          </w:p>
        </w:tc>
      </w:tr>
      <w:tr w:rsidR="00C72188" w:rsidRPr="00E93945" w14:paraId="677AE3EF" w14:textId="77777777" w:rsidTr="0019638A">
        <w:trPr>
          <w:trHeight w:val="244"/>
        </w:trPr>
        <w:tc>
          <w:tcPr>
            <w:tcW w:w="2544" w:type="pct"/>
            <w:tcBorders>
              <w:bottom w:val="single" w:sz="6" w:space="0" w:color="auto"/>
            </w:tcBorders>
            <w:noWrap/>
            <w:tcMar>
              <w:top w:w="0" w:type="dxa"/>
              <w:left w:w="57" w:type="dxa"/>
              <w:bottom w:w="0" w:type="dxa"/>
              <w:right w:w="113" w:type="dxa"/>
            </w:tcMar>
          </w:tcPr>
          <w:p w14:paraId="2F1A51AA" w14:textId="77777777" w:rsidR="00C72188" w:rsidRPr="00A83C94" w:rsidRDefault="00C72188" w:rsidP="0019638A">
            <w:pPr>
              <w:pStyle w:val="1fa"/>
              <w:spacing w:line="276" w:lineRule="auto"/>
              <w:jc w:val="left"/>
              <w:rPr>
                <w:color w:val="auto"/>
                <w:szCs w:val="20"/>
              </w:rPr>
            </w:pPr>
            <w:r w:rsidRPr="00A83C94">
              <w:rPr>
                <w:color w:val="auto"/>
                <w:szCs w:val="20"/>
              </w:rPr>
              <w:t>2.2 Վարկեր</w:t>
            </w:r>
          </w:p>
        </w:tc>
        <w:tc>
          <w:tcPr>
            <w:tcW w:w="806" w:type="pct"/>
            <w:tcBorders>
              <w:bottom w:val="single" w:sz="6" w:space="0" w:color="auto"/>
            </w:tcBorders>
            <w:vAlign w:val="center"/>
          </w:tcPr>
          <w:p w14:paraId="1FBBB450" w14:textId="77777777" w:rsidR="00C72188" w:rsidRPr="00A83C94" w:rsidRDefault="00C72188" w:rsidP="0019638A">
            <w:pPr>
              <w:pStyle w:val="1fa"/>
              <w:spacing w:line="276" w:lineRule="auto"/>
              <w:rPr>
                <w:color w:val="auto"/>
                <w:szCs w:val="20"/>
              </w:rPr>
            </w:pPr>
            <w:r w:rsidRPr="00A83C94">
              <w:rPr>
                <w:color w:val="auto"/>
                <w:szCs w:val="20"/>
              </w:rPr>
              <w:t>2</w:t>
            </w:r>
            <w:r>
              <w:rPr>
                <w:color w:val="auto"/>
                <w:szCs w:val="20"/>
              </w:rPr>
              <w:t>29</w:t>
            </w:r>
            <w:r w:rsidRPr="00A83C94">
              <w:rPr>
                <w:color w:val="auto"/>
                <w:szCs w:val="20"/>
              </w:rPr>
              <w:t>.</w:t>
            </w:r>
            <w:r>
              <w:rPr>
                <w:color w:val="auto"/>
                <w:szCs w:val="20"/>
              </w:rPr>
              <w:t>9</w:t>
            </w:r>
          </w:p>
        </w:tc>
        <w:tc>
          <w:tcPr>
            <w:tcW w:w="1650" w:type="pct"/>
            <w:tcBorders>
              <w:bottom w:val="single" w:sz="6" w:space="0" w:color="auto"/>
            </w:tcBorders>
            <w:vAlign w:val="center"/>
          </w:tcPr>
          <w:p w14:paraId="7F011476" w14:textId="77777777" w:rsidR="00C72188" w:rsidRPr="00A83C94" w:rsidRDefault="00C72188" w:rsidP="0019638A">
            <w:pPr>
              <w:pStyle w:val="1fa"/>
              <w:spacing w:line="276" w:lineRule="auto"/>
              <w:rPr>
                <w:color w:val="auto"/>
                <w:szCs w:val="20"/>
              </w:rPr>
            </w:pPr>
            <w:r w:rsidRPr="00A83C94">
              <w:rPr>
                <w:color w:val="auto"/>
                <w:szCs w:val="20"/>
              </w:rPr>
              <w:t>X</w:t>
            </w:r>
          </w:p>
        </w:tc>
      </w:tr>
      <w:tr w:rsidR="00C72188" w:rsidRPr="00E93945" w14:paraId="77235E0E" w14:textId="77777777" w:rsidTr="0019638A">
        <w:tc>
          <w:tcPr>
            <w:tcW w:w="2544" w:type="pct"/>
            <w:shd w:val="clear" w:color="auto" w:fill="DBE5F1" w:themeFill="accent1" w:themeFillTint="33"/>
            <w:noWrap/>
            <w:tcMar>
              <w:top w:w="0" w:type="dxa"/>
              <w:left w:w="57" w:type="dxa"/>
              <w:bottom w:w="0" w:type="dxa"/>
              <w:right w:w="113" w:type="dxa"/>
            </w:tcMar>
          </w:tcPr>
          <w:p w14:paraId="70872568" w14:textId="77777777" w:rsidR="00C72188" w:rsidRPr="00A83C94" w:rsidRDefault="00C72188" w:rsidP="0019638A">
            <w:pPr>
              <w:pStyle w:val="1fa"/>
              <w:spacing w:line="276" w:lineRule="auto"/>
              <w:jc w:val="left"/>
              <w:rPr>
                <w:b/>
                <w:color w:val="auto"/>
                <w:szCs w:val="20"/>
              </w:rPr>
            </w:pPr>
            <w:r w:rsidRPr="00A83C94">
              <w:rPr>
                <w:color w:val="auto"/>
                <w:szCs w:val="20"/>
              </w:rPr>
              <w:t>Ընդամենը արտաքին օժանդակություն</w:t>
            </w:r>
          </w:p>
        </w:tc>
        <w:tc>
          <w:tcPr>
            <w:tcW w:w="806" w:type="pct"/>
            <w:shd w:val="clear" w:color="auto" w:fill="DBE5F1" w:themeFill="accent1" w:themeFillTint="33"/>
            <w:vAlign w:val="center"/>
          </w:tcPr>
          <w:p w14:paraId="0BB301F8" w14:textId="77777777" w:rsidR="00C72188" w:rsidRPr="00A83C94" w:rsidRDefault="00C72188" w:rsidP="0019638A">
            <w:pPr>
              <w:pStyle w:val="1fa"/>
              <w:spacing w:line="276" w:lineRule="auto"/>
              <w:rPr>
                <w:color w:val="auto"/>
                <w:szCs w:val="20"/>
                <w:lang w:eastAsia="en-US"/>
              </w:rPr>
            </w:pPr>
            <w:r>
              <w:rPr>
                <w:color w:val="auto"/>
                <w:szCs w:val="20"/>
              </w:rPr>
              <w:t>271.7</w:t>
            </w:r>
          </w:p>
        </w:tc>
        <w:tc>
          <w:tcPr>
            <w:tcW w:w="1650" w:type="pct"/>
            <w:shd w:val="clear" w:color="auto" w:fill="DBE5F1" w:themeFill="accent1" w:themeFillTint="33"/>
            <w:vAlign w:val="center"/>
          </w:tcPr>
          <w:p w14:paraId="6D5F2BE2" w14:textId="77777777" w:rsidR="00C72188" w:rsidRPr="00A83C94" w:rsidRDefault="00C72188" w:rsidP="0019638A">
            <w:pPr>
              <w:pStyle w:val="1fa"/>
              <w:spacing w:line="276" w:lineRule="auto"/>
              <w:rPr>
                <w:color w:val="auto"/>
                <w:szCs w:val="20"/>
              </w:rPr>
            </w:pPr>
          </w:p>
        </w:tc>
      </w:tr>
    </w:tbl>
    <w:p w14:paraId="2790C46F" w14:textId="77777777" w:rsidR="00D379EC" w:rsidRPr="00A83C94" w:rsidRDefault="00D379EC" w:rsidP="00A5558B">
      <w:pPr>
        <w:pStyle w:val="BodyText2"/>
      </w:pPr>
      <w:r w:rsidRPr="00A83C94">
        <w:t>Բյուջետային փաթեթում ընդհանուր բնույթի բյուջետային օժանդակության թերստաց</w:t>
      </w:r>
      <w:r w:rsidRPr="00A83C94">
        <w:softHyphen/>
        <w:t>ման պայ</w:t>
      </w:r>
      <w:r w:rsidRPr="00A83C94">
        <w:softHyphen/>
      </w:r>
      <w:r w:rsidRPr="00A83C94">
        <w:softHyphen/>
        <w:t>մաններում ծախսերի վերանայման անհրաժեշտության առաջացման դեպ</w:t>
      </w:r>
      <w:r w:rsidRPr="00A83C94">
        <w:softHyphen/>
        <w:t>քում այդ վերանայումն իրականացվելու է` ելնելով ծախսերի գե</w:t>
      </w:r>
      <w:r w:rsidRPr="00A83C94">
        <w:softHyphen/>
        <w:t>րա</w:t>
      </w:r>
      <w:r w:rsidRPr="00A83C94">
        <w:softHyphen/>
      </w:r>
      <w:r w:rsidRPr="00A83C94">
        <w:softHyphen/>
      </w:r>
      <w:r w:rsidRPr="00A83C94">
        <w:softHyphen/>
        <w:t>կա</w:t>
      </w:r>
      <w:r w:rsidRPr="00A83C94">
        <w:softHyphen/>
        <w:t>յու</w:t>
      </w:r>
      <w:r w:rsidRPr="00A83C94">
        <w:softHyphen/>
        <w:t>թյան աստիճանից: Ծրագրային (նպատակային) պաշտոնական դրամաշ</w:t>
      </w:r>
      <w:r w:rsidRPr="00A83C94">
        <w:softHyphen/>
        <w:t>նորհ</w:t>
      </w:r>
      <w:r w:rsidRPr="00A83C94">
        <w:softHyphen/>
        <w:t>ների և վար</w:t>
      </w:r>
      <w:r w:rsidRPr="00A83C94">
        <w:softHyphen/>
      </w:r>
      <w:r w:rsidRPr="00A83C94">
        <w:softHyphen/>
        <w:t>կերի թերս</w:t>
      </w:r>
      <w:r w:rsidRPr="00A83C94">
        <w:softHyphen/>
        <w:t>տացումը հանգեցնելու է այն ծրագրերի գծով ծախսերի կրճատ</w:t>
      </w:r>
      <w:r w:rsidRPr="00A83C94">
        <w:softHyphen/>
        <w:t>մա</w:t>
      </w:r>
      <w:r w:rsidRPr="00A83C94">
        <w:softHyphen/>
        <w:t>նը, որոնք ան</w:t>
      </w:r>
      <w:r w:rsidRPr="00A83C94">
        <w:softHyphen/>
        <w:t>մի</w:t>
      </w:r>
      <w:r w:rsidRPr="00A83C94">
        <w:softHyphen/>
        <w:t>ջա</w:t>
      </w:r>
      <w:r w:rsidRPr="00A83C94">
        <w:softHyphen/>
      </w:r>
      <w:r w:rsidRPr="00A83C94">
        <w:softHyphen/>
        <w:t xml:space="preserve">կանորեն </w:t>
      </w:r>
      <w:r w:rsidRPr="00A83C94">
        <w:softHyphen/>
        <w:t>կապակցված են ֆինանսավորման այդ աղբյուրներին</w:t>
      </w:r>
      <w:r w:rsidR="00BE34C6" w:rsidRPr="00A83C94">
        <w:t>:</w:t>
      </w:r>
      <w:r w:rsidRPr="00A83C94">
        <w:t xml:space="preserve"> </w:t>
      </w:r>
    </w:p>
    <w:p w14:paraId="77CC9184" w14:textId="377547EB" w:rsidR="00D379EC" w:rsidRPr="00A83C94" w:rsidRDefault="00D379EC" w:rsidP="00A5558B">
      <w:pPr>
        <w:pStyle w:val="BodyText2"/>
      </w:pPr>
      <w:r w:rsidRPr="00A83C94">
        <w:t>ՀՀ 20</w:t>
      </w:r>
      <w:r w:rsidR="000E1796" w:rsidRPr="00A83C94">
        <w:t>2</w:t>
      </w:r>
      <w:r w:rsidR="00097DA7" w:rsidRPr="00A83C94">
        <w:t>2</w:t>
      </w:r>
      <w:r w:rsidRPr="00A83C94">
        <w:t xml:space="preserve"> թվականի պետական բյուջեի նախագծի հաշվարկներում «Հայաստանի Հան</w:t>
      </w:r>
      <w:r w:rsidRPr="00A83C94">
        <w:softHyphen/>
        <w:t>րա</w:t>
      </w:r>
      <w:r w:rsidRPr="00A83C94">
        <w:softHyphen/>
        <w:t>պետության բյուջետային հա</w:t>
      </w:r>
      <w:r w:rsidRPr="00A83C94">
        <w:softHyphen/>
        <w:t>մակարգի մասին» ՀՀ օրենքի 21-րդ հոդվածի 8.1-րդ մա</w:t>
      </w:r>
      <w:r w:rsidRPr="00A83C94">
        <w:softHyphen/>
        <w:t>սի պա</w:t>
      </w:r>
      <w:r w:rsidRPr="00A83C94">
        <w:softHyphen/>
      </w:r>
      <w:r w:rsidRPr="00A83C94">
        <w:softHyphen/>
        <w:t>հան</w:t>
      </w:r>
      <w:r w:rsidRPr="00A83C94">
        <w:softHyphen/>
        <w:t>ջի համաձայն կիրառ</w:t>
      </w:r>
      <w:r w:rsidRPr="00A83C94">
        <w:softHyphen/>
        <w:t>վել են ս.թ</w:t>
      </w:r>
      <w:r w:rsidR="00EA2106" w:rsidRPr="00A83C94">
        <w:t xml:space="preserve">. </w:t>
      </w:r>
      <w:r w:rsidR="00056F87" w:rsidRPr="00056F87">
        <w:t>նոյեմբերի</w:t>
      </w:r>
      <w:r w:rsidRPr="00A83C94">
        <w:t xml:space="preserve"> </w:t>
      </w:r>
      <w:r w:rsidR="00097DA7" w:rsidRPr="00A83C94">
        <w:t>1</w:t>
      </w:r>
      <w:r w:rsidR="00F46255" w:rsidRPr="00A83C94">
        <w:t xml:space="preserve">-ի </w:t>
      </w:r>
      <w:r w:rsidRPr="00A83C94">
        <w:t>դրությամբ ՀՀ արտար</w:t>
      </w:r>
      <w:r w:rsidRPr="00A83C94">
        <w:softHyphen/>
        <w:t>ժու</w:t>
      </w:r>
      <w:r w:rsidRPr="00A83C94">
        <w:softHyphen/>
        <w:t>թա</w:t>
      </w:r>
      <w:r w:rsidRPr="00A83C94">
        <w:softHyphen/>
        <w:t>յին շու</w:t>
      </w:r>
      <w:r w:rsidRPr="00A83C94">
        <w:softHyphen/>
      </w:r>
      <w:r w:rsidRPr="00A83C94">
        <w:softHyphen/>
        <w:t>կա</w:t>
      </w:r>
      <w:r w:rsidRPr="00A83C94">
        <w:softHyphen/>
        <w:t>յում ձևավորված տա</w:t>
      </w:r>
      <w:r w:rsidRPr="00A83C94">
        <w:softHyphen/>
        <w:t>րա</w:t>
      </w:r>
      <w:r w:rsidRPr="00A83C94">
        <w:softHyphen/>
        <w:t>դրա</w:t>
      </w:r>
      <w:r w:rsidRPr="00A83C94">
        <w:softHyphen/>
        <w:t>մի փոխարժեքները ՀՀ դրամով:</w:t>
      </w:r>
    </w:p>
    <w:p w14:paraId="7DF761D2" w14:textId="64B890B4" w:rsidR="00D379EC" w:rsidRPr="00A83C94" w:rsidRDefault="0025299D" w:rsidP="0025299D">
      <w:pPr>
        <w:pStyle w:val="Caption"/>
        <w:rPr>
          <w:b/>
          <w:i/>
          <w:sz w:val="20"/>
          <w:szCs w:val="20"/>
          <w:lang w:val="hy-AM"/>
        </w:rPr>
      </w:pPr>
      <w:bookmarkStart w:id="219" w:name="_Toc525773067"/>
      <w:bookmarkStart w:id="220" w:name="_Toc20590407"/>
      <w:bookmarkStart w:id="221" w:name="_Toc89428763"/>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3</w:t>
      </w:r>
      <w:r>
        <w:fldChar w:fldCharType="end"/>
      </w:r>
      <w:r w:rsidR="00D02A2D" w:rsidRPr="008150A1">
        <w:rPr>
          <w:rFonts w:ascii="Cambria Math" w:hAnsi="Cambria Math" w:cs="Cambria Math"/>
          <w:lang w:val="hy-AM"/>
        </w:rPr>
        <w:t>․</w:t>
      </w:r>
      <w:r w:rsidR="00D02A2D" w:rsidRPr="00A83C94">
        <w:rPr>
          <w:rFonts w:ascii="Cambria Math" w:hAnsi="Cambria Math"/>
          <w:lang w:val="hy-AM"/>
        </w:rPr>
        <w:t xml:space="preserve"> </w:t>
      </w:r>
      <w:r w:rsidR="000E1796" w:rsidRPr="00A83C94">
        <w:rPr>
          <w:b/>
          <w:i/>
          <w:sz w:val="20"/>
          <w:szCs w:val="20"/>
          <w:lang w:val="hy-AM"/>
        </w:rPr>
        <w:t>ՀՀ 202</w:t>
      </w:r>
      <w:r w:rsidR="00097DA7" w:rsidRPr="00A83C94">
        <w:rPr>
          <w:b/>
          <w:i/>
          <w:sz w:val="20"/>
          <w:szCs w:val="20"/>
          <w:lang w:val="hy-AM"/>
        </w:rPr>
        <w:t>2</w:t>
      </w:r>
      <w:r w:rsidR="00D379EC" w:rsidRPr="00A83C94">
        <w:rPr>
          <w:b/>
          <w:i/>
          <w:sz w:val="20"/>
          <w:szCs w:val="20"/>
          <w:lang w:val="hy-AM"/>
        </w:rPr>
        <w:t xml:space="preserve"> թվականի պետական բյուջեի նախագծի հաշվարկներում կիրառված տարադրամների փոխարժեք</w:t>
      </w:r>
      <w:r w:rsidR="00D379EC" w:rsidRPr="00A83C94">
        <w:rPr>
          <w:b/>
          <w:i/>
          <w:sz w:val="20"/>
          <w:szCs w:val="20"/>
          <w:lang w:val="hy-AM"/>
        </w:rPr>
        <w:softHyphen/>
        <w:t>ները ՀՀ դրամով</w:t>
      </w:r>
      <w:bookmarkEnd w:id="219"/>
      <w:bookmarkEnd w:id="220"/>
      <w:bookmarkEnd w:id="221"/>
    </w:p>
    <w:tbl>
      <w:tblPr>
        <w:tblW w:w="7215" w:type="dxa"/>
        <w:tblInd w:w="93" w:type="dxa"/>
        <w:tblLayout w:type="fixed"/>
        <w:tblLook w:val="0000" w:firstRow="0" w:lastRow="0" w:firstColumn="0" w:lastColumn="0" w:noHBand="0" w:noVBand="0"/>
      </w:tblPr>
      <w:tblGrid>
        <w:gridCol w:w="5235"/>
        <w:gridCol w:w="1980"/>
      </w:tblGrid>
      <w:tr w:rsidR="00BF7CB6" w:rsidRPr="00A83C94" w14:paraId="2AE23AD5" w14:textId="77777777" w:rsidTr="00BF7CB6">
        <w:trPr>
          <w:trHeight w:val="334"/>
          <w:tblHeader/>
        </w:trPr>
        <w:tc>
          <w:tcPr>
            <w:tcW w:w="5235" w:type="dxa"/>
            <w:tcBorders>
              <w:top w:val="single" w:sz="4" w:space="0" w:color="auto"/>
              <w:left w:val="single" w:sz="4" w:space="0" w:color="auto"/>
              <w:bottom w:val="single" w:sz="4" w:space="0" w:color="auto"/>
              <w:right w:val="single" w:sz="6" w:space="0" w:color="auto"/>
            </w:tcBorders>
            <w:shd w:val="clear" w:color="auto" w:fill="4F81BD" w:themeFill="accent1"/>
            <w:noWrap/>
            <w:vAlign w:val="center"/>
          </w:tcPr>
          <w:p w14:paraId="1670B2A6" w14:textId="77777777" w:rsidR="00D379EC" w:rsidRPr="00A83C94" w:rsidRDefault="00D379EC" w:rsidP="007730AA">
            <w:pPr>
              <w:pStyle w:val="1fa"/>
              <w:spacing w:line="276" w:lineRule="auto"/>
              <w:rPr>
                <w:b/>
                <w:color w:val="FFFFFF" w:themeColor="background1"/>
              </w:rPr>
            </w:pPr>
            <w:r w:rsidRPr="00A83C94">
              <w:rPr>
                <w:b/>
                <w:color w:val="FFFFFF" w:themeColor="background1"/>
              </w:rPr>
              <w:t>Տարադրամի տեսակը</w:t>
            </w:r>
          </w:p>
        </w:tc>
        <w:tc>
          <w:tcPr>
            <w:tcW w:w="1980" w:type="dxa"/>
            <w:tcBorders>
              <w:top w:val="single" w:sz="6" w:space="0" w:color="auto"/>
              <w:left w:val="single" w:sz="6" w:space="0" w:color="auto"/>
              <w:bottom w:val="single" w:sz="6" w:space="0" w:color="auto"/>
              <w:right w:val="single" w:sz="6" w:space="0" w:color="auto"/>
            </w:tcBorders>
            <w:shd w:val="clear" w:color="auto" w:fill="4F81BD" w:themeFill="accent1"/>
            <w:noWrap/>
            <w:vAlign w:val="center"/>
          </w:tcPr>
          <w:p w14:paraId="7C82396E" w14:textId="77777777" w:rsidR="00D379EC" w:rsidRPr="00A83C94" w:rsidRDefault="00D379EC" w:rsidP="007730AA">
            <w:pPr>
              <w:pStyle w:val="1fa"/>
              <w:spacing w:line="276" w:lineRule="auto"/>
              <w:rPr>
                <w:b/>
                <w:color w:val="FFFFFF" w:themeColor="background1"/>
              </w:rPr>
            </w:pPr>
            <w:r w:rsidRPr="00A83C94">
              <w:rPr>
                <w:b/>
                <w:color w:val="FFFFFF" w:themeColor="background1"/>
              </w:rPr>
              <w:t>Փոխարժեքը</w:t>
            </w:r>
            <w:r w:rsidR="007705D1" w:rsidRPr="00A83C94">
              <w:rPr>
                <w:b/>
                <w:color w:val="FFFFFF" w:themeColor="background1"/>
              </w:rPr>
              <w:t xml:space="preserve"> </w:t>
            </w:r>
            <w:r w:rsidRPr="00A83C94">
              <w:rPr>
                <w:b/>
                <w:color w:val="FFFFFF" w:themeColor="background1"/>
              </w:rPr>
              <w:t>ՀՀ դրամով</w:t>
            </w:r>
          </w:p>
        </w:tc>
      </w:tr>
      <w:tr w:rsidR="00D379EC" w:rsidRPr="00A83C94" w14:paraId="0A136B95"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43F7B93F" w14:textId="77777777" w:rsidR="00D379EC" w:rsidRPr="00A83C94" w:rsidRDefault="00D379EC" w:rsidP="007730AA">
            <w:pPr>
              <w:pStyle w:val="1fa"/>
              <w:spacing w:line="276" w:lineRule="auto"/>
              <w:jc w:val="left"/>
              <w:rPr>
                <w:color w:val="auto"/>
              </w:rPr>
            </w:pPr>
            <w:r w:rsidRPr="00A83C94">
              <w:rPr>
                <w:color w:val="auto"/>
              </w:rPr>
              <w:t xml:space="preserve">1 ԱՄՆ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18A84C0" w14:textId="5FB4B7CB" w:rsidR="00D379EC" w:rsidRPr="00A83C94" w:rsidRDefault="00485C0B" w:rsidP="00056F87">
            <w:pPr>
              <w:pStyle w:val="1fa"/>
              <w:spacing w:line="276" w:lineRule="auto"/>
              <w:rPr>
                <w:color w:val="auto"/>
              </w:rPr>
            </w:pPr>
            <w:r w:rsidRPr="00A83C94">
              <w:rPr>
                <w:color w:val="auto"/>
              </w:rPr>
              <w:t>4</w:t>
            </w:r>
            <w:r w:rsidR="00056F87">
              <w:rPr>
                <w:color w:val="auto"/>
              </w:rPr>
              <w:t>77</w:t>
            </w:r>
            <w:r w:rsidRPr="00A83C94">
              <w:rPr>
                <w:color w:val="auto"/>
              </w:rPr>
              <w:t>.</w:t>
            </w:r>
            <w:r w:rsidR="00056F87">
              <w:rPr>
                <w:color w:val="auto"/>
              </w:rPr>
              <w:t>45</w:t>
            </w:r>
          </w:p>
        </w:tc>
      </w:tr>
      <w:tr w:rsidR="00D379EC" w:rsidRPr="00A83C94" w14:paraId="2C22C946" w14:textId="77777777" w:rsidTr="00C51185">
        <w:trPr>
          <w:trHeight w:val="233"/>
        </w:trPr>
        <w:tc>
          <w:tcPr>
            <w:tcW w:w="5235" w:type="dxa"/>
            <w:tcBorders>
              <w:top w:val="nil"/>
              <w:left w:val="single" w:sz="4" w:space="0" w:color="auto"/>
              <w:bottom w:val="single" w:sz="4" w:space="0" w:color="auto"/>
              <w:right w:val="single" w:sz="6" w:space="0" w:color="auto"/>
            </w:tcBorders>
            <w:shd w:val="clear" w:color="auto" w:fill="auto"/>
            <w:noWrap/>
            <w:vAlign w:val="center"/>
          </w:tcPr>
          <w:p w14:paraId="2612DE97" w14:textId="77777777" w:rsidR="00D379EC" w:rsidRPr="00A83C94" w:rsidRDefault="00D379EC" w:rsidP="007730AA">
            <w:pPr>
              <w:pStyle w:val="1fa"/>
              <w:spacing w:line="276" w:lineRule="auto"/>
              <w:jc w:val="left"/>
              <w:rPr>
                <w:color w:val="auto"/>
              </w:rPr>
            </w:pPr>
            <w:r w:rsidRPr="00A83C94">
              <w:rPr>
                <w:color w:val="auto"/>
              </w:rPr>
              <w:t>1 եվրո</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CF207D2" w14:textId="78839D2A" w:rsidR="00D379EC" w:rsidRPr="00A83C94" w:rsidRDefault="00485C0B" w:rsidP="00056F87">
            <w:pPr>
              <w:pStyle w:val="1fa"/>
              <w:spacing w:line="276" w:lineRule="auto"/>
              <w:rPr>
                <w:color w:val="auto"/>
              </w:rPr>
            </w:pPr>
            <w:r w:rsidRPr="00A83C94">
              <w:rPr>
                <w:color w:val="auto"/>
              </w:rPr>
              <w:t>5</w:t>
            </w:r>
            <w:r w:rsidR="00056F87">
              <w:rPr>
                <w:color w:val="auto"/>
              </w:rPr>
              <w:t>52</w:t>
            </w:r>
            <w:r w:rsidRPr="00A83C94">
              <w:rPr>
                <w:color w:val="auto"/>
              </w:rPr>
              <w:t>.</w:t>
            </w:r>
            <w:r w:rsidR="00056F87">
              <w:rPr>
                <w:color w:val="auto"/>
              </w:rPr>
              <w:t>17</w:t>
            </w:r>
          </w:p>
        </w:tc>
      </w:tr>
      <w:tr w:rsidR="00D379EC" w:rsidRPr="00A83C94" w14:paraId="53D14F83" w14:textId="77777777" w:rsidTr="00C51185">
        <w:trPr>
          <w:trHeight w:val="307"/>
        </w:trPr>
        <w:tc>
          <w:tcPr>
            <w:tcW w:w="5235" w:type="dxa"/>
            <w:tcBorders>
              <w:top w:val="nil"/>
              <w:left w:val="single" w:sz="4" w:space="0" w:color="auto"/>
              <w:bottom w:val="single" w:sz="4" w:space="0" w:color="auto"/>
              <w:right w:val="single" w:sz="6" w:space="0" w:color="auto"/>
            </w:tcBorders>
            <w:shd w:val="clear" w:color="auto" w:fill="auto"/>
            <w:vAlign w:val="center"/>
          </w:tcPr>
          <w:p w14:paraId="4D904EEE" w14:textId="77777777" w:rsidR="00D379EC" w:rsidRPr="00A83C94" w:rsidRDefault="00D379EC" w:rsidP="007730AA">
            <w:pPr>
              <w:pStyle w:val="1fa"/>
              <w:spacing w:line="276" w:lineRule="auto"/>
              <w:jc w:val="left"/>
              <w:rPr>
                <w:color w:val="auto"/>
              </w:rPr>
            </w:pPr>
            <w:r w:rsidRPr="00A83C94">
              <w:rPr>
                <w:color w:val="auto"/>
              </w:rPr>
              <w:t xml:space="preserve">1 Մեծ Բրիտանիայի ֆունտ ստեռլինգ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430EBC2" w14:textId="18C51CEB" w:rsidR="00D379EC" w:rsidRPr="00A83C94" w:rsidRDefault="00485C0B" w:rsidP="00056F87">
            <w:pPr>
              <w:pStyle w:val="1fa"/>
              <w:spacing w:line="276" w:lineRule="auto"/>
              <w:rPr>
                <w:color w:val="auto"/>
              </w:rPr>
            </w:pPr>
            <w:r w:rsidRPr="00A83C94">
              <w:rPr>
                <w:color w:val="auto"/>
              </w:rPr>
              <w:t>6</w:t>
            </w:r>
            <w:r w:rsidR="00056F87">
              <w:rPr>
                <w:color w:val="auto"/>
              </w:rPr>
              <w:t>52.10</w:t>
            </w:r>
          </w:p>
        </w:tc>
      </w:tr>
      <w:tr w:rsidR="00D379EC" w:rsidRPr="00A83C94" w14:paraId="148F878A" w14:textId="77777777" w:rsidTr="00C51185">
        <w:trPr>
          <w:trHeight w:val="191"/>
        </w:trPr>
        <w:tc>
          <w:tcPr>
            <w:tcW w:w="5235" w:type="dxa"/>
            <w:tcBorders>
              <w:top w:val="nil"/>
              <w:left w:val="single" w:sz="4" w:space="0" w:color="auto"/>
              <w:bottom w:val="single" w:sz="4" w:space="0" w:color="auto"/>
              <w:right w:val="single" w:sz="6" w:space="0" w:color="auto"/>
            </w:tcBorders>
            <w:shd w:val="clear" w:color="auto" w:fill="auto"/>
            <w:vAlign w:val="center"/>
          </w:tcPr>
          <w:p w14:paraId="1FE42CDC" w14:textId="77777777" w:rsidR="00D379EC" w:rsidRPr="00A83C94" w:rsidRDefault="00D379EC" w:rsidP="007730AA">
            <w:pPr>
              <w:pStyle w:val="1fa"/>
              <w:spacing w:line="276" w:lineRule="auto"/>
              <w:jc w:val="left"/>
              <w:rPr>
                <w:color w:val="auto"/>
              </w:rPr>
            </w:pPr>
            <w:r w:rsidRPr="00A83C94">
              <w:rPr>
                <w:color w:val="auto"/>
              </w:rPr>
              <w:t xml:space="preserve">1 Ռուսաստանյան ռուբլի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F99A65A" w14:textId="1D607177" w:rsidR="00D379EC" w:rsidRPr="00A83C94" w:rsidRDefault="00FC5B0B" w:rsidP="00056F87">
            <w:pPr>
              <w:pStyle w:val="1fa"/>
              <w:spacing w:line="276" w:lineRule="auto"/>
              <w:rPr>
                <w:color w:val="auto"/>
                <w:lang w:val="ru-RU"/>
              </w:rPr>
            </w:pPr>
            <w:r w:rsidRPr="00A83C94">
              <w:rPr>
                <w:color w:val="auto"/>
                <w:lang w:val="hy-AM"/>
              </w:rPr>
              <w:t>6</w:t>
            </w:r>
            <w:r w:rsidR="00A655E1" w:rsidRPr="00A83C94">
              <w:rPr>
                <w:color w:val="auto"/>
              </w:rPr>
              <w:t>.</w:t>
            </w:r>
            <w:r w:rsidR="00097DA7" w:rsidRPr="00A83C94">
              <w:rPr>
                <w:color w:val="auto"/>
                <w:lang w:val="hy-AM"/>
              </w:rPr>
              <w:t>7</w:t>
            </w:r>
            <w:r w:rsidR="00056F87">
              <w:rPr>
                <w:color w:val="auto"/>
              </w:rPr>
              <w:t>4</w:t>
            </w:r>
          </w:p>
        </w:tc>
      </w:tr>
      <w:tr w:rsidR="00D379EC" w:rsidRPr="00A83C94" w14:paraId="02143BCF" w14:textId="77777777" w:rsidTr="00C51185">
        <w:trPr>
          <w:trHeight w:val="160"/>
        </w:trPr>
        <w:tc>
          <w:tcPr>
            <w:tcW w:w="5235" w:type="dxa"/>
            <w:tcBorders>
              <w:top w:val="nil"/>
              <w:left w:val="single" w:sz="4" w:space="0" w:color="auto"/>
              <w:bottom w:val="single" w:sz="4" w:space="0" w:color="auto"/>
              <w:right w:val="single" w:sz="6" w:space="0" w:color="auto"/>
            </w:tcBorders>
            <w:shd w:val="clear" w:color="auto" w:fill="auto"/>
            <w:vAlign w:val="center"/>
          </w:tcPr>
          <w:p w14:paraId="614F7F7D" w14:textId="77777777" w:rsidR="00D379EC" w:rsidRPr="00A83C94" w:rsidRDefault="00D379EC" w:rsidP="007730AA">
            <w:pPr>
              <w:pStyle w:val="1fa"/>
              <w:spacing w:line="276" w:lineRule="auto"/>
              <w:jc w:val="left"/>
              <w:rPr>
                <w:color w:val="auto"/>
              </w:rPr>
            </w:pPr>
            <w:r w:rsidRPr="00A83C94">
              <w:rPr>
                <w:color w:val="auto"/>
              </w:rPr>
              <w:t xml:space="preserve">1 Շվեյցարական ֆրանկ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1DACDC1" w14:textId="62CF5F74" w:rsidR="00D379EC" w:rsidRPr="00A83C94" w:rsidRDefault="00056F87" w:rsidP="00056F87">
            <w:pPr>
              <w:pStyle w:val="1fa"/>
              <w:spacing w:line="276" w:lineRule="auto"/>
              <w:rPr>
                <w:color w:val="auto"/>
              </w:rPr>
            </w:pPr>
            <w:r>
              <w:rPr>
                <w:color w:val="auto"/>
                <w:lang w:val="hy-AM"/>
              </w:rPr>
              <w:t>521</w:t>
            </w:r>
            <w:r w:rsidR="00485C0B" w:rsidRPr="00A83C94">
              <w:rPr>
                <w:color w:val="auto"/>
              </w:rPr>
              <w:t>.</w:t>
            </w:r>
            <w:r>
              <w:rPr>
                <w:color w:val="auto"/>
              </w:rPr>
              <w:t>69</w:t>
            </w:r>
          </w:p>
        </w:tc>
      </w:tr>
      <w:tr w:rsidR="00D379EC" w:rsidRPr="00A83C94" w14:paraId="7A5804D9" w14:textId="77777777" w:rsidTr="00C51185">
        <w:trPr>
          <w:trHeight w:val="170"/>
        </w:trPr>
        <w:tc>
          <w:tcPr>
            <w:tcW w:w="5235" w:type="dxa"/>
            <w:tcBorders>
              <w:top w:val="nil"/>
              <w:left w:val="single" w:sz="4" w:space="0" w:color="auto"/>
              <w:bottom w:val="single" w:sz="4" w:space="0" w:color="auto"/>
              <w:right w:val="single" w:sz="6" w:space="0" w:color="auto"/>
            </w:tcBorders>
            <w:shd w:val="clear" w:color="auto" w:fill="auto"/>
            <w:vAlign w:val="center"/>
          </w:tcPr>
          <w:p w14:paraId="5D472DBE" w14:textId="77777777" w:rsidR="00D379EC" w:rsidRPr="00A83C94" w:rsidRDefault="00D379EC" w:rsidP="007730AA">
            <w:pPr>
              <w:pStyle w:val="1fa"/>
              <w:spacing w:line="276" w:lineRule="auto"/>
              <w:jc w:val="left"/>
              <w:rPr>
                <w:color w:val="auto"/>
              </w:rPr>
            </w:pPr>
            <w:r w:rsidRPr="00A83C94">
              <w:rPr>
                <w:color w:val="auto"/>
              </w:rPr>
              <w:t xml:space="preserve">1 Կանադական դոլար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EB2BF0D" w14:textId="3AA67EFA" w:rsidR="00D379EC" w:rsidRPr="00A83C94" w:rsidRDefault="00097DA7" w:rsidP="00056F87">
            <w:pPr>
              <w:pStyle w:val="1fa"/>
              <w:spacing w:line="276" w:lineRule="auto"/>
              <w:rPr>
                <w:color w:val="auto"/>
              </w:rPr>
            </w:pPr>
            <w:r w:rsidRPr="00A83C94">
              <w:rPr>
                <w:color w:val="auto"/>
                <w:lang w:val="hy-AM"/>
              </w:rPr>
              <w:t>3</w:t>
            </w:r>
            <w:r w:rsidR="00056F87">
              <w:rPr>
                <w:color w:val="auto"/>
              </w:rPr>
              <w:t>85</w:t>
            </w:r>
            <w:r w:rsidR="00FC5B0B" w:rsidRPr="00A83C94">
              <w:rPr>
                <w:color w:val="auto"/>
                <w:lang w:val="hy-AM"/>
              </w:rPr>
              <w:t>.</w:t>
            </w:r>
            <w:r w:rsidRPr="00A83C94">
              <w:rPr>
                <w:color w:val="auto"/>
              </w:rPr>
              <w:t>7</w:t>
            </w:r>
            <w:r w:rsidR="00056F87">
              <w:rPr>
                <w:color w:val="auto"/>
              </w:rPr>
              <w:t>2</w:t>
            </w:r>
          </w:p>
        </w:tc>
      </w:tr>
      <w:tr w:rsidR="00D379EC" w:rsidRPr="00A83C94" w14:paraId="3AD415D6"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1DBF02B4" w14:textId="77777777" w:rsidR="00D379EC" w:rsidRPr="00A83C94" w:rsidRDefault="00D379EC" w:rsidP="007730AA">
            <w:pPr>
              <w:pStyle w:val="1fa"/>
              <w:spacing w:line="276" w:lineRule="auto"/>
              <w:jc w:val="left"/>
              <w:rPr>
                <w:color w:val="auto"/>
              </w:rPr>
            </w:pPr>
            <w:r w:rsidRPr="00A83C94">
              <w:rPr>
                <w:color w:val="auto"/>
              </w:rPr>
              <w:t xml:space="preserve">10 ճապոնական իեն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3D76F42" w14:textId="3EFFC05C" w:rsidR="00D379EC" w:rsidRPr="00A83C94" w:rsidRDefault="000E1796" w:rsidP="00056F87">
            <w:pPr>
              <w:pStyle w:val="1fa"/>
              <w:spacing w:line="276" w:lineRule="auto"/>
              <w:rPr>
                <w:color w:val="auto"/>
                <w:lang w:val="hy-AM"/>
              </w:rPr>
            </w:pPr>
            <w:r w:rsidRPr="00A83C94">
              <w:rPr>
                <w:color w:val="auto"/>
              </w:rPr>
              <w:t>4</w:t>
            </w:r>
            <w:r w:rsidR="00056F87">
              <w:rPr>
                <w:color w:val="auto"/>
              </w:rPr>
              <w:t>1</w:t>
            </w:r>
            <w:r w:rsidR="00A655E1" w:rsidRPr="00A83C94">
              <w:rPr>
                <w:color w:val="auto"/>
              </w:rPr>
              <w:t>.</w:t>
            </w:r>
            <w:r w:rsidR="00056F87">
              <w:rPr>
                <w:color w:val="auto"/>
              </w:rPr>
              <w:t>80</w:t>
            </w:r>
          </w:p>
        </w:tc>
      </w:tr>
      <w:tr w:rsidR="00D379EC" w:rsidRPr="00A83C94" w14:paraId="2EB0D545" w14:textId="77777777" w:rsidTr="00C51185">
        <w:trPr>
          <w:trHeight w:val="165"/>
        </w:trPr>
        <w:tc>
          <w:tcPr>
            <w:tcW w:w="5235" w:type="dxa"/>
            <w:tcBorders>
              <w:top w:val="nil"/>
              <w:left w:val="single" w:sz="4" w:space="0" w:color="auto"/>
              <w:bottom w:val="single" w:sz="4" w:space="0" w:color="auto"/>
              <w:right w:val="single" w:sz="6" w:space="0" w:color="auto"/>
            </w:tcBorders>
            <w:shd w:val="clear" w:color="auto" w:fill="auto"/>
            <w:vAlign w:val="center"/>
          </w:tcPr>
          <w:p w14:paraId="75568AEE" w14:textId="77777777" w:rsidR="00D379EC" w:rsidRPr="00A83C94" w:rsidRDefault="00D379EC" w:rsidP="007730AA">
            <w:pPr>
              <w:pStyle w:val="1fa"/>
              <w:spacing w:line="276" w:lineRule="auto"/>
              <w:jc w:val="left"/>
              <w:rPr>
                <w:color w:val="auto"/>
              </w:rPr>
            </w:pPr>
            <w:r w:rsidRPr="00A83C94">
              <w:rPr>
                <w:color w:val="auto"/>
              </w:rPr>
              <w:t xml:space="preserve">1 Չինական յուան </w:t>
            </w:r>
          </w:p>
        </w:tc>
        <w:tc>
          <w:tcPr>
            <w:tcW w:w="1980"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41CC4A6" w14:textId="45F4B09C" w:rsidR="00D379EC" w:rsidRPr="00A83C94" w:rsidRDefault="00FC5B0B" w:rsidP="00056F87">
            <w:pPr>
              <w:pStyle w:val="1fa"/>
              <w:spacing w:line="276" w:lineRule="auto"/>
              <w:rPr>
                <w:color w:val="auto"/>
                <w:lang w:val="hy-AM"/>
              </w:rPr>
            </w:pPr>
            <w:r w:rsidRPr="00A83C94">
              <w:rPr>
                <w:color w:val="auto"/>
                <w:lang w:val="ru-RU"/>
              </w:rPr>
              <w:t>7</w:t>
            </w:r>
            <w:r w:rsidR="00056F87">
              <w:rPr>
                <w:color w:val="auto"/>
              </w:rPr>
              <w:t>4</w:t>
            </w:r>
            <w:r w:rsidR="00485C0B" w:rsidRPr="00A83C94">
              <w:rPr>
                <w:color w:val="auto"/>
                <w:lang w:val="ru-RU"/>
              </w:rPr>
              <w:t>.</w:t>
            </w:r>
            <w:r w:rsidR="00097DA7" w:rsidRPr="00A83C94">
              <w:rPr>
                <w:color w:val="auto"/>
              </w:rPr>
              <w:t>3</w:t>
            </w:r>
            <w:r w:rsidR="00056F87">
              <w:rPr>
                <w:color w:val="auto"/>
              </w:rPr>
              <w:t>8</w:t>
            </w:r>
          </w:p>
        </w:tc>
      </w:tr>
    </w:tbl>
    <w:p w14:paraId="2AF7A923" w14:textId="77777777" w:rsidR="00C72188" w:rsidRPr="00A83C94" w:rsidRDefault="00C72188" w:rsidP="00C72188">
      <w:pPr>
        <w:pStyle w:val="Heading3"/>
      </w:pPr>
      <w:bookmarkStart w:id="222" w:name="_Toc89254350"/>
      <w:bookmarkStart w:id="223" w:name="_Toc57655464"/>
      <w:bookmarkStart w:id="224" w:name="_Toc57655465"/>
      <w:bookmarkStart w:id="225" w:name="_Toc89428302"/>
      <w:r w:rsidRPr="00A83C94">
        <w:t>Պետական բյուջեի դեֆիցիտի ֆինանսավորման աղբյուրները</w:t>
      </w:r>
      <w:bookmarkEnd w:id="222"/>
      <w:bookmarkEnd w:id="225"/>
    </w:p>
    <w:p w14:paraId="7A20698B" w14:textId="77777777" w:rsidR="00C72188" w:rsidRPr="007C4A2C" w:rsidRDefault="00C72188" w:rsidP="00C72188">
      <w:pPr>
        <w:spacing w:before="0" w:line="276" w:lineRule="auto"/>
        <w:ind w:firstLine="600"/>
        <w:contextualSpacing w:val="0"/>
        <w:rPr>
          <w:rFonts w:cs="Sylfaen"/>
          <w:b w:val="0"/>
          <w:szCs w:val="22"/>
          <w:lang w:val="hy-AM" w:eastAsia="en-US"/>
        </w:rPr>
      </w:pPr>
      <w:r w:rsidRPr="00BF7CB6">
        <w:rPr>
          <w:rFonts w:cs="Sylfaen"/>
          <w:b w:val="0"/>
          <w:szCs w:val="22"/>
          <w:lang w:val="hy-AM" w:eastAsia="en-US"/>
        </w:rPr>
        <w:t>Պետական</w:t>
      </w:r>
      <w:r w:rsidRPr="00F92656">
        <w:rPr>
          <w:rFonts w:cs="Sylfaen"/>
          <w:b w:val="0"/>
          <w:szCs w:val="22"/>
          <w:lang w:val="hy-AM" w:eastAsia="en-US"/>
        </w:rPr>
        <w:t xml:space="preserve">  </w:t>
      </w:r>
      <w:r w:rsidRPr="00BF7CB6">
        <w:rPr>
          <w:rFonts w:cs="Sylfaen"/>
          <w:b w:val="0"/>
          <w:szCs w:val="22"/>
          <w:lang w:val="hy-AM" w:eastAsia="en-US"/>
        </w:rPr>
        <w:t>բյուջեի</w:t>
      </w:r>
      <w:r w:rsidRPr="00F92656">
        <w:rPr>
          <w:rFonts w:cs="Sylfaen"/>
          <w:b w:val="0"/>
          <w:szCs w:val="22"/>
          <w:lang w:val="hy-AM" w:eastAsia="en-US"/>
        </w:rPr>
        <w:t xml:space="preserve"> </w:t>
      </w:r>
      <w:r w:rsidRPr="00BF7CB6">
        <w:rPr>
          <w:rFonts w:cs="Sylfaen"/>
          <w:b w:val="0"/>
          <w:szCs w:val="22"/>
          <w:lang w:val="hy-AM" w:eastAsia="en-US"/>
        </w:rPr>
        <w:t>ձևավորումը 202</w:t>
      </w:r>
      <w:r>
        <w:rPr>
          <w:rFonts w:cs="Sylfaen"/>
          <w:b w:val="0"/>
          <w:szCs w:val="22"/>
          <w:lang w:val="hy-AM" w:eastAsia="en-US"/>
        </w:rPr>
        <w:t>2</w:t>
      </w:r>
      <w:r w:rsidRPr="00BF7CB6">
        <w:rPr>
          <w:rFonts w:cs="Sylfaen"/>
          <w:b w:val="0"/>
          <w:szCs w:val="22"/>
          <w:lang w:val="hy-AM" w:eastAsia="en-US"/>
        </w:rPr>
        <w:t xml:space="preserve"> թվականին շարունակելու </w:t>
      </w:r>
      <w:r w:rsidRPr="00F92656">
        <w:rPr>
          <w:rFonts w:cs="Sylfaen"/>
          <w:b w:val="0"/>
          <w:szCs w:val="22"/>
          <w:lang w:val="hy-AM" w:eastAsia="en-US"/>
        </w:rPr>
        <w:t xml:space="preserve"> </w:t>
      </w:r>
      <w:r w:rsidRPr="00BF7CB6">
        <w:rPr>
          <w:rFonts w:cs="Sylfaen"/>
          <w:b w:val="0"/>
          <w:szCs w:val="22"/>
          <w:lang w:val="hy-AM" w:eastAsia="en-US"/>
        </w:rPr>
        <w:t>է</w:t>
      </w:r>
      <w:r w:rsidRPr="00F92656">
        <w:rPr>
          <w:rFonts w:cs="Sylfaen"/>
          <w:b w:val="0"/>
          <w:szCs w:val="22"/>
          <w:lang w:val="hy-AM" w:eastAsia="en-US"/>
        </w:rPr>
        <w:t xml:space="preserve"> </w:t>
      </w:r>
      <w:r w:rsidRPr="00BF7CB6">
        <w:rPr>
          <w:rFonts w:cs="Sylfaen"/>
          <w:b w:val="0"/>
          <w:szCs w:val="22"/>
          <w:lang w:val="hy-AM" w:eastAsia="en-US"/>
        </w:rPr>
        <w:t>ընթանալ</w:t>
      </w:r>
      <w:r w:rsidRPr="00F92656">
        <w:rPr>
          <w:rFonts w:cs="Sylfaen"/>
          <w:b w:val="0"/>
          <w:szCs w:val="22"/>
          <w:lang w:val="hy-AM" w:eastAsia="en-US"/>
        </w:rPr>
        <w:t xml:space="preserve"> </w:t>
      </w:r>
      <w:r w:rsidRPr="00BF7CB6">
        <w:rPr>
          <w:rFonts w:cs="Sylfaen"/>
          <w:b w:val="0"/>
          <w:szCs w:val="22"/>
          <w:lang w:val="hy-AM" w:eastAsia="en-US"/>
        </w:rPr>
        <w:t>բյուջե</w:t>
      </w:r>
      <w:r w:rsidRPr="00BF7CB6">
        <w:rPr>
          <w:rFonts w:cs="Sylfaen"/>
          <w:b w:val="0"/>
          <w:szCs w:val="22"/>
          <w:lang w:val="hy-AM" w:eastAsia="en-US"/>
        </w:rPr>
        <w:softHyphen/>
        <w:t>տա</w:t>
      </w:r>
      <w:r w:rsidRPr="00BF7CB6">
        <w:rPr>
          <w:rFonts w:cs="Sylfaen"/>
          <w:b w:val="0"/>
          <w:szCs w:val="22"/>
          <w:lang w:val="hy-AM" w:eastAsia="en-US"/>
        </w:rPr>
        <w:softHyphen/>
        <w:t>յին</w:t>
      </w:r>
      <w:r w:rsidRPr="00F92656">
        <w:rPr>
          <w:rFonts w:cs="Sylfaen"/>
          <w:b w:val="0"/>
          <w:szCs w:val="22"/>
          <w:lang w:val="hy-AM" w:eastAsia="en-US"/>
        </w:rPr>
        <w:t xml:space="preserve"> </w:t>
      </w:r>
      <w:r w:rsidRPr="00BF7CB6">
        <w:rPr>
          <w:rFonts w:cs="Sylfaen"/>
          <w:b w:val="0"/>
          <w:szCs w:val="22"/>
          <w:lang w:val="hy-AM" w:eastAsia="en-US"/>
        </w:rPr>
        <w:t>եկա</w:t>
      </w:r>
      <w:r w:rsidRPr="00BF7CB6">
        <w:rPr>
          <w:rFonts w:cs="Sylfaen"/>
          <w:b w:val="0"/>
          <w:szCs w:val="22"/>
          <w:lang w:val="hy-AM" w:eastAsia="en-US"/>
        </w:rPr>
        <w:softHyphen/>
        <w:t>մուտների</w:t>
      </w:r>
      <w:r w:rsidRPr="00F92656">
        <w:rPr>
          <w:rFonts w:cs="Sylfaen"/>
          <w:b w:val="0"/>
          <w:szCs w:val="22"/>
          <w:lang w:val="hy-AM" w:eastAsia="en-US"/>
        </w:rPr>
        <w:t xml:space="preserve"> </w:t>
      </w:r>
      <w:r w:rsidRPr="00BF7CB6">
        <w:rPr>
          <w:rFonts w:cs="Sylfaen"/>
          <w:b w:val="0"/>
          <w:szCs w:val="22"/>
          <w:lang w:val="hy-AM" w:eastAsia="en-US"/>
        </w:rPr>
        <w:t>նկատ</w:t>
      </w:r>
      <w:r w:rsidRPr="00BF7CB6">
        <w:rPr>
          <w:rFonts w:cs="Sylfaen"/>
          <w:b w:val="0"/>
          <w:szCs w:val="22"/>
          <w:lang w:val="hy-AM" w:eastAsia="en-US"/>
        </w:rPr>
        <w:softHyphen/>
        <w:t>մամբ</w:t>
      </w:r>
      <w:r w:rsidRPr="00F92656">
        <w:rPr>
          <w:rFonts w:cs="Sylfaen"/>
          <w:b w:val="0"/>
          <w:szCs w:val="22"/>
          <w:lang w:val="hy-AM" w:eastAsia="en-US"/>
        </w:rPr>
        <w:t xml:space="preserve"> </w:t>
      </w:r>
      <w:r w:rsidRPr="00BF7CB6">
        <w:rPr>
          <w:rFonts w:cs="Sylfaen"/>
          <w:b w:val="0"/>
          <w:szCs w:val="22"/>
          <w:lang w:val="hy-AM" w:eastAsia="en-US"/>
        </w:rPr>
        <w:t>ծախսերի</w:t>
      </w:r>
      <w:r w:rsidRPr="00F92656">
        <w:rPr>
          <w:rFonts w:cs="Sylfaen"/>
          <w:b w:val="0"/>
          <w:szCs w:val="22"/>
          <w:lang w:val="hy-AM" w:eastAsia="en-US"/>
        </w:rPr>
        <w:t xml:space="preserve"> </w:t>
      </w:r>
      <w:r w:rsidRPr="00BF7CB6">
        <w:rPr>
          <w:rFonts w:cs="Sylfaen"/>
          <w:b w:val="0"/>
          <w:szCs w:val="22"/>
          <w:lang w:val="hy-AM" w:eastAsia="en-US"/>
        </w:rPr>
        <w:t>գերազանցմամբ</w:t>
      </w:r>
      <w:r w:rsidRPr="00F92656">
        <w:rPr>
          <w:rFonts w:cs="Sylfaen"/>
          <w:b w:val="0"/>
          <w:szCs w:val="22"/>
          <w:lang w:val="hy-AM" w:eastAsia="en-US"/>
        </w:rPr>
        <w:t xml:space="preserve">, </w:t>
      </w:r>
      <w:r w:rsidRPr="00BF7CB6">
        <w:rPr>
          <w:rFonts w:cs="Sylfaen"/>
          <w:b w:val="0"/>
          <w:szCs w:val="22"/>
          <w:lang w:val="hy-AM" w:eastAsia="en-US"/>
        </w:rPr>
        <w:t>ընդ</w:t>
      </w:r>
      <w:r w:rsidRPr="00F92656">
        <w:rPr>
          <w:rFonts w:cs="Sylfaen"/>
          <w:b w:val="0"/>
          <w:szCs w:val="22"/>
          <w:lang w:val="hy-AM" w:eastAsia="en-US"/>
        </w:rPr>
        <w:t xml:space="preserve"> </w:t>
      </w:r>
      <w:r w:rsidRPr="00BF7CB6">
        <w:rPr>
          <w:rFonts w:cs="Sylfaen"/>
          <w:b w:val="0"/>
          <w:szCs w:val="22"/>
          <w:lang w:val="hy-AM" w:eastAsia="en-US"/>
        </w:rPr>
        <w:t>որում՝</w:t>
      </w:r>
      <w:r w:rsidRPr="00F92656">
        <w:rPr>
          <w:rFonts w:cs="Sylfaen"/>
          <w:b w:val="0"/>
          <w:szCs w:val="22"/>
          <w:lang w:val="hy-AM" w:eastAsia="en-US"/>
        </w:rPr>
        <w:t xml:space="preserve"> </w:t>
      </w:r>
      <w:r w:rsidRPr="00BF7CB6">
        <w:rPr>
          <w:rFonts w:cs="Sylfaen"/>
          <w:b w:val="0"/>
          <w:szCs w:val="22"/>
          <w:lang w:val="hy-AM" w:eastAsia="en-US"/>
        </w:rPr>
        <w:t>բյուջետային</w:t>
      </w:r>
      <w:r w:rsidRPr="00F92656">
        <w:rPr>
          <w:rFonts w:cs="Sylfaen"/>
          <w:b w:val="0"/>
          <w:szCs w:val="22"/>
          <w:lang w:val="hy-AM" w:eastAsia="en-US"/>
        </w:rPr>
        <w:t xml:space="preserve"> </w:t>
      </w:r>
      <w:r w:rsidRPr="00BF7CB6">
        <w:rPr>
          <w:rFonts w:cs="Sylfaen"/>
          <w:b w:val="0"/>
          <w:szCs w:val="22"/>
          <w:lang w:val="hy-AM" w:eastAsia="en-US"/>
        </w:rPr>
        <w:t>դեֆիցի</w:t>
      </w:r>
      <w:r w:rsidRPr="00BF7CB6">
        <w:rPr>
          <w:rFonts w:cs="Sylfaen"/>
          <w:b w:val="0"/>
          <w:szCs w:val="22"/>
          <w:lang w:val="hy-AM" w:eastAsia="en-US"/>
        </w:rPr>
        <w:softHyphen/>
        <w:t>տի</w:t>
      </w:r>
      <w:r w:rsidRPr="00F92656">
        <w:rPr>
          <w:rFonts w:cs="Sylfaen"/>
          <w:b w:val="0"/>
          <w:szCs w:val="22"/>
          <w:lang w:val="hy-AM" w:eastAsia="en-US"/>
        </w:rPr>
        <w:t xml:space="preserve"> </w:t>
      </w:r>
      <w:r w:rsidRPr="00BF7CB6">
        <w:rPr>
          <w:rFonts w:cs="Sylfaen"/>
          <w:b w:val="0"/>
          <w:szCs w:val="22"/>
          <w:lang w:val="hy-AM" w:eastAsia="en-US"/>
        </w:rPr>
        <w:t>ֆինան</w:t>
      </w:r>
      <w:r w:rsidRPr="00F92656">
        <w:rPr>
          <w:rFonts w:cs="Sylfaen"/>
          <w:b w:val="0"/>
          <w:szCs w:val="22"/>
          <w:lang w:val="hy-AM" w:eastAsia="en-US"/>
        </w:rPr>
        <w:softHyphen/>
      </w:r>
      <w:r w:rsidRPr="00BF7CB6">
        <w:rPr>
          <w:rFonts w:cs="Sylfaen"/>
          <w:b w:val="0"/>
          <w:szCs w:val="22"/>
          <w:lang w:val="hy-AM" w:eastAsia="en-US"/>
        </w:rPr>
        <w:softHyphen/>
        <w:t>սա</w:t>
      </w:r>
      <w:r w:rsidRPr="00BF7CB6">
        <w:rPr>
          <w:rFonts w:cs="Sylfaen"/>
          <w:b w:val="0"/>
          <w:szCs w:val="22"/>
          <w:lang w:val="hy-AM" w:eastAsia="en-US"/>
        </w:rPr>
        <w:softHyphen/>
        <w:t>վորման</w:t>
      </w:r>
      <w:r w:rsidRPr="00F92656">
        <w:rPr>
          <w:rFonts w:cs="Sylfaen"/>
          <w:b w:val="0"/>
          <w:szCs w:val="22"/>
          <w:lang w:val="hy-AM" w:eastAsia="en-US"/>
        </w:rPr>
        <w:t xml:space="preserve"> </w:t>
      </w:r>
      <w:r w:rsidRPr="00BF7CB6">
        <w:rPr>
          <w:rFonts w:cs="Sylfaen"/>
          <w:b w:val="0"/>
          <w:szCs w:val="22"/>
          <w:lang w:val="hy-AM" w:eastAsia="en-US"/>
        </w:rPr>
        <w:t>համար</w:t>
      </w:r>
      <w:r w:rsidRPr="00F92656">
        <w:rPr>
          <w:rFonts w:cs="Sylfaen"/>
          <w:b w:val="0"/>
          <w:szCs w:val="22"/>
          <w:lang w:val="hy-AM" w:eastAsia="en-US"/>
        </w:rPr>
        <w:t xml:space="preserve"> </w:t>
      </w:r>
      <w:r w:rsidRPr="00BF7CB6">
        <w:rPr>
          <w:rFonts w:cs="Sylfaen"/>
          <w:b w:val="0"/>
          <w:szCs w:val="22"/>
          <w:lang w:val="hy-AM" w:eastAsia="en-US"/>
        </w:rPr>
        <w:t>միջոց</w:t>
      </w:r>
      <w:r w:rsidRPr="00BF7CB6">
        <w:rPr>
          <w:rFonts w:cs="Sylfaen"/>
          <w:b w:val="0"/>
          <w:szCs w:val="22"/>
          <w:lang w:val="hy-AM" w:eastAsia="en-US"/>
        </w:rPr>
        <w:softHyphen/>
        <w:t>ների</w:t>
      </w:r>
      <w:r w:rsidRPr="00F92656">
        <w:rPr>
          <w:rFonts w:cs="Sylfaen"/>
          <w:b w:val="0"/>
          <w:szCs w:val="22"/>
          <w:lang w:val="hy-AM" w:eastAsia="en-US"/>
        </w:rPr>
        <w:t xml:space="preserve"> </w:t>
      </w:r>
      <w:r w:rsidRPr="00BF7CB6">
        <w:rPr>
          <w:rFonts w:cs="Sylfaen"/>
          <w:b w:val="0"/>
          <w:szCs w:val="22"/>
          <w:lang w:val="hy-AM" w:eastAsia="en-US"/>
        </w:rPr>
        <w:t>ներգրավումն</w:t>
      </w:r>
      <w:r w:rsidRPr="00F92656">
        <w:rPr>
          <w:rFonts w:cs="Sylfaen"/>
          <w:b w:val="0"/>
          <w:szCs w:val="22"/>
          <w:lang w:val="hy-AM" w:eastAsia="en-US"/>
        </w:rPr>
        <w:t xml:space="preserve"> </w:t>
      </w:r>
      <w:r w:rsidRPr="00BF7CB6">
        <w:rPr>
          <w:rFonts w:cs="Sylfaen"/>
          <w:b w:val="0"/>
          <w:szCs w:val="22"/>
          <w:lang w:val="hy-AM" w:eastAsia="en-US"/>
        </w:rPr>
        <w:t>իրականացվելու</w:t>
      </w:r>
      <w:r w:rsidRPr="00F92656">
        <w:rPr>
          <w:rFonts w:cs="Sylfaen"/>
          <w:b w:val="0"/>
          <w:szCs w:val="22"/>
          <w:lang w:val="hy-AM" w:eastAsia="en-US"/>
        </w:rPr>
        <w:t xml:space="preserve"> </w:t>
      </w:r>
      <w:r w:rsidRPr="00BF7CB6">
        <w:rPr>
          <w:rFonts w:cs="Sylfaen"/>
          <w:b w:val="0"/>
          <w:szCs w:val="22"/>
          <w:lang w:val="hy-AM" w:eastAsia="en-US"/>
        </w:rPr>
        <w:t>է</w:t>
      </w:r>
      <w:r w:rsidRPr="00F92656">
        <w:rPr>
          <w:rFonts w:cs="Sylfaen"/>
          <w:b w:val="0"/>
          <w:szCs w:val="22"/>
          <w:lang w:val="hy-AM" w:eastAsia="en-US"/>
        </w:rPr>
        <w:t xml:space="preserve"> </w:t>
      </w:r>
      <w:r w:rsidRPr="00BF7CB6">
        <w:rPr>
          <w:rFonts w:cs="Sylfaen"/>
          <w:b w:val="0"/>
          <w:szCs w:val="22"/>
          <w:lang w:val="hy-AM" w:eastAsia="en-US"/>
        </w:rPr>
        <w:t>ինչպես</w:t>
      </w:r>
      <w:r w:rsidRPr="00F92656">
        <w:rPr>
          <w:rFonts w:cs="Sylfaen"/>
          <w:b w:val="0"/>
          <w:szCs w:val="22"/>
          <w:lang w:val="hy-AM" w:eastAsia="en-US"/>
        </w:rPr>
        <w:t xml:space="preserve"> </w:t>
      </w:r>
      <w:r w:rsidRPr="00BF7CB6">
        <w:rPr>
          <w:rFonts w:cs="Sylfaen"/>
          <w:b w:val="0"/>
          <w:szCs w:val="22"/>
          <w:lang w:val="hy-AM" w:eastAsia="en-US"/>
        </w:rPr>
        <w:t>ներքին</w:t>
      </w:r>
      <w:r w:rsidRPr="00F92656">
        <w:rPr>
          <w:rFonts w:cs="Sylfaen"/>
          <w:b w:val="0"/>
          <w:szCs w:val="22"/>
          <w:lang w:val="hy-AM" w:eastAsia="en-US"/>
        </w:rPr>
        <w:t xml:space="preserve">, </w:t>
      </w:r>
      <w:r w:rsidRPr="00BF7CB6">
        <w:rPr>
          <w:rFonts w:cs="Sylfaen"/>
          <w:b w:val="0"/>
          <w:szCs w:val="22"/>
          <w:lang w:val="hy-AM" w:eastAsia="en-US"/>
        </w:rPr>
        <w:t>այն</w:t>
      </w:r>
      <w:r w:rsidRPr="00BF7CB6">
        <w:rPr>
          <w:rFonts w:cs="Sylfaen"/>
          <w:b w:val="0"/>
          <w:szCs w:val="22"/>
          <w:lang w:val="hy-AM" w:eastAsia="en-US"/>
        </w:rPr>
        <w:softHyphen/>
        <w:t>պես</w:t>
      </w:r>
      <w:r w:rsidRPr="00F92656">
        <w:rPr>
          <w:rFonts w:cs="Sylfaen"/>
          <w:b w:val="0"/>
          <w:szCs w:val="22"/>
          <w:lang w:val="hy-AM" w:eastAsia="en-US"/>
        </w:rPr>
        <w:t xml:space="preserve"> </w:t>
      </w:r>
      <w:r w:rsidRPr="00BF7CB6">
        <w:rPr>
          <w:rFonts w:cs="Sylfaen"/>
          <w:b w:val="0"/>
          <w:szCs w:val="22"/>
          <w:lang w:val="hy-AM" w:eastAsia="en-US"/>
        </w:rPr>
        <w:t>էլ</w:t>
      </w:r>
      <w:r w:rsidRPr="00F92656">
        <w:rPr>
          <w:rFonts w:cs="Sylfaen"/>
          <w:b w:val="0"/>
          <w:szCs w:val="22"/>
          <w:lang w:val="hy-AM" w:eastAsia="en-US"/>
        </w:rPr>
        <w:t xml:space="preserve">  </w:t>
      </w:r>
      <w:r w:rsidRPr="00BF7CB6">
        <w:rPr>
          <w:rFonts w:cs="Sylfaen"/>
          <w:b w:val="0"/>
          <w:szCs w:val="22"/>
          <w:lang w:val="hy-AM" w:eastAsia="en-US"/>
        </w:rPr>
        <w:t>արտա</w:t>
      </w:r>
      <w:r w:rsidRPr="00BF7CB6">
        <w:rPr>
          <w:rFonts w:cs="Sylfaen"/>
          <w:b w:val="0"/>
          <w:szCs w:val="22"/>
          <w:lang w:val="hy-AM" w:eastAsia="en-US"/>
        </w:rPr>
        <w:softHyphen/>
        <w:t>քին աղբյուր</w:t>
      </w:r>
      <w:r w:rsidRPr="00BF7CB6">
        <w:rPr>
          <w:rFonts w:cs="Sylfaen"/>
          <w:b w:val="0"/>
          <w:szCs w:val="22"/>
          <w:lang w:val="hy-AM" w:eastAsia="en-US"/>
        </w:rPr>
        <w:softHyphen/>
        <w:t xml:space="preserve">ներից, համապատասխանաբար` </w:t>
      </w:r>
      <w:r>
        <w:rPr>
          <w:rFonts w:cs="Sylfaen"/>
          <w:b w:val="0"/>
          <w:szCs w:val="22"/>
          <w:lang w:val="af-ZA" w:eastAsia="en-US"/>
        </w:rPr>
        <w:t>272.2</w:t>
      </w:r>
      <w:r>
        <w:rPr>
          <w:rFonts w:cs="Sylfaen"/>
          <w:b w:val="0"/>
          <w:szCs w:val="22"/>
          <w:lang w:val="hy-AM" w:eastAsia="en-US"/>
        </w:rPr>
        <w:t xml:space="preserve"> մլրդ</w:t>
      </w:r>
      <w:r w:rsidRPr="007C4A2C">
        <w:rPr>
          <w:rFonts w:cs="Sylfaen"/>
          <w:b w:val="0"/>
          <w:szCs w:val="22"/>
          <w:lang w:val="hy-AM" w:eastAsia="en-US"/>
        </w:rPr>
        <w:t xml:space="preserve"> դրամի և </w:t>
      </w:r>
      <w:r w:rsidRPr="007C4A2C">
        <w:rPr>
          <w:rFonts w:cs="Sylfaen"/>
          <w:b w:val="0"/>
          <w:szCs w:val="22"/>
          <w:lang w:val="af-ZA" w:eastAsia="en-US"/>
        </w:rPr>
        <w:t>-</w:t>
      </w:r>
      <w:r>
        <w:rPr>
          <w:rFonts w:cs="Sylfaen"/>
          <w:b w:val="0"/>
          <w:szCs w:val="22"/>
          <w:lang w:val="af-ZA" w:eastAsia="en-US"/>
        </w:rPr>
        <w:t>36.0</w:t>
      </w:r>
      <w:r w:rsidRPr="007C4A2C">
        <w:rPr>
          <w:rFonts w:cs="Sylfaen"/>
          <w:b w:val="0"/>
          <w:szCs w:val="22"/>
          <w:lang w:val="hy-AM" w:eastAsia="en-US"/>
        </w:rPr>
        <w:t xml:space="preserve"> </w:t>
      </w:r>
      <w:r>
        <w:rPr>
          <w:rFonts w:cs="Sylfaen"/>
          <w:b w:val="0"/>
          <w:szCs w:val="22"/>
          <w:lang w:val="hy-AM" w:eastAsia="en-US"/>
        </w:rPr>
        <w:t>մլրդ</w:t>
      </w:r>
      <w:r>
        <w:rPr>
          <w:rFonts w:ascii="Cambria Math" w:hAnsi="Cambria Math" w:cs="Sylfaen"/>
          <w:b w:val="0"/>
          <w:szCs w:val="22"/>
          <w:lang w:val="hy-AM" w:eastAsia="en-US"/>
        </w:rPr>
        <w:t>․</w:t>
      </w:r>
      <w:r w:rsidRPr="007C4A2C">
        <w:rPr>
          <w:rFonts w:cs="Sylfaen"/>
          <w:b w:val="0"/>
          <w:szCs w:val="22"/>
          <w:lang w:val="hy-AM" w:eastAsia="en-US"/>
        </w:rPr>
        <w:t xml:space="preserve"> դրամի չափով: </w:t>
      </w:r>
    </w:p>
    <w:p w14:paraId="487E04CA" w14:textId="77777777" w:rsidR="00C72188" w:rsidRPr="00282E66" w:rsidRDefault="00C72188" w:rsidP="00C72188">
      <w:pPr>
        <w:spacing w:before="0" w:line="276" w:lineRule="auto"/>
        <w:ind w:firstLine="600"/>
        <w:contextualSpacing w:val="0"/>
        <w:rPr>
          <w:rFonts w:cs="Sylfaen"/>
          <w:b w:val="0"/>
          <w:color w:val="FF0000"/>
          <w:szCs w:val="22"/>
          <w:lang w:val="hy-AM" w:eastAsia="en-US"/>
        </w:rPr>
      </w:pPr>
      <w:r w:rsidRPr="00BF7CB6">
        <w:rPr>
          <w:rFonts w:cs="Sylfaen"/>
          <w:b w:val="0"/>
          <w:szCs w:val="22"/>
          <w:lang w:val="hy-AM" w:eastAsia="en-US"/>
        </w:rPr>
        <w:t>ՀՀ 202</w:t>
      </w:r>
      <w:r w:rsidRPr="00282E66">
        <w:rPr>
          <w:rFonts w:cs="Sylfaen"/>
          <w:b w:val="0"/>
          <w:szCs w:val="22"/>
          <w:lang w:val="hy-AM" w:eastAsia="en-US"/>
        </w:rPr>
        <w:t>2</w:t>
      </w:r>
      <w:r w:rsidRPr="00BF7CB6">
        <w:rPr>
          <w:rFonts w:cs="Sylfaen"/>
          <w:b w:val="0"/>
          <w:szCs w:val="22"/>
          <w:lang w:val="hy-AM" w:eastAsia="en-US"/>
        </w:rPr>
        <w:t xml:space="preserve"> թվականի պետական բյուջեի նախագծով դեֆիցիտի ֆինանսավորման նպա</w:t>
      </w:r>
      <w:r w:rsidRPr="00BF7CB6">
        <w:rPr>
          <w:rFonts w:cs="Sylfaen"/>
          <w:b w:val="0"/>
          <w:szCs w:val="22"/>
          <w:lang w:val="hy-AM" w:eastAsia="en-US"/>
        </w:rPr>
        <w:softHyphen/>
        <w:t>տա</w:t>
      </w:r>
      <w:r w:rsidRPr="00BF7CB6">
        <w:rPr>
          <w:rFonts w:cs="Sylfaen"/>
          <w:b w:val="0"/>
          <w:szCs w:val="22"/>
          <w:lang w:val="hy-AM" w:eastAsia="en-US"/>
        </w:rPr>
        <w:softHyphen/>
        <w:t>կով ներքին աղբյուրներից ներգրավվող փոխառու զուտ միջոցների ընդհանուր գու</w:t>
      </w:r>
      <w:r w:rsidRPr="00BF7CB6">
        <w:rPr>
          <w:rFonts w:cs="Sylfaen"/>
          <w:b w:val="0"/>
          <w:szCs w:val="22"/>
          <w:lang w:val="hy-AM" w:eastAsia="en-US"/>
        </w:rPr>
        <w:softHyphen/>
        <w:t>մարը ծրագ</w:t>
      </w:r>
      <w:r w:rsidRPr="00BF7CB6">
        <w:rPr>
          <w:rFonts w:cs="Sylfaen"/>
          <w:b w:val="0"/>
          <w:szCs w:val="22"/>
          <w:lang w:val="hy-AM" w:eastAsia="en-US"/>
        </w:rPr>
        <w:softHyphen/>
        <w:t>րա</w:t>
      </w:r>
      <w:r w:rsidRPr="00BF7CB6">
        <w:rPr>
          <w:rFonts w:cs="Sylfaen"/>
          <w:b w:val="0"/>
          <w:szCs w:val="22"/>
          <w:lang w:val="hy-AM" w:eastAsia="en-US"/>
        </w:rPr>
        <w:softHyphen/>
        <w:t xml:space="preserve">վորվում է շուրջ </w:t>
      </w:r>
      <w:r>
        <w:rPr>
          <w:rFonts w:cs="Sylfaen"/>
          <w:b w:val="0"/>
          <w:szCs w:val="22"/>
          <w:lang w:val="hy-AM" w:eastAsia="en-US"/>
        </w:rPr>
        <w:t>250</w:t>
      </w:r>
      <w:r w:rsidRPr="008B2660">
        <w:rPr>
          <w:rFonts w:cs="Sylfaen"/>
          <w:b w:val="0"/>
          <w:szCs w:val="22"/>
          <w:lang w:val="hy-AM" w:eastAsia="en-US"/>
        </w:rPr>
        <w:t>.2</w:t>
      </w:r>
      <w:r w:rsidRPr="00BF7CB6">
        <w:rPr>
          <w:rFonts w:cs="Sylfaen"/>
          <w:b w:val="0"/>
          <w:szCs w:val="22"/>
          <w:lang w:val="hy-AM" w:eastAsia="en-US"/>
        </w:rPr>
        <w:t xml:space="preserve"> մլրդ դրամի չափով, ընդ որում, փոխառու միջոցների մուտ</w:t>
      </w:r>
      <w:r w:rsidRPr="00BF7CB6">
        <w:rPr>
          <w:rFonts w:cs="Sylfaen"/>
          <w:b w:val="0"/>
          <w:szCs w:val="22"/>
          <w:lang w:val="hy-AM" w:eastAsia="en-US"/>
        </w:rPr>
        <w:softHyphen/>
        <w:t>քերի ներ</w:t>
      </w:r>
      <w:r w:rsidRPr="00BF7CB6">
        <w:rPr>
          <w:rFonts w:cs="Sylfaen"/>
          <w:b w:val="0"/>
          <w:szCs w:val="22"/>
          <w:lang w:val="hy-AM" w:eastAsia="en-US"/>
        </w:rPr>
        <w:softHyphen/>
        <w:t>գրա</w:t>
      </w:r>
      <w:r w:rsidRPr="00BF7CB6">
        <w:rPr>
          <w:rFonts w:cs="Sylfaen"/>
          <w:b w:val="0"/>
          <w:szCs w:val="22"/>
          <w:lang w:val="hy-AM" w:eastAsia="en-US"/>
        </w:rPr>
        <w:softHyphen/>
        <w:t>վու</w:t>
      </w:r>
      <w:r w:rsidRPr="00BF7CB6">
        <w:rPr>
          <w:rFonts w:cs="Sylfaen"/>
          <w:b w:val="0"/>
          <w:szCs w:val="22"/>
          <w:lang w:val="hy-AM" w:eastAsia="en-US"/>
        </w:rPr>
        <w:softHyphen/>
        <w:t>մը ամբողջությամբ նախատեսվում է ապահովել պետական արժեթղթերի թողար</w:t>
      </w:r>
      <w:r w:rsidRPr="00BF7CB6">
        <w:rPr>
          <w:rFonts w:cs="Sylfaen"/>
          <w:b w:val="0"/>
          <w:szCs w:val="22"/>
          <w:lang w:val="hy-AM" w:eastAsia="en-US"/>
        </w:rPr>
        <w:softHyphen/>
        <w:t>կումից: Ֆի</w:t>
      </w:r>
      <w:r w:rsidRPr="00BF7CB6">
        <w:rPr>
          <w:rFonts w:cs="Sylfaen"/>
          <w:b w:val="0"/>
          <w:szCs w:val="22"/>
          <w:lang w:val="hy-AM" w:eastAsia="en-US"/>
        </w:rPr>
        <w:softHyphen/>
        <w:t>նան</w:t>
      </w:r>
      <w:r w:rsidRPr="00BF7CB6">
        <w:rPr>
          <w:rFonts w:cs="Sylfaen"/>
          <w:b w:val="0"/>
          <w:szCs w:val="22"/>
          <w:lang w:val="hy-AM" w:eastAsia="en-US"/>
        </w:rPr>
        <w:softHyphen/>
        <w:t>սա</w:t>
      </w:r>
      <w:r w:rsidRPr="00BF7CB6">
        <w:rPr>
          <w:rFonts w:cs="Sylfaen"/>
          <w:b w:val="0"/>
          <w:szCs w:val="22"/>
          <w:lang w:val="hy-AM" w:eastAsia="en-US"/>
        </w:rPr>
        <w:softHyphen/>
        <w:t>կան ակտիվներից 202</w:t>
      </w:r>
      <w:r w:rsidRPr="00282E66">
        <w:rPr>
          <w:rFonts w:cs="Sylfaen"/>
          <w:b w:val="0"/>
          <w:szCs w:val="22"/>
          <w:lang w:val="hy-AM" w:eastAsia="en-US"/>
        </w:rPr>
        <w:t>2</w:t>
      </w:r>
      <w:r w:rsidRPr="00BF7CB6">
        <w:rPr>
          <w:rFonts w:cs="Sylfaen"/>
          <w:b w:val="0"/>
          <w:szCs w:val="22"/>
          <w:lang w:val="hy-AM" w:eastAsia="en-US"/>
        </w:rPr>
        <w:t xml:space="preserve"> թվականի զուտ մուտքերը ծրագրավորվում են շուրջ </w:t>
      </w:r>
      <w:r>
        <w:rPr>
          <w:rFonts w:cs="Sylfaen"/>
          <w:b w:val="0"/>
          <w:szCs w:val="22"/>
          <w:lang w:val="hy-AM" w:eastAsia="en-US"/>
        </w:rPr>
        <w:t>22.</w:t>
      </w:r>
      <w:r w:rsidRPr="008B2660">
        <w:rPr>
          <w:rFonts w:cs="Sylfaen"/>
          <w:b w:val="0"/>
          <w:szCs w:val="22"/>
          <w:lang w:val="hy-AM" w:eastAsia="en-US"/>
        </w:rPr>
        <w:t>0</w:t>
      </w:r>
      <w:r w:rsidRPr="00675C8F">
        <w:rPr>
          <w:rFonts w:cs="Sylfaen"/>
          <w:b w:val="0"/>
          <w:szCs w:val="22"/>
          <w:lang w:val="hy-AM" w:eastAsia="en-US"/>
        </w:rPr>
        <w:t xml:space="preserve"> մլրդ դրամ, ընդ որում, վարկերի և փոխատվությունների տրամադրման գծով՝ </w:t>
      </w:r>
      <w:r>
        <w:rPr>
          <w:rFonts w:cs="Sylfaen"/>
          <w:b w:val="0"/>
          <w:szCs w:val="22"/>
          <w:lang w:val="hy-AM" w:eastAsia="en-US"/>
        </w:rPr>
        <w:t>-70.</w:t>
      </w:r>
      <w:r w:rsidRPr="00F14340">
        <w:rPr>
          <w:rFonts w:cs="Sylfaen"/>
          <w:b w:val="0"/>
          <w:szCs w:val="22"/>
          <w:lang w:val="hy-AM" w:eastAsia="en-US"/>
        </w:rPr>
        <w:t>1</w:t>
      </w:r>
      <w:r w:rsidRPr="00675C8F">
        <w:rPr>
          <w:rFonts w:cs="Sylfaen"/>
          <w:b w:val="0"/>
          <w:szCs w:val="22"/>
          <w:lang w:val="hy-AM" w:eastAsia="en-US"/>
        </w:rPr>
        <w:t xml:space="preserve"> մլրդ դրամ, իսկ տնտես</w:t>
      </w:r>
      <w:r w:rsidRPr="00675C8F">
        <w:rPr>
          <w:rFonts w:cs="Sylfaen"/>
          <w:b w:val="0"/>
          <w:szCs w:val="22"/>
          <w:lang w:val="hy-AM" w:eastAsia="en-US"/>
        </w:rPr>
        <w:softHyphen/>
      </w:r>
      <w:r w:rsidRPr="00675C8F">
        <w:rPr>
          <w:rFonts w:cs="Sylfaen"/>
          <w:b w:val="0"/>
          <w:szCs w:val="22"/>
          <w:lang w:val="hy-AM" w:eastAsia="en-US"/>
        </w:rPr>
        <w:softHyphen/>
        <w:t>վարող և այլ սուբյեկտներին տրա</w:t>
      </w:r>
      <w:r w:rsidRPr="00675C8F">
        <w:rPr>
          <w:rFonts w:cs="Sylfaen"/>
          <w:b w:val="0"/>
          <w:szCs w:val="22"/>
          <w:lang w:val="hy-AM" w:eastAsia="en-US"/>
        </w:rPr>
        <w:softHyphen/>
        <w:t>մադրված բյուջետային վարկերի և փոխատ</w:t>
      </w:r>
      <w:r w:rsidRPr="00675C8F">
        <w:rPr>
          <w:rFonts w:cs="Sylfaen"/>
          <w:b w:val="0"/>
          <w:szCs w:val="22"/>
          <w:lang w:val="hy-AM" w:eastAsia="en-US"/>
        </w:rPr>
        <w:softHyphen/>
        <w:t>վու</w:t>
      </w:r>
      <w:r w:rsidRPr="00675C8F">
        <w:rPr>
          <w:rFonts w:cs="Sylfaen"/>
          <w:b w:val="0"/>
          <w:szCs w:val="22"/>
          <w:lang w:val="hy-AM" w:eastAsia="en-US"/>
        </w:rPr>
        <w:softHyphen/>
        <w:t>թյուն</w:t>
      </w:r>
      <w:r w:rsidRPr="00675C8F">
        <w:rPr>
          <w:rFonts w:cs="Sylfaen"/>
          <w:b w:val="0"/>
          <w:szCs w:val="22"/>
          <w:lang w:val="hy-AM" w:eastAsia="en-US"/>
        </w:rPr>
        <w:softHyphen/>
        <w:t>նե</w:t>
      </w:r>
      <w:r w:rsidRPr="00675C8F">
        <w:rPr>
          <w:rFonts w:cs="Sylfaen"/>
          <w:b w:val="0"/>
          <w:szCs w:val="22"/>
          <w:lang w:val="hy-AM" w:eastAsia="en-US"/>
        </w:rPr>
        <w:softHyphen/>
        <w:t xml:space="preserve">րի </w:t>
      </w:r>
      <w:r>
        <w:rPr>
          <w:rFonts w:cs="Sylfaen"/>
          <w:b w:val="0"/>
          <w:szCs w:val="22"/>
          <w:lang w:val="hy-AM" w:eastAsia="en-US"/>
        </w:rPr>
        <w:t>վերադարձից մուտ</w:t>
      </w:r>
      <w:r>
        <w:rPr>
          <w:rFonts w:cs="Sylfaen"/>
          <w:b w:val="0"/>
          <w:szCs w:val="22"/>
          <w:lang w:val="hy-AM" w:eastAsia="en-US"/>
        </w:rPr>
        <w:softHyphen/>
        <w:t>քե</w:t>
      </w:r>
      <w:r>
        <w:rPr>
          <w:rFonts w:cs="Sylfaen"/>
          <w:b w:val="0"/>
          <w:szCs w:val="22"/>
          <w:lang w:val="hy-AM" w:eastAsia="en-US"/>
        </w:rPr>
        <w:softHyphen/>
        <w:t>րի գծով` 31.</w:t>
      </w:r>
      <w:r w:rsidRPr="00F14340">
        <w:rPr>
          <w:rFonts w:cs="Sylfaen"/>
          <w:b w:val="0"/>
          <w:szCs w:val="22"/>
          <w:lang w:val="hy-AM" w:eastAsia="en-US"/>
        </w:rPr>
        <w:t>6</w:t>
      </w:r>
      <w:r w:rsidRPr="00675C8F">
        <w:rPr>
          <w:rFonts w:cs="Sylfaen"/>
          <w:b w:val="0"/>
          <w:szCs w:val="22"/>
          <w:lang w:val="hy-AM" w:eastAsia="en-US"/>
        </w:rPr>
        <w:t xml:space="preserve"> մ</w:t>
      </w:r>
      <w:r>
        <w:rPr>
          <w:rFonts w:cs="Sylfaen"/>
          <w:b w:val="0"/>
          <w:szCs w:val="22"/>
          <w:lang w:val="hy-AM" w:eastAsia="en-US"/>
        </w:rPr>
        <w:t xml:space="preserve">լրդ դրամ, </w:t>
      </w:r>
      <w:r w:rsidRPr="00576C53">
        <w:rPr>
          <w:rFonts w:cs="Sylfaen"/>
          <w:b w:val="0"/>
          <w:szCs w:val="22"/>
          <w:lang w:val="hy-AM" w:eastAsia="en-US"/>
        </w:rPr>
        <w:t>կայունացմա</w:t>
      </w:r>
      <w:r>
        <w:rPr>
          <w:rFonts w:cs="Sylfaen"/>
          <w:b w:val="0"/>
          <w:szCs w:val="22"/>
          <w:lang w:val="hy-AM" w:eastAsia="en-US"/>
        </w:rPr>
        <w:t>ն դեպոզիտային հաշվից միջոցներ</w:t>
      </w:r>
      <w:r w:rsidRPr="00576C53">
        <w:rPr>
          <w:rFonts w:cs="Sylfaen"/>
          <w:b w:val="0"/>
          <w:szCs w:val="22"/>
          <w:lang w:val="hy-AM" w:eastAsia="en-US"/>
        </w:rPr>
        <w:t>`</w:t>
      </w:r>
      <w:r>
        <w:rPr>
          <w:rFonts w:cs="Sylfaen"/>
          <w:b w:val="0"/>
          <w:szCs w:val="22"/>
          <w:lang w:val="hy-AM" w:eastAsia="en-US"/>
        </w:rPr>
        <w:t xml:space="preserve">  60.</w:t>
      </w:r>
      <w:r w:rsidRPr="00576C53">
        <w:rPr>
          <w:rFonts w:cs="Sylfaen"/>
          <w:b w:val="0"/>
          <w:szCs w:val="22"/>
          <w:lang w:val="hy-AM" w:eastAsia="en-US"/>
        </w:rPr>
        <w:t>5</w:t>
      </w:r>
      <w:r>
        <w:rPr>
          <w:rFonts w:cs="Sylfaen"/>
          <w:b w:val="0"/>
          <w:szCs w:val="22"/>
          <w:lang w:val="hy-AM" w:eastAsia="en-US"/>
        </w:rPr>
        <w:t xml:space="preserve"> մլրդ դրամ:</w:t>
      </w:r>
    </w:p>
    <w:p w14:paraId="258A86A3" w14:textId="77777777" w:rsidR="00C72188" w:rsidRPr="00BF7CB6" w:rsidRDefault="00C72188" w:rsidP="00C72188">
      <w:pPr>
        <w:spacing w:before="0" w:line="276" w:lineRule="auto"/>
        <w:ind w:firstLine="600"/>
        <w:contextualSpacing w:val="0"/>
        <w:rPr>
          <w:rFonts w:cs="Sylfaen"/>
          <w:b w:val="0"/>
          <w:szCs w:val="22"/>
          <w:lang w:val="hy-AM" w:eastAsia="en-US"/>
        </w:rPr>
      </w:pPr>
      <w:r w:rsidRPr="00BF7CB6">
        <w:rPr>
          <w:rFonts w:cs="Sylfaen"/>
          <w:b w:val="0"/>
          <w:szCs w:val="22"/>
          <w:lang w:val="hy-AM" w:eastAsia="en-US"/>
        </w:rPr>
        <w:t>ՀՀ 202</w:t>
      </w:r>
      <w:r w:rsidRPr="00282E66">
        <w:rPr>
          <w:rFonts w:cs="Sylfaen"/>
          <w:b w:val="0"/>
          <w:szCs w:val="22"/>
          <w:lang w:val="hy-AM" w:eastAsia="en-US"/>
        </w:rPr>
        <w:t>2</w:t>
      </w:r>
      <w:r w:rsidRPr="00BF7CB6">
        <w:rPr>
          <w:rFonts w:cs="Sylfaen"/>
          <w:b w:val="0"/>
          <w:szCs w:val="22"/>
          <w:lang w:val="hy-AM" w:eastAsia="en-US"/>
        </w:rPr>
        <w:t xml:space="preserve"> թվականի պետական բյուջեի նախագծով դեֆիցիտի ֆինանսավորման նպա</w:t>
      </w:r>
      <w:r w:rsidRPr="00BF7CB6">
        <w:rPr>
          <w:rFonts w:cs="Sylfaen"/>
          <w:b w:val="0"/>
          <w:szCs w:val="22"/>
          <w:lang w:val="hy-AM" w:eastAsia="en-US"/>
        </w:rPr>
        <w:softHyphen/>
        <w:t>տա</w:t>
      </w:r>
      <w:r w:rsidRPr="00BF7CB6">
        <w:rPr>
          <w:rFonts w:cs="Sylfaen"/>
          <w:b w:val="0"/>
          <w:szCs w:val="22"/>
          <w:lang w:val="hy-AM" w:eastAsia="en-US"/>
        </w:rPr>
        <w:softHyphen/>
        <w:t>կով արտաքին աղբյուրներից ներգրավվող փոխառու զուտ միջոցների ծրա</w:t>
      </w:r>
      <w:r w:rsidRPr="00BF7CB6">
        <w:rPr>
          <w:rFonts w:cs="Sylfaen"/>
          <w:b w:val="0"/>
          <w:szCs w:val="22"/>
          <w:lang w:val="hy-AM" w:eastAsia="en-US"/>
        </w:rPr>
        <w:softHyphen/>
        <w:t>գր</w:t>
      </w:r>
      <w:r w:rsidRPr="00BF7CB6">
        <w:rPr>
          <w:rFonts w:cs="Sylfaen"/>
          <w:b w:val="0"/>
          <w:szCs w:val="22"/>
          <w:lang w:val="hy-AM" w:eastAsia="en-US"/>
        </w:rPr>
        <w:softHyphen/>
        <w:t>ված ընդ</w:t>
      </w:r>
      <w:r w:rsidRPr="00BF7CB6">
        <w:rPr>
          <w:rFonts w:cs="Sylfaen"/>
          <w:b w:val="0"/>
          <w:szCs w:val="22"/>
          <w:lang w:val="hy-AM" w:eastAsia="en-US"/>
        </w:rPr>
        <w:softHyphen/>
        <w:t>հա</w:t>
      </w:r>
      <w:r w:rsidRPr="00BF7CB6">
        <w:rPr>
          <w:rFonts w:cs="Sylfaen"/>
          <w:b w:val="0"/>
          <w:szCs w:val="22"/>
          <w:lang w:val="hy-AM" w:eastAsia="en-US"/>
        </w:rPr>
        <w:softHyphen/>
        <w:t>նուր գու</w:t>
      </w:r>
      <w:r w:rsidRPr="00BF7CB6">
        <w:rPr>
          <w:rFonts w:cs="Sylfaen"/>
          <w:b w:val="0"/>
          <w:szCs w:val="22"/>
          <w:lang w:val="hy-AM" w:eastAsia="en-US"/>
        </w:rPr>
        <w:softHyphen/>
        <w:t>մա</w:t>
      </w:r>
      <w:r w:rsidRPr="00BF7CB6">
        <w:rPr>
          <w:rFonts w:cs="Sylfaen"/>
          <w:b w:val="0"/>
          <w:szCs w:val="22"/>
          <w:lang w:val="hy-AM" w:eastAsia="en-US"/>
        </w:rPr>
        <w:softHyphen/>
        <w:t xml:space="preserve">րը՝ </w:t>
      </w:r>
      <w:r w:rsidRPr="007C4A2C">
        <w:rPr>
          <w:rFonts w:cs="Sylfaen"/>
          <w:b w:val="0"/>
          <w:szCs w:val="22"/>
          <w:lang w:val="hy-AM" w:eastAsia="en-US"/>
        </w:rPr>
        <w:t>-</w:t>
      </w:r>
      <w:r>
        <w:rPr>
          <w:rFonts w:cs="Sylfaen"/>
          <w:b w:val="0"/>
          <w:szCs w:val="22"/>
          <w:lang w:val="hy-AM" w:eastAsia="en-US"/>
        </w:rPr>
        <w:t>36.</w:t>
      </w:r>
      <w:r w:rsidRPr="00F14340">
        <w:rPr>
          <w:rFonts w:cs="Sylfaen"/>
          <w:b w:val="0"/>
          <w:szCs w:val="22"/>
          <w:lang w:val="hy-AM" w:eastAsia="en-US"/>
        </w:rPr>
        <w:t>0</w:t>
      </w:r>
      <w:r w:rsidRPr="00BF7CB6">
        <w:rPr>
          <w:rFonts w:cs="Sylfaen"/>
          <w:b w:val="0"/>
          <w:szCs w:val="22"/>
          <w:lang w:val="hy-AM" w:eastAsia="en-US"/>
        </w:rPr>
        <w:t xml:space="preserve"> մլրդ դրամ</w:t>
      </w:r>
      <w:r>
        <w:rPr>
          <w:rFonts w:cs="Sylfaen"/>
          <w:b w:val="0"/>
          <w:szCs w:val="22"/>
          <w:lang w:val="hy-AM" w:eastAsia="en-US"/>
        </w:rPr>
        <w:t>, որը</w:t>
      </w:r>
      <w:r w:rsidRPr="00BF7CB6">
        <w:rPr>
          <w:rFonts w:cs="Sylfaen"/>
          <w:b w:val="0"/>
          <w:szCs w:val="22"/>
          <w:lang w:val="hy-AM" w:eastAsia="en-US"/>
        </w:rPr>
        <w:t xml:space="preserve"> հաշվարկվել է որպես միջազ</w:t>
      </w:r>
      <w:r w:rsidRPr="00BF7CB6">
        <w:rPr>
          <w:rFonts w:cs="Sylfaen"/>
          <w:b w:val="0"/>
          <w:szCs w:val="22"/>
          <w:lang w:val="hy-AM" w:eastAsia="en-US"/>
        </w:rPr>
        <w:softHyphen/>
        <w:t>գային կազմակեր</w:t>
      </w:r>
      <w:r w:rsidRPr="00BF7CB6">
        <w:rPr>
          <w:rFonts w:cs="Sylfaen"/>
          <w:b w:val="0"/>
          <w:szCs w:val="22"/>
          <w:lang w:val="hy-AM" w:eastAsia="en-US"/>
        </w:rPr>
        <w:softHyphen/>
        <w:t>պություններից և օտար</w:t>
      </w:r>
      <w:r w:rsidRPr="00BF7CB6">
        <w:rPr>
          <w:rFonts w:cs="Sylfaen"/>
          <w:b w:val="0"/>
          <w:szCs w:val="22"/>
          <w:lang w:val="hy-AM" w:eastAsia="en-US"/>
        </w:rPr>
        <w:softHyphen/>
        <w:t>եր</w:t>
      </w:r>
      <w:r w:rsidRPr="00BF7CB6">
        <w:rPr>
          <w:rFonts w:cs="Sylfaen"/>
          <w:b w:val="0"/>
          <w:szCs w:val="22"/>
          <w:lang w:val="hy-AM" w:eastAsia="en-US"/>
        </w:rPr>
        <w:softHyphen/>
        <w:t>կրյա պետություններից Հայաս</w:t>
      </w:r>
      <w:r w:rsidRPr="00BF7CB6">
        <w:rPr>
          <w:rFonts w:cs="Sylfaen"/>
          <w:b w:val="0"/>
          <w:szCs w:val="22"/>
          <w:lang w:val="hy-AM" w:eastAsia="en-US"/>
        </w:rPr>
        <w:softHyphen/>
        <w:t>տանի Հան</w:t>
      </w:r>
      <w:r w:rsidRPr="00BF7CB6">
        <w:rPr>
          <w:rFonts w:cs="Sylfaen"/>
          <w:b w:val="0"/>
          <w:szCs w:val="22"/>
          <w:lang w:val="hy-AM" w:eastAsia="en-US"/>
        </w:rPr>
        <w:softHyphen/>
        <w:t>րապե</w:t>
      </w:r>
      <w:r w:rsidRPr="00BF7CB6">
        <w:rPr>
          <w:rFonts w:cs="Sylfaen"/>
          <w:b w:val="0"/>
          <w:szCs w:val="22"/>
          <w:lang w:val="hy-AM" w:eastAsia="en-US"/>
        </w:rPr>
        <w:softHyphen/>
        <w:t>տությանը 202</w:t>
      </w:r>
      <w:r w:rsidRPr="00282E66">
        <w:rPr>
          <w:rFonts w:cs="Sylfaen"/>
          <w:b w:val="0"/>
          <w:szCs w:val="22"/>
          <w:lang w:val="hy-AM" w:eastAsia="en-US"/>
        </w:rPr>
        <w:t>2</w:t>
      </w:r>
      <w:r w:rsidRPr="00BF7CB6">
        <w:rPr>
          <w:rFonts w:cs="Sylfaen"/>
          <w:b w:val="0"/>
          <w:szCs w:val="22"/>
          <w:lang w:val="hy-AM" w:eastAsia="en-US"/>
        </w:rPr>
        <w:t xml:space="preserve"> թվականին տրա</w:t>
      </w:r>
      <w:r w:rsidRPr="00BF7CB6">
        <w:rPr>
          <w:rFonts w:cs="Sylfaen"/>
          <w:b w:val="0"/>
          <w:szCs w:val="22"/>
          <w:lang w:val="hy-AM" w:eastAsia="en-US"/>
        </w:rPr>
        <w:softHyphen/>
        <w:t>մադր</w:t>
      </w:r>
      <w:r w:rsidRPr="00BF7CB6">
        <w:rPr>
          <w:rFonts w:cs="Sylfaen"/>
          <w:b w:val="0"/>
          <w:szCs w:val="22"/>
          <w:lang w:val="hy-AM" w:eastAsia="en-US"/>
        </w:rPr>
        <w:softHyphen/>
        <w:t>վե</w:t>
      </w:r>
      <w:r w:rsidRPr="00BF7CB6">
        <w:rPr>
          <w:rFonts w:cs="Sylfaen"/>
          <w:b w:val="0"/>
          <w:szCs w:val="22"/>
          <w:lang w:val="hy-AM" w:eastAsia="en-US"/>
        </w:rPr>
        <w:softHyphen/>
        <w:t>լիք վարկերի (որոնց մասն ունի հս</w:t>
      </w:r>
      <w:r>
        <w:rPr>
          <w:rFonts w:cs="Sylfaen"/>
          <w:b w:val="0"/>
          <w:szCs w:val="22"/>
          <w:lang w:val="hy-AM" w:eastAsia="en-US"/>
        </w:rPr>
        <w:t>տակ ծրագրային ուղղվա</w:t>
      </w:r>
      <w:r>
        <w:rPr>
          <w:rFonts w:cs="Sylfaen"/>
          <w:b w:val="0"/>
          <w:szCs w:val="22"/>
          <w:lang w:val="hy-AM" w:eastAsia="en-US"/>
        </w:rPr>
        <w:softHyphen/>
        <w:t>ծություն),</w:t>
      </w:r>
      <w:r w:rsidRPr="00BF7CB6">
        <w:rPr>
          <w:rFonts w:cs="Sylfaen"/>
          <w:b w:val="0"/>
          <w:szCs w:val="22"/>
          <w:lang w:val="hy-AM" w:eastAsia="en-US"/>
        </w:rPr>
        <w:t xml:space="preserve"> մինչ այդ արդեն ստաց</w:t>
      </w:r>
      <w:r w:rsidRPr="00BF7CB6">
        <w:rPr>
          <w:rFonts w:cs="Sylfaen"/>
          <w:b w:val="0"/>
          <w:szCs w:val="22"/>
          <w:lang w:val="hy-AM" w:eastAsia="en-US"/>
        </w:rPr>
        <w:softHyphen/>
      </w:r>
      <w:r w:rsidRPr="00BF7CB6">
        <w:rPr>
          <w:rFonts w:cs="Sylfaen"/>
          <w:b w:val="0"/>
          <w:szCs w:val="22"/>
          <w:lang w:val="hy-AM" w:eastAsia="en-US"/>
        </w:rPr>
        <w:softHyphen/>
        <w:t>ված վարկերի, ըստ վար</w:t>
      </w:r>
      <w:r w:rsidRPr="00BF7CB6">
        <w:rPr>
          <w:rFonts w:cs="Sylfaen"/>
          <w:b w:val="0"/>
          <w:szCs w:val="22"/>
          <w:lang w:val="hy-AM" w:eastAsia="en-US"/>
        </w:rPr>
        <w:softHyphen/>
      </w:r>
      <w:r w:rsidRPr="00BF7CB6">
        <w:rPr>
          <w:rFonts w:cs="Sylfaen"/>
          <w:b w:val="0"/>
          <w:szCs w:val="22"/>
          <w:lang w:val="hy-AM" w:eastAsia="en-US"/>
        </w:rPr>
        <w:softHyphen/>
        <w:t>կային պայ</w:t>
      </w:r>
      <w:r w:rsidRPr="00BF7CB6">
        <w:rPr>
          <w:rFonts w:cs="Sylfaen"/>
          <w:b w:val="0"/>
          <w:szCs w:val="22"/>
          <w:lang w:val="hy-AM" w:eastAsia="en-US"/>
        </w:rPr>
        <w:softHyphen/>
        <w:t>մանագրերով նախա</w:t>
      </w:r>
      <w:r w:rsidRPr="00BF7CB6">
        <w:rPr>
          <w:rFonts w:cs="Sylfaen"/>
          <w:b w:val="0"/>
          <w:szCs w:val="22"/>
          <w:lang w:val="hy-AM" w:eastAsia="en-US"/>
        </w:rPr>
        <w:softHyphen/>
        <w:t>տեսված ժամ</w:t>
      </w:r>
      <w:r w:rsidRPr="00BF7CB6">
        <w:rPr>
          <w:rFonts w:cs="Sylfaen"/>
          <w:b w:val="0"/>
          <w:szCs w:val="22"/>
          <w:lang w:val="hy-AM" w:eastAsia="en-US"/>
        </w:rPr>
        <w:softHyphen/>
        <w:t>կետ</w:t>
      </w:r>
      <w:r w:rsidRPr="00BF7CB6">
        <w:rPr>
          <w:rFonts w:cs="Sylfaen"/>
          <w:b w:val="0"/>
          <w:szCs w:val="22"/>
          <w:lang w:val="hy-AM" w:eastAsia="en-US"/>
        </w:rPr>
        <w:softHyphen/>
      </w:r>
      <w:r w:rsidRPr="00BF7CB6">
        <w:rPr>
          <w:rFonts w:cs="Sylfaen"/>
          <w:b w:val="0"/>
          <w:szCs w:val="22"/>
          <w:lang w:val="hy-AM" w:eastAsia="en-US"/>
        </w:rPr>
        <w:softHyphen/>
        <w:t>նե</w:t>
      </w:r>
      <w:r w:rsidRPr="00BF7CB6">
        <w:rPr>
          <w:rFonts w:cs="Sylfaen"/>
          <w:b w:val="0"/>
          <w:szCs w:val="22"/>
          <w:lang w:val="hy-AM" w:eastAsia="en-US"/>
        </w:rPr>
        <w:softHyphen/>
        <w:t>րի, մարման գու</w:t>
      </w:r>
      <w:r w:rsidRPr="00BF7CB6">
        <w:rPr>
          <w:rFonts w:cs="Sylfaen"/>
          <w:b w:val="0"/>
          <w:szCs w:val="22"/>
          <w:lang w:val="hy-AM" w:eastAsia="en-US"/>
        </w:rPr>
        <w:softHyphen/>
        <w:t>մար</w:t>
      </w:r>
      <w:r w:rsidRPr="00BF7CB6">
        <w:rPr>
          <w:rFonts w:cs="Sylfaen"/>
          <w:b w:val="0"/>
          <w:szCs w:val="22"/>
          <w:lang w:val="hy-AM" w:eastAsia="en-US"/>
        </w:rPr>
        <w:softHyphen/>
        <w:t>ների (նշված զուտ մուտքերի վերա</w:t>
      </w:r>
      <w:r w:rsidRPr="00BF7CB6">
        <w:rPr>
          <w:rFonts w:cs="Sylfaen"/>
          <w:b w:val="0"/>
          <w:szCs w:val="22"/>
          <w:lang w:val="hy-AM" w:eastAsia="en-US"/>
        </w:rPr>
        <w:softHyphen/>
        <w:t>բերյալ մանրա</w:t>
      </w:r>
      <w:r w:rsidRPr="00BF7CB6">
        <w:rPr>
          <w:rFonts w:cs="Sylfaen"/>
          <w:b w:val="0"/>
          <w:szCs w:val="22"/>
          <w:lang w:val="hy-AM" w:eastAsia="en-US"/>
        </w:rPr>
        <w:softHyphen/>
        <w:t>մասն հա</w:t>
      </w:r>
      <w:r w:rsidRPr="00BF7CB6">
        <w:rPr>
          <w:rFonts w:cs="Sylfaen"/>
          <w:b w:val="0"/>
          <w:szCs w:val="22"/>
          <w:lang w:val="hy-AM" w:eastAsia="en-US"/>
        </w:rPr>
        <w:softHyphen/>
        <w:t>մա</w:t>
      </w:r>
      <w:r w:rsidRPr="00BF7CB6">
        <w:rPr>
          <w:rFonts w:cs="Sylfaen"/>
          <w:b w:val="0"/>
          <w:szCs w:val="22"/>
          <w:lang w:val="hy-AM" w:eastAsia="en-US"/>
        </w:rPr>
        <w:softHyphen/>
        <w:t>պատասխան տեղե</w:t>
      </w:r>
      <w:r w:rsidRPr="00BF7CB6">
        <w:rPr>
          <w:rFonts w:cs="Sylfaen"/>
          <w:b w:val="0"/>
          <w:szCs w:val="22"/>
          <w:lang w:val="hy-AM" w:eastAsia="en-US"/>
        </w:rPr>
        <w:softHyphen/>
        <w:t>կատ</w:t>
      </w:r>
      <w:r w:rsidRPr="00BF7CB6">
        <w:rPr>
          <w:rFonts w:cs="Sylfaen"/>
          <w:b w:val="0"/>
          <w:szCs w:val="22"/>
          <w:lang w:val="hy-AM" w:eastAsia="en-US"/>
        </w:rPr>
        <w:softHyphen/>
      </w:r>
      <w:r w:rsidRPr="00BF7CB6">
        <w:rPr>
          <w:rFonts w:cs="Sylfaen"/>
          <w:b w:val="0"/>
          <w:szCs w:val="22"/>
          <w:lang w:val="hy-AM" w:eastAsia="en-US"/>
        </w:rPr>
        <w:softHyphen/>
        <w:t>վու</w:t>
      </w:r>
      <w:r w:rsidRPr="00BF7CB6">
        <w:rPr>
          <w:rFonts w:cs="Sylfaen"/>
          <w:b w:val="0"/>
          <w:szCs w:val="22"/>
          <w:lang w:val="hy-AM" w:eastAsia="en-US"/>
        </w:rPr>
        <w:softHyphen/>
        <w:t>թ</w:t>
      </w:r>
      <w:r w:rsidRPr="00BF7CB6">
        <w:rPr>
          <w:rFonts w:cs="Sylfaen"/>
          <w:b w:val="0"/>
          <w:szCs w:val="22"/>
          <w:lang w:val="hy-AM" w:eastAsia="en-US"/>
        </w:rPr>
        <w:softHyphen/>
        <w:t>յու</w:t>
      </w:r>
      <w:r w:rsidRPr="00BF7CB6">
        <w:rPr>
          <w:rFonts w:cs="Sylfaen"/>
          <w:b w:val="0"/>
          <w:szCs w:val="22"/>
          <w:lang w:val="hy-AM" w:eastAsia="en-US"/>
        </w:rPr>
        <w:softHyphen/>
        <w:t xml:space="preserve">նը բերված է սույն բացատրագրի </w:t>
      </w:r>
      <w:r w:rsidRPr="00344F81">
        <w:rPr>
          <w:rFonts w:cs="Sylfaen"/>
          <w:b w:val="0"/>
          <w:szCs w:val="22"/>
          <w:lang w:val="hy-AM" w:eastAsia="en-US"/>
        </w:rPr>
        <w:t>N 4 հավելվածում, NN 17-20</w:t>
      </w:r>
      <w:r w:rsidRPr="00BF7CB6">
        <w:rPr>
          <w:rFonts w:cs="Sylfaen"/>
          <w:b w:val="0"/>
          <w:szCs w:val="22"/>
          <w:lang w:val="hy-AM" w:eastAsia="en-US"/>
        </w:rPr>
        <w:t xml:space="preserve"> աղ</w:t>
      </w:r>
      <w:r w:rsidRPr="00BF7CB6">
        <w:rPr>
          <w:rFonts w:cs="Sylfaen"/>
          <w:b w:val="0"/>
          <w:szCs w:val="22"/>
          <w:lang w:val="hy-AM" w:eastAsia="en-US"/>
        </w:rPr>
        <w:softHyphen/>
        <w:t>յուսակ</w:t>
      </w:r>
      <w:r w:rsidRPr="00BF7CB6">
        <w:rPr>
          <w:rFonts w:cs="Sylfaen"/>
          <w:b w:val="0"/>
          <w:szCs w:val="22"/>
          <w:lang w:val="hy-AM" w:eastAsia="en-US"/>
        </w:rPr>
        <w:softHyphen/>
        <w:t>ներում և «ՀՀ պետական պար</w:t>
      </w:r>
      <w:r w:rsidRPr="00BF7CB6">
        <w:rPr>
          <w:rFonts w:cs="Sylfaen"/>
          <w:b w:val="0"/>
          <w:szCs w:val="22"/>
          <w:lang w:val="hy-AM" w:eastAsia="en-US"/>
        </w:rPr>
        <w:softHyphen/>
        <w:t>տքը» բաժնում)</w:t>
      </w:r>
      <w:r w:rsidRPr="00E26A13">
        <w:rPr>
          <w:rFonts w:cs="Sylfaen"/>
          <w:b w:val="0"/>
          <w:szCs w:val="22"/>
          <w:lang w:val="hy-AM" w:eastAsia="en-US"/>
        </w:rPr>
        <w:t xml:space="preserve"> և արտարժութային պետական պարտատոմսերի տեղաբաշխումից մուտքերի հանրագումար</w:t>
      </w:r>
      <w:r w:rsidRPr="00BF7CB6">
        <w:rPr>
          <w:rFonts w:cs="Sylfaen"/>
          <w:b w:val="0"/>
          <w:szCs w:val="22"/>
          <w:lang w:val="hy-AM" w:eastAsia="en-US"/>
        </w:rPr>
        <w:t>: Ֆի</w:t>
      </w:r>
      <w:r w:rsidRPr="00BF7CB6">
        <w:rPr>
          <w:rFonts w:cs="Sylfaen"/>
          <w:b w:val="0"/>
          <w:szCs w:val="22"/>
          <w:lang w:val="hy-AM" w:eastAsia="en-US"/>
        </w:rPr>
        <w:softHyphen/>
        <w:t>ն</w:t>
      </w:r>
      <w:r>
        <w:rPr>
          <w:rFonts w:cs="Sylfaen"/>
          <w:b w:val="0"/>
          <w:szCs w:val="22"/>
          <w:lang w:val="hy-AM" w:eastAsia="en-US"/>
        </w:rPr>
        <w:t>ան</w:t>
      </w:r>
      <w:r>
        <w:rPr>
          <w:rFonts w:cs="Sylfaen"/>
          <w:b w:val="0"/>
          <w:szCs w:val="22"/>
          <w:lang w:val="hy-AM" w:eastAsia="en-US"/>
        </w:rPr>
        <w:softHyphen/>
        <w:t>սա</w:t>
      </w:r>
      <w:r>
        <w:rPr>
          <w:rFonts w:cs="Sylfaen"/>
          <w:b w:val="0"/>
          <w:szCs w:val="22"/>
          <w:lang w:val="hy-AM" w:eastAsia="en-US"/>
        </w:rPr>
        <w:softHyphen/>
        <w:t>կան ակտիվներից 202</w:t>
      </w:r>
      <w:r w:rsidRPr="007C4A2C">
        <w:rPr>
          <w:rFonts w:cs="Sylfaen"/>
          <w:b w:val="0"/>
          <w:szCs w:val="22"/>
          <w:lang w:val="hy-AM" w:eastAsia="en-US"/>
        </w:rPr>
        <w:t>2</w:t>
      </w:r>
      <w:r w:rsidRPr="00BF7CB6">
        <w:rPr>
          <w:rFonts w:cs="Sylfaen"/>
          <w:b w:val="0"/>
          <w:szCs w:val="22"/>
          <w:lang w:val="hy-AM" w:eastAsia="en-US"/>
        </w:rPr>
        <w:t xml:space="preserve"> թվականի զուտ մուտքերը ծրագրավորվում են շուրջ </w:t>
      </w:r>
      <w:r w:rsidRPr="00F14340">
        <w:rPr>
          <w:rFonts w:cs="Sylfaen"/>
          <w:b w:val="0"/>
          <w:szCs w:val="22"/>
          <w:lang w:val="hy-AM" w:eastAsia="en-US"/>
        </w:rPr>
        <w:t>-144.5</w:t>
      </w:r>
      <w:r w:rsidRPr="007C4A2C">
        <w:rPr>
          <w:rFonts w:cs="Sylfaen"/>
          <w:b w:val="0"/>
          <w:szCs w:val="22"/>
          <w:lang w:val="hy-AM" w:eastAsia="en-US"/>
        </w:rPr>
        <w:t xml:space="preserve"> </w:t>
      </w:r>
      <w:r w:rsidRPr="00BF7CB6">
        <w:rPr>
          <w:rFonts w:cs="Sylfaen"/>
          <w:b w:val="0"/>
          <w:szCs w:val="22"/>
          <w:lang w:val="hy-AM" w:eastAsia="en-US"/>
        </w:rPr>
        <w:t>մլրդ դրամ:</w:t>
      </w:r>
      <w:r>
        <w:rPr>
          <w:rFonts w:cs="Sylfaen"/>
          <w:b w:val="0"/>
          <w:szCs w:val="22"/>
          <w:lang w:val="hy-AM" w:eastAsia="en-US"/>
        </w:rPr>
        <w:t xml:space="preserve"> Նախագծով նախատեսվել է վարկերի և փոխատվությունների ստացում 230.</w:t>
      </w:r>
      <w:r w:rsidRPr="00F14340">
        <w:rPr>
          <w:rFonts w:cs="Sylfaen"/>
          <w:b w:val="0"/>
          <w:szCs w:val="22"/>
          <w:lang w:val="hy-AM" w:eastAsia="en-US"/>
        </w:rPr>
        <w:t>0</w:t>
      </w:r>
      <w:r>
        <w:rPr>
          <w:rFonts w:cs="Sylfaen"/>
          <w:b w:val="0"/>
          <w:szCs w:val="22"/>
          <w:lang w:val="hy-AM" w:eastAsia="en-US"/>
        </w:rPr>
        <w:t xml:space="preserve"> մլրդ դրամի չափով, որից -</w:t>
      </w:r>
      <w:r w:rsidRPr="00B42F1B">
        <w:rPr>
          <w:rFonts w:cs="Sylfaen"/>
          <w:b w:val="0"/>
          <w:szCs w:val="22"/>
          <w:lang w:val="hy-AM" w:eastAsia="en-US"/>
        </w:rPr>
        <w:t>1</w:t>
      </w:r>
      <w:r>
        <w:rPr>
          <w:rFonts w:cs="Sylfaen"/>
          <w:b w:val="0"/>
          <w:szCs w:val="22"/>
          <w:lang w:val="hy-AM" w:eastAsia="en-US"/>
        </w:rPr>
        <w:t>21.</w:t>
      </w:r>
      <w:r w:rsidRPr="00F14340">
        <w:rPr>
          <w:rFonts w:cs="Sylfaen"/>
          <w:b w:val="0"/>
          <w:szCs w:val="22"/>
          <w:lang w:val="hy-AM" w:eastAsia="en-US"/>
        </w:rPr>
        <w:t>5</w:t>
      </w:r>
      <w:r>
        <w:rPr>
          <w:rFonts w:cs="Sylfaen"/>
          <w:b w:val="0"/>
          <w:szCs w:val="22"/>
          <w:lang w:val="hy-AM" w:eastAsia="en-US"/>
        </w:rPr>
        <w:t xml:space="preserve"> մլրդ դրամը կուղղվի ստացված վարկերի և փոխատվությունների մարմանը:</w:t>
      </w:r>
      <w:r w:rsidRPr="00BF7CB6">
        <w:rPr>
          <w:rFonts w:cs="Sylfaen"/>
          <w:b w:val="0"/>
          <w:szCs w:val="22"/>
          <w:lang w:val="hy-AM" w:eastAsia="en-US"/>
        </w:rPr>
        <w:t xml:space="preserve"> Արցախի Հանրապետությանը տրամադրվող միջպետա</w:t>
      </w:r>
      <w:r>
        <w:rPr>
          <w:rFonts w:cs="Sylfaen"/>
          <w:b w:val="0"/>
          <w:szCs w:val="22"/>
          <w:lang w:val="hy-AM" w:eastAsia="en-US"/>
        </w:rPr>
        <w:t>կան վարկի գումարը կազմում է 144.0</w:t>
      </w:r>
      <w:r w:rsidRPr="00BF7CB6">
        <w:rPr>
          <w:rFonts w:cs="Sylfaen"/>
          <w:b w:val="0"/>
          <w:szCs w:val="22"/>
          <w:lang w:val="hy-AM" w:eastAsia="en-US"/>
        </w:rPr>
        <w:t xml:space="preserve"> մլրդ դրամ:</w:t>
      </w:r>
    </w:p>
    <w:p w14:paraId="511B616A" w14:textId="4E5BD91B" w:rsidR="00B12CF6" w:rsidRPr="00BF7CB6" w:rsidRDefault="00C72188" w:rsidP="00C72188">
      <w:pPr>
        <w:spacing w:before="0" w:line="276" w:lineRule="auto"/>
        <w:ind w:firstLine="630"/>
        <w:contextualSpacing w:val="0"/>
        <w:rPr>
          <w:b w:val="0"/>
          <w:szCs w:val="22"/>
          <w:lang w:val="hy-AM" w:eastAsia="en-US"/>
        </w:rPr>
      </w:pPr>
      <w:r w:rsidRPr="00BF7CB6">
        <w:rPr>
          <w:rFonts w:cs="Sylfaen"/>
          <w:b w:val="0"/>
          <w:szCs w:val="22"/>
          <w:lang w:val="hy-AM" w:eastAsia="en-US"/>
        </w:rPr>
        <w:t>Ստորև</w:t>
      </w:r>
      <w:r w:rsidRPr="00BF7CB6">
        <w:rPr>
          <w:b w:val="0"/>
          <w:szCs w:val="22"/>
          <w:lang w:val="hy-AM" w:eastAsia="en-US"/>
        </w:rPr>
        <w:t xml:space="preserve"> </w:t>
      </w:r>
      <w:r w:rsidRPr="00BF7CB6">
        <w:rPr>
          <w:rFonts w:cs="Sylfaen"/>
          <w:b w:val="0"/>
          <w:szCs w:val="22"/>
          <w:lang w:val="hy-AM" w:eastAsia="en-US"/>
        </w:rPr>
        <w:t>ներկայացվում</w:t>
      </w:r>
      <w:r w:rsidRPr="00BF7CB6">
        <w:rPr>
          <w:b w:val="0"/>
          <w:szCs w:val="22"/>
          <w:lang w:val="hy-AM" w:eastAsia="en-US"/>
        </w:rPr>
        <w:t xml:space="preserve"> են </w:t>
      </w:r>
      <w:r w:rsidRPr="00BF7CB6">
        <w:rPr>
          <w:rFonts w:cs="Sylfaen"/>
          <w:b w:val="0"/>
          <w:szCs w:val="22"/>
          <w:lang w:val="hy-AM" w:eastAsia="en-US"/>
        </w:rPr>
        <w:t>ՀՀ</w:t>
      </w:r>
      <w:r w:rsidRPr="00BF7CB6">
        <w:rPr>
          <w:b w:val="0"/>
          <w:szCs w:val="22"/>
          <w:lang w:val="hy-AM" w:eastAsia="en-US"/>
        </w:rPr>
        <w:t xml:space="preserve"> 201</w:t>
      </w:r>
      <w:r w:rsidRPr="00282E66">
        <w:rPr>
          <w:b w:val="0"/>
          <w:szCs w:val="22"/>
          <w:lang w:val="hy-AM" w:eastAsia="en-US"/>
        </w:rPr>
        <w:t>8</w:t>
      </w:r>
      <w:r w:rsidRPr="00BF7CB6">
        <w:rPr>
          <w:b w:val="0"/>
          <w:szCs w:val="22"/>
          <w:lang w:val="hy-AM" w:eastAsia="en-US"/>
        </w:rPr>
        <w:t>-202</w:t>
      </w:r>
      <w:r w:rsidRPr="00282E66">
        <w:rPr>
          <w:b w:val="0"/>
          <w:szCs w:val="22"/>
          <w:lang w:val="hy-AM" w:eastAsia="en-US"/>
        </w:rPr>
        <w:t>2</w:t>
      </w:r>
      <w:r w:rsidRPr="00BF7CB6">
        <w:rPr>
          <w:b w:val="0"/>
          <w:szCs w:val="22"/>
          <w:lang w:val="hy-AM" w:eastAsia="en-US"/>
        </w:rPr>
        <w:t xml:space="preserve"> թվակա</w:t>
      </w:r>
      <w:r w:rsidRPr="00BF7CB6">
        <w:rPr>
          <w:rFonts w:cs="Sylfaen"/>
          <w:b w:val="0"/>
          <w:szCs w:val="22"/>
          <w:lang w:val="hy-AM" w:eastAsia="en-US"/>
        </w:rPr>
        <w:t>նների</w:t>
      </w:r>
      <w:r w:rsidRPr="00BF7CB6">
        <w:rPr>
          <w:b w:val="0"/>
          <w:szCs w:val="22"/>
          <w:lang w:val="hy-AM" w:eastAsia="en-US"/>
        </w:rPr>
        <w:t xml:space="preserve"> </w:t>
      </w: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բյուջեների</w:t>
      </w:r>
      <w:r w:rsidRPr="00BF7CB6">
        <w:rPr>
          <w:b w:val="0"/>
          <w:szCs w:val="22"/>
          <w:lang w:val="hy-AM" w:eastAsia="en-US"/>
        </w:rPr>
        <w:t xml:space="preserve"> </w:t>
      </w:r>
      <w:r w:rsidRPr="00BF7CB6">
        <w:rPr>
          <w:rFonts w:cs="Sylfaen"/>
          <w:b w:val="0"/>
          <w:szCs w:val="22"/>
          <w:lang w:val="hy-AM" w:eastAsia="en-US"/>
        </w:rPr>
        <w:t>դեֆիցիտի</w:t>
      </w:r>
      <w:r w:rsidRPr="00BF7CB6">
        <w:rPr>
          <w:b w:val="0"/>
          <w:szCs w:val="22"/>
          <w:lang w:val="hy-AM" w:eastAsia="en-US"/>
        </w:rPr>
        <w:t xml:space="preserve"> </w:t>
      </w:r>
      <w:r w:rsidRPr="00BF7CB6">
        <w:rPr>
          <w:rFonts w:cs="Sylfaen"/>
          <w:b w:val="0"/>
          <w:szCs w:val="22"/>
          <w:lang w:val="hy-AM" w:eastAsia="en-US"/>
        </w:rPr>
        <w:t>ֆինան</w:t>
      </w:r>
      <w:r w:rsidRPr="00BF7CB6">
        <w:rPr>
          <w:rFonts w:cs="Sylfaen"/>
          <w:b w:val="0"/>
          <w:szCs w:val="22"/>
          <w:lang w:val="hy-AM" w:eastAsia="en-US"/>
        </w:rPr>
        <w:softHyphen/>
        <w:t>սա</w:t>
      </w:r>
      <w:r w:rsidRPr="00BF7CB6">
        <w:rPr>
          <w:rFonts w:cs="Sylfaen"/>
          <w:b w:val="0"/>
          <w:szCs w:val="22"/>
          <w:lang w:val="hy-AM" w:eastAsia="en-US"/>
        </w:rPr>
        <w:softHyphen/>
      </w:r>
      <w:r w:rsidRPr="00BF7CB6">
        <w:rPr>
          <w:rFonts w:cs="Sylfaen"/>
          <w:b w:val="0"/>
          <w:szCs w:val="22"/>
          <w:lang w:val="hy-AM" w:eastAsia="en-US"/>
        </w:rPr>
        <w:softHyphen/>
        <w:t>վորման</w:t>
      </w:r>
      <w:r w:rsidRPr="00BF7CB6">
        <w:rPr>
          <w:b w:val="0"/>
          <w:szCs w:val="22"/>
          <w:lang w:val="hy-AM" w:eastAsia="en-US"/>
        </w:rPr>
        <w:t xml:space="preserve"> </w:t>
      </w:r>
      <w:r w:rsidRPr="00BF7CB6">
        <w:rPr>
          <w:rFonts w:cs="Sylfaen"/>
          <w:b w:val="0"/>
          <w:szCs w:val="22"/>
          <w:lang w:val="hy-AM" w:eastAsia="en-US"/>
        </w:rPr>
        <w:t>աղբյուրները</w:t>
      </w:r>
      <w:r w:rsidRPr="00BF7CB6">
        <w:rPr>
          <w:b w:val="0"/>
          <w:szCs w:val="22"/>
          <w:lang w:val="hy-AM" w:eastAsia="en-US"/>
        </w:rPr>
        <w:t xml:space="preserve"> (</w:t>
      </w:r>
      <w:r w:rsidRPr="00BF7CB6">
        <w:rPr>
          <w:rFonts w:cs="Sylfaen"/>
          <w:b w:val="0"/>
          <w:szCs w:val="22"/>
          <w:lang w:val="hy-AM" w:eastAsia="en-US"/>
        </w:rPr>
        <w:t>տես</w:t>
      </w:r>
      <w:r w:rsidRPr="00BF7CB6">
        <w:rPr>
          <w:b w:val="0"/>
          <w:szCs w:val="22"/>
          <w:lang w:val="hy-AM" w:eastAsia="en-US"/>
        </w:rPr>
        <w:t xml:space="preserve"> </w:t>
      </w:r>
      <w:r w:rsidRPr="00BF7CB6">
        <w:rPr>
          <w:rFonts w:cs="Sylfaen"/>
          <w:b w:val="0"/>
          <w:szCs w:val="22"/>
          <w:lang w:val="hy-AM" w:eastAsia="en-US"/>
        </w:rPr>
        <w:t>Աղյուսակ</w:t>
      </w:r>
      <w:r w:rsidRPr="00BF7CB6">
        <w:rPr>
          <w:b w:val="0"/>
          <w:szCs w:val="22"/>
          <w:lang w:val="hy-AM" w:eastAsia="en-US"/>
        </w:rPr>
        <w:t xml:space="preserve"> </w:t>
      </w:r>
      <w:r>
        <w:rPr>
          <w:b w:val="0"/>
          <w:szCs w:val="22"/>
          <w:lang w:val="hy-AM" w:eastAsia="en-US"/>
        </w:rPr>
        <w:t>4</w:t>
      </w:r>
      <w:r w:rsidRPr="00BF7CB6">
        <w:rPr>
          <w:b w:val="0"/>
          <w:szCs w:val="22"/>
          <w:lang w:val="hy-AM" w:eastAsia="en-US"/>
        </w:rPr>
        <w:t>):</w:t>
      </w:r>
    </w:p>
    <w:p w14:paraId="3C48B58B" w14:textId="77777777" w:rsidR="002E2142" w:rsidRDefault="002E2142" w:rsidP="0025299D">
      <w:pPr>
        <w:pStyle w:val="Caption"/>
        <w:rPr>
          <w:lang w:val="hy-AM"/>
        </w:rPr>
      </w:pPr>
      <w:bookmarkStart w:id="226" w:name="_Toc83728697"/>
    </w:p>
    <w:p w14:paraId="462CCE7B" w14:textId="77777777" w:rsidR="002E2142" w:rsidRDefault="002E2142" w:rsidP="0025299D">
      <w:pPr>
        <w:pStyle w:val="Caption"/>
        <w:rPr>
          <w:lang w:val="hy-AM"/>
        </w:rPr>
      </w:pPr>
    </w:p>
    <w:p w14:paraId="37BFEDE5" w14:textId="77777777" w:rsidR="002E2142" w:rsidRDefault="002E2142" w:rsidP="0025299D">
      <w:pPr>
        <w:pStyle w:val="Caption"/>
        <w:rPr>
          <w:lang w:val="hy-AM"/>
        </w:rPr>
      </w:pPr>
    </w:p>
    <w:p w14:paraId="6703479E" w14:textId="77777777" w:rsidR="002E2142" w:rsidRDefault="002E2142" w:rsidP="0025299D">
      <w:pPr>
        <w:pStyle w:val="Caption"/>
        <w:rPr>
          <w:lang w:val="hy-AM"/>
        </w:rPr>
      </w:pPr>
    </w:p>
    <w:p w14:paraId="5C28796E" w14:textId="77777777" w:rsidR="002E2142" w:rsidRDefault="002E2142" w:rsidP="0025299D">
      <w:pPr>
        <w:pStyle w:val="Caption"/>
        <w:rPr>
          <w:lang w:val="hy-AM"/>
        </w:rPr>
      </w:pPr>
    </w:p>
    <w:p w14:paraId="5ABB1564" w14:textId="77777777" w:rsidR="002E2142" w:rsidRDefault="002E2142" w:rsidP="0025299D">
      <w:pPr>
        <w:pStyle w:val="Caption"/>
        <w:rPr>
          <w:lang w:val="hy-AM"/>
        </w:rPr>
      </w:pPr>
    </w:p>
    <w:p w14:paraId="63039DB7" w14:textId="77777777" w:rsidR="002E2142" w:rsidRDefault="002E2142" w:rsidP="0025299D">
      <w:pPr>
        <w:pStyle w:val="Caption"/>
        <w:rPr>
          <w:lang w:val="hy-AM"/>
        </w:rPr>
      </w:pPr>
    </w:p>
    <w:p w14:paraId="15F98E2D" w14:textId="77777777" w:rsidR="002E2142" w:rsidRDefault="002E2142" w:rsidP="0025299D">
      <w:pPr>
        <w:pStyle w:val="Caption"/>
        <w:rPr>
          <w:lang w:val="hy-AM"/>
        </w:rPr>
      </w:pPr>
    </w:p>
    <w:p w14:paraId="3301EA23" w14:textId="77777777" w:rsidR="002E2142" w:rsidRDefault="002E2142" w:rsidP="0025299D">
      <w:pPr>
        <w:pStyle w:val="Caption"/>
        <w:rPr>
          <w:lang w:val="hy-AM"/>
        </w:rPr>
      </w:pPr>
    </w:p>
    <w:p w14:paraId="22751140" w14:textId="7608ED1D" w:rsidR="00B12CF6" w:rsidRPr="00A2480A" w:rsidRDefault="0025299D" w:rsidP="0025299D">
      <w:pPr>
        <w:pStyle w:val="Caption"/>
        <w:rPr>
          <w:b/>
          <w:i/>
          <w:sz w:val="20"/>
          <w:szCs w:val="20"/>
          <w:lang w:val="hy-AM"/>
        </w:rPr>
      </w:pPr>
      <w:bookmarkStart w:id="227" w:name="_Toc89428764"/>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4</w:t>
      </w:r>
      <w:r>
        <w:fldChar w:fldCharType="end"/>
      </w:r>
      <w:r w:rsidR="00B12CF6" w:rsidRPr="008150A1">
        <w:rPr>
          <w:rFonts w:ascii="Cambria Math" w:hAnsi="Cambria Math" w:cs="Cambria Math"/>
          <w:lang w:val="hy-AM"/>
        </w:rPr>
        <w:t>․</w:t>
      </w:r>
      <w:r w:rsidR="00B12CF6">
        <w:rPr>
          <w:rFonts w:ascii="Cambria Math" w:hAnsi="Cambria Math"/>
          <w:lang w:val="hy-AM"/>
        </w:rPr>
        <w:t xml:space="preserve"> </w:t>
      </w:r>
      <w:r w:rsidR="00B12CF6" w:rsidRPr="00A2480A">
        <w:rPr>
          <w:b/>
          <w:i/>
          <w:sz w:val="20"/>
          <w:szCs w:val="20"/>
          <w:lang w:val="hy-AM"/>
        </w:rPr>
        <w:t>ՀՀ 201</w:t>
      </w:r>
      <w:r w:rsidR="00B12CF6" w:rsidRPr="00282E66">
        <w:rPr>
          <w:b/>
          <w:i/>
          <w:sz w:val="20"/>
          <w:szCs w:val="20"/>
          <w:lang w:val="hy-AM"/>
        </w:rPr>
        <w:t>8</w:t>
      </w:r>
      <w:r w:rsidR="00B12CF6" w:rsidRPr="00A2480A">
        <w:rPr>
          <w:b/>
          <w:i/>
          <w:sz w:val="20"/>
          <w:szCs w:val="20"/>
          <w:lang w:val="hy-AM"/>
        </w:rPr>
        <w:t>-202</w:t>
      </w:r>
      <w:r w:rsidR="00B12CF6" w:rsidRPr="00282E66">
        <w:rPr>
          <w:b/>
          <w:i/>
          <w:sz w:val="20"/>
          <w:szCs w:val="20"/>
          <w:lang w:val="hy-AM"/>
        </w:rPr>
        <w:t>2</w:t>
      </w:r>
      <w:r w:rsidR="00B12CF6" w:rsidRPr="00A2480A">
        <w:rPr>
          <w:b/>
          <w:i/>
          <w:sz w:val="20"/>
          <w:szCs w:val="20"/>
          <w:lang w:val="hy-AM"/>
        </w:rPr>
        <w:t>թթ</w:t>
      </w:r>
      <w:r w:rsidR="00B12CF6" w:rsidRPr="00A120D1">
        <w:rPr>
          <w:b/>
          <w:i/>
          <w:sz w:val="20"/>
          <w:szCs w:val="20"/>
          <w:lang w:val="hy-AM"/>
        </w:rPr>
        <w:t>.</w:t>
      </w:r>
      <w:r w:rsidR="00B12CF6" w:rsidRPr="00A2480A">
        <w:rPr>
          <w:b/>
          <w:i/>
          <w:sz w:val="20"/>
          <w:szCs w:val="20"/>
          <w:lang w:val="hy-AM"/>
        </w:rPr>
        <w:t xml:space="preserve"> պետական բյուջեների դեֆիցիտի ֆինանսավորման աղբյուրները (մլն դրամ)</w:t>
      </w:r>
      <w:bookmarkEnd w:id="226"/>
      <w:bookmarkEnd w:id="227"/>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10"/>
        <w:gridCol w:w="1343"/>
        <w:gridCol w:w="1344"/>
        <w:gridCol w:w="1343"/>
        <w:gridCol w:w="1469"/>
        <w:gridCol w:w="1219"/>
      </w:tblGrid>
      <w:tr w:rsidR="00B12CF6" w:rsidRPr="00BF7CB6" w14:paraId="390C0A63" w14:textId="77777777" w:rsidTr="00733935">
        <w:trPr>
          <w:trHeight w:val="810"/>
        </w:trPr>
        <w:tc>
          <w:tcPr>
            <w:tcW w:w="2610" w:type="dxa"/>
            <w:shd w:val="clear" w:color="auto" w:fill="4F81BD" w:themeFill="accent1"/>
            <w:vAlign w:val="center"/>
            <w:hideMark/>
          </w:tcPr>
          <w:p w14:paraId="002393C1"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Sylfaen"/>
                <w:color w:val="FFFFFF" w:themeColor="background1"/>
                <w:sz w:val="20"/>
                <w:szCs w:val="20"/>
                <w:lang w:val="en-US" w:eastAsia="en-US"/>
              </w:rPr>
              <w:t>Ցուցանիշներ</w:t>
            </w:r>
          </w:p>
        </w:tc>
        <w:tc>
          <w:tcPr>
            <w:tcW w:w="1343" w:type="dxa"/>
            <w:shd w:val="clear" w:color="auto" w:fill="4F81BD" w:themeFill="accent1"/>
            <w:vAlign w:val="center"/>
            <w:hideMark/>
          </w:tcPr>
          <w:p w14:paraId="6FE7FBDF"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201</w:t>
            </w:r>
            <w:r>
              <w:rPr>
                <w:rFonts w:cs="Calibri"/>
                <w:color w:val="FFFFFF" w:themeColor="background1"/>
                <w:sz w:val="20"/>
                <w:szCs w:val="20"/>
                <w:lang w:val="en-US" w:eastAsia="en-US"/>
              </w:rPr>
              <w:t>8</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փաստ</w:t>
            </w:r>
          </w:p>
        </w:tc>
        <w:tc>
          <w:tcPr>
            <w:tcW w:w="1344" w:type="dxa"/>
            <w:shd w:val="clear" w:color="auto" w:fill="4F81BD" w:themeFill="accent1"/>
            <w:vAlign w:val="center"/>
            <w:hideMark/>
          </w:tcPr>
          <w:p w14:paraId="31B69306"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w:t>
            </w:r>
            <w:r>
              <w:rPr>
                <w:rFonts w:cs="Calibri"/>
                <w:color w:val="FFFFFF" w:themeColor="background1"/>
                <w:sz w:val="20"/>
                <w:szCs w:val="20"/>
                <w:lang w:val="en-US" w:eastAsia="en-US"/>
              </w:rPr>
              <w:t>019</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փաստ</w:t>
            </w:r>
          </w:p>
        </w:tc>
        <w:tc>
          <w:tcPr>
            <w:tcW w:w="1343" w:type="dxa"/>
            <w:shd w:val="clear" w:color="auto" w:fill="4F81BD" w:themeFill="accent1"/>
            <w:vAlign w:val="center"/>
            <w:hideMark/>
          </w:tcPr>
          <w:p w14:paraId="44331C87"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w:t>
            </w:r>
            <w:r>
              <w:rPr>
                <w:rFonts w:cs="Calibri"/>
                <w:color w:val="FFFFFF" w:themeColor="background1"/>
                <w:sz w:val="20"/>
                <w:szCs w:val="20"/>
                <w:lang w:val="en-US" w:eastAsia="en-US"/>
              </w:rPr>
              <w:t>20</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փաստ</w:t>
            </w:r>
          </w:p>
        </w:tc>
        <w:tc>
          <w:tcPr>
            <w:tcW w:w="1469" w:type="dxa"/>
            <w:shd w:val="clear" w:color="auto" w:fill="4F81BD" w:themeFill="accent1"/>
            <w:vAlign w:val="center"/>
            <w:hideMark/>
          </w:tcPr>
          <w:p w14:paraId="77DA4E97" w14:textId="77777777" w:rsidR="00B12CF6" w:rsidRPr="002044EA" w:rsidRDefault="00B12CF6" w:rsidP="00733935">
            <w:pPr>
              <w:spacing w:before="0" w:line="276" w:lineRule="auto"/>
              <w:ind w:firstLine="0"/>
              <w:contextualSpacing w:val="0"/>
              <w:jc w:val="center"/>
              <w:rPr>
                <w:rFonts w:cs="Calibri"/>
                <w:color w:val="FF0000"/>
                <w:sz w:val="20"/>
                <w:szCs w:val="20"/>
                <w:lang w:val="en-US" w:eastAsia="en-US"/>
              </w:rPr>
            </w:pPr>
            <w:r w:rsidRPr="00282E66">
              <w:rPr>
                <w:rFonts w:cs="Calibri"/>
                <w:color w:val="FFFFFF" w:themeColor="background1"/>
                <w:sz w:val="20"/>
                <w:szCs w:val="20"/>
                <w:lang w:val="en-US" w:eastAsia="en-US"/>
              </w:rPr>
              <w:t>2021թ</w:t>
            </w:r>
            <w:r w:rsidRPr="00282E66">
              <w:rPr>
                <w:rFonts w:cs="Calibri"/>
                <w:color w:val="FFFFFF" w:themeColor="background1"/>
                <w:sz w:val="20"/>
                <w:szCs w:val="20"/>
                <w:lang w:val="en-US" w:eastAsia="en-US"/>
              </w:rPr>
              <w:br/>
              <w:t>բյուջե</w:t>
            </w:r>
          </w:p>
        </w:tc>
        <w:tc>
          <w:tcPr>
            <w:tcW w:w="1219" w:type="dxa"/>
            <w:shd w:val="clear" w:color="auto" w:fill="4F81BD" w:themeFill="accent1"/>
            <w:vAlign w:val="center"/>
            <w:hideMark/>
          </w:tcPr>
          <w:p w14:paraId="0D05F81C" w14:textId="77777777" w:rsidR="00B12CF6" w:rsidRPr="00BF7CB6" w:rsidRDefault="00B12CF6" w:rsidP="00733935">
            <w:pPr>
              <w:spacing w:before="0" w:line="276" w:lineRule="auto"/>
              <w:ind w:firstLine="0"/>
              <w:contextualSpacing w:val="0"/>
              <w:jc w:val="center"/>
              <w:rPr>
                <w:rFonts w:cs="Calibri"/>
                <w:color w:val="FFFFFF" w:themeColor="background1"/>
                <w:sz w:val="20"/>
                <w:szCs w:val="20"/>
                <w:lang w:val="en-US" w:eastAsia="en-US"/>
              </w:rPr>
            </w:pPr>
            <w:r w:rsidRPr="00BF7CB6">
              <w:rPr>
                <w:rFonts w:cs="Calibri"/>
                <w:color w:val="FFFFFF" w:themeColor="background1"/>
                <w:sz w:val="20"/>
                <w:szCs w:val="20"/>
                <w:lang w:val="en-US" w:eastAsia="en-US"/>
              </w:rPr>
              <w:t>202</w:t>
            </w:r>
            <w:r>
              <w:rPr>
                <w:rFonts w:cs="Calibri"/>
                <w:color w:val="FFFFFF" w:themeColor="background1"/>
                <w:sz w:val="20"/>
                <w:szCs w:val="20"/>
                <w:lang w:val="en-US" w:eastAsia="en-US"/>
              </w:rPr>
              <w:t>2</w:t>
            </w:r>
            <w:r w:rsidRPr="00BF7CB6">
              <w:rPr>
                <w:rFonts w:cs="Calibri"/>
                <w:color w:val="FFFFFF" w:themeColor="background1"/>
                <w:sz w:val="20"/>
                <w:szCs w:val="20"/>
                <w:lang w:val="en-US" w:eastAsia="en-US"/>
              </w:rPr>
              <w:t>թ</w:t>
            </w:r>
            <w:r w:rsidRPr="00BF7CB6">
              <w:rPr>
                <w:rFonts w:cs="Calibri"/>
                <w:color w:val="FFFFFF" w:themeColor="background1"/>
                <w:sz w:val="20"/>
                <w:szCs w:val="20"/>
                <w:lang w:val="en-US" w:eastAsia="en-US"/>
              </w:rPr>
              <w:br/>
              <w:t>կանխատեսում</w:t>
            </w:r>
          </w:p>
        </w:tc>
      </w:tr>
      <w:tr w:rsidR="00B12CF6" w:rsidRPr="00BF7CB6" w14:paraId="7C9B0AF2" w14:textId="77777777" w:rsidTr="00733935">
        <w:trPr>
          <w:trHeight w:val="1826"/>
        </w:trPr>
        <w:tc>
          <w:tcPr>
            <w:tcW w:w="2610" w:type="dxa"/>
            <w:shd w:val="clear" w:color="auto" w:fill="DBE5F1" w:themeFill="accent1" w:themeFillTint="33"/>
            <w:vAlign w:val="center"/>
            <w:hideMark/>
          </w:tcPr>
          <w:p w14:paraId="1DF744FE" w14:textId="77777777" w:rsidR="00B12CF6" w:rsidRPr="00CB6CBD" w:rsidRDefault="00B12CF6" w:rsidP="00733935">
            <w:pPr>
              <w:spacing w:before="0" w:line="240" w:lineRule="auto"/>
              <w:ind w:firstLine="0"/>
              <w:contextualSpacing w:val="0"/>
              <w:jc w:val="left"/>
              <w:rPr>
                <w:rFonts w:cs="Calibri"/>
                <w:b w:val="0"/>
                <w:sz w:val="20"/>
                <w:szCs w:val="20"/>
                <w:lang w:eastAsia="en-US"/>
              </w:rPr>
            </w:pPr>
            <w:r w:rsidRPr="00BF7CB6">
              <w:rPr>
                <w:rFonts w:cs="Calibri"/>
                <w:b w:val="0"/>
                <w:sz w:val="20"/>
                <w:szCs w:val="20"/>
                <w:lang w:val="en-US" w:eastAsia="en-US"/>
              </w:rPr>
              <w:t>Պետական</w:t>
            </w:r>
            <w:r w:rsidRPr="00CB6CBD">
              <w:rPr>
                <w:rFonts w:cs="Calibri"/>
                <w:b w:val="0"/>
                <w:sz w:val="20"/>
                <w:szCs w:val="20"/>
                <w:lang w:eastAsia="en-US"/>
              </w:rPr>
              <w:t xml:space="preserve">  </w:t>
            </w:r>
            <w:r w:rsidRPr="00BF7CB6">
              <w:rPr>
                <w:rFonts w:cs="Calibri"/>
                <w:b w:val="0"/>
                <w:sz w:val="20"/>
                <w:szCs w:val="20"/>
                <w:lang w:val="en-US" w:eastAsia="en-US"/>
              </w:rPr>
              <w:t>բյուջեի</w:t>
            </w:r>
            <w:r w:rsidRPr="00CB6CBD">
              <w:rPr>
                <w:rFonts w:cs="Calibri"/>
                <w:b w:val="0"/>
                <w:sz w:val="20"/>
                <w:szCs w:val="20"/>
                <w:lang w:eastAsia="en-US"/>
              </w:rPr>
              <w:t xml:space="preserve">  </w:t>
            </w:r>
            <w:r w:rsidRPr="00BF7CB6">
              <w:rPr>
                <w:rFonts w:cs="Calibri"/>
                <w:b w:val="0"/>
                <w:sz w:val="20"/>
                <w:szCs w:val="20"/>
                <w:lang w:val="en-US" w:eastAsia="en-US"/>
              </w:rPr>
              <w:t>դեֆիցիտի</w:t>
            </w:r>
            <w:r w:rsidRPr="00CB6CBD">
              <w:rPr>
                <w:rFonts w:cs="Calibri"/>
                <w:b w:val="0"/>
                <w:sz w:val="20"/>
                <w:szCs w:val="20"/>
                <w:lang w:eastAsia="en-US"/>
              </w:rPr>
              <w:t xml:space="preserve"> </w:t>
            </w:r>
            <w:r w:rsidRPr="00BF7CB6">
              <w:rPr>
                <w:rFonts w:cs="Calibri"/>
                <w:b w:val="0"/>
                <w:sz w:val="20"/>
                <w:szCs w:val="20"/>
                <w:lang w:val="en-US" w:eastAsia="en-US"/>
              </w:rPr>
              <w:t>ֆինանսավորման</w:t>
            </w:r>
            <w:r w:rsidRPr="00CB6CBD">
              <w:rPr>
                <w:rFonts w:cs="Calibri"/>
                <w:b w:val="0"/>
                <w:sz w:val="20"/>
                <w:szCs w:val="20"/>
                <w:lang w:eastAsia="en-US"/>
              </w:rPr>
              <w:t xml:space="preserve"> </w:t>
            </w:r>
            <w:r w:rsidRPr="00BF7CB6">
              <w:rPr>
                <w:rFonts w:cs="Calibri"/>
                <w:b w:val="0"/>
                <w:sz w:val="20"/>
                <w:szCs w:val="20"/>
                <w:lang w:val="en-US" w:eastAsia="en-US"/>
              </w:rPr>
              <w:t>աղբյուրներն</w:t>
            </w:r>
            <w:r w:rsidRPr="00CB6CBD">
              <w:rPr>
                <w:rFonts w:cs="Calibri"/>
                <w:b w:val="0"/>
                <w:sz w:val="20"/>
                <w:szCs w:val="20"/>
                <w:lang w:eastAsia="en-US"/>
              </w:rPr>
              <w:t xml:space="preserve"> </w:t>
            </w:r>
            <w:r w:rsidRPr="00BF7CB6">
              <w:rPr>
                <w:rFonts w:cs="Calibri"/>
                <w:b w:val="0"/>
                <w:sz w:val="20"/>
                <w:szCs w:val="20"/>
                <w:lang w:val="en-US" w:eastAsia="en-US"/>
              </w:rPr>
              <w:t>ու</w:t>
            </w:r>
            <w:r w:rsidRPr="00CB6CBD">
              <w:rPr>
                <w:rFonts w:cs="Calibri"/>
                <w:b w:val="0"/>
                <w:sz w:val="20"/>
                <w:szCs w:val="20"/>
                <w:lang w:eastAsia="en-US"/>
              </w:rPr>
              <w:t xml:space="preserve"> </w:t>
            </w:r>
            <w:r w:rsidRPr="00BF7CB6">
              <w:rPr>
                <w:rFonts w:cs="Calibri"/>
                <w:b w:val="0"/>
                <w:sz w:val="20"/>
                <w:szCs w:val="20"/>
                <w:lang w:val="en-US" w:eastAsia="en-US"/>
              </w:rPr>
              <w:t>դրանց</w:t>
            </w:r>
            <w:r w:rsidRPr="00CB6CBD">
              <w:rPr>
                <w:rFonts w:cs="Calibri"/>
                <w:b w:val="0"/>
                <w:sz w:val="20"/>
                <w:szCs w:val="20"/>
                <w:lang w:eastAsia="en-US"/>
              </w:rPr>
              <w:t xml:space="preserve"> </w:t>
            </w:r>
            <w:r w:rsidRPr="00BF7CB6">
              <w:rPr>
                <w:rFonts w:cs="Calibri"/>
                <w:b w:val="0"/>
                <w:sz w:val="20"/>
                <w:szCs w:val="20"/>
                <w:lang w:val="en-US" w:eastAsia="en-US"/>
              </w:rPr>
              <w:t>տարրերի</w:t>
            </w:r>
            <w:r w:rsidRPr="00CB6CBD">
              <w:rPr>
                <w:rFonts w:cs="Calibri"/>
                <w:b w:val="0"/>
                <w:sz w:val="20"/>
                <w:szCs w:val="20"/>
                <w:lang w:eastAsia="en-US"/>
              </w:rPr>
              <w:t xml:space="preserve"> </w:t>
            </w:r>
            <w:r w:rsidRPr="00BF7CB6">
              <w:rPr>
                <w:rFonts w:cs="Calibri"/>
                <w:b w:val="0"/>
                <w:sz w:val="20"/>
                <w:szCs w:val="20"/>
                <w:lang w:val="en-US" w:eastAsia="en-US"/>
              </w:rPr>
              <w:t>անվանումները՝</w:t>
            </w:r>
            <w:r w:rsidRPr="00CB6CBD">
              <w:rPr>
                <w:rFonts w:cs="Calibri"/>
                <w:b w:val="0"/>
                <w:sz w:val="20"/>
                <w:szCs w:val="20"/>
                <w:lang w:eastAsia="en-US"/>
              </w:rPr>
              <w:t xml:space="preserve"> </w:t>
            </w:r>
            <w:r w:rsidRPr="00BF7CB6">
              <w:rPr>
                <w:rFonts w:cs="Calibri"/>
                <w:b w:val="0"/>
                <w:sz w:val="20"/>
                <w:szCs w:val="20"/>
                <w:lang w:val="en-US" w:eastAsia="en-US"/>
              </w:rPr>
              <w:t>ընդամենը</w:t>
            </w:r>
          </w:p>
        </w:tc>
        <w:tc>
          <w:tcPr>
            <w:tcW w:w="1343" w:type="dxa"/>
            <w:shd w:val="clear" w:color="auto" w:fill="DBE5F1" w:themeFill="accent1" w:themeFillTint="33"/>
            <w:noWrap/>
            <w:vAlign w:val="center"/>
            <w:hideMark/>
          </w:tcPr>
          <w:p w14:paraId="321E93A0" w14:textId="77777777" w:rsidR="00B12CF6" w:rsidRPr="00BF7CB6" w:rsidRDefault="00B12CF6" w:rsidP="00733935">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105,392.4</w:t>
            </w:r>
          </w:p>
        </w:tc>
        <w:tc>
          <w:tcPr>
            <w:tcW w:w="1344" w:type="dxa"/>
            <w:shd w:val="clear" w:color="auto" w:fill="DBE5F1" w:themeFill="accent1" w:themeFillTint="33"/>
            <w:noWrap/>
            <w:vAlign w:val="center"/>
            <w:hideMark/>
          </w:tcPr>
          <w:p w14:paraId="5A122250" w14:textId="77777777" w:rsidR="00B12CF6" w:rsidRPr="00BF7CB6" w:rsidRDefault="00B12CF6" w:rsidP="00733935">
            <w:pPr>
              <w:spacing w:before="0" w:line="240" w:lineRule="auto"/>
              <w:ind w:firstLine="0"/>
              <w:contextualSpacing w:val="0"/>
              <w:jc w:val="center"/>
              <w:rPr>
                <w:rFonts w:cs="Calibri"/>
                <w:b w:val="0"/>
                <w:sz w:val="20"/>
                <w:szCs w:val="20"/>
                <w:lang w:val="en-US" w:eastAsia="en-US"/>
              </w:rPr>
            </w:pPr>
            <w:r w:rsidRPr="00BF7CB6">
              <w:rPr>
                <w:rFonts w:cs="Calibri"/>
                <w:b w:val="0"/>
                <w:sz w:val="20"/>
                <w:szCs w:val="20"/>
                <w:lang w:val="en-US" w:eastAsia="en-US"/>
              </w:rPr>
              <w:t>63,947.9</w:t>
            </w:r>
          </w:p>
        </w:tc>
        <w:tc>
          <w:tcPr>
            <w:tcW w:w="1343" w:type="dxa"/>
            <w:shd w:val="clear" w:color="auto" w:fill="DBE5F1" w:themeFill="accent1" w:themeFillTint="33"/>
            <w:noWrap/>
            <w:vAlign w:val="center"/>
            <w:hideMark/>
          </w:tcPr>
          <w:p w14:paraId="04BB31F4" w14:textId="3E745526" w:rsidR="00B12CF6" w:rsidRPr="002401FD" w:rsidRDefault="00B12CF6" w:rsidP="00733935">
            <w:pPr>
              <w:spacing w:before="0" w:line="240" w:lineRule="auto"/>
              <w:ind w:firstLine="0"/>
              <w:contextualSpacing w:val="0"/>
              <w:jc w:val="center"/>
              <w:rPr>
                <w:rFonts w:cs="Calibri"/>
                <w:b w:val="0"/>
                <w:sz w:val="20"/>
                <w:szCs w:val="20"/>
                <w:lang w:val="hy-AM" w:eastAsia="en-US"/>
              </w:rPr>
            </w:pPr>
            <w:r>
              <w:rPr>
                <w:rFonts w:cs="Calibri"/>
                <w:b w:val="0"/>
                <w:sz w:val="20"/>
                <w:szCs w:val="20"/>
                <w:lang w:val="hy-AM" w:eastAsia="en-US"/>
              </w:rPr>
              <w:t>333</w:t>
            </w:r>
            <w:r w:rsidRPr="00BF7CB6">
              <w:rPr>
                <w:rFonts w:cs="Calibri"/>
                <w:b w:val="0"/>
                <w:sz w:val="20"/>
                <w:szCs w:val="20"/>
                <w:lang w:val="en-US" w:eastAsia="en-US"/>
              </w:rPr>
              <w:t>,</w:t>
            </w:r>
            <w:r>
              <w:rPr>
                <w:rFonts w:cs="Calibri"/>
                <w:b w:val="0"/>
                <w:sz w:val="20"/>
                <w:szCs w:val="20"/>
                <w:lang w:val="hy-AM" w:eastAsia="en-US"/>
              </w:rPr>
              <w:t>991</w:t>
            </w:r>
            <w:r w:rsidRPr="00BF7CB6">
              <w:rPr>
                <w:rFonts w:cs="Calibri"/>
                <w:b w:val="0"/>
                <w:sz w:val="20"/>
                <w:szCs w:val="20"/>
                <w:lang w:val="en-US" w:eastAsia="en-US"/>
              </w:rPr>
              <w:t>.</w:t>
            </w:r>
            <w:r w:rsidR="001B683D">
              <w:rPr>
                <w:rFonts w:cs="Calibri"/>
                <w:b w:val="0"/>
                <w:sz w:val="20"/>
                <w:szCs w:val="20"/>
                <w:lang w:val="hy-AM" w:eastAsia="en-US"/>
              </w:rPr>
              <w:t>8</w:t>
            </w:r>
          </w:p>
        </w:tc>
        <w:tc>
          <w:tcPr>
            <w:tcW w:w="1469" w:type="dxa"/>
            <w:shd w:val="clear" w:color="auto" w:fill="DBE5F1" w:themeFill="accent1" w:themeFillTint="33"/>
            <w:noWrap/>
            <w:vAlign w:val="center"/>
          </w:tcPr>
          <w:p w14:paraId="1C781DC8"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Pr>
                <w:rFonts w:cs="Calibri"/>
                <w:b w:val="0"/>
                <w:sz w:val="20"/>
                <w:szCs w:val="20"/>
                <w:lang w:val="en-US" w:eastAsia="en-US"/>
              </w:rPr>
              <w:t>341,414.6</w:t>
            </w:r>
          </w:p>
        </w:tc>
        <w:tc>
          <w:tcPr>
            <w:tcW w:w="1219" w:type="dxa"/>
            <w:shd w:val="clear" w:color="auto" w:fill="DBE5F1" w:themeFill="accent1" w:themeFillTint="33"/>
            <w:vAlign w:val="center"/>
            <w:hideMark/>
          </w:tcPr>
          <w:p w14:paraId="471B47B7" w14:textId="13D46FBB" w:rsidR="00B12CF6" w:rsidRPr="00576C53" w:rsidRDefault="00F14340" w:rsidP="00866F8F">
            <w:pPr>
              <w:spacing w:before="0" w:line="240" w:lineRule="auto"/>
              <w:ind w:firstLine="0"/>
              <w:contextualSpacing w:val="0"/>
              <w:jc w:val="center"/>
              <w:rPr>
                <w:rFonts w:cs="Calibri"/>
                <w:b w:val="0"/>
                <w:sz w:val="20"/>
                <w:szCs w:val="20"/>
                <w:lang w:val="hy-AM" w:eastAsia="en-US"/>
              </w:rPr>
            </w:pPr>
            <w:r>
              <w:rPr>
                <w:rFonts w:cs="Calibri"/>
                <w:b w:val="0"/>
                <w:sz w:val="20"/>
                <w:szCs w:val="20"/>
                <w:lang w:val="en-US" w:eastAsia="en-US"/>
              </w:rPr>
              <w:t>236</w:t>
            </w:r>
            <w:r w:rsidR="00B12CF6" w:rsidRPr="00282E66">
              <w:rPr>
                <w:rFonts w:cs="Calibri"/>
                <w:b w:val="0"/>
                <w:sz w:val="20"/>
                <w:szCs w:val="20"/>
                <w:lang w:val="en-US" w:eastAsia="en-US"/>
              </w:rPr>
              <w:t>,</w:t>
            </w:r>
            <w:r>
              <w:rPr>
                <w:rFonts w:cs="Calibri"/>
                <w:b w:val="0"/>
                <w:sz w:val="20"/>
                <w:szCs w:val="20"/>
                <w:lang w:val="hy-AM" w:eastAsia="en-US"/>
              </w:rPr>
              <w:t>255</w:t>
            </w:r>
            <w:r w:rsidR="00B12CF6">
              <w:rPr>
                <w:rFonts w:cs="Calibri"/>
                <w:b w:val="0"/>
                <w:sz w:val="20"/>
                <w:szCs w:val="20"/>
                <w:lang w:val="hy-AM" w:eastAsia="en-US"/>
              </w:rPr>
              <w:t>.</w:t>
            </w:r>
            <w:r>
              <w:rPr>
                <w:rFonts w:cs="Calibri"/>
                <w:b w:val="0"/>
                <w:sz w:val="20"/>
                <w:szCs w:val="20"/>
                <w:lang w:val="en-US" w:eastAsia="en-US"/>
              </w:rPr>
              <w:t>7</w:t>
            </w:r>
          </w:p>
        </w:tc>
      </w:tr>
      <w:tr w:rsidR="00B12CF6" w:rsidRPr="00BF7CB6" w14:paraId="027C0957" w14:textId="77777777" w:rsidTr="00733935">
        <w:trPr>
          <w:trHeight w:val="620"/>
        </w:trPr>
        <w:tc>
          <w:tcPr>
            <w:tcW w:w="2610" w:type="dxa"/>
            <w:shd w:val="clear" w:color="auto" w:fill="auto"/>
            <w:vAlign w:val="center"/>
            <w:hideMark/>
          </w:tcPr>
          <w:p w14:paraId="62FFF374" w14:textId="77777777" w:rsidR="00B12CF6" w:rsidRPr="00BF7CB6" w:rsidRDefault="00B12CF6" w:rsidP="00733935">
            <w:pPr>
              <w:spacing w:before="0" w:line="276" w:lineRule="auto"/>
              <w:ind w:firstLine="0"/>
              <w:contextualSpacing w:val="0"/>
              <w:jc w:val="left"/>
              <w:rPr>
                <w:rFonts w:cs="Calibri"/>
                <w:b w:val="0"/>
                <w:color w:val="000000"/>
                <w:sz w:val="20"/>
                <w:szCs w:val="20"/>
                <w:lang w:val="en-US" w:eastAsia="en-US"/>
              </w:rPr>
            </w:pPr>
            <w:r w:rsidRPr="00BF7CB6">
              <w:rPr>
                <w:rFonts w:cs="Calibri"/>
                <w:b w:val="0"/>
                <w:color w:val="000000"/>
                <w:sz w:val="20"/>
                <w:szCs w:val="20"/>
                <w:lang w:val="en-US" w:eastAsia="en-US"/>
              </w:rPr>
              <w:t>Ա.Ներքին աղբյուրներ-ընդամենը</w:t>
            </w:r>
          </w:p>
        </w:tc>
        <w:tc>
          <w:tcPr>
            <w:tcW w:w="1343" w:type="dxa"/>
            <w:shd w:val="clear" w:color="auto" w:fill="auto"/>
            <w:noWrap/>
            <w:vAlign w:val="center"/>
            <w:hideMark/>
          </w:tcPr>
          <w:p w14:paraId="102B87A1"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69,364.0</w:t>
            </w:r>
          </w:p>
        </w:tc>
        <w:tc>
          <w:tcPr>
            <w:tcW w:w="1344" w:type="dxa"/>
            <w:shd w:val="clear" w:color="auto" w:fill="auto"/>
            <w:noWrap/>
            <w:vAlign w:val="center"/>
            <w:hideMark/>
          </w:tcPr>
          <w:p w14:paraId="70FEE0D6"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(13,317.2)</w:t>
            </w:r>
          </w:p>
        </w:tc>
        <w:tc>
          <w:tcPr>
            <w:tcW w:w="1343" w:type="dxa"/>
            <w:shd w:val="clear" w:color="auto" w:fill="auto"/>
            <w:noWrap/>
            <w:vAlign w:val="center"/>
            <w:hideMark/>
          </w:tcPr>
          <w:p w14:paraId="7D04582A" w14:textId="76CF5F58" w:rsidR="00B12CF6" w:rsidRPr="002401FD" w:rsidRDefault="00B12CF6" w:rsidP="00733935">
            <w:pPr>
              <w:spacing w:before="0" w:line="276" w:lineRule="auto"/>
              <w:ind w:firstLine="0"/>
              <w:contextualSpacing w:val="0"/>
              <w:jc w:val="center"/>
              <w:rPr>
                <w:rFonts w:cs="Calibri"/>
                <w:b w:val="0"/>
                <w:color w:val="000000"/>
                <w:sz w:val="20"/>
                <w:szCs w:val="20"/>
                <w:lang w:val="hy-AM" w:eastAsia="en-US"/>
              </w:rPr>
            </w:pPr>
            <w:r>
              <w:rPr>
                <w:rFonts w:cs="Calibri"/>
                <w:b w:val="0"/>
                <w:color w:val="000000"/>
                <w:sz w:val="20"/>
                <w:szCs w:val="20"/>
                <w:lang w:val="hy-AM" w:eastAsia="en-US"/>
              </w:rPr>
              <w:t>359</w:t>
            </w:r>
            <w:r w:rsidRPr="00BF7CB6">
              <w:rPr>
                <w:rFonts w:cs="Calibri"/>
                <w:b w:val="0"/>
                <w:color w:val="000000"/>
                <w:sz w:val="20"/>
                <w:szCs w:val="20"/>
                <w:lang w:val="en-US" w:eastAsia="en-US"/>
              </w:rPr>
              <w:t>,</w:t>
            </w:r>
            <w:r w:rsidR="001B683D">
              <w:rPr>
                <w:rFonts w:cs="Calibri"/>
                <w:b w:val="0"/>
                <w:color w:val="000000"/>
                <w:sz w:val="20"/>
                <w:szCs w:val="20"/>
                <w:lang w:val="hy-AM" w:eastAsia="en-US"/>
              </w:rPr>
              <w:t>379.0</w:t>
            </w:r>
          </w:p>
        </w:tc>
        <w:tc>
          <w:tcPr>
            <w:tcW w:w="1469" w:type="dxa"/>
            <w:shd w:val="clear" w:color="auto" w:fill="auto"/>
            <w:noWrap/>
            <w:vAlign w:val="center"/>
          </w:tcPr>
          <w:p w14:paraId="2AB74F27"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Pr>
                <w:rFonts w:cs="Calibri"/>
                <w:b w:val="0"/>
                <w:color w:val="000000"/>
                <w:sz w:val="20"/>
                <w:szCs w:val="20"/>
                <w:lang w:val="en-US" w:eastAsia="en-US"/>
              </w:rPr>
              <w:t>138,686.6</w:t>
            </w:r>
          </w:p>
        </w:tc>
        <w:tc>
          <w:tcPr>
            <w:tcW w:w="1219" w:type="dxa"/>
            <w:shd w:val="clear" w:color="auto" w:fill="auto"/>
            <w:vAlign w:val="center"/>
          </w:tcPr>
          <w:p w14:paraId="55644370" w14:textId="45452FF2" w:rsidR="00B12CF6" w:rsidRPr="00576C53" w:rsidRDefault="00F14340" w:rsidP="00733935">
            <w:pPr>
              <w:spacing w:before="0" w:line="240" w:lineRule="auto"/>
              <w:ind w:firstLine="0"/>
              <w:contextualSpacing w:val="0"/>
              <w:jc w:val="center"/>
              <w:rPr>
                <w:rFonts w:cs="Calibri"/>
                <w:b w:val="0"/>
                <w:sz w:val="20"/>
                <w:szCs w:val="20"/>
                <w:lang w:eastAsia="en-US"/>
              </w:rPr>
            </w:pPr>
            <w:r>
              <w:rPr>
                <w:rFonts w:cs="Calibri"/>
                <w:b w:val="0"/>
                <w:sz w:val="20"/>
                <w:szCs w:val="20"/>
                <w:lang w:val="en-US" w:eastAsia="en-US"/>
              </w:rPr>
              <w:t>272</w:t>
            </w:r>
            <w:r w:rsidR="00B12CF6">
              <w:rPr>
                <w:rFonts w:cs="Calibri"/>
                <w:b w:val="0"/>
                <w:sz w:val="20"/>
                <w:szCs w:val="20"/>
                <w:lang w:val="en-US" w:eastAsia="en-US"/>
              </w:rPr>
              <w:t>,</w:t>
            </w:r>
            <w:r>
              <w:rPr>
                <w:rFonts w:cs="Calibri"/>
                <w:b w:val="0"/>
                <w:sz w:val="20"/>
                <w:szCs w:val="20"/>
                <w:lang w:val="hy-AM" w:eastAsia="en-US"/>
              </w:rPr>
              <w:t>217</w:t>
            </w:r>
            <w:r w:rsidR="00B12CF6" w:rsidRPr="00282E66">
              <w:rPr>
                <w:rFonts w:cs="Calibri"/>
                <w:b w:val="0"/>
                <w:sz w:val="20"/>
                <w:szCs w:val="20"/>
                <w:lang w:val="en-US" w:eastAsia="en-US"/>
              </w:rPr>
              <w:t>.</w:t>
            </w:r>
            <w:r>
              <w:rPr>
                <w:rFonts w:cs="Calibri"/>
                <w:b w:val="0"/>
                <w:sz w:val="20"/>
                <w:szCs w:val="20"/>
                <w:lang w:val="hy-AM" w:eastAsia="en-US"/>
              </w:rPr>
              <w:t>6</w:t>
            </w:r>
          </w:p>
        </w:tc>
      </w:tr>
      <w:tr w:rsidR="00B12CF6" w:rsidRPr="00F14340" w14:paraId="36C2593B" w14:textId="77777777" w:rsidTr="00733935">
        <w:trPr>
          <w:trHeight w:val="809"/>
        </w:trPr>
        <w:tc>
          <w:tcPr>
            <w:tcW w:w="2610" w:type="dxa"/>
            <w:shd w:val="clear" w:color="auto" w:fill="auto"/>
            <w:vAlign w:val="center"/>
            <w:hideMark/>
          </w:tcPr>
          <w:p w14:paraId="6B7F066D" w14:textId="77777777" w:rsidR="00B12CF6" w:rsidRPr="00BF7CB6" w:rsidRDefault="00B12CF6" w:rsidP="00733935">
            <w:pPr>
              <w:spacing w:before="0" w:line="276" w:lineRule="auto"/>
              <w:ind w:firstLine="0"/>
              <w:contextualSpacing w:val="0"/>
              <w:jc w:val="left"/>
              <w:rPr>
                <w:rFonts w:cs="Calibri"/>
                <w:b w:val="0"/>
                <w:color w:val="000000"/>
                <w:sz w:val="20"/>
                <w:szCs w:val="20"/>
                <w:lang w:val="en-US" w:eastAsia="en-US"/>
              </w:rPr>
            </w:pPr>
            <w:r w:rsidRPr="00BF7CB6">
              <w:rPr>
                <w:rFonts w:cs="Calibri"/>
                <w:b w:val="0"/>
                <w:color w:val="000000"/>
                <w:sz w:val="20"/>
                <w:szCs w:val="20"/>
                <w:lang w:val="en-US" w:eastAsia="en-US"/>
              </w:rPr>
              <w:t>Բ. Արտաքին աղբյուրներ - ընդամենը</w:t>
            </w:r>
          </w:p>
        </w:tc>
        <w:tc>
          <w:tcPr>
            <w:tcW w:w="1343" w:type="dxa"/>
            <w:shd w:val="clear" w:color="auto" w:fill="auto"/>
            <w:noWrap/>
            <w:vAlign w:val="center"/>
            <w:hideMark/>
          </w:tcPr>
          <w:p w14:paraId="032669CE"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36,028.4</w:t>
            </w:r>
          </w:p>
        </w:tc>
        <w:tc>
          <w:tcPr>
            <w:tcW w:w="1344" w:type="dxa"/>
            <w:shd w:val="clear" w:color="auto" w:fill="auto"/>
            <w:noWrap/>
            <w:vAlign w:val="center"/>
            <w:hideMark/>
          </w:tcPr>
          <w:p w14:paraId="73B5C518" w14:textId="77777777" w:rsidR="00B12CF6" w:rsidRPr="00BF7CB6" w:rsidRDefault="00B12CF6" w:rsidP="00733935">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77,265.2</w:t>
            </w:r>
          </w:p>
        </w:tc>
        <w:tc>
          <w:tcPr>
            <w:tcW w:w="1343" w:type="dxa"/>
            <w:shd w:val="clear" w:color="auto" w:fill="auto"/>
            <w:noWrap/>
            <w:vAlign w:val="center"/>
            <w:hideMark/>
          </w:tcPr>
          <w:p w14:paraId="1F5731F1" w14:textId="278EDAED" w:rsidR="00B12CF6" w:rsidRPr="00BF7CB6" w:rsidRDefault="00B12CF6" w:rsidP="001B683D">
            <w:pPr>
              <w:spacing w:before="0" w:line="276" w:lineRule="auto"/>
              <w:ind w:firstLine="0"/>
              <w:contextualSpacing w:val="0"/>
              <w:jc w:val="center"/>
              <w:rPr>
                <w:rFonts w:cs="Calibri"/>
                <w:b w:val="0"/>
                <w:color w:val="000000"/>
                <w:sz w:val="20"/>
                <w:szCs w:val="20"/>
                <w:lang w:val="en-US" w:eastAsia="en-US"/>
              </w:rPr>
            </w:pPr>
            <w:r w:rsidRPr="00BF7CB6">
              <w:rPr>
                <w:rFonts w:cs="Calibri"/>
                <w:b w:val="0"/>
                <w:color w:val="000000"/>
                <w:sz w:val="20"/>
                <w:szCs w:val="20"/>
                <w:lang w:val="en-US" w:eastAsia="en-US"/>
              </w:rPr>
              <w:t>(</w:t>
            </w:r>
            <w:r>
              <w:rPr>
                <w:rFonts w:cs="Calibri"/>
                <w:b w:val="0"/>
                <w:color w:val="000000"/>
                <w:sz w:val="20"/>
                <w:szCs w:val="20"/>
                <w:lang w:val="hy-AM" w:eastAsia="en-US"/>
              </w:rPr>
              <w:t>25</w:t>
            </w:r>
            <w:r w:rsidRPr="00BF7CB6">
              <w:rPr>
                <w:rFonts w:cs="Calibri"/>
                <w:b w:val="0"/>
                <w:color w:val="000000"/>
                <w:sz w:val="20"/>
                <w:szCs w:val="20"/>
                <w:lang w:val="en-US" w:eastAsia="en-US"/>
              </w:rPr>
              <w:t>,</w:t>
            </w:r>
            <w:r>
              <w:rPr>
                <w:rFonts w:cs="Calibri"/>
                <w:b w:val="0"/>
                <w:color w:val="000000"/>
                <w:sz w:val="20"/>
                <w:szCs w:val="20"/>
                <w:lang w:val="hy-AM" w:eastAsia="en-US"/>
              </w:rPr>
              <w:t>387</w:t>
            </w:r>
            <w:r w:rsidRPr="00BF7CB6">
              <w:rPr>
                <w:rFonts w:cs="Calibri"/>
                <w:b w:val="0"/>
                <w:color w:val="000000"/>
                <w:sz w:val="20"/>
                <w:szCs w:val="20"/>
                <w:lang w:val="en-US" w:eastAsia="en-US"/>
              </w:rPr>
              <w:t>.</w:t>
            </w:r>
            <w:r w:rsidR="001B683D">
              <w:rPr>
                <w:rFonts w:cs="Calibri"/>
                <w:b w:val="0"/>
                <w:color w:val="000000"/>
                <w:sz w:val="20"/>
                <w:szCs w:val="20"/>
                <w:lang w:val="en-US" w:eastAsia="en-US"/>
              </w:rPr>
              <w:t>2</w:t>
            </w:r>
            <w:r w:rsidRPr="00BF7CB6">
              <w:rPr>
                <w:rFonts w:cs="Calibri"/>
                <w:b w:val="0"/>
                <w:color w:val="000000"/>
                <w:sz w:val="20"/>
                <w:szCs w:val="20"/>
                <w:lang w:val="en-US" w:eastAsia="en-US"/>
              </w:rPr>
              <w:t>)</w:t>
            </w:r>
          </w:p>
        </w:tc>
        <w:tc>
          <w:tcPr>
            <w:tcW w:w="1469" w:type="dxa"/>
            <w:shd w:val="clear" w:color="auto" w:fill="auto"/>
            <w:noWrap/>
            <w:vAlign w:val="center"/>
          </w:tcPr>
          <w:p w14:paraId="6F23BDA5" w14:textId="77777777" w:rsidR="00B12CF6" w:rsidRPr="00282E66" w:rsidRDefault="00B12CF6" w:rsidP="00733935">
            <w:pPr>
              <w:spacing w:before="0" w:line="240" w:lineRule="auto"/>
              <w:ind w:firstLine="0"/>
              <w:contextualSpacing w:val="0"/>
              <w:jc w:val="center"/>
              <w:rPr>
                <w:rFonts w:cs="Calibri"/>
                <w:b w:val="0"/>
                <w:sz w:val="20"/>
                <w:szCs w:val="20"/>
                <w:lang w:val="en-US" w:eastAsia="en-US"/>
              </w:rPr>
            </w:pPr>
            <w:r>
              <w:rPr>
                <w:rFonts w:cs="Calibri"/>
                <w:b w:val="0"/>
                <w:color w:val="000000"/>
                <w:sz w:val="20"/>
                <w:szCs w:val="20"/>
                <w:lang w:val="en-US" w:eastAsia="en-US"/>
              </w:rPr>
              <w:t>202,728.0</w:t>
            </w:r>
          </w:p>
        </w:tc>
        <w:tc>
          <w:tcPr>
            <w:tcW w:w="1219" w:type="dxa"/>
            <w:shd w:val="clear" w:color="auto" w:fill="auto"/>
            <w:vAlign w:val="center"/>
          </w:tcPr>
          <w:p w14:paraId="492F4DA4" w14:textId="394A56CA" w:rsidR="00B12CF6" w:rsidRPr="00282E66" w:rsidRDefault="00B12CF6" w:rsidP="00F14340">
            <w:pPr>
              <w:spacing w:before="0" w:line="240" w:lineRule="auto"/>
              <w:ind w:firstLine="0"/>
              <w:contextualSpacing w:val="0"/>
              <w:jc w:val="center"/>
              <w:rPr>
                <w:rFonts w:cs="Calibri"/>
                <w:b w:val="0"/>
                <w:sz w:val="20"/>
                <w:szCs w:val="20"/>
                <w:lang w:val="en-US" w:eastAsia="en-US"/>
              </w:rPr>
            </w:pPr>
            <w:r w:rsidRPr="00282E66">
              <w:rPr>
                <w:rFonts w:cs="Calibri"/>
                <w:b w:val="0"/>
                <w:sz w:val="20"/>
                <w:szCs w:val="20"/>
                <w:lang w:val="en-US" w:eastAsia="en-US"/>
              </w:rPr>
              <w:t>(</w:t>
            </w:r>
            <w:r w:rsidR="00F14340">
              <w:rPr>
                <w:rFonts w:cs="Calibri"/>
                <w:b w:val="0"/>
                <w:sz w:val="20"/>
                <w:szCs w:val="20"/>
                <w:lang w:val="en-US" w:eastAsia="en-US"/>
              </w:rPr>
              <w:t>35</w:t>
            </w:r>
            <w:r w:rsidRPr="00282E66">
              <w:rPr>
                <w:rFonts w:cs="Calibri"/>
                <w:b w:val="0"/>
                <w:sz w:val="20"/>
                <w:szCs w:val="20"/>
                <w:lang w:val="en-US" w:eastAsia="en-US"/>
              </w:rPr>
              <w:t>,</w:t>
            </w:r>
            <w:r w:rsidR="00F14340">
              <w:rPr>
                <w:rFonts w:cs="Calibri"/>
                <w:b w:val="0"/>
                <w:sz w:val="20"/>
                <w:szCs w:val="20"/>
                <w:lang w:val="en-US" w:eastAsia="en-US"/>
              </w:rPr>
              <w:t>961.9</w:t>
            </w:r>
            <w:r w:rsidRPr="00282E66">
              <w:rPr>
                <w:rFonts w:cs="Calibri"/>
                <w:b w:val="0"/>
                <w:sz w:val="20"/>
                <w:szCs w:val="20"/>
                <w:lang w:val="en-US" w:eastAsia="en-US"/>
              </w:rPr>
              <w:t>)</w:t>
            </w:r>
          </w:p>
        </w:tc>
      </w:tr>
    </w:tbl>
    <w:p w14:paraId="1FD3E987" w14:textId="77777777" w:rsidR="00B12CF6" w:rsidRDefault="00B12CF6" w:rsidP="00B12CF6">
      <w:pPr>
        <w:spacing w:before="0" w:line="276" w:lineRule="auto"/>
        <w:ind w:firstLine="360"/>
        <w:contextualSpacing w:val="0"/>
        <w:rPr>
          <w:rFonts w:cs="Sylfaen"/>
          <w:b w:val="0"/>
          <w:szCs w:val="22"/>
          <w:lang w:val="en-US" w:eastAsia="en-US"/>
        </w:rPr>
      </w:pPr>
    </w:p>
    <w:p w14:paraId="58E5FF4E" w14:textId="34762A8F" w:rsidR="00B12CF6" w:rsidRPr="00BF7CB6" w:rsidRDefault="00B12CF6" w:rsidP="00B12CF6">
      <w:pPr>
        <w:spacing w:before="0" w:line="276" w:lineRule="auto"/>
        <w:ind w:firstLine="360"/>
        <w:contextualSpacing w:val="0"/>
        <w:rPr>
          <w:b w:val="0"/>
          <w:szCs w:val="22"/>
          <w:lang w:val="hy-AM" w:eastAsia="en-US"/>
        </w:rPr>
      </w:pPr>
      <w:r w:rsidRPr="00BF7CB6">
        <w:rPr>
          <w:rFonts w:cs="Sylfaen"/>
          <w:b w:val="0"/>
          <w:szCs w:val="22"/>
          <w:lang w:val="en-US" w:eastAsia="en-US"/>
        </w:rPr>
        <w:t>Պետական</w:t>
      </w:r>
      <w:r w:rsidRPr="00B12CF6">
        <w:rPr>
          <w:b w:val="0"/>
          <w:szCs w:val="22"/>
          <w:lang w:val="en-US" w:eastAsia="en-US"/>
        </w:rPr>
        <w:t xml:space="preserve"> </w:t>
      </w:r>
      <w:r w:rsidRPr="00BF7CB6">
        <w:rPr>
          <w:rFonts w:cs="Sylfaen"/>
          <w:b w:val="0"/>
          <w:szCs w:val="22"/>
          <w:lang w:val="en-US" w:eastAsia="en-US"/>
        </w:rPr>
        <w:t>բյուջեի</w:t>
      </w:r>
      <w:r w:rsidRPr="00B12CF6">
        <w:rPr>
          <w:b w:val="0"/>
          <w:szCs w:val="22"/>
          <w:lang w:val="en-US" w:eastAsia="en-US"/>
        </w:rPr>
        <w:t xml:space="preserve"> </w:t>
      </w:r>
      <w:r w:rsidRPr="00BF7CB6">
        <w:rPr>
          <w:rFonts w:cs="Sylfaen"/>
          <w:b w:val="0"/>
          <w:szCs w:val="22"/>
          <w:lang w:val="en-US" w:eastAsia="en-US"/>
        </w:rPr>
        <w:t>դեֆիցիտի</w:t>
      </w:r>
      <w:r w:rsidRPr="00B12CF6">
        <w:rPr>
          <w:b w:val="0"/>
          <w:szCs w:val="22"/>
          <w:lang w:val="en-US" w:eastAsia="en-US"/>
        </w:rPr>
        <w:t xml:space="preserve"> </w:t>
      </w:r>
      <w:r w:rsidRPr="00BF7CB6">
        <w:rPr>
          <w:rFonts w:cs="Sylfaen"/>
          <w:b w:val="0"/>
          <w:szCs w:val="22"/>
          <w:lang w:val="en-US" w:eastAsia="en-US"/>
        </w:rPr>
        <w:t>հարաբերակցությունը</w:t>
      </w:r>
      <w:r w:rsidRPr="00B12CF6">
        <w:rPr>
          <w:b w:val="0"/>
          <w:szCs w:val="22"/>
          <w:lang w:val="en-US" w:eastAsia="en-US"/>
        </w:rPr>
        <w:t xml:space="preserve"> </w:t>
      </w:r>
      <w:r w:rsidRPr="00BF7CB6">
        <w:rPr>
          <w:rFonts w:cs="Sylfaen"/>
          <w:b w:val="0"/>
          <w:szCs w:val="22"/>
          <w:lang w:val="en-US" w:eastAsia="en-US"/>
        </w:rPr>
        <w:t>ՀՆԱ</w:t>
      </w:r>
      <w:r w:rsidRPr="00B12CF6">
        <w:rPr>
          <w:rFonts w:cs="Sylfaen"/>
          <w:b w:val="0"/>
          <w:szCs w:val="22"/>
          <w:lang w:val="en-US" w:eastAsia="en-US"/>
        </w:rPr>
        <w:t>-</w:t>
      </w:r>
      <w:r w:rsidRPr="00BF7CB6">
        <w:rPr>
          <w:rFonts w:cs="Sylfaen"/>
          <w:b w:val="0"/>
          <w:szCs w:val="22"/>
          <w:lang w:val="en-US" w:eastAsia="en-US"/>
        </w:rPr>
        <w:t>ի</w:t>
      </w:r>
      <w:r w:rsidRPr="00B12CF6">
        <w:rPr>
          <w:b w:val="0"/>
          <w:szCs w:val="22"/>
          <w:lang w:val="en-US" w:eastAsia="en-US"/>
        </w:rPr>
        <w:t xml:space="preserve"> </w:t>
      </w:r>
      <w:r w:rsidRPr="00BF7CB6">
        <w:rPr>
          <w:rFonts w:cs="Sylfaen"/>
          <w:b w:val="0"/>
          <w:szCs w:val="22"/>
          <w:lang w:val="en-US" w:eastAsia="en-US"/>
        </w:rPr>
        <w:t>նկատմամբ</w:t>
      </w:r>
      <w:r w:rsidRPr="00B12CF6">
        <w:rPr>
          <w:b w:val="0"/>
          <w:szCs w:val="22"/>
          <w:lang w:val="en-US" w:eastAsia="en-US"/>
        </w:rPr>
        <w:t xml:space="preserve"> 2022 </w:t>
      </w:r>
      <w:r w:rsidRPr="00BF7CB6">
        <w:rPr>
          <w:b w:val="0"/>
          <w:szCs w:val="22"/>
          <w:lang w:val="en-US" w:eastAsia="en-US"/>
        </w:rPr>
        <w:t>թվակա</w:t>
      </w:r>
      <w:r w:rsidRPr="00BF7CB6">
        <w:rPr>
          <w:rFonts w:cs="Sylfaen"/>
          <w:b w:val="0"/>
          <w:szCs w:val="22"/>
          <w:lang w:val="en-US" w:eastAsia="en-US"/>
        </w:rPr>
        <w:t>նին</w:t>
      </w:r>
      <w:r w:rsidRPr="00B12CF6">
        <w:rPr>
          <w:b w:val="0"/>
          <w:szCs w:val="22"/>
          <w:lang w:val="en-US" w:eastAsia="en-US"/>
        </w:rPr>
        <w:t xml:space="preserve"> </w:t>
      </w:r>
      <w:r w:rsidRPr="00BF7CB6">
        <w:rPr>
          <w:rFonts w:cs="Sylfaen"/>
          <w:b w:val="0"/>
          <w:szCs w:val="22"/>
          <w:lang w:val="en-US" w:eastAsia="en-US"/>
        </w:rPr>
        <w:t>կկազմի</w:t>
      </w:r>
      <w:r w:rsidR="00F14340">
        <w:rPr>
          <w:rFonts w:cs="Sylfaen"/>
          <w:b w:val="0"/>
          <w:szCs w:val="22"/>
          <w:lang w:val="en-US" w:eastAsia="en-US"/>
        </w:rPr>
        <w:t xml:space="preserve"> 3.0</w:t>
      </w:r>
      <w:r w:rsidRPr="00B12CF6">
        <w:rPr>
          <w:b w:val="0"/>
          <w:szCs w:val="22"/>
          <w:lang w:val="en-US" w:eastAsia="en-US"/>
        </w:rPr>
        <w:t xml:space="preserve">%: </w:t>
      </w:r>
      <w:r w:rsidRPr="00BF7CB6">
        <w:rPr>
          <w:rFonts w:cs="Sylfaen"/>
          <w:b w:val="0"/>
          <w:szCs w:val="22"/>
          <w:lang w:val="en-US" w:eastAsia="en-US"/>
        </w:rPr>
        <w:t>Ինչպես</w:t>
      </w:r>
      <w:r w:rsidRPr="00B12CF6">
        <w:rPr>
          <w:rFonts w:cs="Sylfaen"/>
          <w:b w:val="0"/>
          <w:szCs w:val="22"/>
          <w:lang w:val="en-US" w:eastAsia="en-US"/>
        </w:rPr>
        <w:t xml:space="preserve"> 2022-2024</w:t>
      </w:r>
      <w:r w:rsidRPr="00BF7CB6">
        <w:rPr>
          <w:rFonts w:cs="Sylfaen"/>
          <w:b w:val="0"/>
          <w:szCs w:val="22"/>
          <w:lang w:val="en-US" w:eastAsia="en-US"/>
        </w:rPr>
        <w:t>թթ</w:t>
      </w:r>
      <w:r w:rsidRPr="00B12CF6">
        <w:rPr>
          <w:rFonts w:cs="Sylfaen"/>
          <w:b w:val="0"/>
          <w:szCs w:val="22"/>
          <w:lang w:val="en-US" w:eastAsia="en-US"/>
        </w:rPr>
        <w:t xml:space="preserve"> </w:t>
      </w:r>
      <w:r w:rsidRPr="00BF7CB6">
        <w:rPr>
          <w:rFonts w:cs="Sylfaen"/>
          <w:b w:val="0"/>
          <w:szCs w:val="22"/>
          <w:lang w:val="en-US" w:eastAsia="en-US"/>
        </w:rPr>
        <w:t>միջնաժամկետ</w:t>
      </w:r>
      <w:r w:rsidRPr="00B12CF6">
        <w:rPr>
          <w:rFonts w:cs="Sylfaen"/>
          <w:b w:val="0"/>
          <w:szCs w:val="22"/>
          <w:lang w:val="en-US" w:eastAsia="en-US"/>
        </w:rPr>
        <w:t xml:space="preserve"> </w:t>
      </w:r>
      <w:r w:rsidRPr="00BF7CB6">
        <w:rPr>
          <w:rFonts w:cs="Sylfaen"/>
          <w:b w:val="0"/>
          <w:szCs w:val="22"/>
          <w:lang w:val="en-US" w:eastAsia="en-US"/>
        </w:rPr>
        <w:t>ծախսային</w:t>
      </w:r>
      <w:r w:rsidRPr="00B12CF6">
        <w:rPr>
          <w:rFonts w:cs="Sylfaen"/>
          <w:b w:val="0"/>
          <w:szCs w:val="22"/>
          <w:lang w:val="en-US" w:eastAsia="en-US"/>
        </w:rPr>
        <w:t xml:space="preserve"> </w:t>
      </w:r>
      <w:r w:rsidRPr="00BF7CB6">
        <w:rPr>
          <w:rFonts w:cs="Sylfaen"/>
          <w:b w:val="0"/>
          <w:szCs w:val="22"/>
          <w:lang w:val="en-US" w:eastAsia="en-US"/>
        </w:rPr>
        <w:t>ծրագրում</w:t>
      </w:r>
      <w:r w:rsidRPr="00B12CF6">
        <w:rPr>
          <w:rFonts w:cs="Sylfaen"/>
          <w:b w:val="0"/>
          <w:szCs w:val="22"/>
          <w:lang w:val="en-US" w:eastAsia="en-US"/>
        </w:rPr>
        <w:t xml:space="preserve">, </w:t>
      </w:r>
      <w:r w:rsidRPr="00BF7CB6">
        <w:rPr>
          <w:rFonts w:cs="Sylfaen"/>
          <w:b w:val="0"/>
          <w:szCs w:val="22"/>
          <w:lang w:val="en-US" w:eastAsia="en-US"/>
        </w:rPr>
        <w:t>ՀՀ</w:t>
      </w:r>
      <w:r w:rsidRPr="00B12CF6">
        <w:rPr>
          <w:rFonts w:cs="Sylfaen"/>
          <w:b w:val="0"/>
          <w:szCs w:val="22"/>
          <w:lang w:val="en-US" w:eastAsia="en-US"/>
        </w:rPr>
        <w:t xml:space="preserve"> 2022</w:t>
      </w:r>
      <w:r w:rsidRPr="00BF7CB6">
        <w:rPr>
          <w:rFonts w:cs="Sylfaen"/>
          <w:b w:val="0"/>
          <w:szCs w:val="22"/>
          <w:lang w:val="en-US" w:eastAsia="en-US"/>
        </w:rPr>
        <w:t>թ</w:t>
      </w:r>
      <w:r w:rsidRPr="00B12CF6">
        <w:rPr>
          <w:rFonts w:cs="Sylfaen"/>
          <w:b w:val="0"/>
          <w:szCs w:val="22"/>
          <w:lang w:val="en-US" w:eastAsia="en-US"/>
        </w:rPr>
        <w:t xml:space="preserve"> </w:t>
      </w:r>
      <w:r w:rsidRPr="00BF7CB6">
        <w:rPr>
          <w:rFonts w:cs="Sylfaen"/>
          <w:b w:val="0"/>
          <w:szCs w:val="22"/>
          <w:lang w:val="en-US" w:eastAsia="en-US"/>
        </w:rPr>
        <w:t>բյուջեում</w:t>
      </w:r>
      <w:r w:rsidRPr="00B12CF6">
        <w:rPr>
          <w:rFonts w:cs="Sylfaen"/>
          <w:b w:val="0"/>
          <w:szCs w:val="22"/>
          <w:lang w:val="en-US" w:eastAsia="en-US"/>
        </w:rPr>
        <w:t xml:space="preserve"> </w:t>
      </w:r>
      <w:r w:rsidRPr="00BF7CB6">
        <w:rPr>
          <w:rFonts w:cs="Sylfaen"/>
          <w:b w:val="0"/>
          <w:szCs w:val="22"/>
          <w:lang w:val="en-US" w:eastAsia="en-US"/>
        </w:rPr>
        <w:t>նույն</w:t>
      </w:r>
      <w:r w:rsidRPr="00B12CF6">
        <w:rPr>
          <w:rFonts w:cs="Sylfaen"/>
          <w:b w:val="0"/>
          <w:szCs w:val="22"/>
          <w:lang w:val="en-US" w:eastAsia="en-US"/>
        </w:rPr>
        <w:softHyphen/>
      </w:r>
      <w:r w:rsidRPr="00B12CF6">
        <w:rPr>
          <w:rFonts w:cs="Sylfaen"/>
          <w:b w:val="0"/>
          <w:szCs w:val="22"/>
          <w:lang w:val="en-US" w:eastAsia="en-US"/>
        </w:rPr>
        <w:softHyphen/>
      </w:r>
      <w:r w:rsidRPr="00BF7CB6">
        <w:rPr>
          <w:rFonts w:cs="Sylfaen"/>
          <w:b w:val="0"/>
          <w:szCs w:val="22"/>
          <w:lang w:val="en-US" w:eastAsia="en-US"/>
        </w:rPr>
        <w:t>պես</w:t>
      </w:r>
      <w:r w:rsidRPr="00B12CF6">
        <w:rPr>
          <w:rFonts w:cs="Sylfaen"/>
          <w:b w:val="0"/>
          <w:szCs w:val="22"/>
          <w:lang w:val="en-US" w:eastAsia="en-US"/>
        </w:rPr>
        <w:t xml:space="preserve"> </w:t>
      </w:r>
      <w:r w:rsidRPr="00BF7CB6">
        <w:rPr>
          <w:rFonts w:cs="Sylfaen"/>
          <w:b w:val="0"/>
          <w:szCs w:val="22"/>
          <w:lang w:val="en-US" w:eastAsia="en-US"/>
        </w:rPr>
        <w:t>պահպանվել</w:t>
      </w:r>
      <w:r w:rsidRPr="00B12CF6">
        <w:rPr>
          <w:rFonts w:cs="Sylfaen"/>
          <w:b w:val="0"/>
          <w:szCs w:val="22"/>
          <w:lang w:val="en-US" w:eastAsia="en-US"/>
        </w:rPr>
        <w:t xml:space="preserve"> </w:t>
      </w:r>
      <w:r w:rsidRPr="00BF7CB6">
        <w:rPr>
          <w:rFonts w:cs="Sylfaen"/>
          <w:b w:val="0"/>
          <w:szCs w:val="22"/>
          <w:lang w:val="en-US" w:eastAsia="en-US"/>
        </w:rPr>
        <w:t>է</w:t>
      </w:r>
      <w:r w:rsidRPr="00B12CF6">
        <w:rPr>
          <w:rFonts w:cs="Sylfaen"/>
          <w:b w:val="0"/>
          <w:szCs w:val="22"/>
          <w:lang w:val="en-US" w:eastAsia="en-US"/>
        </w:rPr>
        <w:t xml:space="preserve"> </w:t>
      </w:r>
      <w:r w:rsidRPr="00BF7CB6">
        <w:rPr>
          <w:rFonts w:cs="Sylfaen"/>
          <w:b w:val="0"/>
          <w:szCs w:val="22"/>
          <w:lang w:val="hy-AM" w:eastAsia="en-US"/>
        </w:rPr>
        <w:t>ՀՀ</w:t>
      </w:r>
      <w:r w:rsidRPr="00BF7CB6">
        <w:rPr>
          <w:b w:val="0"/>
          <w:szCs w:val="22"/>
          <w:lang w:val="hy-AM" w:eastAsia="en-US"/>
        </w:rPr>
        <w:t xml:space="preserve"> </w:t>
      </w:r>
      <w:r w:rsidRPr="00BF7CB6">
        <w:rPr>
          <w:rFonts w:cs="Sylfaen"/>
          <w:b w:val="0"/>
          <w:szCs w:val="22"/>
          <w:lang w:val="hy-AM" w:eastAsia="en-US"/>
        </w:rPr>
        <w:t>պետական</w:t>
      </w:r>
      <w:r w:rsidRPr="00BF7CB6">
        <w:rPr>
          <w:b w:val="0"/>
          <w:szCs w:val="22"/>
          <w:lang w:val="hy-AM" w:eastAsia="en-US"/>
        </w:rPr>
        <w:t xml:space="preserve"> </w:t>
      </w:r>
      <w:r w:rsidRPr="00BF7CB6">
        <w:rPr>
          <w:rFonts w:cs="Sylfaen"/>
          <w:b w:val="0"/>
          <w:szCs w:val="22"/>
          <w:lang w:val="hy-AM" w:eastAsia="en-US"/>
        </w:rPr>
        <w:t>բյուջեի</w:t>
      </w:r>
      <w:r w:rsidRPr="00B12CF6">
        <w:rPr>
          <w:rFonts w:cs="Sylfaen"/>
          <w:b w:val="0"/>
          <w:szCs w:val="22"/>
          <w:lang w:val="en-US" w:eastAsia="en-US"/>
        </w:rPr>
        <w:t xml:space="preserve"> </w:t>
      </w:r>
      <w:r w:rsidRPr="00BF7CB6">
        <w:rPr>
          <w:rFonts w:cs="Sylfaen"/>
          <w:b w:val="0"/>
          <w:szCs w:val="22"/>
          <w:lang w:val="hy-AM" w:eastAsia="en-US"/>
        </w:rPr>
        <w:t>կախվա</w:t>
      </w:r>
      <w:r w:rsidRPr="00BF7CB6">
        <w:rPr>
          <w:rFonts w:cs="Sylfaen"/>
          <w:b w:val="0"/>
          <w:szCs w:val="22"/>
          <w:lang w:val="hy-AM" w:eastAsia="en-US"/>
        </w:rPr>
        <w:softHyphen/>
        <w:t>ծու</w:t>
      </w:r>
      <w:r w:rsidRPr="00BF7CB6">
        <w:rPr>
          <w:rFonts w:cs="Sylfaen"/>
          <w:b w:val="0"/>
          <w:szCs w:val="22"/>
          <w:lang w:val="hy-AM" w:eastAsia="en-US"/>
        </w:rPr>
        <w:softHyphen/>
        <w:t>թյունն</w:t>
      </w:r>
      <w:r w:rsidRPr="00BF7CB6">
        <w:rPr>
          <w:b w:val="0"/>
          <w:szCs w:val="22"/>
          <w:lang w:val="hy-AM" w:eastAsia="en-US"/>
        </w:rPr>
        <w:t xml:space="preserve"> </w:t>
      </w:r>
      <w:r w:rsidRPr="00BF7CB6">
        <w:rPr>
          <w:rFonts w:cs="Sylfaen"/>
          <w:b w:val="0"/>
          <w:szCs w:val="22"/>
          <w:lang w:val="hy-AM" w:eastAsia="en-US"/>
        </w:rPr>
        <w:t>արտաքին</w:t>
      </w:r>
      <w:r w:rsidRPr="00BF7CB6">
        <w:rPr>
          <w:b w:val="0"/>
          <w:szCs w:val="22"/>
          <w:lang w:val="hy-AM" w:eastAsia="en-US"/>
        </w:rPr>
        <w:t xml:space="preserve"> </w:t>
      </w:r>
      <w:r w:rsidRPr="00BF7CB6">
        <w:rPr>
          <w:rFonts w:cs="Sylfaen"/>
          <w:b w:val="0"/>
          <w:szCs w:val="22"/>
          <w:lang w:val="hy-AM" w:eastAsia="en-US"/>
        </w:rPr>
        <w:t>ֆինանսավորման</w:t>
      </w:r>
      <w:r w:rsidRPr="00BF7CB6">
        <w:rPr>
          <w:b w:val="0"/>
          <w:szCs w:val="22"/>
          <w:lang w:val="hy-AM" w:eastAsia="en-US"/>
        </w:rPr>
        <w:t xml:space="preserve"> </w:t>
      </w:r>
      <w:r w:rsidRPr="00BF7CB6">
        <w:rPr>
          <w:rFonts w:cs="Sylfaen"/>
          <w:b w:val="0"/>
          <w:szCs w:val="22"/>
          <w:lang w:val="hy-AM" w:eastAsia="en-US"/>
        </w:rPr>
        <w:t>աղբյուր</w:t>
      </w:r>
      <w:r w:rsidRPr="00B12CF6">
        <w:rPr>
          <w:rFonts w:cs="Sylfaen"/>
          <w:b w:val="0"/>
          <w:szCs w:val="22"/>
          <w:lang w:val="en-US" w:eastAsia="en-US"/>
        </w:rPr>
        <w:softHyphen/>
      </w:r>
      <w:r w:rsidRPr="00B12CF6">
        <w:rPr>
          <w:rFonts w:cs="Sylfaen"/>
          <w:b w:val="0"/>
          <w:szCs w:val="22"/>
          <w:lang w:val="en-US" w:eastAsia="en-US"/>
        </w:rPr>
        <w:softHyphen/>
      </w:r>
      <w:r w:rsidRPr="00BF7CB6">
        <w:rPr>
          <w:rFonts w:cs="Sylfaen"/>
          <w:b w:val="0"/>
          <w:szCs w:val="22"/>
          <w:lang w:val="hy-AM" w:eastAsia="en-US"/>
        </w:rPr>
        <w:t>ներից</w:t>
      </w:r>
      <w:r w:rsidRPr="00BF7CB6">
        <w:rPr>
          <w:b w:val="0"/>
          <w:szCs w:val="22"/>
          <w:lang w:val="hy-AM" w:eastAsia="en-US"/>
        </w:rPr>
        <w:t xml:space="preserve"> (</w:t>
      </w:r>
      <w:r w:rsidRPr="00BF7CB6">
        <w:rPr>
          <w:rFonts w:cs="Sylfaen"/>
          <w:b w:val="0"/>
          <w:szCs w:val="22"/>
          <w:lang w:val="hy-AM" w:eastAsia="en-US"/>
        </w:rPr>
        <w:t>արտասահմանյան</w:t>
      </w:r>
      <w:r w:rsidRPr="00BF7CB6">
        <w:rPr>
          <w:b w:val="0"/>
          <w:szCs w:val="22"/>
          <w:lang w:val="hy-AM" w:eastAsia="en-US"/>
        </w:rPr>
        <w:t xml:space="preserve"> </w:t>
      </w:r>
      <w:r w:rsidRPr="00BF7CB6">
        <w:rPr>
          <w:rFonts w:cs="Sylfaen"/>
          <w:b w:val="0"/>
          <w:szCs w:val="22"/>
          <w:lang w:val="hy-AM" w:eastAsia="en-US"/>
        </w:rPr>
        <w:t>վարկերից</w:t>
      </w:r>
      <w:r w:rsidRPr="00BF7CB6">
        <w:rPr>
          <w:b w:val="0"/>
          <w:szCs w:val="22"/>
          <w:lang w:val="hy-AM" w:eastAsia="en-US"/>
        </w:rPr>
        <w:t xml:space="preserve"> </w:t>
      </w:r>
      <w:r w:rsidRPr="00BF7CB6">
        <w:rPr>
          <w:rFonts w:cs="Sylfaen"/>
          <w:b w:val="0"/>
          <w:szCs w:val="22"/>
          <w:lang w:val="hy-AM" w:eastAsia="en-US"/>
        </w:rPr>
        <w:t>և</w:t>
      </w:r>
      <w:r w:rsidRPr="00BF7CB6">
        <w:rPr>
          <w:b w:val="0"/>
          <w:szCs w:val="22"/>
          <w:lang w:val="hy-AM" w:eastAsia="en-US"/>
        </w:rPr>
        <w:t xml:space="preserve"> </w:t>
      </w:r>
      <w:r w:rsidRPr="00BF7CB6">
        <w:rPr>
          <w:rFonts w:cs="Sylfaen"/>
          <w:b w:val="0"/>
          <w:szCs w:val="22"/>
          <w:lang w:val="hy-AM" w:eastAsia="en-US"/>
        </w:rPr>
        <w:t>պաշտո</w:t>
      </w:r>
      <w:r w:rsidRPr="00BF7CB6">
        <w:rPr>
          <w:rFonts w:cs="Sylfaen"/>
          <w:b w:val="0"/>
          <w:szCs w:val="22"/>
          <w:lang w:val="hy-AM" w:eastAsia="en-US"/>
        </w:rPr>
        <w:softHyphen/>
        <w:t>նական</w:t>
      </w:r>
      <w:r w:rsidRPr="00BF7CB6">
        <w:rPr>
          <w:b w:val="0"/>
          <w:szCs w:val="22"/>
          <w:lang w:val="hy-AM" w:eastAsia="en-US"/>
        </w:rPr>
        <w:t xml:space="preserve"> </w:t>
      </w:r>
      <w:r w:rsidRPr="00BF7CB6">
        <w:rPr>
          <w:rFonts w:cs="Sylfaen"/>
          <w:b w:val="0"/>
          <w:szCs w:val="22"/>
          <w:lang w:val="hy-AM" w:eastAsia="en-US"/>
        </w:rPr>
        <w:t>դրամաշնորհ</w:t>
      </w:r>
      <w:r w:rsidRPr="00BF7CB6">
        <w:rPr>
          <w:rFonts w:cs="Sylfaen"/>
          <w:b w:val="0"/>
          <w:szCs w:val="22"/>
          <w:lang w:val="hy-AM" w:eastAsia="en-US"/>
        </w:rPr>
        <w:softHyphen/>
        <w:t>ներից</w:t>
      </w:r>
      <w:r w:rsidRPr="00BF7CB6">
        <w:rPr>
          <w:b w:val="0"/>
          <w:szCs w:val="22"/>
          <w:lang w:val="hy-AM" w:eastAsia="en-US"/>
        </w:rPr>
        <w:t>):</w:t>
      </w:r>
    </w:p>
    <w:p w14:paraId="0A802922" w14:textId="77777777" w:rsidR="00B12CF6" w:rsidRPr="00B12CF6" w:rsidRDefault="00B12CF6" w:rsidP="00B12CF6">
      <w:pPr>
        <w:pStyle w:val="Caption"/>
        <w:spacing w:before="0" w:after="0"/>
        <w:rPr>
          <w:color w:val="auto"/>
          <w:lang w:val="en-US"/>
        </w:rPr>
      </w:pPr>
    </w:p>
    <w:p w14:paraId="71B6B000" w14:textId="4F3A7C73" w:rsidR="00B12CF6" w:rsidRPr="00B42F1B" w:rsidRDefault="0025299D" w:rsidP="0025299D">
      <w:pPr>
        <w:pStyle w:val="Caption"/>
        <w:rPr>
          <w:b/>
          <w:i/>
          <w:color w:val="auto"/>
          <w:sz w:val="20"/>
          <w:szCs w:val="20"/>
          <w:lang w:val="hy-AM"/>
        </w:rPr>
      </w:pPr>
      <w:bookmarkStart w:id="228" w:name="_Toc83728698"/>
      <w:bookmarkStart w:id="229" w:name="_Toc89428765"/>
      <w:r>
        <w:t>Աղյուսակ</w:t>
      </w:r>
      <w:r w:rsidRPr="008B1D49">
        <w:rPr>
          <w:lang w:val="en-US"/>
        </w:rPr>
        <w:t xml:space="preserve"> </w:t>
      </w:r>
      <w:r>
        <w:fldChar w:fldCharType="begin"/>
      </w:r>
      <w:r w:rsidRPr="008B1D49">
        <w:rPr>
          <w:lang w:val="en-US"/>
        </w:rPr>
        <w:instrText xml:space="preserve"> SEQ </w:instrText>
      </w:r>
      <w:r>
        <w:instrText>Աղյուսակ</w:instrText>
      </w:r>
      <w:r w:rsidRPr="008B1D49">
        <w:rPr>
          <w:lang w:val="en-US"/>
        </w:rPr>
        <w:instrText xml:space="preserve"> \* ARABIC </w:instrText>
      </w:r>
      <w:r>
        <w:fldChar w:fldCharType="separate"/>
      </w:r>
      <w:r w:rsidR="00A10D4F">
        <w:rPr>
          <w:noProof/>
          <w:lang w:val="en-US"/>
        </w:rPr>
        <w:t>5</w:t>
      </w:r>
      <w:r>
        <w:fldChar w:fldCharType="end"/>
      </w:r>
      <w:r w:rsidR="00B12CF6" w:rsidRPr="008150A1">
        <w:rPr>
          <w:rFonts w:ascii="Cambria Math" w:hAnsi="Cambria Math" w:cs="Cambria Math"/>
          <w:lang w:val="hy-AM"/>
        </w:rPr>
        <w:t>․</w:t>
      </w:r>
      <w:r w:rsidR="00B12CF6" w:rsidRPr="00B42F1B">
        <w:rPr>
          <w:rFonts w:ascii="Cambria Math" w:hAnsi="Cambria Math"/>
          <w:color w:val="auto"/>
          <w:lang w:val="hy-AM"/>
        </w:rPr>
        <w:t xml:space="preserve"> </w:t>
      </w:r>
      <w:r w:rsidR="00B12CF6" w:rsidRPr="00283A77">
        <w:rPr>
          <w:b/>
          <w:i/>
          <w:sz w:val="20"/>
          <w:szCs w:val="20"/>
          <w:lang w:val="hy-AM"/>
        </w:rPr>
        <w:t>Ընդհանուր և առաջնային դեֆիցիտները (%-ով ՀՆԱ-ի նկատմամբ) 202</w:t>
      </w:r>
      <w:r w:rsidR="00B12CF6" w:rsidRPr="00283A77">
        <w:rPr>
          <w:b/>
          <w:i/>
          <w:sz w:val="20"/>
          <w:szCs w:val="20"/>
          <w:lang w:val="en-US"/>
        </w:rPr>
        <w:t>2</w:t>
      </w:r>
      <w:r w:rsidR="00B12CF6" w:rsidRPr="00283A77">
        <w:rPr>
          <w:b/>
          <w:i/>
          <w:sz w:val="20"/>
          <w:szCs w:val="20"/>
          <w:lang w:val="hy-AM"/>
        </w:rPr>
        <w:t>թ</w:t>
      </w:r>
      <w:r w:rsidR="00B12CF6" w:rsidRPr="00283A77">
        <w:rPr>
          <w:b/>
          <w:i/>
          <w:sz w:val="20"/>
          <w:szCs w:val="20"/>
          <w:lang w:val="en-US"/>
        </w:rPr>
        <w:t>.</w:t>
      </w:r>
      <w:bookmarkEnd w:id="228"/>
      <w:bookmarkEnd w:id="229"/>
      <w:r w:rsidR="00B12CF6" w:rsidRPr="00283A77">
        <w:rPr>
          <w:b/>
          <w:i/>
          <w:sz w:val="20"/>
          <w:szCs w:val="20"/>
          <w:lang w:val="hy-AM"/>
        </w:rPr>
        <w:t xml:space="preserve"> </w:t>
      </w:r>
    </w:p>
    <w:tbl>
      <w:tblPr>
        <w:tblW w:w="9201"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3"/>
        <w:gridCol w:w="2158"/>
      </w:tblGrid>
      <w:tr w:rsidR="00B12CF6" w:rsidRPr="00B42F1B" w14:paraId="535BBD61" w14:textId="77777777" w:rsidTr="00733935">
        <w:trPr>
          <w:trHeight w:val="681"/>
        </w:trPr>
        <w:tc>
          <w:tcPr>
            <w:tcW w:w="7043" w:type="dxa"/>
            <w:shd w:val="clear" w:color="auto" w:fill="4F81BD" w:themeFill="accent1"/>
          </w:tcPr>
          <w:p w14:paraId="088AE81D" w14:textId="77777777" w:rsidR="00B12CF6" w:rsidRPr="00B42F1B" w:rsidRDefault="00B12CF6" w:rsidP="00733935">
            <w:pPr>
              <w:spacing w:before="0" w:line="276" w:lineRule="auto"/>
              <w:ind w:firstLine="0"/>
              <w:contextualSpacing w:val="0"/>
              <w:jc w:val="center"/>
              <w:rPr>
                <w:rFonts w:cs="Sylfaen"/>
                <w:sz w:val="20"/>
                <w:szCs w:val="20"/>
                <w:lang w:val="hy-AM" w:eastAsia="en-US"/>
              </w:rPr>
            </w:pPr>
            <w:r w:rsidRPr="00B42F1B">
              <w:rPr>
                <w:rFonts w:cs="Sylfaen"/>
                <w:sz w:val="20"/>
                <w:szCs w:val="20"/>
                <w:lang w:val="en-US" w:eastAsia="en-US"/>
              </w:rPr>
              <w:t>Ցուցանիշներ</w:t>
            </w:r>
          </w:p>
        </w:tc>
        <w:tc>
          <w:tcPr>
            <w:tcW w:w="2158" w:type="dxa"/>
            <w:shd w:val="clear" w:color="auto" w:fill="4F81BD" w:themeFill="accent1"/>
            <w:vAlign w:val="center"/>
          </w:tcPr>
          <w:p w14:paraId="53F75A9B" w14:textId="77777777" w:rsidR="00B12CF6" w:rsidRPr="00B42F1B" w:rsidRDefault="00B12CF6" w:rsidP="00733935">
            <w:pPr>
              <w:spacing w:before="0" w:line="276" w:lineRule="auto"/>
              <w:ind w:firstLine="0"/>
              <w:contextualSpacing w:val="0"/>
              <w:jc w:val="center"/>
              <w:rPr>
                <w:rFonts w:cs="Sylfaen"/>
                <w:sz w:val="20"/>
                <w:szCs w:val="20"/>
                <w:lang w:val="en-US" w:eastAsia="en-US"/>
              </w:rPr>
            </w:pPr>
            <w:r w:rsidRPr="00F14340">
              <w:rPr>
                <w:rFonts w:cs="Sylfaen"/>
                <w:sz w:val="20"/>
                <w:szCs w:val="20"/>
                <w:lang w:val="en-US" w:eastAsia="en-US"/>
              </w:rPr>
              <w:t>202</w:t>
            </w:r>
            <w:r w:rsidRPr="00B42F1B">
              <w:rPr>
                <w:rFonts w:cs="Sylfaen"/>
                <w:sz w:val="20"/>
                <w:szCs w:val="20"/>
                <w:lang w:val="en-US" w:eastAsia="en-US"/>
              </w:rPr>
              <w:t>2թ</w:t>
            </w:r>
            <w:r w:rsidRPr="00F14340">
              <w:rPr>
                <w:rFonts w:cs="Sylfaen"/>
                <w:sz w:val="20"/>
                <w:szCs w:val="20"/>
                <w:lang w:val="en-US" w:eastAsia="en-US"/>
              </w:rPr>
              <w:t xml:space="preserve"> </w:t>
            </w:r>
            <w:r w:rsidRPr="00B42F1B">
              <w:rPr>
                <w:rFonts w:cs="Sylfaen"/>
                <w:sz w:val="20"/>
                <w:szCs w:val="20"/>
                <w:lang w:val="en-US" w:eastAsia="en-US"/>
              </w:rPr>
              <w:t>կանխատեսում</w:t>
            </w:r>
          </w:p>
        </w:tc>
      </w:tr>
      <w:tr w:rsidR="00B12CF6" w:rsidRPr="00B42F1B" w14:paraId="7B37FB02" w14:textId="77777777" w:rsidTr="00733935">
        <w:trPr>
          <w:trHeight w:val="782"/>
        </w:trPr>
        <w:tc>
          <w:tcPr>
            <w:tcW w:w="7043" w:type="dxa"/>
          </w:tcPr>
          <w:p w14:paraId="017D209D"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Ընդհանուր դեֆիցիտ`</w:t>
            </w:r>
          </w:p>
          <w:p w14:paraId="3858C981"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Ընդհանուր եկամուտների և ծախսերի տարբերու</w:t>
            </w:r>
            <w:r w:rsidRPr="00B42F1B">
              <w:rPr>
                <w:rFonts w:cs="Sylfaen"/>
                <w:b w:val="0"/>
                <w:sz w:val="20"/>
                <w:szCs w:val="20"/>
                <w:lang w:val="hy-AM" w:eastAsia="en-US"/>
              </w:rPr>
              <w:softHyphen/>
              <w:t>թյունը</w:t>
            </w:r>
          </w:p>
        </w:tc>
        <w:tc>
          <w:tcPr>
            <w:tcW w:w="2158" w:type="dxa"/>
            <w:vAlign w:val="bottom"/>
          </w:tcPr>
          <w:p w14:paraId="4137229F" w14:textId="0D38C700" w:rsidR="00B12CF6" w:rsidRPr="00B42F1B" w:rsidRDefault="00B12CF6" w:rsidP="00733935">
            <w:pPr>
              <w:spacing w:before="0" w:line="276" w:lineRule="auto"/>
              <w:ind w:firstLine="0"/>
              <w:contextualSpacing w:val="0"/>
              <w:jc w:val="center"/>
              <w:rPr>
                <w:b w:val="0"/>
                <w:bCs/>
                <w:iCs/>
                <w:sz w:val="20"/>
                <w:szCs w:val="20"/>
                <w:lang w:val="en-US" w:eastAsia="en-US"/>
              </w:rPr>
            </w:pPr>
            <w:r w:rsidRPr="00B42F1B">
              <w:rPr>
                <w:b w:val="0"/>
                <w:bCs/>
                <w:iCs/>
                <w:sz w:val="20"/>
                <w:szCs w:val="20"/>
                <w:lang w:eastAsia="en-US"/>
              </w:rPr>
              <w:t>3.</w:t>
            </w:r>
            <w:r w:rsidR="00F14340">
              <w:rPr>
                <w:b w:val="0"/>
                <w:bCs/>
                <w:iCs/>
                <w:sz w:val="20"/>
                <w:szCs w:val="20"/>
                <w:lang w:val="en-US" w:eastAsia="en-US"/>
              </w:rPr>
              <w:t>0</w:t>
            </w:r>
          </w:p>
        </w:tc>
      </w:tr>
      <w:tr w:rsidR="00B12CF6" w:rsidRPr="00B42F1B" w14:paraId="5DF8CEB2" w14:textId="77777777" w:rsidTr="00733935">
        <w:trPr>
          <w:trHeight w:val="840"/>
        </w:trPr>
        <w:tc>
          <w:tcPr>
            <w:tcW w:w="7043" w:type="dxa"/>
            <w:shd w:val="clear" w:color="auto" w:fill="DBE5F1" w:themeFill="accent1" w:themeFillTint="33"/>
          </w:tcPr>
          <w:p w14:paraId="2DA58658"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 xml:space="preserve">Առաջնային դեֆիցիտ` </w:t>
            </w:r>
          </w:p>
          <w:p w14:paraId="421FB94E" w14:textId="77777777" w:rsidR="00B12CF6" w:rsidRPr="00B42F1B" w:rsidRDefault="00B12CF6" w:rsidP="00733935">
            <w:pPr>
              <w:spacing w:before="0" w:line="276" w:lineRule="auto"/>
              <w:ind w:firstLine="0"/>
              <w:contextualSpacing w:val="0"/>
              <w:jc w:val="left"/>
              <w:rPr>
                <w:rFonts w:cs="Sylfaen"/>
                <w:b w:val="0"/>
                <w:sz w:val="20"/>
                <w:szCs w:val="20"/>
                <w:lang w:val="hy-AM" w:eastAsia="en-US"/>
              </w:rPr>
            </w:pPr>
            <w:r w:rsidRPr="00B42F1B">
              <w:rPr>
                <w:rFonts w:cs="Sylfaen"/>
                <w:b w:val="0"/>
                <w:sz w:val="20"/>
                <w:szCs w:val="20"/>
                <w:lang w:val="hy-AM" w:eastAsia="en-US"/>
              </w:rPr>
              <w:t>Ընդհանուր եկամուտների և ծախսերի (առանց տոկոսավճարների) տարբերությունը</w:t>
            </w:r>
          </w:p>
        </w:tc>
        <w:tc>
          <w:tcPr>
            <w:tcW w:w="2158" w:type="dxa"/>
            <w:shd w:val="clear" w:color="auto" w:fill="DBE5F1" w:themeFill="accent1" w:themeFillTint="33"/>
          </w:tcPr>
          <w:p w14:paraId="5614CF49" w14:textId="77777777" w:rsidR="00B12CF6" w:rsidRPr="00B42F1B" w:rsidRDefault="00B12CF6" w:rsidP="00733935">
            <w:pPr>
              <w:spacing w:before="0" w:line="276" w:lineRule="auto"/>
              <w:ind w:firstLine="0"/>
              <w:contextualSpacing w:val="0"/>
              <w:jc w:val="center"/>
              <w:rPr>
                <w:b w:val="0"/>
                <w:bCs/>
                <w:i/>
                <w:iCs/>
                <w:sz w:val="20"/>
                <w:szCs w:val="20"/>
                <w:lang w:val="hy-AM" w:eastAsia="en-US"/>
              </w:rPr>
            </w:pPr>
          </w:p>
          <w:p w14:paraId="7760F736" w14:textId="12EE0E34" w:rsidR="00B12CF6" w:rsidRPr="00B42F1B" w:rsidRDefault="00B12CF6" w:rsidP="00733935">
            <w:pPr>
              <w:spacing w:before="0" w:line="276" w:lineRule="auto"/>
              <w:ind w:firstLine="0"/>
              <w:contextualSpacing w:val="0"/>
              <w:rPr>
                <w:b w:val="0"/>
                <w:bCs/>
                <w:iCs/>
                <w:sz w:val="20"/>
                <w:szCs w:val="20"/>
                <w:lang w:val="en-US" w:eastAsia="en-US"/>
              </w:rPr>
            </w:pPr>
            <w:r w:rsidRPr="00B42F1B">
              <w:rPr>
                <w:b w:val="0"/>
                <w:bCs/>
                <w:iCs/>
                <w:sz w:val="20"/>
                <w:szCs w:val="20"/>
                <w:lang w:val="hy-AM" w:eastAsia="en-US"/>
              </w:rPr>
              <w:t xml:space="preserve">              </w:t>
            </w:r>
            <w:r w:rsidRPr="00B42F1B">
              <w:rPr>
                <w:b w:val="0"/>
                <w:bCs/>
                <w:iCs/>
                <w:sz w:val="20"/>
                <w:szCs w:val="20"/>
                <w:lang w:val="en-US" w:eastAsia="en-US"/>
              </w:rPr>
              <w:t>0.</w:t>
            </w:r>
            <w:r w:rsidR="007F7C44">
              <w:rPr>
                <w:b w:val="0"/>
                <w:bCs/>
                <w:iCs/>
                <w:sz w:val="20"/>
                <w:szCs w:val="20"/>
                <w:lang w:val="en-US" w:eastAsia="en-US"/>
              </w:rPr>
              <w:t>3</w:t>
            </w:r>
          </w:p>
        </w:tc>
      </w:tr>
    </w:tbl>
    <w:p w14:paraId="2D1E7B13" w14:textId="77777777" w:rsidR="00B12CF6" w:rsidRPr="00B42F1B" w:rsidRDefault="00B12CF6" w:rsidP="00B12CF6">
      <w:pPr>
        <w:rPr>
          <w:lang w:val="af-ZA"/>
        </w:rPr>
      </w:pPr>
    </w:p>
    <w:p w14:paraId="05645DC6" w14:textId="77777777" w:rsidR="00B12CF6" w:rsidRPr="00B42F1B" w:rsidRDefault="00B12CF6" w:rsidP="00B12CF6">
      <w:pPr>
        <w:spacing w:before="0" w:line="240" w:lineRule="auto"/>
        <w:ind w:firstLine="0"/>
        <w:contextualSpacing w:val="0"/>
        <w:jc w:val="left"/>
        <w:rPr>
          <w:sz w:val="28"/>
          <w:szCs w:val="20"/>
          <w:lang w:val="en-US"/>
        </w:rPr>
      </w:pPr>
      <w:r w:rsidRPr="00B42F1B">
        <w:br w:type="page"/>
      </w:r>
    </w:p>
    <w:p w14:paraId="31F92C27" w14:textId="77777777" w:rsidR="00C15EA0" w:rsidRPr="00A83C94" w:rsidRDefault="00C15EA0" w:rsidP="00C15EA0">
      <w:pPr>
        <w:pStyle w:val="Heading1"/>
      </w:pPr>
      <w:bookmarkStart w:id="230" w:name="_Toc89254351"/>
      <w:bookmarkStart w:id="231" w:name="_Toc89428303"/>
      <w:bookmarkEnd w:id="223"/>
      <w:bookmarkEnd w:id="224"/>
      <w:r w:rsidRPr="00A83C94">
        <w:t>ՄԱՍ III. «ՀԱՅԱՍՏԱՆԻ ՀԱՆՐԱՊԵՏՈՒԹՅԱՆ 2022 ԹՎԱԿԱՆԻ ՊԵՏԱԿԱՆ ԲՅՈՒՋԵԻ ՄԱՍԻՆ» ՀԱՅԱՍՏԱՆԻ ՀԱՆՐԱՊԵՏՈՒԹՅԱՆ ՕՐԵՆՔԻ ՆԱԽԱԳԾԻ ԲԱՑԱՏՐԱԳԻՐ</w:t>
      </w:r>
      <w:bookmarkEnd w:id="230"/>
      <w:bookmarkEnd w:id="231"/>
    </w:p>
    <w:p w14:paraId="3F1FA47E" w14:textId="77777777" w:rsidR="00C15EA0" w:rsidRPr="00A83C94" w:rsidRDefault="00C15EA0" w:rsidP="00C15EA0">
      <w:pPr>
        <w:pStyle w:val="BodyText2"/>
      </w:pPr>
      <w:r w:rsidRPr="00A83C94">
        <w:t>«Հայաստանի Հանրապետության 2022 թվականի պետական բյուջեի մասին» ՀՀ օրեն</w:t>
      </w:r>
      <w:r w:rsidRPr="00A83C94">
        <w:softHyphen/>
        <w:t>քի նախագծով առաջարկվում է ՀՀ 2022 թվականի պետական բյուջեն հաստատել՝ եկա</w:t>
      </w:r>
      <w:r w:rsidRPr="00A83C94">
        <w:softHyphen/>
        <w:t>մուտ</w:t>
      </w:r>
      <w:r w:rsidRPr="00A83C94">
        <w:softHyphen/>
        <w:t>ների գծով՝</w:t>
      </w:r>
      <w:r>
        <w:t xml:space="preserve"> 1,947.</w:t>
      </w:r>
      <w:r>
        <w:rPr>
          <w:lang w:val="en-US"/>
        </w:rPr>
        <w:t>8</w:t>
      </w:r>
      <w:r w:rsidRPr="00A83C94">
        <w:t xml:space="preserve"> մլրդ դրամ, </w:t>
      </w:r>
      <w:r w:rsidRPr="00327924">
        <w:t>ծախսերի գծով՝ 2,184.</w:t>
      </w:r>
      <w:r w:rsidRPr="00327924">
        <w:rPr>
          <w:lang w:val="en-US"/>
        </w:rPr>
        <w:t>0</w:t>
      </w:r>
      <w:r w:rsidRPr="00327924">
        <w:t xml:space="preserve"> մլրդ դրամ, իսկ դեֆիցիտը՝ 236.</w:t>
      </w:r>
      <w:r>
        <w:rPr>
          <w:lang w:val="en-US"/>
        </w:rPr>
        <w:t>3</w:t>
      </w:r>
      <w:r w:rsidRPr="00327924">
        <w:t xml:space="preserve"> մլրդ դրամ</w:t>
      </w:r>
      <w:r w:rsidRPr="00A83C94">
        <w:t>:</w:t>
      </w:r>
    </w:p>
    <w:p w14:paraId="3BF644D3" w14:textId="77777777" w:rsidR="00C15EA0" w:rsidRPr="00A83C94" w:rsidRDefault="00C15EA0" w:rsidP="00C15EA0">
      <w:pPr>
        <w:pStyle w:val="BodyText2"/>
      </w:pPr>
      <w:r w:rsidRPr="00A83C94">
        <w:t>2021թ</w:t>
      </w:r>
      <w:r w:rsidRPr="00A83C94">
        <w:rPr>
          <w:rFonts w:ascii="Cambria Math" w:hAnsi="Cambria Math" w:cs="Cambria Math"/>
        </w:rPr>
        <w:t>․</w:t>
      </w:r>
      <w:r w:rsidRPr="00A83C94">
        <w:t xml:space="preserve"> և 2022 թ</w:t>
      </w:r>
      <w:r w:rsidRPr="00A83C94">
        <w:rPr>
          <w:rFonts w:ascii="Cambria Math" w:hAnsi="Cambria Math" w:cs="Cambria Math"/>
        </w:rPr>
        <w:t>․</w:t>
      </w:r>
      <w:r w:rsidRPr="00A83C94">
        <w:t xml:space="preserve"> պետական բյուջեի դեֆիցիտը ՀՆԱ-ի նկատմամբ  կան</w:t>
      </w:r>
      <w:r w:rsidRPr="00A83C94">
        <w:softHyphen/>
        <w:t xml:space="preserve">խատեսվում է համապատասխանաբար՝ </w:t>
      </w:r>
      <w:r w:rsidRPr="00E3576C">
        <w:t>4.7</w:t>
      </w:r>
      <w:r w:rsidRPr="00A83C94">
        <w:t xml:space="preserve"> % </w:t>
      </w:r>
      <w:r w:rsidRPr="00327924">
        <w:t>և 3.0 %-ի չափով</w:t>
      </w:r>
      <w:r w:rsidRPr="00A83C94">
        <w:t>, ՀՀ 2022 թվա</w:t>
      </w:r>
      <w:r w:rsidRPr="00A83C94">
        <w:softHyphen/>
      </w:r>
      <w:r w:rsidRPr="00A83C94">
        <w:softHyphen/>
        <w:t>կանի պե</w:t>
      </w:r>
      <w:r w:rsidRPr="00A83C94">
        <w:softHyphen/>
        <w:t>տական բյուջեի նա</w:t>
      </w:r>
      <w:r w:rsidRPr="00A83C94">
        <w:softHyphen/>
        <w:t>խագ</w:t>
      </w:r>
      <w:r w:rsidRPr="00A83C94">
        <w:softHyphen/>
        <w:t>ծով նախատեսվող դե</w:t>
      </w:r>
      <w:r w:rsidRPr="00A83C94">
        <w:softHyphen/>
        <w:t>ֆի</w:t>
      </w:r>
      <w:r w:rsidRPr="00A83C94">
        <w:softHyphen/>
        <w:t>ցիտի ֆի</w:t>
      </w:r>
      <w:r w:rsidRPr="00A83C94">
        <w:softHyphen/>
        <w:t>նան</w:t>
      </w:r>
      <w:r w:rsidRPr="00A83C94">
        <w:softHyphen/>
        <w:t>սա</w:t>
      </w:r>
      <w:r w:rsidRPr="00A83C94">
        <w:softHyphen/>
        <w:t>վորման համար ծրագրա</w:t>
      </w:r>
      <w:r w:rsidRPr="00A83C94">
        <w:softHyphen/>
        <w:t>վորված վարկերի զգալի մասը կտրա</w:t>
      </w:r>
      <w:r w:rsidRPr="00A83C94">
        <w:softHyphen/>
        <w:t>մադրվի Համաշ</w:t>
      </w:r>
      <w:r w:rsidRPr="00A83C94">
        <w:softHyphen/>
        <w:t>խար</w:t>
      </w:r>
      <w:r w:rsidRPr="00A83C94">
        <w:softHyphen/>
        <w:t>հա</w:t>
      </w:r>
      <w:r w:rsidRPr="00A83C94">
        <w:softHyphen/>
        <w:t>յին բան</w:t>
      </w:r>
      <w:r w:rsidRPr="00A83C94">
        <w:softHyphen/>
        <w:t>կի կողմից (ներգրավ</w:t>
      </w:r>
      <w:r w:rsidRPr="00A83C94">
        <w:softHyphen/>
      </w:r>
      <w:r w:rsidRPr="00A83C94">
        <w:softHyphen/>
        <w:t>վող վարկերի տրա</w:t>
      </w:r>
      <w:r w:rsidRPr="00A83C94">
        <w:softHyphen/>
        <w:t>մադրման ժամկետ</w:t>
      </w:r>
      <w:r w:rsidRPr="00A83C94">
        <w:softHyphen/>
        <w:t>ների և տո</w:t>
      </w:r>
      <w:r w:rsidRPr="00A83C94">
        <w:softHyphen/>
        <w:t>կոսադրույք</w:t>
      </w:r>
      <w:r w:rsidRPr="00A83C94">
        <w:softHyphen/>
        <w:t>ների մա</w:t>
      </w:r>
      <w:r w:rsidRPr="00A83C94">
        <w:softHyphen/>
      </w:r>
      <w:r w:rsidRPr="00A83C94">
        <w:softHyphen/>
        <w:t>սին տվյալ</w:t>
      </w:r>
      <w:r w:rsidRPr="00A83C94">
        <w:softHyphen/>
        <w:t>նե</w:t>
      </w:r>
      <w:r w:rsidRPr="00A83C94">
        <w:softHyphen/>
        <w:t>րը ներկայացված են սույն բա</w:t>
      </w:r>
      <w:r w:rsidRPr="00A83C94">
        <w:softHyphen/>
        <w:t>ցատրագրի N 4 հավելվածում):</w:t>
      </w:r>
    </w:p>
    <w:p w14:paraId="71BB1E54" w14:textId="77777777" w:rsidR="00C15EA0" w:rsidRPr="00A83C94" w:rsidRDefault="00C15EA0" w:rsidP="00C15EA0">
      <w:pPr>
        <w:pStyle w:val="Heading3"/>
      </w:pPr>
    </w:p>
    <w:p w14:paraId="328767E4" w14:textId="77777777" w:rsidR="00C15EA0" w:rsidRPr="00EB774C" w:rsidRDefault="00C15EA0" w:rsidP="00C15EA0">
      <w:pPr>
        <w:pStyle w:val="Heading1"/>
        <w:rPr>
          <w:lang w:val="af-ZA"/>
        </w:rPr>
      </w:pPr>
      <w:bookmarkStart w:id="232" w:name="_Toc89254352"/>
      <w:bookmarkStart w:id="233" w:name="_Toc89428304"/>
      <w:r w:rsidRPr="00A83C94">
        <w:t>ՄԱՍ</w:t>
      </w:r>
      <w:r w:rsidRPr="00EB774C">
        <w:rPr>
          <w:lang w:val="af-ZA"/>
        </w:rPr>
        <w:t xml:space="preserve"> III-</w:t>
      </w:r>
      <w:r w:rsidRPr="00A83C94">
        <w:t>Ա</w:t>
      </w:r>
      <w:r w:rsidRPr="00EB774C">
        <w:rPr>
          <w:lang w:val="af-ZA"/>
        </w:rPr>
        <w:t xml:space="preserve">. </w:t>
      </w:r>
      <w:r w:rsidRPr="00A83C94">
        <w:t>ԵԿԱՄՈՒՏՆԵՐԻ</w:t>
      </w:r>
      <w:r w:rsidRPr="00EB774C">
        <w:rPr>
          <w:lang w:val="af-ZA"/>
        </w:rPr>
        <w:t xml:space="preserve"> </w:t>
      </w:r>
      <w:r w:rsidRPr="00A83C94">
        <w:t>ԿԱՆԽԱՏԵՍՈՒՄ</w:t>
      </w:r>
      <w:bookmarkEnd w:id="232"/>
      <w:bookmarkEnd w:id="233"/>
    </w:p>
    <w:p w14:paraId="0FA9548C" w14:textId="77777777" w:rsidR="00C15EA0" w:rsidRPr="00A83C94" w:rsidRDefault="00C15EA0" w:rsidP="00C15EA0">
      <w:pPr>
        <w:spacing w:before="0" w:line="276" w:lineRule="auto"/>
        <w:ind w:firstLine="562"/>
        <w:contextualSpacing w:val="0"/>
        <w:rPr>
          <w:rFonts w:cs="Sylfaen"/>
          <w:b w:val="0"/>
          <w:sz w:val="20"/>
          <w:szCs w:val="20"/>
          <w:lang w:val="fr-FR" w:eastAsia="en-US"/>
        </w:rPr>
      </w:pPr>
      <w:r w:rsidRPr="00A83C94">
        <w:rPr>
          <w:rFonts w:cs="Sylfaen"/>
          <w:b w:val="0"/>
          <w:iCs/>
          <w:szCs w:val="22"/>
          <w:lang w:val="af-ZA" w:eastAsia="en-GB"/>
        </w:rPr>
        <w:t>«Հայաստանի Հանրապետության 2022 թվականի պետական բյուջեի մասին» ՀՀ օրեն</w:t>
      </w:r>
      <w:r w:rsidRPr="00A83C94">
        <w:rPr>
          <w:rFonts w:cs="Sylfaen"/>
          <w:b w:val="0"/>
          <w:iCs/>
          <w:szCs w:val="22"/>
          <w:lang w:val="af-ZA" w:eastAsia="en-GB"/>
        </w:rPr>
        <w:softHyphen/>
        <w:t>քի նախագծում (սույն մասում այսու</w:t>
      </w:r>
      <w:r w:rsidRPr="00A83C94">
        <w:rPr>
          <w:rFonts w:cs="Sylfaen"/>
          <w:b w:val="0"/>
          <w:iCs/>
          <w:szCs w:val="22"/>
          <w:lang w:val="af-ZA" w:eastAsia="en-GB"/>
        </w:rPr>
        <w:softHyphen/>
        <w:t>հետ՝ Նախագիծ) եկամուտների ընդհանուր գու</w:t>
      </w:r>
      <w:r w:rsidRPr="00A83C94">
        <w:rPr>
          <w:rFonts w:cs="Sylfaen"/>
          <w:b w:val="0"/>
          <w:iCs/>
          <w:szCs w:val="22"/>
          <w:lang w:val="af-ZA" w:eastAsia="en-GB"/>
        </w:rPr>
        <w:softHyphen/>
        <w:t xml:space="preserve">մարը ծրագրվել է </w:t>
      </w:r>
      <w:r>
        <w:rPr>
          <w:rFonts w:cs="Sylfaen"/>
          <w:b w:val="0"/>
          <w:iCs/>
          <w:szCs w:val="22"/>
          <w:lang w:val="hy-AM" w:eastAsia="en-GB"/>
        </w:rPr>
        <w:t>1,947.</w:t>
      </w:r>
      <w:r w:rsidRPr="00B12D7D">
        <w:rPr>
          <w:rFonts w:cs="Sylfaen"/>
          <w:b w:val="0"/>
          <w:iCs/>
          <w:szCs w:val="22"/>
          <w:lang w:val="af-ZA" w:eastAsia="en-GB"/>
        </w:rPr>
        <w:t>8</w:t>
      </w:r>
      <w:r w:rsidRPr="00A83C94">
        <w:rPr>
          <w:rFonts w:cs="Sylfaen"/>
          <w:b w:val="0"/>
          <w:iCs/>
          <w:szCs w:val="22"/>
          <w:lang w:val="hy-AM" w:eastAsia="en-GB"/>
        </w:rPr>
        <w:t xml:space="preserve"> </w:t>
      </w:r>
      <w:r w:rsidRPr="00A83C94">
        <w:rPr>
          <w:rFonts w:cs="Sylfaen"/>
          <w:b w:val="0"/>
          <w:iCs/>
          <w:szCs w:val="22"/>
          <w:lang w:val="af-ZA" w:eastAsia="en-GB"/>
        </w:rPr>
        <w:t>մլրդ դրամի չա</w:t>
      </w:r>
      <w:r w:rsidRPr="00A83C94">
        <w:rPr>
          <w:rFonts w:cs="Sylfaen"/>
          <w:b w:val="0"/>
          <w:iCs/>
          <w:szCs w:val="22"/>
          <w:lang w:val="af-ZA" w:eastAsia="en-GB"/>
        </w:rPr>
        <w:softHyphen/>
        <w:t>փով, 2021 թվականի համար սպասվող 1,656.9 մլրդ դրամի և 2020 թվականին փաստացի ստացված 1,560.7 մլրդ դրամ գու</w:t>
      </w:r>
      <w:r w:rsidRPr="00A83C94">
        <w:rPr>
          <w:rFonts w:cs="Sylfaen"/>
          <w:b w:val="0"/>
          <w:iCs/>
          <w:szCs w:val="22"/>
          <w:lang w:val="af-ZA" w:eastAsia="en-GB"/>
        </w:rPr>
        <w:softHyphen/>
        <w:t>մար</w:t>
      </w:r>
      <w:r w:rsidRPr="00A83C94">
        <w:rPr>
          <w:rFonts w:cs="Sylfaen"/>
          <w:b w:val="0"/>
          <w:iCs/>
          <w:szCs w:val="22"/>
          <w:lang w:val="af-ZA" w:eastAsia="en-GB"/>
        </w:rPr>
        <w:softHyphen/>
        <w:t>ների դիմաց: Եկա</w:t>
      </w:r>
      <w:r w:rsidRPr="00A83C94">
        <w:rPr>
          <w:rFonts w:cs="Sylfaen"/>
          <w:b w:val="0"/>
          <w:iCs/>
          <w:szCs w:val="22"/>
          <w:lang w:val="af-ZA" w:eastAsia="en-GB"/>
        </w:rPr>
        <w:softHyphen/>
        <w:t>մուտ</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ների տա</w:t>
      </w:r>
      <w:r w:rsidRPr="00A83C94">
        <w:rPr>
          <w:rFonts w:cs="Sylfaen"/>
          <w:b w:val="0"/>
          <w:iCs/>
          <w:szCs w:val="22"/>
          <w:lang w:val="af-ZA" w:eastAsia="en-GB"/>
        </w:rPr>
        <w:softHyphen/>
      </w:r>
      <w:r w:rsidRPr="00A83C94">
        <w:rPr>
          <w:rFonts w:cs="Sylfaen"/>
          <w:b w:val="0"/>
          <w:iCs/>
          <w:szCs w:val="22"/>
          <w:lang w:val="af-ZA" w:eastAsia="en-GB"/>
        </w:rPr>
        <w:softHyphen/>
        <w:t>րեկան ծրա</w:t>
      </w:r>
      <w:r w:rsidRPr="00A83C94">
        <w:rPr>
          <w:rFonts w:cs="Sylfaen"/>
          <w:b w:val="0"/>
          <w:iCs/>
          <w:szCs w:val="22"/>
          <w:lang w:val="af-ZA" w:eastAsia="en-GB"/>
        </w:rPr>
        <w:softHyphen/>
        <w:t>գրա</w:t>
      </w:r>
      <w:r w:rsidRPr="00A83C94">
        <w:rPr>
          <w:rFonts w:cs="Sylfaen"/>
          <w:b w:val="0"/>
          <w:iCs/>
          <w:szCs w:val="22"/>
          <w:lang w:val="af-ZA" w:eastAsia="en-GB"/>
        </w:rPr>
        <w:softHyphen/>
        <w:t>յին ծավալները կապահովվեն հիմնականում ի հաշիվ հար</w:t>
      </w:r>
      <w:r w:rsidRPr="00A83C94">
        <w:rPr>
          <w:rFonts w:cs="Sylfaen"/>
          <w:b w:val="0"/>
          <w:iCs/>
          <w:szCs w:val="22"/>
          <w:lang w:val="af-ZA" w:eastAsia="en-GB"/>
        </w:rPr>
        <w:softHyphen/>
        <w:t>կային եկա</w:t>
      </w:r>
      <w:r w:rsidRPr="00A83C94">
        <w:rPr>
          <w:rFonts w:cs="Sylfaen"/>
          <w:b w:val="0"/>
          <w:iCs/>
          <w:szCs w:val="22"/>
          <w:lang w:val="af-ZA" w:eastAsia="en-GB"/>
        </w:rPr>
        <w:softHyphen/>
        <w:t>մուտ</w:t>
      </w:r>
      <w:r w:rsidRPr="00A83C94">
        <w:rPr>
          <w:rFonts w:cs="Sylfaen"/>
          <w:b w:val="0"/>
          <w:iCs/>
          <w:szCs w:val="22"/>
          <w:lang w:val="af-ZA" w:eastAsia="en-GB"/>
        </w:rPr>
        <w:softHyphen/>
        <w:t>ների:</w:t>
      </w:r>
      <w:r w:rsidRPr="00A83C94">
        <w:rPr>
          <w:rFonts w:cs="Sylfaen"/>
          <w:b w:val="0"/>
          <w:sz w:val="20"/>
          <w:szCs w:val="20"/>
          <w:lang w:val="fr-FR" w:eastAsia="en-US"/>
        </w:rPr>
        <w:t xml:space="preserve"> </w:t>
      </w:r>
    </w:p>
    <w:p w14:paraId="6E1D339B" w14:textId="20F828C2" w:rsidR="00C15EA0" w:rsidRPr="00A83C94" w:rsidRDefault="00C15EA0" w:rsidP="00C15EA0">
      <w:pPr>
        <w:pStyle w:val="Caption"/>
        <w:rPr>
          <w:b/>
          <w:i/>
          <w:sz w:val="20"/>
          <w:szCs w:val="20"/>
          <w:lang w:val="hy-AM"/>
        </w:rPr>
      </w:pPr>
      <w:r w:rsidRPr="008150A1">
        <w:rPr>
          <w:lang w:val="hy-AM"/>
        </w:rPr>
        <w:t xml:space="preserve"> </w:t>
      </w:r>
      <w:bookmarkStart w:id="234" w:name="_Toc83928943"/>
      <w:bookmarkStart w:id="235" w:name="_Toc89428766"/>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6</w:t>
      </w:r>
      <w:r>
        <w:fldChar w:fldCharType="end"/>
      </w:r>
      <w:r w:rsidRPr="008150A1">
        <w:rPr>
          <w:rFonts w:ascii="Cambria Math" w:hAnsi="Cambria Math" w:cs="Cambria Math"/>
          <w:lang w:val="hy-AM"/>
        </w:rPr>
        <w:t>․</w:t>
      </w:r>
      <w:r w:rsidRPr="00A83C94">
        <w:rPr>
          <w:rFonts w:ascii="Cambria Math" w:hAnsi="Cambria Math"/>
          <w:lang w:val="hy-AM"/>
        </w:rPr>
        <w:t xml:space="preserve"> </w:t>
      </w:r>
      <w:r w:rsidRPr="00A83C94">
        <w:rPr>
          <w:b/>
          <w:i/>
          <w:sz w:val="20"/>
          <w:szCs w:val="20"/>
          <w:lang w:val="hy-AM"/>
        </w:rPr>
        <w:t>2018-202</w:t>
      </w:r>
      <w:r w:rsidRPr="00A83C94">
        <w:rPr>
          <w:b/>
          <w:i/>
          <w:sz w:val="20"/>
          <w:szCs w:val="20"/>
          <w:lang w:val="fr-FR"/>
        </w:rPr>
        <w:t>2</w:t>
      </w:r>
      <w:r w:rsidRPr="00A83C94">
        <w:rPr>
          <w:b/>
          <w:i/>
          <w:sz w:val="20"/>
          <w:szCs w:val="20"/>
          <w:lang w:val="hy-AM"/>
        </w:rPr>
        <w:t>թթ փաստացի/կանխատեսումային բյուջետային եկամուտները (մլրդ դրամներով)</w:t>
      </w:r>
      <w:bookmarkEnd w:id="234"/>
      <w:bookmarkEnd w:id="235"/>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1"/>
        <w:gridCol w:w="1204"/>
        <w:gridCol w:w="1324"/>
        <w:gridCol w:w="1325"/>
        <w:gridCol w:w="1324"/>
        <w:gridCol w:w="1337"/>
      </w:tblGrid>
      <w:tr w:rsidR="00C15EA0" w:rsidRPr="00A83C94" w14:paraId="1C6C4223" w14:textId="77777777" w:rsidTr="0019638A">
        <w:trPr>
          <w:trHeight w:val="645"/>
        </w:trPr>
        <w:tc>
          <w:tcPr>
            <w:tcW w:w="2841" w:type="dxa"/>
            <w:shd w:val="clear" w:color="auto" w:fill="4F81BD" w:themeFill="accent1"/>
            <w:noWrap/>
            <w:vAlign w:val="center"/>
            <w:hideMark/>
          </w:tcPr>
          <w:p w14:paraId="7151BCB6" w14:textId="77777777" w:rsidR="00C15EA0" w:rsidRPr="00A83C94" w:rsidRDefault="00C15EA0" w:rsidP="0019638A">
            <w:pPr>
              <w:spacing w:before="0" w:line="276" w:lineRule="auto"/>
              <w:ind w:firstLine="0"/>
              <w:contextualSpacing w:val="0"/>
              <w:jc w:val="center"/>
              <w:rPr>
                <w:bCs/>
                <w:color w:val="FFFFFF" w:themeColor="background1"/>
                <w:sz w:val="20"/>
                <w:szCs w:val="20"/>
                <w:lang w:val="en-US" w:eastAsia="en-US"/>
              </w:rPr>
            </w:pPr>
            <w:r w:rsidRPr="00A83C94">
              <w:rPr>
                <w:bCs/>
                <w:color w:val="FFFFFF" w:themeColor="background1"/>
                <w:sz w:val="20"/>
                <w:szCs w:val="20"/>
                <w:lang w:val="en-US" w:eastAsia="en-US"/>
              </w:rPr>
              <w:t>Եկամտատեսակը</w:t>
            </w:r>
          </w:p>
        </w:tc>
        <w:tc>
          <w:tcPr>
            <w:tcW w:w="1204" w:type="dxa"/>
            <w:shd w:val="clear" w:color="auto" w:fill="4F81BD" w:themeFill="accent1"/>
            <w:noWrap/>
            <w:vAlign w:val="center"/>
            <w:hideMark/>
          </w:tcPr>
          <w:p w14:paraId="67C1989D" w14:textId="77777777" w:rsidR="00C15EA0" w:rsidRPr="00A83C94" w:rsidRDefault="00C15EA0"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w:t>
            </w:r>
            <w:r w:rsidRPr="00A83C94">
              <w:rPr>
                <w:rFonts w:cs="Calibri"/>
                <w:color w:val="FFFFFF" w:themeColor="background1"/>
                <w:sz w:val="20"/>
                <w:szCs w:val="20"/>
                <w:lang w:val="en-US" w:eastAsia="en-US"/>
              </w:rPr>
              <w:br/>
              <w:t>փաստ</w:t>
            </w:r>
          </w:p>
        </w:tc>
        <w:tc>
          <w:tcPr>
            <w:tcW w:w="1324" w:type="dxa"/>
            <w:shd w:val="clear" w:color="auto" w:fill="4F81BD" w:themeFill="accent1"/>
            <w:noWrap/>
            <w:vAlign w:val="center"/>
            <w:hideMark/>
          </w:tcPr>
          <w:p w14:paraId="09089AAD" w14:textId="77777777" w:rsidR="00C15EA0" w:rsidRPr="00A83C94" w:rsidRDefault="00C15EA0"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 xml:space="preserve">2019 </w:t>
            </w:r>
            <w:r w:rsidRPr="00A83C94">
              <w:rPr>
                <w:rFonts w:cs="Calibri"/>
                <w:color w:val="FFFFFF" w:themeColor="background1"/>
                <w:sz w:val="20"/>
                <w:szCs w:val="20"/>
                <w:lang w:val="en-US" w:eastAsia="en-US"/>
              </w:rPr>
              <w:br/>
              <w:t>փաստ</w:t>
            </w:r>
          </w:p>
        </w:tc>
        <w:tc>
          <w:tcPr>
            <w:tcW w:w="1325" w:type="dxa"/>
            <w:shd w:val="clear" w:color="auto" w:fill="4F81BD" w:themeFill="accent1"/>
            <w:noWrap/>
            <w:vAlign w:val="center"/>
            <w:hideMark/>
          </w:tcPr>
          <w:p w14:paraId="2A2297F2" w14:textId="77777777" w:rsidR="00C15EA0" w:rsidRPr="00A83C94" w:rsidRDefault="00C15EA0" w:rsidP="0019638A">
            <w:pPr>
              <w:spacing w:before="0" w:line="276" w:lineRule="auto"/>
              <w:ind w:firstLine="0"/>
              <w:contextualSpacing w:val="0"/>
              <w:jc w:val="center"/>
              <w:rPr>
                <w:rFonts w:cs="Calibri"/>
                <w:b w:val="0"/>
                <w:color w:val="FFFFFF" w:themeColor="background1"/>
                <w:sz w:val="20"/>
                <w:szCs w:val="20"/>
                <w:lang w:val="en-US" w:eastAsia="en-US"/>
              </w:rPr>
            </w:pPr>
            <w:r w:rsidRPr="00A83C94">
              <w:rPr>
                <w:rFonts w:cs="Calibri"/>
                <w:color w:val="FFFFFF" w:themeColor="background1"/>
                <w:sz w:val="20"/>
                <w:szCs w:val="20"/>
                <w:lang w:val="en-US" w:eastAsia="en-US"/>
              </w:rPr>
              <w:t xml:space="preserve">2020 </w:t>
            </w:r>
            <w:r w:rsidRPr="00A83C94">
              <w:rPr>
                <w:rFonts w:cs="Calibri"/>
                <w:color w:val="FFFFFF" w:themeColor="background1"/>
                <w:sz w:val="20"/>
                <w:szCs w:val="20"/>
                <w:lang w:val="en-US" w:eastAsia="en-US"/>
              </w:rPr>
              <w:br/>
              <w:t>փաստ</w:t>
            </w:r>
          </w:p>
        </w:tc>
        <w:tc>
          <w:tcPr>
            <w:tcW w:w="1324" w:type="dxa"/>
            <w:shd w:val="clear" w:color="auto" w:fill="4F81BD" w:themeFill="accent1"/>
            <w:noWrap/>
            <w:vAlign w:val="center"/>
            <w:hideMark/>
          </w:tcPr>
          <w:p w14:paraId="0C2BE221" w14:textId="77777777" w:rsidR="00C15EA0" w:rsidRPr="00A83C94" w:rsidRDefault="00C15EA0"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2021</w:t>
            </w:r>
            <w:r w:rsidRPr="00A83C94">
              <w:rPr>
                <w:rFonts w:cs="Calibri"/>
                <w:color w:val="FFFFFF" w:themeColor="background1"/>
                <w:sz w:val="20"/>
                <w:szCs w:val="20"/>
                <w:lang w:val="en-US" w:eastAsia="en-US"/>
              </w:rPr>
              <w:br/>
              <w:t>սպասում</w:t>
            </w:r>
          </w:p>
        </w:tc>
        <w:tc>
          <w:tcPr>
            <w:tcW w:w="1337" w:type="dxa"/>
            <w:shd w:val="clear" w:color="auto" w:fill="4F81BD" w:themeFill="accent1"/>
            <w:noWrap/>
            <w:vAlign w:val="center"/>
            <w:hideMark/>
          </w:tcPr>
          <w:p w14:paraId="0A8EBCD8" w14:textId="77777777" w:rsidR="00C15EA0" w:rsidRPr="00A83C94" w:rsidRDefault="00C15EA0" w:rsidP="0019638A">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 xml:space="preserve">2022 </w:t>
            </w:r>
            <w:r w:rsidRPr="00A83C94">
              <w:rPr>
                <w:rFonts w:cs="Calibri"/>
                <w:color w:val="FFFFFF" w:themeColor="background1"/>
                <w:sz w:val="20"/>
                <w:szCs w:val="20"/>
                <w:lang w:val="en-US" w:eastAsia="en-US"/>
              </w:rPr>
              <w:br/>
              <w:t>կանխա</w:t>
            </w:r>
            <w:r w:rsidRPr="00A83C94">
              <w:rPr>
                <w:rFonts w:cs="Calibri"/>
                <w:color w:val="FFFFFF" w:themeColor="background1"/>
                <w:sz w:val="20"/>
                <w:szCs w:val="20"/>
                <w:lang w:val="hy-AM" w:eastAsia="en-US"/>
              </w:rPr>
              <w:t>-</w:t>
            </w:r>
            <w:r w:rsidRPr="00A83C94">
              <w:rPr>
                <w:rFonts w:cs="Calibri"/>
                <w:color w:val="FFFFFF" w:themeColor="background1"/>
                <w:sz w:val="20"/>
                <w:szCs w:val="20"/>
                <w:lang w:val="en-US" w:eastAsia="en-US"/>
              </w:rPr>
              <w:t>տեսում</w:t>
            </w:r>
          </w:p>
          <w:p w14:paraId="20EF6E6E" w14:textId="77777777" w:rsidR="00C15EA0" w:rsidRPr="00A83C94" w:rsidRDefault="00C15EA0" w:rsidP="0019638A">
            <w:pPr>
              <w:spacing w:before="0" w:line="276" w:lineRule="auto"/>
              <w:ind w:firstLine="0"/>
              <w:contextualSpacing w:val="0"/>
              <w:jc w:val="center"/>
              <w:rPr>
                <w:rFonts w:cs="Calibri"/>
                <w:color w:val="FFFFFF" w:themeColor="background1"/>
                <w:sz w:val="20"/>
                <w:szCs w:val="20"/>
                <w:lang w:val="en-US" w:eastAsia="en-US"/>
              </w:rPr>
            </w:pPr>
          </w:p>
        </w:tc>
      </w:tr>
      <w:tr w:rsidR="00C15EA0" w:rsidRPr="00A83C94" w14:paraId="65119C62" w14:textId="77777777" w:rsidTr="0019638A">
        <w:trPr>
          <w:trHeight w:val="705"/>
        </w:trPr>
        <w:tc>
          <w:tcPr>
            <w:tcW w:w="2841" w:type="dxa"/>
            <w:shd w:val="clear" w:color="auto" w:fill="C6D9F1" w:themeFill="text2" w:themeFillTint="33"/>
            <w:vAlign w:val="center"/>
            <w:hideMark/>
          </w:tcPr>
          <w:p w14:paraId="0031F9D5" w14:textId="77777777" w:rsidR="00C15EA0" w:rsidRPr="00A83C94" w:rsidRDefault="00C15EA0" w:rsidP="0019638A">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Պետական բյուջեի եկամուտներ, որից` </w:t>
            </w:r>
          </w:p>
        </w:tc>
        <w:tc>
          <w:tcPr>
            <w:tcW w:w="1204" w:type="dxa"/>
            <w:shd w:val="clear" w:color="auto" w:fill="C6D9F1" w:themeFill="text2" w:themeFillTint="33"/>
            <w:noWrap/>
            <w:vAlign w:val="center"/>
            <w:hideMark/>
          </w:tcPr>
          <w:p w14:paraId="184A0DF0" w14:textId="77777777" w:rsidR="00C15EA0" w:rsidRPr="00A83C94" w:rsidRDefault="00C15EA0" w:rsidP="0019638A">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1,341.7</w:t>
            </w:r>
          </w:p>
        </w:tc>
        <w:tc>
          <w:tcPr>
            <w:tcW w:w="1324" w:type="dxa"/>
            <w:shd w:val="clear" w:color="auto" w:fill="C6D9F1" w:themeFill="text2" w:themeFillTint="33"/>
            <w:noWrap/>
            <w:vAlign w:val="center"/>
            <w:hideMark/>
          </w:tcPr>
          <w:p w14:paraId="6C057472" w14:textId="77777777" w:rsidR="00C15EA0" w:rsidRPr="00A83C94" w:rsidRDefault="00C15EA0" w:rsidP="0019638A">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1,565.5</w:t>
            </w:r>
          </w:p>
        </w:tc>
        <w:tc>
          <w:tcPr>
            <w:tcW w:w="1325" w:type="dxa"/>
            <w:shd w:val="clear" w:color="auto" w:fill="C6D9F1" w:themeFill="text2" w:themeFillTint="33"/>
            <w:noWrap/>
            <w:vAlign w:val="center"/>
            <w:hideMark/>
          </w:tcPr>
          <w:p w14:paraId="285133D4" w14:textId="77777777" w:rsidR="00C15EA0" w:rsidRPr="00A83C94" w:rsidRDefault="00C15EA0" w:rsidP="0019638A">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1,560.7</w:t>
            </w:r>
          </w:p>
        </w:tc>
        <w:tc>
          <w:tcPr>
            <w:tcW w:w="1324" w:type="dxa"/>
            <w:shd w:val="clear" w:color="auto" w:fill="C6D9F1" w:themeFill="text2" w:themeFillTint="33"/>
            <w:noWrap/>
            <w:vAlign w:val="center"/>
            <w:hideMark/>
          </w:tcPr>
          <w:p w14:paraId="4E3E2627" w14:textId="77777777" w:rsidR="00C15EA0" w:rsidRPr="00A83C94" w:rsidRDefault="00C15EA0" w:rsidP="0019638A">
            <w:pPr>
              <w:spacing w:before="0" w:line="276" w:lineRule="auto"/>
              <w:ind w:firstLine="0"/>
              <w:contextualSpacing w:val="0"/>
              <w:jc w:val="center"/>
              <w:rPr>
                <w:b w:val="0"/>
                <w:bCs/>
                <w:color w:val="000000"/>
                <w:sz w:val="20"/>
                <w:szCs w:val="20"/>
                <w:lang w:val="en-US" w:eastAsia="en-US"/>
              </w:rPr>
            </w:pPr>
            <w:r w:rsidRPr="00A83C94">
              <w:rPr>
                <w:b w:val="0"/>
                <w:bCs/>
                <w:color w:val="000000"/>
                <w:sz w:val="20"/>
                <w:szCs w:val="20"/>
                <w:lang w:val="en-US" w:eastAsia="en-US"/>
              </w:rPr>
              <w:t>1,656.9</w:t>
            </w:r>
          </w:p>
        </w:tc>
        <w:tc>
          <w:tcPr>
            <w:tcW w:w="1337" w:type="dxa"/>
            <w:shd w:val="clear" w:color="auto" w:fill="C6D9F1" w:themeFill="text2" w:themeFillTint="33"/>
            <w:noWrap/>
            <w:vAlign w:val="center"/>
            <w:hideMark/>
          </w:tcPr>
          <w:p w14:paraId="414A93B7" w14:textId="77777777" w:rsidR="00C15EA0" w:rsidRPr="00A83C94" w:rsidRDefault="00C15EA0" w:rsidP="0019638A">
            <w:pPr>
              <w:spacing w:before="0" w:line="276" w:lineRule="auto"/>
              <w:ind w:firstLine="0"/>
              <w:contextualSpacing w:val="0"/>
              <w:jc w:val="center"/>
              <w:rPr>
                <w:b w:val="0"/>
                <w:bCs/>
                <w:color w:val="000000"/>
                <w:sz w:val="20"/>
                <w:szCs w:val="20"/>
                <w:lang w:val="en-US" w:eastAsia="en-US"/>
              </w:rPr>
            </w:pPr>
            <w:r>
              <w:rPr>
                <w:rFonts w:cs="Sylfaen"/>
                <w:b w:val="0"/>
                <w:iCs/>
                <w:sz w:val="20"/>
                <w:szCs w:val="20"/>
                <w:lang w:val="hy-AM" w:eastAsia="en-GB"/>
              </w:rPr>
              <w:t>1,947.8</w:t>
            </w:r>
          </w:p>
        </w:tc>
      </w:tr>
      <w:tr w:rsidR="00C15EA0" w:rsidRPr="00A83C94" w14:paraId="26A9E1E2" w14:textId="77777777" w:rsidTr="0019638A">
        <w:trPr>
          <w:trHeight w:val="690"/>
        </w:trPr>
        <w:tc>
          <w:tcPr>
            <w:tcW w:w="2841" w:type="dxa"/>
            <w:shd w:val="clear" w:color="auto" w:fill="auto"/>
            <w:vAlign w:val="center"/>
            <w:hideMark/>
          </w:tcPr>
          <w:p w14:paraId="6FA951B0" w14:textId="77777777" w:rsidR="00C15EA0" w:rsidRPr="00A83C94" w:rsidRDefault="00C15EA0" w:rsidP="0019638A">
            <w:pPr>
              <w:spacing w:before="0" w:line="276" w:lineRule="auto"/>
              <w:ind w:firstLine="0"/>
              <w:contextualSpacing w:val="0"/>
              <w:jc w:val="left"/>
              <w:rPr>
                <w:b w:val="0"/>
                <w:bCs/>
                <w:color w:val="000000"/>
                <w:sz w:val="20"/>
                <w:szCs w:val="20"/>
                <w:lang w:eastAsia="en-US"/>
              </w:rPr>
            </w:pPr>
            <w:r w:rsidRPr="00A83C94">
              <w:rPr>
                <w:b w:val="0"/>
                <w:b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w:t>
            </w:r>
            <w:r w:rsidRPr="00A83C94">
              <w:rPr>
                <w:b w:val="0"/>
                <w:bCs/>
                <w:color w:val="000000"/>
                <w:sz w:val="20"/>
                <w:szCs w:val="20"/>
                <w:lang w:eastAsia="en-US"/>
              </w:rPr>
              <w:t xml:space="preserve"> </w:t>
            </w:r>
          </w:p>
        </w:tc>
        <w:tc>
          <w:tcPr>
            <w:tcW w:w="1204" w:type="dxa"/>
            <w:shd w:val="clear" w:color="auto" w:fill="auto"/>
            <w:noWrap/>
            <w:vAlign w:val="bottom"/>
            <w:hideMark/>
          </w:tcPr>
          <w:p w14:paraId="4DAFB0F7"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22.3%</w:t>
            </w:r>
          </w:p>
        </w:tc>
        <w:tc>
          <w:tcPr>
            <w:tcW w:w="1324" w:type="dxa"/>
            <w:shd w:val="clear" w:color="auto" w:fill="auto"/>
            <w:noWrap/>
            <w:vAlign w:val="bottom"/>
            <w:hideMark/>
          </w:tcPr>
          <w:p w14:paraId="6824E073"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23.9%</w:t>
            </w:r>
          </w:p>
        </w:tc>
        <w:tc>
          <w:tcPr>
            <w:tcW w:w="1325" w:type="dxa"/>
            <w:shd w:val="clear" w:color="auto" w:fill="auto"/>
            <w:noWrap/>
            <w:vAlign w:val="bottom"/>
            <w:hideMark/>
          </w:tcPr>
          <w:p w14:paraId="69C38B1E"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25.2%</w:t>
            </w:r>
          </w:p>
        </w:tc>
        <w:tc>
          <w:tcPr>
            <w:tcW w:w="1324" w:type="dxa"/>
            <w:shd w:val="clear" w:color="auto" w:fill="auto"/>
            <w:noWrap/>
            <w:vAlign w:val="bottom"/>
            <w:hideMark/>
          </w:tcPr>
          <w:p w14:paraId="0DBCFAF5"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23.6%</w:t>
            </w:r>
          </w:p>
        </w:tc>
        <w:tc>
          <w:tcPr>
            <w:tcW w:w="1337" w:type="dxa"/>
            <w:shd w:val="clear" w:color="auto" w:fill="auto"/>
            <w:noWrap/>
            <w:vAlign w:val="bottom"/>
            <w:hideMark/>
          </w:tcPr>
          <w:p w14:paraId="25F4428D" w14:textId="77777777" w:rsidR="00C15EA0" w:rsidRPr="00A83C94" w:rsidRDefault="00C15EA0" w:rsidP="0019638A">
            <w:pPr>
              <w:spacing w:before="0" w:line="276" w:lineRule="auto"/>
              <w:ind w:firstLine="0"/>
              <w:contextualSpacing w:val="0"/>
              <w:jc w:val="center"/>
              <w:rPr>
                <w:rFonts w:cs="Calibri"/>
                <w:b w:val="0"/>
                <w:color w:val="000000"/>
                <w:sz w:val="20"/>
                <w:szCs w:val="20"/>
                <w:lang w:eastAsia="en-US"/>
              </w:rPr>
            </w:pPr>
            <w:r>
              <w:rPr>
                <w:rFonts w:cs="Calibri"/>
                <w:b w:val="0"/>
                <w:color w:val="000000"/>
                <w:sz w:val="20"/>
                <w:szCs w:val="20"/>
                <w:lang w:eastAsia="en-US"/>
              </w:rPr>
              <w:t>24.8</w:t>
            </w:r>
            <w:r w:rsidRPr="00A83C94">
              <w:rPr>
                <w:rFonts w:cs="Calibri"/>
                <w:b w:val="0"/>
                <w:color w:val="000000"/>
                <w:sz w:val="20"/>
                <w:szCs w:val="20"/>
                <w:lang w:eastAsia="en-US"/>
              </w:rPr>
              <w:t>%</w:t>
            </w:r>
          </w:p>
        </w:tc>
      </w:tr>
      <w:tr w:rsidR="00C15EA0" w:rsidRPr="00A83C94" w14:paraId="00D44B68" w14:textId="77777777" w:rsidTr="0019638A">
        <w:trPr>
          <w:trHeight w:val="1035"/>
        </w:trPr>
        <w:tc>
          <w:tcPr>
            <w:tcW w:w="2841" w:type="dxa"/>
            <w:shd w:val="clear" w:color="auto" w:fill="C6D9F1" w:themeFill="text2" w:themeFillTint="33"/>
            <w:vAlign w:val="center"/>
            <w:hideMark/>
          </w:tcPr>
          <w:p w14:paraId="5E4B5997" w14:textId="77777777" w:rsidR="00C15EA0" w:rsidRPr="00A83C94" w:rsidRDefault="00C15EA0" w:rsidP="0019638A">
            <w:pPr>
              <w:spacing w:before="0" w:line="276" w:lineRule="auto"/>
              <w:ind w:firstLine="0"/>
              <w:contextualSpacing w:val="0"/>
              <w:jc w:val="left"/>
              <w:rPr>
                <w:b w:val="0"/>
                <w:bCs/>
                <w:color w:val="000000"/>
                <w:sz w:val="20"/>
                <w:szCs w:val="20"/>
                <w:lang w:eastAsia="en-US"/>
              </w:rPr>
            </w:pPr>
            <w:r w:rsidRPr="00A83C94">
              <w:rPr>
                <w:b w:val="0"/>
                <w:bCs/>
                <w:color w:val="000000"/>
                <w:sz w:val="20"/>
                <w:szCs w:val="20"/>
                <w:lang w:eastAsia="en-US"/>
              </w:rPr>
              <w:t xml:space="preserve"> 1. </w:t>
            </w:r>
            <w:r w:rsidRPr="00A83C94">
              <w:rPr>
                <w:b w:val="0"/>
                <w:bCs/>
                <w:color w:val="000000"/>
                <w:sz w:val="20"/>
                <w:szCs w:val="20"/>
                <w:lang w:val="en-US" w:eastAsia="en-US"/>
              </w:rPr>
              <w:t>Հարկային</w:t>
            </w:r>
            <w:r w:rsidRPr="00A83C94">
              <w:rPr>
                <w:b w:val="0"/>
                <w:bCs/>
                <w:color w:val="000000"/>
                <w:sz w:val="20"/>
                <w:szCs w:val="20"/>
                <w:lang w:eastAsia="en-US"/>
              </w:rPr>
              <w:t xml:space="preserve"> </w:t>
            </w:r>
            <w:r w:rsidRPr="00A83C94">
              <w:rPr>
                <w:b w:val="0"/>
                <w:bCs/>
                <w:color w:val="000000"/>
                <w:sz w:val="20"/>
                <w:szCs w:val="20"/>
                <w:lang w:val="en-US" w:eastAsia="en-US"/>
              </w:rPr>
              <w:t>եկամուտներ</w:t>
            </w:r>
            <w:r w:rsidRPr="00A83C94">
              <w:rPr>
                <w:b w:val="0"/>
                <w:bCs/>
                <w:color w:val="000000"/>
                <w:sz w:val="20"/>
                <w:szCs w:val="20"/>
                <w:lang w:eastAsia="en-US"/>
              </w:rPr>
              <w:t xml:space="preserve"> </w:t>
            </w:r>
            <w:r w:rsidRPr="00A83C94">
              <w:rPr>
                <w:b w:val="0"/>
                <w:bCs/>
                <w:color w:val="000000"/>
                <w:sz w:val="20"/>
                <w:szCs w:val="20"/>
                <w:lang w:val="en-US" w:eastAsia="en-US"/>
              </w:rPr>
              <w:t>և</w:t>
            </w:r>
            <w:r w:rsidRPr="00A83C94">
              <w:rPr>
                <w:b w:val="0"/>
                <w:bCs/>
                <w:color w:val="000000"/>
                <w:sz w:val="20"/>
                <w:szCs w:val="20"/>
                <w:lang w:eastAsia="en-US"/>
              </w:rPr>
              <w:t xml:space="preserve"> </w:t>
            </w:r>
            <w:r w:rsidRPr="00A83C94">
              <w:rPr>
                <w:b w:val="0"/>
                <w:bCs/>
                <w:color w:val="000000"/>
                <w:sz w:val="20"/>
                <w:szCs w:val="20"/>
                <w:lang w:val="en-US" w:eastAsia="en-US"/>
              </w:rPr>
              <w:t>պետական</w:t>
            </w:r>
            <w:r w:rsidRPr="00A83C94">
              <w:rPr>
                <w:b w:val="0"/>
                <w:bCs/>
                <w:color w:val="000000"/>
                <w:sz w:val="20"/>
                <w:szCs w:val="20"/>
                <w:lang w:eastAsia="en-US"/>
              </w:rPr>
              <w:t xml:space="preserve"> </w:t>
            </w:r>
            <w:r w:rsidRPr="00A83C94">
              <w:rPr>
                <w:b w:val="0"/>
                <w:bCs/>
                <w:color w:val="000000"/>
                <w:sz w:val="20"/>
                <w:szCs w:val="20"/>
                <w:lang w:val="en-US" w:eastAsia="en-US"/>
              </w:rPr>
              <w:t>տուրքեր</w:t>
            </w:r>
          </w:p>
        </w:tc>
        <w:tc>
          <w:tcPr>
            <w:tcW w:w="1204" w:type="dxa"/>
            <w:shd w:val="clear" w:color="auto" w:fill="C6D9F1" w:themeFill="text2" w:themeFillTint="33"/>
            <w:noWrap/>
            <w:vAlign w:val="center"/>
            <w:hideMark/>
          </w:tcPr>
          <w:p w14:paraId="0BB8E26E"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1,258.1</w:t>
            </w:r>
          </w:p>
        </w:tc>
        <w:tc>
          <w:tcPr>
            <w:tcW w:w="1324" w:type="dxa"/>
            <w:shd w:val="clear" w:color="auto" w:fill="C6D9F1" w:themeFill="text2" w:themeFillTint="33"/>
            <w:noWrap/>
            <w:vAlign w:val="center"/>
            <w:hideMark/>
          </w:tcPr>
          <w:p w14:paraId="4ED35101"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1,464.3</w:t>
            </w:r>
          </w:p>
        </w:tc>
        <w:tc>
          <w:tcPr>
            <w:tcW w:w="1325" w:type="dxa"/>
            <w:shd w:val="clear" w:color="auto" w:fill="C6D9F1" w:themeFill="text2" w:themeFillTint="33"/>
            <w:noWrap/>
            <w:vAlign w:val="center"/>
            <w:hideMark/>
          </w:tcPr>
          <w:p w14:paraId="1BD7724D"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1,385.2</w:t>
            </w:r>
          </w:p>
        </w:tc>
        <w:tc>
          <w:tcPr>
            <w:tcW w:w="1324" w:type="dxa"/>
            <w:shd w:val="clear" w:color="auto" w:fill="C6D9F1" w:themeFill="text2" w:themeFillTint="33"/>
            <w:noWrap/>
            <w:vAlign w:val="center"/>
            <w:hideMark/>
          </w:tcPr>
          <w:p w14:paraId="3348ACC5"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1,581.0</w:t>
            </w:r>
          </w:p>
        </w:tc>
        <w:tc>
          <w:tcPr>
            <w:tcW w:w="1337" w:type="dxa"/>
            <w:shd w:val="clear" w:color="auto" w:fill="C6D9F1" w:themeFill="text2" w:themeFillTint="33"/>
            <w:noWrap/>
            <w:vAlign w:val="center"/>
            <w:hideMark/>
          </w:tcPr>
          <w:p w14:paraId="0618CF45" w14:textId="77777777" w:rsidR="00C15EA0" w:rsidRPr="00A83C94" w:rsidRDefault="00C15EA0" w:rsidP="0019638A">
            <w:pPr>
              <w:spacing w:before="0" w:line="276" w:lineRule="auto"/>
              <w:ind w:firstLine="0"/>
              <w:contextualSpacing w:val="0"/>
              <w:jc w:val="center"/>
              <w:rPr>
                <w:rFonts w:cs="Calibri"/>
                <w:b w:val="0"/>
                <w:color w:val="000000"/>
                <w:sz w:val="20"/>
                <w:szCs w:val="20"/>
                <w:lang w:eastAsia="en-US"/>
              </w:rPr>
            </w:pPr>
            <w:r>
              <w:rPr>
                <w:rFonts w:cs="Calibri"/>
                <w:b w:val="0"/>
                <w:color w:val="000000"/>
                <w:sz w:val="20"/>
                <w:szCs w:val="20"/>
                <w:lang w:eastAsia="en-US"/>
              </w:rPr>
              <w:t>1,843.9</w:t>
            </w:r>
          </w:p>
        </w:tc>
      </w:tr>
      <w:tr w:rsidR="00C15EA0" w:rsidRPr="00A83C94" w14:paraId="1607AD6C" w14:textId="77777777" w:rsidTr="0019638A">
        <w:trPr>
          <w:trHeight w:val="690"/>
        </w:trPr>
        <w:tc>
          <w:tcPr>
            <w:tcW w:w="2841" w:type="dxa"/>
            <w:shd w:val="clear" w:color="auto" w:fill="auto"/>
            <w:vAlign w:val="center"/>
            <w:hideMark/>
          </w:tcPr>
          <w:p w14:paraId="6B5D973E" w14:textId="77777777" w:rsidR="00C15EA0" w:rsidRPr="00A83C94" w:rsidRDefault="00C15EA0" w:rsidP="0019638A">
            <w:pPr>
              <w:spacing w:before="0" w:line="276" w:lineRule="auto"/>
              <w:ind w:firstLine="0"/>
              <w:contextualSpacing w:val="0"/>
              <w:jc w:val="left"/>
              <w:rPr>
                <w:b w:val="0"/>
                <w:bCs/>
                <w:color w:val="000000"/>
                <w:sz w:val="20"/>
                <w:szCs w:val="20"/>
                <w:lang w:eastAsia="en-US"/>
              </w:rPr>
            </w:pPr>
            <w:r w:rsidRPr="00A83C94">
              <w:rPr>
                <w:b w:val="0"/>
                <w:b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w:t>
            </w:r>
            <w:r w:rsidRPr="00A83C94">
              <w:rPr>
                <w:b w:val="0"/>
                <w:bCs/>
                <w:color w:val="000000"/>
                <w:sz w:val="20"/>
                <w:szCs w:val="20"/>
                <w:lang w:eastAsia="en-US"/>
              </w:rPr>
              <w:t xml:space="preserve"> </w:t>
            </w:r>
          </w:p>
        </w:tc>
        <w:tc>
          <w:tcPr>
            <w:tcW w:w="1204" w:type="dxa"/>
            <w:shd w:val="clear" w:color="auto" w:fill="auto"/>
            <w:noWrap/>
            <w:vAlign w:val="bottom"/>
            <w:hideMark/>
          </w:tcPr>
          <w:p w14:paraId="008003CA"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20.9%</w:t>
            </w:r>
          </w:p>
        </w:tc>
        <w:tc>
          <w:tcPr>
            <w:tcW w:w="1324" w:type="dxa"/>
            <w:shd w:val="clear" w:color="auto" w:fill="auto"/>
            <w:noWrap/>
            <w:vAlign w:val="bottom"/>
            <w:hideMark/>
          </w:tcPr>
          <w:p w14:paraId="4A1E085E"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22.4%</w:t>
            </w:r>
          </w:p>
        </w:tc>
        <w:tc>
          <w:tcPr>
            <w:tcW w:w="1325" w:type="dxa"/>
            <w:shd w:val="clear" w:color="auto" w:fill="auto"/>
            <w:noWrap/>
            <w:vAlign w:val="bottom"/>
            <w:hideMark/>
          </w:tcPr>
          <w:p w14:paraId="7D33C986"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22.4%</w:t>
            </w:r>
          </w:p>
        </w:tc>
        <w:tc>
          <w:tcPr>
            <w:tcW w:w="1324" w:type="dxa"/>
            <w:shd w:val="clear" w:color="auto" w:fill="auto"/>
            <w:noWrap/>
            <w:vAlign w:val="bottom"/>
            <w:hideMark/>
          </w:tcPr>
          <w:p w14:paraId="46C71B01"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22.5%</w:t>
            </w:r>
          </w:p>
        </w:tc>
        <w:tc>
          <w:tcPr>
            <w:tcW w:w="1337" w:type="dxa"/>
            <w:shd w:val="clear" w:color="auto" w:fill="auto"/>
            <w:noWrap/>
            <w:vAlign w:val="bottom"/>
            <w:hideMark/>
          </w:tcPr>
          <w:p w14:paraId="5F63E2FB"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eastAsia="en-US"/>
              </w:rPr>
              <w:t>23.</w:t>
            </w:r>
            <w:r w:rsidRPr="00A83C94">
              <w:rPr>
                <w:rFonts w:cs="Calibri"/>
                <w:b w:val="0"/>
                <w:color w:val="000000"/>
                <w:sz w:val="20"/>
                <w:szCs w:val="20"/>
                <w:lang w:eastAsia="en-US"/>
              </w:rPr>
              <w:t>4</w:t>
            </w:r>
            <w:r w:rsidRPr="00A83C94">
              <w:rPr>
                <w:rFonts w:cs="Calibri"/>
                <w:b w:val="0"/>
                <w:color w:val="000000"/>
                <w:sz w:val="20"/>
                <w:szCs w:val="20"/>
                <w:lang w:val="en-US" w:eastAsia="en-US"/>
              </w:rPr>
              <w:t>%</w:t>
            </w:r>
          </w:p>
        </w:tc>
      </w:tr>
      <w:tr w:rsidR="00C15EA0" w:rsidRPr="00A83C94" w14:paraId="1784EEC2" w14:textId="77777777" w:rsidTr="0019638A">
        <w:trPr>
          <w:trHeight w:val="735"/>
        </w:trPr>
        <w:tc>
          <w:tcPr>
            <w:tcW w:w="2841" w:type="dxa"/>
            <w:shd w:val="clear" w:color="auto" w:fill="C6D9F1" w:themeFill="text2" w:themeFillTint="33"/>
            <w:vAlign w:val="center"/>
            <w:hideMark/>
          </w:tcPr>
          <w:p w14:paraId="3F94D3D6" w14:textId="77777777" w:rsidR="00C15EA0" w:rsidRPr="00A83C94" w:rsidRDefault="00C15EA0" w:rsidP="0019638A">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w:t>
            </w:r>
            <w:r w:rsidRPr="00A83C94">
              <w:rPr>
                <w:b w:val="0"/>
                <w:i/>
                <w:iCs/>
                <w:color w:val="000000"/>
                <w:sz w:val="20"/>
                <w:szCs w:val="20"/>
                <w:lang w:val="en-US" w:eastAsia="en-US"/>
              </w:rPr>
              <w:t>տոկոսով ընդհանուրի նկատմամբ</w:t>
            </w:r>
            <w:r w:rsidRPr="00A83C94">
              <w:rPr>
                <w:b w:val="0"/>
                <w:bCs/>
                <w:color w:val="000000"/>
                <w:sz w:val="20"/>
                <w:szCs w:val="20"/>
                <w:lang w:val="en-US" w:eastAsia="en-US"/>
              </w:rPr>
              <w:t xml:space="preserve"> </w:t>
            </w:r>
          </w:p>
        </w:tc>
        <w:tc>
          <w:tcPr>
            <w:tcW w:w="1204" w:type="dxa"/>
            <w:shd w:val="clear" w:color="auto" w:fill="C6D9F1" w:themeFill="text2" w:themeFillTint="33"/>
            <w:noWrap/>
            <w:vAlign w:val="bottom"/>
            <w:hideMark/>
          </w:tcPr>
          <w:p w14:paraId="4B8F9D25"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93.8%</w:t>
            </w:r>
          </w:p>
        </w:tc>
        <w:tc>
          <w:tcPr>
            <w:tcW w:w="1324" w:type="dxa"/>
            <w:shd w:val="clear" w:color="auto" w:fill="C6D9F1" w:themeFill="text2" w:themeFillTint="33"/>
            <w:noWrap/>
            <w:vAlign w:val="bottom"/>
            <w:hideMark/>
          </w:tcPr>
          <w:p w14:paraId="5F8C7D90"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93.5%</w:t>
            </w:r>
          </w:p>
        </w:tc>
        <w:tc>
          <w:tcPr>
            <w:tcW w:w="1325" w:type="dxa"/>
            <w:shd w:val="clear" w:color="auto" w:fill="C6D9F1" w:themeFill="text2" w:themeFillTint="33"/>
            <w:noWrap/>
            <w:vAlign w:val="bottom"/>
            <w:hideMark/>
          </w:tcPr>
          <w:p w14:paraId="2BB9F772"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88.8%</w:t>
            </w:r>
          </w:p>
        </w:tc>
        <w:tc>
          <w:tcPr>
            <w:tcW w:w="1324" w:type="dxa"/>
            <w:shd w:val="clear" w:color="auto" w:fill="C6D9F1" w:themeFill="text2" w:themeFillTint="33"/>
            <w:noWrap/>
            <w:vAlign w:val="bottom"/>
            <w:hideMark/>
          </w:tcPr>
          <w:p w14:paraId="1856AD1A"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95.4%</w:t>
            </w:r>
          </w:p>
        </w:tc>
        <w:tc>
          <w:tcPr>
            <w:tcW w:w="1337" w:type="dxa"/>
            <w:shd w:val="clear" w:color="auto" w:fill="C6D9F1" w:themeFill="text2" w:themeFillTint="33"/>
            <w:noWrap/>
            <w:vAlign w:val="bottom"/>
            <w:hideMark/>
          </w:tcPr>
          <w:p w14:paraId="503B8C5F"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94.7%</w:t>
            </w:r>
          </w:p>
        </w:tc>
      </w:tr>
      <w:tr w:rsidR="00C15EA0" w:rsidRPr="00A83C94" w14:paraId="5626C0A5" w14:textId="77777777" w:rsidTr="0019638A">
        <w:trPr>
          <w:trHeight w:val="510"/>
        </w:trPr>
        <w:tc>
          <w:tcPr>
            <w:tcW w:w="2841" w:type="dxa"/>
            <w:shd w:val="clear" w:color="auto" w:fill="auto"/>
            <w:vAlign w:val="center"/>
            <w:hideMark/>
          </w:tcPr>
          <w:p w14:paraId="61C83E93" w14:textId="77777777" w:rsidR="00C15EA0" w:rsidRPr="00A83C94" w:rsidRDefault="00C15EA0" w:rsidP="0019638A">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2. Այլ եկամուտներ </w:t>
            </w:r>
          </w:p>
        </w:tc>
        <w:tc>
          <w:tcPr>
            <w:tcW w:w="1204" w:type="dxa"/>
            <w:shd w:val="clear" w:color="auto" w:fill="auto"/>
            <w:noWrap/>
            <w:vAlign w:val="center"/>
            <w:hideMark/>
          </w:tcPr>
          <w:p w14:paraId="5A156CC9"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72.3</w:t>
            </w:r>
          </w:p>
        </w:tc>
        <w:tc>
          <w:tcPr>
            <w:tcW w:w="1324" w:type="dxa"/>
            <w:shd w:val="clear" w:color="auto" w:fill="auto"/>
            <w:noWrap/>
            <w:vAlign w:val="center"/>
            <w:hideMark/>
          </w:tcPr>
          <w:p w14:paraId="02FB3DA1"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88.8</w:t>
            </w:r>
          </w:p>
        </w:tc>
        <w:tc>
          <w:tcPr>
            <w:tcW w:w="1325" w:type="dxa"/>
            <w:shd w:val="clear" w:color="auto" w:fill="auto"/>
            <w:noWrap/>
            <w:vAlign w:val="center"/>
            <w:hideMark/>
          </w:tcPr>
          <w:p w14:paraId="7B77FE76"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122.2</w:t>
            </w:r>
          </w:p>
        </w:tc>
        <w:tc>
          <w:tcPr>
            <w:tcW w:w="1324" w:type="dxa"/>
            <w:shd w:val="clear" w:color="auto" w:fill="auto"/>
            <w:noWrap/>
            <w:vAlign w:val="center"/>
            <w:hideMark/>
          </w:tcPr>
          <w:p w14:paraId="4569DED1"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52.0</w:t>
            </w:r>
          </w:p>
        </w:tc>
        <w:tc>
          <w:tcPr>
            <w:tcW w:w="1337" w:type="dxa"/>
            <w:shd w:val="clear" w:color="auto" w:fill="auto"/>
            <w:noWrap/>
            <w:vAlign w:val="center"/>
            <w:hideMark/>
          </w:tcPr>
          <w:p w14:paraId="0995E2B4"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62.1</w:t>
            </w:r>
          </w:p>
        </w:tc>
      </w:tr>
      <w:tr w:rsidR="00C15EA0" w:rsidRPr="00A83C94" w14:paraId="0967EF01" w14:textId="77777777" w:rsidTr="0019638A">
        <w:trPr>
          <w:trHeight w:val="690"/>
        </w:trPr>
        <w:tc>
          <w:tcPr>
            <w:tcW w:w="2841" w:type="dxa"/>
            <w:shd w:val="clear" w:color="auto" w:fill="C6D9F1" w:themeFill="text2" w:themeFillTint="33"/>
            <w:vAlign w:val="center"/>
            <w:hideMark/>
          </w:tcPr>
          <w:p w14:paraId="27B96F0E" w14:textId="77777777" w:rsidR="00C15EA0" w:rsidRPr="00A83C94" w:rsidRDefault="00C15EA0" w:rsidP="0019638A">
            <w:pPr>
              <w:spacing w:before="0" w:line="276" w:lineRule="auto"/>
              <w:ind w:firstLine="0"/>
              <w:contextualSpacing w:val="0"/>
              <w:jc w:val="left"/>
              <w:rPr>
                <w:b w:val="0"/>
                <w:i/>
                <w:iCs/>
                <w:color w:val="000000"/>
                <w:sz w:val="20"/>
                <w:szCs w:val="20"/>
                <w:lang w:eastAsia="en-US"/>
              </w:rPr>
            </w:pPr>
            <w:r w:rsidRPr="00A83C94">
              <w:rPr>
                <w:b w:val="0"/>
                <w:i/>
                <w:i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 xml:space="preserve">) </w:t>
            </w:r>
          </w:p>
        </w:tc>
        <w:tc>
          <w:tcPr>
            <w:tcW w:w="1204" w:type="dxa"/>
            <w:shd w:val="clear" w:color="auto" w:fill="C6D9F1" w:themeFill="text2" w:themeFillTint="33"/>
            <w:noWrap/>
            <w:vAlign w:val="bottom"/>
            <w:hideMark/>
          </w:tcPr>
          <w:p w14:paraId="0FE64242"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w:t>
            </w:r>
          </w:p>
        </w:tc>
        <w:tc>
          <w:tcPr>
            <w:tcW w:w="1324" w:type="dxa"/>
            <w:shd w:val="clear" w:color="auto" w:fill="C6D9F1" w:themeFill="text2" w:themeFillTint="33"/>
            <w:noWrap/>
            <w:vAlign w:val="bottom"/>
            <w:hideMark/>
          </w:tcPr>
          <w:p w14:paraId="0F888D1C"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1.4%</w:t>
            </w:r>
          </w:p>
        </w:tc>
        <w:tc>
          <w:tcPr>
            <w:tcW w:w="1325" w:type="dxa"/>
            <w:shd w:val="clear" w:color="auto" w:fill="C6D9F1" w:themeFill="text2" w:themeFillTint="33"/>
            <w:noWrap/>
            <w:vAlign w:val="bottom"/>
            <w:hideMark/>
          </w:tcPr>
          <w:p w14:paraId="049A2851"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2.0%</w:t>
            </w:r>
          </w:p>
        </w:tc>
        <w:tc>
          <w:tcPr>
            <w:tcW w:w="1324" w:type="dxa"/>
            <w:shd w:val="clear" w:color="auto" w:fill="C6D9F1" w:themeFill="text2" w:themeFillTint="33"/>
            <w:noWrap/>
            <w:vAlign w:val="bottom"/>
            <w:hideMark/>
          </w:tcPr>
          <w:p w14:paraId="2909674C"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0.7%</w:t>
            </w:r>
          </w:p>
        </w:tc>
        <w:tc>
          <w:tcPr>
            <w:tcW w:w="1337" w:type="dxa"/>
            <w:shd w:val="clear" w:color="auto" w:fill="C6D9F1" w:themeFill="text2" w:themeFillTint="33"/>
            <w:noWrap/>
            <w:vAlign w:val="bottom"/>
            <w:hideMark/>
          </w:tcPr>
          <w:p w14:paraId="68CC871A"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0.8%</w:t>
            </w:r>
          </w:p>
        </w:tc>
      </w:tr>
      <w:tr w:rsidR="00C15EA0" w:rsidRPr="00A83C94" w14:paraId="2F022016" w14:textId="77777777" w:rsidTr="0019638A">
        <w:trPr>
          <w:trHeight w:val="975"/>
        </w:trPr>
        <w:tc>
          <w:tcPr>
            <w:tcW w:w="2841" w:type="dxa"/>
            <w:shd w:val="clear" w:color="auto" w:fill="auto"/>
            <w:vAlign w:val="center"/>
            <w:hideMark/>
          </w:tcPr>
          <w:p w14:paraId="7348A4D2" w14:textId="77777777" w:rsidR="00C15EA0" w:rsidRPr="00A83C94" w:rsidRDefault="00C15EA0" w:rsidP="0019638A">
            <w:pPr>
              <w:spacing w:before="0" w:line="276" w:lineRule="auto"/>
              <w:ind w:firstLine="0"/>
              <w:contextualSpacing w:val="0"/>
              <w:jc w:val="left"/>
              <w:rPr>
                <w:b w:val="0"/>
                <w:i/>
                <w:iCs/>
                <w:color w:val="000000"/>
                <w:sz w:val="20"/>
                <w:szCs w:val="20"/>
                <w:lang w:val="en-US" w:eastAsia="en-US"/>
              </w:rPr>
            </w:pPr>
            <w:r w:rsidRPr="00A83C94">
              <w:rPr>
                <w:b w:val="0"/>
                <w:i/>
                <w:iCs/>
                <w:color w:val="000000"/>
                <w:sz w:val="20"/>
                <w:szCs w:val="20"/>
                <w:lang w:val="en-US" w:eastAsia="en-US"/>
              </w:rPr>
              <w:t xml:space="preserve"> տոկոսով ընդհանուրի նկատմամբ </w:t>
            </w:r>
          </w:p>
        </w:tc>
        <w:tc>
          <w:tcPr>
            <w:tcW w:w="1204" w:type="dxa"/>
            <w:shd w:val="clear" w:color="auto" w:fill="auto"/>
            <w:noWrap/>
            <w:vAlign w:val="bottom"/>
            <w:hideMark/>
          </w:tcPr>
          <w:p w14:paraId="44E7F39D"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5.4%</w:t>
            </w:r>
          </w:p>
        </w:tc>
        <w:tc>
          <w:tcPr>
            <w:tcW w:w="1324" w:type="dxa"/>
            <w:shd w:val="clear" w:color="auto" w:fill="auto"/>
            <w:noWrap/>
            <w:vAlign w:val="bottom"/>
            <w:hideMark/>
          </w:tcPr>
          <w:p w14:paraId="1179BA76"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5.7%</w:t>
            </w:r>
          </w:p>
        </w:tc>
        <w:tc>
          <w:tcPr>
            <w:tcW w:w="1325" w:type="dxa"/>
            <w:shd w:val="clear" w:color="auto" w:fill="auto"/>
            <w:noWrap/>
            <w:vAlign w:val="bottom"/>
            <w:hideMark/>
          </w:tcPr>
          <w:p w14:paraId="05F2EDFA"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7.8%</w:t>
            </w:r>
          </w:p>
        </w:tc>
        <w:tc>
          <w:tcPr>
            <w:tcW w:w="1324" w:type="dxa"/>
            <w:shd w:val="clear" w:color="auto" w:fill="auto"/>
            <w:noWrap/>
            <w:vAlign w:val="bottom"/>
            <w:hideMark/>
          </w:tcPr>
          <w:p w14:paraId="53A050A2"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3.1%</w:t>
            </w:r>
          </w:p>
        </w:tc>
        <w:tc>
          <w:tcPr>
            <w:tcW w:w="1337" w:type="dxa"/>
            <w:shd w:val="clear" w:color="auto" w:fill="auto"/>
            <w:noWrap/>
            <w:vAlign w:val="bottom"/>
            <w:hideMark/>
          </w:tcPr>
          <w:p w14:paraId="48423543"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3.2%</w:t>
            </w:r>
          </w:p>
        </w:tc>
      </w:tr>
      <w:tr w:rsidR="00C15EA0" w:rsidRPr="00A83C94" w14:paraId="6A0D54C6" w14:textId="77777777" w:rsidTr="0019638A">
        <w:trPr>
          <w:trHeight w:val="825"/>
        </w:trPr>
        <w:tc>
          <w:tcPr>
            <w:tcW w:w="2841" w:type="dxa"/>
            <w:shd w:val="clear" w:color="auto" w:fill="C6D9F1" w:themeFill="text2" w:themeFillTint="33"/>
            <w:vAlign w:val="center"/>
            <w:hideMark/>
          </w:tcPr>
          <w:p w14:paraId="7F95B02C" w14:textId="77777777" w:rsidR="00C15EA0" w:rsidRPr="00A83C94" w:rsidRDefault="00C15EA0" w:rsidP="0019638A">
            <w:pPr>
              <w:spacing w:before="0" w:line="276" w:lineRule="auto"/>
              <w:ind w:firstLine="0"/>
              <w:contextualSpacing w:val="0"/>
              <w:jc w:val="left"/>
              <w:rPr>
                <w:b w:val="0"/>
                <w:bCs/>
                <w:color w:val="000000"/>
                <w:sz w:val="20"/>
                <w:szCs w:val="20"/>
                <w:lang w:val="en-US" w:eastAsia="en-US"/>
              </w:rPr>
            </w:pPr>
            <w:r w:rsidRPr="00A83C94">
              <w:rPr>
                <w:b w:val="0"/>
                <w:bCs/>
                <w:color w:val="000000"/>
                <w:sz w:val="20"/>
                <w:szCs w:val="20"/>
                <w:lang w:val="en-US" w:eastAsia="en-US"/>
              </w:rPr>
              <w:t xml:space="preserve"> 3. Պաշտոնական դրամաշնորհներ </w:t>
            </w:r>
          </w:p>
        </w:tc>
        <w:tc>
          <w:tcPr>
            <w:tcW w:w="1204" w:type="dxa"/>
            <w:shd w:val="clear" w:color="auto" w:fill="C6D9F1" w:themeFill="text2" w:themeFillTint="33"/>
            <w:noWrap/>
            <w:vAlign w:val="center"/>
            <w:hideMark/>
          </w:tcPr>
          <w:p w14:paraId="2C94936D"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11.2</w:t>
            </w:r>
          </w:p>
        </w:tc>
        <w:tc>
          <w:tcPr>
            <w:tcW w:w="1324" w:type="dxa"/>
            <w:shd w:val="clear" w:color="auto" w:fill="C6D9F1" w:themeFill="text2" w:themeFillTint="33"/>
            <w:noWrap/>
            <w:vAlign w:val="center"/>
            <w:hideMark/>
          </w:tcPr>
          <w:p w14:paraId="5AE897C9"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12.4</w:t>
            </w:r>
          </w:p>
        </w:tc>
        <w:tc>
          <w:tcPr>
            <w:tcW w:w="1325" w:type="dxa"/>
            <w:shd w:val="clear" w:color="auto" w:fill="C6D9F1" w:themeFill="text2" w:themeFillTint="33"/>
            <w:noWrap/>
            <w:vAlign w:val="center"/>
            <w:hideMark/>
          </w:tcPr>
          <w:p w14:paraId="2813D609"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53.2</w:t>
            </w:r>
          </w:p>
        </w:tc>
        <w:tc>
          <w:tcPr>
            <w:tcW w:w="1324" w:type="dxa"/>
            <w:shd w:val="clear" w:color="auto" w:fill="C6D9F1" w:themeFill="text2" w:themeFillTint="33"/>
            <w:noWrap/>
            <w:vAlign w:val="center"/>
            <w:hideMark/>
          </w:tcPr>
          <w:p w14:paraId="1C06CCD9"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23.9</w:t>
            </w:r>
          </w:p>
        </w:tc>
        <w:tc>
          <w:tcPr>
            <w:tcW w:w="1337" w:type="dxa"/>
            <w:shd w:val="clear" w:color="auto" w:fill="C6D9F1" w:themeFill="text2" w:themeFillTint="33"/>
            <w:noWrap/>
            <w:vAlign w:val="center"/>
            <w:hideMark/>
          </w:tcPr>
          <w:p w14:paraId="4BED4F70" w14:textId="77777777" w:rsidR="00C15EA0" w:rsidRPr="00A83C94" w:rsidRDefault="00C15EA0" w:rsidP="0019638A">
            <w:pPr>
              <w:spacing w:before="0" w:line="276" w:lineRule="auto"/>
              <w:ind w:firstLine="0"/>
              <w:contextualSpacing w:val="0"/>
              <w:jc w:val="center"/>
              <w:rPr>
                <w:rFonts w:cs="Calibri"/>
                <w:b w:val="0"/>
                <w:color w:val="000000"/>
                <w:sz w:val="20"/>
                <w:szCs w:val="20"/>
                <w:lang w:eastAsia="en-US"/>
              </w:rPr>
            </w:pPr>
            <w:r>
              <w:rPr>
                <w:rFonts w:cs="Calibri"/>
                <w:b w:val="0"/>
                <w:color w:val="000000"/>
                <w:sz w:val="20"/>
                <w:szCs w:val="20"/>
                <w:lang w:val="en-US" w:eastAsia="en-US"/>
              </w:rPr>
              <w:t>41.8</w:t>
            </w:r>
          </w:p>
        </w:tc>
      </w:tr>
      <w:tr w:rsidR="00C15EA0" w:rsidRPr="00A83C94" w14:paraId="1E501954" w14:textId="77777777" w:rsidTr="0019638A">
        <w:trPr>
          <w:trHeight w:val="690"/>
        </w:trPr>
        <w:tc>
          <w:tcPr>
            <w:tcW w:w="2841" w:type="dxa"/>
            <w:shd w:val="clear" w:color="auto" w:fill="auto"/>
            <w:vAlign w:val="center"/>
            <w:hideMark/>
          </w:tcPr>
          <w:p w14:paraId="1C7A2F03" w14:textId="77777777" w:rsidR="00C15EA0" w:rsidRPr="00A83C94" w:rsidRDefault="00C15EA0" w:rsidP="0019638A">
            <w:pPr>
              <w:spacing w:before="0" w:line="276" w:lineRule="auto"/>
              <w:ind w:firstLine="0"/>
              <w:contextualSpacing w:val="0"/>
              <w:jc w:val="left"/>
              <w:rPr>
                <w:b w:val="0"/>
                <w:i/>
                <w:iCs/>
                <w:color w:val="000000"/>
                <w:sz w:val="20"/>
                <w:szCs w:val="20"/>
                <w:lang w:eastAsia="en-US"/>
              </w:rPr>
            </w:pPr>
            <w:r w:rsidRPr="00A83C94">
              <w:rPr>
                <w:b w:val="0"/>
                <w:i/>
                <w:iCs/>
                <w:color w:val="000000"/>
                <w:sz w:val="20"/>
                <w:szCs w:val="20"/>
                <w:lang w:eastAsia="en-US"/>
              </w:rPr>
              <w:t xml:space="preserve"> </w:t>
            </w:r>
            <w:r w:rsidRPr="00A83C94">
              <w:rPr>
                <w:b w:val="0"/>
                <w:i/>
                <w:iCs/>
                <w:color w:val="000000"/>
                <w:sz w:val="20"/>
                <w:szCs w:val="20"/>
                <w:lang w:val="en-US" w:eastAsia="en-US"/>
              </w:rPr>
              <w:t>հարաբերությունը</w:t>
            </w:r>
            <w:r w:rsidRPr="00A83C94">
              <w:rPr>
                <w:b w:val="0"/>
                <w:i/>
                <w:iCs/>
                <w:color w:val="000000"/>
                <w:sz w:val="20"/>
                <w:szCs w:val="20"/>
                <w:lang w:eastAsia="en-US"/>
              </w:rPr>
              <w:t xml:space="preserve"> </w:t>
            </w:r>
            <w:r w:rsidRPr="00A83C94">
              <w:rPr>
                <w:b w:val="0"/>
                <w:i/>
                <w:iCs/>
                <w:color w:val="000000"/>
                <w:sz w:val="20"/>
                <w:szCs w:val="20"/>
                <w:lang w:val="en-US" w:eastAsia="en-US"/>
              </w:rPr>
              <w:t>ՀՆԱ</w:t>
            </w:r>
            <w:r w:rsidRPr="00A83C94">
              <w:rPr>
                <w:b w:val="0"/>
                <w:i/>
                <w:iCs/>
                <w:color w:val="000000"/>
                <w:sz w:val="20"/>
                <w:szCs w:val="20"/>
                <w:lang w:eastAsia="en-US"/>
              </w:rPr>
              <w:t>-</w:t>
            </w:r>
            <w:r w:rsidRPr="00A83C94">
              <w:rPr>
                <w:b w:val="0"/>
                <w:i/>
                <w:iCs/>
                <w:color w:val="000000"/>
                <w:sz w:val="20"/>
                <w:szCs w:val="20"/>
                <w:lang w:val="en-US" w:eastAsia="en-US"/>
              </w:rPr>
              <w:t>ի</w:t>
            </w:r>
            <w:r w:rsidRPr="00A83C94">
              <w:rPr>
                <w:b w:val="0"/>
                <w:i/>
                <w:iCs/>
                <w:color w:val="000000"/>
                <w:sz w:val="20"/>
                <w:szCs w:val="20"/>
                <w:lang w:eastAsia="en-US"/>
              </w:rPr>
              <w:t xml:space="preserve"> </w:t>
            </w:r>
            <w:r w:rsidRPr="00A83C94">
              <w:rPr>
                <w:b w:val="0"/>
                <w:i/>
                <w:iCs/>
                <w:color w:val="000000"/>
                <w:sz w:val="20"/>
                <w:szCs w:val="20"/>
                <w:lang w:val="en-US" w:eastAsia="en-US"/>
              </w:rPr>
              <w:t>նկատմամբ</w:t>
            </w:r>
            <w:r w:rsidRPr="00A83C94">
              <w:rPr>
                <w:b w:val="0"/>
                <w:i/>
                <w:iCs/>
                <w:color w:val="000000"/>
                <w:sz w:val="20"/>
                <w:szCs w:val="20"/>
                <w:lang w:eastAsia="en-US"/>
              </w:rPr>
              <w:t xml:space="preserve"> (%-</w:t>
            </w:r>
            <w:r w:rsidRPr="00A83C94">
              <w:rPr>
                <w:b w:val="0"/>
                <w:i/>
                <w:iCs/>
                <w:color w:val="000000"/>
                <w:sz w:val="20"/>
                <w:szCs w:val="20"/>
                <w:lang w:val="en-US" w:eastAsia="en-US"/>
              </w:rPr>
              <w:t>ով</w:t>
            </w:r>
            <w:r w:rsidRPr="00A83C94">
              <w:rPr>
                <w:b w:val="0"/>
                <w:i/>
                <w:iCs/>
                <w:color w:val="000000"/>
                <w:sz w:val="20"/>
                <w:szCs w:val="20"/>
                <w:lang w:eastAsia="en-US"/>
              </w:rPr>
              <w:t xml:space="preserve">) </w:t>
            </w:r>
          </w:p>
        </w:tc>
        <w:tc>
          <w:tcPr>
            <w:tcW w:w="1204" w:type="dxa"/>
            <w:shd w:val="clear" w:color="auto" w:fill="auto"/>
            <w:noWrap/>
            <w:vAlign w:val="bottom"/>
            <w:hideMark/>
          </w:tcPr>
          <w:p w14:paraId="166A3BF7"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0.2%</w:t>
            </w:r>
          </w:p>
        </w:tc>
        <w:tc>
          <w:tcPr>
            <w:tcW w:w="1324" w:type="dxa"/>
            <w:shd w:val="clear" w:color="auto" w:fill="auto"/>
            <w:noWrap/>
            <w:vAlign w:val="bottom"/>
            <w:hideMark/>
          </w:tcPr>
          <w:p w14:paraId="048B3D37"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0.2%</w:t>
            </w:r>
          </w:p>
        </w:tc>
        <w:tc>
          <w:tcPr>
            <w:tcW w:w="1325" w:type="dxa"/>
            <w:shd w:val="clear" w:color="auto" w:fill="auto"/>
            <w:noWrap/>
            <w:vAlign w:val="bottom"/>
            <w:hideMark/>
          </w:tcPr>
          <w:p w14:paraId="6CB80938"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0.9%</w:t>
            </w:r>
          </w:p>
        </w:tc>
        <w:tc>
          <w:tcPr>
            <w:tcW w:w="1324" w:type="dxa"/>
            <w:shd w:val="clear" w:color="auto" w:fill="auto"/>
            <w:noWrap/>
            <w:vAlign w:val="bottom"/>
            <w:hideMark/>
          </w:tcPr>
          <w:p w14:paraId="6B46A9EB"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0.3%</w:t>
            </w:r>
          </w:p>
        </w:tc>
        <w:tc>
          <w:tcPr>
            <w:tcW w:w="1337" w:type="dxa"/>
            <w:shd w:val="clear" w:color="auto" w:fill="auto"/>
            <w:noWrap/>
            <w:vAlign w:val="bottom"/>
            <w:hideMark/>
          </w:tcPr>
          <w:p w14:paraId="10F190E3"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0.5%</w:t>
            </w:r>
          </w:p>
        </w:tc>
      </w:tr>
      <w:tr w:rsidR="00C15EA0" w:rsidRPr="00A83C94" w14:paraId="152D1796" w14:textId="77777777" w:rsidTr="0019638A">
        <w:trPr>
          <w:trHeight w:val="585"/>
        </w:trPr>
        <w:tc>
          <w:tcPr>
            <w:tcW w:w="2841" w:type="dxa"/>
            <w:shd w:val="clear" w:color="auto" w:fill="C6D9F1" w:themeFill="text2" w:themeFillTint="33"/>
            <w:vAlign w:val="center"/>
            <w:hideMark/>
          </w:tcPr>
          <w:p w14:paraId="01E85C39" w14:textId="77777777" w:rsidR="00C15EA0" w:rsidRPr="00A83C94" w:rsidRDefault="00C15EA0" w:rsidP="0019638A">
            <w:pPr>
              <w:spacing w:before="0" w:line="276" w:lineRule="auto"/>
              <w:ind w:firstLine="0"/>
              <w:contextualSpacing w:val="0"/>
              <w:jc w:val="left"/>
              <w:rPr>
                <w:b w:val="0"/>
                <w:i/>
                <w:iCs/>
                <w:color w:val="000000"/>
                <w:sz w:val="20"/>
                <w:szCs w:val="20"/>
                <w:lang w:val="en-US" w:eastAsia="en-US"/>
              </w:rPr>
            </w:pPr>
            <w:r w:rsidRPr="00A83C94">
              <w:rPr>
                <w:b w:val="0"/>
                <w:i/>
                <w:iCs/>
                <w:color w:val="000000"/>
                <w:sz w:val="20"/>
                <w:szCs w:val="20"/>
                <w:lang w:val="en-US" w:eastAsia="en-US"/>
              </w:rPr>
              <w:t xml:space="preserve"> տոկոսով ընդհանուրի նկատմամբ </w:t>
            </w:r>
          </w:p>
        </w:tc>
        <w:tc>
          <w:tcPr>
            <w:tcW w:w="1204" w:type="dxa"/>
            <w:shd w:val="clear" w:color="auto" w:fill="C6D9F1" w:themeFill="text2" w:themeFillTint="33"/>
            <w:noWrap/>
            <w:vAlign w:val="bottom"/>
            <w:hideMark/>
          </w:tcPr>
          <w:p w14:paraId="4A26ACBB"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0.8%</w:t>
            </w:r>
          </w:p>
        </w:tc>
        <w:tc>
          <w:tcPr>
            <w:tcW w:w="1324" w:type="dxa"/>
            <w:shd w:val="clear" w:color="auto" w:fill="C6D9F1" w:themeFill="text2" w:themeFillTint="33"/>
            <w:noWrap/>
            <w:vAlign w:val="bottom"/>
            <w:hideMark/>
          </w:tcPr>
          <w:p w14:paraId="48BD5A5A"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0.8%</w:t>
            </w:r>
          </w:p>
        </w:tc>
        <w:tc>
          <w:tcPr>
            <w:tcW w:w="1325" w:type="dxa"/>
            <w:shd w:val="clear" w:color="auto" w:fill="C6D9F1" w:themeFill="text2" w:themeFillTint="33"/>
            <w:noWrap/>
            <w:vAlign w:val="bottom"/>
            <w:hideMark/>
          </w:tcPr>
          <w:p w14:paraId="23400610"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3.4%</w:t>
            </w:r>
          </w:p>
        </w:tc>
        <w:tc>
          <w:tcPr>
            <w:tcW w:w="1324" w:type="dxa"/>
            <w:shd w:val="clear" w:color="auto" w:fill="C6D9F1" w:themeFill="text2" w:themeFillTint="33"/>
            <w:noWrap/>
            <w:vAlign w:val="bottom"/>
            <w:hideMark/>
          </w:tcPr>
          <w:p w14:paraId="6A3565B5"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1.4%</w:t>
            </w:r>
          </w:p>
        </w:tc>
        <w:tc>
          <w:tcPr>
            <w:tcW w:w="1337" w:type="dxa"/>
            <w:shd w:val="clear" w:color="auto" w:fill="C6D9F1" w:themeFill="text2" w:themeFillTint="33"/>
            <w:noWrap/>
            <w:vAlign w:val="bottom"/>
            <w:hideMark/>
          </w:tcPr>
          <w:p w14:paraId="1D8BBF0D" w14:textId="77777777" w:rsidR="00C15EA0" w:rsidRPr="00A83C94" w:rsidRDefault="00C15EA0" w:rsidP="0019638A">
            <w:pPr>
              <w:spacing w:before="0" w:line="276" w:lineRule="auto"/>
              <w:ind w:firstLine="0"/>
              <w:contextualSpacing w:val="0"/>
              <w:jc w:val="center"/>
              <w:rPr>
                <w:rFonts w:cs="Calibri"/>
                <w:b w:val="0"/>
                <w:color w:val="000000"/>
                <w:sz w:val="20"/>
                <w:szCs w:val="20"/>
                <w:lang w:val="en-US" w:eastAsia="en-US"/>
              </w:rPr>
            </w:pPr>
            <w:r>
              <w:rPr>
                <w:rFonts w:cs="Calibri"/>
                <w:b w:val="0"/>
                <w:color w:val="000000"/>
                <w:sz w:val="20"/>
                <w:szCs w:val="20"/>
                <w:lang w:val="en-US" w:eastAsia="en-US"/>
              </w:rPr>
              <w:t>2.1</w:t>
            </w:r>
            <w:r w:rsidRPr="00A83C94">
              <w:rPr>
                <w:rFonts w:cs="Calibri"/>
                <w:b w:val="0"/>
                <w:color w:val="000000"/>
                <w:sz w:val="20"/>
                <w:szCs w:val="20"/>
                <w:lang w:val="en-US" w:eastAsia="en-US"/>
              </w:rPr>
              <w:t>%</w:t>
            </w:r>
          </w:p>
        </w:tc>
      </w:tr>
    </w:tbl>
    <w:p w14:paraId="7DEEA25D" w14:textId="77777777" w:rsidR="00C15EA0" w:rsidRPr="00A83C94" w:rsidRDefault="00C15EA0" w:rsidP="00C15EA0">
      <w:pPr>
        <w:spacing w:before="0" w:line="276" w:lineRule="auto"/>
        <w:ind w:firstLine="562"/>
        <w:contextualSpacing w:val="0"/>
        <w:rPr>
          <w:rFonts w:cs="Sylfaen"/>
          <w:b w:val="0"/>
          <w:iCs/>
          <w:szCs w:val="22"/>
          <w:lang w:val="fr-FR" w:eastAsia="en-GB"/>
        </w:rPr>
      </w:pPr>
    </w:p>
    <w:p w14:paraId="18AD3E2C" w14:textId="46D7D7ED" w:rsidR="00AE2A75" w:rsidRPr="00A83C94" w:rsidRDefault="00C15EA0" w:rsidP="00C15EA0">
      <w:pPr>
        <w:spacing w:before="0" w:line="276" w:lineRule="auto"/>
        <w:ind w:firstLine="562"/>
        <w:contextualSpacing w:val="0"/>
        <w:rPr>
          <w:rFonts w:ascii="Calibri" w:hAnsi="Calibri" w:cs="Sylfaen"/>
          <w:b w:val="0"/>
          <w:iCs/>
          <w:szCs w:val="22"/>
          <w:lang w:val="af-ZA" w:eastAsia="en-GB"/>
        </w:rPr>
      </w:pPr>
      <w:r w:rsidRPr="00A83C94">
        <w:rPr>
          <w:rFonts w:cs="Sylfaen"/>
          <w:b w:val="0"/>
          <w:iCs/>
          <w:szCs w:val="22"/>
          <w:lang w:val="af-ZA" w:eastAsia="en-GB"/>
        </w:rPr>
        <w:t>ՀՀ 2022 թվականի պետական բյուջեի եկամուտները ծրագրելիս օգտագործվել են այն մակ</w:t>
      </w:r>
      <w:r w:rsidRPr="00A83C94">
        <w:rPr>
          <w:rFonts w:cs="Sylfaen"/>
          <w:b w:val="0"/>
          <w:iCs/>
          <w:szCs w:val="22"/>
          <w:lang w:val="af-ZA" w:eastAsia="en-GB"/>
        </w:rPr>
        <w:softHyphen/>
        <w:t>րո</w:t>
      </w:r>
      <w:r w:rsidRPr="00A83C94">
        <w:rPr>
          <w:rFonts w:cs="Sylfaen"/>
          <w:b w:val="0"/>
          <w:iCs/>
          <w:szCs w:val="22"/>
          <w:lang w:val="af-ZA" w:eastAsia="en-GB"/>
        </w:rPr>
        <w:softHyphen/>
      </w:r>
      <w:r w:rsidRPr="00A83C94">
        <w:rPr>
          <w:rFonts w:cs="Sylfaen"/>
          <w:b w:val="0"/>
          <w:iCs/>
          <w:szCs w:val="22"/>
          <w:lang w:val="af-ZA" w:eastAsia="en-GB"/>
        </w:rPr>
        <w:softHyphen/>
        <w:t>տնտեսական ցուցանիշների կանխատեսումները, որոնք էական ազդեցություն ունեն ա</w:t>
      </w:r>
      <w:r w:rsidRPr="00A83C94">
        <w:rPr>
          <w:rFonts w:cs="Sylfaen"/>
          <w:b w:val="0"/>
          <w:iCs/>
          <w:szCs w:val="22"/>
          <w:lang w:val="af-ZA" w:eastAsia="en-GB"/>
        </w:rPr>
        <w:softHyphen/>
        <w:t>ռան</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ձին եկամտա</w:t>
      </w:r>
      <w:r w:rsidRPr="00A83C94">
        <w:rPr>
          <w:rFonts w:cs="Sylfaen"/>
          <w:b w:val="0"/>
          <w:iCs/>
          <w:szCs w:val="22"/>
          <w:lang w:val="af-ZA" w:eastAsia="en-GB"/>
        </w:rPr>
        <w:softHyphen/>
        <w:t>տե</w:t>
      </w:r>
      <w:r w:rsidRPr="00A83C94">
        <w:rPr>
          <w:rFonts w:cs="Sylfaen"/>
          <w:b w:val="0"/>
          <w:iCs/>
          <w:szCs w:val="22"/>
          <w:lang w:val="af-ZA" w:eastAsia="en-GB"/>
        </w:rPr>
        <w:softHyphen/>
        <w:t>սակ</w:t>
      </w:r>
      <w:r w:rsidRPr="00A83C94">
        <w:rPr>
          <w:rFonts w:cs="Sylfaen"/>
          <w:b w:val="0"/>
          <w:iCs/>
          <w:szCs w:val="22"/>
          <w:lang w:val="af-ZA" w:eastAsia="en-GB"/>
        </w:rPr>
        <w:softHyphen/>
      </w:r>
      <w:r w:rsidRPr="00A83C94">
        <w:rPr>
          <w:rFonts w:cs="Sylfaen"/>
          <w:b w:val="0"/>
          <w:iCs/>
          <w:szCs w:val="22"/>
          <w:lang w:val="af-ZA" w:eastAsia="en-GB"/>
        </w:rPr>
        <w:softHyphen/>
        <w:t>ների բազայի ձևավորման կամ հաշվարկման վրա: Առանձին դեպքերում հաշ</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վի են առնվել նաև պայմանա</w:t>
      </w:r>
      <w:r w:rsidRPr="00A83C94">
        <w:rPr>
          <w:rFonts w:cs="Sylfaen"/>
          <w:b w:val="0"/>
          <w:iCs/>
          <w:szCs w:val="22"/>
          <w:lang w:val="af-ZA" w:eastAsia="en-GB"/>
        </w:rPr>
        <w:softHyphen/>
      </w:r>
      <w:r w:rsidRPr="00A83C94">
        <w:rPr>
          <w:rFonts w:cs="Sylfaen"/>
          <w:b w:val="0"/>
          <w:iCs/>
          <w:szCs w:val="22"/>
          <w:lang w:val="af-ZA" w:eastAsia="en-GB"/>
        </w:rPr>
        <w:softHyphen/>
        <w:t>գրային հարաբերություններով կարգավորվող ցու</w:t>
      </w:r>
      <w:r w:rsidRPr="00A83C94">
        <w:rPr>
          <w:rFonts w:cs="Sylfaen"/>
          <w:b w:val="0"/>
          <w:iCs/>
          <w:szCs w:val="22"/>
          <w:lang w:val="af-ZA" w:eastAsia="en-GB"/>
        </w:rPr>
        <w:softHyphen/>
        <w:t>ցանիշները:</w:t>
      </w:r>
    </w:p>
    <w:p w14:paraId="76065465" w14:textId="77777777" w:rsidR="00D8071F" w:rsidRDefault="00D8071F" w:rsidP="00D8071F">
      <w:pPr>
        <w:keepNext/>
        <w:tabs>
          <w:tab w:val="left" w:pos="709"/>
        </w:tabs>
        <w:spacing w:before="0" w:line="276" w:lineRule="auto"/>
        <w:outlineLvl w:val="2"/>
        <w:rPr>
          <w:rFonts w:eastAsia="Calibri" w:cs="GHEA Grapalat"/>
          <w:bCs/>
          <w:szCs w:val="22"/>
          <w:lang w:val="hy-AM" w:eastAsia="en-US"/>
        </w:rPr>
      </w:pPr>
      <w:bookmarkStart w:id="236" w:name="_Toc530663263"/>
      <w:bookmarkStart w:id="237" w:name="_Toc26174934"/>
    </w:p>
    <w:p w14:paraId="5AE5814F" w14:textId="4F010AC0" w:rsidR="00AE2A75" w:rsidRPr="00D8071F" w:rsidRDefault="00AE2A75" w:rsidP="00D8071F">
      <w:pPr>
        <w:keepNext/>
        <w:tabs>
          <w:tab w:val="left" w:pos="709"/>
        </w:tabs>
        <w:spacing w:before="0" w:line="276" w:lineRule="auto"/>
        <w:outlineLvl w:val="2"/>
        <w:rPr>
          <w:rFonts w:eastAsia="Calibri" w:cs="GHEA Grapalat"/>
          <w:bCs/>
          <w:szCs w:val="22"/>
          <w:lang w:val="hy-AM" w:eastAsia="en-US"/>
        </w:rPr>
      </w:pPr>
      <w:bookmarkStart w:id="238" w:name="_Toc89428305"/>
      <w:r w:rsidRPr="00D8071F">
        <w:rPr>
          <w:rFonts w:eastAsia="Calibri" w:cs="GHEA Grapalat"/>
          <w:bCs/>
          <w:szCs w:val="22"/>
          <w:lang w:val="hy-AM" w:eastAsia="en-US"/>
        </w:rPr>
        <w:t>Հարկային եկամուտներ և պետական տուրքեր</w:t>
      </w:r>
      <w:bookmarkEnd w:id="236"/>
      <w:bookmarkEnd w:id="237"/>
      <w:bookmarkEnd w:id="238"/>
    </w:p>
    <w:p w14:paraId="319E9721"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Հարկային եկամուտների և պետական տուրքերի գծով 2022 թվականի բյու</w:t>
      </w:r>
      <w:r w:rsidRPr="00A83C94">
        <w:rPr>
          <w:rFonts w:cs="Sylfaen"/>
          <w:b w:val="0"/>
          <w:iCs/>
          <w:szCs w:val="22"/>
          <w:lang w:val="af-ZA" w:eastAsia="en-GB"/>
        </w:rPr>
        <w:softHyphen/>
      </w:r>
      <w:r w:rsidRPr="00A83C94">
        <w:rPr>
          <w:rFonts w:cs="Sylfaen"/>
          <w:b w:val="0"/>
          <w:iCs/>
          <w:szCs w:val="22"/>
          <w:lang w:val="af-ZA" w:eastAsia="en-GB"/>
        </w:rPr>
        <w:softHyphen/>
        <w:t>ջետային մուտքերի հաշվարկներում ենթադրվել է, որ հարկերի գծով 2022 թվականի համար հարկային եկամուտներ և պետական տուրքեր /ՀՆԱ ցուցանիշի սպասողական մակարդակը ապա</w:t>
      </w:r>
      <w:r w:rsidRPr="00A83C94">
        <w:rPr>
          <w:rFonts w:cs="Sylfaen"/>
          <w:b w:val="0"/>
          <w:iCs/>
          <w:szCs w:val="22"/>
          <w:lang w:val="af-ZA" w:eastAsia="en-GB"/>
        </w:rPr>
        <w:softHyphen/>
        <w:t>հո</w:t>
      </w:r>
      <w:r w:rsidRPr="00A83C94">
        <w:rPr>
          <w:rFonts w:cs="Sylfaen"/>
          <w:b w:val="0"/>
          <w:iCs/>
          <w:szCs w:val="22"/>
          <w:lang w:val="af-ZA" w:eastAsia="en-GB"/>
        </w:rPr>
        <w:softHyphen/>
        <w:t>վե</w:t>
      </w:r>
      <w:r w:rsidRPr="00A83C94">
        <w:rPr>
          <w:rFonts w:cs="Sylfaen"/>
          <w:b w:val="0"/>
          <w:iCs/>
          <w:szCs w:val="22"/>
          <w:lang w:val="af-ZA" w:eastAsia="en-GB"/>
        </w:rPr>
        <w:softHyphen/>
        <w:t>լու համար բա</w:t>
      </w:r>
      <w:r w:rsidRPr="00A83C94">
        <w:rPr>
          <w:rFonts w:cs="Sylfaen"/>
          <w:b w:val="0"/>
          <w:iCs/>
          <w:szCs w:val="22"/>
          <w:lang w:val="af-ZA" w:eastAsia="en-GB"/>
        </w:rPr>
        <w:softHyphen/>
      </w:r>
      <w:r w:rsidRPr="00A83C94">
        <w:rPr>
          <w:rFonts w:cs="Sylfaen"/>
          <w:b w:val="0"/>
          <w:iCs/>
          <w:szCs w:val="22"/>
          <w:lang w:val="af-ZA" w:eastAsia="en-GB"/>
        </w:rPr>
        <w:softHyphen/>
        <w:t>վարար հիմքեր կստեղծեն առկա օրենս</w:t>
      </w:r>
      <w:r w:rsidRPr="00A83C94">
        <w:rPr>
          <w:rFonts w:cs="Sylfaen"/>
          <w:b w:val="0"/>
          <w:iCs/>
          <w:szCs w:val="22"/>
          <w:lang w:val="af-ZA" w:eastAsia="en-GB"/>
        </w:rPr>
        <w:softHyphen/>
        <w:t>դրա</w:t>
      </w:r>
      <w:r w:rsidRPr="00A83C94">
        <w:rPr>
          <w:rFonts w:cs="Sylfaen"/>
          <w:b w:val="0"/>
          <w:iCs/>
          <w:szCs w:val="22"/>
          <w:lang w:val="af-ZA" w:eastAsia="en-GB"/>
        </w:rPr>
        <w:softHyphen/>
      </w:r>
      <w:r w:rsidRPr="00A83C94">
        <w:rPr>
          <w:rFonts w:cs="Sylfaen"/>
          <w:b w:val="0"/>
          <w:iCs/>
          <w:szCs w:val="22"/>
          <w:lang w:val="af-ZA" w:eastAsia="en-GB"/>
        </w:rPr>
        <w:softHyphen/>
        <w:t>կան նա</w:t>
      </w:r>
      <w:r w:rsidRPr="00A83C94">
        <w:rPr>
          <w:rFonts w:cs="Sylfaen"/>
          <w:b w:val="0"/>
          <w:iCs/>
          <w:szCs w:val="22"/>
          <w:lang w:val="af-ZA" w:eastAsia="en-GB"/>
        </w:rPr>
        <w:softHyphen/>
        <w:t>խադրյալները, կի</w:t>
      </w:r>
      <w:r w:rsidRPr="00A83C94">
        <w:rPr>
          <w:rFonts w:cs="Sylfaen"/>
          <w:b w:val="0"/>
          <w:iCs/>
          <w:szCs w:val="22"/>
          <w:lang w:val="af-ZA" w:eastAsia="en-GB"/>
        </w:rPr>
        <w:softHyphen/>
        <w:t>րառ</w:t>
      </w:r>
      <w:r w:rsidRPr="00A83C94">
        <w:rPr>
          <w:rFonts w:cs="Sylfaen"/>
          <w:b w:val="0"/>
          <w:iCs/>
          <w:szCs w:val="22"/>
          <w:lang w:val="af-ZA" w:eastAsia="en-GB"/>
        </w:rPr>
        <w:softHyphen/>
      </w:r>
      <w:r w:rsidRPr="00A83C94">
        <w:rPr>
          <w:rFonts w:cs="Sylfaen"/>
          <w:b w:val="0"/>
          <w:iCs/>
          <w:szCs w:val="22"/>
          <w:lang w:val="af-ZA" w:eastAsia="en-GB"/>
        </w:rPr>
        <w:softHyphen/>
        <w:t>վելիք վարչարարական միջոցա</w:t>
      </w:r>
      <w:r w:rsidRPr="00A83C94">
        <w:rPr>
          <w:rFonts w:cs="Sylfaen"/>
          <w:b w:val="0"/>
          <w:iCs/>
          <w:szCs w:val="22"/>
          <w:lang w:val="af-ZA" w:eastAsia="en-GB"/>
        </w:rPr>
        <w:softHyphen/>
        <w:t>ռում</w:t>
      </w:r>
      <w:r w:rsidRPr="00A83C94">
        <w:rPr>
          <w:rFonts w:cs="Sylfaen"/>
          <w:b w:val="0"/>
          <w:iCs/>
          <w:szCs w:val="22"/>
          <w:lang w:val="af-ZA" w:eastAsia="en-GB"/>
        </w:rPr>
        <w:softHyphen/>
        <w:t>ները, ինչպես նաև մակ</w:t>
      </w:r>
      <w:r w:rsidRPr="00A83C94">
        <w:rPr>
          <w:rFonts w:cs="Sylfaen"/>
          <w:b w:val="0"/>
          <w:iCs/>
          <w:szCs w:val="22"/>
          <w:lang w:val="af-ZA" w:eastAsia="en-GB"/>
        </w:rPr>
        <w:softHyphen/>
        <w:t>րո</w:t>
      </w:r>
      <w:r w:rsidRPr="00A83C94">
        <w:rPr>
          <w:rFonts w:cs="Sylfaen"/>
          <w:b w:val="0"/>
          <w:iCs/>
          <w:szCs w:val="22"/>
          <w:lang w:val="af-ZA" w:eastAsia="en-GB"/>
        </w:rPr>
        <w:softHyphen/>
        <w:t>տնտե</w:t>
      </w:r>
      <w:r w:rsidRPr="00A83C94">
        <w:rPr>
          <w:rFonts w:cs="Sylfaen"/>
          <w:b w:val="0"/>
          <w:iCs/>
          <w:szCs w:val="22"/>
          <w:lang w:val="af-ZA" w:eastAsia="en-GB"/>
        </w:rPr>
        <w:softHyphen/>
        <w:t>սական զար</w:t>
      </w:r>
      <w:r w:rsidRPr="00A83C94">
        <w:rPr>
          <w:rFonts w:cs="Sylfaen"/>
          <w:b w:val="0"/>
          <w:iCs/>
          <w:szCs w:val="22"/>
          <w:lang w:val="af-ZA" w:eastAsia="en-GB"/>
        </w:rPr>
        <w:softHyphen/>
        <w:t>գա</w:t>
      </w:r>
      <w:r w:rsidRPr="00A83C94">
        <w:rPr>
          <w:rFonts w:cs="Sylfaen"/>
          <w:b w:val="0"/>
          <w:iCs/>
          <w:szCs w:val="22"/>
          <w:lang w:val="af-ZA" w:eastAsia="en-GB"/>
        </w:rPr>
        <w:softHyphen/>
        <w:t>ցում</w:t>
      </w:r>
      <w:r w:rsidRPr="00A83C94">
        <w:rPr>
          <w:rFonts w:cs="Sylfaen"/>
          <w:b w:val="0"/>
          <w:iCs/>
          <w:szCs w:val="22"/>
          <w:lang w:val="af-ZA" w:eastAsia="en-GB"/>
        </w:rPr>
        <w:softHyphen/>
        <w:t>նե</w:t>
      </w:r>
      <w:r w:rsidRPr="00A83C94">
        <w:rPr>
          <w:rFonts w:cs="Sylfaen"/>
          <w:b w:val="0"/>
          <w:iCs/>
          <w:szCs w:val="22"/>
          <w:lang w:val="af-ZA" w:eastAsia="en-GB"/>
        </w:rPr>
        <w:softHyphen/>
        <w:t xml:space="preserve">րը: </w:t>
      </w:r>
    </w:p>
    <w:p w14:paraId="2C18A841" w14:textId="77777777" w:rsidR="00AE2A75" w:rsidRPr="00A83C94" w:rsidRDefault="00AE2A75" w:rsidP="00AE2A75">
      <w:pPr>
        <w:pStyle w:val="Caption"/>
        <w:spacing w:before="0" w:after="0"/>
        <w:rPr>
          <w:lang w:val="af-ZA"/>
        </w:rPr>
      </w:pPr>
      <w:bookmarkStart w:id="239" w:name="_Toc52223576"/>
    </w:p>
    <w:p w14:paraId="2E03C9DD" w14:textId="1565E7ED" w:rsidR="00AE2A75" w:rsidRPr="00A83C94" w:rsidRDefault="00AE2A75" w:rsidP="00AE2A75">
      <w:pPr>
        <w:pStyle w:val="Caption"/>
        <w:spacing w:before="0" w:after="0"/>
        <w:rPr>
          <w:lang w:val="af-ZA"/>
        </w:rPr>
      </w:pPr>
    </w:p>
    <w:p w14:paraId="017F23C7" w14:textId="3AC87CE7" w:rsidR="00E867F5" w:rsidRPr="00A83C94" w:rsidRDefault="00E867F5" w:rsidP="00E867F5">
      <w:pPr>
        <w:rPr>
          <w:lang w:val="af-ZA"/>
        </w:rPr>
      </w:pPr>
    </w:p>
    <w:p w14:paraId="386C7658" w14:textId="417A113C" w:rsidR="00E867F5" w:rsidRPr="00A83C94" w:rsidRDefault="00E867F5" w:rsidP="00E867F5">
      <w:pPr>
        <w:rPr>
          <w:lang w:val="af-ZA"/>
        </w:rPr>
      </w:pPr>
    </w:p>
    <w:p w14:paraId="02F40F5B" w14:textId="38D1FC4C" w:rsidR="00E867F5" w:rsidRPr="00A83C94" w:rsidRDefault="00E867F5" w:rsidP="00E867F5">
      <w:pPr>
        <w:rPr>
          <w:lang w:val="af-ZA"/>
        </w:rPr>
      </w:pPr>
    </w:p>
    <w:p w14:paraId="6AC8AEC6" w14:textId="30DD897D" w:rsidR="00E867F5" w:rsidRPr="00A83C94" w:rsidRDefault="00E867F5" w:rsidP="00E867F5">
      <w:pPr>
        <w:rPr>
          <w:lang w:val="af-ZA"/>
        </w:rPr>
      </w:pPr>
    </w:p>
    <w:p w14:paraId="3DF04186" w14:textId="37E3B977" w:rsidR="00E867F5" w:rsidRPr="00A83C94" w:rsidRDefault="00E867F5" w:rsidP="00E867F5">
      <w:pPr>
        <w:rPr>
          <w:lang w:val="af-ZA"/>
        </w:rPr>
      </w:pPr>
    </w:p>
    <w:p w14:paraId="364ED16A" w14:textId="64D3B3B4" w:rsidR="00E867F5" w:rsidRPr="00A83C94" w:rsidRDefault="00E867F5" w:rsidP="00E867F5">
      <w:pPr>
        <w:rPr>
          <w:lang w:val="af-ZA"/>
        </w:rPr>
      </w:pPr>
    </w:p>
    <w:p w14:paraId="28A1E638" w14:textId="58F97683" w:rsidR="00E867F5" w:rsidRPr="00A83C94" w:rsidRDefault="00E867F5" w:rsidP="00E867F5">
      <w:pPr>
        <w:rPr>
          <w:lang w:val="af-ZA"/>
        </w:rPr>
      </w:pPr>
    </w:p>
    <w:p w14:paraId="754458FA" w14:textId="53677020" w:rsidR="00E867F5" w:rsidRPr="00A83C94" w:rsidRDefault="00E867F5" w:rsidP="00E867F5">
      <w:pPr>
        <w:rPr>
          <w:lang w:val="af-ZA"/>
        </w:rPr>
      </w:pPr>
    </w:p>
    <w:p w14:paraId="42456041" w14:textId="576D10E6" w:rsidR="00E867F5" w:rsidRPr="00A83C94" w:rsidRDefault="00E867F5" w:rsidP="00E867F5">
      <w:pPr>
        <w:rPr>
          <w:lang w:val="af-ZA"/>
        </w:rPr>
      </w:pPr>
    </w:p>
    <w:p w14:paraId="0E2E333B" w14:textId="246D6D7A" w:rsidR="00E867F5" w:rsidRPr="00A83C94" w:rsidRDefault="00E867F5" w:rsidP="00E867F5">
      <w:pPr>
        <w:rPr>
          <w:lang w:val="af-ZA"/>
        </w:rPr>
      </w:pPr>
    </w:p>
    <w:p w14:paraId="150D989F" w14:textId="5B7E0020" w:rsidR="00E867F5" w:rsidRPr="00A83C94" w:rsidRDefault="00E867F5" w:rsidP="00E867F5">
      <w:pPr>
        <w:rPr>
          <w:lang w:val="af-ZA"/>
        </w:rPr>
      </w:pPr>
    </w:p>
    <w:p w14:paraId="0BD7C1DE" w14:textId="10464E2D" w:rsidR="00E867F5" w:rsidRPr="00A83C94" w:rsidRDefault="00E867F5" w:rsidP="00E867F5">
      <w:pPr>
        <w:rPr>
          <w:lang w:val="af-ZA"/>
        </w:rPr>
      </w:pPr>
    </w:p>
    <w:p w14:paraId="7431CFC3" w14:textId="69DD3C95" w:rsidR="00E867F5" w:rsidRPr="00A83C94" w:rsidRDefault="00E867F5" w:rsidP="00E867F5">
      <w:pPr>
        <w:rPr>
          <w:lang w:val="af-ZA"/>
        </w:rPr>
      </w:pPr>
    </w:p>
    <w:p w14:paraId="676A135E" w14:textId="77777777" w:rsidR="00E867F5" w:rsidRPr="00A83C94" w:rsidRDefault="00E867F5" w:rsidP="00E867F5">
      <w:pPr>
        <w:rPr>
          <w:lang w:val="af-ZA"/>
        </w:rPr>
      </w:pPr>
    </w:p>
    <w:p w14:paraId="06E76E8B" w14:textId="441CEDAF" w:rsidR="00AE2A75" w:rsidRPr="00A83C94" w:rsidRDefault="000957ED" w:rsidP="000957ED">
      <w:pPr>
        <w:pStyle w:val="Caption"/>
        <w:rPr>
          <w:b/>
          <w:i/>
          <w:sz w:val="20"/>
          <w:szCs w:val="20"/>
          <w:lang w:val="hy-AM"/>
        </w:rPr>
      </w:pPr>
      <w:bookmarkStart w:id="240" w:name="_Toc89428816"/>
      <w:r>
        <w:t>Գծապատկեր</w:t>
      </w:r>
      <w:r w:rsidRPr="008B1D49">
        <w:rPr>
          <w:lang w:val="af-ZA"/>
        </w:rPr>
        <w:t xml:space="preserve"> </w:t>
      </w:r>
      <w:r>
        <w:fldChar w:fldCharType="begin"/>
      </w:r>
      <w:r w:rsidRPr="008B1D49">
        <w:rPr>
          <w:lang w:val="af-ZA"/>
        </w:rPr>
        <w:instrText xml:space="preserve"> SEQ </w:instrText>
      </w:r>
      <w:r>
        <w:instrText>Գծապատկեր</w:instrText>
      </w:r>
      <w:r w:rsidRPr="008B1D49">
        <w:rPr>
          <w:lang w:val="af-ZA"/>
        </w:rPr>
        <w:instrText xml:space="preserve"> \* ARABIC </w:instrText>
      </w:r>
      <w:r>
        <w:fldChar w:fldCharType="separate"/>
      </w:r>
      <w:r w:rsidR="004F79FF">
        <w:rPr>
          <w:noProof/>
          <w:lang w:val="af-ZA"/>
        </w:rPr>
        <w:t>1</w:t>
      </w:r>
      <w:r>
        <w:fldChar w:fldCharType="end"/>
      </w:r>
      <w:r w:rsidR="00AE2A75" w:rsidRPr="00A83C94">
        <w:rPr>
          <w:rFonts w:ascii="Cambria Math" w:hAnsi="Cambria Math"/>
          <w:lang w:val="hy-AM"/>
        </w:rPr>
        <w:t xml:space="preserve">․ </w:t>
      </w:r>
      <w:r w:rsidR="00AE2A75" w:rsidRPr="00A83C94">
        <w:rPr>
          <w:b/>
          <w:i/>
          <w:sz w:val="20"/>
          <w:szCs w:val="20"/>
          <w:lang w:val="hy-AM"/>
        </w:rPr>
        <w:t>ՀՀ 2018-202</w:t>
      </w:r>
      <w:r w:rsidR="00AE2A75" w:rsidRPr="00A83C94">
        <w:rPr>
          <w:b/>
          <w:i/>
          <w:sz w:val="20"/>
          <w:szCs w:val="20"/>
          <w:lang w:val="af-ZA"/>
        </w:rPr>
        <w:t>2</w:t>
      </w:r>
      <w:r w:rsidR="00AE2A75" w:rsidRPr="00A83C94">
        <w:rPr>
          <w:b/>
          <w:i/>
          <w:sz w:val="20"/>
          <w:szCs w:val="20"/>
          <w:lang w:val="hy-AM"/>
        </w:rPr>
        <w:t>թթ հարկային եկամուտները և պետական տուրքերը (մլրդ դրամով) և կշիռը ՀՆԱ-ի նկատմամբ</w:t>
      </w:r>
      <w:bookmarkEnd w:id="239"/>
      <w:bookmarkEnd w:id="240"/>
    </w:p>
    <w:p w14:paraId="77887547" w14:textId="77777777" w:rsidR="00AE2A75" w:rsidRPr="00A83C94" w:rsidRDefault="00AE2A75" w:rsidP="00AE2A75">
      <w:pPr>
        <w:keepNext/>
        <w:keepLines/>
        <w:widowControl w:val="0"/>
        <w:spacing w:before="0" w:line="276" w:lineRule="auto"/>
        <w:ind w:firstLine="0"/>
        <w:contextualSpacing w:val="0"/>
        <w:rPr>
          <w:rFonts w:cs="Sylfaen"/>
          <w:szCs w:val="22"/>
          <w:lang w:val="fr-FR" w:eastAsia="en-US"/>
        </w:rPr>
      </w:pPr>
      <w:r w:rsidRPr="00A83C94">
        <w:rPr>
          <w:b w:val="0"/>
          <w:noProof/>
          <w:szCs w:val="22"/>
          <w:lang w:val="en-US" w:eastAsia="en-US"/>
        </w:rPr>
        <w:drawing>
          <wp:inline distT="0" distB="0" distL="0" distR="0" wp14:anchorId="430308B8" wp14:editId="104FD2C2">
            <wp:extent cx="5955527" cy="4730115"/>
            <wp:effectExtent l="0" t="0" r="7620" b="1333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9081A21" w14:textId="77777777" w:rsidR="00AE2A75" w:rsidRPr="00A83C94" w:rsidRDefault="00AE2A75" w:rsidP="00AE2A75">
      <w:pPr>
        <w:spacing w:before="0" w:line="276" w:lineRule="auto"/>
        <w:ind w:firstLine="562"/>
        <w:contextualSpacing w:val="0"/>
        <w:rPr>
          <w:rFonts w:cs="Sylfaen"/>
          <w:iCs/>
          <w:szCs w:val="22"/>
          <w:lang w:val="af-ZA" w:eastAsia="en-GB"/>
        </w:rPr>
      </w:pPr>
    </w:p>
    <w:p w14:paraId="56DF4F36" w14:textId="77777777" w:rsidR="00AE2A75" w:rsidRPr="00A83C94" w:rsidRDefault="00AE2A75" w:rsidP="00AE2A75">
      <w:pPr>
        <w:spacing w:before="0" w:line="276" w:lineRule="auto"/>
        <w:ind w:firstLine="562"/>
        <w:contextualSpacing w:val="0"/>
        <w:rPr>
          <w:rFonts w:cs="Sylfaen"/>
          <w:iCs/>
          <w:szCs w:val="22"/>
          <w:lang w:val="af-ZA" w:eastAsia="en-GB"/>
        </w:rPr>
      </w:pPr>
      <w:r w:rsidRPr="00A83C94">
        <w:rPr>
          <w:rFonts w:cs="Sylfaen"/>
          <w:iCs/>
          <w:szCs w:val="22"/>
          <w:lang w:val="af-ZA" w:eastAsia="en-GB"/>
        </w:rPr>
        <w:t>2022 ԹՎԱԿԱՆԻ ՀԱՐԿԱՅԻՆ ԾԱԽՍԵՐԻ ՄԵԾՈՒԹՅԱՆ ԳՆԱՀԱՏՈՒՄ</w:t>
      </w:r>
    </w:p>
    <w:p w14:paraId="4FEEA1AF" w14:textId="77777777" w:rsidR="00AE2A75" w:rsidRPr="00A83C94" w:rsidRDefault="00AE2A75" w:rsidP="00AE2A75">
      <w:pPr>
        <w:spacing w:before="0" w:line="276" w:lineRule="auto"/>
        <w:ind w:firstLine="562"/>
        <w:contextualSpacing w:val="0"/>
        <w:rPr>
          <w:rFonts w:cs="Sylfaen"/>
          <w:szCs w:val="22"/>
          <w:lang w:val="fr-FR" w:eastAsia="en-US"/>
        </w:rPr>
      </w:pPr>
      <w:r w:rsidRPr="00A83C94">
        <w:rPr>
          <w:rFonts w:cs="Sylfaen"/>
          <w:b w:val="0"/>
          <w:iCs/>
          <w:szCs w:val="22"/>
          <w:lang w:val="af-ZA" w:eastAsia="en-GB"/>
        </w:rPr>
        <w:t>Ի լրումն վերոշարադրյալին հարկ է նշել, որ ՀՀ 2022 թվականի հարկային եկա</w:t>
      </w:r>
      <w:r w:rsidRPr="00A83C94">
        <w:rPr>
          <w:rFonts w:cs="Sylfaen"/>
          <w:b w:val="0"/>
          <w:iCs/>
          <w:szCs w:val="22"/>
          <w:lang w:val="af-ZA" w:eastAsia="en-GB"/>
        </w:rPr>
        <w:softHyphen/>
        <w:t>մուտ</w:t>
      </w:r>
      <w:r w:rsidRPr="00A83C94">
        <w:rPr>
          <w:rFonts w:cs="Sylfaen"/>
          <w:b w:val="0"/>
          <w:iCs/>
          <w:szCs w:val="22"/>
          <w:lang w:val="af-ZA" w:eastAsia="en-GB"/>
        </w:rPr>
        <w:softHyphen/>
        <w:t>նե</w:t>
      </w:r>
      <w:r w:rsidRPr="00A83C94">
        <w:rPr>
          <w:rFonts w:cs="Sylfaen"/>
          <w:b w:val="0"/>
          <w:iCs/>
          <w:szCs w:val="22"/>
          <w:lang w:val="af-ZA" w:eastAsia="en-GB"/>
        </w:rPr>
        <w:softHyphen/>
        <w:t>րի մուտքերի կանխատեսմամբ հանդերձ միջազգային պրակ</w:t>
      </w:r>
      <w:r w:rsidRPr="00A83C94">
        <w:rPr>
          <w:rFonts w:cs="Sylfaen"/>
          <w:b w:val="0"/>
          <w:iCs/>
          <w:szCs w:val="22"/>
          <w:lang w:val="af-ZA" w:eastAsia="en-GB"/>
        </w:rPr>
        <w:softHyphen/>
        <w:t>տիկայում ընդունված մո</w:t>
      </w:r>
      <w:r w:rsidRPr="00A83C94">
        <w:rPr>
          <w:rFonts w:cs="Sylfaen"/>
          <w:b w:val="0"/>
          <w:iCs/>
          <w:szCs w:val="22"/>
          <w:lang w:val="af-ZA" w:eastAsia="en-GB"/>
        </w:rPr>
        <w:softHyphen/>
        <w:t>տե</w:t>
      </w:r>
      <w:r w:rsidRPr="00A83C94">
        <w:rPr>
          <w:rFonts w:cs="Sylfaen"/>
          <w:b w:val="0"/>
          <w:iCs/>
          <w:szCs w:val="22"/>
          <w:lang w:val="af-ZA" w:eastAsia="en-GB"/>
        </w:rPr>
        <w:softHyphen/>
        <w:t>ցումների հիման վրա կատարվել է ավելացված արժեքի հարկի, շահութահարկի և եկամտային հարկի գծով 2022 թվականի հար</w:t>
      </w:r>
      <w:r w:rsidRPr="00A83C94">
        <w:rPr>
          <w:rFonts w:cs="Sylfaen"/>
          <w:b w:val="0"/>
          <w:iCs/>
          <w:szCs w:val="22"/>
          <w:lang w:val="af-ZA" w:eastAsia="en-GB"/>
        </w:rPr>
        <w:softHyphen/>
        <w:t>կա</w:t>
      </w:r>
      <w:r w:rsidRPr="00A83C94">
        <w:rPr>
          <w:rFonts w:cs="Sylfaen"/>
          <w:b w:val="0"/>
          <w:iCs/>
          <w:szCs w:val="22"/>
          <w:lang w:val="af-ZA" w:eastAsia="en-GB"/>
        </w:rPr>
        <w:softHyphen/>
        <w:t>յին ծախսերի մեծության գնահատում, որի արդյունքները ներ</w:t>
      </w:r>
      <w:r w:rsidRPr="00A83C94">
        <w:rPr>
          <w:rFonts w:cs="Sylfaen"/>
          <w:b w:val="0"/>
          <w:iCs/>
          <w:szCs w:val="22"/>
          <w:lang w:val="af-ZA" w:eastAsia="en-GB"/>
        </w:rPr>
        <w:softHyphen/>
        <w:t xml:space="preserve">կայացված են </w:t>
      </w:r>
      <w:r w:rsidRPr="00A83C94">
        <w:rPr>
          <w:rFonts w:cs="Sylfaen"/>
          <w:b w:val="0"/>
          <w:iCs/>
          <w:szCs w:val="22"/>
          <w:lang w:val="hy-AM" w:eastAsia="en-GB"/>
        </w:rPr>
        <w:t>Վերլուծություններ բաժնում</w:t>
      </w:r>
      <w:r w:rsidRPr="00A83C94">
        <w:rPr>
          <w:rFonts w:cs="Sylfaen"/>
          <w:b w:val="0"/>
          <w:iCs/>
          <w:szCs w:val="22"/>
          <w:lang w:val="af-ZA" w:eastAsia="en-GB"/>
        </w:rPr>
        <w:t xml:space="preserve">: </w:t>
      </w:r>
    </w:p>
    <w:p w14:paraId="10BD92F7" w14:textId="77777777" w:rsidR="00AE2A75" w:rsidRPr="00A83C94" w:rsidRDefault="00AE2A75" w:rsidP="00AE2A75">
      <w:pPr>
        <w:rPr>
          <w:lang w:val="fr-FR"/>
        </w:rPr>
      </w:pPr>
    </w:p>
    <w:p w14:paraId="53BBBFC8" w14:textId="77777777" w:rsidR="00AE2A75" w:rsidRPr="00A83C94" w:rsidRDefault="00AE2A75" w:rsidP="00AE2A75">
      <w:pPr>
        <w:rPr>
          <w:lang w:val="fr-FR"/>
        </w:rPr>
      </w:pPr>
    </w:p>
    <w:p w14:paraId="64B94262" w14:textId="2ED7FE6A" w:rsidR="00AE2A75" w:rsidRPr="00A83C94" w:rsidRDefault="00AE2A75" w:rsidP="00AE2A75">
      <w:pPr>
        <w:rPr>
          <w:lang w:val="fr-FR"/>
        </w:rPr>
      </w:pPr>
    </w:p>
    <w:p w14:paraId="2F47F66F" w14:textId="0DB52EEB" w:rsidR="00C87101" w:rsidRPr="00A83C94" w:rsidRDefault="00C87101" w:rsidP="00AE2A75">
      <w:pPr>
        <w:rPr>
          <w:lang w:val="fr-FR"/>
        </w:rPr>
      </w:pPr>
    </w:p>
    <w:p w14:paraId="7AD5971A" w14:textId="7DB81C05" w:rsidR="00EE1C9F" w:rsidRDefault="00EE1C9F" w:rsidP="00AE2A75">
      <w:pPr>
        <w:rPr>
          <w:lang w:val="fr-FR"/>
        </w:rPr>
      </w:pPr>
    </w:p>
    <w:p w14:paraId="1B17E1C2" w14:textId="77777777" w:rsidR="00EE1C9F" w:rsidRDefault="00EE1C9F">
      <w:pPr>
        <w:spacing w:before="0" w:line="240" w:lineRule="auto"/>
        <w:ind w:firstLine="0"/>
        <w:contextualSpacing w:val="0"/>
        <w:jc w:val="left"/>
        <w:rPr>
          <w:lang w:val="fr-FR"/>
        </w:rPr>
      </w:pPr>
      <w:r>
        <w:rPr>
          <w:lang w:val="fr-FR"/>
        </w:rPr>
        <w:br w:type="page"/>
      </w:r>
    </w:p>
    <w:p w14:paraId="23CE75C9" w14:textId="578C6035" w:rsidR="00AE2A75" w:rsidRPr="00AC4C17" w:rsidRDefault="00D8071F" w:rsidP="00AE2A75">
      <w:pPr>
        <w:spacing w:before="0" w:line="276" w:lineRule="auto"/>
        <w:rPr>
          <w:rFonts w:cs="Sylfaen"/>
          <w:szCs w:val="22"/>
          <w:lang w:val="fr-FR"/>
        </w:rPr>
      </w:pPr>
      <w:r>
        <w:rPr>
          <w:rFonts w:cs="Sylfaen"/>
          <w:szCs w:val="22"/>
        </w:rPr>
        <w:t>Պետական</w:t>
      </w:r>
      <w:r w:rsidRPr="009272E0">
        <w:rPr>
          <w:rFonts w:cs="Sylfaen"/>
          <w:szCs w:val="22"/>
          <w:lang w:val="fr-FR"/>
        </w:rPr>
        <w:t xml:space="preserve"> </w:t>
      </w:r>
      <w:r>
        <w:rPr>
          <w:rFonts w:cs="Sylfaen"/>
          <w:szCs w:val="22"/>
        </w:rPr>
        <w:t>տուրքեր</w:t>
      </w:r>
    </w:p>
    <w:p w14:paraId="3F53BDAD" w14:textId="77777777" w:rsidR="00EE1C9F" w:rsidRPr="00A83C94" w:rsidRDefault="00EE1C9F" w:rsidP="00AE2A75">
      <w:pPr>
        <w:spacing w:before="0" w:line="276" w:lineRule="auto"/>
        <w:rPr>
          <w:szCs w:val="22"/>
          <w:lang w:val="fr-FR"/>
        </w:rPr>
      </w:pPr>
    </w:p>
    <w:p w14:paraId="18A33C6D" w14:textId="77777777" w:rsidR="00EE1C9F" w:rsidRPr="002B1E92" w:rsidRDefault="00EE1C9F" w:rsidP="00EE1C9F">
      <w:pPr>
        <w:spacing w:before="0" w:line="276" w:lineRule="auto"/>
        <w:rPr>
          <w:szCs w:val="22"/>
          <w:lang w:val="fr-FR"/>
        </w:rPr>
      </w:pPr>
      <w:bookmarkStart w:id="241" w:name="_Toc500177729"/>
      <w:bookmarkStart w:id="242" w:name="_Toc530663264"/>
      <w:bookmarkStart w:id="243" w:name="_Toc57655466"/>
      <w:r w:rsidRPr="002B1E92">
        <w:rPr>
          <w:rFonts w:eastAsia="Calibri"/>
          <w:b w:val="0"/>
          <w:szCs w:val="22"/>
          <w:lang w:val="hy-AM" w:eastAsia="en-US"/>
        </w:rPr>
        <w:t>Պետական տուրքերի գծով 202</w:t>
      </w:r>
      <w:r w:rsidRPr="00EE1C9F">
        <w:rPr>
          <w:rFonts w:eastAsia="Calibri"/>
          <w:b w:val="0"/>
          <w:szCs w:val="22"/>
          <w:lang w:val="fr-FR" w:eastAsia="en-US"/>
        </w:rPr>
        <w:t>2</w:t>
      </w:r>
      <w:r w:rsidRPr="002B1E92">
        <w:rPr>
          <w:rFonts w:eastAsia="Calibri"/>
          <w:b w:val="0"/>
          <w:szCs w:val="22"/>
          <w:lang w:val="hy-AM" w:eastAsia="en-US"/>
        </w:rPr>
        <w:t xml:space="preserve"> թվականի բյուջետային մուտքերը ծրա</w:t>
      </w:r>
      <w:r w:rsidRPr="002B1E92">
        <w:rPr>
          <w:rFonts w:eastAsia="Calibri"/>
          <w:b w:val="0"/>
          <w:szCs w:val="22"/>
          <w:lang w:val="hy-AM" w:eastAsia="en-US"/>
        </w:rPr>
        <w:softHyphen/>
        <w:t>գր</w:t>
      </w:r>
      <w:r w:rsidRPr="002B1E92">
        <w:rPr>
          <w:rFonts w:eastAsia="Calibri"/>
          <w:b w:val="0"/>
          <w:szCs w:val="22"/>
          <w:lang w:val="hy-AM" w:eastAsia="en-US"/>
        </w:rPr>
        <w:softHyphen/>
        <w:t xml:space="preserve">վել են </w:t>
      </w:r>
      <w:r w:rsidRPr="00EE1C9F">
        <w:rPr>
          <w:rFonts w:eastAsia="Calibri"/>
          <w:b w:val="0"/>
          <w:szCs w:val="22"/>
          <w:lang w:val="fr-FR" w:eastAsia="en-US"/>
        </w:rPr>
        <w:t>89.9</w:t>
      </w:r>
      <w:r w:rsidRPr="002B1E92">
        <w:rPr>
          <w:rFonts w:eastAsia="Calibri"/>
          <w:b w:val="0"/>
          <w:color w:val="FF0000"/>
          <w:szCs w:val="22"/>
          <w:lang w:val="hy-AM" w:eastAsia="en-US"/>
        </w:rPr>
        <w:t xml:space="preserve">  </w:t>
      </w:r>
      <w:r w:rsidRPr="002B1E92">
        <w:rPr>
          <w:rFonts w:eastAsia="Calibri"/>
          <w:b w:val="0"/>
          <w:szCs w:val="22"/>
          <w:lang w:val="hy-AM" w:eastAsia="en-US"/>
        </w:rPr>
        <w:t>մլրդ դրամի չափով` 20</w:t>
      </w:r>
      <w:r w:rsidRPr="002B1E92">
        <w:rPr>
          <w:rFonts w:eastAsia="Calibri"/>
          <w:b w:val="0"/>
          <w:szCs w:val="22"/>
          <w:lang w:val="fr-FR" w:eastAsia="en-US"/>
        </w:rPr>
        <w:t>21</w:t>
      </w:r>
      <w:r w:rsidRPr="002B1E92">
        <w:rPr>
          <w:rFonts w:eastAsia="Calibri"/>
          <w:b w:val="0"/>
          <w:szCs w:val="22"/>
          <w:lang w:val="hy-AM" w:eastAsia="en-US"/>
        </w:rPr>
        <w:t xml:space="preserve"> թվականի համար հաստատված</w:t>
      </w:r>
      <w:r w:rsidRPr="002B1E92">
        <w:rPr>
          <w:rFonts w:eastAsia="Calibri"/>
          <w:b w:val="0"/>
          <w:szCs w:val="22"/>
          <w:vertAlign w:val="superscript"/>
          <w:lang w:val="hy-AM" w:eastAsia="en-US"/>
        </w:rPr>
        <w:footnoteReference w:id="21"/>
      </w:r>
      <w:r w:rsidRPr="002B1E92">
        <w:rPr>
          <w:rFonts w:eastAsia="Calibri"/>
          <w:b w:val="0"/>
          <w:szCs w:val="22"/>
          <w:lang w:val="hy-AM" w:eastAsia="en-US"/>
        </w:rPr>
        <w:t xml:space="preserve"> </w:t>
      </w:r>
      <w:r w:rsidRPr="00EE1C9F">
        <w:rPr>
          <w:rFonts w:eastAsia="Calibri"/>
          <w:b w:val="0"/>
          <w:szCs w:val="22"/>
          <w:lang w:val="fr-FR" w:eastAsia="en-US"/>
        </w:rPr>
        <w:t>48.2</w:t>
      </w:r>
      <w:r w:rsidRPr="002B1E92">
        <w:rPr>
          <w:rFonts w:eastAsia="Calibri"/>
          <w:b w:val="0"/>
          <w:szCs w:val="22"/>
          <w:lang w:val="hy-AM" w:eastAsia="en-US"/>
        </w:rPr>
        <w:t xml:space="preserve"> մլրդ դրամի և 20</w:t>
      </w:r>
      <w:r w:rsidRPr="00EE1C9F">
        <w:rPr>
          <w:rFonts w:eastAsia="Calibri"/>
          <w:b w:val="0"/>
          <w:szCs w:val="22"/>
          <w:lang w:val="fr-FR" w:eastAsia="en-US"/>
        </w:rPr>
        <w:t>20</w:t>
      </w:r>
      <w:r w:rsidRPr="002B1E92">
        <w:rPr>
          <w:rFonts w:eastAsia="Calibri"/>
          <w:b w:val="0"/>
          <w:szCs w:val="22"/>
          <w:lang w:val="hy-AM" w:eastAsia="en-US"/>
        </w:rPr>
        <w:t xml:space="preserve"> թվականին փաստացի ստացված</w:t>
      </w:r>
      <w:r w:rsidRPr="002B1E92">
        <w:rPr>
          <w:rFonts w:eastAsia="Calibri"/>
          <w:b w:val="0"/>
          <w:szCs w:val="22"/>
          <w:vertAlign w:val="superscript"/>
          <w:lang w:val="hy-AM" w:eastAsia="en-US"/>
        </w:rPr>
        <w:footnoteReference w:id="22"/>
      </w:r>
      <w:r w:rsidRPr="002B1E92">
        <w:rPr>
          <w:rFonts w:eastAsia="Calibri"/>
          <w:b w:val="0"/>
          <w:szCs w:val="22"/>
          <w:lang w:val="hy-AM" w:eastAsia="en-US"/>
        </w:rPr>
        <w:t xml:space="preserve"> </w:t>
      </w:r>
      <w:r w:rsidRPr="00EE1C9F">
        <w:rPr>
          <w:rFonts w:eastAsia="Calibri"/>
          <w:b w:val="0"/>
          <w:szCs w:val="22"/>
          <w:lang w:val="fr-FR" w:eastAsia="en-US"/>
        </w:rPr>
        <w:t>33.2</w:t>
      </w:r>
      <w:r w:rsidRPr="002B1E92">
        <w:rPr>
          <w:rFonts w:eastAsia="Calibri"/>
          <w:b w:val="0"/>
          <w:szCs w:val="22"/>
          <w:lang w:val="hy-AM" w:eastAsia="en-US"/>
        </w:rPr>
        <w:t xml:space="preserve"> մլրդ դրամի դիմաց:</w:t>
      </w:r>
    </w:p>
    <w:p w14:paraId="4951D0E1" w14:textId="7A0F282D" w:rsidR="00EE1C9F" w:rsidRPr="002B1E92" w:rsidRDefault="00EE1C9F" w:rsidP="00EE1C9F">
      <w:pPr>
        <w:spacing w:before="0" w:line="276" w:lineRule="auto"/>
        <w:ind w:firstLine="538"/>
        <w:rPr>
          <w:rFonts w:eastAsia="Calibri"/>
          <w:b w:val="0"/>
          <w:szCs w:val="22"/>
          <w:lang w:val="hy-AM" w:eastAsia="en-US"/>
        </w:rPr>
      </w:pPr>
      <w:r w:rsidRPr="002B1E92">
        <w:rPr>
          <w:rFonts w:eastAsia="Calibri"/>
          <w:b w:val="0"/>
          <w:szCs w:val="22"/>
          <w:lang w:val="hy-AM" w:eastAsia="en-US"/>
        </w:rPr>
        <w:t>Պետական տուրքերի գծով 2021 թվականի բյուջետային մուտքերի կանխատեսումները կատար</w:t>
      </w:r>
      <w:r w:rsidRPr="002B1E92">
        <w:rPr>
          <w:rFonts w:eastAsia="Calibri"/>
          <w:b w:val="0"/>
          <w:szCs w:val="22"/>
          <w:lang w:val="hy-AM" w:eastAsia="en-US"/>
        </w:rPr>
        <w:softHyphen/>
        <w:t>վել են ըստ դրանց նախորդ տարիների փաստացի հավաքագրում</w:t>
      </w:r>
      <w:r w:rsidRPr="002B1E92">
        <w:rPr>
          <w:rFonts w:eastAsia="Calibri"/>
          <w:b w:val="0"/>
          <w:szCs w:val="22"/>
          <w:lang w:val="hy-AM" w:eastAsia="en-US"/>
        </w:rPr>
        <w:softHyphen/>
        <w:t>ների միտում</w:t>
      </w:r>
      <w:r w:rsidRPr="002B1E92">
        <w:rPr>
          <w:rFonts w:eastAsia="Calibri"/>
          <w:b w:val="0"/>
          <w:szCs w:val="22"/>
          <w:lang w:val="hy-AM" w:eastAsia="en-US"/>
        </w:rPr>
        <w:softHyphen/>
        <w:t>նե</w:t>
      </w:r>
      <w:r w:rsidRPr="002B1E92">
        <w:rPr>
          <w:rFonts w:eastAsia="Calibri"/>
          <w:b w:val="0"/>
          <w:szCs w:val="22"/>
          <w:lang w:val="hy-AM" w:eastAsia="en-US"/>
        </w:rPr>
        <w:softHyphen/>
        <w:t>րի, hաշվի առ</w:t>
      </w:r>
      <w:r w:rsidRPr="002B1E92">
        <w:rPr>
          <w:rFonts w:eastAsia="Calibri"/>
          <w:b w:val="0"/>
          <w:szCs w:val="22"/>
          <w:lang w:val="hy-AM" w:eastAsia="en-US"/>
        </w:rPr>
        <w:softHyphen/>
        <w:t>նե</w:t>
      </w:r>
      <w:r w:rsidRPr="002B1E92">
        <w:rPr>
          <w:rFonts w:eastAsia="Calibri"/>
          <w:b w:val="0"/>
          <w:szCs w:val="22"/>
          <w:lang w:val="hy-AM" w:eastAsia="en-US"/>
        </w:rPr>
        <w:softHyphen/>
        <w:t>լով ՀՀ օրենսդրության մեջ կատարված առան</w:t>
      </w:r>
      <w:r w:rsidRPr="002B1E92">
        <w:rPr>
          <w:rFonts w:eastAsia="Calibri"/>
          <w:b w:val="0"/>
          <w:szCs w:val="22"/>
          <w:lang w:val="hy-AM" w:eastAsia="en-US"/>
        </w:rPr>
        <w:softHyphen/>
        <w:t>ձին փոփոխություններն ու լրացումները, ինչ</w:t>
      </w:r>
      <w:r w:rsidRPr="002B1E92">
        <w:rPr>
          <w:rFonts w:eastAsia="Calibri"/>
          <w:b w:val="0"/>
          <w:szCs w:val="22"/>
          <w:lang w:val="hy-AM" w:eastAsia="en-US"/>
        </w:rPr>
        <w:softHyphen/>
        <w:t xml:space="preserve">պես նաև պետական տուրքի յուրաքանչյուր տեսակի առանձնահատկությունները: </w:t>
      </w:r>
    </w:p>
    <w:p w14:paraId="62C712D1" w14:textId="341AEFFA" w:rsidR="00EE1C9F" w:rsidRPr="002B1E92" w:rsidRDefault="00EE1C9F" w:rsidP="00EE1C9F">
      <w:pPr>
        <w:spacing w:before="0" w:line="276" w:lineRule="auto"/>
        <w:ind w:firstLine="562"/>
        <w:rPr>
          <w:rFonts w:cs="Sylfaen"/>
          <w:b w:val="0"/>
          <w:iCs/>
          <w:szCs w:val="22"/>
          <w:lang w:val="af-ZA" w:eastAsia="en-GB"/>
        </w:rPr>
      </w:pPr>
      <w:r w:rsidRPr="002B1E92">
        <w:rPr>
          <w:rFonts w:eastAsia="Calibri"/>
          <w:b w:val="0"/>
          <w:szCs w:val="22"/>
          <w:lang w:val="hy-AM" w:eastAsia="en-US"/>
        </w:rPr>
        <w:t xml:space="preserve">Պետական տուրքի </w:t>
      </w:r>
      <w:r w:rsidRPr="002B1E92">
        <w:rPr>
          <w:rFonts w:cs="Sylfaen"/>
          <w:b w:val="0"/>
          <w:iCs/>
          <w:szCs w:val="22"/>
          <w:lang w:val="af-ZA" w:eastAsia="en-GB"/>
        </w:rPr>
        <w:t>գծով փաստացի/կանխատեսումային ցուցանիշների ընդհանուր պատկերն ըստ եկամտի հիմնական աղբյուրների հետևյալն է.</w:t>
      </w:r>
    </w:p>
    <w:p w14:paraId="0A29B5EB" w14:textId="77777777" w:rsidR="00EE1C9F" w:rsidRPr="002B1E92" w:rsidRDefault="00EE1C9F" w:rsidP="00EE1C9F">
      <w:pPr>
        <w:pStyle w:val="Caption"/>
        <w:spacing w:before="0" w:after="0" w:line="240" w:lineRule="auto"/>
        <w:ind w:firstLine="562"/>
        <w:rPr>
          <w:sz w:val="22"/>
          <w:szCs w:val="22"/>
          <w:lang w:val="hy-AM"/>
        </w:rPr>
      </w:pPr>
    </w:p>
    <w:p w14:paraId="698ECB8B" w14:textId="16067451" w:rsidR="00EE1C9F" w:rsidRDefault="00DA73BA" w:rsidP="00DA73BA">
      <w:pPr>
        <w:pStyle w:val="Caption"/>
        <w:keepNext/>
        <w:rPr>
          <w:b/>
          <w:i/>
          <w:sz w:val="20"/>
          <w:szCs w:val="20"/>
          <w:lang w:val="hy-AM"/>
        </w:rPr>
      </w:pPr>
      <w:bookmarkStart w:id="244" w:name="_Toc89428767"/>
      <w:r w:rsidRPr="00DA73BA">
        <w:rPr>
          <w:lang w:val="hy-AM"/>
        </w:rPr>
        <w:t xml:space="preserve">Աղյուսակ </w:t>
      </w:r>
      <w:r>
        <w:fldChar w:fldCharType="begin"/>
      </w:r>
      <w:r w:rsidRPr="00DA73BA">
        <w:rPr>
          <w:lang w:val="hy-AM"/>
        </w:rPr>
        <w:instrText xml:space="preserve"> SEQ Աղյուսակ \* ARABIC </w:instrText>
      </w:r>
      <w:r>
        <w:fldChar w:fldCharType="separate"/>
      </w:r>
      <w:r w:rsidR="00A10D4F">
        <w:rPr>
          <w:noProof/>
          <w:lang w:val="hy-AM"/>
        </w:rPr>
        <w:t>7</w:t>
      </w:r>
      <w:r>
        <w:fldChar w:fldCharType="end"/>
      </w:r>
      <w:r w:rsidRPr="00DA73BA">
        <w:rPr>
          <w:lang w:val="hy-AM"/>
        </w:rPr>
        <w:t xml:space="preserve">. </w:t>
      </w:r>
      <w:r w:rsidR="00EE1C9F" w:rsidRPr="00EE1C9F">
        <w:rPr>
          <w:b/>
          <w:i/>
          <w:sz w:val="20"/>
          <w:szCs w:val="20"/>
          <w:lang w:val="hy-AM"/>
        </w:rPr>
        <w:t>Պետական տուրքի կազմում հաշվառվող եկամտատեսակների գծով ՀՀ 2018-2022թթ փաստացի/կանխատեսումային ցուցանիշները (մլրդ դրամներով)</w:t>
      </w:r>
      <w:bookmarkEnd w:id="244"/>
    </w:p>
    <w:tbl>
      <w:tblPr>
        <w:tblW w:w="910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2"/>
        <w:gridCol w:w="1170"/>
        <w:gridCol w:w="1226"/>
        <w:gridCol w:w="1170"/>
        <w:gridCol w:w="1114"/>
        <w:gridCol w:w="1213"/>
      </w:tblGrid>
      <w:tr w:rsidR="00AC4C17" w:rsidRPr="00A83C94" w14:paraId="2D5247DD" w14:textId="77777777" w:rsidTr="00B0373B">
        <w:trPr>
          <w:trHeight w:val="989"/>
        </w:trPr>
        <w:tc>
          <w:tcPr>
            <w:tcW w:w="3212" w:type="dxa"/>
            <w:shd w:val="clear" w:color="auto" w:fill="4F81BD" w:themeFill="accent1"/>
            <w:noWrap/>
            <w:vAlign w:val="center"/>
            <w:hideMark/>
          </w:tcPr>
          <w:p w14:paraId="5695A656" w14:textId="77777777" w:rsidR="00AC4C17" w:rsidRPr="00A83C94" w:rsidRDefault="00AC4C17" w:rsidP="0080249D">
            <w:pPr>
              <w:spacing w:before="0" w:line="276" w:lineRule="auto"/>
              <w:ind w:firstLine="0"/>
              <w:contextualSpacing w:val="0"/>
              <w:jc w:val="center"/>
              <w:rPr>
                <w:bCs/>
                <w:color w:val="FFFFFF" w:themeColor="background1"/>
                <w:sz w:val="20"/>
                <w:szCs w:val="20"/>
                <w:lang w:val="en-US" w:eastAsia="en-US"/>
              </w:rPr>
            </w:pPr>
            <w:r w:rsidRPr="00A83C94">
              <w:rPr>
                <w:bCs/>
                <w:color w:val="FFFFFF" w:themeColor="background1"/>
                <w:sz w:val="20"/>
                <w:szCs w:val="20"/>
                <w:lang w:val="en-US" w:eastAsia="en-US"/>
              </w:rPr>
              <w:t>Եկամտատեսակը</w:t>
            </w:r>
          </w:p>
        </w:tc>
        <w:tc>
          <w:tcPr>
            <w:tcW w:w="1170" w:type="dxa"/>
            <w:shd w:val="clear" w:color="auto" w:fill="4F81BD" w:themeFill="accent1"/>
            <w:noWrap/>
            <w:vAlign w:val="center"/>
            <w:hideMark/>
          </w:tcPr>
          <w:p w14:paraId="461B17F8" w14:textId="77777777" w:rsidR="00AC4C17" w:rsidRPr="00A83C94" w:rsidRDefault="00AC4C17" w:rsidP="0080249D">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w:t>
            </w:r>
            <w:r w:rsidRPr="00A83C94">
              <w:rPr>
                <w:rFonts w:cs="Calibri"/>
                <w:color w:val="FFFFFF" w:themeColor="background1"/>
                <w:sz w:val="20"/>
                <w:szCs w:val="20"/>
                <w:lang w:val="en-US" w:eastAsia="en-US"/>
              </w:rPr>
              <w:br/>
              <w:t>փաստ</w:t>
            </w:r>
          </w:p>
        </w:tc>
        <w:tc>
          <w:tcPr>
            <w:tcW w:w="1226" w:type="dxa"/>
            <w:shd w:val="clear" w:color="auto" w:fill="4F81BD" w:themeFill="accent1"/>
            <w:noWrap/>
            <w:vAlign w:val="center"/>
            <w:hideMark/>
          </w:tcPr>
          <w:p w14:paraId="1873600F" w14:textId="77777777" w:rsidR="00AC4C17" w:rsidRPr="00A83C94" w:rsidRDefault="00AC4C17" w:rsidP="0080249D">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 xml:space="preserve">2019 </w:t>
            </w:r>
            <w:r w:rsidRPr="00A83C94">
              <w:rPr>
                <w:rFonts w:cs="Calibri"/>
                <w:color w:val="FFFFFF" w:themeColor="background1"/>
                <w:sz w:val="20"/>
                <w:szCs w:val="20"/>
                <w:lang w:val="en-US" w:eastAsia="en-US"/>
              </w:rPr>
              <w:br/>
              <w:t>փաստ</w:t>
            </w:r>
          </w:p>
        </w:tc>
        <w:tc>
          <w:tcPr>
            <w:tcW w:w="1170" w:type="dxa"/>
            <w:shd w:val="clear" w:color="auto" w:fill="4F81BD" w:themeFill="accent1"/>
            <w:noWrap/>
            <w:vAlign w:val="center"/>
            <w:hideMark/>
          </w:tcPr>
          <w:p w14:paraId="1D38E68F" w14:textId="77777777" w:rsidR="00AC4C17" w:rsidRPr="00A83C94" w:rsidRDefault="00AC4C17" w:rsidP="0080249D">
            <w:pPr>
              <w:spacing w:before="0" w:line="276" w:lineRule="auto"/>
              <w:ind w:firstLine="0"/>
              <w:contextualSpacing w:val="0"/>
              <w:jc w:val="center"/>
              <w:rPr>
                <w:rFonts w:cs="Calibri"/>
                <w:b w:val="0"/>
                <w:color w:val="FFFFFF" w:themeColor="background1"/>
                <w:sz w:val="20"/>
                <w:szCs w:val="20"/>
                <w:lang w:val="en-US" w:eastAsia="en-US"/>
              </w:rPr>
            </w:pPr>
            <w:r w:rsidRPr="00A83C94">
              <w:rPr>
                <w:rFonts w:cs="Calibri"/>
                <w:color w:val="FFFFFF" w:themeColor="background1"/>
                <w:sz w:val="20"/>
                <w:szCs w:val="20"/>
                <w:lang w:val="en-US" w:eastAsia="en-US"/>
              </w:rPr>
              <w:t xml:space="preserve">2020 </w:t>
            </w:r>
            <w:r w:rsidRPr="00A83C94">
              <w:rPr>
                <w:rFonts w:cs="Calibri"/>
                <w:color w:val="FFFFFF" w:themeColor="background1"/>
                <w:sz w:val="20"/>
                <w:szCs w:val="20"/>
                <w:lang w:val="en-US" w:eastAsia="en-US"/>
              </w:rPr>
              <w:br/>
              <w:t>փաստ</w:t>
            </w:r>
          </w:p>
        </w:tc>
        <w:tc>
          <w:tcPr>
            <w:tcW w:w="1114" w:type="dxa"/>
            <w:shd w:val="clear" w:color="auto" w:fill="4F81BD" w:themeFill="accent1"/>
            <w:noWrap/>
            <w:vAlign w:val="center"/>
            <w:hideMark/>
          </w:tcPr>
          <w:p w14:paraId="2AF1BDE3" w14:textId="71C3670D" w:rsidR="00AC4C17" w:rsidRPr="00F16670" w:rsidRDefault="00AC4C17" w:rsidP="00F16670">
            <w:pPr>
              <w:spacing w:before="0" w:line="276" w:lineRule="auto"/>
              <w:ind w:firstLine="0"/>
              <w:contextualSpacing w:val="0"/>
              <w:jc w:val="center"/>
              <w:rPr>
                <w:rFonts w:cs="Calibri"/>
                <w:color w:val="FFFFFF" w:themeColor="background1"/>
                <w:sz w:val="20"/>
                <w:szCs w:val="20"/>
                <w:lang w:val="hy-AM" w:eastAsia="en-US"/>
              </w:rPr>
            </w:pPr>
            <w:r w:rsidRPr="00A83C94">
              <w:rPr>
                <w:rFonts w:cs="Calibri"/>
                <w:color w:val="FFFFFF" w:themeColor="background1"/>
                <w:sz w:val="20"/>
                <w:szCs w:val="20"/>
                <w:lang w:val="en-US" w:eastAsia="en-US"/>
              </w:rPr>
              <w:t>2021</w:t>
            </w:r>
            <w:r w:rsidRPr="00A83C94">
              <w:rPr>
                <w:rFonts w:cs="Calibri"/>
                <w:color w:val="FFFFFF" w:themeColor="background1"/>
                <w:sz w:val="20"/>
                <w:szCs w:val="20"/>
                <w:lang w:val="en-US" w:eastAsia="en-US"/>
              </w:rPr>
              <w:br/>
            </w:r>
            <w:r w:rsidR="00F16670">
              <w:rPr>
                <w:rFonts w:cs="Calibri"/>
                <w:color w:val="FFFFFF" w:themeColor="background1"/>
                <w:sz w:val="20"/>
                <w:szCs w:val="20"/>
                <w:lang w:val="hy-AM" w:eastAsia="en-US"/>
              </w:rPr>
              <w:t>բյուջե</w:t>
            </w:r>
          </w:p>
        </w:tc>
        <w:tc>
          <w:tcPr>
            <w:tcW w:w="1213" w:type="dxa"/>
            <w:shd w:val="clear" w:color="auto" w:fill="4F81BD" w:themeFill="accent1"/>
            <w:noWrap/>
            <w:vAlign w:val="center"/>
            <w:hideMark/>
          </w:tcPr>
          <w:p w14:paraId="170E8150" w14:textId="77777777" w:rsidR="00AC4C17" w:rsidRPr="00A83C94" w:rsidRDefault="00AC4C17" w:rsidP="0080249D">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 xml:space="preserve">2022 </w:t>
            </w:r>
            <w:r w:rsidRPr="00A83C94">
              <w:rPr>
                <w:rFonts w:cs="Calibri"/>
                <w:color w:val="FFFFFF" w:themeColor="background1"/>
                <w:sz w:val="20"/>
                <w:szCs w:val="20"/>
                <w:lang w:val="en-US" w:eastAsia="en-US"/>
              </w:rPr>
              <w:br/>
              <w:t>կանխա</w:t>
            </w:r>
            <w:r w:rsidRPr="00A83C94">
              <w:rPr>
                <w:rFonts w:cs="Calibri"/>
                <w:color w:val="FFFFFF" w:themeColor="background1"/>
                <w:sz w:val="20"/>
                <w:szCs w:val="20"/>
                <w:lang w:val="hy-AM" w:eastAsia="en-US"/>
              </w:rPr>
              <w:t>-</w:t>
            </w:r>
            <w:r w:rsidRPr="00A83C94">
              <w:rPr>
                <w:rFonts w:cs="Calibri"/>
                <w:color w:val="FFFFFF" w:themeColor="background1"/>
                <w:sz w:val="20"/>
                <w:szCs w:val="20"/>
                <w:lang w:val="en-US" w:eastAsia="en-US"/>
              </w:rPr>
              <w:t>տեսում</w:t>
            </w:r>
          </w:p>
          <w:p w14:paraId="2283975B" w14:textId="77777777" w:rsidR="00AC4C17" w:rsidRPr="00A83C94" w:rsidRDefault="00AC4C17" w:rsidP="0080249D">
            <w:pPr>
              <w:spacing w:before="0" w:line="276" w:lineRule="auto"/>
              <w:ind w:firstLine="0"/>
              <w:contextualSpacing w:val="0"/>
              <w:jc w:val="center"/>
              <w:rPr>
                <w:rFonts w:cs="Calibri"/>
                <w:color w:val="FFFFFF" w:themeColor="background1"/>
                <w:sz w:val="20"/>
                <w:szCs w:val="20"/>
                <w:lang w:val="en-US" w:eastAsia="en-US"/>
              </w:rPr>
            </w:pPr>
          </w:p>
        </w:tc>
      </w:tr>
      <w:tr w:rsidR="00AC4C17" w:rsidRPr="00A83C94" w14:paraId="66439070" w14:textId="77777777" w:rsidTr="00B0373B">
        <w:trPr>
          <w:trHeight w:val="705"/>
        </w:trPr>
        <w:tc>
          <w:tcPr>
            <w:tcW w:w="3212" w:type="dxa"/>
            <w:shd w:val="clear" w:color="auto" w:fill="C6D9F1" w:themeFill="text2" w:themeFillTint="33"/>
            <w:vAlign w:val="center"/>
          </w:tcPr>
          <w:p w14:paraId="2930C7D2" w14:textId="3F2BE516" w:rsidR="00AC4C17" w:rsidRPr="00891EF3" w:rsidRDefault="00AC4C17" w:rsidP="00B0373B">
            <w:pPr>
              <w:spacing w:before="0" w:line="240" w:lineRule="auto"/>
              <w:ind w:firstLine="0"/>
              <w:contextualSpacing w:val="0"/>
              <w:jc w:val="left"/>
              <w:rPr>
                <w:bCs/>
                <w:color w:val="000000"/>
                <w:sz w:val="20"/>
                <w:szCs w:val="20"/>
                <w:lang w:eastAsia="en-US"/>
              </w:rPr>
            </w:pPr>
            <w:r w:rsidRPr="00AC4C17">
              <w:rPr>
                <w:bCs/>
                <w:color w:val="000000"/>
                <w:sz w:val="20"/>
                <w:szCs w:val="20"/>
                <w:lang w:val="en-US" w:eastAsia="en-US"/>
              </w:rPr>
              <w:t>Պետական</w:t>
            </w:r>
            <w:r w:rsidRPr="00891EF3">
              <w:rPr>
                <w:bCs/>
                <w:color w:val="000000"/>
                <w:sz w:val="20"/>
                <w:szCs w:val="20"/>
                <w:lang w:eastAsia="en-US"/>
              </w:rPr>
              <w:t xml:space="preserve"> </w:t>
            </w:r>
            <w:r w:rsidRPr="00AC4C17">
              <w:rPr>
                <w:bCs/>
                <w:color w:val="000000"/>
                <w:sz w:val="20"/>
                <w:szCs w:val="20"/>
                <w:lang w:val="en-US" w:eastAsia="en-US"/>
              </w:rPr>
              <w:t>տուրք</w:t>
            </w:r>
            <w:r w:rsidRPr="00891EF3">
              <w:rPr>
                <w:bCs/>
                <w:color w:val="000000"/>
                <w:sz w:val="20"/>
                <w:szCs w:val="20"/>
                <w:lang w:eastAsia="en-US"/>
              </w:rPr>
              <w:t xml:space="preserve">, </w:t>
            </w:r>
            <w:r w:rsidRPr="00AC4C17">
              <w:rPr>
                <w:bCs/>
                <w:color w:val="000000"/>
                <w:sz w:val="20"/>
                <w:szCs w:val="20"/>
                <w:lang w:val="en-US" w:eastAsia="en-US"/>
              </w:rPr>
              <w:t>ընդամենը</w:t>
            </w:r>
            <w:r w:rsidRPr="00891EF3">
              <w:rPr>
                <w:bCs/>
                <w:color w:val="000000"/>
                <w:sz w:val="20"/>
                <w:szCs w:val="20"/>
                <w:lang w:eastAsia="en-US"/>
              </w:rPr>
              <w:t xml:space="preserve">    </w:t>
            </w:r>
          </w:p>
          <w:p w14:paraId="4FFBA60E" w14:textId="4F6E8839" w:rsidR="00AC4C17" w:rsidRPr="00891EF3" w:rsidRDefault="00AC4C17" w:rsidP="00B0373B">
            <w:pPr>
              <w:spacing w:before="0" w:line="240" w:lineRule="auto"/>
              <w:ind w:firstLine="0"/>
              <w:contextualSpacing w:val="0"/>
              <w:jc w:val="left"/>
              <w:rPr>
                <w:bCs/>
                <w:color w:val="000000"/>
                <w:sz w:val="20"/>
                <w:szCs w:val="20"/>
                <w:lang w:eastAsia="en-US"/>
              </w:rPr>
            </w:pPr>
            <w:r w:rsidRPr="00AC4C17">
              <w:rPr>
                <w:bCs/>
                <w:color w:val="000000"/>
                <w:sz w:val="20"/>
                <w:szCs w:val="20"/>
                <w:lang w:val="en-US" w:eastAsia="en-US"/>
              </w:rPr>
              <w:t>այդ</w:t>
            </w:r>
            <w:r w:rsidRPr="00891EF3">
              <w:rPr>
                <w:bCs/>
                <w:color w:val="000000"/>
                <w:sz w:val="20"/>
                <w:szCs w:val="20"/>
                <w:lang w:eastAsia="en-US"/>
              </w:rPr>
              <w:t xml:space="preserve"> </w:t>
            </w:r>
            <w:r w:rsidRPr="00AC4C17">
              <w:rPr>
                <w:bCs/>
                <w:color w:val="000000"/>
                <w:sz w:val="20"/>
                <w:szCs w:val="20"/>
                <w:lang w:val="en-US" w:eastAsia="en-US"/>
              </w:rPr>
              <w:t>թվում</w:t>
            </w:r>
            <w:r w:rsidRPr="00891EF3">
              <w:rPr>
                <w:bCs/>
                <w:color w:val="000000"/>
                <w:sz w:val="20"/>
                <w:szCs w:val="20"/>
                <w:lang w:eastAsia="en-US"/>
              </w:rPr>
              <w:t>`</w:t>
            </w:r>
          </w:p>
        </w:tc>
        <w:tc>
          <w:tcPr>
            <w:tcW w:w="1170" w:type="dxa"/>
            <w:shd w:val="clear" w:color="auto" w:fill="C6D9F1" w:themeFill="text2" w:themeFillTint="33"/>
            <w:noWrap/>
            <w:vAlign w:val="center"/>
          </w:tcPr>
          <w:p w14:paraId="041E4A85" w14:textId="2957CE03" w:rsidR="00AC4C17" w:rsidRPr="00AC4C17" w:rsidRDefault="00AC4C17" w:rsidP="00AC4C17">
            <w:pPr>
              <w:spacing w:before="0" w:line="276" w:lineRule="auto"/>
              <w:ind w:firstLine="0"/>
              <w:contextualSpacing w:val="0"/>
              <w:jc w:val="center"/>
              <w:rPr>
                <w:bCs/>
                <w:color w:val="000000"/>
                <w:sz w:val="20"/>
                <w:szCs w:val="20"/>
                <w:lang w:val="en-US" w:eastAsia="en-US"/>
              </w:rPr>
            </w:pPr>
            <w:r w:rsidRPr="00AC4C17">
              <w:rPr>
                <w:szCs w:val="22"/>
                <w:lang w:val="en-US" w:eastAsia="en-US"/>
              </w:rPr>
              <w:t>37.7</w:t>
            </w:r>
          </w:p>
        </w:tc>
        <w:tc>
          <w:tcPr>
            <w:tcW w:w="1226" w:type="dxa"/>
            <w:shd w:val="clear" w:color="auto" w:fill="C6D9F1" w:themeFill="text2" w:themeFillTint="33"/>
            <w:noWrap/>
            <w:vAlign w:val="center"/>
          </w:tcPr>
          <w:p w14:paraId="191D8538" w14:textId="288710A6" w:rsidR="00AC4C17" w:rsidRPr="00AC4C17" w:rsidRDefault="00AC4C17" w:rsidP="00AC4C17">
            <w:pPr>
              <w:spacing w:before="0" w:line="276" w:lineRule="auto"/>
              <w:ind w:firstLine="0"/>
              <w:contextualSpacing w:val="0"/>
              <w:jc w:val="center"/>
              <w:rPr>
                <w:bCs/>
                <w:color w:val="000000"/>
                <w:sz w:val="20"/>
                <w:szCs w:val="20"/>
                <w:lang w:val="en-US" w:eastAsia="en-US"/>
              </w:rPr>
            </w:pPr>
            <w:r w:rsidRPr="00AC4C17">
              <w:rPr>
                <w:szCs w:val="22"/>
                <w:lang w:val="en-US" w:eastAsia="en-US"/>
              </w:rPr>
              <w:t>45.7</w:t>
            </w:r>
          </w:p>
        </w:tc>
        <w:tc>
          <w:tcPr>
            <w:tcW w:w="1170" w:type="dxa"/>
            <w:shd w:val="clear" w:color="auto" w:fill="C6D9F1" w:themeFill="text2" w:themeFillTint="33"/>
            <w:noWrap/>
            <w:vAlign w:val="center"/>
          </w:tcPr>
          <w:p w14:paraId="1C8C71F7" w14:textId="609675B0" w:rsidR="00AC4C17" w:rsidRPr="00AC4C17" w:rsidRDefault="00AC4C17" w:rsidP="00AC4C17">
            <w:pPr>
              <w:spacing w:before="0" w:line="276" w:lineRule="auto"/>
              <w:ind w:firstLine="0"/>
              <w:contextualSpacing w:val="0"/>
              <w:jc w:val="center"/>
              <w:rPr>
                <w:bCs/>
                <w:color w:val="000000"/>
                <w:sz w:val="20"/>
                <w:szCs w:val="20"/>
                <w:lang w:val="en-US" w:eastAsia="en-US"/>
              </w:rPr>
            </w:pPr>
            <w:r w:rsidRPr="00AC4C17">
              <w:rPr>
                <w:szCs w:val="22"/>
                <w:lang w:val="en-US" w:eastAsia="en-US"/>
              </w:rPr>
              <w:t>33.2</w:t>
            </w:r>
          </w:p>
        </w:tc>
        <w:tc>
          <w:tcPr>
            <w:tcW w:w="1114" w:type="dxa"/>
            <w:shd w:val="clear" w:color="auto" w:fill="C6D9F1" w:themeFill="text2" w:themeFillTint="33"/>
            <w:noWrap/>
            <w:vAlign w:val="center"/>
          </w:tcPr>
          <w:p w14:paraId="52FCC22F" w14:textId="072DC26C" w:rsidR="00AC4C17" w:rsidRPr="00AC4C17" w:rsidRDefault="00AC4C17" w:rsidP="00AC4C17">
            <w:pPr>
              <w:spacing w:before="0" w:line="276" w:lineRule="auto"/>
              <w:ind w:firstLine="0"/>
              <w:contextualSpacing w:val="0"/>
              <w:jc w:val="center"/>
              <w:rPr>
                <w:bCs/>
                <w:color w:val="000000"/>
                <w:sz w:val="20"/>
                <w:szCs w:val="20"/>
                <w:lang w:val="en-US" w:eastAsia="en-US"/>
              </w:rPr>
            </w:pPr>
            <w:r w:rsidRPr="00AC4C17">
              <w:rPr>
                <w:szCs w:val="22"/>
                <w:lang w:val="en-US" w:eastAsia="en-US"/>
              </w:rPr>
              <w:t>48.2</w:t>
            </w:r>
          </w:p>
        </w:tc>
        <w:tc>
          <w:tcPr>
            <w:tcW w:w="1213" w:type="dxa"/>
            <w:shd w:val="clear" w:color="auto" w:fill="C6D9F1" w:themeFill="text2" w:themeFillTint="33"/>
            <w:noWrap/>
            <w:vAlign w:val="center"/>
          </w:tcPr>
          <w:p w14:paraId="45B25A6B" w14:textId="018868C7" w:rsidR="00AC4C17" w:rsidRPr="00AC4C17" w:rsidRDefault="00AC4C17" w:rsidP="00AC4C17">
            <w:pPr>
              <w:spacing w:before="0" w:line="276" w:lineRule="auto"/>
              <w:ind w:firstLine="0"/>
              <w:contextualSpacing w:val="0"/>
              <w:jc w:val="center"/>
              <w:rPr>
                <w:rFonts w:cs="Sylfaen"/>
                <w:iCs/>
                <w:sz w:val="20"/>
                <w:szCs w:val="20"/>
                <w:lang w:val="hy-AM" w:eastAsia="en-GB"/>
              </w:rPr>
            </w:pPr>
            <w:r w:rsidRPr="00AC4C17">
              <w:rPr>
                <w:szCs w:val="22"/>
                <w:lang w:val="en-US" w:eastAsia="en-US"/>
              </w:rPr>
              <w:t>89.9</w:t>
            </w:r>
          </w:p>
        </w:tc>
      </w:tr>
      <w:tr w:rsidR="00AC4C17" w:rsidRPr="00A83C94" w14:paraId="1C33D57A" w14:textId="77777777" w:rsidTr="00B0373B">
        <w:trPr>
          <w:trHeight w:val="705"/>
        </w:trPr>
        <w:tc>
          <w:tcPr>
            <w:tcW w:w="3212" w:type="dxa"/>
            <w:shd w:val="clear" w:color="auto" w:fill="FFFFFF" w:themeFill="background1"/>
            <w:vAlign w:val="center"/>
          </w:tcPr>
          <w:p w14:paraId="071F2DBA" w14:textId="754946CE" w:rsidR="00AC4C17" w:rsidRPr="00891EF3" w:rsidRDefault="00AC4C17" w:rsidP="00B0373B">
            <w:pPr>
              <w:spacing w:before="0" w:line="240" w:lineRule="auto"/>
              <w:ind w:firstLine="0"/>
              <w:contextualSpacing w:val="0"/>
              <w:jc w:val="left"/>
              <w:rPr>
                <w:b w:val="0"/>
                <w:bCs/>
                <w:color w:val="000000"/>
                <w:sz w:val="20"/>
                <w:szCs w:val="20"/>
                <w:lang w:eastAsia="en-US"/>
              </w:rPr>
            </w:pPr>
            <w:r w:rsidRPr="00891EF3">
              <w:rPr>
                <w:b w:val="0"/>
                <w:bCs/>
                <w:color w:val="000000"/>
                <w:sz w:val="20"/>
                <w:szCs w:val="20"/>
                <w:lang w:eastAsia="en-US"/>
              </w:rPr>
              <w:t xml:space="preserve">1. </w:t>
            </w:r>
            <w:r w:rsidRPr="00AC4C17">
              <w:rPr>
                <w:b w:val="0"/>
                <w:bCs/>
                <w:color w:val="000000"/>
                <w:sz w:val="20"/>
                <w:szCs w:val="20"/>
                <w:lang w:val="en-US" w:eastAsia="en-US"/>
              </w:rPr>
              <w:t>Դատարան</w:t>
            </w:r>
            <w:r w:rsidRPr="00891EF3">
              <w:rPr>
                <w:b w:val="0"/>
                <w:bCs/>
                <w:color w:val="000000"/>
                <w:sz w:val="20"/>
                <w:szCs w:val="20"/>
                <w:lang w:eastAsia="en-US"/>
              </w:rPr>
              <w:t xml:space="preserve"> </w:t>
            </w:r>
            <w:r w:rsidRPr="00AC4C17">
              <w:rPr>
                <w:b w:val="0"/>
                <w:bCs/>
                <w:color w:val="000000"/>
                <w:sz w:val="20"/>
                <w:szCs w:val="20"/>
                <w:lang w:val="en-US" w:eastAsia="en-US"/>
              </w:rPr>
              <w:t>տրվող</w:t>
            </w:r>
            <w:r w:rsidRPr="00891EF3">
              <w:rPr>
                <w:b w:val="0"/>
                <w:bCs/>
                <w:color w:val="000000"/>
                <w:sz w:val="20"/>
                <w:szCs w:val="20"/>
                <w:lang w:eastAsia="en-US"/>
              </w:rPr>
              <w:t xml:space="preserve"> </w:t>
            </w:r>
            <w:r w:rsidRPr="00AC4C17">
              <w:rPr>
                <w:b w:val="0"/>
                <w:bCs/>
                <w:color w:val="000000"/>
                <w:sz w:val="20"/>
                <w:szCs w:val="20"/>
                <w:lang w:val="en-US" w:eastAsia="en-US"/>
              </w:rPr>
              <w:t>հայցադիմումների</w:t>
            </w:r>
            <w:r w:rsidRPr="00891EF3">
              <w:rPr>
                <w:b w:val="0"/>
                <w:bCs/>
                <w:color w:val="000000"/>
                <w:sz w:val="20"/>
                <w:szCs w:val="20"/>
                <w:lang w:eastAsia="en-US"/>
              </w:rPr>
              <w:t xml:space="preserve">, </w:t>
            </w:r>
            <w:r w:rsidRPr="00AC4C17">
              <w:rPr>
                <w:b w:val="0"/>
                <w:bCs/>
                <w:color w:val="000000"/>
                <w:sz w:val="20"/>
                <w:szCs w:val="20"/>
                <w:lang w:val="en-US" w:eastAsia="en-US"/>
              </w:rPr>
              <w:t>դիմումների</w:t>
            </w:r>
            <w:r w:rsidRPr="00891EF3">
              <w:rPr>
                <w:b w:val="0"/>
                <w:bCs/>
                <w:color w:val="000000"/>
                <w:sz w:val="20"/>
                <w:szCs w:val="20"/>
                <w:lang w:eastAsia="en-US"/>
              </w:rPr>
              <w:t xml:space="preserve">, </w:t>
            </w:r>
            <w:r w:rsidRPr="00AC4C17">
              <w:rPr>
                <w:b w:val="0"/>
                <w:bCs/>
                <w:color w:val="000000"/>
                <w:sz w:val="20"/>
                <w:szCs w:val="20"/>
                <w:lang w:val="en-US" w:eastAsia="en-US"/>
              </w:rPr>
              <w:t>դատարանի</w:t>
            </w:r>
            <w:r w:rsidRPr="00891EF3">
              <w:rPr>
                <w:b w:val="0"/>
                <w:bCs/>
                <w:color w:val="000000"/>
                <w:sz w:val="20"/>
                <w:szCs w:val="20"/>
                <w:lang w:eastAsia="en-US"/>
              </w:rPr>
              <w:t xml:space="preserve"> </w:t>
            </w:r>
            <w:r w:rsidRPr="00AC4C17">
              <w:rPr>
                <w:b w:val="0"/>
                <w:bCs/>
                <w:color w:val="000000"/>
                <w:sz w:val="20"/>
                <w:szCs w:val="20"/>
                <w:lang w:val="en-US" w:eastAsia="en-US"/>
              </w:rPr>
              <w:t>դատական</w:t>
            </w:r>
            <w:r w:rsidRPr="00891EF3">
              <w:rPr>
                <w:b w:val="0"/>
                <w:bCs/>
                <w:color w:val="000000"/>
                <w:sz w:val="20"/>
                <w:szCs w:val="20"/>
                <w:lang w:eastAsia="en-US"/>
              </w:rPr>
              <w:t xml:space="preserve"> </w:t>
            </w:r>
            <w:r w:rsidRPr="00AC4C17">
              <w:rPr>
                <w:b w:val="0"/>
                <w:bCs/>
                <w:color w:val="000000"/>
                <w:sz w:val="20"/>
                <w:szCs w:val="20"/>
                <w:lang w:val="en-US" w:eastAsia="en-US"/>
              </w:rPr>
              <w:t>ակտերի</w:t>
            </w:r>
            <w:r w:rsidRPr="00891EF3">
              <w:rPr>
                <w:b w:val="0"/>
                <w:bCs/>
                <w:color w:val="000000"/>
                <w:sz w:val="20"/>
                <w:szCs w:val="20"/>
                <w:lang w:eastAsia="en-US"/>
              </w:rPr>
              <w:t xml:space="preserve"> </w:t>
            </w:r>
            <w:r w:rsidRPr="00AC4C17">
              <w:rPr>
                <w:b w:val="0"/>
                <w:bCs/>
                <w:color w:val="000000"/>
                <w:sz w:val="20"/>
                <w:szCs w:val="20"/>
                <w:lang w:val="en-US" w:eastAsia="en-US"/>
              </w:rPr>
              <w:t>դեմ</w:t>
            </w:r>
            <w:r w:rsidRPr="00891EF3">
              <w:rPr>
                <w:b w:val="0"/>
                <w:bCs/>
                <w:color w:val="000000"/>
                <w:sz w:val="20"/>
                <w:szCs w:val="20"/>
                <w:lang w:eastAsia="en-US"/>
              </w:rPr>
              <w:t xml:space="preserve"> </w:t>
            </w:r>
            <w:r w:rsidRPr="00AC4C17">
              <w:rPr>
                <w:b w:val="0"/>
                <w:bCs/>
                <w:color w:val="000000"/>
                <w:sz w:val="20"/>
                <w:szCs w:val="20"/>
                <w:lang w:val="en-US" w:eastAsia="en-US"/>
              </w:rPr>
              <w:t>վերաքննիչ</w:t>
            </w:r>
            <w:r w:rsidRPr="00891EF3">
              <w:rPr>
                <w:b w:val="0"/>
                <w:bCs/>
                <w:color w:val="000000"/>
                <w:sz w:val="20"/>
                <w:szCs w:val="20"/>
                <w:lang w:eastAsia="en-US"/>
              </w:rPr>
              <w:t xml:space="preserve"> </w:t>
            </w:r>
            <w:r w:rsidRPr="00AC4C17">
              <w:rPr>
                <w:b w:val="0"/>
                <w:bCs/>
                <w:color w:val="000000"/>
                <w:sz w:val="20"/>
                <w:szCs w:val="20"/>
                <w:lang w:val="en-US" w:eastAsia="en-US"/>
              </w:rPr>
              <w:t>և</w:t>
            </w:r>
            <w:r w:rsidRPr="00891EF3">
              <w:rPr>
                <w:b w:val="0"/>
                <w:bCs/>
                <w:color w:val="000000"/>
                <w:sz w:val="20"/>
                <w:szCs w:val="20"/>
                <w:lang w:eastAsia="en-US"/>
              </w:rPr>
              <w:t xml:space="preserve"> </w:t>
            </w:r>
            <w:r w:rsidRPr="00AC4C17">
              <w:rPr>
                <w:b w:val="0"/>
                <w:bCs/>
                <w:color w:val="000000"/>
                <w:sz w:val="20"/>
                <w:szCs w:val="20"/>
                <w:lang w:val="en-US" w:eastAsia="en-US"/>
              </w:rPr>
              <w:t>վճռաբեկ</w:t>
            </w:r>
            <w:r w:rsidRPr="00891EF3">
              <w:rPr>
                <w:b w:val="0"/>
                <w:bCs/>
                <w:color w:val="000000"/>
                <w:sz w:val="20"/>
                <w:szCs w:val="20"/>
                <w:lang w:eastAsia="en-US"/>
              </w:rPr>
              <w:t xml:space="preserve"> </w:t>
            </w:r>
            <w:r w:rsidRPr="00AC4C17">
              <w:rPr>
                <w:b w:val="0"/>
                <w:bCs/>
                <w:color w:val="000000"/>
                <w:sz w:val="20"/>
                <w:szCs w:val="20"/>
                <w:lang w:val="en-US" w:eastAsia="en-US"/>
              </w:rPr>
              <w:t>բողոքների</w:t>
            </w:r>
            <w:r w:rsidRPr="00891EF3">
              <w:rPr>
                <w:b w:val="0"/>
                <w:bCs/>
                <w:color w:val="000000"/>
                <w:sz w:val="20"/>
                <w:szCs w:val="20"/>
                <w:lang w:eastAsia="en-US"/>
              </w:rPr>
              <w:t xml:space="preserve"> </w:t>
            </w:r>
            <w:r w:rsidRPr="00AC4C17">
              <w:rPr>
                <w:b w:val="0"/>
                <w:bCs/>
                <w:color w:val="000000"/>
                <w:sz w:val="20"/>
                <w:szCs w:val="20"/>
                <w:lang w:val="en-US" w:eastAsia="en-US"/>
              </w:rPr>
              <w:t>համար</w:t>
            </w:r>
            <w:r w:rsidRPr="00891EF3">
              <w:rPr>
                <w:b w:val="0"/>
                <w:bCs/>
                <w:color w:val="000000"/>
                <w:sz w:val="20"/>
                <w:szCs w:val="20"/>
                <w:lang w:eastAsia="en-US"/>
              </w:rPr>
              <w:t xml:space="preserve">, </w:t>
            </w:r>
            <w:r w:rsidRPr="00AC4C17">
              <w:rPr>
                <w:b w:val="0"/>
                <w:bCs/>
                <w:color w:val="000000"/>
                <w:sz w:val="20"/>
                <w:szCs w:val="20"/>
                <w:lang w:val="en-US" w:eastAsia="en-US"/>
              </w:rPr>
              <w:t>ինչպես</w:t>
            </w:r>
            <w:r w:rsidRPr="00891EF3">
              <w:rPr>
                <w:b w:val="0"/>
                <w:bCs/>
                <w:color w:val="000000"/>
                <w:sz w:val="20"/>
                <w:szCs w:val="20"/>
                <w:lang w:eastAsia="en-US"/>
              </w:rPr>
              <w:t xml:space="preserve"> </w:t>
            </w:r>
            <w:r w:rsidRPr="00AC4C17">
              <w:rPr>
                <w:b w:val="0"/>
                <w:bCs/>
                <w:color w:val="000000"/>
                <w:sz w:val="20"/>
                <w:szCs w:val="20"/>
                <w:lang w:val="en-US" w:eastAsia="en-US"/>
              </w:rPr>
              <w:t>նաև</w:t>
            </w:r>
            <w:r w:rsidRPr="00891EF3">
              <w:rPr>
                <w:b w:val="0"/>
                <w:bCs/>
                <w:color w:val="000000"/>
                <w:sz w:val="20"/>
                <w:szCs w:val="20"/>
                <w:lang w:eastAsia="en-US"/>
              </w:rPr>
              <w:t xml:space="preserve"> </w:t>
            </w:r>
            <w:r w:rsidRPr="00AC4C17">
              <w:rPr>
                <w:b w:val="0"/>
                <w:bCs/>
                <w:color w:val="000000"/>
                <w:sz w:val="20"/>
                <w:szCs w:val="20"/>
                <w:lang w:val="en-US" w:eastAsia="en-US"/>
              </w:rPr>
              <w:t>դատարանի</w:t>
            </w:r>
            <w:r w:rsidRPr="00891EF3">
              <w:rPr>
                <w:b w:val="0"/>
                <w:bCs/>
                <w:color w:val="000000"/>
                <w:sz w:val="20"/>
                <w:szCs w:val="20"/>
                <w:lang w:eastAsia="en-US"/>
              </w:rPr>
              <w:t xml:space="preserve"> </w:t>
            </w:r>
            <w:r w:rsidRPr="00AC4C17">
              <w:rPr>
                <w:b w:val="0"/>
                <w:bCs/>
                <w:color w:val="000000"/>
                <w:sz w:val="20"/>
                <w:szCs w:val="20"/>
                <w:lang w:val="en-US" w:eastAsia="en-US"/>
              </w:rPr>
              <w:t>կողմից</w:t>
            </w:r>
            <w:r w:rsidRPr="00891EF3">
              <w:rPr>
                <w:b w:val="0"/>
                <w:bCs/>
                <w:color w:val="000000"/>
                <w:sz w:val="20"/>
                <w:szCs w:val="20"/>
                <w:lang w:eastAsia="en-US"/>
              </w:rPr>
              <w:t xml:space="preserve"> </w:t>
            </w:r>
            <w:r w:rsidRPr="00AC4C17">
              <w:rPr>
                <w:b w:val="0"/>
                <w:bCs/>
                <w:color w:val="000000"/>
                <w:sz w:val="20"/>
                <w:szCs w:val="20"/>
                <w:lang w:val="en-US" w:eastAsia="en-US"/>
              </w:rPr>
              <w:t>տրվող</w:t>
            </w:r>
            <w:r w:rsidRPr="00891EF3">
              <w:rPr>
                <w:b w:val="0"/>
                <w:bCs/>
                <w:color w:val="000000"/>
                <w:sz w:val="20"/>
                <w:szCs w:val="20"/>
                <w:lang w:eastAsia="en-US"/>
              </w:rPr>
              <w:t xml:space="preserve"> </w:t>
            </w:r>
            <w:r w:rsidRPr="00AC4C17">
              <w:rPr>
                <w:b w:val="0"/>
                <w:bCs/>
                <w:color w:val="000000"/>
                <w:sz w:val="20"/>
                <w:szCs w:val="20"/>
                <w:lang w:val="en-US" w:eastAsia="en-US"/>
              </w:rPr>
              <w:t>փաստաթղթերի</w:t>
            </w:r>
            <w:r w:rsidRPr="00891EF3">
              <w:rPr>
                <w:b w:val="0"/>
                <w:bCs/>
                <w:color w:val="000000"/>
                <w:sz w:val="20"/>
                <w:szCs w:val="20"/>
                <w:lang w:eastAsia="en-US"/>
              </w:rPr>
              <w:t xml:space="preserve"> </w:t>
            </w:r>
            <w:r w:rsidRPr="00AC4C17">
              <w:rPr>
                <w:b w:val="0"/>
                <w:bCs/>
                <w:color w:val="000000"/>
                <w:sz w:val="20"/>
                <w:szCs w:val="20"/>
                <w:lang w:val="en-US" w:eastAsia="en-US"/>
              </w:rPr>
              <w:t>պատճեններ</w:t>
            </w:r>
            <w:r w:rsidRPr="00891EF3">
              <w:rPr>
                <w:b w:val="0"/>
                <w:bCs/>
                <w:color w:val="000000"/>
                <w:sz w:val="20"/>
                <w:szCs w:val="20"/>
                <w:lang w:eastAsia="en-US"/>
              </w:rPr>
              <w:t xml:space="preserve"> (</w:t>
            </w:r>
            <w:r w:rsidRPr="00AC4C17">
              <w:rPr>
                <w:b w:val="0"/>
                <w:bCs/>
                <w:color w:val="000000"/>
                <w:sz w:val="20"/>
                <w:szCs w:val="20"/>
                <w:lang w:val="en-US" w:eastAsia="en-US"/>
              </w:rPr>
              <w:t>կրկնօրինակներ</w:t>
            </w:r>
            <w:r w:rsidRPr="00B0373B">
              <w:rPr>
                <w:b w:val="0"/>
                <w:bCs/>
                <w:color w:val="000000"/>
                <w:sz w:val="20"/>
                <w:szCs w:val="20"/>
                <w:lang w:eastAsia="en-US"/>
              </w:rPr>
              <w:t xml:space="preserve">) </w:t>
            </w:r>
            <w:r w:rsidR="00B0373B" w:rsidRPr="00B0373B">
              <w:rPr>
                <w:b w:val="0"/>
                <w:bCs/>
                <w:color w:val="000000"/>
                <w:sz w:val="20"/>
                <w:szCs w:val="20"/>
                <w:lang w:val="en-US" w:eastAsia="en-US"/>
              </w:rPr>
              <w:t>գործում</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առկա</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լուսանկարների</w:t>
            </w:r>
            <w:r w:rsidR="00B0373B" w:rsidRPr="00B0373B">
              <w:rPr>
                <w:rFonts w:ascii="Calibri" w:hAnsi="Calibri" w:cs="Calibri"/>
                <w:b w:val="0"/>
                <w:bCs/>
                <w:color w:val="000000"/>
                <w:sz w:val="20"/>
                <w:szCs w:val="20"/>
                <w:lang w:val="en-US" w:eastAsia="en-US"/>
              </w:rPr>
              <w:t> </w:t>
            </w:r>
            <w:r w:rsidR="00B0373B" w:rsidRPr="00B0373B">
              <w:rPr>
                <w:rFonts w:hint="eastAsia"/>
                <w:b w:val="0"/>
                <w:bCs/>
                <w:color w:val="000000"/>
                <w:sz w:val="20"/>
                <w:szCs w:val="20"/>
                <w:lang w:eastAsia="en-US"/>
              </w:rPr>
              <w:t>(</w:t>
            </w:r>
            <w:r w:rsidR="00B0373B" w:rsidRPr="00B0373B">
              <w:rPr>
                <w:b w:val="0"/>
                <w:bCs/>
                <w:color w:val="000000"/>
                <w:sz w:val="20"/>
                <w:szCs w:val="20"/>
                <w:lang w:val="en-US" w:eastAsia="en-US"/>
              </w:rPr>
              <w:t>լուսաժապավենների</w:t>
            </w:r>
            <w:r w:rsidR="00B0373B" w:rsidRPr="00B0373B">
              <w:rPr>
                <w:rFonts w:hint="eastAsia"/>
                <w:b w:val="0"/>
                <w:bCs/>
                <w:color w:val="000000"/>
                <w:sz w:val="20"/>
                <w:szCs w:val="20"/>
                <w:lang w:eastAsia="en-US"/>
              </w:rPr>
              <w:t>),</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ձայնագրությունների</w:t>
            </w:r>
            <w:r w:rsidR="00B0373B" w:rsidRPr="00B0373B">
              <w:rPr>
                <w:rFonts w:hint="eastAsia"/>
                <w:b w:val="0"/>
                <w:bCs/>
                <w:color w:val="000000"/>
                <w:sz w:val="20"/>
                <w:szCs w:val="20"/>
                <w:lang w:eastAsia="en-US"/>
              </w:rPr>
              <w:t>,</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տեսագրությունների</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և</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դրանց</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էլեկտրոնային</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կրիչների</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բնօրինակից</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պատճենահանված</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կրիչ</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և</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դատական</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նիստի</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համակարգչային</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ձայնագրման</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կրկնօրինակ</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տալու</w:t>
            </w:r>
            <w:r w:rsidR="00B0373B" w:rsidRPr="00B0373B">
              <w:rPr>
                <w:rFonts w:ascii="Calibri" w:hAnsi="Calibri" w:cs="Calibri"/>
                <w:b w:val="0"/>
                <w:bCs/>
                <w:color w:val="000000"/>
                <w:sz w:val="20"/>
                <w:szCs w:val="20"/>
                <w:lang w:val="en-US" w:eastAsia="en-US"/>
              </w:rPr>
              <w:t> </w:t>
            </w:r>
            <w:r w:rsidR="00B0373B" w:rsidRPr="00B0373B">
              <w:rPr>
                <w:b w:val="0"/>
                <w:bCs/>
                <w:color w:val="000000"/>
                <w:sz w:val="20"/>
                <w:szCs w:val="20"/>
                <w:lang w:val="en-US" w:eastAsia="en-US"/>
              </w:rPr>
              <w:t>համար</w:t>
            </w:r>
          </w:p>
        </w:tc>
        <w:tc>
          <w:tcPr>
            <w:tcW w:w="1170" w:type="dxa"/>
            <w:shd w:val="clear" w:color="auto" w:fill="FFFFFF" w:themeFill="background1"/>
            <w:noWrap/>
            <w:vAlign w:val="center"/>
          </w:tcPr>
          <w:p w14:paraId="5229DA23" w14:textId="4A6F8A55"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1.7</w:t>
            </w:r>
          </w:p>
        </w:tc>
        <w:tc>
          <w:tcPr>
            <w:tcW w:w="1226" w:type="dxa"/>
            <w:shd w:val="clear" w:color="auto" w:fill="FFFFFF" w:themeFill="background1"/>
            <w:noWrap/>
            <w:vAlign w:val="center"/>
          </w:tcPr>
          <w:p w14:paraId="2AA258F1" w14:textId="341AB0A0"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2.2</w:t>
            </w:r>
          </w:p>
        </w:tc>
        <w:tc>
          <w:tcPr>
            <w:tcW w:w="1170" w:type="dxa"/>
            <w:shd w:val="clear" w:color="auto" w:fill="FFFFFF" w:themeFill="background1"/>
            <w:noWrap/>
            <w:vAlign w:val="center"/>
          </w:tcPr>
          <w:p w14:paraId="313AE26E" w14:textId="7EF6CA7B"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1.1</w:t>
            </w:r>
          </w:p>
        </w:tc>
        <w:tc>
          <w:tcPr>
            <w:tcW w:w="1114" w:type="dxa"/>
            <w:shd w:val="clear" w:color="auto" w:fill="FFFFFF" w:themeFill="background1"/>
            <w:noWrap/>
            <w:vAlign w:val="center"/>
          </w:tcPr>
          <w:p w14:paraId="3B0D5760" w14:textId="5CC2C126"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2.1</w:t>
            </w:r>
          </w:p>
        </w:tc>
        <w:tc>
          <w:tcPr>
            <w:tcW w:w="1213" w:type="dxa"/>
            <w:shd w:val="clear" w:color="auto" w:fill="FFFFFF" w:themeFill="background1"/>
            <w:noWrap/>
            <w:vAlign w:val="center"/>
          </w:tcPr>
          <w:p w14:paraId="09DDC74F" w14:textId="3678C15F"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2.1</w:t>
            </w:r>
          </w:p>
        </w:tc>
      </w:tr>
      <w:tr w:rsidR="00AC4C17" w:rsidRPr="00A83C94" w14:paraId="57B34D8F" w14:textId="77777777" w:rsidTr="00B0373B">
        <w:trPr>
          <w:trHeight w:val="705"/>
        </w:trPr>
        <w:tc>
          <w:tcPr>
            <w:tcW w:w="3212" w:type="dxa"/>
            <w:shd w:val="clear" w:color="auto" w:fill="C6D9F1" w:themeFill="text2" w:themeFillTint="33"/>
            <w:vAlign w:val="center"/>
          </w:tcPr>
          <w:p w14:paraId="546D0489" w14:textId="0A732C82" w:rsidR="00AC4C17" w:rsidRPr="00891EF3" w:rsidRDefault="00AC4C17" w:rsidP="00B0373B">
            <w:pPr>
              <w:spacing w:before="0" w:line="240" w:lineRule="auto"/>
              <w:ind w:firstLine="0"/>
              <w:contextualSpacing w:val="0"/>
              <w:jc w:val="left"/>
              <w:rPr>
                <w:b w:val="0"/>
                <w:bCs/>
                <w:color w:val="000000"/>
                <w:sz w:val="20"/>
                <w:szCs w:val="20"/>
                <w:lang w:eastAsia="en-US"/>
              </w:rPr>
            </w:pPr>
            <w:r w:rsidRPr="00891EF3">
              <w:rPr>
                <w:b w:val="0"/>
                <w:bCs/>
                <w:color w:val="000000"/>
                <w:sz w:val="20"/>
                <w:szCs w:val="20"/>
                <w:lang w:eastAsia="en-US"/>
              </w:rPr>
              <w:t xml:space="preserve">2. </w:t>
            </w:r>
            <w:r w:rsidRPr="00AC4C17">
              <w:rPr>
                <w:b w:val="0"/>
                <w:bCs/>
                <w:color w:val="000000"/>
                <w:sz w:val="20"/>
                <w:szCs w:val="20"/>
                <w:lang w:val="en-US" w:eastAsia="en-US"/>
              </w:rPr>
              <w:t>Հայաստանի</w:t>
            </w:r>
            <w:r w:rsidRPr="00891EF3">
              <w:rPr>
                <w:b w:val="0"/>
                <w:bCs/>
                <w:color w:val="000000"/>
                <w:sz w:val="20"/>
                <w:szCs w:val="20"/>
                <w:lang w:eastAsia="en-US"/>
              </w:rPr>
              <w:t xml:space="preserve"> </w:t>
            </w:r>
            <w:r w:rsidRPr="00AC4C17">
              <w:rPr>
                <w:b w:val="0"/>
                <w:bCs/>
                <w:color w:val="000000"/>
                <w:sz w:val="20"/>
                <w:szCs w:val="20"/>
                <w:lang w:val="en-US" w:eastAsia="en-US"/>
              </w:rPr>
              <w:t>Հանրապետության</w:t>
            </w:r>
            <w:r w:rsidRPr="00891EF3">
              <w:rPr>
                <w:b w:val="0"/>
                <w:bCs/>
                <w:color w:val="000000"/>
                <w:sz w:val="20"/>
                <w:szCs w:val="20"/>
                <w:lang w:eastAsia="en-US"/>
              </w:rPr>
              <w:t xml:space="preserve"> </w:t>
            </w:r>
            <w:r w:rsidRPr="00AC4C17">
              <w:rPr>
                <w:b w:val="0"/>
                <w:bCs/>
                <w:color w:val="000000"/>
                <w:sz w:val="20"/>
                <w:szCs w:val="20"/>
                <w:lang w:val="en-US" w:eastAsia="en-US"/>
              </w:rPr>
              <w:t>քաղաքացիություն</w:t>
            </w:r>
            <w:r w:rsidRPr="00891EF3">
              <w:rPr>
                <w:b w:val="0"/>
                <w:bCs/>
                <w:color w:val="000000"/>
                <w:sz w:val="20"/>
                <w:szCs w:val="20"/>
                <w:lang w:eastAsia="en-US"/>
              </w:rPr>
              <w:t xml:space="preserve"> </w:t>
            </w:r>
            <w:r w:rsidRPr="00AC4C17">
              <w:rPr>
                <w:b w:val="0"/>
                <w:bCs/>
                <w:color w:val="000000"/>
                <w:sz w:val="20"/>
                <w:szCs w:val="20"/>
                <w:lang w:val="en-US" w:eastAsia="en-US"/>
              </w:rPr>
              <w:t>ստանալու</w:t>
            </w:r>
            <w:r w:rsidRPr="00891EF3">
              <w:rPr>
                <w:b w:val="0"/>
                <w:bCs/>
                <w:color w:val="000000"/>
                <w:sz w:val="20"/>
                <w:szCs w:val="20"/>
                <w:lang w:eastAsia="en-US"/>
              </w:rPr>
              <w:t xml:space="preserve"> </w:t>
            </w:r>
            <w:r w:rsidRPr="00AC4C17">
              <w:rPr>
                <w:b w:val="0"/>
                <w:bCs/>
                <w:color w:val="000000"/>
                <w:sz w:val="20"/>
                <w:szCs w:val="20"/>
                <w:lang w:val="en-US" w:eastAsia="en-US"/>
              </w:rPr>
              <w:t>և</w:t>
            </w:r>
            <w:r w:rsidRPr="00891EF3">
              <w:rPr>
                <w:b w:val="0"/>
                <w:bCs/>
                <w:color w:val="000000"/>
                <w:sz w:val="20"/>
                <w:szCs w:val="20"/>
                <w:lang w:eastAsia="en-US"/>
              </w:rPr>
              <w:t xml:space="preserve"> </w:t>
            </w:r>
            <w:r w:rsidRPr="00AC4C17">
              <w:rPr>
                <w:b w:val="0"/>
                <w:bCs/>
                <w:color w:val="000000"/>
                <w:sz w:val="20"/>
                <w:szCs w:val="20"/>
                <w:lang w:val="en-US" w:eastAsia="en-US"/>
              </w:rPr>
              <w:t>Հայաստանի</w:t>
            </w:r>
            <w:r w:rsidRPr="00891EF3">
              <w:rPr>
                <w:b w:val="0"/>
                <w:bCs/>
                <w:color w:val="000000"/>
                <w:sz w:val="20"/>
                <w:szCs w:val="20"/>
                <w:lang w:eastAsia="en-US"/>
              </w:rPr>
              <w:t xml:space="preserve"> </w:t>
            </w:r>
            <w:r w:rsidRPr="00AC4C17">
              <w:rPr>
                <w:b w:val="0"/>
                <w:bCs/>
                <w:color w:val="000000"/>
                <w:sz w:val="20"/>
                <w:szCs w:val="20"/>
                <w:lang w:val="en-US" w:eastAsia="en-US"/>
              </w:rPr>
              <w:t>Հանրապետության</w:t>
            </w:r>
            <w:r w:rsidRPr="00891EF3">
              <w:rPr>
                <w:b w:val="0"/>
                <w:bCs/>
                <w:color w:val="000000"/>
                <w:sz w:val="20"/>
                <w:szCs w:val="20"/>
                <w:lang w:eastAsia="en-US"/>
              </w:rPr>
              <w:t xml:space="preserve">  </w:t>
            </w:r>
            <w:r w:rsidRPr="00AC4C17">
              <w:rPr>
                <w:b w:val="0"/>
                <w:bCs/>
                <w:color w:val="000000"/>
                <w:sz w:val="20"/>
                <w:szCs w:val="20"/>
                <w:lang w:val="en-US" w:eastAsia="en-US"/>
              </w:rPr>
              <w:t>քաղաքացիությունը</w:t>
            </w:r>
            <w:r w:rsidRPr="00891EF3">
              <w:rPr>
                <w:b w:val="0"/>
                <w:bCs/>
                <w:color w:val="000000"/>
                <w:sz w:val="20"/>
                <w:szCs w:val="20"/>
                <w:lang w:eastAsia="en-US"/>
              </w:rPr>
              <w:t xml:space="preserve"> </w:t>
            </w:r>
            <w:r w:rsidRPr="00AC4C17">
              <w:rPr>
                <w:b w:val="0"/>
                <w:bCs/>
                <w:color w:val="000000"/>
                <w:sz w:val="20"/>
                <w:szCs w:val="20"/>
                <w:lang w:val="en-US" w:eastAsia="en-US"/>
              </w:rPr>
              <w:t>փոխելու</w:t>
            </w:r>
            <w:r w:rsidRPr="00891EF3">
              <w:rPr>
                <w:b w:val="0"/>
                <w:bCs/>
                <w:color w:val="000000"/>
                <w:sz w:val="20"/>
                <w:szCs w:val="20"/>
                <w:lang w:eastAsia="en-US"/>
              </w:rPr>
              <w:t xml:space="preserve"> </w:t>
            </w:r>
            <w:r w:rsidRPr="00AC4C17">
              <w:rPr>
                <w:b w:val="0"/>
                <w:bCs/>
                <w:color w:val="000000"/>
                <w:sz w:val="20"/>
                <w:szCs w:val="20"/>
                <w:lang w:val="en-US" w:eastAsia="en-US"/>
              </w:rPr>
              <w:t>համար</w:t>
            </w:r>
            <w:r w:rsidRPr="00891EF3">
              <w:rPr>
                <w:b w:val="0"/>
                <w:bCs/>
                <w:color w:val="000000"/>
                <w:sz w:val="20"/>
                <w:szCs w:val="20"/>
                <w:lang w:eastAsia="en-US"/>
              </w:rPr>
              <w:t xml:space="preserve"> </w:t>
            </w:r>
          </w:p>
        </w:tc>
        <w:tc>
          <w:tcPr>
            <w:tcW w:w="1170" w:type="dxa"/>
            <w:shd w:val="clear" w:color="auto" w:fill="C6D9F1" w:themeFill="text2" w:themeFillTint="33"/>
            <w:noWrap/>
            <w:vAlign w:val="center"/>
          </w:tcPr>
          <w:p w14:paraId="7553DF45" w14:textId="61F24757"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0.1</w:t>
            </w:r>
          </w:p>
        </w:tc>
        <w:tc>
          <w:tcPr>
            <w:tcW w:w="1226" w:type="dxa"/>
            <w:shd w:val="clear" w:color="auto" w:fill="C6D9F1" w:themeFill="text2" w:themeFillTint="33"/>
            <w:noWrap/>
            <w:vAlign w:val="center"/>
          </w:tcPr>
          <w:p w14:paraId="2DA962AA" w14:textId="26A7D1BD"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0.1</w:t>
            </w:r>
          </w:p>
        </w:tc>
        <w:tc>
          <w:tcPr>
            <w:tcW w:w="1170" w:type="dxa"/>
            <w:shd w:val="clear" w:color="auto" w:fill="C6D9F1" w:themeFill="text2" w:themeFillTint="33"/>
            <w:noWrap/>
            <w:vAlign w:val="center"/>
          </w:tcPr>
          <w:p w14:paraId="563ACC54" w14:textId="0F26002D"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0.1</w:t>
            </w:r>
          </w:p>
        </w:tc>
        <w:tc>
          <w:tcPr>
            <w:tcW w:w="1114" w:type="dxa"/>
            <w:shd w:val="clear" w:color="auto" w:fill="C6D9F1" w:themeFill="text2" w:themeFillTint="33"/>
            <w:noWrap/>
            <w:vAlign w:val="center"/>
          </w:tcPr>
          <w:p w14:paraId="28BD91AD" w14:textId="3FE180E2"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0.1</w:t>
            </w:r>
          </w:p>
        </w:tc>
        <w:tc>
          <w:tcPr>
            <w:tcW w:w="1213" w:type="dxa"/>
            <w:shd w:val="clear" w:color="auto" w:fill="C6D9F1" w:themeFill="text2" w:themeFillTint="33"/>
            <w:noWrap/>
            <w:vAlign w:val="center"/>
          </w:tcPr>
          <w:p w14:paraId="0B8A678D" w14:textId="491A4354"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0.1</w:t>
            </w:r>
          </w:p>
        </w:tc>
      </w:tr>
      <w:tr w:rsidR="00AC4C17" w:rsidRPr="00A83C94" w14:paraId="11DC7D0A" w14:textId="77777777" w:rsidTr="00B0373B">
        <w:trPr>
          <w:trHeight w:val="705"/>
        </w:trPr>
        <w:tc>
          <w:tcPr>
            <w:tcW w:w="3212" w:type="dxa"/>
            <w:shd w:val="clear" w:color="auto" w:fill="FFFFFF" w:themeFill="background1"/>
            <w:vAlign w:val="center"/>
          </w:tcPr>
          <w:p w14:paraId="1ABC4C70" w14:textId="2DDD9AF7" w:rsidR="00AC4C17" w:rsidRPr="00891EF3" w:rsidRDefault="00AC4C17" w:rsidP="00B0373B">
            <w:pPr>
              <w:spacing w:before="0" w:line="240" w:lineRule="auto"/>
              <w:ind w:firstLine="0"/>
              <w:contextualSpacing w:val="0"/>
              <w:jc w:val="left"/>
              <w:rPr>
                <w:b w:val="0"/>
                <w:bCs/>
                <w:color w:val="000000"/>
                <w:sz w:val="20"/>
                <w:szCs w:val="20"/>
                <w:lang w:eastAsia="en-US"/>
              </w:rPr>
            </w:pPr>
            <w:r w:rsidRPr="00891EF3">
              <w:rPr>
                <w:b w:val="0"/>
                <w:bCs/>
                <w:color w:val="000000"/>
                <w:sz w:val="20"/>
                <w:szCs w:val="20"/>
                <w:lang w:eastAsia="en-US"/>
              </w:rPr>
              <w:t xml:space="preserve">3. </w:t>
            </w:r>
            <w:r w:rsidRPr="00AC4C17">
              <w:rPr>
                <w:b w:val="0"/>
                <w:bCs/>
                <w:color w:val="000000"/>
                <w:sz w:val="20"/>
                <w:szCs w:val="20"/>
                <w:lang w:val="en-US" w:eastAsia="en-US"/>
              </w:rPr>
              <w:t>Հյուպատոսական</w:t>
            </w:r>
            <w:r w:rsidRPr="00891EF3">
              <w:rPr>
                <w:b w:val="0"/>
                <w:bCs/>
                <w:color w:val="000000"/>
                <w:sz w:val="20"/>
                <w:szCs w:val="20"/>
                <w:lang w:eastAsia="en-US"/>
              </w:rPr>
              <w:t xml:space="preserve"> </w:t>
            </w:r>
            <w:r w:rsidRPr="00AC4C17">
              <w:rPr>
                <w:b w:val="0"/>
                <w:bCs/>
                <w:color w:val="000000"/>
                <w:sz w:val="20"/>
                <w:szCs w:val="20"/>
                <w:lang w:val="en-US" w:eastAsia="en-US"/>
              </w:rPr>
              <w:t>ծառայությունների</w:t>
            </w:r>
            <w:r w:rsidRPr="00891EF3">
              <w:rPr>
                <w:b w:val="0"/>
                <w:bCs/>
                <w:color w:val="000000"/>
                <w:sz w:val="20"/>
                <w:szCs w:val="20"/>
                <w:lang w:eastAsia="en-US"/>
              </w:rPr>
              <w:t xml:space="preserve"> </w:t>
            </w:r>
            <w:r w:rsidRPr="00AC4C17">
              <w:rPr>
                <w:b w:val="0"/>
                <w:bCs/>
                <w:color w:val="000000"/>
                <w:sz w:val="20"/>
                <w:szCs w:val="20"/>
                <w:lang w:val="en-US" w:eastAsia="en-US"/>
              </w:rPr>
              <w:t>կամ</w:t>
            </w:r>
            <w:r w:rsidRPr="00891EF3">
              <w:rPr>
                <w:b w:val="0"/>
                <w:bCs/>
                <w:color w:val="000000"/>
                <w:sz w:val="20"/>
                <w:szCs w:val="20"/>
                <w:lang w:eastAsia="en-US"/>
              </w:rPr>
              <w:t xml:space="preserve"> </w:t>
            </w:r>
            <w:r w:rsidRPr="00AC4C17">
              <w:rPr>
                <w:b w:val="0"/>
                <w:bCs/>
                <w:color w:val="000000"/>
                <w:sz w:val="20"/>
                <w:szCs w:val="20"/>
                <w:lang w:val="en-US" w:eastAsia="en-US"/>
              </w:rPr>
              <w:t>գործողությունների</w:t>
            </w:r>
            <w:r w:rsidRPr="00891EF3">
              <w:rPr>
                <w:b w:val="0"/>
                <w:bCs/>
                <w:color w:val="000000"/>
                <w:sz w:val="20"/>
                <w:szCs w:val="20"/>
                <w:lang w:eastAsia="en-US"/>
              </w:rPr>
              <w:t xml:space="preserve"> </w:t>
            </w:r>
            <w:r w:rsidRPr="00AC4C17">
              <w:rPr>
                <w:b w:val="0"/>
                <w:bCs/>
                <w:color w:val="000000"/>
                <w:sz w:val="20"/>
                <w:szCs w:val="20"/>
                <w:lang w:val="en-US" w:eastAsia="en-US"/>
              </w:rPr>
              <w:t>համար</w:t>
            </w:r>
          </w:p>
        </w:tc>
        <w:tc>
          <w:tcPr>
            <w:tcW w:w="1170" w:type="dxa"/>
            <w:shd w:val="clear" w:color="auto" w:fill="FFFFFF" w:themeFill="background1"/>
            <w:noWrap/>
            <w:vAlign w:val="center"/>
          </w:tcPr>
          <w:p w14:paraId="44CD20DB" w14:textId="0255457B"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2.3</w:t>
            </w:r>
          </w:p>
        </w:tc>
        <w:tc>
          <w:tcPr>
            <w:tcW w:w="1226" w:type="dxa"/>
            <w:shd w:val="clear" w:color="auto" w:fill="FFFFFF" w:themeFill="background1"/>
            <w:noWrap/>
            <w:vAlign w:val="center"/>
          </w:tcPr>
          <w:p w14:paraId="0C7245EE" w14:textId="1C573A21"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2.2</w:t>
            </w:r>
          </w:p>
        </w:tc>
        <w:tc>
          <w:tcPr>
            <w:tcW w:w="1170" w:type="dxa"/>
            <w:shd w:val="clear" w:color="auto" w:fill="FFFFFF" w:themeFill="background1"/>
            <w:noWrap/>
            <w:vAlign w:val="center"/>
          </w:tcPr>
          <w:p w14:paraId="16F1832C" w14:textId="595DD18A"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2.1</w:t>
            </w:r>
          </w:p>
        </w:tc>
        <w:tc>
          <w:tcPr>
            <w:tcW w:w="1114" w:type="dxa"/>
            <w:shd w:val="clear" w:color="auto" w:fill="FFFFFF" w:themeFill="background1"/>
            <w:noWrap/>
            <w:vAlign w:val="center"/>
          </w:tcPr>
          <w:p w14:paraId="4A41DBF1" w14:textId="7F3C8BE5"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1.8</w:t>
            </w:r>
          </w:p>
        </w:tc>
        <w:tc>
          <w:tcPr>
            <w:tcW w:w="1213" w:type="dxa"/>
            <w:shd w:val="clear" w:color="auto" w:fill="FFFFFF" w:themeFill="background1"/>
            <w:noWrap/>
            <w:vAlign w:val="center"/>
          </w:tcPr>
          <w:p w14:paraId="5B9F85CA" w14:textId="50CFDE8E"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2.4</w:t>
            </w:r>
          </w:p>
        </w:tc>
      </w:tr>
      <w:tr w:rsidR="00AC4C17" w:rsidRPr="00A83C94" w14:paraId="5E74398D" w14:textId="77777777" w:rsidTr="00B0373B">
        <w:trPr>
          <w:trHeight w:val="705"/>
        </w:trPr>
        <w:tc>
          <w:tcPr>
            <w:tcW w:w="3212" w:type="dxa"/>
            <w:shd w:val="clear" w:color="auto" w:fill="C6D9F1" w:themeFill="text2" w:themeFillTint="33"/>
            <w:vAlign w:val="center"/>
          </w:tcPr>
          <w:p w14:paraId="36C8BBEE" w14:textId="4EDCB69E" w:rsidR="00AC4C17" w:rsidRPr="00AC4C17" w:rsidRDefault="00AC4C17" w:rsidP="00B0373B">
            <w:pPr>
              <w:spacing w:before="0" w:line="240" w:lineRule="auto"/>
              <w:ind w:firstLine="0"/>
              <w:contextualSpacing w:val="0"/>
              <w:jc w:val="left"/>
              <w:rPr>
                <w:b w:val="0"/>
                <w:bCs/>
                <w:color w:val="000000"/>
                <w:sz w:val="20"/>
                <w:szCs w:val="20"/>
                <w:lang w:val="en-US" w:eastAsia="en-US"/>
              </w:rPr>
            </w:pPr>
            <w:r>
              <w:rPr>
                <w:b w:val="0"/>
                <w:bCs/>
                <w:color w:val="000000"/>
                <w:sz w:val="20"/>
                <w:szCs w:val="20"/>
                <w:lang w:val="en-US" w:eastAsia="en-US"/>
              </w:rPr>
              <w:t xml:space="preserve">4. </w:t>
            </w:r>
            <w:r w:rsidRPr="00AC4C17">
              <w:rPr>
                <w:b w:val="0"/>
                <w:bCs/>
                <w:color w:val="000000"/>
                <w:sz w:val="20"/>
                <w:szCs w:val="20"/>
                <w:lang w:val="en-US" w:eastAsia="en-US"/>
              </w:rPr>
              <w:t>Պետական գրանցման համար</w:t>
            </w:r>
          </w:p>
        </w:tc>
        <w:tc>
          <w:tcPr>
            <w:tcW w:w="1170" w:type="dxa"/>
            <w:shd w:val="clear" w:color="auto" w:fill="C6D9F1" w:themeFill="text2" w:themeFillTint="33"/>
            <w:noWrap/>
            <w:vAlign w:val="center"/>
          </w:tcPr>
          <w:p w14:paraId="4DDE728D" w14:textId="1430EA83"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5.4</w:t>
            </w:r>
          </w:p>
        </w:tc>
        <w:tc>
          <w:tcPr>
            <w:tcW w:w="1226" w:type="dxa"/>
            <w:shd w:val="clear" w:color="auto" w:fill="C6D9F1" w:themeFill="text2" w:themeFillTint="33"/>
            <w:noWrap/>
            <w:vAlign w:val="center"/>
          </w:tcPr>
          <w:p w14:paraId="69DD6F66" w14:textId="33A16BE6"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7.9</w:t>
            </w:r>
          </w:p>
        </w:tc>
        <w:tc>
          <w:tcPr>
            <w:tcW w:w="1170" w:type="dxa"/>
            <w:shd w:val="clear" w:color="auto" w:fill="C6D9F1" w:themeFill="text2" w:themeFillTint="33"/>
            <w:noWrap/>
            <w:vAlign w:val="center"/>
          </w:tcPr>
          <w:p w14:paraId="6F0796A3" w14:textId="52B514E5"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4.6</w:t>
            </w:r>
          </w:p>
        </w:tc>
        <w:tc>
          <w:tcPr>
            <w:tcW w:w="1114" w:type="dxa"/>
            <w:shd w:val="clear" w:color="auto" w:fill="C6D9F1" w:themeFill="text2" w:themeFillTint="33"/>
            <w:noWrap/>
            <w:vAlign w:val="center"/>
          </w:tcPr>
          <w:p w14:paraId="112ACB5A" w14:textId="07EF73D4"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6.2</w:t>
            </w:r>
          </w:p>
        </w:tc>
        <w:tc>
          <w:tcPr>
            <w:tcW w:w="1213" w:type="dxa"/>
            <w:shd w:val="clear" w:color="auto" w:fill="C6D9F1" w:themeFill="text2" w:themeFillTint="33"/>
            <w:noWrap/>
            <w:vAlign w:val="center"/>
          </w:tcPr>
          <w:p w14:paraId="31C7F0F8" w14:textId="083B4F4E"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5.3</w:t>
            </w:r>
          </w:p>
        </w:tc>
      </w:tr>
      <w:tr w:rsidR="00AC4C17" w:rsidRPr="00A83C94" w14:paraId="4BE9F876" w14:textId="77777777" w:rsidTr="00B0373B">
        <w:trPr>
          <w:trHeight w:val="4076"/>
        </w:trPr>
        <w:tc>
          <w:tcPr>
            <w:tcW w:w="3212" w:type="dxa"/>
            <w:shd w:val="clear" w:color="auto" w:fill="FFFFFF" w:themeFill="background1"/>
            <w:vAlign w:val="center"/>
          </w:tcPr>
          <w:p w14:paraId="08C03740" w14:textId="3BFEB73C" w:rsidR="00B0373B" w:rsidRPr="00B0373B" w:rsidRDefault="00AC4C17" w:rsidP="00B0373B">
            <w:pPr>
              <w:spacing w:before="0" w:line="240" w:lineRule="auto"/>
              <w:ind w:firstLine="0"/>
              <w:contextualSpacing w:val="0"/>
              <w:jc w:val="left"/>
              <w:rPr>
                <w:b w:val="0"/>
                <w:bCs/>
                <w:sz w:val="20"/>
                <w:szCs w:val="20"/>
                <w:lang w:eastAsia="en-US"/>
              </w:rPr>
            </w:pPr>
            <w:r w:rsidRPr="00891EF3">
              <w:rPr>
                <w:b w:val="0"/>
                <w:bCs/>
                <w:sz w:val="20"/>
                <w:szCs w:val="20"/>
                <w:lang w:eastAsia="en-US"/>
              </w:rPr>
              <w:t>5</w:t>
            </w:r>
            <w:r w:rsidRPr="00B0373B">
              <w:rPr>
                <w:b w:val="0"/>
                <w:bCs/>
                <w:color w:val="000000"/>
                <w:sz w:val="20"/>
                <w:szCs w:val="20"/>
                <w:lang w:eastAsia="en-US"/>
              </w:rPr>
              <w:t xml:space="preserve">. </w:t>
            </w:r>
            <w:r w:rsidR="00B0373B" w:rsidRPr="00B0373B">
              <w:rPr>
                <w:rFonts w:hint="eastAsia"/>
                <w:b w:val="0"/>
                <w:bCs/>
                <w:color w:val="000000"/>
                <w:sz w:val="20"/>
                <w:szCs w:val="20"/>
                <w:lang w:val="en-US" w:eastAsia="en-US"/>
              </w:rPr>
              <w:t>Գյուտերի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արդյունաբերական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դիզայնների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բույսերի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սորտերի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ապրանքային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նշանների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աշխարհագրական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նշումների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ծագման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տեղանունների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երաշխավորված</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ավանդական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արտադրանքի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ֆիրմային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անվանումների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ինտեգրալ</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միկրոսխեմաների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տոպոլոգիաների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իրավական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պահպանության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հետ</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կապված</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իրավաբանական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նշանակություն</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ունեցող</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գործողությունների</w:t>
            </w:r>
            <w:r w:rsidR="00B0373B" w:rsidRPr="00B0373B">
              <w:rPr>
                <w:rFonts w:hint="eastAsia"/>
                <w:b w:val="0"/>
                <w:bCs/>
                <w:color w:val="000000"/>
                <w:sz w:val="20"/>
                <w:szCs w:val="20"/>
                <w:lang w:eastAsia="en-US"/>
              </w:rPr>
              <w:t xml:space="preserve"> </w:t>
            </w:r>
            <w:r w:rsidR="00B0373B" w:rsidRPr="00B0373B">
              <w:rPr>
                <w:rFonts w:hint="eastAsia"/>
                <w:b w:val="0"/>
                <w:bCs/>
                <w:color w:val="000000"/>
                <w:sz w:val="20"/>
                <w:szCs w:val="20"/>
                <w:lang w:val="en-US" w:eastAsia="en-US"/>
              </w:rPr>
              <w:t>համար</w:t>
            </w:r>
          </w:p>
          <w:p w14:paraId="1BFF4361" w14:textId="2FED12DA" w:rsidR="00AC4C17" w:rsidRPr="00B0373B" w:rsidRDefault="00AC4C17" w:rsidP="00B0373B">
            <w:pPr>
              <w:spacing w:before="0" w:line="240" w:lineRule="auto"/>
              <w:ind w:firstLine="0"/>
              <w:contextualSpacing w:val="0"/>
              <w:jc w:val="left"/>
              <w:rPr>
                <w:b w:val="0"/>
                <w:bCs/>
                <w:sz w:val="20"/>
                <w:szCs w:val="20"/>
                <w:lang w:eastAsia="en-US"/>
              </w:rPr>
            </w:pPr>
          </w:p>
        </w:tc>
        <w:tc>
          <w:tcPr>
            <w:tcW w:w="1170" w:type="dxa"/>
            <w:shd w:val="clear" w:color="auto" w:fill="FFFFFF" w:themeFill="background1"/>
            <w:noWrap/>
            <w:vAlign w:val="center"/>
          </w:tcPr>
          <w:p w14:paraId="2AC8AEEA" w14:textId="4344B3BC" w:rsidR="00AC4C17" w:rsidRPr="00AC4C17" w:rsidRDefault="00AC4C17" w:rsidP="00AC4C17">
            <w:pPr>
              <w:spacing w:before="0" w:line="276" w:lineRule="auto"/>
              <w:ind w:firstLine="0"/>
              <w:contextualSpacing w:val="0"/>
              <w:jc w:val="center"/>
              <w:rPr>
                <w:b w:val="0"/>
                <w:bCs/>
                <w:sz w:val="20"/>
                <w:szCs w:val="20"/>
                <w:lang w:val="en-US" w:eastAsia="en-US"/>
              </w:rPr>
            </w:pPr>
            <w:r w:rsidRPr="00AC4C17">
              <w:rPr>
                <w:b w:val="0"/>
                <w:bCs/>
                <w:sz w:val="20"/>
                <w:szCs w:val="20"/>
                <w:lang w:val="en-US" w:eastAsia="en-US"/>
              </w:rPr>
              <w:t>0.4</w:t>
            </w:r>
          </w:p>
        </w:tc>
        <w:tc>
          <w:tcPr>
            <w:tcW w:w="1226" w:type="dxa"/>
            <w:shd w:val="clear" w:color="auto" w:fill="FFFFFF" w:themeFill="background1"/>
            <w:noWrap/>
            <w:vAlign w:val="center"/>
          </w:tcPr>
          <w:p w14:paraId="6FEB1634" w14:textId="3DB003D8" w:rsidR="00AC4C17" w:rsidRPr="00AC4C17" w:rsidRDefault="00AC4C17" w:rsidP="00AC4C17">
            <w:pPr>
              <w:spacing w:before="0" w:line="276" w:lineRule="auto"/>
              <w:ind w:firstLine="0"/>
              <w:contextualSpacing w:val="0"/>
              <w:jc w:val="center"/>
              <w:rPr>
                <w:b w:val="0"/>
                <w:bCs/>
                <w:sz w:val="20"/>
                <w:szCs w:val="20"/>
                <w:lang w:val="en-US" w:eastAsia="en-US"/>
              </w:rPr>
            </w:pPr>
            <w:r w:rsidRPr="00AC4C17">
              <w:rPr>
                <w:b w:val="0"/>
                <w:bCs/>
                <w:sz w:val="20"/>
                <w:szCs w:val="20"/>
                <w:lang w:val="en-US" w:eastAsia="en-US"/>
              </w:rPr>
              <w:t>0.4</w:t>
            </w:r>
          </w:p>
        </w:tc>
        <w:tc>
          <w:tcPr>
            <w:tcW w:w="1170" w:type="dxa"/>
            <w:shd w:val="clear" w:color="auto" w:fill="FFFFFF" w:themeFill="background1"/>
            <w:noWrap/>
            <w:vAlign w:val="center"/>
          </w:tcPr>
          <w:p w14:paraId="28BFC8DF" w14:textId="2490596D" w:rsidR="00AC4C17" w:rsidRPr="00AC4C17" w:rsidRDefault="00AC4C17" w:rsidP="00AC4C17">
            <w:pPr>
              <w:spacing w:before="0" w:line="276" w:lineRule="auto"/>
              <w:ind w:firstLine="0"/>
              <w:contextualSpacing w:val="0"/>
              <w:jc w:val="center"/>
              <w:rPr>
                <w:b w:val="0"/>
                <w:bCs/>
                <w:sz w:val="20"/>
                <w:szCs w:val="20"/>
                <w:lang w:val="en-US" w:eastAsia="en-US"/>
              </w:rPr>
            </w:pPr>
            <w:r w:rsidRPr="00AC4C17">
              <w:rPr>
                <w:b w:val="0"/>
                <w:bCs/>
                <w:sz w:val="20"/>
                <w:szCs w:val="20"/>
                <w:lang w:val="en-US" w:eastAsia="en-US"/>
              </w:rPr>
              <w:t>0.3</w:t>
            </w:r>
          </w:p>
        </w:tc>
        <w:tc>
          <w:tcPr>
            <w:tcW w:w="1114" w:type="dxa"/>
            <w:shd w:val="clear" w:color="auto" w:fill="FFFFFF" w:themeFill="background1"/>
            <w:noWrap/>
            <w:vAlign w:val="center"/>
          </w:tcPr>
          <w:p w14:paraId="6089CFC7" w14:textId="50C369E9" w:rsidR="00AC4C17" w:rsidRPr="00AC4C17" w:rsidRDefault="00AC4C17" w:rsidP="00AC4C17">
            <w:pPr>
              <w:spacing w:before="0" w:line="276" w:lineRule="auto"/>
              <w:ind w:firstLine="0"/>
              <w:contextualSpacing w:val="0"/>
              <w:jc w:val="center"/>
              <w:rPr>
                <w:b w:val="0"/>
                <w:bCs/>
                <w:sz w:val="20"/>
                <w:szCs w:val="20"/>
                <w:lang w:val="en-US" w:eastAsia="en-US"/>
              </w:rPr>
            </w:pPr>
            <w:r w:rsidRPr="00AC4C17">
              <w:rPr>
                <w:b w:val="0"/>
                <w:bCs/>
                <w:sz w:val="20"/>
                <w:szCs w:val="20"/>
                <w:lang w:val="en-US" w:eastAsia="en-US"/>
              </w:rPr>
              <w:t>0.4</w:t>
            </w:r>
          </w:p>
        </w:tc>
        <w:tc>
          <w:tcPr>
            <w:tcW w:w="1213" w:type="dxa"/>
            <w:shd w:val="clear" w:color="auto" w:fill="FFFFFF" w:themeFill="background1"/>
            <w:noWrap/>
            <w:vAlign w:val="center"/>
          </w:tcPr>
          <w:p w14:paraId="21F4EB0C" w14:textId="73C2FC23" w:rsidR="00AC4C17" w:rsidRPr="00AC4C17" w:rsidRDefault="00AC4C17" w:rsidP="00AC4C17">
            <w:pPr>
              <w:spacing w:before="0" w:line="276" w:lineRule="auto"/>
              <w:ind w:firstLine="0"/>
              <w:contextualSpacing w:val="0"/>
              <w:jc w:val="center"/>
              <w:rPr>
                <w:b w:val="0"/>
                <w:bCs/>
                <w:sz w:val="20"/>
                <w:szCs w:val="20"/>
                <w:lang w:val="en-US" w:eastAsia="en-US"/>
              </w:rPr>
            </w:pPr>
            <w:r w:rsidRPr="00AC4C17">
              <w:rPr>
                <w:b w:val="0"/>
                <w:bCs/>
                <w:sz w:val="20"/>
                <w:szCs w:val="20"/>
                <w:lang w:val="en-US" w:eastAsia="en-US"/>
              </w:rPr>
              <w:t>0.3</w:t>
            </w:r>
          </w:p>
        </w:tc>
      </w:tr>
      <w:tr w:rsidR="00AC4C17" w:rsidRPr="00A83C94" w14:paraId="02293F21" w14:textId="77777777" w:rsidTr="00B0373B">
        <w:trPr>
          <w:trHeight w:val="705"/>
        </w:trPr>
        <w:tc>
          <w:tcPr>
            <w:tcW w:w="3212" w:type="dxa"/>
            <w:shd w:val="clear" w:color="auto" w:fill="C6D9F1" w:themeFill="text2" w:themeFillTint="33"/>
            <w:vAlign w:val="center"/>
          </w:tcPr>
          <w:p w14:paraId="4F6FC382" w14:textId="5763454D" w:rsidR="00AC4C17" w:rsidRPr="00891EF3" w:rsidRDefault="00AC4C17" w:rsidP="00B0373B">
            <w:pPr>
              <w:spacing w:before="0" w:line="240" w:lineRule="auto"/>
              <w:ind w:firstLine="0"/>
              <w:contextualSpacing w:val="0"/>
              <w:jc w:val="left"/>
              <w:rPr>
                <w:b w:val="0"/>
                <w:bCs/>
                <w:color w:val="000000"/>
                <w:sz w:val="20"/>
                <w:szCs w:val="20"/>
                <w:lang w:eastAsia="en-US"/>
              </w:rPr>
            </w:pPr>
            <w:r w:rsidRPr="00891EF3">
              <w:rPr>
                <w:b w:val="0"/>
                <w:bCs/>
                <w:color w:val="000000"/>
                <w:sz w:val="20"/>
                <w:szCs w:val="20"/>
                <w:lang w:eastAsia="en-US"/>
              </w:rPr>
              <w:t xml:space="preserve">6. </w:t>
            </w:r>
            <w:r w:rsidRPr="00AC4C17">
              <w:rPr>
                <w:b w:val="0"/>
                <w:bCs/>
                <w:color w:val="000000"/>
                <w:sz w:val="20"/>
                <w:szCs w:val="20"/>
                <w:lang w:val="en-US" w:eastAsia="en-US"/>
              </w:rPr>
              <w:t>Ֆիզիկական</w:t>
            </w:r>
            <w:r w:rsidRPr="00891EF3">
              <w:rPr>
                <w:b w:val="0"/>
                <w:bCs/>
                <w:color w:val="000000"/>
                <w:sz w:val="20"/>
                <w:szCs w:val="20"/>
                <w:lang w:eastAsia="en-US"/>
              </w:rPr>
              <w:t xml:space="preserve"> </w:t>
            </w:r>
            <w:r w:rsidRPr="00AC4C17">
              <w:rPr>
                <w:b w:val="0"/>
                <w:bCs/>
                <w:color w:val="000000"/>
                <w:sz w:val="20"/>
                <w:szCs w:val="20"/>
                <w:lang w:val="en-US" w:eastAsia="en-US"/>
              </w:rPr>
              <w:t>անձանց</w:t>
            </w:r>
            <w:r w:rsidRPr="00891EF3">
              <w:rPr>
                <w:b w:val="0"/>
                <w:bCs/>
                <w:color w:val="000000"/>
                <w:sz w:val="20"/>
                <w:szCs w:val="20"/>
                <w:lang w:eastAsia="en-US"/>
              </w:rPr>
              <w:t xml:space="preserve"> </w:t>
            </w:r>
            <w:r w:rsidRPr="00AC4C17">
              <w:rPr>
                <w:b w:val="0"/>
                <w:bCs/>
                <w:color w:val="000000"/>
                <w:sz w:val="20"/>
                <w:szCs w:val="20"/>
                <w:lang w:val="en-US" w:eastAsia="en-US"/>
              </w:rPr>
              <w:t>տրվող</w:t>
            </w:r>
            <w:r w:rsidRPr="00891EF3">
              <w:rPr>
                <w:b w:val="0"/>
                <w:bCs/>
                <w:color w:val="000000"/>
                <w:sz w:val="20"/>
                <w:szCs w:val="20"/>
                <w:lang w:eastAsia="en-US"/>
              </w:rPr>
              <w:t xml:space="preserve"> </w:t>
            </w:r>
            <w:r w:rsidRPr="00AC4C17">
              <w:rPr>
                <w:b w:val="0"/>
                <w:bCs/>
                <w:color w:val="000000"/>
                <w:sz w:val="20"/>
                <w:szCs w:val="20"/>
                <w:lang w:val="en-US" w:eastAsia="en-US"/>
              </w:rPr>
              <w:t>իրավաբանական</w:t>
            </w:r>
            <w:r w:rsidRPr="00891EF3">
              <w:rPr>
                <w:b w:val="0"/>
                <w:bCs/>
                <w:color w:val="000000"/>
                <w:sz w:val="20"/>
                <w:szCs w:val="20"/>
                <w:lang w:eastAsia="en-US"/>
              </w:rPr>
              <w:t xml:space="preserve"> </w:t>
            </w:r>
            <w:r w:rsidRPr="00AC4C17">
              <w:rPr>
                <w:b w:val="0"/>
                <w:bCs/>
                <w:color w:val="000000"/>
                <w:sz w:val="20"/>
                <w:szCs w:val="20"/>
                <w:lang w:val="en-US" w:eastAsia="en-US"/>
              </w:rPr>
              <w:t>նշանակություն</w:t>
            </w:r>
            <w:r w:rsidRPr="00891EF3">
              <w:rPr>
                <w:b w:val="0"/>
                <w:bCs/>
                <w:color w:val="000000"/>
                <w:sz w:val="20"/>
                <w:szCs w:val="20"/>
                <w:lang w:eastAsia="en-US"/>
              </w:rPr>
              <w:t xml:space="preserve">  </w:t>
            </w:r>
            <w:r w:rsidRPr="00AC4C17">
              <w:rPr>
                <w:b w:val="0"/>
                <w:bCs/>
                <w:color w:val="000000"/>
                <w:sz w:val="20"/>
                <w:szCs w:val="20"/>
                <w:lang w:val="en-US" w:eastAsia="en-US"/>
              </w:rPr>
              <w:t>ունեցող</w:t>
            </w:r>
            <w:r w:rsidRPr="00891EF3">
              <w:rPr>
                <w:b w:val="0"/>
                <w:bCs/>
                <w:color w:val="000000"/>
                <w:sz w:val="20"/>
                <w:szCs w:val="20"/>
                <w:lang w:eastAsia="en-US"/>
              </w:rPr>
              <w:t xml:space="preserve"> </w:t>
            </w:r>
            <w:r w:rsidRPr="00AC4C17">
              <w:rPr>
                <w:b w:val="0"/>
                <w:bCs/>
                <w:color w:val="000000"/>
                <w:sz w:val="20"/>
                <w:szCs w:val="20"/>
                <w:lang w:val="en-US" w:eastAsia="en-US"/>
              </w:rPr>
              <w:t>փաստաթղթերի</w:t>
            </w:r>
            <w:r w:rsidRPr="00891EF3">
              <w:rPr>
                <w:b w:val="0"/>
                <w:bCs/>
                <w:color w:val="000000"/>
                <w:sz w:val="20"/>
                <w:szCs w:val="20"/>
                <w:lang w:eastAsia="en-US"/>
              </w:rPr>
              <w:t xml:space="preserve">, </w:t>
            </w:r>
            <w:r w:rsidRPr="00AC4C17">
              <w:rPr>
                <w:b w:val="0"/>
                <w:bCs/>
                <w:color w:val="000000"/>
                <w:sz w:val="20"/>
                <w:szCs w:val="20"/>
                <w:lang w:val="en-US" w:eastAsia="en-US"/>
              </w:rPr>
              <w:t>որոշակի</w:t>
            </w:r>
            <w:r w:rsidRPr="00891EF3">
              <w:rPr>
                <w:b w:val="0"/>
                <w:bCs/>
                <w:color w:val="000000"/>
                <w:sz w:val="20"/>
                <w:szCs w:val="20"/>
                <w:lang w:eastAsia="en-US"/>
              </w:rPr>
              <w:t xml:space="preserve"> </w:t>
            </w:r>
            <w:r w:rsidRPr="00AC4C17">
              <w:rPr>
                <w:b w:val="0"/>
                <w:bCs/>
                <w:color w:val="000000"/>
                <w:sz w:val="20"/>
                <w:szCs w:val="20"/>
                <w:lang w:val="en-US" w:eastAsia="en-US"/>
              </w:rPr>
              <w:t>ծառայությունների</w:t>
            </w:r>
            <w:r w:rsidRPr="00891EF3">
              <w:rPr>
                <w:b w:val="0"/>
                <w:bCs/>
                <w:color w:val="000000"/>
                <w:sz w:val="20"/>
                <w:szCs w:val="20"/>
                <w:lang w:eastAsia="en-US"/>
              </w:rPr>
              <w:t xml:space="preserve"> </w:t>
            </w:r>
            <w:r w:rsidRPr="00AC4C17">
              <w:rPr>
                <w:b w:val="0"/>
                <w:bCs/>
                <w:color w:val="000000"/>
                <w:sz w:val="20"/>
                <w:szCs w:val="20"/>
                <w:lang w:val="en-US" w:eastAsia="en-US"/>
              </w:rPr>
              <w:t>կամ</w:t>
            </w:r>
            <w:r w:rsidRPr="00891EF3">
              <w:rPr>
                <w:b w:val="0"/>
                <w:bCs/>
                <w:color w:val="000000"/>
                <w:sz w:val="20"/>
                <w:szCs w:val="20"/>
                <w:lang w:eastAsia="en-US"/>
              </w:rPr>
              <w:t xml:space="preserve"> </w:t>
            </w:r>
            <w:r w:rsidRPr="00AC4C17">
              <w:rPr>
                <w:b w:val="0"/>
                <w:bCs/>
                <w:color w:val="000000"/>
                <w:sz w:val="20"/>
                <w:szCs w:val="20"/>
                <w:lang w:val="en-US" w:eastAsia="en-US"/>
              </w:rPr>
              <w:t>գործողությունների</w:t>
            </w:r>
            <w:r w:rsidRPr="00891EF3">
              <w:rPr>
                <w:b w:val="0"/>
                <w:bCs/>
                <w:color w:val="000000"/>
                <w:sz w:val="20"/>
                <w:szCs w:val="20"/>
                <w:lang w:eastAsia="en-US"/>
              </w:rPr>
              <w:t xml:space="preserve"> </w:t>
            </w:r>
            <w:r w:rsidRPr="00AC4C17">
              <w:rPr>
                <w:b w:val="0"/>
                <w:bCs/>
                <w:color w:val="000000"/>
                <w:sz w:val="20"/>
                <w:szCs w:val="20"/>
                <w:lang w:val="en-US" w:eastAsia="en-US"/>
              </w:rPr>
              <w:t>համար</w:t>
            </w:r>
            <w:r w:rsidRPr="00891EF3">
              <w:rPr>
                <w:b w:val="0"/>
                <w:bCs/>
                <w:color w:val="000000"/>
                <w:sz w:val="20"/>
                <w:szCs w:val="20"/>
                <w:lang w:eastAsia="en-US"/>
              </w:rPr>
              <w:t xml:space="preserve"> </w:t>
            </w:r>
          </w:p>
        </w:tc>
        <w:tc>
          <w:tcPr>
            <w:tcW w:w="1170" w:type="dxa"/>
            <w:shd w:val="clear" w:color="auto" w:fill="C6D9F1" w:themeFill="text2" w:themeFillTint="33"/>
            <w:noWrap/>
            <w:vAlign w:val="center"/>
          </w:tcPr>
          <w:p w14:paraId="0DAC3AFB" w14:textId="023F6A16"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2.6</w:t>
            </w:r>
          </w:p>
        </w:tc>
        <w:tc>
          <w:tcPr>
            <w:tcW w:w="1226" w:type="dxa"/>
            <w:shd w:val="clear" w:color="auto" w:fill="C6D9F1" w:themeFill="text2" w:themeFillTint="33"/>
            <w:noWrap/>
            <w:vAlign w:val="center"/>
          </w:tcPr>
          <w:p w14:paraId="235F601D" w14:textId="55D58D61"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2.6</w:t>
            </w:r>
          </w:p>
        </w:tc>
        <w:tc>
          <w:tcPr>
            <w:tcW w:w="1170" w:type="dxa"/>
            <w:shd w:val="clear" w:color="auto" w:fill="C6D9F1" w:themeFill="text2" w:themeFillTint="33"/>
            <w:noWrap/>
            <w:vAlign w:val="center"/>
          </w:tcPr>
          <w:p w14:paraId="1CF70377" w14:textId="7C9DB5B4"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1.2</w:t>
            </w:r>
          </w:p>
        </w:tc>
        <w:tc>
          <w:tcPr>
            <w:tcW w:w="1114" w:type="dxa"/>
            <w:shd w:val="clear" w:color="auto" w:fill="C6D9F1" w:themeFill="text2" w:themeFillTint="33"/>
            <w:noWrap/>
            <w:vAlign w:val="center"/>
          </w:tcPr>
          <w:p w14:paraId="4B4CB848" w14:textId="4950A7B6"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2.6</w:t>
            </w:r>
          </w:p>
        </w:tc>
        <w:tc>
          <w:tcPr>
            <w:tcW w:w="1213" w:type="dxa"/>
            <w:shd w:val="clear" w:color="auto" w:fill="C6D9F1" w:themeFill="text2" w:themeFillTint="33"/>
            <w:noWrap/>
            <w:vAlign w:val="center"/>
          </w:tcPr>
          <w:p w14:paraId="59468A01" w14:textId="363ECB8E"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2.6</w:t>
            </w:r>
          </w:p>
        </w:tc>
      </w:tr>
      <w:tr w:rsidR="00AC4C17" w:rsidRPr="00A83C94" w14:paraId="4B493583" w14:textId="77777777" w:rsidTr="00B0373B">
        <w:trPr>
          <w:trHeight w:val="705"/>
        </w:trPr>
        <w:tc>
          <w:tcPr>
            <w:tcW w:w="3212" w:type="dxa"/>
            <w:shd w:val="clear" w:color="auto" w:fill="FFFFFF" w:themeFill="background1"/>
            <w:vAlign w:val="center"/>
          </w:tcPr>
          <w:p w14:paraId="489BBB9B" w14:textId="194B7A73" w:rsidR="00AC4C17" w:rsidRPr="00891EF3" w:rsidRDefault="00AC4C17" w:rsidP="00B0373B">
            <w:pPr>
              <w:spacing w:before="0" w:line="240" w:lineRule="auto"/>
              <w:ind w:firstLine="0"/>
              <w:contextualSpacing w:val="0"/>
              <w:jc w:val="left"/>
              <w:rPr>
                <w:b w:val="0"/>
                <w:bCs/>
                <w:color w:val="000000"/>
                <w:sz w:val="20"/>
                <w:szCs w:val="20"/>
                <w:lang w:eastAsia="en-US"/>
              </w:rPr>
            </w:pPr>
            <w:r w:rsidRPr="00891EF3">
              <w:rPr>
                <w:b w:val="0"/>
                <w:bCs/>
                <w:color w:val="000000"/>
                <w:sz w:val="20"/>
                <w:szCs w:val="20"/>
                <w:lang w:eastAsia="en-US"/>
              </w:rPr>
              <w:t xml:space="preserve">7. </w:t>
            </w:r>
            <w:r w:rsidRPr="00AC4C17">
              <w:rPr>
                <w:b w:val="0"/>
                <w:bCs/>
                <w:color w:val="000000"/>
                <w:sz w:val="20"/>
                <w:szCs w:val="20"/>
                <w:lang w:val="en-US" w:eastAsia="en-US"/>
              </w:rPr>
              <w:t>Լիցենզավորման</w:t>
            </w:r>
            <w:r w:rsidRPr="00891EF3">
              <w:rPr>
                <w:b w:val="0"/>
                <w:bCs/>
                <w:color w:val="000000"/>
                <w:sz w:val="20"/>
                <w:szCs w:val="20"/>
                <w:lang w:eastAsia="en-US"/>
              </w:rPr>
              <w:t xml:space="preserve"> </w:t>
            </w:r>
            <w:r w:rsidRPr="00AC4C17">
              <w:rPr>
                <w:b w:val="0"/>
                <w:bCs/>
                <w:color w:val="000000"/>
                <w:sz w:val="20"/>
                <w:szCs w:val="20"/>
                <w:lang w:val="en-US" w:eastAsia="en-US"/>
              </w:rPr>
              <w:t>ենթակա</w:t>
            </w:r>
            <w:r w:rsidRPr="00891EF3">
              <w:rPr>
                <w:b w:val="0"/>
                <w:bCs/>
                <w:color w:val="000000"/>
                <w:sz w:val="20"/>
                <w:szCs w:val="20"/>
                <w:lang w:eastAsia="en-US"/>
              </w:rPr>
              <w:t xml:space="preserve"> </w:t>
            </w:r>
            <w:r w:rsidRPr="00AC4C17">
              <w:rPr>
                <w:b w:val="0"/>
                <w:bCs/>
                <w:color w:val="000000"/>
                <w:sz w:val="20"/>
                <w:szCs w:val="20"/>
                <w:lang w:val="en-US" w:eastAsia="en-US"/>
              </w:rPr>
              <w:t>գործունեություն</w:t>
            </w:r>
            <w:r w:rsidRPr="00891EF3">
              <w:rPr>
                <w:b w:val="0"/>
                <w:bCs/>
                <w:color w:val="000000"/>
                <w:sz w:val="20"/>
                <w:szCs w:val="20"/>
                <w:lang w:eastAsia="en-US"/>
              </w:rPr>
              <w:t xml:space="preserve"> </w:t>
            </w:r>
            <w:r w:rsidRPr="00AC4C17">
              <w:rPr>
                <w:b w:val="0"/>
                <w:bCs/>
                <w:color w:val="000000"/>
                <w:sz w:val="20"/>
                <w:szCs w:val="20"/>
                <w:lang w:val="en-US" w:eastAsia="en-US"/>
              </w:rPr>
              <w:t>իրականացնելու</w:t>
            </w:r>
            <w:r w:rsidRPr="00891EF3">
              <w:rPr>
                <w:b w:val="0"/>
                <w:bCs/>
                <w:color w:val="000000"/>
                <w:sz w:val="20"/>
                <w:szCs w:val="20"/>
                <w:lang w:eastAsia="en-US"/>
              </w:rPr>
              <w:t xml:space="preserve"> </w:t>
            </w:r>
            <w:r w:rsidRPr="00AC4C17">
              <w:rPr>
                <w:b w:val="0"/>
                <w:bCs/>
                <w:color w:val="000000"/>
                <w:sz w:val="20"/>
                <w:szCs w:val="20"/>
                <w:lang w:val="en-US" w:eastAsia="en-US"/>
              </w:rPr>
              <w:t>նպատակով</w:t>
            </w:r>
            <w:r w:rsidRPr="00891EF3">
              <w:rPr>
                <w:b w:val="0"/>
                <w:bCs/>
                <w:color w:val="000000"/>
                <w:sz w:val="20"/>
                <w:szCs w:val="20"/>
                <w:lang w:eastAsia="en-US"/>
              </w:rPr>
              <w:t xml:space="preserve"> </w:t>
            </w:r>
            <w:r w:rsidRPr="00AC4C17">
              <w:rPr>
                <w:b w:val="0"/>
                <w:bCs/>
                <w:color w:val="000000"/>
                <w:sz w:val="20"/>
                <w:szCs w:val="20"/>
                <w:lang w:val="en-US" w:eastAsia="en-US"/>
              </w:rPr>
              <w:t>լիցենզիաներ</w:t>
            </w:r>
            <w:r w:rsidRPr="00891EF3">
              <w:rPr>
                <w:b w:val="0"/>
                <w:bCs/>
                <w:color w:val="000000"/>
                <w:sz w:val="20"/>
                <w:szCs w:val="20"/>
                <w:lang w:eastAsia="en-US"/>
              </w:rPr>
              <w:t xml:space="preserve">, </w:t>
            </w:r>
            <w:r w:rsidRPr="00AC4C17">
              <w:rPr>
                <w:b w:val="0"/>
                <w:bCs/>
                <w:color w:val="000000"/>
                <w:sz w:val="20"/>
                <w:szCs w:val="20"/>
                <w:lang w:val="en-US" w:eastAsia="en-US"/>
              </w:rPr>
              <w:t>արտոնագրեր</w:t>
            </w:r>
            <w:r w:rsidRPr="00891EF3">
              <w:rPr>
                <w:b w:val="0"/>
                <w:bCs/>
                <w:color w:val="000000"/>
                <w:sz w:val="20"/>
                <w:szCs w:val="20"/>
                <w:lang w:eastAsia="en-US"/>
              </w:rPr>
              <w:t xml:space="preserve"> (</w:t>
            </w:r>
            <w:r w:rsidRPr="00AC4C17">
              <w:rPr>
                <w:b w:val="0"/>
                <w:bCs/>
                <w:color w:val="000000"/>
                <w:sz w:val="20"/>
                <w:szCs w:val="20"/>
                <w:lang w:val="en-US" w:eastAsia="en-US"/>
              </w:rPr>
              <w:t>թույլտվություններ</w:t>
            </w:r>
            <w:r w:rsidRPr="00891EF3">
              <w:rPr>
                <w:b w:val="0"/>
                <w:bCs/>
                <w:color w:val="000000"/>
                <w:sz w:val="20"/>
                <w:szCs w:val="20"/>
                <w:lang w:eastAsia="en-US"/>
              </w:rPr>
              <w:t xml:space="preserve">) </w:t>
            </w:r>
            <w:r w:rsidRPr="00AC4C17">
              <w:rPr>
                <w:b w:val="0"/>
                <w:bCs/>
                <w:color w:val="000000"/>
                <w:sz w:val="20"/>
                <w:szCs w:val="20"/>
                <w:lang w:val="en-US" w:eastAsia="en-US"/>
              </w:rPr>
              <w:t>տալու</w:t>
            </w:r>
            <w:r w:rsidRPr="00891EF3">
              <w:rPr>
                <w:b w:val="0"/>
                <w:bCs/>
                <w:color w:val="000000"/>
                <w:sz w:val="20"/>
                <w:szCs w:val="20"/>
                <w:lang w:eastAsia="en-US"/>
              </w:rPr>
              <w:t xml:space="preserve"> </w:t>
            </w:r>
            <w:r w:rsidRPr="00AC4C17">
              <w:rPr>
                <w:b w:val="0"/>
                <w:bCs/>
                <w:color w:val="000000"/>
                <w:sz w:val="20"/>
                <w:szCs w:val="20"/>
                <w:lang w:val="en-US" w:eastAsia="en-US"/>
              </w:rPr>
              <w:t>համար</w:t>
            </w:r>
            <w:r w:rsidRPr="00891EF3">
              <w:rPr>
                <w:b w:val="0"/>
                <w:bCs/>
                <w:color w:val="000000"/>
                <w:sz w:val="20"/>
                <w:szCs w:val="20"/>
                <w:lang w:eastAsia="en-US"/>
              </w:rPr>
              <w:t xml:space="preserve"> </w:t>
            </w:r>
          </w:p>
        </w:tc>
        <w:tc>
          <w:tcPr>
            <w:tcW w:w="1170" w:type="dxa"/>
            <w:shd w:val="clear" w:color="auto" w:fill="FFFFFF" w:themeFill="background1"/>
            <w:noWrap/>
            <w:vAlign w:val="center"/>
          </w:tcPr>
          <w:p w14:paraId="1979094B" w14:textId="3D64AABC"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10.6</w:t>
            </w:r>
          </w:p>
        </w:tc>
        <w:tc>
          <w:tcPr>
            <w:tcW w:w="1226" w:type="dxa"/>
            <w:shd w:val="clear" w:color="auto" w:fill="FFFFFF" w:themeFill="background1"/>
            <w:noWrap/>
            <w:vAlign w:val="center"/>
          </w:tcPr>
          <w:p w14:paraId="53664FDF" w14:textId="59F6D25D"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10.9</w:t>
            </w:r>
          </w:p>
        </w:tc>
        <w:tc>
          <w:tcPr>
            <w:tcW w:w="1170" w:type="dxa"/>
            <w:shd w:val="clear" w:color="auto" w:fill="FFFFFF" w:themeFill="background1"/>
            <w:noWrap/>
            <w:vAlign w:val="center"/>
          </w:tcPr>
          <w:p w14:paraId="1712FEBF" w14:textId="6CF116B2"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13.7</w:t>
            </w:r>
          </w:p>
        </w:tc>
        <w:tc>
          <w:tcPr>
            <w:tcW w:w="1114" w:type="dxa"/>
            <w:shd w:val="clear" w:color="auto" w:fill="FFFFFF" w:themeFill="background1"/>
            <w:noWrap/>
            <w:vAlign w:val="center"/>
          </w:tcPr>
          <w:p w14:paraId="4EC3ABF8" w14:textId="78008D7E"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15.5</w:t>
            </w:r>
          </w:p>
        </w:tc>
        <w:tc>
          <w:tcPr>
            <w:tcW w:w="1213" w:type="dxa"/>
            <w:shd w:val="clear" w:color="auto" w:fill="FFFFFF" w:themeFill="background1"/>
            <w:noWrap/>
            <w:vAlign w:val="center"/>
          </w:tcPr>
          <w:p w14:paraId="43A926FB" w14:textId="48410B17"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63.6</w:t>
            </w:r>
          </w:p>
        </w:tc>
      </w:tr>
      <w:tr w:rsidR="00AC4C17" w:rsidRPr="00A83C94" w14:paraId="2C6FCBB3" w14:textId="77777777" w:rsidTr="00B0373B">
        <w:trPr>
          <w:trHeight w:val="705"/>
        </w:trPr>
        <w:tc>
          <w:tcPr>
            <w:tcW w:w="3212" w:type="dxa"/>
            <w:shd w:val="clear" w:color="auto" w:fill="C6D9F1" w:themeFill="text2" w:themeFillTint="33"/>
            <w:vAlign w:val="center"/>
          </w:tcPr>
          <w:p w14:paraId="121A3AFA" w14:textId="407A096E" w:rsidR="00AC4C17" w:rsidRPr="00891EF3" w:rsidRDefault="00AC4C17" w:rsidP="00B0373B">
            <w:pPr>
              <w:spacing w:before="0" w:line="240" w:lineRule="auto"/>
              <w:ind w:firstLine="0"/>
              <w:contextualSpacing w:val="0"/>
              <w:jc w:val="left"/>
              <w:rPr>
                <w:b w:val="0"/>
                <w:bCs/>
                <w:color w:val="000000"/>
                <w:sz w:val="20"/>
                <w:szCs w:val="20"/>
                <w:lang w:eastAsia="en-US"/>
              </w:rPr>
            </w:pPr>
            <w:r w:rsidRPr="00891EF3">
              <w:rPr>
                <w:b w:val="0"/>
                <w:bCs/>
                <w:color w:val="000000"/>
                <w:sz w:val="20"/>
                <w:szCs w:val="20"/>
                <w:lang w:eastAsia="en-US"/>
              </w:rPr>
              <w:t xml:space="preserve">8. </w:t>
            </w:r>
            <w:r w:rsidRPr="00AC4C17">
              <w:rPr>
                <w:b w:val="0"/>
                <w:bCs/>
                <w:color w:val="000000"/>
                <w:sz w:val="20"/>
                <w:szCs w:val="20"/>
                <w:lang w:val="en-US" w:eastAsia="en-US"/>
              </w:rPr>
              <w:t>Օրենքով</w:t>
            </w:r>
            <w:r w:rsidRPr="00891EF3">
              <w:rPr>
                <w:b w:val="0"/>
                <w:bCs/>
                <w:color w:val="000000"/>
                <w:sz w:val="20"/>
                <w:szCs w:val="20"/>
                <w:lang w:eastAsia="en-US"/>
              </w:rPr>
              <w:t xml:space="preserve"> </w:t>
            </w:r>
            <w:r w:rsidRPr="00AC4C17">
              <w:rPr>
                <w:b w:val="0"/>
                <w:bCs/>
                <w:color w:val="000000"/>
                <w:sz w:val="20"/>
                <w:szCs w:val="20"/>
                <w:lang w:val="en-US" w:eastAsia="en-US"/>
              </w:rPr>
              <w:t>սահմանված</w:t>
            </w:r>
            <w:r w:rsidRPr="00891EF3">
              <w:rPr>
                <w:b w:val="0"/>
                <w:bCs/>
                <w:color w:val="000000"/>
                <w:sz w:val="20"/>
                <w:szCs w:val="20"/>
                <w:lang w:eastAsia="en-US"/>
              </w:rPr>
              <w:t xml:space="preserve"> </w:t>
            </w:r>
            <w:r w:rsidRPr="00AC4C17">
              <w:rPr>
                <w:b w:val="0"/>
                <w:bCs/>
                <w:color w:val="000000"/>
                <w:sz w:val="20"/>
                <w:szCs w:val="20"/>
                <w:lang w:val="en-US" w:eastAsia="en-US"/>
              </w:rPr>
              <w:t>այլ</w:t>
            </w:r>
            <w:r w:rsidRPr="00891EF3">
              <w:rPr>
                <w:b w:val="0"/>
                <w:bCs/>
                <w:color w:val="000000"/>
                <w:sz w:val="20"/>
                <w:szCs w:val="20"/>
                <w:lang w:eastAsia="en-US"/>
              </w:rPr>
              <w:t xml:space="preserve"> </w:t>
            </w:r>
            <w:r w:rsidRPr="00AC4C17">
              <w:rPr>
                <w:b w:val="0"/>
                <w:bCs/>
                <w:color w:val="000000"/>
                <w:sz w:val="20"/>
                <w:szCs w:val="20"/>
                <w:lang w:val="en-US" w:eastAsia="en-US"/>
              </w:rPr>
              <w:t>ծառայությունների</w:t>
            </w:r>
            <w:r w:rsidRPr="00891EF3">
              <w:rPr>
                <w:b w:val="0"/>
                <w:bCs/>
                <w:color w:val="000000"/>
                <w:sz w:val="20"/>
                <w:szCs w:val="20"/>
                <w:lang w:eastAsia="en-US"/>
              </w:rPr>
              <w:t xml:space="preserve"> </w:t>
            </w:r>
            <w:r w:rsidRPr="00AC4C17">
              <w:rPr>
                <w:b w:val="0"/>
                <w:bCs/>
                <w:color w:val="000000"/>
                <w:sz w:val="20"/>
                <w:szCs w:val="20"/>
                <w:lang w:val="en-US" w:eastAsia="en-US"/>
              </w:rPr>
              <w:t>և</w:t>
            </w:r>
            <w:r w:rsidRPr="00891EF3">
              <w:rPr>
                <w:b w:val="0"/>
                <w:bCs/>
                <w:color w:val="000000"/>
                <w:sz w:val="20"/>
                <w:szCs w:val="20"/>
                <w:lang w:eastAsia="en-US"/>
              </w:rPr>
              <w:t xml:space="preserve"> </w:t>
            </w:r>
            <w:r w:rsidRPr="00AC4C17">
              <w:rPr>
                <w:b w:val="0"/>
                <w:bCs/>
                <w:color w:val="000000"/>
                <w:sz w:val="20"/>
                <w:szCs w:val="20"/>
                <w:lang w:val="en-US" w:eastAsia="en-US"/>
              </w:rPr>
              <w:t>գործողությունների</w:t>
            </w:r>
            <w:r w:rsidRPr="00891EF3">
              <w:rPr>
                <w:b w:val="0"/>
                <w:bCs/>
                <w:color w:val="000000"/>
                <w:sz w:val="20"/>
                <w:szCs w:val="20"/>
                <w:lang w:eastAsia="en-US"/>
              </w:rPr>
              <w:t xml:space="preserve"> </w:t>
            </w:r>
            <w:r w:rsidRPr="00AC4C17">
              <w:rPr>
                <w:b w:val="0"/>
                <w:bCs/>
                <w:color w:val="000000"/>
                <w:sz w:val="20"/>
                <w:szCs w:val="20"/>
                <w:lang w:val="en-US" w:eastAsia="en-US"/>
              </w:rPr>
              <w:t>համար</w:t>
            </w:r>
          </w:p>
        </w:tc>
        <w:tc>
          <w:tcPr>
            <w:tcW w:w="1170" w:type="dxa"/>
            <w:shd w:val="clear" w:color="auto" w:fill="C6D9F1" w:themeFill="text2" w:themeFillTint="33"/>
            <w:noWrap/>
            <w:vAlign w:val="center"/>
          </w:tcPr>
          <w:p w14:paraId="13553987" w14:textId="52167C36"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14.5</w:t>
            </w:r>
          </w:p>
        </w:tc>
        <w:tc>
          <w:tcPr>
            <w:tcW w:w="1226" w:type="dxa"/>
            <w:shd w:val="clear" w:color="auto" w:fill="C6D9F1" w:themeFill="text2" w:themeFillTint="33"/>
            <w:noWrap/>
            <w:vAlign w:val="center"/>
          </w:tcPr>
          <w:p w14:paraId="478CA611" w14:textId="43A81164"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19.4</w:t>
            </w:r>
          </w:p>
        </w:tc>
        <w:tc>
          <w:tcPr>
            <w:tcW w:w="1170" w:type="dxa"/>
            <w:shd w:val="clear" w:color="auto" w:fill="C6D9F1" w:themeFill="text2" w:themeFillTint="33"/>
            <w:noWrap/>
            <w:vAlign w:val="center"/>
          </w:tcPr>
          <w:p w14:paraId="79CBB297" w14:textId="21AFF7C8"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10.2</w:t>
            </w:r>
          </w:p>
        </w:tc>
        <w:tc>
          <w:tcPr>
            <w:tcW w:w="1114" w:type="dxa"/>
            <w:shd w:val="clear" w:color="auto" w:fill="C6D9F1" w:themeFill="text2" w:themeFillTint="33"/>
            <w:noWrap/>
            <w:vAlign w:val="center"/>
          </w:tcPr>
          <w:p w14:paraId="168F3196" w14:textId="76C16DF3" w:rsidR="00AC4C17" w:rsidRPr="00A83C94"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19.4</w:t>
            </w:r>
          </w:p>
        </w:tc>
        <w:tc>
          <w:tcPr>
            <w:tcW w:w="1213" w:type="dxa"/>
            <w:shd w:val="clear" w:color="auto" w:fill="C6D9F1" w:themeFill="text2" w:themeFillTint="33"/>
            <w:noWrap/>
            <w:vAlign w:val="center"/>
          </w:tcPr>
          <w:p w14:paraId="0E6DFC2C" w14:textId="75A3E940" w:rsidR="00AC4C17" w:rsidRPr="00AC4C17" w:rsidRDefault="00AC4C17" w:rsidP="00AC4C17">
            <w:pPr>
              <w:spacing w:before="0" w:line="276" w:lineRule="auto"/>
              <w:ind w:firstLine="0"/>
              <w:contextualSpacing w:val="0"/>
              <w:jc w:val="center"/>
              <w:rPr>
                <w:b w:val="0"/>
                <w:bCs/>
                <w:color w:val="000000"/>
                <w:sz w:val="20"/>
                <w:szCs w:val="20"/>
                <w:lang w:val="en-US" w:eastAsia="en-US"/>
              </w:rPr>
            </w:pPr>
            <w:r w:rsidRPr="00AC4C17">
              <w:rPr>
                <w:b w:val="0"/>
                <w:bCs/>
                <w:color w:val="000000"/>
                <w:sz w:val="20"/>
                <w:szCs w:val="20"/>
                <w:lang w:val="en-US" w:eastAsia="en-US"/>
              </w:rPr>
              <w:t>13.4</w:t>
            </w:r>
          </w:p>
        </w:tc>
      </w:tr>
    </w:tbl>
    <w:p w14:paraId="506B2622" w14:textId="77777777" w:rsidR="00AC4C17" w:rsidRPr="00AC4C17" w:rsidRDefault="00AC4C17" w:rsidP="00AC4C17">
      <w:pPr>
        <w:rPr>
          <w:lang w:val="hy-AM"/>
        </w:rPr>
      </w:pPr>
    </w:p>
    <w:p w14:paraId="0B5B2E1A" w14:textId="77777777" w:rsidR="00EE1C9F" w:rsidRPr="002B1E92" w:rsidRDefault="00EE1C9F" w:rsidP="00AC4C17">
      <w:pPr>
        <w:shd w:val="clear" w:color="auto" w:fill="FFFFFF" w:themeFill="background1"/>
        <w:spacing w:before="0" w:line="276" w:lineRule="auto"/>
        <w:ind w:firstLine="538"/>
        <w:rPr>
          <w:rFonts w:eastAsia="Calibri"/>
          <w:b w:val="0"/>
          <w:szCs w:val="22"/>
          <w:lang w:val="en-US" w:eastAsia="en-US"/>
        </w:rPr>
      </w:pPr>
    </w:p>
    <w:p w14:paraId="44045630" w14:textId="19BDF6C9" w:rsidR="00EE1C9F" w:rsidRPr="002B1E92" w:rsidRDefault="00EE1C9F" w:rsidP="00EE1C9F">
      <w:pPr>
        <w:spacing w:before="0" w:line="276" w:lineRule="auto"/>
        <w:ind w:firstLine="538"/>
        <w:rPr>
          <w:rFonts w:eastAsia="Calibri"/>
          <w:b w:val="0"/>
          <w:szCs w:val="22"/>
          <w:lang w:val="en-US" w:eastAsia="en-US"/>
        </w:rPr>
      </w:pPr>
      <w:r w:rsidRPr="002B1E92">
        <w:rPr>
          <w:rFonts w:eastAsia="Calibri"/>
          <w:b w:val="0"/>
          <w:szCs w:val="22"/>
          <w:lang w:val="hy-AM" w:eastAsia="en-US"/>
        </w:rPr>
        <w:t>Պետական տուրքի առանձին տեսակների («Պետական տուրքի մասին» ՀՀ օրենքով սահման</w:t>
      </w:r>
      <w:r w:rsidRPr="002B1E92">
        <w:rPr>
          <w:rFonts w:eastAsia="Calibri"/>
          <w:b w:val="0"/>
          <w:szCs w:val="22"/>
          <w:lang w:val="hy-AM" w:eastAsia="en-US"/>
        </w:rPr>
        <w:softHyphen/>
        <w:t>ված հիմնական խմբերի) գծով 2021 թվականի բյուջետային մուտ</w:t>
      </w:r>
      <w:r w:rsidRPr="002B1E92">
        <w:rPr>
          <w:rFonts w:eastAsia="Calibri"/>
          <w:b w:val="0"/>
          <w:szCs w:val="22"/>
          <w:lang w:val="hy-AM" w:eastAsia="en-US"/>
        </w:rPr>
        <w:softHyphen/>
        <w:t>քե</w:t>
      </w:r>
      <w:r w:rsidRPr="002B1E92">
        <w:rPr>
          <w:rFonts w:eastAsia="Calibri"/>
          <w:b w:val="0"/>
          <w:szCs w:val="22"/>
          <w:lang w:val="hy-AM" w:eastAsia="en-US"/>
        </w:rPr>
        <w:softHyphen/>
        <w:t>րի կանխատեսումները, հաշ</w:t>
      </w:r>
      <w:r w:rsidRPr="002B1E92">
        <w:rPr>
          <w:rFonts w:eastAsia="Calibri"/>
          <w:b w:val="0"/>
          <w:szCs w:val="22"/>
          <w:lang w:val="hy-AM" w:eastAsia="en-US"/>
        </w:rPr>
        <w:softHyphen/>
        <w:t>վարկման մեթոդների համառոտ նկարագրու</w:t>
      </w:r>
      <w:r w:rsidRPr="002B1E92">
        <w:rPr>
          <w:rFonts w:eastAsia="Calibri"/>
          <w:b w:val="0"/>
          <w:szCs w:val="22"/>
          <w:lang w:val="hy-AM" w:eastAsia="en-US"/>
        </w:rPr>
        <w:softHyphen/>
        <w:t>թյունը, ծրա</w:t>
      </w:r>
      <w:r w:rsidRPr="002B1E92">
        <w:rPr>
          <w:rFonts w:eastAsia="Calibri"/>
          <w:b w:val="0"/>
          <w:szCs w:val="22"/>
          <w:lang w:val="hy-AM" w:eastAsia="en-US"/>
        </w:rPr>
        <w:softHyphen/>
        <w:t>գրա</w:t>
      </w:r>
      <w:r w:rsidRPr="002B1E92">
        <w:rPr>
          <w:rFonts w:eastAsia="Calibri"/>
          <w:b w:val="0"/>
          <w:szCs w:val="22"/>
          <w:lang w:val="hy-AM" w:eastAsia="en-US"/>
        </w:rPr>
        <w:softHyphen/>
      </w:r>
      <w:r w:rsidRPr="002B1E92">
        <w:rPr>
          <w:rFonts w:eastAsia="Calibri"/>
          <w:b w:val="0"/>
          <w:szCs w:val="22"/>
          <w:lang w:val="hy-AM" w:eastAsia="en-US"/>
        </w:rPr>
        <w:softHyphen/>
        <w:t>յին և փաստա</w:t>
      </w:r>
      <w:r w:rsidRPr="002B1E92">
        <w:rPr>
          <w:rFonts w:eastAsia="Calibri"/>
          <w:b w:val="0"/>
          <w:szCs w:val="22"/>
          <w:lang w:val="hy-AM" w:eastAsia="en-US"/>
        </w:rPr>
        <w:softHyphen/>
        <w:t>ցի ցուցա</w:t>
      </w:r>
      <w:r w:rsidRPr="002B1E92">
        <w:rPr>
          <w:rFonts w:eastAsia="Calibri"/>
          <w:b w:val="0"/>
          <w:szCs w:val="22"/>
          <w:lang w:val="hy-AM" w:eastAsia="en-US"/>
        </w:rPr>
        <w:softHyphen/>
        <w:t>նիշների համեմատականները ներկայացվում են ստորև:</w:t>
      </w:r>
    </w:p>
    <w:p w14:paraId="756B58DC" w14:textId="6F3C773B" w:rsidR="00EE1C9F" w:rsidRPr="002B1E92" w:rsidRDefault="00EE1C9F" w:rsidP="00EE1C9F">
      <w:pPr>
        <w:spacing w:before="0" w:line="276" w:lineRule="auto"/>
        <w:ind w:firstLine="538"/>
        <w:rPr>
          <w:rFonts w:eastAsia="Calibri" w:cs="GHEA Grapalat"/>
          <w:b w:val="0"/>
          <w:szCs w:val="22"/>
          <w:lang w:val="en-US" w:eastAsia="en-US"/>
        </w:rPr>
      </w:pPr>
      <w:r w:rsidRPr="002B1E92">
        <w:rPr>
          <w:rFonts w:eastAsia="Calibri"/>
          <w:szCs w:val="22"/>
          <w:lang w:val="hy-AM" w:eastAsia="en-US"/>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w:t>
      </w:r>
      <w:r w:rsidR="004B0AD7">
        <w:rPr>
          <w:rFonts w:eastAsia="Calibri"/>
          <w:szCs w:val="22"/>
          <w:lang w:val="en-US" w:eastAsia="en-US"/>
        </w:rPr>
        <w:t xml:space="preserve">, գործում առկա լուսանկարների (լուսաժապավենների), ձայնագրությունների, տեսագրությունների և դրանց էլեկտրոնային կրիչների բնօրինակից պատճենահանված կրիչ և դատական նիստի համակարգչային ձայնագրման կրկնօրինակ </w:t>
      </w:r>
      <w:r w:rsidRPr="002B1E92">
        <w:rPr>
          <w:rFonts w:eastAsia="Calibri"/>
          <w:szCs w:val="22"/>
          <w:lang w:val="hy-AM" w:eastAsia="en-US"/>
        </w:rPr>
        <w:t>տալու համար</w:t>
      </w:r>
      <w:r w:rsidRPr="002B1E92">
        <w:rPr>
          <w:rFonts w:eastAsia="Calibri"/>
          <w:bCs/>
          <w:szCs w:val="22"/>
          <w:lang w:val="hy-AM" w:eastAsia="en-US"/>
        </w:rPr>
        <w:t xml:space="preserve"> </w:t>
      </w:r>
      <w:r w:rsidRPr="002B1E92">
        <w:rPr>
          <w:rFonts w:eastAsia="Calibri"/>
          <w:b w:val="0"/>
          <w:szCs w:val="22"/>
          <w:lang w:val="hy-AM" w:eastAsia="en-US"/>
        </w:rPr>
        <w:t>գանձվող պետական տուրքերի գծով 202</w:t>
      </w:r>
      <w:r w:rsidRPr="002B1E92">
        <w:rPr>
          <w:rFonts w:eastAsia="Calibri"/>
          <w:b w:val="0"/>
          <w:szCs w:val="22"/>
          <w:lang w:val="en-US" w:eastAsia="en-US"/>
        </w:rPr>
        <w:t>2</w:t>
      </w:r>
      <w:r w:rsidRPr="002B1E92">
        <w:rPr>
          <w:rFonts w:eastAsia="Calibri"/>
          <w:b w:val="0"/>
          <w:szCs w:val="22"/>
          <w:lang w:val="hy-AM" w:eastAsia="en-US"/>
        </w:rPr>
        <w:t xml:space="preserve"> թվականի մուտքերը գնահատվել են </w:t>
      </w:r>
      <w:r w:rsidRPr="002B1E92">
        <w:rPr>
          <w:rFonts w:eastAsia="Calibri"/>
          <w:b w:val="0"/>
          <w:szCs w:val="22"/>
          <w:lang w:val="en-US" w:eastAsia="en-US"/>
        </w:rPr>
        <w:t xml:space="preserve"> 2021 թվականի սպասողական ցուցանիշի՝ </w:t>
      </w:r>
      <w:r w:rsidRPr="002B1E92">
        <w:rPr>
          <w:rFonts w:eastAsia="Calibri" w:cs="GHEA Grapalat"/>
          <w:b w:val="0"/>
          <w:szCs w:val="22"/>
          <w:lang w:val="hy-AM" w:eastAsia="en-US"/>
        </w:rPr>
        <w:t>2,</w:t>
      </w:r>
      <w:r w:rsidRPr="002B1E92">
        <w:rPr>
          <w:rFonts w:eastAsia="Calibri" w:cs="GHEA Grapalat"/>
          <w:b w:val="0"/>
          <w:szCs w:val="22"/>
          <w:lang w:val="en-US" w:eastAsia="en-US"/>
        </w:rPr>
        <w:t>118.9</w:t>
      </w:r>
      <w:r w:rsidRPr="002B1E92">
        <w:rPr>
          <w:rFonts w:eastAsia="Calibri" w:cs="GHEA Grapalat"/>
          <w:b w:val="0"/>
          <w:szCs w:val="22"/>
          <w:lang w:val="hy-AM" w:eastAsia="en-US"/>
        </w:rPr>
        <w:t xml:space="preserve"> մլն</w:t>
      </w:r>
      <w:r w:rsidRPr="002B1E92">
        <w:rPr>
          <w:rFonts w:eastAsia="Calibri"/>
          <w:b w:val="0"/>
          <w:szCs w:val="22"/>
          <w:lang w:val="hy-AM" w:eastAsia="en-US"/>
        </w:rPr>
        <w:t xml:space="preserve"> դրամի չափով` 202</w:t>
      </w:r>
      <w:r w:rsidRPr="002B1E92">
        <w:rPr>
          <w:rFonts w:eastAsia="Calibri"/>
          <w:b w:val="0"/>
          <w:szCs w:val="22"/>
          <w:lang w:val="en-US" w:eastAsia="en-US"/>
        </w:rPr>
        <w:t>1</w:t>
      </w:r>
      <w:r w:rsidRPr="002B1E92">
        <w:rPr>
          <w:rFonts w:eastAsia="Calibri"/>
          <w:b w:val="0"/>
          <w:szCs w:val="22"/>
          <w:lang w:val="hy-AM" w:eastAsia="en-US"/>
        </w:rPr>
        <w:t xml:space="preserve"> թվա</w:t>
      </w:r>
      <w:r w:rsidRPr="002B1E92">
        <w:rPr>
          <w:rFonts w:eastAsia="Calibri"/>
          <w:b w:val="0"/>
          <w:szCs w:val="22"/>
          <w:lang w:val="hy-AM" w:eastAsia="en-US"/>
        </w:rPr>
        <w:softHyphen/>
        <w:t>կանի համար հաս</w:t>
      </w:r>
      <w:r w:rsidRPr="002B1E92">
        <w:rPr>
          <w:rFonts w:eastAsia="Calibri"/>
          <w:b w:val="0"/>
          <w:szCs w:val="22"/>
          <w:lang w:val="hy-AM" w:eastAsia="en-US"/>
        </w:rPr>
        <w:softHyphen/>
        <w:t>տատ</w:t>
      </w:r>
      <w:r w:rsidRPr="002B1E92">
        <w:rPr>
          <w:rFonts w:eastAsia="Calibri"/>
          <w:b w:val="0"/>
          <w:szCs w:val="22"/>
          <w:lang w:val="hy-AM" w:eastAsia="en-US"/>
        </w:rPr>
        <w:softHyphen/>
        <w:t xml:space="preserve">ված </w:t>
      </w:r>
      <w:r w:rsidRPr="002B1E92">
        <w:rPr>
          <w:rFonts w:eastAsia="Calibri" w:cs="GHEA Grapalat"/>
          <w:b w:val="0"/>
          <w:szCs w:val="22"/>
          <w:lang w:val="hy-AM" w:eastAsia="en-US"/>
        </w:rPr>
        <w:t xml:space="preserve">2,098.7 </w:t>
      </w:r>
      <w:r w:rsidRPr="002B1E92">
        <w:rPr>
          <w:rFonts w:eastAsia="Calibri"/>
          <w:b w:val="0"/>
          <w:szCs w:val="22"/>
          <w:lang w:val="hy-AM" w:eastAsia="en-US"/>
        </w:rPr>
        <w:t>մլն դրամ և 20</w:t>
      </w:r>
      <w:r w:rsidRPr="002B1E92">
        <w:rPr>
          <w:rFonts w:eastAsia="Calibri"/>
          <w:b w:val="0"/>
          <w:szCs w:val="22"/>
          <w:lang w:val="en-US" w:eastAsia="en-US"/>
        </w:rPr>
        <w:t>20</w:t>
      </w:r>
      <w:r w:rsidRPr="002B1E92">
        <w:rPr>
          <w:rFonts w:eastAsia="Calibri"/>
          <w:b w:val="0"/>
          <w:szCs w:val="22"/>
          <w:lang w:val="hy-AM" w:eastAsia="en-US"/>
        </w:rPr>
        <w:t xml:space="preserve"> թվականի փաս</w:t>
      </w:r>
      <w:r w:rsidRPr="002B1E92">
        <w:rPr>
          <w:rFonts w:eastAsia="Calibri"/>
          <w:b w:val="0"/>
          <w:szCs w:val="22"/>
          <w:lang w:val="hy-AM" w:eastAsia="en-US"/>
        </w:rPr>
        <w:softHyphen/>
        <w:t>տա</w:t>
      </w:r>
      <w:r w:rsidRPr="002B1E92">
        <w:rPr>
          <w:rFonts w:eastAsia="Calibri"/>
          <w:b w:val="0"/>
          <w:szCs w:val="22"/>
          <w:lang w:val="hy-AM" w:eastAsia="en-US"/>
        </w:rPr>
        <w:softHyphen/>
        <w:t xml:space="preserve">ցի ստացված </w:t>
      </w:r>
      <w:r w:rsidRPr="002B1E92">
        <w:rPr>
          <w:rFonts w:eastAsia="Calibri"/>
          <w:b w:val="0"/>
          <w:szCs w:val="22"/>
          <w:lang w:val="en-US" w:eastAsia="en-US"/>
        </w:rPr>
        <w:t>1</w:t>
      </w:r>
      <w:r w:rsidRPr="002B1E92">
        <w:rPr>
          <w:rFonts w:eastAsia="Calibri"/>
          <w:b w:val="0"/>
          <w:szCs w:val="22"/>
          <w:lang w:val="hy-AM" w:eastAsia="en-US"/>
        </w:rPr>
        <w:t>,</w:t>
      </w:r>
      <w:r w:rsidRPr="002B1E92">
        <w:rPr>
          <w:rFonts w:eastAsia="Calibri"/>
          <w:b w:val="0"/>
          <w:szCs w:val="22"/>
          <w:lang w:val="en-US" w:eastAsia="en-US"/>
        </w:rPr>
        <w:t>052.5</w:t>
      </w:r>
      <w:r w:rsidRPr="002B1E92">
        <w:rPr>
          <w:rFonts w:eastAsia="Calibri"/>
          <w:b w:val="0"/>
          <w:szCs w:val="22"/>
          <w:lang w:val="hy-AM" w:eastAsia="en-US"/>
        </w:rPr>
        <w:t xml:space="preserve"> մլն դրամ</w:t>
      </w:r>
      <w:r w:rsidRPr="002B1E92">
        <w:rPr>
          <w:rFonts w:eastAsia="Calibri"/>
          <w:b w:val="0"/>
          <w:szCs w:val="22"/>
          <w:lang w:val="en-US" w:eastAsia="en-US"/>
        </w:rPr>
        <w:t>ի</w:t>
      </w:r>
      <w:r w:rsidRPr="002B1E92">
        <w:rPr>
          <w:rFonts w:eastAsia="Calibri"/>
          <w:b w:val="0"/>
          <w:szCs w:val="22"/>
          <w:lang w:val="hy-AM" w:eastAsia="en-US"/>
        </w:rPr>
        <w:t xml:space="preserve"> դիմաց: </w:t>
      </w:r>
      <w:r w:rsidRPr="002B1E92">
        <w:rPr>
          <w:rFonts w:eastAsia="Calibri" w:cs="GHEA Grapalat"/>
          <w:b w:val="0"/>
          <w:szCs w:val="22"/>
          <w:lang w:val="hy-AM" w:eastAsia="en-US"/>
        </w:rPr>
        <w:t>202</w:t>
      </w:r>
      <w:r w:rsidRPr="002B1E92">
        <w:rPr>
          <w:rFonts w:eastAsia="Calibri" w:cs="GHEA Grapalat"/>
          <w:b w:val="0"/>
          <w:szCs w:val="22"/>
          <w:lang w:val="en-US" w:eastAsia="en-US"/>
        </w:rPr>
        <w:t>1</w:t>
      </w:r>
      <w:r w:rsidRPr="002B1E92">
        <w:rPr>
          <w:rFonts w:eastAsia="Calibri" w:cs="GHEA Grapalat"/>
          <w:b w:val="0"/>
          <w:szCs w:val="22"/>
          <w:lang w:val="hy-AM" w:eastAsia="en-US"/>
        </w:rPr>
        <w:t xml:space="preserve"> թվականի սպասողական ցուցանիշ</w:t>
      </w:r>
      <w:r w:rsidRPr="002B1E92">
        <w:rPr>
          <w:rFonts w:eastAsia="Calibri" w:cs="GHEA Grapalat"/>
          <w:b w:val="0"/>
          <w:szCs w:val="22"/>
          <w:lang w:val="en-US" w:eastAsia="en-US"/>
        </w:rPr>
        <w:t xml:space="preserve">ը գնահատվել է </w:t>
      </w:r>
      <w:r w:rsidRPr="002B1E92">
        <w:rPr>
          <w:rFonts w:eastAsia="Calibri" w:cs="GHEA Grapalat"/>
          <w:b w:val="0"/>
          <w:szCs w:val="22"/>
          <w:lang w:val="hy-AM" w:eastAsia="en-US"/>
        </w:rPr>
        <w:t>202</w:t>
      </w:r>
      <w:r w:rsidRPr="002B1E92">
        <w:rPr>
          <w:rFonts w:eastAsia="Calibri" w:cs="GHEA Grapalat"/>
          <w:b w:val="0"/>
          <w:szCs w:val="22"/>
          <w:lang w:val="en-US" w:eastAsia="en-US"/>
        </w:rPr>
        <w:t>1</w:t>
      </w:r>
      <w:r w:rsidRPr="002B1E92">
        <w:rPr>
          <w:rFonts w:eastAsia="Calibri" w:cs="GHEA Grapalat"/>
          <w:b w:val="0"/>
          <w:szCs w:val="22"/>
          <w:lang w:val="hy-AM" w:eastAsia="en-US"/>
        </w:rPr>
        <w:t xml:space="preserve"> թվականի առաջին 7 ամիսների </w:t>
      </w:r>
      <w:r w:rsidRPr="002B1E92">
        <w:rPr>
          <w:rFonts w:eastAsia="Calibri" w:cs="GHEA Grapalat"/>
          <w:b w:val="0"/>
          <w:szCs w:val="22"/>
          <w:lang w:val="en-US" w:eastAsia="en-US"/>
        </w:rPr>
        <w:t xml:space="preserve"> փաստացի մուտքերի նկատմամբ կիրառելով 2017-2019 թվականների տարեկան մուտքերում առաջին 7 ամիսների մուտքերի տեսակարար կշիռների միջինացված ցուցանիշը: </w:t>
      </w:r>
    </w:p>
    <w:p w14:paraId="323CDF91" w14:textId="1D666153" w:rsidR="00EE1C9F" w:rsidRPr="002B1E92" w:rsidRDefault="00EE1C9F" w:rsidP="00EE1C9F">
      <w:pPr>
        <w:spacing w:before="0" w:line="276" w:lineRule="auto"/>
        <w:ind w:firstLine="538"/>
        <w:rPr>
          <w:rFonts w:eastAsia="Calibri"/>
          <w:b w:val="0"/>
          <w:szCs w:val="22"/>
          <w:lang w:val="en-US" w:eastAsia="en-US"/>
        </w:rPr>
      </w:pPr>
      <w:r w:rsidRPr="002B1E92">
        <w:rPr>
          <w:rFonts w:eastAsia="Calibri"/>
          <w:szCs w:val="22"/>
          <w:lang w:val="hy-AM" w:eastAsia="en-US"/>
        </w:rPr>
        <w:t>Հայաստանի Հանրապետության քաղաքացիություն ստանալու և Հայաստանի Հանրապե</w:t>
      </w:r>
      <w:r w:rsidRPr="002B1E92">
        <w:rPr>
          <w:rFonts w:eastAsia="Calibri"/>
          <w:szCs w:val="22"/>
          <w:lang w:val="hy-AM" w:eastAsia="en-US"/>
        </w:rPr>
        <w:softHyphen/>
      </w:r>
      <w:r w:rsidRPr="002B1E92">
        <w:rPr>
          <w:rFonts w:eastAsia="Calibri"/>
          <w:szCs w:val="22"/>
          <w:lang w:val="hy-AM" w:eastAsia="en-US"/>
        </w:rPr>
        <w:softHyphen/>
      </w:r>
      <w:r w:rsidRPr="002B1E92">
        <w:rPr>
          <w:rFonts w:eastAsia="Calibri"/>
          <w:szCs w:val="22"/>
          <w:lang w:val="hy-AM" w:eastAsia="en-US"/>
        </w:rPr>
        <w:softHyphen/>
        <w:t>տու</w:t>
      </w:r>
      <w:r w:rsidRPr="002B1E92">
        <w:rPr>
          <w:rFonts w:eastAsia="Calibri"/>
          <w:szCs w:val="22"/>
          <w:lang w:val="hy-AM" w:eastAsia="en-US"/>
        </w:rPr>
        <w:softHyphen/>
        <w:t>թյան քա</w:t>
      </w:r>
      <w:r w:rsidRPr="002B1E92">
        <w:rPr>
          <w:rFonts w:eastAsia="Calibri"/>
          <w:szCs w:val="22"/>
          <w:lang w:val="hy-AM" w:eastAsia="en-US"/>
        </w:rPr>
        <w:softHyphen/>
        <w:t>ղաքացիությունը փոփոխելու համար</w:t>
      </w:r>
      <w:r w:rsidRPr="002B1E92">
        <w:rPr>
          <w:rFonts w:eastAsia="Calibri"/>
          <w:b w:val="0"/>
          <w:szCs w:val="22"/>
          <w:lang w:val="hy-AM" w:eastAsia="en-US"/>
        </w:rPr>
        <w:t xml:space="preserve"> գանձվող պետական տուրքի գծով 202</w:t>
      </w:r>
      <w:r w:rsidRPr="002B1E92">
        <w:rPr>
          <w:rFonts w:eastAsia="Calibri"/>
          <w:b w:val="0"/>
          <w:szCs w:val="22"/>
          <w:lang w:val="en-US" w:eastAsia="en-US"/>
        </w:rPr>
        <w:t>2</w:t>
      </w:r>
      <w:r w:rsidRPr="002B1E92">
        <w:rPr>
          <w:rFonts w:eastAsia="Calibri"/>
          <w:b w:val="0"/>
          <w:szCs w:val="22"/>
          <w:lang w:val="hy-AM" w:eastAsia="en-US"/>
        </w:rPr>
        <w:t xml:space="preserve"> թվա</w:t>
      </w:r>
      <w:r w:rsidRPr="002B1E92">
        <w:rPr>
          <w:rFonts w:eastAsia="Calibri"/>
          <w:b w:val="0"/>
          <w:szCs w:val="22"/>
          <w:lang w:val="hy-AM" w:eastAsia="en-US"/>
        </w:rPr>
        <w:softHyphen/>
        <w:t>կանի մուտ</w:t>
      </w:r>
      <w:r w:rsidRPr="002B1E92">
        <w:rPr>
          <w:rFonts w:eastAsia="Calibri"/>
          <w:b w:val="0"/>
          <w:szCs w:val="22"/>
          <w:lang w:val="hy-AM" w:eastAsia="en-US"/>
        </w:rPr>
        <w:softHyphen/>
      </w:r>
      <w:r w:rsidRPr="002B1E92">
        <w:rPr>
          <w:rFonts w:eastAsia="Calibri"/>
          <w:b w:val="0"/>
          <w:szCs w:val="22"/>
          <w:lang w:val="hy-AM" w:eastAsia="en-US"/>
        </w:rPr>
        <w:softHyphen/>
        <w:t>քերը կան</w:t>
      </w:r>
      <w:r w:rsidRPr="002B1E92">
        <w:rPr>
          <w:rFonts w:eastAsia="Calibri"/>
          <w:b w:val="0"/>
          <w:szCs w:val="22"/>
          <w:lang w:val="hy-AM" w:eastAsia="en-US"/>
        </w:rPr>
        <w:softHyphen/>
        <w:t>խա</w:t>
      </w:r>
      <w:r w:rsidRPr="002B1E92">
        <w:rPr>
          <w:rFonts w:eastAsia="Calibri"/>
          <w:b w:val="0"/>
          <w:szCs w:val="22"/>
          <w:lang w:val="hy-AM" w:eastAsia="en-US"/>
        </w:rPr>
        <w:softHyphen/>
        <w:t>տես</w:t>
      </w:r>
      <w:r w:rsidRPr="002B1E92">
        <w:rPr>
          <w:rFonts w:eastAsia="Calibri"/>
          <w:b w:val="0"/>
          <w:szCs w:val="22"/>
          <w:lang w:val="hy-AM" w:eastAsia="en-US"/>
        </w:rPr>
        <w:softHyphen/>
        <w:t>վել են 202</w:t>
      </w:r>
      <w:r w:rsidRPr="002B1E92">
        <w:rPr>
          <w:rFonts w:eastAsia="Calibri"/>
          <w:b w:val="0"/>
          <w:szCs w:val="22"/>
          <w:lang w:val="en-US" w:eastAsia="en-US"/>
        </w:rPr>
        <w:t>1</w:t>
      </w:r>
      <w:r w:rsidRPr="002B1E92">
        <w:rPr>
          <w:rFonts w:eastAsia="Calibri"/>
          <w:b w:val="0"/>
          <w:szCs w:val="22"/>
          <w:lang w:val="hy-AM" w:eastAsia="en-US"/>
        </w:rPr>
        <w:t xml:space="preserve"> թվականի համար հաստատ</w:t>
      </w:r>
      <w:r w:rsidRPr="002B1E92">
        <w:rPr>
          <w:rFonts w:eastAsia="Calibri"/>
          <w:b w:val="0"/>
          <w:szCs w:val="22"/>
          <w:lang w:val="hy-AM" w:eastAsia="en-US"/>
        </w:rPr>
        <w:softHyphen/>
        <w:t xml:space="preserve">ված </w:t>
      </w:r>
      <w:r w:rsidRPr="002B1E92">
        <w:rPr>
          <w:rFonts w:eastAsia="Calibri"/>
          <w:b w:val="0"/>
          <w:szCs w:val="22"/>
          <w:lang w:val="en-US" w:eastAsia="en-US"/>
        </w:rPr>
        <w:t xml:space="preserve">և </w:t>
      </w:r>
      <w:r w:rsidRPr="002B1E92">
        <w:rPr>
          <w:rFonts w:eastAsia="Calibri" w:cs="GHEA Grapalat"/>
          <w:b w:val="0"/>
          <w:szCs w:val="22"/>
          <w:lang w:val="hy-AM" w:eastAsia="en-US"/>
        </w:rPr>
        <w:t>փորձագիտական գնահատական</w:t>
      </w:r>
      <w:r w:rsidRPr="002B1E92">
        <w:rPr>
          <w:rFonts w:eastAsia="Calibri" w:cs="GHEA Grapalat"/>
          <w:b w:val="0"/>
          <w:szCs w:val="22"/>
          <w:lang w:val="en-US" w:eastAsia="en-US"/>
        </w:rPr>
        <w:t xml:space="preserve">ով ներկայացված </w:t>
      </w:r>
      <w:r w:rsidRPr="002B1E92">
        <w:rPr>
          <w:rFonts w:eastAsia="Calibri"/>
          <w:b w:val="0"/>
          <w:szCs w:val="22"/>
          <w:lang w:val="hy-AM" w:eastAsia="en-US"/>
        </w:rPr>
        <w:t>141.0 մլն դրամի չա</w:t>
      </w:r>
      <w:r w:rsidRPr="002B1E92">
        <w:rPr>
          <w:rFonts w:eastAsia="Calibri"/>
          <w:b w:val="0"/>
          <w:szCs w:val="22"/>
          <w:lang w:val="hy-AM" w:eastAsia="en-US"/>
        </w:rPr>
        <w:softHyphen/>
        <w:t>փով` 20</w:t>
      </w:r>
      <w:r w:rsidRPr="002B1E92">
        <w:rPr>
          <w:rFonts w:eastAsia="Calibri"/>
          <w:b w:val="0"/>
          <w:szCs w:val="22"/>
          <w:lang w:val="en-US" w:eastAsia="en-US"/>
        </w:rPr>
        <w:t>20</w:t>
      </w:r>
      <w:r w:rsidRPr="002B1E92">
        <w:rPr>
          <w:rFonts w:eastAsia="Calibri"/>
          <w:b w:val="0"/>
          <w:szCs w:val="22"/>
          <w:lang w:val="hy-AM" w:eastAsia="en-US"/>
        </w:rPr>
        <w:t xml:space="preserve"> թվականին փաստացի ստացված </w:t>
      </w:r>
      <w:r w:rsidRPr="002B1E92">
        <w:rPr>
          <w:rFonts w:eastAsia="Calibri"/>
          <w:b w:val="0"/>
          <w:szCs w:val="22"/>
          <w:lang w:val="en-US" w:eastAsia="en-US"/>
        </w:rPr>
        <w:t>59.1</w:t>
      </w:r>
      <w:r w:rsidRPr="002B1E92">
        <w:rPr>
          <w:rFonts w:eastAsia="Calibri"/>
          <w:b w:val="0"/>
          <w:szCs w:val="22"/>
          <w:lang w:val="hy-AM" w:eastAsia="en-US"/>
        </w:rPr>
        <w:t xml:space="preserve"> մլն դրամի դիմաց: </w:t>
      </w:r>
    </w:p>
    <w:p w14:paraId="64598A07" w14:textId="77777777" w:rsidR="00EE1C9F" w:rsidRPr="002B1E92" w:rsidRDefault="00EE1C9F" w:rsidP="00EE1C9F">
      <w:pPr>
        <w:spacing w:line="276" w:lineRule="auto"/>
        <w:ind w:firstLine="284"/>
        <w:rPr>
          <w:rFonts w:eastAsia="Calibri"/>
          <w:b w:val="0"/>
          <w:szCs w:val="22"/>
          <w:lang w:val="hy-AM" w:eastAsia="en-US"/>
        </w:rPr>
      </w:pPr>
      <w:r w:rsidRPr="002B1E92">
        <w:rPr>
          <w:rFonts w:eastAsia="Calibri"/>
          <w:szCs w:val="22"/>
          <w:lang w:val="hy-AM" w:eastAsia="en-US"/>
        </w:rPr>
        <w:t xml:space="preserve">Հյուպատոսական ծառայությունների կամ գործողությունների </w:t>
      </w:r>
      <w:r w:rsidRPr="002B1E92">
        <w:rPr>
          <w:rFonts w:eastAsia="Calibri"/>
          <w:b w:val="0"/>
          <w:szCs w:val="22"/>
          <w:lang w:val="hy-AM" w:eastAsia="en-US"/>
        </w:rPr>
        <w:t>համար գանձվող պետա</w:t>
      </w:r>
      <w:r w:rsidRPr="002B1E92">
        <w:rPr>
          <w:rFonts w:eastAsia="Calibri"/>
          <w:b w:val="0"/>
          <w:szCs w:val="22"/>
          <w:lang w:val="hy-AM" w:eastAsia="en-US"/>
        </w:rPr>
        <w:softHyphen/>
        <w:t>կան տուր</w:t>
      </w:r>
      <w:r w:rsidRPr="002B1E92">
        <w:rPr>
          <w:rFonts w:eastAsia="Calibri"/>
          <w:b w:val="0"/>
          <w:szCs w:val="22"/>
          <w:lang w:val="hy-AM" w:eastAsia="en-US"/>
        </w:rPr>
        <w:softHyphen/>
        <w:t>քե</w:t>
      </w:r>
      <w:r w:rsidRPr="002B1E92">
        <w:rPr>
          <w:rFonts w:eastAsia="Calibri"/>
          <w:b w:val="0"/>
          <w:szCs w:val="22"/>
          <w:lang w:val="hy-AM" w:eastAsia="en-US"/>
        </w:rPr>
        <w:softHyphen/>
        <w:t>րի գծով 202</w:t>
      </w:r>
      <w:r w:rsidRPr="002B1E92">
        <w:rPr>
          <w:rFonts w:eastAsia="Calibri"/>
          <w:b w:val="0"/>
          <w:szCs w:val="22"/>
          <w:lang w:val="en-US" w:eastAsia="en-US"/>
        </w:rPr>
        <w:t>2</w:t>
      </w:r>
      <w:r w:rsidRPr="002B1E92">
        <w:rPr>
          <w:rFonts w:eastAsia="Calibri"/>
          <w:b w:val="0"/>
          <w:szCs w:val="22"/>
          <w:lang w:val="hy-AM" w:eastAsia="en-US"/>
        </w:rPr>
        <w:t xml:space="preserve"> թվականի մուտքերը կ</w:t>
      </w:r>
      <w:r w:rsidRPr="002B1E92">
        <w:rPr>
          <w:rFonts w:eastAsia="Calibri"/>
          <w:b w:val="0"/>
          <w:szCs w:val="22"/>
          <w:lang w:val="en-US" w:eastAsia="en-US"/>
        </w:rPr>
        <w:t xml:space="preserve">անխատեսվել են 2,413.8 մլն դրամի </w:t>
      </w:r>
      <w:r w:rsidRPr="002B1E92">
        <w:rPr>
          <w:rFonts w:eastAsia="Calibri"/>
          <w:b w:val="0"/>
          <w:szCs w:val="22"/>
          <w:lang w:val="hy-AM" w:eastAsia="en-US"/>
        </w:rPr>
        <w:t>չափով՝ 2021 թվականի  համար հաստատված 1,775.2 մլն դրամի  և  2020 թվականին փաստացի ստացված 2,117.5 մլն դրամի դիմաց:  Պետական տուրքի այս տեսակի գծով 2022 թվականի  ցուցանիշը ծրագրվել է 2021 թվականի սպասողական մուտքերի  նկատմամբ կիրառելով փորձագիտական գնահատականով ներկայացված՝ 2021 թվականի սպասողական ցուցանիշի նկատմամբ 2022 թվականի նվազման միտումը</w:t>
      </w:r>
      <w:r w:rsidRPr="002B1E92">
        <w:rPr>
          <w:rFonts w:eastAsia="Calibri"/>
          <w:b w:val="0"/>
          <w:szCs w:val="22"/>
          <w:lang w:val="en-US" w:eastAsia="en-US"/>
        </w:rPr>
        <w:t xml:space="preserve">` </w:t>
      </w:r>
      <w:r w:rsidRPr="002B1E92">
        <w:rPr>
          <w:rFonts w:eastAsia="Calibri"/>
          <w:b w:val="0"/>
          <w:szCs w:val="22"/>
          <w:lang w:val="hy-AM" w:eastAsia="en-US"/>
        </w:rPr>
        <w:t>պայմանավորված վիզային ռեժիմների դյուրացման կամ վերացման գործընթացների շարունակականությամբ: 2021 թվականի սպասողական ցուցանիշը կանխատեսվել է 3,114.0 մլն դրամի չափով՝ որպես 2021 թվականի առաջին 7 ամիսների և 2020 թվականի վերջին 5 ամիսների փաստացի մուտքերի հանրագումար:</w:t>
      </w:r>
      <w:r w:rsidRPr="002B1E92">
        <w:rPr>
          <w:rFonts w:eastAsia="Calibri"/>
          <w:b w:val="0"/>
          <w:szCs w:val="22"/>
          <w:lang w:val="en-US" w:eastAsia="en-US"/>
        </w:rPr>
        <w:t xml:space="preserve"> </w:t>
      </w:r>
      <w:r w:rsidRPr="002B1E92">
        <w:rPr>
          <w:rFonts w:eastAsia="Calibri"/>
          <w:b w:val="0"/>
          <w:szCs w:val="22"/>
          <w:lang w:val="hy-AM" w:eastAsia="en-US"/>
        </w:rPr>
        <w:t>2020 թվականի ընթացքում կուտակված ու քաղաքացիների կողմից չիրականացված գործարքները իրականացվ</w:t>
      </w:r>
      <w:r w:rsidRPr="002B1E92">
        <w:rPr>
          <w:rFonts w:eastAsia="Calibri"/>
          <w:b w:val="0"/>
          <w:szCs w:val="22"/>
          <w:lang w:val="en-US" w:eastAsia="en-US"/>
        </w:rPr>
        <w:t>ում են</w:t>
      </w:r>
      <w:r w:rsidRPr="002B1E92">
        <w:rPr>
          <w:rFonts w:eastAsia="Calibri"/>
          <w:b w:val="0"/>
          <w:szCs w:val="22"/>
          <w:lang w:val="hy-AM" w:eastAsia="en-US"/>
        </w:rPr>
        <w:t xml:space="preserve"> առավելապես 2021 թվականին</w:t>
      </w:r>
      <w:r w:rsidRPr="002B1E92">
        <w:rPr>
          <w:rFonts w:eastAsia="Calibri"/>
          <w:b w:val="0"/>
          <w:szCs w:val="22"/>
          <w:lang w:val="en-US" w:eastAsia="en-US"/>
        </w:rPr>
        <w:t>:</w:t>
      </w:r>
      <w:r w:rsidRPr="002B1E92">
        <w:rPr>
          <w:rFonts w:eastAsia="Calibri"/>
          <w:b w:val="0"/>
          <w:szCs w:val="22"/>
          <w:lang w:val="hy-AM" w:eastAsia="en-US"/>
        </w:rPr>
        <w:t xml:space="preserve"> </w:t>
      </w:r>
    </w:p>
    <w:p w14:paraId="5A110BE7" w14:textId="44EF032C" w:rsidR="00EE1C9F" w:rsidRPr="002B1E92" w:rsidRDefault="00EE1C9F" w:rsidP="00EE1C9F">
      <w:pPr>
        <w:tabs>
          <w:tab w:val="left" w:pos="0"/>
        </w:tabs>
        <w:spacing w:before="0" w:line="276" w:lineRule="auto"/>
        <w:rPr>
          <w:rFonts w:eastAsia="Calibri" w:cs="GHEA Grapalat"/>
          <w:b w:val="0"/>
          <w:szCs w:val="22"/>
          <w:lang w:val="hy-AM" w:eastAsia="en-US"/>
        </w:rPr>
      </w:pPr>
      <w:r w:rsidRPr="002B1E92">
        <w:rPr>
          <w:rFonts w:eastAsia="Calibri" w:cs="GHEA Grapalat"/>
          <w:szCs w:val="22"/>
          <w:lang w:val="hy-AM" w:eastAsia="en-US"/>
        </w:rPr>
        <w:t xml:space="preserve"> Պետական գրանցման համար</w:t>
      </w:r>
      <w:r w:rsidRPr="002B1E92">
        <w:rPr>
          <w:rFonts w:eastAsia="Calibri" w:cs="GHEA Grapalat"/>
          <w:b w:val="0"/>
          <w:szCs w:val="22"/>
          <w:lang w:val="hy-AM" w:eastAsia="en-US"/>
        </w:rPr>
        <w:t xml:space="preserve"> գանձվող պետական տուրքերի գծով 2022 թվա</w:t>
      </w:r>
      <w:r w:rsidRPr="002B1E92">
        <w:rPr>
          <w:rFonts w:eastAsia="Calibri" w:cs="GHEA Grapalat"/>
          <w:b w:val="0"/>
          <w:szCs w:val="22"/>
          <w:lang w:val="hy-AM" w:eastAsia="en-US"/>
        </w:rPr>
        <w:softHyphen/>
        <w:t>կա</w:t>
      </w:r>
      <w:r w:rsidRPr="002B1E92">
        <w:rPr>
          <w:rFonts w:eastAsia="Calibri" w:cs="GHEA Grapalat"/>
          <w:b w:val="0"/>
          <w:szCs w:val="22"/>
          <w:lang w:val="hy-AM" w:eastAsia="en-US"/>
        </w:rPr>
        <w:softHyphen/>
        <w:t>նի մուտքերը կանխատեսվել են 5,321.3</w:t>
      </w:r>
      <w:r w:rsidRPr="002B1E92">
        <w:rPr>
          <w:rFonts w:eastAsia="Calibri" w:cs="GHEA Grapalat"/>
          <w:b w:val="0"/>
          <w:color w:val="FF0000"/>
          <w:szCs w:val="22"/>
          <w:lang w:val="hy-AM" w:eastAsia="en-US"/>
        </w:rPr>
        <w:t xml:space="preserve"> </w:t>
      </w:r>
      <w:r w:rsidRPr="002B1E92">
        <w:rPr>
          <w:rFonts w:eastAsia="Calibri" w:cs="GHEA Grapalat"/>
          <w:b w:val="0"/>
          <w:szCs w:val="22"/>
          <w:lang w:val="hy-AM" w:eastAsia="en-US"/>
        </w:rPr>
        <w:t>մլն դրամի չափով` 2021 թվա</w:t>
      </w:r>
      <w:r w:rsidRPr="002B1E92">
        <w:rPr>
          <w:rFonts w:eastAsia="Calibri" w:cs="GHEA Grapalat"/>
          <w:b w:val="0"/>
          <w:szCs w:val="22"/>
          <w:lang w:val="hy-AM" w:eastAsia="en-US"/>
        </w:rPr>
        <w:softHyphen/>
        <w:t>կանի համար հաստատ</w:t>
      </w:r>
      <w:r w:rsidRPr="002B1E92">
        <w:rPr>
          <w:rFonts w:eastAsia="Calibri" w:cs="GHEA Grapalat"/>
          <w:b w:val="0"/>
          <w:szCs w:val="22"/>
          <w:lang w:val="hy-AM" w:eastAsia="en-US"/>
        </w:rPr>
        <w:softHyphen/>
        <w:t>ված 6,176.1 մլն դրամի և 2020 թվականին փաս</w:t>
      </w:r>
      <w:r w:rsidRPr="002B1E92">
        <w:rPr>
          <w:rFonts w:eastAsia="Calibri" w:cs="GHEA Grapalat"/>
          <w:b w:val="0"/>
          <w:szCs w:val="22"/>
          <w:lang w:val="hy-AM" w:eastAsia="en-US"/>
        </w:rPr>
        <w:softHyphen/>
        <w:t>տացի ստացված 4,552,9 մլն դրամի դիմաց: Հարկ է նշել ,որ լիցենզառուներին տրանսպորտային միջոցների պարտադիր տեխնիկական զննության համապատասխան նմուշի փաստաթուղթ  ( տեխզննման կտրոն ) տրամադրելու պահանջը 20.01.2021թ. «Ճանապարհային երթևեկության անվտանգության ապահովման մասին»</w:t>
      </w:r>
      <w:r w:rsidRPr="002B1E92">
        <w:rPr>
          <w:rFonts w:ascii="Calibri" w:eastAsia="Calibri" w:hAnsi="Calibri" w:cs="Calibri"/>
          <w:b w:val="0"/>
          <w:szCs w:val="22"/>
          <w:lang w:val="hy-AM" w:eastAsia="en-US"/>
        </w:rPr>
        <w:t> </w:t>
      </w:r>
      <w:r w:rsidRPr="002B1E92">
        <w:rPr>
          <w:rFonts w:eastAsia="Calibri" w:cs="GHEA Grapalat"/>
          <w:b w:val="0"/>
          <w:szCs w:val="22"/>
          <w:lang w:val="hy-AM" w:eastAsia="en-US"/>
        </w:rPr>
        <w:t xml:space="preserve">օրենքում փոփոխություններ կատարելու մասին» ՀՕ-58-Ն օրենքով 2021 թվականի օգոստոսի 16-ից հանվել է, որով պայմանավորված պետական տուրքի համապատասխան տեսակի գծով 2022 թվականի համար կանխատեսումներ չեն կատարվել: Նշված եկամտատեսակի գծով 2021 թվականի հաստատված ցուցանիշը 1,220.0 մլն դրամ է, իսկ 2020 թվականի փաստացին՝ 1,078.3 մլն դրամ: </w:t>
      </w:r>
    </w:p>
    <w:p w14:paraId="5B028332" w14:textId="77777777" w:rsidR="00EE1C9F" w:rsidRPr="002B1E92" w:rsidRDefault="00EE1C9F" w:rsidP="00EE1C9F">
      <w:pPr>
        <w:tabs>
          <w:tab w:val="left" w:pos="0"/>
          <w:tab w:val="left" w:pos="1080"/>
        </w:tabs>
        <w:spacing w:before="0" w:line="276" w:lineRule="auto"/>
        <w:rPr>
          <w:rFonts w:eastAsia="Calibri" w:cs="GHEA Grapalat"/>
          <w:b w:val="0"/>
          <w:szCs w:val="22"/>
          <w:lang w:val="hy-AM" w:eastAsia="en-US"/>
        </w:rPr>
      </w:pPr>
      <w:r w:rsidRPr="002B1E92">
        <w:rPr>
          <w:rFonts w:eastAsia="Calibri" w:cs="GHEA Grapalat"/>
          <w:b w:val="0"/>
          <w:szCs w:val="22"/>
          <w:lang w:val="hy-AM" w:eastAsia="en-US"/>
        </w:rPr>
        <w:t>Պետական գրանցման համար գանձվող պետական տուրքերի գերակշռող մասը՝ 92.9 %-ը կամ 4,941.7 մլն դրամը 2022 թվականին ապահովվելու է պետական տուրքի հետև</w:t>
      </w:r>
      <w:r w:rsidRPr="002B1E92">
        <w:rPr>
          <w:rFonts w:eastAsia="Calibri" w:cs="GHEA Grapalat"/>
          <w:b w:val="0"/>
          <w:szCs w:val="22"/>
          <w:lang w:val="hy-AM" w:eastAsia="en-US"/>
        </w:rPr>
        <w:softHyphen/>
        <w:t>յալ 3</w:t>
      </w:r>
      <w:r w:rsidRPr="002B1E92">
        <w:rPr>
          <w:rFonts w:eastAsia="Calibri" w:cs="GHEA Grapalat"/>
          <w:b w:val="0"/>
          <w:color w:val="FF0000"/>
          <w:szCs w:val="22"/>
          <w:lang w:val="hy-AM" w:eastAsia="en-US"/>
        </w:rPr>
        <w:t xml:space="preserve"> </w:t>
      </w:r>
      <w:r w:rsidRPr="002B1E92">
        <w:rPr>
          <w:rFonts w:eastAsia="Calibri" w:cs="GHEA Grapalat"/>
          <w:b w:val="0"/>
          <w:szCs w:val="22"/>
          <w:lang w:val="hy-AM" w:eastAsia="en-US"/>
        </w:rPr>
        <w:t xml:space="preserve">խմբերի հաշվին՝ </w:t>
      </w:r>
    </w:p>
    <w:p w14:paraId="0A6FECAF" w14:textId="21A9C244" w:rsidR="00EE1C9F" w:rsidRPr="002B1E92" w:rsidRDefault="00EE1C9F" w:rsidP="00EE1C9F">
      <w:pPr>
        <w:widowControl w:val="0"/>
        <w:numPr>
          <w:ilvl w:val="0"/>
          <w:numId w:val="64"/>
        </w:numPr>
        <w:spacing w:before="0" w:line="276" w:lineRule="auto"/>
        <w:ind w:left="0" w:firstLine="0"/>
        <w:rPr>
          <w:rFonts w:eastAsia="Calibri" w:cs="Sylfaen"/>
          <w:b w:val="0"/>
          <w:szCs w:val="22"/>
          <w:lang w:val="af-ZA"/>
        </w:rPr>
      </w:pPr>
      <w:r>
        <w:rPr>
          <w:rFonts w:eastAsia="Calibri" w:cs="Sylfaen"/>
          <w:b w:val="0"/>
          <w:szCs w:val="22"/>
          <w:lang w:val="af-ZA"/>
        </w:rPr>
        <w:t xml:space="preserve"> </w:t>
      </w:r>
      <w:r w:rsidRPr="002B1E92">
        <w:rPr>
          <w:rFonts w:eastAsia="Calibri" w:cs="Sylfaen"/>
          <w:b w:val="0"/>
          <w:szCs w:val="22"/>
          <w:lang w:val="af-ZA"/>
        </w:rPr>
        <w:t>ավտոմեքենայի պետական համարանիշ տալու, գյու</w:t>
      </w:r>
      <w:r w:rsidRPr="002B1E92">
        <w:rPr>
          <w:rFonts w:eastAsia="Calibri" w:cs="Sylfaen"/>
          <w:b w:val="0"/>
          <w:szCs w:val="22"/>
          <w:lang w:val="af-ZA"/>
        </w:rPr>
        <w:softHyphen/>
      </w:r>
      <w:r w:rsidRPr="002B1E92">
        <w:rPr>
          <w:rFonts w:eastAsia="Calibri" w:cs="Sylfaen"/>
          <w:b w:val="0"/>
          <w:szCs w:val="22"/>
          <w:lang w:val="af-ZA"/>
        </w:rPr>
        <w:softHyphen/>
      </w:r>
      <w:r w:rsidRPr="002B1E92">
        <w:rPr>
          <w:rFonts w:eastAsia="Calibri" w:cs="Sylfaen"/>
          <w:b w:val="0"/>
          <w:szCs w:val="22"/>
          <w:lang w:val="af-ZA"/>
        </w:rPr>
        <w:softHyphen/>
        <w:t>ղա</w:t>
      </w:r>
      <w:r w:rsidRPr="002B1E92">
        <w:rPr>
          <w:rFonts w:eastAsia="Calibri" w:cs="Sylfaen"/>
          <w:b w:val="0"/>
          <w:szCs w:val="22"/>
          <w:lang w:val="af-ZA"/>
        </w:rPr>
        <w:softHyphen/>
        <w:t>տն</w:t>
      </w:r>
      <w:r w:rsidRPr="002B1E92">
        <w:rPr>
          <w:rFonts w:eastAsia="Calibri" w:cs="Sylfaen"/>
          <w:b w:val="0"/>
          <w:szCs w:val="22"/>
          <w:lang w:val="af-ZA"/>
        </w:rPr>
        <w:softHyphen/>
        <w:t>տե</w:t>
      </w:r>
      <w:r w:rsidRPr="002B1E92">
        <w:rPr>
          <w:rFonts w:eastAsia="Calibri" w:cs="Sylfaen"/>
          <w:b w:val="0"/>
          <w:szCs w:val="22"/>
          <w:lang w:val="af-ZA"/>
        </w:rPr>
        <w:softHyphen/>
      </w:r>
      <w:r w:rsidRPr="002B1E92">
        <w:rPr>
          <w:rFonts w:eastAsia="Calibri" w:cs="Sylfaen"/>
          <w:b w:val="0"/>
          <w:szCs w:val="22"/>
          <w:lang w:val="af-ZA"/>
        </w:rPr>
        <w:softHyphen/>
        <w:t>սական ինքնագնաց մեքենաների գրանցման, ինչպես նաև պետական համարանիշ տալու և կորցրածը վերականգնելու համար գանձվող պետական տուրքեր, որոնց գծով 2022 թվա</w:t>
      </w:r>
      <w:r w:rsidRPr="002B1E92">
        <w:rPr>
          <w:rFonts w:eastAsia="Calibri" w:cs="Sylfaen"/>
          <w:b w:val="0"/>
          <w:szCs w:val="22"/>
          <w:lang w:val="af-ZA"/>
        </w:rPr>
        <w:softHyphen/>
        <w:t>կա</w:t>
      </w:r>
      <w:r w:rsidRPr="002B1E92">
        <w:rPr>
          <w:rFonts w:eastAsia="Calibri" w:cs="Sylfaen"/>
          <w:b w:val="0"/>
          <w:szCs w:val="22"/>
          <w:lang w:val="af-ZA"/>
        </w:rPr>
        <w:softHyphen/>
        <w:t>նի մուտքերը ծրա</w:t>
      </w:r>
      <w:r w:rsidRPr="002B1E92">
        <w:rPr>
          <w:rFonts w:eastAsia="Calibri" w:cs="Sylfaen"/>
          <w:b w:val="0"/>
          <w:szCs w:val="22"/>
          <w:lang w:val="af-ZA"/>
        </w:rPr>
        <w:softHyphen/>
        <w:t>գր</w:t>
      </w:r>
      <w:r w:rsidRPr="002B1E92">
        <w:rPr>
          <w:rFonts w:eastAsia="Calibri" w:cs="Sylfaen"/>
          <w:b w:val="0"/>
          <w:szCs w:val="22"/>
          <w:lang w:val="af-ZA"/>
        </w:rPr>
        <w:softHyphen/>
        <w:t>վել են  2021 թվականի հաս</w:t>
      </w:r>
      <w:r w:rsidRPr="002B1E92">
        <w:rPr>
          <w:rFonts w:eastAsia="Calibri" w:cs="Sylfaen"/>
          <w:b w:val="0"/>
          <w:szCs w:val="22"/>
          <w:lang w:val="af-ZA"/>
        </w:rPr>
        <w:softHyphen/>
        <w:t>տատված 2,401.5 մլն դրամի չափով (պետական գրանցումից 2022 թվա</w:t>
      </w:r>
      <w:r w:rsidRPr="002B1E92">
        <w:rPr>
          <w:rFonts w:eastAsia="Calibri" w:cs="Sylfaen"/>
          <w:b w:val="0"/>
          <w:szCs w:val="22"/>
          <w:lang w:val="af-ZA"/>
        </w:rPr>
        <w:softHyphen/>
        <w:t>կա</w:t>
      </w:r>
      <w:r w:rsidRPr="002B1E92">
        <w:rPr>
          <w:rFonts w:eastAsia="Calibri" w:cs="Sylfaen"/>
          <w:b w:val="0"/>
          <w:szCs w:val="22"/>
          <w:lang w:val="af-ZA"/>
        </w:rPr>
        <w:softHyphen/>
        <w:t>նի պետական տուրքերի կան</w:t>
      </w:r>
      <w:r w:rsidRPr="002B1E92">
        <w:rPr>
          <w:rFonts w:eastAsia="Calibri" w:cs="Sylfaen"/>
          <w:b w:val="0"/>
          <w:szCs w:val="22"/>
          <w:lang w:val="af-ZA"/>
        </w:rPr>
        <w:softHyphen/>
        <w:t>խա</w:t>
      </w:r>
      <w:r w:rsidRPr="002B1E92">
        <w:rPr>
          <w:rFonts w:eastAsia="Calibri" w:cs="Sylfaen"/>
          <w:b w:val="0"/>
          <w:szCs w:val="22"/>
          <w:lang w:val="af-ZA"/>
        </w:rPr>
        <w:softHyphen/>
        <w:t>տես</w:t>
      </w:r>
      <w:r w:rsidRPr="002B1E92">
        <w:rPr>
          <w:rFonts w:eastAsia="Calibri" w:cs="Sylfaen"/>
          <w:b w:val="0"/>
          <w:szCs w:val="22"/>
          <w:lang w:val="af-ZA"/>
        </w:rPr>
        <w:softHyphen/>
        <w:t>վող մուտքերի ամբողջ ծավալի 45.1%-ը)` 2020 թվա</w:t>
      </w:r>
      <w:r w:rsidRPr="002B1E92">
        <w:rPr>
          <w:rFonts w:eastAsia="Calibri" w:cs="Sylfaen"/>
          <w:b w:val="0"/>
          <w:szCs w:val="22"/>
          <w:lang w:val="af-ZA"/>
        </w:rPr>
        <w:softHyphen/>
        <w:t>կանի փաստացի  ստացված  1,478.2 մլն դրամի դիմաց: Հարկ է նշել, որ պետական տուրքի նշված տեսակի մուտքերի 2021 թվականի սպասողական ցուցանիշը պետական համարանիշերի պահանջարկի ավելացման արդյունք է՝ պայմանավորված այն հանգամանքով, որ ներկայումս առկա է ՀՀ ներկրված և դեռևս չհաշվառված որոշակի թվով ավտոտրանսպորտային միջոցներ, որոնց հաշվառումն ամենայն հավանականությամբ կավարտվի ընթացիկ տարում: Միաժամանակ գնալով նվազում է մեծ պահանջարկ ունեցող հաշվառման համարանիշեր ձեռք բերելու պահանջարկը, քանի որ  հետաքրքրություն ներկայացնող համարանիշերը գրեթե սպառվել են: Նշված պահանջարկը բարձրացնելու նպատակ է հետապնդում  ս.թ.հունիսի 24-ի  N 1033-Ն որոշման  ընդունումը,  համաձայն որի հաշվառման համարանիշերը թողարկվելու են 8 նոր տառերով: Պետական տուրքի այս և հաջորդ տեսակի գծով մուտքերը կանխատեսվել են փորձագիտական գնահատականների չափով: ԸՆդ որում, 2020 թվականին թերակատարումը պայմանավորված է COVID-19-ի հետ կապված ՀՀ–ում հայտարարված արտակարգ դրության ընթացքում ՀՀ ոստի</w:t>
      </w:r>
      <w:r w:rsidRPr="002B1E92">
        <w:rPr>
          <w:rFonts w:eastAsia="Calibri" w:cs="Sylfaen"/>
          <w:b w:val="0"/>
          <w:szCs w:val="22"/>
          <w:lang w:val="af-ZA"/>
        </w:rPr>
        <w:softHyphen/>
        <w:t>կա</w:t>
      </w:r>
      <w:r w:rsidRPr="002B1E92">
        <w:rPr>
          <w:rFonts w:eastAsia="Calibri" w:cs="Sylfaen"/>
          <w:b w:val="0"/>
          <w:szCs w:val="22"/>
          <w:lang w:val="af-ZA"/>
        </w:rPr>
        <w:softHyphen/>
      </w:r>
      <w:r w:rsidRPr="002B1E92">
        <w:rPr>
          <w:rFonts w:eastAsia="Calibri" w:cs="Sylfaen"/>
          <w:b w:val="0"/>
          <w:szCs w:val="22"/>
          <w:lang w:val="af-ZA"/>
        </w:rPr>
        <w:softHyphen/>
        <w:t xml:space="preserve">նության  ՃՈ հաշվառման քննական ստորաբաժանումների սահմանափակ աշխատանքային ռեժիմով: </w:t>
      </w:r>
    </w:p>
    <w:p w14:paraId="02D7AF0C" w14:textId="031C85E2" w:rsidR="00EE1C9F" w:rsidRPr="002B1E92" w:rsidRDefault="00EE1C9F" w:rsidP="00EE1C9F">
      <w:pPr>
        <w:widowControl w:val="0"/>
        <w:numPr>
          <w:ilvl w:val="0"/>
          <w:numId w:val="64"/>
        </w:numPr>
        <w:spacing w:before="0" w:line="276" w:lineRule="auto"/>
        <w:ind w:left="0" w:firstLine="0"/>
        <w:rPr>
          <w:rFonts w:eastAsia="Calibri" w:cs="Sylfaen"/>
          <w:b w:val="0"/>
          <w:szCs w:val="22"/>
          <w:lang w:val="af-ZA"/>
        </w:rPr>
      </w:pPr>
      <w:r>
        <w:rPr>
          <w:rFonts w:eastAsia="Calibri" w:cs="Sylfaen"/>
          <w:b w:val="0"/>
          <w:szCs w:val="22"/>
          <w:lang w:val="af-ZA"/>
        </w:rPr>
        <w:t xml:space="preserve"> </w:t>
      </w:r>
      <w:r w:rsidRPr="002B1E92">
        <w:rPr>
          <w:rFonts w:eastAsia="Calibri" w:cs="Sylfaen"/>
          <w:b w:val="0"/>
          <w:szCs w:val="22"/>
          <w:lang w:val="af-ZA"/>
        </w:rPr>
        <w:t>ավտոմեքենայի (մոտոցիկլետի) տեխնիկական անձնագիր (գրանցման վկա</w:t>
      </w:r>
      <w:r w:rsidRPr="002B1E92">
        <w:rPr>
          <w:rFonts w:eastAsia="Calibri" w:cs="Sylfaen"/>
          <w:b w:val="0"/>
          <w:szCs w:val="22"/>
          <w:lang w:val="af-ZA"/>
        </w:rPr>
        <w:softHyphen/>
        <w:t>յա</w:t>
      </w:r>
      <w:r w:rsidRPr="002B1E92">
        <w:rPr>
          <w:rFonts w:eastAsia="Calibri" w:cs="Sylfaen"/>
          <w:b w:val="0"/>
          <w:szCs w:val="22"/>
          <w:lang w:val="af-ZA"/>
        </w:rPr>
        <w:softHyphen/>
        <w:t>կան) տա</w:t>
      </w:r>
      <w:r w:rsidRPr="002B1E92">
        <w:rPr>
          <w:rFonts w:eastAsia="Calibri" w:cs="Sylfaen"/>
          <w:b w:val="0"/>
          <w:szCs w:val="22"/>
          <w:lang w:val="af-ZA"/>
        </w:rPr>
        <w:softHyphen/>
        <w:t>լու համար գանձ</w:t>
      </w:r>
      <w:r w:rsidRPr="002B1E92">
        <w:rPr>
          <w:rFonts w:eastAsia="Calibri" w:cs="Sylfaen"/>
          <w:b w:val="0"/>
          <w:szCs w:val="22"/>
          <w:lang w:val="af-ZA"/>
        </w:rPr>
        <w:softHyphen/>
      </w:r>
      <w:r w:rsidRPr="002B1E92">
        <w:rPr>
          <w:rFonts w:eastAsia="Calibri" w:cs="Sylfaen"/>
          <w:b w:val="0"/>
          <w:szCs w:val="22"/>
          <w:lang w:val="af-ZA"/>
        </w:rPr>
        <w:softHyphen/>
        <w:t>վող պե</w:t>
      </w:r>
      <w:r w:rsidRPr="002B1E92">
        <w:rPr>
          <w:rFonts w:eastAsia="Calibri" w:cs="Sylfaen"/>
          <w:b w:val="0"/>
          <w:szCs w:val="22"/>
          <w:lang w:val="af-ZA"/>
        </w:rPr>
        <w:softHyphen/>
        <w:t>տական տուրքեր, որոնց գծով 2022 թվականի մուտքերը ծրագրվել են 2021 թվա</w:t>
      </w:r>
      <w:r w:rsidRPr="002B1E92">
        <w:rPr>
          <w:rFonts w:eastAsia="Calibri" w:cs="Sylfaen"/>
          <w:b w:val="0"/>
          <w:szCs w:val="22"/>
          <w:lang w:val="af-ZA"/>
        </w:rPr>
        <w:softHyphen/>
      </w:r>
      <w:r w:rsidRPr="002B1E92">
        <w:rPr>
          <w:rFonts w:eastAsia="Calibri" w:cs="Sylfaen"/>
          <w:b w:val="0"/>
          <w:szCs w:val="22"/>
          <w:lang w:val="af-ZA"/>
        </w:rPr>
        <w:softHyphen/>
      </w:r>
      <w:r w:rsidRPr="002B1E92">
        <w:rPr>
          <w:rFonts w:eastAsia="Calibri" w:cs="Sylfaen"/>
          <w:b w:val="0"/>
          <w:szCs w:val="22"/>
          <w:lang w:val="af-ZA"/>
        </w:rPr>
        <w:softHyphen/>
        <w:t>կանի հաստատված 1,200.0 մլն դրա</w:t>
      </w:r>
      <w:r w:rsidRPr="002B1E92">
        <w:rPr>
          <w:rFonts w:eastAsia="Calibri" w:cs="Sylfaen"/>
          <w:b w:val="0"/>
          <w:szCs w:val="22"/>
          <w:lang w:val="af-ZA"/>
        </w:rPr>
        <w:softHyphen/>
      </w:r>
      <w:r w:rsidRPr="002B1E92">
        <w:rPr>
          <w:rFonts w:eastAsia="Calibri" w:cs="Sylfaen"/>
          <w:b w:val="0"/>
          <w:szCs w:val="22"/>
          <w:lang w:val="af-ZA"/>
        </w:rPr>
        <w:softHyphen/>
        <w:t>մի չա</w:t>
      </w:r>
      <w:r w:rsidRPr="002B1E92">
        <w:rPr>
          <w:rFonts w:eastAsia="Calibri" w:cs="Sylfaen"/>
          <w:b w:val="0"/>
          <w:szCs w:val="22"/>
          <w:lang w:val="af-ZA"/>
        </w:rPr>
        <w:softHyphen/>
        <w:t>փով (պե</w:t>
      </w:r>
      <w:r w:rsidRPr="002B1E92">
        <w:rPr>
          <w:rFonts w:eastAsia="Calibri" w:cs="Sylfaen"/>
          <w:b w:val="0"/>
          <w:szCs w:val="22"/>
          <w:lang w:val="af-ZA"/>
        </w:rPr>
        <w:softHyphen/>
        <w:t>տական գրանցումից 2022 թվականի պետա</w:t>
      </w:r>
      <w:r w:rsidRPr="002B1E92">
        <w:rPr>
          <w:rFonts w:eastAsia="Calibri" w:cs="Sylfaen"/>
          <w:b w:val="0"/>
          <w:szCs w:val="22"/>
          <w:lang w:val="af-ZA"/>
        </w:rPr>
        <w:softHyphen/>
        <w:t>կան տուրքերի կան</w:t>
      </w:r>
      <w:r w:rsidRPr="002B1E92">
        <w:rPr>
          <w:rFonts w:eastAsia="Calibri" w:cs="Sylfaen"/>
          <w:b w:val="0"/>
          <w:szCs w:val="22"/>
          <w:lang w:val="af-ZA"/>
        </w:rPr>
        <w:softHyphen/>
        <w:t>խա</w:t>
      </w:r>
      <w:r w:rsidRPr="002B1E92">
        <w:rPr>
          <w:rFonts w:eastAsia="Calibri" w:cs="Sylfaen"/>
          <w:b w:val="0"/>
          <w:szCs w:val="22"/>
          <w:lang w:val="af-ZA"/>
        </w:rPr>
        <w:softHyphen/>
        <w:t>տես</w:t>
      </w:r>
      <w:r w:rsidRPr="002B1E92">
        <w:rPr>
          <w:rFonts w:eastAsia="Calibri" w:cs="Sylfaen"/>
          <w:b w:val="0"/>
          <w:szCs w:val="22"/>
          <w:lang w:val="af-ZA"/>
        </w:rPr>
        <w:softHyphen/>
        <w:t>վող մուտքերի ամ</w:t>
      </w:r>
      <w:r w:rsidRPr="002B1E92">
        <w:rPr>
          <w:rFonts w:eastAsia="Calibri" w:cs="Sylfaen"/>
          <w:b w:val="0"/>
          <w:szCs w:val="22"/>
          <w:lang w:val="af-ZA"/>
        </w:rPr>
        <w:softHyphen/>
        <w:t xml:space="preserve">բողջ ծավալի 22.6%-ը)՝ 2020 թվականի փաստացի ստացված 763.7 մլն  դրամի դիմաց: </w:t>
      </w:r>
    </w:p>
    <w:p w14:paraId="27631F0D" w14:textId="1B2343BC" w:rsidR="00EE1C9F" w:rsidRPr="002B1E92" w:rsidRDefault="00EE1C9F" w:rsidP="00EE1C9F">
      <w:pPr>
        <w:widowControl w:val="0"/>
        <w:numPr>
          <w:ilvl w:val="0"/>
          <w:numId w:val="64"/>
        </w:numPr>
        <w:spacing w:before="0" w:line="276" w:lineRule="auto"/>
        <w:ind w:left="0" w:firstLine="0"/>
        <w:rPr>
          <w:rFonts w:eastAsia="Calibri" w:cs="Sylfaen"/>
          <w:b w:val="0"/>
          <w:szCs w:val="22"/>
          <w:lang w:val="af-ZA"/>
        </w:rPr>
      </w:pPr>
      <w:r>
        <w:rPr>
          <w:rFonts w:eastAsia="Calibri" w:cs="Sylfaen"/>
          <w:b w:val="0"/>
          <w:szCs w:val="22"/>
          <w:lang w:val="af-ZA"/>
        </w:rPr>
        <w:t xml:space="preserve"> </w:t>
      </w:r>
      <w:r w:rsidRPr="002B1E92">
        <w:rPr>
          <w:rFonts w:eastAsia="Calibri" w:cs="Sylfaen"/>
          <w:b w:val="0"/>
          <w:szCs w:val="22"/>
          <w:lang w:val="af-ZA"/>
        </w:rPr>
        <w:t>գույքի նկատմամբ իրավունքների պետական գրանցում կատարելու համար գանձվող պետական տուրքեր, որոնց գծով 2022 թվականի մուտքերը կանխատեսվել են 1,340.2 մլն դրա</w:t>
      </w:r>
      <w:r w:rsidRPr="002B1E92">
        <w:rPr>
          <w:rFonts w:eastAsia="Calibri" w:cs="Sylfaen"/>
          <w:b w:val="0"/>
          <w:szCs w:val="22"/>
          <w:lang w:val="af-ZA"/>
        </w:rPr>
        <w:softHyphen/>
      </w:r>
      <w:r w:rsidRPr="002B1E92">
        <w:rPr>
          <w:rFonts w:eastAsia="Calibri" w:cs="Sylfaen"/>
          <w:b w:val="0"/>
          <w:szCs w:val="22"/>
          <w:lang w:val="af-ZA"/>
        </w:rPr>
        <w:softHyphen/>
        <w:t>մի չափով (պետական գրանցումից 2022 թվականի պետա</w:t>
      </w:r>
      <w:r w:rsidRPr="002B1E92">
        <w:rPr>
          <w:rFonts w:eastAsia="Calibri" w:cs="Sylfaen"/>
          <w:b w:val="0"/>
          <w:szCs w:val="22"/>
          <w:lang w:val="af-ZA"/>
        </w:rPr>
        <w:softHyphen/>
        <w:t>կան տուրքերի կան</w:t>
      </w:r>
      <w:r w:rsidRPr="002B1E92">
        <w:rPr>
          <w:rFonts w:eastAsia="Calibri" w:cs="Sylfaen"/>
          <w:b w:val="0"/>
          <w:szCs w:val="22"/>
          <w:lang w:val="af-ZA"/>
        </w:rPr>
        <w:softHyphen/>
      </w:r>
      <w:r w:rsidRPr="002B1E92">
        <w:rPr>
          <w:rFonts w:eastAsia="Calibri" w:cs="Sylfaen"/>
          <w:b w:val="0"/>
          <w:szCs w:val="22"/>
          <w:lang w:val="af-ZA"/>
        </w:rPr>
        <w:softHyphen/>
      </w:r>
      <w:r w:rsidRPr="002B1E92">
        <w:rPr>
          <w:rFonts w:eastAsia="Calibri" w:cs="Sylfaen"/>
          <w:b w:val="0"/>
          <w:szCs w:val="22"/>
          <w:lang w:val="af-ZA"/>
        </w:rPr>
        <w:softHyphen/>
        <w:t>խա</w:t>
      </w:r>
      <w:r w:rsidRPr="002B1E92">
        <w:rPr>
          <w:rFonts w:eastAsia="Calibri" w:cs="Sylfaen"/>
          <w:b w:val="0"/>
          <w:szCs w:val="22"/>
          <w:lang w:val="af-ZA"/>
        </w:rPr>
        <w:softHyphen/>
        <w:t>տես</w:t>
      </w:r>
      <w:r w:rsidRPr="002B1E92">
        <w:rPr>
          <w:rFonts w:eastAsia="Calibri" w:cs="Sylfaen"/>
          <w:b w:val="0"/>
          <w:szCs w:val="22"/>
          <w:lang w:val="af-ZA"/>
        </w:rPr>
        <w:softHyphen/>
        <w:t>վող մուտ</w:t>
      </w:r>
      <w:r w:rsidRPr="002B1E92">
        <w:rPr>
          <w:rFonts w:eastAsia="Calibri" w:cs="Sylfaen"/>
          <w:b w:val="0"/>
          <w:szCs w:val="22"/>
          <w:lang w:val="af-ZA"/>
        </w:rPr>
        <w:softHyphen/>
      </w:r>
      <w:r w:rsidRPr="002B1E92">
        <w:rPr>
          <w:rFonts w:eastAsia="Calibri" w:cs="Sylfaen"/>
          <w:b w:val="0"/>
          <w:szCs w:val="22"/>
          <w:lang w:val="af-ZA"/>
        </w:rPr>
        <w:softHyphen/>
        <w:t>քերի ամ</w:t>
      </w:r>
      <w:r w:rsidRPr="002B1E92">
        <w:rPr>
          <w:rFonts w:eastAsia="Calibri" w:cs="Sylfaen"/>
          <w:b w:val="0"/>
          <w:szCs w:val="22"/>
          <w:lang w:val="af-ZA"/>
        </w:rPr>
        <w:softHyphen/>
        <w:t>բողջ ծավալի 25.2%-ը), 2021 թվականի համար հաս</w:t>
      </w:r>
      <w:r w:rsidRPr="002B1E92">
        <w:rPr>
          <w:rFonts w:eastAsia="Calibri" w:cs="Sylfaen"/>
          <w:b w:val="0"/>
          <w:szCs w:val="22"/>
          <w:lang w:val="af-ZA"/>
        </w:rPr>
        <w:softHyphen/>
        <w:t>տատված 1,027.5 մլն դրամի և 2020 թվակա</w:t>
      </w:r>
      <w:r w:rsidRPr="002B1E92">
        <w:rPr>
          <w:rFonts w:eastAsia="Calibri" w:cs="Sylfaen"/>
          <w:b w:val="0"/>
          <w:szCs w:val="22"/>
          <w:lang w:val="af-ZA"/>
        </w:rPr>
        <w:softHyphen/>
        <w:t>նին փաստացի ստաց</w:t>
      </w:r>
      <w:r w:rsidRPr="002B1E92">
        <w:rPr>
          <w:rFonts w:eastAsia="Calibri" w:cs="Sylfaen"/>
          <w:b w:val="0"/>
          <w:szCs w:val="22"/>
          <w:lang w:val="af-ZA"/>
        </w:rPr>
        <w:softHyphen/>
        <w:t>ված 951.8 մլն դրամի դի</w:t>
      </w:r>
      <w:r w:rsidRPr="002B1E92">
        <w:rPr>
          <w:rFonts w:eastAsia="Calibri" w:cs="Sylfaen"/>
          <w:b w:val="0"/>
          <w:szCs w:val="22"/>
          <w:lang w:val="af-ZA"/>
        </w:rPr>
        <w:softHyphen/>
        <w:t>մաց:  Պետական տուրքի այս տեսակի գծով 2022 թվականի մուտքերը ծրագրվել են 2021 թվականի սպասողական մուտքերի նկատմամբ կիրառելով փորձագիտական գնահատ</w:t>
      </w:r>
      <w:r w:rsidRPr="002B1E92">
        <w:rPr>
          <w:rFonts w:eastAsia="Calibri" w:cs="Sylfaen"/>
          <w:b w:val="0"/>
          <w:szCs w:val="22"/>
          <w:lang w:val="af-ZA"/>
        </w:rPr>
        <w:softHyphen/>
        <w:t>ման աճի տեմպը, իսկ 2021 թվականի սպասողական մուտքերը գնահատվել են 2021 թվականի առաջին 7 ամիսների փաստացի մուտքերի նկատմամբ կիրա</w:t>
      </w:r>
      <w:r w:rsidRPr="002B1E92">
        <w:rPr>
          <w:rFonts w:eastAsia="Calibri" w:cs="Sylfaen"/>
          <w:b w:val="0"/>
          <w:szCs w:val="22"/>
          <w:lang w:val="af-ZA"/>
        </w:rPr>
        <w:softHyphen/>
        <w:t>ռելով 2018-2020 թվականների տարեկան մուտքերում առաջին 7 ամիս</w:t>
      </w:r>
      <w:r w:rsidRPr="002B1E92">
        <w:rPr>
          <w:rFonts w:eastAsia="Calibri" w:cs="Sylfaen"/>
          <w:b w:val="0"/>
          <w:szCs w:val="22"/>
          <w:lang w:val="af-ZA"/>
        </w:rPr>
        <w:softHyphen/>
        <w:t>ների մուտ</w:t>
      </w:r>
      <w:r w:rsidRPr="002B1E92">
        <w:rPr>
          <w:rFonts w:eastAsia="Calibri" w:cs="Sylfaen"/>
          <w:b w:val="0"/>
          <w:szCs w:val="22"/>
          <w:lang w:val="af-ZA"/>
        </w:rPr>
        <w:softHyphen/>
        <w:t>քերի տեսակարար կշիռների միջինացված ցուցանիշը:</w:t>
      </w:r>
    </w:p>
    <w:p w14:paraId="20AAF857" w14:textId="75029645" w:rsidR="00EE1C9F" w:rsidRPr="002B1E92" w:rsidRDefault="00B0373B" w:rsidP="00B0373B">
      <w:pPr>
        <w:spacing w:before="0" w:line="276" w:lineRule="auto"/>
        <w:ind w:firstLine="538"/>
        <w:rPr>
          <w:rFonts w:eastAsia="Calibri" w:cs="Sylfaen"/>
          <w:b w:val="0"/>
          <w:szCs w:val="22"/>
          <w:lang w:val="af-ZA"/>
        </w:rPr>
      </w:pPr>
      <w:r w:rsidRPr="00B0373B">
        <w:rPr>
          <w:rFonts w:eastAsia="Calibri" w:hint="eastAsia"/>
          <w:szCs w:val="22"/>
          <w:lang w:val="hy-AM" w:eastAsia="en-US"/>
        </w:rPr>
        <w:t>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 ունեցող գործողությունների համար</w:t>
      </w:r>
      <w:r w:rsidR="00EE1C9F" w:rsidRPr="002B1E92">
        <w:rPr>
          <w:rFonts w:eastAsia="Calibri" w:cs="Sylfaen"/>
          <w:b w:val="0"/>
          <w:szCs w:val="22"/>
          <w:lang w:val="af-ZA"/>
        </w:rPr>
        <w:t xml:space="preserve"> գանձվող պե</w:t>
      </w:r>
      <w:r w:rsidR="00EE1C9F" w:rsidRPr="002B1E92">
        <w:rPr>
          <w:rFonts w:eastAsia="Calibri" w:cs="Sylfaen"/>
          <w:b w:val="0"/>
          <w:szCs w:val="22"/>
          <w:lang w:val="af-ZA"/>
        </w:rPr>
        <w:softHyphen/>
        <w:t>տա</w:t>
      </w:r>
      <w:r w:rsidR="00EE1C9F" w:rsidRPr="002B1E92">
        <w:rPr>
          <w:rFonts w:eastAsia="Calibri" w:cs="Sylfaen"/>
          <w:b w:val="0"/>
          <w:szCs w:val="22"/>
          <w:lang w:val="af-ZA"/>
        </w:rPr>
        <w:softHyphen/>
        <w:t>կան տուրքերի գծով 2022 թվականի մուտքե</w:t>
      </w:r>
      <w:r w:rsidR="00EE1C9F" w:rsidRPr="002B1E92">
        <w:rPr>
          <w:rFonts w:eastAsia="Calibri" w:cs="Sylfaen"/>
          <w:b w:val="0"/>
          <w:szCs w:val="22"/>
          <w:lang w:val="af-ZA"/>
        </w:rPr>
        <w:softHyphen/>
        <w:t>րը կանխատեսվել են 2021 թվականի սպասողական մուտքերի՝ 318.6 մլն դրամի չափով՝ 2021  թվականի համար հաս</w:t>
      </w:r>
      <w:r w:rsidR="00EE1C9F" w:rsidRPr="002B1E92">
        <w:rPr>
          <w:rFonts w:eastAsia="Calibri" w:cs="Sylfaen"/>
          <w:b w:val="0"/>
          <w:szCs w:val="22"/>
          <w:lang w:val="af-ZA"/>
        </w:rPr>
        <w:softHyphen/>
        <w:t>տատ</w:t>
      </w:r>
      <w:r w:rsidR="00EE1C9F" w:rsidRPr="002B1E92">
        <w:rPr>
          <w:rFonts w:eastAsia="Calibri" w:cs="Sylfaen"/>
          <w:b w:val="0"/>
          <w:szCs w:val="22"/>
          <w:lang w:val="af-ZA"/>
        </w:rPr>
        <w:softHyphen/>
        <w:t>ված 437.0  մլն դրամի և 2020 թվականին փաս</w:t>
      </w:r>
      <w:r w:rsidR="00EE1C9F" w:rsidRPr="002B1E92">
        <w:rPr>
          <w:rFonts w:eastAsia="Calibri" w:cs="Sylfaen"/>
          <w:b w:val="0"/>
          <w:szCs w:val="22"/>
          <w:lang w:val="af-ZA"/>
        </w:rPr>
        <w:softHyphen/>
        <w:t>տացի ստացված 297.1 մլն դրամի դիմաց: 2021 թվականի սպասողական մուտքերը գնահատվել են 2021 թվականի առաջին 7 ամիսների փաստացի մուտքերի նկատմամբ կիրա</w:t>
      </w:r>
      <w:r w:rsidR="00EE1C9F" w:rsidRPr="002B1E92">
        <w:rPr>
          <w:rFonts w:eastAsia="Calibri" w:cs="Sylfaen"/>
          <w:b w:val="0"/>
          <w:szCs w:val="22"/>
          <w:lang w:val="af-ZA"/>
        </w:rPr>
        <w:softHyphen/>
        <w:t>ռելով 2018-2020 թվականների տարեկան մուտքերում առաջին 7 ամիս</w:t>
      </w:r>
      <w:r w:rsidR="00EE1C9F" w:rsidRPr="002B1E92">
        <w:rPr>
          <w:rFonts w:eastAsia="Calibri" w:cs="Sylfaen"/>
          <w:b w:val="0"/>
          <w:szCs w:val="22"/>
          <w:lang w:val="af-ZA"/>
        </w:rPr>
        <w:softHyphen/>
        <w:t>ների մուտ</w:t>
      </w:r>
      <w:r w:rsidR="00EE1C9F" w:rsidRPr="002B1E92">
        <w:rPr>
          <w:rFonts w:eastAsia="Calibri" w:cs="Sylfaen"/>
          <w:b w:val="0"/>
          <w:szCs w:val="22"/>
          <w:lang w:val="af-ZA"/>
        </w:rPr>
        <w:softHyphen/>
        <w:t>քերի տեսակարար կշիռների միջինացված ցուցանիշը:</w:t>
      </w:r>
    </w:p>
    <w:p w14:paraId="5A05D814" w14:textId="32B41ED4" w:rsidR="00EE1C9F" w:rsidRPr="002B1E92" w:rsidRDefault="00EE1C9F" w:rsidP="00EE1C9F">
      <w:pPr>
        <w:spacing w:before="0" w:line="276" w:lineRule="auto"/>
        <w:ind w:firstLine="538"/>
        <w:rPr>
          <w:rFonts w:eastAsia="Calibri"/>
          <w:b w:val="0"/>
          <w:szCs w:val="22"/>
          <w:lang w:val="af-ZA" w:eastAsia="en-US"/>
        </w:rPr>
      </w:pPr>
      <w:r w:rsidRPr="002B1E92">
        <w:rPr>
          <w:rFonts w:eastAsia="Calibri"/>
          <w:szCs w:val="22"/>
          <w:lang w:val="hy-AM" w:eastAsia="en-US"/>
        </w:rPr>
        <w:t>Ֆիզիկական անձանց տրվող իրավաբանական նշանակություն ունեցող փաստաթղթերի, որոշակի ծառայությունների կամ գործողությունների համար</w:t>
      </w:r>
      <w:r w:rsidRPr="002B1E92">
        <w:rPr>
          <w:rFonts w:eastAsia="Calibri"/>
          <w:b w:val="0"/>
          <w:szCs w:val="22"/>
          <w:lang w:val="hy-AM" w:eastAsia="en-US"/>
        </w:rPr>
        <w:t xml:space="preserve"> գանձ</w:t>
      </w:r>
      <w:r w:rsidRPr="002B1E92">
        <w:rPr>
          <w:rFonts w:eastAsia="Calibri"/>
          <w:b w:val="0"/>
          <w:szCs w:val="22"/>
          <w:lang w:val="hy-AM" w:eastAsia="en-US"/>
        </w:rPr>
        <w:softHyphen/>
        <w:t>վող պետական տուրքերի գծով 202</w:t>
      </w:r>
      <w:r w:rsidRPr="002B1E92">
        <w:rPr>
          <w:rFonts w:eastAsia="Calibri"/>
          <w:b w:val="0"/>
          <w:szCs w:val="22"/>
          <w:lang w:val="af-ZA" w:eastAsia="en-US"/>
        </w:rPr>
        <w:t>2</w:t>
      </w:r>
      <w:r w:rsidRPr="002B1E92">
        <w:rPr>
          <w:rFonts w:eastAsia="Calibri"/>
          <w:b w:val="0"/>
          <w:szCs w:val="22"/>
          <w:lang w:val="hy-AM" w:eastAsia="en-US"/>
        </w:rPr>
        <w:t xml:space="preserve"> թվականի մուտքերը կանխատեսվել են </w:t>
      </w:r>
      <w:r w:rsidRPr="002B1E92">
        <w:rPr>
          <w:rFonts w:eastAsia="Calibri"/>
          <w:b w:val="0"/>
          <w:szCs w:val="22"/>
          <w:lang w:val="af-ZA" w:eastAsia="en-US"/>
        </w:rPr>
        <w:t xml:space="preserve">2021 </w:t>
      </w:r>
      <w:r w:rsidRPr="002B1E92">
        <w:rPr>
          <w:rFonts w:eastAsia="Calibri"/>
          <w:b w:val="0"/>
          <w:szCs w:val="22"/>
          <w:lang w:val="en-US" w:eastAsia="en-US"/>
        </w:rPr>
        <w:t>թվականի</w:t>
      </w:r>
      <w:r w:rsidRPr="002B1E92">
        <w:rPr>
          <w:rFonts w:eastAsia="Calibri"/>
          <w:b w:val="0"/>
          <w:szCs w:val="22"/>
          <w:lang w:val="af-ZA" w:eastAsia="en-US"/>
        </w:rPr>
        <w:t xml:space="preserve"> </w:t>
      </w:r>
      <w:r w:rsidRPr="002B1E92">
        <w:rPr>
          <w:rFonts w:eastAsia="Calibri"/>
          <w:b w:val="0"/>
          <w:szCs w:val="22"/>
          <w:lang w:val="en-US" w:eastAsia="en-US"/>
        </w:rPr>
        <w:t>հաստատված</w:t>
      </w:r>
      <w:r w:rsidRPr="002B1E92">
        <w:rPr>
          <w:rFonts w:eastAsia="Calibri"/>
          <w:b w:val="0"/>
          <w:szCs w:val="22"/>
          <w:lang w:val="af-ZA" w:eastAsia="en-US"/>
        </w:rPr>
        <w:t xml:space="preserve"> </w:t>
      </w:r>
      <w:r w:rsidRPr="002B1E92">
        <w:rPr>
          <w:rFonts w:eastAsia="Calibri"/>
          <w:b w:val="0"/>
          <w:szCs w:val="22"/>
          <w:lang w:val="en-US" w:eastAsia="en-US"/>
        </w:rPr>
        <w:t>ցուցանիշի՝</w:t>
      </w:r>
      <w:r w:rsidRPr="002B1E92">
        <w:rPr>
          <w:rFonts w:eastAsia="Calibri"/>
          <w:b w:val="0"/>
          <w:szCs w:val="22"/>
          <w:lang w:val="hy-AM" w:eastAsia="en-US"/>
        </w:rPr>
        <w:t xml:space="preserve"> 2,</w:t>
      </w:r>
      <w:r w:rsidRPr="002B1E92">
        <w:rPr>
          <w:rFonts w:eastAsia="Calibri"/>
          <w:b w:val="0"/>
          <w:szCs w:val="22"/>
          <w:lang w:val="af-ZA" w:eastAsia="en-US"/>
        </w:rPr>
        <w:t>602.9</w:t>
      </w:r>
      <w:r w:rsidRPr="002B1E92">
        <w:rPr>
          <w:rFonts w:eastAsia="Calibri"/>
          <w:b w:val="0"/>
          <w:szCs w:val="22"/>
          <w:lang w:val="hy-AM" w:eastAsia="en-US"/>
        </w:rPr>
        <w:t xml:space="preserve"> մլն դրամի չափով՝ </w:t>
      </w:r>
      <w:r w:rsidRPr="002B1E92">
        <w:rPr>
          <w:rFonts w:eastAsia="Calibri"/>
          <w:b w:val="0"/>
          <w:szCs w:val="22"/>
          <w:lang w:val="af-ZA" w:eastAsia="en-US"/>
        </w:rPr>
        <w:t xml:space="preserve"> </w:t>
      </w:r>
      <w:r w:rsidRPr="002B1E92">
        <w:rPr>
          <w:rFonts w:eastAsia="Calibri"/>
          <w:b w:val="0"/>
          <w:szCs w:val="22"/>
          <w:lang w:val="en-US" w:eastAsia="en-US"/>
        </w:rPr>
        <w:t>հիմք</w:t>
      </w:r>
      <w:r w:rsidRPr="002B1E92">
        <w:rPr>
          <w:rFonts w:eastAsia="Calibri"/>
          <w:b w:val="0"/>
          <w:szCs w:val="22"/>
          <w:lang w:val="af-ZA" w:eastAsia="en-US"/>
        </w:rPr>
        <w:t xml:space="preserve"> </w:t>
      </w:r>
      <w:r w:rsidRPr="002B1E92">
        <w:rPr>
          <w:rFonts w:eastAsia="Calibri"/>
          <w:b w:val="0"/>
          <w:szCs w:val="22"/>
          <w:lang w:val="en-US" w:eastAsia="en-US"/>
        </w:rPr>
        <w:t>ընդունելով</w:t>
      </w:r>
      <w:r w:rsidRPr="002B1E92">
        <w:rPr>
          <w:rFonts w:eastAsia="Calibri"/>
          <w:b w:val="0"/>
          <w:szCs w:val="22"/>
          <w:lang w:val="af-ZA" w:eastAsia="en-US"/>
        </w:rPr>
        <w:t xml:space="preserve"> </w:t>
      </w:r>
      <w:r w:rsidRPr="002B1E92">
        <w:rPr>
          <w:rFonts w:eastAsia="Calibri"/>
          <w:b w:val="0"/>
          <w:szCs w:val="22"/>
          <w:lang w:val="en-US" w:eastAsia="en-US"/>
        </w:rPr>
        <w:t>փորձագիտական</w:t>
      </w:r>
      <w:r w:rsidRPr="002B1E92">
        <w:rPr>
          <w:rFonts w:eastAsia="Calibri"/>
          <w:b w:val="0"/>
          <w:szCs w:val="22"/>
          <w:lang w:val="af-ZA" w:eastAsia="en-US"/>
        </w:rPr>
        <w:t xml:space="preserve"> </w:t>
      </w:r>
      <w:r w:rsidRPr="002B1E92">
        <w:rPr>
          <w:rFonts w:eastAsia="Calibri"/>
          <w:b w:val="0"/>
          <w:szCs w:val="22"/>
          <w:lang w:val="en-US" w:eastAsia="en-US"/>
        </w:rPr>
        <w:t>գնահատականը</w:t>
      </w:r>
      <w:r w:rsidRPr="002B1E92">
        <w:rPr>
          <w:rFonts w:eastAsia="Calibri"/>
          <w:b w:val="0"/>
          <w:szCs w:val="22"/>
          <w:lang w:val="af-ZA" w:eastAsia="en-US"/>
        </w:rPr>
        <w:t xml:space="preserve">, </w:t>
      </w:r>
      <w:r w:rsidRPr="002B1E92">
        <w:rPr>
          <w:rFonts w:eastAsia="Calibri"/>
          <w:b w:val="0"/>
          <w:szCs w:val="22"/>
          <w:lang w:val="hy-AM" w:eastAsia="en-US"/>
        </w:rPr>
        <w:t xml:space="preserve">ներառյալ </w:t>
      </w:r>
      <w:r w:rsidR="00290EFB">
        <w:rPr>
          <w:rFonts w:eastAsia="Calibri"/>
          <w:b w:val="0"/>
          <w:szCs w:val="22"/>
          <w:lang w:val="hy-AM" w:eastAsia="en-US"/>
        </w:rPr>
        <w:t xml:space="preserve">կենսաչափական </w:t>
      </w:r>
      <w:r w:rsidRPr="002B1E92">
        <w:rPr>
          <w:rFonts w:eastAsia="Calibri"/>
          <w:b w:val="0"/>
          <w:szCs w:val="22"/>
          <w:lang w:val="hy-AM" w:eastAsia="en-US"/>
        </w:rPr>
        <w:t>անձնագրեր</w:t>
      </w:r>
      <w:r w:rsidR="00290EFB">
        <w:rPr>
          <w:rFonts w:eastAsia="Calibri"/>
          <w:b w:val="0"/>
          <w:szCs w:val="22"/>
          <w:lang w:val="hy-AM" w:eastAsia="en-US"/>
        </w:rPr>
        <w:t xml:space="preserve">, </w:t>
      </w:r>
      <w:r w:rsidRPr="002B1E92">
        <w:rPr>
          <w:rFonts w:eastAsia="Calibri"/>
          <w:b w:val="0"/>
          <w:szCs w:val="22"/>
          <w:lang w:val="hy-AM" w:eastAsia="en-US"/>
        </w:rPr>
        <w:t>նույնականացման քարտեր</w:t>
      </w:r>
      <w:r w:rsidR="00290EFB">
        <w:rPr>
          <w:rFonts w:eastAsia="Calibri"/>
          <w:b w:val="0"/>
          <w:szCs w:val="22"/>
          <w:lang w:val="hy-AM" w:eastAsia="en-US"/>
        </w:rPr>
        <w:t xml:space="preserve"> և այլ</w:t>
      </w:r>
      <w:r w:rsidRPr="002B1E92">
        <w:rPr>
          <w:rFonts w:eastAsia="Calibri"/>
          <w:b w:val="0"/>
          <w:szCs w:val="22"/>
          <w:lang w:val="af-ZA" w:eastAsia="en-US"/>
        </w:rPr>
        <w:t xml:space="preserve"> </w:t>
      </w:r>
      <w:r w:rsidRPr="002B1E92">
        <w:rPr>
          <w:rFonts w:eastAsia="Calibri"/>
          <w:b w:val="0"/>
          <w:szCs w:val="22"/>
          <w:lang w:val="en-US" w:eastAsia="en-US"/>
        </w:rPr>
        <w:t>փաստաթղթեր</w:t>
      </w:r>
      <w:r w:rsidRPr="002B1E92">
        <w:rPr>
          <w:rFonts w:eastAsia="Calibri"/>
          <w:b w:val="0"/>
          <w:szCs w:val="22"/>
          <w:lang w:val="af-ZA" w:eastAsia="en-US"/>
        </w:rPr>
        <w:t xml:space="preserve"> </w:t>
      </w:r>
      <w:r w:rsidR="00290EFB">
        <w:rPr>
          <w:rFonts w:eastAsia="Calibri"/>
          <w:b w:val="0"/>
          <w:szCs w:val="22"/>
          <w:lang w:val="hy-AM" w:eastAsia="en-US"/>
        </w:rPr>
        <w:t>(</w:t>
      </w:r>
      <w:r w:rsidRPr="002B1E92">
        <w:rPr>
          <w:rFonts w:eastAsia="Calibri"/>
          <w:b w:val="0"/>
          <w:szCs w:val="22"/>
          <w:lang w:val="en-US" w:eastAsia="en-US"/>
        </w:rPr>
        <w:t>այդ</w:t>
      </w:r>
      <w:r w:rsidRPr="002B1E92">
        <w:rPr>
          <w:rFonts w:eastAsia="Calibri"/>
          <w:b w:val="0"/>
          <w:szCs w:val="22"/>
          <w:lang w:val="af-ZA" w:eastAsia="en-US"/>
        </w:rPr>
        <w:t xml:space="preserve"> </w:t>
      </w:r>
      <w:r w:rsidRPr="002B1E92">
        <w:rPr>
          <w:rFonts w:eastAsia="Calibri"/>
          <w:b w:val="0"/>
          <w:szCs w:val="22"/>
          <w:lang w:val="en-US" w:eastAsia="en-US"/>
        </w:rPr>
        <w:t>թվում</w:t>
      </w:r>
      <w:r w:rsidRPr="002B1E92">
        <w:rPr>
          <w:rFonts w:eastAsia="Calibri"/>
          <w:b w:val="0"/>
          <w:szCs w:val="22"/>
          <w:lang w:val="af-ZA" w:eastAsia="en-US"/>
        </w:rPr>
        <w:t xml:space="preserve"> </w:t>
      </w:r>
      <w:r w:rsidRPr="002B1E92">
        <w:rPr>
          <w:rFonts w:eastAsia="Calibri"/>
          <w:b w:val="0"/>
          <w:szCs w:val="22"/>
          <w:lang w:val="en-US" w:eastAsia="en-US"/>
        </w:rPr>
        <w:t>ՀՀ</w:t>
      </w:r>
      <w:r w:rsidRPr="002B1E92">
        <w:rPr>
          <w:rFonts w:eastAsia="Calibri"/>
          <w:b w:val="0"/>
          <w:szCs w:val="22"/>
          <w:lang w:val="af-ZA" w:eastAsia="en-US"/>
        </w:rPr>
        <w:t xml:space="preserve"> </w:t>
      </w:r>
      <w:r w:rsidRPr="002B1E92">
        <w:rPr>
          <w:rFonts w:eastAsia="Calibri"/>
          <w:b w:val="0"/>
          <w:szCs w:val="22"/>
          <w:lang w:val="en-US" w:eastAsia="en-US"/>
        </w:rPr>
        <w:t>քաղաքացու</w:t>
      </w:r>
      <w:r w:rsidRPr="002B1E92">
        <w:rPr>
          <w:rFonts w:eastAsia="Calibri"/>
          <w:b w:val="0"/>
          <w:szCs w:val="22"/>
          <w:lang w:val="af-ZA" w:eastAsia="en-US"/>
        </w:rPr>
        <w:t xml:space="preserve"> </w:t>
      </w:r>
      <w:r w:rsidRPr="002B1E92">
        <w:rPr>
          <w:rFonts w:eastAsia="Calibri"/>
          <w:b w:val="0"/>
          <w:szCs w:val="22"/>
          <w:lang w:val="en-US" w:eastAsia="en-US"/>
        </w:rPr>
        <w:t>անձնագիր</w:t>
      </w:r>
      <w:r w:rsidR="00290EFB">
        <w:rPr>
          <w:rFonts w:eastAsia="Calibri"/>
          <w:b w:val="0"/>
          <w:szCs w:val="22"/>
          <w:lang w:val="hy-AM" w:eastAsia="en-US"/>
        </w:rPr>
        <w:t>)</w:t>
      </w:r>
      <w:r w:rsidRPr="002B1E92">
        <w:rPr>
          <w:rFonts w:eastAsia="Calibri"/>
          <w:b w:val="0"/>
          <w:szCs w:val="22"/>
          <w:lang w:val="af-ZA" w:eastAsia="en-US"/>
        </w:rPr>
        <w:t xml:space="preserve"> </w:t>
      </w:r>
      <w:r w:rsidRPr="002B1E92">
        <w:rPr>
          <w:rFonts w:eastAsia="Calibri"/>
          <w:b w:val="0"/>
          <w:szCs w:val="22"/>
          <w:lang w:val="en-US" w:eastAsia="en-US"/>
        </w:rPr>
        <w:t>տալու</w:t>
      </w:r>
      <w:r w:rsidRPr="002B1E92">
        <w:rPr>
          <w:rFonts w:eastAsia="Calibri"/>
          <w:b w:val="0"/>
          <w:szCs w:val="22"/>
          <w:lang w:val="af-ZA" w:eastAsia="en-US"/>
        </w:rPr>
        <w:t xml:space="preserve"> </w:t>
      </w:r>
      <w:r w:rsidRPr="002B1E92">
        <w:rPr>
          <w:rFonts w:eastAsia="Calibri"/>
          <w:b w:val="0"/>
          <w:szCs w:val="22"/>
          <w:lang w:val="en-US" w:eastAsia="en-US"/>
        </w:rPr>
        <w:t>համար</w:t>
      </w:r>
      <w:r w:rsidRPr="002B1E92">
        <w:rPr>
          <w:rFonts w:eastAsia="Calibri"/>
          <w:b w:val="0"/>
          <w:szCs w:val="22"/>
          <w:lang w:val="hy-AM" w:eastAsia="en-US"/>
        </w:rPr>
        <w:t xml:space="preserve"> </w:t>
      </w:r>
      <w:bookmarkStart w:id="245" w:name="_GoBack"/>
      <w:bookmarkEnd w:id="245"/>
      <w:r w:rsidRPr="002B1E92">
        <w:rPr>
          <w:rFonts w:eastAsia="Calibri"/>
          <w:b w:val="0"/>
          <w:szCs w:val="22"/>
          <w:lang w:val="hy-AM" w:eastAsia="en-US"/>
        </w:rPr>
        <w:t>ներկայացված գնահատականները՝ համապատասխանաբար</w:t>
      </w:r>
      <w:r w:rsidRPr="002B1E92">
        <w:rPr>
          <w:rFonts w:eastAsia="Calibri"/>
          <w:b w:val="0"/>
          <w:szCs w:val="22"/>
          <w:lang w:val="af-ZA" w:eastAsia="en-US"/>
        </w:rPr>
        <w:t xml:space="preserve"> 22</w:t>
      </w:r>
      <w:r w:rsidR="000A48F4">
        <w:rPr>
          <w:rFonts w:eastAsia="Calibri"/>
          <w:b w:val="0"/>
          <w:szCs w:val="22"/>
          <w:lang w:val="hy-AM" w:eastAsia="en-US"/>
        </w:rPr>
        <w:t>6</w:t>
      </w:r>
      <w:r w:rsidRPr="002B1E92">
        <w:rPr>
          <w:rFonts w:eastAsia="Calibri"/>
          <w:b w:val="0"/>
          <w:szCs w:val="22"/>
          <w:lang w:val="af-ZA" w:eastAsia="en-US"/>
        </w:rPr>
        <w:t>.5</w:t>
      </w:r>
      <w:r w:rsidRPr="002B1E92">
        <w:rPr>
          <w:rFonts w:eastAsia="Calibri"/>
          <w:b w:val="0"/>
          <w:szCs w:val="22"/>
          <w:lang w:val="hy-AM" w:eastAsia="en-US"/>
        </w:rPr>
        <w:t xml:space="preserve"> մլն և  </w:t>
      </w:r>
      <w:r w:rsidRPr="002B1E92">
        <w:rPr>
          <w:rFonts w:eastAsia="Calibri"/>
          <w:b w:val="0"/>
          <w:szCs w:val="22"/>
          <w:lang w:val="af-ZA" w:eastAsia="en-US"/>
        </w:rPr>
        <w:t>172.1</w:t>
      </w:r>
      <w:r w:rsidRPr="002B1E92">
        <w:rPr>
          <w:rFonts w:eastAsia="Calibri"/>
          <w:b w:val="0"/>
          <w:szCs w:val="22"/>
          <w:lang w:val="hy-AM" w:eastAsia="en-US"/>
        </w:rPr>
        <w:t xml:space="preserve"> մլն </w:t>
      </w:r>
      <w:r w:rsidRPr="002B1E92">
        <w:rPr>
          <w:rFonts w:eastAsia="Calibri"/>
          <w:b w:val="0"/>
          <w:szCs w:val="22"/>
          <w:lang w:val="en-US" w:eastAsia="en-US"/>
        </w:rPr>
        <w:t>և</w:t>
      </w:r>
      <w:r w:rsidRPr="002B1E92">
        <w:rPr>
          <w:rFonts w:eastAsia="Calibri"/>
          <w:b w:val="0"/>
          <w:szCs w:val="22"/>
          <w:lang w:val="af-ZA" w:eastAsia="en-US"/>
        </w:rPr>
        <w:t xml:space="preserve"> 2,204.3 </w:t>
      </w:r>
      <w:r w:rsidRPr="002B1E92">
        <w:rPr>
          <w:rFonts w:eastAsia="Calibri"/>
          <w:b w:val="0"/>
          <w:szCs w:val="22"/>
          <w:lang w:val="en-US" w:eastAsia="en-US"/>
        </w:rPr>
        <w:t>մլն</w:t>
      </w:r>
      <w:r w:rsidRPr="002B1E92">
        <w:rPr>
          <w:rFonts w:eastAsia="Calibri"/>
          <w:b w:val="0"/>
          <w:szCs w:val="22"/>
          <w:lang w:val="af-ZA" w:eastAsia="en-US"/>
        </w:rPr>
        <w:t xml:space="preserve"> </w:t>
      </w:r>
      <w:r w:rsidRPr="002B1E92">
        <w:rPr>
          <w:rFonts w:eastAsia="Calibri"/>
          <w:b w:val="0"/>
          <w:szCs w:val="22"/>
          <w:lang w:val="hy-AM" w:eastAsia="en-US"/>
        </w:rPr>
        <w:t>դրամի չափով, 20</w:t>
      </w:r>
      <w:r w:rsidRPr="002B1E92">
        <w:rPr>
          <w:rFonts w:eastAsia="Calibri"/>
          <w:b w:val="0"/>
          <w:szCs w:val="22"/>
          <w:lang w:val="af-ZA" w:eastAsia="en-US"/>
        </w:rPr>
        <w:t>20</w:t>
      </w:r>
      <w:r w:rsidRPr="002B1E92">
        <w:rPr>
          <w:rFonts w:eastAsia="Calibri"/>
          <w:b w:val="0"/>
          <w:szCs w:val="22"/>
          <w:lang w:val="hy-AM" w:eastAsia="en-US"/>
        </w:rPr>
        <w:t xml:space="preserve"> թվականին փաստացի ստացված </w:t>
      </w:r>
      <w:r w:rsidRPr="002B1E92">
        <w:rPr>
          <w:rFonts w:eastAsia="Calibri"/>
          <w:b w:val="0"/>
          <w:szCs w:val="22"/>
          <w:lang w:val="af-ZA" w:eastAsia="en-US"/>
        </w:rPr>
        <w:t xml:space="preserve">93.4 </w:t>
      </w:r>
      <w:r w:rsidRPr="002B1E92">
        <w:rPr>
          <w:rFonts w:eastAsia="Calibri"/>
          <w:b w:val="0"/>
          <w:szCs w:val="22"/>
          <w:lang w:val="en-US" w:eastAsia="en-US"/>
        </w:rPr>
        <w:t>մլն</w:t>
      </w:r>
      <w:r w:rsidRPr="002B1E92">
        <w:rPr>
          <w:rFonts w:eastAsia="Calibri"/>
          <w:b w:val="0"/>
          <w:szCs w:val="22"/>
          <w:lang w:val="af-ZA" w:eastAsia="en-US"/>
        </w:rPr>
        <w:t xml:space="preserve">, 149.3 </w:t>
      </w:r>
      <w:r w:rsidRPr="002B1E92">
        <w:rPr>
          <w:rFonts w:eastAsia="Calibri"/>
          <w:b w:val="0"/>
          <w:szCs w:val="22"/>
          <w:lang w:val="en-US" w:eastAsia="en-US"/>
        </w:rPr>
        <w:t>մլն</w:t>
      </w:r>
      <w:r w:rsidRPr="002B1E92">
        <w:rPr>
          <w:rFonts w:eastAsia="Calibri"/>
          <w:b w:val="0"/>
          <w:szCs w:val="22"/>
          <w:lang w:val="af-ZA" w:eastAsia="en-US"/>
        </w:rPr>
        <w:t xml:space="preserve"> </w:t>
      </w:r>
      <w:r w:rsidRPr="002B1E92">
        <w:rPr>
          <w:rFonts w:eastAsia="Calibri"/>
          <w:b w:val="0"/>
          <w:szCs w:val="22"/>
          <w:lang w:val="en-US" w:eastAsia="en-US"/>
        </w:rPr>
        <w:t>և</w:t>
      </w:r>
      <w:r w:rsidRPr="002B1E92">
        <w:rPr>
          <w:rFonts w:eastAsia="Calibri"/>
          <w:b w:val="0"/>
          <w:szCs w:val="22"/>
          <w:lang w:val="af-ZA" w:eastAsia="en-US"/>
        </w:rPr>
        <w:t xml:space="preserve"> 944.3 </w:t>
      </w:r>
      <w:r w:rsidRPr="002B1E92">
        <w:rPr>
          <w:rFonts w:eastAsia="Calibri"/>
          <w:b w:val="0"/>
          <w:szCs w:val="22"/>
          <w:lang w:val="hy-AM" w:eastAsia="en-US"/>
        </w:rPr>
        <w:t>մլն դրա</w:t>
      </w:r>
      <w:r w:rsidRPr="002B1E92">
        <w:rPr>
          <w:rFonts w:eastAsia="Calibri"/>
          <w:b w:val="0"/>
          <w:szCs w:val="22"/>
          <w:lang w:val="hy-AM" w:eastAsia="en-US"/>
        </w:rPr>
        <w:softHyphen/>
        <w:t>մի դիմաց</w:t>
      </w:r>
      <w:r w:rsidRPr="002B1E92">
        <w:rPr>
          <w:rFonts w:eastAsia="Calibri"/>
          <w:b w:val="0"/>
          <w:szCs w:val="22"/>
          <w:lang w:val="af-ZA" w:eastAsia="en-US"/>
        </w:rPr>
        <w:t>:</w:t>
      </w:r>
      <w:r w:rsidRPr="002B1E92">
        <w:rPr>
          <w:rFonts w:eastAsia="Calibri"/>
          <w:b w:val="0"/>
          <w:szCs w:val="22"/>
          <w:lang w:val="hy-AM" w:eastAsia="en-US"/>
        </w:rPr>
        <w:t xml:space="preserve"> </w:t>
      </w:r>
    </w:p>
    <w:p w14:paraId="2D3F5321" w14:textId="77777777" w:rsidR="00EE1C9F" w:rsidRPr="002B1E92" w:rsidRDefault="00EE1C9F" w:rsidP="00EE1C9F">
      <w:pPr>
        <w:spacing w:before="0" w:line="276" w:lineRule="auto"/>
        <w:ind w:firstLine="538"/>
        <w:rPr>
          <w:rFonts w:cs="Sylfaen"/>
          <w:b w:val="0"/>
          <w:szCs w:val="22"/>
          <w:lang w:val="af-ZA"/>
        </w:rPr>
      </w:pPr>
      <w:r w:rsidRPr="002B1E92">
        <w:rPr>
          <w:rFonts w:eastAsia="Calibri"/>
          <w:szCs w:val="22"/>
          <w:lang w:val="hy-AM" w:eastAsia="en-US"/>
        </w:rPr>
        <w:t>Լիցենզավորման ենթակա գործունեություն իրականացնելու համար</w:t>
      </w:r>
      <w:r w:rsidRPr="002B1E92">
        <w:rPr>
          <w:rFonts w:eastAsia="Calibri"/>
          <w:b w:val="0"/>
          <w:szCs w:val="22"/>
          <w:lang w:val="hy-AM" w:eastAsia="en-US"/>
        </w:rPr>
        <w:t xml:space="preserve"> գանձ</w:t>
      </w:r>
      <w:r w:rsidRPr="002B1E92">
        <w:rPr>
          <w:rFonts w:eastAsia="Calibri"/>
          <w:b w:val="0"/>
          <w:szCs w:val="22"/>
          <w:lang w:val="hy-AM" w:eastAsia="en-US"/>
        </w:rPr>
        <w:softHyphen/>
        <w:t>վող պետա</w:t>
      </w:r>
      <w:r w:rsidRPr="002B1E92">
        <w:rPr>
          <w:rFonts w:eastAsia="Calibri"/>
          <w:b w:val="0"/>
          <w:szCs w:val="22"/>
          <w:lang w:val="hy-AM" w:eastAsia="en-US"/>
        </w:rPr>
        <w:softHyphen/>
      </w:r>
      <w:r w:rsidRPr="002B1E92">
        <w:rPr>
          <w:rFonts w:eastAsia="Calibri"/>
          <w:b w:val="0"/>
          <w:szCs w:val="22"/>
          <w:lang w:val="hy-AM" w:eastAsia="en-US"/>
        </w:rPr>
        <w:softHyphen/>
        <w:t>կան տուրքերի գծով 202</w:t>
      </w:r>
      <w:r w:rsidRPr="002B1E92">
        <w:rPr>
          <w:rFonts w:eastAsia="Calibri"/>
          <w:b w:val="0"/>
          <w:szCs w:val="22"/>
          <w:lang w:val="af-ZA" w:eastAsia="en-US"/>
        </w:rPr>
        <w:t>2</w:t>
      </w:r>
      <w:r w:rsidRPr="002B1E92">
        <w:rPr>
          <w:rFonts w:eastAsia="Calibri"/>
          <w:b w:val="0"/>
          <w:szCs w:val="22"/>
          <w:lang w:val="hy-AM" w:eastAsia="en-US"/>
        </w:rPr>
        <w:t xml:space="preserve"> թվականի մուտքերը կանխատեսվել են </w:t>
      </w:r>
      <w:r w:rsidRPr="002B1E92">
        <w:rPr>
          <w:rFonts w:eastAsia="Calibri"/>
          <w:b w:val="0"/>
          <w:szCs w:val="22"/>
          <w:lang w:val="af-ZA" w:eastAsia="en-US"/>
        </w:rPr>
        <w:t>63,599.6</w:t>
      </w:r>
      <w:r w:rsidRPr="002B1E92">
        <w:rPr>
          <w:rFonts w:eastAsia="Calibri"/>
          <w:b w:val="0"/>
          <w:szCs w:val="22"/>
          <w:lang w:val="hy-AM" w:eastAsia="en-US"/>
        </w:rPr>
        <w:t xml:space="preserve"> մլն դրամի չա</w:t>
      </w:r>
      <w:r w:rsidRPr="002B1E92">
        <w:rPr>
          <w:rFonts w:eastAsia="Calibri"/>
          <w:b w:val="0"/>
          <w:szCs w:val="22"/>
          <w:lang w:val="hy-AM" w:eastAsia="en-US"/>
        </w:rPr>
        <w:softHyphen/>
      </w:r>
      <w:r w:rsidRPr="002B1E92">
        <w:rPr>
          <w:rFonts w:eastAsia="Calibri"/>
          <w:b w:val="0"/>
          <w:szCs w:val="22"/>
          <w:lang w:val="hy-AM" w:eastAsia="en-US"/>
        </w:rPr>
        <w:softHyphen/>
        <w:t>փով` 20</w:t>
      </w:r>
      <w:r w:rsidRPr="002B1E92">
        <w:rPr>
          <w:rFonts w:eastAsia="Calibri"/>
          <w:b w:val="0"/>
          <w:szCs w:val="22"/>
          <w:lang w:val="af-ZA" w:eastAsia="en-US"/>
        </w:rPr>
        <w:t>21</w:t>
      </w:r>
      <w:r w:rsidRPr="002B1E92">
        <w:rPr>
          <w:rFonts w:eastAsia="Calibri"/>
          <w:b w:val="0"/>
          <w:szCs w:val="22"/>
          <w:lang w:val="hy-AM" w:eastAsia="en-US"/>
        </w:rPr>
        <w:t xml:space="preserve"> թվականի համար հաստատված 1</w:t>
      </w:r>
      <w:r w:rsidRPr="002B1E92">
        <w:rPr>
          <w:rFonts w:eastAsia="Calibri"/>
          <w:b w:val="0"/>
          <w:szCs w:val="22"/>
          <w:lang w:val="af-ZA" w:eastAsia="en-US"/>
        </w:rPr>
        <w:t>5,502.6</w:t>
      </w:r>
      <w:r w:rsidRPr="002B1E92">
        <w:rPr>
          <w:rFonts w:eastAsia="Calibri"/>
          <w:b w:val="0"/>
          <w:szCs w:val="22"/>
          <w:lang w:val="hy-AM" w:eastAsia="en-US"/>
        </w:rPr>
        <w:t>մլն և 20</w:t>
      </w:r>
      <w:r w:rsidRPr="002B1E92">
        <w:rPr>
          <w:rFonts w:eastAsia="Calibri"/>
          <w:b w:val="0"/>
          <w:szCs w:val="22"/>
          <w:lang w:val="af-ZA" w:eastAsia="en-US"/>
        </w:rPr>
        <w:t>20</w:t>
      </w:r>
      <w:r w:rsidRPr="002B1E92">
        <w:rPr>
          <w:rFonts w:eastAsia="Calibri"/>
          <w:b w:val="0"/>
          <w:szCs w:val="22"/>
          <w:lang w:val="hy-AM" w:eastAsia="en-US"/>
        </w:rPr>
        <w:t xml:space="preserve"> թվականին փաստա</w:t>
      </w:r>
      <w:r w:rsidRPr="002B1E92">
        <w:rPr>
          <w:rFonts w:eastAsia="Calibri"/>
          <w:b w:val="0"/>
          <w:szCs w:val="22"/>
          <w:lang w:val="hy-AM" w:eastAsia="en-US"/>
        </w:rPr>
        <w:softHyphen/>
        <w:t>ցի ստաց</w:t>
      </w:r>
      <w:r w:rsidRPr="002B1E92">
        <w:rPr>
          <w:rFonts w:eastAsia="Calibri"/>
          <w:b w:val="0"/>
          <w:szCs w:val="22"/>
          <w:lang w:val="hy-AM" w:eastAsia="en-US"/>
        </w:rPr>
        <w:softHyphen/>
        <w:t>ված 1</w:t>
      </w:r>
      <w:r w:rsidRPr="002B1E92">
        <w:rPr>
          <w:rFonts w:eastAsia="Calibri"/>
          <w:b w:val="0"/>
          <w:szCs w:val="22"/>
          <w:lang w:val="af-ZA" w:eastAsia="en-US"/>
        </w:rPr>
        <w:t>3,675.7</w:t>
      </w:r>
      <w:r w:rsidRPr="002B1E92">
        <w:rPr>
          <w:rFonts w:eastAsia="Calibri"/>
          <w:b w:val="0"/>
          <w:szCs w:val="22"/>
          <w:lang w:val="hy-AM" w:eastAsia="en-US"/>
        </w:rPr>
        <w:t xml:space="preserve"> մլն դրամի դիմաց:</w:t>
      </w:r>
      <w:r w:rsidRPr="002B1E92">
        <w:rPr>
          <w:rFonts w:eastAsia="Calibri" w:cs="GHEA Grapalat"/>
          <w:b w:val="0"/>
          <w:szCs w:val="22"/>
          <w:lang w:val="hy-AM" w:eastAsia="en-US"/>
        </w:rPr>
        <w:t xml:space="preserve"> «Պետական տուրքի մասին»</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ՀՀ</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օրենքում</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կատարվել</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են</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փոփոխություններ</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որոնցով</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սահմանվել</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են</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բարձր</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դրույքաչափերով</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պետական</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տուրքերի</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նոր</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տեսակներ</w:t>
      </w:r>
      <w:r w:rsidRPr="002B1E92">
        <w:rPr>
          <w:rFonts w:eastAsia="Calibri" w:cs="GHEA Grapalat"/>
          <w:b w:val="0"/>
          <w:szCs w:val="22"/>
          <w:lang w:val="af-ZA" w:eastAsia="en-US"/>
        </w:rPr>
        <w:t>:</w:t>
      </w:r>
      <w:r w:rsidRPr="002B1E92">
        <w:rPr>
          <w:rFonts w:eastAsia="Calibri" w:cs="GHEA Grapalat"/>
          <w:b w:val="0"/>
          <w:szCs w:val="22"/>
          <w:lang w:val="hy-AM" w:eastAsia="en-US"/>
        </w:rPr>
        <w:t xml:space="preserve"> «Պետական տուրքի մասին» Հայաստանի Հանրապետության օրենքում լրացումներ և փոփոխություններ կատարելու մասին» </w:t>
      </w:r>
      <w:r w:rsidRPr="002B1E92">
        <w:rPr>
          <w:rFonts w:eastAsia="Calibri" w:cs="GHEA Grapalat"/>
          <w:b w:val="0"/>
          <w:szCs w:val="22"/>
          <w:lang w:val="af-ZA" w:eastAsia="en-US"/>
        </w:rPr>
        <w:t>03.06.2021</w:t>
      </w:r>
      <w:r w:rsidRPr="002B1E92">
        <w:rPr>
          <w:rFonts w:eastAsia="Calibri" w:cs="GHEA Grapalat"/>
          <w:b w:val="0"/>
          <w:szCs w:val="22"/>
          <w:lang w:val="hy-AM" w:eastAsia="en-US"/>
        </w:rPr>
        <w:t>թ. ՀՕ-</w:t>
      </w:r>
      <w:r w:rsidRPr="002B1E92">
        <w:rPr>
          <w:rFonts w:eastAsia="Calibri" w:cs="GHEA Grapalat"/>
          <w:b w:val="0"/>
          <w:szCs w:val="22"/>
          <w:lang w:val="af-ZA" w:eastAsia="en-US"/>
        </w:rPr>
        <w:t>279</w:t>
      </w:r>
      <w:r w:rsidRPr="002B1E92">
        <w:rPr>
          <w:rFonts w:eastAsia="Calibri" w:cs="GHEA Grapalat"/>
          <w:b w:val="0"/>
          <w:szCs w:val="22"/>
          <w:lang w:val="hy-AM" w:eastAsia="en-US"/>
        </w:rPr>
        <w:t>-Ն օրենք</w:t>
      </w:r>
      <w:r w:rsidRPr="002B1E92">
        <w:rPr>
          <w:rFonts w:eastAsia="Calibri" w:cs="GHEA Grapalat"/>
          <w:b w:val="0"/>
          <w:szCs w:val="22"/>
          <w:lang w:val="en-US" w:eastAsia="en-US"/>
        </w:rPr>
        <w:t>ով</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սահմանվել</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է</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պետական</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տուրք</w:t>
      </w:r>
      <w:r w:rsidRPr="002B1E92">
        <w:rPr>
          <w:rFonts w:eastAsia="Calibri" w:cs="GHEA Grapalat"/>
          <w:b w:val="0"/>
          <w:szCs w:val="22"/>
          <w:lang w:val="af-ZA" w:eastAsia="en-US"/>
        </w:rPr>
        <w:t xml:space="preserve"> </w:t>
      </w:r>
      <w:r w:rsidRPr="002B1E92">
        <w:rPr>
          <w:rFonts w:eastAsia="Calibri" w:cs="GHEA Grapalat"/>
          <w:b w:val="0"/>
          <w:szCs w:val="22"/>
          <w:lang w:val="en-US" w:eastAsia="en-US"/>
        </w:rPr>
        <w:t>ա</w:t>
      </w:r>
      <w:r w:rsidRPr="002B1E92">
        <w:rPr>
          <w:rFonts w:eastAsia="Calibri" w:cs="Sylfaen"/>
          <w:b w:val="0"/>
          <w:szCs w:val="22"/>
          <w:lang w:val="en-US" w:eastAsia="en-US"/>
        </w:rPr>
        <w:t>րտադրական</w:t>
      </w:r>
      <w:r w:rsidRPr="002B1E92">
        <w:rPr>
          <w:rFonts w:eastAsia="Calibri" w:cs="Sylfaen"/>
          <w:b w:val="0"/>
          <w:szCs w:val="22"/>
          <w:lang w:val="af-ZA" w:eastAsia="en-US"/>
        </w:rPr>
        <w:t xml:space="preserve"> </w:t>
      </w:r>
      <w:r w:rsidRPr="002B1E92">
        <w:rPr>
          <w:rFonts w:eastAsia="Calibri" w:cs="Sylfaen"/>
          <w:b w:val="0"/>
          <w:szCs w:val="22"/>
          <w:lang w:val="en-US" w:eastAsia="en-US"/>
        </w:rPr>
        <w:t>կանեփի</w:t>
      </w:r>
      <w:r w:rsidRPr="002B1E92">
        <w:rPr>
          <w:rFonts w:eastAsia="Calibri" w:cs="Sylfaen"/>
          <w:b w:val="0"/>
          <w:szCs w:val="22"/>
          <w:lang w:val="af-ZA" w:eastAsia="en-US"/>
        </w:rPr>
        <w:t xml:space="preserve"> </w:t>
      </w:r>
      <w:r w:rsidRPr="002B1E92">
        <w:rPr>
          <w:rFonts w:eastAsia="Calibri" w:cs="Sylfaen"/>
          <w:b w:val="0"/>
          <w:szCs w:val="22"/>
          <w:lang w:val="en-US" w:eastAsia="en-US"/>
        </w:rPr>
        <w:t>արտադրություն</w:t>
      </w:r>
      <w:r w:rsidRPr="002B1E92">
        <w:rPr>
          <w:rFonts w:eastAsia="Calibri" w:cs="Sylfaen"/>
          <w:b w:val="0"/>
          <w:szCs w:val="22"/>
          <w:lang w:val="af-ZA" w:eastAsia="en-US"/>
        </w:rPr>
        <w:t xml:space="preserve">, </w:t>
      </w:r>
      <w:r w:rsidRPr="002B1E92">
        <w:rPr>
          <w:rFonts w:eastAsia="Calibri" w:cs="Sylfaen"/>
          <w:b w:val="0"/>
          <w:szCs w:val="22"/>
          <w:lang w:val="en-US" w:eastAsia="en-US"/>
        </w:rPr>
        <w:t>ներմուծում</w:t>
      </w:r>
      <w:r w:rsidRPr="002B1E92">
        <w:rPr>
          <w:rFonts w:eastAsia="Calibri" w:cs="Sylfaen"/>
          <w:b w:val="0"/>
          <w:szCs w:val="22"/>
          <w:lang w:val="af-ZA" w:eastAsia="en-US"/>
        </w:rPr>
        <w:t xml:space="preserve">, </w:t>
      </w:r>
      <w:r w:rsidRPr="002B1E92">
        <w:rPr>
          <w:rFonts w:eastAsia="Calibri" w:cs="Sylfaen"/>
          <w:b w:val="0"/>
          <w:szCs w:val="22"/>
          <w:lang w:val="en-US" w:eastAsia="en-US"/>
        </w:rPr>
        <w:t>արտահանում</w:t>
      </w:r>
      <w:r w:rsidRPr="002B1E92">
        <w:rPr>
          <w:rFonts w:eastAsia="Calibri" w:cs="Sylfaen"/>
          <w:b w:val="0"/>
          <w:szCs w:val="22"/>
          <w:lang w:val="af-ZA" w:eastAsia="en-US"/>
        </w:rPr>
        <w:t xml:space="preserve"> </w:t>
      </w:r>
      <w:r w:rsidRPr="002B1E92">
        <w:rPr>
          <w:rFonts w:eastAsia="Calibri" w:cs="Sylfaen"/>
          <w:b w:val="0"/>
          <w:szCs w:val="22"/>
          <w:lang w:val="en-US" w:eastAsia="en-US"/>
        </w:rPr>
        <w:t>կամ</w:t>
      </w:r>
      <w:r w:rsidRPr="002B1E92">
        <w:rPr>
          <w:rFonts w:eastAsia="Calibri" w:cs="Sylfaen"/>
          <w:b w:val="0"/>
          <w:szCs w:val="22"/>
          <w:lang w:val="af-ZA" w:eastAsia="en-US"/>
        </w:rPr>
        <w:t xml:space="preserve"> </w:t>
      </w:r>
      <w:r w:rsidRPr="002B1E92">
        <w:rPr>
          <w:rFonts w:eastAsia="Calibri" w:cs="Sylfaen"/>
          <w:b w:val="0"/>
          <w:szCs w:val="22"/>
          <w:lang w:val="en-US" w:eastAsia="en-US"/>
        </w:rPr>
        <w:t>մեծածախ</w:t>
      </w:r>
      <w:r w:rsidRPr="002B1E92">
        <w:rPr>
          <w:rFonts w:eastAsia="Calibri" w:cs="Sylfaen"/>
          <w:b w:val="0"/>
          <w:szCs w:val="22"/>
          <w:lang w:val="af-ZA" w:eastAsia="en-US"/>
        </w:rPr>
        <w:t xml:space="preserve"> </w:t>
      </w:r>
      <w:r w:rsidRPr="002B1E92">
        <w:rPr>
          <w:rFonts w:eastAsia="Calibri" w:cs="Sylfaen"/>
          <w:b w:val="0"/>
          <w:szCs w:val="22"/>
          <w:lang w:val="en-US" w:eastAsia="en-US"/>
        </w:rPr>
        <w:t>առևտուր</w:t>
      </w:r>
      <w:r w:rsidRPr="002B1E92">
        <w:rPr>
          <w:rFonts w:eastAsia="Calibri" w:cs="Sylfaen"/>
          <w:b w:val="0"/>
          <w:szCs w:val="22"/>
          <w:lang w:val="af-ZA" w:eastAsia="en-US"/>
        </w:rPr>
        <w:t xml:space="preserve"> </w:t>
      </w:r>
      <w:r w:rsidRPr="002B1E92">
        <w:rPr>
          <w:rFonts w:eastAsia="Calibri" w:cs="Sylfaen"/>
          <w:b w:val="0"/>
          <w:szCs w:val="22"/>
          <w:lang w:val="en-US" w:eastAsia="en-US"/>
        </w:rPr>
        <w:t>իրականացնելու</w:t>
      </w:r>
      <w:r w:rsidRPr="002B1E92">
        <w:rPr>
          <w:rFonts w:eastAsia="Calibri" w:cs="Sylfaen"/>
          <w:b w:val="0"/>
          <w:szCs w:val="22"/>
          <w:lang w:val="af-ZA" w:eastAsia="en-US"/>
        </w:rPr>
        <w:t xml:space="preserve"> </w:t>
      </w:r>
      <w:r w:rsidRPr="002B1E92">
        <w:rPr>
          <w:rFonts w:eastAsia="Calibri" w:cs="Sylfaen"/>
          <w:b w:val="0"/>
          <w:szCs w:val="22"/>
          <w:lang w:val="en-US" w:eastAsia="en-US"/>
        </w:rPr>
        <w:t>լիցենզիաների</w:t>
      </w:r>
      <w:r w:rsidRPr="002B1E92">
        <w:rPr>
          <w:rFonts w:eastAsia="Calibri" w:cs="Sylfaen"/>
          <w:b w:val="0"/>
          <w:szCs w:val="22"/>
          <w:lang w:val="af-ZA" w:eastAsia="en-US"/>
        </w:rPr>
        <w:t xml:space="preserve"> </w:t>
      </w:r>
      <w:r w:rsidRPr="002B1E92">
        <w:rPr>
          <w:rFonts w:eastAsia="Calibri" w:cs="Sylfaen"/>
          <w:b w:val="0"/>
          <w:szCs w:val="22"/>
          <w:lang w:val="en-US" w:eastAsia="en-US"/>
        </w:rPr>
        <w:t>համար</w:t>
      </w:r>
      <w:r w:rsidRPr="002B1E92">
        <w:rPr>
          <w:rFonts w:eastAsia="Calibri" w:cs="Sylfaen"/>
          <w:b w:val="0"/>
          <w:szCs w:val="22"/>
          <w:lang w:val="af-ZA" w:eastAsia="en-US"/>
        </w:rPr>
        <w:t xml:space="preserve">, </w:t>
      </w:r>
      <w:r w:rsidRPr="002B1E92">
        <w:rPr>
          <w:rFonts w:eastAsia="Calibri" w:cs="Sylfaen"/>
          <w:b w:val="0"/>
          <w:szCs w:val="22"/>
          <w:lang w:val="en-US" w:eastAsia="en-US"/>
        </w:rPr>
        <w:t>իսկ</w:t>
      </w:r>
      <w:r w:rsidRPr="002B1E92">
        <w:rPr>
          <w:rFonts w:eastAsia="Calibri" w:cs="Sylfaen"/>
          <w:b w:val="0"/>
          <w:szCs w:val="22"/>
          <w:lang w:val="af-ZA" w:eastAsia="en-US"/>
        </w:rPr>
        <w:t xml:space="preserve"> </w:t>
      </w:r>
      <w:r w:rsidRPr="002B1E92">
        <w:rPr>
          <w:rFonts w:eastAsia="Calibri" w:cs="GHEA Grapalat"/>
          <w:b w:val="0"/>
          <w:szCs w:val="22"/>
          <w:lang w:val="hy-AM" w:eastAsia="en-US"/>
        </w:rPr>
        <w:t>«Պետական տուրքի մասին» Հայաստանի Հանրապետության օրենքում փոփոխություն և լրացում կատարելու մասին»</w:t>
      </w:r>
      <w:r w:rsidRPr="002B1E92">
        <w:rPr>
          <w:rFonts w:eastAsia="Calibri" w:cs="GHEA Grapalat"/>
          <w:b w:val="0"/>
          <w:szCs w:val="22"/>
          <w:lang w:val="af-ZA" w:eastAsia="en-US"/>
        </w:rPr>
        <w:t xml:space="preserve"> 15.07.2021</w:t>
      </w:r>
      <w:r w:rsidRPr="002B1E92">
        <w:rPr>
          <w:rFonts w:eastAsia="Calibri" w:cs="GHEA Grapalat"/>
          <w:b w:val="0"/>
          <w:szCs w:val="22"/>
          <w:lang w:val="en-US" w:eastAsia="en-US"/>
        </w:rPr>
        <w:t>թ</w:t>
      </w:r>
      <w:r w:rsidRPr="002B1E92">
        <w:rPr>
          <w:rFonts w:eastAsia="Calibri" w:cs="GHEA Grapalat"/>
          <w:b w:val="0"/>
          <w:szCs w:val="22"/>
          <w:lang w:val="af-ZA" w:eastAsia="en-US"/>
        </w:rPr>
        <w:t xml:space="preserve">. </w:t>
      </w:r>
      <w:r w:rsidRPr="002B1E92">
        <w:rPr>
          <w:rFonts w:eastAsia="Calibri" w:cs="GHEA Grapalat"/>
          <w:b w:val="0"/>
          <w:szCs w:val="22"/>
          <w:lang w:val="hy-AM" w:eastAsia="en-US"/>
        </w:rPr>
        <w:t>ՀՕ-</w:t>
      </w:r>
      <w:r w:rsidRPr="002B1E92">
        <w:rPr>
          <w:rFonts w:eastAsia="Calibri" w:cs="GHEA Grapalat"/>
          <w:b w:val="0"/>
          <w:szCs w:val="22"/>
          <w:lang w:val="af-ZA" w:eastAsia="en-US"/>
        </w:rPr>
        <w:t>310</w:t>
      </w:r>
      <w:r w:rsidRPr="002B1E92">
        <w:rPr>
          <w:rFonts w:eastAsia="Calibri" w:cs="GHEA Grapalat"/>
          <w:b w:val="0"/>
          <w:szCs w:val="22"/>
          <w:lang w:val="hy-AM" w:eastAsia="en-US"/>
        </w:rPr>
        <w:t xml:space="preserve">-Ն </w:t>
      </w:r>
      <w:r w:rsidRPr="002B1E92">
        <w:rPr>
          <w:rFonts w:eastAsia="Calibri" w:cs="GHEA Grapalat"/>
          <w:b w:val="0"/>
          <w:szCs w:val="22"/>
          <w:lang w:val="en-US" w:eastAsia="en-US"/>
        </w:rPr>
        <w:t>օրենքով՝</w:t>
      </w:r>
      <w:r w:rsidRPr="002B1E92">
        <w:rPr>
          <w:rFonts w:eastAsia="Calibri" w:cs="GHEA Grapalat"/>
          <w:b w:val="0"/>
          <w:szCs w:val="22"/>
          <w:lang w:val="af-ZA" w:eastAsia="en-US"/>
        </w:rPr>
        <w:t xml:space="preserve"> </w:t>
      </w:r>
      <w:r w:rsidRPr="002B1E92">
        <w:rPr>
          <w:rFonts w:cs="Sylfaen"/>
          <w:b w:val="0"/>
          <w:szCs w:val="22"/>
          <w:lang w:val="af-ZA"/>
        </w:rPr>
        <w:t xml:space="preserve">Հայաստանի Հանրապետությունից </w:t>
      </w:r>
      <w:r w:rsidRPr="002B1E92">
        <w:rPr>
          <w:rFonts w:cs="Sylfaen"/>
          <w:b w:val="0"/>
          <w:szCs w:val="22"/>
        </w:rPr>
        <w:t>պղնձի</w:t>
      </w:r>
      <w:r w:rsidRPr="002B1E92">
        <w:rPr>
          <w:rFonts w:cs="Sylfaen"/>
          <w:b w:val="0"/>
          <w:szCs w:val="22"/>
          <w:lang w:val="af-ZA"/>
        </w:rPr>
        <w:t xml:space="preserve"> </w:t>
      </w:r>
      <w:r w:rsidRPr="002B1E92">
        <w:rPr>
          <w:rFonts w:cs="Sylfaen"/>
          <w:b w:val="0"/>
          <w:szCs w:val="22"/>
        </w:rPr>
        <w:t>խտահանքի</w:t>
      </w:r>
      <w:r w:rsidRPr="002B1E92">
        <w:rPr>
          <w:rFonts w:cs="Sylfaen"/>
          <w:b w:val="0"/>
          <w:szCs w:val="22"/>
          <w:lang w:val="af-ZA"/>
        </w:rPr>
        <w:t xml:space="preserve">, </w:t>
      </w:r>
      <w:r w:rsidRPr="002B1E92">
        <w:rPr>
          <w:rFonts w:cs="Sylfaen"/>
          <w:b w:val="0"/>
          <w:szCs w:val="22"/>
        </w:rPr>
        <w:t>մոլիբդենի</w:t>
      </w:r>
      <w:r w:rsidRPr="002B1E92">
        <w:rPr>
          <w:rFonts w:cs="Sylfaen"/>
          <w:b w:val="0"/>
          <w:szCs w:val="22"/>
          <w:lang w:val="af-ZA"/>
        </w:rPr>
        <w:t xml:space="preserve"> </w:t>
      </w:r>
      <w:r w:rsidRPr="002B1E92">
        <w:rPr>
          <w:rFonts w:cs="Sylfaen"/>
          <w:b w:val="0"/>
          <w:szCs w:val="22"/>
        </w:rPr>
        <w:t>խտահանքի</w:t>
      </w:r>
      <w:r w:rsidRPr="002B1E92">
        <w:rPr>
          <w:rFonts w:cs="Sylfaen"/>
          <w:b w:val="0"/>
          <w:szCs w:val="22"/>
          <w:lang w:val="af-ZA"/>
        </w:rPr>
        <w:t xml:space="preserve"> </w:t>
      </w:r>
      <w:r w:rsidRPr="002B1E92">
        <w:rPr>
          <w:rFonts w:cs="Sylfaen"/>
          <w:b w:val="0"/>
          <w:szCs w:val="22"/>
          <w:lang w:val="en-US"/>
        </w:rPr>
        <w:t>և</w:t>
      </w:r>
      <w:r w:rsidRPr="002B1E92">
        <w:rPr>
          <w:rFonts w:cs="Sylfaen"/>
          <w:b w:val="0"/>
          <w:szCs w:val="22"/>
          <w:lang w:val="af-ZA"/>
        </w:rPr>
        <w:t xml:space="preserve">  մոլիբդենի և դրանից պատրաստված արտադրատեսակների (բացառությամբ՝ թափոններ և ջարդոն)՝ դեպի երրորդ երկրներ </w:t>
      </w:r>
      <w:r w:rsidRPr="002B1E92">
        <w:rPr>
          <w:rFonts w:cs="Sylfaen"/>
          <w:b w:val="0"/>
          <w:szCs w:val="22"/>
        </w:rPr>
        <w:t>արտահանման</w:t>
      </w:r>
      <w:r w:rsidRPr="002B1E92">
        <w:rPr>
          <w:rFonts w:cs="Sylfaen"/>
          <w:b w:val="0"/>
          <w:szCs w:val="22"/>
          <w:lang w:val="af-ZA"/>
        </w:rPr>
        <w:t xml:space="preserve"> ժամանակավոր սահմանափակում կիրառելու </w:t>
      </w:r>
      <w:r w:rsidRPr="002B1E92">
        <w:rPr>
          <w:rFonts w:cs="Sylfaen"/>
          <w:b w:val="0"/>
          <w:szCs w:val="22"/>
        </w:rPr>
        <w:t>լիցենզիաներ</w:t>
      </w:r>
      <w:r w:rsidRPr="002B1E92">
        <w:rPr>
          <w:rFonts w:cs="Sylfaen"/>
          <w:b w:val="0"/>
          <w:szCs w:val="22"/>
          <w:lang w:val="af-ZA"/>
        </w:rPr>
        <w:t xml:space="preserve"> </w:t>
      </w:r>
      <w:r w:rsidRPr="002B1E92">
        <w:rPr>
          <w:rFonts w:cs="Sylfaen"/>
          <w:b w:val="0"/>
          <w:szCs w:val="22"/>
        </w:rPr>
        <w:t>տրամադրելու</w:t>
      </w:r>
      <w:r w:rsidRPr="002B1E92">
        <w:rPr>
          <w:rFonts w:cs="Sylfaen"/>
          <w:b w:val="0"/>
          <w:szCs w:val="22"/>
          <w:lang w:val="af-ZA"/>
        </w:rPr>
        <w:t xml:space="preserve">  </w:t>
      </w:r>
      <w:r w:rsidRPr="002B1E92">
        <w:rPr>
          <w:rFonts w:cs="Sylfaen"/>
          <w:b w:val="0"/>
          <w:szCs w:val="22"/>
          <w:lang w:val="en-US"/>
        </w:rPr>
        <w:t>համար</w:t>
      </w:r>
      <w:r w:rsidRPr="002B1E92">
        <w:rPr>
          <w:rFonts w:cs="Sylfaen"/>
          <w:b w:val="0"/>
          <w:szCs w:val="22"/>
          <w:lang w:val="af-ZA"/>
        </w:rPr>
        <w:t>:</w:t>
      </w:r>
    </w:p>
    <w:p w14:paraId="7164E6FC" w14:textId="77777777" w:rsidR="00EE1C9F" w:rsidRPr="002B1E92" w:rsidRDefault="00EE1C9F" w:rsidP="00EE1C9F">
      <w:pPr>
        <w:spacing w:before="0" w:line="276" w:lineRule="auto"/>
        <w:ind w:firstLine="538"/>
        <w:rPr>
          <w:rFonts w:eastAsia="Calibri"/>
          <w:b w:val="0"/>
          <w:szCs w:val="22"/>
          <w:lang w:val="hy-AM" w:eastAsia="en-US"/>
        </w:rPr>
      </w:pPr>
      <w:r w:rsidRPr="002B1E92">
        <w:rPr>
          <w:rFonts w:eastAsia="Calibri"/>
          <w:b w:val="0"/>
          <w:szCs w:val="22"/>
          <w:lang w:val="hy-AM" w:eastAsia="en-US"/>
        </w:rPr>
        <w:t>Այս խմբի պե</w:t>
      </w:r>
      <w:r w:rsidRPr="002B1E92">
        <w:rPr>
          <w:rFonts w:eastAsia="Calibri"/>
          <w:b w:val="0"/>
          <w:szCs w:val="22"/>
          <w:lang w:val="hy-AM" w:eastAsia="en-US"/>
        </w:rPr>
        <w:softHyphen/>
        <w:t>տա</w:t>
      </w:r>
      <w:r w:rsidRPr="002B1E92">
        <w:rPr>
          <w:rFonts w:eastAsia="Calibri"/>
          <w:b w:val="0"/>
          <w:szCs w:val="22"/>
          <w:lang w:val="hy-AM" w:eastAsia="en-US"/>
        </w:rPr>
        <w:softHyphen/>
        <w:t>կան տուրքերի 202</w:t>
      </w:r>
      <w:r w:rsidRPr="002B1E92">
        <w:rPr>
          <w:rFonts w:eastAsia="Calibri"/>
          <w:b w:val="0"/>
          <w:szCs w:val="22"/>
          <w:lang w:val="af-ZA" w:eastAsia="en-US"/>
        </w:rPr>
        <w:t>2</w:t>
      </w:r>
      <w:r w:rsidRPr="002B1E92">
        <w:rPr>
          <w:rFonts w:eastAsia="Calibri"/>
          <w:b w:val="0"/>
          <w:szCs w:val="22"/>
          <w:lang w:val="hy-AM" w:eastAsia="en-US"/>
        </w:rPr>
        <w:t xml:space="preserve"> թվականի մուտքերի գերակշիռ մասը` 1</w:t>
      </w:r>
      <w:r w:rsidRPr="002B1E92">
        <w:rPr>
          <w:rFonts w:eastAsia="Calibri"/>
          <w:b w:val="0"/>
          <w:szCs w:val="22"/>
          <w:lang w:val="af-ZA" w:eastAsia="en-US"/>
        </w:rPr>
        <w:t>2,576.1</w:t>
      </w:r>
      <w:r w:rsidRPr="002B1E92">
        <w:rPr>
          <w:rFonts w:eastAsia="Calibri"/>
          <w:b w:val="0"/>
          <w:szCs w:val="22"/>
          <w:lang w:val="hy-AM" w:eastAsia="en-US"/>
        </w:rPr>
        <w:t xml:space="preserve"> մլն դրամը կամ </w:t>
      </w:r>
      <w:r w:rsidRPr="002B1E92">
        <w:rPr>
          <w:rFonts w:eastAsia="Calibri"/>
          <w:b w:val="0"/>
          <w:szCs w:val="22"/>
          <w:lang w:val="af-ZA" w:eastAsia="en-US"/>
        </w:rPr>
        <w:t>92.4</w:t>
      </w:r>
      <w:r w:rsidRPr="002B1E92">
        <w:rPr>
          <w:rFonts w:eastAsia="Calibri"/>
          <w:b w:val="0"/>
          <w:szCs w:val="22"/>
          <w:lang w:val="hy-AM" w:eastAsia="en-US"/>
        </w:rPr>
        <w:t xml:space="preserve">%-ը </w:t>
      </w:r>
      <w:r w:rsidRPr="002B1E92">
        <w:rPr>
          <w:rFonts w:eastAsia="Calibri"/>
          <w:b w:val="0"/>
          <w:szCs w:val="22"/>
          <w:lang w:val="af-ZA" w:eastAsia="en-US"/>
        </w:rPr>
        <w:t>(</w:t>
      </w:r>
      <w:r w:rsidRPr="002B1E92">
        <w:rPr>
          <w:rFonts w:eastAsia="Calibri"/>
          <w:b w:val="0"/>
          <w:szCs w:val="22"/>
          <w:lang w:val="en-US" w:eastAsia="en-US"/>
        </w:rPr>
        <w:t>առանց</w:t>
      </w:r>
      <w:r w:rsidRPr="002B1E92">
        <w:rPr>
          <w:rFonts w:eastAsia="Calibri"/>
          <w:b w:val="0"/>
          <w:szCs w:val="22"/>
          <w:lang w:val="af-ZA" w:eastAsia="en-US"/>
        </w:rPr>
        <w:t xml:space="preserve"> </w:t>
      </w:r>
      <w:r w:rsidRPr="002B1E92">
        <w:rPr>
          <w:rFonts w:cs="Sylfaen"/>
          <w:b w:val="0"/>
          <w:szCs w:val="22"/>
          <w:lang w:val="af-ZA"/>
        </w:rPr>
        <w:t xml:space="preserve">Հայաստանի Հանրապետությունից </w:t>
      </w:r>
      <w:r w:rsidRPr="002B1E92">
        <w:rPr>
          <w:rFonts w:cs="Sylfaen"/>
          <w:b w:val="0"/>
          <w:szCs w:val="22"/>
        </w:rPr>
        <w:t>պղնձի</w:t>
      </w:r>
      <w:r w:rsidRPr="002B1E92">
        <w:rPr>
          <w:rFonts w:cs="Sylfaen"/>
          <w:b w:val="0"/>
          <w:szCs w:val="22"/>
          <w:lang w:val="af-ZA"/>
        </w:rPr>
        <w:t xml:space="preserve"> </w:t>
      </w:r>
      <w:r w:rsidRPr="002B1E92">
        <w:rPr>
          <w:rFonts w:cs="Sylfaen"/>
          <w:b w:val="0"/>
          <w:szCs w:val="22"/>
        </w:rPr>
        <w:t>խտահանքի</w:t>
      </w:r>
      <w:r w:rsidRPr="002B1E92">
        <w:rPr>
          <w:rFonts w:cs="Sylfaen"/>
          <w:b w:val="0"/>
          <w:szCs w:val="22"/>
          <w:lang w:val="af-ZA"/>
        </w:rPr>
        <w:t xml:space="preserve">, </w:t>
      </w:r>
      <w:r w:rsidRPr="002B1E92">
        <w:rPr>
          <w:rFonts w:cs="Sylfaen"/>
          <w:b w:val="0"/>
          <w:szCs w:val="22"/>
        </w:rPr>
        <w:t>մոլիբդենի</w:t>
      </w:r>
      <w:r w:rsidRPr="002B1E92">
        <w:rPr>
          <w:rFonts w:cs="Sylfaen"/>
          <w:b w:val="0"/>
          <w:szCs w:val="22"/>
          <w:lang w:val="af-ZA"/>
        </w:rPr>
        <w:t xml:space="preserve"> </w:t>
      </w:r>
      <w:r w:rsidRPr="002B1E92">
        <w:rPr>
          <w:rFonts w:cs="Sylfaen"/>
          <w:b w:val="0"/>
          <w:szCs w:val="22"/>
        </w:rPr>
        <w:t>խտահանքի</w:t>
      </w:r>
      <w:r w:rsidRPr="002B1E92">
        <w:rPr>
          <w:rFonts w:cs="Sylfaen"/>
          <w:b w:val="0"/>
          <w:szCs w:val="22"/>
          <w:lang w:val="af-ZA"/>
        </w:rPr>
        <w:t xml:space="preserve"> </w:t>
      </w:r>
      <w:r w:rsidRPr="002B1E92">
        <w:rPr>
          <w:rFonts w:cs="Sylfaen"/>
          <w:b w:val="0"/>
          <w:szCs w:val="22"/>
          <w:lang w:val="en-US"/>
        </w:rPr>
        <w:t>և</w:t>
      </w:r>
      <w:r w:rsidRPr="002B1E92">
        <w:rPr>
          <w:rFonts w:cs="Sylfaen"/>
          <w:b w:val="0"/>
          <w:szCs w:val="22"/>
          <w:lang w:val="af-ZA"/>
        </w:rPr>
        <w:t xml:space="preserve">  մոլիբդենի և դրանից պատրաստված արտադրատեսակների (բացառությամբ՝ թափոններ և ջարդոն)՝ դեպի երրորդ երկրներ </w:t>
      </w:r>
      <w:r w:rsidRPr="002B1E92">
        <w:rPr>
          <w:rFonts w:cs="Sylfaen"/>
          <w:b w:val="0"/>
          <w:szCs w:val="22"/>
        </w:rPr>
        <w:t>արտահանման</w:t>
      </w:r>
      <w:r w:rsidRPr="002B1E92">
        <w:rPr>
          <w:rFonts w:cs="Sylfaen"/>
          <w:b w:val="0"/>
          <w:szCs w:val="22"/>
          <w:lang w:val="af-ZA"/>
        </w:rPr>
        <w:t xml:space="preserve"> ժամանակավոր սահմանափակում կիրառելու </w:t>
      </w:r>
      <w:r w:rsidRPr="002B1E92">
        <w:rPr>
          <w:rFonts w:cs="Sylfaen"/>
          <w:b w:val="0"/>
          <w:szCs w:val="22"/>
        </w:rPr>
        <w:t>լիցենզիաներ</w:t>
      </w:r>
      <w:r w:rsidRPr="002B1E92">
        <w:rPr>
          <w:rFonts w:cs="Sylfaen"/>
          <w:b w:val="0"/>
          <w:szCs w:val="22"/>
          <w:lang w:val="af-ZA"/>
        </w:rPr>
        <w:t xml:space="preserve"> </w:t>
      </w:r>
      <w:r w:rsidRPr="002B1E92">
        <w:rPr>
          <w:rFonts w:cs="Sylfaen"/>
          <w:b w:val="0"/>
          <w:szCs w:val="22"/>
        </w:rPr>
        <w:t>տրամադրելու</w:t>
      </w:r>
      <w:r w:rsidRPr="002B1E92">
        <w:rPr>
          <w:rFonts w:cs="Sylfaen"/>
          <w:b w:val="0"/>
          <w:szCs w:val="22"/>
          <w:lang w:val="af-ZA"/>
        </w:rPr>
        <w:t xml:space="preserve"> </w:t>
      </w:r>
      <w:r w:rsidRPr="002B1E92">
        <w:rPr>
          <w:rFonts w:cs="Sylfaen"/>
          <w:b w:val="0"/>
          <w:szCs w:val="22"/>
          <w:lang w:val="en-US"/>
        </w:rPr>
        <w:t>համար</w:t>
      </w:r>
      <w:r w:rsidRPr="002B1E92">
        <w:rPr>
          <w:rFonts w:cs="Sylfaen"/>
          <w:b w:val="0"/>
          <w:szCs w:val="22"/>
          <w:lang w:val="af-ZA"/>
        </w:rPr>
        <w:t xml:space="preserve"> </w:t>
      </w:r>
      <w:r w:rsidRPr="002B1E92">
        <w:rPr>
          <w:rFonts w:cs="Sylfaen"/>
          <w:b w:val="0"/>
          <w:szCs w:val="22"/>
          <w:lang w:val="en-US"/>
        </w:rPr>
        <w:t>պետական</w:t>
      </w:r>
      <w:r w:rsidRPr="002B1E92">
        <w:rPr>
          <w:rFonts w:cs="Sylfaen"/>
          <w:b w:val="0"/>
          <w:szCs w:val="22"/>
          <w:lang w:val="af-ZA"/>
        </w:rPr>
        <w:t xml:space="preserve"> </w:t>
      </w:r>
      <w:r w:rsidRPr="002B1E92">
        <w:rPr>
          <w:rFonts w:cs="Sylfaen"/>
          <w:b w:val="0"/>
          <w:szCs w:val="22"/>
          <w:lang w:val="en-US"/>
        </w:rPr>
        <w:t>տուրքի</w:t>
      </w:r>
      <w:r w:rsidRPr="002B1E92">
        <w:rPr>
          <w:rFonts w:cs="Sylfaen"/>
          <w:b w:val="0"/>
          <w:szCs w:val="22"/>
          <w:lang w:val="af-ZA"/>
        </w:rPr>
        <w:t xml:space="preserve"> </w:t>
      </w:r>
      <w:r w:rsidRPr="002B1E92">
        <w:rPr>
          <w:rFonts w:cs="Sylfaen"/>
          <w:b w:val="0"/>
          <w:szCs w:val="22"/>
          <w:lang w:val="en-US"/>
        </w:rPr>
        <w:t>գծով</w:t>
      </w:r>
      <w:r w:rsidRPr="002B1E92">
        <w:rPr>
          <w:rFonts w:cs="Sylfaen"/>
          <w:b w:val="0"/>
          <w:szCs w:val="22"/>
          <w:lang w:val="af-ZA"/>
        </w:rPr>
        <w:t xml:space="preserve"> </w:t>
      </w:r>
      <w:r w:rsidRPr="002B1E92">
        <w:rPr>
          <w:rFonts w:cs="Sylfaen"/>
          <w:b w:val="0"/>
          <w:szCs w:val="22"/>
          <w:lang w:val="en-US"/>
        </w:rPr>
        <w:t>կանխատեսվող</w:t>
      </w:r>
      <w:r w:rsidRPr="002B1E92">
        <w:rPr>
          <w:rFonts w:cs="Sylfaen"/>
          <w:b w:val="0"/>
          <w:szCs w:val="22"/>
          <w:lang w:val="af-ZA"/>
        </w:rPr>
        <w:t xml:space="preserve"> 50.0 </w:t>
      </w:r>
      <w:r w:rsidRPr="002B1E92">
        <w:rPr>
          <w:rFonts w:cs="Sylfaen"/>
          <w:b w:val="0"/>
          <w:szCs w:val="22"/>
          <w:lang w:val="en-US"/>
        </w:rPr>
        <w:t>մլրդ</w:t>
      </w:r>
      <w:r w:rsidRPr="002B1E92">
        <w:rPr>
          <w:rFonts w:cs="Sylfaen"/>
          <w:b w:val="0"/>
          <w:szCs w:val="22"/>
          <w:lang w:val="af-ZA"/>
        </w:rPr>
        <w:t xml:space="preserve"> </w:t>
      </w:r>
      <w:r w:rsidRPr="002B1E92">
        <w:rPr>
          <w:rFonts w:cs="Sylfaen"/>
          <w:b w:val="0"/>
          <w:szCs w:val="22"/>
          <w:lang w:val="en-US"/>
        </w:rPr>
        <w:t>դրամի</w:t>
      </w:r>
      <w:r w:rsidRPr="002B1E92">
        <w:rPr>
          <w:rFonts w:cs="Sylfaen"/>
          <w:b w:val="0"/>
          <w:szCs w:val="22"/>
          <w:lang w:val="af-ZA"/>
        </w:rPr>
        <w:t xml:space="preserve">), </w:t>
      </w:r>
      <w:r w:rsidRPr="002B1E92">
        <w:rPr>
          <w:rFonts w:eastAsia="Calibri"/>
          <w:b w:val="0"/>
          <w:szCs w:val="22"/>
          <w:lang w:val="hy-AM" w:eastAsia="en-US"/>
        </w:rPr>
        <w:t xml:space="preserve">նախատեսվում է գանձել </w:t>
      </w:r>
      <w:r w:rsidRPr="002B1E92">
        <w:rPr>
          <w:rFonts w:eastAsia="Calibri" w:cs="GHEA Grapalat"/>
          <w:b w:val="0"/>
          <w:szCs w:val="22"/>
          <w:lang w:val="hy-AM" w:eastAsia="en-US"/>
        </w:rPr>
        <w:t xml:space="preserve">վիճակախաղերի, շահումներով խաղերի, բանկային և ֆինանսավարկային կազմակերպությունների, </w:t>
      </w:r>
      <w:r w:rsidRPr="002B1E92">
        <w:rPr>
          <w:rFonts w:eastAsia="Calibri"/>
          <w:b w:val="0"/>
          <w:szCs w:val="22"/>
          <w:lang w:val="hy-AM" w:eastAsia="en-US"/>
        </w:rPr>
        <w:t>պետական սեփակա</w:t>
      </w:r>
      <w:r w:rsidRPr="002B1E92">
        <w:rPr>
          <w:rFonts w:eastAsia="Calibri"/>
          <w:b w:val="0"/>
          <w:szCs w:val="22"/>
          <w:lang w:val="hy-AM" w:eastAsia="en-US"/>
        </w:rPr>
        <w:softHyphen/>
        <w:t>նություն հանդիսացող ընդերքի և բնական ռեսուրս</w:t>
      </w:r>
      <w:r w:rsidRPr="002B1E92">
        <w:rPr>
          <w:rFonts w:eastAsia="Calibri"/>
          <w:b w:val="0"/>
          <w:szCs w:val="22"/>
          <w:lang w:val="hy-AM" w:eastAsia="en-US"/>
        </w:rPr>
        <w:softHyphen/>
      </w:r>
      <w:r w:rsidRPr="002B1E92">
        <w:rPr>
          <w:rFonts w:eastAsia="Calibri"/>
          <w:b w:val="0"/>
          <w:szCs w:val="22"/>
          <w:lang w:val="hy-AM" w:eastAsia="en-US"/>
        </w:rPr>
        <w:softHyphen/>
        <w:t>նե</w:t>
      </w:r>
      <w:r w:rsidRPr="002B1E92">
        <w:rPr>
          <w:rFonts w:eastAsia="Calibri"/>
          <w:b w:val="0"/>
          <w:szCs w:val="22"/>
          <w:lang w:val="hy-AM" w:eastAsia="en-US"/>
        </w:rPr>
        <w:softHyphen/>
        <w:t xml:space="preserve">րի, ինչպես նաև </w:t>
      </w:r>
      <w:r w:rsidRPr="002B1E92">
        <w:rPr>
          <w:rFonts w:eastAsia="Calibri"/>
          <w:b w:val="0"/>
          <w:szCs w:val="22"/>
          <w:lang w:val="en-US" w:eastAsia="en-US"/>
        </w:rPr>
        <w:t>բանկային</w:t>
      </w:r>
      <w:r w:rsidRPr="002B1E92">
        <w:rPr>
          <w:rFonts w:eastAsia="Calibri"/>
          <w:b w:val="0"/>
          <w:szCs w:val="22"/>
          <w:lang w:val="af-ZA" w:eastAsia="en-US"/>
        </w:rPr>
        <w:t xml:space="preserve">, </w:t>
      </w:r>
      <w:r w:rsidRPr="002B1E92">
        <w:rPr>
          <w:rFonts w:eastAsia="Calibri"/>
          <w:b w:val="0"/>
          <w:szCs w:val="22"/>
          <w:lang w:val="en-US" w:eastAsia="en-US"/>
        </w:rPr>
        <w:t>մաքսային</w:t>
      </w:r>
      <w:r w:rsidRPr="002B1E92">
        <w:rPr>
          <w:rFonts w:eastAsia="Calibri"/>
          <w:b w:val="0"/>
          <w:szCs w:val="22"/>
          <w:lang w:val="af-ZA" w:eastAsia="en-US"/>
        </w:rPr>
        <w:t xml:space="preserve">, </w:t>
      </w:r>
      <w:r w:rsidRPr="002B1E92">
        <w:rPr>
          <w:rFonts w:eastAsia="Calibri"/>
          <w:b w:val="0"/>
          <w:szCs w:val="22"/>
          <w:lang w:val="en-US" w:eastAsia="en-US"/>
        </w:rPr>
        <w:t>տրանս</w:t>
      </w:r>
      <w:r w:rsidRPr="002B1E92">
        <w:rPr>
          <w:rFonts w:eastAsia="Calibri"/>
          <w:b w:val="0"/>
          <w:szCs w:val="22"/>
          <w:lang w:val="af-ZA" w:eastAsia="en-US"/>
        </w:rPr>
        <w:softHyphen/>
      </w:r>
      <w:r w:rsidRPr="002B1E92">
        <w:rPr>
          <w:rFonts w:eastAsia="Calibri"/>
          <w:b w:val="0"/>
          <w:szCs w:val="22"/>
          <w:lang w:val="af-ZA" w:eastAsia="en-US"/>
        </w:rPr>
        <w:softHyphen/>
      </w:r>
      <w:r w:rsidRPr="002B1E92">
        <w:rPr>
          <w:rFonts w:eastAsia="Calibri"/>
          <w:b w:val="0"/>
          <w:szCs w:val="22"/>
          <w:lang w:val="en-US" w:eastAsia="en-US"/>
        </w:rPr>
        <w:t>պորտի</w:t>
      </w:r>
      <w:r w:rsidRPr="002B1E92">
        <w:rPr>
          <w:rFonts w:eastAsia="Calibri"/>
          <w:b w:val="0"/>
          <w:szCs w:val="22"/>
          <w:lang w:val="af-ZA" w:eastAsia="en-US"/>
        </w:rPr>
        <w:t xml:space="preserve"> </w:t>
      </w:r>
      <w:r w:rsidRPr="002B1E92">
        <w:rPr>
          <w:rFonts w:eastAsia="Calibri"/>
          <w:b w:val="0"/>
          <w:szCs w:val="22"/>
          <w:lang w:val="en-US" w:eastAsia="en-US"/>
        </w:rPr>
        <w:t>և</w:t>
      </w:r>
      <w:r w:rsidRPr="002B1E92">
        <w:rPr>
          <w:rFonts w:eastAsia="Calibri"/>
          <w:b w:val="0"/>
          <w:szCs w:val="22"/>
          <w:lang w:val="af-ZA" w:eastAsia="en-US"/>
        </w:rPr>
        <w:t xml:space="preserve"> </w:t>
      </w:r>
      <w:r w:rsidRPr="002B1E92">
        <w:rPr>
          <w:rFonts w:eastAsia="Calibri"/>
          <w:b w:val="0"/>
          <w:szCs w:val="22"/>
          <w:lang w:val="hy-AM" w:eastAsia="en-US"/>
        </w:rPr>
        <w:t>քաղա</w:t>
      </w:r>
      <w:r w:rsidRPr="002B1E92">
        <w:rPr>
          <w:rFonts w:eastAsia="Calibri"/>
          <w:b w:val="0"/>
          <w:szCs w:val="22"/>
          <w:lang w:val="hy-AM" w:eastAsia="en-US"/>
        </w:rPr>
        <w:softHyphen/>
        <w:t>քա</w:t>
      </w:r>
      <w:r w:rsidRPr="002B1E92">
        <w:rPr>
          <w:rFonts w:eastAsia="Calibri"/>
          <w:b w:val="0"/>
          <w:szCs w:val="22"/>
          <w:lang w:val="hy-AM" w:eastAsia="en-US"/>
        </w:rPr>
        <w:softHyphen/>
        <w:t>շինության բնագավառ</w:t>
      </w:r>
      <w:r w:rsidRPr="002B1E92">
        <w:rPr>
          <w:rFonts w:eastAsia="Calibri"/>
          <w:b w:val="0"/>
          <w:szCs w:val="22"/>
          <w:lang w:val="hy-AM" w:eastAsia="en-US"/>
        </w:rPr>
        <w:softHyphen/>
        <w:t>ներում լիցեն</w:t>
      </w:r>
      <w:r w:rsidRPr="002B1E92">
        <w:rPr>
          <w:rFonts w:eastAsia="Calibri"/>
          <w:b w:val="0"/>
          <w:szCs w:val="22"/>
          <w:lang w:val="hy-AM" w:eastAsia="en-US"/>
        </w:rPr>
        <w:softHyphen/>
        <w:t>զավոր</w:t>
      </w:r>
      <w:r w:rsidRPr="002B1E92">
        <w:rPr>
          <w:rFonts w:eastAsia="Calibri"/>
          <w:b w:val="0"/>
          <w:szCs w:val="22"/>
          <w:lang w:val="hy-AM" w:eastAsia="en-US"/>
        </w:rPr>
        <w:softHyphen/>
        <w:t>ման ենթակա գործու</w:t>
      </w:r>
      <w:r w:rsidRPr="002B1E92">
        <w:rPr>
          <w:rFonts w:eastAsia="Calibri"/>
          <w:b w:val="0"/>
          <w:szCs w:val="22"/>
          <w:lang w:val="af-ZA" w:eastAsia="en-US"/>
        </w:rPr>
        <w:softHyphen/>
      </w:r>
      <w:r w:rsidRPr="002B1E92">
        <w:rPr>
          <w:rFonts w:eastAsia="Calibri"/>
          <w:b w:val="0"/>
          <w:szCs w:val="22"/>
          <w:lang w:val="hy-AM" w:eastAsia="en-US"/>
        </w:rPr>
        <w:t>նեու</w:t>
      </w:r>
      <w:r w:rsidRPr="002B1E92">
        <w:rPr>
          <w:rFonts w:eastAsia="Calibri"/>
          <w:b w:val="0"/>
          <w:szCs w:val="22"/>
          <w:lang w:val="af-ZA" w:eastAsia="en-US"/>
        </w:rPr>
        <w:softHyphen/>
      </w:r>
      <w:r w:rsidRPr="002B1E92">
        <w:rPr>
          <w:rFonts w:eastAsia="Calibri"/>
          <w:b w:val="0"/>
          <w:szCs w:val="22"/>
          <w:lang w:val="hy-AM" w:eastAsia="en-US"/>
        </w:rPr>
        <w:t>թյուն իրա</w:t>
      </w:r>
      <w:r w:rsidRPr="002B1E92">
        <w:rPr>
          <w:rFonts w:eastAsia="Calibri"/>
          <w:b w:val="0"/>
          <w:szCs w:val="22"/>
          <w:lang w:val="hy-AM" w:eastAsia="en-US"/>
        </w:rPr>
        <w:softHyphen/>
        <w:t>կա</w:t>
      </w:r>
      <w:r w:rsidRPr="002B1E92">
        <w:rPr>
          <w:rFonts w:eastAsia="Calibri"/>
          <w:b w:val="0"/>
          <w:szCs w:val="22"/>
          <w:lang w:val="hy-AM" w:eastAsia="en-US"/>
        </w:rPr>
        <w:softHyphen/>
        <w:t>նացնելու համար վճարվելիք պետական տուր</w:t>
      </w:r>
      <w:r w:rsidRPr="002B1E92">
        <w:rPr>
          <w:rFonts w:eastAsia="Calibri"/>
          <w:b w:val="0"/>
          <w:szCs w:val="22"/>
          <w:lang w:val="hy-AM" w:eastAsia="en-US"/>
        </w:rPr>
        <w:softHyphen/>
        <w:t>քե</w:t>
      </w:r>
      <w:r w:rsidRPr="002B1E92">
        <w:rPr>
          <w:rFonts w:eastAsia="Calibri"/>
          <w:b w:val="0"/>
          <w:szCs w:val="22"/>
          <w:lang w:val="hy-AM" w:eastAsia="en-US"/>
        </w:rPr>
        <w:softHyphen/>
        <w:t xml:space="preserve">րի հաշվին: </w:t>
      </w:r>
      <w:r w:rsidRPr="002B1E92">
        <w:rPr>
          <w:rFonts w:eastAsia="Calibri" w:cs="GHEA Grapalat"/>
          <w:b w:val="0"/>
          <w:szCs w:val="22"/>
          <w:lang w:val="hy-AM" w:eastAsia="en-US"/>
        </w:rPr>
        <w:t>Լիցենզավորման ենթա</w:t>
      </w:r>
      <w:r w:rsidRPr="002B1E92">
        <w:rPr>
          <w:rFonts w:eastAsia="Calibri" w:cs="GHEA Grapalat"/>
          <w:b w:val="0"/>
          <w:szCs w:val="22"/>
          <w:lang w:val="af-ZA" w:eastAsia="en-US"/>
        </w:rPr>
        <w:softHyphen/>
      </w:r>
      <w:r w:rsidRPr="002B1E92">
        <w:rPr>
          <w:rFonts w:eastAsia="Calibri" w:cs="GHEA Grapalat"/>
          <w:b w:val="0"/>
          <w:szCs w:val="22"/>
          <w:lang w:val="hy-AM" w:eastAsia="en-US"/>
        </w:rPr>
        <w:t>կա գործունեություն իրականացնելու համար գանձվող պե</w:t>
      </w:r>
      <w:r w:rsidRPr="002B1E92">
        <w:rPr>
          <w:rFonts w:eastAsia="Calibri" w:cs="GHEA Grapalat"/>
          <w:b w:val="0"/>
          <w:szCs w:val="22"/>
          <w:lang w:val="hy-AM" w:eastAsia="en-US"/>
        </w:rPr>
        <w:softHyphen/>
      </w:r>
      <w:r w:rsidRPr="002B1E92">
        <w:rPr>
          <w:rFonts w:eastAsia="Calibri" w:cs="GHEA Grapalat"/>
          <w:b w:val="0"/>
          <w:szCs w:val="22"/>
          <w:lang w:val="hy-AM" w:eastAsia="en-US"/>
        </w:rPr>
        <w:softHyphen/>
        <w:t>տա</w:t>
      </w:r>
      <w:r w:rsidRPr="002B1E92">
        <w:rPr>
          <w:rFonts w:eastAsia="Calibri" w:cs="GHEA Grapalat"/>
          <w:b w:val="0"/>
          <w:szCs w:val="22"/>
          <w:lang w:val="hy-AM" w:eastAsia="en-US"/>
        </w:rPr>
        <w:softHyphen/>
      </w:r>
      <w:r w:rsidRPr="002B1E92">
        <w:rPr>
          <w:rFonts w:eastAsia="Calibri" w:cs="GHEA Grapalat"/>
          <w:b w:val="0"/>
          <w:szCs w:val="22"/>
          <w:lang w:val="hy-AM" w:eastAsia="en-US"/>
        </w:rPr>
        <w:softHyphen/>
        <w:t>կան տուր</w:t>
      </w:r>
      <w:r w:rsidRPr="002B1E92">
        <w:rPr>
          <w:rFonts w:eastAsia="Calibri" w:cs="GHEA Grapalat"/>
          <w:b w:val="0"/>
          <w:szCs w:val="22"/>
          <w:lang w:val="hy-AM" w:eastAsia="en-US"/>
        </w:rPr>
        <w:softHyphen/>
        <w:t>քերի գծով կան</w:t>
      </w:r>
      <w:r w:rsidRPr="002B1E92">
        <w:rPr>
          <w:rFonts w:eastAsia="Calibri" w:cs="GHEA Grapalat"/>
          <w:b w:val="0"/>
          <w:szCs w:val="22"/>
          <w:lang w:val="hy-AM" w:eastAsia="en-US"/>
        </w:rPr>
        <w:softHyphen/>
        <w:t>խատեսումներն իրականացվել են` ել</w:t>
      </w:r>
      <w:r w:rsidRPr="002B1E92">
        <w:rPr>
          <w:rFonts w:eastAsia="Calibri" w:cs="GHEA Grapalat"/>
          <w:b w:val="0"/>
          <w:szCs w:val="22"/>
          <w:lang w:val="hy-AM" w:eastAsia="en-US"/>
        </w:rPr>
        <w:softHyphen/>
        <w:t>նե</w:t>
      </w:r>
      <w:r w:rsidRPr="002B1E92">
        <w:rPr>
          <w:rFonts w:eastAsia="Calibri" w:cs="GHEA Grapalat"/>
          <w:b w:val="0"/>
          <w:szCs w:val="22"/>
          <w:lang w:val="hy-AM" w:eastAsia="en-US"/>
        </w:rPr>
        <w:softHyphen/>
        <w:t>լով օրենքով նա</w:t>
      </w:r>
      <w:r w:rsidRPr="002B1E92">
        <w:rPr>
          <w:rFonts w:eastAsia="Calibri" w:cs="GHEA Grapalat"/>
          <w:b w:val="0"/>
          <w:szCs w:val="22"/>
          <w:lang w:val="hy-AM" w:eastAsia="en-US"/>
        </w:rPr>
        <w:softHyphen/>
        <w:t>խա</w:t>
      </w:r>
      <w:r w:rsidRPr="002B1E92">
        <w:rPr>
          <w:rFonts w:eastAsia="Calibri" w:cs="GHEA Grapalat"/>
          <w:b w:val="0"/>
          <w:szCs w:val="22"/>
          <w:lang w:val="hy-AM" w:eastAsia="en-US"/>
        </w:rPr>
        <w:softHyphen/>
        <w:t>տես</w:t>
      </w:r>
      <w:r w:rsidRPr="002B1E92">
        <w:rPr>
          <w:rFonts w:eastAsia="Calibri" w:cs="GHEA Grapalat"/>
          <w:b w:val="0"/>
          <w:szCs w:val="22"/>
          <w:lang w:val="hy-AM" w:eastAsia="en-US"/>
        </w:rPr>
        <w:softHyphen/>
        <w:t>ված լիցեն</w:t>
      </w:r>
      <w:r w:rsidRPr="002B1E92">
        <w:rPr>
          <w:rFonts w:eastAsia="Calibri" w:cs="GHEA Grapalat"/>
          <w:b w:val="0"/>
          <w:szCs w:val="22"/>
          <w:lang w:val="hy-AM" w:eastAsia="en-US"/>
        </w:rPr>
        <w:softHyphen/>
        <w:t>զա</w:t>
      </w:r>
      <w:r w:rsidRPr="002B1E92">
        <w:rPr>
          <w:rFonts w:eastAsia="Calibri" w:cs="GHEA Grapalat"/>
          <w:b w:val="0"/>
          <w:szCs w:val="22"/>
          <w:lang w:val="hy-AM" w:eastAsia="en-US"/>
        </w:rPr>
        <w:softHyphen/>
      </w:r>
      <w:r w:rsidRPr="002B1E92">
        <w:rPr>
          <w:rFonts w:eastAsia="Calibri" w:cs="GHEA Grapalat"/>
          <w:b w:val="0"/>
          <w:szCs w:val="22"/>
          <w:lang w:val="hy-AM" w:eastAsia="en-US"/>
        </w:rPr>
        <w:softHyphen/>
        <w:t>վոր</w:t>
      </w:r>
      <w:r w:rsidRPr="002B1E92">
        <w:rPr>
          <w:rFonts w:eastAsia="Calibri" w:cs="GHEA Grapalat"/>
          <w:b w:val="0"/>
          <w:szCs w:val="22"/>
          <w:lang w:val="hy-AM" w:eastAsia="en-US"/>
        </w:rPr>
        <w:softHyphen/>
        <w:t>ման են</w:t>
      </w:r>
      <w:r w:rsidRPr="002B1E92">
        <w:rPr>
          <w:rFonts w:eastAsia="Calibri" w:cs="GHEA Grapalat"/>
          <w:b w:val="0"/>
          <w:szCs w:val="22"/>
          <w:lang w:val="hy-AM" w:eastAsia="en-US"/>
        </w:rPr>
        <w:softHyphen/>
        <w:t>թա</w:t>
      </w:r>
      <w:r w:rsidRPr="002B1E92">
        <w:rPr>
          <w:rFonts w:eastAsia="Calibri" w:cs="GHEA Grapalat"/>
          <w:b w:val="0"/>
          <w:szCs w:val="22"/>
          <w:lang w:val="hy-AM" w:eastAsia="en-US"/>
        </w:rPr>
        <w:softHyphen/>
        <w:t>կա գործունեության տեսակների վերա</w:t>
      </w:r>
      <w:r w:rsidRPr="002B1E92">
        <w:rPr>
          <w:rFonts w:eastAsia="Calibri" w:cs="GHEA Grapalat"/>
          <w:b w:val="0"/>
          <w:szCs w:val="22"/>
          <w:lang w:val="hy-AM" w:eastAsia="en-US"/>
        </w:rPr>
        <w:softHyphen/>
        <w:t>բեր</w:t>
      </w:r>
      <w:r w:rsidRPr="002B1E92">
        <w:rPr>
          <w:rFonts w:eastAsia="Calibri" w:cs="GHEA Grapalat"/>
          <w:b w:val="0"/>
          <w:szCs w:val="22"/>
          <w:lang w:val="hy-AM" w:eastAsia="en-US"/>
        </w:rPr>
        <w:softHyphen/>
        <w:t>յալ առկա քա</w:t>
      </w:r>
      <w:r w:rsidRPr="002B1E92">
        <w:rPr>
          <w:rFonts w:eastAsia="Calibri" w:cs="GHEA Grapalat"/>
          <w:b w:val="0"/>
          <w:szCs w:val="22"/>
          <w:lang w:val="hy-AM" w:eastAsia="en-US"/>
        </w:rPr>
        <w:softHyphen/>
        <w:t>նա</w:t>
      </w:r>
      <w:r w:rsidRPr="002B1E92">
        <w:rPr>
          <w:rFonts w:eastAsia="Calibri" w:cs="GHEA Grapalat"/>
          <w:b w:val="0"/>
          <w:szCs w:val="22"/>
          <w:lang w:val="hy-AM" w:eastAsia="en-US"/>
        </w:rPr>
        <w:softHyphen/>
      </w:r>
      <w:r w:rsidRPr="002B1E92">
        <w:rPr>
          <w:rFonts w:eastAsia="Calibri" w:cs="GHEA Grapalat"/>
          <w:b w:val="0"/>
          <w:szCs w:val="22"/>
          <w:lang w:val="hy-AM" w:eastAsia="en-US"/>
        </w:rPr>
        <w:softHyphen/>
        <w:t>կական տվյալ</w:t>
      </w:r>
      <w:r w:rsidRPr="002B1E92">
        <w:rPr>
          <w:rFonts w:eastAsia="Calibri" w:cs="GHEA Grapalat"/>
          <w:b w:val="0"/>
          <w:szCs w:val="22"/>
          <w:lang w:val="hy-AM" w:eastAsia="en-US"/>
        </w:rPr>
        <w:softHyphen/>
        <w:t>ներից, 20</w:t>
      </w:r>
      <w:r w:rsidRPr="002B1E92">
        <w:rPr>
          <w:rFonts w:eastAsia="Calibri" w:cs="GHEA Grapalat"/>
          <w:b w:val="0"/>
          <w:szCs w:val="22"/>
          <w:lang w:val="af-ZA" w:eastAsia="en-US"/>
        </w:rPr>
        <w:t>20</w:t>
      </w:r>
      <w:r w:rsidRPr="002B1E92">
        <w:rPr>
          <w:rFonts w:eastAsia="Calibri" w:cs="GHEA Grapalat"/>
          <w:b w:val="0"/>
          <w:szCs w:val="22"/>
          <w:lang w:val="hy-AM" w:eastAsia="en-US"/>
        </w:rPr>
        <w:t xml:space="preserve"> թվա</w:t>
      </w:r>
      <w:r w:rsidRPr="002B1E92">
        <w:rPr>
          <w:rFonts w:eastAsia="Calibri" w:cs="GHEA Grapalat"/>
          <w:b w:val="0"/>
          <w:szCs w:val="22"/>
          <w:lang w:val="hy-AM" w:eastAsia="en-US"/>
        </w:rPr>
        <w:softHyphen/>
      </w:r>
      <w:r w:rsidRPr="002B1E92">
        <w:rPr>
          <w:rFonts w:eastAsia="Calibri" w:cs="GHEA Grapalat"/>
          <w:b w:val="0"/>
          <w:szCs w:val="22"/>
          <w:lang w:val="hy-AM" w:eastAsia="en-US"/>
        </w:rPr>
        <w:softHyphen/>
        <w:t>կանի փաստացի և 20</w:t>
      </w:r>
      <w:r w:rsidRPr="002B1E92">
        <w:rPr>
          <w:rFonts w:eastAsia="Calibri" w:cs="GHEA Grapalat"/>
          <w:b w:val="0"/>
          <w:szCs w:val="22"/>
          <w:lang w:val="af-ZA" w:eastAsia="en-US"/>
        </w:rPr>
        <w:t>21</w:t>
      </w:r>
      <w:r w:rsidRPr="002B1E92">
        <w:rPr>
          <w:rFonts w:eastAsia="Calibri" w:cs="GHEA Grapalat"/>
          <w:b w:val="0"/>
          <w:szCs w:val="22"/>
          <w:lang w:val="hy-AM" w:eastAsia="en-US"/>
        </w:rPr>
        <w:t xml:space="preserve"> թվականի սպասողական մուտ</w:t>
      </w:r>
      <w:r w:rsidRPr="002B1E92">
        <w:rPr>
          <w:rFonts w:eastAsia="Calibri" w:cs="GHEA Grapalat"/>
          <w:b w:val="0"/>
          <w:szCs w:val="22"/>
          <w:lang w:val="hy-AM" w:eastAsia="en-US"/>
        </w:rPr>
        <w:softHyphen/>
        <w:t>քերից:</w:t>
      </w:r>
    </w:p>
    <w:p w14:paraId="46FE551F" w14:textId="77777777" w:rsidR="00EE1C9F" w:rsidRPr="002B1E92" w:rsidRDefault="00EE1C9F" w:rsidP="00EE1C9F">
      <w:pPr>
        <w:spacing w:before="0" w:line="276" w:lineRule="auto"/>
        <w:ind w:firstLine="538"/>
        <w:rPr>
          <w:rFonts w:eastAsia="Calibri"/>
          <w:b w:val="0"/>
          <w:szCs w:val="22"/>
          <w:lang w:val="hy-AM" w:eastAsia="en-US"/>
        </w:rPr>
      </w:pPr>
      <w:r w:rsidRPr="002B1E92">
        <w:rPr>
          <w:rFonts w:eastAsia="Calibri"/>
          <w:szCs w:val="22"/>
          <w:lang w:val="hy-AM" w:eastAsia="en-US"/>
        </w:rPr>
        <w:t>Այլ ծառայությունների կամ գործողությունների համար</w:t>
      </w:r>
      <w:r w:rsidRPr="002B1E92">
        <w:rPr>
          <w:rFonts w:eastAsia="Calibri"/>
          <w:b w:val="0"/>
          <w:szCs w:val="22"/>
          <w:lang w:val="hy-AM" w:eastAsia="en-US"/>
        </w:rPr>
        <w:t xml:space="preserve"> գանձվող պետական տուրքերի գծով 2022 թվականի մուտքերը կանխատեսվել են 13,300.2 մլն դրամի չափով` 2021 թվա</w:t>
      </w:r>
      <w:r w:rsidRPr="002B1E92">
        <w:rPr>
          <w:rFonts w:eastAsia="Calibri"/>
          <w:b w:val="0"/>
          <w:szCs w:val="22"/>
          <w:lang w:val="hy-AM" w:eastAsia="en-US"/>
        </w:rPr>
        <w:softHyphen/>
      </w:r>
      <w:r w:rsidRPr="002B1E92">
        <w:rPr>
          <w:rFonts w:eastAsia="Calibri"/>
          <w:b w:val="0"/>
          <w:szCs w:val="22"/>
          <w:lang w:val="hy-AM" w:eastAsia="en-US"/>
        </w:rPr>
        <w:softHyphen/>
      </w:r>
      <w:r w:rsidRPr="002B1E92">
        <w:rPr>
          <w:rFonts w:eastAsia="Calibri"/>
          <w:b w:val="0"/>
          <w:szCs w:val="22"/>
          <w:lang w:val="hy-AM" w:eastAsia="en-US"/>
        </w:rPr>
        <w:softHyphen/>
        <w:t>կանի հա</w:t>
      </w:r>
      <w:r w:rsidRPr="002B1E92">
        <w:rPr>
          <w:rFonts w:eastAsia="Calibri"/>
          <w:b w:val="0"/>
          <w:szCs w:val="22"/>
          <w:lang w:val="hy-AM" w:eastAsia="en-US"/>
        </w:rPr>
        <w:softHyphen/>
        <w:t xml:space="preserve">մար հաստատված 19,408.4 մլն դրամի և 2020 թվականի փաստացի ստացված 10,228.6 մլն դրամի դիմաց: </w:t>
      </w:r>
      <w:r w:rsidRPr="002B1E92">
        <w:rPr>
          <w:rFonts w:eastAsia="Calibri" w:cs="GHEA Grapalat"/>
          <w:b w:val="0"/>
          <w:szCs w:val="22"/>
          <w:lang w:val="hy-AM" w:eastAsia="en-US"/>
        </w:rPr>
        <w:t>Նշված պետական տուրքերից 2022 թվականի բյուջետային մուտքերի գերակշռող մա</w:t>
      </w:r>
      <w:r w:rsidRPr="002B1E92">
        <w:rPr>
          <w:rFonts w:eastAsia="Calibri" w:cs="GHEA Grapalat"/>
          <w:b w:val="0"/>
          <w:szCs w:val="22"/>
          <w:lang w:val="hy-AM" w:eastAsia="en-US"/>
        </w:rPr>
        <w:softHyphen/>
      </w:r>
      <w:r w:rsidRPr="002B1E92">
        <w:rPr>
          <w:rFonts w:eastAsia="Calibri" w:cs="GHEA Grapalat"/>
          <w:b w:val="0"/>
          <w:szCs w:val="22"/>
          <w:lang w:val="hy-AM" w:eastAsia="en-US"/>
        </w:rPr>
        <w:softHyphen/>
        <w:t>սը՝ 62.2 %-ը, ապահովվելու է ՀՀ-ից օդային տրանսպորտի միջոց</w:t>
      </w:r>
      <w:r w:rsidRPr="002B1E92">
        <w:rPr>
          <w:rFonts w:eastAsia="Calibri" w:cs="GHEA Grapalat"/>
          <w:b w:val="0"/>
          <w:szCs w:val="22"/>
          <w:lang w:val="hy-AM" w:eastAsia="en-US"/>
        </w:rPr>
        <w:softHyphen/>
        <w:t>ներով ֆիզի</w:t>
      </w:r>
      <w:r w:rsidRPr="002B1E92">
        <w:rPr>
          <w:rFonts w:eastAsia="Calibri" w:cs="GHEA Grapalat"/>
          <w:b w:val="0"/>
          <w:szCs w:val="22"/>
          <w:lang w:val="hy-AM" w:eastAsia="en-US"/>
        </w:rPr>
        <w:softHyphen/>
        <w:t>կա</w:t>
      </w:r>
      <w:r w:rsidRPr="002B1E92">
        <w:rPr>
          <w:rFonts w:eastAsia="Calibri" w:cs="GHEA Grapalat"/>
          <w:b w:val="0"/>
          <w:szCs w:val="22"/>
          <w:lang w:val="hy-AM" w:eastAsia="en-US"/>
        </w:rPr>
        <w:softHyphen/>
        <w:t>կան անձանց (օդային ուղևոր</w:t>
      </w:r>
      <w:r w:rsidRPr="002B1E92">
        <w:rPr>
          <w:rFonts w:eastAsia="Calibri" w:cs="GHEA Grapalat"/>
          <w:b w:val="0"/>
          <w:szCs w:val="22"/>
          <w:lang w:val="hy-AM" w:eastAsia="en-US"/>
        </w:rPr>
        <w:softHyphen/>
        <w:t>նե</w:t>
      </w:r>
      <w:r w:rsidRPr="002B1E92">
        <w:rPr>
          <w:rFonts w:eastAsia="Calibri" w:cs="GHEA Grapalat"/>
          <w:b w:val="0"/>
          <w:szCs w:val="22"/>
          <w:lang w:val="hy-AM" w:eastAsia="en-US"/>
        </w:rPr>
        <w:softHyphen/>
        <w:t>րի) ելքի համար գանձվող պետական տուրքի հաշվին:</w:t>
      </w:r>
    </w:p>
    <w:p w14:paraId="6FE37532" w14:textId="74D4D3DC" w:rsidR="00A83C94" w:rsidRPr="00B0373B" w:rsidRDefault="00EE1C9F" w:rsidP="00B0373B">
      <w:pPr>
        <w:tabs>
          <w:tab w:val="left" w:pos="9120"/>
        </w:tabs>
        <w:spacing w:before="0" w:line="276" w:lineRule="auto"/>
        <w:ind w:firstLine="562"/>
        <w:contextualSpacing w:val="0"/>
        <w:rPr>
          <w:rFonts w:cs="Sylfaen"/>
          <w:b w:val="0"/>
          <w:iCs/>
          <w:szCs w:val="22"/>
          <w:lang w:val="af-ZA" w:eastAsia="en-GB"/>
        </w:rPr>
      </w:pPr>
      <w:r w:rsidRPr="00B0373B">
        <w:rPr>
          <w:rFonts w:eastAsia="Calibri"/>
          <w:b w:val="0"/>
          <w:szCs w:val="22"/>
          <w:lang w:val="hy-AM" w:eastAsia="en-US"/>
        </w:rPr>
        <w:t xml:space="preserve"> ՀՀ-ից օդային տրանսպորտի միջոցներով ֆիզիկական անձանց (օդային ուղևոր</w:t>
      </w:r>
      <w:r w:rsidRPr="00B0373B">
        <w:rPr>
          <w:rFonts w:eastAsia="Calibri"/>
          <w:b w:val="0"/>
          <w:szCs w:val="22"/>
          <w:lang w:val="hy-AM" w:eastAsia="en-US"/>
        </w:rPr>
        <w:softHyphen/>
        <w:t>նե</w:t>
      </w:r>
      <w:r w:rsidRPr="00B0373B">
        <w:rPr>
          <w:rFonts w:eastAsia="Calibri"/>
          <w:b w:val="0"/>
          <w:szCs w:val="22"/>
          <w:lang w:val="hy-AM" w:eastAsia="en-US"/>
        </w:rPr>
        <w:softHyphen/>
        <w:t>րի) ելքի համար</w:t>
      </w:r>
      <w:r w:rsidRPr="00B0373B">
        <w:rPr>
          <w:rFonts w:eastAsia="Calibri"/>
          <w:szCs w:val="22"/>
          <w:lang w:val="hy-AM" w:eastAsia="en-US"/>
        </w:rPr>
        <w:t xml:space="preserve"> </w:t>
      </w:r>
      <w:r w:rsidRPr="00B0373B">
        <w:rPr>
          <w:rFonts w:eastAsia="Calibri"/>
          <w:b w:val="0"/>
          <w:szCs w:val="22"/>
          <w:lang w:val="hy-AM" w:eastAsia="en-US"/>
        </w:rPr>
        <w:t>գանձ</w:t>
      </w:r>
      <w:r w:rsidRPr="00B0373B">
        <w:rPr>
          <w:rFonts w:eastAsia="Calibri"/>
          <w:b w:val="0"/>
          <w:szCs w:val="22"/>
          <w:lang w:val="hy-AM" w:eastAsia="en-US"/>
        </w:rPr>
        <w:softHyphen/>
        <w:t>վող պետական տուրքի գծով 2022 թվականի մուտքերը կան</w:t>
      </w:r>
      <w:r w:rsidRPr="00B0373B">
        <w:rPr>
          <w:rFonts w:eastAsia="Calibri"/>
          <w:b w:val="0"/>
          <w:szCs w:val="22"/>
          <w:lang w:val="hy-AM" w:eastAsia="en-US"/>
        </w:rPr>
        <w:softHyphen/>
        <w:t>խատեսվել են 8,269.9 մլն դրամի չափով՝ 2021 թվականի սպասողական 8,179.9 մլն դրամի  մուտքերի նկատմամբ կիրառելով 1.1</w:t>
      </w:r>
      <w:r w:rsidRPr="00B0373B">
        <w:rPr>
          <w:rFonts w:eastAsia="Calibri" w:cs="GHEA Grapalat"/>
          <w:b w:val="0"/>
          <w:szCs w:val="22"/>
          <w:lang w:val="hy-AM" w:eastAsia="en-US"/>
        </w:rPr>
        <w:t xml:space="preserve">% աճ: 2021 թվականի սպասողական ցուցանիշը կանխատեսվել է </w:t>
      </w:r>
      <w:r w:rsidRPr="00B0373B">
        <w:rPr>
          <w:rFonts w:eastAsia="Calibri" w:cs="Sylfaen"/>
          <w:b w:val="0"/>
          <w:szCs w:val="22"/>
          <w:lang w:val="af-ZA"/>
        </w:rPr>
        <w:t>2021 թվականի առաջին 7 ամիսների փաստացի մուտքերի նկատմամբ կիրա</w:t>
      </w:r>
      <w:r w:rsidRPr="00B0373B">
        <w:rPr>
          <w:rFonts w:eastAsia="Calibri" w:cs="Sylfaen"/>
          <w:b w:val="0"/>
          <w:szCs w:val="22"/>
          <w:lang w:val="af-ZA"/>
        </w:rPr>
        <w:softHyphen/>
        <w:t>ռելով 2018-2020 թվականների տարեկան մուտքերում առաջին 7 ամիս</w:t>
      </w:r>
      <w:r w:rsidRPr="00B0373B">
        <w:rPr>
          <w:rFonts w:eastAsia="Calibri" w:cs="Sylfaen"/>
          <w:b w:val="0"/>
          <w:szCs w:val="22"/>
          <w:lang w:val="af-ZA"/>
        </w:rPr>
        <w:softHyphen/>
        <w:t>ների մուտ</w:t>
      </w:r>
      <w:r w:rsidRPr="00B0373B">
        <w:rPr>
          <w:rFonts w:eastAsia="Calibri" w:cs="Sylfaen"/>
          <w:b w:val="0"/>
          <w:szCs w:val="22"/>
          <w:lang w:val="af-ZA"/>
        </w:rPr>
        <w:softHyphen/>
        <w:t xml:space="preserve">քերի տեսակարար կշիռների միջինացված </w:t>
      </w:r>
      <w:r w:rsidRPr="00B0373B">
        <w:rPr>
          <w:rFonts w:cs="Sylfaen"/>
          <w:b w:val="0"/>
          <w:iCs/>
          <w:szCs w:val="22"/>
          <w:lang w:val="af-ZA" w:eastAsia="en-GB"/>
        </w:rPr>
        <w:t>ցուցանիշը:</w:t>
      </w:r>
    </w:p>
    <w:p w14:paraId="5C5B003A" w14:textId="7C980ACE" w:rsidR="00AE2A75" w:rsidRPr="00A83C94" w:rsidRDefault="00AE2A75" w:rsidP="00B0373B">
      <w:pPr>
        <w:tabs>
          <w:tab w:val="left" w:pos="9120"/>
        </w:tabs>
        <w:spacing w:before="0" w:line="276" w:lineRule="auto"/>
        <w:ind w:firstLine="562"/>
        <w:contextualSpacing w:val="0"/>
        <w:rPr>
          <w:rFonts w:eastAsia="Calibri" w:cs="GHEA Grapalat"/>
          <w:bCs/>
          <w:szCs w:val="22"/>
          <w:lang w:val="hy-AM" w:eastAsia="en-US"/>
        </w:rPr>
      </w:pPr>
      <w:r w:rsidRPr="00B0373B">
        <w:rPr>
          <w:rFonts w:eastAsia="Calibri" w:cs="GHEA Grapalat"/>
          <w:bCs/>
          <w:szCs w:val="22"/>
          <w:lang w:val="hy-AM" w:eastAsia="en-US"/>
        </w:rPr>
        <w:t>Պաշտոնական</w:t>
      </w:r>
      <w:r w:rsidRPr="00A83C94">
        <w:rPr>
          <w:rFonts w:eastAsia="Calibri" w:cs="GHEA Grapalat"/>
          <w:bCs/>
          <w:szCs w:val="22"/>
          <w:lang w:val="hy-AM" w:eastAsia="en-US"/>
        </w:rPr>
        <w:t xml:space="preserve"> դրամաշնորհներ</w:t>
      </w:r>
      <w:bookmarkEnd w:id="241"/>
      <w:bookmarkEnd w:id="242"/>
      <w:bookmarkEnd w:id="243"/>
    </w:p>
    <w:p w14:paraId="2A249BC5" w14:textId="71FE99A2" w:rsidR="00AE2A75" w:rsidRDefault="00AE2A75" w:rsidP="00AE2A75">
      <w:pPr>
        <w:tabs>
          <w:tab w:val="left" w:pos="9120"/>
        </w:tabs>
        <w:spacing w:before="0" w:line="276" w:lineRule="auto"/>
        <w:ind w:firstLine="562"/>
        <w:contextualSpacing w:val="0"/>
        <w:rPr>
          <w:rFonts w:cs="Sylfaen"/>
          <w:b w:val="0"/>
          <w:iCs/>
          <w:szCs w:val="22"/>
          <w:lang w:val="af-ZA" w:eastAsia="en-GB"/>
        </w:rPr>
      </w:pPr>
      <w:r w:rsidRPr="00A83C94">
        <w:rPr>
          <w:rFonts w:eastAsia="Calibri"/>
          <w:b w:val="0"/>
          <w:szCs w:val="22"/>
          <w:lang w:val="hy-AM" w:eastAsia="en-US"/>
        </w:rPr>
        <w:t xml:space="preserve">Պաշտոնական դրամաշնորհները 2022 </w:t>
      </w:r>
      <w:r w:rsidRPr="00A83C94">
        <w:rPr>
          <w:rFonts w:cs="Sylfaen"/>
          <w:b w:val="0"/>
          <w:iCs/>
          <w:szCs w:val="22"/>
          <w:lang w:val="af-ZA" w:eastAsia="en-GB"/>
        </w:rPr>
        <w:t>թվականի համար ծրագրվել են` հաշվի առ</w:t>
      </w:r>
      <w:r w:rsidRPr="00A83C94">
        <w:rPr>
          <w:rFonts w:cs="Sylfaen"/>
          <w:b w:val="0"/>
          <w:iCs/>
          <w:szCs w:val="22"/>
          <w:lang w:val="af-ZA" w:eastAsia="en-GB"/>
        </w:rPr>
        <w:softHyphen/>
        <w:t>նե</w:t>
      </w:r>
      <w:r w:rsidRPr="00A83C94">
        <w:rPr>
          <w:rFonts w:cs="Sylfaen"/>
          <w:b w:val="0"/>
          <w:iCs/>
          <w:szCs w:val="22"/>
          <w:lang w:val="af-ZA" w:eastAsia="en-GB"/>
        </w:rPr>
        <w:softHyphen/>
      </w:r>
      <w:r w:rsidRPr="00A83C94">
        <w:rPr>
          <w:rFonts w:cs="Sylfaen"/>
          <w:b w:val="0"/>
          <w:iCs/>
          <w:szCs w:val="22"/>
          <w:lang w:val="af-ZA" w:eastAsia="en-GB"/>
        </w:rPr>
        <w:softHyphen/>
        <w:t>լով առկա պայմանագրերը, դո</w:t>
      </w:r>
      <w:r w:rsidRPr="00A83C94">
        <w:rPr>
          <w:rFonts w:cs="Sylfaen"/>
          <w:b w:val="0"/>
          <w:iCs/>
          <w:szCs w:val="22"/>
          <w:lang w:val="af-ZA" w:eastAsia="en-GB"/>
        </w:rPr>
        <w:softHyphen/>
        <w:t>նոր</w:t>
      </w:r>
      <w:r w:rsidRPr="00A83C94">
        <w:rPr>
          <w:rFonts w:cs="Sylfaen"/>
          <w:b w:val="0"/>
          <w:iCs/>
          <w:szCs w:val="22"/>
          <w:lang w:val="af-ZA" w:eastAsia="en-GB"/>
        </w:rPr>
        <w:softHyphen/>
        <w:t>նե</w:t>
      </w:r>
      <w:r w:rsidRPr="00A83C94">
        <w:rPr>
          <w:rFonts w:cs="Sylfaen"/>
          <w:b w:val="0"/>
          <w:iCs/>
          <w:szCs w:val="22"/>
          <w:lang w:val="af-ZA" w:eastAsia="en-GB"/>
        </w:rPr>
        <w:softHyphen/>
        <w:t>րի հետ ձեռքբերված նախնական համաձայնությունները և Եվրամիությունից ակնկալվող դրամաշնորհների դեպքում` սպա</w:t>
      </w:r>
      <w:r w:rsidRPr="00A83C94">
        <w:rPr>
          <w:rFonts w:cs="Sylfaen"/>
          <w:b w:val="0"/>
          <w:iCs/>
          <w:szCs w:val="22"/>
          <w:lang w:val="af-ZA" w:eastAsia="en-GB"/>
        </w:rPr>
        <w:softHyphen/>
        <w:t>սում</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րը:</w:t>
      </w:r>
    </w:p>
    <w:p w14:paraId="4F58D2E9" w14:textId="77777777" w:rsidR="000957ED" w:rsidRDefault="000957ED" w:rsidP="00AE2A75">
      <w:pPr>
        <w:tabs>
          <w:tab w:val="left" w:pos="9120"/>
        </w:tabs>
        <w:spacing w:before="0" w:line="276" w:lineRule="auto"/>
        <w:ind w:firstLine="562"/>
        <w:contextualSpacing w:val="0"/>
        <w:rPr>
          <w:rFonts w:cs="Sylfaen"/>
          <w:b w:val="0"/>
          <w:iCs/>
          <w:szCs w:val="22"/>
          <w:lang w:val="af-ZA" w:eastAsia="en-GB"/>
        </w:rPr>
      </w:pPr>
    </w:p>
    <w:p w14:paraId="5978A138" w14:textId="14DB9D6F" w:rsidR="00AE2A75" w:rsidRPr="00A83C94" w:rsidRDefault="00DA73BA" w:rsidP="00DA73BA">
      <w:pPr>
        <w:pStyle w:val="Caption"/>
        <w:keepNext/>
        <w:rPr>
          <w:b/>
          <w:i/>
          <w:sz w:val="20"/>
          <w:szCs w:val="20"/>
          <w:lang w:val="hy-AM"/>
        </w:rPr>
      </w:pPr>
      <w:bookmarkStart w:id="246" w:name="_Toc89428768"/>
      <w:r>
        <w:t>Աղյուսակ</w:t>
      </w:r>
      <w:r w:rsidRPr="00DA73BA">
        <w:rPr>
          <w:lang w:val="af-ZA"/>
        </w:rPr>
        <w:t xml:space="preserve"> </w:t>
      </w:r>
      <w:r>
        <w:fldChar w:fldCharType="begin"/>
      </w:r>
      <w:r w:rsidRPr="00DA73BA">
        <w:rPr>
          <w:lang w:val="af-ZA"/>
        </w:rPr>
        <w:instrText xml:space="preserve"> SEQ </w:instrText>
      </w:r>
      <w:r>
        <w:instrText>Աղյուսակ</w:instrText>
      </w:r>
      <w:r w:rsidRPr="00DA73BA">
        <w:rPr>
          <w:lang w:val="af-ZA"/>
        </w:rPr>
        <w:instrText xml:space="preserve"> \* ARABIC </w:instrText>
      </w:r>
      <w:r>
        <w:fldChar w:fldCharType="separate"/>
      </w:r>
      <w:r w:rsidR="00A10D4F">
        <w:rPr>
          <w:noProof/>
          <w:lang w:val="af-ZA"/>
        </w:rPr>
        <w:t>8</w:t>
      </w:r>
      <w:r>
        <w:fldChar w:fldCharType="end"/>
      </w:r>
      <w:r w:rsidRPr="00DA73BA">
        <w:rPr>
          <w:lang w:val="af-ZA"/>
        </w:rPr>
        <w:t xml:space="preserve">. </w:t>
      </w:r>
      <w:r w:rsidR="00AE2A75" w:rsidRPr="00A83C94">
        <w:rPr>
          <w:b/>
          <w:i/>
          <w:sz w:val="20"/>
          <w:szCs w:val="20"/>
          <w:lang w:val="hy-AM"/>
        </w:rPr>
        <w:t>2018-2022թթ փաստացի/կանխատեսումային պաշտոնական դրամաշնորհները (մլրդ դրամ</w:t>
      </w:r>
      <w:r w:rsidR="00AE2A75" w:rsidRPr="00A83C94">
        <w:rPr>
          <w:b/>
          <w:i/>
          <w:sz w:val="20"/>
          <w:szCs w:val="20"/>
          <w:lang w:val="hy-AM"/>
        </w:rPr>
        <w:softHyphen/>
        <w:t>նե</w:t>
      </w:r>
      <w:r w:rsidR="00AE2A75" w:rsidRPr="00A83C94">
        <w:rPr>
          <w:b/>
          <w:i/>
          <w:sz w:val="20"/>
          <w:szCs w:val="20"/>
          <w:lang w:val="hy-AM"/>
        </w:rPr>
        <w:softHyphen/>
        <w:t>րով)</w:t>
      </w:r>
      <w:bookmarkEnd w:id="246"/>
    </w:p>
    <w:tbl>
      <w:tblPr>
        <w:tblW w:w="93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0"/>
        <w:gridCol w:w="1235"/>
        <w:gridCol w:w="1235"/>
        <w:gridCol w:w="1235"/>
        <w:gridCol w:w="1235"/>
        <w:gridCol w:w="1235"/>
      </w:tblGrid>
      <w:tr w:rsidR="00AE2A75" w:rsidRPr="00A83C94" w14:paraId="2FE7714A" w14:textId="77777777" w:rsidTr="001D3173">
        <w:trPr>
          <w:trHeight w:val="690"/>
        </w:trPr>
        <w:tc>
          <w:tcPr>
            <w:tcW w:w="3180" w:type="dxa"/>
            <w:shd w:val="clear" w:color="auto" w:fill="4F81BD" w:themeFill="accent1"/>
            <w:noWrap/>
            <w:vAlign w:val="center"/>
            <w:hideMark/>
          </w:tcPr>
          <w:p w14:paraId="03CDB438" w14:textId="77777777" w:rsidR="00AE2A75" w:rsidRPr="00A83C94" w:rsidRDefault="00AE2A75" w:rsidP="000957ED">
            <w:pPr>
              <w:spacing w:before="0" w:line="240"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Պաշտոնական դրամաշնորհներ</w:t>
            </w:r>
          </w:p>
        </w:tc>
        <w:tc>
          <w:tcPr>
            <w:tcW w:w="1235" w:type="dxa"/>
            <w:shd w:val="clear" w:color="auto" w:fill="4F81BD" w:themeFill="accent1"/>
            <w:vAlign w:val="center"/>
            <w:hideMark/>
          </w:tcPr>
          <w:p w14:paraId="058777C7"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 xml:space="preserve">2018թ </w:t>
            </w:r>
            <w:r w:rsidRPr="00A83C94">
              <w:rPr>
                <w:rFonts w:cs="Calibri"/>
                <w:color w:val="FFFFFF" w:themeColor="background1"/>
                <w:szCs w:val="22"/>
                <w:lang w:val="en-US" w:eastAsia="en-US"/>
              </w:rPr>
              <w:br/>
              <w:t>փաստ</w:t>
            </w:r>
          </w:p>
        </w:tc>
        <w:tc>
          <w:tcPr>
            <w:tcW w:w="1235" w:type="dxa"/>
            <w:shd w:val="clear" w:color="auto" w:fill="4F81BD" w:themeFill="accent1"/>
            <w:vAlign w:val="center"/>
            <w:hideMark/>
          </w:tcPr>
          <w:p w14:paraId="390ABFF2"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 xml:space="preserve">2019թ </w:t>
            </w:r>
            <w:r w:rsidRPr="00A83C94">
              <w:rPr>
                <w:rFonts w:cs="Calibri"/>
                <w:color w:val="FFFFFF" w:themeColor="background1"/>
                <w:szCs w:val="22"/>
                <w:lang w:val="en-US" w:eastAsia="en-US"/>
              </w:rPr>
              <w:br/>
              <w:t>փաստ</w:t>
            </w:r>
          </w:p>
        </w:tc>
        <w:tc>
          <w:tcPr>
            <w:tcW w:w="1235" w:type="dxa"/>
            <w:shd w:val="clear" w:color="auto" w:fill="4F81BD" w:themeFill="accent1"/>
            <w:vAlign w:val="center"/>
            <w:hideMark/>
          </w:tcPr>
          <w:p w14:paraId="6C7278A9"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2020թ</w:t>
            </w:r>
            <w:r w:rsidRPr="00A83C94">
              <w:rPr>
                <w:rFonts w:cs="Calibri"/>
                <w:color w:val="FFFFFF" w:themeColor="background1"/>
                <w:szCs w:val="22"/>
                <w:lang w:val="en-US" w:eastAsia="en-US"/>
              </w:rPr>
              <w:br/>
              <w:t xml:space="preserve"> փաստ</w:t>
            </w:r>
          </w:p>
        </w:tc>
        <w:tc>
          <w:tcPr>
            <w:tcW w:w="1235" w:type="dxa"/>
            <w:shd w:val="clear" w:color="auto" w:fill="4F81BD" w:themeFill="accent1"/>
            <w:vAlign w:val="center"/>
            <w:hideMark/>
          </w:tcPr>
          <w:p w14:paraId="7E8BCBC0"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2021թ</w:t>
            </w:r>
            <w:r w:rsidRPr="00A83C94">
              <w:rPr>
                <w:rFonts w:cs="Calibri"/>
                <w:color w:val="FFFFFF" w:themeColor="background1"/>
                <w:szCs w:val="22"/>
                <w:lang w:val="en-US" w:eastAsia="en-US"/>
              </w:rPr>
              <w:br/>
              <w:t xml:space="preserve"> բյուջե</w:t>
            </w:r>
          </w:p>
        </w:tc>
        <w:tc>
          <w:tcPr>
            <w:tcW w:w="1235" w:type="dxa"/>
            <w:shd w:val="clear" w:color="auto" w:fill="4F81BD" w:themeFill="accent1"/>
            <w:vAlign w:val="center"/>
            <w:hideMark/>
          </w:tcPr>
          <w:p w14:paraId="5414755E" w14:textId="77777777" w:rsidR="00AE2A75" w:rsidRPr="00A83C94" w:rsidRDefault="00AE2A75" w:rsidP="000957ED">
            <w:pPr>
              <w:spacing w:before="0" w:line="240" w:lineRule="auto"/>
              <w:ind w:firstLine="0"/>
              <w:contextualSpacing w:val="0"/>
              <w:jc w:val="center"/>
              <w:rPr>
                <w:rFonts w:cs="Calibri"/>
                <w:color w:val="FFFFFF" w:themeColor="background1"/>
                <w:szCs w:val="22"/>
                <w:lang w:val="en-US" w:eastAsia="en-US"/>
              </w:rPr>
            </w:pPr>
            <w:r w:rsidRPr="00A83C94">
              <w:rPr>
                <w:rFonts w:cs="Calibri"/>
                <w:color w:val="FFFFFF" w:themeColor="background1"/>
                <w:szCs w:val="22"/>
                <w:lang w:val="en-US" w:eastAsia="en-US"/>
              </w:rPr>
              <w:t>2022թ կանխատեսում</w:t>
            </w:r>
          </w:p>
        </w:tc>
      </w:tr>
      <w:tr w:rsidR="00AE2A75" w:rsidRPr="00A83C94" w14:paraId="638938DA" w14:textId="77777777" w:rsidTr="001D3173">
        <w:trPr>
          <w:trHeight w:val="611"/>
        </w:trPr>
        <w:tc>
          <w:tcPr>
            <w:tcW w:w="3180" w:type="dxa"/>
            <w:shd w:val="clear" w:color="auto" w:fill="DBE5F1" w:themeFill="accent1" w:themeFillTint="33"/>
            <w:vAlign w:val="center"/>
            <w:hideMark/>
          </w:tcPr>
          <w:p w14:paraId="5CF1EB10" w14:textId="77777777" w:rsidR="00AE2A75" w:rsidRPr="00A83C94" w:rsidRDefault="00AE2A75" w:rsidP="001D3173">
            <w:pPr>
              <w:spacing w:before="0" w:line="240" w:lineRule="auto"/>
              <w:ind w:firstLine="0"/>
              <w:contextualSpacing w:val="0"/>
              <w:jc w:val="left"/>
              <w:rPr>
                <w:rFonts w:cs="Calibri"/>
                <w:b w:val="0"/>
                <w:bCs/>
                <w:color w:val="000000"/>
                <w:szCs w:val="22"/>
                <w:lang w:val="en-US" w:eastAsia="en-US"/>
              </w:rPr>
            </w:pPr>
            <w:r w:rsidRPr="00A83C94">
              <w:rPr>
                <w:rFonts w:cs="Calibri"/>
                <w:b w:val="0"/>
                <w:bCs/>
                <w:color w:val="000000"/>
                <w:szCs w:val="22"/>
                <w:lang w:val="en-US" w:eastAsia="en-US"/>
              </w:rPr>
              <w:t>Ընդամենը, այդ թվում՝</w:t>
            </w:r>
          </w:p>
        </w:tc>
        <w:tc>
          <w:tcPr>
            <w:tcW w:w="1235" w:type="dxa"/>
            <w:shd w:val="clear" w:color="auto" w:fill="DBE5F1" w:themeFill="accent1" w:themeFillTint="33"/>
            <w:noWrap/>
            <w:vAlign w:val="center"/>
            <w:hideMark/>
          </w:tcPr>
          <w:p w14:paraId="47D3B415"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11.2 </w:t>
            </w:r>
          </w:p>
        </w:tc>
        <w:tc>
          <w:tcPr>
            <w:tcW w:w="1235" w:type="dxa"/>
            <w:shd w:val="clear" w:color="auto" w:fill="DBE5F1" w:themeFill="accent1" w:themeFillTint="33"/>
            <w:noWrap/>
            <w:vAlign w:val="center"/>
            <w:hideMark/>
          </w:tcPr>
          <w:p w14:paraId="1FB0595B"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12.4 </w:t>
            </w:r>
          </w:p>
        </w:tc>
        <w:tc>
          <w:tcPr>
            <w:tcW w:w="1235" w:type="dxa"/>
            <w:shd w:val="clear" w:color="auto" w:fill="DBE5F1" w:themeFill="accent1" w:themeFillTint="33"/>
            <w:noWrap/>
            <w:vAlign w:val="center"/>
            <w:hideMark/>
          </w:tcPr>
          <w:p w14:paraId="4B60B5B9"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53.2 </w:t>
            </w:r>
          </w:p>
        </w:tc>
        <w:tc>
          <w:tcPr>
            <w:tcW w:w="1235" w:type="dxa"/>
            <w:shd w:val="clear" w:color="auto" w:fill="DBE5F1" w:themeFill="accent1" w:themeFillTint="33"/>
            <w:noWrap/>
            <w:vAlign w:val="center"/>
            <w:hideMark/>
          </w:tcPr>
          <w:p w14:paraId="582866DA"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24.3 </w:t>
            </w:r>
          </w:p>
        </w:tc>
        <w:tc>
          <w:tcPr>
            <w:tcW w:w="1235" w:type="dxa"/>
            <w:shd w:val="clear" w:color="auto" w:fill="DBE5F1" w:themeFill="accent1" w:themeFillTint="33"/>
            <w:noWrap/>
            <w:vAlign w:val="center"/>
            <w:hideMark/>
          </w:tcPr>
          <w:p w14:paraId="20FEA193" w14:textId="3CBF5AAF" w:rsidR="00AE2A75" w:rsidRPr="00A83C94" w:rsidRDefault="0040029F" w:rsidP="0040029F">
            <w:pPr>
              <w:spacing w:before="0" w:line="240" w:lineRule="auto"/>
              <w:ind w:firstLine="0"/>
              <w:contextualSpacing w:val="0"/>
              <w:jc w:val="center"/>
              <w:rPr>
                <w:rFonts w:cs="Calibri"/>
                <w:b w:val="0"/>
                <w:color w:val="000000"/>
                <w:szCs w:val="22"/>
                <w:lang w:val="en-US" w:eastAsia="en-US"/>
              </w:rPr>
            </w:pPr>
            <w:r>
              <w:rPr>
                <w:rFonts w:cs="Calibri"/>
                <w:b w:val="0"/>
                <w:color w:val="000000"/>
                <w:szCs w:val="22"/>
                <w:lang w:val="en-US" w:eastAsia="en-US"/>
              </w:rPr>
              <w:t xml:space="preserve">                           41.8</w:t>
            </w:r>
          </w:p>
        </w:tc>
      </w:tr>
      <w:tr w:rsidR="00AE2A75" w:rsidRPr="0040029F" w14:paraId="29084A11" w14:textId="77777777" w:rsidTr="001D3173">
        <w:trPr>
          <w:trHeight w:val="698"/>
        </w:trPr>
        <w:tc>
          <w:tcPr>
            <w:tcW w:w="3180" w:type="dxa"/>
            <w:shd w:val="clear" w:color="auto" w:fill="auto"/>
            <w:vAlign w:val="center"/>
            <w:hideMark/>
          </w:tcPr>
          <w:p w14:paraId="2256E2BB" w14:textId="77777777" w:rsidR="00AE2A75" w:rsidRPr="00A83C94" w:rsidRDefault="00AE2A75" w:rsidP="001D3173">
            <w:pPr>
              <w:spacing w:before="0" w:line="240" w:lineRule="auto"/>
              <w:ind w:firstLine="0"/>
              <w:contextualSpacing w:val="0"/>
              <w:jc w:val="left"/>
              <w:rPr>
                <w:rFonts w:cs="Calibri"/>
                <w:b w:val="0"/>
                <w:color w:val="000000"/>
                <w:szCs w:val="22"/>
                <w:lang w:eastAsia="en-US"/>
              </w:rPr>
            </w:pPr>
            <w:r w:rsidRPr="00A83C94">
              <w:rPr>
                <w:rFonts w:cs="Calibri"/>
                <w:b w:val="0"/>
                <w:color w:val="000000"/>
                <w:szCs w:val="22"/>
                <w:lang w:val="en-US" w:eastAsia="en-US"/>
              </w:rPr>
              <w:t>ԵՄ</w:t>
            </w:r>
            <w:r w:rsidRPr="00A83C94">
              <w:rPr>
                <w:rFonts w:cs="Calibri"/>
                <w:b w:val="0"/>
                <w:color w:val="000000"/>
                <w:szCs w:val="22"/>
                <w:lang w:eastAsia="en-US"/>
              </w:rPr>
              <w:t xml:space="preserve"> (</w:t>
            </w:r>
            <w:r w:rsidRPr="00A83C94">
              <w:rPr>
                <w:rFonts w:cs="Calibri"/>
                <w:b w:val="0"/>
                <w:color w:val="000000"/>
                <w:szCs w:val="22"/>
                <w:lang w:val="en-US" w:eastAsia="en-US"/>
              </w:rPr>
              <w:t>Եվրոպական</w:t>
            </w:r>
            <w:r w:rsidRPr="00A83C94">
              <w:rPr>
                <w:rFonts w:cs="Calibri"/>
                <w:b w:val="0"/>
                <w:color w:val="000000"/>
                <w:szCs w:val="22"/>
                <w:lang w:eastAsia="en-US"/>
              </w:rPr>
              <w:t xml:space="preserve"> </w:t>
            </w:r>
            <w:r w:rsidRPr="00A83C94">
              <w:rPr>
                <w:rFonts w:cs="Calibri"/>
                <w:b w:val="0"/>
                <w:color w:val="000000"/>
                <w:szCs w:val="22"/>
                <w:lang w:val="en-US" w:eastAsia="en-US"/>
              </w:rPr>
              <w:t>հարևանության</w:t>
            </w:r>
            <w:r w:rsidRPr="00A83C94">
              <w:rPr>
                <w:rFonts w:cs="Calibri"/>
                <w:b w:val="0"/>
                <w:color w:val="000000"/>
                <w:szCs w:val="22"/>
                <w:lang w:eastAsia="en-US"/>
              </w:rPr>
              <w:t xml:space="preserve"> </w:t>
            </w:r>
            <w:r w:rsidRPr="00A83C94">
              <w:rPr>
                <w:rFonts w:cs="Calibri"/>
                <w:b w:val="0"/>
                <w:color w:val="000000"/>
                <w:szCs w:val="22"/>
                <w:lang w:val="en-US" w:eastAsia="en-US"/>
              </w:rPr>
              <w:t>շրջանակներում</w:t>
            </w:r>
            <w:r w:rsidRPr="00A83C94">
              <w:rPr>
                <w:rFonts w:cs="Calibri"/>
                <w:b w:val="0"/>
                <w:color w:val="000000"/>
                <w:szCs w:val="22"/>
                <w:lang w:eastAsia="en-US"/>
              </w:rPr>
              <w:t xml:space="preserve"> </w:t>
            </w:r>
            <w:r w:rsidRPr="00A83C94">
              <w:rPr>
                <w:rFonts w:cs="Calibri"/>
                <w:b w:val="0"/>
                <w:color w:val="000000"/>
                <w:szCs w:val="22"/>
                <w:lang w:val="en-US" w:eastAsia="en-US"/>
              </w:rPr>
              <w:t>ՀՀ</w:t>
            </w:r>
            <w:r w:rsidRPr="00A83C94">
              <w:rPr>
                <w:rFonts w:cs="Calibri"/>
                <w:b w:val="0"/>
                <w:color w:val="000000"/>
                <w:szCs w:val="22"/>
                <w:lang w:eastAsia="en-US"/>
              </w:rPr>
              <w:t>-</w:t>
            </w:r>
            <w:r w:rsidRPr="00A83C94">
              <w:rPr>
                <w:rFonts w:cs="Calibri"/>
                <w:b w:val="0"/>
                <w:color w:val="000000"/>
                <w:szCs w:val="22"/>
                <w:lang w:val="en-US" w:eastAsia="en-US"/>
              </w:rPr>
              <w:t>ԵՄ</w:t>
            </w:r>
            <w:r w:rsidRPr="00A83C94">
              <w:rPr>
                <w:rFonts w:cs="Calibri"/>
                <w:b w:val="0"/>
                <w:color w:val="000000"/>
                <w:szCs w:val="22"/>
                <w:lang w:eastAsia="en-US"/>
              </w:rPr>
              <w:t xml:space="preserve"> </w:t>
            </w:r>
            <w:r w:rsidRPr="00A83C94">
              <w:rPr>
                <w:rFonts w:cs="Calibri"/>
                <w:b w:val="0"/>
                <w:color w:val="000000"/>
                <w:szCs w:val="22"/>
                <w:lang w:val="en-US" w:eastAsia="en-US"/>
              </w:rPr>
              <w:t>գործողությունների</w:t>
            </w:r>
            <w:r w:rsidRPr="00A83C94">
              <w:rPr>
                <w:rFonts w:cs="Calibri"/>
                <w:b w:val="0"/>
                <w:color w:val="000000"/>
                <w:szCs w:val="22"/>
                <w:lang w:eastAsia="en-US"/>
              </w:rPr>
              <w:t xml:space="preserve"> </w:t>
            </w:r>
            <w:r w:rsidRPr="00A83C94">
              <w:rPr>
                <w:rFonts w:cs="Calibri"/>
                <w:b w:val="0"/>
                <w:color w:val="000000"/>
                <w:szCs w:val="22"/>
                <w:lang w:val="en-US" w:eastAsia="en-US"/>
              </w:rPr>
              <w:t>ծրագրով</w:t>
            </w:r>
            <w:r w:rsidRPr="00A83C94">
              <w:rPr>
                <w:rFonts w:cs="Calibri"/>
                <w:b w:val="0"/>
                <w:color w:val="000000"/>
                <w:szCs w:val="22"/>
                <w:lang w:eastAsia="en-US"/>
              </w:rPr>
              <w:t xml:space="preserve"> </w:t>
            </w:r>
            <w:r w:rsidRPr="00A83C94">
              <w:rPr>
                <w:rFonts w:cs="Calibri"/>
                <w:b w:val="0"/>
                <w:color w:val="000000"/>
                <w:szCs w:val="22"/>
                <w:lang w:val="en-US" w:eastAsia="en-US"/>
              </w:rPr>
              <w:t>նախատեսված</w:t>
            </w:r>
            <w:r w:rsidRPr="00A83C94">
              <w:rPr>
                <w:rFonts w:cs="Calibri"/>
                <w:b w:val="0"/>
                <w:color w:val="000000"/>
                <w:szCs w:val="22"/>
                <w:lang w:eastAsia="en-US"/>
              </w:rPr>
              <w:t xml:space="preserve"> </w:t>
            </w:r>
            <w:r w:rsidRPr="00A83C94">
              <w:rPr>
                <w:rFonts w:cs="Calibri"/>
                <w:b w:val="0"/>
                <w:color w:val="000000"/>
                <w:szCs w:val="22"/>
                <w:lang w:val="en-US" w:eastAsia="en-US"/>
              </w:rPr>
              <w:t>դրամաշնորհային</w:t>
            </w:r>
            <w:r w:rsidRPr="00A83C94">
              <w:rPr>
                <w:rFonts w:cs="Calibri"/>
                <w:b w:val="0"/>
                <w:color w:val="000000"/>
                <w:szCs w:val="22"/>
                <w:lang w:eastAsia="en-US"/>
              </w:rPr>
              <w:t xml:space="preserve"> </w:t>
            </w:r>
            <w:r w:rsidRPr="00A83C94">
              <w:rPr>
                <w:rFonts w:cs="Calibri"/>
                <w:b w:val="0"/>
                <w:color w:val="000000"/>
                <w:szCs w:val="22"/>
                <w:lang w:val="en-US" w:eastAsia="en-US"/>
              </w:rPr>
              <w:t>ծրագրեր</w:t>
            </w:r>
            <w:r w:rsidRPr="00A83C94">
              <w:rPr>
                <w:rFonts w:cs="Calibri"/>
                <w:b w:val="0"/>
                <w:color w:val="000000"/>
                <w:szCs w:val="22"/>
                <w:lang w:eastAsia="en-US"/>
              </w:rPr>
              <w:t>)</w:t>
            </w:r>
          </w:p>
        </w:tc>
        <w:tc>
          <w:tcPr>
            <w:tcW w:w="1235" w:type="dxa"/>
            <w:shd w:val="clear" w:color="auto" w:fill="auto"/>
            <w:noWrap/>
            <w:vAlign w:val="center"/>
            <w:hideMark/>
          </w:tcPr>
          <w:p w14:paraId="7A44EA1C"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eastAsia="en-US"/>
              </w:rPr>
              <w:t xml:space="preserve">                       </w:t>
            </w:r>
            <w:r w:rsidRPr="00A83C94">
              <w:rPr>
                <w:rFonts w:cs="Calibri"/>
                <w:b w:val="0"/>
                <w:color w:val="000000"/>
                <w:szCs w:val="22"/>
                <w:lang w:val="en-US" w:eastAsia="en-US"/>
              </w:rPr>
              <w:t xml:space="preserve">11.0 </w:t>
            </w:r>
          </w:p>
        </w:tc>
        <w:tc>
          <w:tcPr>
            <w:tcW w:w="1235" w:type="dxa"/>
            <w:shd w:val="clear" w:color="auto" w:fill="auto"/>
            <w:noWrap/>
            <w:vAlign w:val="center"/>
            <w:hideMark/>
          </w:tcPr>
          <w:p w14:paraId="40D62DA2"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4.5 </w:t>
            </w:r>
          </w:p>
        </w:tc>
        <w:tc>
          <w:tcPr>
            <w:tcW w:w="1235" w:type="dxa"/>
            <w:shd w:val="clear" w:color="auto" w:fill="auto"/>
            <w:noWrap/>
            <w:vAlign w:val="center"/>
            <w:hideMark/>
          </w:tcPr>
          <w:p w14:paraId="73A16442"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47.3 </w:t>
            </w:r>
          </w:p>
        </w:tc>
        <w:tc>
          <w:tcPr>
            <w:tcW w:w="1235" w:type="dxa"/>
            <w:shd w:val="clear" w:color="auto" w:fill="auto"/>
            <w:noWrap/>
            <w:vAlign w:val="center"/>
            <w:hideMark/>
          </w:tcPr>
          <w:p w14:paraId="119031F7"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1.7 </w:t>
            </w:r>
          </w:p>
        </w:tc>
        <w:tc>
          <w:tcPr>
            <w:tcW w:w="1235" w:type="dxa"/>
            <w:shd w:val="clear" w:color="auto" w:fill="auto"/>
            <w:noWrap/>
            <w:vAlign w:val="center"/>
            <w:hideMark/>
          </w:tcPr>
          <w:p w14:paraId="63D9791D" w14:textId="0174A723" w:rsidR="00AE2A75" w:rsidRPr="00A83C94" w:rsidRDefault="0040029F" w:rsidP="001D3173">
            <w:pPr>
              <w:spacing w:before="0" w:line="240" w:lineRule="auto"/>
              <w:ind w:firstLine="0"/>
              <w:contextualSpacing w:val="0"/>
              <w:jc w:val="center"/>
              <w:rPr>
                <w:rFonts w:cs="Calibri"/>
                <w:b w:val="0"/>
                <w:color w:val="000000"/>
                <w:szCs w:val="22"/>
                <w:lang w:val="en-US" w:eastAsia="en-US"/>
              </w:rPr>
            </w:pPr>
            <w:r>
              <w:rPr>
                <w:rFonts w:cs="Calibri"/>
                <w:b w:val="0"/>
                <w:color w:val="000000"/>
                <w:szCs w:val="22"/>
                <w:lang w:val="en-US" w:eastAsia="en-US"/>
              </w:rPr>
              <w:t xml:space="preserve">                             5.0</w:t>
            </w:r>
            <w:r w:rsidR="00AE2A75" w:rsidRPr="00A83C94">
              <w:rPr>
                <w:rFonts w:cs="Calibri"/>
                <w:b w:val="0"/>
                <w:color w:val="000000"/>
                <w:szCs w:val="22"/>
                <w:lang w:val="en-US" w:eastAsia="en-US"/>
              </w:rPr>
              <w:t xml:space="preserve"> </w:t>
            </w:r>
          </w:p>
        </w:tc>
      </w:tr>
      <w:tr w:rsidR="00AE2A75" w:rsidRPr="0040029F" w14:paraId="69A8A6FF" w14:textId="77777777" w:rsidTr="001D3173">
        <w:trPr>
          <w:trHeight w:val="698"/>
        </w:trPr>
        <w:tc>
          <w:tcPr>
            <w:tcW w:w="3180" w:type="dxa"/>
            <w:shd w:val="clear" w:color="auto" w:fill="auto"/>
            <w:vAlign w:val="center"/>
          </w:tcPr>
          <w:p w14:paraId="3E0E43AB" w14:textId="77777777" w:rsidR="00AE2A75" w:rsidRPr="0040029F" w:rsidRDefault="00AE2A75" w:rsidP="001D3173">
            <w:pPr>
              <w:spacing w:before="0" w:line="240" w:lineRule="auto"/>
              <w:ind w:firstLine="0"/>
              <w:contextualSpacing w:val="0"/>
              <w:jc w:val="left"/>
              <w:rPr>
                <w:rFonts w:cs="Calibri"/>
                <w:b w:val="0"/>
                <w:color w:val="000000"/>
                <w:szCs w:val="22"/>
                <w:lang w:val="en-US" w:eastAsia="en-US"/>
              </w:rPr>
            </w:pPr>
            <w:r w:rsidRPr="00A83C94">
              <w:rPr>
                <w:rFonts w:cs="Calibri"/>
                <w:b w:val="0"/>
                <w:color w:val="000000"/>
                <w:szCs w:val="22"/>
                <w:lang w:val="en-US" w:eastAsia="en-US"/>
              </w:rPr>
              <w:t>ԵՄ</w:t>
            </w:r>
            <w:r w:rsidRPr="00A83C94">
              <w:rPr>
                <w:rFonts w:cs="Calibri"/>
                <w:b w:val="0"/>
                <w:color w:val="000000"/>
                <w:szCs w:val="22"/>
                <w:lang w:val="hy-AM" w:eastAsia="en-US"/>
              </w:rPr>
              <w:t xml:space="preserve"> </w:t>
            </w:r>
            <w:r w:rsidRPr="0040029F">
              <w:rPr>
                <w:rFonts w:cs="Calibri"/>
                <w:b w:val="0"/>
                <w:color w:val="000000"/>
                <w:szCs w:val="22"/>
                <w:lang w:val="en-US" w:eastAsia="en-US"/>
              </w:rPr>
              <w:t xml:space="preserve">(2.6 </w:t>
            </w:r>
            <w:r w:rsidRPr="00A83C94">
              <w:rPr>
                <w:rFonts w:cs="Calibri"/>
                <w:b w:val="0"/>
                <w:color w:val="000000"/>
                <w:szCs w:val="22"/>
                <w:lang w:val="en-US" w:eastAsia="en-US"/>
              </w:rPr>
              <w:t>մլրդ</w:t>
            </w:r>
            <w:r w:rsidRPr="0040029F">
              <w:rPr>
                <w:rFonts w:cs="Calibri"/>
                <w:b w:val="0"/>
                <w:color w:val="000000"/>
                <w:szCs w:val="22"/>
                <w:lang w:val="en-US" w:eastAsia="en-US"/>
              </w:rPr>
              <w:t xml:space="preserve"> </w:t>
            </w:r>
            <w:r w:rsidRPr="00A83C94">
              <w:rPr>
                <w:rFonts w:cs="Calibri"/>
                <w:b w:val="0"/>
                <w:color w:val="000000"/>
                <w:szCs w:val="22"/>
                <w:lang w:val="hy-AM" w:eastAsia="en-US"/>
              </w:rPr>
              <w:t>ե</w:t>
            </w:r>
            <w:r w:rsidRPr="00A83C94">
              <w:rPr>
                <w:rFonts w:cs="Calibri"/>
                <w:b w:val="0"/>
                <w:color w:val="000000"/>
                <w:szCs w:val="22"/>
                <w:lang w:val="en-US" w:eastAsia="en-US"/>
              </w:rPr>
              <w:t>վրո</w:t>
            </w:r>
            <w:r w:rsidRPr="0040029F">
              <w:rPr>
                <w:rFonts w:cs="Calibri"/>
                <w:b w:val="0"/>
                <w:color w:val="000000"/>
                <w:szCs w:val="22"/>
                <w:lang w:val="en-US" w:eastAsia="en-US"/>
              </w:rPr>
              <w:t>)</w:t>
            </w:r>
          </w:p>
        </w:tc>
        <w:tc>
          <w:tcPr>
            <w:tcW w:w="1235" w:type="dxa"/>
            <w:shd w:val="clear" w:color="auto" w:fill="auto"/>
            <w:noWrap/>
            <w:vAlign w:val="center"/>
          </w:tcPr>
          <w:p w14:paraId="4446DAA0"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6D3E0E5B"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00B997EC"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6B05EAB6"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w:t>
            </w:r>
          </w:p>
        </w:tc>
        <w:tc>
          <w:tcPr>
            <w:tcW w:w="1235" w:type="dxa"/>
            <w:shd w:val="clear" w:color="auto" w:fill="auto"/>
            <w:noWrap/>
            <w:vAlign w:val="center"/>
          </w:tcPr>
          <w:p w14:paraId="5D0A27E0"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13.0</w:t>
            </w:r>
          </w:p>
        </w:tc>
      </w:tr>
      <w:tr w:rsidR="00AE2A75" w:rsidRPr="00A83C94" w14:paraId="2356C7B2" w14:textId="77777777" w:rsidTr="001D3173">
        <w:trPr>
          <w:trHeight w:val="800"/>
        </w:trPr>
        <w:tc>
          <w:tcPr>
            <w:tcW w:w="3180" w:type="dxa"/>
            <w:shd w:val="clear" w:color="auto" w:fill="DBE5F1" w:themeFill="accent1" w:themeFillTint="33"/>
            <w:vAlign w:val="center"/>
            <w:hideMark/>
          </w:tcPr>
          <w:p w14:paraId="061B70B0" w14:textId="77777777" w:rsidR="00AE2A75" w:rsidRPr="00A83C94" w:rsidRDefault="00AE2A75" w:rsidP="001D3173">
            <w:pPr>
              <w:spacing w:before="0" w:line="240" w:lineRule="auto"/>
              <w:ind w:firstLine="0"/>
              <w:contextualSpacing w:val="0"/>
              <w:jc w:val="left"/>
              <w:rPr>
                <w:rFonts w:cs="Calibri"/>
                <w:b w:val="0"/>
                <w:color w:val="000000"/>
                <w:szCs w:val="22"/>
                <w:lang w:val="en-US" w:eastAsia="en-US"/>
              </w:rPr>
            </w:pPr>
            <w:r w:rsidRPr="00A83C94">
              <w:rPr>
                <w:rFonts w:cs="Calibri"/>
                <w:b w:val="0"/>
                <w:color w:val="000000"/>
                <w:szCs w:val="22"/>
                <w:lang w:val="en-US" w:eastAsia="en-US"/>
              </w:rPr>
              <w:t>Այլ նպատակային դրամաշնորհներ</w:t>
            </w:r>
          </w:p>
        </w:tc>
        <w:tc>
          <w:tcPr>
            <w:tcW w:w="1235" w:type="dxa"/>
            <w:shd w:val="clear" w:color="auto" w:fill="DBE5F1" w:themeFill="accent1" w:themeFillTint="33"/>
            <w:noWrap/>
            <w:vAlign w:val="center"/>
            <w:hideMark/>
          </w:tcPr>
          <w:p w14:paraId="65BEC090"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0.2 </w:t>
            </w:r>
          </w:p>
        </w:tc>
        <w:tc>
          <w:tcPr>
            <w:tcW w:w="1235" w:type="dxa"/>
            <w:shd w:val="clear" w:color="auto" w:fill="DBE5F1" w:themeFill="accent1" w:themeFillTint="33"/>
            <w:noWrap/>
            <w:vAlign w:val="center"/>
            <w:hideMark/>
          </w:tcPr>
          <w:p w14:paraId="61EE5018"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7.9</w:t>
            </w:r>
          </w:p>
        </w:tc>
        <w:tc>
          <w:tcPr>
            <w:tcW w:w="1235" w:type="dxa"/>
            <w:shd w:val="clear" w:color="auto" w:fill="DBE5F1" w:themeFill="accent1" w:themeFillTint="33"/>
            <w:noWrap/>
            <w:vAlign w:val="center"/>
            <w:hideMark/>
          </w:tcPr>
          <w:p w14:paraId="0E838542"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5.9 </w:t>
            </w:r>
          </w:p>
        </w:tc>
        <w:tc>
          <w:tcPr>
            <w:tcW w:w="1235" w:type="dxa"/>
            <w:shd w:val="clear" w:color="auto" w:fill="DBE5F1" w:themeFill="accent1" w:themeFillTint="33"/>
            <w:noWrap/>
            <w:vAlign w:val="center"/>
            <w:hideMark/>
          </w:tcPr>
          <w:p w14:paraId="669BF4F7" w14:textId="77777777"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22.6 </w:t>
            </w:r>
          </w:p>
        </w:tc>
        <w:tc>
          <w:tcPr>
            <w:tcW w:w="1235" w:type="dxa"/>
            <w:shd w:val="clear" w:color="auto" w:fill="DBE5F1" w:themeFill="accent1" w:themeFillTint="33"/>
            <w:noWrap/>
            <w:vAlign w:val="center"/>
            <w:hideMark/>
          </w:tcPr>
          <w:p w14:paraId="08118638" w14:textId="40C0A4E3" w:rsidR="00AE2A75" w:rsidRPr="00A83C94" w:rsidRDefault="00AE2A75" w:rsidP="001D3173">
            <w:pPr>
              <w:spacing w:before="0" w:line="240" w:lineRule="auto"/>
              <w:ind w:firstLine="0"/>
              <w:contextualSpacing w:val="0"/>
              <w:jc w:val="center"/>
              <w:rPr>
                <w:rFonts w:cs="Calibri"/>
                <w:b w:val="0"/>
                <w:color w:val="000000"/>
                <w:szCs w:val="22"/>
                <w:lang w:val="en-US" w:eastAsia="en-US"/>
              </w:rPr>
            </w:pPr>
            <w:r w:rsidRPr="00A83C94">
              <w:rPr>
                <w:rFonts w:cs="Calibri"/>
                <w:b w:val="0"/>
                <w:color w:val="000000"/>
                <w:szCs w:val="22"/>
                <w:lang w:val="en-US" w:eastAsia="en-US"/>
              </w:rPr>
              <w:t xml:space="preserve">                        </w:t>
            </w:r>
            <w:r w:rsidR="0040029F">
              <w:rPr>
                <w:rFonts w:cs="Calibri"/>
                <w:b w:val="0"/>
                <w:color w:val="000000"/>
                <w:szCs w:val="22"/>
                <w:lang w:val="en-US" w:eastAsia="en-US"/>
              </w:rPr>
              <w:t xml:space="preserve">  23.8</w:t>
            </w:r>
          </w:p>
        </w:tc>
      </w:tr>
    </w:tbl>
    <w:p w14:paraId="5337B7BA" w14:textId="77777777" w:rsidR="00AE2A75" w:rsidRPr="00A83C94" w:rsidRDefault="00AE2A75" w:rsidP="00AE2A75">
      <w:pPr>
        <w:spacing w:before="0" w:line="276" w:lineRule="auto"/>
        <w:ind w:firstLine="0"/>
        <w:contextualSpacing w:val="0"/>
        <w:jc w:val="left"/>
        <w:rPr>
          <w:b w:val="0"/>
          <w:szCs w:val="22"/>
          <w:lang w:val="af-ZA" w:eastAsia="en-US"/>
        </w:rPr>
      </w:pPr>
    </w:p>
    <w:p w14:paraId="1B904007" w14:textId="785F7793" w:rsidR="00AE2A75" w:rsidRPr="00A83C94" w:rsidRDefault="00AE2A75" w:rsidP="00AE2A75">
      <w:pPr>
        <w:tabs>
          <w:tab w:val="left" w:pos="9120"/>
        </w:tabs>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Եվրոպական հարևանության ՀՀ-ԵՄ գործո</w:t>
      </w:r>
      <w:r w:rsidRPr="00A83C94">
        <w:rPr>
          <w:rFonts w:cs="Sylfaen"/>
          <w:b w:val="0"/>
          <w:iCs/>
          <w:szCs w:val="22"/>
          <w:lang w:val="af-ZA" w:eastAsia="en-GB"/>
        </w:rPr>
        <w:softHyphen/>
        <w:t>ղություն</w:t>
      </w:r>
      <w:r w:rsidRPr="00A83C94">
        <w:rPr>
          <w:rFonts w:cs="Sylfaen"/>
          <w:b w:val="0"/>
          <w:iCs/>
          <w:szCs w:val="22"/>
          <w:lang w:val="af-ZA" w:eastAsia="en-GB"/>
        </w:rPr>
        <w:softHyphen/>
        <w:t>ների ծրագրի շրջանակներում Աջակցություն Հայաստանում դատական ոլորտի բարեփոխումների իրականացմանը ծրագրով նա</w:t>
      </w:r>
      <w:r w:rsidRPr="00A83C94">
        <w:rPr>
          <w:rFonts w:cs="Sylfaen"/>
          <w:b w:val="0"/>
          <w:iCs/>
          <w:szCs w:val="22"/>
          <w:lang w:val="af-ZA" w:eastAsia="en-GB"/>
        </w:rPr>
        <w:softHyphen/>
        <w:t>խա</w:t>
      </w:r>
      <w:r w:rsidRPr="00A83C94">
        <w:rPr>
          <w:rFonts w:cs="Sylfaen"/>
          <w:b w:val="0"/>
          <w:iCs/>
          <w:szCs w:val="22"/>
          <w:lang w:val="af-ZA" w:eastAsia="en-GB"/>
        </w:rPr>
        <w:softHyphen/>
        <w:t>տես</w:t>
      </w:r>
      <w:r w:rsidRPr="00A83C94">
        <w:rPr>
          <w:rFonts w:cs="Sylfaen"/>
          <w:b w:val="0"/>
          <w:iCs/>
          <w:szCs w:val="22"/>
          <w:lang w:val="af-ZA" w:eastAsia="en-GB"/>
        </w:rPr>
        <w:softHyphen/>
        <w:t>վում է բյուջետային օժանդակություն պաշտոնական դրամաշնորհների (չկապակցված դրամաշնորհներ) ստաց</w:t>
      </w:r>
      <w:r w:rsidR="0040029F">
        <w:rPr>
          <w:rFonts w:cs="Sylfaen"/>
          <w:b w:val="0"/>
          <w:iCs/>
          <w:szCs w:val="22"/>
          <w:lang w:val="af-ZA" w:eastAsia="en-GB"/>
        </w:rPr>
        <w:t>ում` 9.0 մլն եվրո կամ 5.0</w:t>
      </w:r>
      <w:r w:rsidRPr="00A83C94">
        <w:rPr>
          <w:rFonts w:cs="Sylfaen"/>
          <w:b w:val="0"/>
          <w:iCs/>
          <w:szCs w:val="22"/>
          <w:lang w:val="af-ZA" w:eastAsia="en-GB"/>
        </w:rPr>
        <w:t xml:space="preserve"> մլրդ դրամ: </w:t>
      </w:r>
    </w:p>
    <w:p w14:paraId="07F4FDC6" w14:textId="77777777" w:rsidR="00AE2A75" w:rsidRPr="00A83C94" w:rsidRDefault="00AE2A75" w:rsidP="00AE2A75">
      <w:pPr>
        <w:tabs>
          <w:tab w:val="left" w:pos="9120"/>
        </w:tabs>
        <w:spacing w:before="0" w:line="276" w:lineRule="auto"/>
        <w:ind w:firstLine="562"/>
        <w:contextualSpacing w:val="0"/>
        <w:rPr>
          <w:rFonts w:cs="Sylfaen"/>
          <w:b w:val="0"/>
          <w:iCs/>
          <w:szCs w:val="22"/>
          <w:lang w:val="hy-AM" w:eastAsia="en-GB"/>
        </w:rPr>
      </w:pPr>
      <w:r w:rsidRPr="00A83C94">
        <w:rPr>
          <w:rFonts w:cs="Sylfaen"/>
          <w:b w:val="0"/>
          <w:iCs/>
          <w:szCs w:val="22"/>
          <w:lang w:val="af-ZA" w:eastAsia="en-GB"/>
        </w:rPr>
        <w:t xml:space="preserve">Արևելյան գործընկերության ՀՀ-ԵՄ համագործակցության նոր 5-ամյա փուլի շրջանակներում նախատեսվել է տարատեսակ ֆինանսական գործիքների միջոցով Հայաստանի Հանրապետությանը հատկացնել 2.6 մլրդ եվրո աջակցություն, որն ուղղվելու է Հայաստանի Հանրապետության կառավարության և ԵՄ-ի համատեղ սահմանած 5 առաջնահերթ նախաձեռնություններին, որոնք առնչվելու են Հյուսիս-Հարավ մայրուղու և </w:t>
      </w:r>
      <w:r w:rsidRPr="00A83C94">
        <w:rPr>
          <w:rFonts w:cs="Sylfaen"/>
          <w:b w:val="0"/>
          <w:iCs/>
          <w:szCs w:val="22"/>
          <w:lang w:val="hy-AM" w:eastAsia="en-GB"/>
        </w:rPr>
        <w:t xml:space="preserve">այլ </w:t>
      </w:r>
      <w:r w:rsidRPr="00A83C94">
        <w:rPr>
          <w:rFonts w:cs="Sylfaen"/>
          <w:b w:val="0"/>
          <w:iCs/>
          <w:szCs w:val="22"/>
          <w:lang w:val="af-ZA" w:eastAsia="en-GB"/>
        </w:rPr>
        <w:t>ենթակառուցվածքների կառուցմանը</w:t>
      </w:r>
      <w:r w:rsidRPr="00A83C94">
        <w:rPr>
          <w:rFonts w:cs="Sylfaen"/>
          <w:b w:val="0"/>
          <w:iCs/>
          <w:szCs w:val="22"/>
          <w:lang w:val="hy-AM" w:eastAsia="en-GB"/>
        </w:rPr>
        <w:t xml:space="preserve"> և</w:t>
      </w:r>
      <w:r w:rsidRPr="00A83C94">
        <w:rPr>
          <w:rFonts w:cs="Sylfaen"/>
          <w:b w:val="0"/>
          <w:iCs/>
          <w:szCs w:val="22"/>
          <w:lang w:val="af-ZA" w:eastAsia="en-GB"/>
        </w:rPr>
        <w:t xml:space="preserve"> </w:t>
      </w:r>
      <w:r w:rsidRPr="00A83C94">
        <w:rPr>
          <w:rFonts w:cs="Sylfaen"/>
          <w:b w:val="0"/>
          <w:iCs/>
          <w:szCs w:val="22"/>
          <w:lang w:val="hy-AM" w:eastAsia="en-GB"/>
        </w:rPr>
        <w:t>ՀՀ</w:t>
      </w:r>
      <w:r w:rsidRPr="00A83C94">
        <w:rPr>
          <w:rFonts w:cs="Sylfaen"/>
          <w:b w:val="0"/>
          <w:iCs/>
          <w:szCs w:val="22"/>
          <w:lang w:val="af-ZA" w:eastAsia="en-GB"/>
        </w:rPr>
        <w:t xml:space="preserve"> հարավային շրջանների սոցիալ-տնտեսական զարգացմանը, </w:t>
      </w:r>
      <w:r w:rsidRPr="00A83C94">
        <w:rPr>
          <w:rFonts w:cs="Sylfaen"/>
          <w:b w:val="0"/>
          <w:iCs/>
          <w:szCs w:val="22"/>
          <w:lang w:val="hy-AM" w:eastAsia="en-GB"/>
        </w:rPr>
        <w:t xml:space="preserve">առողջապահական ոլորտի բուժ. հաստատությունների արդիականցմանը, կրթական հաստատությունների բարելավմանը և գիտական ենթակառուցվածքների արդիականցմանը, </w:t>
      </w:r>
      <w:r w:rsidRPr="00A83C94">
        <w:rPr>
          <w:rFonts w:cs="Sylfaen"/>
          <w:b w:val="0"/>
          <w:iCs/>
          <w:szCs w:val="22"/>
          <w:lang w:val="af-ZA" w:eastAsia="en-GB"/>
        </w:rPr>
        <w:t>թվային կառավարմանը և նորարարության խթանմանը</w:t>
      </w:r>
      <w:r w:rsidRPr="00A83C94">
        <w:rPr>
          <w:rFonts w:cs="Sylfaen"/>
          <w:b w:val="0"/>
          <w:iCs/>
          <w:szCs w:val="22"/>
          <w:lang w:val="hy-AM" w:eastAsia="en-GB"/>
        </w:rPr>
        <w:t>, ինչպես նաև էկոնոմիկայի ոլորտում որակի ենթակառուցվածքների համակարգի արդիականացմանը, այդ թվում՝ գյուղատնտեսական արտադրանքի որակի և անվտանգության մակարդակի բարձրացմանը, ՊՄԳ-ի շրջանականերում ժամանակակից լոգիստիկ կենտրոնի ստեղծմանը:</w:t>
      </w:r>
    </w:p>
    <w:p w14:paraId="5CB8555E" w14:textId="5D07E182" w:rsidR="00AE2A75" w:rsidRPr="00A83C94" w:rsidRDefault="00AE2A75" w:rsidP="00AE2A75">
      <w:pPr>
        <w:tabs>
          <w:tab w:val="left" w:pos="9120"/>
        </w:tabs>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Նպատակային օժանդակություն պաշտոնական դրամաշնորհային (կապակցված դրամաշնորհն</w:t>
      </w:r>
      <w:r w:rsidR="0040029F">
        <w:rPr>
          <w:rFonts w:cs="Sylfaen"/>
          <w:b w:val="0"/>
          <w:iCs/>
          <w:szCs w:val="22"/>
          <w:lang w:val="af-ZA" w:eastAsia="en-GB"/>
        </w:rPr>
        <w:t>եր) ծրագրերից նախատեսվում է 77.2</w:t>
      </w:r>
      <w:r w:rsidRPr="00A83C94">
        <w:rPr>
          <w:rFonts w:cs="Sylfaen"/>
          <w:b w:val="0"/>
          <w:iCs/>
          <w:szCs w:val="22"/>
          <w:lang w:val="af-ZA" w:eastAsia="en-GB"/>
        </w:rPr>
        <w:t xml:space="preserve"> մլն ԱՄՆ դոլարի կամ </w:t>
      </w:r>
      <w:r w:rsidR="008F3A05">
        <w:rPr>
          <w:rFonts w:cs="Sylfaen"/>
          <w:b w:val="0"/>
          <w:iCs/>
          <w:szCs w:val="22"/>
          <w:lang w:val="af-ZA" w:eastAsia="en-GB"/>
        </w:rPr>
        <w:t>3</w:t>
      </w:r>
      <w:r w:rsidR="0040029F">
        <w:rPr>
          <w:rFonts w:cs="Sylfaen"/>
          <w:b w:val="0"/>
          <w:iCs/>
          <w:szCs w:val="22"/>
          <w:lang w:val="af-ZA" w:eastAsia="en-GB"/>
        </w:rPr>
        <w:t>6.8</w:t>
      </w:r>
      <w:r w:rsidRPr="00A83C94">
        <w:rPr>
          <w:rFonts w:cs="Sylfaen"/>
          <w:b w:val="0"/>
          <w:iCs/>
          <w:szCs w:val="22"/>
          <w:lang w:val="af-ZA" w:eastAsia="en-GB"/>
        </w:rPr>
        <w:t xml:space="preserve"> մլրդ դրամի ստացում: Նպատակային պաշտոնական դրամաշնորհային ծրագրերի գծով ՀՀ 2022 թվականի պետա</w:t>
      </w:r>
      <w:r w:rsidRPr="00A83C94">
        <w:rPr>
          <w:rFonts w:cs="Sylfaen"/>
          <w:b w:val="0"/>
          <w:iCs/>
          <w:szCs w:val="22"/>
          <w:lang w:val="af-ZA" w:eastAsia="en-GB"/>
        </w:rPr>
        <w:softHyphen/>
        <w:t>կան բյուջեի նախագծի ցուցանիշների մանրամասները ներկայացված են նախագծի N 1 հավելվածի N 5 աղյու</w:t>
      </w:r>
      <w:r w:rsidRPr="00A83C94">
        <w:rPr>
          <w:rFonts w:cs="Sylfaen"/>
          <w:b w:val="0"/>
          <w:iCs/>
          <w:szCs w:val="22"/>
          <w:lang w:val="af-ZA" w:eastAsia="en-GB"/>
        </w:rPr>
        <w:softHyphen/>
      </w:r>
      <w:r w:rsidRPr="00A83C94">
        <w:rPr>
          <w:rFonts w:cs="Sylfaen"/>
          <w:b w:val="0"/>
          <w:iCs/>
          <w:szCs w:val="22"/>
          <w:lang w:val="af-ZA" w:eastAsia="en-GB"/>
        </w:rPr>
        <w:softHyphen/>
        <w:t>սակում:</w:t>
      </w:r>
    </w:p>
    <w:p w14:paraId="26AFD915" w14:textId="77777777" w:rsidR="00AE2A75" w:rsidRPr="00A83C94" w:rsidRDefault="00AE2A75" w:rsidP="00AE2A75">
      <w:pPr>
        <w:keepNext/>
        <w:tabs>
          <w:tab w:val="left" w:pos="709"/>
        </w:tabs>
        <w:spacing w:before="0" w:line="276" w:lineRule="auto"/>
        <w:outlineLvl w:val="2"/>
        <w:rPr>
          <w:rFonts w:eastAsia="Calibri" w:cs="GHEA Grapalat"/>
          <w:bCs/>
          <w:szCs w:val="22"/>
          <w:lang w:val="af-ZA" w:eastAsia="en-US"/>
        </w:rPr>
      </w:pPr>
      <w:bookmarkStart w:id="247" w:name="_Toc500177730"/>
      <w:bookmarkStart w:id="248" w:name="_Toc530663265"/>
      <w:bookmarkStart w:id="249" w:name="_Toc57655467"/>
      <w:bookmarkStart w:id="250" w:name="_Toc89428306"/>
      <w:r w:rsidRPr="00A83C94">
        <w:rPr>
          <w:rFonts w:eastAsia="Calibri" w:cs="GHEA Grapalat"/>
          <w:bCs/>
          <w:szCs w:val="22"/>
          <w:lang w:val="hy-AM" w:eastAsia="en-US"/>
        </w:rPr>
        <w:t>Այլ եկամուտներ</w:t>
      </w:r>
      <w:bookmarkEnd w:id="247"/>
      <w:bookmarkEnd w:id="248"/>
      <w:bookmarkEnd w:id="249"/>
      <w:bookmarkEnd w:id="250"/>
    </w:p>
    <w:p w14:paraId="4327BD9D"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Այլ եկամուտները ներառում են բանկերում և ֆինանսավարկային հաս</w:t>
      </w:r>
      <w:r w:rsidRPr="00A83C94">
        <w:rPr>
          <w:rFonts w:cs="Sylfaen"/>
          <w:b w:val="0"/>
          <w:iCs/>
          <w:szCs w:val="22"/>
          <w:lang w:val="af-ZA" w:eastAsia="en-GB"/>
        </w:rPr>
        <w:softHyphen/>
        <w:t>տա</w:t>
      </w:r>
      <w:r w:rsidRPr="00A83C94">
        <w:rPr>
          <w:rFonts w:cs="Sylfaen"/>
          <w:b w:val="0"/>
          <w:iCs/>
          <w:szCs w:val="22"/>
          <w:lang w:val="af-ZA" w:eastAsia="en-GB"/>
        </w:rPr>
        <w:softHyphen/>
        <w:t>տու</w:t>
      </w:r>
      <w:r w:rsidRPr="00A83C94">
        <w:rPr>
          <w:rFonts w:cs="Sylfaen"/>
          <w:b w:val="0"/>
          <w:iCs/>
          <w:szCs w:val="22"/>
          <w:lang w:val="af-ZA" w:eastAsia="en-GB"/>
        </w:rPr>
        <w:softHyphen/>
        <w:t>թյուն</w:t>
      </w:r>
      <w:r w:rsidRPr="00A83C94">
        <w:rPr>
          <w:rFonts w:cs="Sylfaen"/>
          <w:b w:val="0"/>
          <w:iCs/>
          <w:szCs w:val="22"/>
          <w:lang w:val="af-ZA" w:eastAsia="en-GB"/>
        </w:rPr>
        <w:softHyphen/>
        <w:t>նե</w:t>
      </w:r>
      <w:r w:rsidRPr="00A83C94">
        <w:rPr>
          <w:rFonts w:cs="Sylfaen"/>
          <w:b w:val="0"/>
          <w:iCs/>
          <w:szCs w:val="22"/>
          <w:lang w:val="af-ZA" w:eastAsia="en-GB"/>
        </w:rPr>
        <w:softHyphen/>
        <w:t>րում պե</w:t>
      </w:r>
      <w:r w:rsidRPr="00A83C94">
        <w:rPr>
          <w:rFonts w:cs="Sylfaen"/>
          <w:b w:val="0"/>
          <w:iCs/>
          <w:szCs w:val="22"/>
          <w:lang w:val="af-ZA" w:eastAsia="en-GB"/>
        </w:rPr>
        <w:softHyphen/>
        <w:t>տա</w:t>
      </w:r>
      <w:r w:rsidRPr="00A83C94">
        <w:rPr>
          <w:rFonts w:cs="Sylfaen"/>
          <w:b w:val="0"/>
          <w:iCs/>
          <w:szCs w:val="22"/>
          <w:lang w:val="af-ZA" w:eastAsia="en-GB"/>
        </w:rPr>
        <w:softHyphen/>
        <w:t>կան բյուջեի ժամանակավոր ազատ միջոցների տեղաբաշխումից և դեպոզիտներից ստաց</w:t>
      </w:r>
      <w:r w:rsidRPr="00A83C94">
        <w:rPr>
          <w:rFonts w:cs="Sylfaen"/>
          <w:b w:val="0"/>
          <w:iCs/>
          <w:szCs w:val="22"/>
          <w:lang w:val="af-ZA" w:eastAsia="en-GB"/>
        </w:rPr>
        <w:softHyphen/>
      </w:r>
      <w:r w:rsidRPr="00A83C94">
        <w:rPr>
          <w:rFonts w:cs="Sylfaen"/>
          <w:b w:val="0"/>
          <w:iCs/>
          <w:szCs w:val="22"/>
          <w:lang w:val="af-ZA" w:eastAsia="en-GB"/>
        </w:rPr>
        <w:softHyphen/>
        <w:t>վող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t>ները, իրավաբանական անձանց կապիտալում կատարված ներդրում</w:t>
      </w:r>
      <w:r w:rsidRPr="00A83C94">
        <w:rPr>
          <w:rFonts w:cs="Sylfaen"/>
          <w:b w:val="0"/>
          <w:iCs/>
          <w:szCs w:val="22"/>
          <w:lang w:val="af-ZA" w:eastAsia="en-GB"/>
        </w:rPr>
        <w:softHyphen/>
        <w:t>ներից ստաց</w:t>
      </w:r>
      <w:r w:rsidRPr="00A83C94">
        <w:rPr>
          <w:rFonts w:cs="Sylfaen"/>
          <w:b w:val="0"/>
          <w:iCs/>
          <w:szCs w:val="22"/>
          <w:lang w:val="af-ZA" w:eastAsia="en-GB"/>
        </w:rPr>
        <w:softHyphen/>
      </w:r>
      <w:r w:rsidRPr="00A83C94">
        <w:rPr>
          <w:rFonts w:cs="Sylfaen"/>
          <w:b w:val="0"/>
          <w:iCs/>
          <w:szCs w:val="22"/>
          <w:lang w:val="af-ZA" w:eastAsia="en-GB"/>
        </w:rPr>
        <w:softHyphen/>
        <w:t>վող շահաբաժինները, պե</w:t>
      </w:r>
      <w:r w:rsidRPr="00A83C94">
        <w:rPr>
          <w:rFonts w:cs="Sylfaen"/>
          <w:b w:val="0"/>
          <w:iCs/>
          <w:szCs w:val="22"/>
          <w:lang w:val="af-ZA" w:eastAsia="en-GB"/>
        </w:rPr>
        <w:softHyphen/>
        <w:t>տա</w:t>
      </w:r>
      <w:r w:rsidRPr="00A83C94">
        <w:rPr>
          <w:rFonts w:cs="Sylfaen"/>
          <w:b w:val="0"/>
          <w:iCs/>
          <w:szCs w:val="22"/>
          <w:lang w:val="af-ZA" w:eastAsia="en-GB"/>
        </w:rPr>
        <w:softHyphen/>
        <w:t>կան ձեռնարկությունների գույքի օգտագործման վճար</w:t>
      </w:r>
      <w:r w:rsidRPr="00A83C94">
        <w:rPr>
          <w:rFonts w:cs="Sylfaen"/>
          <w:b w:val="0"/>
          <w:iCs/>
          <w:szCs w:val="22"/>
          <w:lang w:val="af-ZA" w:eastAsia="en-GB"/>
        </w:rPr>
        <w:softHyphen/>
        <w:t>ները, պետության կողմից տրված վարկերի օգտագործ</w:t>
      </w:r>
      <w:r w:rsidRPr="00A83C94">
        <w:rPr>
          <w:rFonts w:cs="Sylfaen"/>
          <w:b w:val="0"/>
          <w:iCs/>
          <w:szCs w:val="22"/>
          <w:lang w:val="af-ZA" w:eastAsia="en-GB"/>
        </w:rPr>
        <w:softHyphen/>
        <w:t>ման դի</w:t>
      </w:r>
      <w:r w:rsidRPr="00A83C94">
        <w:rPr>
          <w:rFonts w:cs="Sylfaen"/>
          <w:b w:val="0"/>
          <w:iCs/>
          <w:szCs w:val="22"/>
          <w:lang w:val="af-ZA" w:eastAsia="en-GB"/>
        </w:rPr>
        <w:softHyphen/>
        <w:t>մաց վճարները (տոկոսավճար</w:t>
      </w:r>
      <w:r w:rsidRPr="00A83C94">
        <w:rPr>
          <w:rFonts w:cs="Sylfaen"/>
          <w:b w:val="0"/>
          <w:iCs/>
          <w:szCs w:val="22"/>
          <w:lang w:val="af-ZA" w:eastAsia="en-GB"/>
        </w:rPr>
        <w:softHyphen/>
        <w:t>ները), իրա</w:t>
      </w:r>
      <w:r w:rsidRPr="00A83C94">
        <w:rPr>
          <w:rFonts w:cs="Sylfaen"/>
          <w:b w:val="0"/>
          <w:iCs/>
          <w:szCs w:val="22"/>
          <w:lang w:val="af-ZA" w:eastAsia="en-GB"/>
        </w:rPr>
        <w:softHyphen/>
        <w:t>վա</w:t>
      </w:r>
      <w:r w:rsidRPr="00A83C94">
        <w:rPr>
          <w:rFonts w:cs="Sylfaen"/>
          <w:b w:val="0"/>
          <w:iCs/>
          <w:szCs w:val="22"/>
          <w:lang w:val="af-ZA" w:eastAsia="en-GB"/>
        </w:rPr>
        <w:softHyphen/>
        <w:t>խախտումների համար գոր</w:t>
      </w:r>
      <w:r w:rsidRPr="00A83C94">
        <w:rPr>
          <w:rFonts w:cs="Sylfaen"/>
          <w:b w:val="0"/>
          <w:iCs/>
          <w:szCs w:val="22"/>
          <w:lang w:val="af-ZA" w:eastAsia="en-GB"/>
        </w:rPr>
        <w:softHyphen/>
        <w:t>ծա</w:t>
      </w:r>
      <w:r w:rsidRPr="00A83C94">
        <w:rPr>
          <w:rFonts w:cs="Sylfaen"/>
          <w:b w:val="0"/>
          <w:iCs/>
          <w:szCs w:val="22"/>
          <w:lang w:val="af-ZA" w:eastAsia="en-GB"/>
        </w:rPr>
        <w:softHyphen/>
        <w:t>դիր և դատական մար</w:t>
      </w:r>
      <w:r w:rsidRPr="00A83C94">
        <w:rPr>
          <w:rFonts w:cs="Sylfaen"/>
          <w:b w:val="0"/>
          <w:iCs/>
          <w:szCs w:val="22"/>
          <w:lang w:val="af-ZA" w:eastAsia="en-GB"/>
        </w:rPr>
        <w:softHyphen/>
      </w:r>
      <w:r w:rsidRPr="00A83C94">
        <w:rPr>
          <w:rFonts w:cs="Sylfaen"/>
          <w:b w:val="0"/>
          <w:iCs/>
          <w:szCs w:val="22"/>
          <w:lang w:val="af-ZA" w:eastAsia="en-GB"/>
        </w:rPr>
        <w:softHyphen/>
        <w:t>մին</w:t>
      </w:r>
      <w:r w:rsidRPr="00A83C94">
        <w:rPr>
          <w:rFonts w:cs="Sylfaen"/>
          <w:b w:val="0"/>
          <w:iCs/>
          <w:szCs w:val="22"/>
          <w:lang w:val="af-ZA" w:eastAsia="en-GB"/>
        </w:rPr>
        <w:softHyphen/>
        <w:t>նե</w:t>
      </w:r>
      <w:r w:rsidRPr="00A83C94">
        <w:rPr>
          <w:rFonts w:cs="Sylfaen"/>
          <w:b w:val="0"/>
          <w:iCs/>
          <w:szCs w:val="22"/>
          <w:lang w:val="af-ZA" w:eastAsia="en-GB"/>
        </w:rPr>
        <w:softHyphen/>
        <w:t>րի կողմից կիրառվող պատժամի</w:t>
      </w:r>
      <w:r w:rsidRPr="00A83C94">
        <w:rPr>
          <w:rFonts w:cs="Sylfaen"/>
          <w:b w:val="0"/>
          <w:iCs/>
          <w:szCs w:val="22"/>
          <w:lang w:val="af-ZA" w:eastAsia="en-GB"/>
        </w:rPr>
        <w:softHyphen/>
        <w:t>ջոցներից ստացվող մուտքերը, պետական մարմինների կողմից ապրանքների մա</w:t>
      </w:r>
      <w:r w:rsidRPr="00A83C94">
        <w:rPr>
          <w:rFonts w:cs="Sylfaen"/>
          <w:b w:val="0"/>
          <w:iCs/>
          <w:szCs w:val="22"/>
          <w:lang w:val="af-ZA" w:eastAsia="en-GB"/>
        </w:rPr>
        <w:softHyphen/>
        <w:t>տա</w:t>
      </w:r>
      <w:r w:rsidRPr="00A83C94">
        <w:rPr>
          <w:rFonts w:cs="Sylfaen"/>
          <w:b w:val="0"/>
          <w:iCs/>
          <w:szCs w:val="22"/>
          <w:lang w:val="af-ZA" w:eastAsia="en-GB"/>
        </w:rPr>
        <w:softHyphen/>
        <w:t>կա</w:t>
      </w:r>
      <w:r w:rsidRPr="00A83C94">
        <w:rPr>
          <w:rFonts w:cs="Sylfaen"/>
          <w:b w:val="0"/>
          <w:iCs/>
          <w:szCs w:val="22"/>
          <w:lang w:val="af-ZA" w:eastAsia="en-GB"/>
        </w:rPr>
        <w:softHyphen/>
        <w:t>րա</w:t>
      </w:r>
      <w:r w:rsidRPr="00A83C94">
        <w:rPr>
          <w:rFonts w:cs="Sylfaen"/>
          <w:b w:val="0"/>
          <w:iCs/>
          <w:szCs w:val="22"/>
          <w:lang w:val="af-ZA" w:eastAsia="en-GB"/>
        </w:rPr>
        <w:softHyphen/>
        <w:t>րումից և ծառայությունների մատուցումից մուտքերը և այլ եկա</w:t>
      </w:r>
      <w:r w:rsidRPr="00A83C94">
        <w:rPr>
          <w:rFonts w:cs="Sylfaen"/>
          <w:b w:val="0"/>
          <w:iCs/>
          <w:szCs w:val="22"/>
          <w:lang w:val="af-ZA" w:eastAsia="en-GB"/>
        </w:rPr>
        <w:softHyphen/>
        <w:t>մուտ</w:t>
      </w:r>
      <w:r w:rsidRPr="00A83C94">
        <w:rPr>
          <w:rFonts w:cs="Sylfaen"/>
          <w:b w:val="0"/>
          <w:iCs/>
          <w:szCs w:val="22"/>
          <w:lang w:val="af-ZA" w:eastAsia="en-GB"/>
        </w:rPr>
        <w:softHyphen/>
        <w:t>ները:</w:t>
      </w:r>
    </w:p>
    <w:p w14:paraId="66A218B5"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Այլ եկամուտների գծով մուտքերը 2022 թվականի համար համար ծրագրվել են 62.1 մլրդ դրամի չափով, հաշվի առնելով գանձման համար պատաս</w:t>
      </w:r>
      <w:r w:rsidRPr="00A83C94">
        <w:rPr>
          <w:rFonts w:cs="Sylfaen"/>
          <w:b w:val="0"/>
          <w:iCs/>
          <w:szCs w:val="22"/>
          <w:lang w:val="af-ZA" w:eastAsia="en-GB"/>
        </w:rPr>
        <w:softHyphen/>
        <w:t>խա</w:t>
      </w:r>
      <w:r w:rsidRPr="00A83C94">
        <w:rPr>
          <w:rFonts w:cs="Sylfaen"/>
          <w:b w:val="0"/>
          <w:iCs/>
          <w:szCs w:val="22"/>
          <w:lang w:val="af-ZA" w:eastAsia="en-GB"/>
        </w:rPr>
        <w:softHyphen/>
        <w:t>նա</w:t>
      </w:r>
      <w:r w:rsidRPr="00A83C94">
        <w:rPr>
          <w:rFonts w:cs="Sylfaen"/>
          <w:b w:val="0"/>
          <w:iCs/>
          <w:szCs w:val="22"/>
          <w:lang w:val="af-ZA" w:eastAsia="en-GB"/>
        </w:rPr>
        <w:softHyphen/>
        <w:t>տու պետական կա</w:t>
      </w:r>
      <w:r w:rsidRPr="00A83C94">
        <w:rPr>
          <w:rFonts w:cs="Sylfaen"/>
          <w:b w:val="0"/>
          <w:iCs/>
          <w:szCs w:val="22"/>
          <w:lang w:val="af-ZA" w:eastAsia="en-GB"/>
        </w:rPr>
        <w:softHyphen/>
        <w:t>ռավարման մարմինների կողմից ՀՀ 2022 թվականի բյուջետային գործ</w:t>
      </w:r>
      <w:r w:rsidRPr="00A83C94">
        <w:rPr>
          <w:rFonts w:cs="Sylfaen"/>
          <w:b w:val="0"/>
          <w:iCs/>
          <w:szCs w:val="22"/>
          <w:lang w:val="af-ZA" w:eastAsia="en-GB"/>
        </w:rPr>
        <w:softHyphen/>
        <w:t>ըն</w:t>
      </w:r>
      <w:r w:rsidRPr="00A83C94">
        <w:rPr>
          <w:rFonts w:cs="Sylfaen"/>
          <w:b w:val="0"/>
          <w:iCs/>
          <w:szCs w:val="22"/>
          <w:lang w:val="af-ZA" w:eastAsia="en-GB"/>
        </w:rPr>
        <w:softHyphen/>
      </w:r>
      <w:r w:rsidRPr="00A83C94">
        <w:rPr>
          <w:rFonts w:cs="Sylfaen"/>
          <w:b w:val="0"/>
          <w:iCs/>
          <w:szCs w:val="22"/>
          <w:lang w:val="af-ZA" w:eastAsia="en-GB"/>
        </w:rPr>
        <w:softHyphen/>
        <w:t>թացի շրջա</w:t>
      </w:r>
      <w:r w:rsidRPr="00A83C94">
        <w:rPr>
          <w:rFonts w:cs="Sylfaen"/>
          <w:b w:val="0"/>
          <w:iCs/>
          <w:szCs w:val="22"/>
          <w:lang w:val="af-ZA" w:eastAsia="en-GB"/>
        </w:rPr>
        <w:softHyphen/>
      </w:r>
      <w:r w:rsidRPr="00A83C94">
        <w:rPr>
          <w:rFonts w:cs="Sylfaen"/>
          <w:b w:val="0"/>
          <w:iCs/>
          <w:szCs w:val="22"/>
          <w:lang w:val="af-ZA" w:eastAsia="en-GB"/>
        </w:rPr>
        <w:softHyphen/>
        <w:t>նակում հա</w:t>
      </w:r>
      <w:r w:rsidRPr="00A83C94">
        <w:rPr>
          <w:rFonts w:cs="Sylfaen"/>
          <w:b w:val="0"/>
          <w:iCs/>
          <w:szCs w:val="22"/>
          <w:lang w:val="af-ZA" w:eastAsia="en-GB"/>
        </w:rPr>
        <w:softHyphen/>
        <w:t>մա</w:t>
      </w:r>
      <w:r w:rsidRPr="00A83C94">
        <w:rPr>
          <w:rFonts w:cs="Sylfaen"/>
          <w:b w:val="0"/>
          <w:iCs/>
          <w:szCs w:val="22"/>
          <w:lang w:val="af-ZA" w:eastAsia="en-GB"/>
        </w:rPr>
        <w:softHyphen/>
        <w:t>պա</w:t>
      </w:r>
      <w:r w:rsidRPr="00A83C94">
        <w:rPr>
          <w:rFonts w:cs="Sylfaen"/>
          <w:b w:val="0"/>
          <w:iCs/>
          <w:szCs w:val="22"/>
          <w:lang w:val="af-ZA" w:eastAsia="en-GB"/>
        </w:rPr>
        <w:softHyphen/>
        <w:t>տաս</w:t>
      </w:r>
      <w:r w:rsidRPr="00A83C94">
        <w:rPr>
          <w:rFonts w:cs="Sylfaen"/>
          <w:b w:val="0"/>
          <w:iCs/>
          <w:szCs w:val="22"/>
          <w:lang w:val="af-ZA" w:eastAsia="en-GB"/>
        </w:rPr>
        <w:softHyphen/>
        <w:t>խան հայտերով ներկայացված կանխատեսումները, կատար</w:t>
      </w:r>
      <w:r w:rsidRPr="00A83C94">
        <w:rPr>
          <w:rFonts w:cs="Sylfaen"/>
          <w:b w:val="0"/>
          <w:iCs/>
          <w:szCs w:val="22"/>
          <w:lang w:val="af-ZA" w:eastAsia="en-GB"/>
        </w:rPr>
        <w:softHyphen/>
        <w:t>ված օրենս</w:t>
      </w:r>
      <w:r w:rsidRPr="00A83C94">
        <w:rPr>
          <w:rFonts w:cs="Sylfaen"/>
          <w:b w:val="0"/>
          <w:iCs/>
          <w:szCs w:val="22"/>
          <w:lang w:val="af-ZA" w:eastAsia="en-GB"/>
        </w:rPr>
        <w:softHyphen/>
        <w:t>դրա</w:t>
      </w:r>
      <w:r w:rsidRPr="00A83C94">
        <w:rPr>
          <w:rFonts w:cs="Sylfaen"/>
          <w:b w:val="0"/>
          <w:iCs/>
          <w:szCs w:val="22"/>
          <w:lang w:val="af-ZA" w:eastAsia="en-GB"/>
        </w:rPr>
        <w:softHyphen/>
        <w:t>կան փոփոխությունները, ինչ</w:t>
      </w:r>
      <w:r w:rsidRPr="00A83C94">
        <w:rPr>
          <w:rFonts w:cs="Sylfaen"/>
          <w:b w:val="0"/>
          <w:iCs/>
          <w:szCs w:val="22"/>
          <w:lang w:val="af-ZA" w:eastAsia="en-GB"/>
        </w:rPr>
        <w:softHyphen/>
        <w:t>պես նաև առանձին եկամտատեսակների գծով նա</w:t>
      </w:r>
      <w:r w:rsidRPr="00A83C94">
        <w:rPr>
          <w:rFonts w:cs="Sylfaen"/>
          <w:b w:val="0"/>
          <w:iCs/>
          <w:szCs w:val="22"/>
          <w:lang w:val="af-ZA" w:eastAsia="en-GB"/>
        </w:rPr>
        <w:softHyphen/>
        <w:t>խորդ տա</w:t>
      </w:r>
      <w:r w:rsidRPr="00A83C94">
        <w:rPr>
          <w:rFonts w:cs="Sylfaen"/>
          <w:b w:val="0"/>
          <w:iCs/>
          <w:szCs w:val="22"/>
          <w:lang w:val="af-ZA" w:eastAsia="en-GB"/>
        </w:rPr>
        <w:softHyphen/>
        <w:t>րի</w:t>
      </w:r>
      <w:r w:rsidRPr="00A83C94">
        <w:rPr>
          <w:rFonts w:cs="Sylfaen"/>
          <w:b w:val="0"/>
          <w:iCs/>
          <w:szCs w:val="22"/>
          <w:lang w:val="af-ZA" w:eastAsia="en-GB"/>
        </w:rPr>
        <w:softHyphen/>
        <w:t>նե</w:t>
      </w:r>
      <w:r w:rsidRPr="00A83C94">
        <w:rPr>
          <w:rFonts w:cs="Sylfaen"/>
          <w:b w:val="0"/>
          <w:iCs/>
          <w:szCs w:val="22"/>
          <w:lang w:val="af-ZA" w:eastAsia="en-GB"/>
        </w:rPr>
        <w:softHyphen/>
        <w:t>րին արձանագրված միտումները:</w:t>
      </w:r>
    </w:p>
    <w:p w14:paraId="739ACE70"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Այլ եկամուտների գծով կանխատեսումային ցուցանիշների ընդհանուր պատկերն ըստ եկամտի հիմնական աղբյուրների հետևյալն է.</w:t>
      </w:r>
    </w:p>
    <w:p w14:paraId="1FB47533" w14:textId="280E4DE7" w:rsidR="00AE2A75" w:rsidRPr="00FC690A" w:rsidRDefault="00DA73BA" w:rsidP="00DA73BA">
      <w:pPr>
        <w:pStyle w:val="Caption"/>
        <w:keepNext/>
        <w:rPr>
          <w:b/>
          <w:i/>
          <w:lang w:val="af-ZA"/>
        </w:rPr>
      </w:pPr>
      <w:bookmarkStart w:id="251" w:name="_Toc89428769"/>
      <w:r>
        <w:t>Աղյուսակ</w:t>
      </w:r>
      <w:r w:rsidRPr="00E05D47">
        <w:rPr>
          <w:lang w:val="af-ZA"/>
        </w:rPr>
        <w:t xml:space="preserve"> </w:t>
      </w:r>
      <w:r>
        <w:fldChar w:fldCharType="begin"/>
      </w:r>
      <w:r w:rsidRPr="00E05D47">
        <w:rPr>
          <w:lang w:val="af-ZA"/>
        </w:rPr>
        <w:instrText xml:space="preserve"> SEQ </w:instrText>
      </w:r>
      <w:r>
        <w:instrText>Աղյուսակ</w:instrText>
      </w:r>
      <w:r w:rsidRPr="00E05D47">
        <w:rPr>
          <w:lang w:val="af-ZA"/>
        </w:rPr>
        <w:instrText xml:space="preserve"> \* ARABIC </w:instrText>
      </w:r>
      <w:r>
        <w:fldChar w:fldCharType="separate"/>
      </w:r>
      <w:r w:rsidR="00A10D4F">
        <w:rPr>
          <w:noProof/>
          <w:lang w:val="af-ZA"/>
        </w:rPr>
        <w:t>9</w:t>
      </w:r>
      <w:r>
        <w:fldChar w:fldCharType="end"/>
      </w:r>
      <w:r w:rsidRPr="00E05D47">
        <w:rPr>
          <w:lang w:val="af-ZA"/>
        </w:rPr>
        <w:t>.</w:t>
      </w:r>
      <w:r w:rsidR="00AE2A75" w:rsidRPr="00FC690A">
        <w:rPr>
          <w:lang w:val="af-ZA"/>
        </w:rPr>
        <w:t xml:space="preserve"> </w:t>
      </w:r>
      <w:r w:rsidR="00AE2A75" w:rsidRPr="00512C5A">
        <w:rPr>
          <w:b/>
          <w:i/>
        </w:rPr>
        <w:t>Այլ</w:t>
      </w:r>
      <w:r w:rsidR="00AE2A75" w:rsidRPr="00FC690A">
        <w:rPr>
          <w:b/>
          <w:i/>
          <w:lang w:val="af-ZA"/>
        </w:rPr>
        <w:t xml:space="preserve"> </w:t>
      </w:r>
      <w:r w:rsidR="00AE2A75" w:rsidRPr="00512C5A">
        <w:rPr>
          <w:b/>
          <w:i/>
        </w:rPr>
        <w:t>եկամուտների</w:t>
      </w:r>
      <w:r w:rsidR="00AE2A75" w:rsidRPr="00FC690A">
        <w:rPr>
          <w:b/>
          <w:i/>
          <w:lang w:val="af-ZA"/>
        </w:rPr>
        <w:t xml:space="preserve"> </w:t>
      </w:r>
      <w:r w:rsidR="00AE2A75" w:rsidRPr="00512C5A">
        <w:rPr>
          <w:b/>
          <w:i/>
        </w:rPr>
        <w:t>կազմում</w:t>
      </w:r>
      <w:r w:rsidR="00AE2A75" w:rsidRPr="00FC690A">
        <w:rPr>
          <w:b/>
          <w:i/>
          <w:lang w:val="af-ZA"/>
        </w:rPr>
        <w:t xml:space="preserve"> </w:t>
      </w:r>
      <w:r w:rsidR="00AE2A75" w:rsidRPr="00512C5A">
        <w:rPr>
          <w:b/>
          <w:i/>
        </w:rPr>
        <w:t>հաշվառվող</w:t>
      </w:r>
      <w:r w:rsidR="00AE2A75" w:rsidRPr="00FC690A">
        <w:rPr>
          <w:b/>
          <w:i/>
          <w:lang w:val="af-ZA"/>
        </w:rPr>
        <w:t xml:space="preserve"> </w:t>
      </w:r>
      <w:r w:rsidR="00AE2A75" w:rsidRPr="00512C5A">
        <w:rPr>
          <w:b/>
          <w:i/>
        </w:rPr>
        <w:t>եկամտատեսակների</w:t>
      </w:r>
      <w:r w:rsidR="00AE2A75" w:rsidRPr="00FC690A">
        <w:rPr>
          <w:b/>
          <w:i/>
          <w:lang w:val="af-ZA"/>
        </w:rPr>
        <w:t xml:space="preserve"> </w:t>
      </w:r>
      <w:r w:rsidR="00AE2A75" w:rsidRPr="00512C5A">
        <w:rPr>
          <w:b/>
          <w:i/>
        </w:rPr>
        <w:t>գծով</w:t>
      </w:r>
      <w:r w:rsidR="00AE2A75" w:rsidRPr="00FC690A">
        <w:rPr>
          <w:b/>
          <w:i/>
          <w:lang w:val="af-ZA"/>
        </w:rPr>
        <w:t xml:space="preserve"> </w:t>
      </w:r>
      <w:r w:rsidR="00AE2A75" w:rsidRPr="00512C5A">
        <w:rPr>
          <w:b/>
          <w:i/>
        </w:rPr>
        <w:t>ՀՀ</w:t>
      </w:r>
      <w:r w:rsidR="00AE2A75" w:rsidRPr="00FC690A">
        <w:rPr>
          <w:b/>
          <w:i/>
          <w:lang w:val="af-ZA"/>
        </w:rPr>
        <w:t xml:space="preserve"> 2018-2022</w:t>
      </w:r>
      <w:r w:rsidR="00AE2A75" w:rsidRPr="00512C5A">
        <w:rPr>
          <w:b/>
          <w:i/>
        </w:rPr>
        <w:t>թթ</w:t>
      </w:r>
      <w:r w:rsidR="00AE2A75" w:rsidRPr="00FC690A">
        <w:rPr>
          <w:b/>
          <w:i/>
          <w:lang w:val="af-ZA"/>
        </w:rPr>
        <w:t xml:space="preserve"> </w:t>
      </w:r>
      <w:r w:rsidR="00AE2A75" w:rsidRPr="00512C5A">
        <w:rPr>
          <w:b/>
          <w:i/>
        </w:rPr>
        <w:t>փաստացի</w:t>
      </w:r>
      <w:r w:rsidR="00AE2A75" w:rsidRPr="00FC690A">
        <w:rPr>
          <w:b/>
          <w:i/>
          <w:lang w:val="af-ZA"/>
        </w:rPr>
        <w:t>/</w:t>
      </w:r>
      <w:r w:rsidR="00AE2A75" w:rsidRPr="00512C5A">
        <w:rPr>
          <w:b/>
          <w:i/>
        </w:rPr>
        <w:t>կանխատեսումային</w:t>
      </w:r>
      <w:r w:rsidR="00AE2A75" w:rsidRPr="00FC690A">
        <w:rPr>
          <w:b/>
          <w:i/>
          <w:lang w:val="af-ZA"/>
        </w:rPr>
        <w:t xml:space="preserve"> </w:t>
      </w:r>
      <w:r w:rsidR="00AE2A75" w:rsidRPr="00512C5A">
        <w:rPr>
          <w:b/>
          <w:i/>
        </w:rPr>
        <w:t>ցուցանիշները</w:t>
      </w:r>
      <w:r w:rsidR="00AE2A75" w:rsidRPr="00FC690A">
        <w:rPr>
          <w:b/>
          <w:i/>
          <w:lang w:val="af-ZA"/>
        </w:rPr>
        <w:t xml:space="preserve"> (</w:t>
      </w:r>
      <w:r w:rsidR="00AE2A75" w:rsidRPr="00512C5A">
        <w:rPr>
          <w:b/>
          <w:i/>
        </w:rPr>
        <w:t>մլրդ</w:t>
      </w:r>
      <w:r w:rsidR="00AE2A75" w:rsidRPr="00FC690A">
        <w:rPr>
          <w:b/>
          <w:i/>
          <w:lang w:val="af-ZA"/>
        </w:rPr>
        <w:t xml:space="preserve"> </w:t>
      </w:r>
      <w:r w:rsidR="00AE2A75" w:rsidRPr="00512C5A">
        <w:rPr>
          <w:b/>
          <w:i/>
        </w:rPr>
        <w:t>դրամներով</w:t>
      </w:r>
      <w:r w:rsidR="00AE2A75" w:rsidRPr="00FC690A">
        <w:rPr>
          <w:b/>
          <w:i/>
          <w:lang w:val="af-ZA"/>
        </w:rPr>
        <w:t>)</w:t>
      </w:r>
      <w:bookmarkEnd w:id="251"/>
    </w:p>
    <w:tbl>
      <w:tblPr>
        <w:tblW w:w="95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5"/>
        <w:gridCol w:w="1077"/>
        <w:gridCol w:w="1077"/>
        <w:gridCol w:w="1077"/>
        <w:gridCol w:w="1077"/>
        <w:gridCol w:w="1077"/>
      </w:tblGrid>
      <w:tr w:rsidR="00AE2A75" w:rsidRPr="00A83C94" w14:paraId="5E3F7BD9" w14:textId="77777777" w:rsidTr="001D3173">
        <w:trPr>
          <w:trHeight w:val="690"/>
        </w:trPr>
        <w:tc>
          <w:tcPr>
            <w:tcW w:w="4135" w:type="dxa"/>
            <w:shd w:val="clear" w:color="auto" w:fill="4F81BD" w:themeFill="accent1"/>
            <w:vAlign w:val="center"/>
            <w:hideMark/>
          </w:tcPr>
          <w:p w14:paraId="6900F181" w14:textId="77777777" w:rsidR="00AE2A75" w:rsidRPr="00A83C94" w:rsidRDefault="00AE2A75" w:rsidP="001D3173">
            <w:pPr>
              <w:spacing w:before="0" w:line="276" w:lineRule="auto"/>
              <w:ind w:firstLine="0"/>
              <w:contextualSpacing w:val="0"/>
              <w:jc w:val="left"/>
              <w:rPr>
                <w:rFonts w:cs="Calibri"/>
                <w:bCs/>
                <w:color w:val="FFFFFF" w:themeColor="background1"/>
                <w:sz w:val="20"/>
                <w:szCs w:val="20"/>
                <w:lang w:val="en-US" w:eastAsia="en-US"/>
              </w:rPr>
            </w:pPr>
            <w:r w:rsidRPr="00A83C94">
              <w:rPr>
                <w:rFonts w:cs="Calibri"/>
                <w:bCs/>
                <w:color w:val="FFFFFF" w:themeColor="background1"/>
                <w:sz w:val="20"/>
                <w:szCs w:val="20"/>
                <w:lang w:val="en-US" w:eastAsia="en-US"/>
              </w:rPr>
              <w:t>Այլ եկամուտներ</w:t>
            </w:r>
          </w:p>
        </w:tc>
        <w:tc>
          <w:tcPr>
            <w:tcW w:w="1077" w:type="dxa"/>
            <w:shd w:val="clear" w:color="auto" w:fill="4F81BD" w:themeFill="accent1"/>
            <w:vAlign w:val="center"/>
            <w:hideMark/>
          </w:tcPr>
          <w:p w14:paraId="643DC2BE"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2018թ</w:t>
            </w:r>
            <w:r w:rsidRPr="00A83C94">
              <w:rPr>
                <w:rFonts w:cs="Calibri"/>
                <w:color w:val="FFFFFF" w:themeColor="background1"/>
                <w:sz w:val="20"/>
                <w:szCs w:val="20"/>
                <w:lang w:val="en-US" w:eastAsia="en-US"/>
              </w:rPr>
              <w:br/>
              <w:t>փաստ</w:t>
            </w:r>
          </w:p>
        </w:tc>
        <w:tc>
          <w:tcPr>
            <w:tcW w:w="1077" w:type="dxa"/>
            <w:shd w:val="clear" w:color="auto" w:fill="4F81BD" w:themeFill="accent1"/>
            <w:vAlign w:val="center"/>
            <w:hideMark/>
          </w:tcPr>
          <w:p w14:paraId="3064EDE8"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2019թ</w:t>
            </w:r>
            <w:r w:rsidRPr="00A83C94">
              <w:rPr>
                <w:rFonts w:cs="Calibri"/>
                <w:color w:val="FFFFFF" w:themeColor="background1"/>
                <w:sz w:val="20"/>
                <w:szCs w:val="20"/>
                <w:lang w:val="en-US" w:eastAsia="en-US"/>
              </w:rPr>
              <w:br/>
              <w:t>փաստ</w:t>
            </w:r>
          </w:p>
        </w:tc>
        <w:tc>
          <w:tcPr>
            <w:tcW w:w="1077" w:type="dxa"/>
            <w:shd w:val="clear" w:color="auto" w:fill="4F81BD" w:themeFill="accent1"/>
            <w:vAlign w:val="center"/>
            <w:hideMark/>
          </w:tcPr>
          <w:p w14:paraId="2B07B2ED"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2020թ</w:t>
            </w:r>
            <w:r w:rsidRPr="00A83C94">
              <w:rPr>
                <w:rFonts w:cs="Calibri"/>
                <w:color w:val="FFFFFF" w:themeColor="background1"/>
                <w:sz w:val="20"/>
                <w:szCs w:val="20"/>
                <w:lang w:val="en-US" w:eastAsia="en-US"/>
              </w:rPr>
              <w:br/>
              <w:t>փաստ</w:t>
            </w:r>
          </w:p>
        </w:tc>
        <w:tc>
          <w:tcPr>
            <w:tcW w:w="1077" w:type="dxa"/>
            <w:shd w:val="clear" w:color="auto" w:fill="4F81BD" w:themeFill="accent1"/>
            <w:vAlign w:val="center"/>
            <w:hideMark/>
          </w:tcPr>
          <w:p w14:paraId="6167F92D"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2021թ</w:t>
            </w:r>
            <w:r w:rsidRPr="00A83C94">
              <w:rPr>
                <w:rFonts w:cs="Calibri"/>
                <w:color w:val="FFFFFF" w:themeColor="background1"/>
                <w:sz w:val="20"/>
                <w:szCs w:val="20"/>
                <w:lang w:val="en-US" w:eastAsia="en-US"/>
              </w:rPr>
              <w:br/>
              <w:t>բյուջե</w:t>
            </w:r>
          </w:p>
        </w:tc>
        <w:tc>
          <w:tcPr>
            <w:tcW w:w="1077" w:type="dxa"/>
            <w:shd w:val="clear" w:color="auto" w:fill="4F81BD" w:themeFill="accent1"/>
            <w:vAlign w:val="center"/>
            <w:hideMark/>
          </w:tcPr>
          <w:p w14:paraId="6CCF0D56" w14:textId="77777777" w:rsidR="00AE2A75" w:rsidRPr="00A83C94" w:rsidRDefault="00AE2A75" w:rsidP="001D3173">
            <w:pPr>
              <w:spacing w:before="0" w:line="276" w:lineRule="auto"/>
              <w:ind w:firstLine="0"/>
              <w:contextualSpacing w:val="0"/>
              <w:jc w:val="center"/>
              <w:rPr>
                <w:rFonts w:cs="Calibri"/>
                <w:color w:val="FFFFFF" w:themeColor="background1"/>
                <w:sz w:val="20"/>
                <w:szCs w:val="20"/>
                <w:lang w:val="en-US" w:eastAsia="en-US"/>
              </w:rPr>
            </w:pPr>
            <w:r w:rsidRPr="00A83C94">
              <w:rPr>
                <w:rFonts w:cs="Calibri"/>
                <w:color w:val="FFFFFF" w:themeColor="background1"/>
                <w:sz w:val="20"/>
                <w:szCs w:val="20"/>
                <w:lang w:val="en-US" w:eastAsia="en-US"/>
              </w:rPr>
              <w:t>2022թ</w:t>
            </w:r>
            <w:r w:rsidRPr="00A83C94">
              <w:rPr>
                <w:rFonts w:cs="Calibri"/>
                <w:color w:val="FFFFFF" w:themeColor="background1"/>
                <w:sz w:val="20"/>
                <w:szCs w:val="20"/>
                <w:lang w:val="en-US" w:eastAsia="en-US"/>
              </w:rPr>
              <w:br/>
              <w:t>կանխատեսում</w:t>
            </w:r>
          </w:p>
        </w:tc>
      </w:tr>
      <w:tr w:rsidR="00AE2A75" w:rsidRPr="00A83C94" w14:paraId="25CC5B36" w14:textId="77777777" w:rsidTr="001D3173">
        <w:trPr>
          <w:trHeight w:val="390"/>
        </w:trPr>
        <w:tc>
          <w:tcPr>
            <w:tcW w:w="4135" w:type="dxa"/>
            <w:shd w:val="clear" w:color="auto" w:fill="DBE5F1" w:themeFill="accent1" w:themeFillTint="33"/>
            <w:vAlign w:val="center"/>
            <w:hideMark/>
          </w:tcPr>
          <w:p w14:paraId="447F2B58" w14:textId="77777777" w:rsidR="00AE2A75" w:rsidRPr="00A83C94" w:rsidRDefault="00AE2A75" w:rsidP="001D3173">
            <w:pPr>
              <w:spacing w:before="0" w:line="276" w:lineRule="auto"/>
              <w:ind w:firstLine="0"/>
              <w:contextualSpacing w:val="0"/>
              <w:jc w:val="left"/>
              <w:rPr>
                <w:rFonts w:cs="Calibri"/>
                <w:bCs/>
                <w:color w:val="000000"/>
                <w:sz w:val="20"/>
                <w:szCs w:val="20"/>
                <w:lang w:val="en-US" w:eastAsia="en-US"/>
              </w:rPr>
            </w:pPr>
            <w:r w:rsidRPr="00A83C94">
              <w:rPr>
                <w:rFonts w:cs="Calibri"/>
                <w:bCs/>
                <w:color w:val="000000"/>
                <w:sz w:val="20"/>
                <w:szCs w:val="20"/>
                <w:lang w:val="en-US" w:eastAsia="en-US"/>
              </w:rPr>
              <w:t>Ընդամենը</w:t>
            </w:r>
          </w:p>
        </w:tc>
        <w:tc>
          <w:tcPr>
            <w:tcW w:w="1077" w:type="dxa"/>
            <w:shd w:val="clear" w:color="auto" w:fill="DBE5F1" w:themeFill="accent1" w:themeFillTint="33"/>
            <w:noWrap/>
            <w:vAlign w:val="center"/>
            <w:hideMark/>
          </w:tcPr>
          <w:p w14:paraId="5DAE9DF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72.3</w:t>
            </w:r>
          </w:p>
        </w:tc>
        <w:tc>
          <w:tcPr>
            <w:tcW w:w="1077" w:type="dxa"/>
            <w:shd w:val="clear" w:color="auto" w:fill="DBE5F1" w:themeFill="accent1" w:themeFillTint="33"/>
            <w:noWrap/>
            <w:vAlign w:val="center"/>
            <w:hideMark/>
          </w:tcPr>
          <w:p w14:paraId="0EEE11A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88.8 </w:t>
            </w:r>
          </w:p>
        </w:tc>
        <w:tc>
          <w:tcPr>
            <w:tcW w:w="1077" w:type="dxa"/>
            <w:shd w:val="clear" w:color="auto" w:fill="DBE5F1" w:themeFill="accent1" w:themeFillTint="33"/>
            <w:noWrap/>
            <w:vAlign w:val="center"/>
            <w:hideMark/>
          </w:tcPr>
          <w:p w14:paraId="5E26F04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122.2 </w:t>
            </w:r>
          </w:p>
        </w:tc>
        <w:tc>
          <w:tcPr>
            <w:tcW w:w="1077" w:type="dxa"/>
            <w:shd w:val="clear" w:color="auto" w:fill="DBE5F1" w:themeFill="accent1" w:themeFillTint="33"/>
            <w:noWrap/>
            <w:vAlign w:val="center"/>
            <w:hideMark/>
          </w:tcPr>
          <w:p w14:paraId="16DBD23F"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45.1 </w:t>
            </w:r>
          </w:p>
        </w:tc>
        <w:tc>
          <w:tcPr>
            <w:tcW w:w="1077" w:type="dxa"/>
            <w:shd w:val="clear" w:color="auto" w:fill="DBE5F1" w:themeFill="accent1" w:themeFillTint="33"/>
            <w:noWrap/>
            <w:vAlign w:val="center"/>
            <w:hideMark/>
          </w:tcPr>
          <w:p w14:paraId="0A1D6C31"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62.1 </w:t>
            </w:r>
          </w:p>
        </w:tc>
      </w:tr>
      <w:tr w:rsidR="00AE2A75" w:rsidRPr="00A83C94" w14:paraId="05133D2F" w14:textId="77777777" w:rsidTr="001D3173">
        <w:trPr>
          <w:trHeight w:val="1007"/>
        </w:trPr>
        <w:tc>
          <w:tcPr>
            <w:tcW w:w="4135" w:type="dxa"/>
            <w:shd w:val="clear" w:color="auto" w:fill="auto"/>
            <w:vAlign w:val="center"/>
            <w:hideMark/>
          </w:tcPr>
          <w:p w14:paraId="2BD3DE11"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2. </w:t>
            </w:r>
            <w:r w:rsidRPr="00A83C94">
              <w:rPr>
                <w:rFonts w:cs="Calibri"/>
                <w:b w:val="0"/>
                <w:color w:val="000000"/>
                <w:sz w:val="20"/>
                <w:szCs w:val="20"/>
                <w:lang w:val="en-US" w:eastAsia="en-US"/>
              </w:rPr>
              <w:t>Պետական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սեփականություն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հանդիսացող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գույքի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վարձակալությունից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p>
        </w:tc>
        <w:tc>
          <w:tcPr>
            <w:tcW w:w="1077" w:type="dxa"/>
            <w:shd w:val="clear" w:color="auto" w:fill="auto"/>
            <w:noWrap/>
            <w:vAlign w:val="center"/>
            <w:hideMark/>
          </w:tcPr>
          <w:p w14:paraId="79FAF58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2.5 </w:t>
            </w:r>
          </w:p>
        </w:tc>
        <w:tc>
          <w:tcPr>
            <w:tcW w:w="1077" w:type="dxa"/>
            <w:shd w:val="clear" w:color="auto" w:fill="auto"/>
            <w:noWrap/>
            <w:vAlign w:val="center"/>
            <w:hideMark/>
          </w:tcPr>
          <w:p w14:paraId="2BAA6DE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2.4 </w:t>
            </w:r>
          </w:p>
        </w:tc>
        <w:tc>
          <w:tcPr>
            <w:tcW w:w="1077" w:type="dxa"/>
            <w:shd w:val="clear" w:color="auto" w:fill="auto"/>
            <w:noWrap/>
            <w:vAlign w:val="center"/>
            <w:hideMark/>
          </w:tcPr>
          <w:p w14:paraId="4447D8F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0.4 </w:t>
            </w:r>
          </w:p>
        </w:tc>
        <w:tc>
          <w:tcPr>
            <w:tcW w:w="1077" w:type="dxa"/>
            <w:shd w:val="clear" w:color="auto" w:fill="auto"/>
            <w:noWrap/>
            <w:vAlign w:val="center"/>
            <w:hideMark/>
          </w:tcPr>
          <w:p w14:paraId="135B5A9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 </w:t>
            </w:r>
          </w:p>
        </w:tc>
        <w:tc>
          <w:tcPr>
            <w:tcW w:w="1077" w:type="dxa"/>
            <w:shd w:val="clear" w:color="auto" w:fill="auto"/>
            <w:noWrap/>
            <w:vAlign w:val="center"/>
            <w:hideMark/>
          </w:tcPr>
          <w:p w14:paraId="32AF2B0C"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6.7 </w:t>
            </w:r>
          </w:p>
        </w:tc>
      </w:tr>
      <w:tr w:rsidR="00AE2A75" w:rsidRPr="00A83C94" w14:paraId="1BD250F8" w14:textId="77777777" w:rsidTr="001D3173">
        <w:trPr>
          <w:trHeight w:val="1035"/>
        </w:trPr>
        <w:tc>
          <w:tcPr>
            <w:tcW w:w="4135" w:type="dxa"/>
            <w:shd w:val="clear" w:color="auto" w:fill="DBE5F1" w:themeFill="accent1" w:themeFillTint="33"/>
            <w:vAlign w:val="center"/>
            <w:hideMark/>
          </w:tcPr>
          <w:p w14:paraId="4E1EF509"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3. </w:t>
            </w:r>
            <w:r w:rsidRPr="00A83C94">
              <w:rPr>
                <w:rFonts w:cs="Calibri"/>
                <w:b w:val="0"/>
                <w:color w:val="000000"/>
                <w:sz w:val="20"/>
                <w:szCs w:val="20"/>
                <w:lang w:val="en-US" w:eastAsia="en-US"/>
              </w:rPr>
              <w:t>Տոկոսավճարների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և</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շահաբաժինների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տեսքով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ստացվող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p>
        </w:tc>
        <w:tc>
          <w:tcPr>
            <w:tcW w:w="1077" w:type="dxa"/>
            <w:shd w:val="clear" w:color="auto" w:fill="DBE5F1" w:themeFill="accent1" w:themeFillTint="33"/>
            <w:noWrap/>
            <w:vAlign w:val="center"/>
            <w:hideMark/>
          </w:tcPr>
          <w:p w14:paraId="14AB469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20.0 </w:t>
            </w:r>
          </w:p>
        </w:tc>
        <w:tc>
          <w:tcPr>
            <w:tcW w:w="1077" w:type="dxa"/>
            <w:shd w:val="clear" w:color="auto" w:fill="DBE5F1" w:themeFill="accent1" w:themeFillTint="33"/>
            <w:noWrap/>
            <w:vAlign w:val="center"/>
            <w:hideMark/>
          </w:tcPr>
          <w:p w14:paraId="09C0E7E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24.8 </w:t>
            </w:r>
          </w:p>
        </w:tc>
        <w:tc>
          <w:tcPr>
            <w:tcW w:w="1077" w:type="dxa"/>
            <w:shd w:val="clear" w:color="auto" w:fill="DBE5F1" w:themeFill="accent1" w:themeFillTint="33"/>
            <w:noWrap/>
            <w:vAlign w:val="center"/>
            <w:hideMark/>
          </w:tcPr>
          <w:p w14:paraId="488D4DD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35.2 </w:t>
            </w:r>
          </w:p>
        </w:tc>
        <w:tc>
          <w:tcPr>
            <w:tcW w:w="1077" w:type="dxa"/>
            <w:shd w:val="clear" w:color="auto" w:fill="DBE5F1" w:themeFill="accent1" w:themeFillTint="33"/>
            <w:noWrap/>
            <w:vAlign w:val="center"/>
            <w:hideMark/>
          </w:tcPr>
          <w:p w14:paraId="6FF0823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20.2 </w:t>
            </w:r>
          </w:p>
        </w:tc>
        <w:tc>
          <w:tcPr>
            <w:tcW w:w="1077" w:type="dxa"/>
            <w:shd w:val="clear" w:color="auto" w:fill="DBE5F1" w:themeFill="accent1" w:themeFillTint="33"/>
            <w:noWrap/>
            <w:vAlign w:val="center"/>
            <w:hideMark/>
          </w:tcPr>
          <w:p w14:paraId="78C0E9B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26.0 </w:t>
            </w:r>
          </w:p>
        </w:tc>
      </w:tr>
      <w:tr w:rsidR="00AE2A75" w:rsidRPr="00A83C94" w14:paraId="0A0EBA70" w14:textId="77777777" w:rsidTr="001D3173">
        <w:trPr>
          <w:trHeight w:val="1205"/>
        </w:trPr>
        <w:tc>
          <w:tcPr>
            <w:tcW w:w="4135" w:type="dxa"/>
            <w:shd w:val="clear" w:color="auto" w:fill="auto"/>
            <w:vAlign w:val="center"/>
            <w:hideMark/>
          </w:tcPr>
          <w:p w14:paraId="6E7904F2"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4. </w:t>
            </w:r>
            <w:r w:rsidRPr="00A83C94">
              <w:rPr>
                <w:rFonts w:cs="Calibri"/>
                <w:b w:val="0"/>
                <w:color w:val="000000"/>
                <w:sz w:val="20"/>
                <w:szCs w:val="20"/>
                <w:lang w:val="en-US" w:eastAsia="en-US"/>
              </w:rPr>
              <w:t>Իրավախախտումների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համար</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գործադիր</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դատական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մարմինների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կողմից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կիրառվող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պատժամիջոցներից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մուտքեր</w:t>
            </w:r>
          </w:p>
        </w:tc>
        <w:tc>
          <w:tcPr>
            <w:tcW w:w="1077" w:type="dxa"/>
            <w:shd w:val="clear" w:color="auto" w:fill="auto"/>
            <w:noWrap/>
            <w:vAlign w:val="center"/>
            <w:hideMark/>
          </w:tcPr>
          <w:p w14:paraId="33BFA35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14.7 </w:t>
            </w:r>
          </w:p>
        </w:tc>
        <w:tc>
          <w:tcPr>
            <w:tcW w:w="1077" w:type="dxa"/>
            <w:shd w:val="clear" w:color="auto" w:fill="auto"/>
            <w:noWrap/>
            <w:vAlign w:val="center"/>
            <w:hideMark/>
          </w:tcPr>
          <w:p w14:paraId="59EAEC8B"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15.7 </w:t>
            </w:r>
          </w:p>
        </w:tc>
        <w:tc>
          <w:tcPr>
            <w:tcW w:w="1077" w:type="dxa"/>
            <w:shd w:val="clear" w:color="auto" w:fill="auto"/>
            <w:noWrap/>
            <w:vAlign w:val="center"/>
            <w:hideMark/>
          </w:tcPr>
          <w:p w14:paraId="24816E75"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11.5 </w:t>
            </w:r>
          </w:p>
        </w:tc>
        <w:tc>
          <w:tcPr>
            <w:tcW w:w="1077" w:type="dxa"/>
            <w:shd w:val="clear" w:color="auto" w:fill="auto"/>
            <w:noWrap/>
            <w:vAlign w:val="center"/>
            <w:hideMark/>
          </w:tcPr>
          <w:p w14:paraId="14774FCE"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10.5 </w:t>
            </w:r>
          </w:p>
        </w:tc>
        <w:tc>
          <w:tcPr>
            <w:tcW w:w="1077" w:type="dxa"/>
            <w:shd w:val="clear" w:color="auto" w:fill="auto"/>
            <w:noWrap/>
            <w:vAlign w:val="center"/>
            <w:hideMark/>
          </w:tcPr>
          <w:p w14:paraId="403D4862"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10.8 </w:t>
            </w:r>
          </w:p>
        </w:tc>
      </w:tr>
      <w:tr w:rsidR="00AE2A75" w:rsidRPr="00A83C94" w14:paraId="3D6080D1" w14:textId="77777777" w:rsidTr="001D3173">
        <w:trPr>
          <w:trHeight w:val="1016"/>
        </w:trPr>
        <w:tc>
          <w:tcPr>
            <w:tcW w:w="4135" w:type="dxa"/>
            <w:shd w:val="clear" w:color="auto" w:fill="DBE5F1" w:themeFill="accent1" w:themeFillTint="33"/>
            <w:vAlign w:val="center"/>
            <w:hideMark/>
          </w:tcPr>
          <w:p w14:paraId="7212FE33"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5. </w:t>
            </w:r>
            <w:r w:rsidRPr="00A83C94">
              <w:rPr>
                <w:rFonts w:cs="Calibri"/>
                <w:b w:val="0"/>
                <w:color w:val="000000"/>
                <w:sz w:val="20"/>
                <w:szCs w:val="20"/>
                <w:lang w:val="en-US" w:eastAsia="en-US"/>
              </w:rPr>
              <w:t>Ապրանքների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մատակարարումից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և</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ծառայությունների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մատուցումից</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որից</w:t>
            </w:r>
            <w:r w:rsidRPr="00A83C94">
              <w:rPr>
                <w:rFonts w:cs="Calibri"/>
                <w:b w:val="0"/>
                <w:color w:val="000000"/>
                <w:sz w:val="20"/>
                <w:szCs w:val="20"/>
                <w:lang w:eastAsia="en-US"/>
              </w:rPr>
              <w:t>`</w:t>
            </w:r>
          </w:p>
        </w:tc>
        <w:tc>
          <w:tcPr>
            <w:tcW w:w="1077" w:type="dxa"/>
            <w:shd w:val="clear" w:color="auto" w:fill="DBE5F1" w:themeFill="accent1" w:themeFillTint="33"/>
            <w:noWrap/>
            <w:vAlign w:val="center"/>
            <w:hideMark/>
          </w:tcPr>
          <w:p w14:paraId="5DAEEE79"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 xml:space="preserve">27.4 </w:t>
            </w:r>
          </w:p>
        </w:tc>
        <w:tc>
          <w:tcPr>
            <w:tcW w:w="1077" w:type="dxa"/>
            <w:shd w:val="clear" w:color="auto" w:fill="DBE5F1" w:themeFill="accent1" w:themeFillTint="33"/>
            <w:noWrap/>
            <w:vAlign w:val="center"/>
            <w:hideMark/>
          </w:tcPr>
          <w:p w14:paraId="1AFF933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34.0 </w:t>
            </w:r>
          </w:p>
        </w:tc>
        <w:tc>
          <w:tcPr>
            <w:tcW w:w="1077" w:type="dxa"/>
            <w:shd w:val="clear" w:color="auto" w:fill="DBE5F1" w:themeFill="accent1" w:themeFillTint="33"/>
            <w:noWrap/>
            <w:vAlign w:val="center"/>
            <w:hideMark/>
          </w:tcPr>
          <w:p w14:paraId="59BF771A"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16.4 </w:t>
            </w:r>
          </w:p>
        </w:tc>
        <w:tc>
          <w:tcPr>
            <w:tcW w:w="1077" w:type="dxa"/>
            <w:shd w:val="clear" w:color="auto" w:fill="DBE5F1" w:themeFill="accent1" w:themeFillTint="33"/>
            <w:noWrap/>
            <w:vAlign w:val="center"/>
            <w:hideMark/>
          </w:tcPr>
          <w:p w14:paraId="2148FD49"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11.7 </w:t>
            </w:r>
          </w:p>
        </w:tc>
        <w:tc>
          <w:tcPr>
            <w:tcW w:w="1077" w:type="dxa"/>
            <w:shd w:val="clear" w:color="auto" w:fill="DBE5F1" w:themeFill="accent1" w:themeFillTint="33"/>
            <w:noWrap/>
            <w:vAlign w:val="center"/>
            <w:hideMark/>
          </w:tcPr>
          <w:p w14:paraId="08298F06" w14:textId="6B52DB5B" w:rsidR="00AE2A75" w:rsidRPr="00A83C94" w:rsidRDefault="00AE2A75" w:rsidP="0040029F">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17.</w:t>
            </w:r>
            <w:r w:rsidR="0040029F">
              <w:rPr>
                <w:rFonts w:cs="Calibri"/>
                <w:b w:val="0"/>
                <w:color w:val="000000"/>
                <w:sz w:val="20"/>
                <w:szCs w:val="20"/>
                <w:lang w:val="en-US" w:eastAsia="en-US"/>
              </w:rPr>
              <w:t>4</w:t>
            </w:r>
            <w:r w:rsidRPr="00A83C94">
              <w:rPr>
                <w:rFonts w:cs="Calibri"/>
                <w:b w:val="0"/>
                <w:color w:val="000000"/>
                <w:sz w:val="20"/>
                <w:szCs w:val="20"/>
                <w:lang w:val="en-US" w:eastAsia="en-US"/>
              </w:rPr>
              <w:t xml:space="preserve"> </w:t>
            </w:r>
          </w:p>
        </w:tc>
      </w:tr>
      <w:tr w:rsidR="00AE2A75" w:rsidRPr="00A83C94" w14:paraId="1D2F75BF" w14:textId="77777777" w:rsidTr="001D3173">
        <w:trPr>
          <w:trHeight w:val="1079"/>
        </w:trPr>
        <w:tc>
          <w:tcPr>
            <w:tcW w:w="4135" w:type="dxa"/>
            <w:shd w:val="clear" w:color="auto" w:fill="auto"/>
            <w:vAlign w:val="center"/>
            <w:hideMark/>
          </w:tcPr>
          <w:p w14:paraId="3A3AAF23" w14:textId="77777777" w:rsidR="00AE2A75" w:rsidRPr="00A83C94" w:rsidRDefault="00AE2A75" w:rsidP="001D3173">
            <w:pPr>
              <w:spacing w:before="0" w:line="276" w:lineRule="auto"/>
              <w:ind w:firstLine="0"/>
              <w:contextualSpacing w:val="0"/>
              <w:jc w:val="left"/>
              <w:rPr>
                <w:rFonts w:cs="Calibri"/>
                <w:b w:val="0"/>
                <w:color w:val="000000"/>
                <w:sz w:val="20"/>
                <w:szCs w:val="20"/>
                <w:lang w:eastAsia="en-US"/>
              </w:rPr>
            </w:pPr>
            <w:r w:rsidRPr="00A83C94">
              <w:rPr>
                <w:rFonts w:cs="Calibri"/>
                <w:b w:val="0"/>
                <w:color w:val="000000"/>
                <w:sz w:val="20"/>
                <w:szCs w:val="20"/>
                <w:lang w:eastAsia="en-US"/>
              </w:rPr>
              <w:t xml:space="preserve">6. </w:t>
            </w:r>
            <w:r w:rsidRPr="00A83C94">
              <w:rPr>
                <w:rFonts w:cs="Calibri"/>
                <w:b w:val="0"/>
                <w:color w:val="000000"/>
                <w:sz w:val="20"/>
                <w:szCs w:val="20"/>
                <w:lang w:val="en-US" w:eastAsia="en-US"/>
              </w:rPr>
              <w:t>Օրենքով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և</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այլ</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իրավական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ակտերով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սահմանված</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պետական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բյուջե</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մուտքագրվող</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այլ</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եկամուտներ</w:t>
            </w:r>
          </w:p>
        </w:tc>
        <w:tc>
          <w:tcPr>
            <w:tcW w:w="1077" w:type="dxa"/>
            <w:shd w:val="clear" w:color="auto" w:fill="auto"/>
            <w:noWrap/>
            <w:vAlign w:val="center"/>
            <w:hideMark/>
          </w:tcPr>
          <w:p w14:paraId="785DAA0D"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7.7</w:t>
            </w:r>
          </w:p>
        </w:tc>
        <w:tc>
          <w:tcPr>
            <w:tcW w:w="1077" w:type="dxa"/>
            <w:shd w:val="clear" w:color="auto" w:fill="auto"/>
            <w:noWrap/>
            <w:vAlign w:val="center"/>
            <w:hideMark/>
          </w:tcPr>
          <w:p w14:paraId="3C51BAD8"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11.9 </w:t>
            </w:r>
          </w:p>
        </w:tc>
        <w:tc>
          <w:tcPr>
            <w:tcW w:w="1077" w:type="dxa"/>
            <w:shd w:val="clear" w:color="auto" w:fill="auto"/>
            <w:noWrap/>
            <w:vAlign w:val="center"/>
            <w:hideMark/>
          </w:tcPr>
          <w:p w14:paraId="2679CFB4"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58.7 </w:t>
            </w:r>
          </w:p>
        </w:tc>
        <w:tc>
          <w:tcPr>
            <w:tcW w:w="1077" w:type="dxa"/>
            <w:shd w:val="clear" w:color="auto" w:fill="auto"/>
            <w:noWrap/>
            <w:vAlign w:val="center"/>
            <w:hideMark/>
          </w:tcPr>
          <w:p w14:paraId="2A220110"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1.6 </w:t>
            </w:r>
          </w:p>
        </w:tc>
        <w:tc>
          <w:tcPr>
            <w:tcW w:w="1077" w:type="dxa"/>
            <w:shd w:val="clear" w:color="auto" w:fill="auto"/>
            <w:noWrap/>
            <w:vAlign w:val="center"/>
            <w:hideMark/>
          </w:tcPr>
          <w:p w14:paraId="758F8007" w14:textId="77777777" w:rsidR="00AE2A75" w:rsidRPr="00A83C94" w:rsidRDefault="00AE2A75" w:rsidP="001D3173">
            <w:pPr>
              <w:spacing w:before="0" w:line="276"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 xml:space="preserve">                            1.2 </w:t>
            </w:r>
          </w:p>
        </w:tc>
      </w:tr>
    </w:tbl>
    <w:p w14:paraId="40C4D4C3" w14:textId="77777777" w:rsidR="00AE2A75" w:rsidRPr="00A83C94" w:rsidRDefault="00AE2A75" w:rsidP="00AE2A75">
      <w:pPr>
        <w:spacing w:before="0" w:line="276" w:lineRule="auto"/>
        <w:ind w:firstLine="0"/>
        <w:contextualSpacing w:val="0"/>
        <w:rPr>
          <w:rFonts w:cs="Sylfaen"/>
          <w:b w:val="0"/>
          <w:iCs/>
          <w:szCs w:val="22"/>
          <w:lang w:val="af-ZA" w:eastAsia="en-GB"/>
        </w:rPr>
      </w:pPr>
    </w:p>
    <w:p w14:paraId="5A231567"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Ստորև ներկայացվում են 2022 թվա</w:t>
      </w:r>
      <w:r w:rsidRPr="00A83C94">
        <w:rPr>
          <w:rFonts w:cs="Sylfaen"/>
          <w:b w:val="0"/>
          <w:iCs/>
          <w:szCs w:val="22"/>
          <w:lang w:val="af-ZA" w:eastAsia="en-GB"/>
        </w:rPr>
        <w:softHyphen/>
        <w:t>կա</w:t>
      </w:r>
      <w:r w:rsidRPr="00A83C94">
        <w:rPr>
          <w:rFonts w:cs="Sylfaen"/>
          <w:b w:val="0"/>
          <w:iCs/>
          <w:szCs w:val="22"/>
          <w:lang w:val="af-ZA" w:eastAsia="en-GB"/>
        </w:rPr>
        <w:softHyphen/>
        <w:t>նի այլ եկամուտների գծով կան</w:t>
      </w:r>
      <w:r w:rsidRPr="00A83C94">
        <w:rPr>
          <w:rFonts w:cs="Sylfaen"/>
          <w:b w:val="0"/>
          <w:iCs/>
          <w:szCs w:val="22"/>
          <w:lang w:val="af-ZA" w:eastAsia="en-GB"/>
        </w:rPr>
        <w:softHyphen/>
        <w:t>խատես</w:t>
      </w:r>
      <w:r w:rsidRPr="00A83C94">
        <w:rPr>
          <w:rFonts w:cs="Sylfaen"/>
          <w:b w:val="0"/>
          <w:iCs/>
          <w:szCs w:val="22"/>
          <w:lang w:val="af-ZA" w:eastAsia="en-GB"/>
        </w:rPr>
        <w:softHyphen/>
        <w:t>վող մուտ</w:t>
      </w:r>
      <w:r w:rsidRPr="00A83C94">
        <w:rPr>
          <w:rFonts w:cs="Sylfaen"/>
          <w:b w:val="0"/>
          <w:iCs/>
          <w:szCs w:val="22"/>
          <w:lang w:val="af-ZA" w:eastAsia="en-GB"/>
        </w:rPr>
        <w:softHyphen/>
        <w:t>քե</w:t>
      </w:r>
      <w:r w:rsidRPr="00A83C94">
        <w:rPr>
          <w:rFonts w:cs="Sylfaen"/>
          <w:b w:val="0"/>
          <w:iCs/>
          <w:szCs w:val="22"/>
          <w:lang w:val="af-ZA" w:eastAsia="en-GB"/>
        </w:rPr>
        <w:softHyphen/>
        <w:t>րի հաշ</w:t>
      </w:r>
      <w:r w:rsidRPr="00A83C94">
        <w:rPr>
          <w:rFonts w:cs="Sylfaen"/>
          <w:b w:val="0"/>
          <w:iCs/>
          <w:szCs w:val="22"/>
          <w:lang w:val="af-ZA" w:eastAsia="en-GB"/>
        </w:rPr>
        <w:softHyphen/>
        <w:t>վարկ</w:t>
      </w:r>
      <w:r w:rsidRPr="00A83C94">
        <w:rPr>
          <w:rFonts w:cs="Sylfaen"/>
          <w:b w:val="0"/>
          <w:iCs/>
          <w:szCs w:val="22"/>
          <w:lang w:val="af-ZA" w:eastAsia="en-GB"/>
        </w:rPr>
        <w:softHyphen/>
        <w:t>նե</w:t>
      </w:r>
      <w:r w:rsidRPr="00A83C94">
        <w:rPr>
          <w:rFonts w:cs="Sylfaen"/>
          <w:b w:val="0"/>
          <w:iCs/>
          <w:szCs w:val="22"/>
          <w:lang w:val="af-ZA" w:eastAsia="en-GB"/>
        </w:rPr>
        <w:softHyphen/>
        <w:t>րում կի</w:t>
      </w:r>
      <w:r w:rsidRPr="00A83C94">
        <w:rPr>
          <w:rFonts w:cs="Sylfaen"/>
          <w:b w:val="0"/>
          <w:iCs/>
          <w:szCs w:val="22"/>
          <w:lang w:val="af-ZA" w:eastAsia="en-GB"/>
        </w:rPr>
        <w:softHyphen/>
        <w:t>րառ</w:t>
      </w:r>
      <w:r w:rsidRPr="00A83C94">
        <w:rPr>
          <w:rFonts w:cs="Sylfaen"/>
          <w:b w:val="0"/>
          <w:iCs/>
          <w:szCs w:val="22"/>
          <w:lang w:val="af-ZA" w:eastAsia="en-GB"/>
        </w:rPr>
        <w:softHyphen/>
        <w:t>ված մեթոդաբանության համա</w:t>
      </w:r>
      <w:r w:rsidRPr="00A83C94">
        <w:rPr>
          <w:rFonts w:cs="Sylfaen"/>
          <w:b w:val="0"/>
          <w:iCs/>
          <w:szCs w:val="22"/>
          <w:lang w:val="af-ZA" w:eastAsia="en-GB"/>
        </w:rPr>
        <w:softHyphen/>
        <w:t>ռոտ նկարա</w:t>
      </w:r>
      <w:r w:rsidRPr="00A83C94">
        <w:rPr>
          <w:rFonts w:cs="Sylfaen"/>
          <w:b w:val="0"/>
          <w:iCs/>
          <w:szCs w:val="22"/>
          <w:lang w:val="af-ZA" w:eastAsia="en-GB"/>
        </w:rPr>
        <w:softHyphen/>
        <w:t>գրու</w:t>
      </w:r>
      <w:r w:rsidRPr="00A83C94">
        <w:rPr>
          <w:rFonts w:cs="Sylfaen"/>
          <w:b w:val="0"/>
          <w:iCs/>
          <w:szCs w:val="22"/>
          <w:lang w:val="af-ZA" w:eastAsia="en-GB"/>
        </w:rPr>
        <w:softHyphen/>
        <w:t>թյունը:</w:t>
      </w:r>
    </w:p>
    <w:p w14:paraId="0EF90516"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Պետական հիմնարկների հաշվեկշիռներում հաշվառվող գույքի (բացառությամբ հողի) վար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ձակալության և օգ</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գործ</w:t>
      </w:r>
      <w:r w:rsidRPr="00A83C94">
        <w:rPr>
          <w:rFonts w:cs="Sylfaen"/>
          <w:b w:val="0"/>
          <w:iCs/>
          <w:szCs w:val="22"/>
          <w:lang w:val="af-ZA" w:eastAsia="en-GB"/>
        </w:rPr>
        <w:softHyphen/>
        <w:t>ման դիմաց գանձվող վարձավճարները 2022 թվա</w:t>
      </w:r>
      <w:r w:rsidRPr="00A83C94">
        <w:rPr>
          <w:rFonts w:cs="Sylfaen"/>
          <w:b w:val="0"/>
          <w:iCs/>
          <w:szCs w:val="22"/>
          <w:lang w:val="af-ZA" w:eastAsia="en-GB"/>
        </w:rPr>
        <w:softHyphen/>
        <w:t>կա</w:t>
      </w:r>
      <w:r w:rsidRPr="00A83C94">
        <w:rPr>
          <w:rFonts w:cs="Sylfaen"/>
          <w:b w:val="0"/>
          <w:iCs/>
          <w:szCs w:val="22"/>
          <w:lang w:val="af-ZA" w:eastAsia="en-GB"/>
        </w:rPr>
        <w:softHyphen/>
        <w:t>նի հա</w:t>
      </w:r>
      <w:r w:rsidRPr="00A83C94">
        <w:rPr>
          <w:rFonts w:cs="Sylfaen"/>
          <w:b w:val="0"/>
          <w:iCs/>
          <w:szCs w:val="22"/>
          <w:lang w:val="af-ZA" w:eastAsia="en-GB"/>
        </w:rPr>
        <w:softHyphen/>
        <w:t>մար կան</w:t>
      </w:r>
      <w:r w:rsidRPr="00A83C94">
        <w:rPr>
          <w:rFonts w:cs="Sylfaen"/>
          <w:b w:val="0"/>
          <w:iCs/>
          <w:szCs w:val="22"/>
          <w:lang w:val="af-ZA" w:eastAsia="en-GB"/>
        </w:rPr>
        <w:softHyphen/>
      </w:r>
      <w:r w:rsidRPr="00A83C94">
        <w:rPr>
          <w:rFonts w:cs="Sylfaen"/>
          <w:b w:val="0"/>
          <w:iCs/>
          <w:szCs w:val="22"/>
          <w:lang w:val="af-ZA" w:eastAsia="en-GB"/>
        </w:rPr>
        <w:softHyphen/>
        <w:t>խատեսվում են շուրջ 6,675.2 մլն դրամ, 2021 թվականի համար ծրագրված 1,077.7 մլն դրամի և 2020 թվականին փաստացի ստացված 391.2 մլն դրամի դի</w:t>
      </w:r>
      <w:r w:rsidRPr="00A83C94">
        <w:rPr>
          <w:rFonts w:cs="Sylfaen"/>
          <w:b w:val="0"/>
          <w:iCs/>
          <w:szCs w:val="22"/>
          <w:lang w:val="af-ZA" w:eastAsia="en-GB"/>
        </w:rPr>
        <w:softHyphen/>
      </w:r>
      <w:r w:rsidRPr="00A83C94">
        <w:rPr>
          <w:rFonts w:cs="Sylfaen"/>
          <w:b w:val="0"/>
          <w:iCs/>
          <w:szCs w:val="22"/>
          <w:lang w:val="af-ZA" w:eastAsia="en-GB"/>
        </w:rPr>
        <w:softHyphen/>
        <w:t>մաց: Կան</w:t>
      </w:r>
      <w:r w:rsidRPr="00A83C94">
        <w:rPr>
          <w:rFonts w:cs="Sylfaen"/>
          <w:b w:val="0"/>
          <w:iCs/>
          <w:szCs w:val="22"/>
          <w:lang w:val="af-ZA" w:eastAsia="en-GB"/>
        </w:rPr>
        <w:softHyphen/>
      </w:r>
      <w:r w:rsidRPr="00A83C94">
        <w:rPr>
          <w:rFonts w:cs="Sylfaen"/>
          <w:b w:val="0"/>
          <w:iCs/>
          <w:szCs w:val="22"/>
          <w:lang w:val="af-ZA" w:eastAsia="en-GB"/>
        </w:rPr>
        <w:softHyphen/>
        <w:t>խա</w:t>
      </w:r>
      <w:r w:rsidRPr="00A83C94">
        <w:rPr>
          <w:rFonts w:cs="Sylfaen"/>
          <w:b w:val="0"/>
          <w:iCs/>
          <w:szCs w:val="22"/>
          <w:lang w:val="af-ZA" w:eastAsia="en-GB"/>
        </w:rPr>
        <w:softHyphen/>
        <w:t>տե</w:t>
      </w:r>
      <w:r w:rsidRPr="00A83C94">
        <w:rPr>
          <w:rFonts w:cs="Sylfaen"/>
          <w:b w:val="0"/>
          <w:iCs/>
          <w:szCs w:val="22"/>
          <w:lang w:val="af-ZA" w:eastAsia="en-GB"/>
        </w:rPr>
        <w:softHyphen/>
      </w:r>
      <w:r w:rsidRPr="00A83C94">
        <w:rPr>
          <w:rFonts w:cs="Sylfaen"/>
          <w:b w:val="0"/>
          <w:iCs/>
          <w:szCs w:val="22"/>
          <w:lang w:val="af-ZA" w:eastAsia="en-GB"/>
        </w:rPr>
        <w:softHyphen/>
        <w:t>սում</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րում հիմք են ընդունվել պետական կա</w:t>
      </w:r>
      <w:r w:rsidRPr="00A83C94">
        <w:rPr>
          <w:rFonts w:cs="Sylfaen"/>
          <w:b w:val="0"/>
          <w:iCs/>
          <w:szCs w:val="22"/>
          <w:lang w:val="af-ZA" w:eastAsia="en-GB"/>
        </w:rPr>
        <w:softHyphen/>
        <w:t>ռա</w:t>
      </w:r>
      <w:r w:rsidRPr="00A83C94">
        <w:rPr>
          <w:rFonts w:cs="Sylfaen"/>
          <w:b w:val="0"/>
          <w:iCs/>
          <w:szCs w:val="22"/>
          <w:lang w:val="af-ZA" w:eastAsia="en-GB"/>
        </w:rPr>
        <w:softHyphen/>
        <w:t>վար</w:t>
      </w:r>
      <w:r w:rsidRPr="00A83C94">
        <w:rPr>
          <w:rFonts w:cs="Sylfaen"/>
          <w:b w:val="0"/>
          <w:iCs/>
          <w:szCs w:val="22"/>
          <w:lang w:val="af-ZA" w:eastAsia="en-GB"/>
        </w:rPr>
        <w:softHyphen/>
        <w:t>ման մար</w:t>
      </w:r>
      <w:r w:rsidRPr="00A83C94">
        <w:rPr>
          <w:rFonts w:cs="Sylfaen"/>
          <w:b w:val="0"/>
          <w:iCs/>
          <w:szCs w:val="22"/>
          <w:lang w:val="af-ZA" w:eastAsia="en-GB"/>
        </w:rPr>
        <w:softHyphen/>
        <w:t>մին</w:t>
      </w:r>
      <w:r w:rsidRPr="00A83C94">
        <w:rPr>
          <w:rFonts w:cs="Sylfaen"/>
          <w:b w:val="0"/>
          <w:iCs/>
          <w:szCs w:val="22"/>
          <w:lang w:val="af-ZA" w:eastAsia="en-GB"/>
        </w:rPr>
        <w:softHyphen/>
        <w:t>ների կող</w:t>
      </w:r>
      <w:r w:rsidRPr="00A83C94">
        <w:rPr>
          <w:rFonts w:cs="Sylfaen"/>
          <w:b w:val="0"/>
          <w:iCs/>
          <w:szCs w:val="22"/>
          <w:lang w:val="af-ZA" w:eastAsia="en-GB"/>
        </w:rPr>
        <w:softHyphen/>
      </w:r>
      <w:r w:rsidRPr="00A83C94">
        <w:rPr>
          <w:rFonts w:cs="Sylfaen"/>
          <w:b w:val="0"/>
          <w:iCs/>
          <w:szCs w:val="22"/>
          <w:lang w:val="af-ZA" w:eastAsia="en-GB"/>
        </w:rPr>
        <w:softHyphen/>
        <w:t>մից ներ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t>յաց</w:t>
      </w:r>
      <w:r w:rsidRPr="00A83C94">
        <w:rPr>
          <w:rFonts w:cs="Sylfaen"/>
          <w:b w:val="0"/>
          <w:iCs/>
          <w:szCs w:val="22"/>
          <w:lang w:val="af-ZA" w:eastAsia="en-GB"/>
        </w:rPr>
        <w:softHyphen/>
      </w:r>
      <w:r w:rsidRPr="00A83C94">
        <w:rPr>
          <w:rFonts w:cs="Sylfaen"/>
          <w:b w:val="0"/>
          <w:iCs/>
          <w:szCs w:val="22"/>
          <w:lang w:val="af-ZA" w:eastAsia="en-GB"/>
        </w:rPr>
        <w:softHyphen/>
        <w:t>ված տե</w:t>
      </w:r>
      <w:r w:rsidRPr="00A83C94">
        <w:rPr>
          <w:rFonts w:cs="Sylfaen"/>
          <w:b w:val="0"/>
          <w:iCs/>
          <w:szCs w:val="22"/>
          <w:lang w:val="af-ZA" w:eastAsia="en-GB"/>
        </w:rPr>
        <w:softHyphen/>
        <w:t>ղե</w:t>
      </w:r>
      <w:r w:rsidRPr="00A83C94">
        <w:rPr>
          <w:rFonts w:cs="Sylfaen"/>
          <w:b w:val="0"/>
          <w:iCs/>
          <w:szCs w:val="22"/>
          <w:lang w:val="af-ZA" w:eastAsia="en-GB"/>
        </w:rPr>
        <w:softHyphen/>
        <w:t>կու</w:t>
      </w:r>
      <w:r w:rsidRPr="00A83C94">
        <w:rPr>
          <w:rFonts w:cs="Sylfaen"/>
          <w:b w:val="0"/>
          <w:iCs/>
          <w:szCs w:val="22"/>
          <w:lang w:val="af-ZA" w:eastAsia="en-GB"/>
        </w:rPr>
        <w:softHyphen/>
        <w:t>թյուն</w:t>
      </w:r>
      <w:r w:rsidRPr="00A83C94">
        <w:rPr>
          <w:rFonts w:cs="Sylfaen"/>
          <w:b w:val="0"/>
          <w:iCs/>
          <w:szCs w:val="22"/>
          <w:lang w:val="af-ZA" w:eastAsia="en-GB"/>
        </w:rPr>
        <w:softHyphen/>
        <w:t>նե</w:t>
      </w:r>
      <w:r w:rsidRPr="00A83C94">
        <w:rPr>
          <w:rFonts w:cs="Sylfaen"/>
          <w:b w:val="0"/>
          <w:iCs/>
          <w:szCs w:val="22"/>
          <w:lang w:val="af-ZA" w:eastAsia="en-GB"/>
        </w:rPr>
        <w:softHyphen/>
        <w:t>րը վարձակալական պայ</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t>գրերի հա</w:t>
      </w:r>
      <w:r w:rsidRPr="00A83C94">
        <w:rPr>
          <w:rFonts w:cs="Sylfaen"/>
          <w:b w:val="0"/>
          <w:iCs/>
          <w:szCs w:val="22"/>
          <w:lang w:val="af-ZA" w:eastAsia="en-GB"/>
        </w:rPr>
        <w:softHyphen/>
      </w:r>
      <w:r w:rsidRPr="00A83C94">
        <w:rPr>
          <w:rFonts w:cs="Sylfaen"/>
          <w:b w:val="0"/>
          <w:iCs/>
          <w:szCs w:val="22"/>
          <w:lang w:val="af-ZA" w:eastAsia="en-GB"/>
        </w:rPr>
        <w:softHyphen/>
        <w:t>մա</w:t>
      </w:r>
      <w:r w:rsidRPr="00A83C94">
        <w:rPr>
          <w:rFonts w:cs="Sylfaen"/>
          <w:b w:val="0"/>
          <w:iCs/>
          <w:szCs w:val="22"/>
          <w:lang w:val="af-ZA" w:eastAsia="en-GB"/>
        </w:rPr>
        <w:softHyphen/>
        <w:t>ձայն 2022 թվա</w:t>
      </w:r>
      <w:r w:rsidRPr="00A83C94">
        <w:rPr>
          <w:rFonts w:cs="Sylfaen"/>
          <w:b w:val="0"/>
          <w:iCs/>
          <w:szCs w:val="22"/>
          <w:lang w:val="af-ZA" w:eastAsia="en-GB"/>
        </w:rPr>
        <w:softHyphen/>
        <w:t>կան</w:t>
      </w:r>
      <w:r w:rsidRPr="00A83C94">
        <w:rPr>
          <w:rFonts w:cs="Sylfaen"/>
          <w:b w:val="0"/>
          <w:iCs/>
          <w:szCs w:val="22"/>
          <w:lang w:val="af-ZA" w:eastAsia="en-GB"/>
        </w:rPr>
        <w:softHyphen/>
        <w:t>ներին վճար</w:t>
      </w:r>
      <w:r w:rsidRPr="00A83C94">
        <w:rPr>
          <w:rFonts w:cs="Sylfaen"/>
          <w:b w:val="0"/>
          <w:iCs/>
          <w:szCs w:val="22"/>
          <w:lang w:val="af-ZA" w:eastAsia="en-GB"/>
        </w:rPr>
        <w:softHyphen/>
        <w:t>վե</w:t>
      </w:r>
      <w:r w:rsidRPr="00A83C94">
        <w:rPr>
          <w:rFonts w:cs="Sylfaen"/>
          <w:b w:val="0"/>
          <w:iCs/>
          <w:szCs w:val="22"/>
          <w:lang w:val="af-ZA" w:eastAsia="en-GB"/>
        </w:rPr>
        <w:softHyphen/>
      </w:r>
      <w:r w:rsidRPr="00A83C94">
        <w:rPr>
          <w:rFonts w:cs="Sylfaen"/>
          <w:b w:val="0"/>
          <w:iCs/>
          <w:szCs w:val="22"/>
          <w:lang w:val="af-ZA" w:eastAsia="en-GB"/>
        </w:rPr>
        <w:softHyphen/>
        <w:t>լիք վար</w:t>
      </w:r>
      <w:r w:rsidRPr="00A83C94">
        <w:rPr>
          <w:rFonts w:cs="Sylfaen"/>
          <w:b w:val="0"/>
          <w:iCs/>
          <w:szCs w:val="22"/>
          <w:lang w:val="af-ZA" w:eastAsia="en-GB"/>
        </w:rPr>
        <w:softHyphen/>
        <w:t>ձա</w:t>
      </w:r>
      <w:r w:rsidRPr="00A83C94">
        <w:rPr>
          <w:rFonts w:cs="Sylfaen"/>
          <w:b w:val="0"/>
          <w:iCs/>
          <w:szCs w:val="22"/>
          <w:lang w:val="af-ZA" w:eastAsia="en-GB"/>
        </w:rPr>
        <w:softHyphen/>
        <w:t>վճար</w:t>
      </w:r>
      <w:r w:rsidRPr="00A83C94">
        <w:rPr>
          <w:rFonts w:cs="Sylfaen"/>
          <w:b w:val="0"/>
          <w:iCs/>
          <w:szCs w:val="22"/>
          <w:lang w:val="af-ZA" w:eastAsia="en-GB"/>
        </w:rPr>
        <w:softHyphen/>
        <w:t>ների վե</w:t>
      </w:r>
      <w:r w:rsidRPr="00A83C94">
        <w:rPr>
          <w:rFonts w:cs="Sylfaen"/>
          <w:b w:val="0"/>
          <w:iCs/>
          <w:szCs w:val="22"/>
          <w:lang w:val="af-ZA" w:eastAsia="en-GB"/>
        </w:rPr>
        <w:softHyphen/>
        <w:t>րա</w:t>
      </w:r>
      <w:r w:rsidRPr="00A83C94">
        <w:rPr>
          <w:rFonts w:cs="Sylfaen"/>
          <w:b w:val="0"/>
          <w:iCs/>
          <w:szCs w:val="22"/>
          <w:lang w:val="af-ZA" w:eastAsia="en-GB"/>
        </w:rPr>
        <w:softHyphen/>
        <w:t>բեր</w:t>
      </w:r>
      <w:r w:rsidRPr="00A83C94">
        <w:rPr>
          <w:rFonts w:cs="Sylfaen"/>
          <w:b w:val="0"/>
          <w:iCs/>
          <w:szCs w:val="22"/>
          <w:lang w:val="af-ZA" w:eastAsia="en-GB"/>
        </w:rPr>
        <w:softHyphen/>
      </w:r>
      <w:r w:rsidRPr="00A83C94">
        <w:rPr>
          <w:rFonts w:cs="Sylfaen"/>
          <w:b w:val="0"/>
          <w:iCs/>
          <w:szCs w:val="22"/>
          <w:lang w:val="af-ZA" w:eastAsia="en-GB"/>
        </w:rPr>
        <w:softHyphen/>
        <w:t>յալ, ինչ</w:t>
      </w:r>
      <w:r w:rsidRPr="00A83C94">
        <w:rPr>
          <w:rFonts w:cs="Sylfaen"/>
          <w:b w:val="0"/>
          <w:iCs/>
          <w:szCs w:val="22"/>
          <w:lang w:val="af-ZA" w:eastAsia="en-GB"/>
        </w:rPr>
        <w:softHyphen/>
        <w:t>պես նաև հա</w:t>
      </w:r>
      <w:r w:rsidRPr="00A83C94">
        <w:rPr>
          <w:rFonts w:cs="Sylfaen"/>
          <w:b w:val="0"/>
          <w:iCs/>
          <w:szCs w:val="22"/>
          <w:lang w:val="af-ZA" w:eastAsia="en-GB"/>
        </w:rPr>
        <w:softHyphen/>
        <w:t>մա</w:t>
      </w:r>
      <w:r w:rsidRPr="00A83C94">
        <w:rPr>
          <w:rFonts w:cs="Sylfaen"/>
          <w:b w:val="0"/>
          <w:iCs/>
          <w:szCs w:val="22"/>
          <w:lang w:val="af-ZA" w:eastAsia="en-GB"/>
        </w:rPr>
        <w:softHyphen/>
        <w:t>պա</w:t>
      </w:r>
      <w:r w:rsidRPr="00A83C94">
        <w:rPr>
          <w:rFonts w:cs="Sylfaen"/>
          <w:b w:val="0"/>
          <w:iCs/>
          <w:szCs w:val="22"/>
          <w:lang w:val="af-ZA" w:eastAsia="en-GB"/>
        </w:rPr>
        <w:softHyphen/>
        <w:t>տաս</w:t>
      </w:r>
      <w:r w:rsidRPr="00A83C94">
        <w:rPr>
          <w:rFonts w:cs="Sylfaen"/>
          <w:b w:val="0"/>
          <w:iCs/>
          <w:szCs w:val="22"/>
          <w:lang w:val="af-ZA" w:eastAsia="en-GB"/>
        </w:rPr>
        <w:softHyphen/>
        <w:t xml:space="preserve">խան </w:t>
      </w:r>
      <w:r w:rsidRPr="00A83C94">
        <w:rPr>
          <w:rFonts w:cs="Sylfaen"/>
          <w:b w:val="0"/>
          <w:iCs/>
          <w:szCs w:val="22"/>
          <w:lang w:val="af-ZA" w:eastAsia="en-GB"/>
        </w:rPr>
        <w:softHyphen/>
        <w:t>բյու</w:t>
      </w:r>
      <w:r w:rsidRPr="00A83C94">
        <w:rPr>
          <w:rFonts w:cs="Sylfaen"/>
          <w:b w:val="0"/>
          <w:iCs/>
          <w:szCs w:val="22"/>
          <w:lang w:val="af-ZA" w:eastAsia="en-GB"/>
        </w:rPr>
        <w:softHyphen/>
        <w:t>ջե</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յին փաստացի մուտ</w:t>
      </w:r>
      <w:r w:rsidRPr="00A83C94">
        <w:rPr>
          <w:rFonts w:cs="Sylfaen"/>
          <w:b w:val="0"/>
          <w:iCs/>
          <w:szCs w:val="22"/>
          <w:lang w:val="af-ZA" w:eastAsia="en-GB"/>
        </w:rPr>
        <w:softHyphen/>
        <w:t>քերի գծով գան</w:t>
      </w:r>
      <w:r w:rsidRPr="00A83C94">
        <w:rPr>
          <w:rFonts w:cs="Sylfaen"/>
          <w:b w:val="0"/>
          <w:iCs/>
          <w:szCs w:val="22"/>
          <w:lang w:val="af-ZA" w:eastAsia="en-GB"/>
        </w:rPr>
        <w:softHyphen/>
      </w:r>
      <w:r w:rsidRPr="00A83C94">
        <w:rPr>
          <w:rFonts w:cs="Sylfaen"/>
          <w:b w:val="0"/>
          <w:iCs/>
          <w:szCs w:val="22"/>
          <w:lang w:val="af-ZA" w:eastAsia="en-GB"/>
        </w:rPr>
        <w:softHyphen/>
        <w:t>ձա</w:t>
      </w:r>
      <w:r w:rsidRPr="00A83C94">
        <w:rPr>
          <w:rFonts w:cs="Sylfaen"/>
          <w:b w:val="0"/>
          <w:iCs/>
          <w:szCs w:val="22"/>
          <w:lang w:val="af-ZA" w:eastAsia="en-GB"/>
        </w:rPr>
        <w:softHyphen/>
        <w:t>պե</w:t>
      </w:r>
      <w:r w:rsidRPr="00A83C94">
        <w:rPr>
          <w:rFonts w:cs="Sylfaen"/>
          <w:b w:val="0"/>
          <w:iCs/>
          <w:szCs w:val="22"/>
          <w:lang w:val="af-ZA" w:eastAsia="en-GB"/>
        </w:rPr>
        <w:softHyphen/>
        <w:t>տա</w:t>
      </w:r>
      <w:r w:rsidRPr="00A83C94">
        <w:rPr>
          <w:rFonts w:cs="Sylfaen"/>
          <w:b w:val="0"/>
          <w:iCs/>
          <w:szCs w:val="22"/>
          <w:lang w:val="af-ZA" w:eastAsia="en-GB"/>
        </w:rPr>
        <w:softHyphen/>
        <w:t>կան տվյալները:</w:t>
      </w:r>
    </w:p>
    <w:p w14:paraId="0244C95B"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Բանկերում և ֆինանսավարկային հաստատություններում գանձապետական միաս</w:t>
      </w:r>
      <w:r w:rsidRPr="00A83C94">
        <w:rPr>
          <w:rFonts w:cs="Sylfaen"/>
          <w:b w:val="0"/>
          <w:iCs/>
          <w:szCs w:val="22"/>
          <w:lang w:val="af-ZA" w:eastAsia="en-GB"/>
        </w:rPr>
        <w:softHyphen/>
        <w:t>նա</w:t>
      </w:r>
      <w:r w:rsidRPr="00A83C94">
        <w:rPr>
          <w:rFonts w:cs="Sylfaen"/>
          <w:b w:val="0"/>
          <w:iCs/>
          <w:szCs w:val="22"/>
          <w:lang w:val="af-ZA" w:eastAsia="en-GB"/>
        </w:rPr>
        <w:softHyphen/>
      </w:r>
      <w:r w:rsidRPr="00A83C94">
        <w:rPr>
          <w:rFonts w:cs="Sylfaen"/>
          <w:b w:val="0"/>
          <w:iCs/>
          <w:szCs w:val="22"/>
          <w:lang w:val="af-ZA" w:eastAsia="en-GB"/>
        </w:rPr>
        <w:softHyphen/>
        <w:t>կան հաշ</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վի ժա</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r>
      <w:r w:rsidRPr="00A83C94">
        <w:rPr>
          <w:rFonts w:cs="Sylfaen"/>
          <w:b w:val="0"/>
          <w:iCs/>
          <w:szCs w:val="22"/>
          <w:lang w:val="af-ZA" w:eastAsia="en-GB"/>
        </w:rPr>
        <w:softHyphen/>
        <w:t>կավոր ազատ միջոցների տեղաբաշխումից և դեպոզիտներից ստաց</w:t>
      </w:r>
      <w:r w:rsidRPr="00A83C94">
        <w:rPr>
          <w:rFonts w:cs="Sylfaen"/>
          <w:b w:val="0"/>
          <w:iCs/>
          <w:szCs w:val="22"/>
          <w:lang w:val="af-ZA" w:eastAsia="en-GB"/>
        </w:rPr>
        <w:softHyphen/>
        <w:t>վող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րից, իրավաբանական անձանց կապիտալում կատարված ներ</w:t>
      </w:r>
      <w:r w:rsidRPr="00A83C94">
        <w:rPr>
          <w:rFonts w:cs="Sylfaen"/>
          <w:b w:val="0"/>
          <w:iCs/>
          <w:szCs w:val="22"/>
          <w:lang w:val="af-ZA" w:eastAsia="en-GB"/>
        </w:rPr>
        <w:softHyphen/>
        <w:t>դրում</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րից ստաց</w:t>
      </w:r>
      <w:r w:rsidRPr="00A83C94">
        <w:rPr>
          <w:rFonts w:cs="Sylfaen"/>
          <w:b w:val="0"/>
          <w:iCs/>
          <w:szCs w:val="22"/>
          <w:lang w:val="af-ZA" w:eastAsia="en-GB"/>
        </w:rPr>
        <w:softHyphen/>
        <w:t>վող շա</w:t>
      </w:r>
      <w:r w:rsidRPr="00A83C94">
        <w:rPr>
          <w:rFonts w:cs="Sylfaen"/>
          <w:b w:val="0"/>
          <w:iCs/>
          <w:szCs w:val="22"/>
          <w:lang w:val="af-ZA" w:eastAsia="en-GB"/>
        </w:rPr>
        <w:softHyphen/>
        <w:t>հա</w:t>
      </w:r>
      <w:r w:rsidRPr="00A83C94">
        <w:rPr>
          <w:rFonts w:cs="Sylfaen"/>
          <w:b w:val="0"/>
          <w:iCs/>
          <w:szCs w:val="22"/>
          <w:lang w:val="af-ZA" w:eastAsia="en-GB"/>
        </w:rPr>
        <w:softHyphen/>
      </w:r>
      <w:r w:rsidRPr="00A83C94">
        <w:rPr>
          <w:rFonts w:cs="Sylfaen"/>
          <w:b w:val="0"/>
          <w:iCs/>
          <w:szCs w:val="22"/>
          <w:lang w:val="af-ZA" w:eastAsia="en-GB"/>
        </w:rPr>
        <w:softHyphen/>
        <w:t>բա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ժիններից 2022 թվականին ակնկալվում են 14,137.9 մլն դրամի չափով մուտ</w:t>
      </w:r>
      <w:r w:rsidRPr="00A83C94">
        <w:rPr>
          <w:rFonts w:cs="Sylfaen"/>
          <w:b w:val="0"/>
          <w:iCs/>
          <w:szCs w:val="22"/>
          <w:lang w:val="af-ZA" w:eastAsia="en-GB"/>
        </w:rPr>
        <w:softHyphen/>
        <w:t>քեր: Մաս</w:t>
      </w:r>
      <w:r w:rsidRPr="00A83C94">
        <w:rPr>
          <w:rFonts w:cs="Sylfaen"/>
          <w:b w:val="0"/>
          <w:iCs/>
          <w:szCs w:val="22"/>
          <w:lang w:val="af-ZA" w:eastAsia="en-GB"/>
        </w:rPr>
        <w:softHyphen/>
        <w:t>նա</w:t>
      </w:r>
      <w:r w:rsidRPr="00A83C94">
        <w:rPr>
          <w:rFonts w:cs="Sylfaen"/>
          <w:b w:val="0"/>
          <w:iCs/>
          <w:szCs w:val="22"/>
          <w:lang w:val="af-ZA" w:eastAsia="en-GB"/>
        </w:rPr>
        <w:softHyphen/>
        <w:t>վո</w:t>
      </w:r>
      <w:r w:rsidRPr="00A83C94">
        <w:rPr>
          <w:rFonts w:cs="Sylfaen"/>
          <w:b w:val="0"/>
          <w:iCs/>
          <w:szCs w:val="22"/>
          <w:lang w:val="af-ZA" w:eastAsia="en-GB"/>
        </w:rPr>
        <w:softHyphen/>
        <w:t>րա</w:t>
      </w:r>
      <w:r w:rsidRPr="00A83C94">
        <w:rPr>
          <w:rFonts w:cs="Sylfaen"/>
          <w:b w:val="0"/>
          <w:iCs/>
          <w:szCs w:val="22"/>
          <w:lang w:val="af-ZA" w:eastAsia="en-GB"/>
        </w:rPr>
        <w:softHyphen/>
        <w:t>պես.</w:t>
      </w:r>
    </w:p>
    <w:p w14:paraId="23ED498E"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Բանկերում և ֆինանսավարկային հաստատություններում պետական բյուջեի ժա</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t>վոր ազատ միջոցների տեղաբաշխումից և դեպոզիտներից ստաց</w:t>
      </w:r>
      <w:r w:rsidRPr="00A83C94">
        <w:rPr>
          <w:rFonts w:cs="Sylfaen"/>
          <w:b w:val="0"/>
          <w:iCs/>
          <w:szCs w:val="22"/>
          <w:lang w:val="af-ZA" w:eastAsia="en-GB"/>
        </w:rPr>
        <w:softHyphen/>
        <w:t>վող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t>նե</w:t>
      </w:r>
      <w:r w:rsidRPr="00A83C94">
        <w:rPr>
          <w:rFonts w:cs="Sylfaen"/>
          <w:b w:val="0"/>
          <w:iCs/>
          <w:szCs w:val="22"/>
          <w:lang w:val="af-ZA" w:eastAsia="en-GB"/>
        </w:rPr>
        <w:softHyphen/>
      </w:r>
      <w:r w:rsidRPr="00A83C94">
        <w:rPr>
          <w:rFonts w:cs="Sylfaen"/>
          <w:b w:val="0"/>
          <w:iCs/>
          <w:szCs w:val="22"/>
          <w:lang w:val="af-ZA" w:eastAsia="en-GB"/>
        </w:rPr>
        <w:softHyphen/>
        <w:t>րի գծով մուտ</w:t>
      </w:r>
      <w:r w:rsidRPr="00A83C94">
        <w:rPr>
          <w:rFonts w:cs="Sylfaen"/>
          <w:b w:val="0"/>
          <w:iCs/>
          <w:szCs w:val="22"/>
          <w:lang w:val="af-ZA" w:eastAsia="en-GB"/>
        </w:rPr>
        <w:softHyphen/>
      </w:r>
      <w:r w:rsidRPr="00A83C94">
        <w:rPr>
          <w:rFonts w:cs="Sylfaen"/>
          <w:b w:val="0"/>
          <w:iCs/>
          <w:szCs w:val="22"/>
          <w:lang w:val="af-ZA" w:eastAsia="en-GB"/>
        </w:rPr>
        <w:softHyphen/>
        <w:t>քերը ծրագրվել են 13,100.0 մլն դրամ` 2021 թվա</w:t>
      </w:r>
      <w:r w:rsidRPr="00A83C94">
        <w:rPr>
          <w:rFonts w:cs="Sylfaen"/>
          <w:b w:val="0"/>
          <w:iCs/>
          <w:szCs w:val="22"/>
          <w:lang w:val="af-ZA" w:eastAsia="en-GB"/>
        </w:rPr>
        <w:softHyphen/>
        <w:t>կանի համար ծրագրված 4,923.0 մլն դրա</w:t>
      </w:r>
      <w:r w:rsidRPr="00A83C94">
        <w:rPr>
          <w:rFonts w:cs="Sylfaen"/>
          <w:b w:val="0"/>
          <w:iCs/>
          <w:szCs w:val="22"/>
          <w:lang w:val="af-ZA" w:eastAsia="en-GB"/>
        </w:rPr>
        <w:softHyphen/>
        <w:t>մի և 2020 թվականի փաս</w:t>
      </w:r>
      <w:r w:rsidRPr="00A83C94">
        <w:rPr>
          <w:rFonts w:cs="Sylfaen"/>
          <w:b w:val="0"/>
          <w:iCs/>
          <w:szCs w:val="22"/>
          <w:lang w:val="af-ZA" w:eastAsia="en-GB"/>
        </w:rPr>
        <w:softHyphen/>
        <w:t>տացի ստաց</w:t>
      </w:r>
      <w:r w:rsidRPr="00A83C94">
        <w:rPr>
          <w:rFonts w:cs="Sylfaen"/>
          <w:b w:val="0"/>
          <w:iCs/>
          <w:szCs w:val="22"/>
          <w:lang w:val="af-ZA" w:eastAsia="en-GB"/>
        </w:rPr>
        <w:softHyphen/>
        <w:t>ված 17,099.6 մլն դրա</w:t>
      </w:r>
      <w:r w:rsidRPr="00A83C94">
        <w:rPr>
          <w:rFonts w:cs="Sylfaen"/>
          <w:b w:val="0"/>
          <w:iCs/>
          <w:szCs w:val="22"/>
          <w:lang w:val="af-ZA" w:eastAsia="en-GB"/>
        </w:rPr>
        <w:softHyphen/>
      </w:r>
      <w:r w:rsidRPr="00A83C94">
        <w:rPr>
          <w:rFonts w:cs="Sylfaen"/>
          <w:b w:val="0"/>
          <w:iCs/>
          <w:szCs w:val="22"/>
          <w:lang w:val="af-ZA" w:eastAsia="en-GB"/>
        </w:rPr>
        <w:softHyphen/>
        <w:t>մի դի</w:t>
      </w:r>
      <w:r w:rsidRPr="00A83C94">
        <w:rPr>
          <w:rFonts w:cs="Sylfaen"/>
          <w:b w:val="0"/>
          <w:iCs/>
          <w:szCs w:val="22"/>
          <w:lang w:val="af-ZA" w:eastAsia="en-GB"/>
        </w:rPr>
        <w:softHyphen/>
        <w:t>մաց: 2022 թվա</w:t>
      </w:r>
      <w:r w:rsidRPr="00A83C94">
        <w:rPr>
          <w:rFonts w:cs="Sylfaen"/>
          <w:b w:val="0"/>
          <w:iCs/>
          <w:szCs w:val="22"/>
          <w:lang w:val="af-ZA" w:eastAsia="en-GB"/>
        </w:rPr>
        <w:softHyphen/>
        <w:t>կանի մուտքերն ա</w:t>
      </w:r>
      <w:r w:rsidRPr="00A83C94">
        <w:rPr>
          <w:rFonts w:cs="Sylfaen"/>
          <w:b w:val="0"/>
          <w:iCs/>
          <w:szCs w:val="22"/>
          <w:lang w:val="af-ZA" w:eastAsia="en-GB"/>
        </w:rPr>
        <w:softHyphen/>
        <w:t>պա</w:t>
      </w:r>
      <w:r w:rsidRPr="00A83C94">
        <w:rPr>
          <w:rFonts w:cs="Sylfaen"/>
          <w:b w:val="0"/>
          <w:iCs/>
          <w:szCs w:val="22"/>
          <w:lang w:val="af-ZA" w:eastAsia="en-GB"/>
        </w:rPr>
        <w:softHyphen/>
        <w:t>հովվելու են հիմնականում ի հա</w:t>
      </w:r>
      <w:r w:rsidRPr="00A83C94">
        <w:rPr>
          <w:rFonts w:cs="Sylfaen"/>
          <w:b w:val="0"/>
          <w:iCs/>
          <w:szCs w:val="22"/>
          <w:lang w:val="af-ZA" w:eastAsia="en-GB"/>
        </w:rPr>
        <w:softHyphen/>
      </w:r>
      <w:r w:rsidRPr="00A83C94">
        <w:rPr>
          <w:rFonts w:cs="Sylfaen"/>
          <w:b w:val="0"/>
          <w:iCs/>
          <w:szCs w:val="22"/>
          <w:lang w:val="af-ZA" w:eastAsia="en-GB"/>
        </w:rPr>
        <w:softHyphen/>
        <w:t>շիվ ժա</w:t>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t>կա</w:t>
      </w:r>
      <w:r w:rsidRPr="00A83C94">
        <w:rPr>
          <w:rFonts w:cs="Sylfaen"/>
          <w:b w:val="0"/>
          <w:iCs/>
          <w:szCs w:val="22"/>
          <w:lang w:val="af-ZA" w:eastAsia="en-GB"/>
        </w:rPr>
        <w:softHyphen/>
        <w:t>վորապես ազատ բյուջետային մի</w:t>
      </w:r>
      <w:r w:rsidRPr="00A83C94">
        <w:rPr>
          <w:rFonts w:cs="Sylfaen"/>
          <w:b w:val="0"/>
          <w:iCs/>
          <w:szCs w:val="22"/>
          <w:lang w:val="af-ZA" w:eastAsia="en-GB"/>
        </w:rPr>
        <w:softHyphen/>
        <w:t>ջոցները ՀՀ կենտ</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րոնական բանկում ավան</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դա</w:t>
      </w:r>
      <w:r w:rsidRPr="00A83C94">
        <w:rPr>
          <w:rFonts w:cs="Sylfaen"/>
          <w:b w:val="0"/>
          <w:iCs/>
          <w:szCs w:val="22"/>
          <w:lang w:val="af-ZA" w:eastAsia="en-GB"/>
        </w:rPr>
        <w:softHyphen/>
        <w:t>դնե</w:t>
      </w:r>
      <w:r w:rsidRPr="00A83C94">
        <w:rPr>
          <w:rFonts w:cs="Sylfaen"/>
          <w:b w:val="0"/>
          <w:iCs/>
          <w:szCs w:val="22"/>
          <w:lang w:val="af-ZA" w:eastAsia="en-GB"/>
        </w:rPr>
        <w:softHyphen/>
        <w:t>լու դիմաց ՀՀ կեն</w:t>
      </w:r>
      <w:r w:rsidRPr="00A83C94">
        <w:rPr>
          <w:rFonts w:cs="Sylfaen"/>
          <w:b w:val="0"/>
          <w:iCs/>
          <w:szCs w:val="22"/>
          <w:lang w:val="af-ZA" w:eastAsia="en-GB"/>
        </w:rPr>
        <w:softHyphen/>
        <w:t>տ</w:t>
      </w:r>
      <w:r w:rsidRPr="00A83C94">
        <w:rPr>
          <w:rFonts w:cs="Sylfaen"/>
          <w:b w:val="0"/>
          <w:iCs/>
          <w:szCs w:val="22"/>
          <w:lang w:val="af-ZA" w:eastAsia="en-GB"/>
        </w:rPr>
        <w:softHyphen/>
        <w:t>րո</w:t>
      </w:r>
      <w:r w:rsidRPr="00A83C94">
        <w:rPr>
          <w:rFonts w:cs="Sylfaen"/>
          <w:b w:val="0"/>
          <w:iCs/>
          <w:szCs w:val="22"/>
          <w:lang w:val="af-ZA" w:eastAsia="en-GB"/>
        </w:rPr>
        <w:softHyphen/>
        <w:t>նական բանկի և ՀՀ ֆի</w:t>
      </w:r>
      <w:r w:rsidRPr="00A83C94">
        <w:rPr>
          <w:rFonts w:cs="Sylfaen"/>
          <w:b w:val="0"/>
          <w:iCs/>
          <w:szCs w:val="22"/>
          <w:lang w:val="af-ZA" w:eastAsia="en-GB"/>
        </w:rPr>
        <w:softHyphen/>
        <w:t>նանս</w:t>
      </w:r>
      <w:r w:rsidRPr="00A83C94">
        <w:rPr>
          <w:rFonts w:cs="Sylfaen"/>
          <w:b w:val="0"/>
          <w:iCs/>
          <w:szCs w:val="22"/>
          <w:lang w:val="af-ZA" w:eastAsia="en-GB"/>
        </w:rPr>
        <w:softHyphen/>
        <w:t>ների նա</w:t>
      </w:r>
      <w:r w:rsidRPr="00A83C94">
        <w:rPr>
          <w:rFonts w:cs="Sylfaen"/>
          <w:b w:val="0"/>
          <w:iCs/>
          <w:szCs w:val="22"/>
          <w:lang w:val="af-ZA" w:eastAsia="en-GB"/>
        </w:rPr>
        <w:softHyphen/>
        <w:t>խա</w:t>
      </w:r>
      <w:r w:rsidRPr="00A83C94">
        <w:rPr>
          <w:rFonts w:cs="Sylfaen"/>
          <w:b w:val="0"/>
          <w:iCs/>
          <w:szCs w:val="22"/>
          <w:lang w:val="af-ZA" w:eastAsia="en-GB"/>
        </w:rPr>
        <w:softHyphen/>
        <w:t>րարության միջև կնք</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ված «Հաշվի սպա</w:t>
      </w:r>
      <w:r w:rsidRPr="00A83C94">
        <w:rPr>
          <w:rFonts w:cs="Sylfaen"/>
          <w:b w:val="0"/>
          <w:iCs/>
          <w:szCs w:val="22"/>
          <w:lang w:val="af-ZA" w:eastAsia="en-GB"/>
        </w:rPr>
        <w:softHyphen/>
        <w:t>սարկման մա</w:t>
      </w:r>
      <w:r w:rsidRPr="00A83C94">
        <w:rPr>
          <w:rFonts w:cs="Sylfaen"/>
          <w:b w:val="0"/>
          <w:iCs/>
          <w:szCs w:val="22"/>
          <w:lang w:val="af-ZA" w:eastAsia="en-GB"/>
        </w:rPr>
        <w:softHyphen/>
      </w:r>
      <w:r w:rsidRPr="00A83C94">
        <w:rPr>
          <w:rFonts w:cs="Sylfaen"/>
          <w:b w:val="0"/>
          <w:iCs/>
          <w:szCs w:val="22"/>
          <w:lang w:val="af-ZA" w:eastAsia="en-GB"/>
        </w:rPr>
        <w:softHyphen/>
        <w:t>սին» պայ</w:t>
      </w:r>
      <w:r w:rsidRPr="00A83C94">
        <w:rPr>
          <w:rFonts w:cs="Sylfaen"/>
          <w:b w:val="0"/>
          <w:iCs/>
          <w:szCs w:val="22"/>
          <w:lang w:val="af-ZA" w:eastAsia="en-GB"/>
        </w:rPr>
        <w:softHyphen/>
        <w:t>մանագրի հիման վրա վճար</w:t>
      </w:r>
      <w:r w:rsidRPr="00A83C94">
        <w:rPr>
          <w:rFonts w:cs="Sylfaen"/>
          <w:b w:val="0"/>
          <w:iCs/>
          <w:szCs w:val="22"/>
          <w:lang w:val="af-ZA" w:eastAsia="en-GB"/>
        </w:rPr>
        <w:softHyphen/>
        <w:t>վե</w:t>
      </w:r>
      <w:r w:rsidRPr="00A83C94">
        <w:rPr>
          <w:rFonts w:cs="Sylfaen"/>
          <w:b w:val="0"/>
          <w:iCs/>
          <w:szCs w:val="22"/>
          <w:lang w:val="af-ZA" w:eastAsia="en-GB"/>
        </w:rPr>
        <w:softHyphen/>
        <w:t>լիք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ների:</w:t>
      </w:r>
    </w:p>
    <w:p w14:paraId="612B877B"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Իրավաբանական անձանց կապիտալում կատարված ներդրումներից ստացվող շա</w:t>
      </w:r>
      <w:r w:rsidRPr="00A83C94">
        <w:rPr>
          <w:rFonts w:cs="Sylfaen"/>
          <w:b w:val="0"/>
          <w:iCs/>
          <w:szCs w:val="22"/>
          <w:lang w:val="af-ZA" w:eastAsia="en-GB"/>
        </w:rPr>
        <w:softHyphen/>
        <w:t>հա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բա</w:t>
      </w:r>
      <w:r w:rsidRPr="00A83C94">
        <w:rPr>
          <w:rFonts w:cs="Sylfaen"/>
          <w:b w:val="0"/>
          <w:iCs/>
          <w:szCs w:val="22"/>
          <w:lang w:val="af-ZA" w:eastAsia="en-GB"/>
        </w:rPr>
        <w:softHyphen/>
        <w:t>ժին</w:t>
      </w:r>
      <w:r w:rsidRPr="00A83C94">
        <w:rPr>
          <w:rFonts w:cs="Sylfaen"/>
          <w:b w:val="0"/>
          <w:iCs/>
          <w:szCs w:val="22"/>
          <w:lang w:val="af-ZA" w:eastAsia="en-GB"/>
        </w:rPr>
        <w:softHyphen/>
      </w:r>
      <w:r w:rsidRPr="00A83C94">
        <w:rPr>
          <w:rFonts w:cs="Sylfaen"/>
          <w:b w:val="0"/>
          <w:iCs/>
          <w:szCs w:val="22"/>
          <w:lang w:val="af-ZA" w:eastAsia="en-GB"/>
        </w:rPr>
        <w:softHyphen/>
        <w:t>ներից 2022 թվականին ակնկալվում են 1,037.9 մլն դրամի չափով մուտքեր` 2021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r>
      <w:r w:rsidRPr="00A83C94">
        <w:rPr>
          <w:rFonts w:cs="Sylfaen"/>
          <w:b w:val="0"/>
          <w:iCs/>
          <w:szCs w:val="22"/>
          <w:lang w:val="af-ZA" w:eastAsia="en-GB"/>
        </w:rPr>
        <w:softHyphen/>
        <w:t>նի համար ծրագրված 1,134.2 մլն դրամի և 2020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ստացված 3,563.5 մլն դրամի դի</w:t>
      </w:r>
      <w:r w:rsidRPr="00A83C94">
        <w:rPr>
          <w:rFonts w:cs="Sylfaen"/>
          <w:b w:val="0"/>
          <w:iCs/>
          <w:szCs w:val="22"/>
          <w:lang w:val="af-ZA" w:eastAsia="en-GB"/>
        </w:rPr>
        <w:softHyphen/>
        <w:t>մաց: Շահաբաժինների գծով 2022 թվա</w:t>
      </w:r>
      <w:r w:rsidRPr="00A83C94">
        <w:rPr>
          <w:rFonts w:cs="Sylfaen"/>
          <w:b w:val="0"/>
          <w:iCs/>
          <w:szCs w:val="22"/>
          <w:lang w:val="af-ZA" w:eastAsia="en-GB"/>
        </w:rPr>
        <w:softHyphen/>
        <w:t>կանի կանխատեսվող մուտքերը ծրագ</w:t>
      </w:r>
      <w:r w:rsidRPr="00A83C94">
        <w:rPr>
          <w:rFonts w:cs="Sylfaen"/>
          <w:b w:val="0"/>
          <w:iCs/>
          <w:szCs w:val="22"/>
          <w:lang w:val="af-ZA" w:eastAsia="en-GB"/>
        </w:rPr>
        <w:softHyphen/>
        <w:t>րե</w:t>
      </w:r>
      <w:r w:rsidRPr="00A83C94">
        <w:rPr>
          <w:rFonts w:cs="Sylfaen"/>
          <w:b w:val="0"/>
          <w:iCs/>
          <w:szCs w:val="22"/>
          <w:lang w:val="af-ZA" w:eastAsia="en-GB"/>
        </w:rPr>
        <w:softHyphen/>
        <w:t>լիս հաշվի է առնվել ՀՀ կառավարության 2011 թվա</w:t>
      </w:r>
      <w:r w:rsidRPr="00A83C94">
        <w:rPr>
          <w:rFonts w:cs="Sylfaen"/>
          <w:b w:val="0"/>
          <w:iCs/>
          <w:szCs w:val="22"/>
          <w:lang w:val="af-ZA" w:eastAsia="en-GB"/>
        </w:rPr>
        <w:softHyphen/>
        <w:t>կանի մարտի 3-ի «Պետության սե</w:t>
      </w:r>
      <w:r w:rsidRPr="00A83C94">
        <w:rPr>
          <w:rFonts w:cs="Sylfaen"/>
          <w:b w:val="0"/>
          <w:iCs/>
          <w:szCs w:val="22"/>
          <w:lang w:val="af-ZA" w:eastAsia="en-GB"/>
        </w:rPr>
        <w:softHyphen/>
        <w:t>փա</w:t>
      </w:r>
      <w:r w:rsidRPr="00A83C94">
        <w:rPr>
          <w:rFonts w:cs="Sylfaen"/>
          <w:b w:val="0"/>
          <w:iCs/>
          <w:szCs w:val="22"/>
          <w:lang w:val="af-ZA" w:eastAsia="en-GB"/>
        </w:rPr>
        <w:softHyphen/>
        <w:t>կա</w:t>
      </w:r>
      <w:r w:rsidRPr="00A83C94">
        <w:rPr>
          <w:rFonts w:cs="Sylfaen"/>
          <w:b w:val="0"/>
          <w:iCs/>
          <w:szCs w:val="22"/>
          <w:lang w:val="af-ZA" w:eastAsia="en-GB"/>
        </w:rPr>
        <w:softHyphen/>
        <w:t>նու</w:t>
      </w:r>
      <w:r w:rsidRPr="00A83C94">
        <w:rPr>
          <w:rFonts w:cs="Sylfaen"/>
          <w:b w:val="0"/>
          <w:iCs/>
          <w:szCs w:val="22"/>
          <w:lang w:val="af-ZA" w:eastAsia="en-GB"/>
        </w:rPr>
        <w:softHyphen/>
        <w:t>թյուն հան</w:t>
      </w:r>
      <w:r w:rsidRPr="00A83C94">
        <w:rPr>
          <w:rFonts w:cs="Sylfaen"/>
          <w:b w:val="0"/>
          <w:iCs/>
          <w:szCs w:val="22"/>
          <w:lang w:val="af-ZA" w:eastAsia="en-GB"/>
        </w:rPr>
        <w:softHyphen/>
      </w:r>
      <w:r w:rsidRPr="00A83C94">
        <w:rPr>
          <w:rFonts w:cs="Sylfaen"/>
          <w:b w:val="0"/>
          <w:iCs/>
          <w:szCs w:val="22"/>
          <w:lang w:val="af-ZA" w:eastAsia="en-GB"/>
        </w:rPr>
        <w:softHyphen/>
        <w:t>դի</w:t>
      </w:r>
      <w:r w:rsidRPr="00A83C94">
        <w:rPr>
          <w:rFonts w:cs="Sylfaen"/>
          <w:b w:val="0"/>
          <w:iCs/>
          <w:szCs w:val="22"/>
          <w:lang w:val="af-ZA" w:eastAsia="en-GB"/>
        </w:rPr>
        <w:softHyphen/>
        <w:t>սա</w:t>
      </w:r>
      <w:r w:rsidRPr="00A83C94">
        <w:rPr>
          <w:rFonts w:cs="Sylfaen"/>
          <w:b w:val="0"/>
          <w:iCs/>
          <w:szCs w:val="22"/>
          <w:lang w:val="af-ZA" w:eastAsia="en-GB"/>
        </w:rPr>
        <w:softHyphen/>
        <w:t>ցող բաժնեմաս ունեցող առևտրային կազմակերպությունների շահույթի բաշխման, շա</w:t>
      </w:r>
      <w:r w:rsidRPr="00A83C94">
        <w:rPr>
          <w:rFonts w:cs="Sylfaen"/>
          <w:b w:val="0"/>
          <w:iCs/>
          <w:szCs w:val="22"/>
          <w:lang w:val="af-ZA" w:eastAsia="en-GB"/>
        </w:rPr>
        <w:softHyphen/>
      </w:r>
      <w:r w:rsidRPr="00A83C94">
        <w:rPr>
          <w:rFonts w:cs="Sylfaen"/>
          <w:b w:val="0"/>
          <w:iCs/>
          <w:szCs w:val="22"/>
          <w:lang w:val="af-ZA" w:eastAsia="en-GB"/>
        </w:rPr>
        <w:softHyphen/>
        <w:t>հու</w:t>
      </w:r>
      <w:r w:rsidRPr="00A83C94">
        <w:rPr>
          <w:rFonts w:cs="Sylfaen"/>
          <w:b w:val="0"/>
          <w:iCs/>
          <w:szCs w:val="22"/>
          <w:lang w:val="af-ZA" w:eastAsia="en-GB"/>
        </w:rPr>
        <w:softHyphen/>
        <w:t>թա</w:t>
      </w:r>
      <w:r w:rsidRPr="00A83C94">
        <w:rPr>
          <w:rFonts w:cs="Sylfaen"/>
          <w:b w:val="0"/>
          <w:iCs/>
          <w:szCs w:val="22"/>
          <w:lang w:val="af-ZA" w:eastAsia="en-GB"/>
        </w:rPr>
        <w:softHyphen/>
        <w:t>բա</w:t>
      </w:r>
      <w:r w:rsidRPr="00A83C94">
        <w:rPr>
          <w:rFonts w:cs="Sylfaen"/>
          <w:b w:val="0"/>
          <w:iCs/>
          <w:szCs w:val="22"/>
          <w:lang w:val="af-ZA" w:eastAsia="en-GB"/>
        </w:rPr>
        <w:softHyphen/>
        <w:t>ժին</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 հաշ</w:t>
      </w:r>
      <w:r w:rsidRPr="00A83C94">
        <w:rPr>
          <w:rFonts w:cs="Sylfaen"/>
          <w:b w:val="0"/>
          <w:iCs/>
          <w:szCs w:val="22"/>
          <w:lang w:val="af-ZA" w:eastAsia="en-GB"/>
        </w:rPr>
        <w:softHyphen/>
        <w:t>վարկ</w:t>
      </w:r>
      <w:r w:rsidRPr="00A83C94">
        <w:rPr>
          <w:rFonts w:cs="Sylfaen"/>
          <w:b w:val="0"/>
          <w:iCs/>
          <w:szCs w:val="22"/>
          <w:lang w:val="af-ZA" w:eastAsia="en-GB"/>
        </w:rPr>
        <w:softHyphen/>
        <w:t>ման և Հայաստանի Հան</w:t>
      </w:r>
      <w:r w:rsidRPr="00A83C94">
        <w:rPr>
          <w:rFonts w:cs="Sylfaen"/>
          <w:b w:val="0"/>
          <w:iCs/>
          <w:szCs w:val="22"/>
          <w:lang w:val="af-ZA" w:eastAsia="en-GB"/>
        </w:rPr>
        <w:softHyphen/>
      </w:r>
      <w:r w:rsidRPr="00A83C94">
        <w:rPr>
          <w:rFonts w:cs="Sylfaen"/>
          <w:b w:val="0"/>
          <w:iCs/>
          <w:szCs w:val="22"/>
          <w:lang w:val="af-ZA" w:eastAsia="en-GB"/>
        </w:rPr>
        <w:softHyphen/>
        <w:t>րա</w:t>
      </w:r>
      <w:r w:rsidRPr="00A83C94">
        <w:rPr>
          <w:rFonts w:cs="Sylfaen"/>
          <w:b w:val="0"/>
          <w:iCs/>
          <w:szCs w:val="22"/>
          <w:lang w:val="af-ZA" w:eastAsia="en-GB"/>
        </w:rPr>
        <w:softHyphen/>
      </w:r>
      <w:r w:rsidRPr="00A83C94">
        <w:rPr>
          <w:rFonts w:cs="Sylfaen"/>
          <w:b w:val="0"/>
          <w:iCs/>
          <w:szCs w:val="22"/>
          <w:lang w:val="af-ZA" w:eastAsia="en-GB"/>
        </w:rPr>
        <w:softHyphen/>
        <w:t>պե</w:t>
      </w:r>
      <w:r w:rsidRPr="00A83C94">
        <w:rPr>
          <w:rFonts w:cs="Sylfaen"/>
          <w:b w:val="0"/>
          <w:iCs/>
          <w:szCs w:val="22"/>
          <w:lang w:val="af-ZA" w:eastAsia="en-GB"/>
        </w:rPr>
        <w:softHyphen/>
        <w:t>տու</w:t>
      </w:r>
      <w:r w:rsidRPr="00A83C94">
        <w:rPr>
          <w:rFonts w:cs="Sylfaen"/>
          <w:b w:val="0"/>
          <w:iCs/>
          <w:szCs w:val="22"/>
          <w:lang w:val="af-ZA" w:eastAsia="en-GB"/>
        </w:rPr>
        <w:softHyphen/>
        <w:t>թյան պետական բյուջե վճար</w:t>
      </w:r>
      <w:r w:rsidRPr="00A83C94">
        <w:rPr>
          <w:rFonts w:cs="Sylfaen"/>
          <w:b w:val="0"/>
          <w:iCs/>
          <w:szCs w:val="22"/>
          <w:lang w:val="af-ZA" w:eastAsia="en-GB"/>
        </w:rPr>
        <w:softHyphen/>
        <w:t>ման կար</w:t>
      </w:r>
      <w:r w:rsidRPr="00A83C94">
        <w:rPr>
          <w:rFonts w:cs="Sylfaen"/>
          <w:b w:val="0"/>
          <w:iCs/>
          <w:szCs w:val="22"/>
          <w:lang w:val="af-ZA" w:eastAsia="en-GB"/>
        </w:rPr>
        <w:softHyphen/>
        <w:t>գը հաս</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տելու և Հա</w:t>
      </w:r>
      <w:r w:rsidRPr="00A83C94">
        <w:rPr>
          <w:rFonts w:cs="Sylfaen"/>
          <w:b w:val="0"/>
          <w:iCs/>
          <w:szCs w:val="22"/>
          <w:lang w:val="af-ZA" w:eastAsia="en-GB"/>
        </w:rPr>
        <w:softHyphen/>
        <w:t>յաստանի Հան</w:t>
      </w:r>
      <w:r w:rsidRPr="00A83C94">
        <w:rPr>
          <w:rFonts w:cs="Sylfaen"/>
          <w:b w:val="0"/>
          <w:iCs/>
          <w:szCs w:val="22"/>
          <w:lang w:val="af-ZA" w:eastAsia="en-GB"/>
        </w:rPr>
        <w:softHyphen/>
      </w:r>
      <w:r w:rsidRPr="00A83C94">
        <w:rPr>
          <w:rFonts w:cs="Sylfaen"/>
          <w:b w:val="0"/>
          <w:iCs/>
          <w:szCs w:val="22"/>
          <w:lang w:val="af-ZA" w:eastAsia="en-GB"/>
        </w:rPr>
        <w:softHyphen/>
        <w:t>րա</w:t>
      </w:r>
      <w:r w:rsidRPr="00A83C94">
        <w:rPr>
          <w:rFonts w:cs="Sylfaen"/>
          <w:b w:val="0"/>
          <w:iCs/>
          <w:szCs w:val="22"/>
          <w:lang w:val="af-ZA" w:eastAsia="en-GB"/>
        </w:rPr>
        <w:softHyphen/>
      </w:r>
      <w:r w:rsidRPr="00A83C94">
        <w:rPr>
          <w:rFonts w:cs="Sylfaen"/>
          <w:b w:val="0"/>
          <w:iCs/>
          <w:szCs w:val="22"/>
          <w:lang w:val="af-ZA" w:eastAsia="en-GB"/>
        </w:rPr>
        <w:softHyphen/>
        <w:t>պե</w:t>
      </w:r>
      <w:r w:rsidRPr="00A83C94">
        <w:rPr>
          <w:rFonts w:cs="Sylfaen"/>
          <w:b w:val="0"/>
          <w:iCs/>
          <w:szCs w:val="22"/>
          <w:lang w:val="af-ZA" w:eastAsia="en-GB"/>
        </w:rPr>
        <w:softHyphen/>
        <w:t>տու</w:t>
      </w:r>
      <w:r w:rsidRPr="00A83C94">
        <w:rPr>
          <w:rFonts w:cs="Sylfaen"/>
          <w:b w:val="0"/>
          <w:iCs/>
          <w:szCs w:val="22"/>
          <w:lang w:val="af-ZA" w:eastAsia="en-GB"/>
        </w:rPr>
        <w:softHyphen/>
        <w:t>թյան կառավարության 2001 թվա</w:t>
      </w:r>
      <w:r w:rsidRPr="00A83C94">
        <w:rPr>
          <w:rFonts w:cs="Sylfaen"/>
          <w:b w:val="0"/>
          <w:iCs/>
          <w:szCs w:val="22"/>
          <w:lang w:val="af-ZA" w:eastAsia="en-GB"/>
        </w:rPr>
        <w:softHyphen/>
        <w:t>կա</w:t>
      </w:r>
      <w:r w:rsidRPr="00A83C94">
        <w:rPr>
          <w:rFonts w:cs="Sylfaen"/>
          <w:b w:val="0"/>
          <w:iCs/>
          <w:szCs w:val="22"/>
          <w:lang w:val="af-ZA" w:eastAsia="en-GB"/>
        </w:rPr>
        <w:softHyphen/>
        <w:t>նի դեկ</w:t>
      </w:r>
      <w:r w:rsidRPr="00A83C94">
        <w:rPr>
          <w:rFonts w:cs="Sylfaen"/>
          <w:b w:val="0"/>
          <w:iCs/>
          <w:szCs w:val="22"/>
          <w:lang w:val="af-ZA" w:eastAsia="en-GB"/>
        </w:rPr>
        <w:softHyphen/>
        <w:t>տեմ</w:t>
      </w:r>
      <w:r w:rsidRPr="00A83C94">
        <w:rPr>
          <w:rFonts w:cs="Sylfaen"/>
          <w:b w:val="0"/>
          <w:iCs/>
          <w:szCs w:val="22"/>
          <w:lang w:val="af-ZA" w:eastAsia="en-GB"/>
        </w:rPr>
        <w:softHyphen/>
        <w:t>բերի 5-ի N 1194 որոշ</w:t>
      </w:r>
      <w:r w:rsidRPr="00A83C94">
        <w:rPr>
          <w:rFonts w:cs="Sylfaen"/>
          <w:b w:val="0"/>
          <w:iCs/>
          <w:szCs w:val="22"/>
          <w:lang w:val="af-ZA" w:eastAsia="en-GB"/>
        </w:rPr>
        <w:softHyphen/>
        <w:t>ման մեջ փոփոխություն կատարելու մասին» N 202-Ն որոշ</w:t>
      </w:r>
      <w:r w:rsidRPr="00A83C94">
        <w:rPr>
          <w:rFonts w:cs="Sylfaen"/>
          <w:b w:val="0"/>
          <w:iCs/>
          <w:szCs w:val="22"/>
          <w:lang w:val="af-ZA" w:eastAsia="en-GB"/>
        </w:rPr>
        <w:softHyphen/>
        <w:t>մամբ հաս</w:t>
      </w:r>
      <w:r w:rsidRPr="00A83C94">
        <w:rPr>
          <w:rFonts w:cs="Sylfaen"/>
          <w:b w:val="0"/>
          <w:iCs/>
          <w:szCs w:val="22"/>
          <w:lang w:val="af-ZA" w:eastAsia="en-GB"/>
        </w:rPr>
        <w:softHyphen/>
        <w:t>տատ</w:t>
      </w:r>
      <w:r w:rsidRPr="00A83C94">
        <w:rPr>
          <w:rFonts w:cs="Sylfaen"/>
          <w:b w:val="0"/>
          <w:iCs/>
          <w:szCs w:val="22"/>
          <w:lang w:val="af-ZA" w:eastAsia="en-GB"/>
        </w:rPr>
        <w:softHyphen/>
        <w:t>ված կար</w:t>
      </w:r>
      <w:r w:rsidRPr="00A83C94">
        <w:rPr>
          <w:rFonts w:cs="Sylfaen"/>
          <w:b w:val="0"/>
          <w:iCs/>
          <w:szCs w:val="22"/>
          <w:lang w:val="af-ZA" w:eastAsia="en-GB"/>
        </w:rPr>
        <w:softHyphen/>
        <w:t>գի համաձայն պե</w:t>
      </w:r>
      <w:r w:rsidRPr="00A83C94">
        <w:rPr>
          <w:rFonts w:cs="Sylfaen"/>
          <w:b w:val="0"/>
          <w:iCs/>
          <w:szCs w:val="22"/>
          <w:lang w:val="af-ZA" w:eastAsia="en-GB"/>
        </w:rPr>
        <w:softHyphen/>
        <w:t>տա</w:t>
      </w:r>
      <w:r w:rsidRPr="00A83C94">
        <w:rPr>
          <w:rFonts w:cs="Sylfaen"/>
          <w:b w:val="0"/>
          <w:iCs/>
          <w:szCs w:val="22"/>
          <w:lang w:val="af-ZA" w:eastAsia="en-GB"/>
        </w:rPr>
        <w:softHyphen/>
        <w:t>կան մաս</w:t>
      </w:r>
      <w:r w:rsidRPr="00A83C94">
        <w:rPr>
          <w:rFonts w:cs="Sylfaen"/>
          <w:b w:val="0"/>
          <w:iCs/>
          <w:szCs w:val="22"/>
          <w:lang w:val="af-ZA" w:eastAsia="en-GB"/>
        </w:rPr>
        <w:softHyphen/>
      </w:r>
      <w:r w:rsidRPr="00A83C94">
        <w:rPr>
          <w:rFonts w:cs="Sylfaen"/>
          <w:b w:val="0"/>
          <w:iCs/>
          <w:szCs w:val="22"/>
          <w:lang w:val="af-ZA" w:eastAsia="en-GB"/>
        </w:rPr>
        <w:softHyphen/>
        <w:t>նակ</w:t>
      </w:r>
      <w:r w:rsidRPr="00A83C94">
        <w:rPr>
          <w:rFonts w:cs="Sylfaen"/>
          <w:b w:val="0"/>
          <w:iCs/>
          <w:szCs w:val="22"/>
          <w:lang w:val="af-ZA" w:eastAsia="en-GB"/>
        </w:rPr>
        <w:softHyphen/>
        <w:t>ցու</w:t>
      </w:r>
      <w:r w:rsidRPr="00A83C94">
        <w:rPr>
          <w:rFonts w:cs="Sylfaen"/>
          <w:b w:val="0"/>
          <w:iCs/>
          <w:szCs w:val="22"/>
          <w:lang w:val="af-ZA" w:eastAsia="en-GB"/>
        </w:rPr>
        <w:softHyphen/>
        <w:t>թյան դիմաց պե</w:t>
      </w:r>
      <w:r w:rsidRPr="00A83C94">
        <w:rPr>
          <w:rFonts w:cs="Sylfaen"/>
          <w:b w:val="0"/>
          <w:iCs/>
          <w:szCs w:val="22"/>
          <w:lang w:val="af-ZA" w:eastAsia="en-GB"/>
        </w:rPr>
        <w:softHyphen/>
        <w:t>տա</w:t>
      </w:r>
      <w:r w:rsidRPr="00A83C94">
        <w:rPr>
          <w:rFonts w:cs="Sylfaen"/>
          <w:b w:val="0"/>
          <w:iCs/>
          <w:szCs w:val="22"/>
          <w:lang w:val="af-ZA" w:eastAsia="en-GB"/>
        </w:rPr>
        <w:softHyphen/>
        <w:t>կան բյու</w:t>
      </w:r>
      <w:r w:rsidRPr="00A83C94">
        <w:rPr>
          <w:rFonts w:cs="Sylfaen"/>
          <w:b w:val="0"/>
          <w:iCs/>
          <w:szCs w:val="22"/>
          <w:lang w:val="af-ZA" w:eastAsia="en-GB"/>
        </w:rPr>
        <w:softHyphen/>
        <w:t>ջե վճարման են</w:t>
      </w:r>
      <w:r w:rsidRPr="00A83C94">
        <w:rPr>
          <w:rFonts w:cs="Sylfaen"/>
          <w:b w:val="0"/>
          <w:iCs/>
          <w:szCs w:val="22"/>
          <w:lang w:val="af-ZA" w:eastAsia="en-GB"/>
        </w:rPr>
        <w:softHyphen/>
        <w:t>թա</w:t>
      </w:r>
      <w:r w:rsidRPr="00A83C94">
        <w:rPr>
          <w:rFonts w:cs="Sylfaen"/>
          <w:b w:val="0"/>
          <w:iCs/>
          <w:szCs w:val="22"/>
          <w:lang w:val="af-ZA" w:eastAsia="en-GB"/>
        </w:rPr>
        <w:softHyphen/>
        <w:t>կա տա</w:t>
      </w:r>
      <w:r w:rsidRPr="00A83C94">
        <w:rPr>
          <w:rFonts w:cs="Sylfaen"/>
          <w:b w:val="0"/>
          <w:iCs/>
          <w:szCs w:val="22"/>
          <w:lang w:val="af-ZA" w:eastAsia="en-GB"/>
        </w:rPr>
        <w:softHyphen/>
        <w:t>րե</w:t>
      </w:r>
      <w:r w:rsidRPr="00A83C94">
        <w:rPr>
          <w:rFonts w:cs="Sylfaen"/>
          <w:b w:val="0"/>
          <w:iCs/>
          <w:szCs w:val="22"/>
          <w:lang w:val="af-ZA" w:eastAsia="en-GB"/>
        </w:rPr>
        <w:softHyphen/>
        <w:t>կան շահութաբաժինների հաշվարկման բազայի 50%</w:t>
      </w:r>
      <w:r w:rsidRPr="00A83C94">
        <w:rPr>
          <w:rFonts w:cs="Sylfaen"/>
          <w:b w:val="0"/>
          <w:iCs/>
          <w:szCs w:val="22"/>
          <w:lang w:val="af-ZA" w:eastAsia="en-GB"/>
        </w:rPr>
        <w:noBreakHyphen/>
        <w:t>ի չա</w:t>
      </w:r>
      <w:r w:rsidRPr="00A83C94">
        <w:rPr>
          <w:rFonts w:cs="Sylfaen"/>
          <w:b w:val="0"/>
          <w:iCs/>
          <w:szCs w:val="22"/>
          <w:lang w:val="af-ZA" w:eastAsia="en-GB"/>
        </w:rPr>
        <w:softHyphen/>
        <w:t>փով պետական բյուջե կա</w:t>
      </w:r>
      <w:r w:rsidRPr="00A83C94">
        <w:rPr>
          <w:rFonts w:cs="Sylfaen"/>
          <w:b w:val="0"/>
          <w:iCs/>
          <w:szCs w:val="22"/>
          <w:lang w:val="af-ZA" w:eastAsia="en-GB"/>
        </w:rPr>
        <w:softHyphen/>
        <w:t>տար</w:t>
      </w:r>
      <w:r w:rsidRPr="00A83C94">
        <w:rPr>
          <w:rFonts w:cs="Sylfaen"/>
          <w:b w:val="0"/>
          <w:iCs/>
          <w:szCs w:val="22"/>
          <w:lang w:val="af-ZA" w:eastAsia="en-GB"/>
        </w:rPr>
        <w:softHyphen/>
      </w:r>
      <w:r w:rsidRPr="00A83C94">
        <w:rPr>
          <w:rFonts w:cs="Sylfaen"/>
          <w:b w:val="0"/>
          <w:iCs/>
          <w:szCs w:val="22"/>
          <w:lang w:val="af-ZA" w:eastAsia="en-GB"/>
        </w:rPr>
        <w:softHyphen/>
        <w:t>վե</w:t>
      </w:r>
      <w:r w:rsidRPr="00A83C94">
        <w:rPr>
          <w:rFonts w:cs="Sylfaen"/>
          <w:b w:val="0"/>
          <w:iCs/>
          <w:szCs w:val="22"/>
          <w:lang w:val="af-ZA" w:eastAsia="en-GB"/>
        </w:rPr>
        <w:softHyphen/>
        <w:t>լիք մաս</w:t>
      </w:r>
      <w:r w:rsidRPr="00A83C94">
        <w:rPr>
          <w:rFonts w:cs="Sylfaen"/>
          <w:b w:val="0"/>
          <w:iCs/>
          <w:szCs w:val="22"/>
          <w:lang w:val="af-ZA" w:eastAsia="en-GB"/>
        </w:rPr>
        <w:softHyphen/>
        <w:t>հանումների սահմանումը:</w:t>
      </w:r>
    </w:p>
    <w:p w14:paraId="5DF961AF" w14:textId="732E89AA"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Պետության կողմից տրված վարկերի օգտագործման դիմաց տոկոսավճարները 2022 թվա</w:t>
      </w:r>
      <w:r w:rsidRPr="00A83C94">
        <w:rPr>
          <w:rFonts w:cs="Sylfaen"/>
          <w:b w:val="0"/>
          <w:iCs/>
          <w:szCs w:val="22"/>
          <w:lang w:val="af-ZA" w:eastAsia="en-GB"/>
        </w:rPr>
        <w:softHyphen/>
      </w:r>
      <w:r w:rsidR="0040029F">
        <w:rPr>
          <w:rFonts w:cs="Sylfaen"/>
          <w:b w:val="0"/>
          <w:iCs/>
          <w:szCs w:val="22"/>
          <w:lang w:val="af-ZA" w:eastAsia="en-GB"/>
        </w:rPr>
        <w:softHyphen/>
      </w:r>
      <w:r w:rsidR="0040029F">
        <w:rPr>
          <w:rFonts w:cs="Sylfaen"/>
          <w:b w:val="0"/>
          <w:iCs/>
          <w:szCs w:val="22"/>
          <w:lang w:val="af-ZA" w:eastAsia="en-GB"/>
        </w:rPr>
        <w:softHyphen/>
        <w:t>կանին կանխատեսվում են 11,825.1</w:t>
      </w:r>
      <w:r w:rsidRPr="00A83C94">
        <w:rPr>
          <w:rFonts w:cs="Sylfaen"/>
          <w:b w:val="0"/>
          <w:iCs/>
          <w:szCs w:val="22"/>
          <w:lang w:val="af-ZA" w:eastAsia="en-GB"/>
        </w:rPr>
        <w:t xml:space="preserve"> մլն դրամի չափով: Մասնավորապես.</w:t>
      </w:r>
    </w:p>
    <w:p w14:paraId="432554E9" w14:textId="1AFD776A"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ՀՀ ռեզիդենտներին տրամադրված վարկերի օգտագործումից 2022 թվականի</w:t>
      </w:r>
      <w:r w:rsidR="0040029F">
        <w:rPr>
          <w:rFonts w:cs="Sylfaen"/>
          <w:b w:val="0"/>
          <w:iCs/>
          <w:szCs w:val="22"/>
          <w:lang w:val="af-ZA" w:eastAsia="en-GB"/>
        </w:rPr>
        <w:t>ն ակն</w:t>
      </w:r>
      <w:r w:rsidR="0040029F">
        <w:rPr>
          <w:rFonts w:cs="Sylfaen"/>
          <w:b w:val="0"/>
          <w:iCs/>
          <w:szCs w:val="22"/>
          <w:lang w:val="af-ZA" w:eastAsia="en-GB"/>
        </w:rPr>
        <w:softHyphen/>
        <w:t>կալ</w:t>
      </w:r>
      <w:r w:rsidR="0040029F">
        <w:rPr>
          <w:rFonts w:cs="Sylfaen"/>
          <w:b w:val="0"/>
          <w:iCs/>
          <w:szCs w:val="22"/>
          <w:lang w:val="af-ZA" w:eastAsia="en-GB"/>
        </w:rPr>
        <w:softHyphen/>
        <w:t>վում է ստանալ 11,774.4</w:t>
      </w:r>
      <w:r w:rsidRPr="00A83C94">
        <w:rPr>
          <w:rFonts w:cs="Sylfaen"/>
          <w:b w:val="0"/>
          <w:iCs/>
          <w:szCs w:val="22"/>
          <w:lang w:val="af-ZA" w:eastAsia="en-GB"/>
        </w:rPr>
        <w:t xml:space="preserve"> մլն դրամ՝ 2021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r>
      <w:r w:rsidRPr="00A83C94">
        <w:rPr>
          <w:rFonts w:cs="Sylfaen"/>
          <w:b w:val="0"/>
          <w:iCs/>
          <w:szCs w:val="22"/>
          <w:lang w:val="af-ZA" w:eastAsia="en-GB"/>
        </w:rPr>
        <w:softHyphen/>
        <w:t>նի համար ծրագրված 14,099.4 մլն դրամի և 2020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r>
      <w:r w:rsidR="0040029F">
        <w:rPr>
          <w:rFonts w:cs="Sylfaen"/>
          <w:b w:val="0"/>
          <w:iCs/>
          <w:szCs w:val="22"/>
          <w:lang w:val="af-ZA" w:eastAsia="en-GB"/>
        </w:rPr>
        <w:t>կանին փաս</w:t>
      </w:r>
      <w:r w:rsidR="0040029F">
        <w:rPr>
          <w:rFonts w:cs="Sylfaen"/>
          <w:b w:val="0"/>
          <w:iCs/>
          <w:szCs w:val="22"/>
          <w:lang w:val="af-ZA" w:eastAsia="en-GB"/>
        </w:rPr>
        <w:softHyphen/>
      </w:r>
      <w:r w:rsidR="0040029F">
        <w:rPr>
          <w:rFonts w:cs="Sylfaen"/>
          <w:b w:val="0"/>
          <w:iCs/>
          <w:szCs w:val="22"/>
          <w:lang w:val="af-ZA" w:eastAsia="en-GB"/>
        </w:rPr>
        <w:softHyphen/>
        <w:t>տացի ստացված 14,379.2</w:t>
      </w:r>
      <w:r w:rsidRPr="00A83C94">
        <w:rPr>
          <w:rFonts w:cs="Sylfaen"/>
          <w:b w:val="0"/>
          <w:iCs/>
          <w:szCs w:val="22"/>
          <w:lang w:val="af-ZA" w:eastAsia="en-GB"/>
        </w:rPr>
        <w:t xml:space="preserve"> մլն դրամի դի</w:t>
      </w:r>
      <w:r w:rsidRPr="00A83C94">
        <w:rPr>
          <w:rFonts w:cs="Sylfaen"/>
          <w:b w:val="0"/>
          <w:iCs/>
          <w:szCs w:val="22"/>
          <w:lang w:val="af-ZA" w:eastAsia="en-GB"/>
        </w:rPr>
        <w:softHyphen/>
        <w:t>մաց: Այն ծրագրվել է` հաշվի առնելով հա</w:t>
      </w:r>
      <w:r w:rsidRPr="00A83C94">
        <w:rPr>
          <w:rFonts w:cs="Sylfaen"/>
          <w:b w:val="0"/>
          <w:iCs/>
          <w:szCs w:val="22"/>
          <w:lang w:val="af-ZA" w:eastAsia="en-GB"/>
        </w:rPr>
        <w:softHyphen/>
        <w:t>մա</w:t>
      </w:r>
      <w:r w:rsidRPr="00A83C94">
        <w:rPr>
          <w:rFonts w:cs="Sylfaen"/>
          <w:b w:val="0"/>
          <w:iCs/>
          <w:szCs w:val="22"/>
          <w:lang w:val="af-ZA" w:eastAsia="en-GB"/>
        </w:rPr>
        <w:softHyphen/>
      </w:r>
      <w:r w:rsidRPr="00A83C94">
        <w:rPr>
          <w:rFonts w:cs="Sylfaen"/>
          <w:b w:val="0"/>
          <w:iCs/>
          <w:szCs w:val="22"/>
          <w:lang w:val="af-ZA" w:eastAsia="en-GB"/>
        </w:rPr>
        <w:softHyphen/>
        <w:t>պա</w:t>
      </w:r>
      <w:r w:rsidRPr="00A83C94">
        <w:rPr>
          <w:rFonts w:cs="Sylfaen"/>
          <w:b w:val="0"/>
          <w:iCs/>
          <w:szCs w:val="22"/>
          <w:lang w:val="af-ZA" w:eastAsia="en-GB"/>
        </w:rPr>
        <w:softHyphen/>
        <w:t>տաս</w:t>
      </w:r>
      <w:r w:rsidRPr="00A83C94">
        <w:rPr>
          <w:rFonts w:cs="Sylfaen"/>
          <w:b w:val="0"/>
          <w:iCs/>
          <w:szCs w:val="22"/>
          <w:lang w:val="af-ZA" w:eastAsia="en-GB"/>
        </w:rPr>
        <w:softHyphen/>
        <w:t>խան պայ</w:t>
      </w:r>
      <w:r w:rsidRPr="00A83C94">
        <w:rPr>
          <w:rFonts w:cs="Sylfaen"/>
          <w:b w:val="0"/>
          <w:iCs/>
          <w:szCs w:val="22"/>
          <w:lang w:val="af-ZA" w:eastAsia="en-GB"/>
        </w:rPr>
        <w:softHyphen/>
      </w:r>
      <w:r w:rsidRPr="00A83C94">
        <w:rPr>
          <w:rFonts w:cs="Sylfaen"/>
          <w:b w:val="0"/>
          <w:iCs/>
          <w:szCs w:val="22"/>
          <w:lang w:val="af-ZA" w:eastAsia="en-GB"/>
        </w:rPr>
        <w:softHyphen/>
        <w:t>մա</w:t>
      </w:r>
      <w:r w:rsidRPr="00A83C94">
        <w:rPr>
          <w:rFonts w:cs="Sylfaen"/>
          <w:b w:val="0"/>
          <w:iCs/>
          <w:szCs w:val="22"/>
          <w:lang w:val="af-ZA" w:eastAsia="en-GB"/>
        </w:rPr>
        <w:softHyphen/>
        <w:t>նա</w:t>
      </w:r>
      <w:r w:rsidRPr="00A83C94">
        <w:rPr>
          <w:rFonts w:cs="Sylfaen"/>
          <w:b w:val="0"/>
          <w:iCs/>
          <w:szCs w:val="22"/>
          <w:lang w:val="af-ZA" w:eastAsia="en-GB"/>
        </w:rPr>
        <w:softHyphen/>
        <w:t>գրերով նախատեսված դրույթները: Մաս</w:t>
      </w:r>
      <w:r w:rsidRPr="00A83C94">
        <w:rPr>
          <w:rFonts w:cs="Sylfaen"/>
          <w:b w:val="0"/>
          <w:iCs/>
          <w:szCs w:val="22"/>
          <w:lang w:val="af-ZA" w:eastAsia="en-GB"/>
        </w:rPr>
        <w:softHyphen/>
        <w:t>նա</w:t>
      </w:r>
      <w:r w:rsidRPr="00A83C94">
        <w:rPr>
          <w:rFonts w:cs="Sylfaen"/>
          <w:b w:val="0"/>
          <w:iCs/>
          <w:szCs w:val="22"/>
          <w:lang w:val="af-ZA" w:eastAsia="en-GB"/>
        </w:rPr>
        <w:softHyphen/>
        <w:t>վո</w:t>
      </w:r>
      <w:r w:rsidRPr="00A83C94">
        <w:rPr>
          <w:rFonts w:cs="Sylfaen"/>
          <w:b w:val="0"/>
          <w:iCs/>
          <w:szCs w:val="22"/>
          <w:lang w:val="af-ZA" w:eastAsia="en-GB"/>
        </w:rPr>
        <w:softHyphen/>
        <w:t>րա</w:t>
      </w:r>
      <w:r w:rsidRPr="00A83C94">
        <w:rPr>
          <w:rFonts w:cs="Sylfaen"/>
          <w:b w:val="0"/>
          <w:iCs/>
          <w:szCs w:val="22"/>
          <w:lang w:val="af-ZA" w:eastAsia="en-GB"/>
        </w:rPr>
        <w:softHyphen/>
        <w:t>պես, 2021 թվականին տոկոսավճարների գծով մուտ</w:t>
      </w:r>
      <w:r w:rsidRPr="00A83C94">
        <w:rPr>
          <w:rFonts w:cs="Sylfaen"/>
          <w:b w:val="0"/>
          <w:iCs/>
          <w:szCs w:val="22"/>
          <w:lang w:val="af-ZA" w:eastAsia="en-GB"/>
        </w:rPr>
        <w:softHyphen/>
      </w:r>
      <w:r w:rsidRPr="00A83C94">
        <w:rPr>
          <w:rFonts w:cs="Sylfaen"/>
          <w:b w:val="0"/>
          <w:iCs/>
          <w:szCs w:val="22"/>
          <w:lang w:val="af-ZA" w:eastAsia="en-GB"/>
        </w:rPr>
        <w:softHyphen/>
        <w:t>քերն ապահովվելու են ի հա</w:t>
      </w:r>
      <w:r w:rsidRPr="00A83C94">
        <w:rPr>
          <w:rFonts w:cs="Sylfaen"/>
          <w:b w:val="0"/>
          <w:iCs/>
          <w:szCs w:val="22"/>
          <w:lang w:val="af-ZA" w:eastAsia="en-GB"/>
        </w:rPr>
        <w:softHyphen/>
        <w:t>շիվ «Բարձրավոլտ էլեկ</w:t>
      </w:r>
      <w:r w:rsidRPr="00A83C94">
        <w:rPr>
          <w:rFonts w:cs="Sylfaen"/>
          <w:b w:val="0"/>
          <w:iCs/>
          <w:szCs w:val="22"/>
          <w:lang w:val="af-ZA" w:eastAsia="en-GB"/>
        </w:rPr>
        <w:softHyphen/>
        <w:t>տրա</w:t>
      </w:r>
      <w:r w:rsidRPr="00A83C94">
        <w:rPr>
          <w:rFonts w:cs="Sylfaen"/>
          <w:b w:val="0"/>
          <w:iCs/>
          <w:szCs w:val="22"/>
          <w:lang w:val="af-ZA" w:eastAsia="en-GB"/>
        </w:rPr>
        <w:softHyphen/>
        <w:t>կան ցան</w:t>
      </w:r>
      <w:r w:rsidRPr="00A83C94">
        <w:rPr>
          <w:rFonts w:cs="Sylfaen"/>
          <w:b w:val="0"/>
          <w:iCs/>
          <w:szCs w:val="22"/>
          <w:lang w:val="af-ZA" w:eastAsia="en-GB"/>
        </w:rPr>
        <w:softHyphen/>
      </w:r>
      <w:r w:rsidRPr="00A83C94">
        <w:rPr>
          <w:rFonts w:cs="Sylfaen"/>
          <w:b w:val="0"/>
          <w:iCs/>
          <w:szCs w:val="22"/>
          <w:lang w:val="af-ZA" w:eastAsia="en-GB"/>
        </w:rPr>
        <w:softHyphen/>
        <w:t>ցեր», «Էլեկ</w:t>
      </w:r>
      <w:r w:rsidRPr="00A83C94">
        <w:rPr>
          <w:rFonts w:cs="Sylfaen"/>
          <w:b w:val="0"/>
          <w:iCs/>
          <w:szCs w:val="22"/>
          <w:lang w:val="af-ZA" w:eastAsia="en-GB"/>
        </w:rPr>
        <w:softHyphen/>
        <w:t>տրա</w:t>
      </w:r>
      <w:r w:rsidRPr="00A83C94">
        <w:rPr>
          <w:rFonts w:cs="Sylfaen"/>
          <w:b w:val="0"/>
          <w:iCs/>
          <w:szCs w:val="22"/>
          <w:lang w:val="af-ZA" w:eastAsia="en-GB"/>
        </w:rPr>
        <w:softHyphen/>
        <w:t>էներ</w:t>
      </w:r>
      <w:r w:rsidRPr="00A83C94">
        <w:rPr>
          <w:rFonts w:cs="Sylfaen"/>
          <w:b w:val="0"/>
          <w:iCs/>
          <w:szCs w:val="22"/>
          <w:lang w:val="af-ZA" w:eastAsia="en-GB"/>
        </w:rPr>
        <w:softHyphen/>
        <w:t>գե</w:t>
      </w:r>
      <w:r w:rsidRPr="00A83C94">
        <w:rPr>
          <w:rFonts w:cs="Sylfaen"/>
          <w:b w:val="0"/>
          <w:iCs/>
          <w:szCs w:val="22"/>
          <w:lang w:val="af-ZA" w:eastAsia="en-GB"/>
        </w:rPr>
        <w:softHyphen/>
        <w:t>տի</w:t>
      </w:r>
      <w:r w:rsidRPr="00A83C94">
        <w:rPr>
          <w:rFonts w:cs="Sylfaen"/>
          <w:b w:val="0"/>
          <w:iCs/>
          <w:szCs w:val="22"/>
          <w:lang w:val="af-ZA" w:eastAsia="en-GB"/>
        </w:rPr>
        <w:softHyphen/>
        <w:t>կա</w:t>
      </w:r>
      <w:r w:rsidRPr="00A83C94">
        <w:rPr>
          <w:rFonts w:cs="Sylfaen"/>
          <w:b w:val="0"/>
          <w:iCs/>
          <w:szCs w:val="22"/>
          <w:lang w:val="af-ZA" w:eastAsia="en-GB"/>
        </w:rPr>
        <w:softHyphen/>
        <w:t>կան հա</w:t>
      </w:r>
      <w:r w:rsidRPr="00A83C94">
        <w:rPr>
          <w:rFonts w:cs="Sylfaen"/>
          <w:b w:val="0"/>
          <w:iCs/>
          <w:szCs w:val="22"/>
          <w:lang w:val="af-ZA" w:eastAsia="en-GB"/>
        </w:rPr>
        <w:softHyphen/>
        <w:t>մա</w:t>
      </w:r>
      <w:r w:rsidRPr="00A83C94">
        <w:rPr>
          <w:rFonts w:cs="Sylfaen"/>
          <w:b w:val="0"/>
          <w:iCs/>
          <w:szCs w:val="22"/>
          <w:lang w:val="af-ZA" w:eastAsia="en-GB"/>
        </w:rPr>
        <w:softHyphen/>
      </w:r>
      <w:r w:rsidRPr="00A83C94">
        <w:rPr>
          <w:rFonts w:cs="Sylfaen"/>
          <w:b w:val="0"/>
          <w:iCs/>
          <w:szCs w:val="22"/>
          <w:lang w:val="af-ZA" w:eastAsia="en-GB"/>
        </w:rPr>
        <w:softHyphen/>
        <w:t>կար</w:t>
      </w:r>
      <w:r w:rsidRPr="00A83C94">
        <w:rPr>
          <w:rFonts w:cs="Sylfaen"/>
          <w:b w:val="0"/>
          <w:iCs/>
          <w:szCs w:val="22"/>
          <w:lang w:val="af-ZA" w:eastAsia="en-GB"/>
        </w:rPr>
        <w:softHyphen/>
        <w:t>գի օպերատոր», «Հայաստանի էլեկ</w:t>
      </w:r>
      <w:r w:rsidRPr="00A83C94">
        <w:rPr>
          <w:rFonts w:cs="Sylfaen"/>
          <w:b w:val="0"/>
          <w:iCs/>
          <w:szCs w:val="22"/>
          <w:lang w:val="af-ZA" w:eastAsia="en-GB"/>
        </w:rPr>
        <w:softHyphen/>
        <w:t>տրա</w:t>
      </w:r>
      <w:r w:rsidRPr="00A83C94">
        <w:rPr>
          <w:rFonts w:cs="Sylfaen"/>
          <w:b w:val="0"/>
          <w:iCs/>
          <w:szCs w:val="22"/>
          <w:lang w:val="af-ZA" w:eastAsia="en-GB"/>
        </w:rPr>
        <w:softHyphen/>
        <w:t>կան ցանցեր» ՓԲԸ-ներին, «Երևանի Ջերմաէլեկտրակենտրոն» ՓԲԸ-ին և այլ կազ</w:t>
      </w:r>
      <w:r w:rsidRPr="00A83C94">
        <w:rPr>
          <w:rFonts w:cs="Sylfaen"/>
          <w:b w:val="0"/>
          <w:iCs/>
          <w:szCs w:val="22"/>
          <w:lang w:val="af-ZA" w:eastAsia="en-GB"/>
        </w:rPr>
        <w:softHyphen/>
        <w:t>մա</w:t>
      </w:r>
      <w:r w:rsidRPr="00A83C94">
        <w:rPr>
          <w:rFonts w:cs="Sylfaen"/>
          <w:b w:val="0"/>
          <w:iCs/>
          <w:szCs w:val="22"/>
          <w:lang w:val="af-ZA" w:eastAsia="en-GB"/>
        </w:rPr>
        <w:softHyphen/>
        <w:t>կեր</w:t>
      </w:r>
      <w:r w:rsidRPr="00A83C94">
        <w:rPr>
          <w:rFonts w:cs="Sylfaen"/>
          <w:b w:val="0"/>
          <w:iCs/>
          <w:szCs w:val="22"/>
          <w:lang w:val="af-ZA" w:eastAsia="en-GB"/>
        </w:rPr>
        <w:softHyphen/>
        <w:t>պու</w:t>
      </w:r>
      <w:r w:rsidRPr="00A83C94">
        <w:rPr>
          <w:rFonts w:cs="Sylfaen"/>
          <w:b w:val="0"/>
          <w:iCs/>
          <w:szCs w:val="22"/>
          <w:lang w:val="af-ZA" w:eastAsia="en-GB"/>
        </w:rPr>
        <w:softHyphen/>
        <w:t>թյուններին տրա</w:t>
      </w:r>
      <w:r w:rsidRPr="00A83C94">
        <w:rPr>
          <w:rFonts w:cs="Sylfaen"/>
          <w:b w:val="0"/>
          <w:iCs/>
          <w:szCs w:val="22"/>
          <w:lang w:val="af-ZA" w:eastAsia="en-GB"/>
        </w:rPr>
        <w:softHyphen/>
      </w:r>
      <w:r w:rsidRPr="00A83C94">
        <w:rPr>
          <w:rFonts w:cs="Sylfaen"/>
          <w:b w:val="0"/>
          <w:iCs/>
          <w:szCs w:val="22"/>
          <w:lang w:val="af-ZA" w:eastAsia="en-GB"/>
        </w:rPr>
        <w:softHyphen/>
        <w:t>մադրված վարկերի դիմաց հաշ</w:t>
      </w:r>
      <w:r w:rsidRPr="00A83C94">
        <w:rPr>
          <w:rFonts w:cs="Sylfaen"/>
          <w:b w:val="0"/>
          <w:iCs/>
          <w:szCs w:val="22"/>
          <w:lang w:val="af-ZA" w:eastAsia="en-GB"/>
        </w:rPr>
        <w:softHyphen/>
        <w:t>վարկված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վճարների:</w:t>
      </w:r>
    </w:p>
    <w:p w14:paraId="0A373C6C" w14:textId="0063D54D"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Հա</w:t>
      </w:r>
      <w:r w:rsidRPr="00A83C94">
        <w:rPr>
          <w:rFonts w:cs="Sylfaen"/>
          <w:b w:val="0"/>
          <w:iCs/>
          <w:szCs w:val="22"/>
          <w:lang w:val="af-ZA" w:eastAsia="en-GB"/>
        </w:rPr>
        <w:softHyphen/>
        <w:t>յաստանի Հանրապետության ոչ ռեզիդենտին տրամադրված վարկերի գծով 2022 թվա</w:t>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t>նի բյուջետային մուտ</w:t>
      </w:r>
      <w:r w:rsidRPr="00A83C94">
        <w:rPr>
          <w:rFonts w:cs="Sylfaen"/>
          <w:b w:val="0"/>
          <w:iCs/>
          <w:szCs w:val="22"/>
          <w:lang w:val="af-ZA" w:eastAsia="en-GB"/>
        </w:rPr>
        <w:softHyphen/>
        <w:t>քե</w:t>
      </w:r>
      <w:r w:rsidRPr="00A83C94">
        <w:rPr>
          <w:rFonts w:cs="Sylfaen"/>
          <w:b w:val="0"/>
          <w:iCs/>
          <w:szCs w:val="22"/>
          <w:lang w:val="af-ZA" w:eastAsia="en-GB"/>
        </w:rPr>
        <w:softHyphen/>
        <w:t>րը կգո</w:t>
      </w:r>
      <w:r w:rsidRPr="00A83C94">
        <w:rPr>
          <w:rFonts w:cs="Sylfaen"/>
          <w:b w:val="0"/>
          <w:iCs/>
          <w:szCs w:val="22"/>
          <w:lang w:val="af-ZA" w:eastAsia="en-GB"/>
        </w:rPr>
        <w:softHyphen/>
      </w:r>
      <w:r w:rsidRPr="00A83C94">
        <w:rPr>
          <w:rFonts w:cs="Sylfaen"/>
          <w:b w:val="0"/>
          <w:iCs/>
          <w:szCs w:val="22"/>
          <w:lang w:val="af-ZA" w:eastAsia="en-GB"/>
        </w:rPr>
        <w:softHyphen/>
        <w:t>յա</w:t>
      </w:r>
      <w:r w:rsidRPr="00A83C94">
        <w:rPr>
          <w:rFonts w:cs="Sylfaen"/>
          <w:b w:val="0"/>
          <w:iCs/>
          <w:szCs w:val="22"/>
          <w:lang w:val="af-ZA" w:eastAsia="en-GB"/>
        </w:rPr>
        <w:softHyphen/>
        <w:t>նան Վրաստանի Հան</w:t>
      </w:r>
      <w:r w:rsidRPr="00A83C94">
        <w:rPr>
          <w:rFonts w:cs="Sylfaen"/>
          <w:b w:val="0"/>
          <w:iCs/>
          <w:szCs w:val="22"/>
          <w:lang w:val="af-ZA" w:eastAsia="en-GB"/>
        </w:rPr>
        <w:softHyphen/>
        <w:t>րա</w:t>
      </w:r>
      <w:r w:rsidRPr="00A83C94">
        <w:rPr>
          <w:rFonts w:cs="Sylfaen"/>
          <w:b w:val="0"/>
          <w:iCs/>
          <w:szCs w:val="22"/>
          <w:lang w:val="af-ZA" w:eastAsia="en-GB"/>
        </w:rPr>
        <w:softHyphen/>
        <w:t>պե</w:t>
      </w:r>
      <w:r w:rsidRPr="00A83C94">
        <w:rPr>
          <w:rFonts w:cs="Sylfaen"/>
          <w:b w:val="0"/>
          <w:iCs/>
          <w:szCs w:val="22"/>
          <w:lang w:val="af-ZA" w:eastAsia="en-GB"/>
        </w:rPr>
        <w:softHyphen/>
        <w:t>տու</w:t>
      </w:r>
      <w:r w:rsidRPr="00A83C94">
        <w:rPr>
          <w:rFonts w:cs="Sylfaen"/>
          <w:b w:val="0"/>
          <w:iCs/>
          <w:szCs w:val="22"/>
          <w:lang w:val="af-ZA" w:eastAsia="en-GB"/>
        </w:rPr>
        <w:softHyphen/>
        <w:t>թյանը տրա</w:t>
      </w:r>
      <w:r w:rsidRPr="00A83C94">
        <w:rPr>
          <w:rFonts w:cs="Sylfaen"/>
          <w:b w:val="0"/>
          <w:iCs/>
          <w:szCs w:val="22"/>
          <w:lang w:val="af-ZA" w:eastAsia="en-GB"/>
        </w:rPr>
        <w:softHyphen/>
        <w:t>մա</w:t>
      </w:r>
      <w:r w:rsidRPr="00A83C94">
        <w:rPr>
          <w:rFonts w:cs="Sylfaen"/>
          <w:b w:val="0"/>
          <w:iCs/>
          <w:szCs w:val="22"/>
          <w:lang w:val="af-ZA" w:eastAsia="en-GB"/>
        </w:rPr>
        <w:softHyphen/>
        <w:t>դր</w:t>
      </w:r>
      <w:r w:rsidRPr="00A83C94">
        <w:rPr>
          <w:rFonts w:cs="Sylfaen"/>
          <w:b w:val="0"/>
          <w:iCs/>
          <w:szCs w:val="22"/>
          <w:lang w:val="af-ZA" w:eastAsia="en-GB"/>
        </w:rPr>
        <w:softHyphen/>
        <w:t>ված վարկի սպա</w:t>
      </w:r>
      <w:r w:rsidRPr="00A83C94">
        <w:rPr>
          <w:rFonts w:cs="Sylfaen"/>
          <w:b w:val="0"/>
          <w:iCs/>
          <w:szCs w:val="22"/>
          <w:lang w:val="af-ZA" w:eastAsia="en-GB"/>
        </w:rPr>
        <w:softHyphen/>
      </w:r>
      <w:r w:rsidRPr="00A83C94">
        <w:rPr>
          <w:rFonts w:cs="Sylfaen"/>
          <w:b w:val="0"/>
          <w:iCs/>
          <w:szCs w:val="22"/>
          <w:lang w:val="af-ZA" w:eastAsia="en-GB"/>
        </w:rPr>
        <w:softHyphen/>
        <w:t>սարկման տո</w:t>
      </w:r>
      <w:r w:rsidRPr="00A83C94">
        <w:rPr>
          <w:rFonts w:cs="Sylfaen"/>
          <w:b w:val="0"/>
          <w:iCs/>
          <w:szCs w:val="22"/>
          <w:lang w:val="af-ZA" w:eastAsia="en-GB"/>
        </w:rPr>
        <w:softHyphen/>
        <w:t>կո</w:t>
      </w:r>
      <w:r w:rsidRPr="00A83C94">
        <w:rPr>
          <w:rFonts w:cs="Sylfaen"/>
          <w:b w:val="0"/>
          <w:iCs/>
          <w:szCs w:val="22"/>
          <w:lang w:val="af-ZA" w:eastAsia="en-GB"/>
        </w:rPr>
        <w:softHyphen/>
        <w:t>սա</w:t>
      </w:r>
      <w:r w:rsidRPr="00A83C94">
        <w:rPr>
          <w:rFonts w:cs="Sylfaen"/>
          <w:b w:val="0"/>
          <w:iCs/>
          <w:szCs w:val="22"/>
          <w:lang w:val="af-ZA" w:eastAsia="en-GB"/>
        </w:rPr>
        <w:softHyphen/>
        <w:t>վճար</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րից, որոնք կկազ</w:t>
      </w:r>
      <w:r w:rsidRPr="00A83C94">
        <w:rPr>
          <w:rFonts w:cs="Sylfaen"/>
          <w:b w:val="0"/>
          <w:iCs/>
          <w:szCs w:val="22"/>
          <w:lang w:val="af-ZA" w:eastAsia="en-GB"/>
        </w:rPr>
        <w:softHyphen/>
        <w:t>մեն 1</w:t>
      </w:r>
      <w:r w:rsidR="0040029F">
        <w:rPr>
          <w:rFonts w:cs="Sylfaen"/>
          <w:b w:val="0"/>
          <w:iCs/>
          <w:szCs w:val="22"/>
          <w:lang w:val="af-ZA" w:eastAsia="en-GB"/>
        </w:rPr>
        <w:t>06.0 հազ. ԱՄՆ դոլար կամ մոտ 50.6</w:t>
      </w:r>
      <w:r w:rsidRPr="00A83C94">
        <w:rPr>
          <w:rFonts w:cs="Sylfaen"/>
          <w:b w:val="0"/>
          <w:iCs/>
          <w:szCs w:val="22"/>
          <w:lang w:val="af-ZA" w:eastAsia="en-GB"/>
        </w:rPr>
        <w:t xml:space="preserve"> մլն դրամ՝ 2021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w:t>
      </w:r>
      <w:r w:rsidRPr="00A83C94">
        <w:rPr>
          <w:rFonts w:cs="Sylfaen"/>
          <w:b w:val="0"/>
          <w:iCs/>
          <w:szCs w:val="22"/>
          <w:lang w:val="af-ZA" w:eastAsia="en-GB"/>
        </w:rPr>
        <w:softHyphen/>
      </w:r>
      <w:r w:rsidRPr="00A83C94">
        <w:rPr>
          <w:rFonts w:cs="Sylfaen"/>
          <w:b w:val="0"/>
          <w:iCs/>
          <w:szCs w:val="22"/>
          <w:lang w:val="af-ZA" w:eastAsia="en-GB"/>
        </w:rPr>
        <w:softHyphen/>
        <w:t>նի համար ծրագրված 75.7 մլն դրամի և 2020 թվա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ստացված 97.8 մլն դրամի դի</w:t>
      </w:r>
      <w:r w:rsidRPr="00A83C94">
        <w:rPr>
          <w:rFonts w:cs="Sylfaen"/>
          <w:b w:val="0"/>
          <w:iCs/>
          <w:szCs w:val="22"/>
          <w:lang w:val="af-ZA" w:eastAsia="en-GB"/>
        </w:rPr>
        <w:softHyphen/>
        <w:t>մաց:</w:t>
      </w:r>
    </w:p>
    <w:p w14:paraId="0415C38B"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Իրավախախտումների համար գործադիր, դատական մարմինների կողմից կի</w:t>
      </w:r>
      <w:r w:rsidRPr="00A83C94">
        <w:rPr>
          <w:rFonts w:cs="Sylfaen"/>
          <w:b w:val="0"/>
          <w:iCs/>
          <w:szCs w:val="22"/>
          <w:lang w:val="af-ZA" w:eastAsia="en-GB"/>
        </w:rPr>
        <w:softHyphen/>
        <w:t>րառ</w:t>
      </w:r>
      <w:r w:rsidRPr="00A83C94">
        <w:rPr>
          <w:rFonts w:cs="Sylfaen"/>
          <w:b w:val="0"/>
          <w:iCs/>
          <w:szCs w:val="22"/>
          <w:lang w:val="af-ZA" w:eastAsia="en-GB"/>
        </w:rPr>
        <w:softHyphen/>
        <w:t>վող պատ</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ժա</w:t>
      </w:r>
      <w:r w:rsidRPr="00A83C94">
        <w:rPr>
          <w:rFonts w:cs="Sylfaen"/>
          <w:b w:val="0"/>
          <w:iCs/>
          <w:szCs w:val="22"/>
          <w:lang w:val="af-ZA" w:eastAsia="en-GB"/>
        </w:rPr>
        <w:softHyphen/>
      </w:r>
      <w:r w:rsidRPr="00A83C94">
        <w:rPr>
          <w:rFonts w:cs="Sylfaen"/>
          <w:b w:val="0"/>
          <w:iCs/>
          <w:szCs w:val="22"/>
          <w:lang w:val="af-ZA" w:eastAsia="en-GB"/>
        </w:rPr>
        <w:softHyphen/>
        <w:t>մի</w:t>
      </w:r>
      <w:r w:rsidRPr="00A83C94">
        <w:rPr>
          <w:rFonts w:cs="Sylfaen"/>
          <w:b w:val="0"/>
          <w:iCs/>
          <w:szCs w:val="22"/>
          <w:lang w:val="af-ZA" w:eastAsia="en-GB"/>
        </w:rPr>
        <w:softHyphen/>
        <w:t>ջոցներից 2022 թվականի մուտքերը գնահատվել են 10,798.8 մլն դրամի չափով` 2021 թվա</w:t>
      </w:r>
      <w:r w:rsidRPr="00A83C94">
        <w:rPr>
          <w:rFonts w:cs="Sylfaen"/>
          <w:b w:val="0"/>
          <w:iCs/>
          <w:szCs w:val="22"/>
          <w:lang w:val="af-ZA" w:eastAsia="en-GB"/>
        </w:rPr>
        <w:softHyphen/>
        <w:t>կա</w:t>
      </w:r>
      <w:r w:rsidRPr="00A83C94">
        <w:rPr>
          <w:rFonts w:cs="Sylfaen"/>
          <w:b w:val="0"/>
          <w:iCs/>
          <w:szCs w:val="22"/>
          <w:lang w:val="af-ZA" w:eastAsia="en-GB"/>
        </w:rPr>
        <w:softHyphen/>
        <w:t>նի հա</w:t>
      </w:r>
      <w:r w:rsidRPr="00A83C94">
        <w:rPr>
          <w:rFonts w:cs="Sylfaen"/>
          <w:b w:val="0"/>
          <w:iCs/>
          <w:szCs w:val="22"/>
          <w:lang w:val="af-ZA" w:eastAsia="en-GB"/>
        </w:rPr>
        <w:softHyphen/>
        <w:t>մար ծրա</w:t>
      </w:r>
      <w:r w:rsidRPr="00A83C94">
        <w:rPr>
          <w:rFonts w:cs="Sylfaen"/>
          <w:b w:val="0"/>
          <w:iCs/>
          <w:szCs w:val="22"/>
          <w:lang w:val="af-ZA" w:eastAsia="en-GB"/>
        </w:rPr>
        <w:softHyphen/>
        <w:t>գրված 10,479.9 մլն դրամի և 2020 թվա</w:t>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w:t>
      </w:r>
      <w:r w:rsidRPr="00A83C94">
        <w:rPr>
          <w:rFonts w:cs="Sylfaen"/>
          <w:b w:val="0"/>
          <w:iCs/>
          <w:szCs w:val="22"/>
          <w:lang w:val="af-ZA" w:eastAsia="en-GB"/>
        </w:rPr>
        <w:softHyphen/>
        <w:t>ված 11,540.9 մլն դրամի դիմաց: Կանխատեսումները կա</w:t>
      </w:r>
      <w:r w:rsidRPr="00A83C94">
        <w:rPr>
          <w:rFonts w:cs="Sylfaen"/>
          <w:b w:val="0"/>
          <w:iCs/>
          <w:szCs w:val="22"/>
          <w:lang w:val="af-ZA" w:eastAsia="en-GB"/>
        </w:rPr>
        <w:softHyphen/>
        <w:t>տար</w:t>
      </w:r>
      <w:r w:rsidRPr="00A83C94">
        <w:rPr>
          <w:rFonts w:cs="Sylfaen"/>
          <w:b w:val="0"/>
          <w:iCs/>
          <w:szCs w:val="22"/>
          <w:lang w:val="af-ZA" w:eastAsia="en-GB"/>
        </w:rPr>
        <w:softHyphen/>
      </w:r>
      <w:r w:rsidRPr="00A83C94">
        <w:rPr>
          <w:rFonts w:cs="Sylfaen"/>
          <w:b w:val="0"/>
          <w:iCs/>
          <w:szCs w:val="22"/>
          <w:lang w:val="af-ZA" w:eastAsia="en-GB"/>
        </w:rPr>
        <w:softHyphen/>
        <w:t>ված են ըստ հա</w:t>
      </w:r>
      <w:r w:rsidRPr="00A83C94">
        <w:rPr>
          <w:rFonts w:cs="Sylfaen"/>
          <w:b w:val="0"/>
          <w:iCs/>
          <w:szCs w:val="22"/>
          <w:lang w:val="af-ZA" w:eastAsia="en-GB"/>
        </w:rPr>
        <w:softHyphen/>
      </w:r>
      <w:r w:rsidRPr="00A83C94">
        <w:rPr>
          <w:rFonts w:cs="Sylfaen"/>
          <w:b w:val="0"/>
          <w:iCs/>
          <w:szCs w:val="22"/>
          <w:lang w:val="af-ZA" w:eastAsia="en-GB"/>
        </w:rPr>
        <w:softHyphen/>
        <w:t>մա</w:t>
      </w:r>
      <w:r w:rsidRPr="00A83C94">
        <w:rPr>
          <w:rFonts w:cs="Sylfaen"/>
          <w:b w:val="0"/>
          <w:iCs/>
          <w:szCs w:val="22"/>
          <w:lang w:val="af-ZA" w:eastAsia="en-GB"/>
        </w:rPr>
        <w:softHyphen/>
        <w:t>պա</w:t>
      </w:r>
      <w:r w:rsidRPr="00A83C94">
        <w:rPr>
          <w:rFonts w:cs="Sylfaen"/>
          <w:b w:val="0"/>
          <w:iCs/>
          <w:szCs w:val="22"/>
          <w:lang w:val="af-ZA" w:eastAsia="en-GB"/>
        </w:rPr>
        <w:softHyphen/>
      </w:r>
      <w:r w:rsidRPr="00A83C94">
        <w:rPr>
          <w:rFonts w:cs="Sylfaen"/>
          <w:b w:val="0"/>
          <w:iCs/>
          <w:szCs w:val="22"/>
          <w:lang w:val="af-ZA" w:eastAsia="en-GB"/>
        </w:rPr>
        <w:softHyphen/>
        <w:t>տաս</w:t>
      </w:r>
      <w:r w:rsidRPr="00A83C94">
        <w:rPr>
          <w:rFonts w:cs="Sylfaen"/>
          <w:b w:val="0"/>
          <w:iCs/>
          <w:szCs w:val="22"/>
          <w:lang w:val="af-ZA" w:eastAsia="en-GB"/>
        </w:rPr>
        <w:softHyphen/>
        <w:t>խան իրա</w:t>
      </w:r>
      <w:r w:rsidRPr="00A83C94">
        <w:rPr>
          <w:rFonts w:cs="Sylfaen"/>
          <w:b w:val="0"/>
          <w:iCs/>
          <w:szCs w:val="22"/>
          <w:lang w:val="af-ZA" w:eastAsia="en-GB"/>
        </w:rPr>
        <w:softHyphen/>
        <w:t>վա</w:t>
      </w:r>
      <w:r w:rsidRPr="00A83C94">
        <w:rPr>
          <w:rFonts w:cs="Sylfaen"/>
          <w:b w:val="0"/>
          <w:iCs/>
          <w:szCs w:val="22"/>
          <w:lang w:val="af-ZA" w:eastAsia="en-GB"/>
        </w:rPr>
        <w:softHyphen/>
        <w:t>կան հիմքով վարչական պատժամիջոց կի</w:t>
      </w:r>
      <w:r w:rsidRPr="00A83C94">
        <w:rPr>
          <w:rFonts w:cs="Sylfaen"/>
          <w:b w:val="0"/>
          <w:iCs/>
          <w:szCs w:val="22"/>
          <w:lang w:val="af-ZA" w:eastAsia="en-GB"/>
        </w:rPr>
        <w:softHyphen/>
        <w:t>րա</w:t>
      </w:r>
      <w:r w:rsidRPr="00A83C94">
        <w:rPr>
          <w:rFonts w:cs="Sylfaen"/>
          <w:b w:val="0"/>
          <w:iCs/>
          <w:szCs w:val="22"/>
          <w:lang w:val="af-ZA" w:eastAsia="en-GB"/>
        </w:rPr>
        <w:softHyphen/>
        <w:t>ռող պե</w:t>
      </w:r>
      <w:r w:rsidRPr="00A83C94">
        <w:rPr>
          <w:rFonts w:cs="Sylfaen"/>
          <w:b w:val="0"/>
          <w:iCs/>
          <w:szCs w:val="22"/>
          <w:lang w:val="af-ZA" w:eastAsia="en-GB"/>
        </w:rPr>
        <w:softHyphen/>
      </w:r>
      <w:r w:rsidRPr="00A83C94">
        <w:rPr>
          <w:rFonts w:cs="Sylfaen"/>
          <w:b w:val="0"/>
          <w:iCs/>
          <w:szCs w:val="22"/>
          <w:lang w:val="af-ZA" w:eastAsia="en-GB"/>
        </w:rPr>
        <w:softHyphen/>
        <w:t>տա</w:t>
      </w:r>
      <w:r w:rsidRPr="00A83C94">
        <w:rPr>
          <w:rFonts w:cs="Sylfaen"/>
          <w:b w:val="0"/>
          <w:iCs/>
          <w:szCs w:val="22"/>
          <w:lang w:val="af-ZA" w:eastAsia="en-GB"/>
        </w:rPr>
        <w:softHyphen/>
        <w:t>կան կա</w:t>
      </w:r>
      <w:r w:rsidRPr="00A83C94">
        <w:rPr>
          <w:rFonts w:cs="Sylfaen"/>
          <w:b w:val="0"/>
          <w:iCs/>
          <w:szCs w:val="22"/>
          <w:lang w:val="af-ZA" w:eastAsia="en-GB"/>
        </w:rPr>
        <w:softHyphen/>
        <w:t>ռա</w:t>
      </w:r>
      <w:r w:rsidRPr="00A83C94">
        <w:rPr>
          <w:rFonts w:cs="Sylfaen"/>
          <w:b w:val="0"/>
          <w:iCs/>
          <w:szCs w:val="22"/>
          <w:lang w:val="af-ZA" w:eastAsia="en-GB"/>
        </w:rPr>
        <w:softHyphen/>
        <w:t>վար</w:t>
      </w:r>
      <w:r w:rsidRPr="00A83C94">
        <w:rPr>
          <w:rFonts w:cs="Sylfaen"/>
          <w:b w:val="0"/>
          <w:iCs/>
          <w:szCs w:val="22"/>
          <w:lang w:val="af-ZA" w:eastAsia="en-GB"/>
        </w:rPr>
        <w:softHyphen/>
        <w:t>ման մար</w:t>
      </w:r>
      <w:r w:rsidRPr="00A83C94">
        <w:rPr>
          <w:rFonts w:cs="Sylfaen"/>
          <w:b w:val="0"/>
          <w:iCs/>
          <w:szCs w:val="22"/>
          <w:lang w:val="af-ZA" w:eastAsia="en-GB"/>
        </w:rPr>
        <w:softHyphen/>
      </w:r>
      <w:r w:rsidRPr="00A83C94">
        <w:rPr>
          <w:rFonts w:cs="Sylfaen"/>
          <w:b w:val="0"/>
          <w:iCs/>
          <w:szCs w:val="22"/>
          <w:lang w:val="af-ZA" w:eastAsia="en-GB"/>
        </w:rPr>
        <w:softHyphen/>
        <w:t>մին</w:t>
      </w:r>
      <w:r w:rsidRPr="00A83C94">
        <w:rPr>
          <w:rFonts w:cs="Sylfaen"/>
          <w:b w:val="0"/>
          <w:iCs/>
          <w:szCs w:val="22"/>
          <w:lang w:val="af-ZA" w:eastAsia="en-GB"/>
        </w:rPr>
        <w:softHyphen/>
        <w:t>ների` հաշ</w:t>
      </w:r>
      <w:r w:rsidRPr="00A83C94">
        <w:rPr>
          <w:rFonts w:cs="Sylfaen"/>
          <w:b w:val="0"/>
          <w:iCs/>
          <w:szCs w:val="22"/>
          <w:lang w:val="af-ZA" w:eastAsia="en-GB"/>
        </w:rPr>
        <w:softHyphen/>
        <w:t>վի առ</w:t>
      </w:r>
      <w:r w:rsidRPr="00A83C94">
        <w:rPr>
          <w:rFonts w:cs="Sylfaen"/>
          <w:b w:val="0"/>
          <w:iCs/>
          <w:szCs w:val="22"/>
          <w:lang w:val="af-ZA" w:eastAsia="en-GB"/>
        </w:rPr>
        <w:softHyphen/>
        <w:t>նե</w:t>
      </w:r>
      <w:r w:rsidRPr="00A83C94">
        <w:rPr>
          <w:rFonts w:cs="Sylfaen"/>
          <w:b w:val="0"/>
          <w:iCs/>
          <w:szCs w:val="22"/>
          <w:lang w:val="af-ZA" w:eastAsia="en-GB"/>
        </w:rPr>
        <w:softHyphen/>
        <w:t>լով պատ</w:t>
      </w:r>
      <w:r w:rsidRPr="00A83C94">
        <w:rPr>
          <w:rFonts w:cs="Sylfaen"/>
          <w:b w:val="0"/>
          <w:iCs/>
          <w:szCs w:val="22"/>
          <w:lang w:val="af-ZA" w:eastAsia="en-GB"/>
        </w:rPr>
        <w:softHyphen/>
      </w:r>
      <w:r w:rsidRPr="00A83C94">
        <w:rPr>
          <w:rFonts w:cs="Sylfaen"/>
          <w:b w:val="0"/>
          <w:iCs/>
          <w:szCs w:val="22"/>
          <w:lang w:val="af-ZA" w:eastAsia="en-GB"/>
        </w:rPr>
        <w:softHyphen/>
        <w:t>ժա</w:t>
      </w:r>
      <w:r w:rsidRPr="00A83C94">
        <w:rPr>
          <w:rFonts w:cs="Sylfaen"/>
          <w:b w:val="0"/>
          <w:iCs/>
          <w:szCs w:val="22"/>
          <w:lang w:val="af-ZA" w:eastAsia="en-GB"/>
        </w:rPr>
        <w:softHyphen/>
        <w:t>մի</w:t>
      </w:r>
      <w:r w:rsidRPr="00A83C94">
        <w:rPr>
          <w:rFonts w:cs="Sylfaen"/>
          <w:b w:val="0"/>
          <w:iCs/>
          <w:szCs w:val="22"/>
          <w:lang w:val="af-ZA" w:eastAsia="en-GB"/>
        </w:rPr>
        <w:softHyphen/>
        <w:t>ջոց</w:t>
      </w:r>
      <w:r w:rsidRPr="00A83C94">
        <w:rPr>
          <w:rFonts w:cs="Sylfaen"/>
          <w:b w:val="0"/>
          <w:iCs/>
          <w:szCs w:val="22"/>
          <w:lang w:val="af-ZA" w:eastAsia="en-GB"/>
        </w:rPr>
        <w:softHyphen/>
      </w:r>
      <w:r w:rsidRPr="00A83C94">
        <w:rPr>
          <w:rFonts w:cs="Sylfaen"/>
          <w:b w:val="0"/>
          <w:iCs/>
          <w:szCs w:val="22"/>
          <w:lang w:val="af-ZA" w:eastAsia="en-GB"/>
        </w:rPr>
        <w:softHyphen/>
        <w:t>ների գծով 2016-2020 թվա</w:t>
      </w:r>
      <w:r w:rsidRPr="00A83C94">
        <w:rPr>
          <w:rFonts w:cs="Sylfaen"/>
          <w:b w:val="0"/>
          <w:iCs/>
          <w:szCs w:val="22"/>
          <w:lang w:val="af-ZA" w:eastAsia="en-GB"/>
        </w:rPr>
        <w:softHyphen/>
      </w:r>
      <w:r w:rsidRPr="00A83C94">
        <w:rPr>
          <w:rFonts w:cs="Sylfaen"/>
          <w:b w:val="0"/>
          <w:iCs/>
          <w:szCs w:val="22"/>
          <w:lang w:val="af-ZA" w:eastAsia="en-GB"/>
        </w:rPr>
        <w:softHyphen/>
        <w:t>կան</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 մուտ</w:t>
      </w:r>
      <w:r w:rsidRPr="00A83C94">
        <w:rPr>
          <w:rFonts w:cs="Sylfaen"/>
          <w:b w:val="0"/>
          <w:iCs/>
          <w:szCs w:val="22"/>
          <w:lang w:val="af-ZA" w:eastAsia="en-GB"/>
        </w:rPr>
        <w:softHyphen/>
        <w:t>քերի հա</w:t>
      </w:r>
      <w:r w:rsidRPr="00A83C94">
        <w:rPr>
          <w:rFonts w:cs="Sylfaen"/>
          <w:b w:val="0"/>
          <w:iCs/>
          <w:szCs w:val="22"/>
          <w:lang w:val="af-ZA" w:eastAsia="en-GB"/>
        </w:rPr>
        <w:softHyphen/>
        <w:t>վաքագրման միտումները, ինչպես նաև այս բնա</w:t>
      </w:r>
      <w:r w:rsidRPr="00A83C94">
        <w:rPr>
          <w:rFonts w:cs="Sylfaen"/>
          <w:b w:val="0"/>
          <w:iCs/>
          <w:szCs w:val="22"/>
          <w:lang w:val="af-ZA" w:eastAsia="en-GB"/>
        </w:rPr>
        <w:softHyphen/>
        <w:t>գա</w:t>
      </w:r>
      <w:r w:rsidRPr="00A83C94">
        <w:rPr>
          <w:rFonts w:cs="Sylfaen"/>
          <w:b w:val="0"/>
          <w:iCs/>
          <w:szCs w:val="22"/>
          <w:lang w:val="af-ZA" w:eastAsia="en-GB"/>
        </w:rPr>
        <w:softHyphen/>
        <w:t>վա</w:t>
      </w:r>
      <w:r w:rsidRPr="00A83C94">
        <w:rPr>
          <w:rFonts w:cs="Sylfaen"/>
          <w:b w:val="0"/>
          <w:iCs/>
          <w:szCs w:val="22"/>
          <w:lang w:val="af-ZA" w:eastAsia="en-GB"/>
        </w:rPr>
        <w:softHyphen/>
      </w:r>
      <w:r w:rsidRPr="00A83C94">
        <w:rPr>
          <w:rFonts w:cs="Sylfaen"/>
          <w:b w:val="0"/>
          <w:iCs/>
          <w:szCs w:val="22"/>
          <w:lang w:val="af-ZA" w:eastAsia="en-GB"/>
        </w:rPr>
        <w:softHyphen/>
        <w:t>ռում իրա</w:t>
      </w:r>
      <w:r w:rsidRPr="00A83C94">
        <w:rPr>
          <w:rFonts w:cs="Sylfaen"/>
          <w:b w:val="0"/>
          <w:iCs/>
          <w:szCs w:val="22"/>
          <w:lang w:val="af-ZA" w:eastAsia="en-GB"/>
        </w:rPr>
        <w:softHyphen/>
        <w:t>կա</w:t>
      </w:r>
      <w:r w:rsidRPr="00A83C94">
        <w:rPr>
          <w:rFonts w:cs="Sylfaen"/>
          <w:b w:val="0"/>
          <w:iCs/>
          <w:szCs w:val="22"/>
          <w:lang w:val="af-ZA" w:eastAsia="en-GB"/>
        </w:rPr>
        <w:softHyphen/>
        <w:t>նաց</w:t>
      </w:r>
      <w:r w:rsidRPr="00A83C94">
        <w:rPr>
          <w:rFonts w:cs="Sylfaen"/>
          <w:b w:val="0"/>
          <w:iCs/>
          <w:szCs w:val="22"/>
          <w:lang w:val="af-ZA" w:eastAsia="en-GB"/>
        </w:rPr>
        <w:softHyphen/>
        <w:t>ված օրենս</w:t>
      </w:r>
      <w:r w:rsidRPr="00A83C94">
        <w:rPr>
          <w:rFonts w:cs="Sylfaen"/>
          <w:b w:val="0"/>
          <w:iCs/>
          <w:szCs w:val="22"/>
          <w:lang w:val="af-ZA" w:eastAsia="en-GB"/>
        </w:rPr>
        <w:softHyphen/>
      </w:r>
      <w:r w:rsidRPr="00A83C94">
        <w:rPr>
          <w:rFonts w:cs="Sylfaen"/>
          <w:b w:val="0"/>
          <w:iCs/>
          <w:szCs w:val="22"/>
          <w:lang w:val="af-ZA" w:eastAsia="en-GB"/>
        </w:rPr>
        <w:softHyphen/>
        <w:t>դրա</w:t>
      </w:r>
      <w:r w:rsidRPr="00A83C94">
        <w:rPr>
          <w:rFonts w:cs="Sylfaen"/>
          <w:b w:val="0"/>
          <w:iCs/>
          <w:szCs w:val="22"/>
          <w:lang w:val="af-ZA" w:eastAsia="en-GB"/>
        </w:rPr>
        <w:softHyphen/>
        <w:t>կան փո</w:t>
      </w:r>
      <w:r w:rsidRPr="00A83C94">
        <w:rPr>
          <w:rFonts w:cs="Sylfaen"/>
          <w:b w:val="0"/>
          <w:iCs/>
          <w:szCs w:val="22"/>
          <w:lang w:val="af-ZA" w:eastAsia="en-GB"/>
        </w:rPr>
        <w:softHyphen/>
        <w:t>փո</w:t>
      </w:r>
      <w:r w:rsidRPr="00A83C94">
        <w:rPr>
          <w:rFonts w:cs="Sylfaen"/>
          <w:b w:val="0"/>
          <w:iCs/>
          <w:szCs w:val="22"/>
          <w:lang w:val="af-ZA" w:eastAsia="en-GB"/>
        </w:rPr>
        <w:softHyphen/>
        <w:t>խու</w:t>
      </w:r>
      <w:r w:rsidRPr="00A83C94">
        <w:rPr>
          <w:rFonts w:cs="Sylfaen"/>
          <w:b w:val="0"/>
          <w:iCs/>
          <w:szCs w:val="22"/>
          <w:lang w:val="af-ZA" w:eastAsia="en-GB"/>
        </w:rPr>
        <w:softHyphen/>
        <w:t>թյունները:</w:t>
      </w:r>
    </w:p>
    <w:p w14:paraId="51FB69D6"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Ապրանքների մատակարարումից և ծառայությունների մատուցումից եկամուտների գծով 2022 թվականի պետական բյուջեի մուտքերը գնահատվել են 17,455.9 մլն դրամի չափով` 2021 թվա</w:t>
      </w:r>
      <w:r w:rsidRPr="00A83C94">
        <w:rPr>
          <w:rFonts w:cs="Sylfaen"/>
          <w:b w:val="0"/>
          <w:iCs/>
          <w:szCs w:val="22"/>
          <w:lang w:val="af-ZA" w:eastAsia="en-GB"/>
        </w:rPr>
        <w:softHyphen/>
        <w:t>կա</w:t>
      </w:r>
      <w:r w:rsidRPr="00A83C94">
        <w:rPr>
          <w:rFonts w:cs="Sylfaen"/>
          <w:b w:val="0"/>
          <w:iCs/>
          <w:szCs w:val="22"/>
          <w:lang w:val="af-ZA" w:eastAsia="en-GB"/>
        </w:rPr>
        <w:softHyphen/>
        <w:t>նի հա</w:t>
      </w:r>
      <w:r w:rsidRPr="00A83C94">
        <w:rPr>
          <w:rFonts w:cs="Sylfaen"/>
          <w:b w:val="0"/>
          <w:iCs/>
          <w:szCs w:val="22"/>
          <w:lang w:val="af-ZA" w:eastAsia="en-GB"/>
        </w:rPr>
        <w:softHyphen/>
        <w:t>մար ծրա</w:t>
      </w:r>
      <w:r w:rsidRPr="00A83C94">
        <w:rPr>
          <w:rFonts w:cs="Sylfaen"/>
          <w:b w:val="0"/>
          <w:iCs/>
          <w:szCs w:val="22"/>
          <w:lang w:val="af-ZA" w:eastAsia="en-GB"/>
        </w:rPr>
        <w:softHyphen/>
        <w:t>գրված 11,651.5 մլն դրամի և 2020 թվա</w:t>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w:t>
      </w:r>
      <w:r w:rsidRPr="00A83C94">
        <w:rPr>
          <w:rFonts w:cs="Sylfaen"/>
          <w:b w:val="0"/>
          <w:iCs/>
          <w:szCs w:val="22"/>
          <w:lang w:val="af-ZA" w:eastAsia="en-GB"/>
        </w:rPr>
        <w:softHyphen/>
        <w:t>ված 16,376.4 մլն դրամի դիմաց: Կանխատեսումները կատարվել են պետական կառավարման մարմիններից ստացված հայտերի և 2016-2020 թվա</w:t>
      </w:r>
      <w:r w:rsidRPr="00A83C94">
        <w:rPr>
          <w:rFonts w:cs="Sylfaen"/>
          <w:b w:val="0"/>
          <w:iCs/>
          <w:szCs w:val="22"/>
          <w:lang w:val="af-ZA" w:eastAsia="en-GB"/>
        </w:rPr>
        <w:softHyphen/>
      </w:r>
      <w:r w:rsidRPr="00A83C94">
        <w:rPr>
          <w:rFonts w:cs="Sylfaen"/>
          <w:b w:val="0"/>
          <w:iCs/>
          <w:szCs w:val="22"/>
          <w:lang w:val="af-ZA" w:eastAsia="en-GB"/>
        </w:rPr>
        <w:softHyphen/>
        <w:t>կան</w:t>
      </w:r>
      <w:r w:rsidRPr="00A83C94">
        <w:rPr>
          <w:rFonts w:cs="Sylfaen"/>
          <w:b w:val="0"/>
          <w:iCs/>
          <w:szCs w:val="22"/>
          <w:lang w:val="af-ZA" w:eastAsia="en-GB"/>
        </w:rPr>
        <w:softHyphen/>
      </w:r>
      <w:r w:rsidRPr="00A83C94">
        <w:rPr>
          <w:rFonts w:cs="Sylfaen"/>
          <w:b w:val="0"/>
          <w:iCs/>
          <w:szCs w:val="22"/>
          <w:lang w:val="af-ZA" w:eastAsia="en-GB"/>
        </w:rPr>
        <w:softHyphen/>
        <w:t>նե</w:t>
      </w:r>
      <w:r w:rsidRPr="00A83C94">
        <w:rPr>
          <w:rFonts w:cs="Sylfaen"/>
          <w:b w:val="0"/>
          <w:iCs/>
          <w:szCs w:val="22"/>
          <w:lang w:val="af-ZA" w:eastAsia="en-GB"/>
        </w:rPr>
        <w:softHyphen/>
        <w:t>րի մուտ</w:t>
      </w:r>
      <w:r w:rsidRPr="00A83C94">
        <w:rPr>
          <w:rFonts w:cs="Sylfaen"/>
          <w:b w:val="0"/>
          <w:iCs/>
          <w:szCs w:val="22"/>
          <w:lang w:val="af-ZA" w:eastAsia="en-GB"/>
        </w:rPr>
        <w:softHyphen/>
        <w:t>քերի հա</w:t>
      </w:r>
      <w:r w:rsidRPr="00A83C94">
        <w:rPr>
          <w:rFonts w:cs="Sylfaen"/>
          <w:b w:val="0"/>
          <w:iCs/>
          <w:szCs w:val="22"/>
          <w:lang w:val="af-ZA" w:eastAsia="en-GB"/>
        </w:rPr>
        <w:softHyphen/>
        <w:t>վաքագրման միտումների հիման վրա:</w:t>
      </w:r>
    </w:p>
    <w:p w14:paraId="35181561" w14:textId="77777777" w:rsidR="00AE2A75" w:rsidRPr="00A83C94" w:rsidRDefault="00AE2A75" w:rsidP="00AE2A75">
      <w:pPr>
        <w:spacing w:before="0" w:line="276" w:lineRule="auto"/>
        <w:ind w:firstLine="562"/>
        <w:contextualSpacing w:val="0"/>
        <w:rPr>
          <w:rFonts w:cs="Sylfaen"/>
          <w:b w:val="0"/>
          <w:iCs/>
          <w:szCs w:val="22"/>
          <w:lang w:val="af-ZA" w:eastAsia="en-GB"/>
        </w:rPr>
      </w:pPr>
      <w:r w:rsidRPr="00A83C94">
        <w:rPr>
          <w:rFonts w:cs="Sylfaen"/>
          <w:b w:val="0"/>
          <w:iCs/>
          <w:szCs w:val="22"/>
          <w:lang w:val="af-ZA" w:eastAsia="en-GB"/>
        </w:rPr>
        <w:t>Օրենքով և իրավական այլ ակտերով սահմանված՝ պետական բյուջե մուտքագրվող այլ եկա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մուտ</w:t>
      </w:r>
      <w:r w:rsidRPr="00A83C94">
        <w:rPr>
          <w:rFonts w:cs="Sylfaen"/>
          <w:b w:val="0"/>
          <w:iCs/>
          <w:szCs w:val="22"/>
          <w:lang w:val="af-ZA" w:eastAsia="en-GB"/>
        </w:rPr>
        <w:softHyphen/>
        <w:t>ների գծով 2022 թվականի պետական բյուջեի մուտքերը գնահատվել են 1,168.7 մլն դրա</w:t>
      </w:r>
      <w:r w:rsidRPr="00A83C94">
        <w:rPr>
          <w:rFonts w:cs="Sylfaen"/>
          <w:b w:val="0"/>
          <w:iCs/>
          <w:szCs w:val="22"/>
          <w:lang w:val="af-ZA" w:eastAsia="en-GB"/>
        </w:rPr>
        <w:softHyphen/>
      </w:r>
      <w:r w:rsidRPr="00A83C94">
        <w:rPr>
          <w:rFonts w:cs="Sylfaen"/>
          <w:b w:val="0"/>
          <w:iCs/>
          <w:szCs w:val="22"/>
          <w:lang w:val="af-ZA" w:eastAsia="en-GB"/>
        </w:rPr>
        <w:softHyphen/>
      </w:r>
      <w:r w:rsidRPr="00A83C94">
        <w:rPr>
          <w:rFonts w:cs="Sylfaen"/>
          <w:b w:val="0"/>
          <w:iCs/>
          <w:szCs w:val="22"/>
          <w:lang w:val="af-ZA" w:eastAsia="en-GB"/>
        </w:rPr>
        <w:softHyphen/>
        <w:t>մի չա</w:t>
      </w:r>
      <w:r w:rsidRPr="00A83C94">
        <w:rPr>
          <w:rFonts w:cs="Sylfaen"/>
          <w:b w:val="0"/>
          <w:iCs/>
          <w:szCs w:val="22"/>
          <w:lang w:val="af-ZA" w:eastAsia="en-GB"/>
        </w:rPr>
        <w:softHyphen/>
        <w:t>փով` 2021 թվականի համար ծրագրված 1,629.1 մլ</w:t>
      </w:r>
      <w:r w:rsidRPr="00A83C94">
        <w:rPr>
          <w:rFonts w:cs="Sylfaen"/>
          <w:b w:val="0"/>
          <w:iCs/>
          <w:szCs w:val="22"/>
          <w:lang w:val="hy-AM" w:eastAsia="en-GB"/>
        </w:rPr>
        <w:t>ն</w:t>
      </w:r>
      <w:r w:rsidRPr="00A83C94">
        <w:rPr>
          <w:rFonts w:cs="Sylfaen"/>
          <w:b w:val="0"/>
          <w:iCs/>
          <w:szCs w:val="22"/>
          <w:lang w:val="af-ZA" w:eastAsia="en-GB"/>
        </w:rPr>
        <w:t xml:space="preserve"> դրամի և 2020 թվա</w:t>
      </w:r>
      <w:r w:rsidRPr="00A83C94">
        <w:rPr>
          <w:rFonts w:cs="Sylfaen"/>
          <w:b w:val="0"/>
          <w:iCs/>
          <w:szCs w:val="22"/>
          <w:lang w:val="af-ZA" w:eastAsia="en-GB"/>
        </w:rPr>
        <w:softHyphen/>
      </w:r>
      <w:r w:rsidRPr="00A83C94">
        <w:rPr>
          <w:rFonts w:cs="Sylfaen"/>
          <w:b w:val="0"/>
          <w:iCs/>
          <w:szCs w:val="22"/>
          <w:lang w:val="af-ZA" w:eastAsia="en-GB"/>
        </w:rPr>
        <w:softHyphen/>
        <w:t>կանին փաս</w:t>
      </w:r>
      <w:r w:rsidRPr="00A83C94">
        <w:rPr>
          <w:rFonts w:cs="Sylfaen"/>
          <w:b w:val="0"/>
          <w:iCs/>
          <w:szCs w:val="22"/>
          <w:lang w:val="af-ZA" w:eastAsia="en-GB"/>
        </w:rPr>
        <w:softHyphen/>
      </w:r>
      <w:r w:rsidRPr="00A83C94">
        <w:rPr>
          <w:rFonts w:cs="Sylfaen"/>
          <w:b w:val="0"/>
          <w:iCs/>
          <w:szCs w:val="22"/>
          <w:lang w:val="af-ZA" w:eastAsia="en-GB"/>
        </w:rPr>
        <w:softHyphen/>
        <w:t>տացի ստաց</w:t>
      </w:r>
      <w:r w:rsidRPr="00A83C94">
        <w:rPr>
          <w:rFonts w:cs="Sylfaen"/>
          <w:b w:val="0"/>
          <w:iCs/>
          <w:szCs w:val="22"/>
          <w:lang w:val="af-ZA" w:eastAsia="en-GB"/>
        </w:rPr>
        <w:softHyphen/>
        <w:t>ված 2,904.4 մլն դրամի դիմաց: Այն կանխատեսվել է՝  ելնելով նախորդ տարիների փաստացի մուտքերի միտումներից:</w:t>
      </w:r>
    </w:p>
    <w:p w14:paraId="77F8ED85" w14:textId="77777777" w:rsidR="00AE2A75" w:rsidRPr="00A83C94" w:rsidRDefault="00AE2A75" w:rsidP="005525A4">
      <w:pPr>
        <w:keepNext/>
        <w:tabs>
          <w:tab w:val="left" w:pos="709"/>
        </w:tabs>
        <w:spacing w:before="0" w:line="276" w:lineRule="auto"/>
        <w:outlineLvl w:val="2"/>
        <w:rPr>
          <w:rFonts w:eastAsia="Calibri" w:cs="GHEA Grapalat"/>
          <w:bCs/>
          <w:szCs w:val="22"/>
          <w:lang w:val="hy-AM" w:eastAsia="en-US"/>
        </w:rPr>
      </w:pPr>
    </w:p>
    <w:p w14:paraId="370768B2" w14:textId="46A22A30" w:rsidR="0084358D" w:rsidRPr="00A83C94" w:rsidRDefault="0084358D">
      <w:pPr>
        <w:spacing w:before="0" w:line="240" w:lineRule="auto"/>
        <w:ind w:firstLine="0"/>
        <w:contextualSpacing w:val="0"/>
        <w:jc w:val="left"/>
        <w:rPr>
          <w:sz w:val="28"/>
          <w:szCs w:val="20"/>
          <w:lang w:val="af-ZA"/>
        </w:rPr>
      </w:pPr>
      <w:r w:rsidRPr="00A83C94">
        <w:rPr>
          <w:lang w:val="af-ZA"/>
        </w:rPr>
        <w:br w:type="page"/>
      </w:r>
    </w:p>
    <w:p w14:paraId="6DAEF824" w14:textId="49A76CD8" w:rsidR="00060470" w:rsidRPr="00EB774C" w:rsidRDefault="00060470" w:rsidP="00A30EDC">
      <w:pPr>
        <w:pStyle w:val="Heading1"/>
        <w:rPr>
          <w:lang w:val="af-ZA"/>
        </w:rPr>
      </w:pPr>
      <w:bookmarkStart w:id="252" w:name="_Toc89428307"/>
      <w:r w:rsidRPr="00A83C94">
        <w:t>Մ</w:t>
      </w:r>
      <w:r w:rsidRPr="00EB774C">
        <w:rPr>
          <w:lang w:val="af-ZA"/>
        </w:rPr>
        <w:t xml:space="preserve"> </w:t>
      </w:r>
      <w:r w:rsidRPr="00A83C94">
        <w:t>Ա</w:t>
      </w:r>
      <w:r w:rsidRPr="00EB774C">
        <w:rPr>
          <w:lang w:val="af-ZA"/>
        </w:rPr>
        <w:t xml:space="preserve"> </w:t>
      </w:r>
      <w:r w:rsidRPr="00A83C94">
        <w:t>Ս</w:t>
      </w:r>
      <w:r w:rsidR="001E6978" w:rsidRPr="00EB774C">
        <w:rPr>
          <w:lang w:val="af-ZA"/>
        </w:rPr>
        <w:t xml:space="preserve"> </w:t>
      </w:r>
      <w:r w:rsidRPr="00EB774C">
        <w:rPr>
          <w:lang w:val="af-ZA"/>
        </w:rPr>
        <w:t xml:space="preserve">III – </w:t>
      </w:r>
      <w:r w:rsidRPr="00A83C94">
        <w:t>Բ</w:t>
      </w:r>
      <w:r w:rsidRPr="00EB774C">
        <w:rPr>
          <w:lang w:val="af-ZA"/>
        </w:rPr>
        <w:t xml:space="preserve">. </w:t>
      </w:r>
      <w:r w:rsidRPr="00A83C94">
        <w:t>Ծ</w:t>
      </w:r>
      <w:r w:rsidRPr="00EB774C">
        <w:rPr>
          <w:lang w:val="af-ZA"/>
        </w:rPr>
        <w:t xml:space="preserve"> </w:t>
      </w:r>
      <w:r w:rsidRPr="00A83C94">
        <w:t>Ա</w:t>
      </w:r>
      <w:r w:rsidRPr="00EB774C">
        <w:rPr>
          <w:lang w:val="af-ZA"/>
        </w:rPr>
        <w:t xml:space="preserve"> </w:t>
      </w:r>
      <w:r w:rsidRPr="00A83C94">
        <w:t>Խ</w:t>
      </w:r>
      <w:r w:rsidRPr="00EB774C">
        <w:rPr>
          <w:lang w:val="af-ZA"/>
        </w:rPr>
        <w:t xml:space="preserve"> </w:t>
      </w:r>
      <w:r w:rsidRPr="00A83C94">
        <w:t>Ս</w:t>
      </w:r>
      <w:r w:rsidRPr="00EB774C">
        <w:rPr>
          <w:lang w:val="af-ZA"/>
        </w:rPr>
        <w:t xml:space="preserve"> </w:t>
      </w:r>
      <w:r w:rsidRPr="00A83C94">
        <w:t>Ե</w:t>
      </w:r>
      <w:r w:rsidRPr="00EB774C">
        <w:rPr>
          <w:lang w:val="af-ZA"/>
        </w:rPr>
        <w:t xml:space="preserve"> </w:t>
      </w:r>
      <w:r w:rsidRPr="00A83C94">
        <w:t>Ր</w:t>
      </w:r>
      <w:r w:rsidRPr="00EB774C">
        <w:rPr>
          <w:lang w:val="af-ZA"/>
        </w:rPr>
        <w:t xml:space="preserve"> </w:t>
      </w:r>
      <w:r w:rsidRPr="00A83C94">
        <w:t>Ի</w:t>
      </w:r>
      <w:r w:rsidR="001E6978" w:rsidRPr="00EB774C">
        <w:rPr>
          <w:lang w:val="af-ZA"/>
        </w:rPr>
        <w:t xml:space="preserve"> </w:t>
      </w:r>
      <w:r w:rsidR="00C53FEE" w:rsidRPr="00EB774C">
        <w:rPr>
          <w:lang w:val="af-ZA"/>
        </w:rPr>
        <w:t xml:space="preserve"> </w:t>
      </w:r>
      <w:r w:rsidRPr="00A83C94">
        <w:t>Կ</w:t>
      </w:r>
      <w:r w:rsidRPr="00EB774C">
        <w:rPr>
          <w:lang w:val="af-ZA"/>
        </w:rPr>
        <w:t xml:space="preserve"> </w:t>
      </w:r>
      <w:r w:rsidRPr="00A83C94">
        <w:t>Ա</w:t>
      </w:r>
      <w:r w:rsidRPr="00EB774C">
        <w:rPr>
          <w:lang w:val="af-ZA"/>
        </w:rPr>
        <w:t xml:space="preserve"> </w:t>
      </w:r>
      <w:r w:rsidRPr="00A83C94">
        <w:t>Ն</w:t>
      </w:r>
      <w:r w:rsidRPr="00EB774C">
        <w:rPr>
          <w:lang w:val="af-ZA"/>
        </w:rPr>
        <w:t xml:space="preserve"> </w:t>
      </w:r>
      <w:r w:rsidRPr="00A83C94">
        <w:t>Խ</w:t>
      </w:r>
      <w:r w:rsidRPr="00EB774C">
        <w:rPr>
          <w:lang w:val="af-ZA"/>
        </w:rPr>
        <w:t xml:space="preserve"> </w:t>
      </w:r>
      <w:r w:rsidRPr="00A83C94">
        <w:t>Ա</w:t>
      </w:r>
      <w:r w:rsidRPr="00EB774C">
        <w:rPr>
          <w:lang w:val="af-ZA"/>
        </w:rPr>
        <w:t xml:space="preserve"> </w:t>
      </w:r>
      <w:r w:rsidRPr="00A83C94">
        <w:t>Տ</w:t>
      </w:r>
      <w:r w:rsidRPr="00EB774C">
        <w:rPr>
          <w:lang w:val="af-ZA"/>
        </w:rPr>
        <w:t xml:space="preserve"> </w:t>
      </w:r>
      <w:r w:rsidRPr="00A83C94">
        <w:t>Ե</w:t>
      </w:r>
      <w:r w:rsidRPr="00EB774C">
        <w:rPr>
          <w:lang w:val="af-ZA"/>
        </w:rPr>
        <w:t xml:space="preserve"> </w:t>
      </w:r>
      <w:r w:rsidRPr="00A83C94">
        <w:t>Ս</w:t>
      </w:r>
      <w:r w:rsidRPr="00EB774C">
        <w:rPr>
          <w:lang w:val="af-ZA"/>
        </w:rPr>
        <w:t xml:space="preserve"> </w:t>
      </w:r>
      <w:r w:rsidRPr="00A83C94">
        <w:t>Ո</w:t>
      </w:r>
      <w:r w:rsidRPr="00EB774C">
        <w:rPr>
          <w:lang w:val="af-ZA"/>
        </w:rPr>
        <w:t xml:space="preserve"> </w:t>
      </w:r>
      <w:r w:rsidRPr="00A83C94">
        <w:t>Ւ</w:t>
      </w:r>
      <w:r w:rsidRPr="00EB774C">
        <w:rPr>
          <w:lang w:val="af-ZA"/>
        </w:rPr>
        <w:t xml:space="preserve"> </w:t>
      </w:r>
      <w:r w:rsidRPr="00A83C94">
        <w:t>Մ</w:t>
      </w:r>
      <w:bookmarkEnd w:id="252"/>
    </w:p>
    <w:p w14:paraId="6C727915" w14:textId="6746D8B4" w:rsidR="0075265B" w:rsidRPr="00A83C94" w:rsidRDefault="0075265B" w:rsidP="007730AA">
      <w:pPr>
        <w:spacing w:before="0" w:line="276" w:lineRule="auto"/>
        <w:rPr>
          <w:rFonts w:cs="Sylfaen"/>
          <w:b w:val="0"/>
          <w:szCs w:val="22"/>
          <w:lang w:val="hy-AM" w:eastAsia="en-US"/>
        </w:rPr>
      </w:pPr>
      <w:r w:rsidRPr="00A83C94">
        <w:rPr>
          <w:rFonts w:cs="Sylfaen"/>
          <w:b w:val="0"/>
          <w:szCs w:val="22"/>
          <w:lang w:val="hy-AM" w:eastAsia="en-US"/>
        </w:rPr>
        <w:t>ՀՀ 20</w:t>
      </w:r>
      <w:r w:rsidR="00D907FB" w:rsidRPr="00A83C94">
        <w:rPr>
          <w:rFonts w:cs="Sylfaen"/>
          <w:b w:val="0"/>
          <w:szCs w:val="22"/>
          <w:lang w:val="hy-AM" w:eastAsia="en-US"/>
        </w:rPr>
        <w:t>2</w:t>
      </w:r>
      <w:r w:rsidR="00B62797" w:rsidRPr="00A83C94">
        <w:rPr>
          <w:rFonts w:cs="Sylfaen"/>
          <w:b w:val="0"/>
          <w:szCs w:val="22"/>
          <w:lang w:val="hy-AM" w:eastAsia="en-US"/>
        </w:rPr>
        <w:t>2</w:t>
      </w:r>
      <w:r w:rsidRPr="00A83C94">
        <w:rPr>
          <w:rFonts w:cs="Sylfaen"/>
          <w:b w:val="0"/>
          <w:szCs w:val="22"/>
          <w:lang w:val="hy-AM" w:eastAsia="en-US"/>
        </w:rPr>
        <w:t xml:space="preserve"> թվականի պետական բյուջեի նախագծով ծախսերի ծավալը ծրագրա</w:t>
      </w:r>
      <w:r w:rsidRPr="00A83C94">
        <w:rPr>
          <w:rFonts w:cs="Sylfaen"/>
          <w:b w:val="0"/>
          <w:szCs w:val="22"/>
          <w:lang w:val="hy-AM" w:eastAsia="en-US"/>
        </w:rPr>
        <w:softHyphen/>
        <w:t xml:space="preserve">վորվել է շուրջ </w:t>
      </w:r>
      <w:r w:rsidR="0088445B" w:rsidRPr="00A83C94">
        <w:rPr>
          <w:rFonts w:cs="Sylfaen"/>
          <w:b w:val="0"/>
          <w:szCs w:val="22"/>
          <w:lang w:val="hy-AM" w:eastAsia="en-US"/>
        </w:rPr>
        <w:t>2</w:t>
      </w:r>
      <w:r w:rsidRPr="00A83C94">
        <w:rPr>
          <w:rFonts w:cs="Sylfaen"/>
          <w:b w:val="0"/>
          <w:szCs w:val="22"/>
          <w:lang w:val="hy-AM" w:eastAsia="en-US"/>
        </w:rPr>
        <w:t>,</w:t>
      </w:r>
      <w:r w:rsidR="00866F8F" w:rsidRPr="00866F8F">
        <w:rPr>
          <w:rFonts w:cs="Sylfaen"/>
          <w:b w:val="0"/>
          <w:szCs w:val="22"/>
          <w:lang w:val="af-ZA" w:eastAsia="en-US"/>
        </w:rPr>
        <w:t>18</w:t>
      </w:r>
      <w:r w:rsidR="00BD54D1">
        <w:rPr>
          <w:rFonts w:cs="Sylfaen"/>
          <w:b w:val="0"/>
          <w:szCs w:val="22"/>
          <w:lang w:val="af-ZA" w:eastAsia="en-US"/>
        </w:rPr>
        <w:t>4</w:t>
      </w:r>
      <w:r w:rsidR="00882881" w:rsidRPr="00A83C94">
        <w:rPr>
          <w:rFonts w:cs="Sylfaen"/>
          <w:b w:val="0"/>
          <w:szCs w:val="22"/>
          <w:lang w:val="hy-AM" w:eastAsia="en-US"/>
        </w:rPr>
        <w:t>.</w:t>
      </w:r>
      <w:r w:rsidR="00BD54D1" w:rsidRPr="00BD54D1">
        <w:rPr>
          <w:rFonts w:cs="Sylfaen"/>
          <w:b w:val="0"/>
          <w:szCs w:val="22"/>
          <w:lang w:val="af-ZA" w:eastAsia="en-US"/>
        </w:rPr>
        <w:t>0</w:t>
      </w:r>
      <w:r w:rsidR="00D907FB" w:rsidRPr="00A83C94">
        <w:rPr>
          <w:rFonts w:cs="Sylfaen"/>
          <w:b w:val="0"/>
          <w:szCs w:val="22"/>
          <w:lang w:val="hy-AM" w:eastAsia="en-US"/>
        </w:rPr>
        <w:t xml:space="preserve"> </w:t>
      </w:r>
      <w:r w:rsidRPr="00A83C94">
        <w:rPr>
          <w:rFonts w:cs="Sylfaen"/>
          <w:b w:val="0"/>
          <w:szCs w:val="22"/>
          <w:lang w:val="hy-AM" w:eastAsia="en-US"/>
        </w:rPr>
        <w:t>մլրդ դրամի չափով</w:t>
      </w:r>
      <w:r w:rsidR="00BE45D6" w:rsidRPr="00A83C94">
        <w:rPr>
          <w:rFonts w:cs="Sylfaen"/>
          <w:b w:val="0"/>
          <w:szCs w:val="22"/>
          <w:lang w:val="hy-AM" w:eastAsia="en-US"/>
        </w:rPr>
        <w:t>:</w:t>
      </w:r>
      <w:r w:rsidRPr="00A83C94">
        <w:rPr>
          <w:rFonts w:cs="Sylfaen"/>
          <w:b w:val="0"/>
          <w:szCs w:val="22"/>
          <w:lang w:val="hy-AM" w:eastAsia="en-US"/>
        </w:rPr>
        <w:t xml:space="preserve"> Ծախսերի ամբողջ ծավալի </w:t>
      </w:r>
      <w:r w:rsidR="004114AA" w:rsidRPr="00A83C94">
        <w:rPr>
          <w:rFonts w:cs="Sylfaen"/>
          <w:b w:val="0"/>
          <w:szCs w:val="22"/>
          <w:lang w:val="hy-AM" w:eastAsia="en-US"/>
        </w:rPr>
        <w:t>8</w:t>
      </w:r>
      <w:r w:rsidR="00413FFC" w:rsidRPr="00413FFC">
        <w:rPr>
          <w:rFonts w:cs="Sylfaen"/>
          <w:b w:val="0"/>
          <w:szCs w:val="22"/>
          <w:lang w:val="af-ZA" w:eastAsia="en-US"/>
        </w:rPr>
        <w:t>4</w:t>
      </w:r>
      <w:r w:rsidR="00C53E84" w:rsidRPr="00A83C94">
        <w:rPr>
          <w:rFonts w:cs="Sylfaen"/>
          <w:b w:val="0"/>
          <w:szCs w:val="22"/>
          <w:lang w:val="hy-AM" w:eastAsia="en-US"/>
        </w:rPr>
        <w:t>.</w:t>
      </w:r>
      <w:r w:rsidR="00BD54D1" w:rsidRPr="00BD54D1">
        <w:rPr>
          <w:rFonts w:cs="Sylfaen"/>
          <w:b w:val="0"/>
          <w:szCs w:val="22"/>
          <w:lang w:val="af-ZA" w:eastAsia="en-US"/>
        </w:rPr>
        <w:t>3</w:t>
      </w:r>
      <w:r w:rsidR="00CE3D09" w:rsidRPr="00A83C94">
        <w:rPr>
          <w:rFonts w:cs="Sylfaen"/>
          <w:b w:val="0"/>
          <w:szCs w:val="22"/>
          <w:lang w:val="hy-AM" w:eastAsia="en-US"/>
        </w:rPr>
        <w:t>%</w:t>
      </w:r>
      <w:r w:rsidRPr="00A83C94">
        <w:rPr>
          <w:rFonts w:cs="Sylfaen"/>
          <w:b w:val="0"/>
          <w:szCs w:val="22"/>
          <w:lang w:val="hy-AM" w:eastAsia="en-US"/>
        </w:rPr>
        <w:t>-ը կամ 1</w:t>
      </w:r>
      <w:r w:rsidR="00B64746" w:rsidRPr="00A83C94">
        <w:rPr>
          <w:rFonts w:cs="Sylfaen"/>
          <w:b w:val="0"/>
          <w:szCs w:val="22"/>
          <w:lang w:val="hy-AM" w:eastAsia="en-US"/>
        </w:rPr>
        <w:t>,</w:t>
      </w:r>
      <w:r w:rsidR="0088445B" w:rsidRPr="00A83C94">
        <w:rPr>
          <w:rFonts w:cs="Sylfaen"/>
          <w:b w:val="0"/>
          <w:szCs w:val="22"/>
          <w:lang w:val="hy-AM" w:eastAsia="en-US"/>
        </w:rPr>
        <w:t>8</w:t>
      </w:r>
      <w:r w:rsidR="00D94D7A" w:rsidRPr="00A83C94">
        <w:rPr>
          <w:rFonts w:cs="Sylfaen"/>
          <w:b w:val="0"/>
          <w:szCs w:val="22"/>
          <w:lang w:val="hy-AM" w:eastAsia="en-US"/>
        </w:rPr>
        <w:t>4</w:t>
      </w:r>
      <w:r w:rsidR="0088445B" w:rsidRPr="00A83C94">
        <w:rPr>
          <w:rFonts w:cs="Sylfaen"/>
          <w:b w:val="0"/>
          <w:szCs w:val="22"/>
          <w:lang w:val="hy-AM" w:eastAsia="en-US"/>
        </w:rPr>
        <w:t>2</w:t>
      </w:r>
      <w:r w:rsidR="00465ED9" w:rsidRPr="00A83C94">
        <w:rPr>
          <w:rFonts w:cs="Sylfaen"/>
          <w:b w:val="0"/>
          <w:szCs w:val="22"/>
          <w:lang w:val="hy-AM" w:eastAsia="en-US"/>
        </w:rPr>
        <w:t>.</w:t>
      </w:r>
      <w:r w:rsidR="00BD54D1" w:rsidRPr="00BD54D1">
        <w:rPr>
          <w:rFonts w:cs="Sylfaen"/>
          <w:b w:val="0"/>
          <w:szCs w:val="22"/>
          <w:lang w:val="af-ZA" w:eastAsia="en-US"/>
        </w:rPr>
        <w:t>2</w:t>
      </w:r>
      <w:r w:rsidR="00CE3D09" w:rsidRPr="00A83C94">
        <w:rPr>
          <w:rFonts w:cs="Sylfaen"/>
          <w:b w:val="0"/>
          <w:szCs w:val="22"/>
          <w:lang w:val="hy-AM" w:eastAsia="en-US"/>
        </w:rPr>
        <w:t xml:space="preserve"> </w:t>
      </w:r>
      <w:r w:rsidRPr="00A83C94">
        <w:rPr>
          <w:rFonts w:cs="Sylfaen"/>
          <w:b w:val="0"/>
          <w:szCs w:val="22"/>
          <w:lang w:val="hy-AM" w:eastAsia="en-US"/>
        </w:rPr>
        <w:t>մլրդ դրամը բա</w:t>
      </w:r>
      <w:r w:rsidRPr="00A83C94">
        <w:rPr>
          <w:rFonts w:cs="Sylfaen"/>
          <w:b w:val="0"/>
          <w:szCs w:val="22"/>
          <w:lang w:val="hy-AM" w:eastAsia="en-US"/>
        </w:rPr>
        <w:softHyphen/>
        <w:t xml:space="preserve">ժին </w:t>
      </w:r>
      <w:r w:rsidR="007F5120" w:rsidRPr="00A83C94">
        <w:rPr>
          <w:rFonts w:cs="Sylfaen"/>
          <w:b w:val="0"/>
          <w:szCs w:val="22"/>
          <w:lang w:val="hy-AM" w:eastAsia="en-US"/>
        </w:rPr>
        <w:t>է ընկ</w:t>
      </w:r>
      <w:r w:rsidR="007F5120" w:rsidRPr="00A83C94">
        <w:rPr>
          <w:rFonts w:cs="Sylfaen"/>
          <w:b w:val="0"/>
          <w:szCs w:val="22"/>
          <w:lang w:val="hy-AM" w:eastAsia="en-US"/>
        </w:rPr>
        <w:softHyphen/>
        <w:t>նում ըն</w:t>
      </w:r>
      <w:r w:rsidR="007F5120" w:rsidRPr="00A83C94">
        <w:rPr>
          <w:rFonts w:cs="Sylfaen"/>
          <w:b w:val="0"/>
          <w:szCs w:val="22"/>
          <w:lang w:val="hy-AM" w:eastAsia="en-US"/>
        </w:rPr>
        <w:softHyphen/>
        <w:t xml:space="preserve">թացիկ ծախսերին, </w:t>
      </w:r>
      <w:r w:rsidR="00413FFC">
        <w:rPr>
          <w:rFonts w:cs="Sylfaen"/>
          <w:b w:val="0"/>
          <w:szCs w:val="22"/>
          <w:lang w:val="af-ZA" w:eastAsia="en-US"/>
        </w:rPr>
        <w:t>15</w:t>
      </w:r>
      <w:r w:rsidR="00413FFC" w:rsidRPr="00413FFC">
        <w:rPr>
          <w:rFonts w:cs="Sylfaen"/>
          <w:b w:val="0"/>
          <w:szCs w:val="22"/>
          <w:lang w:val="af-ZA" w:eastAsia="en-US"/>
        </w:rPr>
        <w:t>.</w:t>
      </w:r>
      <w:r w:rsidR="00BD54D1">
        <w:rPr>
          <w:rFonts w:cs="Sylfaen"/>
          <w:b w:val="0"/>
          <w:szCs w:val="22"/>
          <w:lang w:val="af-ZA" w:eastAsia="en-US"/>
        </w:rPr>
        <w:t>7</w:t>
      </w:r>
      <w:r w:rsidRPr="00A83C94">
        <w:rPr>
          <w:rFonts w:cs="Sylfaen"/>
          <w:b w:val="0"/>
          <w:szCs w:val="22"/>
          <w:lang w:val="hy-AM" w:eastAsia="en-US"/>
        </w:rPr>
        <w:t xml:space="preserve">%-ը կամ </w:t>
      </w:r>
      <w:r w:rsidR="0088445B" w:rsidRPr="00A83C94">
        <w:rPr>
          <w:rFonts w:cs="Sylfaen"/>
          <w:b w:val="0"/>
          <w:szCs w:val="22"/>
          <w:lang w:val="hy-AM" w:eastAsia="en-US"/>
        </w:rPr>
        <w:t>3</w:t>
      </w:r>
      <w:r w:rsidR="00413FFC" w:rsidRPr="00413FFC">
        <w:rPr>
          <w:rFonts w:cs="Sylfaen"/>
          <w:b w:val="0"/>
          <w:szCs w:val="22"/>
          <w:lang w:val="af-ZA" w:eastAsia="en-US"/>
        </w:rPr>
        <w:t>4</w:t>
      </w:r>
      <w:r w:rsidR="00BD54D1">
        <w:rPr>
          <w:rFonts w:cs="Sylfaen"/>
          <w:b w:val="0"/>
          <w:szCs w:val="22"/>
          <w:lang w:val="af-ZA" w:eastAsia="en-US"/>
        </w:rPr>
        <w:t>1</w:t>
      </w:r>
      <w:r w:rsidR="00BE45D6" w:rsidRPr="00A83C94">
        <w:rPr>
          <w:rFonts w:cs="Sylfaen"/>
          <w:b w:val="0"/>
          <w:szCs w:val="22"/>
          <w:lang w:val="hy-AM" w:eastAsia="en-US"/>
        </w:rPr>
        <w:t>.</w:t>
      </w:r>
      <w:r w:rsidR="00BD54D1" w:rsidRPr="00BD54D1">
        <w:rPr>
          <w:rFonts w:cs="Sylfaen"/>
          <w:b w:val="0"/>
          <w:szCs w:val="22"/>
          <w:lang w:val="af-ZA" w:eastAsia="en-US"/>
        </w:rPr>
        <w:t>9</w:t>
      </w:r>
      <w:r w:rsidRPr="00A83C94">
        <w:rPr>
          <w:rFonts w:cs="Sylfaen"/>
          <w:b w:val="0"/>
          <w:szCs w:val="22"/>
          <w:lang w:val="hy-AM" w:eastAsia="en-US"/>
        </w:rPr>
        <w:t xml:space="preserve"> մլրդ դրամը՝ ոչ ֆինանսական ակ</w:t>
      </w:r>
      <w:r w:rsidR="00BE45D6" w:rsidRPr="00A83C94">
        <w:rPr>
          <w:rFonts w:cs="Sylfaen"/>
          <w:b w:val="0"/>
          <w:szCs w:val="22"/>
          <w:lang w:val="hy-AM" w:eastAsia="en-US"/>
        </w:rPr>
        <w:softHyphen/>
      </w:r>
      <w:r w:rsidRPr="00A83C94">
        <w:rPr>
          <w:rFonts w:cs="Sylfaen"/>
          <w:b w:val="0"/>
          <w:szCs w:val="22"/>
          <w:lang w:val="hy-AM" w:eastAsia="en-US"/>
        </w:rPr>
        <w:t>տիվ</w:t>
      </w:r>
      <w:r w:rsidR="00BE45D6" w:rsidRPr="00A83C94">
        <w:rPr>
          <w:rFonts w:cs="Sylfaen"/>
          <w:b w:val="0"/>
          <w:szCs w:val="22"/>
          <w:lang w:val="hy-AM" w:eastAsia="en-US"/>
        </w:rPr>
        <w:softHyphen/>
      </w:r>
      <w:r w:rsidRPr="00A83C94">
        <w:rPr>
          <w:rFonts w:cs="Sylfaen"/>
          <w:b w:val="0"/>
          <w:szCs w:val="22"/>
          <w:lang w:val="hy-AM" w:eastAsia="en-US"/>
        </w:rPr>
        <w:softHyphen/>
      </w:r>
      <w:r w:rsidR="00BE45D6" w:rsidRPr="00A83C94">
        <w:rPr>
          <w:rFonts w:cs="Sylfaen"/>
          <w:b w:val="0"/>
          <w:szCs w:val="22"/>
          <w:lang w:val="hy-AM" w:eastAsia="en-US"/>
        </w:rPr>
        <w:softHyphen/>
      </w:r>
      <w:r w:rsidRPr="00A83C94">
        <w:rPr>
          <w:rFonts w:cs="Sylfaen"/>
          <w:b w:val="0"/>
          <w:szCs w:val="22"/>
          <w:lang w:val="hy-AM" w:eastAsia="en-US"/>
        </w:rPr>
        <w:t>ների գծով զուտ ծախ</w:t>
      </w:r>
      <w:r w:rsidRPr="00A83C94">
        <w:rPr>
          <w:rFonts w:cs="Sylfaen"/>
          <w:b w:val="0"/>
          <w:szCs w:val="22"/>
          <w:lang w:val="hy-AM" w:eastAsia="en-US"/>
        </w:rPr>
        <w:softHyphen/>
        <w:t>սերին: ՀՀ 20</w:t>
      </w:r>
      <w:r w:rsidR="00D907FB" w:rsidRPr="00A83C94">
        <w:rPr>
          <w:rFonts w:cs="Sylfaen"/>
          <w:b w:val="0"/>
          <w:szCs w:val="22"/>
          <w:lang w:val="hy-AM" w:eastAsia="en-US"/>
        </w:rPr>
        <w:t>2</w:t>
      </w:r>
      <w:r w:rsidR="0088445B" w:rsidRPr="00A83C94">
        <w:rPr>
          <w:rFonts w:cs="Sylfaen"/>
          <w:b w:val="0"/>
          <w:szCs w:val="22"/>
          <w:lang w:val="hy-AM" w:eastAsia="en-US"/>
        </w:rPr>
        <w:t>2</w:t>
      </w:r>
      <w:r w:rsidRPr="00A83C94">
        <w:rPr>
          <w:rFonts w:cs="Sylfaen"/>
          <w:b w:val="0"/>
          <w:szCs w:val="22"/>
          <w:lang w:val="hy-AM" w:eastAsia="en-US"/>
        </w:rPr>
        <w:t xml:space="preserve"> թվականի պետական բյուջեի նախագծի ծախ</w:t>
      </w:r>
      <w:r w:rsidR="00BE45D6" w:rsidRPr="00A83C94">
        <w:rPr>
          <w:rFonts w:cs="Sylfaen"/>
          <w:b w:val="0"/>
          <w:szCs w:val="22"/>
          <w:lang w:val="hy-AM" w:eastAsia="en-US"/>
        </w:rPr>
        <w:softHyphen/>
      </w:r>
      <w:r w:rsidRPr="00A83C94">
        <w:rPr>
          <w:rFonts w:cs="Sylfaen"/>
          <w:b w:val="0"/>
          <w:szCs w:val="22"/>
          <w:lang w:val="hy-AM" w:eastAsia="en-US"/>
        </w:rPr>
        <w:t>սա</w:t>
      </w:r>
      <w:r w:rsidR="00BE45D6" w:rsidRPr="00A83C94">
        <w:rPr>
          <w:rFonts w:cs="Sylfaen"/>
          <w:b w:val="0"/>
          <w:szCs w:val="22"/>
          <w:lang w:val="hy-AM" w:eastAsia="en-US"/>
        </w:rPr>
        <w:softHyphen/>
      </w:r>
      <w:r w:rsidRPr="00A83C94">
        <w:rPr>
          <w:rFonts w:cs="Sylfaen"/>
          <w:b w:val="0"/>
          <w:szCs w:val="22"/>
          <w:lang w:val="hy-AM" w:eastAsia="en-US"/>
        </w:rPr>
        <w:t>յին մասը ՀՀ 20</w:t>
      </w:r>
      <w:r w:rsidR="00CE3D09" w:rsidRPr="00A83C94">
        <w:rPr>
          <w:rFonts w:cs="Sylfaen"/>
          <w:b w:val="0"/>
          <w:szCs w:val="22"/>
          <w:lang w:val="hy-AM" w:eastAsia="en-US"/>
        </w:rPr>
        <w:t>2</w:t>
      </w:r>
      <w:r w:rsidR="0088445B" w:rsidRPr="00A83C94">
        <w:rPr>
          <w:rFonts w:cs="Sylfaen"/>
          <w:b w:val="0"/>
          <w:szCs w:val="22"/>
          <w:lang w:val="hy-AM" w:eastAsia="en-US"/>
        </w:rPr>
        <w:t>1</w:t>
      </w:r>
      <w:r w:rsidRPr="00A83C94">
        <w:rPr>
          <w:rFonts w:cs="Sylfaen"/>
          <w:b w:val="0"/>
          <w:szCs w:val="22"/>
          <w:lang w:val="hy-AM" w:eastAsia="en-US"/>
        </w:rPr>
        <w:t xml:space="preserve"> թվականի պե</w:t>
      </w:r>
      <w:r w:rsidRPr="00A83C94">
        <w:rPr>
          <w:rFonts w:cs="Sylfaen"/>
          <w:b w:val="0"/>
          <w:szCs w:val="22"/>
          <w:lang w:val="hy-AM" w:eastAsia="en-US"/>
        </w:rPr>
        <w:softHyphen/>
        <w:t>տա</w:t>
      </w:r>
      <w:r w:rsidRPr="00A83C94">
        <w:rPr>
          <w:rFonts w:cs="Sylfaen"/>
          <w:b w:val="0"/>
          <w:szCs w:val="22"/>
          <w:lang w:val="hy-AM" w:eastAsia="en-US"/>
        </w:rPr>
        <w:softHyphen/>
        <w:t xml:space="preserve">կան բյուջեի </w:t>
      </w:r>
      <w:r w:rsidR="00CE3D09" w:rsidRPr="00A83C94">
        <w:rPr>
          <w:rFonts w:cs="Sylfaen"/>
          <w:b w:val="0"/>
          <w:szCs w:val="22"/>
          <w:lang w:val="hy-AM" w:eastAsia="en-US"/>
        </w:rPr>
        <w:t>հաստատված</w:t>
      </w:r>
      <w:r w:rsidRPr="00A83C94">
        <w:rPr>
          <w:rFonts w:cs="Sylfaen"/>
          <w:b w:val="0"/>
          <w:szCs w:val="22"/>
          <w:lang w:val="hy-AM" w:eastAsia="en-US"/>
        </w:rPr>
        <w:t xml:space="preserve"> մակարդակի համեմատ </w:t>
      </w:r>
      <w:r w:rsidR="005A319E" w:rsidRPr="00A83C94">
        <w:rPr>
          <w:rFonts w:cs="Sylfaen"/>
          <w:b w:val="0"/>
          <w:szCs w:val="22"/>
          <w:lang w:val="hy-AM" w:eastAsia="en-US"/>
        </w:rPr>
        <w:t>ավելացել</w:t>
      </w:r>
      <w:r w:rsidRPr="00A83C94">
        <w:rPr>
          <w:rFonts w:cs="Sylfaen"/>
          <w:b w:val="0"/>
          <w:szCs w:val="22"/>
          <w:lang w:val="hy-AM" w:eastAsia="en-US"/>
        </w:rPr>
        <w:t xml:space="preserve"> է շուրջ </w:t>
      </w:r>
      <w:r w:rsidR="005A319E" w:rsidRPr="00A83C94">
        <w:rPr>
          <w:rFonts w:cs="Sylfaen"/>
          <w:b w:val="0"/>
          <w:szCs w:val="22"/>
          <w:lang w:val="hy-AM" w:eastAsia="en-US"/>
        </w:rPr>
        <w:t>3</w:t>
      </w:r>
      <w:r w:rsidR="00413FFC" w:rsidRPr="00413FFC">
        <w:rPr>
          <w:rFonts w:cs="Sylfaen"/>
          <w:b w:val="0"/>
          <w:szCs w:val="22"/>
          <w:lang w:val="af-ZA" w:eastAsia="en-US"/>
        </w:rPr>
        <w:t>3</w:t>
      </w:r>
      <w:r w:rsidR="00BD54D1">
        <w:rPr>
          <w:rFonts w:cs="Sylfaen"/>
          <w:b w:val="0"/>
          <w:szCs w:val="22"/>
          <w:lang w:val="af-ZA" w:eastAsia="en-US"/>
        </w:rPr>
        <w:t>3.2</w:t>
      </w:r>
      <w:r w:rsidR="00413FFC">
        <w:rPr>
          <w:rFonts w:cs="Sylfaen"/>
          <w:b w:val="0"/>
          <w:szCs w:val="22"/>
          <w:lang w:val="hy-AM" w:eastAsia="en-US"/>
        </w:rPr>
        <w:t xml:space="preserve"> </w:t>
      </w:r>
      <w:r w:rsidRPr="00A83C94">
        <w:rPr>
          <w:rFonts w:cs="Sylfaen"/>
          <w:b w:val="0"/>
          <w:szCs w:val="22"/>
          <w:lang w:val="hy-AM" w:eastAsia="en-US"/>
        </w:rPr>
        <w:t xml:space="preserve">մլրդ դրամով: </w:t>
      </w:r>
    </w:p>
    <w:p w14:paraId="7E9C0C24" w14:textId="0E2EFF8E" w:rsidR="0075265B" w:rsidRPr="00A83C94" w:rsidRDefault="0075265B" w:rsidP="007730AA">
      <w:pPr>
        <w:spacing w:before="0" w:line="276" w:lineRule="auto"/>
        <w:rPr>
          <w:rFonts w:cs="Sylfaen"/>
          <w:b w:val="0"/>
          <w:szCs w:val="22"/>
          <w:lang w:val="hy-AM" w:eastAsia="en-US"/>
        </w:rPr>
      </w:pPr>
      <w:r w:rsidRPr="00A83C94">
        <w:rPr>
          <w:rFonts w:cs="Sylfaen"/>
          <w:b w:val="0"/>
          <w:szCs w:val="22"/>
          <w:lang w:val="hy-AM" w:eastAsia="en-US"/>
        </w:rPr>
        <w:t>Նախագծով առաջարկվող բյուջետային ծախսերի ծավալները, կազմն ու կառուցվա</w:t>
      </w:r>
      <w:r w:rsidR="00D907FB" w:rsidRPr="00A83C94">
        <w:rPr>
          <w:rFonts w:cs="Sylfaen"/>
          <w:b w:val="0"/>
          <w:szCs w:val="22"/>
          <w:lang w:val="hy-AM" w:eastAsia="en-US"/>
        </w:rPr>
        <w:t>ծքը ձևա</w:t>
      </w:r>
      <w:r w:rsidR="00D907FB" w:rsidRPr="00A83C94">
        <w:rPr>
          <w:rFonts w:cs="Sylfaen"/>
          <w:b w:val="0"/>
          <w:szCs w:val="22"/>
          <w:lang w:val="hy-AM" w:eastAsia="en-US"/>
        </w:rPr>
        <w:softHyphen/>
      </w:r>
      <w:r w:rsidR="00D907FB" w:rsidRPr="00A83C94">
        <w:rPr>
          <w:rFonts w:cs="Sylfaen"/>
          <w:b w:val="0"/>
          <w:szCs w:val="22"/>
          <w:lang w:val="hy-AM" w:eastAsia="en-US"/>
        </w:rPr>
        <w:softHyphen/>
      </w:r>
      <w:r w:rsidR="00D907FB" w:rsidRPr="00A83C94">
        <w:rPr>
          <w:rFonts w:cs="Sylfaen"/>
          <w:b w:val="0"/>
          <w:szCs w:val="22"/>
          <w:lang w:val="hy-AM" w:eastAsia="en-US"/>
        </w:rPr>
        <w:softHyphen/>
        <w:t>վոր</w:t>
      </w:r>
      <w:r w:rsidR="00D907FB" w:rsidRPr="00A83C94">
        <w:rPr>
          <w:rFonts w:cs="Sylfaen"/>
          <w:b w:val="0"/>
          <w:szCs w:val="22"/>
          <w:lang w:val="hy-AM" w:eastAsia="en-US"/>
        </w:rPr>
        <w:softHyphen/>
        <w:t>վել են ելնելով 202</w:t>
      </w:r>
      <w:r w:rsidR="009A1774" w:rsidRPr="00A83C94">
        <w:rPr>
          <w:rFonts w:cs="Sylfaen"/>
          <w:b w:val="0"/>
          <w:szCs w:val="22"/>
          <w:lang w:val="hy-AM" w:eastAsia="en-US"/>
        </w:rPr>
        <w:t>2</w:t>
      </w:r>
      <w:r w:rsidRPr="00A83C94">
        <w:rPr>
          <w:rFonts w:cs="Sylfaen"/>
          <w:b w:val="0"/>
          <w:szCs w:val="22"/>
          <w:lang w:val="hy-AM" w:eastAsia="en-US"/>
        </w:rPr>
        <w:t xml:space="preserve"> թվականի մակրոտնտեսական կանխա</w:t>
      </w:r>
      <w:r w:rsidRPr="00A83C94">
        <w:rPr>
          <w:rFonts w:cs="Sylfaen"/>
          <w:b w:val="0"/>
          <w:szCs w:val="22"/>
          <w:lang w:val="hy-AM" w:eastAsia="en-US"/>
        </w:rPr>
        <w:softHyphen/>
        <w:t>տեսումներից, գների և սա</w:t>
      </w:r>
      <w:r w:rsidRPr="00A83C94">
        <w:rPr>
          <w:rFonts w:cs="Sylfaen"/>
          <w:b w:val="0"/>
          <w:szCs w:val="22"/>
          <w:lang w:val="hy-AM" w:eastAsia="en-US"/>
        </w:rPr>
        <w:softHyphen/>
        <w:t>կագների կանխատեսվող ցուցանիշներից, հանրապետու</w:t>
      </w:r>
      <w:r w:rsidRPr="00A83C94">
        <w:rPr>
          <w:rFonts w:cs="Sylfaen"/>
          <w:b w:val="0"/>
          <w:szCs w:val="22"/>
          <w:lang w:val="hy-AM" w:eastAsia="en-US"/>
        </w:rPr>
        <w:softHyphen/>
        <w:t>թյունում տնտեսական հարա</w:t>
      </w:r>
      <w:r w:rsidRPr="00A83C94">
        <w:rPr>
          <w:rFonts w:cs="Sylfaen"/>
          <w:b w:val="0"/>
          <w:szCs w:val="22"/>
          <w:lang w:val="hy-AM" w:eastAsia="en-US"/>
        </w:rPr>
        <w:softHyphen/>
        <w:t>բե</w:t>
      </w:r>
      <w:r w:rsidRPr="00A83C94">
        <w:rPr>
          <w:rFonts w:cs="Sylfaen"/>
          <w:b w:val="0"/>
          <w:szCs w:val="22"/>
          <w:lang w:val="hy-AM" w:eastAsia="en-US"/>
        </w:rPr>
        <w:softHyphen/>
        <w:t>րու</w:t>
      </w:r>
      <w:r w:rsidRPr="00A83C94">
        <w:rPr>
          <w:rFonts w:cs="Sylfaen"/>
          <w:b w:val="0"/>
          <w:szCs w:val="22"/>
          <w:lang w:val="hy-AM" w:eastAsia="en-US"/>
        </w:rPr>
        <w:softHyphen/>
      </w:r>
      <w:r w:rsidRPr="00A83C94">
        <w:rPr>
          <w:rFonts w:cs="Sylfaen"/>
          <w:b w:val="0"/>
          <w:szCs w:val="22"/>
          <w:lang w:val="hy-AM" w:eastAsia="en-US"/>
        </w:rPr>
        <w:softHyphen/>
        <w:t>թյուն</w:t>
      </w:r>
      <w:r w:rsidRPr="00A83C94">
        <w:rPr>
          <w:rFonts w:cs="Sylfaen"/>
          <w:b w:val="0"/>
          <w:szCs w:val="22"/>
          <w:lang w:val="hy-AM" w:eastAsia="en-US"/>
        </w:rPr>
        <w:softHyphen/>
      </w:r>
      <w:r w:rsidRPr="00A83C94">
        <w:rPr>
          <w:rFonts w:cs="Sylfaen"/>
          <w:b w:val="0"/>
          <w:szCs w:val="22"/>
          <w:lang w:val="hy-AM" w:eastAsia="en-US"/>
        </w:rPr>
        <w:softHyphen/>
        <w:t>ների բնա</w:t>
      </w:r>
      <w:r w:rsidRPr="00A83C94">
        <w:rPr>
          <w:rFonts w:cs="Sylfaen"/>
          <w:b w:val="0"/>
          <w:szCs w:val="22"/>
          <w:lang w:val="hy-AM" w:eastAsia="en-US"/>
        </w:rPr>
        <w:softHyphen/>
        <w:t>կա</w:t>
      </w:r>
      <w:r w:rsidRPr="00A83C94">
        <w:rPr>
          <w:rFonts w:cs="Sylfaen"/>
          <w:b w:val="0"/>
          <w:szCs w:val="22"/>
          <w:lang w:val="hy-AM" w:eastAsia="en-US"/>
        </w:rPr>
        <w:softHyphen/>
        <w:t>նոն ընթացքը խաթարող նոր բյուջետային պարտքերի չառաջացման ան</w:t>
      </w:r>
      <w:r w:rsidRPr="00A83C94">
        <w:rPr>
          <w:rFonts w:cs="Sylfaen"/>
          <w:b w:val="0"/>
          <w:szCs w:val="22"/>
          <w:lang w:val="hy-AM" w:eastAsia="en-US"/>
        </w:rPr>
        <w:softHyphen/>
        <w:t>հրա</w:t>
      </w:r>
      <w:r w:rsidRPr="00A83C94">
        <w:rPr>
          <w:rFonts w:cs="Sylfaen"/>
          <w:b w:val="0"/>
          <w:szCs w:val="22"/>
          <w:lang w:val="hy-AM" w:eastAsia="en-US"/>
        </w:rPr>
        <w:softHyphen/>
      </w:r>
      <w:r w:rsidRPr="00A83C94">
        <w:rPr>
          <w:rFonts w:cs="Sylfaen"/>
          <w:b w:val="0"/>
          <w:szCs w:val="22"/>
          <w:lang w:val="hy-AM" w:eastAsia="en-US"/>
        </w:rPr>
        <w:softHyphen/>
        <w:t>ժեշտությունից ու առանձին ծախսա</w:t>
      </w:r>
      <w:r w:rsidRPr="00A83C94">
        <w:rPr>
          <w:rFonts w:cs="Sylfaen"/>
          <w:b w:val="0"/>
          <w:szCs w:val="22"/>
          <w:lang w:val="hy-AM" w:eastAsia="en-US"/>
        </w:rPr>
        <w:softHyphen/>
        <w:t>տե</w:t>
      </w:r>
      <w:r w:rsidRPr="00A83C94">
        <w:rPr>
          <w:rFonts w:cs="Sylfaen"/>
          <w:b w:val="0"/>
          <w:szCs w:val="22"/>
          <w:lang w:val="hy-AM" w:eastAsia="en-US"/>
        </w:rPr>
        <w:softHyphen/>
        <w:t>սակների գծով մշակված բյուջետային նոր</w:t>
      </w:r>
      <w:r w:rsidRPr="00A83C94">
        <w:rPr>
          <w:rFonts w:cs="Sylfaen"/>
          <w:b w:val="0"/>
          <w:szCs w:val="22"/>
          <w:lang w:val="hy-AM" w:eastAsia="en-US"/>
        </w:rPr>
        <w:softHyphen/>
        <w:t>մատի</w:t>
      </w:r>
      <w:r w:rsidRPr="00A83C94">
        <w:rPr>
          <w:rFonts w:cs="Sylfaen"/>
          <w:b w:val="0"/>
          <w:szCs w:val="22"/>
          <w:lang w:val="hy-AM" w:eastAsia="en-US"/>
        </w:rPr>
        <w:softHyphen/>
        <w:t>վ</w:t>
      </w:r>
      <w:r w:rsidRPr="00A83C94">
        <w:rPr>
          <w:rFonts w:cs="Sylfaen"/>
          <w:b w:val="0"/>
          <w:szCs w:val="22"/>
          <w:lang w:val="hy-AM" w:eastAsia="en-US"/>
        </w:rPr>
        <w:softHyphen/>
        <w:t>նե</w:t>
      </w:r>
      <w:r w:rsidRPr="00A83C94">
        <w:rPr>
          <w:rFonts w:cs="Sylfaen"/>
          <w:b w:val="0"/>
          <w:szCs w:val="22"/>
          <w:lang w:val="hy-AM" w:eastAsia="en-US"/>
        </w:rPr>
        <w:softHyphen/>
        <w:t>րից:</w:t>
      </w:r>
    </w:p>
    <w:p w14:paraId="438AC879" w14:textId="5F27E0A4" w:rsidR="00FC44D9" w:rsidRPr="00A83C94" w:rsidRDefault="0075265B" w:rsidP="00A5558B">
      <w:pPr>
        <w:pStyle w:val="BodyText2"/>
      </w:pPr>
      <w:r w:rsidRPr="00A83C94">
        <w:t>«Հայաստանի Հանրապետության 20</w:t>
      </w:r>
      <w:r w:rsidR="00D907FB" w:rsidRPr="00A83C94">
        <w:t>2</w:t>
      </w:r>
      <w:r w:rsidR="002C26F9" w:rsidRPr="00A83C94">
        <w:t>2</w:t>
      </w:r>
      <w:r w:rsidRPr="00A83C94">
        <w:t xml:space="preserve"> թվականի պետական բյուջեի մասին» ՀՀ օրեն</w:t>
      </w:r>
      <w:r w:rsidRPr="00A83C94">
        <w:softHyphen/>
        <w:t>քի նա</w:t>
      </w:r>
      <w:r w:rsidRPr="00A83C94">
        <w:softHyphen/>
        <w:t>խագ</w:t>
      </w:r>
      <w:r w:rsidR="00D907FB" w:rsidRPr="00A83C94">
        <w:t>ի</w:t>
      </w:r>
      <w:r w:rsidRPr="00A83C94">
        <w:t>ծը</w:t>
      </w:r>
      <w:r w:rsidR="001E6978" w:rsidRPr="00A83C94">
        <w:t xml:space="preserve"> </w:t>
      </w:r>
      <w:r w:rsidRPr="00A83C94">
        <w:t>կազմվել է Ծրագրային բյուջետավորման</w:t>
      </w:r>
      <w:r w:rsidR="001E6978" w:rsidRPr="00A83C94">
        <w:t xml:space="preserve"> </w:t>
      </w:r>
      <w:r w:rsidRPr="00A83C94">
        <w:t>ձևաչափով՝</w:t>
      </w:r>
      <w:r w:rsidR="001E6978" w:rsidRPr="00A83C94">
        <w:t xml:space="preserve"> </w:t>
      </w:r>
      <w:r w:rsidRPr="00A83C94">
        <w:t>«Հայաստանի Հանրապետու</w:t>
      </w:r>
      <w:r w:rsidR="00B330BE" w:rsidRPr="00A83C94">
        <w:softHyphen/>
      </w:r>
      <w:r w:rsidRPr="00A83C94">
        <w:t>թյան բյուջետային</w:t>
      </w:r>
      <w:r w:rsidR="001E6978" w:rsidRPr="00A83C94">
        <w:t xml:space="preserve"> </w:t>
      </w:r>
      <w:r w:rsidRPr="00A83C94">
        <w:t>համակարգի</w:t>
      </w:r>
      <w:r w:rsidR="001E6978" w:rsidRPr="00A83C94">
        <w:t xml:space="preserve"> </w:t>
      </w:r>
      <w:r w:rsidRPr="00A83C94">
        <w:t>մաս</w:t>
      </w:r>
      <w:r w:rsidR="00C9600C" w:rsidRPr="00A83C94">
        <w:t>ին» ՀՀ</w:t>
      </w:r>
      <w:r w:rsidR="004630AC" w:rsidRPr="00A83C94">
        <w:t xml:space="preserve"> </w:t>
      </w:r>
      <w:r w:rsidR="00C9600C" w:rsidRPr="00A83C94">
        <w:t xml:space="preserve"> օրենքի </w:t>
      </w:r>
      <w:r w:rsidRPr="00A83C94">
        <w:t>պահանջ</w:t>
      </w:r>
      <w:r w:rsidR="004630AC" w:rsidRPr="00A83C94">
        <w:softHyphen/>
      </w:r>
      <w:r w:rsidRPr="00A83C94">
        <w:t>ներին</w:t>
      </w:r>
      <w:r w:rsidR="001E6978" w:rsidRPr="00A83C94">
        <w:t xml:space="preserve"> </w:t>
      </w:r>
      <w:r w:rsidRPr="00A83C94">
        <w:t>համահունչ,</w:t>
      </w:r>
      <w:r w:rsidR="001E6978" w:rsidRPr="00A83C94">
        <w:t xml:space="preserve"> </w:t>
      </w:r>
      <w:r w:rsidRPr="00A83C94">
        <w:t>ապահովելով ծրագրայ</w:t>
      </w:r>
      <w:r w:rsidR="00C9600C" w:rsidRPr="00A83C94">
        <w:t xml:space="preserve">ին բյուջետավորման սկզբունքների </w:t>
      </w:r>
      <w:r w:rsidRPr="00A83C94">
        <w:t>ամբողջական ներդրումը: Ծրագրային բյուջետա</w:t>
      </w:r>
      <w:r w:rsidR="004630AC" w:rsidRPr="00A83C94">
        <w:softHyphen/>
      </w:r>
      <w:r w:rsidRPr="00A83C94">
        <w:t>վոր</w:t>
      </w:r>
      <w:r w:rsidR="004630AC" w:rsidRPr="00A83C94">
        <w:softHyphen/>
      </w:r>
      <w:r w:rsidRPr="00A83C94">
        <w:t>ման համակարգի ներդրման հիմնական նպատակն է բարելավել հանրային ծախսերի առաջնահերթությունների սահմանումը և բարձրացնել հանրային ֆինանսների կառավարման թափանցիկությունը, հաշվետվողա</w:t>
      </w:r>
      <w:r w:rsidR="00465ED9" w:rsidRPr="00A83C94">
        <w:softHyphen/>
      </w:r>
      <w:r w:rsidRPr="00A83C94">
        <w:t>կանությունը, արդյունավետությունը և արդյունքայնությունը, ինչպես նաև բյուջետային տեղեկատվությունը ներկայացնել այնպիսի ձևաչափով, որը</w:t>
      </w:r>
      <w:r w:rsidR="001E6978" w:rsidRPr="00A83C94">
        <w:t xml:space="preserve"> </w:t>
      </w:r>
      <w:r w:rsidRPr="00A83C94">
        <w:t>հնարավոր կդարձնի վերահսկել, թե ինչպես է բյուջեն օգտագործվում ընդունված քաղաքա</w:t>
      </w:r>
      <w:r w:rsidR="004630AC" w:rsidRPr="00A83C94">
        <w:softHyphen/>
      </w:r>
      <w:r w:rsidRPr="00A83C94">
        <w:t>կանություններն իրականաց</w:t>
      </w:r>
      <w:r w:rsidRPr="00A83C94">
        <w:softHyphen/>
        <w:t>նելու համար: Փոփոխությունները</w:t>
      </w:r>
      <w:r w:rsidR="001E6978" w:rsidRPr="00A83C94">
        <w:t xml:space="preserve"> </w:t>
      </w:r>
      <w:r w:rsidRPr="00A83C94">
        <w:t>ֆորմալ առումով ուղղված են ծրագրային դասակարգումը՝ որպես բյուջետային հատկացումների հիմնական դասակարգում սահմանելուն, բյուջետային գործընթացի բոլոր փուլերում (բյուջեի պլանավորում, կատարում, հաշվետվողականություն):</w:t>
      </w:r>
    </w:p>
    <w:p w14:paraId="3E39AC7D" w14:textId="7AA75FA9" w:rsidR="004630AC" w:rsidRPr="00A83C94" w:rsidRDefault="004630AC" w:rsidP="00A5558B">
      <w:pPr>
        <w:pStyle w:val="BodyText2"/>
        <w:rPr>
          <w:rFonts w:cs="Times Armenian"/>
          <w:color w:val="000000"/>
        </w:rPr>
      </w:pPr>
      <w:r w:rsidRPr="00A83C94">
        <w:t>ՀՀ 20</w:t>
      </w:r>
      <w:r w:rsidR="005B556E" w:rsidRPr="00A83C94">
        <w:t>2</w:t>
      </w:r>
      <w:r w:rsidR="002C26F9" w:rsidRPr="00A83C94">
        <w:t>2</w:t>
      </w:r>
      <w:r w:rsidRPr="00A83C94">
        <w:t xml:space="preserve"> թվականի պետական բյուջեի նախագծով </w:t>
      </w:r>
      <w:r w:rsidR="005D70C0" w:rsidRPr="00A83C94">
        <w:t>ելքային</w:t>
      </w:r>
      <w:r w:rsidRPr="00A83C94">
        <w:t xml:space="preserve"> ծրագրերի </w:t>
      </w:r>
      <w:r w:rsidR="005D70C0" w:rsidRPr="00A83C94">
        <w:t xml:space="preserve">և միջոցառումների գծով արդյունքային (կատարողական) ցուցանիշներն ու ծախսային </w:t>
      </w:r>
      <w:r w:rsidRPr="00A83C94">
        <w:t xml:space="preserve"> ծրագր</w:t>
      </w:r>
      <w:r w:rsidR="005D70C0" w:rsidRPr="00A83C94">
        <w:t>երի գծով վերջնական արդյունքային ցուցանիշները</w:t>
      </w:r>
      <w:r w:rsidRPr="00A83C94">
        <w:t xml:space="preserve"> ներկայացված են համապատասխանաբար սույն բա</w:t>
      </w:r>
      <w:r w:rsidRPr="00A83C94">
        <w:softHyphen/>
        <w:t xml:space="preserve">ցատրագրի NN </w:t>
      </w:r>
      <w:r w:rsidR="007D2ACE" w:rsidRPr="00A83C94">
        <w:t>3</w:t>
      </w:r>
      <w:r w:rsidRPr="00A83C94">
        <w:t xml:space="preserve"> և 1</w:t>
      </w:r>
      <w:r w:rsidR="005641FB" w:rsidRPr="00A83C94">
        <w:t>3</w:t>
      </w:r>
      <w:r w:rsidRPr="00A83C94">
        <w:t xml:space="preserve"> հավելվածներում:</w:t>
      </w:r>
      <w:r w:rsidRPr="00A83C94">
        <w:rPr>
          <w:rFonts w:cs="Times Armenian"/>
        </w:rPr>
        <w:t xml:space="preserve"> </w:t>
      </w:r>
    </w:p>
    <w:p w14:paraId="459B0BC8" w14:textId="08FB4F16" w:rsidR="00E85612" w:rsidRPr="00A83C94" w:rsidRDefault="00E85612" w:rsidP="00A5558B">
      <w:pPr>
        <w:pStyle w:val="BodyText2"/>
      </w:pPr>
    </w:p>
    <w:p w14:paraId="2C15B28B" w14:textId="1E4F11CF" w:rsidR="00C87101" w:rsidRPr="00A83C94" w:rsidRDefault="00C87101" w:rsidP="00A5558B">
      <w:pPr>
        <w:pStyle w:val="BodyText2"/>
      </w:pPr>
    </w:p>
    <w:p w14:paraId="5A6AEF6A" w14:textId="42CF7AC2" w:rsidR="00C87101" w:rsidRPr="00A83C94" w:rsidRDefault="00C87101" w:rsidP="00A5558B">
      <w:pPr>
        <w:pStyle w:val="BodyText2"/>
      </w:pPr>
    </w:p>
    <w:p w14:paraId="2CA53567" w14:textId="53926EC9" w:rsidR="00C87101" w:rsidRPr="00A83C94" w:rsidRDefault="00C87101" w:rsidP="00A5558B">
      <w:pPr>
        <w:pStyle w:val="BodyText2"/>
      </w:pPr>
    </w:p>
    <w:p w14:paraId="33B107E3" w14:textId="3C5D872E" w:rsidR="00C87101" w:rsidRPr="00A83C94" w:rsidRDefault="00C87101" w:rsidP="00A5558B">
      <w:pPr>
        <w:pStyle w:val="BodyText2"/>
      </w:pPr>
    </w:p>
    <w:p w14:paraId="6B17BBFC" w14:textId="5B9F9DC5" w:rsidR="00C87101" w:rsidRPr="00A83C94" w:rsidRDefault="00C87101" w:rsidP="00A5558B">
      <w:pPr>
        <w:pStyle w:val="BodyText2"/>
      </w:pPr>
    </w:p>
    <w:p w14:paraId="1574833C" w14:textId="6E11EBD3" w:rsidR="00C87101" w:rsidRPr="00A83C94" w:rsidRDefault="00C87101" w:rsidP="00A5558B">
      <w:pPr>
        <w:pStyle w:val="BodyText2"/>
      </w:pPr>
    </w:p>
    <w:p w14:paraId="4090EB0C" w14:textId="075B73B0" w:rsidR="00C87101" w:rsidRPr="00A83C94" w:rsidRDefault="00C87101" w:rsidP="00A5558B">
      <w:pPr>
        <w:pStyle w:val="BodyText2"/>
      </w:pPr>
    </w:p>
    <w:p w14:paraId="5A71E6B3" w14:textId="33CC2BEA" w:rsidR="00C87101" w:rsidRPr="00A83C94" w:rsidRDefault="00C87101" w:rsidP="00A5558B">
      <w:pPr>
        <w:pStyle w:val="BodyText2"/>
      </w:pPr>
    </w:p>
    <w:p w14:paraId="3ABD7026" w14:textId="2EDD0780" w:rsidR="00C87101" w:rsidRPr="00A83C94" w:rsidRDefault="00C87101" w:rsidP="00A5558B">
      <w:pPr>
        <w:pStyle w:val="BodyText2"/>
      </w:pPr>
    </w:p>
    <w:p w14:paraId="7075833A" w14:textId="0E18D05B" w:rsidR="00C87101" w:rsidRPr="00A83C94" w:rsidRDefault="00C87101" w:rsidP="00A5558B">
      <w:pPr>
        <w:pStyle w:val="BodyText2"/>
      </w:pPr>
    </w:p>
    <w:p w14:paraId="68FDDED1" w14:textId="77777777" w:rsidR="00C87101" w:rsidRPr="00A83C94" w:rsidRDefault="00C87101" w:rsidP="00A5558B">
      <w:pPr>
        <w:pStyle w:val="BodyText2"/>
      </w:pPr>
    </w:p>
    <w:p w14:paraId="4E4CCED7" w14:textId="77777777" w:rsidR="00071A75" w:rsidRDefault="00071A75">
      <w:pPr>
        <w:spacing w:before="0" w:line="240" w:lineRule="auto"/>
        <w:ind w:firstLine="0"/>
        <w:contextualSpacing w:val="0"/>
        <w:jc w:val="left"/>
        <w:rPr>
          <w:rFonts w:eastAsia="Calibri" w:cs="GHEA Grapalat"/>
          <w:bCs/>
          <w:sz w:val="24"/>
          <w:szCs w:val="26"/>
          <w:lang w:val="hy-AM" w:eastAsia="en-US"/>
        </w:rPr>
      </w:pPr>
      <w:bookmarkStart w:id="253" w:name="_Toc57655469"/>
      <w:bookmarkStart w:id="254" w:name="_Toc83631020"/>
      <w:r>
        <w:rPr>
          <w:rFonts w:eastAsia="Calibri" w:cs="GHEA Grapalat"/>
          <w:bCs/>
          <w:sz w:val="24"/>
          <w:szCs w:val="26"/>
          <w:lang w:val="hy-AM" w:eastAsia="en-US"/>
        </w:rPr>
        <w:br w:type="page"/>
      </w:r>
    </w:p>
    <w:p w14:paraId="55600679" w14:textId="2E38A633" w:rsidR="00D471FC" w:rsidRPr="00A83C94" w:rsidRDefault="00D471FC" w:rsidP="00D471FC">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55" w:name="_Toc89428308"/>
      <w:r w:rsidRPr="00A83C94">
        <w:rPr>
          <w:rFonts w:eastAsia="Calibri" w:cs="GHEA Grapalat"/>
          <w:bCs/>
          <w:sz w:val="24"/>
          <w:szCs w:val="26"/>
          <w:lang w:val="af-ZA" w:eastAsia="en-US"/>
        </w:rPr>
        <w:t>ԾԱԽՍԵՐՆ ԸՍՏ ՏՆՏԵՍԱԳԻՏԱԿԱՆ ԴԱՍԱԿԱՐԳՄԱՆ</w:t>
      </w:r>
      <w:bookmarkEnd w:id="253"/>
      <w:bookmarkEnd w:id="255"/>
    </w:p>
    <w:p w14:paraId="5FE52659" w14:textId="77777777" w:rsidR="00D471FC" w:rsidRPr="00A83C94" w:rsidRDefault="00D471FC" w:rsidP="00D471FC">
      <w:pPr>
        <w:spacing w:before="0" w:line="276" w:lineRule="auto"/>
        <w:ind w:firstLine="720"/>
        <w:contextualSpacing w:val="0"/>
        <w:rPr>
          <w:b w:val="0"/>
          <w:szCs w:val="22"/>
          <w:lang w:val="af-ZA" w:eastAsia="en-US"/>
        </w:rPr>
      </w:pPr>
    </w:p>
    <w:p w14:paraId="50457917" w14:textId="77777777" w:rsidR="005B7218" w:rsidRPr="00A83C94" w:rsidRDefault="005B7218" w:rsidP="005B7218">
      <w:pPr>
        <w:spacing w:before="0" w:line="276" w:lineRule="auto"/>
        <w:ind w:firstLine="720"/>
        <w:contextualSpacing w:val="0"/>
        <w:rPr>
          <w:rFonts w:cs="Sylfaen"/>
          <w:b w:val="0"/>
          <w:szCs w:val="22"/>
          <w:lang w:val="hy-AM" w:eastAsia="en-US"/>
        </w:rPr>
      </w:pPr>
      <w:r w:rsidRPr="00A83C94">
        <w:rPr>
          <w:b w:val="0"/>
          <w:szCs w:val="22"/>
          <w:lang w:val="af-ZA" w:eastAsia="en-US"/>
        </w:rPr>
        <w:t>2022</w:t>
      </w:r>
      <w:r w:rsidRPr="00A83C94">
        <w:rPr>
          <w:b w:val="0"/>
          <w:szCs w:val="22"/>
          <w:lang w:val="hy-AM" w:eastAsia="en-US"/>
        </w:rPr>
        <w:t xml:space="preserve"> թվակա</w:t>
      </w:r>
      <w:r w:rsidRPr="00A83C94">
        <w:rPr>
          <w:rFonts w:cs="Sylfaen"/>
          <w:b w:val="0"/>
          <w:szCs w:val="22"/>
          <w:lang w:val="hy-AM" w:eastAsia="en-US"/>
        </w:rPr>
        <w:t>նի</w:t>
      </w:r>
      <w:r w:rsidRPr="00A83C94">
        <w:rPr>
          <w:b w:val="0"/>
          <w:szCs w:val="22"/>
          <w:lang w:val="af-ZA" w:eastAsia="en-US"/>
        </w:rPr>
        <w:t xml:space="preserve"> </w:t>
      </w:r>
      <w:r w:rsidRPr="00A83C94">
        <w:rPr>
          <w:rFonts w:cs="Sylfaen"/>
          <w:b w:val="0"/>
          <w:szCs w:val="22"/>
          <w:lang w:val="hy-AM" w:eastAsia="en-US"/>
        </w:rPr>
        <w:t>պետական</w:t>
      </w:r>
      <w:r w:rsidRPr="00A83C94">
        <w:rPr>
          <w:b w:val="0"/>
          <w:szCs w:val="22"/>
          <w:lang w:val="af-ZA" w:eastAsia="en-US"/>
        </w:rPr>
        <w:t xml:space="preserve"> </w:t>
      </w:r>
      <w:r w:rsidRPr="00A83C94">
        <w:rPr>
          <w:rFonts w:cs="Sylfaen"/>
          <w:b w:val="0"/>
          <w:szCs w:val="22"/>
          <w:lang w:val="hy-AM" w:eastAsia="en-US"/>
        </w:rPr>
        <w:t>բյուջեի</w:t>
      </w:r>
      <w:r w:rsidRPr="00A83C94">
        <w:rPr>
          <w:b w:val="0"/>
          <w:szCs w:val="22"/>
          <w:lang w:val="af-ZA" w:eastAsia="en-US"/>
        </w:rPr>
        <w:t xml:space="preserve"> </w:t>
      </w:r>
      <w:r w:rsidRPr="00A83C94">
        <w:rPr>
          <w:b w:val="0"/>
          <w:szCs w:val="22"/>
          <w:lang w:val="it-IT" w:eastAsia="en-US"/>
        </w:rPr>
        <w:t>ընթա</w:t>
      </w:r>
      <w:r w:rsidRPr="00A83C94">
        <w:rPr>
          <w:b w:val="0"/>
          <w:szCs w:val="22"/>
          <w:lang w:val="it-IT" w:eastAsia="en-US"/>
        </w:rPr>
        <w:softHyphen/>
        <w:t>ցիկ</w:t>
      </w:r>
      <w:r w:rsidRPr="00A83C94">
        <w:rPr>
          <w:b w:val="0"/>
          <w:szCs w:val="22"/>
          <w:lang w:val="af-ZA" w:eastAsia="en-US"/>
        </w:rPr>
        <w:t xml:space="preserve"> </w:t>
      </w:r>
      <w:r w:rsidRPr="00A83C94">
        <w:rPr>
          <w:rFonts w:cs="Sylfaen"/>
          <w:b w:val="0"/>
          <w:szCs w:val="22"/>
          <w:lang w:val="hy-AM" w:eastAsia="en-US"/>
        </w:rPr>
        <w:t>ծախ</w:t>
      </w:r>
      <w:r w:rsidRPr="00A83C94">
        <w:rPr>
          <w:rFonts w:cs="Sylfaen"/>
          <w:b w:val="0"/>
          <w:szCs w:val="22"/>
          <w:lang w:val="af-ZA" w:eastAsia="en-US"/>
        </w:rPr>
        <w:softHyphen/>
      </w:r>
      <w:r w:rsidRPr="00A83C94">
        <w:rPr>
          <w:rFonts w:cs="Sylfaen"/>
          <w:b w:val="0"/>
          <w:szCs w:val="22"/>
          <w:lang w:val="hy-AM" w:eastAsia="en-US"/>
        </w:rPr>
        <w:t>սերի</w:t>
      </w:r>
      <w:r w:rsidRPr="00A83C94">
        <w:rPr>
          <w:b w:val="0"/>
          <w:szCs w:val="22"/>
          <w:lang w:val="af-ZA" w:eastAsia="en-US"/>
        </w:rPr>
        <w:t xml:space="preserve"> </w:t>
      </w:r>
      <w:r w:rsidRPr="00A83C94">
        <w:rPr>
          <w:rFonts w:cs="Sylfaen"/>
          <w:b w:val="0"/>
          <w:szCs w:val="22"/>
          <w:lang w:val="hy-AM" w:eastAsia="en-US"/>
        </w:rPr>
        <w:t>հարա</w:t>
      </w:r>
      <w:r w:rsidRPr="00A83C94">
        <w:rPr>
          <w:rFonts w:cs="Sylfaen"/>
          <w:b w:val="0"/>
          <w:szCs w:val="22"/>
          <w:lang w:val="af-ZA" w:eastAsia="en-US"/>
        </w:rPr>
        <w:softHyphen/>
      </w:r>
      <w:r w:rsidRPr="00A83C94">
        <w:rPr>
          <w:rFonts w:cs="Sylfaen"/>
          <w:b w:val="0"/>
          <w:szCs w:val="22"/>
          <w:lang w:val="hy-AM" w:eastAsia="en-US"/>
        </w:rPr>
        <w:t>բերակցությունը</w:t>
      </w:r>
      <w:r w:rsidRPr="00A83C94">
        <w:rPr>
          <w:b w:val="0"/>
          <w:szCs w:val="22"/>
          <w:lang w:val="af-ZA" w:eastAsia="en-US"/>
        </w:rPr>
        <w:t xml:space="preserve"> </w:t>
      </w:r>
      <w:r w:rsidRPr="00A83C94">
        <w:rPr>
          <w:rFonts w:cs="Sylfaen"/>
          <w:b w:val="0"/>
          <w:szCs w:val="22"/>
          <w:lang w:val="hy-AM" w:eastAsia="en-US"/>
        </w:rPr>
        <w:t>ՀՆԱ</w:t>
      </w:r>
      <w:r w:rsidRPr="00A83C94">
        <w:rPr>
          <w:b w:val="0"/>
          <w:szCs w:val="22"/>
          <w:lang w:val="af-ZA" w:eastAsia="en-US"/>
        </w:rPr>
        <w:t>-</w:t>
      </w:r>
      <w:r w:rsidRPr="00A83C94">
        <w:rPr>
          <w:rFonts w:cs="Sylfaen"/>
          <w:b w:val="0"/>
          <w:szCs w:val="22"/>
          <w:lang w:val="hy-AM" w:eastAsia="en-US"/>
        </w:rPr>
        <w:t>ի</w:t>
      </w:r>
      <w:r w:rsidRPr="00A83C94">
        <w:rPr>
          <w:b w:val="0"/>
          <w:szCs w:val="22"/>
          <w:lang w:val="af-ZA" w:eastAsia="en-US"/>
        </w:rPr>
        <w:t xml:space="preserve"> </w:t>
      </w:r>
      <w:r w:rsidRPr="00A83C94">
        <w:rPr>
          <w:rFonts w:cs="Sylfaen"/>
          <w:b w:val="0"/>
          <w:szCs w:val="22"/>
          <w:lang w:val="hy-AM" w:eastAsia="en-US"/>
        </w:rPr>
        <w:t>նկատմամբ կազմում է 2</w:t>
      </w:r>
      <w:r w:rsidRPr="00A83C94">
        <w:rPr>
          <w:rFonts w:cs="Sylfaen"/>
          <w:b w:val="0"/>
          <w:szCs w:val="22"/>
          <w:lang w:val="af-ZA" w:eastAsia="en-US"/>
        </w:rPr>
        <w:t>3</w:t>
      </w:r>
      <w:r w:rsidRPr="00A83C94">
        <w:rPr>
          <w:rFonts w:cs="Sylfaen"/>
          <w:b w:val="0"/>
          <w:szCs w:val="22"/>
          <w:lang w:val="hy-AM" w:eastAsia="en-US"/>
        </w:rPr>
        <w:t>.</w:t>
      </w:r>
      <w:r w:rsidRPr="00A83C94">
        <w:rPr>
          <w:rFonts w:cs="Sylfaen"/>
          <w:b w:val="0"/>
          <w:szCs w:val="22"/>
          <w:lang w:val="af-ZA" w:eastAsia="en-US"/>
        </w:rPr>
        <w:t>4</w:t>
      </w:r>
      <w:r w:rsidRPr="00A83C94">
        <w:rPr>
          <w:rFonts w:cs="Sylfaen"/>
          <w:b w:val="0"/>
          <w:szCs w:val="22"/>
          <w:lang w:val="hy-AM" w:eastAsia="en-US"/>
        </w:rPr>
        <w:t xml:space="preserve"> %: Նույն ժա</w:t>
      </w:r>
      <w:r w:rsidRPr="00A83C94">
        <w:rPr>
          <w:rFonts w:cs="Sylfaen"/>
          <w:b w:val="0"/>
          <w:szCs w:val="22"/>
          <w:lang w:val="hy-AM" w:eastAsia="en-US"/>
        </w:rPr>
        <w:softHyphen/>
        <w:t>մա</w:t>
      </w:r>
      <w:r w:rsidRPr="00A83C94">
        <w:rPr>
          <w:rFonts w:cs="Sylfaen"/>
          <w:b w:val="0"/>
          <w:szCs w:val="22"/>
          <w:lang w:val="hy-AM" w:eastAsia="en-US"/>
        </w:rPr>
        <w:softHyphen/>
        <w:t>նա</w:t>
      </w:r>
      <w:r w:rsidRPr="00A83C94">
        <w:rPr>
          <w:rFonts w:cs="Sylfaen"/>
          <w:b w:val="0"/>
          <w:szCs w:val="22"/>
          <w:lang w:val="hy-AM" w:eastAsia="en-US"/>
        </w:rPr>
        <w:softHyphen/>
        <w:t>կա</w:t>
      </w:r>
      <w:r w:rsidRPr="00A83C94">
        <w:rPr>
          <w:rFonts w:cs="Sylfaen"/>
          <w:b w:val="0"/>
          <w:szCs w:val="22"/>
          <w:lang w:val="hy-AM" w:eastAsia="en-US"/>
        </w:rPr>
        <w:softHyphen/>
        <w:t>հատ</w:t>
      </w:r>
      <w:r w:rsidRPr="00A83C94">
        <w:rPr>
          <w:rFonts w:cs="Sylfaen"/>
          <w:b w:val="0"/>
          <w:szCs w:val="22"/>
          <w:lang w:val="hy-AM" w:eastAsia="en-US"/>
        </w:rPr>
        <w:softHyphen/>
        <w:t>վա</w:t>
      </w:r>
      <w:r w:rsidRPr="00A83C94">
        <w:rPr>
          <w:rFonts w:cs="Sylfaen"/>
          <w:b w:val="0"/>
          <w:szCs w:val="22"/>
          <w:lang w:val="hy-AM" w:eastAsia="en-US"/>
        </w:rPr>
        <w:softHyphen/>
        <w:t>ծում ոչ ֆինանսական ակտիվների գծով զուտ ծախ</w:t>
      </w:r>
      <w:r w:rsidRPr="00A83C94">
        <w:rPr>
          <w:rFonts w:cs="Sylfaen"/>
          <w:b w:val="0"/>
          <w:szCs w:val="22"/>
          <w:lang w:val="hy-AM" w:eastAsia="en-US"/>
        </w:rPr>
        <w:softHyphen/>
        <w:t>սերի հարա</w:t>
      </w:r>
      <w:r w:rsidRPr="00A83C94">
        <w:rPr>
          <w:rFonts w:cs="Sylfaen"/>
          <w:b w:val="0"/>
          <w:szCs w:val="22"/>
          <w:lang w:val="hy-AM" w:eastAsia="en-US"/>
        </w:rPr>
        <w:softHyphen/>
        <w:t>բե</w:t>
      </w:r>
      <w:r w:rsidRPr="00A83C94">
        <w:rPr>
          <w:rFonts w:cs="Sylfaen"/>
          <w:b w:val="0"/>
          <w:szCs w:val="22"/>
          <w:lang w:val="hy-AM" w:eastAsia="en-US"/>
        </w:rPr>
        <w:softHyphen/>
        <w:t>րակ</w:t>
      </w:r>
      <w:r w:rsidRPr="00A83C94">
        <w:rPr>
          <w:rFonts w:cs="Sylfaen"/>
          <w:b w:val="0"/>
          <w:szCs w:val="22"/>
          <w:lang w:val="hy-AM" w:eastAsia="en-US"/>
        </w:rPr>
        <w:softHyphen/>
        <w:t>ցությունները ՀՆԱ-ի նկատ</w:t>
      </w:r>
      <w:r w:rsidRPr="00A83C94">
        <w:rPr>
          <w:rFonts w:cs="Sylfaen"/>
          <w:b w:val="0"/>
          <w:szCs w:val="22"/>
          <w:lang w:val="hy-AM" w:eastAsia="en-US"/>
        </w:rPr>
        <w:softHyphen/>
        <w:t xml:space="preserve">մամբ կազմում է </w:t>
      </w:r>
      <w:r w:rsidRPr="00121056">
        <w:rPr>
          <w:rFonts w:cs="Sylfaen"/>
          <w:b w:val="0"/>
          <w:szCs w:val="22"/>
          <w:lang w:val="af-ZA" w:eastAsia="en-US"/>
        </w:rPr>
        <w:t>4.</w:t>
      </w:r>
      <w:r>
        <w:rPr>
          <w:rFonts w:cs="Sylfaen"/>
          <w:b w:val="0"/>
          <w:szCs w:val="22"/>
          <w:lang w:val="hy-AM" w:eastAsia="en-US"/>
        </w:rPr>
        <w:t>3</w:t>
      </w:r>
      <w:r w:rsidRPr="00A83C94">
        <w:rPr>
          <w:rFonts w:cs="Sylfaen"/>
          <w:b w:val="0"/>
          <w:szCs w:val="22"/>
          <w:lang w:val="hy-AM" w:eastAsia="en-US"/>
        </w:rPr>
        <w:t xml:space="preserve">%: </w:t>
      </w:r>
    </w:p>
    <w:p w14:paraId="144349D0" w14:textId="576F1897" w:rsidR="005B7218" w:rsidRPr="005F516C" w:rsidRDefault="005B7218" w:rsidP="005B7218">
      <w:pPr>
        <w:pStyle w:val="Caption"/>
        <w:rPr>
          <w:lang w:val="af-ZA"/>
        </w:rPr>
      </w:pPr>
      <w:bookmarkStart w:id="256" w:name="_Toc57631761"/>
      <w:bookmarkStart w:id="257" w:name="_Toc83752674"/>
      <w:bookmarkStart w:id="258" w:name="_Toc83928946"/>
      <w:bookmarkStart w:id="259" w:name="_Toc89428770"/>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10</w:t>
      </w:r>
      <w:r>
        <w:fldChar w:fldCharType="end"/>
      </w:r>
      <w:r w:rsidRPr="008150A1">
        <w:rPr>
          <w:rFonts w:ascii="Cambria Math" w:hAnsi="Cambria Math" w:cs="Cambria Math"/>
          <w:lang w:val="hy-AM"/>
        </w:rPr>
        <w:t>․</w:t>
      </w:r>
      <w:r w:rsidRPr="005F516C">
        <w:rPr>
          <w:lang w:val="af-ZA"/>
        </w:rPr>
        <w:t xml:space="preserve"> </w:t>
      </w:r>
      <w:r w:rsidRPr="005F516C">
        <w:rPr>
          <w:b/>
          <w:i/>
          <w:sz w:val="20"/>
          <w:szCs w:val="20"/>
          <w:lang w:val="af-ZA"/>
        </w:rPr>
        <w:t>2018-2022</w:t>
      </w:r>
      <w:r w:rsidRPr="008B1D49">
        <w:rPr>
          <w:b/>
          <w:i/>
          <w:sz w:val="20"/>
          <w:szCs w:val="20"/>
          <w:lang w:val="hy-AM"/>
        </w:rPr>
        <w:t>թթ</w:t>
      </w:r>
      <w:r w:rsidRPr="005F516C">
        <w:rPr>
          <w:b/>
          <w:i/>
          <w:sz w:val="20"/>
          <w:szCs w:val="20"/>
          <w:lang w:val="af-ZA"/>
        </w:rPr>
        <w:t xml:space="preserve"> </w:t>
      </w:r>
      <w:r w:rsidRPr="008B1D49">
        <w:rPr>
          <w:b/>
          <w:i/>
          <w:sz w:val="20"/>
          <w:szCs w:val="20"/>
          <w:lang w:val="hy-AM"/>
        </w:rPr>
        <w:t>ընթացիկ</w:t>
      </w:r>
      <w:r w:rsidRPr="005F516C">
        <w:rPr>
          <w:b/>
          <w:i/>
          <w:sz w:val="20"/>
          <w:szCs w:val="20"/>
          <w:lang w:val="af-ZA"/>
        </w:rPr>
        <w:t xml:space="preserve"> </w:t>
      </w:r>
      <w:r w:rsidRPr="008B1D49">
        <w:rPr>
          <w:b/>
          <w:i/>
          <w:sz w:val="20"/>
          <w:szCs w:val="20"/>
          <w:lang w:val="hy-AM"/>
        </w:rPr>
        <w:t>և</w:t>
      </w:r>
      <w:r w:rsidRPr="005F516C">
        <w:rPr>
          <w:b/>
          <w:i/>
          <w:sz w:val="20"/>
          <w:szCs w:val="20"/>
          <w:lang w:val="af-ZA"/>
        </w:rPr>
        <w:t xml:space="preserve"> </w:t>
      </w:r>
      <w:r w:rsidRPr="008B1D49">
        <w:rPr>
          <w:b/>
          <w:i/>
          <w:sz w:val="20"/>
          <w:szCs w:val="20"/>
          <w:lang w:val="hy-AM"/>
        </w:rPr>
        <w:t>ոչ</w:t>
      </w:r>
      <w:r w:rsidRPr="005F516C">
        <w:rPr>
          <w:b/>
          <w:i/>
          <w:sz w:val="20"/>
          <w:szCs w:val="20"/>
          <w:lang w:val="af-ZA"/>
        </w:rPr>
        <w:t xml:space="preserve"> </w:t>
      </w:r>
      <w:r w:rsidRPr="008B1D49">
        <w:rPr>
          <w:b/>
          <w:i/>
          <w:sz w:val="20"/>
          <w:szCs w:val="20"/>
          <w:lang w:val="hy-AM"/>
        </w:rPr>
        <w:t>ֆինանսական</w:t>
      </w:r>
      <w:r w:rsidRPr="005F516C">
        <w:rPr>
          <w:b/>
          <w:i/>
          <w:sz w:val="20"/>
          <w:szCs w:val="20"/>
          <w:lang w:val="af-ZA"/>
        </w:rPr>
        <w:t xml:space="preserve"> </w:t>
      </w:r>
      <w:r w:rsidRPr="008B1D49">
        <w:rPr>
          <w:b/>
          <w:i/>
          <w:sz w:val="20"/>
          <w:szCs w:val="20"/>
          <w:lang w:val="hy-AM"/>
        </w:rPr>
        <w:t>ակտիվների</w:t>
      </w:r>
      <w:r w:rsidRPr="005F516C">
        <w:rPr>
          <w:b/>
          <w:i/>
          <w:sz w:val="20"/>
          <w:szCs w:val="20"/>
          <w:lang w:val="af-ZA"/>
        </w:rPr>
        <w:t xml:space="preserve"> </w:t>
      </w:r>
      <w:r w:rsidRPr="008B1D49">
        <w:rPr>
          <w:b/>
          <w:i/>
          <w:sz w:val="20"/>
          <w:szCs w:val="20"/>
          <w:lang w:val="hy-AM"/>
        </w:rPr>
        <w:t>գծով</w:t>
      </w:r>
      <w:r w:rsidRPr="005F516C">
        <w:rPr>
          <w:b/>
          <w:i/>
          <w:sz w:val="20"/>
          <w:szCs w:val="20"/>
          <w:lang w:val="af-ZA"/>
        </w:rPr>
        <w:t xml:space="preserve"> </w:t>
      </w:r>
      <w:r w:rsidRPr="008B1D49">
        <w:rPr>
          <w:b/>
          <w:i/>
          <w:sz w:val="20"/>
          <w:szCs w:val="20"/>
          <w:lang w:val="hy-AM"/>
        </w:rPr>
        <w:t>ծախսերի</w:t>
      </w:r>
      <w:r w:rsidRPr="005F516C">
        <w:rPr>
          <w:b/>
          <w:i/>
          <w:sz w:val="20"/>
          <w:szCs w:val="20"/>
          <w:lang w:val="af-ZA"/>
        </w:rPr>
        <w:t xml:space="preserve"> </w:t>
      </w:r>
      <w:r w:rsidRPr="008B1D49">
        <w:rPr>
          <w:b/>
          <w:i/>
          <w:sz w:val="20"/>
          <w:szCs w:val="20"/>
          <w:lang w:val="hy-AM"/>
        </w:rPr>
        <w:t>փոփոխության</w:t>
      </w:r>
      <w:r w:rsidRPr="005F516C">
        <w:rPr>
          <w:b/>
          <w:i/>
          <w:sz w:val="20"/>
          <w:szCs w:val="20"/>
          <w:lang w:val="af-ZA"/>
        </w:rPr>
        <w:t xml:space="preserve"> </w:t>
      </w:r>
      <w:r w:rsidRPr="008B1D49">
        <w:rPr>
          <w:b/>
          <w:i/>
          <w:sz w:val="20"/>
          <w:szCs w:val="20"/>
          <w:lang w:val="hy-AM"/>
        </w:rPr>
        <w:t>և</w:t>
      </w:r>
      <w:r w:rsidRPr="005F516C">
        <w:rPr>
          <w:b/>
          <w:i/>
          <w:sz w:val="20"/>
          <w:szCs w:val="20"/>
          <w:lang w:val="af-ZA"/>
        </w:rPr>
        <w:t xml:space="preserve"> </w:t>
      </w:r>
      <w:r w:rsidRPr="008B1D49">
        <w:rPr>
          <w:b/>
          <w:i/>
          <w:sz w:val="20"/>
          <w:szCs w:val="20"/>
          <w:lang w:val="hy-AM"/>
        </w:rPr>
        <w:t>հարաբերակցության</w:t>
      </w:r>
      <w:r w:rsidRPr="005F516C">
        <w:rPr>
          <w:b/>
          <w:i/>
          <w:sz w:val="20"/>
          <w:szCs w:val="20"/>
          <w:lang w:val="af-ZA"/>
        </w:rPr>
        <w:t xml:space="preserve"> </w:t>
      </w:r>
      <w:r w:rsidRPr="008B1D49">
        <w:rPr>
          <w:b/>
          <w:i/>
          <w:sz w:val="20"/>
          <w:szCs w:val="20"/>
          <w:lang w:val="hy-AM"/>
        </w:rPr>
        <w:t>միտումները</w:t>
      </w:r>
      <w:bookmarkEnd w:id="256"/>
      <w:bookmarkEnd w:id="257"/>
      <w:bookmarkEnd w:id="258"/>
      <w:bookmarkEnd w:id="259"/>
    </w:p>
    <w:tbl>
      <w:tblPr>
        <w:tblW w:w="10633" w:type="dxa"/>
        <w:tblInd w:w="-436" w:type="dxa"/>
        <w:tblLayout w:type="fixed"/>
        <w:tblLook w:val="04A0" w:firstRow="1" w:lastRow="0" w:firstColumn="1" w:lastColumn="0" w:noHBand="0" w:noVBand="1"/>
      </w:tblPr>
      <w:tblGrid>
        <w:gridCol w:w="4048"/>
        <w:gridCol w:w="1210"/>
        <w:gridCol w:w="1210"/>
        <w:gridCol w:w="1285"/>
        <w:gridCol w:w="1604"/>
        <w:gridCol w:w="1276"/>
      </w:tblGrid>
      <w:tr w:rsidR="005B7218" w:rsidRPr="00A83C94" w14:paraId="179DA2AB" w14:textId="77777777" w:rsidTr="00027FBF">
        <w:trPr>
          <w:trHeight w:val="300"/>
        </w:trPr>
        <w:tc>
          <w:tcPr>
            <w:tcW w:w="4048"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14:paraId="74737DF6"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bookmarkStart w:id="260" w:name="RANGE!B6"/>
            <w:bookmarkStart w:id="261" w:name="_Toc52223577"/>
            <w:r w:rsidRPr="00A83C94">
              <w:rPr>
                <w:rFonts w:cs="Calibri"/>
                <w:b w:val="0"/>
                <w:color w:val="FFFFFF"/>
                <w:sz w:val="20"/>
                <w:szCs w:val="20"/>
                <w:lang w:val="en-US" w:eastAsia="en-US"/>
              </w:rPr>
              <w:t>Ցուցանիշներ</w:t>
            </w:r>
            <w:bookmarkEnd w:id="260"/>
          </w:p>
        </w:tc>
        <w:tc>
          <w:tcPr>
            <w:tcW w:w="1210" w:type="dxa"/>
            <w:tcBorders>
              <w:top w:val="single" w:sz="8" w:space="0" w:color="auto"/>
              <w:left w:val="nil"/>
              <w:bottom w:val="nil"/>
              <w:right w:val="single" w:sz="8" w:space="0" w:color="auto"/>
            </w:tcBorders>
            <w:shd w:val="clear" w:color="000000" w:fill="2E74B5"/>
            <w:vAlign w:val="center"/>
            <w:hideMark/>
          </w:tcPr>
          <w:p w14:paraId="0DB43890"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2018թ.</w:t>
            </w:r>
          </w:p>
        </w:tc>
        <w:tc>
          <w:tcPr>
            <w:tcW w:w="1210" w:type="dxa"/>
            <w:tcBorders>
              <w:top w:val="single" w:sz="8" w:space="0" w:color="auto"/>
              <w:left w:val="nil"/>
              <w:bottom w:val="nil"/>
              <w:right w:val="single" w:sz="8" w:space="0" w:color="auto"/>
            </w:tcBorders>
            <w:shd w:val="clear" w:color="000000" w:fill="2E74B5"/>
            <w:vAlign w:val="center"/>
            <w:hideMark/>
          </w:tcPr>
          <w:p w14:paraId="55EA98E5"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2019թ.</w:t>
            </w:r>
          </w:p>
        </w:tc>
        <w:tc>
          <w:tcPr>
            <w:tcW w:w="1285" w:type="dxa"/>
            <w:tcBorders>
              <w:top w:val="single" w:sz="8" w:space="0" w:color="auto"/>
              <w:left w:val="nil"/>
              <w:bottom w:val="nil"/>
              <w:right w:val="single" w:sz="8" w:space="0" w:color="auto"/>
            </w:tcBorders>
            <w:shd w:val="clear" w:color="000000" w:fill="2E74B5"/>
            <w:vAlign w:val="center"/>
            <w:hideMark/>
          </w:tcPr>
          <w:p w14:paraId="23F865F4"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2020թ.</w:t>
            </w:r>
          </w:p>
        </w:tc>
        <w:tc>
          <w:tcPr>
            <w:tcW w:w="1604" w:type="dxa"/>
            <w:vMerge w:val="restart"/>
            <w:tcBorders>
              <w:top w:val="single" w:sz="8" w:space="0" w:color="auto"/>
              <w:left w:val="single" w:sz="8" w:space="0" w:color="auto"/>
              <w:bottom w:val="single" w:sz="8" w:space="0" w:color="000000"/>
              <w:right w:val="single" w:sz="8" w:space="0" w:color="auto"/>
            </w:tcBorders>
            <w:shd w:val="clear" w:color="000000" w:fill="2E74B5"/>
            <w:vAlign w:val="center"/>
            <w:hideMark/>
          </w:tcPr>
          <w:p w14:paraId="0B6C168A"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2021թ. հաստատված</w:t>
            </w:r>
          </w:p>
        </w:tc>
        <w:tc>
          <w:tcPr>
            <w:tcW w:w="1276" w:type="dxa"/>
            <w:tcBorders>
              <w:top w:val="single" w:sz="8" w:space="0" w:color="auto"/>
              <w:left w:val="nil"/>
              <w:bottom w:val="nil"/>
              <w:right w:val="single" w:sz="8" w:space="0" w:color="auto"/>
            </w:tcBorders>
            <w:shd w:val="clear" w:color="000000" w:fill="2E74B5"/>
            <w:vAlign w:val="center"/>
            <w:hideMark/>
          </w:tcPr>
          <w:p w14:paraId="4CA957E4"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2022թ.</w:t>
            </w:r>
          </w:p>
        </w:tc>
      </w:tr>
      <w:tr w:rsidR="005B7218" w:rsidRPr="00A83C94" w14:paraId="6117105B" w14:textId="77777777" w:rsidTr="00027FBF">
        <w:trPr>
          <w:trHeight w:val="555"/>
        </w:trPr>
        <w:tc>
          <w:tcPr>
            <w:tcW w:w="4048" w:type="dxa"/>
            <w:vMerge/>
            <w:tcBorders>
              <w:top w:val="single" w:sz="8" w:space="0" w:color="auto"/>
              <w:left w:val="single" w:sz="8" w:space="0" w:color="auto"/>
              <w:bottom w:val="single" w:sz="8" w:space="0" w:color="000000"/>
              <w:right w:val="single" w:sz="8" w:space="0" w:color="auto"/>
            </w:tcBorders>
            <w:vAlign w:val="center"/>
            <w:hideMark/>
          </w:tcPr>
          <w:p w14:paraId="15762F9F" w14:textId="77777777" w:rsidR="005B7218" w:rsidRPr="00A83C94" w:rsidRDefault="005B7218" w:rsidP="00027FBF">
            <w:pPr>
              <w:spacing w:before="0" w:line="240" w:lineRule="auto"/>
              <w:ind w:firstLine="0"/>
              <w:contextualSpacing w:val="0"/>
              <w:jc w:val="left"/>
              <w:rPr>
                <w:rFonts w:cs="Calibri"/>
                <w:b w:val="0"/>
                <w:color w:val="FFFFFF"/>
                <w:sz w:val="20"/>
                <w:szCs w:val="20"/>
                <w:lang w:val="en-US" w:eastAsia="en-US"/>
              </w:rPr>
            </w:pPr>
          </w:p>
        </w:tc>
        <w:tc>
          <w:tcPr>
            <w:tcW w:w="1210" w:type="dxa"/>
            <w:tcBorders>
              <w:top w:val="nil"/>
              <w:left w:val="nil"/>
              <w:bottom w:val="single" w:sz="8" w:space="0" w:color="auto"/>
              <w:right w:val="single" w:sz="8" w:space="0" w:color="auto"/>
            </w:tcBorders>
            <w:shd w:val="clear" w:color="000000" w:fill="2E74B5"/>
            <w:vAlign w:val="center"/>
            <w:hideMark/>
          </w:tcPr>
          <w:p w14:paraId="720DB4C2"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փաստացի</w:t>
            </w:r>
          </w:p>
        </w:tc>
        <w:tc>
          <w:tcPr>
            <w:tcW w:w="1210" w:type="dxa"/>
            <w:tcBorders>
              <w:top w:val="nil"/>
              <w:left w:val="nil"/>
              <w:bottom w:val="single" w:sz="8" w:space="0" w:color="auto"/>
              <w:right w:val="single" w:sz="8" w:space="0" w:color="auto"/>
            </w:tcBorders>
            <w:shd w:val="clear" w:color="000000" w:fill="2E74B5"/>
            <w:vAlign w:val="center"/>
            <w:hideMark/>
          </w:tcPr>
          <w:p w14:paraId="12DC7A0E"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փաստացի</w:t>
            </w:r>
          </w:p>
        </w:tc>
        <w:tc>
          <w:tcPr>
            <w:tcW w:w="1285" w:type="dxa"/>
            <w:tcBorders>
              <w:top w:val="nil"/>
              <w:left w:val="nil"/>
              <w:bottom w:val="single" w:sz="8" w:space="0" w:color="auto"/>
              <w:right w:val="single" w:sz="8" w:space="0" w:color="auto"/>
            </w:tcBorders>
            <w:shd w:val="clear" w:color="000000" w:fill="2E74B5"/>
            <w:vAlign w:val="center"/>
            <w:hideMark/>
          </w:tcPr>
          <w:p w14:paraId="2F431D11"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փաստացի</w:t>
            </w:r>
          </w:p>
        </w:tc>
        <w:tc>
          <w:tcPr>
            <w:tcW w:w="1604" w:type="dxa"/>
            <w:vMerge/>
            <w:tcBorders>
              <w:top w:val="single" w:sz="8" w:space="0" w:color="auto"/>
              <w:left w:val="single" w:sz="8" w:space="0" w:color="auto"/>
              <w:bottom w:val="single" w:sz="8" w:space="0" w:color="000000"/>
              <w:right w:val="single" w:sz="8" w:space="0" w:color="auto"/>
            </w:tcBorders>
            <w:vAlign w:val="center"/>
            <w:hideMark/>
          </w:tcPr>
          <w:p w14:paraId="3CBECE92" w14:textId="77777777" w:rsidR="005B7218" w:rsidRPr="00A83C94" w:rsidRDefault="005B7218" w:rsidP="00027FBF">
            <w:pPr>
              <w:spacing w:before="0" w:line="240" w:lineRule="auto"/>
              <w:ind w:firstLine="0"/>
              <w:contextualSpacing w:val="0"/>
              <w:jc w:val="left"/>
              <w:rPr>
                <w:rFonts w:cs="Calibri"/>
                <w:b w:val="0"/>
                <w:color w:val="FFFFFF"/>
                <w:sz w:val="20"/>
                <w:szCs w:val="20"/>
                <w:lang w:val="en-US" w:eastAsia="en-US"/>
              </w:rPr>
            </w:pPr>
          </w:p>
        </w:tc>
        <w:tc>
          <w:tcPr>
            <w:tcW w:w="1276" w:type="dxa"/>
            <w:tcBorders>
              <w:top w:val="nil"/>
              <w:left w:val="nil"/>
              <w:bottom w:val="single" w:sz="8" w:space="0" w:color="auto"/>
              <w:right w:val="single" w:sz="8" w:space="0" w:color="auto"/>
            </w:tcBorders>
            <w:shd w:val="clear" w:color="000000" w:fill="2E74B5"/>
            <w:vAlign w:val="center"/>
            <w:hideMark/>
          </w:tcPr>
          <w:p w14:paraId="7F07961F"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բյուջեի նախագիծ</w:t>
            </w:r>
          </w:p>
        </w:tc>
      </w:tr>
      <w:tr w:rsidR="005B7218" w:rsidRPr="00A83C94" w14:paraId="7AAD6FB8" w14:textId="77777777" w:rsidTr="00027FBF">
        <w:trPr>
          <w:trHeight w:val="300"/>
        </w:trPr>
        <w:tc>
          <w:tcPr>
            <w:tcW w:w="4048" w:type="dxa"/>
            <w:tcBorders>
              <w:top w:val="nil"/>
              <w:left w:val="single" w:sz="8" w:space="0" w:color="auto"/>
              <w:bottom w:val="nil"/>
              <w:right w:val="single" w:sz="8" w:space="0" w:color="auto"/>
            </w:tcBorders>
            <w:shd w:val="clear" w:color="000000" w:fill="D5DCE4"/>
            <w:vAlign w:val="center"/>
            <w:hideMark/>
          </w:tcPr>
          <w:p w14:paraId="4CDB5EE1" w14:textId="77777777" w:rsidR="005B7218" w:rsidRPr="00A83C94" w:rsidRDefault="005B7218"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 xml:space="preserve">ԸՆԴԱՄԵՆԸ ԾԱԽՍԵՐ, </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16D3C631"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1,447,083</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5670138"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1,629,437</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6BA69CC1"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1,894,647</w:t>
            </w:r>
          </w:p>
        </w:tc>
        <w:tc>
          <w:tcPr>
            <w:tcW w:w="1604"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71D88907"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1,850,878</w:t>
            </w:r>
          </w:p>
        </w:tc>
        <w:tc>
          <w:tcPr>
            <w:tcW w:w="1276" w:type="dxa"/>
            <w:tcBorders>
              <w:top w:val="nil"/>
              <w:left w:val="nil"/>
              <w:bottom w:val="nil"/>
              <w:right w:val="single" w:sz="8" w:space="0" w:color="auto"/>
            </w:tcBorders>
            <w:shd w:val="clear" w:color="000000" w:fill="D5DCE4"/>
            <w:vAlign w:val="center"/>
          </w:tcPr>
          <w:p w14:paraId="1B0DC78F" w14:textId="77777777" w:rsidR="005B7218" w:rsidRPr="00774722" w:rsidRDefault="005B7218" w:rsidP="00027FBF">
            <w:pPr>
              <w:spacing w:before="0" w:line="240" w:lineRule="auto"/>
              <w:ind w:firstLine="0"/>
              <w:contextualSpacing w:val="0"/>
              <w:jc w:val="center"/>
              <w:rPr>
                <w:rFonts w:cs="Calibri"/>
                <w:b w:val="0"/>
                <w:color w:val="000000"/>
                <w:sz w:val="18"/>
                <w:szCs w:val="18"/>
                <w:lang w:val="en-US" w:eastAsia="en-US"/>
              </w:rPr>
            </w:pPr>
          </w:p>
        </w:tc>
      </w:tr>
      <w:tr w:rsidR="005B7218" w:rsidRPr="00A83C94" w14:paraId="00D16DF8" w14:textId="77777777" w:rsidTr="00027FBF">
        <w:trPr>
          <w:trHeight w:val="60"/>
        </w:trPr>
        <w:tc>
          <w:tcPr>
            <w:tcW w:w="4048" w:type="dxa"/>
            <w:tcBorders>
              <w:top w:val="nil"/>
              <w:left w:val="single" w:sz="8" w:space="0" w:color="auto"/>
              <w:bottom w:val="nil"/>
              <w:right w:val="single" w:sz="8" w:space="0" w:color="auto"/>
            </w:tcBorders>
            <w:shd w:val="clear" w:color="000000" w:fill="D5DCE4"/>
            <w:vAlign w:val="center"/>
            <w:hideMark/>
          </w:tcPr>
          <w:p w14:paraId="6AA3DD94" w14:textId="77777777" w:rsidR="005B7218" w:rsidRPr="00A83C94" w:rsidRDefault="005B7218" w:rsidP="00027FBF">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(մլն դրամ)</w:t>
            </w:r>
          </w:p>
        </w:tc>
        <w:tc>
          <w:tcPr>
            <w:tcW w:w="1210" w:type="dxa"/>
            <w:vMerge/>
            <w:tcBorders>
              <w:top w:val="nil"/>
              <w:left w:val="single" w:sz="8" w:space="0" w:color="auto"/>
              <w:bottom w:val="single" w:sz="8" w:space="0" w:color="000000"/>
              <w:right w:val="single" w:sz="8" w:space="0" w:color="auto"/>
            </w:tcBorders>
            <w:vAlign w:val="center"/>
            <w:hideMark/>
          </w:tcPr>
          <w:p w14:paraId="2B785AA6"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433A4AA7"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hideMark/>
          </w:tcPr>
          <w:p w14:paraId="2E4EB2EC"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hideMark/>
          </w:tcPr>
          <w:p w14:paraId="1C32E1CD"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p>
        </w:tc>
        <w:tc>
          <w:tcPr>
            <w:tcW w:w="1276" w:type="dxa"/>
            <w:tcBorders>
              <w:top w:val="nil"/>
              <w:left w:val="nil"/>
              <w:bottom w:val="nil"/>
              <w:right w:val="single" w:sz="8" w:space="0" w:color="auto"/>
            </w:tcBorders>
            <w:shd w:val="clear" w:color="000000" w:fill="D5DCE4"/>
            <w:vAlign w:val="center"/>
            <w:hideMark/>
          </w:tcPr>
          <w:p w14:paraId="670D35AF" w14:textId="77777777" w:rsidR="005B7218" w:rsidRPr="00AA7DDC" w:rsidRDefault="005B7218" w:rsidP="00027FBF">
            <w:pPr>
              <w:spacing w:before="0" w:line="240" w:lineRule="auto"/>
              <w:ind w:firstLine="0"/>
              <w:contextualSpacing w:val="0"/>
              <w:jc w:val="center"/>
              <w:rPr>
                <w:rFonts w:cs="Calibri"/>
                <w:b w:val="0"/>
                <w:color w:val="000000"/>
                <w:sz w:val="18"/>
                <w:szCs w:val="18"/>
                <w:lang w:val="hy-AM" w:eastAsia="en-US"/>
              </w:rPr>
            </w:pPr>
            <w:r w:rsidRPr="00774722">
              <w:rPr>
                <w:rFonts w:cs="Calibri"/>
                <w:b w:val="0"/>
                <w:color w:val="000000"/>
                <w:sz w:val="18"/>
                <w:szCs w:val="18"/>
                <w:lang w:val="en-US" w:eastAsia="en-US"/>
              </w:rPr>
              <w:t>2,18</w:t>
            </w:r>
            <w:r>
              <w:rPr>
                <w:rFonts w:cs="Calibri"/>
                <w:b w:val="0"/>
                <w:color w:val="000000"/>
                <w:sz w:val="18"/>
                <w:szCs w:val="18"/>
                <w:lang w:val="hy-AM" w:eastAsia="en-US"/>
              </w:rPr>
              <w:t>4</w:t>
            </w:r>
            <w:r w:rsidRPr="00774722">
              <w:rPr>
                <w:rFonts w:cs="Calibri"/>
                <w:b w:val="0"/>
                <w:color w:val="000000"/>
                <w:sz w:val="18"/>
                <w:szCs w:val="18"/>
                <w:lang w:val="en-US" w:eastAsia="en-US"/>
              </w:rPr>
              <w:t>,</w:t>
            </w:r>
            <w:r>
              <w:rPr>
                <w:rFonts w:cs="Calibri"/>
                <w:b w:val="0"/>
                <w:color w:val="000000"/>
                <w:sz w:val="18"/>
                <w:szCs w:val="18"/>
                <w:lang w:val="hy-AM" w:eastAsia="en-US"/>
              </w:rPr>
              <w:t>040</w:t>
            </w:r>
          </w:p>
        </w:tc>
      </w:tr>
      <w:tr w:rsidR="005B7218" w:rsidRPr="00A83C94" w14:paraId="2F1805E9" w14:textId="77777777" w:rsidTr="00027FBF">
        <w:trPr>
          <w:trHeight w:val="225"/>
        </w:trPr>
        <w:tc>
          <w:tcPr>
            <w:tcW w:w="4048" w:type="dxa"/>
            <w:tcBorders>
              <w:top w:val="nil"/>
              <w:left w:val="single" w:sz="8" w:space="0" w:color="auto"/>
              <w:bottom w:val="single" w:sz="8" w:space="0" w:color="000000"/>
              <w:right w:val="single" w:sz="8" w:space="0" w:color="auto"/>
            </w:tcBorders>
            <w:shd w:val="clear" w:color="000000" w:fill="D5DCE4"/>
            <w:vAlign w:val="center"/>
            <w:hideMark/>
          </w:tcPr>
          <w:p w14:paraId="7D746C13" w14:textId="77777777" w:rsidR="005B7218" w:rsidRPr="00A83C94" w:rsidRDefault="005B7218" w:rsidP="00027FBF">
            <w:pPr>
              <w:spacing w:before="0" w:line="240" w:lineRule="auto"/>
              <w:ind w:firstLine="0"/>
              <w:contextualSpacing w:val="0"/>
              <w:jc w:val="left"/>
              <w:rPr>
                <w:rFonts w:ascii="Calibri" w:hAnsi="Calibri" w:cs="Calibri"/>
                <w:b w:val="0"/>
                <w:color w:val="000000"/>
                <w:szCs w:val="22"/>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766322D1"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543B925A"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hideMark/>
          </w:tcPr>
          <w:p w14:paraId="0C6A6C3A"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hideMark/>
          </w:tcPr>
          <w:p w14:paraId="69C6A544"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276" w:type="dxa"/>
            <w:tcBorders>
              <w:top w:val="nil"/>
              <w:left w:val="nil"/>
              <w:bottom w:val="single" w:sz="8" w:space="0" w:color="000000"/>
              <w:right w:val="single" w:sz="8" w:space="0" w:color="auto"/>
            </w:tcBorders>
            <w:shd w:val="clear" w:color="000000" w:fill="D5DCE4"/>
            <w:vAlign w:val="center"/>
          </w:tcPr>
          <w:p w14:paraId="04BF0463" w14:textId="77777777" w:rsidR="005B7218" w:rsidRDefault="005B7218" w:rsidP="00027FBF">
            <w:pPr>
              <w:rPr>
                <w:color w:val="000000"/>
                <w:sz w:val="18"/>
                <w:szCs w:val="18"/>
              </w:rPr>
            </w:pPr>
          </w:p>
        </w:tc>
      </w:tr>
      <w:tr w:rsidR="005B7218" w:rsidRPr="00A83C94" w14:paraId="14D57B44" w14:textId="77777777" w:rsidTr="00027FBF">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14:paraId="47A77B1C" w14:textId="77777777" w:rsidR="005B7218" w:rsidRPr="00A83C94" w:rsidRDefault="005B7218"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210" w:type="dxa"/>
            <w:tcBorders>
              <w:top w:val="nil"/>
              <w:left w:val="nil"/>
              <w:bottom w:val="single" w:sz="8" w:space="0" w:color="auto"/>
              <w:right w:val="single" w:sz="8" w:space="0" w:color="auto"/>
            </w:tcBorders>
            <w:shd w:val="clear" w:color="000000" w:fill="FFFFFF"/>
            <w:vAlign w:val="center"/>
            <w:hideMark/>
          </w:tcPr>
          <w:p w14:paraId="7F2AB53D" w14:textId="77777777" w:rsidR="005B7218" w:rsidRPr="00A83C94" w:rsidRDefault="005B7218" w:rsidP="00027FBF">
            <w:pPr>
              <w:spacing w:before="0" w:line="240" w:lineRule="auto"/>
              <w:ind w:firstLine="0"/>
              <w:contextualSpacing w:val="0"/>
              <w:jc w:val="center"/>
              <w:rPr>
                <w:rFonts w:ascii="Calibri" w:hAnsi="Calibri"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1210" w:type="dxa"/>
            <w:tcBorders>
              <w:top w:val="nil"/>
              <w:left w:val="nil"/>
              <w:bottom w:val="single" w:sz="8" w:space="0" w:color="auto"/>
              <w:right w:val="single" w:sz="8" w:space="0" w:color="auto"/>
            </w:tcBorders>
            <w:shd w:val="clear" w:color="000000" w:fill="FFFFFF"/>
            <w:vAlign w:val="center"/>
            <w:hideMark/>
          </w:tcPr>
          <w:p w14:paraId="2477DDB9" w14:textId="77777777" w:rsidR="005B7218" w:rsidRPr="00A83C94" w:rsidRDefault="005B7218" w:rsidP="00027FBF">
            <w:pPr>
              <w:spacing w:before="0" w:line="240" w:lineRule="auto"/>
              <w:ind w:firstLine="0"/>
              <w:contextualSpacing w:val="0"/>
              <w:jc w:val="center"/>
              <w:rPr>
                <w:rFonts w:ascii="Calibri" w:hAnsi="Calibri"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1285" w:type="dxa"/>
            <w:tcBorders>
              <w:top w:val="nil"/>
              <w:left w:val="nil"/>
              <w:bottom w:val="single" w:sz="8" w:space="0" w:color="auto"/>
              <w:right w:val="single" w:sz="8" w:space="0" w:color="auto"/>
            </w:tcBorders>
            <w:shd w:val="clear" w:color="000000" w:fill="FFFFFF"/>
            <w:vAlign w:val="center"/>
            <w:hideMark/>
          </w:tcPr>
          <w:p w14:paraId="2581BFBA" w14:textId="77777777" w:rsidR="005B7218" w:rsidRPr="00A83C94" w:rsidRDefault="005B7218" w:rsidP="00027FBF">
            <w:pPr>
              <w:spacing w:before="0" w:line="240" w:lineRule="auto"/>
              <w:ind w:firstLine="0"/>
              <w:contextualSpacing w:val="0"/>
              <w:jc w:val="center"/>
              <w:rPr>
                <w:rFonts w:ascii="Calibri" w:hAnsi="Calibri" w:cs="Calibri"/>
                <w:b w:val="0"/>
                <w:color w:val="000000"/>
                <w:sz w:val="20"/>
                <w:szCs w:val="20"/>
                <w:lang w:val="en-US" w:eastAsia="en-US"/>
              </w:rPr>
            </w:pPr>
            <w:r w:rsidRPr="00A83C94">
              <w:rPr>
                <w:rFonts w:ascii="Calibri" w:hAnsi="Calibri" w:cs="Calibri"/>
                <w:b w:val="0"/>
                <w:color w:val="000000"/>
                <w:sz w:val="20"/>
                <w:szCs w:val="20"/>
                <w:lang w:val="en-US" w:eastAsia="en-US"/>
              </w:rPr>
              <w:t> </w:t>
            </w:r>
          </w:p>
        </w:tc>
        <w:tc>
          <w:tcPr>
            <w:tcW w:w="1604" w:type="dxa"/>
            <w:tcBorders>
              <w:top w:val="nil"/>
              <w:left w:val="nil"/>
              <w:bottom w:val="single" w:sz="8" w:space="0" w:color="auto"/>
              <w:right w:val="single" w:sz="8" w:space="0" w:color="auto"/>
            </w:tcBorders>
            <w:shd w:val="clear" w:color="000000" w:fill="FFFFFF"/>
            <w:vAlign w:val="center"/>
            <w:hideMark/>
          </w:tcPr>
          <w:p w14:paraId="7DA4FAEA" w14:textId="77777777" w:rsidR="005B7218" w:rsidRPr="00A83C94" w:rsidRDefault="005B7218" w:rsidP="00027FBF">
            <w:pPr>
              <w:jc w:val="center"/>
              <w:rPr>
                <w:rFonts w:ascii="Calibri" w:hAnsi="Calibri" w:cs="Calibri"/>
                <w:color w:val="000000"/>
                <w:sz w:val="20"/>
                <w:szCs w:val="20"/>
              </w:rPr>
            </w:pPr>
            <w:r w:rsidRPr="00A83C94">
              <w:rPr>
                <w:rFonts w:ascii="Calibri" w:hAnsi="Calibri" w:cs="Calibri"/>
                <w:color w:val="000000"/>
                <w:sz w:val="20"/>
                <w:szCs w:val="20"/>
              </w:rPr>
              <w:t> </w:t>
            </w:r>
          </w:p>
        </w:tc>
        <w:tc>
          <w:tcPr>
            <w:tcW w:w="1276" w:type="dxa"/>
            <w:tcBorders>
              <w:top w:val="nil"/>
              <w:left w:val="nil"/>
              <w:bottom w:val="single" w:sz="8" w:space="0" w:color="auto"/>
              <w:right w:val="single" w:sz="8" w:space="0" w:color="auto"/>
            </w:tcBorders>
            <w:shd w:val="clear" w:color="000000" w:fill="FFFFFF"/>
            <w:vAlign w:val="center"/>
            <w:hideMark/>
          </w:tcPr>
          <w:p w14:paraId="3D3AD3A0" w14:textId="77777777" w:rsidR="005B7218" w:rsidRDefault="005B7218" w:rsidP="00027FBF">
            <w:pPr>
              <w:jc w:val="center"/>
              <w:rPr>
                <w:rFonts w:ascii="Calibri" w:hAnsi="Calibri" w:cs="Calibri"/>
                <w:color w:val="000000"/>
                <w:sz w:val="20"/>
                <w:szCs w:val="20"/>
              </w:rPr>
            </w:pPr>
            <w:r>
              <w:rPr>
                <w:rFonts w:ascii="Calibri" w:hAnsi="Calibri" w:cs="Calibri"/>
                <w:color w:val="000000"/>
                <w:sz w:val="20"/>
                <w:szCs w:val="20"/>
              </w:rPr>
              <w:t> </w:t>
            </w:r>
          </w:p>
        </w:tc>
      </w:tr>
      <w:tr w:rsidR="005B7218" w:rsidRPr="00A83C94" w14:paraId="28DD6C8C" w14:textId="77777777" w:rsidTr="00027FBF">
        <w:trPr>
          <w:trHeight w:val="300"/>
        </w:trPr>
        <w:tc>
          <w:tcPr>
            <w:tcW w:w="4048"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CE6A6E2" w14:textId="77777777" w:rsidR="005B7218" w:rsidRPr="00A83C94" w:rsidRDefault="005B7218"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ընթացիկ ծախսեր, (մլն դրամ)</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179D1B5F"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1,298,978</w:t>
            </w:r>
          </w:p>
        </w:tc>
        <w:tc>
          <w:tcPr>
            <w:tcW w:w="1210"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012FDB3D" w14:textId="77777777" w:rsidR="005B7218" w:rsidRPr="00A83C94" w:rsidRDefault="005B7218" w:rsidP="00027FBF">
            <w:pPr>
              <w:spacing w:before="0" w:line="240" w:lineRule="auto"/>
              <w:ind w:firstLine="0"/>
              <w:contextualSpacing w:val="0"/>
              <w:rPr>
                <w:rFonts w:cs="Calibri"/>
                <w:b w:val="0"/>
                <w:color w:val="000000"/>
                <w:sz w:val="18"/>
                <w:szCs w:val="18"/>
                <w:lang w:val="en-US" w:eastAsia="en-US"/>
              </w:rPr>
            </w:pPr>
            <w:r w:rsidRPr="00A83C94">
              <w:rPr>
                <w:rFonts w:cs="Calibri"/>
                <w:b w:val="0"/>
                <w:color w:val="000000"/>
                <w:sz w:val="18"/>
                <w:szCs w:val="18"/>
                <w:lang w:val="en-US" w:eastAsia="en-US"/>
              </w:rPr>
              <w:t>1,437,143</w:t>
            </w:r>
          </w:p>
        </w:tc>
        <w:tc>
          <w:tcPr>
            <w:tcW w:w="1285"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23FA70D4"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1,668,458</w:t>
            </w:r>
          </w:p>
        </w:tc>
        <w:tc>
          <w:tcPr>
            <w:tcW w:w="1604"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59C73B4C"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1,634,559</w:t>
            </w:r>
          </w:p>
        </w:tc>
        <w:tc>
          <w:tcPr>
            <w:tcW w:w="1276" w:type="dxa"/>
            <w:vMerge w:val="restart"/>
            <w:tcBorders>
              <w:top w:val="nil"/>
              <w:left w:val="single" w:sz="8" w:space="0" w:color="auto"/>
              <w:bottom w:val="single" w:sz="8" w:space="0" w:color="000000"/>
              <w:right w:val="single" w:sz="8" w:space="0" w:color="auto"/>
            </w:tcBorders>
            <w:shd w:val="clear" w:color="000000" w:fill="D5DCE4"/>
            <w:vAlign w:val="center"/>
            <w:hideMark/>
          </w:tcPr>
          <w:p w14:paraId="4B3AC67C" w14:textId="77777777" w:rsidR="005B7218" w:rsidRPr="00AA7DDC" w:rsidRDefault="005B7218" w:rsidP="00027FBF">
            <w:pPr>
              <w:spacing w:before="0" w:line="240" w:lineRule="auto"/>
              <w:ind w:firstLine="0"/>
              <w:contextualSpacing w:val="0"/>
              <w:jc w:val="center"/>
              <w:rPr>
                <w:rFonts w:cs="Calibri"/>
                <w:b w:val="0"/>
                <w:color w:val="000000"/>
                <w:sz w:val="18"/>
                <w:szCs w:val="18"/>
                <w:lang w:val="hy-AM" w:eastAsia="en-US"/>
              </w:rPr>
            </w:pPr>
            <w:r w:rsidRPr="00774722">
              <w:rPr>
                <w:rFonts w:cs="Calibri"/>
                <w:b w:val="0"/>
                <w:color w:val="000000"/>
                <w:sz w:val="18"/>
                <w:szCs w:val="18"/>
                <w:lang w:val="en-US" w:eastAsia="en-US"/>
              </w:rPr>
              <w:t>1,842,</w:t>
            </w:r>
            <w:r>
              <w:rPr>
                <w:rFonts w:cs="Calibri"/>
                <w:b w:val="0"/>
                <w:color w:val="000000"/>
                <w:sz w:val="18"/>
                <w:szCs w:val="18"/>
                <w:lang w:val="hy-AM" w:eastAsia="en-US"/>
              </w:rPr>
              <w:t>155</w:t>
            </w:r>
          </w:p>
        </w:tc>
      </w:tr>
      <w:tr w:rsidR="005B7218" w:rsidRPr="00A83C94" w14:paraId="180F05F5" w14:textId="77777777" w:rsidTr="00027FBF">
        <w:trPr>
          <w:trHeight w:val="482"/>
        </w:trPr>
        <w:tc>
          <w:tcPr>
            <w:tcW w:w="4048" w:type="dxa"/>
            <w:vMerge/>
            <w:tcBorders>
              <w:top w:val="nil"/>
              <w:left w:val="single" w:sz="8" w:space="0" w:color="auto"/>
              <w:bottom w:val="single" w:sz="8" w:space="0" w:color="000000"/>
              <w:right w:val="single" w:sz="8" w:space="0" w:color="auto"/>
            </w:tcBorders>
            <w:vAlign w:val="center"/>
            <w:hideMark/>
          </w:tcPr>
          <w:p w14:paraId="519A071B" w14:textId="77777777" w:rsidR="005B7218" w:rsidRPr="00A83C94" w:rsidRDefault="005B7218" w:rsidP="00027FBF">
            <w:pPr>
              <w:spacing w:before="0" w:line="240" w:lineRule="auto"/>
              <w:ind w:firstLine="0"/>
              <w:contextualSpacing w:val="0"/>
              <w:jc w:val="left"/>
              <w:rPr>
                <w:rFonts w:cs="Calibri"/>
                <w:b w:val="0"/>
                <w:color w:val="000000"/>
                <w:sz w:val="20"/>
                <w:szCs w:val="20"/>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1D0F8541"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210" w:type="dxa"/>
            <w:vMerge/>
            <w:tcBorders>
              <w:top w:val="nil"/>
              <w:left w:val="single" w:sz="8" w:space="0" w:color="auto"/>
              <w:bottom w:val="single" w:sz="8" w:space="0" w:color="000000"/>
              <w:right w:val="single" w:sz="8" w:space="0" w:color="auto"/>
            </w:tcBorders>
            <w:vAlign w:val="center"/>
            <w:hideMark/>
          </w:tcPr>
          <w:p w14:paraId="7777DE69"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285" w:type="dxa"/>
            <w:vMerge/>
            <w:tcBorders>
              <w:top w:val="nil"/>
              <w:left w:val="single" w:sz="8" w:space="0" w:color="auto"/>
              <w:bottom w:val="single" w:sz="8" w:space="0" w:color="000000"/>
              <w:right w:val="single" w:sz="8" w:space="0" w:color="auto"/>
            </w:tcBorders>
            <w:vAlign w:val="center"/>
            <w:hideMark/>
          </w:tcPr>
          <w:p w14:paraId="4C9C4D24"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604" w:type="dxa"/>
            <w:vMerge/>
            <w:tcBorders>
              <w:top w:val="nil"/>
              <w:left w:val="single" w:sz="8" w:space="0" w:color="auto"/>
              <w:bottom w:val="single" w:sz="8" w:space="0" w:color="000000"/>
              <w:right w:val="single" w:sz="8" w:space="0" w:color="auto"/>
            </w:tcBorders>
            <w:vAlign w:val="center"/>
            <w:hideMark/>
          </w:tcPr>
          <w:p w14:paraId="2348469B"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c>
          <w:tcPr>
            <w:tcW w:w="1276" w:type="dxa"/>
            <w:vMerge/>
            <w:tcBorders>
              <w:top w:val="nil"/>
              <w:left w:val="single" w:sz="8" w:space="0" w:color="auto"/>
              <w:bottom w:val="single" w:sz="8" w:space="0" w:color="000000"/>
              <w:right w:val="single" w:sz="8" w:space="0" w:color="auto"/>
            </w:tcBorders>
            <w:vAlign w:val="center"/>
            <w:hideMark/>
          </w:tcPr>
          <w:p w14:paraId="26C96AB2" w14:textId="77777777" w:rsidR="005B7218" w:rsidRPr="00A83C94" w:rsidRDefault="005B7218" w:rsidP="00027FBF">
            <w:pPr>
              <w:spacing w:before="0" w:line="240" w:lineRule="auto"/>
              <w:ind w:firstLine="0"/>
              <w:contextualSpacing w:val="0"/>
              <w:jc w:val="left"/>
              <w:rPr>
                <w:rFonts w:cs="Calibri"/>
                <w:b w:val="0"/>
                <w:color w:val="000000"/>
                <w:sz w:val="18"/>
                <w:szCs w:val="18"/>
                <w:lang w:val="en-US" w:eastAsia="en-US"/>
              </w:rPr>
            </w:pPr>
          </w:p>
        </w:tc>
      </w:tr>
      <w:tr w:rsidR="005B7218" w:rsidRPr="00A83C94" w14:paraId="6836B79A" w14:textId="77777777" w:rsidTr="00027FBF">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14:paraId="136452EF" w14:textId="77777777" w:rsidR="005B7218" w:rsidRPr="00A83C94" w:rsidRDefault="005B7218"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 xml:space="preserve"> - %-ով՝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14:paraId="0ACE66E1"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21.6%</w:t>
            </w:r>
          </w:p>
        </w:tc>
        <w:tc>
          <w:tcPr>
            <w:tcW w:w="1210" w:type="dxa"/>
            <w:tcBorders>
              <w:top w:val="nil"/>
              <w:left w:val="nil"/>
              <w:bottom w:val="single" w:sz="8" w:space="0" w:color="auto"/>
              <w:right w:val="single" w:sz="8" w:space="0" w:color="auto"/>
            </w:tcBorders>
            <w:shd w:val="clear" w:color="000000" w:fill="FFFFFF"/>
            <w:vAlign w:val="center"/>
            <w:hideMark/>
          </w:tcPr>
          <w:p w14:paraId="2B4D873A"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21.9%</w:t>
            </w:r>
          </w:p>
        </w:tc>
        <w:tc>
          <w:tcPr>
            <w:tcW w:w="1285" w:type="dxa"/>
            <w:tcBorders>
              <w:top w:val="nil"/>
              <w:left w:val="nil"/>
              <w:bottom w:val="single" w:sz="8" w:space="0" w:color="auto"/>
              <w:right w:val="single" w:sz="8" w:space="0" w:color="auto"/>
            </w:tcBorders>
            <w:shd w:val="clear" w:color="000000" w:fill="FFFFFF"/>
            <w:vAlign w:val="center"/>
            <w:hideMark/>
          </w:tcPr>
          <w:p w14:paraId="58498C78"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27.0%</w:t>
            </w:r>
          </w:p>
        </w:tc>
        <w:tc>
          <w:tcPr>
            <w:tcW w:w="1604" w:type="dxa"/>
            <w:tcBorders>
              <w:top w:val="nil"/>
              <w:left w:val="nil"/>
              <w:bottom w:val="single" w:sz="8" w:space="0" w:color="auto"/>
              <w:right w:val="single" w:sz="8" w:space="0" w:color="auto"/>
            </w:tcBorders>
            <w:shd w:val="clear" w:color="000000" w:fill="FFFFFF"/>
            <w:vAlign w:val="center"/>
            <w:hideMark/>
          </w:tcPr>
          <w:p w14:paraId="189EAD9D"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25.6%</w:t>
            </w:r>
          </w:p>
        </w:tc>
        <w:tc>
          <w:tcPr>
            <w:tcW w:w="1276" w:type="dxa"/>
            <w:tcBorders>
              <w:top w:val="nil"/>
              <w:left w:val="nil"/>
              <w:bottom w:val="single" w:sz="8" w:space="0" w:color="auto"/>
              <w:right w:val="single" w:sz="8" w:space="0" w:color="auto"/>
            </w:tcBorders>
            <w:shd w:val="clear" w:color="000000" w:fill="FFFFFF"/>
            <w:vAlign w:val="center"/>
            <w:hideMark/>
          </w:tcPr>
          <w:p w14:paraId="1A772798" w14:textId="77777777" w:rsidR="005B7218" w:rsidRPr="00774722" w:rsidRDefault="005B7218" w:rsidP="00027FBF">
            <w:pPr>
              <w:spacing w:before="0" w:line="240" w:lineRule="auto"/>
              <w:ind w:firstLine="0"/>
              <w:contextualSpacing w:val="0"/>
              <w:jc w:val="center"/>
              <w:rPr>
                <w:rFonts w:cs="Calibri"/>
                <w:b w:val="0"/>
                <w:color w:val="000000"/>
                <w:sz w:val="20"/>
                <w:szCs w:val="20"/>
                <w:lang w:val="en-US" w:eastAsia="en-US"/>
              </w:rPr>
            </w:pPr>
            <w:r w:rsidRPr="00774722">
              <w:rPr>
                <w:rFonts w:cs="Calibri"/>
                <w:b w:val="0"/>
                <w:color w:val="000000"/>
                <w:sz w:val="20"/>
                <w:szCs w:val="20"/>
                <w:lang w:val="en-US" w:eastAsia="en-US"/>
              </w:rPr>
              <w:t>23.4%</w:t>
            </w:r>
          </w:p>
        </w:tc>
      </w:tr>
      <w:tr w:rsidR="005B7218" w:rsidRPr="00A83C94" w14:paraId="323023A1" w14:textId="77777777" w:rsidTr="00027FBF">
        <w:trPr>
          <w:trHeight w:val="555"/>
        </w:trPr>
        <w:tc>
          <w:tcPr>
            <w:tcW w:w="4048" w:type="dxa"/>
            <w:tcBorders>
              <w:top w:val="nil"/>
              <w:left w:val="single" w:sz="8" w:space="0" w:color="auto"/>
              <w:bottom w:val="single" w:sz="8" w:space="0" w:color="auto"/>
              <w:right w:val="single" w:sz="8" w:space="0" w:color="auto"/>
            </w:tcBorders>
            <w:shd w:val="clear" w:color="000000" w:fill="D5DCE4"/>
            <w:vAlign w:val="center"/>
            <w:hideMark/>
          </w:tcPr>
          <w:p w14:paraId="162E706E" w14:textId="77777777" w:rsidR="005B7218" w:rsidRPr="00A83C94" w:rsidRDefault="005B7218" w:rsidP="00027FBF">
            <w:pPr>
              <w:spacing w:before="0" w:line="240" w:lineRule="auto"/>
              <w:ind w:firstLine="0"/>
              <w:contextualSpacing w:val="0"/>
              <w:rPr>
                <w:rFonts w:cs="Calibri"/>
                <w:b w:val="0"/>
                <w:color w:val="000000"/>
                <w:sz w:val="20"/>
                <w:szCs w:val="20"/>
                <w:lang w:eastAsia="en-US"/>
              </w:rPr>
            </w:pP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ոչ</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ֆինանսական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ակտիվների</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գծով</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գործառնություններ</w:t>
            </w:r>
            <w:r w:rsidRPr="00A83C94">
              <w:rPr>
                <w:rFonts w:cs="Calibri"/>
                <w:b w:val="0"/>
                <w:color w:val="000000"/>
                <w:sz w:val="20"/>
                <w:szCs w:val="20"/>
                <w:lang w:eastAsia="en-US"/>
              </w:rPr>
              <w:t>, (</w:t>
            </w:r>
            <w:r w:rsidRPr="00A83C94">
              <w:rPr>
                <w:rFonts w:cs="Calibri"/>
                <w:b w:val="0"/>
                <w:color w:val="000000"/>
                <w:sz w:val="20"/>
                <w:szCs w:val="20"/>
                <w:lang w:val="en-US" w:eastAsia="en-US"/>
              </w:rPr>
              <w:t>մլն</w:t>
            </w:r>
            <w:r w:rsidRPr="00A83C94">
              <w:rPr>
                <w:rFonts w:cs="Calibri"/>
                <w:b w:val="0"/>
                <w:color w:val="000000"/>
                <w:sz w:val="20"/>
                <w:szCs w:val="20"/>
                <w:lang w:eastAsia="en-US"/>
              </w:rPr>
              <w:t xml:space="preserve"> </w:t>
            </w:r>
            <w:r w:rsidRPr="00A83C94">
              <w:rPr>
                <w:rFonts w:cs="Calibri"/>
                <w:b w:val="0"/>
                <w:color w:val="000000"/>
                <w:sz w:val="20"/>
                <w:szCs w:val="20"/>
                <w:lang w:val="en-US" w:eastAsia="en-US"/>
              </w:rPr>
              <w:t>դրամ</w:t>
            </w:r>
            <w:r w:rsidRPr="00A83C94">
              <w:rPr>
                <w:rFonts w:cs="Calibri"/>
                <w:b w:val="0"/>
                <w:color w:val="000000"/>
                <w:sz w:val="20"/>
                <w:szCs w:val="20"/>
                <w:lang w:eastAsia="en-US"/>
              </w:rPr>
              <w:t>)*</w:t>
            </w:r>
          </w:p>
        </w:tc>
        <w:tc>
          <w:tcPr>
            <w:tcW w:w="1210" w:type="dxa"/>
            <w:tcBorders>
              <w:top w:val="nil"/>
              <w:left w:val="nil"/>
              <w:bottom w:val="single" w:sz="8" w:space="0" w:color="auto"/>
              <w:right w:val="single" w:sz="8" w:space="0" w:color="auto"/>
            </w:tcBorders>
            <w:shd w:val="clear" w:color="000000" w:fill="D5DCE4"/>
            <w:vAlign w:val="center"/>
            <w:hideMark/>
          </w:tcPr>
          <w:p w14:paraId="0E9BEB81"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148,105</w:t>
            </w:r>
          </w:p>
        </w:tc>
        <w:tc>
          <w:tcPr>
            <w:tcW w:w="1210" w:type="dxa"/>
            <w:tcBorders>
              <w:top w:val="nil"/>
              <w:left w:val="nil"/>
              <w:bottom w:val="single" w:sz="8" w:space="0" w:color="auto"/>
              <w:right w:val="single" w:sz="8" w:space="0" w:color="auto"/>
            </w:tcBorders>
            <w:shd w:val="clear" w:color="000000" w:fill="D5DCE4"/>
            <w:vAlign w:val="center"/>
            <w:hideMark/>
          </w:tcPr>
          <w:p w14:paraId="0EA6688B"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192,294</w:t>
            </w:r>
          </w:p>
        </w:tc>
        <w:tc>
          <w:tcPr>
            <w:tcW w:w="1285" w:type="dxa"/>
            <w:tcBorders>
              <w:top w:val="nil"/>
              <w:left w:val="nil"/>
              <w:bottom w:val="single" w:sz="8" w:space="0" w:color="auto"/>
              <w:right w:val="single" w:sz="8" w:space="0" w:color="auto"/>
            </w:tcBorders>
            <w:shd w:val="clear" w:color="000000" w:fill="D5DCE4"/>
            <w:vAlign w:val="center"/>
            <w:hideMark/>
          </w:tcPr>
          <w:p w14:paraId="21054436"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226,189</w:t>
            </w:r>
          </w:p>
        </w:tc>
        <w:tc>
          <w:tcPr>
            <w:tcW w:w="1604" w:type="dxa"/>
            <w:tcBorders>
              <w:top w:val="nil"/>
              <w:left w:val="nil"/>
              <w:bottom w:val="single" w:sz="8" w:space="0" w:color="auto"/>
              <w:right w:val="single" w:sz="8" w:space="0" w:color="auto"/>
            </w:tcBorders>
            <w:shd w:val="clear" w:color="000000" w:fill="D5DCE4"/>
            <w:vAlign w:val="center"/>
            <w:hideMark/>
          </w:tcPr>
          <w:p w14:paraId="6216896E" w14:textId="77777777" w:rsidR="005B7218" w:rsidRPr="00A83C94" w:rsidRDefault="005B7218" w:rsidP="00027FBF">
            <w:pPr>
              <w:spacing w:before="0" w:line="240" w:lineRule="auto"/>
              <w:ind w:firstLine="0"/>
              <w:contextualSpacing w:val="0"/>
              <w:jc w:val="center"/>
              <w:rPr>
                <w:rFonts w:cs="Calibri"/>
                <w:b w:val="0"/>
                <w:color w:val="000000"/>
                <w:sz w:val="18"/>
                <w:szCs w:val="18"/>
                <w:lang w:val="en-US" w:eastAsia="en-US"/>
              </w:rPr>
            </w:pPr>
            <w:r w:rsidRPr="00A83C94">
              <w:rPr>
                <w:rFonts w:cs="Calibri"/>
                <w:b w:val="0"/>
                <w:color w:val="000000"/>
                <w:sz w:val="18"/>
                <w:szCs w:val="18"/>
                <w:lang w:val="en-US" w:eastAsia="en-US"/>
              </w:rPr>
              <w:t>216,319</w:t>
            </w:r>
          </w:p>
        </w:tc>
        <w:tc>
          <w:tcPr>
            <w:tcW w:w="1276" w:type="dxa"/>
            <w:tcBorders>
              <w:top w:val="nil"/>
              <w:left w:val="nil"/>
              <w:bottom w:val="single" w:sz="8" w:space="0" w:color="auto"/>
              <w:right w:val="single" w:sz="8" w:space="0" w:color="auto"/>
            </w:tcBorders>
            <w:shd w:val="clear" w:color="000000" w:fill="D5DCE4"/>
            <w:vAlign w:val="center"/>
            <w:hideMark/>
          </w:tcPr>
          <w:p w14:paraId="15A33B8C" w14:textId="77777777" w:rsidR="005B7218" w:rsidRPr="00AA7DDC" w:rsidRDefault="005B7218" w:rsidP="00027FBF">
            <w:pPr>
              <w:spacing w:before="0" w:line="240" w:lineRule="auto"/>
              <w:ind w:firstLine="0"/>
              <w:contextualSpacing w:val="0"/>
              <w:jc w:val="center"/>
              <w:rPr>
                <w:rFonts w:cs="Calibri"/>
                <w:b w:val="0"/>
                <w:color w:val="000000"/>
                <w:sz w:val="18"/>
                <w:szCs w:val="18"/>
                <w:lang w:val="hy-AM" w:eastAsia="en-US"/>
              </w:rPr>
            </w:pPr>
            <w:r>
              <w:rPr>
                <w:rFonts w:cs="Calibri"/>
                <w:b w:val="0"/>
                <w:color w:val="000000"/>
                <w:sz w:val="18"/>
                <w:szCs w:val="18"/>
                <w:lang w:val="hy-AM" w:eastAsia="en-US"/>
              </w:rPr>
              <w:t>341,885</w:t>
            </w:r>
          </w:p>
        </w:tc>
      </w:tr>
      <w:tr w:rsidR="005B7218" w:rsidRPr="00A83C94" w14:paraId="69B5B45E" w14:textId="77777777" w:rsidTr="00027FBF">
        <w:trPr>
          <w:trHeight w:val="315"/>
        </w:trPr>
        <w:tc>
          <w:tcPr>
            <w:tcW w:w="4048" w:type="dxa"/>
            <w:tcBorders>
              <w:top w:val="nil"/>
              <w:left w:val="single" w:sz="8" w:space="0" w:color="auto"/>
              <w:bottom w:val="single" w:sz="8" w:space="0" w:color="auto"/>
              <w:right w:val="single" w:sz="8" w:space="0" w:color="auto"/>
            </w:tcBorders>
            <w:shd w:val="clear" w:color="000000" w:fill="FFFFFF"/>
            <w:vAlign w:val="center"/>
            <w:hideMark/>
          </w:tcPr>
          <w:p w14:paraId="7BD3B30C" w14:textId="77777777" w:rsidR="005B7218" w:rsidRPr="00A83C94" w:rsidRDefault="005B7218" w:rsidP="00027FBF">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%-ով՝ ՀՆԱ-ի նկատմամբ</w:t>
            </w:r>
          </w:p>
        </w:tc>
        <w:tc>
          <w:tcPr>
            <w:tcW w:w="1210" w:type="dxa"/>
            <w:tcBorders>
              <w:top w:val="nil"/>
              <w:left w:val="nil"/>
              <w:bottom w:val="single" w:sz="8" w:space="0" w:color="auto"/>
              <w:right w:val="single" w:sz="8" w:space="0" w:color="auto"/>
            </w:tcBorders>
            <w:shd w:val="clear" w:color="000000" w:fill="FFFFFF"/>
            <w:vAlign w:val="center"/>
            <w:hideMark/>
          </w:tcPr>
          <w:p w14:paraId="0388D238"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2.5%</w:t>
            </w:r>
          </w:p>
        </w:tc>
        <w:tc>
          <w:tcPr>
            <w:tcW w:w="1210" w:type="dxa"/>
            <w:tcBorders>
              <w:top w:val="nil"/>
              <w:left w:val="nil"/>
              <w:bottom w:val="single" w:sz="8" w:space="0" w:color="auto"/>
              <w:right w:val="single" w:sz="8" w:space="0" w:color="auto"/>
            </w:tcBorders>
            <w:shd w:val="clear" w:color="000000" w:fill="FFFFFF"/>
            <w:vAlign w:val="center"/>
            <w:hideMark/>
          </w:tcPr>
          <w:p w14:paraId="32F54F63"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2.9%</w:t>
            </w:r>
          </w:p>
        </w:tc>
        <w:tc>
          <w:tcPr>
            <w:tcW w:w="1285" w:type="dxa"/>
            <w:tcBorders>
              <w:top w:val="nil"/>
              <w:left w:val="nil"/>
              <w:bottom w:val="single" w:sz="8" w:space="0" w:color="auto"/>
              <w:right w:val="single" w:sz="8" w:space="0" w:color="auto"/>
            </w:tcBorders>
            <w:shd w:val="clear" w:color="000000" w:fill="FFFFFF"/>
            <w:vAlign w:val="center"/>
            <w:hideMark/>
          </w:tcPr>
          <w:p w14:paraId="07F366C7"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3.7%</w:t>
            </w:r>
          </w:p>
        </w:tc>
        <w:tc>
          <w:tcPr>
            <w:tcW w:w="1604" w:type="dxa"/>
            <w:tcBorders>
              <w:top w:val="nil"/>
              <w:left w:val="nil"/>
              <w:bottom w:val="single" w:sz="8" w:space="0" w:color="auto"/>
              <w:right w:val="single" w:sz="8" w:space="0" w:color="auto"/>
            </w:tcBorders>
            <w:shd w:val="clear" w:color="000000" w:fill="FFFFFF"/>
            <w:vAlign w:val="center"/>
            <w:hideMark/>
          </w:tcPr>
          <w:p w14:paraId="1FBAA3A8" w14:textId="77777777" w:rsidR="005B7218" w:rsidRPr="00A83C94" w:rsidRDefault="005B7218" w:rsidP="00027FBF">
            <w:pPr>
              <w:spacing w:before="0" w:line="240" w:lineRule="auto"/>
              <w:ind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3.4%</w:t>
            </w:r>
          </w:p>
        </w:tc>
        <w:tc>
          <w:tcPr>
            <w:tcW w:w="1276" w:type="dxa"/>
            <w:tcBorders>
              <w:top w:val="nil"/>
              <w:left w:val="nil"/>
              <w:bottom w:val="single" w:sz="8" w:space="0" w:color="auto"/>
              <w:right w:val="single" w:sz="8" w:space="0" w:color="auto"/>
            </w:tcBorders>
            <w:shd w:val="clear" w:color="000000" w:fill="FFFFFF"/>
            <w:vAlign w:val="center"/>
            <w:hideMark/>
          </w:tcPr>
          <w:p w14:paraId="562522D2" w14:textId="77777777" w:rsidR="005B7218" w:rsidRPr="00774722" w:rsidRDefault="005B7218" w:rsidP="00027FBF">
            <w:pPr>
              <w:spacing w:before="0" w:line="240" w:lineRule="auto"/>
              <w:ind w:firstLine="0"/>
              <w:contextualSpacing w:val="0"/>
              <w:jc w:val="center"/>
              <w:rPr>
                <w:rFonts w:cs="Calibri"/>
                <w:b w:val="0"/>
                <w:color w:val="000000"/>
                <w:sz w:val="20"/>
                <w:szCs w:val="20"/>
                <w:lang w:val="en-US" w:eastAsia="en-US"/>
              </w:rPr>
            </w:pPr>
            <w:r w:rsidRPr="00774722">
              <w:rPr>
                <w:rFonts w:cs="Calibri"/>
                <w:b w:val="0"/>
                <w:color w:val="000000"/>
                <w:sz w:val="20"/>
                <w:szCs w:val="20"/>
                <w:lang w:val="en-US" w:eastAsia="en-US"/>
              </w:rPr>
              <w:t>4.</w:t>
            </w:r>
            <w:r>
              <w:rPr>
                <w:rFonts w:cs="Calibri"/>
                <w:b w:val="0"/>
                <w:color w:val="000000"/>
                <w:sz w:val="20"/>
                <w:szCs w:val="20"/>
                <w:lang w:val="hy-AM" w:eastAsia="en-US"/>
              </w:rPr>
              <w:t>3</w:t>
            </w:r>
            <w:r w:rsidRPr="00774722">
              <w:rPr>
                <w:rFonts w:cs="Calibri"/>
                <w:b w:val="0"/>
                <w:color w:val="000000"/>
                <w:sz w:val="20"/>
                <w:szCs w:val="20"/>
                <w:lang w:val="en-US" w:eastAsia="en-US"/>
              </w:rPr>
              <w:t>%</w:t>
            </w:r>
          </w:p>
        </w:tc>
      </w:tr>
    </w:tbl>
    <w:p w14:paraId="7AD5716E" w14:textId="77777777" w:rsidR="005B7218" w:rsidRPr="00A83C94" w:rsidRDefault="005B7218" w:rsidP="005B7218">
      <w:pPr>
        <w:pStyle w:val="Caption"/>
        <w:spacing w:before="0" w:after="0" w:line="240" w:lineRule="auto"/>
      </w:pPr>
      <w:r w:rsidRPr="00A83C94">
        <w:t>*</w:t>
      </w:r>
      <w:r w:rsidRPr="00A83C94">
        <w:rPr>
          <w:lang w:val="en-US"/>
        </w:rPr>
        <w:t>ոչ</w:t>
      </w:r>
      <w:r w:rsidRPr="00A83C94">
        <w:t xml:space="preserve"> </w:t>
      </w:r>
      <w:r w:rsidRPr="00A83C94">
        <w:rPr>
          <w:lang w:val="en-US"/>
        </w:rPr>
        <w:t>ֆինանսական</w:t>
      </w:r>
      <w:r w:rsidRPr="00A83C94">
        <w:t xml:space="preserve"> </w:t>
      </w:r>
      <w:r w:rsidRPr="00A83C94">
        <w:rPr>
          <w:lang w:val="en-US"/>
        </w:rPr>
        <w:t>ակտիվների</w:t>
      </w:r>
      <w:r w:rsidRPr="00A83C94">
        <w:t xml:space="preserve"> </w:t>
      </w:r>
      <w:r w:rsidRPr="00A83C94">
        <w:rPr>
          <w:lang w:val="en-US"/>
        </w:rPr>
        <w:t>գծով</w:t>
      </w:r>
      <w:r w:rsidRPr="00A83C94">
        <w:t xml:space="preserve"> </w:t>
      </w:r>
      <w:r w:rsidRPr="00A83C94">
        <w:rPr>
          <w:lang w:val="en-US"/>
        </w:rPr>
        <w:t>գործառնությունները</w:t>
      </w:r>
      <w:r w:rsidRPr="00A83C94">
        <w:t xml:space="preserve"> </w:t>
      </w:r>
      <w:r w:rsidRPr="00A83C94">
        <w:rPr>
          <w:lang w:val="en-US"/>
        </w:rPr>
        <w:t>հանրագումար</w:t>
      </w:r>
      <w:r w:rsidRPr="00A83C94">
        <w:t xml:space="preserve"> </w:t>
      </w:r>
      <w:r w:rsidRPr="00A83C94">
        <w:rPr>
          <w:lang w:val="en-US"/>
        </w:rPr>
        <w:t>են</w:t>
      </w:r>
      <w:r w:rsidRPr="00A83C94">
        <w:t xml:space="preserve"> ոչ ֆինանսական ակտիվների օտարումից մուտքեր</w:t>
      </w:r>
      <w:r w:rsidRPr="00A83C94">
        <w:rPr>
          <w:lang w:val="en-US"/>
        </w:rPr>
        <w:t>ի</w:t>
      </w:r>
      <w:r w:rsidRPr="00A83C94">
        <w:t xml:space="preserve"> </w:t>
      </w:r>
      <w:r w:rsidRPr="00A83C94">
        <w:rPr>
          <w:lang w:val="en-US"/>
        </w:rPr>
        <w:t>գծով</w:t>
      </w:r>
      <w:r w:rsidRPr="00A83C94">
        <w:t xml:space="preserve"> </w:t>
      </w:r>
      <w:r w:rsidRPr="00A83C94">
        <w:rPr>
          <w:lang w:val="en-US"/>
        </w:rPr>
        <w:t>ծախսերի</w:t>
      </w:r>
      <w:r w:rsidRPr="00A83C94">
        <w:t xml:space="preserve"> (-10,059.3 </w:t>
      </w:r>
      <w:r w:rsidRPr="00A83C94">
        <w:rPr>
          <w:lang w:val="en-US"/>
        </w:rPr>
        <w:t>մլն</w:t>
      </w:r>
      <w:r w:rsidRPr="00A83C94">
        <w:t xml:space="preserve"> </w:t>
      </w:r>
      <w:r w:rsidRPr="00A83C94">
        <w:rPr>
          <w:lang w:val="en-US"/>
        </w:rPr>
        <w:t>դրամ</w:t>
      </w:r>
      <w:r w:rsidRPr="00A83C94">
        <w:t xml:space="preserve">) </w:t>
      </w:r>
      <w:r w:rsidRPr="00A83C94">
        <w:rPr>
          <w:lang w:val="en-US"/>
        </w:rPr>
        <w:t>և</w:t>
      </w:r>
      <w:r w:rsidRPr="00A83C94">
        <w:t xml:space="preserve"> </w:t>
      </w:r>
      <w:r w:rsidRPr="00A83C94">
        <w:rPr>
          <w:lang w:val="en-US"/>
        </w:rPr>
        <w:t>ոչ</w:t>
      </w:r>
      <w:r w:rsidRPr="00A83C94">
        <w:t xml:space="preserve"> </w:t>
      </w:r>
      <w:r w:rsidRPr="00A83C94">
        <w:rPr>
          <w:lang w:val="en-US"/>
        </w:rPr>
        <w:t>ֆինանսական</w:t>
      </w:r>
      <w:r w:rsidRPr="00A83C94">
        <w:t xml:space="preserve"> </w:t>
      </w:r>
      <w:r w:rsidRPr="00A83C94">
        <w:rPr>
          <w:lang w:val="en-US"/>
        </w:rPr>
        <w:t>ակտիվների</w:t>
      </w:r>
      <w:r w:rsidRPr="00A83C94">
        <w:t xml:space="preserve"> </w:t>
      </w:r>
      <w:r w:rsidRPr="00A83C94">
        <w:rPr>
          <w:lang w:val="en-US"/>
        </w:rPr>
        <w:t>գծով</w:t>
      </w:r>
      <w:r w:rsidRPr="00A83C94">
        <w:t xml:space="preserve"> </w:t>
      </w:r>
      <w:r w:rsidRPr="00A83C94">
        <w:rPr>
          <w:lang w:val="en-US"/>
        </w:rPr>
        <w:t>ծախսերի</w:t>
      </w:r>
      <w:r w:rsidRPr="00A83C94">
        <w:t xml:space="preserve"> (</w:t>
      </w:r>
      <w:r>
        <w:t>35</w:t>
      </w:r>
      <w:r>
        <w:rPr>
          <w:lang w:val="hy-AM"/>
        </w:rPr>
        <w:t>1</w:t>
      </w:r>
      <w:r w:rsidRPr="00A83C94">
        <w:t>,</w:t>
      </w:r>
      <w:r>
        <w:rPr>
          <w:lang w:val="hy-AM"/>
        </w:rPr>
        <w:t>944</w:t>
      </w:r>
      <w:r w:rsidRPr="00A83C94">
        <w:t>.</w:t>
      </w:r>
      <w:r>
        <w:rPr>
          <w:lang w:val="hy-AM"/>
        </w:rPr>
        <w:t>1</w:t>
      </w:r>
      <w:r w:rsidRPr="00A83C94">
        <w:t xml:space="preserve"> </w:t>
      </w:r>
      <w:r w:rsidRPr="00A83C94">
        <w:rPr>
          <w:lang w:val="en-US"/>
        </w:rPr>
        <w:t>մլն</w:t>
      </w:r>
      <w:r w:rsidRPr="00A83C94">
        <w:t xml:space="preserve"> </w:t>
      </w:r>
      <w:r w:rsidRPr="00A83C94">
        <w:rPr>
          <w:lang w:val="en-US"/>
        </w:rPr>
        <w:t>դրամ</w:t>
      </w:r>
      <w:r w:rsidRPr="00A83C94">
        <w:t>):</w:t>
      </w:r>
    </w:p>
    <w:p w14:paraId="696D8FC1" w14:textId="77777777" w:rsidR="005B7218" w:rsidRDefault="005B7218" w:rsidP="005B7218">
      <w:pPr>
        <w:pStyle w:val="Caption"/>
      </w:pPr>
      <w:bookmarkStart w:id="262" w:name="_Toc57631788"/>
      <w:bookmarkStart w:id="263" w:name="_Toc83752683"/>
    </w:p>
    <w:p w14:paraId="2B30D6A0" w14:textId="4269B01E" w:rsidR="005B7218" w:rsidRPr="00A83C94" w:rsidRDefault="005B7218" w:rsidP="005B7218">
      <w:pPr>
        <w:pStyle w:val="Caption"/>
        <w:rPr>
          <w:rFonts w:cs="Sylfaen"/>
          <w:b/>
          <w:i/>
          <w:sz w:val="20"/>
          <w:szCs w:val="20"/>
          <w:lang w:val="hy-AM" w:eastAsia="en-US"/>
        </w:rPr>
      </w:pPr>
      <w:bookmarkStart w:id="264" w:name="_Toc89428817"/>
      <w:r>
        <w:t xml:space="preserve">Գծապատկեր </w:t>
      </w:r>
      <w:r>
        <w:fldChar w:fldCharType="begin"/>
      </w:r>
      <w:r>
        <w:instrText xml:space="preserve"> SEQ Գծապատկեր \* ARABIC </w:instrText>
      </w:r>
      <w:r>
        <w:fldChar w:fldCharType="separate"/>
      </w:r>
      <w:r w:rsidR="004F79FF">
        <w:rPr>
          <w:noProof/>
        </w:rPr>
        <w:t>2</w:t>
      </w:r>
      <w:r>
        <w:fldChar w:fldCharType="end"/>
      </w:r>
      <w:r w:rsidRPr="00A83C94">
        <w:rPr>
          <w:rFonts w:ascii="Cambria Math" w:hAnsi="Cambria Math"/>
          <w:lang w:val="hy-AM"/>
        </w:rPr>
        <w:t>․</w:t>
      </w:r>
      <w:r w:rsidRPr="00A83C94">
        <w:rPr>
          <w:rFonts w:eastAsia="Calibri"/>
          <w:i/>
          <w:iCs/>
          <w:color w:val="000000"/>
          <w:sz w:val="20"/>
          <w:szCs w:val="20"/>
          <w:lang w:val="hy-AM" w:eastAsia="en-US"/>
        </w:rPr>
        <w:t xml:space="preserve"> </w:t>
      </w:r>
      <w:r w:rsidRPr="00A83C94">
        <w:rPr>
          <w:b/>
          <w:i/>
          <w:sz w:val="20"/>
          <w:szCs w:val="20"/>
          <w:lang w:val="af-ZA" w:eastAsia="en-US"/>
        </w:rPr>
        <w:t>2018-2022</w:t>
      </w:r>
      <w:r w:rsidRPr="00A83C94">
        <w:rPr>
          <w:b/>
          <w:i/>
          <w:sz w:val="20"/>
          <w:szCs w:val="20"/>
          <w:lang w:val="it-IT" w:eastAsia="en-US"/>
        </w:rPr>
        <w:t>թթ</w:t>
      </w:r>
      <w:r w:rsidRPr="00A83C94">
        <w:rPr>
          <w:rFonts w:ascii="Cambria Math" w:hAnsi="Cambria Math"/>
          <w:b/>
          <w:i/>
          <w:sz w:val="20"/>
          <w:szCs w:val="20"/>
          <w:lang w:val="hy-AM" w:eastAsia="en-US"/>
        </w:rPr>
        <w:t>․</w:t>
      </w:r>
      <w:r w:rsidRPr="00A83C94">
        <w:rPr>
          <w:b/>
          <w:i/>
          <w:sz w:val="20"/>
          <w:szCs w:val="20"/>
          <w:lang w:val="af-ZA" w:eastAsia="en-US"/>
        </w:rPr>
        <w:t xml:space="preserve"> </w:t>
      </w:r>
      <w:r w:rsidRPr="00A83C94">
        <w:rPr>
          <w:rFonts w:cs="Sylfaen"/>
          <w:b/>
          <w:i/>
          <w:sz w:val="20"/>
          <w:szCs w:val="20"/>
          <w:lang w:val="hy-AM" w:eastAsia="en-US"/>
        </w:rPr>
        <w:t>ընթացիկ</w:t>
      </w:r>
      <w:r w:rsidRPr="00A83C94">
        <w:rPr>
          <w:b/>
          <w:i/>
          <w:sz w:val="20"/>
          <w:szCs w:val="20"/>
          <w:lang w:val="af-ZA" w:eastAsia="en-US"/>
        </w:rPr>
        <w:t xml:space="preserve"> </w:t>
      </w:r>
      <w:r w:rsidRPr="00A83C94">
        <w:rPr>
          <w:rFonts w:cs="Sylfaen"/>
          <w:b/>
          <w:i/>
          <w:sz w:val="20"/>
          <w:szCs w:val="20"/>
          <w:lang w:val="hy-AM" w:eastAsia="en-US"/>
        </w:rPr>
        <w:t>և</w:t>
      </w:r>
      <w:r w:rsidRPr="00A83C94">
        <w:rPr>
          <w:b/>
          <w:i/>
          <w:sz w:val="20"/>
          <w:szCs w:val="20"/>
          <w:lang w:val="af-ZA" w:eastAsia="en-US"/>
        </w:rPr>
        <w:t xml:space="preserve"> </w:t>
      </w:r>
      <w:r w:rsidRPr="00A83C94">
        <w:rPr>
          <w:rFonts w:cs="Sylfaen"/>
          <w:b/>
          <w:i/>
          <w:sz w:val="20"/>
          <w:szCs w:val="20"/>
          <w:lang w:val="hy-AM" w:eastAsia="en-US"/>
        </w:rPr>
        <w:t>ոչ</w:t>
      </w:r>
      <w:r w:rsidRPr="00A83C94">
        <w:rPr>
          <w:rFonts w:cs="Sylfaen"/>
          <w:b/>
          <w:i/>
          <w:sz w:val="20"/>
          <w:szCs w:val="20"/>
          <w:lang w:val="af-ZA" w:eastAsia="en-US"/>
        </w:rPr>
        <w:t xml:space="preserve"> </w:t>
      </w:r>
      <w:r w:rsidRPr="00A83C94">
        <w:rPr>
          <w:rFonts w:cs="Sylfaen"/>
          <w:b/>
          <w:i/>
          <w:sz w:val="20"/>
          <w:szCs w:val="20"/>
          <w:lang w:val="hy-AM" w:eastAsia="en-US"/>
        </w:rPr>
        <w:t>ֆինանսական</w:t>
      </w:r>
      <w:r w:rsidRPr="00A83C94">
        <w:rPr>
          <w:rFonts w:cs="Sylfaen"/>
          <w:b/>
          <w:i/>
          <w:sz w:val="20"/>
          <w:szCs w:val="20"/>
          <w:lang w:val="af-ZA" w:eastAsia="en-US"/>
        </w:rPr>
        <w:t xml:space="preserve"> </w:t>
      </w:r>
      <w:r w:rsidRPr="00A83C94">
        <w:rPr>
          <w:rFonts w:cs="Sylfaen"/>
          <w:b/>
          <w:i/>
          <w:sz w:val="20"/>
          <w:szCs w:val="20"/>
          <w:lang w:val="hy-AM" w:eastAsia="en-US"/>
        </w:rPr>
        <w:t>ակտիվների</w:t>
      </w:r>
      <w:r w:rsidRPr="00A83C94">
        <w:rPr>
          <w:rFonts w:cs="Sylfaen"/>
          <w:b/>
          <w:i/>
          <w:sz w:val="20"/>
          <w:szCs w:val="20"/>
          <w:lang w:val="af-ZA" w:eastAsia="en-US"/>
        </w:rPr>
        <w:t xml:space="preserve"> </w:t>
      </w:r>
      <w:r w:rsidRPr="00A83C94">
        <w:rPr>
          <w:rFonts w:cs="Sylfaen"/>
          <w:b/>
          <w:i/>
          <w:sz w:val="20"/>
          <w:szCs w:val="20"/>
          <w:lang w:val="hy-AM" w:eastAsia="en-US"/>
        </w:rPr>
        <w:t>գծով</w:t>
      </w:r>
      <w:r w:rsidRPr="00A83C94">
        <w:rPr>
          <w:rFonts w:cs="Sylfaen"/>
          <w:b/>
          <w:i/>
          <w:sz w:val="20"/>
          <w:szCs w:val="20"/>
          <w:lang w:val="af-ZA" w:eastAsia="en-US"/>
        </w:rPr>
        <w:t xml:space="preserve"> </w:t>
      </w:r>
      <w:r w:rsidRPr="00A83C94">
        <w:rPr>
          <w:rFonts w:cs="Sylfaen"/>
          <w:b/>
          <w:i/>
          <w:sz w:val="20"/>
          <w:szCs w:val="20"/>
          <w:lang w:val="en-US" w:eastAsia="en-US"/>
        </w:rPr>
        <w:t>գործառնությունների</w:t>
      </w:r>
      <w:r w:rsidRPr="00A83C94">
        <w:rPr>
          <w:b/>
          <w:i/>
          <w:sz w:val="20"/>
          <w:szCs w:val="20"/>
          <w:lang w:val="af-ZA" w:eastAsia="en-US"/>
        </w:rPr>
        <w:t xml:space="preserve"> </w:t>
      </w:r>
      <w:r w:rsidRPr="00A83C94">
        <w:rPr>
          <w:rFonts w:cs="Sylfaen"/>
          <w:b/>
          <w:i/>
          <w:sz w:val="20"/>
          <w:szCs w:val="20"/>
          <w:lang w:val="hy-AM" w:eastAsia="en-US"/>
        </w:rPr>
        <w:t>փոփոխության</w:t>
      </w:r>
      <w:r w:rsidRPr="00A83C94">
        <w:rPr>
          <w:b/>
          <w:i/>
          <w:sz w:val="20"/>
          <w:szCs w:val="20"/>
          <w:lang w:val="af-ZA" w:eastAsia="en-US"/>
        </w:rPr>
        <w:t xml:space="preserve"> </w:t>
      </w:r>
      <w:r w:rsidRPr="00A83C94">
        <w:rPr>
          <w:rFonts w:cs="Sylfaen"/>
          <w:b/>
          <w:i/>
          <w:sz w:val="20"/>
          <w:szCs w:val="20"/>
          <w:lang w:val="hy-AM" w:eastAsia="en-US"/>
        </w:rPr>
        <w:t>և</w:t>
      </w:r>
      <w:r w:rsidRPr="00A83C94">
        <w:rPr>
          <w:b/>
          <w:i/>
          <w:sz w:val="20"/>
          <w:szCs w:val="20"/>
          <w:lang w:val="af-ZA" w:eastAsia="en-US"/>
        </w:rPr>
        <w:t xml:space="preserve"> </w:t>
      </w:r>
      <w:r w:rsidRPr="00A83C94">
        <w:rPr>
          <w:rFonts w:cs="Sylfaen"/>
          <w:b/>
          <w:i/>
          <w:sz w:val="20"/>
          <w:szCs w:val="20"/>
          <w:lang w:val="hy-AM" w:eastAsia="en-US"/>
        </w:rPr>
        <w:t>հարաբերակցության</w:t>
      </w:r>
      <w:r w:rsidRPr="00A83C94">
        <w:rPr>
          <w:b/>
          <w:i/>
          <w:sz w:val="20"/>
          <w:szCs w:val="20"/>
          <w:lang w:val="af-ZA" w:eastAsia="en-US"/>
        </w:rPr>
        <w:t xml:space="preserve"> </w:t>
      </w:r>
      <w:r w:rsidRPr="00A83C94">
        <w:rPr>
          <w:rFonts w:cs="Sylfaen"/>
          <w:b/>
          <w:i/>
          <w:sz w:val="20"/>
          <w:szCs w:val="20"/>
          <w:lang w:val="hy-AM" w:eastAsia="en-US"/>
        </w:rPr>
        <w:t>միտումները</w:t>
      </w:r>
      <w:bookmarkEnd w:id="262"/>
      <w:bookmarkEnd w:id="263"/>
      <w:bookmarkEnd w:id="264"/>
    </w:p>
    <w:p w14:paraId="0BA6871A" w14:textId="77777777" w:rsidR="005B7218" w:rsidRPr="00A83C94" w:rsidRDefault="005B7218" w:rsidP="005B7218">
      <w:pPr>
        <w:pStyle w:val="Caption"/>
        <w:spacing w:before="0" w:after="0"/>
        <w:rPr>
          <w:b/>
          <w:szCs w:val="22"/>
          <w:lang w:val="hy-AM" w:eastAsia="en-US"/>
        </w:rPr>
      </w:pPr>
      <w:r w:rsidRPr="00A83C94">
        <w:rPr>
          <w:b/>
          <w:noProof/>
          <w:szCs w:val="22"/>
          <w:lang w:val="hy-AM" w:eastAsia="en-US"/>
        </w:rPr>
        <w:t xml:space="preserve"> </w:t>
      </w:r>
      <w:r w:rsidRPr="00A83C94">
        <w:rPr>
          <w:b/>
          <w:noProof/>
          <w:sz w:val="20"/>
          <w:szCs w:val="20"/>
          <w:lang w:val="en-US" w:eastAsia="en-US"/>
        </w:rPr>
        <w:drawing>
          <wp:inline distT="0" distB="0" distL="0" distR="0" wp14:anchorId="6D18CFDD" wp14:editId="6BEB32C4">
            <wp:extent cx="6144260" cy="3114675"/>
            <wp:effectExtent l="0" t="0" r="0" b="0"/>
            <wp:docPr id="6"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261"/>
    </w:p>
    <w:p w14:paraId="0E99B528" w14:textId="77777777" w:rsidR="005B7218" w:rsidRPr="00A83C94" w:rsidRDefault="005B7218" w:rsidP="005B7218">
      <w:pPr>
        <w:spacing w:before="0" w:line="276" w:lineRule="auto"/>
        <w:ind w:firstLine="480"/>
        <w:contextualSpacing w:val="0"/>
        <w:rPr>
          <w:rFonts w:cs="Sylfaen"/>
          <w:b w:val="0"/>
          <w:szCs w:val="22"/>
          <w:lang w:val="hy-AM" w:eastAsia="en-US"/>
        </w:rPr>
      </w:pPr>
    </w:p>
    <w:p w14:paraId="39C788A9" w14:textId="77777777" w:rsidR="005B7218" w:rsidRPr="00A83C94" w:rsidRDefault="005B7218" w:rsidP="005B7218">
      <w:pPr>
        <w:spacing w:before="0" w:line="276" w:lineRule="auto"/>
        <w:ind w:firstLine="475"/>
        <w:contextualSpacing w:val="0"/>
        <w:rPr>
          <w:rFonts w:cs="Sylfaen"/>
          <w:b w:val="0"/>
          <w:szCs w:val="22"/>
          <w:lang w:val="hy-AM" w:eastAsia="en-US"/>
        </w:rPr>
      </w:pPr>
      <w:r w:rsidRPr="00A83C94">
        <w:rPr>
          <w:rFonts w:cs="Sylfaen"/>
          <w:b w:val="0"/>
          <w:szCs w:val="22"/>
          <w:lang w:val="hy-AM" w:eastAsia="en-US"/>
        </w:rPr>
        <w:t>2022 թվականի ծախսերի ընդհանուր ծավալի միջին տարեկանի շուրջ 8</w:t>
      </w:r>
      <w:r w:rsidRPr="00AC1D0B">
        <w:rPr>
          <w:rFonts w:cs="Sylfaen"/>
          <w:b w:val="0"/>
          <w:szCs w:val="22"/>
          <w:lang w:val="hy-AM" w:eastAsia="en-US"/>
        </w:rPr>
        <w:t>4</w:t>
      </w:r>
      <w:r w:rsidRPr="00A83C94">
        <w:rPr>
          <w:rFonts w:cs="Sylfaen"/>
          <w:b w:val="0"/>
          <w:szCs w:val="22"/>
          <w:lang w:val="hy-AM" w:eastAsia="en-US"/>
        </w:rPr>
        <w:t>.</w:t>
      </w:r>
      <w:r>
        <w:rPr>
          <w:rFonts w:cs="Sylfaen"/>
          <w:b w:val="0"/>
          <w:szCs w:val="22"/>
          <w:lang w:val="hy-AM" w:eastAsia="en-US"/>
        </w:rPr>
        <w:t>3</w:t>
      </w:r>
      <w:r w:rsidRPr="00A83C94">
        <w:rPr>
          <w:rFonts w:cs="Sylfaen"/>
          <w:b w:val="0"/>
          <w:szCs w:val="22"/>
          <w:lang w:val="hy-AM" w:eastAsia="en-US"/>
        </w:rPr>
        <w:t xml:space="preserve">%-ը կկազմեն </w:t>
      </w:r>
      <w:r w:rsidRPr="00A83C94">
        <w:rPr>
          <w:rFonts w:cs="Sylfaen"/>
          <w:szCs w:val="22"/>
          <w:lang w:val="hy-AM" w:eastAsia="en-US"/>
        </w:rPr>
        <w:t>ընթացիկ ծախսերը</w:t>
      </w:r>
      <w:r w:rsidRPr="00A83C94">
        <w:rPr>
          <w:rFonts w:cs="Sylfaen"/>
          <w:b w:val="0"/>
          <w:szCs w:val="22"/>
          <w:lang w:val="hy-AM" w:eastAsia="en-US"/>
        </w:rPr>
        <w:t xml:space="preserve">,  (2021 թվականին այդ ցուցանիշը ծրագրվել է 88.3%): </w:t>
      </w:r>
    </w:p>
    <w:p w14:paraId="36D2A006" w14:textId="77777777" w:rsidR="005B7218" w:rsidRPr="00A83C94" w:rsidRDefault="005B7218" w:rsidP="005B7218">
      <w:pPr>
        <w:spacing w:before="0" w:line="276" w:lineRule="auto"/>
        <w:ind w:firstLine="475"/>
        <w:contextualSpacing w:val="0"/>
        <w:rPr>
          <w:rFonts w:cs="Sylfaen"/>
          <w:b w:val="0"/>
          <w:szCs w:val="22"/>
          <w:lang w:val="hy-AM" w:eastAsia="en-US"/>
        </w:rPr>
      </w:pPr>
      <w:r w:rsidRPr="00A83C94">
        <w:rPr>
          <w:rFonts w:cs="Sylfaen"/>
          <w:b w:val="0"/>
          <w:szCs w:val="22"/>
          <w:lang w:val="hy-AM" w:eastAsia="en-US"/>
        </w:rPr>
        <w:t>Դիտարկվող ժամանակահատվածում ընթացիկ ծախսերն ուղղված կլի</w:t>
      </w:r>
      <w:r w:rsidRPr="00A83C94">
        <w:rPr>
          <w:rFonts w:cs="Sylfaen"/>
          <w:b w:val="0"/>
          <w:szCs w:val="22"/>
          <w:lang w:val="hy-AM" w:eastAsia="en-US"/>
        </w:rPr>
        <w:softHyphen/>
        <w:t xml:space="preserve">նի ծառայությունների մատուցման, տրանսֆերտների տրամադրման, ֆինանսավորման ծախսերի իրականացման և հանրության կողմից անմիջականորեն օգտագործվող ակտիվների հետ կապված միջոցառումներին: </w:t>
      </w:r>
    </w:p>
    <w:p w14:paraId="4951DDD8" w14:textId="77777777" w:rsidR="005B7218" w:rsidRPr="00A83C94" w:rsidRDefault="005B7218" w:rsidP="005B7218">
      <w:pPr>
        <w:spacing w:before="0" w:line="276" w:lineRule="auto"/>
        <w:ind w:firstLine="475"/>
        <w:contextualSpacing w:val="0"/>
        <w:rPr>
          <w:rFonts w:cs="Sylfaen"/>
          <w:b w:val="0"/>
          <w:szCs w:val="22"/>
          <w:lang w:val="hy-AM" w:eastAsia="en-US"/>
        </w:rPr>
      </w:pPr>
      <w:r w:rsidRPr="00A83C94">
        <w:rPr>
          <w:rFonts w:cs="Sylfaen"/>
          <w:b w:val="0"/>
          <w:szCs w:val="22"/>
          <w:lang w:val="hy-AM" w:eastAsia="en-US"/>
        </w:rPr>
        <w:t>2022թ. ընթացիկ ծախսերի ֆինանսավորման ըստ տնտեսագիտական դասակարգման կառուցվածքի ծախ</w:t>
      </w:r>
      <w:r w:rsidRPr="00A83C94">
        <w:rPr>
          <w:rFonts w:cs="Sylfaen"/>
          <w:b w:val="0"/>
          <w:szCs w:val="22"/>
          <w:lang w:val="hy-AM" w:eastAsia="en-US"/>
        </w:rPr>
        <w:softHyphen/>
        <w:t>սերի հարա</w:t>
      </w:r>
      <w:r w:rsidRPr="00A83C94">
        <w:rPr>
          <w:rFonts w:cs="Sylfaen"/>
          <w:b w:val="0"/>
          <w:szCs w:val="22"/>
          <w:lang w:val="hy-AM" w:eastAsia="en-US"/>
        </w:rPr>
        <w:softHyphen/>
        <w:t>բերակցությունը ՀՆԱ-ի նկատմամբ ներկայացված է ստորև:</w:t>
      </w:r>
    </w:p>
    <w:p w14:paraId="64B8953D" w14:textId="77777777" w:rsidR="005B7218" w:rsidRPr="00A83C94" w:rsidRDefault="005B7218" w:rsidP="005B7218">
      <w:pPr>
        <w:pStyle w:val="Caption"/>
        <w:spacing w:before="0" w:after="0"/>
        <w:rPr>
          <w:lang w:val="hy-AM"/>
        </w:rPr>
      </w:pPr>
      <w:bookmarkStart w:id="265" w:name="_Toc52223578"/>
      <w:bookmarkStart w:id="266" w:name="_Toc57631789"/>
    </w:p>
    <w:p w14:paraId="184222F9" w14:textId="2F80E82E" w:rsidR="005B7218" w:rsidRPr="00A83C94" w:rsidRDefault="005B7218" w:rsidP="005B7218">
      <w:pPr>
        <w:pStyle w:val="Caption"/>
        <w:rPr>
          <w:rFonts w:cs="Sylfaen"/>
          <w:b/>
          <w:szCs w:val="22"/>
          <w:lang w:val="hy-AM" w:eastAsia="en-US"/>
        </w:rPr>
      </w:pPr>
      <w:bookmarkStart w:id="267" w:name="_Toc83752684"/>
      <w:bookmarkStart w:id="268" w:name="_Toc89428818"/>
      <w:r w:rsidRPr="008B1D49">
        <w:rPr>
          <w:lang w:val="hy-AM"/>
        </w:rPr>
        <w:t xml:space="preserve">Գծապատկեր </w:t>
      </w:r>
      <w:r>
        <w:fldChar w:fldCharType="begin"/>
      </w:r>
      <w:r w:rsidRPr="008B1D49">
        <w:rPr>
          <w:lang w:val="hy-AM"/>
        </w:rPr>
        <w:instrText xml:space="preserve"> SEQ Գծապատկեր \* ARABIC </w:instrText>
      </w:r>
      <w:r>
        <w:fldChar w:fldCharType="separate"/>
      </w:r>
      <w:r w:rsidR="004F79FF">
        <w:rPr>
          <w:noProof/>
          <w:lang w:val="hy-AM"/>
        </w:rPr>
        <w:t>3</w:t>
      </w:r>
      <w:r>
        <w:fldChar w:fldCharType="end"/>
      </w:r>
      <w:r w:rsidRPr="00A83C94">
        <w:rPr>
          <w:rFonts w:ascii="Cambria Math" w:hAnsi="Cambria Math"/>
          <w:lang w:val="hy-AM"/>
        </w:rPr>
        <w:t xml:space="preserve">․ </w:t>
      </w:r>
      <w:r w:rsidRPr="00A83C94">
        <w:rPr>
          <w:rFonts w:cs="Sylfaen"/>
          <w:b/>
          <w:i/>
          <w:sz w:val="20"/>
          <w:szCs w:val="20"/>
          <w:lang w:val="hy-AM" w:eastAsia="en-US"/>
        </w:rPr>
        <w:t>2017-2021թթ</w:t>
      </w:r>
      <w:r w:rsidRPr="00A83C94">
        <w:rPr>
          <w:rFonts w:ascii="Cambria Math" w:hAnsi="Cambria Math" w:cs="Sylfaen"/>
          <w:b/>
          <w:i/>
          <w:sz w:val="20"/>
          <w:szCs w:val="20"/>
          <w:lang w:val="hy-AM" w:eastAsia="en-US"/>
        </w:rPr>
        <w:t xml:space="preserve">․ </w:t>
      </w:r>
      <w:r w:rsidRPr="00A83C94">
        <w:rPr>
          <w:rFonts w:cs="Sylfaen"/>
          <w:b/>
          <w:i/>
          <w:sz w:val="20"/>
          <w:szCs w:val="20"/>
          <w:lang w:val="hy-AM" w:eastAsia="en-US"/>
        </w:rPr>
        <w:t>ընթացիկ ծախսերի ֆինանսավորման ըստ տնտեսագիտական դասակարգման կառուցվածքի ծախ</w:t>
      </w:r>
      <w:r w:rsidRPr="00A83C94">
        <w:rPr>
          <w:rFonts w:cs="Sylfaen"/>
          <w:b/>
          <w:i/>
          <w:sz w:val="20"/>
          <w:szCs w:val="20"/>
          <w:lang w:val="hy-AM" w:eastAsia="en-US"/>
        </w:rPr>
        <w:softHyphen/>
        <w:t>սերի հարա</w:t>
      </w:r>
      <w:r w:rsidRPr="00A83C94">
        <w:rPr>
          <w:rFonts w:cs="Sylfaen"/>
          <w:b/>
          <w:i/>
          <w:sz w:val="20"/>
          <w:szCs w:val="20"/>
          <w:lang w:val="hy-AM" w:eastAsia="en-US"/>
        </w:rPr>
        <w:softHyphen/>
        <w:t>բերակցությունը ՀՆԱ-ի նկատմամբ</w:t>
      </w:r>
      <w:bookmarkEnd w:id="265"/>
      <w:bookmarkEnd w:id="266"/>
      <w:bookmarkEnd w:id="267"/>
      <w:bookmarkEnd w:id="268"/>
    </w:p>
    <w:p w14:paraId="3C446DD1" w14:textId="77777777" w:rsidR="005B7218" w:rsidRPr="00A83C94" w:rsidRDefault="005B7218" w:rsidP="005B7218">
      <w:pPr>
        <w:spacing w:before="0" w:line="276" w:lineRule="auto"/>
        <w:ind w:firstLine="475"/>
        <w:contextualSpacing w:val="0"/>
        <w:rPr>
          <w:b w:val="0"/>
          <w:szCs w:val="22"/>
          <w:lang w:val="hy-AM" w:eastAsia="en-US"/>
        </w:rPr>
      </w:pPr>
    </w:p>
    <w:p w14:paraId="2835D015" w14:textId="2A2731CD" w:rsidR="005B7218" w:rsidRPr="00A83C94" w:rsidRDefault="00564083" w:rsidP="005B7218">
      <w:pPr>
        <w:spacing w:before="0" w:line="276" w:lineRule="auto"/>
        <w:ind w:firstLine="480"/>
        <w:contextualSpacing w:val="0"/>
        <w:rPr>
          <w:b w:val="0"/>
          <w:szCs w:val="22"/>
          <w:lang w:val="af-ZA" w:eastAsia="en-US"/>
        </w:rPr>
      </w:pPr>
      <w:r w:rsidRPr="00A83C94">
        <w:rPr>
          <w:b w:val="0"/>
          <w:noProof/>
          <w:szCs w:val="22"/>
          <w:lang w:val="en-US" w:eastAsia="en-US"/>
        </w:rPr>
        <w:drawing>
          <wp:inline distT="0" distB="0" distL="0" distR="0" wp14:anchorId="3CAE4084" wp14:editId="1B1E49E7">
            <wp:extent cx="5924550" cy="4610100"/>
            <wp:effectExtent l="0" t="0" r="0" b="0"/>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7C7159" w14:textId="77777777" w:rsidR="005B7218" w:rsidRPr="00A83C94" w:rsidRDefault="005B7218" w:rsidP="005B7218">
      <w:pPr>
        <w:spacing w:before="0" w:line="276" w:lineRule="auto"/>
        <w:contextualSpacing w:val="0"/>
        <w:rPr>
          <w:rFonts w:cs="Sylfaen"/>
          <w:b w:val="0"/>
          <w:sz w:val="20"/>
          <w:szCs w:val="20"/>
          <w:lang w:val="hy-AM" w:eastAsia="en-US"/>
        </w:rPr>
      </w:pPr>
    </w:p>
    <w:p w14:paraId="620BA2BF" w14:textId="77777777" w:rsidR="00564083" w:rsidRPr="00564083" w:rsidRDefault="00564083" w:rsidP="00564083">
      <w:pPr>
        <w:spacing w:before="0" w:line="276" w:lineRule="auto"/>
        <w:contextualSpacing w:val="0"/>
        <w:rPr>
          <w:b w:val="0"/>
          <w:szCs w:val="22"/>
          <w:lang w:val="hy-AM" w:eastAsia="en-US"/>
        </w:rPr>
      </w:pPr>
      <w:r w:rsidRPr="00A83C94">
        <w:rPr>
          <w:b w:val="0"/>
          <w:szCs w:val="22"/>
          <w:lang w:val="hy-AM" w:eastAsia="en-US"/>
        </w:rPr>
        <w:t xml:space="preserve">2022թ. պետական բյուջեից աշխատավարձերին </w:t>
      </w:r>
      <w:r w:rsidRPr="00564083">
        <w:rPr>
          <w:b w:val="0"/>
          <w:szCs w:val="22"/>
          <w:lang w:val="hy-AM" w:eastAsia="en-US"/>
        </w:rPr>
        <w:t>ուղղվող ծախսերը կկազի 184.6 մլրդ դրամ: 2022թ. տոկոսավճարների գծով ծախսը կազմում է 213.8 մլրդ դրամ: 2022թ. պետական բյուջեից կազմակերպություններին նախատեսվում է տրամադրել 141.9 մլրդ դրամի սուբսիդիաներ, որը 2021 թվականի հաստատված բյուջեի համեմատ սուբսիդիաների գծով ծախսն ավել է կանխատեսվել 15.9 տոկոսով կամ 19.5 մլրդ դրամով:</w:t>
      </w:r>
    </w:p>
    <w:p w14:paraId="736F765D" w14:textId="77777777" w:rsidR="00564083" w:rsidRPr="00564083" w:rsidRDefault="00564083" w:rsidP="00564083">
      <w:pPr>
        <w:spacing w:before="0" w:line="276" w:lineRule="auto"/>
        <w:contextualSpacing w:val="0"/>
        <w:rPr>
          <w:b w:val="0"/>
          <w:szCs w:val="22"/>
          <w:lang w:val="hy-AM" w:eastAsia="en-US"/>
        </w:rPr>
      </w:pPr>
      <w:r w:rsidRPr="00564083">
        <w:rPr>
          <w:b w:val="0"/>
          <w:szCs w:val="22"/>
          <w:lang w:val="hy-AM" w:eastAsia="en-US"/>
        </w:rPr>
        <w:t xml:space="preserve">2022թ. ընթացիկ ծախսերի աճը մեծապես ապահովվելու է սոցիալական նպաստների և կենսաթոշակների վճարների գծով պետական բյուջեի ծախսերի ավելացման հաշվին, որոնք 2021 թվականի հաստատված բյուջեի նկատմամբ ավելացել է 8.4 տոկոսով կամ 44.2 մլրդ դրամով: </w:t>
      </w:r>
    </w:p>
    <w:p w14:paraId="161CCD17" w14:textId="77777777" w:rsidR="00564083" w:rsidRPr="00564083" w:rsidRDefault="00564083" w:rsidP="00564083">
      <w:pPr>
        <w:spacing w:before="0" w:line="276" w:lineRule="auto"/>
        <w:contextualSpacing w:val="0"/>
        <w:rPr>
          <w:b w:val="0"/>
          <w:szCs w:val="22"/>
          <w:lang w:val="hy-AM" w:eastAsia="en-US"/>
        </w:rPr>
      </w:pPr>
      <w:r w:rsidRPr="00564083">
        <w:rPr>
          <w:b w:val="0"/>
          <w:szCs w:val="22"/>
          <w:lang w:val="hy-AM" w:eastAsia="en-US"/>
        </w:rPr>
        <w:t xml:space="preserve">2022թ պետական բյուջեից նախատեսվում է տրամադրել դրամաշնորհներ 2021 թվականի հաստատված բյուջեի նկատմամբ համապատասխանաբար 65.8 մլրդ դրամով կամ 40.4 տոկոսով ավել, որը պայմանավորված էր դրոշմանիշային վճարների 2022թ. բյուջեում եկամուտների և ծախսերի նախատեսմամբ, ինչպես նաև ԵՄ աջակցությամբ ծրագրերով նախատեսմամբ: </w:t>
      </w:r>
    </w:p>
    <w:p w14:paraId="492C8554" w14:textId="69F4B635" w:rsidR="005B7218" w:rsidRPr="00A83C94" w:rsidRDefault="00564083" w:rsidP="00564083">
      <w:pPr>
        <w:spacing w:before="0" w:line="276" w:lineRule="auto"/>
        <w:contextualSpacing w:val="0"/>
        <w:rPr>
          <w:b w:val="0"/>
          <w:szCs w:val="22"/>
          <w:lang w:val="hy-AM" w:eastAsia="en-US"/>
        </w:rPr>
      </w:pPr>
      <w:r w:rsidRPr="00564083">
        <w:rPr>
          <w:b w:val="0"/>
          <w:szCs w:val="22"/>
          <w:lang w:val="hy-AM" w:eastAsia="en-US"/>
        </w:rPr>
        <w:t>2022թ պետական բյուջեից նախատեսվում է տրամադրել ծառայությունների, ապրանքների ձեռքբերման և այլ ծախսերի գծով 2021 թվականի հաստատված բյուջեի նկատմամբ 55.4 մլրդ դրամով կամ 12.4 տոկոսով ավել:</w:t>
      </w:r>
    </w:p>
    <w:p w14:paraId="4C03D6B5" w14:textId="77777777" w:rsidR="005B7218" w:rsidRPr="00A83C94" w:rsidRDefault="005B7218" w:rsidP="005B7218">
      <w:pPr>
        <w:spacing w:before="0" w:line="276" w:lineRule="auto"/>
        <w:contextualSpacing w:val="0"/>
        <w:rPr>
          <w:b w:val="0"/>
          <w:szCs w:val="22"/>
          <w:lang w:val="hy-AM" w:eastAsia="en-US"/>
        </w:rPr>
      </w:pPr>
    </w:p>
    <w:p w14:paraId="4A50CCDF" w14:textId="4C69EBE5" w:rsidR="005B7218" w:rsidRPr="005F516C" w:rsidRDefault="005B7218" w:rsidP="005B7218">
      <w:pPr>
        <w:pStyle w:val="Caption"/>
        <w:spacing w:before="0" w:after="0" w:line="240" w:lineRule="auto"/>
        <w:rPr>
          <w:b/>
          <w:i/>
          <w:sz w:val="20"/>
          <w:szCs w:val="20"/>
          <w:lang w:val="hy-AM"/>
        </w:rPr>
      </w:pPr>
      <w:bookmarkStart w:id="269" w:name="_Toc57631762"/>
      <w:bookmarkStart w:id="270" w:name="_Toc83752675"/>
      <w:bookmarkStart w:id="271" w:name="_Toc83928947"/>
      <w:bookmarkStart w:id="272" w:name="_Toc89428771"/>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11</w:t>
      </w:r>
      <w:r>
        <w:fldChar w:fldCharType="end"/>
      </w:r>
      <w:r w:rsidRPr="008150A1">
        <w:rPr>
          <w:rFonts w:ascii="Cambria Math" w:hAnsi="Cambria Math" w:cs="Cambria Math"/>
          <w:lang w:val="hy-AM"/>
        </w:rPr>
        <w:t>․</w:t>
      </w:r>
      <w:r w:rsidRPr="005F516C">
        <w:rPr>
          <w:lang w:val="hy-AM"/>
        </w:rPr>
        <w:t xml:space="preserve"> </w:t>
      </w:r>
      <w:r w:rsidRPr="005F516C">
        <w:rPr>
          <w:b/>
          <w:i/>
          <w:sz w:val="20"/>
          <w:szCs w:val="20"/>
          <w:lang w:val="hy-AM"/>
        </w:rPr>
        <w:t>2018-2022թթ ընթացիկ ծախսերի ֆինանսավորման կառուցվածը ըստ տնտեսագիտական դասակարգման</w:t>
      </w:r>
      <w:bookmarkEnd w:id="269"/>
      <w:bookmarkEnd w:id="270"/>
      <w:bookmarkEnd w:id="271"/>
      <w:bookmarkEnd w:id="272"/>
    </w:p>
    <w:p w14:paraId="18D06F2A" w14:textId="77777777" w:rsidR="005B7218" w:rsidRPr="00A83C94" w:rsidRDefault="005B7218" w:rsidP="005B7218">
      <w:pPr>
        <w:spacing w:before="0" w:line="240" w:lineRule="auto"/>
        <w:ind w:firstLine="562"/>
        <w:contextualSpacing w:val="0"/>
        <w:jc w:val="center"/>
        <w:rPr>
          <w:b w:val="0"/>
          <w:sz w:val="20"/>
          <w:szCs w:val="20"/>
          <w:lang w:val="hy-AM" w:eastAsia="en-US"/>
        </w:rPr>
      </w:pPr>
      <w:r w:rsidRPr="00A83C94">
        <w:rPr>
          <w:b w:val="0"/>
          <w:sz w:val="20"/>
          <w:szCs w:val="20"/>
          <w:lang w:val="hy-AM" w:eastAsia="en-US"/>
        </w:rPr>
        <w:t xml:space="preserve">                                                                                                                                     մլն դրամ                                                                 </w:t>
      </w:r>
    </w:p>
    <w:tbl>
      <w:tblPr>
        <w:tblW w:w="10000" w:type="dxa"/>
        <w:tblLook w:val="04A0" w:firstRow="1" w:lastRow="0" w:firstColumn="1" w:lastColumn="0" w:noHBand="0" w:noVBand="1"/>
      </w:tblPr>
      <w:tblGrid>
        <w:gridCol w:w="3582"/>
        <w:gridCol w:w="1235"/>
        <w:gridCol w:w="1235"/>
        <w:gridCol w:w="1235"/>
        <w:gridCol w:w="1480"/>
        <w:gridCol w:w="1233"/>
      </w:tblGrid>
      <w:tr w:rsidR="005B7218" w:rsidRPr="00A83C94" w14:paraId="0BE9B9CF" w14:textId="77777777" w:rsidTr="00027FBF">
        <w:trPr>
          <w:trHeight w:val="825"/>
        </w:trPr>
        <w:tc>
          <w:tcPr>
            <w:tcW w:w="3582" w:type="dxa"/>
            <w:tcBorders>
              <w:top w:val="single" w:sz="8" w:space="0" w:color="auto"/>
              <w:left w:val="single" w:sz="8" w:space="0" w:color="auto"/>
              <w:bottom w:val="single" w:sz="8" w:space="0" w:color="auto"/>
              <w:right w:val="single" w:sz="8" w:space="0" w:color="auto"/>
            </w:tcBorders>
            <w:shd w:val="clear" w:color="000000" w:fill="2E74B5"/>
            <w:vAlign w:val="center"/>
            <w:hideMark/>
          </w:tcPr>
          <w:p w14:paraId="0F45642B"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Ցուցանիշներ</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14:paraId="74208B27"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2018թ փաստացի</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14:paraId="1F874697"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2019թ փաստացի</w:t>
            </w:r>
          </w:p>
        </w:tc>
        <w:tc>
          <w:tcPr>
            <w:tcW w:w="1235" w:type="dxa"/>
            <w:tcBorders>
              <w:top w:val="single" w:sz="8" w:space="0" w:color="auto"/>
              <w:left w:val="nil"/>
              <w:bottom w:val="single" w:sz="8" w:space="0" w:color="auto"/>
              <w:right w:val="single" w:sz="8" w:space="0" w:color="auto"/>
            </w:tcBorders>
            <w:shd w:val="clear" w:color="000000" w:fill="2E74B5"/>
            <w:vAlign w:val="center"/>
            <w:hideMark/>
          </w:tcPr>
          <w:p w14:paraId="23ABC63B"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2020թ փաստացի</w:t>
            </w:r>
          </w:p>
        </w:tc>
        <w:tc>
          <w:tcPr>
            <w:tcW w:w="1480" w:type="dxa"/>
            <w:tcBorders>
              <w:top w:val="single" w:sz="8" w:space="0" w:color="auto"/>
              <w:left w:val="nil"/>
              <w:bottom w:val="single" w:sz="8" w:space="0" w:color="auto"/>
              <w:right w:val="single" w:sz="8" w:space="0" w:color="auto"/>
            </w:tcBorders>
            <w:shd w:val="clear" w:color="000000" w:fill="2E74B5"/>
            <w:vAlign w:val="center"/>
            <w:hideMark/>
          </w:tcPr>
          <w:p w14:paraId="0FE081D4"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2021թ  հաստատված</w:t>
            </w:r>
          </w:p>
        </w:tc>
        <w:tc>
          <w:tcPr>
            <w:tcW w:w="1233" w:type="dxa"/>
            <w:tcBorders>
              <w:top w:val="single" w:sz="8" w:space="0" w:color="auto"/>
              <w:left w:val="nil"/>
              <w:bottom w:val="single" w:sz="8" w:space="0" w:color="auto"/>
              <w:right w:val="single" w:sz="8" w:space="0" w:color="auto"/>
            </w:tcBorders>
            <w:shd w:val="clear" w:color="000000" w:fill="2E74B5"/>
            <w:vAlign w:val="center"/>
            <w:hideMark/>
          </w:tcPr>
          <w:p w14:paraId="32E164ED" w14:textId="77777777" w:rsidR="005B7218" w:rsidRPr="00A83C94" w:rsidRDefault="005B7218" w:rsidP="00027FBF">
            <w:pPr>
              <w:spacing w:before="0" w:line="240" w:lineRule="auto"/>
              <w:ind w:firstLine="0"/>
              <w:contextualSpacing w:val="0"/>
              <w:jc w:val="center"/>
              <w:rPr>
                <w:rFonts w:cs="Calibri"/>
                <w:b w:val="0"/>
                <w:color w:val="FFFFFF"/>
                <w:sz w:val="20"/>
                <w:szCs w:val="20"/>
                <w:lang w:val="en-US" w:eastAsia="en-US"/>
              </w:rPr>
            </w:pPr>
            <w:r w:rsidRPr="00A83C94">
              <w:rPr>
                <w:rFonts w:cs="Calibri"/>
                <w:b w:val="0"/>
                <w:color w:val="FFFFFF"/>
                <w:sz w:val="20"/>
                <w:szCs w:val="20"/>
                <w:lang w:val="en-US" w:eastAsia="en-US"/>
              </w:rPr>
              <w:t>2022թ. բյուջե</w:t>
            </w:r>
          </w:p>
        </w:tc>
      </w:tr>
      <w:tr w:rsidR="00564083" w:rsidRPr="00A83C94" w14:paraId="2372C305"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2089E848" w14:textId="77777777" w:rsidR="00564083" w:rsidRPr="00A83C94" w:rsidRDefault="00564083" w:rsidP="00564083">
            <w:pPr>
              <w:spacing w:before="0" w:line="240" w:lineRule="auto"/>
              <w:ind w:firstLine="0"/>
              <w:contextualSpacing w:val="0"/>
              <w:rPr>
                <w:rFonts w:cs="Calibri"/>
                <w:bCs/>
                <w:color w:val="000000"/>
                <w:sz w:val="20"/>
                <w:szCs w:val="20"/>
                <w:lang w:val="en-US" w:eastAsia="en-US"/>
              </w:rPr>
            </w:pPr>
            <w:r w:rsidRPr="00A83C94">
              <w:rPr>
                <w:rFonts w:cs="Calibri"/>
                <w:bCs/>
                <w:color w:val="000000"/>
                <w:sz w:val="20"/>
                <w:szCs w:val="20"/>
                <w:lang w:val="en-US" w:eastAsia="en-US"/>
              </w:rPr>
              <w:t>ԸՆԹԱՑԻԿ ԾԱԽՍԵՐ</w:t>
            </w:r>
          </w:p>
        </w:tc>
        <w:tc>
          <w:tcPr>
            <w:tcW w:w="1235" w:type="dxa"/>
            <w:tcBorders>
              <w:top w:val="nil"/>
              <w:left w:val="nil"/>
              <w:bottom w:val="single" w:sz="8" w:space="0" w:color="auto"/>
              <w:right w:val="single" w:sz="8" w:space="0" w:color="auto"/>
            </w:tcBorders>
            <w:shd w:val="clear" w:color="000000" w:fill="D5DCE4"/>
            <w:noWrap/>
            <w:vAlign w:val="center"/>
            <w:hideMark/>
          </w:tcPr>
          <w:p w14:paraId="65A0E0D4" w14:textId="77777777" w:rsidR="00564083" w:rsidRPr="00A83C94" w:rsidRDefault="00564083" w:rsidP="00564083">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1,298,978</w:t>
            </w:r>
          </w:p>
        </w:tc>
        <w:tc>
          <w:tcPr>
            <w:tcW w:w="1235" w:type="dxa"/>
            <w:tcBorders>
              <w:top w:val="nil"/>
              <w:left w:val="nil"/>
              <w:bottom w:val="single" w:sz="8" w:space="0" w:color="auto"/>
              <w:right w:val="single" w:sz="8" w:space="0" w:color="auto"/>
            </w:tcBorders>
            <w:shd w:val="clear" w:color="000000" w:fill="D5DCE4"/>
            <w:noWrap/>
            <w:vAlign w:val="center"/>
            <w:hideMark/>
          </w:tcPr>
          <w:p w14:paraId="67DE1A93" w14:textId="77777777" w:rsidR="00564083" w:rsidRPr="00A83C94" w:rsidRDefault="00564083" w:rsidP="00564083">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1,437,143</w:t>
            </w:r>
          </w:p>
        </w:tc>
        <w:tc>
          <w:tcPr>
            <w:tcW w:w="1235" w:type="dxa"/>
            <w:tcBorders>
              <w:top w:val="nil"/>
              <w:left w:val="nil"/>
              <w:bottom w:val="single" w:sz="8" w:space="0" w:color="auto"/>
              <w:right w:val="single" w:sz="8" w:space="0" w:color="auto"/>
            </w:tcBorders>
            <w:shd w:val="clear" w:color="000000" w:fill="D5DCE4"/>
            <w:noWrap/>
            <w:vAlign w:val="center"/>
            <w:hideMark/>
          </w:tcPr>
          <w:p w14:paraId="4EAE7961" w14:textId="77777777" w:rsidR="00564083" w:rsidRPr="00A83C94" w:rsidRDefault="00564083" w:rsidP="00564083">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1,668,458</w:t>
            </w:r>
          </w:p>
        </w:tc>
        <w:tc>
          <w:tcPr>
            <w:tcW w:w="1480" w:type="dxa"/>
            <w:tcBorders>
              <w:top w:val="nil"/>
              <w:left w:val="nil"/>
              <w:bottom w:val="single" w:sz="8" w:space="0" w:color="auto"/>
              <w:right w:val="single" w:sz="8" w:space="0" w:color="auto"/>
            </w:tcBorders>
            <w:shd w:val="clear" w:color="000000" w:fill="D5DCE4"/>
            <w:noWrap/>
            <w:vAlign w:val="center"/>
            <w:hideMark/>
          </w:tcPr>
          <w:p w14:paraId="1673615F" w14:textId="77777777" w:rsidR="00564083" w:rsidRPr="00A83C94" w:rsidRDefault="00564083" w:rsidP="00564083">
            <w:pPr>
              <w:spacing w:before="0" w:line="240" w:lineRule="auto"/>
              <w:ind w:firstLine="0"/>
              <w:contextualSpacing w:val="0"/>
              <w:jc w:val="center"/>
              <w:rPr>
                <w:rFonts w:ascii="Arial" w:hAnsi="Arial" w:cs="Arial"/>
                <w:bCs/>
                <w:color w:val="000000"/>
                <w:sz w:val="20"/>
                <w:szCs w:val="20"/>
                <w:lang w:val="en-US" w:eastAsia="en-US"/>
              </w:rPr>
            </w:pPr>
            <w:r w:rsidRPr="00A83C94">
              <w:rPr>
                <w:rFonts w:ascii="Arial" w:hAnsi="Arial" w:cs="Arial"/>
                <w:bCs/>
                <w:color w:val="000000"/>
                <w:sz w:val="20"/>
                <w:szCs w:val="20"/>
                <w:lang w:val="en-US" w:eastAsia="en-US"/>
              </w:rPr>
              <w:t>1,634,559</w:t>
            </w:r>
          </w:p>
        </w:tc>
        <w:tc>
          <w:tcPr>
            <w:tcW w:w="1233" w:type="dxa"/>
            <w:tcBorders>
              <w:top w:val="nil"/>
              <w:left w:val="nil"/>
              <w:bottom w:val="single" w:sz="8" w:space="0" w:color="auto"/>
              <w:right w:val="single" w:sz="8" w:space="0" w:color="auto"/>
            </w:tcBorders>
            <w:shd w:val="clear" w:color="000000" w:fill="D5DCE4"/>
            <w:noWrap/>
            <w:vAlign w:val="center"/>
            <w:hideMark/>
          </w:tcPr>
          <w:p w14:paraId="636B38E6" w14:textId="71080C20" w:rsidR="00564083" w:rsidRPr="00121056" w:rsidRDefault="00564083" w:rsidP="00564083">
            <w:pPr>
              <w:spacing w:before="0" w:line="240" w:lineRule="auto"/>
              <w:ind w:firstLine="0"/>
              <w:contextualSpacing w:val="0"/>
              <w:jc w:val="center"/>
              <w:rPr>
                <w:rFonts w:ascii="Arial" w:hAnsi="Arial" w:cs="Arial"/>
                <w:bCs/>
                <w:color w:val="000000"/>
                <w:sz w:val="20"/>
                <w:szCs w:val="20"/>
                <w:lang w:val="en-US" w:eastAsia="en-US"/>
              </w:rPr>
            </w:pPr>
            <w:r w:rsidRPr="00121056">
              <w:rPr>
                <w:rFonts w:ascii="Arial" w:hAnsi="Arial" w:cs="Arial"/>
                <w:bCs/>
                <w:color w:val="000000"/>
                <w:sz w:val="20"/>
                <w:szCs w:val="20"/>
                <w:lang w:val="en-US" w:eastAsia="en-US"/>
              </w:rPr>
              <w:t>1,842,</w:t>
            </w:r>
            <w:r>
              <w:rPr>
                <w:rFonts w:ascii="Arial" w:hAnsi="Arial" w:cs="Arial"/>
                <w:bCs/>
                <w:color w:val="000000"/>
                <w:sz w:val="20"/>
                <w:szCs w:val="20"/>
                <w:lang w:val="en-US" w:eastAsia="en-US"/>
              </w:rPr>
              <w:t>155</w:t>
            </w:r>
          </w:p>
        </w:tc>
      </w:tr>
      <w:tr w:rsidR="00564083" w:rsidRPr="00A83C94" w14:paraId="4B0F4164"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04B06D23" w14:textId="77777777" w:rsidR="00564083" w:rsidRPr="00A83C94" w:rsidRDefault="00564083" w:rsidP="00564083">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այդ թվում՝</w:t>
            </w:r>
          </w:p>
        </w:tc>
        <w:tc>
          <w:tcPr>
            <w:tcW w:w="1235" w:type="dxa"/>
            <w:tcBorders>
              <w:top w:val="nil"/>
              <w:left w:val="nil"/>
              <w:bottom w:val="single" w:sz="8" w:space="0" w:color="auto"/>
              <w:right w:val="single" w:sz="8" w:space="0" w:color="auto"/>
            </w:tcBorders>
            <w:shd w:val="clear" w:color="000000" w:fill="FFFFFF"/>
            <w:noWrap/>
            <w:vAlign w:val="center"/>
            <w:hideMark/>
          </w:tcPr>
          <w:p w14:paraId="7F5794C7" w14:textId="77777777" w:rsidR="00564083" w:rsidRPr="00A83C94" w:rsidRDefault="00564083" w:rsidP="00564083">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235" w:type="dxa"/>
            <w:tcBorders>
              <w:top w:val="nil"/>
              <w:left w:val="nil"/>
              <w:bottom w:val="single" w:sz="8" w:space="0" w:color="auto"/>
              <w:right w:val="single" w:sz="8" w:space="0" w:color="auto"/>
            </w:tcBorders>
            <w:shd w:val="clear" w:color="000000" w:fill="FFFFFF"/>
            <w:noWrap/>
            <w:vAlign w:val="center"/>
            <w:hideMark/>
          </w:tcPr>
          <w:p w14:paraId="5DF397EB" w14:textId="77777777" w:rsidR="00564083" w:rsidRPr="00A83C94" w:rsidRDefault="00564083" w:rsidP="00564083">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235" w:type="dxa"/>
            <w:tcBorders>
              <w:top w:val="nil"/>
              <w:left w:val="nil"/>
              <w:bottom w:val="single" w:sz="8" w:space="0" w:color="auto"/>
              <w:right w:val="single" w:sz="8" w:space="0" w:color="auto"/>
            </w:tcBorders>
            <w:shd w:val="clear" w:color="000000" w:fill="FFFFFF"/>
            <w:noWrap/>
            <w:vAlign w:val="center"/>
            <w:hideMark/>
          </w:tcPr>
          <w:p w14:paraId="6517F559" w14:textId="77777777" w:rsidR="00564083" w:rsidRPr="00A83C94" w:rsidRDefault="00564083" w:rsidP="00564083">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480" w:type="dxa"/>
            <w:tcBorders>
              <w:top w:val="nil"/>
              <w:left w:val="nil"/>
              <w:bottom w:val="single" w:sz="8" w:space="0" w:color="auto"/>
              <w:right w:val="single" w:sz="8" w:space="0" w:color="auto"/>
            </w:tcBorders>
            <w:shd w:val="clear" w:color="000000" w:fill="FFFFFF"/>
            <w:noWrap/>
            <w:vAlign w:val="center"/>
            <w:hideMark/>
          </w:tcPr>
          <w:p w14:paraId="632C5582" w14:textId="77777777" w:rsidR="00564083" w:rsidRPr="00A83C94" w:rsidRDefault="00564083" w:rsidP="00564083">
            <w:pPr>
              <w:spacing w:before="0" w:line="240" w:lineRule="auto"/>
              <w:ind w:firstLine="0"/>
              <w:contextualSpacing w:val="0"/>
              <w:jc w:val="left"/>
              <w:rPr>
                <w:rFonts w:ascii="Calibri" w:hAnsi="Calibri" w:cs="Calibri"/>
                <w:b w:val="0"/>
                <w:color w:val="000000"/>
                <w:szCs w:val="22"/>
                <w:lang w:val="en-US" w:eastAsia="en-US"/>
              </w:rPr>
            </w:pPr>
            <w:r w:rsidRPr="00A83C94">
              <w:rPr>
                <w:rFonts w:ascii="Calibri" w:hAnsi="Calibri" w:cs="Calibri"/>
                <w:b w:val="0"/>
                <w:color w:val="000000"/>
                <w:szCs w:val="22"/>
                <w:lang w:val="en-US" w:eastAsia="en-US"/>
              </w:rPr>
              <w:t> </w:t>
            </w:r>
          </w:p>
        </w:tc>
        <w:tc>
          <w:tcPr>
            <w:tcW w:w="1233" w:type="dxa"/>
            <w:tcBorders>
              <w:top w:val="nil"/>
              <w:left w:val="nil"/>
              <w:bottom w:val="single" w:sz="8" w:space="0" w:color="auto"/>
              <w:right w:val="single" w:sz="8" w:space="0" w:color="auto"/>
            </w:tcBorders>
            <w:shd w:val="clear" w:color="000000" w:fill="FFFFFF"/>
            <w:noWrap/>
            <w:vAlign w:val="center"/>
            <w:hideMark/>
          </w:tcPr>
          <w:p w14:paraId="36D957EF" w14:textId="35216DBC" w:rsidR="00564083" w:rsidRDefault="00564083" w:rsidP="00564083">
            <w:pPr>
              <w:jc w:val="left"/>
              <w:rPr>
                <w:rFonts w:ascii="Calibri" w:hAnsi="Calibri"/>
                <w:b w:val="0"/>
                <w:color w:val="000000"/>
                <w:szCs w:val="22"/>
              </w:rPr>
            </w:pPr>
            <w:r>
              <w:rPr>
                <w:rFonts w:ascii="Calibri" w:hAnsi="Calibri"/>
                <w:color w:val="000000"/>
                <w:szCs w:val="22"/>
              </w:rPr>
              <w:t> </w:t>
            </w:r>
          </w:p>
        </w:tc>
      </w:tr>
      <w:tr w:rsidR="00564083" w:rsidRPr="00A83C94" w14:paraId="1132D9BD"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234C83CE" w14:textId="77777777" w:rsidR="00564083" w:rsidRPr="00A83C94" w:rsidRDefault="00564083" w:rsidP="00564083">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ԱՇԽԱՏԱՆՔԻ ՎԱՐՁԱՏՐՈՒԹՅՈՒՆ</w:t>
            </w:r>
          </w:p>
        </w:tc>
        <w:tc>
          <w:tcPr>
            <w:tcW w:w="1235" w:type="dxa"/>
            <w:tcBorders>
              <w:top w:val="nil"/>
              <w:left w:val="nil"/>
              <w:bottom w:val="single" w:sz="8" w:space="0" w:color="auto"/>
              <w:right w:val="single" w:sz="8" w:space="0" w:color="auto"/>
            </w:tcBorders>
            <w:shd w:val="clear" w:color="000000" w:fill="D5DCE4"/>
            <w:noWrap/>
            <w:vAlign w:val="center"/>
            <w:hideMark/>
          </w:tcPr>
          <w:p w14:paraId="49692D95"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152,755</w:t>
            </w:r>
          </w:p>
        </w:tc>
        <w:tc>
          <w:tcPr>
            <w:tcW w:w="1235" w:type="dxa"/>
            <w:tcBorders>
              <w:top w:val="nil"/>
              <w:left w:val="nil"/>
              <w:bottom w:val="single" w:sz="8" w:space="0" w:color="auto"/>
              <w:right w:val="single" w:sz="8" w:space="0" w:color="auto"/>
            </w:tcBorders>
            <w:shd w:val="clear" w:color="000000" w:fill="D5DCE4"/>
            <w:noWrap/>
            <w:vAlign w:val="center"/>
            <w:hideMark/>
          </w:tcPr>
          <w:p w14:paraId="63068C5C"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172,579</w:t>
            </w:r>
          </w:p>
        </w:tc>
        <w:tc>
          <w:tcPr>
            <w:tcW w:w="1235" w:type="dxa"/>
            <w:tcBorders>
              <w:top w:val="nil"/>
              <w:left w:val="nil"/>
              <w:bottom w:val="single" w:sz="8" w:space="0" w:color="auto"/>
              <w:right w:val="single" w:sz="8" w:space="0" w:color="auto"/>
            </w:tcBorders>
            <w:shd w:val="clear" w:color="000000" w:fill="D5DCE4"/>
            <w:noWrap/>
            <w:vAlign w:val="center"/>
            <w:hideMark/>
          </w:tcPr>
          <w:p w14:paraId="0D43A075"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176,101</w:t>
            </w:r>
          </w:p>
        </w:tc>
        <w:tc>
          <w:tcPr>
            <w:tcW w:w="1480" w:type="dxa"/>
            <w:tcBorders>
              <w:top w:val="nil"/>
              <w:left w:val="nil"/>
              <w:bottom w:val="single" w:sz="8" w:space="0" w:color="auto"/>
              <w:right w:val="single" w:sz="8" w:space="0" w:color="auto"/>
            </w:tcBorders>
            <w:shd w:val="clear" w:color="000000" w:fill="D5DCE4"/>
            <w:noWrap/>
            <w:vAlign w:val="center"/>
            <w:hideMark/>
          </w:tcPr>
          <w:p w14:paraId="766F65B8"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181,075</w:t>
            </w:r>
          </w:p>
        </w:tc>
        <w:tc>
          <w:tcPr>
            <w:tcW w:w="1233" w:type="dxa"/>
            <w:tcBorders>
              <w:top w:val="nil"/>
              <w:left w:val="nil"/>
              <w:bottom w:val="single" w:sz="8" w:space="0" w:color="auto"/>
              <w:right w:val="single" w:sz="8" w:space="0" w:color="auto"/>
            </w:tcBorders>
            <w:shd w:val="clear" w:color="000000" w:fill="D5DCE4"/>
            <w:noWrap/>
            <w:vAlign w:val="center"/>
            <w:hideMark/>
          </w:tcPr>
          <w:p w14:paraId="2A9E2D0B" w14:textId="45D187B1" w:rsidR="00564083" w:rsidRPr="00121056"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184,</w:t>
            </w:r>
            <w:r>
              <w:rPr>
                <w:rFonts w:ascii="Arial" w:hAnsi="Arial" w:cs="Arial"/>
                <w:b w:val="0"/>
                <w:color w:val="000000"/>
                <w:sz w:val="20"/>
                <w:szCs w:val="20"/>
                <w:lang w:val="en-US" w:eastAsia="en-US"/>
              </w:rPr>
              <w:t>592</w:t>
            </w:r>
          </w:p>
        </w:tc>
      </w:tr>
      <w:tr w:rsidR="00564083" w:rsidRPr="00A83C94" w14:paraId="68331878" w14:textId="77777777" w:rsidTr="00027FBF">
        <w:trPr>
          <w:trHeight w:val="55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66D7D9DC" w14:textId="77777777" w:rsidR="00564083" w:rsidRPr="00A83C94" w:rsidRDefault="00564083" w:rsidP="00564083">
            <w:pPr>
              <w:spacing w:before="0" w:line="240"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ԾԱՌԱՅՈՒԹՅՈՒՆՆԵՐԻ ԵՎ ԱՊՐԱՆՔՆԵՐԻ  ՁԵՌՔԲԵՐՈՒՄ</w:t>
            </w:r>
          </w:p>
        </w:tc>
        <w:tc>
          <w:tcPr>
            <w:tcW w:w="1235" w:type="dxa"/>
            <w:tcBorders>
              <w:top w:val="nil"/>
              <w:left w:val="nil"/>
              <w:bottom w:val="single" w:sz="8" w:space="0" w:color="auto"/>
              <w:right w:val="single" w:sz="8" w:space="0" w:color="auto"/>
            </w:tcBorders>
            <w:shd w:val="clear" w:color="000000" w:fill="FFFFFF"/>
            <w:noWrap/>
            <w:vAlign w:val="center"/>
            <w:hideMark/>
          </w:tcPr>
          <w:p w14:paraId="01CDC197"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155,647</w:t>
            </w:r>
          </w:p>
        </w:tc>
        <w:tc>
          <w:tcPr>
            <w:tcW w:w="1235" w:type="dxa"/>
            <w:tcBorders>
              <w:top w:val="nil"/>
              <w:left w:val="nil"/>
              <w:bottom w:val="single" w:sz="8" w:space="0" w:color="auto"/>
              <w:right w:val="single" w:sz="8" w:space="0" w:color="auto"/>
            </w:tcBorders>
            <w:shd w:val="clear" w:color="000000" w:fill="FFFFFF"/>
            <w:noWrap/>
            <w:vAlign w:val="center"/>
            <w:hideMark/>
          </w:tcPr>
          <w:p w14:paraId="4D886A36"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192,121</w:t>
            </w:r>
          </w:p>
        </w:tc>
        <w:tc>
          <w:tcPr>
            <w:tcW w:w="1235" w:type="dxa"/>
            <w:tcBorders>
              <w:top w:val="nil"/>
              <w:left w:val="nil"/>
              <w:bottom w:val="single" w:sz="8" w:space="0" w:color="auto"/>
              <w:right w:val="single" w:sz="8" w:space="0" w:color="auto"/>
            </w:tcBorders>
            <w:shd w:val="clear" w:color="000000" w:fill="FFFFFF"/>
            <w:noWrap/>
            <w:vAlign w:val="center"/>
            <w:hideMark/>
          </w:tcPr>
          <w:p w14:paraId="055F87D8"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179,162</w:t>
            </w:r>
          </w:p>
        </w:tc>
        <w:tc>
          <w:tcPr>
            <w:tcW w:w="1480" w:type="dxa"/>
            <w:tcBorders>
              <w:top w:val="nil"/>
              <w:left w:val="nil"/>
              <w:bottom w:val="single" w:sz="8" w:space="0" w:color="auto"/>
              <w:right w:val="single" w:sz="8" w:space="0" w:color="auto"/>
            </w:tcBorders>
            <w:shd w:val="clear" w:color="000000" w:fill="FFFFFF"/>
            <w:noWrap/>
            <w:vAlign w:val="center"/>
            <w:hideMark/>
          </w:tcPr>
          <w:p w14:paraId="3CEB1501"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169,135</w:t>
            </w:r>
          </w:p>
        </w:tc>
        <w:tc>
          <w:tcPr>
            <w:tcW w:w="1233" w:type="dxa"/>
            <w:tcBorders>
              <w:top w:val="nil"/>
              <w:left w:val="nil"/>
              <w:bottom w:val="single" w:sz="8" w:space="0" w:color="auto"/>
              <w:right w:val="single" w:sz="8" w:space="0" w:color="auto"/>
            </w:tcBorders>
            <w:shd w:val="clear" w:color="000000" w:fill="FFFFFF"/>
            <w:noWrap/>
            <w:vAlign w:val="center"/>
            <w:hideMark/>
          </w:tcPr>
          <w:p w14:paraId="21918F4C" w14:textId="0AF67F74" w:rsidR="00564083" w:rsidRPr="00121056"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172,</w:t>
            </w:r>
            <w:r>
              <w:rPr>
                <w:rFonts w:ascii="Arial" w:hAnsi="Arial" w:cs="Arial"/>
                <w:b w:val="0"/>
                <w:color w:val="000000"/>
                <w:sz w:val="20"/>
                <w:szCs w:val="20"/>
                <w:lang w:val="en-US" w:eastAsia="en-US"/>
              </w:rPr>
              <w:t>513</w:t>
            </w:r>
          </w:p>
        </w:tc>
      </w:tr>
      <w:tr w:rsidR="00564083" w:rsidRPr="00A83C94" w14:paraId="02FE7C73"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0B3EA6D6" w14:textId="77777777" w:rsidR="00564083" w:rsidRPr="00A83C94" w:rsidRDefault="00564083" w:rsidP="00564083">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ՏՈԿՈՍԱՎՃԱՐՆԵՐ</w:t>
            </w:r>
          </w:p>
        </w:tc>
        <w:tc>
          <w:tcPr>
            <w:tcW w:w="1235" w:type="dxa"/>
            <w:tcBorders>
              <w:top w:val="nil"/>
              <w:left w:val="nil"/>
              <w:bottom w:val="single" w:sz="8" w:space="0" w:color="auto"/>
              <w:right w:val="single" w:sz="8" w:space="0" w:color="auto"/>
            </w:tcBorders>
            <w:shd w:val="clear" w:color="000000" w:fill="D5DCE4"/>
            <w:noWrap/>
            <w:vAlign w:val="center"/>
            <w:hideMark/>
          </w:tcPr>
          <w:p w14:paraId="7D932127"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139,015</w:t>
            </w:r>
          </w:p>
        </w:tc>
        <w:tc>
          <w:tcPr>
            <w:tcW w:w="1235" w:type="dxa"/>
            <w:tcBorders>
              <w:top w:val="nil"/>
              <w:left w:val="nil"/>
              <w:bottom w:val="single" w:sz="8" w:space="0" w:color="auto"/>
              <w:right w:val="single" w:sz="8" w:space="0" w:color="auto"/>
            </w:tcBorders>
            <w:shd w:val="clear" w:color="000000" w:fill="D5DCE4"/>
            <w:noWrap/>
            <w:vAlign w:val="center"/>
            <w:hideMark/>
          </w:tcPr>
          <w:p w14:paraId="106BC4F7"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157,553</w:t>
            </w:r>
          </w:p>
        </w:tc>
        <w:tc>
          <w:tcPr>
            <w:tcW w:w="1235" w:type="dxa"/>
            <w:tcBorders>
              <w:top w:val="nil"/>
              <w:left w:val="nil"/>
              <w:bottom w:val="single" w:sz="8" w:space="0" w:color="auto"/>
              <w:right w:val="single" w:sz="8" w:space="0" w:color="auto"/>
            </w:tcBorders>
            <w:shd w:val="clear" w:color="000000" w:fill="D5DCE4"/>
            <w:noWrap/>
            <w:vAlign w:val="center"/>
            <w:hideMark/>
          </w:tcPr>
          <w:p w14:paraId="116FEB82"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164,767</w:t>
            </w:r>
          </w:p>
        </w:tc>
        <w:tc>
          <w:tcPr>
            <w:tcW w:w="1480" w:type="dxa"/>
            <w:tcBorders>
              <w:top w:val="nil"/>
              <w:left w:val="nil"/>
              <w:bottom w:val="single" w:sz="8" w:space="0" w:color="auto"/>
              <w:right w:val="single" w:sz="8" w:space="0" w:color="auto"/>
            </w:tcBorders>
            <w:shd w:val="clear" w:color="000000" w:fill="D5DCE4"/>
            <w:noWrap/>
            <w:vAlign w:val="center"/>
            <w:hideMark/>
          </w:tcPr>
          <w:p w14:paraId="0DAAA169"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194,700</w:t>
            </w:r>
          </w:p>
        </w:tc>
        <w:tc>
          <w:tcPr>
            <w:tcW w:w="1233" w:type="dxa"/>
            <w:tcBorders>
              <w:top w:val="nil"/>
              <w:left w:val="nil"/>
              <w:bottom w:val="single" w:sz="8" w:space="0" w:color="auto"/>
              <w:right w:val="single" w:sz="8" w:space="0" w:color="auto"/>
            </w:tcBorders>
            <w:shd w:val="clear" w:color="000000" w:fill="D5DCE4"/>
            <w:noWrap/>
            <w:vAlign w:val="center"/>
            <w:hideMark/>
          </w:tcPr>
          <w:p w14:paraId="65FF020C" w14:textId="44BEF419" w:rsidR="00564083" w:rsidRPr="00121056"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21</w:t>
            </w:r>
            <w:r>
              <w:rPr>
                <w:rFonts w:ascii="Arial" w:hAnsi="Arial" w:cs="Arial"/>
                <w:b w:val="0"/>
                <w:color w:val="000000"/>
                <w:sz w:val="20"/>
                <w:szCs w:val="20"/>
                <w:lang w:val="en-US" w:eastAsia="en-US"/>
              </w:rPr>
              <w:t>3</w:t>
            </w:r>
            <w:r w:rsidRPr="00121056">
              <w:rPr>
                <w:rFonts w:ascii="Arial" w:hAnsi="Arial" w:cs="Arial"/>
                <w:b w:val="0"/>
                <w:color w:val="000000"/>
                <w:sz w:val="20"/>
                <w:szCs w:val="20"/>
                <w:lang w:val="en-US" w:eastAsia="en-US"/>
              </w:rPr>
              <w:t>,</w:t>
            </w:r>
            <w:r>
              <w:rPr>
                <w:rFonts w:ascii="Arial" w:hAnsi="Arial" w:cs="Arial"/>
                <w:b w:val="0"/>
                <w:color w:val="000000"/>
                <w:sz w:val="20"/>
                <w:szCs w:val="20"/>
                <w:lang w:val="en-US" w:eastAsia="en-US"/>
              </w:rPr>
              <w:t>845</w:t>
            </w:r>
          </w:p>
        </w:tc>
      </w:tr>
      <w:tr w:rsidR="00564083" w:rsidRPr="00A83C94" w14:paraId="5354E583"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77F90571" w14:textId="77777777" w:rsidR="00564083" w:rsidRPr="00A83C94" w:rsidRDefault="00564083" w:rsidP="00564083">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ՍՈՒԲՍԻԴԻԱՆԵՐ</w:t>
            </w:r>
          </w:p>
        </w:tc>
        <w:tc>
          <w:tcPr>
            <w:tcW w:w="1235" w:type="dxa"/>
            <w:tcBorders>
              <w:top w:val="nil"/>
              <w:left w:val="nil"/>
              <w:bottom w:val="single" w:sz="8" w:space="0" w:color="auto"/>
              <w:right w:val="single" w:sz="8" w:space="0" w:color="auto"/>
            </w:tcBorders>
            <w:shd w:val="clear" w:color="000000" w:fill="FFFFFF"/>
            <w:noWrap/>
            <w:vAlign w:val="center"/>
            <w:hideMark/>
          </w:tcPr>
          <w:p w14:paraId="2752ACB3"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111,226</w:t>
            </w:r>
          </w:p>
        </w:tc>
        <w:tc>
          <w:tcPr>
            <w:tcW w:w="1235" w:type="dxa"/>
            <w:tcBorders>
              <w:top w:val="nil"/>
              <w:left w:val="nil"/>
              <w:bottom w:val="single" w:sz="8" w:space="0" w:color="auto"/>
              <w:right w:val="single" w:sz="8" w:space="0" w:color="auto"/>
            </w:tcBorders>
            <w:shd w:val="clear" w:color="000000" w:fill="FFFFFF"/>
            <w:noWrap/>
            <w:vAlign w:val="center"/>
            <w:hideMark/>
          </w:tcPr>
          <w:p w14:paraId="29B827F8"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113,376</w:t>
            </w:r>
          </w:p>
        </w:tc>
        <w:tc>
          <w:tcPr>
            <w:tcW w:w="1235" w:type="dxa"/>
            <w:tcBorders>
              <w:top w:val="nil"/>
              <w:left w:val="nil"/>
              <w:bottom w:val="single" w:sz="8" w:space="0" w:color="auto"/>
              <w:right w:val="single" w:sz="8" w:space="0" w:color="auto"/>
            </w:tcBorders>
            <w:shd w:val="clear" w:color="000000" w:fill="FFFFFF"/>
            <w:noWrap/>
            <w:vAlign w:val="center"/>
            <w:hideMark/>
          </w:tcPr>
          <w:p w14:paraId="18E21FE0"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119,079</w:t>
            </w:r>
          </w:p>
        </w:tc>
        <w:tc>
          <w:tcPr>
            <w:tcW w:w="1480" w:type="dxa"/>
            <w:tcBorders>
              <w:top w:val="nil"/>
              <w:left w:val="nil"/>
              <w:bottom w:val="single" w:sz="8" w:space="0" w:color="auto"/>
              <w:right w:val="single" w:sz="8" w:space="0" w:color="auto"/>
            </w:tcBorders>
            <w:shd w:val="clear" w:color="000000" w:fill="FFFFFF"/>
            <w:noWrap/>
            <w:vAlign w:val="center"/>
            <w:hideMark/>
          </w:tcPr>
          <w:p w14:paraId="35ED927E"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122,370</w:t>
            </w:r>
          </w:p>
        </w:tc>
        <w:tc>
          <w:tcPr>
            <w:tcW w:w="1233" w:type="dxa"/>
            <w:tcBorders>
              <w:top w:val="nil"/>
              <w:left w:val="nil"/>
              <w:bottom w:val="single" w:sz="8" w:space="0" w:color="auto"/>
              <w:right w:val="single" w:sz="8" w:space="0" w:color="auto"/>
            </w:tcBorders>
            <w:shd w:val="clear" w:color="000000" w:fill="FFFFFF"/>
            <w:noWrap/>
            <w:vAlign w:val="center"/>
            <w:hideMark/>
          </w:tcPr>
          <w:p w14:paraId="7619B580" w14:textId="6412FB59" w:rsidR="00564083" w:rsidRPr="00121056"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14</w:t>
            </w:r>
            <w:r>
              <w:rPr>
                <w:rFonts w:ascii="Arial" w:hAnsi="Arial" w:cs="Arial"/>
                <w:b w:val="0"/>
                <w:color w:val="000000"/>
                <w:sz w:val="20"/>
                <w:szCs w:val="20"/>
                <w:lang w:val="hy-AM" w:eastAsia="en-US"/>
              </w:rPr>
              <w:t>1</w:t>
            </w:r>
            <w:r w:rsidRPr="00121056">
              <w:rPr>
                <w:rFonts w:ascii="Arial" w:hAnsi="Arial" w:cs="Arial"/>
                <w:b w:val="0"/>
                <w:color w:val="000000"/>
                <w:sz w:val="20"/>
                <w:szCs w:val="20"/>
                <w:lang w:val="en-US" w:eastAsia="en-US"/>
              </w:rPr>
              <w:t>,</w:t>
            </w:r>
            <w:r>
              <w:rPr>
                <w:rFonts w:ascii="Arial" w:hAnsi="Arial" w:cs="Arial"/>
                <w:b w:val="0"/>
                <w:color w:val="000000"/>
                <w:sz w:val="20"/>
                <w:szCs w:val="20"/>
                <w:lang w:val="hy-AM" w:eastAsia="en-US"/>
              </w:rPr>
              <w:t>852</w:t>
            </w:r>
          </w:p>
        </w:tc>
      </w:tr>
      <w:tr w:rsidR="00564083" w:rsidRPr="00A83C94" w14:paraId="305A81EF"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7AF5AFB9" w14:textId="77777777" w:rsidR="00564083" w:rsidRPr="00A83C94" w:rsidRDefault="00564083" w:rsidP="00564083">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ԴՐԱՄԱՇՆՈՐՀՆԵՐ</w:t>
            </w:r>
          </w:p>
        </w:tc>
        <w:tc>
          <w:tcPr>
            <w:tcW w:w="1235" w:type="dxa"/>
            <w:tcBorders>
              <w:top w:val="nil"/>
              <w:left w:val="nil"/>
              <w:bottom w:val="single" w:sz="8" w:space="0" w:color="auto"/>
              <w:right w:val="single" w:sz="8" w:space="0" w:color="auto"/>
            </w:tcBorders>
            <w:shd w:val="clear" w:color="000000" w:fill="D5DCE4"/>
            <w:noWrap/>
            <w:vAlign w:val="center"/>
            <w:hideMark/>
          </w:tcPr>
          <w:p w14:paraId="3E6343F1"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126,318</w:t>
            </w:r>
          </w:p>
        </w:tc>
        <w:tc>
          <w:tcPr>
            <w:tcW w:w="1235" w:type="dxa"/>
            <w:tcBorders>
              <w:top w:val="nil"/>
              <w:left w:val="nil"/>
              <w:bottom w:val="single" w:sz="8" w:space="0" w:color="auto"/>
              <w:right w:val="single" w:sz="8" w:space="0" w:color="auto"/>
            </w:tcBorders>
            <w:shd w:val="clear" w:color="000000" w:fill="D5DCE4"/>
            <w:noWrap/>
            <w:vAlign w:val="center"/>
            <w:hideMark/>
          </w:tcPr>
          <w:p w14:paraId="0132586F"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150,000</w:t>
            </w:r>
          </w:p>
        </w:tc>
        <w:tc>
          <w:tcPr>
            <w:tcW w:w="1235" w:type="dxa"/>
            <w:tcBorders>
              <w:top w:val="nil"/>
              <w:left w:val="nil"/>
              <w:bottom w:val="single" w:sz="8" w:space="0" w:color="auto"/>
              <w:right w:val="single" w:sz="8" w:space="0" w:color="auto"/>
            </w:tcBorders>
            <w:shd w:val="clear" w:color="000000" w:fill="D5DCE4"/>
            <w:noWrap/>
            <w:vAlign w:val="center"/>
            <w:hideMark/>
          </w:tcPr>
          <w:p w14:paraId="037752AD"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186,854</w:t>
            </w:r>
          </w:p>
        </w:tc>
        <w:tc>
          <w:tcPr>
            <w:tcW w:w="1480" w:type="dxa"/>
            <w:tcBorders>
              <w:top w:val="nil"/>
              <w:left w:val="nil"/>
              <w:bottom w:val="single" w:sz="8" w:space="0" w:color="auto"/>
              <w:right w:val="single" w:sz="8" w:space="0" w:color="auto"/>
            </w:tcBorders>
            <w:shd w:val="clear" w:color="000000" w:fill="D5DCE4"/>
            <w:noWrap/>
            <w:vAlign w:val="center"/>
            <w:hideMark/>
          </w:tcPr>
          <w:p w14:paraId="13AB5ABE"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162,913</w:t>
            </w:r>
          </w:p>
        </w:tc>
        <w:tc>
          <w:tcPr>
            <w:tcW w:w="1233" w:type="dxa"/>
            <w:tcBorders>
              <w:top w:val="nil"/>
              <w:left w:val="nil"/>
              <w:bottom w:val="single" w:sz="8" w:space="0" w:color="auto"/>
              <w:right w:val="single" w:sz="8" w:space="0" w:color="auto"/>
            </w:tcBorders>
            <w:shd w:val="clear" w:color="000000" w:fill="D5DCE4"/>
            <w:noWrap/>
            <w:vAlign w:val="center"/>
            <w:hideMark/>
          </w:tcPr>
          <w:p w14:paraId="2FC4EA3A" w14:textId="34EF49FF" w:rsidR="00564083" w:rsidRPr="003E2865"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228,</w:t>
            </w:r>
            <w:r>
              <w:rPr>
                <w:rFonts w:ascii="Arial" w:hAnsi="Arial" w:cs="Arial"/>
                <w:b w:val="0"/>
                <w:color w:val="000000"/>
                <w:sz w:val="20"/>
                <w:szCs w:val="20"/>
                <w:lang w:val="hy-AM" w:eastAsia="en-US"/>
              </w:rPr>
              <w:t>749</w:t>
            </w:r>
          </w:p>
        </w:tc>
      </w:tr>
      <w:tr w:rsidR="00564083" w:rsidRPr="00A83C94" w14:paraId="03CDC048" w14:textId="77777777" w:rsidTr="00027FBF">
        <w:trPr>
          <w:trHeight w:val="555"/>
        </w:trPr>
        <w:tc>
          <w:tcPr>
            <w:tcW w:w="3582" w:type="dxa"/>
            <w:tcBorders>
              <w:top w:val="nil"/>
              <w:left w:val="single" w:sz="8" w:space="0" w:color="auto"/>
              <w:bottom w:val="single" w:sz="8" w:space="0" w:color="auto"/>
              <w:right w:val="single" w:sz="8" w:space="0" w:color="auto"/>
            </w:tcBorders>
            <w:shd w:val="clear" w:color="000000" w:fill="FFFFFF"/>
            <w:vAlign w:val="center"/>
            <w:hideMark/>
          </w:tcPr>
          <w:p w14:paraId="1B377B44" w14:textId="77777777" w:rsidR="00564083" w:rsidRPr="00A83C94" w:rsidRDefault="00564083" w:rsidP="00564083">
            <w:pPr>
              <w:spacing w:before="0" w:line="240" w:lineRule="auto"/>
              <w:ind w:firstLine="0"/>
              <w:contextualSpacing w:val="0"/>
              <w:jc w:val="left"/>
              <w:rPr>
                <w:rFonts w:cs="Calibri"/>
                <w:b w:val="0"/>
                <w:color w:val="000000"/>
                <w:sz w:val="20"/>
                <w:szCs w:val="20"/>
                <w:lang w:val="en-US" w:eastAsia="en-US"/>
              </w:rPr>
            </w:pPr>
            <w:r w:rsidRPr="00A83C94">
              <w:rPr>
                <w:rFonts w:cs="Calibri"/>
                <w:b w:val="0"/>
                <w:color w:val="000000"/>
                <w:sz w:val="20"/>
                <w:szCs w:val="20"/>
                <w:lang w:val="en-US" w:eastAsia="en-US"/>
              </w:rPr>
              <w:t>ՍՈՑԻԱԼԱԿԱՆ  ՆՊԱՍՏՆԵՐ ԵՎ ԿԵՆՍԱԹՈՇԱԿՆԵՐ</w:t>
            </w:r>
          </w:p>
        </w:tc>
        <w:tc>
          <w:tcPr>
            <w:tcW w:w="1235" w:type="dxa"/>
            <w:tcBorders>
              <w:top w:val="nil"/>
              <w:left w:val="nil"/>
              <w:bottom w:val="single" w:sz="8" w:space="0" w:color="auto"/>
              <w:right w:val="single" w:sz="8" w:space="0" w:color="auto"/>
            </w:tcBorders>
            <w:shd w:val="clear" w:color="000000" w:fill="FFFFFF"/>
            <w:noWrap/>
            <w:vAlign w:val="center"/>
            <w:hideMark/>
          </w:tcPr>
          <w:p w14:paraId="3A809BD5"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425,479</w:t>
            </w:r>
          </w:p>
        </w:tc>
        <w:tc>
          <w:tcPr>
            <w:tcW w:w="1235" w:type="dxa"/>
            <w:tcBorders>
              <w:top w:val="nil"/>
              <w:left w:val="nil"/>
              <w:bottom w:val="single" w:sz="8" w:space="0" w:color="auto"/>
              <w:right w:val="single" w:sz="8" w:space="0" w:color="auto"/>
            </w:tcBorders>
            <w:shd w:val="clear" w:color="000000" w:fill="FFFFFF"/>
            <w:noWrap/>
            <w:vAlign w:val="center"/>
            <w:hideMark/>
          </w:tcPr>
          <w:p w14:paraId="72E71E71"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453,219</w:t>
            </w:r>
          </w:p>
        </w:tc>
        <w:tc>
          <w:tcPr>
            <w:tcW w:w="1235" w:type="dxa"/>
            <w:tcBorders>
              <w:top w:val="nil"/>
              <w:left w:val="nil"/>
              <w:bottom w:val="single" w:sz="8" w:space="0" w:color="auto"/>
              <w:right w:val="single" w:sz="8" w:space="0" w:color="auto"/>
            </w:tcBorders>
            <w:shd w:val="clear" w:color="000000" w:fill="FFFFFF"/>
            <w:noWrap/>
            <w:vAlign w:val="center"/>
            <w:hideMark/>
          </w:tcPr>
          <w:p w14:paraId="2787D867"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559,072</w:t>
            </w:r>
          </w:p>
        </w:tc>
        <w:tc>
          <w:tcPr>
            <w:tcW w:w="1480" w:type="dxa"/>
            <w:tcBorders>
              <w:top w:val="nil"/>
              <w:left w:val="nil"/>
              <w:bottom w:val="single" w:sz="8" w:space="0" w:color="auto"/>
              <w:right w:val="single" w:sz="8" w:space="0" w:color="auto"/>
            </w:tcBorders>
            <w:shd w:val="clear" w:color="000000" w:fill="FFFFFF"/>
            <w:noWrap/>
            <w:vAlign w:val="center"/>
            <w:hideMark/>
          </w:tcPr>
          <w:p w14:paraId="2185AAEE"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527,873</w:t>
            </w:r>
          </w:p>
        </w:tc>
        <w:tc>
          <w:tcPr>
            <w:tcW w:w="1233" w:type="dxa"/>
            <w:tcBorders>
              <w:top w:val="nil"/>
              <w:left w:val="nil"/>
              <w:bottom w:val="single" w:sz="8" w:space="0" w:color="auto"/>
              <w:right w:val="single" w:sz="8" w:space="0" w:color="auto"/>
            </w:tcBorders>
            <w:shd w:val="clear" w:color="000000" w:fill="FFFFFF"/>
            <w:noWrap/>
            <w:vAlign w:val="center"/>
            <w:hideMark/>
          </w:tcPr>
          <w:p w14:paraId="1FFB3931" w14:textId="41F66DCD" w:rsidR="00564083" w:rsidRPr="00121056"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57</w:t>
            </w:r>
            <w:r>
              <w:rPr>
                <w:rFonts w:ascii="Arial" w:hAnsi="Arial" w:cs="Arial"/>
                <w:b w:val="0"/>
                <w:color w:val="000000"/>
                <w:sz w:val="20"/>
                <w:szCs w:val="20"/>
                <w:lang w:val="hy-AM" w:eastAsia="en-US"/>
              </w:rPr>
              <w:t>2</w:t>
            </w:r>
            <w:r w:rsidRPr="00121056">
              <w:rPr>
                <w:rFonts w:ascii="Arial" w:hAnsi="Arial" w:cs="Arial"/>
                <w:b w:val="0"/>
                <w:color w:val="000000"/>
                <w:sz w:val="20"/>
                <w:szCs w:val="20"/>
                <w:lang w:val="en-US" w:eastAsia="en-US"/>
              </w:rPr>
              <w:t>,</w:t>
            </w:r>
            <w:r>
              <w:rPr>
                <w:rFonts w:ascii="Arial" w:hAnsi="Arial" w:cs="Arial"/>
                <w:b w:val="0"/>
                <w:color w:val="000000"/>
                <w:sz w:val="20"/>
                <w:szCs w:val="20"/>
                <w:lang w:val="hy-AM" w:eastAsia="en-US"/>
              </w:rPr>
              <w:t>0</w:t>
            </w:r>
            <w:r>
              <w:rPr>
                <w:rFonts w:ascii="Arial" w:hAnsi="Arial" w:cs="Arial"/>
                <w:b w:val="0"/>
                <w:color w:val="000000"/>
                <w:sz w:val="20"/>
                <w:szCs w:val="20"/>
                <w:lang w:val="en-US" w:eastAsia="en-US"/>
              </w:rPr>
              <w:t>7</w:t>
            </w:r>
            <w:r>
              <w:rPr>
                <w:rFonts w:ascii="Arial" w:hAnsi="Arial" w:cs="Arial"/>
                <w:b w:val="0"/>
                <w:color w:val="000000"/>
                <w:sz w:val="20"/>
                <w:szCs w:val="20"/>
                <w:lang w:val="hy-AM" w:eastAsia="en-US"/>
              </w:rPr>
              <w:t>1</w:t>
            </w:r>
          </w:p>
        </w:tc>
      </w:tr>
      <w:tr w:rsidR="00564083" w:rsidRPr="00A83C94" w14:paraId="18ED4620" w14:textId="77777777" w:rsidTr="00027FBF">
        <w:trPr>
          <w:trHeight w:val="315"/>
        </w:trPr>
        <w:tc>
          <w:tcPr>
            <w:tcW w:w="3582" w:type="dxa"/>
            <w:tcBorders>
              <w:top w:val="nil"/>
              <w:left w:val="single" w:sz="8" w:space="0" w:color="auto"/>
              <w:bottom w:val="single" w:sz="8" w:space="0" w:color="auto"/>
              <w:right w:val="single" w:sz="8" w:space="0" w:color="auto"/>
            </w:tcBorders>
            <w:shd w:val="clear" w:color="000000" w:fill="D5DCE4"/>
            <w:vAlign w:val="center"/>
            <w:hideMark/>
          </w:tcPr>
          <w:p w14:paraId="07563578" w14:textId="77777777" w:rsidR="00564083" w:rsidRPr="00A83C94" w:rsidRDefault="00564083" w:rsidP="00564083">
            <w:pPr>
              <w:spacing w:before="0" w:line="240" w:lineRule="auto"/>
              <w:ind w:firstLine="0"/>
              <w:contextualSpacing w:val="0"/>
              <w:rPr>
                <w:rFonts w:cs="Calibri"/>
                <w:b w:val="0"/>
                <w:color w:val="000000"/>
                <w:sz w:val="20"/>
                <w:szCs w:val="20"/>
                <w:lang w:val="en-US" w:eastAsia="en-US"/>
              </w:rPr>
            </w:pPr>
            <w:r w:rsidRPr="00A83C94">
              <w:rPr>
                <w:rFonts w:cs="Calibri"/>
                <w:b w:val="0"/>
                <w:color w:val="000000"/>
                <w:sz w:val="20"/>
                <w:szCs w:val="20"/>
                <w:lang w:val="en-US" w:eastAsia="en-US"/>
              </w:rPr>
              <w:t>ԱՅԼ  ԾԱԽՍԵՐ</w:t>
            </w:r>
          </w:p>
        </w:tc>
        <w:tc>
          <w:tcPr>
            <w:tcW w:w="1235" w:type="dxa"/>
            <w:tcBorders>
              <w:top w:val="nil"/>
              <w:left w:val="nil"/>
              <w:bottom w:val="single" w:sz="8" w:space="0" w:color="auto"/>
              <w:right w:val="single" w:sz="8" w:space="0" w:color="auto"/>
            </w:tcBorders>
            <w:shd w:val="clear" w:color="000000" w:fill="D5DCE4"/>
            <w:noWrap/>
            <w:vAlign w:val="center"/>
            <w:hideMark/>
          </w:tcPr>
          <w:p w14:paraId="114DEFA0"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188,538</w:t>
            </w:r>
          </w:p>
        </w:tc>
        <w:tc>
          <w:tcPr>
            <w:tcW w:w="1235" w:type="dxa"/>
            <w:tcBorders>
              <w:top w:val="nil"/>
              <w:left w:val="nil"/>
              <w:bottom w:val="single" w:sz="8" w:space="0" w:color="auto"/>
              <w:right w:val="single" w:sz="8" w:space="0" w:color="auto"/>
            </w:tcBorders>
            <w:shd w:val="clear" w:color="000000" w:fill="D5DCE4"/>
            <w:noWrap/>
            <w:vAlign w:val="center"/>
            <w:hideMark/>
          </w:tcPr>
          <w:p w14:paraId="75EE74FC"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198,296</w:t>
            </w:r>
          </w:p>
        </w:tc>
        <w:tc>
          <w:tcPr>
            <w:tcW w:w="1235" w:type="dxa"/>
            <w:tcBorders>
              <w:top w:val="nil"/>
              <w:left w:val="nil"/>
              <w:bottom w:val="single" w:sz="8" w:space="0" w:color="auto"/>
              <w:right w:val="single" w:sz="8" w:space="0" w:color="auto"/>
            </w:tcBorders>
            <w:shd w:val="clear" w:color="000000" w:fill="D5DCE4"/>
            <w:noWrap/>
            <w:vAlign w:val="center"/>
            <w:hideMark/>
          </w:tcPr>
          <w:p w14:paraId="580AD9A9"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283,422</w:t>
            </w:r>
          </w:p>
        </w:tc>
        <w:tc>
          <w:tcPr>
            <w:tcW w:w="1480" w:type="dxa"/>
            <w:tcBorders>
              <w:top w:val="nil"/>
              <w:left w:val="nil"/>
              <w:bottom w:val="single" w:sz="8" w:space="0" w:color="auto"/>
              <w:right w:val="single" w:sz="8" w:space="0" w:color="auto"/>
            </w:tcBorders>
            <w:shd w:val="clear" w:color="000000" w:fill="D5DCE4"/>
            <w:noWrap/>
            <w:vAlign w:val="center"/>
            <w:hideMark/>
          </w:tcPr>
          <w:p w14:paraId="334D1AD0" w14:textId="77777777" w:rsidR="00564083" w:rsidRPr="00A83C94"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A83C94">
              <w:rPr>
                <w:rFonts w:ascii="Arial" w:hAnsi="Arial" w:cs="Arial"/>
                <w:b w:val="0"/>
                <w:color w:val="000000"/>
                <w:sz w:val="20"/>
                <w:szCs w:val="20"/>
                <w:lang w:val="en-US" w:eastAsia="en-US"/>
              </w:rPr>
              <w:t>276,491</w:t>
            </w:r>
          </w:p>
        </w:tc>
        <w:tc>
          <w:tcPr>
            <w:tcW w:w="1233" w:type="dxa"/>
            <w:tcBorders>
              <w:top w:val="nil"/>
              <w:left w:val="nil"/>
              <w:bottom w:val="single" w:sz="8" w:space="0" w:color="auto"/>
              <w:right w:val="single" w:sz="8" w:space="0" w:color="auto"/>
            </w:tcBorders>
            <w:shd w:val="clear" w:color="000000" w:fill="D5DCE4"/>
            <w:noWrap/>
            <w:vAlign w:val="center"/>
            <w:hideMark/>
          </w:tcPr>
          <w:p w14:paraId="300A5F0D" w14:textId="7DBB6BA9" w:rsidR="00564083" w:rsidRPr="00121056" w:rsidRDefault="00564083" w:rsidP="00564083">
            <w:pPr>
              <w:spacing w:before="0" w:line="240" w:lineRule="auto"/>
              <w:ind w:firstLine="0"/>
              <w:contextualSpacing w:val="0"/>
              <w:jc w:val="center"/>
              <w:rPr>
                <w:rFonts w:ascii="Arial" w:hAnsi="Arial" w:cs="Arial"/>
                <w:b w:val="0"/>
                <w:color w:val="000000"/>
                <w:sz w:val="20"/>
                <w:szCs w:val="20"/>
                <w:lang w:val="en-US" w:eastAsia="en-US"/>
              </w:rPr>
            </w:pPr>
            <w:r w:rsidRPr="00121056">
              <w:rPr>
                <w:rFonts w:ascii="Arial" w:hAnsi="Arial" w:cs="Arial"/>
                <w:b w:val="0"/>
                <w:color w:val="000000"/>
                <w:sz w:val="20"/>
                <w:szCs w:val="20"/>
                <w:lang w:val="en-US" w:eastAsia="en-US"/>
              </w:rPr>
              <w:t>3</w:t>
            </w:r>
            <w:r>
              <w:rPr>
                <w:rFonts w:ascii="Arial" w:hAnsi="Arial" w:cs="Arial"/>
                <w:b w:val="0"/>
                <w:color w:val="000000"/>
                <w:sz w:val="20"/>
                <w:szCs w:val="20"/>
                <w:lang w:val="hy-AM" w:eastAsia="en-US"/>
              </w:rPr>
              <w:t>28</w:t>
            </w:r>
            <w:r w:rsidRPr="00121056">
              <w:rPr>
                <w:rFonts w:ascii="Arial" w:hAnsi="Arial" w:cs="Arial"/>
                <w:b w:val="0"/>
                <w:color w:val="000000"/>
                <w:sz w:val="20"/>
                <w:szCs w:val="20"/>
                <w:lang w:val="en-US" w:eastAsia="en-US"/>
              </w:rPr>
              <w:t>,</w:t>
            </w:r>
            <w:r>
              <w:rPr>
                <w:rFonts w:ascii="Arial" w:hAnsi="Arial" w:cs="Arial"/>
                <w:b w:val="0"/>
                <w:color w:val="000000"/>
                <w:sz w:val="20"/>
                <w:szCs w:val="20"/>
                <w:lang w:val="hy-AM" w:eastAsia="en-US"/>
              </w:rPr>
              <w:t>5</w:t>
            </w:r>
            <w:r>
              <w:rPr>
                <w:rFonts w:ascii="Arial" w:hAnsi="Arial" w:cs="Arial"/>
                <w:b w:val="0"/>
                <w:color w:val="000000"/>
                <w:sz w:val="20"/>
                <w:szCs w:val="20"/>
                <w:lang w:val="en-US" w:eastAsia="en-US"/>
              </w:rPr>
              <w:t>33</w:t>
            </w:r>
          </w:p>
        </w:tc>
      </w:tr>
    </w:tbl>
    <w:p w14:paraId="61A7E947" w14:textId="77777777" w:rsidR="005B7218" w:rsidRPr="00A83C94" w:rsidRDefault="005B7218" w:rsidP="005B7218">
      <w:pPr>
        <w:spacing w:before="0" w:line="276" w:lineRule="auto"/>
        <w:contextualSpacing w:val="0"/>
        <w:jc w:val="center"/>
        <w:rPr>
          <w:b w:val="0"/>
          <w:szCs w:val="22"/>
          <w:lang w:val="af-ZA" w:eastAsia="en-US"/>
        </w:rPr>
      </w:pPr>
    </w:p>
    <w:p w14:paraId="01AD36B8" w14:textId="77777777" w:rsidR="005B7218" w:rsidRDefault="005B7218" w:rsidP="005B7218">
      <w:pPr>
        <w:spacing w:before="0" w:line="276" w:lineRule="auto"/>
        <w:ind w:firstLine="475"/>
        <w:contextualSpacing w:val="0"/>
        <w:rPr>
          <w:rFonts w:cs="Sylfaen"/>
          <w:b w:val="0"/>
          <w:szCs w:val="22"/>
          <w:lang w:val="af-ZA" w:eastAsia="en-US"/>
        </w:rPr>
      </w:pPr>
    </w:p>
    <w:p w14:paraId="2929E013" w14:textId="77777777" w:rsidR="00903212" w:rsidRDefault="00903212" w:rsidP="00903212">
      <w:pPr>
        <w:spacing w:before="0" w:line="276" w:lineRule="auto"/>
        <w:ind w:firstLine="475"/>
        <w:contextualSpacing w:val="0"/>
        <w:rPr>
          <w:rFonts w:cs="Sylfaen"/>
          <w:b w:val="0"/>
          <w:szCs w:val="22"/>
          <w:lang w:val="af-ZA" w:eastAsia="en-US"/>
        </w:rPr>
      </w:pPr>
    </w:p>
    <w:p w14:paraId="468600AF" w14:textId="240FDF71" w:rsidR="00903212" w:rsidRPr="00A83C94" w:rsidRDefault="00903212" w:rsidP="00903212">
      <w:pPr>
        <w:spacing w:before="0" w:line="276" w:lineRule="auto"/>
        <w:ind w:firstLine="475"/>
        <w:contextualSpacing w:val="0"/>
        <w:rPr>
          <w:b w:val="0"/>
          <w:szCs w:val="22"/>
          <w:lang w:val="hy-AM" w:eastAsia="en-US"/>
        </w:rPr>
      </w:pPr>
      <w:r w:rsidRPr="00A83C94">
        <w:rPr>
          <w:rFonts w:cs="Sylfaen"/>
          <w:b w:val="0"/>
          <w:szCs w:val="22"/>
          <w:lang w:val="af-ZA" w:eastAsia="en-US"/>
        </w:rPr>
        <w:t xml:space="preserve">2022 </w:t>
      </w:r>
      <w:r w:rsidRPr="00A83C94">
        <w:rPr>
          <w:b w:val="0"/>
          <w:szCs w:val="22"/>
          <w:lang w:val="hy-AM" w:eastAsia="en-US"/>
        </w:rPr>
        <w:t>թվակա</w:t>
      </w:r>
      <w:r w:rsidRPr="00A83C94">
        <w:rPr>
          <w:rFonts w:cs="Sylfaen"/>
          <w:b w:val="0"/>
          <w:szCs w:val="22"/>
          <w:lang w:val="hy-AM" w:eastAsia="en-US"/>
        </w:rPr>
        <w:t>նի</w:t>
      </w:r>
      <w:r w:rsidRPr="00A83C94">
        <w:rPr>
          <w:rFonts w:cs="Sylfaen"/>
          <w:b w:val="0"/>
          <w:szCs w:val="22"/>
          <w:lang w:val="af-ZA" w:eastAsia="en-US"/>
        </w:rPr>
        <w:t xml:space="preserve"> </w:t>
      </w:r>
      <w:r w:rsidRPr="00A83C94">
        <w:rPr>
          <w:rFonts w:cs="Sylfaen"/>
          <w:b w:val="0"/>
          <w:szCs w:val="22"/>
          <w:lang w:val="hy-AM" w:eastAsia="en-US"/>
        </w:rPr>
        <w:t>պետական</w:t>
      </w:r>
      <w:r w:rsidRPr="00A83C94">
        <w:rPr>
          <w:rFonts w:cs="Sylfaen"/>
          <w:b w:val="0"/>
          <w:szCs w:val="22"/>
          <w:lang w:val="af-ZA" w:eastAsia="en-US"/>
        </w:rPr>
        <w:t xml:space="preserve"> </w:t>
      </w:r>
      <w:r w:rsidRPr="00A83C94">
        <w:rPr>
          <w:rFonts w:cs="Sylfaen"/>
          <w:b w:val="0"/>
          <w:szCs w:val="22"/>
          <w:lang w:val="hy-AM" w:eastAsia="en-US"/>
        </w:rPr>
        <w:t>բյուջեից</w:t>
      </w:r>
      <w:r w:rsidRPr="00A83C94">
        <w:rPr>
          <w:rFonts w:cs="Sylfaen"/>
          <w:b w:val="0"/>
          <w:szCs w:val="22"/>
          <w:lang w:val="af-ZA" w:eastAsia="en-US"/>
        </w:rPr>
        <w:t xml:space="preserve"> </w:t>
      </w:r>
      <w:r w:rsidRPr="00A83C94">
        <w:rPr>
          <w:rFonts w:cs="Sylfaen"/>
          <w:b w:val="0"/>
          <w:szCs w:val="22"/>
          <w:lang w:val="hy-AM" w:eastAsia="en-US"/>
        </w:rPr>
        <w:t>նախատեսվում</w:t>
      </w:r>
      <w:r w:rsidRPr="00A83C94">
        <w:rPr>
          <w:rFonts w:cs="Sylfaen"/>
          <w:b w:val="0"/>
          <w:szCs w:val="22"/>
          <w:lang w:val="af-ZA" w:eastAsia="en-US"/>
        </w:rPr>
        <w:t xml:space="preserve"> </w:t>
      </w:r>
      <w:r w:rsidRPr="00A83C94">
        <w:rPr>
          <w:rFonts w:cs="Sylfaen"/>
          <w:b w:val="0"/>
          <w:szCs w:val="22"/>
          <w:lang w:val="hy-AM" w:eastAsia="en-US"/>
        </w:rPr>
        <w:t>է</w:t>
      </w:r>
      <w:r w:rsidRPr="00A83C94">
        <w:rPr>
          <w:rFonts w:cs="Sylfaen"/>
          <w:b w:val="0"/>
          <w:szCs w:val="22"/>
          <w:lang w:val="af-ZA" w:eastAsia="en-US"/>
        </w:rPr>
        <w:t xml:space="preserve"> </w:t>
      </w:r>
      <w:r w:rsidRPr="00A83C94">
        <w:rPr>
          <w:rFonts w:cs="Sylfaen"/>
          <w:b w:val="0"/>
          <w:szCs w:val="22"/>
          <w:lang w:val="hy-AM" w:eastAsia="en-US"/>
        </w:rPr>
        <w:t>տրամադրել</w:t>
      </w:r>
      <w:r w:rsidRPr="00A83C94">
        <w:rPr>
          <w:rFonts w:cs="Sylfaen"/>
          <w:b w:val="0"/>
          <w:szCs w:val="22"/>
          <w:lang w:val="af-ZA" w:eastAsia="en-US"/>
        </w:rPr>
        <w:t xml:space="preserve"> </w:t>
      </w:r>
      <w:r w:rsidRPr="00A83C94">
        <w:rPr>
          <w:rFonts w:cs="Sylfaen"/>
          <w:szCs w:val="22"/>
          <w:lang w:val="hy-AM" w:eastAsia="en-US"/>
        </w:rPr>
        <w:t>հատկացումներ</w:t>
      </w:r>
      <w:r w:rsidRPr="00A83C94">
        <w:rPr>
          <w:rFonts w:cs="Sylfaen"/>
          <w:szCs w:val="22"/>
          <w:lang w:val="af-ZA" w:eastAsia="en-US"/>
        </w:rPr>
        <w:t xml:space="preserve"> </w:t>
      </w:r>
      <w:r w:rsidRPr="00A83C94">
        <w:rPr>
          <w:rFonts w:cs="Sylfaen"/>
          <w:szCs w:val="22"/>
          <w:lang w:val="hy-AM" w:eastAsia="en-US"/>
        </w:rPr>
        <w:t>ՀՀ</w:t>
      </w:r>
      <w:r w:rsidRPr="00A83C94">
        <w:rPr>
          <w:rFonts w:cs="Sylfaen"/>
          <w:szCs w:val="22"/>
          <w:lang w:val="af-ZA" w:eastAsia="en-US"/>
        </w:rPr>
        <w:t xml:space="preserve"> </w:t>
      </w:r>
      <w:r w:rsidRPr="00A83C94">
        <w:rPr>
          <w:rFonts w:cs="Sylfaen"/>
          <w:szCs w:val="22"/>
          <w:lang w:val="hy-AM" w:eastAsia="en-US"/>
        </w:rPr>
        <w:t>համայնքներին</w:t>
      </w:r>
      <w:r w:rsidRPr="00A83C94">
        <w:rPr>
          <w:rFonts w:cs="Sylfaen"/>
          <w:b w:val="0"/>
          <w:szCs w:val="22"/>
          <w:lang w:val="af-ZA" w:eastAsia="en-US"/>
        </w:rPr>
        <w:t xml:space="preserve">, </w:t>
      </w:r>
      <w:r w:rsidRPr="00A83C94">
        <w:rPr>
          <w:rFonts w:cs="Sylfaen"/>
          <w:b w:val="0"/>
          <w:szCs w:val="22"/>
          <w:lang w:val="hy-AM" w:eastAsia="en-US"/>
        </w:rPr>
        <w:t>որը</w:t>
      </w:r>
      <w:r w:rsidRPr="00A83C94">
        <w:rPr>
          <w:rFonts w:cs="Sylfaen"/>
          <w:b w:val="0"/>
          <w:szCs w:val="22"/>
          <w:lang w:val="af-ZA" w:eastAsia="en-US"/>
        </w:rPr>
        <w:t xml:space="preserve"> </w:t>
      </w:r>
      <w:r w:rsidRPr="00A83C94">
        <w:rPr>
          <w:rFonts w:cs="Sylfaen"/>
          <w:b w:val="0"/>
          <w:szCs w:val="22"/>
          <w:lang w:val="hy-AM" w:eastAsia="en-US"/>
        </w:rPr>
        <w:t>կազմել է</w:t>
      </w:r>
      <w:r w:rsidR="00733D1E" w:rsidRPr="00733D1E">
        <w:rPr>
          <w:rFonts w:cs="Sylfaen"/>
          <w:b w:val="0"/>
          <w:szCs w:val="22"/>
          <w:lang w:val="af-ZA" w:eastAsia="en-US"/>
        </w:rPr>
        <w:t xml:space="preserve"> </w:t>
      </w:r>
      <w:r w:rsidR="00733D1E">
        <w:rPr>
          <w:rFonts w:cs="Sylfaen"/>
          <w:b w:val="0"/>
          <w:szCs w:val="22"/>
          <w:lang w:val="en-US" w:eastAsia="en-US"/>
        </w:rPr>
        <w:t>շուրջ</w:t>
      </w:r>
      <w:r w:rsidRPr="00A83C94">
        <w:rPr>
          <w:rFonts w:cs="Sylfaen"/>
          <w:b w:val="0"/>
          <w:szCs w:val="22"/>
          <w:lang w:val="hy-AM" w:eastAsia="en-US"/>
        </w:rPr>
        <w:t xml:space="preserve"> </w:t>
      </w:r>
      <w:r w:rsidRPr="00A83C94">
        <w:rPr>
          <w:rFonts w:cs="Sylfaen"/>
          <w:b w:val="0"/>
          <w:szCs w:val="22"/>
          <w:lang w:val="af-ZA" w:eastAsia="en-US"/>
        </w:rPr>
        <w:t>91.</w:t>
      </w:r>
      <w:r w:rsidRPr="00A83C94">
        <w:rPr>
          <w:rFonts w:cs="Sylfaen"/>
          <w:b w:val="0"/>
          <w:szCs w:val="22"/>
          <w:lang w:val="hy-AM" w:eastAsia="en-US"/>
        </w:rPr>
        <w:t>2 մլրդ դրամ (</w:t>
      </w:r>
      <w:r w:rsidRPr="00A83C94">
        <w:rPr>
          <w:rFonts w:cs="Sylfaen"/>
          <w:b w:val="0"/>
          <w:szCs w:val="22"/>
          <w:lang w:val="af-ZA" w:eastAsia="en-US"/>
        </w:rPr>
        <w:t xml:space="preserve">2021 </w:t>
      </w:r>
      <w:r w:rsidRPr="00A83C94">
        <w:rPr>
          <w:rFonts w:cs="Sylfaen"/>
          <w:b w:val="0"/>
          <w:szCs w:val="22"/>
          <w:lang w:val="hy-AM" w:eastAsia="en-US"/>
        </w:rPr>
        <w:t>թվականին</w:t>
      </w:r>
      <w:r w:rsidRPr="00A83C94">
        <w:rPr>
          <w:rFonts w:cs="Sylfaen"/>
          <w:b w:val="0"/>
          <w:szCs w:val="22"/>
          <w:lang w:val="af-ZA" w:eastAsia="en-US"/>
        </w:rPr>
        <w:t xml:space="preserve"> </w:t>
      </w:r>
      <w:r w:rsidRPr="00A83C94">
        <w:rPr>
          <w:rFonts w:cs="Sylfaen"/>
          <w:b w:val="0"/>
          <w:szCs w:val="22"/>
          <w:lang w:val="hy-AM" w:eastAsia="en-US"/>
        </w:rPr>
        <w:t>այն</w:t>
      </w:r>
      <w:r w:rsidRPr="00A83C94">
        <w:rPr>
          <w:rFonts w:cs="Sylfaen"/>
          <w:b w:val="0"/>
          <w:szCs w:val="22"/>
          <w:lang w:val="af-ZA" w:eastAsia="en-US"/>
        </w:rPr>
        <w:t xml:space="preserve"> </w:t>
      </w:r>
      <w:r w:rsidRPr="00A83C94">
        <w:rPr>
          <w:rFonts w:cs="Sylfaen"/>
          <w:b w:val="0"/>
          <w:szCs w:val="22"/>
          <w:lang w:val="hy-AM" w:eastAsia="en-US"/>
        </w:rPr>
        <w:t>կազմել</w:t>
      </w:r>
      <w:r w:rsidRPr="00A83C94">
        <w:rPr>
          <w:rFonts w:cs="Sylfaen"/>
          <w:b w:val="0"/>
          <w:szCs w:val="22"/>
          <w:lang w:val="af-ZA" w:eastAsia="en-US"/>
        </w:rPr>
        <w:t xml:space="preserve"> </w:t>
      </w:r>
      <w:r w:rsidRPr="00A83C94">
        <w:rPr>
          <w:rFonts w:cs="Sylfaen"/>
          <w:b w:val="0"/>
          <w:szCs w:val="22"/>
          <w:lang w:val="hy-AM" w:eastAsia="en-US"/>
        </w:rPr>
        <w:t>է՝</w:t>
      </w:r>
      <w:r w:rsidRPr="00A83C94">
        <w:rPr>
          <w:rFonts w:cs="Sylfaen"/>
          <w:b w:val="0"/>
          <w:szCs w:val="22"/>
          <w:lang w:val="af-ZA" w:eastAsia="en-US"/>
        </w:rPr>
        <w:t xml:space="preserve"> </w:t>
      </w:r>
      <w:r w:rsidR="00733D1E">
        <w:rPr>
          <w:rFonts w:cs="Sylfaen"/>
          <w:b w:val="0"/>
          <w:szCs w:val="22"/>
          <w:lang w:val="af-ZA" w:eastAsia="en-US"/>
        </w:rPr>
        <w:t xml:space="preserve">շուրջ </w:t>
      </w:r>
      <w:r w:rsidRPr="00A83C94">
        <w:rPr>
          <w:rFonts w:cs="Sylfaen"/>
          <w:b w:val="0"/>
          <w:szCs w:val="22"/>
          <w:lang w:val="af-ZA" w:eastAsia="en-US"/>
        </w:rPr>
        <w:t>82</w:t>
      </w:r>
      <w:r w:rsidRPr="00A83C94">
        <w:rPr>
          <w:rFonts w:cs="Sylfaen"/>
          <w:b w:val="0"/>
          <w:szCs w:val="22"/>
          <w:lang w:val="hy-AM" w:eastAsia="en-US"/>
        </w:rPr>
        <w:t>.</w:t>
      </w:r>
      <w:r w:rsidRPr="00A83C94">
        <w:rPr>
          <w:rFonts w:cs="Sylfaen"/>
          <w:b w:val="0"/>
          <w:szCs w:val="22"/>
          <w:lang w:val="af-ZA" w:eastAsia="en-US"/>
        </w:rPr>
        <w:t xml:space="preserve">5 </w:t>
      </w:r>
      <w:r w:rsidRPr="00A83C94">
        <w:rPr>
          <w:rFonts w:cs="Sylfaen"/>
          <w:b w:val="0"/>
          <w:szCs w:val="22"/>
          <w:lang w:val="hy-AM" w:eastAsia="en-US"/>
        </w:rPr>
        <w:t>մլրդ</w:t>
      </w:r>
      <w:r w:rsidRPr="00A83C94">
        <w:rPr>
          <w:rFonts w:cs="Sylfaen"/>
          <w:b w:val="0"/>
          <w:szCs w:val="22"/>
          <w:lang w:val="af-ZA" w:eastAsia="en-US"/>
        </w:rPr>
        <w:t xml:space="preserve"> </w:t>
      </w:r>
      <w:r w:rsidRPr="00A83C94">
        <w:rPr>
          <w:rFonts w:cs="Sylfaen"/>
          <w:b w:val="0"/>
          <w:szCs w:val="22"/>
          <w:lang w:val="hy-AM" w:eastAsia="en-US"/>
        </w:rPr>
        <w:t>դրամ)</w:t>
      </w:r>
      <w:r w:rsidRPr="00A83C94">
        <w:rPr>
          <w:rFonts w:cs="Sylfaen"/>
          <w:b w:val="0"/>
          <w:szCs w:val="22"/>
          <w:lang w:val="af-ZA" w:eastAsia="en-US"/>
        </w:rPr>
        <w:t xml:space="preserve"> </w:t>
      </w:r>
      <w:r w:rsidRPr="00A83C94">
        <w:rPr>
          <w:rFonts w:cs="Sylfaen"/>
          <w:b w:val="0"/>
          <w:szCs w:val="22"/>
          <w:lang w:val="hy-AM" w:eastAsia="en-US"/>
        </w:rPr>
        <w:t>կամ</w:t>
      </w:r>
      <w:r w:rsidRPr="00A83C94">
        <w:rPr>
          <w:rFonts w:cs="Sylfaen"/>
          <w:b w:val="0"/>
          <w:szCs w:val="22"/>
          <w:lang w:val="af-ZA" w:eastAsia="en-US"/>
        </w:rPr>
        <w:t xml:space="preserve"> </w:t>
      </w:r>
      <w:r w:rsidRPr="00A83C94">
        <w:rPr>
          <w:rFonts w:cs="Sylfaen"/>
          <w:b w:val="0"/>
          <w:szCs w:val="22"/>
          <w:lang w:val="hy-AM" w:eastAsia="en-US"/>
        </w:rPr>
        <w:t>ընդհանուր</w:t>
      </w:r>
      <w:r w:rsidRPr="00A83C94">
        <w:rPr>
          <w:rFonts w:cs="Sylfaen"/>
          <w:b w:val="0"/>
          <w:szCs w:val="22"/>
          <w:lang w:val="af-ZA" w:eastAsia="en-US"/>
        </w:rPr>
        <w:t xml:space="preserve"> </w:t>
      </w:r>
      <w:r w:rsidRPr="00A83C94">
        <w:rPr>
          <w:rFonts w:cs="Sylfaen"/>
          <w:b w:val="0"/>
          <w:szCs w:val="22"/>
          <w:lang w:val="hy-AM" w:eastAsia="en-US"/>
        </w:rPr>
        <w:t>բյուջետային</w:t>
      </w:r>
      <w:r w:rsidRPr="00A83C94">
        <w:rPr>
          <w:rFonts w:cs="Sylfaen"/>
          <w:b w:val="0"/>
          <w:szCs w:val="22"/>
          <w:lang w:val="af-ZA" w:eastAsia="en-US"/>
        </w:rPr>
        <w:t xml:space="preserve"> </w:t>
      </w:r>
      <w:r w:rsidRPr="00A83C94">
        <w:rPr>
          <w:rFonts w:cs="Sylfaen"/>
          <w:b w:val="0"/>
          <w:szCs w:val="22"/>
          <w:lang w:val="hy-AM" w:eastAsia="en-US"/>
        </w:rPr>
        <w:t>ծախսերի</w:t>
      </w:r>
      <w:r w:rsidRPr="00A83C94">
        <w:rPr>
          <w:rFonts w:cs="Sylfaen"/>
          <w:b w:val="0"/>
          <w:szCs w:val="22"/>
          <w:lang w:val="af-ZA" w:eastAsia="en-US"/>
        </w:rPr>
        <w:t xml:space="preserve"> 4</w:t>
      </w:r>
      <w:r w:rsidRPr="00A83C94">
        <w:rPr>
          <w:rFonts w:cs="Sylfaen"/>
          <w:b w:val="0"/>
          <w:szCs w:val="22"/>
          <w:lang w:val="hy-AM" w:eastAsia="en-US"/>
        </w:rPr>
        <w:t>.</w:t>
      </w:r>
      <w:r w:rsidR="00B71B91" w:rsidRPr="002B7C68">
        <w:rPr>
          <w:rFonts w:cs="Sylfaen"/>
          <w:b w:val="0"/>
          <w:szCs w:val="22"/>
          <w:lang w:val="af-ZA" w:eastAsia="en-US"/>
        </w:rPr>
        <w:t>2</w:t>
      </w:r>
      <w:r w:rsidRPr="00A83C94">
        <w:rPr>
          <w:rFonts w:cs="Sylfaen"/>
          <w:b w:val="0"/>
          <w:szCs w:val="22"/>
          <w:lang w:val="af-ZA" w:eastAsia="en-US"/>
        </w:rPr>
        <w:t xml:space="preserve"> </w:t>
      </w:r>
      <w:r w:rsidRPr="00A83C94">
        <w:rPr>
          <w:b w:val="0"/>
          <w:szCs w:val="22"/>
          <w:lang w:val="af-ZA" w:eastAsia="en-US"/>
        </w:rPr>
        <w:t>%</w:t>
      </w:r>
      <w:r w:rsidRPr="00A83C94">
        <w:rPr>
          <w:b w:val="0"/>
          <w:szCs w:val="22"/>
          <w:lang w:val="hy-AM" w:eastAsia="en-US"/>
        </w:rPr>
        <w:t xml:space="preserve"> </w:t>
      </w:r>
      <w:r w:rsidRPr="00A83C94">
        <w:rPr>
          <w:rFonts w:cs="Sylfaen"/>
          <w:b w:val="0"/>
          <w:szCs w:val="22"/>
          <w:lang w:val="hy-AM" w:eastAsia="en-US"/>
        </w:rPr>
        <w:t>և</w:t>
      </w:r>
      <w:r w:rsidRPr="00A83C94">
        <w:rPr>
          <w:rFonts w:cs="Sylfaen"/>
          <w:b w:val="0"/>
          <w:szCs w:val="22"/>
          <w:lang w:val="af-ZA" w:eastAsia="en-US"/>
        </w:rPr>
        <w:t xml:space="preserve"> </w:t>
      </w:r>
      <w:r w:rsidRPr="00A83C94">
        <w:rPr>
          <w:rFonts w:cs="Sylfaen"/>
          <w:b w:val="0"/>
          <w:szCs w:val="22"/>
          <w:lang w:val="hy-AM" w:eastAsia="en-US"/>
        </w:rPr>
        <w:t>ՀՆԱ</w:t>
      </w:r>
      <w:r w:rsidRPr="00A83C94">
        <w:rPr>
          <w:rFonts w:cs="Sylfaen"/>
          <w:b w:val="0"/>
          <w:szCs w:val="22"/>
          <w:lang w:val="af-ZA" w:eastAsia="en-US"/>
        </w:rPr>
        <w:t>-</w:t>
      </w:r>
      <w:r w:rsidRPr="00A83C94">
        <w:rPr>
          <w:rFonts w:cs="Sylfaen"/>
          <w:b w:val="0"/>
          <w:szCs w:val="22"/>
          <w:lang w:val="hy-AM" w:eastAsia="en-US"/>
        </w:rPr>
        <w:t>ի</w:t>
      </w:r>
      <w:r w:rsidRPr="00A83C94">
        <w:rPr>
          <w:rFonts w:cs="Sylfaen"/>
          <w:b w:val="0"/>
          <w:szCs w:val="22"/>
          <w:lang w:val="af-ZA" w:eastAsia="en-US"/>
        </w:rPr>
        <w:t xml:space="preserve"> 1.2</w:t>
      </w:r>
      <w:r w:rsidRPr="00A83C94">
        <w:rPr>
          <w:b w:val="0"/>
          <w:szCs w:val="22"/>
          <w:lang w:val="af-ZA" w:eastAsia="en-US"/>
        </w:rPr>
        <w:t xml:space="preserve"> %</w:t>
      </w:r>
      <w:r w:rsidRPr="00A83C94">
        <w:rPr>
          <w:rFonts w:cs="Sylfaen"/>
          <w:b w:val="0"/>
          <w:szCs w:val="22"/>
          <w:lang w:val="af-ZA" w:eastAsia="en-US"/>
        </w:rPr>
        <w:t xml:space="preserve">: </w:t>
      </w:r>
    </w:p>
    <w:p w14:paraId="1DD513DD" w14:textId="77777777" w:rsidR="00903212" w:rsidRPr="00A83C94" w:rsidRDefault="00903212" w:rsidP="00903212">
      <w:pPr>
        <w:spacing w:before="0" w:line="276" w:lineRule="auto"/>
        <w:ind w:firstLine="475"/>
        <w:contextualSpacing w:val="0"/>
        <w:rPr>
          <w:rFonts w:cs="Sylfaen"/>
          <w:b w:val="0"/>
          <w:szCs w:val="22"/>
          <w:lang w:val="hy-AM" w:eastAsia="en-US"/>
        </w:rPr>
      </w:pPr>
    </w:p>
    <w:p w14:paraId="2004E21C" w14:textId="77777777" w:rsidR="00E0510E" w:rsidRPr="008B1D49" w:rsidRDefault="00E0510E" w:rsidP="003F382C">
      <w:pPr>
        <w:pStyle w:val="Caption"/>
        <w:rPr>
          <w:lang w:val="af-ZA"/>
        </w:rPr>
      </w:pPr>
      <w:bookmarkStart w:id="273" w:name="_Toc83752676"/>
    </w:p>
    <w:p w14:paraId="54B00580" w14:textId="77777777" w:rsidR="00E0510E" w:rsidRPr="008B1D49" w:rsidRDefault="00E0510E" w:rsidP="003F382C">
      <w:pPr>
        <w:pStyle w:val="Caption"/>
        <w:rPr>
          <w:lang w:val="af-ZA"/>
        </w:rPr>
      </w:pPr>
    </w:p>
    <w:p w14:paraId="238895AB" w14:textId="77777777" w:rsidR="00E0510E" w:rsidRPr="008B1D49" w:rsidRDefault="00E0510E" w:rsidP="003F382C">
      <w:pPr>
        <w:pStyle w:val="Caption"/>
        <w:rPr>
          <w:lang w:val="af-ZA"/>
        </w:rPr>
      </w:pPr>
    </w:p>
    <w:p w14:paraId="1CDF15B3" w14:textId="77777777" w:rsidR="00E0510E" w:rsidRPr="008B1D49" w:rsidRDefault="00E0510E" w:rsidP="003F382C">
      <w:pPr>
        <w:pStyle w:val="Caption"/>
        <w:rPr>
          <w:lang w:val="af-ZA"/>
        </w:rPr>
      </w:pPr>
    </w:p>
    <w:p w14:paraId="181C1FEA" w14:textId="77777777" w:rsidR="00E0510E" w:rsidRPr="008B1D49" w:rsidRDefault="00E0510E" w:rsidP="003F382C">
      <w:pPr>
        <w:pStyle w:val="Caption"/>
        <w:rPr>
          <w:lang w:val="af-ZA"/>
        </w:rPr>
      </w:pPr>
    </w:p>
    <w:p w14:paraId="445257A7" w14:textId="63D95C01" w:rsidR="00903212" w:rsidRPr="00FC690A" w:rsidRDefault="003F382C" w:rsidP="003F382C">
      <w:pPr>
        <w:pStyle w:val="Caption"/>
        <w:rPr>
          <w:lang w:val="af-ZA"/>
        </w:rPr>
      </w:pPr>
      <w:bookmarkStart w:id="274" w:name="_Toc89428772"/>
      <w:r>
        <w:t>Աղյուսակ</w:t>
      </w:r>
      <w:r w:rsidRPr="008B1D49">
        <w:rPr>
          <w:lang w:val="af-ZA"/>
        </w:rPr>
        <w:t xml:space="preserve"> </w:t>
      </w:r>
      <w:r>
        <w:fldChar w:fldCharType="begin"/>
      </w:r>
      <w:r w:rsidRPr="008B1D49">
        <w:rPr>
          <w:lang w:val="af-ZA"/>
        </w:rPr>
        <w:instrText xml:space="preserve"> SEQ </w:instrText>
      </w:r>
      <w:r>
        <w:instrText>Աղյուսակ</w:instrText>
      </w:r>
      <w:r w:rsidRPr="008B1D49">
        <w:rPr>
          <w:lang w:val="af-ZA"/>
        </w:rPr>
        <w:instrText xml:space="preserve"> \* ARABIC </w:instrText>
      </w:r>
      <w:r>
        <w:fldChar w:fldCharType="separate"/>
      </w:r>
      <w:r w:rsidR="00A10D4F">
        <w:rPr>
          <w:noProof/>
          <w:lang w:val="af-ZA"/>
        </w:rPr>
        <w:t>12</w:t>
      </w:r>
      <w:r>
        <w:fldChar w:fldCharType="end"/>
      </w:r>
      <w:r w:rsidR="00903212" w:rsidRPr="008150A1">
        <w:rPr>
          <w:rFonts w:ascii="Cambria Math" w:hAnsi="Cambria Math" w:cs="Cambria Math"/>
          <w:lang w:val="hy-AM"/>
        </w:rPr>
        <w:t>․</w:t>
      </w:r>
      <w:r w:rsidR="00903212" w:rsidRPr="00FC690A">
        <w:rPr>
          <w:lang w:val="af-ZA"/>
        </w:rPr>
        <w:t xml:space="preserve"> </w:t>
      </w:r>
      <w:r w:rsidR="00903212" w:rsidRPr="0089541F">
        <w:rPr>
          <w:b/>
          <w:i/>
          <w:sz w:val="20"/>
          <w:szCs w:val="20"/>
        </w:rPr>
        <w:t>ՀՀ</w:t>
      </w:r>
      <w:r w:rsidR="00903212" w:rsidRPr="0089541F">
        <w:rPr>
          <w:b/>
          <w:i/>
          <w:sz w:val="20"/>
          <w:szCs w:val="20"/>
          <w:lang w:val="af-ZA"/>
        </w:rPr>
        <w:t xml:space="preserve"> </w:t>
      </w:r>
      <w:r w:rsidR="00903212" w:rsidRPr="0089541F">
        <w:rPr>
          <w:b/>
          <w:i/>
          <w:sz w:val="20"/>
          <w:szCs w:val="20"/>
        </w:rPr>
        <w:t>պետական</w:t>
      </w:r>
      <w:r w:rsidR="00903212" w:rsidRPr="0089541F">
        <w:rPr>
          <w:b/>
          <w:i/>
          <w:sz w:val="20"/>
          <w:szCs w:val="20"/>
          <w:lang w:val="af-ZA"/>
        </w:rPr>
        <w:t xml:space="preserve"> </w:t>
      </w:r>
      <w:r w:rsidR="00903212" w:rsidRPr="0089541F">
        <w:rPr>
          <w:b/>
          <w:i/>
          <w:sz w:val="20"/>
          <w:szCs w:val="20"/>
        </w:rPr>
        <w:t>բյուջեից</w:t>
      </w:r>
      <w:r w:rsidR="00903212" w:rsidRPr="0089541F">
        <w:rPr>
          <w:b/>
          <w:i/>
          <w:sz w:val="20"/>
          <w:szCs w:val="20"/>
          <w:lang w:val="af-ZA"/>
        </w:rPr>
        <w:t xml:space="preserve"> </w:t>
      </w:r>
      <w:r w:rsidR="00903212" w:rsidRPr="0089541F">
        <w:rPr>
          <w:b/>
          <w:i/>
          <w:sz w:val="20"/>
          <w:szCs w:val="20"/>
        </w:rPr>
        <w:t>համայնքներին</w:t>
      </w:r>
      <w:r w:rsidR="00903212" w:rsidRPr="0089541F">
        <w:rPr>
          <w:b/>
          <w:i/>
          <w:sz w:val="20"/>
          <w:szCs w:val="20"/>
          <w:lang w:val="af-ZA"/>
        </w:rPr>
        <w:t xml:space="preserve"> </w:t>
      </w:r>
      <w:r w:rsidR="00903212" w:rsidRPr="0089541F">
        <w:rPr>
          <w:b/>
          <w:i/>
          <w:sz w:val="20"/>
          <w:szCs w:val="20"/>
        </w:rPr>
        <w:t>տրվող</w:t>
      </w:r>
      <w:r w:rsidR="00903212" w:rsidRPr="0089541F">
        <w:rPr>
          <w:b/>
          <w:i/>
          <w:sz w:val="20"/>
          <w:szCs w:val="20"/>
          <w:lang w:val="af-ZA"/>
        </w:rPr>
        <w:t xml:space="preserve"> </w:t>
      </w:r>
      <w:r w:rsidR="00903212" w:rsidRPr="0089541F">
        <w:rPr>
          <w:b/>
          <w:i/>
          <w:sz w:val="20"/>
          <w:szCs w:val="20"/>
        </w:rPr>
        <w:t>հատկացումների</w:t>
      </w:r>
      <w:r w:rsidR="00903212" w:rsidRPr="0089541F">
        <w:rPr>
          <w:b/>
          <w:i/>
          <w:sz w:val="20"/>
          <w:szCs w:val="20"/>
          <w:lang w:val="af-ZA"/>
        </w:rPr>
        <w:t xml:space="preserve"> </w:t>
      </w:r>
      <w:r w:rsidR="00903212" w:rsidRPr="0089541F">
        <w:rPr>
          <w:b/>
          <w:i/>
          <w:sz w:val="20"/>
          <w:szCs w:val="20"/>
        </w:rPr>
        <w:t>վերաբերյալ</w:t>
      </w:r>
      <w:bookmarkEnd w:id="273"/>
      <w:bookmarkEnd w:id="274"/>
    </w:p>
    <w:p w14:paraId="25F96E79" w14:textId="77777777" w:rsidR="00903212" w:rsidRPr="00A83C94" w:rsidRDefault="00903212" w:rsidP="00903212">
      <w:pPr>
        <w:spacing w:before="0"/>
        <w:jc w:val="right"/>
        <w:rPr>
          <w:lang w:val="hy-AM" w:eastAsia="en-US"/>
        </w:rPr>
      </w:pPr>
      <w:r w:rsidRPr="00A83C94">
        <w:rPr>
          <w:i/>
          <w:iCs/>
          <w:sz w:val="18"/>
          <w:szCs w:val="18"/>
        </w:rPr>
        <w:t>հ</w:t>
      </w:r>
      <w:r w:rsidRPr="00A83C94">
        <w:rPr>
          <w:i/>
          <w:iCs/>
          <w:sz w:val="18"/>
          <w:szCs w:val="18"/>
          <w:lang w:val="hy-AM"/>
        </w:rPr>
        <w:t>ազ</w:t>
      </w:r>
      <w:r w:rsidRPr="00A83C94">
        <w:rPr>
          <w:rFonts w:ascii="MS Mincho" w:eastAsia="MS Mincho" w:hAnsi="MS Mincho" w:cs="MS Mincho"/>
          <w:i/>
          <w:iCs/>
          <w:sz w:val="18"/>
          <w:szCs w:val="18"/>
          <w:lang w:val="hy-AM"/>
        </w:rPr>
        <w:t>.</w:t>
      </w:r>
      <w:r w:rsidRPr="00A83C94">
        <w:rPr>
          <w:i/>
          <w:iCs/>
          <w:sz w:val="18"/>
          <w:szCs w:val="18"/>
          <w:lang w:val="hy-AM"/>
        </w:rPr>
        <w:t xml:space="preserve"> </w:t>
      </w:r>
      <w:r w:rsidRPr="00A83C94">
        <w:rPr>
          <w:rFonts w:cs="GHEA Grapalat"/>
          <w:i/>
          <w:iCs/>
          <w:sz w:val="18"/>
          <w:szCs w:val="18"/>
          <w:lang w:val="hy-AM"/>
        </w:rPr>
        <w:t>դրա</w:t>
      </w:r>
      <w:r w:rsidRPr="00A83C94">
        <w:rPr>
          <w:i/>
          <w:iCs/>
          <w:sz w:val="18"/>
          <w:szCs w:val="18"/>
          <w:lang w:val="hy-AM"/>
        </w:rPr>
        <w:t>մ</w:t>
      </w:r>
    </w:p>
    <w:tbl>
      <w:tblPr>
        <w:tblW w:w="9998" w:type="dxa"/>
        <w:tblLook w:val="04A0" w:firstRow="1" w:lastRow="0" w:firstColumn="1" w:lastColumn="0" w:noHBand="0" w:noVBand="1"/>
      </w:tblPr>
      <w:tblGrid>
        <w:gridCol w:w="2960"/>
        <w:gridCol w:w="1363"/>
        <w:gridCol w:w="1423"/>
        <w:gridCol w:w="1377"/>
        <w:gridCol w:w="1421"/>
        <w:gridCol w:w="1454"/>
      </w:tblGrid>
      <w:tr w:rsidR="00903212" w:rsidRPr="00A83C94" w14:paraId="379B3344" w14:textId="77777777" w:rsidTr="00733935">
        <w:trPr>
          <w:trHeight w:val="960"/>
        </w:trPr>
        <w:tc>
          <w:tcPr>
            <w:tcW w:w="2960" w:type="dxa"/>
            <w:tcBorders>
              <w:top w:val="single" w:sz="8" w:space="0" w:color="auto"/>
              <w:left w:val="single" w:sz="8" w:space="0" w:color="auto"/>
              <w:bottom w:val="single" w:sz="8" w:space="0" w:color="auto"/>
              <w:right w:val="single" w:sz="4" w:space="0" w:color="auto"/>
            </w:tcBorders>
            <w:shd w:val="clear" w:color="auto" w:fill="4F81BD" w:themeFill="accent1"/>
            <w:noWrap/>
            <w:hideMark/>
          </w:tcPr>
          <w:p w14:paraId="6D0FD266" w14:textId="77777777" w:rsidR="00903212" w:rsidRPr="00A83C94" w:rsidRDefault="00903212" w:rsidP="00733935">
            <w:pPr>
              <w:spacing w:before="0" w:line="276" w:lineRule="auto"/>
              <w:ind w:firstLine="0"/>
              <w:jc w:val="center"/>
              <w:rPr>
                <w:rFonts w:ascii="Calibri" w:hAnsi="Calibri" w:cs="Calibri"/>
                <w:bCs/>
                <w:color w:val="000000"/>
                <w:sz w:val="18"/>
                <w:szCs w:val="18"/>
                <w:lang w:val="hy-AM"/>
              </w:rPr>
            </w:pPr>
            <w:r w:rsidRPr="00A83C94">
              <w:rPr>
                <w:rFonts w:ascii="Calibri" w:hAnsi="Calibri" w:cs="Calibri"/>
                <w:bCs/>
                <w:color w:val="000000"/>
                <w:sz w:val="18"/>
                <w:szCs w:val="18"/>
                <w:lang w:val="hy-AM"/>
              </w:rPr>
              <w:t> </w:t>
            </w:r>
          </w:p>
          <w:p w14:paraId="130786F9" w14:textId="77777777" w:rsidR="00903212" w:rsidRPr="00A83C94" w:rsidRDefault="00903212" w:rsidP="00733935">
            <w:pPr>
              <w:spacing w:before="0" w:line="276" w:lineRule="auto"/>
              <w:ind w:firstLine="0"/>
              <w:jc w:val="center"/>
              <w:rPr>
                <w:b w:val="0"/>
                <w:bCs/>
                <w:color w:val="000000"/>
                <w:sz w:val="18"/>
                <w:szCs w:val="18"/>
                <w:lang w:val="hy-AM"/>
              </w:rPr>
            </w:pPr>
            <w:r w:rsidRPr="00A83C94">
              <w:rPr>
                <w:rFonts w:cs="Sylfaen"/>
                <w:color w:val="FFFFFF" w:themeColor="background1"/>
                <w:sz w:val="20"/>
                <w:lang w:val="hy-AM"/>
              </w:rPr>
              <w:t>Ցուցանիշներ</w:t>
            </w:r>
          </w:p>
        </w:tc>
        <w:tc>
          <w:tcPr>
            <w:tcW w:w="1363" w:type="dxa"/>
            <w:tcBorders>
              <w:top w:val="single" w:sz="8" w:space="0" w:color="auto"/>
              <w:left w:val="nil"/>
              <w:bottom w:val="single" w:sz="8" w:space="0" w:color="auto"/>
              <w:right w:val="single" w:sz="4" w:space="0" w:color="auto"/>
            </w:tcBorders>
            <w:shd w:val="clear" w:color="auto" w:fill="4F81BD" w:themeFill="accent1"/>
            <w:vAlign w:val="center"/>
          </w:tcPr>
          <w:p w14:paraId="22D1B1EF" w14:textId="77777777" w:rsidR="00903212" w:rsidRPr="00A83C94" w:rsidRDefault="00903212" w:rsidP="00733935">
            <w:pPr>
              <w:spacing w:before="0" w:line="276" w:lineRule="auto"/>
              <w:ind w:firstLine="0"/>
              <w:jc w:val="center"/>
              <w:rPr>
                <w:b w:val="0"/>
                <w:bCs/>
                <w:color w:val="FFFFFF" w:themeColor="background1"/>
                <w:sz w:val="18"/>
                <w:szCs w:val="18"/>
                <w:lang w:val="hy-AM"/>
              </w:rPr>
            </w:pPr>
            <w:r w:rsidRPr="00A83C94">
              <w:rPr>
                <w:bCs/>
                <w:color w:val="FFFFFF" w:themeColor="background1"/>
                <w:sz w:val="18"/>
                <w:szCs w:val="18"/>
                <w:lang w:val="hy-AM"/>
              </w:rPr>
              <w:t>2018 թվական փաստայի</w:t>
            </w:r>
          </w:p>
        </w:tc>
        <w:tc>
          <w:tcPr>
            <w:tcW w:w="1423" w:type="dxa"/>
            <w:tcBorders>
              <w:top w:val="single" w:sz="8" w:space="0" w:color="auto"/>
              <w:left w:val="nil"/>
              <w:bottom w:val="single" w:sz="8" w:space="0" w:color="auto"/>
              <w:right w:val="single" w:sz="4" w:space="0" w:color="auto"/>
            </w:tcBorders>
            <w:shd w:val="clear" w:color="auto" w:fill="4F81BD" w:themeFill="accent1"/>
            <w:vAlign w:val="center"/>
          </w:tcPr>
          <w:p w14:paraId="61A3EF7F" w14:textId="77777777" w:rsidR="00903212" w:rsidRPr="00A83C94" w:rsidRDefault="00903212" w:rsidP="00733935">
            <w:pPr>
              <w:spacing w:before="0" w:line="276" w:lineRule="auto"/>
              <w:ind w:firstLine="0"/>
              <w:jc w:val="center"/>
              <w:rPr>
                <w:b w:val="0"/>
                <w:bCs/>
                <w:color w:val="FFFFFF" w:themeColor="background1"/>
                <w:sz w:val="18"/>
                <w:szCs w:val="18"/>
                <w:lang w:val="hy-AM"/>
              </w:rPr>
            </w:pPr>
            <w:r w:rsidRPr="00A83C94">
              <w:rPr>
                <w:bCs/>
                <w:color w:val="FFFFFF" w:themeColor="background1"/>
                <w:sz w:val="18"/>
                <w:szCs w:val="18"/>
                <w:lang w:val="hy-AM"/>
              </w:rPr>
              <w:t>2019 թվական փաստայի</w:t>
            </w:r>
          </w:p>
        </w:tc>
        <w:tc>
          <w:tcPr>
            <w:tcW w:w="1377" w:type="dxa"/>
            <w:tcBorders>
              <w:top w:val="single" w:sz="8" w:space="0" w:color="auto"/>
              <w:left w:val="nil"/>
              <w:bottom w:val="single" w:sz="8" w:space="0" w:color="auto"/>
              <w:right w:val="single" w:sz="4" w:space="0" w:color="auto"/>
            </w:tcBorders>
            <w:shd w:val="clear" w:color="auto" w:fill="4F81BD" w:themeFill="accent1"/>
            <w:vAlign w:val="center"/>
          </w:tcPr>
          <w:p w14:paraId="6927B486" w14:textId="77777777" w:rsidR="00903212" w:rsidRPr="00A83C94" w:rsidRDefault="00903212" w:rsidP="00733935">
            <w:pPr>
              <w:spacing w:before="0" w:line="276" w:lineRule="auto"/>
              <w:ind w:firstLine="0"/>
              <w:jc w:val="center"/>
              <w:rPr>
                <w:b w:val="0"/>
                <w:bCs/>
                <w:color w:val="FFFFFF" w:themeColor="background1"/>
                <w:sz w:val="18"/>
                <w:szCs w:val="18"/>
                <w:lang w:val="en-US"/>
              </w:rPr>
            </w:pPr>
            <w:r w:rsidRPr="00A83C94">
              <w:rPr>
                <w:bCs/>
                <w:color w:val="FFFFFF" w:themeColor="background1"/>
                <w:sz w:val="18"/>
                <w:szCs w:val="18"/>
                <w:lang w:val="hy-AM"/>
              </w:rPr>
              <w:t xml:space="preserve">2020 թվական </w:t>
            </w:r>
            <w:r w:rsidRPr="00A83C94">
              <w:rPr>
                <w:bCs/>
                <w:color w:val="FFFFFF" w:themeColor="background1"/>
                <w:sz w:val="18"/>
                <w:szCs w:val="18"/>
                <w:lang w:val="en-US"/>
              </w:rPr>
              <w:t>փաստացի</w:t>
            </w:r>
          </w:p>
        </w:tc>
        <w:tc>
          <w:tcPr>
            <w:tcW w:w="1421" w:type="dxa"/>
            <w:tcBorders>
              <w:top w:val="single" w:sz="8" w:space="0" w:color="auto"/>
              <w:left w:val="nil"/>
              <w:bottom w:val="single" w:sz="8" w:space="0" w:color="auto"/>
              <w:right w:val="single" w:sz="4" w:space="0" w:color="auto"/>
            </w:tcBorders>
            <w:shd w:val="clear" w:color="auto" w:fill="4F81BD" w:themeFill="accent1"/>
            <w:vAlign w:val="center"/>
          </w:tcPr>
          <w:p w14:paraId="33456D45" w14:textId="77777777" w:rsidR="00903212" w:rsidRPr="00A83C94" w:rsidRDefault="00903212" w:rsidP="00733935">
            <w:pPr>
              <w:spacing w:before="0" w:line="276" w:lineRule="auto"/>
              <w:ind w:firstLine="0"/>
              <w:jc w:val="center"/>
              <w:rPr>
                <w:b w:val="0"/>
                <w:bCs/>
                <w:color w:val="FFFFFF" w:themeColor="background1"/>
                <w:sz w:val="18"/>
                <w:szCs w:val="18"/>
                <w:lang w:val="en-US"/>
              </w:rPr>
            </w:pPr>
            <w:r w:rsidRPr="00A83C94">
              <w:rPr>
                <w:bCs/>
                <w:color w:val="FFFFFF" w:themeColor="background1"/>
                <w:sz w:val="18"/>
                <w:szCs w:val="18"/>
                <w:lang w:val="hy-AM"/>
              </w:rPr>
              <w:t xml:space="preserve">2021 թվական </w:t>
            </w:r>
            <w:r w:rsidRPr="00A83C94">
              <w:rPr>
                <w:bCs/>
                <w:color w:val="FFFFFF" w:themeColor="background1"/>
                <w:sz w:val="18"/>
                <w:szCs w:val="18"/>
                <w:lang w:val="en-US"/>
              </w:rPr>
              <w:t>հաստատված</w:t>
            </w:r>
          </w:p>
        </w:tc>
        <w:tc>
          <w:tcPr>
            <w:tcW w:w="1454" w:type="dxa"/>
            <w:tcBorders>
              <w:top w:val="single" w:sz="8" w:space="0" w:color="auto"/>
              <w:left w:val="nil"/>
              <w:bottom w:val="single" w:sz="8" w:space="0" w:color="auto"/>
              <w:right w:val="single" w:sz="8" w:space="0" w:color="auto"/>
            </w:tcBorders>
            <w:shd w:val="clear" w:color="auto" w:fill="4F81BD" w:themeFill="accent1"/>
            <w:vAlign w:val="center"/>
          </w:tcPr>
          <w:p w14:paraId="097DBBD3" w14:textId="77777777" w:rsidR="00903212" w:rsidRPr="00A83C94" w:rsidRDefault="00903212" w:rsidP="00733935">
            <w:pPr>
              <w:spacing w:before="0" w:line="276" w:lineRule="auto"/>
              <w:ind w:firstLine="0"/>
              <w:jc w:val="center"/>
              <w:rPr>
                <w:b w:val="0"/>
                <w:bCs/>
                <w:color w:val="FFFFFF" w:themeColor="background1"/>
                <w:sz w:val="18"/>
                <w:szCs w:val="18"/>
                <w:lang w:val="hy-AM"/>
              </w:rPr>
            </w:pPr>
            <w:r w:rsidRPr="00A83C94">
              <w:rPr>
                <w:bCs/>
                <w:color w:val="FFFFFF" w:themeColor="background1"/>
                <w:sz w:val="18"/>
                <w:szCs w:val="18"/>
                <w:lang w:val="hy-AM"/>
              </w:rPr>
              <w:t>202</w:t>
            </w:r>
            <w:r w:rsidRPr="00A83C94">
              <w:rPr>
                <w:bCs/>
                <w:color w:val="FFFFFF" w:themeColor="background1"/>
                <w:sz w:val="18"/>
                <w:szCs w:val="18"/>
                <w:lang w:val="en-US"/>
              </w:rPr>
              <w:t>2</w:t>
            </w:r>
            <w:r w:rsidRPr="00A83C94">
              <w:rPr>
                <w:bCs/>
                <w:color w:val="FFFFFF" w:themeColor="background1"/>
                <w:sz w:val="18"/>
                <w:szCs w:val="18"/>
                <w:lang w:val="hy-AM"/>
              </w:rPr>
              <w:t xml:space="preserve"> թվական նախագիծ</w:t>
            </w:r>
          </w:p>
        </w:tc>
      </w:tr>
      <w:tr w:rsidR="00903212" w:rsidRPr="00A83C94" w14:paraId="6DF49D35" w14:textId="77777777" w:rsidTr="00733935">
        <w:trPr>
          <w:trHeight w:val="420"/>
        </w:trPr>
        <w:tc>
          <w:tcPr>
            <w:tcW w:w="2960" w:type="dxa"/>
            <w:tcBorders>
              <w:top w:val="nil"/>
              <w:left w:val="single" w:sz="8" w:space="0" w:color="auto"/>
              <w:bottom w:val="single" w:sz="4" w:space="0" w:color="auto"/>
              <w:right w:val="single" w:sz="4" w:space="0" w:color="auto"/>
            </w:tcBorders>
            <w:shd w:val="clear" w:color="auto" w:fill="DBE5F1" w:themeFill="accent1" w:themeFillTint="33"/>
            <w:noWrap/>
            <w:vAlign w:val="center"/>
            <w:hideMark/>
          </w:tcPr>
          <w:p w14:paraId="580A9896" w14:textId="77777777" w:rsidR="00903212" w:rsidRPr="00A83C94" w:rsidRDefault="00903212" w:rsidP="00733935">
            <w:pPr>
              <w:spacing w:before="0" w:line="276" w:lineRule="auto"/>
              <w:ind w:firstLine="0"/>
              <w:jc w:val="left"/>
              <w:rPr>
                <w:b w:val="0"/>
                <w:bCs/>
                <w:color w:val="000000"/>
                <w:sz w:val="20"/>
                <w:szCs w:val="20"/>
                <w:lang w:val="hy-AM"/>
              </w:rPr>
            </w:pPr>
            <w:r w:rsidRPr="00A83C94">
              <w:rPr>
                <w:bCs/>
                <w:color w:val="000000"/>
                <w:sz w:val="20"/>
                <w:szCs w:val="20"/>
                <w:lang w:val="hy-AM"/>
              </w:rPr>
              <w:t>ԸՆԴԱՄԵՆԸ</w:t>
            </w:r>
          </w:p>
        </w:tc>
        <w:tc>
          <w:tcPr>
            <w:tcW w:w="1363" w:type="dxa"/>
            <w:tcBorders>
              <w:top w:val="nil"/>
              <w:left w:val="nil"/>
              <w:bottom w:val="single" w:sz="4" w:space="0" w:color="auto"/>
              <w:right w:val="single" w:sz="4" w:space="0" w:color="auto"/>
            </w:tcBorders>
            <w:shd w:val="clear" w:color="auto" w:fill="DBE5F1" w:themeFill="accent1" w:themeFillTint="33"/>
            <w:vAlign w:val="center"/>
          </w:tcPr>
          <w:p w14:paraId="298C8703"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 xml:space="preserve">60,167,365.9 </w:t>
            </w:r>
          </w:p>
        </w:tc>
        <w:tc>
          <w:tcPr>
            <w:tcW w:w="1423" w:type="dxa"/>
            <w:tcBorders>
              <w:top w:val="nil"/>
              <w:left w:val="nil"/>
              <w:bottom w:val="single" w:sz="4" w:space="0" w:color="auto"/>
              <w:right w:val="single" w:sz="4" w:space="0" w:color="auto"/>
            </w:tcBorders>
            <w:shd w:val="clear" w:color="auto" w:fill="DBE5F1" w:themeFill="accent1" w:themeFillTint="33"/>
            <w:vAlign w:val="center"/>
          </w:tcPr>
          <w:p w14:paraId="0F2453BC"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 xml:space="preserve">67,606,297.1 </w:t>
            </w:r>
          </w:p>
        </w:tc>
        <w:tc>
          <w:tcPr>
            <w:tcW w:w="1377" w:type="dxa"/>
            <w:tcBorders>
              <w:top w:val="nil"/>
              <w:left w:val="nil"/>
              <w:bottom w:val="single" w:sz="4" w:space="0" w:color="auto"/>
              <w:right w:val="single" w:sz="4" w:space="0" w:color="auto"/>
            </w:tcBorders>
            <w:shd w:val="clear" w:color="auto" w:fill="DBE5F1" w:themeFill="accent1" w:themeFillTint="33"/>
            <w:vAlign w:val="center"/>
          </w:tcPr>
          <w:p w14:paraId="7FAD1E5F"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82,364,940.</w:t>
            </w:r>
            <w:r w:rsidRPr="00A83C94">
              <w:rPr>
                <w:bCs/>
                <w:color w:val="000000"/>
                <w:sz w:val="18"/>
                <w:szCs w:val="18"/>
                <w:lang w:val="en-US"/>
              </w:rPr>
              <w:t>5</w:t>
            </w:r>
            <w:r w:rsidRPr="00A83C94">
              <w:rPr>
                <w:bCs/>
                <w:color w:val="000000"/>
                <w:sz w:val="18"/>
                <w:szCs w:val="18"/>
              </w:rPr>
              <w:t xml:space="preserve"> </w:t>
            </w:r>
          </w:p>
        </w:tc>
        <w:tc>
          <w:tcPr>
            <w:tcW w:w="1421" w:type="dxa"/>
            <w:tcBorders>
              <w:top w:val="nil"/>
              <w:left w:val="nil"/>
              <w:bottom w:val="single" w:sz="4" w:space="0" w:color="auto"/>
              <w:right w:val="single" w:sz="4" w:space="0" w:color="auto"/>
            </w:tcBorders>
            <w:shd w:val="clear" w:color="auto" w:fill="DBE5F1" w:themeFill="accent1" w:themeFillTint="33"/>
            <w:vAlign w:val="center"/>
          </w:tcPr>
          <w:p w14:paraId="2F7322DD" w14:textId="77777777" w:rsidR="00903212" w:rsidRPr="00A83C94" w:rsidRDefault="00903212" w:rsidP="00733935">
            <w:pPr>
              <w:spacing w:before="0" w:line="276" w:lineRule="auto"/>
              <w:ind w:firstLine="0"/>
              <w:jc w:val="center"/>
              <w:rPr>
                <w:b w:val="0"/>
                <w:bCs/>
                <w:color w:val="000000"/>
                <w:sz w:val="18"/>
                <w:szCs w:val="18"/>
              </w:rPr>
            </w:pPr>
            <w:r w:rsidRPr="00A83C94">
              <w:rPr>
                <w:bCs/>
                <w:color w:val="000000"/>
                <w:sz w:val="18"/>
                <w:szCs w:val="18"/>
              </w:rPr>
              <w:t>82,519,</w:t>
            </w:r>
            <w:r w:rsidRPr="00A83C94">
              <w:rPr>
                <w:bCs/>
                <w:color w:val="000000"/>
                <w:sz w:val="18"/>
                <w:szCs w:val="18"/>
                <w:lang w:val="en-US"/>
              </w:rPr>
              <w:t>712</w:t>
            </w:r>
            <w:r w:rsidRPr="00A83C94">
              <w:rPr>
                <w:bCs/>
                <w:color w:val="000000"/>
                <w:sz w:val="18"/>
                <w:szCs w:val="18"/>
              </w:rPr>
              <w:t>.</w:t>
            </w:r>
            <w:r w:rsidRPr="00A83C94">
              <w:rPr>
                <w:bCs/>
                <w:color w:val="000000"/>
                <w:sz w:val="18"/>
                <w:szCs w:val="18"/>
                <w:lang w:val="en-US"/>
              </w:rPr>
              <w:t>5</w:t>
            </w:r>
            <w:r w:rsidRPr="00A83C94">
              <w:rPr>
                <w:bCs/>
                <w:color w:val="000000"/>
                <w:sz w:val="18"/>
                <w:szCs w:val="18"/>
              </w:rPr>
              <w:t xml:space="preserve"> </w:t>
            </w:r>
          </w:p>
        </w:tc>
        <w:tc>
          <w:tcPr>
            <w:tcW w:w="1454" w:type="dxa"/>
            <w:tcBorders>
              <w:top w:val="nil"/>
              <w:left w:val="nil"/>
              <w:bottom w:val="single" w:sz="4" w:space="0" w:color="auto"/>
              <w:right w:val="single" w:sz="4" w:space="0" w:color="auto"/>
            </w:tcBorders>
            <w:shd w:val="clear" w:color="auto" w:fill="DBE5F1" w:themeFill="accent1" w:themeFillTint="33"/>
            <w:vAlign w:val="center"/>
          </w:tcPr>
          <w:p w14:paraId="6F0D57F7" w14:textId="63E565CA" w:rsidR="00903212" w:rsidRPr="00A83C94" w:rsidRDefault="00903212" w:rsidP="00124E5B">
            <w:pPr>
              <w:spacing w:before="0" w:line="276" w:lineRule="auto"/>
              <w:ind w:firstLine="0"/>
              <w:jc w:val="center"/>
              <w:rPr>
                <w:bCs/>
                <w:color w:val="000000"/>
                <w:sz w:val="18"/>
                <w:szCs w:val="18"/>
                <w:lang w:val="en-US"/>
              </w:rPr>
            </w:pPr>
            <w:r w:rsidRPr="00A83C94">
              <w:rPr>
                <w:bCs/>
                <w:color w:val="000000"/>
                <w:sz w:val="18"/>
                <w:szCs w:val="18"/>
                <w:lang w:val="en-US"/>
              </w:rPr>
              <w:t>91</w:t>
            </w:r>
            <w:r w:rsidRPr="00A83C94">
              <w:rPr>
                <w:bCs/>
                <w:color w:val="000000"/>
                <w:sz w:val="18"/>
                <w:szCs w:val="18"/>
              </w:rPr>
              <w:t>,</w:t>
            </w:r>
            <w:r w:rsidRPr="00A83C94">
              <w:rPr>
                <w:bCs/>
                <w:color w:val="000000"/>
                <w:sz w:val="18"/>
                <w:szCs w:val="18"/>
                <w:lang w:val="hy-AM"/>
              </w:rPr>
              <w:t>246</w:t>
            </w:r>
            <w:r w:rsidRPr="00A83C94">
              <w:rPr>
                <w:bCs/>
                <w:color w:val="000000"/>
                <w:sz w:val="18"/>
                <w:szCs w:val="18"/>
              </w:rPr>
              <w:t>,</w:t>
            </w:r>
            <w:r w:rsidR="00124E5B">
              <w:rPr>
                <w:bCs/>
                <w:color w:val="000000"/>
                <w:sz w:val="18"/>
                <w:szCs w:val="18"/>
                <w:lang w:val="en-US"/>
              </w:rPr>
              <w:t>745</w:t>
            </w:r>
            <w:r w:rsidRPr="00A83C94">
              <w:rPr>
                <w:bCs/>
                <w:color w:val="000000"/>
                <w:sz w:val="18"/>
                <w:szCs w:val="18"/>
                <w:lang w:val="en-US"/>
              </w:rPr>
              <w:t>.</w:t>
            </w:r>
            <w:r w:rsidR="00124E5B">
              <w:rPr>
                <w:bCs/>
                <w:color w:val="000000"/>
                <w:sz w:val="18"/>
                <w:szCs w:val="18"/>
                <w:lang w:val="en-US"/>
              </w:rPr>
              <w:t>4</w:t>
            </w:r>
          </w:p>
        </w:tc>
      </w:tr>
      <w:tr w:rsidR="00903212" w:rsidRPr="00A83C94" w14:paraId="12D11B95" w14:textId="77777777" w:rsidTr="00733935">
        <w:trPr>
          <w:trHeight w:val="540"/>
        </w:trPr>
        <w:tc>
          <w:tcPr>
            <w:tcW w:w="2960" w:type="dxa"/>
            <w:tcBorders>
              <w:top w:val="nil"/>
              <w:left w:val="single" w:sz="8" w:space="0" w:color="auto"/>
              <w:bottom w:val="single" w:sz="4" w:space="0" w:color="auto"/>
              <w:right w:val="single" w:sz="4" w:space="0" w:color="auto"/>
            </w:tcBorders>
            <w:shd w:val="clear" w:color="auto" w:fill="FFFFFF" w:themeFill="background1"/>
            <w:vAlign w:val="center"/>
            <w:hideMark/>
          </w:tcPr>
          <w:p w14:paraId="5C3FEB78" w14:textId="77777777" w:rsidR="00903212" w:rsidRPr="00A83C94" w:rsidRDefault="00903212" w:rsidP="00733935">
            <w:pPr>
              <w:spacing w:before="0" w:line="276" w:lineRule="auto"/>
              <w:ind w:firstLine="0"/>
              <w:jc w:val="left"/>
              <w:rPr>
                <w:bCs/>
                <w:sz w:val="20"/>
                <w:szCs w:val="20"/>
              </w:rPr>
            </w:pPr>
            <w:r w:rsidRPr="00A83C94">
              <w:rPr>
                <w:bCs/>
                <w:sz w:val="20"/>
                <w:szCs w:val="20"/>
              </w:rPr>
              <w:t>Պետական բյուջեից համայնքների բյուջեներին ֆինանսական համահարթեցման սկզբունքով տրվող դոտացիաներ, որից</w:t>
            </w:r>
          </w:p>
        </w:tc>
        <w:tc>
          <w:tcPr>
            <w:tcW w:w="1363" w:type="dxa"/>
            <w:tcBorders>
              <w:top w:val="nil"/>
              <w:left w:val="nil"/>
              <w:bottom w:val="single" w:sz="4" w:space="0" w:color="auto"/>
              <w:right w:val="single" w:sz="4" w:space="0" w:color="auto"/>
            </w:tcBorders>
            <w:shd w:val="clear" w:color="auto" w:fill="FFFFFF" w:themeFill="background1"/>
            <w:noWrap/>
            <w:vAlign w:val="center"/>
          </w:tcPr>
          <w:p w14:paraId="1B39461E"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48,232,000.0 </w:t>
            </w:r>
          </w:p>
        </w:tc>
        <w:tc>
          <w:tcPr>
            <w:tcW w:w="1423" w:type="dxa"/>
            <w:tcBorders>
              <w:top w:val="nil"/>
              <w:left w:val="nil"/>
              <w:bottom w:val="single" w:sz="4" w:space="0" w:color="auto"/>
              <w:right w:val="single" w:sz="4" w:space="0" w:color="auto"/>
            </w:tcBorders>
            <w:shd w:val="clear" w:color="auto" w:fill="FFFFFF" w:themeFill="background1"/>
            <w:noWrap/>
            <w:vAlign w:val="center"/>
          </w:tcPr>
          <w:p w14:paraId="7F43B979"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51,071,361.3 </w:t>
            </w:r>
          </w:p>
        </w:tc>
        <w:tc>
          <w:tcPr>
            <w:tcW w:w="1377" w:type="dxa"/>
            <w:tcBorders>
              <w:top w:val="nil"/>
              <w:left w:val="nil"/>
              <w:bottom w:val="single" w:sz="4" w:space="0" w:color="auto"/>
              <w:right w:val="single" w:sz="4" w:space="0" w:color="auto"/>
            </w:tcBorders>
            <w:shd w:val="clear" w:color="auto" w:fill="FFFFFF" w:themeFill="background1"/>
            <w:noWrap/>
            <w:vAlign w:val="center"/>
          </w:tcPr>
          <w:p w14:paraId="642F4939" w14:textId="77777777" w:rsidR="00903212" w:rsidRPr="00A83C94" w:rsidRDefault="00903212" w:rsidP="00733935">
            <w:pPr>
              <w:spacing w:before="0" w:line="276" w:lineRule="auto"/>
              <w:ind w:firstLine="0"/>
              <w:jc w:val="right"/>
              <w:rPr>
                <w:sz w:val="18"/>
                <w:szCs w:val="18"/>
              </w:rPr>
            </w:pPr>
            <w:r w:rsidRPr="00A83C94">
              <w:rPr>
                <w:sz w:val="18"/>
                <w:szCs w:val="18"/>
              </w:rPr>
              <w:t xml:space="preserve">55,378,535.0 </w:t>
            </w:r>
          </w:p>
        </w:tc>
        <w:tc>
          <w:tcPr>
            <w:tcW w:w="1421" w:type="dxa"/>
            <w:tcBorders>
              <w:top w:val="nil"/>
              <w:left w:val="nil"/>
              <w:bottom w:val="single" w:sz="4" w:space="0" w:color="auto"/>
              <w:right w:val="single" w:sz="4" w:space="0" w:color="auto"/>
            </w:tcBorders>
            <w:shd w:val="clear" w:color="auto" w:fill="FFFFFF" w:themeFill="background1"/>
            <w:noWrap/>
            <w:vAlign w:val="center"/>
          </w:tcPr>
          <w:p w14:paraId="0518E9B3" w14:textId="77777777" w:rsidR="00903212" w:rsidRPr="00A83C94" w:rsidRDefault="00903212" w:rsidP="00733935">
            <w:pPr>
              <w:spacing w:before="0" w:line="276" w:lineRule="auto"/>
              <w:ind w:firstLine="0"/>
              <w:jc w:val="right"/>
              <w:rPr>
                <w:sz w:val="18"/>
                <w:szCs w:val="18"/>
              </w:rPr>
            </w:pPr>
            <w:r w:rsidRPr="00A83C94">
              <w:rPr>
                <w:sz w:val="18"/>
                <w:szCs w:val="18"/>
              </w:rPr>
              <w:t xml:space="preserve">64,596,984.0 </w:t>
            </w:r>
          </w:p>
        </w:tc>
        <w:tc>
          <w:tcPr>
            <w:tcW w:w="1454" w:type="dxa"/>
            <w:tcBorders>
              <w:top w:val="nil"/>
              <w:left w:val="nil"/>
              <w:bottom w:val="single" w:sz="4" w:space="0" w:color="auto"/>
              <w:right w:val="single" w:sz="8" w:space="0" w:color="auto"/>
            </w:tcBorders>
            <w:shd w:val="clear" w:color="auto" w:fill="FFFFFF" w:themeFill="background1"/>
            <w:noWrap/>
            <w:vAlign w:val="center"/>
          </w:tcPr>
          <w:p w14:paraId="27CA3146" w14:textId="77777777" w:rsidR="00903212" w:rsidRPr="00A83C94" w:rsidRDefault="00903212" w:rsidP="00733935">
            <w:pPr>
              <w:spacing w:before="0" w:line="276" w:lineRule="auto"/>
              <w:ind w:firstLine="0"/>
              <w:jc w:val="right"/>
              <w:rPr>
                <w:sz w:val="18"/>
                <w:szCs w:val="18"/>
                <w:lang w:val="en-US"/>
              </w:rPr>
            </w:pPr>
            <w:r w:rsidRPr="00A83C94">
              <w:rPr>
                <w:sz w:val="18"/>
                <w:szCs w:val="18"/>
                <w:lang w:val="en-US"/>
              </w:rPr>
              <w:t>64,349,123.0</w:t>
            </w:r>
          </w:p>
        </w:tc>
      </w:tr>
      <w:tr w:rsidR="00903212" w:rsidRPr="00A83C94" w14:paraId="259C3E8F" w14:textId="77777777" w:rsidTr="00733935">
        <w:trPr>
          <w:trHeight w:val="54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7B1BCBBD"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Օրենքների կիրարկման արդյունքում համայնքների բյուջեների կորուստների փոխհատուցում</w:t>
            </w:r>
          </w:p>
        </w:tc>
        <w:tc>
          <w:tcPr>
            <w:tcW w:w="1363" w:type="dxa"/>
            <w:tcBorders>
              <w:top w:val="nil"/>
              <w:left w:val="nil"/>
              <w:bottom w:val="single" w:sz="4" w:space="0" w:color="auto"/>
              <w:right w:val="single" w:sz="4" w:space="0" w:color="auto"/>
            </w:tcBorders>
            <w:shd w:val="clear" w:color="000000" w:fill="DCE6F1"/>
            <w:noWrap/>
            <w:vAlign w:val="center"/>
          </w:tcPr>
          <w:p w14:paraId="7463FCBB"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67,892.9 </w:t>
            </w:r>
          </w:p>
        </w:tc>
        <w:tc>
          <w:tcPr>
            <w:tcW w:w="1423" w:type="dxa"/>
            <w:tcBorders>
              <w:top w:val="nil"/>
              <w:left w:val="nil"/>
              <w:bottom w:val="single" w:sz="4" w:space="0" w:color="auto"/>
              <w:right w:val="single" w:sz="4" w:space="0" w:color="auto"/>
            </w:tcBorders>
            <w:shd w:val="clear" w:color="000000" w:fill="DCE6F1"/>
            <w:noWrap/>
            <w:vAlign w:val="center"/>
          </w:tcPr>
          <w:p w14:paraId="3AE38181"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77,853.5 </w:t>
            </w:r>
          </w:p>
        </w:tc>
        <w:tc>
          <w:tcPr>
            <w:tcW w:w="1377" w:type="dxa"/>
            <w:tcBorders>
              <w:top w:val="nil"/>
              <w:left w:val="nil"/>
              <w:bottom w:val="single" w:sz="4" w:space="0" w:color="auto"/>
              <w:right w:val="single" w:sz="4" w:space="0" w:color="auto"/>
            </w:tcBorders>
            <w:shd w:val="clear" w:color="000000" w:fill="DCE6F1"/>
            <w:noWrap/>
            <w:vAlign w:val="center"/>
          </w:tcPr>
          <w:p w14:paraId="44EBF72C"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66,273.3 </w:t>
            </w:r>
          </w:p>
        </w:tc>
        <w:tc>
          <w:tcPr>
            <w:tcW w:w="1421" w:type="dxa"/>
            <w:tcBorders>
              <w:top w:val="nil"/>
              <w:left w:val="nil"/>
              <w:bottom w:val="single" w:sz="4" w:space="0" w:color="auto"/>
              <w:right w:val="single" w:sz="4" w:space="0" w:color="auto"/>
            </w:tcBorders>
            <w:shd w:val="clear" w:color="000000" w:fill="DCE6F1"/>
            <w:noWrap/>
            <w:vAlign w:val="center"/>
          </w:tcPr>
          <w:p w14:paraId="2B762D80"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59,819.5 </w:t>
            </w:r>
          </w:p>
        </w:tc>
        <w:tc>
          <w:tcPr>
            <w:tcW w:w="1454" w:type="dxa"/>
            <w:tcBorders>
              <w:top w:val="nil"/>
              <w:left w:val="nil"/>
              <w:bottom w:val="single" w:sz="4" w:space="0" w:color="auto"/>
              <w:right w:val="single" w:sz="8" w:space="0" w:color="auto"/>
            </w:tcBorders>
            <w:shd w:val="clear" w:color="000000" w:fill="DCE6F1"/>
            <w:noWrap/>
            <w:vAlign w:val="center"/>
          </w:tcPr>
          <w:p w14:paraId="6FBC4B28" w14:textId="77777777" w:rsidR="00903212" w:rsidRPr="00A83C94" w:rsidRDefault="00903212" w:rsidP="00733935">
            <w:pPr>
              <w:spacing w:before="0" w:line="276" w:lineRule="auto"/>
              <w:ind w:firstLine="0"/>
              <w:jc w:val="right"/>
              <w:rPr>
                <w:b w:val="0"/>
                <w:iCs/>
                <w:sz w:val="18"/>
                <w:szCs w:val="18"/>
                <w:lang w:val="en-US"/>
              </w:rPr>
            </w:pPr>
            <w:r w:rsidRPr="00A83C94">
              <w:rPr>
                <w:b w:val="0"/>
                <w:iCs/>
                <w:sz w:val="18"/>
                <w:szCs w:val="18"/>
                <w:lang w:val="en-US"/>
              </w:rPr>
              <w:t>50,248.3</w:t>
            </w:r>
          </w:p>
        </w:tc>
      </w:tr>
      <w:tr w:rsidR="00903212" w:rsidRPr="00A83C94" w14:paraId="51792E9B" w14:textId="77777777" w:rsidTr="00733935">
        <w:trPr>
          <w:trHeight w:val="270"/>
        </w:trPr>
        <w:tc>
          <w:tcPr>
            <w:tcW w:w="2960" w:type="dxa"/>
            <w:tcBorders>
              <w:top w:val="nil"/>
              <w:left w:val="single" w:sz="8" w:space="0" w:color="auto"/>
              <w:bottom w:val="single" w:sz="4" w:space="0" w:color="auto"/>
              <w:right w:val="single" w:sz="4" w:space="0" w:color="auto"/>
            </w:tcBorders>
            <w:shd w:val="clear" w:color="auto" w:fill="FFFFFF" w:themeFill="background1"/>
            <w:vAlign w:val="center"/>
            <w:hideMark/>
          </w:tcPr>
          <w:p w14:paraId="7618C5B1" w14:textId="77777777" w:rsidR="00903212" w:rsidRPr="00A83C94" w:rsidRDefault="00903212" w:rsidP="00733935">
            <w:pPr>
              <w:spacing w:before="0" w:line="276" w:lineRule="auto"/>
              <w:ind w:firstLine="0"/>
              <w:jc w:val="left"/>
              <w:rPr>
                <w:b w:val="0"/>
                <w:bCs/>
                <w:sz w:val="20"/>
                <w:szCs w:val="20"/>
              </w:rPr>
            </w:pPr>
            <w:r w:rsidRPr="00A83C94">
              <w:rPr>
                <w:bCs/>
                <w:sz w:val="20"/>
                <w:szCs w:val="20"/>
              </w:rPr>
              <w:t>Այլ ընթացիկ դրամաշնորհներ համայնքներին, որից</w:t>
            </w:r>
          </w:p>
        </w:tc>
        <w:tc>
          <w:tcPr>
            <w:tcW w:w="1363" w:type="dxa"/>
            <w:tcBorders>
              <w:top w:val="nil"/>
              <w:left w:val="nil"/>
              <w:bottom w:val="single" w:sz="4" w:space="0" w:color="auto"/>
              <w:right w:val="single" w:sz="4" w:space="0" w:color="auto"/>
            </w:tcBorders>
            <w:shd w:val="clear" w:color="auto" w:fill="FFFFFF" w:themeFill="background1"/>
            <w:noWrap/>
            <w:vAlign w:val="center"/>
          </w:tcPr>
          <w:p w14:paraId="2F651E06"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2,168.4 </w:t>
            </w:r>
          </w:p>
        </w:tc>
        <w:tc>
          <w:tcPr>
            <w:tcW w:w="1423" w:type="dxa"/>
            <w:tcBorders>
              <w:top w:val="nil"/>
              <w:left w:val="nil"/>
              <w:bottom w:val="single" w:sz="4" w:space="0" w:color="auto"/>
              <w:right w:val="single" w:sz="8" w:space="0" w:color="auto"/>
            </w:tcBorders>
            <w:shd w:val="clear" w:color="auto" w:fill="FFFFFF" w:themeFill="background1"/>
            <w:noWrap/>
            <w:vAlign w:val="center"/>
          </w:tcPr>
          <w:p w14:paraId="553D966F"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2,242.0 </w:t>
            </w:r>
          </w:p>
        </w:tc>
        <w:tc>
          <w:tcPr>
            <w:tcW w:w="1377" w:type="dxa"/>
            <w:tcBorders>
              <w:top w:val="nil"/>
              <w:left w:val="single" w:sz="4" w:space="0" w:color="auto"/>
              <w:bottom w:val="single" w:sz="4" w:space="0" w:color="auto"/>
              <w:right w:val="single" w:sz="8" w:space="0" w:color="auto"/>
            </w:tcBorders>
            <w:shd w:val="clear" w:color="auto" w:fill="FFFFFF" w:themeFill="background1"/>
            <w:noWrap/>
            <w:vAlign w:val="center"/>
          </w:tcPr>
          <w:p w14:paraId="36C0FA64"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          3,372,222.2 </w:t>
            </w:r>
          </w:p>
          <w:p w14:paraId="24528E8B" w14:textId="77777777" w:rsidR="00903212" w:rsidRPr="00A83C94" w:rsidRDefault="00903212" w:rsidP="00733935">
            <w:pPr>
              <w:spacing w:before="0" w:line="276" w:lineRule="auto"/>
              <w:ind w:firstLine="0"/>
              <w:jc w:val="right"/>
              <w:rPr>
                <w:iCs/>
                <w:sz w:val="18"/>
                <w:szCs w:val="18"/>
              </w:rPr>
            </w:pPr>
          </w:p>
        </w:tc>
        <w:tc>
          <w:tcPr>
            <w:tcW w:w="1421" w:type="dxa"/>
            <w:tcBorders>
              <w:top w:val="nil"/>
              <w:left w:val="single" w:sz="4" w:space="0" w:color="auto"/>
              <w:bottom w:val="single" w:sz="4" w:space="0" w:color="auto"/>
              <w:right w:val="single" w:sz="8" w:space="0" w:color="auto"/>
            </w:tcBorders>
            <w:shd w:val="clear" w:color="auto" w:fill="FFFFFF" w:themeFill="background1"/>
            <w:noWrap/>
            <w:vAlign w:val="center"/>
          </w:tcPr>
          <w:p w14:paraId="0E333787" w14:textId="77777777" w:rsidR="00903212" w:rsidRPr="00A83C94" w:rsidRDefault="00903212" w:rsidP="00733935">
            <w:pPr>
              <w:spacing w:before="0" w:line="276" w:lineRule="auto"/>
              <w:ind w:firstLine="0"/>
              <w:jc w:val="right"/>
              <w:rPr>
                <w:iCs/>
                <w:sz w:val="18"/>
                <w:szCs w:val="18"/>
              </w:rPr>
            </w:pPr>
            <w:r w:rsidRPr="00A83C94">
              <w:rPr>
                <w:iCs/>
                <w:sz w:val="18"/>
                <w:szCs w:val="18"/>
              </w:rPr>
              <w:t xml:space="preserve">              29,727.2 </w:t>
            </w:r>
          </w:p>
          <w:p w14:paraId="5DE5DF07" w14:textId="77777777" w:rsidR="00903212" w:rsidRPr="00A83C94" w:rsidRDefault="00903212" w:rsidP="00733935">
            <w:pPr>
              <w:spacing w:before="0" w:line="276" w:lineRule="auto"/>
              <w:ind w:firstLine="0"/>
              <w:jc w:val="right"/>
              <w:rPr>
                <w:iCs/>
                <w:sz w:val="18"/>
                <w:szCs w:val="18"/>
              </w:rPr>
            </w:pPr>
          </w:p>
        </w:tc>
        <w:tc>
          <w:tcPr>
            <w:tcW w:w="1454" w:type="dxa"/>
            <w:tcBorders>
              <w:top w:val="nil"/>
              <w:left w:val="single" w:sz="4" w:space="0" w:color="auto"/>
              <w:bottom w:val="single" w:sz="4" w:space="0" w:color="auto"/>
              <w:right w:val="single" w:sz="8" w:space="0" w:color="auto"/>
            </w:tcBorders>
            <w:shd w:val="clear" w:color="auto" w:fill="FFFFFF" w:themeFill="background1"/>
            <w:noWrap/>
            <w:vAlign w:val="center"/>
          </w:tcPr>
          <w:p w14:paraId="56A9F718" w14:textId="77777777" w:rsidR="00903212" w:rsidRPr="00A83C94" w:rsidRDefault="00903212" w:rsidP="00733935">
            <w:pPr>
              <w:spacing w:before="0" w:line="276" w:lineRule="auto"/>
              <w:ind w:firstLine="0"/>
              <w:jc w:val="right"/>
              <w:rPr>
                <w:iCs/>
                <w:sz w:val="18"/>
                <w:szCs w:val="18"/>
              </w:rPr>
            </w:pPr>
            <w:r w:rsidRPr="00A83C94">
              <w:rPr>
                <w:iCs/>
                <w:sz w:val="18"/>
                <w:szCs w:val="18"/>
                <w:lang w:val="en-US"/>
              </w:rPr>
              <w:t>353</w:t>
            </w:r>
            <w:r w:rsidRPr="00A83C94">
              <w:rPr>
                <w:iCs/>
                <w:sz w:val="18"/>
                <w:szCs w:val="18"/>
              </w:rPr>
              <w:t>,</w:t>
            </w:r>
            <w:r w:rsidRPr="00A83C94">
              <w:rPr>
                <w:iCs/>
                <w:sz w:val="18"/>
                <w:szCs w:val="18"/>
                <w:lang w:val="en-US"/>
              </w:rPr>
              <w:t>588</w:t>
            </w:r>
            <w:r w:rsidRPr="00A83C94">
              <w:rPr>
                <w:iCs/>
                <w:sz w:val="18"/>
                <w:szCs w:val="18"/>
              </w:rPr>
              <w:t>.</w:t>
            </w:r>
            <w:r w:rsidRPr="00A83C94">
              <w:rPr>
                <w:iCs/>
                <w:sz w:val="18"/>
                <w:szCs w:val="18"/>
                <w:lang w:val="en-US"/>
              </w:rPr>
              <w:t>7</w:t>
            </w:r>
          </w:p>
        </w:tc>
      </w:tr>
      <w:tr w:rsidR="00903212" w:rsidRPr="00A83C94" w14:paraId="667CA4AD" w14:textId="77777777" w:rsidTr="00733935">
        <w:trPr>
          <w:trHeight w:val="75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30FDD6D0"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«Նվազագույն ամսական աշխատավարձի մասին» օրենքի կիրարկմամբ պայմանավորված ֆինանսական փոխհա</w:t>
            </w:r>
            <w:r w:rsidRPr="00A83C94">
              <w:rPr>
                <w:b w:val="0"/>
                <w:i/>
                <w:iCs/>
                <w:sz w:val="20"/>
                <w:szCs w:val="20"/>
              </w:rPr>
              <w:softHyphen/>
              <w:t>տուցում տեղական ինքնակառավարման մարմիններին</w:t>
            </w:r>
          </w:p>
        </w:tc>
        <w:tc>
          <w:tcPr>
            <w:tcW w:w="1363" w:type="dxa"/>
            <w:tcBorders>
              <w:top w:val="nil"/>
              <w:left w:val="nil"/>
              <w:bottom w:val="single" w:sz="4" w:space="0" w:color="auto"/>
              <w:right w:val="single" w:sz="4" w:space="0" w:color="auto"/>
            </w:tcBorders>
            <w:shd w:val="clear" w:color="000000" w:fill="DCE6F1"/>
            <w:noWrap/>
            <w:vAlign w:val="center"/>
            <w:hideMark/>
          </w:tcPr>
          <w:p w14:paraId="1526AFA0" w14:textId="77777777" w:rsidR="00903212" w:rsidRPr="00A83C94" w:rsidRDefault="00903212" w:rsidP="00733935">
            <w:pPr>
              <w:spacing w:before="0" w:line="276" w:lineRule="auto"/>
              <w:ind w:firstLine="0"/>
              <w:jc w:val="right"/>
              <w:rPr>
                <w:b w:val="0"/>
                <w:iCs/>
                <w:sz w:val="18"/>
                <w:szCs w:val="18"/>
              </w:rPr>
            </w:pPr>
            <w:r w:rsidRPr="00A83C94">
              <w:rPr>
                <w:rFonts w:ascii="Calibri" w:hAnsi="Calibri" w:cs="Calibri"/>
                <w:b w:val="0"/>
                <w:iCs/>
                <w:sz w:val="18"/>
                <w:szCs w:val="18"/>
              </w:rPr>
              <w:t> </w:t>
            </w:r>
          </w:p>
        </w:tc>
        <w:tc>
          <w:tcPr>
            <w:tcW w:w="1423" w:type="dxa"/>
            <w:tcBorders>
              <w:top w:val="nil"/>
              <w:left w:val="nil"/>
              <w:bottom w:val="single" w:sz="4" w:space="0" w:color="auto"/>
              <w:right w:val="single" w:sz="4" w:space="0" w:color="auto"/>
            </w:tcBorders>
            <w:shd w:val="clear" w:color="000000" w:fill="DCE6F1"/>
            <w:noWrap/>
            <w:vAlign w:val="center"/>
          </w:tcPr>
          <w:p w14:paraId="082C3A3C" w14:textId="77777777" w:rsidR="00903212" w:rsidRPr="00A83C94" w:rsidRDefault="00903212" w:rsidP="00733935">
            <w:pPr>
              <w:spacing w:before="0" w:line="276" w:lineRule="auto"/>
              <w:ind w:firstLine="0"/>
              <w:jc w:val="right"/>
              <w:rPr>
                <w:b w:val="0"/>
                <w:iCs/>
                <w:sz w:val="18"/>
                <w:szCs w:val="18"/>
              </w:rPr>
            </w:pPr>
            <w:r w:rsidRPr="00A83C94">
              <w:rPr>
                <w:rFonts w:ascii="Calibri" w:hAnsi="Calibri" w:cs="Calibri"/>
                <w:b w:val="0"/>
                <w:iCs/>
                <w:sz w:val="18"/>
                <w:szCs w:val="18"/>
              </w:rPr>
              <w:t> </w:t>
            </w:r>
          </w:p>
        </w:tc>
        <w:tc>
          <w:tcPr>
            <w:tcW w:w="1377" w:type="dxa"/>
            <w:tcBorders>
              <w:top w:val="nil"/>
              <w:left w:val="nil"/>
              <w:bottom w:val="single" w:sz="4" w:space="0" w:color="auto"/>
              <w:right w:val="single" w:sz="4" w:space="0" w:color="auto"/>
            </w:tcBorders>
            <w:shd w:val="clear" w:color="000000" w:fill="DCE6F1"/>
            <w:noWrap/>
            <w:vAlign w:val="center"/>
          </w:tcPr>
          <w:p w14:paraId="23C2D09D" w14:textId="77777777" w:rsidR="00903212" w:rsidRPr="00A83C94" w:rsidRDefault="00903212" w:rsidP="00733935">
            <w:pPr>
              <w:spacing w:before="0" w:line="240" w:lineRule="auto"/>
              <w:ind w:firstLine="0"/>
              <w:contextualSpacing w:val="0"/>
              <w:jc w:val="right"/>
              <w:rPr>
                <w:b w:val="0"/>
                <w:iCs/>
                <w:sz w:val="18"/>
                <w:szCs w:val="18"/>
              </w:rPr>
            </w:pPr>
            <w:r w:rsidRPr="00A83C94">
              <w:rPr>
                <w:b w:val="0"/>
                <w:iCs/>
                <w:sz w:val="18"/>
                <w:szCs w:val="18"/>
              </w:rPr>
              <w:t>3,321,871.7</w:t>
            </w:r>
          </w:p>
          <w:p w14:paraId="03C9CF16" w14:textId="77777777" w:rsidR="00903212" w:rsidRPr="00A83C94" w:rsidRDefault="00903212" w:rsidP="00733935">
            <w:pPr>
              <w:spacing w:before="0" w:line="276" w:lineRule="auto"/>
              <w:ind w:firstLine="0"/>
              <w:jc w:val="right"/>
              <w:rPr>
                <w:b w:val="0"/>
                <w:sz w:val="18"/>
                <w:szCs w:val="18"/>
              </w:rPr>
            </w:pPr>
            <w:r w:rsidRPr="00A83C94">
              <w:rPr>
                <w:b w:val="0"/>
                <w:sz w:val="18"/>
                <w:szCs w:val="18"/>
              </w:rPr>
              <w:t xml:space="preserve"> </w:t>
            </w:r>
          </w:p>
        </w:tc>
        <w:tc>
          <w:tcPr>
            <w:tcW w:w="1421" w:type="dxa"/>
            <w:tcBorders>
              <w:top w:val="nil"/>
              <w:left w:val="nil"/>
              <w:bottom w:val="single" w:sz="4" w:space="0" w:color="auto"/>
              <w:right w:val="single" w:sz="4" w:space="0" w:color="auto"/>
            </w:tcBorders>
            <w:shd w:val="clear" w:color="000000" w:fill="DCE6F1"/>
            <w:noWrap/>
            <w:vAlign w:val="center"/>
          </w:tcPr>
          <w:p w14:paraId="701A2D5F" w14:textId="77777777" w:rsidR="00903212" w:rsidRPr="00A83C94" w:rsidRDefault="00903212" w:rsidP="00733935">
            <w:pPr>
              <w:spacing w:before="0" w:line="276" w:lineRule="auto"/>
              <w:ind w:firstLine="0"/>
              <w:jc w:val="right"/>
              <w:rPr>
                <w:b w:val="0"/>
                <w:sz w:val="18"/>
                <w:szCs w:val="18"/>
              </w:rPr>
            </w:pPr>
            <w:r w:rsidRPr="00A83C94">
              <w:rPr>
                <w:rFonts w:ascii="Calibri" w:hAnsi="Calibri" w:cs="Calibri"/>
                <w:b w:val="0"/>
                <w:sz w:val="18"/>
                <w:szCs w:val="18"/>
              </w:rPr>
              <w:t> </w:t>
            </w:r>
          </w:p>
        </w:tc>
        <w:tc>
          <w:tcPr>
            <w:tcW w:w="1454" w:type="dxa"/>
            <w:tcBorders>
              <w:top w:val="nil"/>
              <w:left w:val="nil"/>
              <w:bottom w:val="single" w:sz="4" w:space="0" w:color="auto"/>
              <w:right w:val="single" w:sz="8" w:space="0" w:color="auto"/>
            </w:tcBorders>
            <w:shd w:val="clear" w:color="000000" w:fill="DCE6F1"/>
            <w:noWrap/>
            <w:vAlign w:val="center"/>
          </w:tcPr>
          <w:p w14:paraId="374B8010" w14:textId="77777777" w:rsidR="00903212" w:rsidRPr="00A83C94" w:rsidRDefault="00903212" w:rsidP="00733935">
            <w:pPr>
              <w:spacing w:before="0" w:line="276" w:lineRule="auto"/>
              <w:ind w:firstLine="0"/>
              <w:jc w:val="right"/>
              <w:rPr>
                <w:b w:val="0"/>
                <w:sz w:val="18"/>
                <w:szCs w:val="18"/>
              </w:rPr>
            </w:pPr>
          </w:p>
        </w:tc>
      </w:tr>
      <w:tr w:rsidR="00903212" w:rsidRPr="00A83C94" w14:paraId="340BACAE" w14:textId="77777777" w:rsidTr="00733935">
        <w:trPr>
          <w:trHeight w:val="270"/>
        </w:trPr>
        <w:tc>
          <w:tcPr>
            <w:tcW w:w="2960" w:type="dxa"/>
            <w:tcBorders>
              <w:top w:val="nil"/>
              <w:left w:val="single" w:sz="8" w:space="0" w:color="auto"/>
              <w:bottom w:val="single" w:sz="4" w:space="0" w:color="auto"/>
              <w:right w:val="single" w:sz="4" w:space="0" w:color="auto"/>
            </w:tcBorders>
            <w:shd w:val="clear" w:color="auto" w:fill="FFFFFF" w:themeFill="background1"/>
            <w:vAlign w:val="center"/>
            <w:hideMark/>
          </w:tcPr>
          <w:p w14:paraId="56C669E5" w14:textId="77777777" w:rsidR="00903212" w:rsidRPr="00A83C94" w:rsidRDefault="00903212" w:rsidP="00733935">
            <w:pPr>
              <w:spacing w:before="0" w:line="276" w:lineRule="auto"/>
              <w:ind w:firstLine="0"/>
              <w:jc w:val="left"/>
              <w:rPr>
                <w:bCs/>
                <w:sz w:val="20"/>
                <w:szCs w:val="20"/>
              </w:rPr>
            </w:pPr>
            <w:r w:rsidRPr="00A83C94">
              <w:rPr>
                <w:bCs/>
                <w:sz w:val="20"/>
                <w:szCs w:val="20"/>
              </w:rPr>
              <w:t>Սուբվենցիաներ համայնքներին, այդ թվում</w:t>
            </w:r>
          </w:p>
        </w:tc>
        <w:tc>
          <w:tcPr>
            <w:tcW w:w="1363" w:type="dxa"/>
            <w:tcBorders>
              <w:top w:val="nil"/>
              <w:left w:val="nil"/>
              <w:bottom w:val="single" w:sz="4" w:space="0" w:color="auto"/>
              <w:right w:val="single" w:sz="4" w:space="0" w:color="auto"/>
            </w:tcBorders>
            <w:shd w:val="clear" w:color="auto" w:fill="FFFFFF" w:themeFill="background1"/>
            <w:noWrap/>
            <w:vAlign w:val="center"/>
          </w:tcPr>
          <w:p w14:paraId="14D9695C"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11,223,599.7 </w:t>
            </w:r>
          </w:p>
        </w:tc>
        <w:tc>
          <w:tcPr>
            <w:tcW w:w="1423" w:type="dxa"/>
            <w:tcBorders>
              <w:top w:val="nil"/>
              <w:left w:val="nil"/>
              <w:bottom w:val="single" w:sz="4" w:space="0" w:color="auto"/>
              <w:right w:val="single" w:sz="4" w:space="0" w:color="auto"/>
            </w:tcBorders>
            <w:shd w:val="clear" w:color="auto" w:fill="FFFFFF" w:themeFill="background1"/>
            <w:noWrap/>
            <w:vAlign w:val="center"/>
          </w:tcPr>
          <w:p w14:paraId="73ABA8DD"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15,801,349.6 </w:t>
            </w:r>
          </w:p>
        </w:tc>
        <w:tc>
          <w:tcPr>
            <w:tcW w:w="1377" w:type="dxa"/>
            <w:tcBorders>
              <w:top w:val="nil"/>
              <w:left w:val="nil"/>
              <w:bottom w:val="single" w:sz="4" w:space="0" w:color="auto"/>
              <w:right w:val="single" w:sz="4" w:space="0" w:color="auto"/>
            </w:tcBorders>
            <w:shd w:val="clear" w:color="auto" w:fill="FFFFFF" w:themeFill="background1"/>
            <w:noWrap/>
            <w:vAlign w:val="center"/>
          </w:tcPr>
          <w:p w14:paraId="1B7A1A34" w14:textId="77777777" w:rsidR="00903212" w:rsidRPr="00A83C94" w:rsidRDefault="00903212" w:rsidP="00733935">
            <w:pPr>
              <w:spacing w:before="0" w:line="276" w:lineRule="auto"/>
              <w:ind w:firstLine="0"/>
              <w:jc w:val="right"/>
              <w:rPr>
                <w:bCs/>
                <w:sz w:val="18"/>
                <w:szCs w:val="18"/>
                <w:lang w:val="en-US"/>
              </w:rPr>
            </w:pPr>
            <w:r w:rsidRPr="00A83C94">
              <w:rPr>
                <w:bCs/>
                <w:sz w:val="18"/>
                <w:szCs w:val="18"/>
                <w:lang w:val="en-US"/>
              </w:rPr>
              <w:t>22,860,028.8</w:t>
            </w:r>
          </w:p>
        </w:tc>
        <w:tc>
          <w:tcPr>
            <w:tcW w:w="1421" w:type="dxa"/>
            <w:tcBorders>
              <w:top w:val="nil"/>
              <w:left w:val="nil"/>
              <w:bottom w:val="single" w:sz="4" w:space="0" w:color="auto"/>
              <w:right w:val="single" w:sz="4" w:space="0" w:color="auto"/>
            </w:tcBorders>
            <w:shd w:val="clear" w:color="auto" w:fill="FFFFFF" w:themeFill="background1"/>
            <w:noWrap/>
            <w:vAlign w:val="center"/>
          </w:tcPr>
          <w:p w14:paraId="364BF05E" w14:textId="77777777" w:rsidR="00903212" w:rsidRPr="00A83C94" w:rsidRDefault="00903212" w:rsidP="00733935">
            <w:pPr>
              <w:spacing w:before="0" w:line="276" w:lineRule="auto"/>
              <w:ind w:firstLine="0"/>
              <w:jc w:val="right"/>
              <w:rPr>
                <w:bCs/>
                <w:sz w:val="18"/>
                <w:szCs w:val="18"/>
              </w:rPr>
            </w:pPr>
            <w:r w:rsidRPr="00A83C94">
              <w:rPr>
                <w:bCs/>
                <w:sz w:val="18"/>
                <w:szCs w:val="18"/>
                <w:lang w:val="en-US"/>
              </w:rPr>
              <w:t>17,093,001.3</w:t>
            </w:r>
            <w:r w:rsidRPr="00A83C94">
              <w:rPr>
                <w:bCs/>
                <w:sz w:val="18"/>
                <w:szCs w:val="18"/>
              </w:rPr>
              <w:t xml:space="preserve"> </w:t>
            </w:r>
          </w:p>
        </w:tc>
        <w:tc>
          <w:tcPr>
            <w:tcW w:w="1454" w:type="dxa"/>
            <w:tcBorders>
              <w:top w:val="nil"/>
              <w:left w:val="nil"/>
              <w:bottom w:val="single" w:sz="4" w:space="0" w:color="auto"/>
              <w:right w:val="single" w:sz="8" w:space="0" w:color="auto"/>
            </w:tcBorders>
            <w:shd w:val="clear" w:color="auto" w:fill="FFFFFF" w:themeFill="background1"/>
            <w:noWrap/>
            <w:vAlign w:val="center"/>
          </w:tcPr>
          <w:p w14:paraId="1A5117D3" w14:textId="77777777" w:rsidR="00903212" w:rsidRPr="00A83C94" w:rsidRDefault="00903212" w:rsidP="00733935">
            <w:pPr>
              <w:spacing w:before="0" w:line="276" w:lineRule="auto"/>
              <w:ind w:firstLine="0"/>
              <w:jc w:val="right"/>
              <w:rPr>
                <w:bCs/>
                <w:sz w:val="18"/>
                <w:szCs w:val="18"/>
                <w:lang w:val="en-US"/>
              </w:rPr>
            </w:pPr>
            <w:r w:rsidRPr="00A83C94">
              <w:rPr>
                <w:bCs/>
                <w:sz w:val="18"/>
                <w:szCs w:val="18"/>
                <w:lang w:val="en-US"/>
              </w:rPr>
              <w:t>25,</w:t>
            </w:r>
            <w:r w:rsidRPr="00A83C94">
              <w:rPr>
                <w:bCs/>
                <w:sz w:val="18"/>
                <w:szCs w:val="18"/>
                <w:lang w:val="hy-AM"/>
              </w:rPr>
              <w:t>388,270.2</w:t>
            </w:r>
          </w:p>
        </w:tc>
      </w:tr>
      <w:tr w:rsidR="00903212" w:rsidRPr="00A83C94" w14:paraId="4573DA8A" w14:textId="77777777" w:rsidTr="00733935">
        <w:trPr>
          <w:trHeight w:val="27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3EEC5D70"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ընթացիկ սուբվենցիաներ</w:t>
            </w:r>
          </w:p>
        </w:tc>
        <w:tc>
          <w:tcPr>
            <w:tcW w:w="1363" w:type="dxa"/>
            <w:tcBorders>
              <w:top w:val="nil"/>
              <w:left w:val="nil"/>
              <w:bottom w:val="single" w:sz="4" w:space="0" w:color="auto"/>
              <w:right w:val="single" w:sz="4" w:space="0" w:color="auto"/>
            </w:tcBorders>
            <w:shd w:val="clear" w:color="000000" w:fill="DCE6F1"/>
            <w:noWrap/>
            <w:vAlign w:val="center"/>
          </w:tcPr>
          <w:p w14:paraId="0CC95D72"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8,677,571.0 </w:t>
            </w:r>
          </w:p>
        </w:tc>
        <w:tc>
          <w:tcPr>
            <w:tcW w:w="1423" w:type="dxa"/>
            <w:tcBorders>
              <w:top w:val="nil"/>
              <w:left w:val="nil"/>
              <w:bottom w:val="single" w:sz="4" w:space="0" w:color="auto"/>
              <w:right w:val="single" w:sz="4" w:space="0" w:color="auto"/>
            </w:tcBorders>
            <w:shd w:val="clear" w:color="000000" w:fill="DCE6F1"/>
            <w:noWrap/>
            <w:vAlign w:val="center"/>
          </w:tcPr>
          <w:p w14:paraId="24128408"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9,268,940.8 </w:t>
            </w:r>
          </w:p>
        </w:tc>
        <w:tc>
          <w:tcPr>
            <w:tcW w:w="1377" w:type="dxa"/>
            <w:tcBorders>
              <w:top w:val="nil"/>
              <w:left w:val="nil"/>
              <w:bottom w:val="single" w:sz="4" w:space="0" w:color="auto"/>
              <w:right w:val="single" w:sz="4" w:space="0" w:color="auto"/>
            </w:tcBorders>
            <w:shd w:val="clear" w:color="000000" w:fill="DCE6F1"/>
            <w:noWrap/>
            <w:vAlign w:val="center"/>
          </w:tcPr>
          <w:p w14:paraId="755FE16C"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          8,741,376.7 </w:t>
            </w:r>
          </w:p>
          <w:p w14:paraId="7A57E71D" w14:textId="77777777" w:rsidR="00903212" w:rsidRPr="00A83C94" w:rsidRDefault="00903212" w:rsidP="00733935">
            <w:pPr>
              <w:spacing w:before="0" w:line="276" w:lineRule="auto"/>
              <w:ind w:firstLine="0"/>
              <w:jc w:val="right"/>
              <w:rPr>
                <w:b w:val="0"/>
                <w:iCs/>
                <w:sz w:val="18"/>
                <w:szCs w:val="18"/>
              </w:rPr>
            </w:pPr>
          </w:p>
        </w:tc>
        <w:tc>
          <w:tcPr>
            <w:tcW w:w="1421" w:type="dxa"/>
            <w:tcBorders>
              <w:top w:val="nil"/>
              <w:left w:val="nil"/>
              <w:bottom w:val="single" w:sz="4" w:space="0" w:color="auto"/>
              <w:right w:val="single" w:sz="4" w:space="0" w:color="auto"/>
            </w:tcBorders>
            <w:shd w:val="clear" w:color="000000" w:fill="DCE6F1"/>
            <w:noWrap/>
            <w:vAlign w:val="center"/>
          </w:tcPr>
          <w:p w14:paraId="194A3F8B" w14:textId="77777777" w:rsidR="00903212" w:rsidRPr="00A83C94" w:rsidRDefault="00903212" w:rsidP="00733935">
            <w:pPr>
              <w:spacing w:before="0" w:line="276" w:lineRule="auto"/>
              <w:ind w:firstLine="0"/>
              <w:jc w:val="right"/>
              <w:rPr>
                <w:b w:val="0"/>
                <w:sz w:val="18"/>
                <w:szCs w:val="18"/>
              </w:rPr>
            </w:pPr>
            <w:r w:rsidRPr="00A83C94">
              <w:rPr>
                <w:b w:val="0"/>
                <w:sz w:val="18"/>
                <w:szCs w:val="18"/>
                <w:lang w:val="en-US"/>
              </w:rPr>
              <w:t>9,019,489.2</w:t>
            </w:r>
            <w:r w:rsidRPr="00A83C94">
              <w:rPr>
                <w:b w:val="0"/>
                <w:sz w:val="18"/>
                <w:szCs w:val="18"/>
              </w:rPr>
              <w:t xml:space="preserve"> </w:t>
            </w:r>
          </w:p>
        </w:tc>
        <w:tc>
          <w:tcPr>
            <w:tcW w:w="1454" w:type="dxa"/>
            <w:tcBorders>
              <w:top w:val="nil"/>
              <w:left w:val="nil"/>
              <w:bottom w:val="single" w:sz="4" w:space="0" w:color="auto"/>
              <w:right w:val="single" w:sz="8" w:space="0" w:color="auto"/>
            </w:tcBorders>
            <w:shd w:val="clear" w:color="000000" w:fill="DCE6F1"/>
            <w:noWrap/>
            <w:vAlign w:val="center"/>
          </w:tcPr>
          <w:p w14:paraId="507482A6" w14:textId="77777777" w:rsidR="00903212" w:rsidRPr="00A83C94" w:rsidRDefault="00903212" w:rsidP="00733935">
            <w:pPr>
              <w:spacing w:before="0" w:line="276" w:lineRule="auto"/>
              <w:ind w:firstLine="0"/>
              <w:jc w:val="right"/>
              <w:rPr>
                <w:b w:val="0"/>
                <w:sz w:val="18"/>
                <w:szCs w:val="18"/>
                <w:lang w:val="en-US"/>
              </w:rPr>
            </w:pPr>
          </w:p>
          <w:p w14:paraId="20C4FB44" w14:textId="18F50E3F" w:rsidR="00903212" w:rsidRPr="00A83C94" w:rsidRDefault="00903212" w:rsidP="00733935">
            <w:pPr>
              <w:spacing w:before="0" w:line="276" w:lineRule="auto"/>
              <w:ind w:firstLine="0"/>
              <w:jc w:val="right"/>
              <w:rPr>
                <w:b w:val="0"/>
                <w:sz w:val="18"/>
                <w:szCs w:val="18"/>
                <w:lang w:val="en-US"/>
              </w:rPr>
            </w:pPr>
            <w:r w:rsidRPr="00A83C94">
              <w:rPr>
                <w:b w:val="0"/>
                <w:sz w:val="18"/>
                <w:szCs w:val="18"/>
                <w:lang w:val="en-US"/>
              </w:rPr>
              <w:t>6,9</w:t>
            </w:r>
            <w:r w:rsidR="00124E5B">
              <w:rPr>
                <w:b w:val="0"/>
                <w:sz w:val="18"/>
                <w:szCs w:val="18"/>
                <w:lang w:val="en-US"/>
              </w:rPr>
              <w:t>40</w:t>
            </w:r>
            <w:r w:rsidRPr="00A83C94">
              <w:rPr>
                <w:b w:val="0"/>
                <w:sz w:val="18"/>
                <w:szCs w:val="18"/>
                <w:lang w:val="hy-AM"/>
              </w:rPr>
              <w:t>,</w:t>
            </w:r>
            <w:r w:rsidR="00124E5B">
              <w:rPr>
                <w:b w:val="0"/>
                <w:sz w:val="18"/>
                <w:szCs w:val="18"/>
                <w:lang w:val="en-US"/>
              </w:rPr>
              <w:t>393</w:t>
            </w:r>
            <w:r w:rsidRPr="00A83C94">
              <w:rPr>
                <w:b w:val="0"/>
                <w:sz w:val="18"/>
                <w:szCs w:val="18"/>
                <w:lang w:val="en-US"/>
              </w:rPr>
              <w:t>.</w:t>
            </w:r>
            <w:r w:rsidR="00124E5B">
              <w:rPr>
                <w:b w:val="0"/>
                <w:sz w:val="18"/>
                <w:szCs w:val="18"/>
                <w:lang w:val="en-US"/>
              </w:rPr>
              <w:t>6</w:t>
            </w:r>
          </w:p>
          <w:p w14:paraId="3FE814D4" w14:textId="77777777" w:rsidR="00903212" w:rsidRPr="00A83C94" w:rsidRDefault="00903212" w:rsidP="00733935">
            <w:pPr>
              <w:spacing w:before="0" w:line="276" w:lineRule="auto"/>
              <w:ind w:firstLine="0"/>
              <w:jc w:val="right"/>
              <w:rPr>
                <w:b w:val="0"/>
                <w:sz w:val="18"/>
                <w:szCs w:val="18"/>
                <w:lang w:val="en-US"/>
              </w:rPr>
            </w:pPr>
          </w:p>
        </w:tc>
      </w:tr>
      <w:tr w:rsidR="00903212" w:rsidRPr="00A83C94" w14:paraId="19459FFB" w14:textId="77777777" w:rsidTr="00733935">
        <w:trPr>
          <w:trHeight w:val="270"/>
        </w:trPr>
        <w:tc>
          <w:tcPr>
            <w:tcW w:w="2960" w:type="dxa"/>
            <w:tcBorders>
              <w:top w:val="nil"/>
              <w:left w:val="single" w:sz="8" w:space="0" w:color="auto"/>
              <w:bottom w:val="single" w:sz="4" w:space="0" w:color="auto"/>
              <w:right w:val="single" w:sz="4" w:space="0" w:color="auto"/>
            </w:tcBorders>
            <w:shd w:val="clear" w:color="000000" w:fill="DCE6F1"/>
            <w:vAlign w:val="center"/>
            <w:hideMark/>
          </w:tcPr>
          <w:p w14:paraId="0893AB97" w14:textId="77777777" w:rsidR="00903212" w:rsidRPr="00A83C94" w:rsidRDefault="00903212" w:rsidP="00733935">
            <w:pPr>
              <w:spacing w:before="0" w:line="276" w:lineRule="auto"/>
              <w:ind w:firstLine="0"/>
              <w:jc w:val="left"/>
              <w:rPr>
                <w:b w:val="0"/>
                <w:i/>
                <w:iCs/>
                <w:sz w:val="20"/>
                <w:szCs w:val="20"/>
              </w:rPr>
            </w:pPr>
            <w:r w:rsidRPr="00A83C94">
              <w:rPr>
                <w:b w:val="0"/>
                <w:i/>
                <w:iCs/>
                <w:sz w:val="20"/>
                <w:szCs w:val="20"/>
              </w:rPr>
              <w:t>կապիտալ սուբվենցիաներ</w:t>
            </w:r>
          </w:p>
        </w:tc>
        <w:tc>
          <w:tcPr>
            <w:tcW w:w="1363" w:type="dxa"/>
            <w:tcBorders>
              <w:top w:val="nil"/>
              <w:left w:val="nil"/>
              <w:bottom w:val="single" w:sz="4" w:space="0" w:color="auto"/>
              <w:right w:val="single" w:sz="4" w:space="0" w:color="auto"/>
            </w:tcBorders>
            <w:shd w:val="clear" w:color="000000" w:fill="DCE6F1"/>
            <w:noWrap/>
            <w:vAlign w:val="center"/>
          </w:tcPr>
          <w:p w14:paraId="242A6FF6"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2,546,028.7 </w:t>
            </w:r>
          </w:p>
        </w:tc>
        <w:tc>
          <w:tcPr>
            <w:tcW w:w="1423" w:type="dxa"/>
            <w:tcBorders>
              <w:top w:val="nil"/>
              <w:left w:val="nil"/>
              <w:bottom w:val="single" w:sz="4" w:space="0" w:color="auto"/>
              <w:right w:val="single" w:sz="4" w:space="0" w:color="auto"/>
            </w:tcBorders>
            <w:shd w:val="clear" w:color="000000" w:fill="DCE6F1"/>
            <w:noWrap/>
            <w:vAlign w:val="center"/>
          </w:tcPr>
          <w:p w14:paraId="0B15FB60" w14:textId="77777777" w:rsidR="00903212" w:rsidRPr="00A83C94" w:rsidRDefault="00903212" w:rsidP="00733935">
            <w:pPr>
              <w:spacing w:before="0" w:line="276" w:lineRule="auto"/>
              <w:ind w:firstLine="0"/>
              <w:jc w:val="right"/>
              <w:rPr>
                <w:b w:val="0"/>
                <w:iCs/>
                <w:sz w:val="18"/>
                <w:szCs w:val="18"/>
              </w:rPr>
            </w:pPr>
            <w:r w:rsidRPr="00A83C94">
              <w:rPr>
                <w:b w:val="0"/>
                <w:iCs/>
                <w:sz w:val="18"/>
                <w:szCs w:val="18"/>
              </w:rPr>
              <w:t xml:space="preserve">6,532,408.8 </w:t>
            </w:r>
          </w:p>
        </w:tc>
        <w:tc>
          <w:tcPr>
            <w:tcW w:w="1377" w:type="dxa"/>
            <w:tcBorders>
              <w:top w:val="nil"/>
              <w:left w:val="nil"/>
              <w:bottom w:val="single" w:sz="4" w:space="0" w:color="auto"/>
              <w:right w:val="single" w:sz="4" w:space="0" w:color="auto"/>
            </w:tcBorders>
            <w:shd w:val="clear" w:color="000000" w:fill="DCE6F1"/>
            <w:noWrap/>
            <w:vAlign w:val="center"/>
          </w:tcPr>
          <w:p w14:paraId="65593E88" w14:textId="77777777" w:rsidR="00903212" w:rsidRPr="00A83C94" w:rsidRDefault="00903212" w:rsidP="00733935">
            <w:pPr>
              <w:spacing w:before="0" w:line="276" w:lineRule="auto"/>
              <w:ind w:firstLine="0"/>
              <w:jc w:val="right"/>
              <w:rPr>
                <w:b w:val="0"/>
                <w:sz w:val="18"/>
                <w:szCs w:val="18"/>
                <w:lang w:val="en-US"/>
              </w:rPr>
            </w:pPr>
            <w:r w:rsidRPr="00A83C94">
              <w:rPr>
                <w:b w:val="0"/>
                <w:sz w:val="18"/>
                <w:szCs w:val="18"/>
                <w:lang w:val="en-US"/>
              </w:rPr>
              <w:t xml:space="preserve">          14,118,652.1 </w:t>
            </w:r>
          </w:p>
          <w:p w14:paraId="2BC0CB23" w14:textId="77777777" w:rsidR="00903212" w:rsidRPr="00A83C94" w:rsidRDefault="00903212" w:rsidP="00733935">
            <w:pPr>
              <w:spacing w:before="0" w:line="276" w:lineRule="auto"/>
              <w:ind w:firstLine="0"/>
              <w:jc w:val="right"/>
              <w:rPr>
                <w:b w:val="0"/>
                <w:sz w:val="18"/>
                <w:szCs w:val="18"/>
                <w:lang w:val="en-US"/>
              </w:rPr>
            </w:pPr>
          </w:p>
        </w:tc>
        <w:tc>
          <w:tcPr>
            <w:tcW w:w="1421" w:type="dxa"/>
            <w:tcBorders>
              <w:top w:val="nil"/>
              <w:left w:val="nil"/>
              <w:bottom w:val="single" w:sz="4" w:space="0" w:color="auto"/>
              <w:right w:val="single" w:sz="4" w:space="0" w:color="auto"/>
            </w:tcBorders>
            <w:shd w:val="clear" w:color="000000" w:fill="DCE6F1"/>
            <w:noWrap/>
            <w:vAlign w:val="center"/>
          </w:tcPr>
          <w:p w14:paraId="1E3DCE7D" w14:textId="77777777" w:rsidR="00903212" w:rsidRPr="00A83C94" w:rsidRDefault="00903212" w:rsidP="00733935">
            <w:pPr>
              <w:spacing w:before="0" w:line="276" w:lineRule="auto"/>
              <w:ind w:firstLine="0"/>
              <w:jc w:val="right"/>
              <w:rPr>
                <w:b w:val="0"/>
                <w:sz w:val="18"/>
                <w:szCs w:val="18"/>
              </w:rPr>
            </w:pPr>
            <w:r w:rsidRPr="00A83C94">
              <w:rPr>
                <w:b w:val="0"/>
                <w:sz w:val="18"/>
                <w:szCs w:val="18"/>
              </w:rPr>
              <w:t>8,073,512.</w:t>
            </w:r>
            <w:r w:rsidRPr="00A83C94">
              <w:rPr>
                <w:b w:val="0"/>
                <w:sz w:val="18"/>
                <w:szCs w:val="18"/>
                <w:lang w:val="en-US"/>
              </w:rPr>
              <w:t>1</w:t>
            </w:r>
            <w:r w:rsidRPr="00A83C94">
              <w:rPr>
                <w:b w:val="0"/>
                <w:sz w:val="18"/>
                <w:szCs w:val="18"/>
              </w:rPr>
              <w:t xml:space="preserve"> </w:t>
            </w:r>
          </w:p>
        </w:tc>
        <w:tc>
          <w:tcPr>
            <w:tcW w:w="1454" w:type="dxa"/>
            <w:tcBorders>
              <w:top w:val="nil"/>
              <w:left w:val="nil"/>
              <w:bottom w:val="single" w:sz="4" w:space="0" w:color="auto"/>
              <w:right w:val="single" w:sz="8" w:space="0" w:color="auto"/>
            </w:tcBorders>
            <w:shd w:val="clear" w:color="000000" w:fill="DCE6F1"/>
            <w:noWrap/>
            <w:vAlign w:val="center"/>
          </w:tcPr>
          <w:p w14:paraId="442763E8" w14:textId="77777777" w:rsidR="00903212" w:rsidRPr="00A83C94" w:rsidRDefault="00903212" w:rsidP="00733935">
            <w:pPr>
              <w:spacing w:before="0" w:line="276" w:lineRule="auto"/>
              <w:ind w:firstLine="0"/>
              <w:jc w:val="right"/>
              <w:rPr>
                <w:b w:val="0"/>
                <w:sz w:val="18"/>
                <w:szCs w:val="18"/>
                <w:lang w:val="en-US"/>
              </w:rPr>
            </w:pPr>
          </w:p>
          <w:p w14:paraId="36309499" w14:textId="77777777" w:rsidR="00903212" w:rsidRPr="00A83C94" w:rsidRDefault="00903212" w:rsidP="00733935">
            <w:pPr>
              <w:spacing w:before="0" w:line="276" w:lineRule="auto"/>
              <w:ind w:firstLine="0"/>
              <w:jc w:val="right"/>
              <w:rPr>
                <w:b w:val="0"/>
                <w:sz w:val="18"/>
                <w:szCs w:val="18"/>
                <w:lang w:val="en-US"/>
              </w:rPr>
            </w:pPr>
            <w:r w:rsidRPr="00A83C94">
              <w:rPr>
                <w:b w:val="0"/>
                <w:sz w:val="18"/>
                <w:szCs w:val="18"/>
                <w:lang w:val="en-US"/>
              </w:rPr>
              <w:t>18,</w:t>
            </w:r>
            <w:r w:rsidRPr="00A83C94">
              <w:rPr>
                <w:b w:val="0"/>
                <w:sz w:val="18"/>
                <w:szCs w:val="18"/>
                <w:lang w:val="hy-AM"/>
              </w:rPr>
              <w:t>448</w:t>
            </w:r>
            <w:r w:rsidRPr="00A83C94">
              <w:rPr>
                <w:b w:val="0"/>
                <w:sz w:val="18"/>
                <w:szCs w:val="18"/>
                <w:lang w:val="en-US"/>
              </w:rPr>
              <w:t>,4</w:t>
            </w:r>
            <w:r w:rsidRPr="00A83C94">
              <w:rPr>
                <w:b w:val="0"/>
                <w:sz w:val="18"/>
                <w:szCs w:val="18"/>
                <w:lang w:val="hy-AM"/>
              </w:rPr>
              <w:t>34</w:t>
            </w:r>
            <w:r w:rsidRPr="00A83C94">
              <w:rPr>
                <w:b w:val="0"/>
                <w:sz w:val="18"/>
                <w:szCs w:val="18"/>
                <w:lang w:val="en-US"/>
              </w:rPr>
              <w:t>.</w:t>
            </w:r>
            <w:r w:rsidRPr="00A83C94">
              <w:rPr>
                <w:b w:val="0"/>
                <w:sz w:val="18"/>
                <w:szCs w:val="18"/>
                <w:lang w:val="hy-AM"/>
              </w:rPr>
              <w:t>3</w:t>
            </w:r>
          </w:p>
          <w:p w14:paraId="00C178D8" w14:textId="77777777" w:rsidR="00903212" w:rsidRPr="00A83C94" w:rsidRDefault="00903212" w:rsidP="00733935">
            <w:pPr>
              <w:spacing w:before="0" w:line="276" w:lineRule="auto"/>
              <w:ind w:firstLine="0"/>
              <w:jc w:val="right"/>
              <w:rPr>
                <w:b w:val="0"/>
                <w:sz w:val="18"/>
                <w:szCs w:val="18"/>
                <w:lang w:val="en-US"/>
              </w:rPr>
            </w:pPr>
          </w:p>
        </w:tc>
      </w:tr>
      <w:tr w:rsidR="00903212" w:rsidRPr="00A83C94" w14:paraId="52EB3BE0" w14:textId="77777777" w:rsidTr="00733935">
        <w:trPr>
          <w:trHeight w:val="825"/>
        </w:trPr>
        <w:tc>
          <w:tcPr>
            <w:tcW w:w="2960" w:type="dxa"/>
            <w:tcBorders>
              <w:top w:val="nil"/>
              <w:left w:val="single" w:sz="8" w:space="0" w:color="auto"/>
              <w:bottom w:val="single" w:sz="8" w:space="0" w:color="auto"/>
              <w:right w:val="single" w:sz="4" w:space="0" w:color="auto"/>
            </w:tcBorders>
            <w:shd w:val="clear" w:color="auto" w:fill="FFFFFF" w:themeFill="background1"/>
            <w:vAlign w:val="center"/>
            <w:hideMark/>
          </w:tcPr>
          <w:p w14:paraId="1F172BCA" w14:textId="77777777" w:rsidR="00903212" w:rsidRPr="00A83C94" w:rsidRDefault="00903212" w:rsidP="00733935">
            <w:pPr>
              <w:spacing w:before="0" w:line="276" w:lineRule="auto"/>
              <w:ind w:firstLine="0"/>
              <w:jc w:val="left"/>
              <w:rPr>
                <w:bCs/>
                <w:sz w:val="20"/>
                <w:szCs w:val="20"/>
              </w:rPr>
            </w:pPr>
            <w:r w:rsidRPr="00A83C94">
              <w:rPr>
                <w:bCs/>
                <w:sz w:val="20"/>
                <w:szCs w:val="20"/>
              </w:rPr>
              <w:t>Սահմանամերձ հա</w:t>
            </w:r>
            <w:r w:rsidRPr="00A83C94">
              <w:rPr>
                <w:bCs/>
                <w:sz w:val="20"/>
                <w:szCs w:val="20"/>
              </w:rPr>
              <w:softHyphen/>
              <w:t>մայնք</w:t>
            </w:r>
            <w:r w:rsidRPr="00A83C94">
              <w:rPr>
                <w:bCs/>
                <w:sz w:val="20"/>
                <w:szCs w:val="20"/>
              </w:rPr>
              <w:softHyphen/>
              <w:t>ների սոցիալական աջակցության մասին ՀՀ օրենքի կիրարկմամբ պայմանավորված պե</w:t>
            </w:r>
            <w:r w:rsidRPr="00A83C94">
              <w:rPr>
                <w:bCs/>
                <w:sz w:val="20"/>
                <w:szCs w:val="20"/>
              </w:rPr>
              <w:softHyphen/>
              <w:t>տա</w:t>
            </w:r>
            <w:r w:rsidRPr="00A83C94">
              <w:rPr>
                <w:bCs/>
                <w:sz w:val="20"/>
                <w:szCs w:val="20"/>
              </w:rPr>
              <w:softHyphen/>
              <w:t>կան աջակցություն սահմանամերձ համայնքներին</w:t>
            </w:r>
          </w:p>
        </w:tc>
        <w:tc>
          <w:tcPr>
            <w:tcW w:w="1363" w:type="dxa"/>
            <w:tcBorders>
              <w:top w:val="nil"/>
              <w:left w:val="nil"/>
              <w:bottom w:val="single" w:sz="8" w:space="0" w:color="auto"/>
              <w:right w:val="single" w:sz="4" w:space="0" w:color="auto"/>
            </w:tcBorders>
            <w:shd w:val="clear" w:color="auto" w:fill="FFFFFF" w:themeFill="background1"/>
            <w:noWrap/>
            <w:vAlign w:val="center"/>
          </w:tcPr>
          <w:p w14:paraId="56F7ADED"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709,597.9 </w:t>
            </w:r>
          </w:p>
        </w:tc>
        <w:tc>
          <w:tcPr>
            <w:tcW w:w="1423" w:type="dxa"/>
            <w:tcBorders>
              <w:top w:val="nil"/>
              <w:left w:val="nil"/>
              <w:bottom w:val="single" w:sz="8" w:space="0" w:color="auto"/>
              <w:right w:val="single" w:sz="4" w:space="0" w:color="auto"/>
            </w:tcBorders>
            <w:shd w:val="clear" w:color="auto" w:fill="FFFFFF" w:themeFill="background1"/>
            <w:noWrap/>
            <w:vAlign w:val="center"/>
          </w:tcPr>
          <w:p w14:paraId="76D82E81" w14:textId="77777777" w:rsidR="00903212" w:rsidRPr="00A83C94" w:rsidRDefault="00903212" w:rsidP="00733935">
            <w:pPr>
              <w:spacing w:before="0" w:line="276" w:lineRule="auto"/>
              <w:ind w:firstLine="0"/>
              <w:jc w:val="right"/>
              <w:rPr>
                <w:bCs/>
                <w:iCs/>
                <w:sz w:val="18"/>
                <w:szCs w:val="18"/>
              </w:rPr>
            </w:pPr>
            <w:r w:rsidRPr="00A83C94">
              <w:rPr>
                <w:bCs/>
                <w:iCs/>
                <w:sz w:val="18"/>
                <w:szCs w:val="18"/>
              </w:rPr>
              <w:t xml:space="preserve">731,344.2 </w:t>
            </w:r>
          </w:p>
        </w:tc>
        <w:tc>
          <w:tcPr>
            <w:tcW w:w="1377" w:type="dxa"/>
            <w:tcBorders>
              <w:top w:val="nil"/>
              <w:left w:val="nil"/>
              <w:bottom w:val="single" w:sz="8" w:space="0" w:color="auto"/>
              <w:right w:val="single" w:sz="4" w:space="0" w:color="auto"/>
            </w:tcBorders>
            <w:shd w:val="clear" w:color="auto" w:fill="FFFFFF" w:themeFill="background1"/>
            <w:noWrap/>
            <w:vAlign w:val="center"/>
          </w:tcPr>
          <w:p w14:paraId="5E7D0572" w14:textId="77777777" w:rsidR="00903212" w:rsidRPr="00A83C94" w:rsidRDefault="00903212" w:rsidP="00733935">
            <w:pPr>
              <w:spacing w:before="0" w:line="276" w:lineRule="auto"/>
              <w:ind w:firstLine="0"/>
              <w:jc w:val="right"/>
              <w:rPr>
                <w:bCs/>
                <w:sz w:val="18"/>
                <w:szCs w:val="18"/>
              </w:rPr>
            </w:pPr>
            <w:r w:rsidRPr="00A83C94">
              <w:rPr>
                <w:bCs/>
                <w:sz w:val="18"/>
                <w:szCs w:val="18"/>
                <w:lang w:val="en-US"/>
              </w:rPr>
              <w:t>754</w:t>
            </w:r>
            <w:r w:rsidRPr="00A83C94">
              <w:rPr>
                <w:bCs/>
                <w:sz w:val="18"/>
                <w:szCs w:val="18"/>
              </w:rPr>
              <w:t>,</w:t>
            </w:r>
            <w:r w:rsidRPr="00A83C94">
              <w:rPr>
                <w:bCs/>
                <w:sz w:val="18"/>
                <w:szCs w:val="18"/>
                <w:lang w:val="en-US"/>
              </w:rPr>
              <w:t>154</w:t>
            </w:r>
            <w:r w:rsidRPr="00A83C94">
              <w:rPr>
                <w:bCs/>
                <w:sz w:val="18"/>
                <w:szCs w:val="18"/>
              </w:rPr>
              <w:t>.</w:t>
            </w:r>
            <w:r w:rsidRPr="00A83C94">
              <w:rPr>
                <w:bCs/>
                <w:sz w:val="18"/>
                <w:szCs w:val="18"/>
                <w:lang w:val="en-US"/>
              </w:rPr>
              <w:t>5</w:t>
            </w:r>
            <w:r w:rsidRPr="00A83C94">
              <w:rPr>
                <w:bCs/>
                <w:sz w:val="18"/>
                <w:szCs w:val="18"/>
              </w:rPr>
              <w:t xml:space="preserve"> </w:t>
            </w:r>
          </w:p>
        </w:tc>
        <w:tc>
          <w:tcPr>
            <w:tcW w:w="1421" w:type="dxa"/>
            <w:tcBorders>
              <w:top w:val="nil"/>
              <w:left w:val="nil"/>
              <w:bottom w:val="single" w:sz="8" w:space="0" w:color="auto"/>
              <w:right w:val="single" w:sz="4" w:space="0" w:color="auto"/>
            </w:tcBorders>
            <w:shd w:val="clear" w:color="auto" w:fill="FFFFFF" w:themeFill="background1"/>
            <w:noWrap/>
            <w:vAlign w:val="center"/>
          </w:tcPr>
          <w:p w14:paraId="7D46C68B" w14:textId="77777777" w:rsidR="00903212" w:rsidRPr="00A83C94" w:rsidRDefault="00903212" w:rsidP="00733935">
            <w:pPr>
              <w:keepNext/>
              <w:spacing w:before="0" w:line="276" w:lineRule="auto"/>
              <w:ind w:firstLine="0"/>
              <w:jc w:val="right"/>
              <w:rPr>
                <w:bCs/>
                <w:sz w:val="18"/>
                <w:szCs w:val="18"/>
              </w:rPr>
            </w:pPr>
            <w:r w:rsidRPr="00A83C94">
              <w:rPr>
                <w:bCs/>
                <w:sz w:val="18"/>
                <w:szCs w:val="18"/>
              </w:rPr>
              <w:t xml:space="preserve">800,000.0 </w:t>
            </w:r>
          </w:p>
        </w:tc>
        <w:tc>
          <w:tcPr>
            <w:tcW w:w="1454" w:type="dxa"/>
            <w:tcBorders>
              <w:top w:val="nil"/>
              <w:left w:val="nil"/>
              <w:bottom w:val="single" w:sz="8" w:space="0" w:color="auto"/>
              <w:right w:val="single" w:sz="8" w:space="0" w:color="auto"/>
            </w:tcBorders>
            <w:shd w:val="clear" w:color="auto" w:fill="FFFFFF" w:themeFill="background1"/>
            <w:noWrap/>
            <w:vAlign w:val="center"/>
          </w:tcPr>
          <w:p w14:paraId="1F3BC46D" w14:textId="77777777" w:rsidR="00903212" w:rsidRPr="00A83C94" w:rsidRDefault="00903212" w:rsidP="00733935">
            <w:pPr>
              <w:keepNext/>
              <w:spacing w:before="0" w:line="276" w:lineRule="auto"/>
              <w:ind w:firstLine="0"/>
              <w:jc w:val="right"/>
              <w:rPr>
                <w:bCs/>
                <w:sz w:val="18"/>
                <w:szCs w:val="18"/>
              </w:rPr>
            </w:pPr>
            <w:r w:rsidRPr="00A83C94">
              <w:rPr>
                <w:bCs/>
                <w:sz w:val="18"/>
                <w:szCs w:val="18"/>
              </w:rPr>
              <w:t>1,155,205.8</w:t>
            </w:r>
          </w:p>
        </w:tc>
      </w:tr>
    </w:tbl>
    <w:p w14:paraId="2564D5A5" w14:textId="77777777" w:rsidR="00903212" w:rsidRDefault="00903212" w:rsidP="00903212"/>
    <w:p w14:paraId="2864E98B" w14:textId="77777777" w:rsidR="00903212" w:rsidRPr="00A83C94" w:rsidRDefault="00903212" w:rsidP="00903212">
      <w:pPr>
        <w:pStyle w:val="BodyText2"/>
        <w:ind w:firstLine="0"/>
        <w:rPr>
          <w:rFonts w:cs="Arial"/>
        </w:rPr>
      </w:pPr>
    </w:p>
    <w:p w14:paraId="489C7E29" w14:textId="77777777" w:rsidR="006E7E1F" w:rsidRPr="00A83C94" w:rsidRDefault="006E7E1F" w:rsidP="006E7E1F">
      <w:pPr>
        <w:spacing w:before="0" w:line="276" w:lineRule="auto"/>
        <w:ind w:firstLine="475"/>
        <w:contextualSpacing w:val="0"/>
        <w:rPr>
          <w:b w:val="0"/>
          <w:szCs w:val="22"/>
          <w:lang w:val="af-ZA" w:eastAsia="en-US"/>
        </w:rPr>
      </w:pPr>
      <w:r w:rsidRPr="00A83C94">
        <w:rPr>
          <w:b w:val="0"/>
          <w:szCs w:val="22"/>
          <w:lang w:val="af-ZA" w:eastAsia="en-US"/>
        </w:rPr>
        <w:t xml:space="preserve">2022 </w:t>
      </w:r>
      <w:r w:rsidRPr="006E7E1F">
        <w:rPr>
          <w:b w:val="0"/>
          <w:szCs w:val="22"/>
          <w:lang w:val="hy-AM" w:eastAsia="en-US"/>
        </w:rPr>
        <w:t>թվակա</w:t>
      </w:r>
      <w:r w:rsidRPr="006E7E1F">
        <w:rPr>
          <w:rFonts w:cs="Sylfaen"/>
          <w:b w:val="0"/>
          <w:szCs w:val="22"/>
          <w:lang w:val="hy-AM" w:eastAsia="en-US"/>
        </w:rPr>
        <w:t>նի</w:t>
      </w:r>
      <w:r w:rsidRPr="00A83C94">
        <w:rPr>
          <w:b w:val="0"/>
          <w:szCs w:val="22"/>
          <w:lang w:val="af-ZA" w:eastAsia="en-US"/>
        </w:rPr>
        <w:t xml:space="preserve"> </w:t>
      </w:r>
      <w:r w:rsidRPr="006E7E1F">
        <w:rPr>
          <w:rFonts w:cs="Sylfaen"/>
          <w:b w:val="0"/>
          <w:szCs w:val="22"/>
          <w:lang w:val="hy-AM" w:eastAsia="en-US"/>
        </w:rPr>
        <w:t>ծախսերի</w:t>
      </w:r>
      <w:r w:rsidRPr="00A83C94">
        <w:rPr>
          <w:b w:val="0"/>
          <w:szCs w:val="22"/>
          <w:lang w:val="af-ZA" w:eastAsia="en-US"/>
        </w:rPr>
        <w:t xml:space="preserve"> </w:t>
      </w:r>
      <w:r w:rsidRPr="006E7E1F">
        <w:rPr>
          <w:rFonts w:cs="Sylfaen"/>
          <w:b w:val="0"/>
          <w:szCs w:val="22"/>
          <w:lang w:val="hy-AM" w:eastAsia="en-US"/>
        </w:rPr>
        <w:t>ընդհանուր</w:t>
      </w:r>
      <w:r w:rsidRPr="00A83C94">
        <w:rPr>
          <w:b w:val="0"/>
          <w:szCs w:val="22"/>
          <w:lang w:val="af-ZA" w:eastAsia="en-US"/>
        </w:rPr>
        <w:t xml:space="preserve"> </w:t>
      </w:r>
      <w:r w:rsidRPr="006E7E1F">
        <w:rPr>
          <w:rFonts w:cs="Sylfaen"/>
          <w:b w:val="0"/>
          <w:szCs w:val="22"/>
          <w:lang w:val="hy-AM" w:eastAsia="en-US"/>
        </w:rPr>
        <w:t>ծավալի</w:t>
      </w:r>
      <w:r w:rsidRPr="00A83C94">
        <w:rPr>
          <w:b w:val="0"/>
          <w:szCs w:val="22"/>
          <w:lang w:val="af-ZA" w:eastAsia="en-US"/>
        </w:rPr>
        <w:t xml:space="preserve"> </w:t>
      </w:r>
      <w:r w:rsidRPr="00A83C94">
        <w:rPr>
          <w:b w:val="0"/>
          <w:szCs w:val="22"/>
          <w:lang w:val="hy-AM" w:eastAsia="en-US"/>
        </w:rPr>
        <w:t>1</w:t>
      </w:r>
      <w:r w:rsidRPr="00BF186C">
        <w:rPr>
          <w:b w:val="0"/>
          <w:szCs w:val="22"/>
          <w:lang w:val="af-ZA" w:eastAsia="en-US"/>
        </w:rPr>
        <w:t>5</w:t>
      </w:r>
      <w:r w:rsidRPr="00A83C94">
        <w:rPr>
          <w:b w:val="0"/>
          <w:szCs w:val="22"/>
          <w:lang w:val="hy-AM" w:eastAsia="en-US"/>
        </w:rPr>
        <w:t>.</w:t>
      </w:r>
      <w:r w:rsidRPr="00BF186C">
        <w:rPr>
          <w:b w:val="0"/>
          <w:szCs w:val="22"/>
          <w:lang w:val="af-ZA" w:eastAsia="en-US"/>
        </w:rPr>
        <w:t>8</w:t>
      </w:r>
      <w:r w:rsidRPr="00A83C94">
        <w:rPr>
          <w:b w:val="0"/>
          <w:szCs w:val="22"/>
          <w:lang w:val="af-ZA" w:eastAsia="en-US"/>
        </w:rPr>
        <w:t xml:space="preserve"> %-</w:t>
      </w:r>
      <w:r w:rsidRPr="006E7E1F">
        <w:rPr>
          <w:rFonts w:cs="Sylfaen"/>
          <w:b w:val="0"/>
          <w:szCs w:val="22"/>
          <w:lang w:val="hy-AM" w:eastAsia="en-US"/>
        </w:rPr>
        <w:t>ը</w:t>
      </w:r>
      <w:r w:rsidRPr="00A83C94">
        <w:rPr>
          <w:b w:val="0"/>
          <w:szCs w:val="22"/>
          <w:lang w:val="af-ZA" w:eastAsia="en-US"/>
        </w:rPr>
        <w:t xml:space="preserve"> </w:t>
      </w:r>
      <w:r w:rsidRPr="006E7E1F">
        <w:rPr>
          <w:rFonts w:cs="Sylfaen"/>
          <w:b w:val="0"/>
          <w:szCs w:val="22"/>
          <w:lang w:val="hy-AM" w:eastAsia="en-US"/>
        </w:rPr>
        <w:t>կկազմեն</w:t>
      </w:r>
      <w:r w:rsidRPr="00A83C94">
        <w:rPr>
          <w:rFonts w:cs="Sylfaen"/>
          <w:b w:val="0"/>
          <w:szCs w:val="22"/>
          <w:lang w:val="af-ZA" w:eastAsia="en-US"/>
        </w:rPr>
        <w:t xml:space="preserve"> </w:t>
      </w:r>
      <w:r w:rsidRPr="006E7E1F">
        <w:rPr>
          <w:rFonts w:cs="Sylfaen"/>
          <w:b w:val="0"/>
          <w:szCs w:val="22"/>
          <w:lang w:val="hy-AM" w:eastAsia="en-US"/>
        </w:rPr>
        <w:t>ոչ</w:t>
      </w:r>
      <w:r w:rsidRPr="00A83C94">
        <w:rPr>
          <w:rFonts w:cs="Sylfaen"/>
          <w:b w:val="0"/>
          <w:szCs w:val="22"/>
          <w:lang w:val="af-ZA" w:eastAsia="en-US"/>
        </w:rPr>
        <w:t xml:space="preserve"> </w:t>
      </w:r>
      <w:r w:rsidRPr="006E7E1F">
        <w:rPr>
          <w:rFonts w:cs="Sylfaen"/>
          <w:b w:val="0"/>
          <w:szCs w:val="22"/>
          <w:lang w:val="hy-AM" w:eastAsia="en-US"/>
        </w:rPr>
        <w:t>ֆինանսական</w:t>
      </w:r>
      <w:r w:rsidRPr="00A83C94">
        <w:rPr>
          <w:rFonts w:cs="Sylfaen"/>
          <w:b w:val="0"/>
          <w:szCs w:val="22"/>
          <w:lang w:val="af-ZA" w:eastAsia="en-US"/>
        </w:rPr>
        <w:t xml:space="preserve"> </w:t>
      </w:r>
      <w:r w:rsidRPr="006E7E1F">
        <w:rPr>
          <w:rFonts w:cs="Sylfaen"/>
          <w:b w:val="0"/>
          <w:szCs w:val="22"/>
          <w:lang w:val="hy-AM" w:eastAsia="en-US"/>
        </w:rPr>
        <w:t>ակտիվ</w:t>
      </w:r>
      <w:r w:rsidRPr="00A83C94">
        <w:rPr>
          <w:rFonts w:cs="Sylfaen"/>
          <w:b w:val="0"/>
          <w:szCs w:val="22"/>
          <w:lang w:val="af-ZA" w:eastAsia="en-US"/>
        </w:rPr>
        <w:softHyphen/>
      </w:r>
      <w:r w:rsidRPr="006E7E1F">
        <w:rPr>
          <w:rFonts w:cs="Sylfaen"/>
          <w:b w:val="0"/>
          <w:szCs w:val="22"/>
          <w:lang w:val="hy-AM" w:eastAsia="en-US"/>
        </w:rPr>
        <w:t>ների</w:t>
      </w:r>
      <w:r w:rsidRPr="00A83C94">
        <w:rPr>
          <w:rFonts w:cs="Sylfaen"/>
          <w:b w:val="0"/>
          <w:szCs w:val="22"/>
          <w:lang w:val="af-ZA" w:eastAsia="en-US"/>
        </w:rPr>
        <w:t xml:space="preserve"> </w:t>
      </w:r>
      <w:r w:rsidRPr="006E7E1F">
        <w:rPr>
          <w:rFonts w:cs="Sylfaen"/>
          <w:b w:val="0"/>
          <w:szCs w:val="22"/>
          <w:lang w:val="hy-AM" w:eastAsia="en-US"/>
        </w:rPr>
        <w:t>գծով</w:t>
      </w:r>
      <w:r w:rsidRPr="00A83C94">
        <w:rPr>
          <w:b w:val="0"/>
          <w:szCs w:val="22"/>
          <w:lang w:val="af-ZA" w:eastAsia="en-US"/>
        </w:rPr>
        <w:t xml:space="preserve"> </w:t>
      </w:r>
      <w:r w:rsidRPr="006E7E1F">
        <w:rPr>
          <w:rFonts w:cs="Sylfaen"/>
          <w:b w:val="0"/>
          <w:szCs w:val="22"/>
          <w:lang w:val="hy-AM" w:eastAsia="en-US"/>
        </w:rPr>
        <w:t>ծախսերը</w:t>
      </w:r>
      <w:r w:rsidRPr="00A83C94">
        <w:rPr>
          <w:rFonts w:cs="Sylfaen"/>
          <w:b w:val="0"/>
          <w:szCs w:val="22"/>
          <w:lang w:val="af-ZA" w:eastAsia="en-US"/>
        </w:rPr>
        <w:t xml:space="preserve">, </w:t>
      </w:r>
      <w:r w:rsidRPr="00A83C94">
        <w:rPr>
          <w:b w:val="0"/>
          <w:szCs w:val="22"/>
          <w:lang w:val="af-ZA" w:eastAsia="en-US"/>
        </w:rPr>
        <w:t xml:space="preserve">(2021 </w:t>
      </w:r>
      <w:r w:rsidRPr="006E7E1F">
        <w:rPr>
          <w:b w:val="0"/>
          <w:szCs w:val="22"/>
          <w:lang w:val="hy-AM" w:eastAsia="en-US"/>
        </w:rPr>
        <w:t>թվակա</w:t>
      </w:r>
      <w:r w:rsidRPr="006E7E1F">
        <w:rPr>
          <w:rFonts w:cs="Sylfaen"/>
          <w:b w:val="0"/>
          <w:szCs w:val="22"/>
          <w:lang w:val="hy-AM" w:eastAsia="en-US"/>
        </w:rPr>
        <w:t>նին</w:t>
      </w:r>
      <w:r w:rsidRPr="00A83C94">
        <w:rPr>
          <w:b w:val="0"/>
          <w:szCs w:val="22"/>
          <w:lang w:val="af-ZA" w:eastAsia="en-US"/>
        </w:rPr>
        <w:t xml:space="preserve"> </w:t>
      </w:r>
      <w:r w:rsidRPr="006E7E1F">
        <w:rPr>
          <w:rFonts w:cs="Sylfaen"/>
          <w:b w:val="0"/>
          <w:szCs w:val="22"/>
          <w:lang w:val="hy-AM" w:eastAsia="en-US"/>
        </w:rPr>
        <w:t>այդ</w:t>
      </w:r>
      <w:r w:rsidRPr="00A83C94">
        <w:rPr>
          <w:b w:val="0"/>
          <w:szCs w:val="22"/>
          <w:lang w:val="af-ZA" w:eastAsia="en-US"/>
        </w:rPr>
        <w:t xml:space="preserve"> </w:t>
      </w:r>
      <w:r w:rsidRPr="006E7E1F">
        <w:rPr>
          <w:rFonts w:cs="Sylfaen"/>
          <w:b w:val="0"/>
          <w:szCs w:val="22"/>
          <w:lang w:val="hy-AM" w:eastAsia="en-US"/>
        </w:rPr>
        <w:t>ցուցանիշը</w:t>
      </w:r>
      <w:r w:rsidRPr="00A83C94">
        <w:rPr>
          <w:rFonts w:cs="Sylfaen"/>
          <w:b w:val="0"/>
          <w:szCs w:val="22"/>
          <w:lang w:val="af-ZA" w:eastAsia="en-US"/>
        </w:rPr>
        <w:t xml:space="preserve"> </w:t>
      </w:r>
      <w:r w:rsidRPr="006E7E1F">
        <w:rPr>
          <w:rFonts w:cs="Sylfaen"/>
          <w:b w:val="0"/>
          <w:szCs w:val="22"/>
          <w:lang w:val="hy-AM" w:eastAsia="en-US"/>
        </w:rPr>
        <w:t>ծրագրվել</w:t>
      </w:r>
      <w:r w:rsidRPr="00A83C94">
        <w:rPr>
          <w:b w:val="0"/>
          <w:szCs w:val="22"/>
          <w:lang w:val="af-ZA" w:eastAsia="en-US"/>
        </w:rPr>
        <w:t xml:space="preserve"> </w:t>
      </w:r>
      <w:r w:rsidRPr="006E7E1F">
        <w:rPr>
          <w:rFonts w:cs="Sylfaen"/>
          <w:b w:val="0"/>
          <w:szCs w:val="22"/>
          <w:lang w:val="hy-AM" w:eastAsia="en-US"/>
        </w:rPr>
        <w:t>է</w:t>
      </w:r>
      <w:r w:rsidRPr="00A83C94">
        <w:rPr>
          <w:b w:val="0"/>
          <w:szCs w:val="22"/>
          <w:lang w:val="af-ZA" w:eastAsia="en-US"/>
        </w:rPr>
        <w:t xml:space="preserve"> </w:t>
      </w:r>
      <w:r w:rsidRPr="00A83C94">
        <w:rPr>
          <w:b w:val="0"/>
          <w:szCs w:val="22"/>
          <w:lang w:val="hy-AM" w:eastAsia="en-US"/>
        </w:rPr>
        <w:t>1</w:t>
      </w:r>
      <w:r w:rsidRPr="00A83C94">
        <w:rPr>
          <w:b w:val="0"/>
          <w:szCs w:val="22"/>
          <w:lang w:val="af-ZA" w:eastAsia="en-US"/>
        </w:rPr>
        <w:t xml:space="preserve">1.7%): </w:t>
      </w:r>
    </w:p>
    <w:p w14:paraId="442FA2E1" w14:textId="51C05854" w:rsidR="005B7218" w:rsidRPr="006E7E1F" w:rsidRDefault="005B7218" w:rsidP="005B7218">
      <w:pPr>
        <w:spacing w:line="276" w:lineRule="auto"/>
        <w:ind w:firstLine="475"/>
        <w:rPr>
          <w:b w:val="0"/>
          <w:lang w:val="af-ZA"/>
        </w:rPr>
      </w:pPr>
      <w:r w:rsidRPr="006E7E1F">
        <w:rPr>
          <w:b w:val="0"/>
          <w:lang w:val="af-ZA"/>
        </w:rPr>
        <w:t>20</w:t>
      </w:r>
      <w:r w:rsidRPr="006E7E1F">
        <w:rPr>
          <w:b w:val="0"/>
          <w:lang w:val="hy-AM"/>
        </w:rPr>
        <w:t>2</w:t>
      </w:r>
      <w:r w:rsidRPr="006E7E1F">
        <w:rPr>
          <w:b w:val="0"/>
          <w:lang w:val="af-ZA"/>
        </w:rPr>
        <w:t>2</w:t>
      </w:r>
      <w:r w:rsidR="00414443">
        <w:rPr>
          <w:b w:val="0"/>
          <w:lang w:val="af-ZA"/>
        </w:rPr>
        <w:t xml:space="preserve"> </w:t>
      </w:r>
      <w:r w:rsidRPr="006E7E1F">
        <w:rPr>
          <w:b w:val="0"/>
        </w:rPr>
        <w:t>թվակա</w:t>
      </w:r>
      <w:r w:rsidRPr="006E7E1F">
        <w:rPr>
          <w:rFonts w:cs="Sylfaen"/>
          <w:b w:val="0"/>
        </w:rPr>
        <w:t>նի</w:t>
      </w:r>
      <w:r w:rsidRPr="006E7E1F">
        <w:rPr>
          <w:b w:val="0"/>
          <w:lang w:val="af-ZA"/>
        </w:rPr>
        <w:t xml:space="preserve"> </w:t>
      </w:r>
      <w:r w:rsidRPr="006E7E1F">
        <w:rPr>
          <w:rFonts w:cs="Sylfaen"/>
          <w:b w:val="0"/>
        </w:rPr>
        <w:t>ընթացքում</w:t>
      </w:r>
      <w:r w:rsidRPr="006E7E1F">
        <w:rPr>
          <w:rFonts w:cs="Sylfaen"/>
          <w:b w:val="0"/>
          <w:lang w:val="af-ZA"/>
        </w:rPr>
        <w:t xml:space="preserve"> </w:t>
      </w:r>
      <w:r w:rsidRPr="006E7E1F">
        <w:rPr>
          <w:rFonts w:cs="Sylfaen"/>
          <w:b w:val="0"/>
        </w:rPr>
        <w:t>ոչ</w:t>
      </w:r>
      <w:r w:rsidRPr="006E7E1F">
        <w:rPr>
          <w:rFonts w:cs="Sylfaen"/>
          <w:b w:val="0"/>
          <w:lang w:val="af-ZA"/>
        </w:rPr>
        <w:t xml:space="preserve"> </w:t>
      </w:r>
      <w:r w:rsidRPr="006E7E1F">
        <w:rPr>
          <w:rFonts w:cs="Sylfaen"/>
          <w:b w:val="0"/>
        </w:rPr>
        <w:t>ֆինանսական</w:t>
      </w:r>
      <w:r w:rsidRPr="006E7E1F">
        <w:rPr>
          <w:rFonts w:cs="Sylfaen"/>
          <w:b w:val="0"/>
          <w:lang w:val="af-ZA"/>
        </w:rPr>
        <w:t xml:space="preserve"> </w:t>
      </w:r>
      <w:r w:rsidRPr="006E7E1F">
        <w:rPr>
          <w:rFonts w:cs="Sylfaen"/>
          <w:b w:val="0"/>
        </w:rPr>
        <w:t>ակտիվ</w:t>
      </w:r>
      <w:r w:rsidRPr="006E7E1F">
        <w:rPr>
          <w:rFonts w:cs="Sylfaen"/>
          <w:b w:val="0"/>
          <w:lang w:val="af-ZA"/>
        </w:rPr>
        <w:softHyphen/>
      </w:r>
      <w:r w:rsidRPr="006E7E1F">
        <w:rPr>
          <w:rFonts w:cs="Sylfaen"/>
          <w:b w:val="0"/>
        </w:rPr>
        <w:t>ների</w:t>
      </w:r>
      <w:r w:rsidRPr="006E7E1F">
        <w:rPr>
          <w:rFonts w:cs="Sylfaen"/>
          <w:b w:val="0"/>
          <w:lang w:val="af-ZA"/>
        </w:rPr>
        <w:t xml:space="preserve"> </w:t>
      </w:r>
      <w:r w:rsidRPr="006E7E1F">
        <w:rPr>
          <w:rFonts w:cs="Sylfaen"/>
          <w:b w:val="0"/>
        </w:rPr>
        <w:t>գծով</w:t>
      </w:r>
      <w:r w:rsidRPr="006E7E1F">
        <w:rPr>
          <w:rFonts w:cs="Sylfaen"/>
          <w:b w:val="0"/>
          <w:lang w:val="af-ZA"/>
        </w:rPr>
        <w:t xml:space="preserve"> </w:t>
      </w:r>
      <w:r w:rsidRPr="006E7E1F">
        <w:rPr>
          <w:rFonts w:cs="Sylfaen"/>
          <w:b w:val="0"/>
        </w:rPr>
        <w:t>ծախսերի</w:t>
      </w:r>
      <w:r w:rsidRPr="006E7E1F">
        <w:rPr>
          <w:b w:val="0"/>
          <w:lang w:val="af-ZA"/>
        </w:rPr>
        <w:t xml:space="preserve"> </w:t>
      </w:r>
      <w:r w:rsidRPr="006E7E1F">
        <w:rPr>
          <w:b w:val="0"/>
          <w:lang w:val="hy-AM"/>
        </w:rPr>
        <w:t xml:space="preserve">ֆինանսավորման կառուցվածքում արձանագրվում է արտաքին </w:t>
      </w:r>
      <w:r w:rsidRPr="006E7E1F">
        <w:rPr>
          <w:b w:val="0"/>
        </w:rPr>
        <w:t>և</w:t>
      </w:r>
      <w:r w:rsidRPr="006E7E1F">
        <w:rPr>
          <w:b w:val="0"/>
          <w:lang w:val="hy-AM"/>
        </w:rPr>
        <w:t xml:space="preserve"> ներքին աղբյուրների ծավալի </w:t>
      </w:r>
      <w:r w:rsidRPr="006E7E1F">
        <w:rPr>
          <w:b w:val="0"/>
        </w:rPr>
        <w:t>ավելացում</w:t>
      </w:r>
      <w:r w:rsidRPr="006E7E1F">
        <w:rPr>
          <w:b w:val="0"/>
          <w:lang w:val="hy-AM"/>
        </w:rPr>
        <w:t>:</w:t>
      </w:r>
      <w:r w:rsidRPr="006E7E1F">
        <w:rPr>
          <w:b w:val="0"/>
          <w:lang w:val="af-ZA"/>
        </w:rPr>
        <w:t xml:space="preserve"> Ընդ որում </w:t>
      </w:r>
      <w:r w:rsidRPr="006E7E1F">
        <w:rPr>
          <w:b w:val="0"/>
          <w:lang w:val="hy-AM"/>
        </w:rPr>
        <w:t xml:space="preserve">ներքին աղբյուրների ծավալի </w:t>
      </w:r>
      <w:r w:rsidRPr="006E7E1F">
        <w:rPr>
          <w:b w:val="0"/>
        </w:rPr>
        <w:t>ավելացումը</w:t>
      </w:r>
      <w:r w:rsidRPr="006E7E1F">
        <w:rPr>
          <w:b w:val="0"/>
          <w:lang w:val="af-ZA"/>
        </w:rPr>
        <w:t xml:space="preserve"> </w:t>
      </w:r>
      <w:r w:rsidRPr="006E7E1F">
        <w:rPr>
          <w:b w:val="0"/>
        </w:rPr>
        <w:t>կրում</w:t>
      </w:r>
      <w:r w:rsidRPr="006E7E1F">
        <w:rPr>
          <w:b w:val="0"/>
          <w:lang w:val="af-ZA"/>
        </w:rPr>
        <w:t xml:space="preserve"> </w:t>
      </w:r>
      <w:r w:rsidRPr="006E7E1F">
        <w:rPr>
          <w:b w:val="0"/>
        </w:rPr>
        <w:t>է</w:t>
      </w:r>
      <w:r w:rsidRPr="006E7E1F">
        <w:rPr>
          <w:b w:val="0"/>
          <w:lang w:val="af-ZA"/>
        </w:rPr>
        <w:t xml:space="preserve"> </w:t>
      </w:r>
      <w:r w:rsidRPr="006E7E1F">
        <w:rPr>
          <w:b w:val="0"/>
        </w:rPr>
        <w:t>առաջանցիկ</w:t>
      </w:r>
      <w:r w:rsidRPr="006E7E1F">
        <w:rPr>
          <w:b w:val="0"/>
          <w:lang w:val="af-ZA"/>
        </w:rPr>
        <w:t xml:space="preserve"> </w:t>
      </w:r>
      <w:r w:rsidRPr="006E7E1F">
        <w:rPr>
          <w:b w:val="0"/>
        </w:rPr>
        <w:t>բնույթ</w:t>
      </w:r>
      <w:r w:rsidRPr="006E7E1F">
        <w:rPr>
          <w:b w:val="0"/>
          <w:lang w:val="af-ZA"/>
        </w:rPr>
        <w:t>:</w:t>
      </w:r>
    </w:p>
    <w:p w14:paraId="72885E89" w14:textId="77777777" w:rsidR="005B7218" w:rsidRDefault="005B7218" w:rsidP="005B7218">
      <w:pPr>
        <w:spacing w:line="276" w:lineRule="auto"/>
        <w:ind w:firstLine="475"/>
        <w:jc w:val="center"/>
        <w:rPr>
          <w:rFonts w:eastAsia="Calibri"/>
          <w:b w:val="0"/>
          <w:i/>
          <w:iCs/>
          <w:color w:val="000000"/>
          <w:lang w:val="hy-AM"/>
        </w:rPr>
      </w:pPr>
    </w:p>
    <w:p w14:paraId="749FB4F0" w14:textId="0F0DE163" w:rsidR="005B7218" w:rsidRPr="00A60550" w:rsidRDefault="005B7218" w:rsidP="005B7218">
      <w:pPr>
        <w:pStyle w:val="Caption"/>
        <w:rPr>
          <w:rFonts w:cs="Sylfaen"/>
          <w:lang w:val="hy-AM"/>
        </w:rPr>
      </w:pPr>
      <w:bookmarkStart w:id="275" w:name="_Toc89428819"/>
      <w:r w:rsidRPr="008B1D49">
        <w:rPr>
          <w:lang w:val="hy-AM"/>
        </w:rPr>
        <w:t xml:space="preserve">Գծապատկեր </w:t>
      </w:r>
      <w:r>
        <w:fldChar w:fldCharType="begin"/>
      </w:r>
      <w:r w:rsidRPr="008B1D49">
        <w:rPr>
          <w:lang w:val="hy-AM"/>
        </w:rPr>
        <w:instrText xml:space="preserve"> SEQ Գծապատկեր \* ARABIC </w:instrText>
      </w:r>
      <w:r>
        <w:fldChar w:fldCharType="separate"/>
      </w:r>
      <w:r w:rsidR="004F79FF">
        <w:rPr>
          <w:noProof/>
          <w:lang w:val="hy-AM"/>
        </w:rPr>
        <w:t>4</w:t>
      </w:r>
      <w:r>
        <w:fldChar w:fldCharType="end"/>
      </w:r>
      <w:r w:rsidRPr="006E7E1F">
        <w:rPr>
          <w:b/>
          <w:bCs w:val="0"/>
          <w:lang w:val="hy-AM"/>
        </w:rPr>
        <w:t>.</w:t>
      </w:r>
      <w:r w:rsidRPr="008C23C8">
        <w:rPr>
          <w:rFonts w:eastAsia="Calibri"/>
          <w:i/>
          <w:iCs/>
          <w:color w:val="000000"/>
          <w:sz w:val="20"/>
          <w:szCs w:val="20"/>
          <w:lang w:val="hy-AM"/>
        </w:rPr>
        <w:t xml:space="preserve"> </w:t>
      </w:r>
      <w:r w:rsidRPr="006E7E1F">
        <w:rPr>
          <w:rFonts w:cs="Sylfaen"/>
          <w:i/>
          <w:sz w:val="20"/>
          <w:szCs w:val="20"/>
          <w:lang w:val="hy-AM"/>
        </w:rPr>
        <w:t>2018-2022 թթ</w:t>
      </w:r>
      <w:r w:rsidRPr="006E7E1F">
        <w:rPr>
          <w:rFonts w:ascii="Cambria Math" w:hAnsi="Cambria Math" w:cs="Cambria Math"/>
          <w:i/>
          <w:sz w:val="20"/>
          <w:szCs w:val="20"/>
          <w:lang w:val="hy-AM"/>
        </w:rPr>
        <w:t>․</w:t>
      </w:r>
      <w:r w:rsidRPr="006E7E1F">
        <w:rPr>
          <w:rFonts w:cs="Sylfaen"/>
          <w:i/>
          <w:sz w:val="20"/>
          <w:szCs w:val="20"/>
          <w:lang w:val="hy-AM"/>
        </w:rPr>
        <w:t>ոչ ֆինանսական ակտիվ</w:t>
      </w:r>
      <w:r w:rsidRPr="006E7E1F">
        <w:rPr>
          <w:rFonts w:cs="Sylfaen"/>
          <w:i/>
          <w:sz w:val="20"/>
          <w:szCs w:val="20"/>
          <w:lang w:val="hy-AM"/>
        </w:rPr>
        <w:softHyphen/>
        <w:t>ների գծով ծախսերի ֆինանսավորման կառուցվածքը</w:t>
      </w:r>
      <w:bookmarkEnd w:id="275"/>
    </w:p>
    <w:p w14:paraId="2DED4F1A" w14:textId="77777777" w:rsidR="005B7218" w:rsidRDefault="005B7218" w:rsidP="005B7218">
      <w:pPr>
        <w:rPr>
          <w:lang w:val="hy-AM"/>
        </w:rPr>
      </w:pPr>
      <w:r>
        <w:rPr>
          <w:noProof/>
          <w:lang w:val="en-US" w:eastAsia="en-US"/>
        </w:rPr>
        <mc:AlternateContent>
          <mc:Choice Requires="wps">
            <w:drawing>
              <wp:anchor distT="0" distB="0" distL="114300" distR="114300" simplePos="0" relativeHeight="251628544" behindDoc="0" locked="0" layoutInCell="1" allowOverlap="1" wp14:anchorId="6687542A" wp14:editId="70B4B5E8">
                <wp:simplePos x="0" y="0"/>
                <wp:positionH relativeFrom="column">
                  <wp:posOffset>5309235</wp:posOffset>
                </wp:positionH>
                <wp:positionV relativeFrom="paragraph">
                  <wp:posOffset>450215</wp:posOffset>
                </wp:positionV>
                <wp:extent cx="190500" cy="2286000"/>
                <wp:effectExtent l="152400" t="19050" r="19050" b="38100"/>
                <wp:wrapNone/>
                <wp:docPr id="37" name="Left Brac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2286000"/>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674CDFFA" id="Left Brace 37" o:spid="_x0000_s1026" type="#_x0000_t87" style="position:absolute;margin-left:418.05pt;margin-top:35.45pt;width:15pt;height:180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gUr9gEAAO4DAAAOAAAAZHJzL2Uyb0RvYy54bWysU9uO2jAQfa/Uf7D8XhLSZYGIsFKL6Att&#10;kXb7AYMvSVrfZHsJ/H3HJiC2fav6YnkuPnPmzHj1dNKKHIUPvTUNnU5KSoRhlvembeiPl+2HBSUh&#10;guGgrBENPYtAn9bv360GV4vKdlZx4QmCmFAPrqFdjK4uisA6oSFMrBMGg9J6DRFN3xbcw4DoWhVV&#10;WT4Wg/XcectECOjdXIJ0nfGlFCx+lzKISFRDkVvMp8/nIZ3FegV168F1PRtpwD+w0NAbLHqD2kAE&#10;8ur7v6B0z7wNVsYJs7qwUvZM5B6wm2n5RzfPHTiRe0FxgrvJFP4fLPt23HvS84Z+nFNiQOOMdkJG&#10;8skDEwSdqNDgQo2Jz27vU4/B7Sz7FTBQvIkkI4w5J+l1ysUOySnLfb7JLU6RMHROl+WsxKEwDFXV&#10;4rFEI4FCfX3tfIhfhNUkXRqqkFjmlaWG4y7ErDkfiQP/OaVEaoUjPIIii+VithxHfJdT3ecgg1vZ&#10;EREJXAsneGO3vVJ5UZQhQ0Mf5o/VDGkD7qtUEPGqHSoYTEsJqBY/Aos+cwxW9Tw9z7r59vBZeYLU&#10;sPntw3K+yUnqVX+1/OKeJz6jCuGSnxV5A5TYbSB0lyc5ND5RJhUSefFRneuILlNJ8zlYft77qx+X&#10;KqOPHyBt7b2N9/tvuv4NAAD//wMAUEsDBBQABgAIAAAAIQA0ttte3QAAAAoBAAAPAAAAZHJzL2Rv&#10;d25yZXYueG1sTI/BTsMwDIbvSLxDZCRuLF2LSil1JzTBBWkSK4iz12RNRZNUTbqVt8c7wdG/P/3+&#10;XG0WO4iTnkLvHcJ6lYDQrvWqdx3C58frXQEiRHKKBu80wo8OsKmvryoqlT+7vT41sRNc4kJJCCbG&#10;sZQytEZbCis/ase7o58sRR6nTqqJzlxuB5kmSS4t9Y4vGBr11uj2u5ktwrtpKGu/5jTfvYxW7iKl&#10;x+0b4u3N8vwEIuol/sFw0Wd1qNnp4GenghgQiixfM4rwkDyCYKDIL8EB4T7jRNaV/P9C/QsAAP//&#10;AwBQSwECLQAUAAYACAAAACEAtoM4kv4AAADhAQAAEwAAAAAAAAAAAAAAAAAAAAAAW0NvbnRlbnRf&#10;VHlwZXNdLnhtbFBLAQItABQABgAIAAAAIQA4/SH/1gAAAJQBAAALAAAAAAAAAAAAAAAAAC8BAABf&#10;cmVscy8ucmVsc1BLAQItABQABgAIAAAAIQBWNgUr9gEAAO4DAAAOAAAAAAAAAAAAAAAAAC4CAABk&#10;cnMvZTJvRG9jLnhtbFBLAQItABQABgAIAAAAIQA0ttte3QAAAAoBAAAPAAAAAAAAAAAAAAAAAFAE&#10;AABkcnMvZG93bnJldi54bWxQSwUGAAAAAAQABADzAAAAWgUAAAAA&#10;" adj="1617" strokecolor="#17375e" strokeweight="3.75pt"/>
            </w:pict>
          </mc:Fallback>
        </mc:AlternateContent>
      </w:r>
      <w:r>
        <w:rPr>
          <w:noProof/>
          <w:lang w:val="en-US" w:eastAsia="en-US"/>
        </w:rPr>
        <mc:AlternateContent>
          <mc:Choice Requires="wps">
            <w:drawing>
              <wp:anchor distT="0" distB="0" distL="114300" distR="114300" simplePos="0" relativeHeight="251619328" behindDoc="0" locked="0" layoutInCell="1" allowOverlap="1" wp14:anchorId="5FB37FA3" wp14:editId="043481E3">
                <wp:simplePos x="0" y="0"/>
                <wp:positionH relativeFrom="column">
                  <wp:posOffset>4232911</wp:posOffset>
                </wp:positionH>
                <wp:positionV relativeFrom="paragraph">
                  <wp:posOffset>1374140</wp:posOffset>
                </wp:positionV>
                <wp:extent cx="190500" cy="1362075"/>
                <wp:effectExtent l="152400" t="19050" r="19050" b="47625"/>
                <wp:wrapNone/>
                <wp:docPr id="38"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 cy="1362075"/>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3E84C033" id="Left Brace 1" o:spid="_x0000_s1026" type="#_x0000_t87" style="position:absolute;margin-left:333.3pt;margin-top:108.2pt;width:15pt;height:10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VM0+QEAAO0DAAAOAAAAZHJzL2Uyb0RvYy54bWysU9uO2jAQfa/Uf7D8XpKwywIRYaUW0Rfa&#10;Im37AYMvSVrfZHsJ/H3HJiC2fav6YtlzOXPmzHj1fNKKHIUPvTUNrSYlJcIwy3vTNvTH9+2HBSUh&#10;guGgrBENPYtAn9fv360GV4up7aziwhMEMaEeXEO7GF1dFIF1QkOYWCcMOqX1GiI+fVtwDwOia1VM&#10;y/KpGKznzlsmQkDr5uKk64wvpWDxm5RBRKIaitxiPn0+D+ks1iuoWw+u69lIA/6BhYbeYNEb1AYi&#10;kFff/wWle+ZtsDJOmNWFlbJnIveA3VTlH928dOBE7gXFCe4mU/h/sOzrce9Jzxv6gJMyoHFGOyEj&#10;+eiBCVIlgQYXaox7cXufWgxuZ9mvgI7ijSc9whhzkl6nWGyQnLLa55va4hQJQ2O1LGclzoShq3p4&#10;mpbzWapWQH3Ndj7Ez8Jqki4NVcgr08pKw3EXYpacj7yB/6wokVrhBI+gyGK5mC3HCd/FTO9jkAFy&#10;uJQdEZHAtXCCN3bbK4URUCtDhoY+zp+mM6QNuK5SQcSrdihgMC0loFr8Byz6zDFY1fOUnrKDbw+f&#10;lCdIDRvePi7nmxykXvUXyy/meeIz0hnjsyJvgBK7DYTukpJdY4oyqZDIe4/qXEd0mUqaz8Hy895f&#10;7bhTGX3c/7S092+83//S9W8AAAD//wMAUEsDBBQABgAIAAAAIQAUWdt64gAAAAsBAAAPAAAAZHJz&#10;L2Rvd25yZXYueG1sTI9NS8NAEIbvgv9hGcGb3aSWYGM2RRSpQgv2A8TbJjsmwexs2N220V/v9KRz&#10;m5mHd54pFqPtxRF96BwpSCcJCKTamY4aBfvd880diBA1Gd07QgXfGGBRXl4UOjfuRBs8bmMjOIRC&#10;rhW0MQ65lKFu0eowcQMS7z6dtzpy6xtpvD5xuO3lNEkyaXVHfKHVAz62WH9tD1bBevW6e397WX6k&#10;Pl27ynVh+fSzUur6any4BxFxjH8wnPVZHUp2qtyBTBC9goyLUQXTNJuBYCKbnyeVgtltMgdZFvL/&#10;D+UvAAAA//8DAFBLAQItABQABgAIAAAAIQC2gziS/gAAAOEBAAATAAAAAAAAAAAAAAAAAAAAAABb&#10;Q29udGVudF9UeXBlc10ueG1sUEsBAi0AFAAGAAgAAAAhADj9If/WAAAAlAEAAAsAAAAAAAAAAAAA&#10;AAAALwEAAF9yZWxzLy5yZWxzUEsBAi0AFAAGAAgAAAAhAB3NUzT5AQAA7QMAAA4AAAAAAAAAAAAA&#10;AAAALgIAAGRycy9lMm9Eb2MueG1sUEsBAi0AFAAGAAgAAAAhABRZ23riAAAACwEAAA8AAAAAAAAA&#10;AAAAAAAAUwQAAGRycy9kb3ducmV2LnhtbFBLBQYAAAAABAAEAPMAAABiBQAAAAA=&#10;" adj="2715" strokecolor="#17375e" strokeweight="3.75pt"/>
            </w:pict>
          </mc:Fallback>
        </mc:AlternateContent>
      </w:r>
      <w:r>
        <w:rPr>
          <w:noProof/>
          <w:lang w:val="en-US" w:eastAsia="en-US"/>
        </w:rPr>
        <mc:AlternateContent>
          <mc:Choice Requires="wps">
            <w:drawing>
              <wp:anchor distT="0" distB="0" distL="114300" distR="114300" simplePos="0" relativeHeight="251637760" behindDoc="0" locked="0" layoutInCell="1" allowOverlap="1" wp14:anchorId="6D6783A1" wp14:editId="3731B119">
                <wp:simplePos x="0" y="0"/>
                <wp:positionH relativeFrom="column">
                  <wp:posOffset>3280410</wp:posOffset>
                </wp:positionH>
                <wp:positionV relativeFrom="paragraph">
                  <wp:posOffset>1307464</wp:posOffset>
                </wp:positionV>
                <wp:extent cx="95250" cy="1457325"/>
                <wp:effectExtent l="19050" t="19050" r="19050" b="47625"/>
                <wp:wrapNone/>
                <wp:docPr id="39"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457325"/>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1D327361" id="Left Brace 1" o:spid="_x0000_s1026" type="#_x0000_t87" style="position:absolute;margin-left:258.3pt;margin-top:102.95pt;width:7.5pt;height:11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Kk+AEAAOwDAAAOAAAAZHJzL2Uyb0RvYy54bWysU9uO2jAQfa/Uf7D8XgIsWSAirNQi+kJb&#10;pG0/wPiSZNc3ebwE/r5jExDbvlXNg2XP5cyZM5PV08locpQBOmdrOhmNKZGWO9HZpqa/fm4/LSiB&#10;yKxg2llZ07ME+rT++GHV+0pOXeu0kIEgiIWq9zVtY/RVUQBvpWEwcl5adCoXDIv4DE0hAusR3ehi&#10;Oh4/Fr0LwgfHJQBaNxcnXWd8pSSPP5QCGYmuKXKL+Qz5PKSzWK9Y1QTm244PNNg/sDCss1j0BrVh&#10;kZG30P0FZToeHDgVR9yZwinVcZl7wG4m4z+6eW6Zl7kXFAf8TSb4f7D8+3EfSCdq+rCkxDKDM9pJ&#10;FcnnwLgkkyRQ76HCuGe/D6lF8DvHXwEdxTtPesAQc1LBpFhskJyy2ueb2vIUCUfjspyWOBKOnsms&#10;nD9My1SsYNU12QeIX6UzJF1qqpFWZpWFZscdxKy4GGgz8TKhRBmNAzwyTRbLRbkcBnwXM72PKcf4&#10;DWUHRCRwLZzgrdt2Wuc10Zb0NZ3NH5Ep4Qy3VWkW8Wo86ge2oYTpBn8DHkPmCE53IqVn2UJz+KID&#10;QWrY8Ha2nG9ykH4z35y4mOeJz0AHLvFZkXdAid2GQXtJya4hRdtUSOa1R3WuE7oMJY3n4MR5H652&#10;XKmMPqx/2tn7N97vf9L1bwAAAP//AwBQSwMEFAAGAAgAAAAhAB73OADgAAAACwEAAA8AAABkcnMv&#10;ZG93bnJldi54bWxMj8FOwzAMhu9IvENkJG4s7bpWUOpOaNKQOLIhNG5pEppqjVMl2da9PeEER9uf&#10;fn9/s57tyM7ah8ERQr7IgGmSTg3UI3zstw+PwEIUpMToSCNcdYB1e3vTiFq5C73r8y72LIVQqAWC&#10;iXGqOQ/SaCvCwk2a0u3beStiGn3PlReXFG5HvsyyilsxUPpgxKQ3Rsvj7mQRDrHL5aGfvuTrVb4V&#10;n35rjpsc8f5ufnkGFvUc/2D41U/q0Canzp1IBTYilHlVJRRhmZVPwBJRFnnadAirolwBbxv+v0P7&#10;AwAA//8DAFBLAQItABQABgAIAAAAIQC2gziS/gAAAOEBAAATAAAAAAAAAAAAAAAAAAAAAABbQ29u&#10;dGVudF9UeXBlc10ueG1sUEsBAi0AFAAGAAgAAAAhADj9If/WAAAAlAEAAAsAAAAAAAAAAAAAAAAA&#10;LwEAAF9yZWxzLy5yZWxzUEsBAi0AFAAGAAgAAAAhAFSqEqT4AQAA7AMAAA4AAAAAAAAAAAAAAAAA&#10;LgIAAGRycy9lMm9Eb2MueG1sUEsBAi0AFAAGAAgAAAAhAB73OADgAAAACwEAAA8AAAAAAAAAAAAA&#10;AAAAUgQAAGRycy9kb3ducmV2LnhtbFBLBQYAAAAABAAEAPMAAABfBQAAAAA=&#10;" adj="1269" strokecolor="#17375e" strokeweight="3.75pt"/>
            </w:pict>
          </mc:Fallback>
        </mc:AlternateContent>
      </w:r>
      <w:r>
        <w:rPr>
          <w:noProof/>
          <w:lang w:val="en-US" w:eastAsia="en-US"/>
        </w:rPr>
        <mc:AlternateContent>
          <mc:Choice Requires="wps">
            <w:drawing>
              <wp:anchor distT="0" distB="0" distL="114300" distR="114300" simplePos="0" relativeHeight="251646976" behindDoc="0" locked="0" layoutInCell="1" allowOverlap="1" wp14:anchorId="0863DE6F" wp14:editId="7A58ED56">
                <wp:simplePos x="0" y="0"/>
                <wp:positionH relativeFrom="column">
                  <wp:posOffset>2185035</wp:posOffset>
                </wp:positionH>
                <wp:positionV relativeFrom="paragraph">
                  <wp:posOffset>1574165</wp:posOffset>
                </wp:positionV>
                <wp:extent cx="152400" cy="1162050"/>
                <wp:effectExtent l="114300" t="19050" r="19050" b="38100"/>
                <wp:wrapNone/>
                <wp:docPr id="41" name="Left Brac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162050"/>
                        </a:xfrm>
                        <a:prstGeom prst="leftBrace">
                          <a:avLst>
                            <a:gd name="adj1" fmla="val 89859"/>
                            <a:gd name="adj2" fmla="val 50000"/>
                          </a:avLst>
                        </a:prstGeom>
                        <a:noFill/>
                        <a:ln w="47625" cap="flat" cmpd="sng" algn="ctr">
                          <a:solidFill>
                            <a:srgbClr val="1F497D">
                              <a:lumMod val="7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shape w14:anchorId="7942927D" id="Left Brace 1" o:spid="_x0000_s1026" type="#_x0000_t87" style="position:absolute;margin-left:172.05pt;margin-top:123.95pt;width:12pt;height:9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mff9wEAAO0DAAAOAAAAZHJzL2Uyb0RvYy54bWysU8mO2zAMvRfoPwi6N16Q1YgzQBukl7QN&#10;MO0HKLJke6oNoiZO/r6U4gSZ9laMD4LE5fHxkV4/nbUiJ+Ght6amxSSnRBhum960Nf31c/dpSQkE&#10;ZhqmrBE1vQigT5uPH9aDq0RpO6sa4QmCGKgGV9MuBFdlGfBOaAYT64RBp7Res4BP32aNZwOia5WV&#10;eT7PBusb5y0XAGjdXp10k/ClFDz8kBJEIKqmyC2k06fzGM9ss2ZV65nrej7SYP/BQrPeYNE71JYF&#10;Rl59/w+U7rm3YGWYcKszK2XPReoBuynyv7p57pgTqRcUB9xdJng/WP79dPCkb2o6LSgxTOOM9kIG&#10;8tkzLkgRBRocVBj37A4+tghub/lvQEf2xhMfMMacpdcxFhsk56T25a62OAfC0VjMymmOM+HoKop5&#10;mc/SODJW3bKdh/BVWE3ipaYKeSVaSWl22kNIkjcjb9a8YA9SK5zgiSmyXC1nq3HCDzHlY8wsxy/G&#10;YNkREW+3whHe2F2vVNoTZciAQi3m5QxpM1xXqVjAq3YoIJiWEqZa/A948IkjWNU3MT3p5tvjF+UJ&#10;UsOGd9PVYpuC1Kv+ZpureRH5jHTgGp+ovQGK7LYMumtKco0pysRCIu09qnMb0XUqcT5H21wO/mbH&#10;nUro4/7HpX184/3xL938AQAA//8DAFBLAwQUAAYACAAAACEAv118QeMAAAALAQAADwAAAGRycy9k&#10;b3ducmV2LnhtbEyPTUvDQBCG74L/YRnBi9jNNqGmMZsiglUQBFtBvG2z0yRkP0J2m8Z/73jS48w8&#10;vPO85Wa2hk04hs47CWKRAENXe925RsLH/uk2BxaicloZ71DCNwbYVJcXpSq0P7t3nHaxYRTiQqEk&#10;tDEOBeehbtGqsPADOrod/WhVpHFsuB7VmcKt4cskWXGrOkcfWjXgY4t1vztZCb0Vny/H/K37uulf&#10;9yiezXY7CSmvr+aHe2AR5/gHw68+qUNFTgd/cjowIyHNMkGohGV2twZGRLrKaXOQkKXJGnhV8v8d&#10;qh8AAAD//wMAUEsBAi0AFAAGAAgAAAAhALaDOJL+AAAA4QEAABMAAAAAAAAAAAAAAAAAAAAAAFtD&#10;b250ZW50X1R5cGVzXS54bWxQSwECLQAUAAYACAAAACEAOP0h/9YAAACUAQAACwAAAAAAAAAAAAAA&#10;AAAvAQAAX3JlbHMvLnJlbHNQSwECLQAUAAYACAAAACEAndpn3/cBAADtAwAADgAAAAAAAAAAAAAA&#10;AAAuAgAAZHJzL2Uyb0RvYy54bWxQSwECLQAUAAYACAAAACEAv118QeMAAAALAQAADwAAAAAAAAAA&#10;AAAAAABRBAAAZHJzL2Rvd25yZXYueG1sUEsFBgAAAAAEAAQA8wAAAGEFAAAAAA==&#10;" adj="2546" strokecolor="#17375e" strokeweight="3.75pt"/>
            </w:pict>
          </mc:Fallback>
        </mc:AlternateContent>
      </w:r>
      <w:r w:rsidRPr="0035033F">
        <w:rPr>
          <w:noProof/>
          <w:lang w:val="en-US" w:eastAsia="en-US"/>
        </w:rPr>
        <w:drawing>
          <wp:inline distT="0" distB="0" distL="0" distR="0" wp14:anchorId="4095F21B" wp14:editId="5375C502">
            <wp:extent cx="5810250" cy="3733800"/>
            <wp:effectExtent l="0" t="0" r="0" b="0"/>
            <wp:docPr id="23" name="Char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lang w:val="hy-AM"/>
        </w:rPr>
        <w:t xml:space="preserve"> </w:t>
      </w:r>
    </w:p>
    <w:p w14:paraId="0400724A" w14:textId="77777777" w:rsidR="005B7218" w:rsidRPr="006E7E1F" w:rsidRDefault="005B7218" w:rsidP="005B7218">
      <w:pPr>
        <w:ind w:firstLine="480"/>
        <w:rPr>
          <w:rFonts w:cs="Sylfaen"/>
          <w:b w:val="0"/>
          <w:lang w:val="hy-AM"/>
        </w:rPr>
      </w:pPr>
      <w:r w:rsidRPr="006E7E1F">
        <w:rPr>
          <w:rFonts w:cs="Sylfaen"/>
          <w:b w:val="0"/>
          <w:lang w:val="hy-AM"/>
        </w:rPr>
        <w:t>Ոչ</w:t>
      </w:r>
      <w:r w:rsidRPr="006E7E1F">
        <w:rPr>
          <w:b w:val="0"/>
          <w:lang w:val="hy-AM"/>
        </w:rPr>
        <w:t xml:space="preserve"> </w:t>
      </w:r>
      <w:r w:rsidRPr="006E7E1F">
        <w:rPr>
          <w:rFonts w:cs="Sylfaen"/>
          <w:b w:val="0"/>
          <w:lang w:val="hy-AM"/>
        </w:rPr>
        <w:t>ֆինանսական</w:t>
      </w:r>
      <w:r w:rsidRPr="006E7E1F">
        <w:rPr>
          <w:b w:val="0"/>
          <w:lang w:val="hy-AM"/>
        </w:rPr>
        <w:t xml:space="preserve"> </w:t>
      </w:r>
      <w:r w:rsidRPr="006E7E1F">
        <w:rPr>
          <w:rFonts w:cs="Sylfaen"/>
          <w:b w:val="0"/>
          <w:lang w:val="hy-AM"/>
        </w:rPr>
        <w:t>ակտիվների</w:t>
      </w:r>
      <w:r w:rsidRPr="006E7E1F">
        <w:rPr>
          <w:b w:val="0"/>
          <w:lang w:val="hy-AM"/>
        </w:rPr>
        <w:t xml:space="preserve"> </w:t>
      </w:r>
      <w:r w:rsidRPr="006E7E1F">
        <w:rPr>
          <w:rFonts w:cs="Sylfaen"/>
          <w:b w:val="0"/>
          <w:lang w:val="hy-AM"/>
        </w:rPr>
        <w:t>գծով</w:t>
      </w:r>
      <w:r w:rsidRPr="006E7E1F">
        <w:rPr>
          <w:b w:val="0"/>
          <w:lang w:val="hy-AM"/>
        </w:rPr>
        <w:t xml:space="preserve"> </w:t>
      </w:r>
      <w:r w:rsidRPr="006E7E1F">
        <w:rPr>
          <w:rFonts w:cs="Sylfaen"/>
          <w:b w:val="0"/>
          <w:lang w:val="hy-AM"/>
        </w:rPr>
        <w:t>ծախսերի</w:t>
      </w:r>
      <w:r w:rsidRPr="006E7E1F">
        <w:rPr>
          <w:b w:val="0"/>
          <w:lang w:val="hy-AM"/>
        </w:rPr>
        <w:t xml:space="preserve"> </w:t>
      </w:r>
      <w:r w:rsidRPr="006E7E1F">
        <w:rPr>
          <w:rFonts w:cs="Sylfaen"/>
          <w:b w:val="0"/>
          <w:lang w:val="hy-AM"/>
        </w:rPr>
        <w:t>իրակա</w:t>
      </w:r>
      <w:r w:rsidRPr="006E7E1F">
        <w:rPr>
          <w:rFonts w:cs="Sylfaen"/>
          <w:b w:val="0"/>
          <w:lang w:val="hy-AM"/>
        </w:rPr>
        <w:softHyphen/>
        <w:t>նացման</w:t>
      </w:r>
      <w:r w:rsidRPr="006E7E1F">
        <w:rPr>
          <w:b w:val="0"/>
          <w:lang w:val="hy-AM"/>
        </w:rPr>
        <w:t xml:space="preserve"> </w:t>
      </w:r>
      <w:r w:rsidRPr="006E7E1F">
        <w:rPr>
          <w:rFonts w:cs="Sylfaen"/>
          <w:b w:val="0"/>
          <w:lang w:val="hy-AM"/>
        </w:rPr>
        <w:t>գե</w:t>
      </w:r>
      <w:r w:rsidRPr="006E7E1F">
        <w:rPr>
          <w:rFonts w:cs="Sylfaen"/>
          <w:b w:val="0"/>
          <w:lang w:val="hy-AM"/>
        </w:rPr>
        <w:softHyphen/>
        <w:t>րա</w:t>
      </w:r>
      <w:r w:rsidRPr="006E7E1F">
        <w:rPr>
          <w:rFonts w:cs="Sylfaen"/>
          <w:b w:val="0"/>
          <w:lang w:val="hy-AM"/>
        </w:rPr>
        <w:softHyphen/>
      </w:r>
      <w:r w:rsidRPr="006E7E1F">
        <w:rPr>
          <w:rFonts w:cs="Sylfaen"/>
          <w:b w:val="0"/>
          <w:lang w:val="hy-AM"/>
        </w:rPr>
        <w:softHyphen/>
        <w:t>կայու</w:t>
      </w:r>
      <w:r w:rsidRPr="006E7E1F">
        <w:rPr>
          <w:rFonts w:cs="Sylfaen"/>
          <w:b w:val="0"/>
          <w:lang w:val="hy-AM"/>
        </w:rPr>
        <w:softHyphen/>
        <w:t>թյունները</w:t>
      </w:r>
      <w:r w:rsidRPr="006E7E1F">
        <w:rPr>
          <w:b w:val="0"/>
          <w:lang w:val="hy-AM"/>
        </w:rPr>
        <w:t xml:space="preserve"> հանդիսանալու են ինչպես ենթակառուցվածքային, այնպես էլ սոցիալական ոլորտներում ներդրումները</w:t>
      </w:r>
      <w:r w:rsidRPr="006E7E1F">
        <w:rPr>
          <w:rFonts w:cs="Sylfaen"/>
          <w:b w:val="0"/>
          <w:lang w:val="hy-AM"/>
        </w:rPr>
        <w:t>:</w:t>
      </w:r>
    </w:p>
    <w:p w14:paraId="202D2C32" w14:textId="1613A7A9" w:rsidR="005B7218" w:rsidRPr="006E7E1F" w:rsidRDefault="005B7218" w:rsidP="005B7218">
      <w:pPr>
        <w:pStyle w:val="Caption"/>
        <w:spacing w:before="0" w:after="0" w:line="240" w:lineRule="auto"/>
        <w:ind w:firstLine="562"/>
        <w:rPr>
          <w:sz w:val="20"/>
          <w:szCs w:val="20"/>
          <w:lang w:val="hy-AM"/>
        </w:rPr>
      </w:pPr>
      <w:bookmarkStart w:id="276" w:name="_Toc83928949"/>
      <w:bookmarkStart w:id="277" w:name="_Toc89428773"/>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13</w:t>
      </w:r>
      <w:r>
        <w:fldChar w:fldCharType="end"/>
      </w:r>
      <w:r w:rsidR="00F208B4" w:rsidRPr="00F208B4">
        <w:rPr>
          <w:lang w:val="hy-AM"/>
        </w:rPr>
        <w:t>.</w:t>
      </w:r>
      <w:r w:rsidRPr="005F3E1B">
        <w:rPr>
          <w:sz w:val="20"/>
          <w:szCs w:val="20"/>
          <w:lang w:val="af-ZA"/>
        </w:rPr>
        <w:t xml:space="preserve"> </w:t>
      </w:r>
      <w:r w:rsidRPr="006E7E1F">
        <w:rPr>
          <w:i/>
          <w:sz w:val="20"/>
          <w:szCs w:val="20"/>
          <w:lang w:val="af-ZA"/>
        </w:rPr>
        <w:t>20</w:t>
      </w:r>
      <w:r>
        <w:rPr>
          <w:i/>
          <w:sz w:val="20"/>
          <w:szCs w:val="20"/>
          <w:lang w:val="af-ZA"/>
        </w:rPr>
        <w:t>18</w:t>
      </w:r>
      <w:r w:rsidRPr="006E7E1F">
        <w:rPr>
          <w:i/>
          <w:sz w:val="20"/>
          <w:szCs w:val="20"/>
          <w:lang w:val="af-ZA"/>
        </w:rPr>
        <w:t>-202</w:t>
      </w:r>
      <w:r>
        <w:rPr>
          <w:i/>
          <w:sz w:val="20"/>
          <w:szCs w:val="20"/>
          <w:lang w:val="af-ZA"/>
        </w:rPr>
        <w:t>2</w:t>
      </w:r>
      <w:r w:rsidRPr="006E7E1F">
        <w:rPr>
          <w:i/>
          <w:sz w:val="20"/>
          <w:szCs w:val="20"/>
          <w:lang w:val="it-IT"/>
        </w:rPr>
        <w:t>թթ</w:t>
      </w:r>
      <w:r>
        <w:rPr>
          <w:i/>
          <w:sz w:val="20"/>
          <w:szCs w:val="20"/>
          <w:lang w:val="it-IT"/>
        </w:rPr>
        <w:t>.</w:t>
      </w:r>
      <w:r w:rsidRPr="006E7E1F">
        <w:rPr>
          <w:i/>
          <w:sz w:val="20"/>
          <w:szCs w:val="20"/>
          <w:lang w:val="af-ZA"/>
        </w:rPr>
        <w:t xml:space="preserve"> </w:t>
      </w:r>
      <w:r w:rsidRPr="006E7E1F">
        <w:rPr>
          <w:rFonts w:cs="Sylfaen"/>
          <w:i/>
          <w:sz w:val="20"/>
          <w:szCs w:val="20"/>
          <w:lang w:val="hy-AM"/>
        </w:rPr>
        <w:t>ոչ</w:t>
      </w:r>
      <w:r w:rsidRPr="006E7E1F">
        <w:rPr>
          <w:i/>
          <w:sz w:val="20"/>
          <w:szCs w:val="20"/>
          <w:lang w:val="hy-AM"/>
        </w:rPr>
        <w:t xml:space="preserve"> </w:t>
      </w:r>
      <w:r w:rsidRPr="006E7E1F">
        <w:rPr>
          <w:rFonts w:cs="Sylfaen"/>
          <w:i/>
          <w:sz w:val="20"/>
          <w:szCs w:val="20"/>
          <w:lang w:val="hy-AM"/>
        </w:rPr>
        <w:t>ֆինանսական</w:t>
      </w:r>
      <w:r w:rsidRPr="006E7E1F">
        <w:rPr>
          <w:i/>
          <w:sz w:val="20"/>
          <w:szCs w:val="20"/>
          <w:lang w:val="hy-AM"/>
        </w:rPr>
        <w:t xml:space="preserve"> </w:t>
      </w:r>
      <w:r w:rsidRPr="006E7E1F">
        <w:rPr>
          <w:rFonts w:cs="Sylfaen"/>
          <w:i/>
          <w:sz w:val="20"/>
          <w:szCs w:val="20"/>
          <w:lang w:val="hy-AM"/>
        </w:rPr>
        <w:t>ակտիվ</w:t>
      </w:r>
      <w:r w:rsidRPr="006E7E1F">
        <w:rPr>
          <w:rFonts w:cs="Sylfaen"/>
          <w:i/>
          <w:sz w:val="20"/>
          <w:szCs w:val="20"/>
          <w:lang w:val="hy-AM"/>
        </w:rPr>
        <w:softHyphen/>
        <w:t>ների</w:t>
      </w:r>
      <w:r w:rsidRPr="006E7E1F">
        <w:rPr>
          <w:i/>
          <w:sz w:val="20"/>
          <w:szCs w:val="20"/>
          <w:lang w:val="hy-AM"/>
        </w:rPr>
        <w:t xml:space="preserve"> </w:t>
      </w:r>
      <w:r w:rsidRPr="006E7E1F">
        <w:rPr>
          <w:rFonts w:cs="Sylfaen"/>
          <w:i/>
          <w:sz w:val="20"/>
          <w:szCs w:val="20"/>
          <w:lang w:val="hy-AM"/>
        </w:rPr>
        <w:t>գծով</w:t>
      </w:r>
      <w:r w:rsidRPr="006E7E1F">
        <w:rPr>
          <w:i/>
          <w:sz w:val="20"/>
          <w:szCs w:val="20"/>
          <w:lang w:val="hy-AM"/>
        </w:rPr>
        <w:t xml:space="preserve"> </w:t>
      </w:r>
      <w:r w:rsidRPr="006E7E1F">
        <w:rPr>
          <w:rFonts w:cs="Sylfaen"/>
          <w:i/>
          <w:sz w:val="20"/>
          <w:szCs w:val="20"/>
          <w:lang w:val="hy-AM"/>
        </w:rPr>
        <w:t>ծախսերի</w:t>
      </w:r>
      <w:r w:rsidRPr="006E7E1F">
        <w:rPr>
          <w:i/>
          <w:sz w:val="20"/>
          <w:szCs w:val="20"/>
          <w:lang w:val="hy-AM"/>
        </w:rPr>
        <w:t xml:space="preserve"> ֆինանսավորման կառուցվածը ըստ արտաքին և ներքին աղբյուրների</w:t>
      </w:r>
      <w:bookmarkEnd w:id="276"/>
      <w:bookmarkEnd w:id="277"/>
    </w:p>
    <w:p w14:paraId="00052D32" w14:textId="77777777" w:rsidR="005B7218" w:rsidRDefault="005B7218" w:rsidP="005B7218">
      <w:pPr>
        <w:spacing w:before="0" w:line="240" w:lineRule="auto"/>
        <w:ind w:firstLine="562"/>
        <w:jc w:val="right"/>
        <w:rPr>
          <w:sz w:val="20"/>
          <w:szCs w:val="20"/>
          <w:lang w:val="hy-AM"/>
        </w:rPr>
      </w:pPr>
      <w:r w:rsidRPr="006B2C4E">
        <w:rPr>
          <w:sz w:val="20"/>
          <w:szCs w:val="20"/>
          <w:lang w:val="hy-AM"/>
        </w:rPr>
        <w:t xml:space="preserve">մլն </w:t>
      </w:r>
      <w:r>
        <w:rPr>
          <w:sz w:val="20"/>
          <w:szCs w:val="20"/>
          <w:lang w:val="hy-AM"/>
        </w:rPr>
        <w:t>դրամ</w:t>
      </w:r>
    </w:p>
    <w:tbl>
      <w:tblPr>
        <w:tblW w:w="10021" w:type="dxa"/>
        <w:tblLook w:val="04A0" w:firstRow="1" w:lastRow="0" w:firstColumn="1" w:lastColumn="0" w:noHBand="0" w:noVBand="1"/>
      </w:tblPr>
      <w:tblGrid>
        <w:gridCol w:w="3959"/>
        <w:gridCol w:w="1236"/>
        <w:gridCol w:w="1154"/>
        <w:gridCol w:w="1252"/>
        <w:gridCol w:w="1135"/>
        <w:gridCol w:w="1285"/>
      </w:tblGrid>
      <w:tr w:rsidR="005B7218" w:rsidRPr="00F208B4" w14:paraId="1152FD75" w14:textId="77777777" w:rsidTr="00027FBF">
        <w:trPr>
          <w:trHeight w:val="600"/>
        </w:trPr>
        <w:tc>
          <w:tcPr>
            <w:tcW w:w="3959" w:type="dxa"/>
            <w:tcBorders>
              <w:top w:val="nil"/>
              <w:left w:val="single" w:sz="8" w:space="0" w:color="auto"/>
              <w:bottom w:val="single" w:sz="8" w:space="0" w:color="auto"/>
              <w:right w:val="single" w:sz="8" w:space="0" w:color="auto"/>
            </w:tcBorders>
            <w:shd w:val="clear" w:color="000000" w:fill="365F91"/>
            <w:vAlign w:val="center"/>
            <w:hideMark/>
          </w:tcPr>
          <w:p w14:paraId="61A37F06" w14:textId="77777777" w:rsidR="005B7218" w:rsidRPr="00F208B4" w:rsidRDefault="005B7218" w:rsidP="00027FBF">
            <w:pPr>
              <w:spacing w:before="0" w:line="240" w:lineRule="auto"/>
              <w:ind w:firstLine="0"/>
              <w:jc w:val="left"/>
              <w:rPr>
                <w:color w:val="FFFFFF"/>
                <w:sz w:val="20"/>
                <w:szCs w:val="20"/>
                <w:lang w:val="hy-AM"/>
              </w:rPr>
            </w:pPr>
            <w:r w:rsidRPr="00F208B4">
              <w:rPr>
                <w:color w:val="FFFFFF"/>
                <w:sz w:val="20"/>
                <w:szCs w:val="20"/>
                <w:lang w:val="hy-AM"/>
              </w:rPr>
              <w:t>Ցուցանիշներ</w:t>
            </w:r>
          </w:p>
        </w:tc>
        <w:tc>
          <w:tcPr>
            <w:tcW w:w="1236" w:type="dxa"/>
            <w:tcBorders>
              <w:top w:val="nil"/>
              <w:left w:val="nil"/>
              <w:bottom w:val="single" w:sz="8" w:space="0" w:color="auto"/>
              <w:right w:val="single" w:sz="8" w:space="0" w:color="auto"/>
            </w:tcBorders>
            <w:shd w:val="clear" w:color="000000" w:fill="365F91"/>
            <w:vAlign w:val="center"/>
            <w:hideMark/>
          </w:tcPr>
          <w:p w14:paraId="584CFB4C" w14:textId="77777777" w:rsidR="005B7218" w:rsidRPr="00F208B4" w:rsidRDefault="005B7218" w:rsidP="00027FBF">
            <w:pPr>
              <w:spacing w:before="0" w:line="240" w:lineRule="auto"/>
              <w:ind w:firstLine="0"/>
              <w:jc w:val="center"/>
              <w:rPr>
                <w:color w:val="FFFFFF"/>
                <w:sz w:val="20"/>
                <w:szCs w:val="20"/>
                <w:lang w:val="hy-AM"/>
              </w:rPr>
            </w:pPr>
            <w:r w:rsidRPr="00F208B4">
              <w:rPr>
                <w:color w:val="FFFFFF"/>
                <w:sz w:val="20"/>
                <w:szCs w:val="20"/>
                <w:lang w:val="hy-AM"/>
              </w:rPr>
              <w:t xml:space="preserve">2018թ. </w:t>
            </w:r>
          </w:p>
        </w:tc>
        <w:tc>
          <w:tcPr>
            <w:tcW w:w="1154" w:type="dxa"/>
            <w:tcBorders>
              <w:top w:val="nil"/>
              <w:left w:val="nil"/>
              <w:bottom w:val="single" w:sz="8" w:space="0" w:color="auto"/>
              <w:right w:val="single" w:sz="8" w:space="0" w:color="auto"/>
            </w:tcBorders>
            <w:shd w:val="clear" w:color="000000" w:fill="365F91"/>
            <w:vAlign w:val="center"/>
            <w:hideMark/>
          </w:tcPr>
          <w:p w14:paraId="1C516C73" w14:textId="77777777" w:rsidR="005B7218" w:rsidRPr="00F208B4" w:rsidRDefault="005B7218" w:rsidP="00027FBF">
            <w:pPr>
              <w:spacing w:before="0" w:line="240" w:lineRule="auto"/>
              <w:ind w:firstLine="0"/>
              <w:jc w:val="center"/>
              <w:rPr>
                <w:color w:val="FFFFFF"/>
                <w:sz w:val="20"/>
                <w:szCs w:val="20"/>
                <w:lang w:val="hy-AM"/>
              </w:rPr>
            </w:pPr>
            <w:r w:rsidRPr="00F208B4">
              <w:rPr>
                <w:color w:val="FFFFFF"/>
                <w:sz w:val="20"/>
                <w:szCs w:val="20"/>
                <w:lang w:val="hy-AM"/>
              </w:rPr>
              <w:t>2019թ.</w:t>
            </w:r>
          </w:p>
        </w:tc>
        <w:tc>
          <w:tcPr>
            <w:tcW w:w="1252" w:type="dxa"/>
            <w:tcBorders>
              <w:top w:val="nil"/>
              <w:left w:val="nil"/>
              <w:bottom w:val="single" w:sz="8" w:space="0" w:color="auto"/>
              <w:right w:val="single" w:sz="8" w:space="0" w:color="auto"/>
            </w:tcBorders>
            <w:shd w:val="clear" w:color="000000" w:fill="365F91"/>
            <w:vAlign w:val="center"/>
            <w:hideMark/>
          </w:tcPr>
          <w:p w14:paraId="7ABA4972" w14:textId="77777777" w:rsidR="005B7218" w:rsidRPr="00F208B4" w:rsidRDefault="005B7218" w:rsidP="00027FBF">
            <w:pPr>
              <w:spacing w:before="0" w:line="240" w:lineRule="auto"/>
              <w:ind w:firstLine="0"/>
              <w:jc w:val="center"/>
              <w:rPr>
                <w:color w:val="FFFFFF"/>
                <w:sz w:val="20"/>
                <w:szCs w:val="20"/>
                <w:lang w:val="hy-AM"/>
              </w:rPr>
            </w:pPr>
            <w:r w:rsidRPr="00F208B4">
              <w:rPr>
                <w:color w:val="FFFFFF"/>
                <w:sz w:val="20"/>
                <w:szCs w:val="20"/>
                <w:lang w:val="hy-AM"/>
              </w:rPr>
              <w:t>2020թ.</w:t>
            </w:r>
          </w:p>
        </w:tc>
        <w:tc>
          <w:tcPr>
            <w:tcW w:w="1135" w:type="dxa"/>
            <w:tcBorders>
              <w:top w:val="nil"/>
              <w:left w:val="nil"/>
              <w:bottom w:val="single" w:sz="8" w:space="0" w:color="auto"/>
              <w:right w:val="single" w:sz="8" w:space="0" w:color="auto"/>
            </w:tcBorders>
            <w:shd w:val="clear" w:color="000000" w:fill="365F91"/>
            <w:vAlign w:val="center"/>
            <w:hideMark/>
          </w:tcPr>
          <w:p w14:paraId="57A09A2A" w14:textId="77777777" w:rsidR="005B7218" w:rsidRPr="00F208B4" w:rsidRDefault="005B7218" w:rsidP="00027FBF">
            <w:pPr>
              <w:spacing w:before="0" w:line="240" w:lineRule="auto"/>
              <w:ind w:firstLine="0"/>
              <w:jc w:val="center"/>
              <w:rPr>
                <w:color w:val="FFFFFF"/>
                <w:sz w:val="20"/>
                <w:szCs w:val="20"/>
                <w:lang w:val="hy-AM"/>
              </w:rPr>
            </w:pPr>
            <w:r w:rsidRPr="00F208B4">
              <w:rPr>
                <w:color w:val="FFFFFF"/>
                <w:sz w:val="20"/>
                <w:szCs w:val="20"/>
                <w:lang w:val="hy-AM"/>
              </w:rPr>
              <w:t>2021թ.</w:t>
            </w:r>
          </w:p>
        </w:tc>
        <w:tc>
          <w:tcPr>
            <w:tcW w:w="1285" w:type="dxa"/>
            <w:tcBorders>
              <w:top w:val="nil"/>
              <w:left w:val="nil"/>
              <w:bottom w:val="single" w:sz="8" w:space="0" w:color="auto"/>
              <w:right w:val="single" w:sz="8" w:space="0" w:color="auto"/>
            </w:tcBorders>
            <w:shd w:val="clear" w:color="000000" w:fill="365F91"/>
            <w:vAlign w:val="center"/>
            <w:hideMark/>
          </w:tcPr>
          <w:p w14:paraId="474731EC" w14:textId="77777777" w:rsidR="005B7218" w:rsidRPr="00F208B4" w:rsidRDefault="005B7218" w:rsidP="00027FBF">
            <w:pPr>
              <w:spacing w:before="0" w:line="240" w:lineRule="auto"/>
              <w:ind w:firstLine="0"/>
              <w:jc w:val="center"/>
              <w:rPr>
                <w:color w:val="FFFFFF"/>
                <w:sz w:val="20"/>
                <w:szCs w:val="20"/>
                <w:lang w:val="hy-AM"/>
              </w:rPr>
            </w:pPr>
            <w:r w:rsidRPr="00F208B4">
              <w:rPr>
                <w:color w:val="FFFFFF"/>
                <w:sz w:val="20"/>
                <w:szCs w:val="20"/>
                <w:lang w:val="hy-AM"/>
              </w:rPr>
              <w:t>2022թ.</w:t>
            </w:r>
          </w:p>
        </w:tc>
      </w:tr>
      <w:tr w:rsidR="005B7218" w:rsidRPr="00F208B4" w14:paraId="5DD7BEC5" w14:textId="77777777" w:rsidTr="00027FBF">
        <w:trPr>
          <w:trHeight w:val="51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37D2395C" w14:textId="77777777" w:rsidR="005B7218" w:rsidRPr="00F208B4" w:rsidRDefault="005B7218" w:rsidP="00027FBF">
            <w:pPr>
              <w:spacing w:before="0" w:line="240" w:lineRule="auto"/>
              <w:ind w:firstLine="0"/>
              <w:rPr>
                <w:b w:val="0"/>
                <w:bCs/>
                <w:color w:val="000000"/>
                <w:sz w:val="20"/>
                <w:szCs w:val="20"/>
                <w:lang w:val="hy-AM"/>
              </w:rPr>
            </w:pPr>
            <w:r w:rsidRPr="00F208B4">
              <w:rPr>
                <w:bCs/>
                <w:color w:val="000000"/>
                <w:sz w:val="20"/>
                <w:szCs w:val="20"/>
                <w:lang w:val="hy-AM"/>
              </w:rPr>
              <w:t xml:space="preserve"> Ընդամենը </w:t>
            </w:r>
          </w:p>
        </w:tc>
        <w:tc>
          <w:tcPr>
            <w:tcW w:w="1236" w:type="dxa"/>
            <w:tcBorders>
              <w:top w:val="nil"/>
              <w:left w:val="nil"/>
              <w:bottom w:val="single" w:sz="8" w:space="0" w:color="auto"/>
              <w:right w:val="single" w:sz="8" w:space="0" w:color="auto"/>
            </w:tcBorders>
            <w:shd w:val="clear" w:color="000000" w:fill="C6D9F1"/>
            <w:vAlign w:val="center"/>
            <w:hideMark/>
          </w:tcPr>
          <w:p w14:paraId="16EF5FAE" w14:textId="77777777" w:rsidR="005B7218" w:rsidRPr="00F208B4" w:rsidRDefault="005B7218" w:rsidP="00027FBF">
            <w:pPr>
              <w:spacing w:before="0" w:line="240" w:lineRule="auto"/>
              <w:ind w:firstLine="0"/>
              <w:jc w:val="right"/>
              <w:rPr>
                <w:b w:val="0"/>
                <w:bCs/>
                <w:color w:val="000000"/>
                <w:sz w:val="20"/>
                <w:szCs w:val="20"/>
                <w:lang w:val="hy-AM"/>
              </w:rPr>
            </w:pPr>
            <w:r w:rsidRPr="00F208B4">
              <w:rPr>
                <w:bCs/>
                <w:color w:val="000000"/>
                <w:sz w:val="20"/>
                <w:szCs w:val="20"/>
                <w:lang w:val="hy-AM"/>
              </w:rPr>
              <w:t>151,988.1</w:t>
            </w:r>
          </w:p>
        </w:tc>
        <w:tc>
          <w:tcPr>
            <w:tcW w:w="1154" w:type="dxa"/>
            <w:tcBorders>
              <w:top w:val="nil"/>
              <w:left w:val="nil"/>
              <w:bottom w:val="single" w:sz="8" w:space="0" w:color="auto"/>
              <w:right w:val="single" w:sz="8" w:space="0" w:color="auto"/>
            </w:tcBorders>
            <w:shd w:val="clear" w:color="000000" w:fill="C6D9F1"/>
            <w:vAlign w:val="center"/>
            <w:hideMark/>
          </w:tcPr>
          <w:p w14:paraId="78366735" w14:textId="77777777" w:rsidR="005B7218" w:rsidRPr="00F208B4" w:rsidRDefault="005B7218" w:rsidP="00027FBF">
            <w:pPr>
              <w:spacing w:before="0" w:line="240" w:lineRule="auto"/>
              <w:ind w:firstLine="0"/>
              <w:jc w:val="right"/>
              <w:rPr>
                <w:b w:val="0"/>
                <w:bCs/>
                <w:color w:val="000000"/>
                <w:sz w:val="20"/>
                <w:szCs w:val="20"/>
                <w:lang w:val="hy-AM"/>
              </w:rPr>
            </w:pPr>
            <w:r w:rsidRPr="00F208B4">
              <w:rPr>
                <w:bCs/>
                <w:color w:val="000000"/>
                <w:sz w:val="20"/>
                <w:szCs w:val="20"/>
                <w:lang w:val="hy-AM"/>
              </w:rPr>
              <w:t>193,017.1</w:t>
            </w:r>
          </w:p>
        </w:tc>
        <w:tc>
          <w:tcPr>
            <w:tcW w:w="1252" w:type="dxa"/>
            <w:tcBorders>
              <w:top w:val="nil"/>
              <w:left w:val="nil"/>
              <w:bottom w:val="single" w:sz="8" w:space="0" w:color="auto"/>
              <w:right w:val="single" w:sz="8" w:space="0" w:color="auto"/>
            </w:tcBorders>
            <w:shd w:val="clear" w:color="000000" w:fill="C6D9F1"/>
            <w:vAlign w:val="center"/>
            <w:hideMark/>
          </w:tcPr>
          <w:p w14:paraId="5A2243A7" w14:textId="77777777" w:rsidR="005B7218" w:rsidRPr="00F208B4" w:rsidRDefault="005B7218" w:rsidP="00027FBF">
            <w:pPr>
              <w:spacing w:before="0" w:line="240" w:lineRule="auto"/>
              <w:ind w:firstLine="0"/>
              <w:jc w:val="right"/>
              <w:rPr>
                <w:b w:val="0"/>
                <w:bCs/>
                <w:color w:val="000000"/>
                <w:sz w:val="20"/>
                <w:szCs w:val="20"/>
                <w:lang w:val="hy-AM"/>
              </w:rPr>
            </w:pPr>
            <w:r w:rsidRPr="00F208B4">
              <w:rPr>
                <w:bCs/>
                <w:color w:val="000000"/>
                <w:sz w:val="20"/>
                <w:szCs w:val="20"/>
                <w:lang w:val="hy-AM"/>
              </w:rPr>
              <w:t>227,698.4</w:t>
            </w:r>
          </w:p>
        </w:tc>
        <w:tc>
          <w:tcPr>
            <w:tcW w:w="1135" w:type="dxa"/>
            <w:tcBorders>
              <w:top w:val="nil"/>
              <w:left w:val="nil"/>
              <w:bottom w:val="single" w:sz="8" w:space="0" w:color="auto"/>
              <w:right w:val="single" w:sz="8" w:space="0" w:color="auto"/>
            </w:tcBorders>
            <w:shd w:val="clear" w:color="000000" w:fill="C6D9F1"/>
            <w:vAlign w:val="center"/>
            <w:hideMark/>
          </w:tcPr>
          <w:p w14:paraId="6F8A50FB" w14:textId="77777777" w:rsidR="005B7218" w:rsidRPr="00F208B4" w:rsidRDefault="005B7218" w:rsidP="00027FBF">
            <w:pPr>
              <w:spacing w:before="0" w:line="240" w:lineRule="auto"/>
              <w:ind w:firstLine="0"/>
              <w:jc w:val="right"/>
              <w:rPr>
                <w:b w:val="0"/>
                <w:bCs/>
                <w:color w:val="000000"/>
                <w:sz w:val="20"/>
                <w:szCs w:val="20"/>
                <w:lang w:val="hy-AM"/>
              </w:rPr>
            </w:pPr>
            <w:r w:rsidRPr="00F208B4">
              <w:rPr>
                <w:bCs/>
                <w:color w:val="000000"/>
                <w:sz w:val="20"/>
                <w:szCs w:val="20"/>
                <w:lang w:val="hy-AM"/>
              </w:rPr>
              <w:t>215,935.5</w:t>
            </w:r>
          </w:p>
        </w:tc>
        <w:tc>
          <w:tcPr>
            <w:tcW w:w="1285" w:type="dxa"/>
            <w:tcBorders>
              <w:top w:val="nil"/>
              <w:left w:val="nil"/>
              <w:bottom w:val="single" w:sz="8" w:space="0" w:color="auto"/>
              <w:right w:val="single" w:sz="8" w:space="0" w:color="auto"/>
            </w:tcBorders>
            <w:shd w:val="clear" w:color="000000" w:fill="C6D9F1"/>
            <w:vAlign w:val="center"/>
            <w:hideMark/>
          </w:tcPr>
          <w:p w14:paraId="28519BEE" w14:textId="77777777" w:rsidR="005B7218" w:rsidRPr="00F208B4" w:rsidRDefault="005B7218" w:rsidP="00027FBF">
            <w:pPr>
              <w:spacing w:before="0" w:line="240" w:lineRule="auto"/>
              <w:ind w:firstLine="0"/>
              <w:jc w:val="right"/>
              <w:rPr>
                <w:bCs/>
                <w:color w:val="000000"/>
                <w:sz w:val="20"/>
                <w:szCs w:val="20"/>
                <w:lang w:val="hy-AM"/>
              </w:rPr>
            </w:pPr>
            <w:r w:rsidRPr="00F208B4">
              <w:rPr>
                <w:sz w:val="20"/>
                <w:szCs w:val="20"/>
                <w:lang w:val="hy-AM"/>
              </w:rPr>
              <w:t>351,944.1</w:t>
            </w:r>
          </w:p>
        </w:tc>
      </w:tr>
      <w:tr w:rsidR="005B7218" w:rsidRPr="00BF0B57" w14:paraId="4B9230DE"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8BE6615" w14:textId="77777777" w:rsidR="005B7218" w:rsidRPr="00BF0B57" w:rsidRDefault="005B7218" w:rsidP="00027FBF">
            <w:pPr>
              <w:spacing w:before="0" w:line="240" w:lineRule="auto"/>
              <w:ind w:firstLine="0"/>
              <w:rPr>
                <w:b w:val="0"/>
                <w:bCs/>
                <w:i/>
                <w:iCs/>
                <w:color w:val="000000"/>
                <w:sz w:val="20"/>
                <w:szCs w:val="20"/>
              </w:rPr>
            </w:pPr>
            <w:r w:rsidRPr="00F208B4">
              <w:rPr>
                <w:bCs/>
                <w:i/>
                <w:iCs/>
                <w:color w:val="000000"/>
                <w:sz w:val="20"/>
                <w:szCs w:val="20"/>
                <w:lang w:val="hy-AM"/>
              </w:rPr>
              <w:t xml:space="preserve"> -  արտ</w:t>
            </w:r>
            <w:r w:rsidRPr="00BF0B57">
              <w:rPr>
                <w:bCs/>
                <w:i/>
                <w:iCs/>
                <w:color w:val="000000"/>
                <w:sz w:val="20"/>
                <w:szCs w:val="20"/>
              </w:rPr>
              <w:t xml:space="preserve">աքին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7B5EF749"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67,742.2</w:t>
            </w:r>
          </w:p>
        </w:tc>
        <w:tc>
          <w:tcPr>
            <w:tcW w:w="1154" w:type="dxa"/>
            <w:tcBorders>
              <w:top w:val="nil"/>
              <w:left w:val="nil"/>
              <w:bottom w:val="single" w:sz="8" w:space="0" w:color="auto"/>
              <w:right w:val="single" w:sz="8" w:space="0" w:color="auto"/>
            </w:tcBorders>
            <w:shd w:val="clear" w:color="000000" w:fill="FFFFFF"/>
            <w:vAlign w:val="center"/>
            <w:hideMark/>
          </w:tcPr>
          <w:p w14:paraId="0541AC8D"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71,630.6</w:t>
            </w:r>
          </w:p>
        </w:tc>
        <w:tc>
          <w:tcPr>
            <w:tcW w:w="1252" w:type="dxa"/>
            <w:tcBorders>
              <w:top w:val="nil"/>
              <w:left w:val="nil"/>
              <w:bottom w:val="single" w:sz="8" w:space="0" w:color="auto"/>
              <w:right w:val="single" w:sz="8" w:space="0" w:color="auto"/>
            </w:tcBorders>
            <w:shd w:val="clear" w:color="000000" w:fill="FFFFFF"/>
            <w:vAlign w:val="center"/>
            <w:hideMark/>
          </w:tcPr>
          <w:p w14:paraId="43854875"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44,265.6</w:t>
            </w:r>
          </w:p>
        </w:tc>
        <w:tc>
          <w:tcPr>
            <w:tcW w:w="1135" w:type="dxa"/>
            <w:tcBorders>
              <w:top w:val="nil"/>
              <w:left w:val="nil"/>
              <w:bottom w:val="single" w:sz="8" w:space="0" w:color="auto"/>
              <w:right w:val="single" w:sz="8" w:space="0" w:color="auto"/>
            </w:tcBorders>
            <w:shd w:val="clear" w:color="000000" w:fill="FFFFFF"/>
            <w:vAlign w:val="center"/>
            <w:hideMark/>
          </w:tcPr>
          <w:p w14:paraId="6B3982EC"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82,926.4</w:t>
            </w:r>
          </w:p>
        </w:tc>
        <w:tc>
          <w:tcPr>
            <w:tcW w:w="1285" w:type="dxa"/>
            <w:tcBorders>
              <w:top w:val="nil"/>
              <w:left w:val="nil"/>
              <w:bottom w:val="single" w:sz="8" w:space="0" w:color="auto"/>
              <w:right w:val="single" w:sz="8" w:space="0" w:color="auto"/>
            </w:tcBorders>
            <w:shd w:val="clear" w:color="auto" w:fill="auto"/>
            <w:vAlign w:val="center"/>
            <w:hideMark/>
          </w:tcPr>
          <w:p w14:paraId="18609072" w14:textId="77777777" w:rsidR="005B7218" w:rsidRPr="00BB305B" w:rsidRDefault="005B7218" w:rsidP="00027FBF">
            <w:pPr>
              <w:spacing w:before="0" w:line="240" w:lineRule="auto"/>
              <w:ind w:firstLine="0"/>
              <w:jc w:val="right"/>
              <w:rPr>
                <w:b w:val="0"/>
                <w:bCs/>
                <w:i/>
                <w:iCs/>
                <w:color w:val="000000"/>
                <w:sz w:val="20"/>
                <w:szCs w:val="20"/>
              </w:rPr>
            </w:pPr>
            <w:r w:rsidRPr="00BB305B">
              <w:rPr>
                <w:sz w:val="20"/>
                <w:szCs w:val="20"/>
              </w:rPr>
              <w:t>130,358.4</w:t>
            </w:r>
          </w:p>
        </w:tc>
      </w:tr>
      <w:tr w:rsidR="005B7218" w:rsidRPr="00BF0B57" w14:paraId="6C32BB93"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42698B1E" w14:textId="77777777" w:rsidR="005B7218" w:rsidRPr="00BF0B57" w:rsidRDefault="005B7218" w:rsidP="00027FBF">
            <w:pPr>
              <w:spacing w:before="0" w:line="240" w:lineRule="auto"/>
              <w:ind w:firstLine="0"/>
              <w:rPr>
                <w:b w:val="0"/>
                <w:bCs/>
                <w:i/>
                <w:iCs/>
                <w:color w:val="000000"/>
                <w:sz w:val="20"/>
                <w:szCs w:val="20"/>
              </w:rPr>
            </w:pPr>
            <w:r w:rsidRPr="00BF0B57">
              <w:rPr>
                <w:bCs/>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660AC8E6"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84,245.9</w:t>
            </w:r>
          </w:p>
        </w:tc>
        <w:tc>
          <w:tcPr>
            <w:tcW w:w="1154" w:type="dxa"/>
            <w:tcBorders>
              <w:top w:val="nil"/>
              <w:left w:val="nil"/>
              <w:bottom w:val="single" w:sz="8" w:space="0" w:color="auto"/>
              <w:right w:val="single" w:sz="8" w:space="0" w:color="auto"/>
            </w:tcBorders>
            <w:shd w:val="clear" w:color="000000" w:fill="FFFFFF"/>
            <w:vAlign w:val="center"/>
            <w:hideMark/>
          </w:tcPr>
          <w:p w14:paraId="46CA18F0"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121,386.5</w:t>
            </w:r>
          </w:p>
        </w:tc>
        <w:tc>
          <w:tcPr>
            <w:tcW w:w="1252" w:type="dxa"/>
            <w:tcBorders>
              <w:top w:val="nil"/>
              <w:left w:val="nil"/>
              <w:bottom w:val="single" w:sz="8" w:space="0" w:color="auto"/>
              <w:right w:val="single" w:sz="8" w:space="0" w:color="auto"/>
            </w:tcBorders>
            <w:shd w:val="clear" w:color="000000" w:fill="FFFFFF"/>
            <w:vAlign w:val="center"/>
            <w:hideMark/>
          </w:tcPr>
          <w:p w14:paraId="522B92EB"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183,432.8</w:t>
            </w:r>
          </w:p>
        </w:tc>
        <w:tc>
          <w:tcPr>
            <w:tcW w:w="1135" w:type="dxa"/>
            <w:tcBorders>
              <w:top w:val="nil"/>
              <w:left w:val="nil"/>
              <w:bottom w:val="single" w:sz="8" w:space="0" w:color="auto"/>
              <w:right w:val="single" w:sz="8" w:space="0" w:color="auto"/>
            </w:tcBorders>
            <w:shd w:val="clear" w:color="000000" w:fill="FFFFFF"/>
            <w:vAlign w:val="center"/>
            <w:hideMark/>
          </w:tcPr>
          <w:p w14:paraId="6CB01224" w14:textId="77777777" w:rsidR="005B7218" w:rsidRPr="00BF0B57" w:rsidRDefault="005B7218" w:rsidP="00027FBF">
            <w:pPr>
              <w:spacing w:before="0" w:line="240" w:lineRule="auto"/>
              <w:ind w:firstLine="0"/>
              <w:jc w:val="right"/>
              <w:rPr>
                <w:b w:val="0"/>
                <w:bCs/>
                <w:i/>
                <w:iCs/>
                <w:color w:val="000000"/>
                <w:sz w:val="20"/>
                <w:szCs w:val="20"/>
              </w:rPr>
            </w:pPr>
            <w:r w:rsidRPr="00BF0B57">
              <w:rPr>
                <w:bCs/>
                <w:i/>
                <w:iCs/>
                <w:color w:val="000000"/>
                <w:sz w:val="20"/>
                <w:szCs w:val="20"/>
              </w:rPr>
              <w:t>133,009.1</w:t>
            </w:r>
          </w:p>
        </w:tc>
        <w:tc>
          <w:tcPr>
            <w:tcW w:w="1285" w:type="dxa"/>
            <w:tcBorders>
              <w:top w:val="nil"/>
              <w:left w:val="nil"/>
              <w:bottom w:val="single" w:sz="8" w:space="0" w:color="auto"/>
              <w:right w:val="single" w:sz="8" w:space="0" w:color="auto"/>
            </w:tcBorders>
            <w:shd w:val="clear" w:color="000000" w:fill="FFFFFF"/>
            <w:vAlign w:val="center"/>
            <w:hideMark/>
          </w:tcPr>
          <w:p w14:paraId="39B4E7F0" w14:textId="77777777" w:rsidR="005B7218" w:rsidRPr="00BB305B" w:rsidRDefault="005B7218" w:rsidP="00027FBF">
            <w:pPr>
              <w:spacing w:before="0" w:line="240" w:lineRule="auto"/>
              <w:ind w:firstLine="0"/>
              <w:jc w:val="right"/>
              <w:rPr>
                <w:b w:val="0"/>
                <w:bCs/>
                <w:i/>
                <w:iCs/>
                <w:color w:val="000000"/>
                <w:sz w:val="20"/>
                <w:szCs w:val="20"/>
                <w:lang w:val="en-US"/>
              </w:rPr>
            </w:pPr>
            <w:r w:rsidRPr="00BB305B">
              <w:rPr>
                <w:sz w:val="20"/>
                <w:szCs w:val="20"/>
              </w:rPr>
              <w:t>221,585.7</w:t>
            </w:r>
          </w:p>
        </w:tc>
      </w:tr>
      <w:tr w:rsidR="005B7218" w:rsidRPr="00BF0B57" w14:paraId="48E28CCF"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7152EAFD" w14:textId="77777777" w:rsidR="005B7218" w:rsidRPr="00BF0B57" w:rsidRDefault="005B7218" w:rsidP="00027FBF">
            <w:pPr>
              <w:spacing w:before="0" w:line="240" w:lineRule="auto"/>
              <w:ind w:firstLine="0"/>
              <w:rPr>
                <w:b w:val="0"/>
                <w:bCs/>
                <w:color w:val="000000"/>
                <w:sz w:val="20"/>
                <w:szCs w:val="20"/>
              </w:rPr>
            </w:pPr>
            <w:r w:rsidRPr="00BF0B57">
              <w:rPr>
                <w:bCs/>
                <w:color w:val="000000"/>
                <w:sz w:val="20"/>
                <w:szCs w:val="20"/>
              </w:rPr>
              <w:t xml:space="preserve"> Տրանսպորտ, այդ թվում </w:t>
            </w:r>
          </w:p>
        </w:tc>
        <w:tc>
          <w:tcPr>
            <w:tcW w:w="1236" w:type="dxa"/>
            <w:tcBorders>
              <w:top w:val="nil"/>
              <w:left w:val="nil"/>
              <w:bottom w:val="single" w:sz="8" w:space="0" w:color="auto"/>
              <w:right w:val="single" w:sz="8" w:space="0" w:color="auto"/>
            </w:tcBorders>
            <w:shd w:val="clear" w:color="000000" w:fill="C6D9F1"/>
            <w:vAlign w:val="center"/>
            <w:hideMark/>
          </w:tcPr>
          <w:p w14:paraId="150DDE07"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35,623.7</w:t>
            </w:r>
          </w:p>
        </w:tc>
        <w:tc>
          <w:tcPr>
            <w:tcW w:w="1154" w:type="dxa"/>
            <w:tcBorders>
              <w:top w:val="nil"/>
              <w:left w:val="nil"/>
              <w:bottom w:val="single" w:sz="8" w:space="0" w:color="auto"/>
              <w:right w:val="single" w:sz="8" w:space="0" w:color="auto"/>
            </w:tcBorders>
            <w:shd w:val="clear" w:color="000000" w:fill="C6D9F1"/>
            <w:vAlign w:val="center"/>
            <w:hideMark/>
          </w:tcPr>
          <w:p w14:paraId="500B7E98"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34,357.1</w:t>
            </w:r>
          </w:p>
        </w:tc>
        <w:tc>
          <w:tcPr>
            <w:tcW w:w="1252" w:type="dxa"/>
            <w:tcBorders>
              <w:top w:val="nil"/>
              <w:left w:val="nil"/>
              <w:bottom w:val="single" w:sz="8" w:space="0" w:color="auto"/>
              <w:right w:val="single" w:sz="8" w:space="0" w:color="auto"/>
            </w:tcBorders>
            <w:shd w:val="clear" w:color="000000" w:fill="C6D9F1"/>
            <w:vAlign w:val="center"/>
            <w:hideMark/>
          </w:tcPr>
          <w:p w14:paraId="64047511"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42,169.5</w:t>
            </w:r>
          </w:p>
        </w:tc>
        <w:tc>
          <w:tcPr>
            <w:tcW w:w="1135" w:type="dxa"/>
            <w:tcBorders>
              <w:top w:val="nil"/>
              <w:left w:val="nil"/>
              <w:bottom w:val="single" w:sz="8" w:space="0" w:color="auto"/>
              <w:right w:val="single" w:sz="8" w:space="0" w:color="auto"/>
            </w:tcBorders>
            <w:shd w:val="clear" w:color="000000" w:fill="C6D9F1"/>
            <w:vAlign w:val="center"/>
            <w:hideMark/>
          </w:tcPr>
          <w:p w14:paraId="1A0C03F1"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58,832.5</w:t>
            </w:r>
          </w:p>
        </w:tc>
        <w:tc>
          <w:tcPr>
            <w:tcW w:w="1285" w:type="dxa"/>
            <w:tcBorders>
              <w:top w:val="nil"/>
              <w:left w:val="nil"/>
              <w:bottom w:val="single" w:sz="8" w:space="0" w:color="auto"/>
              <w:right w:val="single" w:sz="8" w:space="0" w:color="auto"/>
            </w:tcBorders>
            <w:shd w:val="clear" w:color="000000" w:fill="C6D9F1"/>
            <w:vAlign w:val="center"/>
            <w:hideMark/>
          </w:tcPr>
          <w:p w14:paraId="59FFE434"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99,504.8</w:t>
            </w:r>
          </w:p>
        </w:tc>
      </w:tr>
      <w:tr w:rsidR="005B7218" w:rsidRPr="00BF0B57" w14:paraId="0AF53B08"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640CCF2"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6F034165"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27,960.7</w:t>
            </w:r>
          </w:p>
        </w:tc>
        <w:tc>
          <w:tcPr>
            <w:tcW w:w="1154" w:type="dxa"/>
            <w:tcBorders>
              <w:top w:val="nil"/>
              <w:left w:val="nil"/>
              <w:bottom w:val="single" w:sz="8" w:space="0" w:color="auto"/>
              <w:right w:val="single" w:sz="8" w:space="0" w:color="auto"/>
            </w:tcBorders>
            <w:shd w:val="clear" w:color="000000" w:fill="FFFFFF"/>
            <w:vAlign w:val="center"/>
            <w:hideMark/>
          </w:tcPr>
          <w:p w14:paraId="6AF0A59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18,829.6</w:t>
            </w:r>
          </w:p>
        </w:tc>
        <w:tc>
          <w:tcPr>
            <w:tcW w:w="1252" w:type="dxa"/>
            <w:tcBorders>
              <w:top w:val="nil"/>
              <w:left w:val="nil"/>
              <w:bottom w:val="single" w:sz="8" w:space="0" w:color="auto"/>
              <w:right w:val="single" w:sz="8" w:space="0" w:color="auto"/>
            </w:tcBorders>
            <w:shd w:val="clear" w:color="000000" w:fill="FFFFFF"/>
            <w:vAlign w:val="center"/>
            <w:hideMark/>
          </w:tcPr>
          <w:p w14:paraId="2D0D9342"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14,285.8</w:t>
            </w:r>
          </w:p>
        </w:tc>
        <w:tc>
          <w:tcPr>
            <w:tcW w:w="1135" w:type="dxa"/>
            <w:tcBorders>
              <w:top w:val="nil"/>
              <w:left w:val="nil"/>
              <w:bottom w:val="single" w:sz="8" w:space="0" w:color="auto"/>
              <w:right w:val="single" w:sz="8" w:space="0" w:color="auto"/>
            </w:tcBorders>
            <w:shd w:val="clear" w:color="auto" w:fill="auto"/>
            <w:vAlign w:val="center"/>
            <w:hideMark/>
          </w:tcPr>
          <w:p w14:paraId="7CD71920"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24,692.3</w:t>
            </w:r>
          </w:p>
        </w:tc>
        <w:tc>
          <w:tcPr>
            <w:tcW w:w="1285" w:type="dxa"/>
            <w:tcBorders>
              <w:top w:val="nil"/>
              <w:left w:val="nil"/>
              <w:bottom w:val="single" w:sz="8" w:space="0" w:color="auto"/>
              <w:right w:val="single" w:sz="8" w:space="0" w:color="auto"/>
            </w:tcBorders>
            <w:shd w:val="clear" w:color="000000" w:fill="FFFFFF"/>
            <w:vAlign w:val="center"/>
            <w:hideMark/>
          </w:tcPr>
          <w:p w14:paraId="62EBCBC5"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52,403.8</w:t>
            </w:r>
          </w:p>
        </w:tc>
      </w:tr>
      <w:tr w:rsidR="005B7218" w:rsidRPr="00BF0B57" w14:paraId="4872A3EE" w14:textId="77777777" w:rsidTr="00027FBF">
        <w:trPr>
          <w:trHeight w:val="420"/>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7CE65C0C"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2C6636C4"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7,663.0</w:t>
            </w:r>
          </w:p>
        </w:tc>
        <w:tc>
          <w:tcPr>
            <w:tcW w:w="1154" w:type="dxa"/>
            <w:tcBorders>
              <w:top w:val="nil"/>
              <w:left w:val="nil"/>
              <w:bottom w:val="single" w:sz="8" w:space="0" w:color="auto"/>
              <w:right w:val="single" w:sz="8" w:space="0" w:color="auto"/>
            </w:tcBorders>
            <w:shd w:val="clear" w:color="auto" w:fill="auto"/>
            <w:vAlign w:val="center"/>
            <w:hideMark/>
          </w:tcPr>
          <w:p w14:paraId="684FC129"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15,527.5</w:t>
            </w:r>
          </w:p>
        </w:tc>
        <w:tc>
          <w:tcPr>
            <w:tcW w:w="1252" w:type="dxa"/>
            <w:tcBorders>
              <w:top w:val="nil"/>
              <w:left w:val="nil"/>
              <w:bottom w:val="single" w:sz="8" w:space="0" w:color="auto"/>
              <w:right w:val="single" w:sz="8" w:space="0" w:color="auto"/>
            </w:tcBorders>
            <w:shd w:val="clear" w:color="auto" w:fill="auto"/>
            <w:vAlign w:val="center"/>
            <w:hideMark/>
          </w:tcPr>
          <w:p w14:paraId="56B2386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27,883.7</w:t>
            </w:r>
          </w:p>
        </w:tc>
        <w:tc>
          <w:tcPr>
            <w:tcW w:w="1135" w:type="dxa"/>
            <w:tcBorders>
              <w:top w:val="nil"/>
              <w:left w:val="nil"/>
              <w:bottom w:val="single" w:sz="8" w:space="0" w:color="auto"/>
              <w:right w:val="single" w:sz="8" w:space="0" w:color="auto"/>
            </w:tcBorders>
            <w:shd w:val="clear" w:color="auto" w:fill="auto"/>
            <w:vAlign w:val="center"/>
            <w:hideMark/>
          </w:tcPr>
          <w:p w14:paraId="0E2BBB71"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34,140.2</w:t>
            </w:r>
          </w:p>
        </w:tc>
        <w:tc>
          <w:tcPr>
            <w:tcW w:w="1285" w:type="dxa"/>
            <w:tcBorders>
              <w:top w:val="nil"/>
              <w:left w:val="nil"/>
              <w:bottom w:val="single" w:sz="8" w:space="0" w:color="auto"/>
              <w:right w:val="single" w:sz="8" w:space="0" w:color="auto"/>
            </w:tcBorders>
            <w:shd w:val="clear" w:color="auto" w:fill="auto"/>
            <w:vAlign w:val="center"/>
            <w:hideMark/>
          </w:tcPr>
          <w:p w14:paraId="3EC28B9C"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47,101.0</w:t>
            </w:r>
          </w:p>
        </w:tc>
      </w:tr>
      <w:tr w:rsidR="005B7218" w:rsidRPr="00BF0B57" w14:paraId="04171FAC"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7107CD81" w14:textId="77777777" w:rsidR="005B7218" w:rsidRPr="00BF0B57" w:rsidRDefault="005B7218" w:rsidP="00027FBF">
            <w:pPr>
              <w:spacing w:before="0" w:line="240" w:lineRule="auto"/>
              <w:ind w:firstLine="0"/>
              <w:rPr>
                <w:b w:val="0"/>
                <w:bCs/>
                <w:color w:val="000000"/>
                <w:sz w:val="20"/>
                <w:szCs w:val="20"/>
              </w:rPr>
            </w:pPr>
            <w:r w:rsidRPr="00BF0B57">
              <w:rPr>
                <w:bCs/>
                <w:color w:val="000000"/>
                <w:sz w:val="20"/>
                <w:szCs w:val="20"/>
              </w:rPr>
              <w:t xml:space="preserve"> Էներգետիկա, այդ թվում </w:t>
            </w:r>
          </w:p>
        </w:tc>
        <w:tc>
          <w:tcPr>
            <w:tcW w:w="1236" w:type="dxa"/>
            <w:tcBorders>
              <w:top w:val="nil"/>
              <w:left w:val="nil"/>
              <w:bottom w:val="single" w:sz="8" w:space="0" w:color="auto"/>
              <w:right w:val="single" w:sz="8" w:space="0" w:color="auto"/>
            </w:tcBorders>
            <w:shd w:val="clear" w:color="000000" w:fill="C6D9F1"/>
            <w:vAlign w:val="center"/>
            <w:hideMark/>
          </w:tcPr>
          <w:p w14:paraId="5363CB38"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14,416.9</w:t>
            </w:r>
          </w:p>
        </w:tc>
        <w:tc>
          <w:tcPr>
            <w:tcW w:w="1154" w:type="dxa"/>
            <w:tcBorders>
              <w:top w:val="nil"/>
              <w:left w:val="nil"/>
              <w:bottom w:val="single" w:sz="8" w:space="0" w:color="auto"/>
              <w:right w:val="single" w:sz="8" w:space="0" w:color="auto"/>
            </w:tcBorders>
            <w:shd w:val="clear" w:color="000000" w:fill="C6D9F1"/>
            <w:vAlign w:val="center"/>
            <w:hideMark/>
          </w:tcPr>
          <w:p w14:paraId="3677F8D6"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4,488.8</w:t>
            </w:r>
          </w:p>
        </w:tc>
        <w:tc>
          <w:tcPr>
            <w:tcW w:w="1252" w:type="dxa"/>
            <w:tcBorders>
              <w:top w:val="nil"/>
              <w:left w:val="nil"/>
              <w:bottom w:val="single" w:sz="8" w:space="0" w:color="auto"/>
              <w:right w:val="single" w:sz="8" w:space="0" w:color="auto"/>
            </w:tcBorders>
            <w:shd w:val="clear" w:color="000000" w:fill="C6D9F1"/>
            <w:vAlign w:val="center"/>
            <w:hideMark/>
          </w:tcPr>
          <w:p w14:paraId="33920D3F"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182.0</w:t>
            </w:r>
          </w:p>
        </w:tc>
        <w:tc>
          <w:tcPr>
            <w:tcW w:w="1135" w:type="dxa"/>
            <w:tcBorders>
              <w:top w:val="nil"/>
              <w:left w:val="nil"/>
              <w:bottom w:val="single" w:sz="8" w:space="0" w:color="auto"/>
              <w:right w:val="single" w:sz="8" w:space="0" w:color="auto"/>
            </w:tcBorders>
            <w:shd w:val="clear" w:color="000000" w:fill="C6D9F1"/>
            <w:vAlign w:val="center"/>
            <w:hideMark/>
          </w:tcPr>
          <w:p w14:paraId="05130C1F"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1,207.0</w:t>
            </w:r>
          </w:p>
        </w:tc>
        <w:tc>
          <w:tcPr>
            <w:tcW w:w="1285" w:type="dxa"/>
            <w:tcBorders>
              <w:top w:val="nil"/>
              <w:left w:val="nil"/>
              <w:bottom w:val="single" w:sz="8" w:space="0" w:color="auto"/>
              <w:right w:val="single" w:sz="8" w:space="0" w:color="auto"/>
            </w:tcBorders>
            <w:shd w:val="clear" w:color="000000" w:fill="C6D9F1"/>
            <w:vAlign w:val="center"/>
            <w:hideMark/>
          </w:tcPr>
          <w:p w14:paraId="46C4B9C2"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1,088.3</w:t>
            </w:r>
          </w:p>
        </w:tc>
      </w:tr>
      <w:tr w:rsidR="005B7218" w:rsidRPr="00BF0B57" w14:paraId="6F8B75A1"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626B4F2"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15F868E1"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14,416.9</w:t>
            </w:r>
          </w:p>
        </w:tc>
        <w:tc>
          <w:tcPr>
            <w:tcW w:w="1154" w:type="dxa"/>
            <w:tcBorders>
              <w:top w:val="nil"/>
              <w:left w:val="nil"/>
              <w:bottom w:val="single" w:sz="8" w:space="0" w:color="auto"/>
              <w:right w:val="single" w:sz="8" w:space="0" w:color="auto"/>
            </w:tcBorders>
            <w:shd w:val="clear" w:color="000000" w:fill="FFFFFF"/>
            <w:vAlign w:val="center"/>
            <w:hideMark/>
          </w:tcPr>
          <w:p w14:paraId="75DC45B8"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4,488.8</w:t>
            </w:r>
          </w:p>
        </w:tc>
        <w:tc>
          <w:tcPr>
            <w:tcW w:w="1252" w:type="dxa"/>
            <w:tcBorders>
              <w:top w:val="nil"/>
              <w:left w:val="nil"/>
              <w:bottom w:val="single" w:sz="8" w:space="0" w:color="auto"/>
              <w:right w:val="single" w:sz="8" w:space="0" w:color="auto"/>
            </w:tcBorders>
            <w:shd w:val="clear" w:color="000000" w:fill="FFFFFF"/>
            <w:vAlign w:val="center"/>
            <w:hideMark/>
          </w:tcPr>
          <w:p w14:paraId="1E6B96B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182.0</w:t>
            </w:r>
          </w:p>
        </w:tc>
        <w:tc>
          <w:tcPr>
            <w:tcW w:w="1135" w:type="dxa"/>
            <w:tcBorders>
              <w:top w:val="nil"/>
              <w:left w:val="nil"/>
              <w:bottom w:val="single" w:sz="8" w:space="0" w:color="auto"/>
              <w:right w:val="single" w:sz="8" w:space="0" w:color="auto"/>
            </w:tcBorders>
            <w:shd w:val="clear" w:color="auto" w:fill="auto"/>
            <w:vAlign w:val="center"/>
            <w:hideMark/>
          </w:tcPr>
          <w:p w14:paraId="20818921"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1,207.0</w:t>
            </w:r>
          </w:p>
        </w:tc>
        <w:tc>
          <w:tcPr>
            <w:tcW w:w="1285" w:type="dxa"/>
            <w:tcBorders>
              <w:top w:val="nil"/>
              <w:left w:val="nil"/>
              <w:bottom w:val="single" w:sz="8" w:space="0" w:color="auto"/>
              <w:right w:val="single" w:sz="8" w:space="0" w:color="auto"/>
            </w:tcBorders>
            <w:shd w:val="clear" w:color="000000" w:fill="FFFFFF"/>
            <w:vAlign w:val="center"/>
            <w:hideMark/>
          </w:tcPr>
          <w:p w14:paraId="247675A1"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1,088.3</w:t>
            </w:r>
          </w:p>
        </w:tc>
      </w:tr>
      <w:tr w:rsidR="005B7218" w:rsidRPr="00BF0B57" w14:paraId="60C8E124"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542CA104"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4F29F623" w14:textId="77777777" w:rsidR="005B7218" w:rsidRPr="00BF0B57" w:rsidRDefault="005B7218" w:rsidP="00027FBF">
            <w:pPr>
              <w:spacing w:before="0" w:line="240" w:lineRule="auto"/>
              <w:ind w:firstLine="0"/>
              <w:jc w:val="right"/>
              <w:rPr>
                <w:color w:val="000000"/>
                <w:sz w:val="20"/>
                <w:szCs w:val="20"/>
              </w:rPr>
            </w:pPr>
            <w:r w:rsidRPr="00BF0B57">
              <w:rPr>
                <w:color w:val="000000"/>
                <w:sz w:val="20"/>
                <w:szCs w:val="20"/>
              </w:rPr>
              <w:t>0.0</w:t>
            </w:r>
          </w:p>
        </w:tc>
        <w:tc>
          <w:tcPr>
            <w:tcW w:w="1154" w:type="dxa"/>
            <w:tcBorders>
              <w:top w:val="nil"/>
              <w:left w:val="nil"/>
              <w:bottom w:val="single" w:sz="8" w:space="0" w:color="auto"/>
              <w:right w:val="single" w:sz="8" w:space="0" w:color="auto"/>
            </w:tcBorders>
            <w:shd w:val="clear" w:color="000000" w:fill="FFFFFF"/>
            <w:vAlign w:val="center"/>
            <w:hideMark/>
          </w:tcPr>
          <w:p w14:paraId="17D474D5"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252" w:type="dxa"/>
            <w:tcBorders>
              <w:top w:val="nil"/>
              <w:left w:val="nil"/>
              <w:bottom w:val="single" w:sz="8" w:space="0" w:color="auto"/>
              <w:right w:val="single" w:sz="8" w:space="0" w:color="auto"/>
            </w:tcBorders>
            <w:shd w:val="clear" w:color="000000" w:fill="FFFFFF"/>
            <w:vAlign w:val="center"/>
            <w:hideMark/>
          </w:tcPr>
          <w:p w14:paraId="4C92DA3B"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135" w:type="dxa"/>
            <w:tcBorders>
              <w:top w:val="nil"/>
              <w:left w:val="nil"/>
              <w:bottom w:val="single" w:sz="8" w:space="0" w:color="auto"/>
              <w:right w:val="single" w:sz="8" w:space="0" w:color="auto"/>
            </w:tcBorders>
            <w:shd w:val="clear" w:color="000000" w:fill="FFFFFF"/>
            <w:vAlign w:val="center"/>
            <w:hideMark/>
          </w:tcPr>
          <w:p w14:paraId="38CAF4E2" w14:textId="77777777" w:rsidR="005B7218" w:rsidRPr="00BF0B57" w:rsidRDefault="005B7218" w:rsidP="00027FBF">
            <w:pPr>
              <w:spacing w:before="0" w:line="240" w:lineRule="auto"/>
              <w:ind w:firstLine="0"/>
              <w:jc w:val="right"/>
              <w:rPr>
                <w:color w:val="000000"/>
                <w:sz w:val="20"/>
                <w:szCs w:val="20"/>
              </w:rPr>
            </w:pPr>
            <w:r w:rsidRPr="00BF0B57">
              <w:rPr>
                <w:color w:val="000000"/>
                <w:sz w:val="20"/>
                <w:szCs w:val="20"/>
              </w:rPr>
              <w:t>0.0</w:t>
            </w:r>
          </w:p>
        </w:tc>
        <w:tc>
          <w:tcPr>
            <w:tcW w:w="1285" w:type="dxa"/>
            <w:tcBorders>
              <w:top w:val="nil"/>
              <w:left w:val="nil"/>
              <w:bottom w:val="single" w:sz="8" w:space="0" w:color="auto"/>
              <w:right w:val="single" w:sz="8" w:space="0" w:color="auto"/>
            </w:tcBorders>
            <w:shd w:val="clear" w:color="000000" w:fill="FFFFFF"/>
            <w:vAlign w:val="center"/>
            <w:hideMark/>
          </w:tcPr>
          <w:p w14:paraId="5D2147B5"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0.0</w:t>
            </w:r>
          </w:p>
        </w:tc>
      </w:tr>
      <w:tr w:rsidR="005B7218" w:rsidRPr="00BF0B57" w14:paraId="19679194" w14:textId="77777777" w:rsidTr="00027FBF">
        <w:trPr>
          <w:trHeight w:val="69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1571FB9F" w14:textId="77777777" w:rsidR="005B7218" w:rsidRPr="00BF0B57" w:rsidRDefault="005B7218" w:rsidP="00027FBF">
            <w:pPr>
              <w:spacing w:before="0" w:line="240" w:lineRule="auto"/>
              <w:ind w:firstLine="0"/>
              <w:jc w:val="left"/>
              <w:rPr>
                <w:b w:val="0"/>
                <w:bCs/>
                <w:color w:val="000000"/>
                <w:sz w:val="20"/>
                <w:szCs w:val="20"/>
              </w:rPr>
            </w:pPr>
            <w:r w:rsidRPr="00BF0B57">
              <w:rPr>
                <w:bCs/>
                <w:color w:val="000000"/>
                <w:sz w:val="20"/>
                <w:szCs w:val="20"/>
              </w:rPr>
              <w:t xml:space="preserve"> Շրջակա միջավայր և գյուղատնտեսություն </w:t>
            </w:r>
          </w:p>
        </w:tc>
        <w:tc>
          <w:tcPr>
            <w:tcW w:w="1236" w:type="dxa"/>
            <w:tcBorders>
              <w:top w:val="nil"/>
              <w:left w:val="nil"/>
              <w:bottom w:val="single" w:sz="8" w:space="0" w:color="auto"/>
              <w:right w:val="single" w:sz="8" w:space="0" w:color="auto"/>
            </w:tcBorders>
            <w:shd w:val="clear" w:color="000000" w:fill="C6D9F1"/>
            <w:vAlign w:val="center"/>
            <w:hideMark/>
          </w:tcPr>
          <w:p w14:paraId="50CEB88F"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2,104.5</w:t>
            </w:r>
          </w:p>
        </w:tc>
        <w:tc>
          <w:tcPr>
            <w:tcW w:w="1154" w:type="dxa"/>
            <w:tcBorders>
              <w:top w:val="nil"/>
              <w:left w:val="nil"/>
              <w:bottom w:val="single" w:sz="8" w:space="0" w:color="auto"/>
              <w:right w:val="single" w:sz="8" w:space="0" w:color="auto"/>
            </w:tcBorders>
            <w:shd w:val="clear" w:color="000000" w:fill="C6D9F1"/>
            <w:vAlign w:val="center"/>
            <w:hideMark/>
          </w:tcPr>
          <w:p w14:paraId="258B2FD3"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3,904.1</w:t>
            </w:r>
          </w:p>
        </w:tc>
        <w:tc>
          <w:tcPr>
            <w:tcW w:w="1252" w:type="dxa"/>
            <w:tcBorders>
              <w:top w:val="nil"/>
              <w:left w:val="nil"/>
              <w:bottom w:val="single" w:sz="8" w:space="0" w:color="auto"/>
              <w:right w:val="single" w:sz="8" w:space="0" w:color="auto"/>
            </w:tcBorders>
            <w:shd w:val="clear" w:color="000000" w:fill="C6D9F1"/>
            <w:vAlign w:val="center"/>
            <w:hideMark/>
          </w:tcPr>
          <w:p w14:paraId="67B67E60"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1,525.8</w:t>
            </w:r>
          </w:p>
        </w:tc>
        <w:tc>
          <w:tcPr>
            <w:tcW w:w="1135" w:type="dxa"/>
            <w:tcBorders>
              <w:top w:val="nil"/>
              <w:left w:val="nil"/>
              <w:bottom w:val="single" w:sz="8" w:space="0" w:color="auto"/>
              <w:right w:val="single" w:sz="8" w:space="0" w:color="auto"/>
            </w:tcBorders>
            <w:shd w:val="clear" w:color="000000" w:fill="C6D9F1"/>
            <w:vAlign w:val="center"/>
            <w:hideMark/>
          </w:tcPr>
          <w:p w14:paraId="5F1B2913"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7,293.6</w:t>
            </w:r>
          </w:p>
        </w:tc>
        <w:tc>
          <w:tcPr>
            <w:tcW w:w="1285" w:type="dxa"/>
            <w:tcBorders>
              <w:top w:val="nil"/>
              <w:left w:val="nil"/>
              <w:bottom w:val="single" w:sz="8" w:space="0" w:color="auto"/>
              <w:right w:val="single" w:sz="8" w:space="0" w:color="auto"/>
            </w:tcBorders>
            <w:shd w:val="clear" w:color="000000" w:fill="C6D9F1"/>
            <w:vAlign w:val="center"/>
            <w:hideMark/>
          </w:tcPr>
          <w:p w14:paraId="3003B5F0"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5,758.3</w:t>
            </w:r>
          </w:p>
        </w:tc>
      </w:tr>
      <w:tr w:rsidR="005B7218" w:rsidRPr="00BF0B57" w14:paraId="45A14371"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548A8FE"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3F87E40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2,104.5</w:t>
            </w:r>
          </w:p>
        </w:tc>
        <w:tc>
          <w:tcPr>
            <w:tcW w:w="1154" w:type="dxa"/>
            <w:tcBorders>
              <w:top w:val="nil"/>
              <w:left w:val="nil"/>
              <w:bottom w:val="single" w:sz="8" w:space="0" w:color="auto"/>
              <w:right w:val="single" w:sz="8" w:space="0" w:color="auto"/>
            </w:tcBorders>
            <w:shd w:val="clear" w:color="000000" w:fill="FFFFFF"/>
            <w:vAlign w:val="center"/>
            <w:hideMark/>
          </w:tcPr>
          <w:p w14:paraId="5B43AC85"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3,557.7</w:t>
            </w:r>
          </w:p>
        </w:tc>
        <w:tc>
          <w:tcPr>
            <w:tcW w:w="1252" w:type="dxa"/>
            <w:tcBorders>
              <w:top w:val="nil"/>
              <w:left w:val="nil"/>
              <w:bottom w:val="single" w:sz="8" w:space="0" w:color="auto"/>
              <w:right w:val="single" w:sz="8" w:space="0" w:color="auto"/>
            </w:tcBorders>
            <w:shd w:val="clear" w:color="000000" w:fill="FFFFFF"/>
            <w:vAlign w:val="center"/>
            <w:hideMark/>
          </w:tcPr>
          <w:p w14:paraId="4E3E4B33"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1,174.5</w:t>
            </w:r>
          </w:p>
        </w:tc>
        <w:tc>
          <w:tcPr>
            <w:tcW w:w="1135" w:type="dxa"/>
            <w:tcBorders>
              <w:top w:val="nil"/>
              <w:left w:val="nil"/>
              <w:bottom w:val="single" w:sz="8" w:space="0" w:color="auto"/>
              <w:right w:val="single" w:sz="8" w:space="0" w:color="auto"/>
            </w:tcBorders>
            <w:shd w:val="clear" w:color="auto" w:fill="auto"/>
            <w:vAlign w:val="center"/>
            <w:hideMark/>
          </w:tcPr>
          <w:p w14:paraId="46D7B80C"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6,754.1</w:t>
            </w:r>
          </w:p>
        </w:tc>
        <w:tc>
          <w:tcPr>
            <w:tcW w:w="1285" w:type="dxa"/>
            <w:tcBorders>
              <w:top w:val="nil"/>
              <w:left w:val="nil"/>
              <w:bottom w:val="single" w:sz="8" w:space="0" w:color="auto"/>
              <w:right w:val="single" w:sz="8" w:space="0" w:color="auto"/>
            </w:tcBorders>
            <w:shd w:val="clear" w:color="auto" w:fill="auto"/>
            <w:vAlign w:val="center"/>
            <w:hideMark/>
          </w:tcPr>
          <w:p w14:paraId="5CBC7A00"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5,156.8</w:t>
            </w:r>
          </w:p>
        </w:tc>
      </w:tr>
      <w:tr w:rsidR="005B7218" w:rsidRPr="00BF0B57" w14:paraId="0379E5D3" w14:textId="77777777" w:rsidTr="00027FBF">
        <w:trPr>
          <w:trHeight w:val="420"/>
        </w:trPr>
        <w:tc>
          <w:tcPr>
            <w:tcW w:w="3959" w:type="dxa"/>
            <w:tcBorders>
              <w:top w:val="nil"/>
              <w:left w:val="single" w:sz="8" w:space="0" w:color="auto"/>
              <w:bottom w:val="single" w:sz="8" w:space="0" w:color="auto"/>
              <w:right w:val="single" w:sz="8" w:space="0" w:color="auto"/>
            </w:tcBorders>
            <w:shd w:val="clear" w:color="auto" w:fill="auto"/>
            <w:noWrap/>
            <w:vAlign w:val="center"/>
            <w:hideMark/>
          </w:tcPr>
          <w:p w14:paraId="56A5200A"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17CAFF3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154" w:type="dxa"/>
            <w:tcBorders>
              <w:top w:val="nil"/>
              <w:left w:val="nil"/>
              <w:bottom w:val="single" w:sz="8" w:space="0" w:color="auto"/>
              <w:right w:val="single" w:sz="8" w:space="0" w:color="auto"/>
            </w:tcBorders>
            <w:shd w:val="clear" w:color="auto" w:fill="auto"/>
            <w:vAlign w:val="center"/>
            <w:hideMark/>
          </w:tcPr>
          <w:p w14:paraId="61AEBEAB"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346.3</w:t>
            </w:r>
          </w:p>
        </w:tc>
        <w:tc>
          <w:tcPr>
            <w:tcW w:w="1252" w:type="dxa"/>
            <w:tcBorders>
              <w:top w:val="nil"/>
              <w:left w:val="nil"/>
              <w:bottom w:val="single" w:sz="8" w:space="0" w:color="auto"/>
              <w:right w:val="single" w:sz="8" w:space="0" w:color="auto"/>
            </w:tcBorders>
            <w:shd w:val="clear" w:color="auto" w:fill="auto"/>
            <w:vAlign w:val="center"/>
            <w:hideMark/>
          </w:tcPr>
          <w:p w14:paraId="07D59B7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351.3</w:t>
            </w:r>
          </w:p>
        </w:tc>
        <w:tc>
          <w:tcPr>
            <w:tcW w:w="1135" w:type="dxa"/>
            <w:tcBorders>
              <w:top w:val="nil"/>
              <w:left w:val="nil"/>
              <w:bottom w:val="single" w:sz="8" w:space="0" w:color="auto"/>
              <w:right w:val="single" w:sz="8" w:space="0" w:color="auto"/>
            </w:tcBorders>
            <w:shd w:val="clear" w:color="auto" w:fill="auto"/>
            <w:vAlign w:val="center"/>
            <w:hideMark/>
          </w:tcPr>
          <w:p w14:paraId="28B9C294"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539.5</w:t>
            </w:r>
          </w:p>
        </w:tc>
        <w:tc>
          <w:tcPr>
            <w:tcW w:w="1285" w:type="dxa"/>
            <w:tcBorders>
              <w:top w:val="nil"/>
              <w:left w:val="nil"/>
              <w:bottom w:val="single" w:sz="8" w:space="0" w:color="auto"/>
              <w:right w:val="single" w:sz="8" w:space="0" w:color="auto"/>
            </w:tcBorders>
            <w:shd w:val="clear" w:color="auto" w:fill="auto"/>
            <w:vAlign w:val="center"/>
            <w:hideMark/>
          </w:tcPr>
          <w:p w14:paraId="796A70E4"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601.5</w:t>
            </w:r>
          </w:p>
        </w:tc>
      </w:tr>
      <w:tr w:rsidR="005B7218" w:rsidRPr="00BF0B57" w14:paraId="3D6CA225"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76728107" w14:textId="77777777" w:rsidR="005B7218" w:rsidRPr="00BF0B57" w:rsidRDefault="005B7218" w:rsidP="00027FBF">
            <w:pPr>
              <w:spacing w:before="0" w:line="240" w:lineRule="auto"/>
              <w:ind w:firstLine="0"/>
              <w:jc w:val="left"/>
              <w:rPr>
                <w:b w:val="0"/>
                <w:bCs/>
                <w:color w:val="000000"/>
                <w:sz w:val="20"/>
                <w:szCs w:val="20"/>
              </w:rPr>
            </w:pPr>
            <w:r w:rsidRPr="00BF0B57">
              <w:rPr>
                <w:bCs/>
                <w:color w:val="000000"/>
                <w:sz w:val="20"/>
                <w:szCs w:val="20"/>
              </w:rPr>
              <w:t xml:space="preserve"> Ջրային տնտեսություն </w:t>
            </w:r>
          </w:p>
        </w:tc>
        <w:tc>
          <w:tcPr>
            <w:tcW w:w="1236" w:type="dxa"/>
            <w:tcBorders>
              <w:top w:val="nil"/>
              <w:left w:val="nil"/>
              <w:bottom w:val="single" w:sz="8" w:space="0" w:color="auto"/>
              <w:right w:val="single" w:sz="8" w:space="0" w:color="auto"/>
            </w:tcBorders>
            <w:shd w:val="clear" w:color="000000" w:fill="C6D9F1"/>
            <w:vAlign w:val="center"/>
            <w:hideMark/>
          </w:tcPr>
          <w:p w14:paraId="21CCDE49"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10,480.7</w:t>
            </w:r>
          </w:p>
        </w:tc>
        <w:tc>
          <w:tcPr>
            <w:tcW w:w="1154" w:type="dxa"/>
            <w:tcBorders>
              <w:top w:val="nil"/>
              <w:left w:val="nil"/>
              <w:bottom w:val="single" w:sz="8" w:space="0" w:color="auto"/>
              <w:right w:val="single" w:sz="8" w:space="0" w:color="auto"/>
            </w:tcBorders>
            <w:shd w:val="clear" w:color="000000" w:fill="C6D9F1"/>
            <w:vAlign w:val="center"/>
            <w:hideMark/>
          </w:tcPr>
          <w:p w14:paraId="4B7849D8"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6,819.5</w:t>
            </w:r>
          </w:p>
        </w:tc>
        <w:tc>
          <w:tcPr>
            <w:tcW w:w="1252" w:type="dxa"/>
            <w:tcBorders>
              <w:top w:val="nil"/>
              <w:left w:val="nil"/>
              <w:bottom w:val="single" w:sz="8" w:space="0" w:color="auto"/>
              <w:right w:val="single" w:sz="8" w:space="0" w:color="auto"/>
            </w:tcBorders>
            <w:shd w:val="clear" w:color="000000" w:fill="C6D9F1"/>
            <w:vAlign w:val="center"/>
            <w:hideMark/>
          </w:tcPr>
          <w:p w14:paraId="60B5CD91"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11,522.5</w:t>
            </w:r>
          </w:p>
        </w:tc>
        <w:tc>
          <w:tcPr>
            <w:tcW w:w="1135" w:type="dxa"/>
            <w:tcBorders>
              <w:top w:val="nil"/>
              <w:left w:val="nil"/>
              <w:bottom w:val="single" w:sz="8" w:space="0" w:color="auto"/>
              <w:right w:val="single" w:sz="8" w:space="0" w:color="auto"/>
            </w:tcBorders>
            <w:shd w:val="clear" w:color="000000" w:fill="C6D9F1"/>
            <w:vAlign w:val="center"/>
            <w:hideMark/>
          </w:tcPr>
          <w:p w14:paraId="399C154F"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20,151.4</w:t>
            </w:r>
          </w:p>
        </w:tc>
        <w:tc>
          <w:tcPr>
            <w:tcW w:w="1285" w:type="dxa"/>
            <w:tcBorders>
              <w:top w:val="nil"/>
              <w:left w:val="nil"/>
              <w:bottom w:val="single" w:sz="8" w:space="0" w:color="auto"/>
              <w:right w:val="single" w:sz="8" w:space="0" w:color="auto"/>
            </w:tcBorders>
            <w:shd w:val="clear" w:color="000000" w:fill="C6D9F1"/>
            <w:vAlign w:val="center"/>
            <w:hideMark/>
          </w:tcPr>
          <w:p w14:paraId="33EA452D"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34,698.7</w:t>
            </w:r>
          </w:p>
        </w:tc>
      </w:tr>
      <w:tr w:rsidR="005B7218" w:rsidRPr="00BF0B57" w14:paraId="244E5F93"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B953445"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7602F1D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8,799.5</w:t>
            </w:r>
          </w:p>
        </w:tc>
        <w:tc>
          <w:tcPr>
            <w:tcW w:w="1154" w:type="dxa"/>
            <w:tcBorders>
              <w:top w:val="nil"/>
              <w:left w:val="nil"/>
              <w:bottom w:val="single" w:sz="8" w:space="0" w:color="auto"/>
              <w:right w:val="single" w:sz="8" w:space="0" w:color="auto"/>
            </w:tcBorders>
            <w:shd w:val="clear" w:color="000000" w:fill="FFFFFF"/>
            <w:vAlign w:val="center"/>
            <w:hideMark/>
          </w:tcPr>
          <w:p w14:paraId="6A04967A"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4,661.9</w:t>
            </w:r>
          </w:p>
        </w:tc>
        <w:tc>
          <w:tcPr>
            <w:tcW w:w="1252" w:type="dxa"/>
            <w:tcBorders>
              <w:top w:val="nil"/>
              <w:left w:val="nil"/>
              <w:bottom w:val="single" w:sz="8" w:space="0" w:color="auto"/>
              <w:right w:val="single" w:sz="8" w:space="0" w:color="auto"/>
            </w:tcBorders>
            <w:shd w:val="clear" w:color="000000" w:fill="FFFFFF"/>
            <w:vAlign w:val="center"/>
            <w:hideMark/>
          </w:tcPr>
          <w:p w14:paraId="4D0DAA33"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9,513.1</w:t>
            </w:r>
          </w:p>
        </w:tc>
        <w:tc>
          <w:tcPr>
            <w:tcW w:w="1135" w:type="dxa"/>
            <w:tcBorders>
              <w:top w:val="nil"/>
              <w:left w:val="nil"/>
              <w:bottom w:val="single" w:sz="8" w:space="0" w:color="auto"/>
              <w:right w:val="single" w:sz="8" w:space="0" w:color="auto"/>
            </w:tcBorders>
            <w:shd w:val="clear" w:color="auto" w:fill="auto"/>
            <w:vAlign w:val="center"/>
            <w:hideMark/>
          </w:tcPr>
          <w:p w14:paraId="2047453D"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18,464.4</w:t>
            </w:r>
          </w:p>
        </w:tc>
        <w:tc>
          <w:tcPr>
            <w:tcW w:w="1285" w:type="dxa"/>
            <w:tcBorders>
              <w:top w:val="nil"/>
              <w:left w:val="nil"/>
              <w:bottom w:val="single" w:sz="8" w:space="0" w:color="auto"/>
              <w:right w:val="single" w:sz="8" w:space="0" w:color="auto"/>
            </w:tcBorders>
            <w:shd w:val="clear" w:color="auto" w:fill="auto"/>
            <w:vAlign w:val="center"/>
            <w:hideMark/>
          </w:tcPr>
          <w:p w14:paraId="6937FF69"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25,542.4</w:t>
            </w:r>
          </w:p>
        </w:tc>
      </w:tr>
      <w:tr w:rsidR="005B7218" w:rsidRPr="00BF0B57" w14:paraId="52797D7A"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6DB54A9D"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5EFC5C6C"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1,681.2</w:t>
            </w:r>
          </w:p>
        </w:tc>
        <w:tc>
          <w:tcPr>
            <w:tcW w:w="1154" w:type="dxa"/>
            <w:tcBorders>
              <w:top w:val="nil"/>
              <w:left w:val="nil"/>
              <w:bottom w:val="single" w:sz="8" w:space="0" w:color="auto"/>
              <w:right w:val="single" w:sz="4" w:space="0" w:color="auto"/>
            </w:tcBorders>
            <w:shd w:val="clear" w:color="auto" w:fill="auto"/>
            <w:vAlign w:val="center"/>
            <w:hideMark/>
          </w:tcPr>
          <w:p w14:paraId="127290F3"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2,157.6</w:t>
            </w:r>
          </w:p>
        </w:tc>
        <w:tc>
          <w:tcPr>
            <w:tcW w:w="1252" w:type="dxa"/>
            <w:tcBorders>
              <w:top w:val="nil"/>
              <w:left w:val="nil"/>
              <w:bottom w:val="single" w:sz="8" w:space="0" w:color="auto"/>
              <w:right w:val="single" w:sz="8" w:space="0" w:color="auto"/>
            </w:tcBorders>
            <w:shd w:val="clear" w:color="000000" w:fill="FFFFFF"/>
            <w:vAlign w:val="center"/>
            <w:hideMark/>
          </w:tcPr>
          <w:p w14:paraId="502F7B7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2,009.4</w:t>
            </w:r>
          </w:p>
        </w:tc>
        <w:tc>
          <w:tcPr>
            <w:tcW w:w="1135" w:type="dxa"/>
            <w:tcBorders>
              <w:top w:val="nil"/>
              <w:left w:val="nil"/>
              <w:bottom w:val="single" w:sz="8" w:space="0" w:color="auto"/>
              <w:right w:val="single" w:sz="8" w:space="0" w:color="auto"/>
            </w:tcBorders>
            <w:shd w:val="clear" w:color="000000" w:fill="FFFFFF"/>
            <w:vAlign w:val="center"/>
            <w:hideMark/>
          </w:tcPr>
          <w:p w14:paraId="48A05F1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1,687.0</w:t>
            </w:r>
          </w:p>
        </w:tc>
        <w:tc>
          <w:tcPr>
            <w:tcW w:w="1285" w:type="dxa"/>
            <w:tcBorders>
              <w:top w:val="nil"/>
              <w:left w:val="nil"/>
              <w:bottom w:val="single" w:sz="8" w:space="0" w:color="auto"/>
              <w:right w:val="single" w:sz="8" w:space="0" w:color="auto"/>
            </w:tcBorders>
            <w:shd w:val="clear" w:color="000000" w:fill="FFFFFF"/>
            <w:vAlign w:val="center"/>
            <w:hideMark/>
          </w:tcPr>
          <w:p w14:paraId="4B6DE866"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9,156.3</w:t>
            </w:r>
          </w:p>
        </w:tc>
      </w:tr>
      <w:tr w:rsidR="005B7218" w:rsidRPr="00BF0B57" w14:paraId="6C92391F"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19CF84CB" w14:textId="77777777" w:rsidR="005B7218" w:rsidRPr="00BF0B57" w:rsidRDefault="005B7218" w:rsidP="00027FBF">
            <w:pPr>
              <w:spacing w:before="0" w:line="240" w:lineRule="auto"/>
              <w:ind w:firstLine="0"/>
              <w:rPr>
                <w:b w:val="0"/>
                <w:bCs/>
                <w:color w:val="000000"/>
                <w:sz w:val="20"/>
                <w:szCs w:val="20"/>
              </w:rPr>
            </w:pPr>
            <w:r w:rsidRPr="00BF0B57">
              <w:rPr>
                <w:bCs/>
                <w:color w:val="000000"/>
                <w:sz w:val="20"/>
                <w:szCs w:val="20"/>
              </w:rPr>
              <w:t xml:space="preserve"> Առողջապահություն </w:t>
            </w:r>
          </w:p>
        </w:tc>
        <w:tc>
          <w:tcPr>
            <w:tcW w:w="1236" w:type="dxa"/>
            <w:tcBorders>
              <w:top w:val="nil"/>
              <w:left w:val="nil"/>
              <w:bottom w:val="single" w:sz="8" w:space="0" w:color="auto"/>
              <w:right w:val="single" w:sz="8" w:space="0" w:color="auto"/>
            </w:tcBorders>
            <w:shd w:val="clear" w:color="000000" w:fill="C6D9F1"/>
            <w:vAlign w:val="center"/>
            <w:hideMark/>
          </w:tcPr>
          <w:p w14:paraId="4926208F"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2,272.9</w:t>
            </w:r>
          </w:p>
        </w:tc>
        <w:tc>
          <w:tcPr>
            <w:tcW w:w="1154" w:type="dxa"/>
            <w:tcBorders>
              <w:top w:val="nil"/>
              <w:left w:val="nil"/>
              <w:bottom w:val="single" w:sz="8" w:space="0" w:color="auto"/>
              <w:right w:val="single" w:sz="8" w:space="0" w:color="auto"/>
            </w:tcBorders>
            <w:shd w:val="clear" w:color="000000" w:fill="C6D9F1"/>
            <w:vAlign w:val="center"/>
            <w:hideMark/>
          </w:tcPr>
          <w:p w14:paraId="56BBEC5C"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1,979.3</w:t>
            </w:r>
          </w:p>
        </w:tc>
        <w:tc>
          <w:tcPr>
            <w:tcW w:w="1252" w:type="dxa"/>
            <w:tcBorders>
              <w:top w:val="nil"/>
              <w:left w:val="nil"/>
              <w:bottom w:val="single" w:sz="8" w:space="0" w:color="auto"/>
              <w:right w:val="single" w:sz="8" w:space="0" w:color="auto"/>
            </w:tcBorders>
            <w:shd w:val="clear" w:color="000000" w:fill="C6D9F1"/>
            <w:vAlign w:val="center"/>
            <w:hideMark/>
          </w:tcPr>
          <w:p w14:paraId="02675A2B"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4,630.5</w:t>
            </w:r>
          </w:p>
        </w:tc>
        <w:tc>
          <w:tcPr>
            <w:tcW w:w="1135" w:type="dxa"/>
            <w:tcBorders>
              <w:top w:val="nil"/>
              <w:left w:val="nil"/>
              <w:bottom w:val="single" w:sz="8" w:space="0" w:color="auto"/>
              <w:right w:val="single" w:sz="8" w:space="0" w:color="auto"/>
            </w:tcBorders>
            <w:shd w:val="clear" w:color="000000" w:fill="C6D9F1"/>
            <w:vAlign w:val="center"/>
            <w:hideMark/>
          </w:tcPr>
          <w:p w14:paraId="51FAE7CE"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960.7</w:t>
            </w:r>
          </w:p>
        </w:tc>
        <w:tc>
          <w:tcPr>
            <w:tcW w:w="1285" w:type="dxa"/>
            <w:tcBorders>
              <w:top w:val="nil"/>
              <w:left w:val="nil"/>
              <w:bottom w:val="single" w:sz="8" w:space="0" w:color="auto"/>
              <w:right w:val="single" w:sz="8" w:space="0" w:color="auto"/>
            </w:tcBorders>
            <w:shd w:val="clear" w:color="000000" w:fill="C6D9F1"/>
            <w:vAlign w:val="center"/>
            <w:hideMark/>
          </w:tcPr>
          <w:p w14:paraId="219BAEEB"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7,176.8</w:t>
            </w:r>
          </w:p>
        </w:tc>
      </w:tr>
      <w:tr w:rsidR="005B7218" w:rsidRPr="00BF0B57" w14:paraId="0766B14C"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40A64C9A"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46D590D4"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2,264.5</w:t>
            </w:r>
          </w:p>
        </w:tc>
        <w:tc>
          <w:tcPr>
            <w:tcW w:w="1154" w:type="dxa"/>
            <w:tcBorders>
              <w:top w:val="nil"/>
              <w:left w:val="nil"/>
              <w:bottom w:val="single" w:sz="8" w:space="0" w:color="auto"/>
              <w:right w:val="single" w:sz="8" w:space="0" w:color="auto"/>
            </w:tcBorders>
            <w:shd w:val="clear" w:color="000000" w:fill="FFFFFF"/>
            <w:vAlign w:val="center"/>
            <w:hideMark/>
          </w:tcPr>
          <w:p w14:paraId="0A21E98A"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529.6</w:t>
            </w:r>
          </w:p>
        </w:tc>
        <w:tc>
          <w:tcPr>
            <w:tcW w:w="1252" w:type="dxa"/>
            <w:tcBorders>
              <w:top w:val="nil"/>
              <w:left w:val="nil"/>
              <w:bottom w:val="single" w:sz="8" w:space="0" w:color="auto"/>
              <w:right w:val="single" w:sz="8" w:space="0" w:color="auto"/>
            </w:tcBorders>
            <w:shd w:val="clear" w:color="000000" w:fill="FFFFFF"/>
            <w:vAlign w:val="center"/>
            <w:hideMark/>
          </w:tcPr>
          <w:p w14:paraId="52090269"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2,565.7</w:t>
            </w:r>
          </w:p>
        </w:tc>
        <w:tc>
          <w:tcPr>
            <w:tcW w:w="1135" w:type="dxa"/>
            <w:tcBorders>
              <w:top w:val="nil"/>
              <w:left w:val="nil"/>
              <w:bottom w:val="single" w:sz="8" w:space="0" w:color="auto"/>
              <w:right w:val="single" w:sz="8" w:space="0" w:color="auto"/>
            </w:tcBorders>
            <w:shd w:val="clear" w:color="auto" w:fill="auto"/>
            <w:vAlign w:val="center"/>
            <w:hideMark/>
          </w:tcPr>
          <w:p w14:paraId="3EAE679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960.7</w:t>
            </w:r>
          </w:p>
        </w:tc>
        <w:tc>
          <w:tcPr>
            <w:tcW w:w="1285" w:type="dxa"/>
            <w:tcBorders>
              <w:top w:val="nil"/>
              <w:left w:val="nil"/>
              <w:bottom w:val="single" w:sz="8" w:space="0" w:color="auto"/>
              <w:right w:val="single" w:sz="8" w:space="0" w:color="auto"/>
            </w:tcBorders>
            <w:shd w:val="clear" w:color="auto" w:fill="auto"/>
            <w:vAlign w:val="center"/>
            <w:hideMark/>
          </w:tcPr>
          <w:p w14:paraId="43C8BF7B"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7,176.8</w:t>
            </w:r>
          </w:p>
        </w:tc>
      </w:tr>
      <w:tr w:rsidR="005B7218" w:rsidRPr="00BF0B57" w14:paraId="71019C79"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9AC5B66"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343B00AB"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8.4</w:t>
            </w:r>
          </w:p>
        </w:tc>
        <w:tc>
          <w:tcPr>
            <w:tcW w:w="1154" w:type="dxa"/>
            <w:tcBorders>
              <w:top w:val="nil"/>
              <w:left w:val="nil"/>
              <w:bottom w:val="single" w:sz="8" w:space="0" w:color="auto"/>
              <w:right w:val="single" w:sz="8" w:space="0" w:color="auto"/>
            </w:tcBorders>
            <w:shd w:val="clear" w:color="auto" w:fill="auto"/>
            <w:vAlign w:val="center"/>
            <w:hideMark/>
          </w:tcPr>
          <w:p w14:paraId="569564D4"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1,449.6</w:t>
            </w:r>
          </w:p>
        </w:tc>
        <w:tc>
          <w:tcPr>
            <w:tcW w:w="1252" w:type="dxa"/>
            <w:tcBorders>
              <w:top w:val="nil"/>
              <w:left w:val="nil"/>
              <w:bottom w:val="single" w:sz="8" w:space="0" w:color="auto"/>
              <w:right w:val="single" w:sz="8" w:space="0" w:color="auto"/>
            </w:tcBorders>
            <w:shd w:val="clear" w:color="auto" w:fill="auto"/>
            <w:vAlign w:val="center"/>
            <w:hideMark/>
          </w:tcPr>
          <w:p w14:paraId="3C4A0882"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2,064.8</w:t>
            </w:r>
          </w:p>
        </w:tc>
        <w:tc>
          <w:tcPr>
            <w:tcW w:w="1135" w:type="dxa"/>
            <w:tcBorders>
              <w:top w:val="nil"/>
              <w:left w:val="nil"/>
              <w:bottom w:val="single" w:sz="8" w:space="0" w:color="auto"/>
              <w:right w:val="single" w:sz="8" w:space="0" w:color="auto"/>
            </w:tcBorders>
            <w:shd w:val="clear" w:color="auto" w:fill="auto"/>
            <w:vAlign w:val="center"/>
            <w:hideMark/>
          </w:tcPr>
          <w:p w14:paraId="7F3547DA"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285" w:type="dxa"/>
            <w:tcBorders>
              <w:top w:val="nil"/>
              <w:left w:val="nil"/>
              <w:bottom w:val="single" w:sz="8" w:space="0" w:color="auto"/>
              <w:right w:val="single" w:sz="8" w:space="0" w:color="auto"/>
            </w:tcBorders>
            <w:shd w:val="clear" w:color="auto" w:fill="auto"/>
            <w:vAlign w:val="center"/>
            <w:hideMark/>
          </w:tcPr>
          <w:p w14:paraId="3A12743A"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0.0</w:t>
            </w:r>
          </w:p>
        </w:tc>
      </w:tr>
      <w:tr w:rsidR="005B7218" w:rsidRPr="00BF0B57" w14:paraId="487D426F" w14:textId="77777777" w:rsidTr="00027FBF">
        <w:trPr>
          <w:trHeight w:val="63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65DCD221" w14:textId="77777777" w:rsidR="005B7218" w:rsidRPr="00BF0B57" w:rsidRDefault="005B7218" w:rsidP="00027FBF">
            <w:pPr>
              <w:spacing w:before="0" w:line="240" w:lineRule="auto"/>
              <w:ind w:firstLine="0"/>
              <w:jc w:val="left"/>
              <w:rPr>
                <w:b w:val="0"/>
                <w:bCs/>
                <w:color w:val="000000"/>
                <w:sz w:val="20"/>
                <w:szCs w:val="20"/>
              </w:rPr>
            </w:pPr>
            <w:r w:rsidRPr="00BF0B57">
              <w:rPr>
                <w:bCs/>
                <w:color w:val="000000"/>
                <w:sz w:val="20"/>
                <w:szCs w:val="20"/>
              </w:rPr>
              <w:t>Կրթություն</w:t>
            </w:r>
            <w:r w:rsidRPr="00BF0B57">
              <w:rPr>
                <w:rFonts w:ascii="Microsoft JhengHei" w:eastAsia="Microsoft JhengHei" w:hAnsi="Microsoft JhengHei" w:hint="eastAsia"/>
                <w:bCs/>
                <w:color w:val="000000"/>
                <w:sz w:val="20"/>
                <w:szCs w:val="20"/>
              </w:rPr>
              <w:t>﹐</w:t>
            </w:r>
            <w:r w:rsidRPr="00BF0B57">
              <w:rPr>
                <w:bCs/>
                <w:color w:val="000000"/>
                <w:sz w:val="20"/>
                <w:szCs w:val="20"/>
              </w:rPr>
              <w:t xml:space="preserve">գիտություն մշակույթ և սպորտ </w:t>
            </w:r>
          </w:p>
        </w:tc>
        <w:tc>
          <w:tcPr>
            <w:tcW w:w="1236" w:type="dxa"/>
            <w:tcBorders>
              <w:top w:val="nil"/>
              <w:left w:val="nil"/>
              <w:bottom w:val="single" w:sz="8" w:space="0" w:color="auto"/>
              <w:right w:val="single" w:sz="8" w:space="0" w:color="auto"/>
            </w:tcBorders>
            <w:shd w:val="clear" w:color="000000" w:fill="C6D9F1"/>
            <w:vAlign w:val="center"/>
            <w:hideMark/>
          </w:tcPr>
          <w:p w14:paraId="637625B6"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6,078.9</w:t>
            </w:r>
          </w:p>
        </w:tc>
        <w:tc>
          <w:tcPr>
            <w:tcW w:w="1154" w:type="dxa"/>
            <w:tcBorders>
              <w:top w:val="nil"/>
              <w:left w:val="nil"/>
              <w:bottom w:val="single" w:sz="8" w:space="0" w:color="auto"/>
              <w:right w:val="single" w:sz="8" w:space="0" w:color="auto"/>
            </w:tcBorders>
            <w:shd w:val="clear" w:color="000000" w:fill="C6D9F1"/>
            <w:vAlign w:val="center"/>
            <w:hideMark/>
          </w:tcPr>
          <w:p w14:paraId="46919C45"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4,774.1</w:t>
            </w:r>
          </w:p>
        </w:tc>
        <w:tc>
          <w:tcPr>
            <w:tcW w:w="1252" w:type="dxa"/>
            <w:tcBorders>
              <w:top w:val="nil"/>
              <w:left w:val="nil"/>
              <w:bottom w:val="single" w:sz="8" w:space="0" w:color="auto"/>
              <w:right w:val="single" w:sz="8" w:space="0" w:color="auto"/>
            </w:tcBorders>
            <w:shd w:val="clear" w:color="000000" w:fill="C6D9F1"/>
            <w:vAlign w:val="center"/>
            <w:hideMark/>
          </w:tcPr>
          <w:p w14:paraId="5B24E525"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12,313.5</w:t>
            </w:r>
          </w:p>
        </w:tc>
        <w:tc>
          <w:tcPr>
            <w:tcW w:w="1135" w:type="dxa"/>
            <w:tcBorders>
              <w:top w:val="nil"/>
              <w:left w:val="nil"/>
              <w:bottom w:val="single" w:sz="8" w:space="0" w:color="auto"/>
              <w:right w:val="single" w:sz="8" w:space="0" w:color="auto"/>
            </w:tcBorders>
            <w:shd w:val="clear" w:color="000000" w:fill="C6D9F1"/>
            <w:vAlign w:val="center"/>
            <w:hideMark/>
          </w:tcPr>
          <w:p w14:paraId="3177B3BA"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9,976.8</w:t>
            </w:r>
          </w:p>
        </w:tc>
        <w:tc>
          <w:tcPr>
            <w:tcW w:w="1285" w:type="dxa"/>
            <w:tcBorders>
              <w:top w:val="nil"/>
              <w:left w:val="nil"/>
              <w:bottom w:val="single" w:sz="8" w:space="0" w:color="auto"/>
              <w:right w:val="single" w:sz="8" w:space="0" w:color="auto"/>
            </w:tcBorders>
            <w:shd w:val="clear" w:color="000000" w:fill="C6D9F1"/>
            <w:vAlign w:val="center"/>
            <w:hideMark/>
          </w:tcPr>
          <w:p w14:paraId="5836C700"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33,345.5</w:t>
            </w:r>
          </w:p>
        </w:tc>
      </w:tr>
      <w:tr w:rsidR="005B7218" w:rsidRPr="00BF0B57" w14:paraId="198EACE0"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086A8AB3"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7A57977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3,022.1</w:t>
            </w:r>
          </w:p>
        </w:tc>
        <w:tc>
          <w:tcPr>
            <w:tcW w:w="1154" w:type="dxa"/>
            <w:tcBorders>
              <w:top w:val="nil"/>
              <w:left w:val="nil"/>
              <w:bottom w:val="single" w:sz="8" w:space="0" w:color="auto"/>
              <w:right w:val="single" w:sz="8" w:space="0" w:color="auto"/>
            </w:tcBorders>
            <w:shd w:val="clear" w:color="000000" w:fill="FFFFFF"/>
            <w:vAlign w:val="center"/>
            <w:hideMark/>
          </w:tcPr>
          <w:p w14:paraId="0D5BABE5"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1,672.4</w:t>
            </w:r>
          </w:p>
        </w:tc>
        <w:tc>
          <w:tcPr>
            <w:tcW w:w="1252" w:type="dxa"/>
            <w:tcBorders>
              <w:top w:val="nil"/>
              <w:left w:val="nil"/>
              <w:bottom w:val="single" w:sz="8" w:space="0" w:color="auto"/>
              <w:right w:val="single" w:sz="8" w:space="0" w:color="auto"/>
            </w:tcBorders>
            <w:shd w:val="clear" w:color="000000" w:fill="FFFFFF"/>
            <w:vAlign w:val="center"/>
            <w:hideMark/>
          </w:tcPr>
          <w:p w14:paraId="10DE320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8,785.5</w:t>
            </w:r>
          </w:p>
        </w:tc>
        <w:tc>
          <w:tcPr>
            <w:tcW w:w="1135" w:type="dxa"/>
            <w:tcBorders>
              <w:top w:val="nil"/>
              <w:left w:val="nil"/>
              <w:bottom w:val="single" w:sz="8" w:space="0" w:color="auto"/>
              <w:right w:val="single" w:sz="8" w:space="0" w:color="auto"/>
            </w:tcBorders>
            <w:shd w:val="clear" w:color="auto" w:fill="auto"/>
            <w:vAlign w:val="center"/>
            <w:hideMark/>
          </w:tcPr>
          <w:p w14:paraId="37330FF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8,539.6</w:t>
            </w:r>
          </w:p>
        </w:tc>
        <w:tc>
          <w:tcPr>
            <w:tcW w:w="1285" w:type="dxa"/>
            <w:tcBorders>
              <w:top w:val="nil"/>
              <w:left w:val="nil"/>
              <w:bottom w:val="single" w:sz="8" w:space="0" w:color="auto"/>
              <w:right w:val="single" w:sz="8" w:space="0" w:color="auto"/>
            </w:tcBorders>
            <w:shd w:val="clear" w:color="000000" w:fill="FFFFFF"/>
            <w:vAlign w:val="center"/>
            <w:hideMark/>
          </w:tcPr>
          <w:p w14:paraId="3CF83825"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8,963.2</w:t>
            </w:r>
          </w:p>
        </w:tc>
      </w:tr>
      <w:tr w:rsidR="005B7218" w:rsidRPr="00BF0B57" w14:paraId="74A5FE26"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118AC127"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1320BC5A"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3,056.8</w:t>
            </w:r>
          </w:p>
        </w:tc>
        <w:tc>
          <w:tcPr>
            <w:tcW w:w="1154" w:type="dxa"/>
            <w:tcBorders>
              <w:top w:val="nil"/>
              <w:left w:val="nil"/>
              <w:bottom w:val="single" w:sz="8" w:space="0" w:color="auto"/>
              <w:right w:val="single" w:sz="8" w:space="0" w:color="auto"/>
            </w:tcBorders>
            <w:shd w:val="clear" w:color="auto" w:fill="auto"/>
            <w:vAlign w:val="center"/>
            <w:hideMark/>
          </w:tcPr>
          <w:p w14:paraId="69E69199"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3,101.7</w:t>
            </w:r>
          </w:p>
        </w:tc>
        <w:tc>
          <w:tcPr>
            <w:tcW w:w="1252" w:type="dxa"/>
            <w:tcBorders>
              <w:top w:val="nil"/>
              <w:left w:val="nil"/>
              <w:bottom w:val="single" w:sz="8" w:space="0" w:color="auto"/>
              <w:right w:val="single" w:sz="8" w:space="0" w:color="auto"/>
            </w:tcBorders>
            <w:shd w:val="clear" w:color="auto" w:fill="auto"/>
            <w:vAlign w:val="center"/>
            <w:hideMark/>
          </w:tcPr>
          <w:p w14:paraId="4D6C90AB"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3,528.0</w:t>
            </w:r>
          </w:p>
        </w:tc>
        <w:tc>
          <w:tcPr>
            <w:tcW w:w="1135" w:type="dxa"/>
            <w:tcBorders>
              <w:top w:val="nil"/>
              <w:left w:val="nil"/>
              <w:bottom w:val="single" w:sz="8" w:space="0" w:color="auto"/>
              <w:right w:val="single" w:sz="8" w:space="0" w:color="auto"/>
            </w:tcBorders>
            <w:shd w:val="clear" w:color="auto" w:fill="auto"/>
            <w:vAlign w:val="center"/>
            <w:hideMark/>
          </w:tcPr>
          <w:p w14:paraId="58F6D42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1,437.2</w:t>
            </w:r>
          </w:p>
        </w:tc>
        <w:tc>
          <w:tcPr>
            <w:tcW w:w="1285" w:type="dxa"/>
            <w:tcBorders>
              <w:top w:val="nil"/>
              <w:left w:val="nil"/>
              <w:bottom w:val="single" w:sz="8" w:space="0" w:color="auto"/>
              <w:right w:val="single" w:sz="8" w:space="0" w:color="auto"/>
            </w:tcBorders>
            <w:shd w:val="clear" w:color="auto" w:fill="auto"/>
            <w:vAlign w:val="center"/>
            <w:hideMark/>
          </w:tcPr>
          <w:p w14:paraId="1035A274" w14:textId="77777777" w:rsidR="005B7218" w:rsidRPr="00BB305B" w:rsidRDefault="005B7218" w:rsidP="00027FBF">
            <w:pPr>
              <w:spacing w:before="0" w:line="240" w:lineRule="auto"/>
              <w:ind w:firstLine="0"/>
              <w:jc w:val="right"/>
              <w:rPr>
                <w:i/>
                <w:iCs/>
                <w:color w:val="000000"/>
                <w:sz w:val="20"/>
                <w:szCs w:val="20"/>
                <w:lang w:val="en-US"/>
              </w:rPr>
            </w:pPr>
            <w:r w:rsidRPr="00BB305B">
              <w:rPr>
                <w:sz w:val="20"/>
                <w:szCs w:val="20"/>
              </w:rPr>
              <w:t>24,382.3</w:t>
            </w:r>
          </w:p>
        </w:tc>
      </w:tr>
      <w:tr w:rsidR="005B7218" w:rsidRPr="00BF0B57" w14:paraId="1F5FA273"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1F13F8FC" w14:textId="77777777" w:rsidR="005B7218" w:rsidRPr="00BF0B57" w:rsidRDefault="005B7218" w:rsidP="00027FBF">
            <w:pPr>
              <w:spacing w:before="0" w:line="240" w:lineRule="auto"/>
              <w:ind w:firstLine="0"/>
              <w:rPr>
                <w:b w:val="0"/>
                <w:bCs/>
                <w:color w:val="000000"/>
                <w:sz w:val="20"/>
                <w:szCs w:val="20"/>
              </w:rPr>
            </w:pPr>
            <w:r w:rsidRPr="00BF0B57">
              <w:rPr>
                <w:bCs/>
                <w:color w:val="000000"/>
                <w:sz w:val="20"/>
                <w:szCs w:val="20"/>
              </w:rPr>
              <w:t xml:space="preserve"> Սոցիալական </w:t>
            </w:r>
          </w:p>
        </w:tc>
        <w:tc>
          <w:tcPr>
            <w:tcW w:w="1236" w:type="dxa"/>
            <w:tcBorders>
              <w:top w:val="nil"/>
              <w:left w:val="nil"/>
              <w:bottom w:val="single" w:sz="8" w:space="0" w:color="auto"/>
              <w:right w:val="single" w:sz="8" w:space="0" w:color="auto"/>
            </w:tcBorders>
            <w:shd w:val="clear" w:color="000000" w:fill="C6D9F1"/>
            <w:vAlign w:val="center"/>
            <w:hideMark/>
          </w:tcPr>
          <w:p w14:paraId="5C4394B7"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739.6</w:t>
            </w:r>
          </w:p>
        </w:tc>
        <w:tc>
          <w:tcPr>
            <w:tcW w:w="1154" w:type="dxa"/>
            <w:tcBorders>
              <w:top w:val="nil"/>
              <w:left w:val="nil"/>
              <w:bottom w:val="single" w:sz="8" w:space="0" w:color="auto"/>
              <w:right w:val="single" w:sz="8" w:space="0" w:color="auto"/>
            </w:tcBorders>
            <w:shd w:val="clear" w:color="000000" w:fill="C6D9F1"/>
            <w:vAlign w:val="center"/>
            <w:hideMark/>
          </w:tcPr>
          <w:p w14:paraId="27AD2106"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546.5</w:t>
            </w:r>
          </w:p>
        </w:tc>
        <w:tc>
          <w:tcPr>
            <w:tcW w:w="1252" w:type="dxa"/>
            <w:tcBorders>
              <w:top w:val="nil"/>
              <w:left w:val="nil"/>
              <w:bottom w:val="single" w:sz="8" w:space="0" w:color="auto"/>
              <w:right w:val="single" w:sz="8" w:space="0" w:color="auto"/>
            </w:tcBorders>
            <w:shd w:val="clear" w:color="000000" w:fill="C6D9F1"/>
            <w:vAlign w:val="center"/>
            <w:hideMark/>
          </w:tcPr>
          <w:p w14:paraId="37D8B647"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1,520.2</w:t>
            </w:r>
          </w:p>
        </w:tc>
        <w:tc>
          <w:tcPr>
            <w:tcW w:w="1135" w:type="dxa"/>
            <w:tcBorders>
              <w:top w:val="nil"/>
              <w:left w:val="nil"/>
              <w:bottom w:val="single" w:sz="8" w:space="0" w:color="auto"/>
              <w:right w:val="single" w:sz="8" w:space="0" w:color="auto"/>
            </w:tcBorders>
            <w:shd w:val="clear" w:color="000000" w:fill="C6D9F1"/>
            <w:vAlign w:val="center"/>
            <w:hideMark/>
          </w:tcPr>
          <w:p w14:paraId="0FD58621"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2,500.1</w:t>
            </w:r>
          </w:p>
        </w:tc>
        <w:tc>
          <w:tcPr>
            <w:tcW w:w="1285" w:type="dxa"/>
            <w:tcBorders>
              <w:top w:val="nil"/>
              <w:left w:val="nil"/>
              <w:bottom w:val="single" w:sz="8" w:space="0" w:color="auto"/>
              <w:right w:val="single" w:sz="8" w:space="0" w:color="auto"/>
            </w:tcBorders>
            <w:shd w:val="clear" w:color="000000" w:fill="C6D9F1"/>
            <w:vAlign w:val="center"/>
            <w:hideMark/>
          </w:tcPr>
          <w:p w14:paraId="0D876CA5"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2,926.6</w:t>
            </w:r>
          </w:p>
        </w:tc>
      </w:tr>
      <w:tr w:rsidR="005B7218" w:rsidRPr="00BF0B57" w14:paraId="05DF4657"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2E7EB92"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0645190F"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664.4</w:t>
            </w:r>
          </w:p>
        </w:tc>
        <w:tc>
          <w:tcPr>
            <w:tcW w:w="1154" w:type="dxa"/>
            <w:tcBorders>
              <w:top w:val="nil"/>
              <w:left w:val="nil"/>
              <w:bottom w:val="single" w:sz="8" w:space="0" w:color="auto"/>
              <w:right w:val="single" w:sz="8" w:space="0" w:color="auto"/>
            </w:tcBorders>
            <w:shd w:val="clear" w:color="000000" w:fill="FFFFFF"/>
            <w:vAlign w:val="center"/>
            <w:hideMark/>
          </w:tcPr>
          <w:p w14:paraId="23DEFFD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464.9</w:t>
            </w:r>
          </w:p>
        </w:tc>
        <w:tc>
          <w:tcPr>
            <w:tcW w:w="1252" w:type="dxa"/>
            <w:tcBorders>
              <w:top w:val="nil"/>
              <w:left w:val="nil"/>
              <w:bottom w:val="single" w:sz="8" w:space="0" w:color="auto"/>
              <w:right w:val="single" w:sz="8" w:space="0" w:color="auto"/>
            </w:tcBorders>
            <w:shd w:val="clear" w:color="000000" w:fill="FFFFFF"/>
            <w:vAlign w:val="center"/>
            <w:hideMark/>
          </w:tcPr>
          <w:p w14:paraId="3D096EBD"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1,208.3</w:t>
            </w:r>
          </w:p>
        </w:tc>
        <w:tc>
          <w:tcPr>
            <w:tcW w:w="1135" w:type="dxa"/>
            <w:tcBorders>
              <w:top w:val="nil"/>
              <w:left w:val="nil"/>
              <w:bottom w:val="single" w:sz="8" w:space="0" w:color="auto"/>
              <w:right w:val="single" w:sz="8" w:space="0" w:color="auto"/>
            </w:tcBorders>
            <w:shd w:val="clear" w:color="auto" w:fill="auto"/>
            <w:vAlign w:val="center"/>
            <w:hideMark/>
          </w:tcPr>
          <w:p w14:paraId="2DEA12C4"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1,209.5</w:t>
            </w:r>
          </w:p>
        </w:tc>
        <w:tc>
          <w:tcPr>
            <w:tcW w:w="1285" w:type="dxa"/>
            <w:tcBorders>
              <w:top w:val="nil"/>
              <w:left w:val="nil"/>
              <w:bottom w:val="single" w:sz="8" w:space="0" w:color="auto"/>
              <w:right w:val="single" w:sz="8" w:space="0" w:color="auto"/>
            </w:tcBorders>
            <w:shd w:val="clear" w:color="000000" w:fill="FFFFFF"/>
            <w:vAlign w:val="center"/>
            <w:hideMark/>
          </w:tcPr>
          <w:p w14:paraId="07DEB556"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2,614.7</w:t>
            </w:r>
          </w:p>
        </w:tc>
      </w:tr>
      <w:tr w:rsidR="005B7218" w:rsidRPr="00BF0B57" w14:paraId="0F1F7158"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619A1D84"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auto" w:fill="auto"/>
            <w:vAlign w:val="center"/>
            <w:hideMark/>
          </w:tcPr>
          <w:p w14:paraId="706B4DB5"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75.2</w:t>
            </w:r>
          </w:p>
        </w:tc>
        <w:tc>
          <w:tcPr>
            <w:tcW w:w="1154" w:type="dxa"/>
            <w:tcBorders>
              <w:top w:val="nil"/>
              <w:left w:val="nil"/>
              <w:bottom w:val="single" w:sz="8" w:space="0" w:color="auto"/>
              <w:right w:val="single" w:sz="8" w:space="0" w:color="auto"/>
            </w:tcBorders>
            <w:shd w:val="clear" w:color="auto" w:fill="auto"/>
            <w:vAlign w:val="center"/>
            <w:hideMark/>
          </w:tcPr>
          <w:p w14:paraId="5F91032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81.6</w:t>
            </w:r>
          </w:p>
        </w:tc>
        <w:tc>
          <w:tcPr>
            <w:tcW w:w="1252" w:type="dxa"/>
            <w:tcBorders>
              <w:top w:val="nil"/>
              <w:left w:val="nil"/>
              <w:bottom w:val="single" w:sz="8" w:space="0" w:color="auto"/>
              <w:right w:val="single" w:sz="8" w:space="0" w:color="auto"/>
            </w:tcBorders>
            <w:shd w:val="clear" w:color="000000" w:fill="FFFFFF"/>
            <w:vAlign w:val="center"/>
            <w:hideMark/>
          </w:tcPr>
          <w:p w14:paraId="5932C64F"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311.9</w:t>
            </w:r>
          </w:p>
        </w:tc>
        <w:tc>
          <w:tcPr>
            <w:tcW w:w="1135" w:type="dxa"/>
            <w:tcBorders>
              <w:top w:val="nil"/>
              <w:left w:val="nil"/>
              <w:bottom w:val="single" w:sz="8" w:space="0" w:color="auto"/>
              <w:right w:val="single" w:sz="8" w:space="0" w:color="auto"/>
            </w:tcBorders>
            <w:shd w:val="clear" w:color="auto" w:fill="auto"/>
            <w:vAlign w:val="center"/>
            <w:hideMark/>
          </w:tcPr>
          <w:p w14:paraId="0BEEA80F"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1,290.6</w:t>
            </w:r>
          </w:p>
        </w:tc>
        <w:tc>
          <w:tcPr>
            <w:tcW w:w="1285" w:type="dxa"/>
            <w:tcBorders>
              <w:top w:val="nil"/>
              <w:left w:val="nil"/>
              <w:bottom w:val="single" w:sz="8" w:space="0" w:color="auto"/>
              <w:right w:val="single" w:sz="8" w:space="0" w:color="auto"/>
            </w:tcBorders>
            <w:shd w:val="clear" w:color="000000" w:fill="FFFFFF"/>
            <w:vAlign w:val="center"/>
            <w:hideMark/>
          </w:tcPr>
          <w:p w14:paraId="5DB1F561"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311.9</w:t>
            </w:r>
          </w:p>
        </w:tc>
      </w:tr>
      <w:tr w:rsidR="005B7218" w:rsidRPr="00BF0B57" w14:paraId="6B3C1E6F"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vAlign w:val="center"/>
            <w:hideMark/>
          </w:tcPr>
          <w:p w14:paraId="444BEE0C" w14:textId="77777777" w:rsidR="005B7218" w:rsidRPr="00BF0B57" w:rsidRDefault="005B7218" w:rsidP="00027FBF">
            <w:pPr>
              <w:spacing w:before="0" w:line="240" w:lineRule="auto"/>
              <w:ind w:firstLine="0"/>
              <w:jc w:val="left"/>
              <w:rPr>
                <w:b w:val="0"/>
                <w:bCs/>
                <w:color w:val="000000"/>
                <w:sz w:val="20"/>
                <w:szCs w:val="20"/>
              </w:rPr>
            </w:pPr>
            <w:r w:rsidRPr="00BF0B57">
              <w:rPr>
                <w:bCs/>
                <w:color w:val="000000"/>
                <w:sz w:val="20"/>
                <w:szCs w:val="20"/>
              </w:rPr>
              <w:t xml:space="preserve"> Ուժային </w:t>
            </w:r>
          </w:p>
        </w:tc>
        <w:tc>
          <w:tcPr>
            <w:tcW w:w="1236" w:type="dxa"/>
            <w:tcBorders>
              <w:top w:val="nil"/>
              <w:left w:val="nil"/>
              <w:bottom w:val="single" w:sz="8" w:space="0" w:color="auto"/>
              <w:right w:val="single" w:sz="8" w:space="0" w:color="auto"/>
            </w:tcBorders>
            <w:shd w:val="clear" w:color="000000" w:fill="C6D9F1"/>
            <w:vAlign w:val="center"/>
            <w:hideMark/>
          </w:tcPr>
          <w:p w14:paraId="2FF81B3A"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70,103.8</w:t>
            </w:r>
          </w:p>
        </w:tc>
        <w:tc>
          <w:tcPr>
            <w:tcW w:w="1154" w:type="dxa"/>
            <w:tcBorders>
              <w:top w:val="nil"/>
              <w:left w:val="nil"/>
              <w:bottom w:val="single" w:sz="8" w:space="0" w:color="auto"/>
              <w:right w:val="single" w:sz="8" w:space="0" w:color="auto"/>
            </w:tcBorders>
            <w:shd w:val="clear" w:color="000000" w:fill="C6D9F1"/>
            <w:vAlign w:val="center"/>
            <w:hideMark/>
          </w:tcPr>
          <w:p w14:paraId="5C3943E1"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114,347.4</w:t>
            </w:r>
          </w:p>
        </w:tc>
        <w:tc>
          <w:tcPr>
            <w:tcW w:w="1252" w:type="dxa"/>
            <w:tcBorders>
              <w:top w:val="nil"/>
              <w:left w:val="nil"/>
              <w:bottom w:val="single" w:sz="8" w:space="0" w:color="auto"/>
              <w:right w:val="single" w:sz="8" w:space="0" w:color="auto"/>
            </w:tcBorders>
            <w:shd w:val="clear" w:color="000000" w:fill="C6D9F1"/>
            <w:vAlign w:val="center"/>
            <w:hideMark/>
          </w:tcPr>
          <w:p w14:paraId="1BEDF757"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140,390.0</w:t>
            </w:r>
          </w:p>
        </w:tc>
        <w:tc>
          <w:tcPr>
            <w:tcW w:w="1135" w:type="dxa"/>
            <w:tcBorders>
              <w:top w:val="nil"/>
              <w:left w:val="nil"/>
              <w:bottom w:val="single" w:sz="8" w:space="0" w:color="auto"/>
              <w:right w:val="single" w:sz="8" w:space="0" w:color="auto"/>
            </w:tcBorders>
            <w:shd w:val="clear" w:color="000000" w:fill="C6D9F1"/>
            <w:vAlign w:val="center"/>
            <w:hideMark/>
          </w:tcPr>
          <w:p w14:paraId="13368DF7"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88,736.4</w:t>
            </w:r>
          </w:p>
        </w:tc>
        <w:tc>
          <w:tcPr>
            <w:tcW w:w="1285" w:type="dxa"/>
            <w:tcBorders>
              <w:top w:val="nil"/>
              <w:left w:val="nil"/>
              <w:bottom w:val="single" w:sz="8" w:space="0" w:color="auto"/>
              <w:right w:val="single" w:sz="8" w:space="0" w:color="auto"/>
            </w:tcBorders>
            <w:shd w:val="clear" w:color="000000" w:fill="C6D9F1"/>
            <w:vAlign w:val="center"/>
            <w:hideMark/>
          </w:tcPr>
          <w:p w14:paraId="2EF0E98A"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131,313.4</w:t>
            </w:r>
          </w:p>
        </w:tc>
      </w:tr>
      <w:tr w:rsidR="005B7218" w:rsidRPr="00BF0B57" w14:paraId="3A00811F"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7C687737"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4EB2729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154" w:type="dxa"/>
            <w:tcBorders>
              <w:top w:val="nil"/>
              <w:left w:val="nil"/>
              <w:bottom w:val="single" w:sz="8" w:space="0" w:color="auto"/>
              <w:right w:val="single" w:sz="8" w:space="0" w:color="auto"/>
            </w:tcBorders>
            <w:shd w:val="clear" w:color="000000" w:fill="FFFFFF"/>
            <w:vAlign w:val="center"/>
            <w:hideMark/>
          </w:tcPr>
          <w:p w14:paraId="2EE2DD34"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31,389.0</w:t>
            </w:r>
          </w:p>
        </w:tc>
        <w:tc>
          <w:tcPr>
            <w:tcW w:w="1252" w:type="dxa"/>
            <w:tcBorders>
              <w:top w:val="nil"/>
              <w:left w:val="nil"/>
              <w:bottom w:val="single" w:sz="8" w:space="0" w:color="auto"/>
              <w:right w:val="single" w:sz="8" w:space="0" w:color="auto"/>
            </w:tcBorders>
            <w:shd w:val="clear" w:color="000000" w:fill="FFFFFF"/>
            <w:vAlign w:val="center"/>
            <w:hideMark/>
          </w:tcPr>
          <w:p w14:paraId="504CDF45"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135" w:type="dxa"/>
            <w:tcBorders>
              <w:top w:val="nil"/>
              <w:left w:val="nil"/>
              <w:bottom w:val="single" w:sz="8" w:space="0" w:color="auto"/>
              <w:right w:val="single" w:sz="8" w:space="0" w:color="auto"/>
            </w:tcBorders>
            <w:shd w:val="clear" w:color="000000" w:fill="FFFFFF"/>
            <w:vAlign w:val="center"/>
            <w:hideMark/>
          </w:tcPr>
          <w:p w14:paraId="301E2991"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0.0</w:t>
            </w:r>
          </w:p>
        </w:tc>
        <w:tc>
          <w:tcPr>
            <w:tcW w:w="1285" w:type="dxa"/>
            <w:tcBorders>
              <w:top w:val="nil"/>
              <w:left w:val="nil"/>
              <w:bottom w:val="single" w:sz="8" w:space="0" w:color="auto"/>
              <w:right w:val="single" w:sz="8" w:space="0" w:color="auto"/>
            </w:tcBorders>
            <w:shd w:val="clear" w:color="000000" w:fill="FFFFFF"/>
            <w:vAlign w:val="center"/>
            <w:hideMark/>
          </w:tcPr>
          <w:p w14:paraId="102D6ECE"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0.0</w:t>
            </w:r>
          </w:p>
        </w:tc>
      </w:tr>
      <w:tr w:rsidR="005B7218" w:rsidRPr="00BF0B57" w14:paraId="182B335A"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40664326"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2E2AEE2F"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70,103.8</w:t>
            </w:r>
          </w:p>
        </w:tc>
        <w:tc>
          <w:tcPr>
            <w:tcW w:w="1154" w:type="dxa"/>
            <w:tcBorders>
              <w:top w:val="nil"/>
              <w:left w:val="nil"/>
              <w:bottom w:val="single" w:sz="8" w:space="0" w:color="auto"/>
              <w:right w:val="single" w:sz="8" w:space="0" w:color="auto"/>
            </w:tcBorders>
            <w:shd w:val="clear" w:color="000000" w:fill="FFFFFF"/>
            <w:vAlign w:val="center"/>
            <w:hideMark/>
          </w:tcPr>
          <w:p w14:paraId="400051B3"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82,958.4</w:t>
            </w:r>
          </w:p>
        </w:tc>
        <w:tc>
          <w:tcPr>
            <w:tcW w:w="1252" w:type="dxa"/>
            <w:tcBorders>
              <w:top w:val="nil"/>
              <w:left w:val="nil"/>
              <w:bottom w:val="single" w:sz="8" w:space="0" w:color="auto"/>
              <w:right w:val="single" w:sz="8" w:space="0" w:color="auto"/>
            </w:tcBorders>
            <w:shd w:val="clear" w:color="000000" w:fill="FFFFFF"/>
            <w:vAlign w:val="center"/>
            <w:hideMark/>
          </w:tcPr>
          <w:p w14:paraId="674B0496"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140,390.0</w:t>
            </w:r>
          </w:p>
        </w:tc>
        <w:tc>
          <w:tcPr>
            <w:tcW w:w="1135" w:type="dxa"/>
            <w:tcBorders>
              <w:top w:val="nil"/>
              <w:left w:val="nil"/>
              <w:bottom w:val="single" w:sz="8" w:space="0" w:color="auto"/>
              <w:right w:val="single" w:sz="8" w:space="0" w:color="auto"/>
            </w:tcBorders>
            <w:shd w:val="clear" w:color="000000" w:fill="FFFFFF"/>
            <w:vAlign w:val="center"/>
            <w:hideMark/>
          </w:tcPr>
          <w:p w14:paraId="43FBD00D"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88,736.4</w:t>
            </w:r>
          </w:p>
        </w:tc>
        <w:tc>
          <w:tcPr>
            <w:tcW w:w="1285" w:type="dxa"/>
            <w:tcBorders>
              <w:top w:val="nil"/>
              <w:left w:val="nil"/>
              <w:bottom w:val="single" w:sz="8" w:space="0" w:color="auto"/>
              <w:right w:val="single" w:sz="8" w:space="0" w:color="auto"/>
            </w:tcBorders>
            <w:shd w:val="clear" w:color="000000" w:fill="FFFFFF"/>
            <w:vAlign w:val="center"/>
            <w:hideMark/>
          </w:tcPr>
          <w:p w14:paraId="2E69493B"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131,313.4</w:t>
            </w:r>
          </w:p>
        </w:tc>
      </w:tr>
      <w:tr w:rsidR="005B7218" w:rsidRPr="00BF0B57" w14:paraId="14D7E326"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C6D9F1"/>
            <w:noWrap/>
            <w:vAlign w:val="center"/>
            <w:hideMark/>
          </w:tcPr>
          <w:p w14:paraId="4C5DD225" w14:textId="77777777" w:rsidR="005B7218" w:rsidRPr="00BF0B57" w:rsidRDefault="005B7218" w:rsidP="00027FBF">
            <w:pPr>
              <w:spacing w:before="0" w:line="240" w:lineRule="auto"/>
              <w:ind w:firstLine="0"/>
              <w:rPr>
                <w:b w:val="0"/>
                <w:bCs/>
                <w:color w:val="000000"/>
                <w:sz w:val="20"/>
                <w:szCs w:val="20"/>
              </w:rPr>
            </w:pPr>
            <w:r w:rsidRPr="00BF0B57">
              <w:rPr>
                <w:bCs/>
                <w:color w:val="000000"/>
                <w:sz w:val="20"/>
                <w:szCs w:val="20"/>
              </w:rPr>
              <w:t xml:space="preserve"> Այլ </w:t>
            </w:r>
          </w:p>
        </w:tc>
        <w:tc>
          <w:tcPr>
            <w:tcW w:w="1236" w:type="dxa"/>
            <w:tcBorders>
              <w:top w:val="nil"/>
              <w:left w:val="nil"/>
              <w:bottom w:val="single" w:sz="8" w:space="0" w:color="auto"/>
              <w:right w:val="single" w:sz="8" w:space="0" w:color="auto"/>
            </w:tcBorders>
            <w:shd w:val="clear" w:color="000000" w:fill="C6D9F1"/>
            <w:vAlign w:val="center"/>
            <w:hideMark/>
          </w:tcPr>
          <w:p w14:paraId="4653B619"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10,167.1</w:t>
            </w:r>
          </w:p>
        </w:tc>
        <w:tc>
          <w:tcPr>
            <w:tcW w:w="1154" w:type="dxa"/>
            <w:tcBorders>
              <w:top w:val="nil"/>
              <w:left w:val="nil"/>
              <w:bottom w:val="single" w:sz="8" w:space="0" w:color="auto"/>
              <w:right w:val="single" w:sz="8" w:space="0" w:color="auto"/>
            </w:tcBorders>
            <w:shd w:val="clear" w:color="000000" w:fill="C6D9F1"/>
            <w:vAlign w:val="center"/>
            <w:hideMark/>
          </w:tcPr>
          <w:p w14:paraId="147DC310"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21,800.4</w:t>
            </w:r>
          </w:p>
        </w:tc>
        <w:tc>
          <w:tcPr>
            <w:tcW w:w="1252" w:type="dxa"/>
            <w:tcBorders>
              <w:top w:val="nil"/>
              <w:left w:val="nil"/>
              <w:bottom w:val="single" w:sz="8" w:space="0" w:color="auto"/>
              <w:right w:val="single" w:sz="8" w:space="0" w:color="auto"/>
            </w:tcBorders>
            <w:shd w:val="clear" w:color="000000" w:fill="C6D9F1"/>
            <w:vAlign w:val="center"/>
            <w:hideMark/>
          </w:tcPr>
          <w:p w14:paraId="37B0F875"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13,444.4</w:t>
            </w:r>
          </w:p>
        </w:tc>
        <w:tc>
          <w:tcPr>
            <w:tcW w:w="1135" w:type="dxa"/>
            <w:tcBorders>
              <w:top w:val="nil"/>
              <w:left w:val="nil"/>
              <w:bottom w:val="single" w:sz="8" w:space="0" w:color="auto"/>
              <w:right w:val="single" w:sz="8" w:space="0" w:color="auto"/>
            </w:tcBorders>
            <w:shd w:val="clear" w:color="000000" w:fill="C6D9F1"/>
            <w:vAlign w:val="center"/>
            <w:hideMark/>
          </w:tcPr>
          <w:p w14:paraId="1B386A76" w14:textId="77777777" w:rsidR="005B7218" w:rsidRPr="00BF0B57" w:rsidRDefault="005B7218" w:rsidP="00027FBF">
            <w:pPr>
              <w:spacing w:before="0" w:line="240" w:lineRule="auto"/>
              <w:ind w:firstLine="0"/>
              <w:jc w:val="right"/>
              <w:rPr>
                <w:b w:val="0"/>
                <w:bCs/>
                <w:color w:val="000000"/>
                <w:sz w:val="20"/>
                <w:szCs w:val="20"/>
              </w:rPr>
            </w:pPr>
            <w:r w:rsidRPr="00BF0B57">
              <w:rPr>
                <w:bCs/>
                <w:color w:val="000000"/>
                <w:sz w:val="20"/>
                <w:szCs w:val="20"/>
              </w:rPr>
              <w:t>26,277.0</w:t>
            </w:r>
          </w:p>
        </w:tc>
        <w:tc>
          <w:tcPr>
            <w:tcW w:w="1285" w:type="dxa"/>
            <w:tcBorders>
              <w:top w:val="nil"/>
              <w:left w:val="nil"/>
              <w:bottom w:val="single" w:sz="8" w:space="0" w:color="auto"/>
              <w:right w:val="single" w:sz="8" w:space="0" w:color="auto"/>
            </w:tcBorders>
            <w:shd w:val="clear" w:color="000000" w:fill="C6D9F1"/>
            <w:vAlign w:val="center"/>
            <w:hideMark/>
          </w:tcPr>
          <w:p w14:paraId="5E58EF0E" w14:textId="77777777" w:rsidR="005B7218" w:rsidRPr="00BB305B" w:rsidRDefault="005B7218" w:rsidP="00027FBF">
            <w:pPr>
              <w:spacing w:before="0" w:line="240" w:lineRule="auto"/>
              <w:ind w:firstLine="0"/>
              <w:jc w:val="right"/>
              <w:rPr>
                <w:b w:val="0"/>
                <w:bCs/>
                <w:color w:val="000000"/>
                <w:sz w:val="20"/>
                <w:szCs w:val="20"/>
              </w:rPr>
            </w:pPr>
            <w:r w:rsidRPr="00BB305B">
              <w:rPr>
                <w:sz w:val="20"/>
                <w:szCs w:val="20"/>
              </w:rPr>
              <w:t>36,131.7</w:t>
            </w:r>
          </w:p>
        </w:tc>
      </w:tr>
      <w:tr w:rsidR="005B7218" w:rsidRPr="00BF0B57" w14:paraId="6B18FCDB"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931F455"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արտաքին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4C773E50"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8,509.6</w:t>
            </w:r>
          </w:p>
        </w:tc>
        <w:tc>
          <w:tcPr>
            <w:tcW w:w="1154" w:type="dxa"/>
            <w:tcBorders>
              <w:top w:val="nil"/>
              <w:left w:val="nil"/>
              <w:bottom w:val="single" w:sz="8" w:space="0" w:color="auto"/>
              <w:right w:val="single" w:sz="8" w:space="0" w:color="auto"/>
            </w:tcBorders>
            <w:shd w:val="clear" w:color="000000" w:fill="FFFFFF"/>
            <w:vAlign w:val="center"/>
            <w:hideMark/>
          </w:tcPr>
          <w:p w14:paraId="159E7050"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6,036.60</w:t>
            </w:r>
          </w:p>
        </w:tc>
        <w:tc>
          <w:tcPr>
            <w:tcW w:w="1252" w:type="dxa"/>
            <w:tcBorders>
              <w:top w:val="nil"/>
              <w:left w:val="nil"/>
              <w:bottom w:val="single" w:sz="8" w:space="0" w:color="auto"/>
              <w:right w:val="single" w:sz="8" w:space="0" w:color="auto"/>
            </w:tcBorders>
            <w:shd w:val="clear" w:color="000000" w:fill="FFFFFF"/>
            <w:vAlign w:val="center"/>
            <w:hideMark/>
          </w:tcPr>
          <w:p w14:paraId="7A475A17"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6,550.7</w:t>
            </w:r>
          </w:p>
        </w:tc>
        <w:tc>
          <w:tcPr>
            <w:tcW w:w="1135" w:type="dxa"/>
            <w:tcBorders>
              <w:top w:val="nil"/>
              <w:left w:val="nil"/>
              <w:bottom w:val="single" w:sz="8" w:space="0" w:color="auto"/>
              <w:right w:val="single" w:sz="8" w:space="0" w:color="auto"/>
            </w:tcBorders>
            <w:shd w:val="clear" w:color="000000" w:fill="FFFFFF"/>
            <w:vAlign w:val="center"/>
            <w:hideMark/>
          </w:tcPr>
          <w:p w14:paraId="1E582AE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21,098.8</w:t>
            </w:r>
          </w:p>
        </w:tc>
        <w:tc>
          <w:tcPr>
            <w:tcW w:w="1285" w:type="dxa"/>
            <w:tcBorders>
              <w:top w:val="nil"/>
              <w:left w:val="nil"/>
              <w:bottom w:val="single" w:sz="8" w:space="0" w:color="auto"/>
              <w:right w:val="single" w:sz="8" w:space="0" w:color="auto"/>
            </w:tcBorders>
            <w:shd w:val="clear" w:color="000000" w:fill="FFFFFF"/>
            <w:vAlign w:val="center"/>
            <w:hideMark/>
          </w:tcPr>
          <w:p w14:paraId="3773A8A1"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27,412.4</w:t>
            </w:r>
          </w:p>
        </w:tc>
      </w:tr>
      <w:tr w:rsidR="005B7218" w:rsidRPr="00BF0B57" w14:paraId="59A33DD1" w14:textId="77777777" w:rsidTr="00027FBF">
        <w:trPr>
          <w:trHeight w:val="420"/>
        </w:trPr>
        <w:tc>
          <w:tcPr>
            <w:tcW w:w="3959" w:type="dxa"/>
            <w:tcBorders>
              <w:top w:val="nil"/>
              <w:left w:val="single" w:sz="8" w:space="0" w:color="auto"/>
              <w:bottom w:val="single" w:sz="8" w:space="0" w:color="auto"/>
              <w:right w:val="single" w:sz="8" w:space="0" w:color="auto"/>
            </w:tcBorders>
            <w:shd w:val="clear" w:color="000000" w:fill="FFFFFF"/>
            <w:noWrap/>
            <w:vAlign w:val="center"/>
            <w:hideMark/>
          </w:tcPr>
          <w:p w14:paraId="38A94BA1" w14:textId="77777777" w:rsidR="005B7218" w:rsidRPr="00BF0B57" w:rsidRDefault="005B7218" w:rsidP="00027FBF">
            <w:pPr>
              <w:spacing w:before="0" w:line="240" w:lineRule="auto"/>
              <w:ind w:firstLine="0"/>
              <w:rPr>
                <w:i/>
                <w:iCs/>
                <w:color w:val="000000"/>
                <w:sz w:val="20"/>
                <w:szCs w:val="20"/>
              </w:rPr>
            </w:pPr>
            <w:r w:rsidRPr="00BF0B57">
              <w:rPr>
                <w:i/>
                <w:iCs/>
                <w:color w:val="000000"/>
                <w:sz w:val="20"/>
                <w:szCs w:val="20"/>
              </w:rPr>
              <w:t xml:space="preserve"> -  ներքին աղբյուրներ </w:t>
            </w:r>
          </w:p>
        </w:tc>
        <w:tc>
          <w:tcPr>
            <w:tcW w:w="1236" w:type="dxa"/>
            <w:tcBorders>
              <w:top w:val="nil"/>
              <w:left w:val="nil"/>
              <w:bottom w:val="single" w:sz="8" w:space="0" w:color="auto"/>
              <w:right w:val="single" w:sz="8" w:space="0" w:color="auto"/>
            </w:tcBorders>
            <w:shd w:val="clear" w:color="000000" w:fill="FFFFFF"/>
            <w:vAlign w:val="center"/>
            <w:hideMark/>
          </w:tcPr>
          <w:p w14:paraId="51C732E2"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1,657.5</w:t>
            </w:r>
          </w:p>
        </w:tc>
        <w:tc>
          <w:tcPr>
            <w:tcW w:w="1154" w:type="dxa"/>
            <w:tcBorders>
              <w:top w:val="nil"/>
              <w:left w:val="nil"/>
              <w:bottom w:val="single" w:sz="8" w:space="0" w:color="auto"/>
              <w:right w:val="single" w:sz="8" w:space="0" w:color="auto"/>
            </w:tcBorders>
            <w:shd w:val="clear" w:color="000000" w:fill="FFFFFF"/>
            <w:vAlign w:val="center"/>
            <w:hideMark/>
          </w:tcPr>
          <w:p w14:paraId="61F7E84F"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15,763.80</w:t>
            </w:r>
          </w:p>
        </w:tc>
        <w:tc>
          <w:tcPr>
            <w:tcW w:w="1252" w:type="dxa"/>
            <w:tcBorders>
              <w:top w:val="nil"/>
              <w:left w:val="nil"/>
              <w:bottom w:val="single" w:sz="8" w:space="0" w:color="auto"/>
              <w:right w:val="single" w:sz="8" w:space="0" w:color="auto"/>
            </w:tcBorders>
            <w:shd w:val="clear" w:color="000000" w:fill="FFFFFF"/>
            <w:vAlign w:val="center"/>
            <w:hideMark/>
          </w:tcPr>
          <w:p w14:paraId="7E98013A"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6,893.7</w:t>
            </w:r>
          </w:p>
        </w:tc>
        <w:tc>
          <w:tcPr>
            <w:tcW w:w="1135" w:type="dxa"/>
            <w:tcBorders>
              <w:top w:val="nil"/>
              <w:left w:val="nil"/>
              <w:bottom w:val="single" w:sz="8" w:space="0" w:color="auto"/>
              <w:right w:val="single" w:sz="8" w:space="0" w:color="auto"/>
            </w:tcBorders>
            <w:shd w:val="clear" w:color="000000" w:fill="FFFFFF"/>
            <w:vAlign w:val="center"/>
            <w:hideMark/>
          </w:tcPr>
          <w:p w14:paraId="287408CE" w14:textId="77777777" w:rsidR="005B7218" w:rsidRPr="00BF0B57" w:rsidRDefault="005B7218" w:rsidP="00027FBF">
            <w:pPr>
              <w:spacing w:before="0" w:line="240" w:lineRule="auto"/>
              <w:ind w:firstLine="0"/>
              <w:jc w:val="right"/>
              <w:rPr>
                <w:i/>
                <w:iCs/>
                <w:color w:val="000000"/>
                <w:sz w:val="20"/>
                <w:szCs w:val="20"/>
              </w:rPr>
            </w:pPr>
            <w:r w:rsidRPr="00BF0B57">
              <w:rPr>
                <w:i/>
                <w:iCs/>
                <w:color w:val="000000"/>
                <w:sz w:val="20"/>
                <w:szCs w:val="20"/>
              </w:rPr>
              <w:t>5,178.2</w:t>
            </w:r>
          </w:p>
        </w:tc>
        <w:tc>
          <w:tcPr>
            <w:tcW w:w="1285" w:type="dxa"/>
            <w:tcBorders>
              <w:top w:val="nil"/>
              <w:left w:val="nil"/>
              <w:bottom w:val="single" w:sz="8" w:space="0" w:color="auto"/>
              <w:right w:val="single" w:sz="8" w:space="0" w:color="auto"/>
            </w:tcBorders>
            <w:shd w:val="clear" w:color="000000" w:fill="FFFFFF"/>
            <w:vAlign w:val="center"/>
            <w:hideMark/>
          </w:tcPr>
          <w:p w14:paraId="06828E8C" w14:textId="77777777" w:rsidR="005B7218" w:rsidRPr="00BB305B" w:rsidRDefault="005B7218" w:rsidP="00027FBF">
            <w:pPr>
              <w:spacing w:before="0" w:line="240" w:lineRule="auto"/>
              <w:ind w:firstLine="0"/>
              <w:jc w:val="right"/>
              <w:rPr>
                <w:i/>
                <w:iCs/>
                <w:color w:val="000000"/>
                <w:sz w:val="20"/>
                <w:szCs w:val="20"/>
              </w:rPr>
            </w:pPr>
            <w:r w:rsidRPr="00BB305B">
              <w:rPr>
                <w:sz w:val="20"/>
                <w:szCs w:val="20"/>
              </w:rPr>
              <w:t>8,719.3</w:t>
            </w:r>
          </w:p>
        </w:tc>
      </w:tr>
    </w:tbl>
    <w:p w14:paraId="1757782B" w14:textId="77777777" w:rsidR="006E7E1F" w:rsidRPr="00EC4013" w:rsidRDefault="006E7E1F" w:rsidP="006E7E1F">
      <w:pPr>
        <w:jc w:val="right"/>
        <w:rPr>
          <w:lang w:val="hy-AM"/>
        </w:rPr>
      </w:pPr>
    </w:p>
    <w:p w14:paraId="11A9C079" w14:textId="77777777" w:rsidR="006E7E1F" w:rsidRPr="00EC4013" w:rsidRDefault="006E7E1F" w:rsidP="006E7E1F">
      <w:pPr>
        <w:pStyle w:val="StyleHeading1SectionSectionHeadingText11Chapterhead3"/>
        <w:rPr>
          <w:lang w:val="hy-AM"/>
        </w:rPr>
      </w:pPr>
    </w:p>
    <w:p w14:paraId="384993EF" w14:textId="4BEBA4AA" w:rsidR="007E61D3" w:rsidRDefault="007E61D3" w:rsidP="006E7E1F"/>
    <w:p w14:paraId="2A18E3C7" w14:textId="77777777" w:rsidR="007E61D3" w:rsidRDefault="007E61D3">
      <w:pPr>
        <w:spacing w:before="0" w:line="240" w:lineRule="auto"/>
        <w:ind w:firstLine="0"/>
        <w:contextualSpacing w:val="0"/>
        <w:jc w:val="left"/>
      </w:pPr>
      <w:r>
        <w:br w:type="page"/>
      </w:r>
    </w:p>
    <w:p w14:paraId="39298B81" w14:textId="77777777" w:rsidR="007E61D3" w:rsidRPr="00930860" w:rsidRDefault="007E61D3" w:rsidP="007E61D3">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78" w:name="_Toc83728879"/>
      <w:bookmarkStart w:id="279" w:name="_Toc89428309"/>
      <w:r w:rsidRPr="00453D56">
        <w:rPr>
          <w:rFonts w:eastAsia="Calibri" w:cs="GHEA Grapalat"/>
          <w:bCs/>
          <w:sz w:val="24"/>
          <w:szCs w:val="26"/>
          <w:lang w:val="af-ZA" w:eastAsia="en-US"/>
        </w:rPr>
        <w:t>ԾԱԽՍԵՐՆ ԸՍՏ ԳՈՐԾԱՌԱԿԱՆ ԴԱՍԱԿԱՐԳՄԱՆ</w:t>
      </w:r>
      <w:bookmarkEnd w:id="278"/>
      <w:bookmarkEnd w:id="279"/>
    </w:p>
    <w:p w14:paraId="09D9A145" w14:textId="77777777" w:rsidR="007E61D3" w:rsidRPr="00E04372" w:rsidRDefault="007E61D3" w:rsidP="007E61D3">
      <w:pPr>
        <w:spacing w:before="0" w:line="276" w:lineRule="auto"/>
        <w:ind w:firstLine="600"/>
        <w:rPr>
          <w:b w:val="0"/>
          <w:lang w:val="hy-AM"/>
        </w:rPr>
      </w:pPr>
      <w:r w:rsidRPr="00BB489E">
        <w:rPr>
          <w:b w:val="0"/>
          <w:lang w:val="hy-AM"/>
        </w:rPr>
        <w:t>201</w:t>
      </w:r>
      <w:r>
        <w:rPr>
          <w:b w:val="0"/>
          <w:lang w:val="hy-AM"/>
        </w:rPr>
        <w:t>8</w:t>
      </w:r>
      <w:r w:rsidRPr="00BB489E">
        <w:rPr>
          <w:b w:val="0"/>
          <w:lang w:val="hy-AM"/>
        </w:rPr>
        <w:t>-202</w:t>
      </w:r>
      <w:r>
        <w:rPr>
          <w:b w:val="0"/>
          <w:lang w:val="hy-AM"/>
        </w:rPr>
        <w:t>2</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ժամանակահատվածում նկատելի է նախորդ տարվա համեմատությամբ  պետական բյուջեի ընդամենը ծախսերի աճը՝ 2019 թվականին 2018-ի համեմատ 182,0 մլրդ</w:t>
      </w:r>
      <w:r w:rsidRPr="00947D0C">
        <w:rPr>
          <w:b w:val="0"/>
          <w:lang w:val="hy-AM"/>
        </w:rPr>
        <w:t>.</w:t>
      </w:r>
      <w:r w:rsidRPr="00BB489E">
        <w:rPr>
          <w:b w:val="0"/>
          <w:lang w:val="hy-AM"/>
        </w:rPr>
        <w:t xml:space="preserve"> ՀՀ դրամի, 2020թ</w:t>
      </w:r>
      <w:r w:rsidRPr="00947D0C">
        <w:rPr>
          <w:rFonts w:ascii="Cambria Math" w:hAnsi="Cambria Math" w:cs="Cambria Math"/>
          <w:b w:val="0"/>
          <w:lang w:val="hy-AM"/>
        </w:rPr>
        <w:t>․</w:t>
      </w:r>
      <w:r w:rsidRPr="00BB489E">
        <w:rPr>
          <w:b w:val="0"/>
          <w:lang w:val="hy-AM"/>
        </w:rPr>
        <w:t>-ին՝ 2019թ</w:t>
      </w:r>
      <w:r w:rsidRPr="00947D0C">
        <w:rPr>
          <w:rFonts w:ascii="Cambria Math" w:hAnsi="Cambria Math" w:cs="Cambria Math"/>
          <w:b w:val="0"/>
          <w:lang w:val="hy-AM"/>
        </w:rPr>
        <w:t>․</w:t>
      </w:r>
      <w:r w:rsidRPr="00BB489E">
        <w:rPr>
          <w:b w:val="0"/>
          <w:lang w:val="hy-AM"/>
        </w:rPr>
        <w:t>-ի համեմատ 2</w:t>
      </w:r>
      <w:r w:rsidRPr="006B1E41">
        <w:rPr>
          <w:b w:val="0"/>
          <w:lang w:val="hy-AM"/>
        </w:rPr>
        <w:t>65,6</w:t>
      </w:r>
      <w:r w:rsidRPr="00BB489E">
        <w:rPr>
          <w:b w:val="0"/>
          <w:lang w:val="hy-AM"/>
        </w:rPr>
        <w:t xml:space="preserve"> մլրդ</w:t>
      </w:r>
      <w:r w:rsidRPr="006B1E41">
        <w:rPr>
          <w:b w:val="0"/>
          <w:lang w:val="hy-AM"/>
        </w:rPr>
        <w:t>.</w:t>
      </w:r>
      <w:r w:rsidRPr="00BB489E">
        <w:rPr>
          <w:b w:val="0"/>
          <w:lang w:val="hy-AM"/>
        </w:rPr>
        <w:t xml:space="preserve"> ՀՀ դրամի չափով։</w:t>
      </w:r>
      <w:r w:rsidRPr="006B1E41">
        <w:rPr>
          <w:b w:val="0"/>
          <w:lang w:val="hy-AM"/>
        </w:rPr>
        <w:t xml:space="preserve"> </w:t>
      </w:r>
      <w:r>
        <w:rPr>
          <w:b w:val="0"/>
          <w:lang w:val="hy-AM"/>
        </w:rPr>
        <w:t xml:space="preserve">Բացառություն է </w:t>
      </w:r>
      <w:r w:rsidRPr="006B1E41">
        <w:rPr>
          <w:b w:val="0"/>
          <w:lang w:val="hy-AM"/>
        </w:rPr>
        <w:t>2021թ</w:t>
      </w:r>
      <w:r w:rsidRPr="006B1E41">
        <w:rPr>
          <w:rFonts w:ascii="Cambria Math" w:hAnsi="Cambria Math" w:cs="Cambria Math"/>
          <w:b w:val="0"/>
          <w:lang w:val="hy-AM"/>
        </w:rPr>
        <w:t>․</w:t>
      </w:r>
      <w:r w:rsidRPr="006B1E41">
        <w:rPr>
          <w:b w:val="0"/>
          <w:lang w:val="hy-AM"/>
        </w:rPr>
        <w:t xml:space="preserve"> պետական բյուջեն, որ</w:t>
      </w:r>
      <w:r>
        <w:rPr>
          <w:b w:val="0"/>
          <w:lang w:val="hy-AM"/>
        </w:rPr>
        <w:t>ը</w:t>
      </w:r>
      <w:r w:rsidRPr="006B1E41">
        <w:rPr>
          <w:b w:val="0"/>
          <w:lang w:val="hy-AM"/>
        </w:rPr>
        <w:t xml:space="preserve"> </w:t>
      </w:r>
      <w:r>
        <w:rPr>
          <w:b w:val="0"/>
          <w:lang w:val="hy-AM"/>
        </w:rPr>
        <w:t xml:space="preserve">նախորդ՝ 2020 թվականի </w:t>
      </w:r>
      <w:r w:rsidRPr="006B1E41">
        <w:rPr>
          <w:b w:val="0"/>
          <w:lang w:val="hy-AM"/>
        </w:rPr>
        <w:t>համեմատ</w:t>
      </w:r>
      <w:r>
        <w:rPr>
          <w:b w:val="0"/>
          <w:lang w:val="hy-AM"/>
        </w:rPr>
        <w:t xml:space="preserve"> հաստատվել է ծախսերի </w:t>
      </w:r>
      <w:r w:rsidRPr="006B1E41">
        <w:rPr>
          <w:b w:val="0"/>
          <w:lang w:val="hy-AM"/>
        </w:rPr>
        <w:t xml:space="preserve"> շուրջ 43,7 մլրդ</w:t>
      </w:r>
      <w:r w:rsidRPr="006B1E41">
        <w:rPr>
          <w:rFonts w:ascii="Cambria Math" w:hAnsi="Cambria Math" w:cs="Cambria Math"/>
          <w:b w:val="0"/>
          <w:lang w:val="hy-AM"/>
        </w:rPr>
        <w:t>․</w:t>
      </w:r>
      <w:r w:rsidRPr="006B1E41">
        <w:rPr>
          <w:b w:val="0"/>
          <w:lang w:val="hy-AM"/>
        </w:rPr>
        <w:t xml:space="preserve"> </w:t>
      </w:r>
      <w:r w:rsidRPr="006B1E41">
        <w:rPr>
          <w:rFonts w:cs="GHEA Grapalat"/>
          <w:b w:val="0"/>
          <w:lang w:val="hy-AM"/>
        </w:rPr>
        <w:t>ՀՀ</w:t>
      </w:r>
      <w:r w:rsidRPr="006B1E41">
        <w:rPr>
          <w:b w:val="0"/>
          <w:lang w:val="hy-AM"/>
        </w:rPr>
        <w:t xml:space="preserve"> </w:t>
      </w:r>
      <w:r w:rsidRPr="006B1E41">
        <w:rPr>
          <w:rFonts w:cs="GHEA Grapalat"/>
          <w:b w:val="0"/>
          <w:lang w:val="hy-AM"/>
        </w:rPr>
        <w:t>դրամ</w:t>
      </w:r>
      <w:r>
        <w:rPr>
          <w:rFonts w:cs="GHEA Grapalat"/>
          <w:b w:val="0"/>
          <w:lang w:val="hy-AM"/>
        </w:rPr>
        <w:t xml:space="preserve"> պակաս</w:t>
      </w:r>
      <w:r w:rsidRPr="006B1E41">
        <w:rPr>
          <w:b w:val="0"/>
          <w:lang w:val="hy-AM"/>
        </w:rPr>
        <w:t xml:space="preserve"> </w:t>
      </w:r>
      <w:r w:rsidRPr="006B1E41">
        <w:rPr>
          <w:rFonts w:cs="GHEA Grapalat"/>
          <w:b w:val="0"/>
          <w:lang w:val="hy-AM"/>
        </w:rPr>
        <w:t>չափով</w:t>
      </w:r>
      <w:r>
        <w:rPr>
          <w:rFonts w:cs="GHEA Grapalat"/>
          <w:b w:val="0"/>
          <w:lang w:val="hy-AM"/>
        </w:rPr>
        <w:t>։</w:t>
      </w:r>
      <w:r>
        <w:rPr>
          <w:rFonts w:ascii="Cambria Math" w:hAnsi="Cambria Math"/>
          <w:b w:val="0"/>
          <w:lang w:val="hy-AM"/>
        </w:rPr>
        <w:t xml:space="preserve"> </w:t>
      </w:r>
      <w:r>
        <w:rPr>
          <w:b w:val="0"/>
          <w:lang w:val="hy-AM"/>
        </w:rPr>
        <w:t xml:space="preserve"> Ծախսերի աճման միտումը վերստին դրսևորվելու է</w:t>
      </w:r>
      <w:r w:rsidRPr="00BB489E">
        <w:rPr>
          <w:b w:val="0"/>
          <w:lang w:val="hy-AM"/>
        </w:rPr>
        <w:t xml:space="preserve"> 202</w:t>
      </w:r>
      <w:r>
        <w:rPr>
          <w:b w:val="0"/>
          <w:lang w:val="hy-AM"/>
        </w:rPr>
        <w:t xml:space="preserve">2 </w:t>
      </w:r>
      <w:r w:rsidRPr="00BB489E">
        <w:rPr>
          <w:b w:val="0"/>
          <w:lang w:val="hy-AM"/>
        </w:rPr>
        <w:t>թ</w:t>
      </w:r>
      <w:r>
        <w:rPr>
          <w:b w:val="0"/>
          <w:lang w:val="hy-AM"/>
        </w:rPr>
        <w:t>վականին</w:t>
      </w:r>
      <w:r w:rsidRPr="006B1E41">
        <w:rPr>
          <w:rFonts w:ascii="Cambria Math" w:hAnsi="Cambria Math" w:cs="Cambria Math"/>
          <w:b w:val="0"/>
          <w:lang w:val="hy-AM"/>
        </w:rPr>
        <w:t>․</w:t>
      </w:r>
      <w:r w:rsidRPr="00BB489E">
        <w:rPr>
          <w:b w:val="0"/>
          <w:lang w:val="hy-AM"/>
        </w:rPr>
        <w:t xml:space="preserve"> ծախսային չափաքանակների հնարավորություններ</w:t>
      </w:r>
      <w:r>
        <w:rPr>
          <w:b w:val="0"/>
          <w:lang w:val="hy-AM"/>
        </w:rPr>
        <w:t>ը սահմանվում են</w:t>
      </w:r>
      <w:r w:rsidRPr="00BB489E">
        <w:rPr>
          <w:b w:val="0"/>
          <w:lang w:val="hy-AM"/>
        </w:rPr>
        <w:t xml:space="preserve"> ավելի </w:t>
      </w:r>
      <w:r>
        <w:rPr>
          <w:b w:val="0"/>
          <w:lang w:val="hy-AM"/>
        </w:rPr>
        <w:t>բարձր</w:t>
      </w:r>
      <w:r w:rsidRPr="00BB489E">
        <w:rPr>
          <w:b w:val="0"/>
          <w:lang w:val="hy-AM"/>
        </w:rPr>
        <w:t>, քան նախորդ հաստատված՝ 202</w:t>
      </w:r>
      <w:r>
        <w:rPr>
          <w:b w:val="0"/>
          <w:lang w:val="hy-AM"/>
        </w:rPr>
        <w:t>1</w:t>
      </w:r>
      <w:r w:rsidRPr="00BB489E">
        <w:rPr>
          <w:b w:val="0"/>
          <w:lang w:val="hy-AM"/>
        </w:rPr>
        <w:t xml:space="preserve"> թվականի բյուջետային ծախսերի չափաքանակներն են՝ շուրջ </w:t>
      </w:r>
      <w:r>
        <w:rPr>
          <w:b w:val="0"/>
          <w:lang w:val="hy-AM"/>
        </w:rPr>
        <w:t>3</w:t>
      </w:r>
      <w:r w:rsidRPr="0065655B">
        <w:rPr>
          <w:b w:val="0"/>
          <w:lang w:val="hy-AM"/>
        </w:rPr>
        <w:t>3</w:t>
      </w:r>
      <w:r>
        <w:rPr>
          <w:b w:val="0"/>
          <w:lang w:val="hy-AM"/>
        </w:rPr>
        <w:t>3</w:t>
      </w:r>
      <w:r w:rsidRPr="00BB489E">
        <w:rPr>
          <w:b w:val="0"/>
          <w:lang w:val="hy-AM"/>
        </w:rPr>
        <w:t xml:space="preserve">,0 </w:t>
      </w:r>
      <w:r>
        <w:rPr>
          <w:b w:val="0"/>
          <w:lang w:val="hy-AM"/>
        </w:rPr>
        <w:t>մլրդ</w:t>
      </w:r>
      <w:r w:rsidRPr="00BB489E">
        <w:rPr>
          <w:rFonts w:ascii="MS Gothic" w:eastAsia="MS Gothic" w:hAnsi="MS Gothic" w:cs="MS Gothic" w:hint="eastAsia"/>
          <w:b w:val="0"/>
          <w:lang w:val="hy-AM"/>
        </w:rPr>
        <w:t>․</w:t>
      </w:r>
      <w:r w:rsidRPr="00BB489E">
        <w:rPr>
          <w:b w:val="0"/>
          <w:lang w:val="hy-AM"/>
        </w:rPr>
        <w:t xml:space="preserve"> ՀՀ դրամի չափով</w:t>
      </w:r>
      <w:r w:rsidRPr="00E04372">
        <w:rPr>
          <w:b w:val="0"/>
          <w:lang w:val="hy-AM"/>
        </w:rPr>
        <w:t>:</w:t>
      </w:r>
    </w:p>
    <w:p w14:paraId="7D0C7987" w14:textId="77777777" w:rsidR="007E61D3" w:rsidRPr="00BB489E" w:rsidRDefault="007E61D3" w:rsidP="007E61D3">
      <w:pPr>
        <w:spacing w:before="0" w:line="276" w:lineRule="auto"/>
        <w:rPr>
          <w:b w:val="0"/>
          <w:sz w:val="24"/>
          <w:lang w:val="af-ZA"/>
        </w:rPr>
      </w:pPr>
    </w:p>
    <w:p w14:paraId="629F295A" w14:textId="77777777" w:rsidR="007E61D3" w:rsidRPr="00BB489E" w:rsidRDefault="007E61D3" w:rsidP="007E61D3">
      <w:pPr>
        <w:spacing w:before="0"/>
        <w:rPr>
          <w:bCs/>
          <w:i/>
          <w:color w:val="4F81BD" w:themeColor="accent1"/>
          <w:sz w:val="20"/>
          <w:szCs w:val="20"/>
          <w:lang w:val="hy-AM"/>
        </w:rPr>
      </w:pPr>
      <w:bookmarkStart w:id="280" w:name="_Toc83718602"/>
      <w:bookmarkStart w:id="281" w:name="_Toc89428820"/>
      <w:r w:rsidRPr="00BB489E">
        <w:rPr>
          <w:b w:val="0"/>
          <w:bCs/>
          <w:color w:val="4F81BD" w:themeColor="accent1"/>
          <w:sz w:val="18"/>
          <w:szCs w:val="18"/>
        </w:rPr>
        <w:t xml:space="preserve">Գծապատկեր </w:t>
      </w:r>
      <w:r w:rsidRPr="00BB489E">
        <w:rPr>
          <w:rFonts w:ascii="Calibri" w:eastAsia="Calibri" w:hAnsi="Calibri"/>
          <w:b w:val="0"/>
          <w:szCs w:val="22"/>
          <w:lang w:val="en-US" w:eastAsia="en-US"/>
        </w:rPr>
        <w:fldChar w:fldCharType="begin"/>
      </w:r>
      <w:r w:rsidRPr="00BB489E">
        <w:rPr>
          <w:b w:val="0"/>
          <w:bCs/>
          <w:color w:val="4F81BD" w:themeColor="accent1"/>
          <w:sz w:val="18"/>
          <w:szCs w:val="18"/>
        </w:rPr>
        <w:instrText xml:space="preserve"> SEQ Գծապատկեր \* ARABIC </w:instrText>
      </w:r>
      <w:r w:rsidRPr="00BB489E">
        <w:rPr>
          <w:rFonts w:ascii="Calibri" w:eastAsia="Calibri" w:hAnsi="Calibri"/>
          <w:b w:val="0"/>
          <w:szCs w:val="22"/>
          <w:lang w:val="en-US" w:eastAsia="en-US"/>
        </w:rPr>
        <w:fldChar w:fldCharType="separate"/>
      </w:r>
      <w:r>
        <w:rPr>
          <w:b w:val="0"/>
          <w:bCs/>
          <w:noProof/>
          <w:color w:val="4F81BD" w:themeColor="accent1"/>
          <w:sz w:val="18"/>
          <w:szCs w:val="18"/>
        </w:rPr>
        <w:t>5</w:t>
      </w:r>
      <w:r w:rsidRPr="00BB489E">
        <w:rPr>
          <w:rFonts w:ascii="Calibri" w:eastAsia="Calibri" w:hAnsi="Calibri"/>
          <w:b w:val="0"/>
          <w:szCs w:val="22"/>
          <w:lang w:val="en-US" w:eastAsia="en-US"/>
        </w:rPr>
        <w:fldChar w:fldCharType="end"/>
      </w:r>
      <w:r w:rsidRPr="00BB489E">
        <w:rPr>
          <w:b w:val="0"/>
          <w:bCs/>
          <w:color w:val="4F81BD" w:themeColor="accent1"/>
          <w:sz w:val="18"/>
          <w:szCs w:val="18"/>
          <w:lang w:val="en-US"/>
        </w:rPr>
        <w:t xml:space="preserve">. </w:t>
      </w:r>
      <w:r w:rsidRPr="00BB489E">
        <w:rPr>
          <w:bCs/>
          <w:i/>
          <w:color w:val="4F81BD" w:themeColor="accent1"/>
          <w:sz w:val="20"/>
          <w:szCs w:val="20"/>
          <w:lang w:val="hy-AM"/>
        </w:rPr>
        <w:t>201</w:t>
      </w:r>
      <w:r>
        <w:rPr>
          <w:bCs/>
          <w:i/>
          <w:color w:val="4F81BD" w:themeColor="accent1"/>
          <w:sz w:val="20"/>
          <w:szCs w:val="20"/>
          <w:lang w:val="hy-AM"/>
        </w:rPr>
        <w:t>8</w:t>
      </w:r>
      <w:r w:rsidRPr="00BB489E">
        <w:rPr>
          <w:bCs/>
          <w:i/>
          <w:color w:val="4F81BD" w:themeColor="accent1"/>
          <w:sz w:val="20"/>
          <w:szCs w:val="20"/>
          <w:lang w:val="hy-AM"/>
        </w:rPr>
        <w:t>-202</w:t>
      </w:r>
      <w:r>
        <w:rPr>
          <w:bCs/>
          <w:i/>
          <w:color w:val="4F81BD" w:themeColor="accent1"/>
          <w:sz w:val="20"/>
          <w:szCs w:val="20"/>
          <w:lang w:val="hy-AM"/>
        </w:rPr>
        <w:t>2թթ</w:t>
      </w:r>
      <w:r>
        <w:rPr>
          <w:rFonts w:ascii="Cambria Math" w:hAnsi="Cambria Math"/>
          <w:bCs/>
          <w:i/>
          <w:color w:val="4F81BD" w:themeColor="accent1"/>
          <w:sz w:val="20"/>
          <w:szCs w:val="20"/>
          <w:lang w:val="hy-AM"/>
        </w:rPr>
        <w:t>․</w:t>
      </w:r>
      <w:r w:rsidRPr="00BB489E">
        <w:rPr>
          <w:bCs/>
          <w:i/>
          <w:color w:val="4F81BD" w:themeColor="accent1"/>
          <w:sz w:val="20"/>
          <w:szCs w:val="20"/>
          <w:lang w:val="hy-AM"/>
        </w:rPr>
        <w:t xml:space="preserve"> ծախսերի համեմատականը</w:t>
      </w:r>
      <w:bookmarkEnd w:id="280"/>
      <w:bookmarkEnd w:id="281"/>
      <w:r w:rsidRPr="00BB489E">
        <w:rPr>
          <w:bCs/>
          <w:i/>
          <w:color w:val="4F81BD" w:themeColor="accent1"/>
          <w:sz w:val="20"/>
          <w:szCs w:val="20"/>
          <w:lang w:val="hy-AM"/>
        </w:rPr>
        <w:t xml:space="preserve"> </w:t>
      </w:r>
    </w:p>
    <w:p w14:paraId="0F023E89" w14:textId="77777777" w:rsidR="007E61D3" w:rsidRPr="00BB489E" w:rsidRDefault="007E61D3" w:rsidP="007E61D3">
      <w:pPr>
        <w:spacing w:before="0" w:line="276" w:lineRule="auto"/>
        <w:ind w:firstLine="600"/>
        <w:rPr>
          <w:b w:val="0"/>
          <w:lang w:val="hy-AM"/>
        </w:rPr>
      </w:pPr>
      <w:r w:rsidRPr="0035033F">
        <w:rPr>
          <w:rFonts w:cs="Sylfaen"/>
          <w:noProof/>
          <w:lang w:val="en-US" w:eastAsia="en-US"/>
        </w:rPr>
        <w:drawing>
          <wp:inline distT="0" distB="0" distL="0" distR="0" wp14:anchorId="17A2D498" wp14:editId="5CC27F84">
            <wp:extent cx="5943600" cy="2974975"/>
            <wp:effectExtent l="0" t="0" r="0" b="0"/>
            <wp:docPr id="11"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425C344" w14:textId="77777777" w:rsidR="007E61D3" w:rsidRPr="00BB489E" w:rsidRDefault="007E61D3" w:rsidP="007E61D3">
      <w:pPr>
        <w:spacing w:before="0" w:line="276" w:lineRule="auto"/>
        <w:ind w:firstLine="600"/>
        <w:rPr>
          <w:b w:val="0"/>
          <w:lang w:val="hy-AM"/>
        </w:rPr>
      </w:pPr>
      <w:r w:rsidRPr="00BB489E">
        <w:rPr>
          <w:b w:val="0"/>
          <w:lang w:val="hy-AM"/>
        </w:rPr>
        <w:t>ՀՀ 201</w:t>
      </w:r>
      <w:r>
        <w:rPr>
          <w:b w:val="0"/>
          <w:lang w:val="hy-AM"/>
        </w:rPr>
        <w:t>8</w:t>
      </w:r>
      <w:r w:rsidRPr="00BB489E">
        <w:rPr>
          <w:b w:val="0"/>
          <w:lang w:val="hy-AM"/>
        </w:rPr>
        <w:t>-202</w:t>
      </w:r>
      <w:r>
        <w:rPr>
          <w:b w:val="0"/>
          <w:lang w:val="hy-AM"/>
        </w:rPr>
        <w:t>2</w:t>
      </w:r>
      <w:r w:rsidRPr="00BB489E">
        <w:rPr>
          <w:b w:val="0"/>
          <w:lang w:val="hy-AM"/>
        </w:rPr>
        <w:t xml:space="preserve"> թվականների պետական բյուջեների ծախսեր՝ ըստ ոլորտ</w:t>
      </w:r>
      <w:r w:rsidRPr="00BB489E">
        <w:rPr>
          <w:b w:val="0"/>
          <w:lang w:val="hy-AM"/>
        </w:rPr>
        <w:softHyphen/>
        <w:t>ների բնութագրվում են ստորև ներկայացված աղյուսակի ցուցանիշներով:</w:t>
      </w:r>
    </w:p>
    <w:p w14:paraId="17C0FC12" w14:textId="77777777" w:rsidR="007E61D3" w:rsidRPr="00BB489E" w:rsidRDefault="007E61D3" w:rsidP="007E61D3">
      <w:pPr>
        <w:spacing w:before="0" w:line="276" w:lineRule="auto"/>
        <w:ind w:firstLine="600"/>
        <w:rPr>
          <w:b w:val="0"/>
          <w:lang w:val="hy-AM"/>
        </w:rPr>
      </w:pPr>
    </w:p>
    <w:p w14:paraId="6192F563" w14:textId="3698CFD5" w:rsidR="007E61D3" w:rsidRPr="00BB489E" w:rsidRDefault="007E61D3" w:rsidP="007E61D3">
      <w:pPr>
        <w:spacing w:before="0"/>
        <w:rPr>
          <w:bCs/>
          <w:i/>
          <w:color w:val="4F81BD" w:themeColor="accent1"/>
          <w:sz w:val="20"/>
          <w:szCs w:val="20"/>
          <w:lang w:val="hy-AM"/>
        </w:rPr>
      </w:pPr>
      <w:bookmarkStart w:id="282" w:name="_Toc83728702"/>
      <w:bookmarkStart w:id="283" w:name="_Toc89428774"/>
      <w:r w:rsidRPr="00BB489E">
        <w:rPr>
          <w:b w:val="0"/>
          <w:bCs/>
          <w:color w:val="4F81BD" w:themeColor="accent1"/>
          <w:sz w:val="18"/>
          <w:szCs w:val="18"/>
          <w:lang w:val="hy-AM"/>
        </w:rPr>
        <w:t xml:space="preserve">Աղյուսակ </w:t>
      </w:r>
      <w:r w:rsidRPr="00BB489E">
        <w:rPr>
          <w:rFonts w:ascii="Calibri" w:eastAsia="Calibri" w:hAnsi="Calibri"/>
          <w:b w:val="0"/>
          <w:szCs w:val="22"/>
          <w:lang w:val="en-US" w:eastAsia="en-US"/>
        </w:rPr>
        <w:fldChar w:fldCharType="begin"/>
      </w:r>
      <w:r w:rsidRPr="00BB489E">
        <w:rPr>
          <w:b w:val="0"/>
          <w:bCs/>
          <w:color w:val="4F81BD" w:themeColor="accent1"/>
          <w:sz w:val="18"/>
          <w:szCs w:val="18"/>
          <w:lang w:val="hy-AM"/>
        </w:rPr>
        <w:instrText xml:space="preserve"> SEQ Աղյուսակ \* ARABIC </w:instrText>
      </w:r>
      <w:r w:rsidRPr="00BB489E">
        <w:rPr>
          <w:rFonts w:ascii="Calibri" w:eastAsia="Calibri" w:hAnsi="Calibri"/>
          <w:b w:val="0"/>
          <w:szCs w:val="22"/>
          <w:lang w:val="en-US" w:eastAsia="en-US"/>
        </w:rPr>
        <w:fldChar w:fldCharType="separate"/>
      </w:r>
      <w:r w:rsidR="00A10D4F">
        <w:rPr>
          <w:b w:val="0"/>
          <w:bCs/>
          <w:noProof/>
          <w:color w:val="4F81BD" w:themeColor="accent1"/>
          <w:sz w:val="18"/>
          <w:szCs w:val="18"/>
          <w:lang w:val="hy-AM"/>
        </w:rPr>
        <w:t>14</w:t>
      </w:r>
      <w:r w:rsidRPr="00BB489E">
        <w:rPr>
          <w:rFonts w:ascii="Calibri" w:eastAsia="Calibri" w:hAnsi="Calibri"/>
          <w:b w:val="0"/>
          <w:szCs w:val="22"/>
          <w:lang w:val="en-US" w:eastAsia="en-US"/>
        </w:rPr>
        <w:fldChar w:fldCharType="end"/>
      </w:r>
      <w:r w:rsidRPr="00BB489E">
        <w:rPr>
          <w:rFonts w:ascii="Cambria Math" w:hAnsi="Cambria Math"/>
          <w:b w:val="0"/>
          <w:bCs/>
          <w:color w:val="4F81BD" w:themeColor="accent1"/>
          <w:sz w:val="18"/>
          <w:szCs w:val="18"/>
          <w:lang w:val="hy-AM"/>
        </w:rPr>
        <w:t xml:space="preserve">․ </w:t>
      </w:r>
      <w:r w:rsidRPr="00BB489E">
        <w:rPr>
          <w:bCs/>
          <w:i/>
          <w:color w:val="4F81BD" w:themeColor="accent1"/>
          <w:sz w:val="20"/>
          <w:szCs w:val="20"/>
          <w:lang w:val="hy-AM"/>
        </w:rPr>
        <w:t>ՀՀ 20</w:t>
      </w:r>
      <w:r>
        <w:rPr>
          <w:bCs/>
          <w:i/>
          <w:color w:val="4F81BD" w:themeColor="accent1"/>
          <w:sz w:val="20"/>
          <w:szCs w:val="20"/>
          <w:lang w:val="hy-AM"/>
        </w:rPr>
        <w:t>18</w:t>
      </w:r>
      <w:r w:rsidRPr="00BB489E">
        <w:rPr>
          <w:bCs/>
          <w:i/>
          <w:color w:val="4F81BD" w:themeColor="accent1"/>
          <w:sz w:val="20"/>
          <w:szCs w:val="20"/>
          <w:lang w:val="hy-AM"/>
        </w:rPr>
        <w:t>-202</w:t>
      </w:r>
      <w:r>
        <w:rPr>
          <w:bCs/>
          <w:i/>
          <w:color w:val="4F81BD" w:themeColor="accent1"/>
          <w:sz w:val="20"/>
          <w:szCs w:val="20"/>
          <w:lang w:val="hy-AM"/>
        </w:rPr>
        <w:t>2</w:t>
      </w:r>
      <w:r w:rsidRPr="00BB489E">
        <w:rPr>
          <w:bCs/>
          <w:i/>
          <w:color w:val="4F81BD" w:themeColor="accent1"/>
          <w:sz w:val="20"/>
          <w:szCs w:val="20"/>
          <w:lang w:val="hy-AM"/>
        </w:rPr>
        <w:t>թթ պետական բյուջեների ծախսերը՝ ըստ ոլորտների (մլն. դրամ)</w:t>
      </w:r>
      <w:bookmarkEnd w:id="282"/>
      <w:bookmarkEnd w:id="283"/>
    </w:p>
    <w:tbl>
      <w:tblPr>
        <w:tblW w:w="53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66"/>
        <w:gridCol w:w="1288"/>
        <w:gridCol w:w="1288"/>
        <w:gridCol w:w="1269"/>
        <w:gridCol w:w="1327"/>
        <w:gridCol w:w="1230"/>
      </w:tblGrid>
      <w:tr w:rsidR="007E61D3" w:rsidRPr="00A604DD" w14:paraId="0EBAF97B" w14:textId="77777777" w:rsidTr="00291CBE">
        <w:trPr>
          <w:trHeight w:val="20"/>
          <w:tblHeader/>
        </w:trPr>
        <w:tc>
          <w:tcPr>
            <w:tcW w:w="1913" w:type="pct"/>
            <w:shd w:val="clear" w:color="auto" w:fill="4F81BD" w:themeFill="accent1"/>
            <w:tcMar>
              <w:top w:w="0" w:type="dxa"/>
              <w:left w:w="57" w:type="dxa"/>
              <w:bottom w:w="0" w:type="dxa"/>
              <w:right w:w="57" w:type="dxa"/>
            </w:tcMar>
            <w:vAlign w:val="center"/>
            <w:hideMark/>
          </w:tcPr>
          <w:p w14:paraId="5DDCAF4E" w14:textId="77777777" w:rsidR="007E61D3" w:rsidRPr="00A604DD" w:rsidRDefault="007E61D3" w:rsidP="00291CBE">
            <w:pPr>
              <w:spacing w:before="0" w:line="276" w:lineRule="auto"/>
              <w:jc w:val="center"/>
              <w:rPr>
                <w:rFonts w:cs="Arial"/>
                <w:b w:val="0"/>
                <w:color w:val="FFFFFF" w:themeColor="background1"/>
                <w:sz w:val="20"/>
                <w:szCs w:val="20"/>
                <w:lang w:val="hy-AM"/>
              </w:rPr>
            </w:pPr>
            <w:r w:rsidRPr="00A604DD">
              <w:rPr>
                <w:rFonts w:cs="Arial"/>
                <w:b w:val="0"/>
                <w:color w:val="FFFFFF" w:themeColor="background1"/>
                <w:sz w:val="20"/>
                <w:szCs w:val="20"/>
                <w:lang w:val="hy-AM"/>
              </w:rPr>
              <w:t>Ցուցանիշներ</w:t>
            </w:r>
          </w:p>
        </w:tc>
        <w:tc>
          <w:tcPr>
            <w:tcW w:w="621" w:type="pct"/>
            <w:shd w:val="clear" w:color="auto" w:fill="4F81BD" w:themeFill="accent1"/>
            <w:vAlign w:val="center"/>
          </w:tcPr>
          <w:p w14:paraId="763E2317" w14:textId="77777777" w:rsidR="007E61D3" w:rsidRPr="00A604DD" w:rsidRDefault="007E61D3" w:rsidP="00291CBE">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2018թ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621" w:type="pct"/>
            <w:shd w:val="clear" w:color="auto" w:fill="4F81BD" w:themeFill="accent1"/>
            <w:vAlign w:val="center"/>
          </w:tcPr>
          <w:p w14:paraId="48D52ECD" w14:textId="77777777" w:rsidR="007E61D3" w:rsidRPr="00A604DD" w:rsidRDefault="007E61D3" w:rsidP="00291CBE">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2019թ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փաստացի</w:t>
            </w:r>
          </w:p>
        </w:tc>
        <w:tc>
          <w:tcPr>
            <w:tcW w:w="612" w:type="pct"/>
            <w:shd w:val="clear" w:color="auto" w:fill="4F81BD" w:themeFill="accent1"/>
            <w:vAlign w:val="center"/>
          </w:tcPr>
          <w:p w14:paraId="35715BA5" w14:textId="77777777" w:rsidR="007E61D3" w:rsidRPr="00D04C64" w:rsidRDefault="007E61D3" w:rsidP="00291CBE">
            <w:pPr>
              <w:spacing w:before="0" w:line="276" w:lineRule="auto"/>
              <w:ind w:firstLine="0"/>
              <w:jc w:val="center"/>
              <w:rPr>
                <w:rFonts w:ascii="Courier New" w:hAnsi="Courier New" w:cs="Courier New"/>
                <w:b w:val="0"/>
                <w:color w:val="FFFFFF" w:themeColor="background1"/>
                <w:sz w:val="20"/>
                <w:szCs w:val="20"/>
                <w:lang w:val="hy-AM"/>
              </w:rPr>
            </w:pPr>
            <w:r w:rsidRPr="00A604DD">
              <w:rPr>
                <w:rFonts w:cs="Arial"/>
                <w:b w:val="0"/>
                <w:color w:val="FFFFFF" w:themeColor="background1"/>
                <w:sz w:val="20"/>
                <w:szCs w:val="20"/>
                <w:lang w:val="hy-AM"/>
              </w:rPr>
              <w:t>2020թ</w:t>
            </w:r>
            <w:r w:rsidRPr="00D04C64">
              <w:rPr>
                <w:rFonts w:ascii="Cambria Math" w:hAnsi="Cambria Math" w:cs="Cambria Math"/>
                <w:b w:val="0"/>
                <w:color w:val="FFFFFF" w:themeColor="background1"/>
                <w:sz w:val="20"/>
                <w:szCs w:val="20"/>
                <w:lang w:val="hy-AM"/>
              </w:rPr>
              <w:t>․</w:t>
            </w:r>
            <w:r>
              <w:rPr>
                <w:rFonts w:ascii="Cambria Math" w:hAnsi="Cambria Math" w:cs="Cambria Math"/>
                <w:b w:val="0"/>
                <w:color w:val="FFFFFF" w:themeColor="background1"/>
                <w:sz w:val="20"/>
                <w:szCs w:val="20"/>
                <w:lang w:val="hy-AM"/>
              </w:rPr>
              <w:t xml:space="preserve"> </w:t>
            </w:r>
            <w:r w:rsidRPr="00D04C64">
              <w:rPr>
                <w:rFonts w:cs="Arial"/>
                <w:b w:val="0"/>
                <w:color w:val="FFFFFF" w:themeColor="background1"/>
                <w:sz w:val="20"/>
                <w:szCs w:val="20"/>
                <w:lang w:val="hy-AM"/>
              </w:rPr>
              <w:t>փաստացի</w:t>
            </w:r>
          </w:p>
        </w:tc>
        <w:tc>
          <w:tcPr>
            <w:tcW w:w="640" w:type="pct"/>
            <w:shd w:val="clear" w:color="auto" w:fill="4F81BD" w:themeFill="accent1"/>
            <w:vAlign w:val="center"/>
            <w:hideMark/>
          </w:tcPr>
          <w:p w14:paraId="58D5955E" w14:textId="77777777" w:rsidR="007E61D3" w:rsidRPr="00A604DD" w:rsidRDefault="007E61D3" w:rsidP="00291CBE">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2021թ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w:t>
            </w:r>
            <w:r>
              <w:rPr>
                <w:rFonts w:cs="Arial"/>
                <w:b w:val="0"/>
                <w:color w:val="FFFFFF" w:themeColor="background1"/>
                <w:sz w:val="20"/>
                <w:szCs w:val="20"/>
                <w:lang w:val="hy-AM"/>
              </w:rPr>
              <w:t>հաստատված</w:t>
            </w:r>
          </w:p>
        </w:tc>
        <w:tc>
          <w:tcPr>
            <w:tcW w:w="593" w:type="pct"/>
            <w:shd w:val="clear" w:color="auto" w:fill="4F81BD" w:themeFill="accent1"/>
            <w:vAlign w:val="center"/>
          </w:tcPr>
          <w:p w14:paraId="14D01B7B" w14:textId="77777777" w:rsidR="007E61D3" w:rsidRPr="00A604DD" w:rsidRDefault="007E61D3" w:rsidP="00291CBE">
            <w:pPr>
              <w:spacing w:before="0" w:line="276" w:lineRule="auto"/>
              <w:ind w:firstLine="0"/>
              <w:jc w:val="center"/>
              <w:rPr>
                <w:rFonts w:cs="Arial"/>
                <w:b w:val="0"/>
                <w:color w:val="FFFFFF" w:themeColor="background1"/>
                <w:sz w:val="20"/>
                <w:szCs w:val="20"/>
                <w:lang w:val="hy-AM"/>
              </w:rPr>
            </w:pPr>
            <w:r w:rsidRPr="00A604DD">
              <w:rPr>
                <w:rFonts w:cs="Arial"/>
                <w:b w:val="0"/>
                <w:color w:val="FFFFFF" w:themeColor="background1"/>
                <w:sz w:val="20"/>
                <w:szCs w:val="20"/>
                <w:lang w:val="hy-AM"/>
              </w:rPr>
              <w:t>202</w:t>
            </w:r>
            <w:r>
              <w:rPr>
                <w:rFonts w:cs="Arial"/>
                <w:b w:val="0"/>
                <w:color w:val="FFFFFF" w:themeColor="background1"/>
                <w:sz w:val="20"/>
                <w:szCs w:val="20"/>
                <w:lang w:val="hy-AM"/>
              </w:rPr>
              <w:t>2</w:t>
            </w:r>
            <w:r w:rsidRPr="00A604DD">
              <w:rPr>
                <w:rFonts w:cs="Arial"/>
                <w:b w:val="0"/>
                <w:color w:val="FFFFFF" w:themeColor="background1"/>
                <w:sz w:val="20"/>
                <w:szCs w:val="20"/>
                <w:lang w:val="hy-AM"/>
              </w:rPr>
              <w:t>թ</w:t>
            </w:r>
            <w:r w:rsidRPr="00A604DD">
              <w:rPr>
                <w:rFonts w:ascii="MS Gothic" w:eastAsia="MS Gothic" w:hAnsi="MS Gothic" w:cs="MS Gothic" w:hint="eastAsia"/>
                <w:b w:val="0"/>
                <w:color w:val="FFFFFF" w:themeColor="background1"/>
                <w:sz w:val="20"/>
                <w:szCs w:val="20"/>
                <w:lang w:val="hy-AM"/>
              </w:rPr>
              <w:t>․</w:t>
            </w:r>
            <w:r w:rsidRPr="00A604DD">
              <w:rPr>
                <w:rFonts w:cs="Arial"/>
                <w:b w:val="0"/>
                <w:color w:val="FFFFFF" w:themeColor="background1"/>
                <w:sz w:val="20"/>
                <w:szCs w:val="20"/>
                <w:lang w:val="hy-AM"/>
              </w:rPr>
              <w:t xml:space="preserve"> նախագիծ</w:t>
            </w:r>
          </w:p>
        </w:tc>
      </w:tr>
      <w:tr w:rsidR="007E61D3" w:rsidRPr="00A604DD" w14:paraId="7449E76F" w14:textId="77777777" w:rsidTr="00291CBE">
        <w:trPr>
          <w:trHeight w:val="467"/>
        </w:trPr>
        <w:tc>
          <w:tcPr>
            <w:tcW w:w="1913" w:type="pct"/>
            <w:shd w:val="clear" w:color="auto" w:fill="C6D9F1" w:themeFill="text2" w:themeFillTint="33"/>
            <w:tcMar>
              <w:top w:w="0" w:type="dxa"/>
              <w:left w:w="57" w:type="dxa"/>
              <w:bottom w:w="0" w:type="dxa"/>
              <w:right w:w="57" w:type="dxa"/>
            </w:tcMar>
            <w:vAlign w:val="center"/>
            <w:hideMark/>
          </w:tcPr>
          <w:p w14:paraId="36019536" w14:textId="77777777" w:rsidR="007E61D3" w:rsidRPr="00A604DD" w:rsidRDefault="007E61D3" w:rsidP="00291CBE">
            <w:pPr>
              <w:spacing w:before="0" w:line="276" w:lineRule="auto"/>
              <w:ind w:firstLine="0"/>
              <w:rPr>
                <w:rFonts w:cs="Arial"/>
                <w:b w:val="0"/>
                <w:sz w:val="20"/>
                <w:szCs w:val="20"/>
              </w:rPr>
            </w:pPr>
            <w:r w:rsidRPr="00A604DD">
              <w:rPr>
                <w:rFonts w:cs="Arial"/>
                <w:sz w:val="20"/>
                <w:szCs w:val="20"/>
              </w:rPr>
              <w:t>ԸՆԴԱՄԵՆԸ</w:t>
            </w:r>
          </w:p>
        </w:tc>
        <w:tc>
          <w:tcPr>
            <w:tcW w:w="621" w:type="pct"/>
            <w:shd w:val="clear" w:color="auto" w:fill="C6D9F1" w:themeFill="text2" w:themeFillTint="33"/>
          </w:tcPr>
          <w:p w14:paraId="75C614ED" w14:textId="77777777" w:rsidR="007E61D3" w:rsidRPr="00127B0F" w:rsidRDefault="007E61D3" w:rsidP="00291CBE">
            <w:pPr>
              <w:spacing w:before="0" w:line="276" w:lineRule="auto"/>
              <w:ind w:firstLine="0"/>
              <w:jc w:val="center"/>
              <w:rPr>
                <w:rFonts w:cs="Arial"/>
                <w:b w:val="0"/>
                <w:bCs/>
                <w:sz w:val="20"/>
                <w:szCs w:val="20"/>
                <w:lang w:val="hy-AM"/>
              </w:rPr>
            </w:pPr>
            <w:r w:rsidRPr="00A604DD">
              <w:rPr>
                <w:sz w:val="20"/>
                <w:szCs w:val="20"/>
              </w:rPr>
              <w:t>1,447,083.0</w:t>
            </w:r>
          </w:p>
        </w:tc>
        <w:tc>
          <w:tcPr>
            <w:tcW w:w="621" w:type="pct"/>
            <w:shd w:val="clear" w:color="auto" w:fill="C6D9F1" w:themeFill="text2" w:themeFillTint="33"/>
          </w:tcPr>
          <w:p w14:paraId="4B1DBFE8" w14:textId="77777777" w:rsidR="007E61D3" w:rsidRPr="00127B0F" w:rsidRDefault="007E61D3" w:rsidP="00291CBE">
            <w:pPr>
              <w:spacing w:before="0" w:line="276" w:lineRule="auto"/>
              <w:ind w:firstLine="0"/>
              <w:jc w:val="center"/>
              <w:rPr>
                <w:rFonts w:cs="Arial"/>
                <w:b w:val="0"/>
                <w:bCs/>
                <w:sz w:val="20"/>
                <w:szCs w:val="20"/>
                <w:lang w:val="hy-AM"/>
              </w:rPr>
            </w:pPr>
            <w:r w:rsidRPr="00A604DD">
              <w:rPr>
                <w:sz w:val="20"/>
                <w:szCs w:val="20"/>
              </w:rPr>
              <w:t>1,629,436.</w:t>
            </w:r>
            <w:r>
              <w:rPr>
                <w:sz w:val="20"/>
                <w:szCs w:val="20"/>
                <w:lang w:val="hy-AM"/>
              </w:rPr>
              <w:t>9</w:t>
            </w:r>
          </w:p>
        </w:tc>
        <w:tc>
          <w:tcPr>
            <w:tcW w:w="612" w:type="pct"/>
            <w:shd w:val="clear" w:color="auto" w:fill="C6D9F1" w:themeFill="text2" w:themeFillTint="33"/>
          </w:tcPr>
          <w:p w14:paraId="4F581234" w14:textId="77777777" w:rsidR="007E61D3" w:rsidRPr="002164ED" w:rsidRDefault="007E61D3" w:rsidP="00291CBE">
            <w:pPr>
              <w:spacing w:before="0" w:line="276" w:lineRule="auto"/>
              <w:ind w:firstLine="0"/>
              <w:jc w:val="center"/>
              <w:rPr>
                <w:sz w:val="20"/>
                <w:szCs w:val="20"/>
                <w:lang w:val="en-US"/>
              </w:rPr>
            </w:pPr>
            <w:r w:rsidRPr="00A604DD">
              <w:rPr>
                <w:sz w:val="20"/>
                <w:szCs w:val="20"/>
              </w:rPr>
              <w:t>1,8</w:t>
            </w:r>
            <w:r>
              <w:rPr>
                <w:sz w:val="20"/>
                <w:szCs w:val="20"/>
                <w:lang w:val="en-US"/>
              </w:rPr>
              <w:t>94</w:t>
            </w:r>
            <w:r w:rsidRPr="00A604DD">
              <w:rPr>
                <w:sz w:val="20"/>
                <w:szCs w:val="20"/>
              </w:rPr>
              <w:t>,</w:t>
            </w:r>
            <w:r>
              <w:rPr>
                <w:sz w:val="20"/>
                <w:szCs w:val="20"/>
                <w:lang w:val="en-US"/>
              </w:rPr>
              <w:t>647</w:t>
            </w:r>
            <w:r w:rsidRPr="00A604DD">
              <w:rPr>
                <w:sz w:val="20"/>
                <w:szCs w:val="20"/>
              </w:rPr>
              <w:t>.</w:t>
            </w:r>
            <w:r>
              <w:rPr>
                <w:sz w:val="20"/>
                <w:szCs w:val="20"/>
                <w:lang w:val="en-US"/>
              </w:rPr>
              <w:t>0</w:t>
            </w:r>
          </w:p>
        </w:tc>
        <w:tc>
          <w:tcPr>
            <w:tcW w:w="640" w:type="pct"/>
            <w:shd w:val="clear" w:color="auto" w:fill="C6D9F1" w:themeFill="text2" w:themeFillTint="33"/>
            <w:tcMar>
              <w:top w:w="0" w:type="dxa"/>
              <w:left w:w="30" w:type="dxa"/>
              <w:bottom w:w="0" w:type="dxa"/>
              <w:right w:w="30" w:type="dxa"/>
            </w:tcMar>
            <w:hideMark/>
          </w:tcPr>
          <w:p w14:paraId="00BF3674" w14:textId="77777777" w:rsidR="007E61D3" w:rsidRPr="00A604DD" w:rsidRDefault="007E61D3" w:rsidP="00291CBE">
            <w:pPr>
              <w:spacing w:before="0" w:line="276" w:lineRule="auto"/>
              <w:ind w:firstLine="0"/>
              <w:jc w:val="center"/>
              <w:rPr>
                <w:rFonts w:cs="Arial"/>
                <w:b w:val="0"/>
                <w:sz w:val="20"/>
                <w:szCs w:val="20"/>
                <w:lang w:val="en-US"/>
              </w:rPr>
            </w:pPr>
            <w:r w:rsidRPr="00A604DD">
              <w:rPr>
                <w:sz w:val="20"/>
                <w:szCs w:val="20"/>
              </w:rPr>
              <w:t>1,850,877.5</w:t>
            </w:r>
          </w:p>
        </w:tc>
        <w:tc>
          <w:tcPr>
            <w:tcW w:w="593" w:type="pct"/>
            <w:shd w:val="clear" w:color="auto" w:fill="C6D9F1" w:themeFill="text2" w:themeFillTint="33"/>
          </w:tcPr>
          <w:p w14:paraId="4298A049" w14:textId="77777777" w:rsidR="007E61D3" w:rsidRPr="0065655B" w:rsidRDefault="007E61D3" w:rsidP="00291CBE">
            <w:pPr>
              <w:spacing w:before="0" w:line="276" w:lineRule="auto"/>
              <w:ind w:firstLine="0"/>
              <w:jc w:val="center"/>
              <w:rPr>
                <w:sz w:val="20"/>
                <w:szCs w:val="20"/>
                <w:lang w:val="en-US"/>
              </w:rPr>
            </w:pPr>
            <w:r w:rsidRPr="005C6A5E">
              <w:rPr>
                <w:sz w:val="20"/>
                <w:szCs w:val="20"/>
              </w:rPr>
              <w:t>2</w:t>
            </w:r>
            <w:r>
              <w:rPr>
                <w:sz w:val="20"/>
                <w:szCs w:val="20"/>
              </w:rPr>
              <w:t>,</w:t>
            </w:r>
            <w:r>
              <w:rPr>
                <w:sz w:val="20"/>
                <w:szCs w:val="20"/>
                <w:lang w:val="en-US"/>
              </w:rPr>
              <w:t>18</w:t>
            </w:r>
            <w:r>
              <w:rPr>
                <w:sz w:val="20"/>
                <w:szCs w:val="20"/>
                <w:lang w:val="hy-AM"/>
              </w:rPr>
              <w:t>4</w:t>
            </w:r>
            <w:r>
              <w:rPr>
                <w:sz w:val="20"/>
                <w:szCs w:val="20"/>
              </w:rPr>
              <w:t>,</w:t>
            </w:r>
            <w:r>
              <w:rPr>
                <w:sz w:val="20"/>
                <w:szCs w:val="20"/>
                <w:lang w:val="hy-AM"/>
              </w:rPr>
              <w:t>040</w:t>
            </w:r>
            <w:r>
              <w:rPr>
                <w:sz w:val="20"/>
                <w:szCs w:val="20"/>
              </w:rPr>
              <w:t>.</w:t>
            </w:r>
            <w:r>
              <w:rPr>
                <w:sz w:val="20"/>
                <w:szCs w:val="20"/>
                <w:lang w:val="en-US"/>
              </w:rPr>
              <w:t>1</w:t>
            </w:r>
          </w:p>
        </w:tc>
      </w:tr>
      <w:tr w:rsidR="007E61D3" w:rsidRPr="00A604DD" w14:paraId="3D564A96" w14:textId="77777777" w:rsidTr="00291CBE">
        <w:trPr>
          <w:trHeight w:val="645"/>
        </w:trPr>
        <w:tc>
          <w:tcPr>
            <w:tcW w:w="1913" w:type="pct"/>
            <w:shd w:val="solid" w:color="FFFFFF" w:fill="auto"/>
            <w:tcMar>
              <w:top w:w="0" w:type="dxa"/>
              <w:left w:w="57" w:type="dxa"/>
              <w:bottom w:w="0" w:type="dxa"/>
              <w:right w:w="57" w:type="dxa"/>
            </w:tcMar>
            <w:vAlign w:val="center"/>
            <w:hideMark/>
          </w:tcPr>
          <w:p w14:paraId="52408D9A"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solid" w:color="FFFFFF" w:fill="auto"/>
          </w:tcPr>
          <w:p w14:paraId="11852597" w14:textId="77777777" w:rsidR="007E61D3" w:rsidRPr="00A604DD" w:rsidRDefault="007E61D3" w:rsidP="00291CBE">
            <w:pPr>
              <w:spacing w:before="0" w:line="276" w:lineRule="auto"/>
              <w:ind w:firstLine="0"/>
              <w:jc w:val="center"/>
              <w:rPr>
                <w:b w:val="0"/>
                <w:sz w:val="20"/>
                <w:szCs w:val="20"/>
              </w:rPr>
            </w:pPr>
            <w:r w:rsidRPr="00A604DD">
              <w:rPr>
                <w:b w:val="0"/>
                <w:sz w:val="20"/>
                <w:szCs w:val="20"/>
              </w:rPr>
              <w:t>24.0%</w:t>
            </w:r>
          </w:p>
        </w:tc>
        <w:tc>
          <w:tcPr>
            <w:tcW w:w="621" w:type="pct"/>
            <w:shd w:val="solid" w:color="FFFFFF" w:fill="auto"/>
          </w:tcPr>
          <w:p w14:paraId="3BFFC0C3" w14:textId="77777777" w:rsidR="007E61D3" w:rsidRPr="00A604DD" w:rsidRDefault="007E61D3" w:rsidP="00291CBE">
            <w:pPr>
              <w:spacing w:before="0" w:line="276" w:lineRule="auto"/>
              <w:ind w:firstLine="0"/>
              <w:jc w:val="center"/>
              <w:rPr>
                <w:b w:val="0"/>
                <w:sz w:val="20"/>
                <w:szCs w:val="20"/>
              </w:rPr>
            </w:pPr>
            <w:r w:rsidRPr="00A604DD">
              <w:rPr>
                <w:b w:val="0"/>
                <w:sz w:val="20"/>
                <w:szCs w:val="20"/>
              </w:rPr>
              <w:t>24.8%</w:t>
            </w:r>
          </w:p>
        </w:tc>
        <w:tc>
          <w:tcPr>
            <w:tcW w:w="612" w:type="pct"/>
            <w:shd w:val="solid" w:color="FFFFFF" w:fill="auto"/>
          </w:tcPr>
          <w:p w14:paraId="5D92C770" w14:textId="77777777" w:rsidR="007E61D3" w:rsidRPr="00A604DD" w:rsidRDefault="007E61D3" w:rsidP="00291CBE">
            <w:pPr>
              <w:spacing w:before="0" w:line="276" w:lineRule="auto"/>
              <w:ind w:firstLine="0"/>
              <w:jc w:val="center"/>
              <w:rPr>
                <w:b w:val="0"/>
                <w:sz w:val="20"/>
                <w:szCs w:val="20"/>
              </w:rPr>
            </w:pPr>
            <w:r w:rsidRPr="00A604DD">
              <w:rPr>
                <w:b w:val="0"/>
                <w:sz w:val="20"/>
                <w:szCs w:val="20"/>
              </w:rPr>
              <w:t>30.</w:t>
            </w:r>
            <w:r>
              <w:rPr>
                <w:b w:val="0"/>
                <w:sz w:val="20"/>
                <w:szCs w:val="20"/>
                <w:lang w:val="hy-AM"/>
              </w:rPr>
              <w:t>6</w:t>
            </w:r>
            <w:r w:rsidRPr="00A604DD">
              <w:rPr>
                <w:b w:val="0"/>
                <w:sz w:val="20"/>
                <w:szCs w:val="20"/>
              </w:rPr>
              <w:t>%</w:t>
            </w:r>
          </w:p>
        </w:tc>
        <w:tc>
          <w:tcPr>
            <w:tcW w:w="640" w:type="pct"/>
            <w:shd w:val="solid" w:color="FFFFFF" w:fill="auto"/>
            <w:tcMar>
              <w:top w:w="0" w:type="dxa"/>
              <w:left w:w="30" w:type="dxa"/>
              <w:bottom w:w="0" w:type="dxa"/>
              <w:right w:w="30" w:type="dxa"/>
            </w:tcMar>
            <w:hideMark/>
          </w:tcPr>
          <w:p w14:paraId="62FA0248" w14:textId="77777777" w:rsidR="007E61D3" w:rsidRPr="00A604DD" w:rsidRDefault="007E61D3" w:rsidP="00291CBE">
            <w:pPr>
              <w:spacing w:before="0" w:line="276" w:lineRule="auto"/>
              <w:ind w:firstLine="0"/>
              <w:jc w:val="center"/>
              <w:rPr>
                <w:b w:val="0"/>
                <w:sz w:val="20"/>
                <w:szCs w:val="20"/>
                <w:lang w:val="en-US"/>
              </w:rPr>
            </w:pPr>
            <w:r w:rsidRPr="00A604DD">
              <w:rPr>
                <w:b w:val="0"/>
                <w:sz w:val="20"/>
                <w:szCs w:val="20"/>
              </w:rPr>
              <w:t>28.9%</w:t>
            </w:r>
          </w:p>
        </w:tc>
        <w:tc>
          <w:tcPr>
            <w:tcW w:w="593" w:type="pct"/>
            <w:shd w:val="solid" w:color="FFFFFF" w:fill="auto"/>
          </w:tcPr>
          <w:p w14:paraId="2C3661E5" w14:textId="77777777" w:rsidR="007E61D3" w:rsidRPr="00A604DD" w:rsidRDefault="007E61D3" w:rsidP="00291CBE">
            <w:pPr>
              <w:spacing w:before="0" w:line="276" w:lineRule="auto"/>
              <w:ind w:firstLine="0"/>
              <w:jc w:val="center"/>
              <w:rPr>
                <w:b w:val="0"/>
                <w:sz w:val="20"/>
                <w:szCs w:val="20"/>
              </w:rPr>
            </w:pPr>
            <w:r>
              <w:rPr>
                <w:b w:val="0"/>
                <w:sz w:val="20"/>
                <w:szCs w:val="20"/>
              </w:rPr>
              <w:t>2</w:t>
            </w:r>
            <w:r>
              <w:rPr>
                <w:b w:val="0"/>
                <w:sz w:val="20"/>
                <w:szCs w:val="20"/>
                <w:lang w:val="en-US"/>
              </w:rPr>
              <w:t>7</w:t>
            </w:r>
            <w:r>
              <w:rPr>
                <w:b w:val="0"/>
                <w:sz w:val="20"/>
                <w:szCs w:val="20"/>
              </w:rPr>
              <w:t>.</w:t>
            </w:r>
            <w:r>
              <w:rPr>
                <w:b w:val="0"/>
                <w:sz w:val="20"/>
                <w:szCs w:val="20"/>
                <w:lang w:val="en-US"/>
              </w:rPr>
              <w:t>8</w:t>
            </w:r>
            <w:r>
              <w:rPr>
                <w:b w:val="0"/>
                <w:sz w:val="20"/>
                <w:szCs w:val="20"/>
              </w:rPr>
              <w:t>%</w:t>
            </w:r>
          </w:p>
        </w:tc>
      </w:tr>
      <w:tr w:rsidR="007E61D3" w:rsidRPr="00A604DD" w14:paraId="1D10B749" w14:textId="77777777" w:rsidTr="00291CBE">
        <w:trPr>
          <w:trHeight w:val="20"/>
        </w:trPr>
        <w:tc>
          <w:tcPr>
            <w:tcW w:w="1913" w:type="pct"/>
            <w:shd w:val="clear" w:color="auto" w:fill="C6D9F1" w:themeFill="text2" w:themeFillTint="33"/>
            <w:tcMar>
              <w:top w:w="0" w:type="dxa"/>
              <w:left w:w="57" w:type="dxa"/>
              <w:bottom w:w="0" w:type="dxa"/>
              <w:right w:w="57" w:type="dxa"/>
            </w:tcMar>
            <w:vAlign w:val="center"/>
            <w:hideMark/>
          </w:tcPr>
          <w:p w14:paraId="32781F68" w14:textId="77777777" w:rsidR="007E61D3" w:rsidRPr="007D6A76" w:rsidRDefault="007E61D3" w:rsidP="00291CBE">
            <w:pPr>
              <w:spacing w:before="0" w:line="276" w:lineRule="auto"/>
              <w:ind w:firstLine="0"/>
              <w:jc w:val="left"/>
              <w:rPr>
                <w:b w:val="0"/>
                <w:sz w:val="20"/>
                <w:szCs w:val="20"/>
              </w:rPr>
            </w:pPr>
            <w:r w:rsidRPr="00A604DD">
              <w:rPr>
                <w:rFonts w:cs="Arial"/>
                <w:sz w:val="20"/>
                <w:szCs w:val="20"/>
              </w:rPr>
              <w:t>ԸՆԴՀԱՆՈՒՐ ԲՆՈՒՅԹԻ ՀԱՆՐԱՅԻՆ ԾԱՌԱՅՈՒԹՅՈՒՆՆԵՐ</w:t>
            </w:r>
            <w:r w:rsidRPr="007D6A76">
              <w:rPr>
                <w:rFonts w:cs="Arial"/>
                <w:sz w:val="20"/>
                <w:szCs w:val="20"/>
              </w:rPr>
              <w:t xml:space="preserve">  </w:t>
            </w:r>
            <w:r w:rsidRPr="007D6A76">
              <w:rPr>
                <w:rFonts w:cs="Arial"/>
                <w:sz w:val="20"/>
                <w:szCs w:val="20"/>
                <w:lang w:val="en-US"/>
              </w:rPr>
              <w:t>ԵՎ</w:t>
            </w:r>
            <w:r w:rsidRPr="007D6A76">
              <w:rPr>
                <w:rFonts w:cs="Arial"/>
                <w:sz w:val="20"/>
                <w:szCs w:val="20"/>
              </w:rPr>
              <w:t xml:space="preserve"> </w:t>
            </w:r>
            <w:r w:rsidRPr="007D6A76">
              <w:rPr>
                <w:rFonts w:cs="Arial"/>
                <w:sz w:val="20"/>
                <w:szCs w:val="20"/>
                <w:lang w:val="en-US"/>
              </w:rPr>
              <w:t>ՊԱՀՈՒՍՏԱՅԻՆ</w:t>
            </w:r>
            <w:r w:rsidRPr="007D6A76">
              <w:rPr>
                <w:rFonts w:cs="Arial"/>
                <w:sz w:val="20"/>
                <w:szCs w:val="20"/>
              </w:rPr>
              <w:t xml:space="preserve"> </w:t>
            </w:r>
            <w:r w:rsidRPr="007D6A76">
              <w:rPr>
                <w:rFonts w:cs="Arial"/>
                <w:sz w:val="20"/>
                <w:szCs w:val="20"/>
                <w:lang w:val="en-US"/>
              </w:rPr>
              <w:t>ՖՈՆԴԵՐ</w:t>
            </w:r>
          </w:p>
        </w:tc>
        <w:tc>
          <w:tcPr>
            <w:tcW w:w="621" w:type="pct"/>
            <w:shd w:val="clear" w:color="auto" w:fill="C6D9F1" w:themeFill="text2" w:themeFillTint="33"/>
          </w:tcPr>
          <w:p w14:paraId="45599420" w14:textId="77777777" w:rsidR="007E61D3" w:rsidRPr="00A604DD" w:rsidRDefault="007E61D3" w:rsidP="00291CBE">
            <w:pPr>
              <w:spacing w:before="0" w:line="276" w:lineRule="auto"/>
              <w:ind w:firstLine="0"/>
              <w:jc w:val="center"/>
              <w:rPr>
                <w:rFonts w:cs="Arial"/>
                <w:b w:val="0"/>
                <w:bCs/>
                <w:sz w:val="20"/>
                <w:szCs w:val="20"/>
              </w:rPr>
            </w:pPr>
            <w:r w:rsidRPr="00A604DD">
              <w:rPr>
                <w:sz w:val="20"/>
                <w:szCs w:val="20"/>
              </w:rPr>
              <w:t>312,771.6</w:t>
            </w:r>
          </w:p>
        </w:tc>
        <w:tc>
          <w:tcPr>
            <w:tcW w:w="621" w:type="pct"/>
            <w:shd w:val="clear" w:color="auto" w:fill="C6D9F1" w:themeFill="text2" w:themeFillTint="33"/>
          </w:tcPr>
          <w:p w14:paraId="18946412" w14:textId="77777777" w:rsidR="007E61D3" w:rsidRPr="00A604DD" w:rsidRDefault="007E61D3" w:rsidP="00291CBE">
            <w:pPr>
              <w:spacing w:before="0" w:line="276" w:lineRule="auto"/>
              <w:ind w:firstLine="0"/>
              <w:jc w:val="center"/>
              <w:rPr>
                <w:rFonts w:cs="Arial"/>
                <w:b w:val="0"/>
                <w:bCs/>
                <w:sz w:val="20"/>
                <w:szCs w:val="20"/>
              </w:rPr>
            </w:pPr>
            <w:r w:rsidRPr="00A604DD">
              <w:rPr>
                <w:sz w:val="20"/>
                <w:szCs w:val="20"/>
              </w:rPr>
              <w:t>320,072.9</w:t>
            </w:r>
          </w:p>
        </w:tc>
        <w:tc>
          <w:tcPr>
            <w:tcW w:w="612" w:type="pct"/>
            <w:shd w:val="clear" w:color="auto" w:fill="C6D9F1" w:themeFill="text2" w:themeFillTint="33"/>
          </w:tcPr>
          <w:p w14:paraId="0FCFD538" w14:textId="77777777" w:rsidR="007E61D3" w:rsidRPr="002164ED" w:rsidRDefault="007E61D3" w:rsidP="00291CBE">
            <w:pPr>
              <w:spacing w:before="0" w:line="276" w:lineRule="auto"/>
              <w:ind w:firstLine="0"/>
              <w:jc w:val="center"/>
              <w:rPr>
                <w:sz w:val="20"/>
                <w:szCs w:val="20"/>
                <w:lang w:val="en-US"/>
              </w:rPr>
            </w:pPr>
            <w:r w:rsidRPr="00A604DD">
              <w:rPr>
                <w:sz w:val="20"/>
                <w:szCs w:val="20"/>
              </w:rPr>
              <w:t>3</w:t>
            </w:r>
            <w:r>
              <w:rPr>
                <w:sz w:val="20"/>
                <w:szCs w:val="20"/>
                <w:lang w:val="en-US"/>
              </w:rPr>
              <w:t>44</w:t>
            </w:r>
            <w:r w:rsidRPr="00A604DD">
              <w:rPr>
                <w:sz w:val="20"/>
                <w:szCs w:val="20"/>
              </w:rPr>
              <w:t>,</w:t>
            </w:r>
            <w:r>
              <w:rPr>
                <w:sz w:val="20"/>
                <w:szCs w:val="20"/>
                <w:lang w:val="en-US"/>
              </w:rPr>
              <w:t>340</w:t>
            </w:r>
            <w:r w:rsidRPr="00A604DD">
              <w:rPr>
                <w:sz w:val="20"/>
                <w:szCs w:val="20"/>
              </w:rPr>
              <w:t>.</w:t>
            </w:r>
            <w:r>
              <w:rPr>
                <w:sz w:val="20"/>
                <w:szCs w:val="20"/>
                <w:lang w:val="en-US"/>
              </w:rPr>
              <w:t>6</w:t>
            </w:r>
          </w:p>
        </w:tc>
        <w:tc>
          <w:tcPr>
            <w:tcW w:w="640" w:type="pct"/>
            <w:shd w:val="clear" w:color="auto" w:fill="C6D9F1" w:themeFill="text2" w:themeFillTint="33"/>
            <w:tcMar>
              <w:top w:w="0" w:type="dxa"/>
              <w:left w:w="30" w:type="dxa"/>
              <w:bottom w:w="0" w:type="dxa"/>
              <w:right w:w="30" w:type="dxa"/>
            </w:tcMar>
            <w:hideMark/>
          </w:tcPr>
          <w:p w14:paraId="33336E2E" w14:textId="77777777" w:rsidR="007E61D3" w:rsidRPr="002F284A" w:rsidRDefault="007E61D3" w:rsidP="00291CBE">
            <w:pPr>
              <w:spacing w:before="0" w:line="276" w:lineRule="auto"/>
              <w:ind w:firstLine="0"/>
              <w:jc w:val="center"/>
              <w:rPr>
                <w:rFonts w:cs="Arial"/>
                <w:b w:val="0"/>
                <w:sz w:val="20"/>
                <w:szCs w:val="20"/>
                <w:lang w:val="en-US"/>
              </w:rPr>
            </w:pPr>
            <w:r w:rsidRPr="00A604DD">
              <w:rPr>
                <w:sz w:val="20"/>
                <w:szCs w:val="20"/>
              </w:rPr>
              <w:t>400,935.5</w:t>
            </w:r>
          </w:p>
        </w:tc>
        <w:tc>
          <w:tcPr>
            <w:tcW w:w="593" w:type="pct"/>
            <w:shd w:val="clear" w:color="auto" w:fill="C6D9F1" w:themeFill="text2" w:themeFillTint="33"/>
          </w:tcPr>
          <w:p w14:paraId="5716B453" w14:textId="77777777" w:rsidR="007E61D3" w:rsidRPr="00B340B0" w:rsidRDefault="007E61D3" w:rsidP="00291CBE">
            <w:pPr>
              <w:spacing w:before="0" w:line="276" w:lineRule="auto"/>
              <w:ind w:firstLine="0"/>
              <w:jc w:val="center"/>
              <w:rPr>
                <w:sz w:val="20"/>
                <w:szCs w:val="20"/>
                <w:lang w:val="hy-AM"/>
              </w:rPr>
            </w:pPr>
            <w:r>
              <w:rPr>
                <w:sz w:val="20"/>
                <w:szCs w:val="20"/>
                <w:lang w:val="hy-AM"/>
              </w:rPr>
              <w:t>4</w:t>
            </w:r>
            <w:r>
              <w:rPr>
                <w:sz w:val="20"/>
                <w:szCs w:val="20"/>
                <w:lang w:val="en-US"/>
              </w:rPr>
              <w:t>98,42</w:t>
            </w:r>
            <w:r>
              <w:rPr>
                <w:sz w:val="20"/>
                <w:szCs w:val="20"/>
                <w:lang w:val="hy-AM"/>
              </w:rPr>
              <w:t>7</w:t>
            </w:r>
            <w:r>
              <w:rPr>
                <w:sz w:val="20"/>
                <w:szCs w:val="20"/>
              </w:rPr>
              <w:t>.</w:t>
            </w:r>
            <w:r>
              <w:rPr>
                <w:sz w:val="20"/>
                <w:szCs w:val="20"/>
                <w:lang w:val="hy-AM"/>
              </w:rPr>
              <w:t>9</w:t>
            </w:r>
          </w:p>
        </w:tc>
      </w:tr>
      <w:tr w:rsidR="007E61D3" w:rsidRPr="00A604DD" w14:paraId="6A9797B4" w14:textId="77777777" w:rsidTr="00291CBE">
        <w:trPr>
          <w:trHeight w:val="417"/>
        </w:trPr>
        <w:tc>
          <w:tcPr>
            <w:tcW w:w="1913" w:type="pct"/>
            <w:shd w:val="solid" w:color="FFFFFF" w:fill="auto"/>
            <w:tcMar>
              <w:top w:w="0" w:type="dxa"/>
              <w:left w:w="57" w:type="dxa"/>
              <w:bottom w:w="0" w:type="dxa"/>
              <w:right w:w="57" w:type="dxa"/>
            </w:tcMar>
            <w:vAlign w:val="center"/>
            <w:hideMark/>
          </w:tcPr>
          <w:p w14:paraId="25542AE9"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solid" w:color="FFFFFF" w:fill="auto"/>
          </w:tcPr>
          <w:p w14:paraId="28FEF9BF"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5.2%</w:t>
            </w:r>
          </w:p>
        </w:tc>
        <w:tc>
          <w:tcPr>
            <w:tcW w:w="621" w:type="pct"/>
            <w:shd w:val="solid" w:color="FFFFFF" w:fill="auto"/>
          </w:tcPr>
          <w:p w14:paraId="58BFEAB4"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4.9%</w:t>
            </w:r>
          </w:p>
        </w:tc>
        <w:tc>
          <w:tcPr>
            <w:tcW w:w="612" w:type="pct"/>
            <w:shd w:val="solid" w:color="FFFFFF" w:fill="auto"/>
          </w:tcPr>
          <w:p w14:paraId="559BDED2" w14:textId="77777777" w:rsidR="007E61D3" w:rsidRPr="00A604DD" w:rsidRDefault="007E61D3" w:rsidP="00291CBE">
            <w:pPr>
              <w:spacing w:before="0" w:line="276" w:lineRule="auto"/>
              <w:ind w:firstLine="0"/>
              <w:jc w:val="center"/>
              <w:rPr>
                <w:b w:val="0"/>
                <w:sz w:val="20"/>
                <w:szCs w:val="20"/>
              </w:rPr>
            </w:pPr>
            <w:r>
              <w:rPr>
                <w:b w:val="0"/>
                <w:sz w:val="20"/>
                <w:szCs w:val="20"/>
                <w:lang w:val="hy-AM"/>
              </w:rPr>
              <w:t>5</w:t>
            </w:r>
            <w:r w:rsidRPr="00A604DD">
              <w:rPr>
                <w:b w:val="0"/>
                <w:sz w:val="20"/>
                <w:szCs w:val="20"/>
              </w:rPr>
              <w:t>.</w:t>
            </w:r>
            <w:r>
              <w:rPr>
                <w:b w:val="0"/>
                <w:sz w:val="20"/>
                <w:szCs w:val="20"/>
                <w:lang w:val="hy-AM"/>
              </w:rPr>
              <w:t>5</w:t>
            </w:r>
            <w:r w:rsidRPr="00A604DD">
              <w:rPr>
                <w:b w:val="0"/>
                <w:sz w:val="20"/>
                <w:szCs w:val="20"/>
              </w:rPr>
              <w:t>%</w:t>
            </w:r>
          </w:p>
        </w:tc>
        <w:tc>
          <w:tcPr>
            <w:tcW w:w="640" w:type="pct"/>
            <w:shd w:val="solid" w:color="FFFFFF" w:fill="auto"/>
            <w:tcMar>
              <w:top w:w="0" w:type="dxa"/>
              <w:left w:w="30" w:type="dxa"/>
              <w:bottom w:w="0" w:type="dxa"/>
              <w:right w:w="30" w:type="dxa"/>
            </w:tcMar>
            <w:hideMark/>
          </w:tcPr>
          <w:p w14:paraId="57BFF98D"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6.3%</w:t>
            </w:r>
          </w:p>
        </w:tc>
        <w:tc>
          <w:tcPr>
            <w:tcW w:w="593" w:type="pct"/>
            <w:shd w:val="solid" w:color="FFFFFF" w:fill="auto"/>
          </w:tcPr>
          <w:p w14:paraId="7AD57933" w14:textId="77777777" w:rsidR="007E61D3" w:rsidRPr="00A604DD" w:rsidRDefault="007E61D3" w:rsidP="00291CBE">
            <w:pPr>
              <w:spacing w:before="0" w:line="276" w:lineRule="auto"/>
              <w:ind w:firstLine="0"/>
              <w:jc w:val="center"/>
              <w:rPr>
                <w:b w:val="0"/>
                <w:sz w:val="20"/>
                <w:szCs w:val="20"/>
              </w:rPr>
            </w:pPr>
            <w:r>
              <w:rPr>
                <w:b w:val="0"/>
                <w:sz w:val="20"/>
                <w:szCs w:val="20"/>
                <w:lang w:val="hy-AM"/>
              </w:rPr>
              <w:t>6</w:t>
            </w:r>
            <w:r w:rsidRPr="00125424">
              <w:rPr>
                <w:rFonts w:ascii="Cambria Math" w:hAnsi="Cambria Math" w:cs="Cambria Math"/>
                <w:b w:val="0"/>
                <w:color w:val="000000"/>
                <w:sz w:val="20"/>
                <w:szCs w:val="20"/>
                <w:lang w:val="en-US"/>
              </w:rPr>
              <w:t>․</w:t>
            </w:r>
            <w:r>
              <w:rPr>
                <w:rFonts w:cs="Arial"/>
                <w:b w:val="0"/>
                <w:color w:val="000000"/>
                <w:sz w:val="20"/>
                <w:szCs w:val="20"/>
                <w:lang w:val="en-US"/>
              </w:rPr>
              <w:t>3</w:t>
            </w:r>
            <w:r w:rsidRPr="00125424">
              <w:rPr>
                <w:rFonts w:cs="Arial"/>
                <w:b w:val="0"/>
                <w:color w:val="000000"/>
                <w:sz w:val="20"/>
                <w:szCs w:val="20"/>
                <w:lang w:val="en-US"/>
              </w:rPr>
              <w:t>%</w:t>
            </w:r>
          </w:p>
        </w:tc>
      </w:tr>
      <w:tr w:rsidR="007E61D3" w:rsidRPr="00B340B0" w14:paraId="46A941D2" w14:textId="77777777" w:rsidTr="00291CBE">
        <w:trPr>
          <w:trHeight w:val="20"/>
        </w:trPr>
        <w:tc>
          <w:tcPr>
            <w:tcW w:w="1913" w:type="pct"/>
            <w:shd w:val="solid" w:color="FFFFFF" w:fill="auto"/>
            <w:tcMar>
              <w:top w:w="0" w:type="dxa"/>
              <w:left w:w="57" w:type="dxa"/>
              <w:bottom w:w="0" w:type="dxa"/>
              <w:right w:w="57" w:type="dxa"/>
            </w:tcMar>
            <w:vAlign w:val="center"/>
            <w:hideMark/>
          </w:tcPr>
          <w:p w14:paraId="54A3D019"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solid" w:color="FFFFFF" w:fill="auto"/>
          </w:tcPr>
          <w:p w14:paraId="2B7324A7"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21.6%</w:t>
            </w:r>
          </w:p>
        </w:tc>
        <w:tc>
          <w:tcPr>
            <w:tcW w:w="621" w:type="pct"/>
            <w:shd w:val="solid" w:color="FFFFFF" w:fill="auto"/>
          </w:tcPr>
          <w:p w14:paraId="7B51DEC6"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19.6%</w:t>
            </w:r>
          </w:p>
        </w:tc>
        <w:tc>
          <w:tcPr>
            <w:tcW w:w="612" w:type="pct"/>
            <w:shd w:val="solid" w:color="FFFFFF" w:fill="auto"/>
          </w:tcPr>
          <w:p w14:paraId="0EDC5668" w14:textId="77777777" w:rsidR="007E61D3" w:rsidRPr="00A604DD" w:rsidRDefault="007E61D3" w:rsidP="00291CBE">
            <w:pPr>
              <w:spacing w:before="0" w:line="276" w:lineRule="auto"/>
              <w:ind w:firstLine="0"/>
              <w:jc w:val="center"/>
              <w:rPr>
                <w:b w:val="0"/>
                <w:sz w:val="20"/>
                <w:szCs w:val="20"/>
              </w:rPr>
            </w:pPr>
            <w:r>
              <w:rPr>
                <w:b w:val="0"/>
                <w:sz w:val="20"/>
                <w:szCs w:val="20"/>
                <w:lang w:val="en-US"/>
              </w:rPr>
              <w:t>18.2</w:t>
            </w:r>
            <w:r w:rsidRPr="00A604DD">
              <w:rPr>
                <w:b w:val="0"/>
                <w:sz w:val="20"/>
                <w:szCs w:val="20"/>
              </w:rPr>
              <w:t>%</w:t>
            </w:r>
          </w:p>
        </w:tc>
        <w:tc>
          <w:tcPr>
            <w:tcW w:w="640" w:type="pct"/>
            <w:shd w:val="solid" w:color="FFFFFF" w:fill="auto"/>
            <w:tcMar>
              <w:top w:w="0" w:type="dxa"/>
              <w:left w:w="30" w:type="dxa"/>
              <w:bottom w:w="0" w:type="dxa"/>
              <w:right w:w="30" w:type="dxa"/>
            </w:tcMar>
            <w:hideMark/>
          </w:tcPr>
          <w:p w14:paraId="35EB8CA7"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21.7%</w:t>
            </w:r>
          </w:p>
        </w:tc>
        <w:tc>
          <w:tcPr>
            <w:tcW w:w="593" w:type="pct"/>
            <w:shd w:val="solid" w:color="FFFFFF" w:fill="auto"/>
          </w:tcPr>
          <w:p w14:paraId="287FB757" w14:textId="77777777" w:rsidR="007E61D3" w:rsidRPr="00B340B0" w:rsidRDefault="007E61D3" w:rsidP="00291CBE">
            <w:pPr>
              <w:spacing w:before="0" w:line="276" w:lineRule="auto"/>
              <w:ind w:firstLine="0"/>
              <w:jc w:val="center"/>
              <w:rPr>
                <w:b w:val="0"/>
                <w:sz w:val="20"/>
                <w:szCs w:val="20"/>
                <w:lang w:val="en-US"/>
              </w:rPr>
            </w:pPr>
            <w:r>
              <w:rPr>
                <w:b w:val="0"/>
                <w:sz w:val="20"/>
                <w:szCs w:val="20"/>
                <w:lang w:val="hy-AM"/>
              </w:rPr>
              <w:t>22.</w:t>
            </w:r>
            <w:r>
              <w:rPr>
                <w:b w:val="0"/>
                <w:sz w:val="20"/>
                <w:szCs w:val="20"/>
                <w:lang w:val="en-US"/>
              </w:rPr>
              <w:t>8</w:t>
            </w:r>
            <w:r w:rsidRPr="00B340B0">
              <w:rPr>
                <w:b w:val="0"/>
                <w:sz w:val="20"/>
                <w:szCs w:val="20"/>
                <w:lang w:val="en-US"/>
              </w:rPr>
              <w:t>%</w:t>
            </w:r>
          </w:p>
        </w:tc>
      </w:tr>
      <w:tr w:rsidR="007E61D3" w:rsidRPr="00A604DD" w14:paraId="6A2EB289" w14:textId="77777777" w:rsidTr="00291CBE">
        <w:trPr>
          <w:trHeight w:val="795"/>
        </w:trPr>
        <w:tc>
          <w:tcPr>
            <w:tcW w:w="1913" w:type="pct"/>
            <w:shd w:val="clear" w:color="auto" w:fill="C6D9F1" w:themeFill="text2" w:themeFillTint="33"/>
            <w:tcMar>
              <w:top w:w="0" w:type="dxa"/>
              <w:left w:w="57" w:type="dxa"/>
              <w:bottom w:w="0" w:type="dxa"/>
              <w:right w:w="57" w:type="dxa"/>
            </w:tcMar>
            <w:vAlign w:val="bottom"/>
            <w:hideMark/>
          </w:tcPr>
          <w:p w14:paraId="664EFE7D" w14:textId="77777777" w:rsidR="007E61D3" w:rsidRPr="00DD0015" w:rsidRDefault="007E61D3" w:rsidP="00291CBE">
            <w:pPr>
              <w:spacing w:before="0" w:line="276" w:lineRule="auto"/>
              <w:ind w:firstLine="0"/>
              <w:jc w:val="left"/>
              <w:rPr>
                <w:b w:val="0"/>
                <w:sz w:val="20"/>
                <w:szCs w:val="20"/>
              </w:rPr>
            </w:pPr>
            <w:r w:rsidRPr="00A604DD">
              <w:rPr>
                <w:rFonts w:cs="Arial"/>
                <w:sz w:val="20"/>
                <w:szCs w:val="20"/>
              </w:rPr>
              <w:t>ՊԱՇՏՊԱՆՈՒԹՅՈՒՆ</w:t>
            </w:r>
            <w:r w:rsidRPr="00DD0015">
              <w:rPr>
                <w:rFonts w:cs="Arial"/>
                <w:sz w:val="20"/>
                <w:szCs w:val="20"/>
              </w:rPr>
              <w:t xml:space="preserve">, </w:t>
            </w:r>
            <w:r w:rsidRPr="00A604DD">
              <w:rPr>
                <w:rFonts w:cs="Arial"/>
                <w:sz w:val="20"/>
                <w:szCs w:val="20"/>
              </w:rPr>
              <w:t>ՀԱՍԱՐԱԿԱԿԱՆ</w:t>
            </w:r>
            <w:r w:rsidRPr="00DD0015">
              <w:rPr>
                <w:rFonts w:cs="Arial"/>
                <w:sz w:val="20"/>
                <w:szCs w:val="20"/>
              </w:rPr>
              <w:t xml:space="preserve"> </w:t>
            </w:r>
            <w:r w:rsidRPr="00A604DD">
              <w:rPr>
                <w:rFonts w:cs="Arial"/>
                <w:sz w:val="20"/>
                <w:szCs w:val="20"/>
              </w:rPr>
              <w:t>ԿԱՐԳ</w:t>
            </w:r>
            <w:r w:rsidRPr="00DD0015">
              <w:rPr>
                <w:rFonts w:cs="Arial"/>
                <w:sz w:val="20"/>
                <w:szCs w:val="20"/>
              </w:rPr>
              <w:t xml:space="preserve">,  </w:t>
            </w:r>
            <w:r w:rsidRPr="00A604DD">
              <w:rPr>
                <w:rFonts w:cs="Arial"/>
                <w:sz w:val="20"/>
                <w:szCs w:val="20"/>
              </w:rPr>
              <w:t>ԱՆՎՏԱՆԳՈՒԹՅՈՒՆ</w:t>
            </w:r>
            <w:r w:rsidRPr="00DD0015">
              <w:rPr>
                <w:rFonts w:cs="Arial"/>
                <w:sz w:val="20"/>
                <w:szCs w:val="20"/>
              </w:rPr>
              <w:t xml:space="preserve"> </w:t>
            </w:r>
            <w:r w:rsidRPr="00A604DD">
              <w:rPr>
                <w:rFonts w:cs="Arial"/>
                <w:sz w:val="20"/>
                <w:szCs w:val="20"/>
              </w:rPr>
              <w:t>ԵՎ</w:t>
            </w:r>
            <w:r w:rsidRPr="00DD0015">
              <w:rPr>
                <w:rFonts w:cs="Arial"/>
                <w:sz w:val="20"/>
                <w:szCs w:val="20"/>
              </w:rPr>
              <w:t xml:space="preserve"> </w:t>
            </w:r>
            <w:r w:rsidRPr="00A604DD">
              <w:rPr>
                <w:rFonts w:cs="Arial"/>
                <w:sz w:val="20"/>
                <w:szCs w:val="20"/>
              </w:rPr>
              <w:t>ԴԱՏԱԿԱՆ</w:t>
            </w:r>
            <w:r w:rsidRPr="00DD0015">
              <w:rPr>
                <w:rFonts w:cs="Arial"/>
                <w:sz w:val="20"/>
                <w:szCs w:val="20"/>
              </w:rPr>
              <w:t xml:space="preserve"> </w:t>
            </w:r>
            <w:r w:rsidRPr="00A604DD">
              <w:rPr>
                <w:rFonts w:cs="Arial"/>
                <w:sz w:val="20"/>
                <w:szCs w:val="20"/>
              </w:rPr>
              <w:t>ԳՈՐԾՈՒՆԵՈՒԹՅՈՒՆ</w:t>
            </w:r>
          </w:p>
        </w:tc>
        <w:tc>
          <w:tcPr>
            <w:tcW w:w="621" w:type="pct"/>
            <w:shd w:val="clear" w:color="auto" w:fill="C6D9F1" w:themeFill="text2" w:themeFillTint="33"/>
          </w:tcPr>
          <w:p w14:paraId="7F85DC25" w14:textId="77777777" w:rsidR="007E61D3" w:rsidRPr="00127B0F" w:rsidRDefault="007E61D3" w:rsidP="00291CBE">
            <w:pPr>
              <w:spacing w:before="0" w:line="276" w:lineRule="auto"/>
              <w:ind w:firstLine="0"/>
              <w:jc w:val="center"/>
              <w:rPr>
                <w:b w:val="0"/>
                <w:sz w:val="20"/>
                <w:szCs w:val="20"/>
                <w:lang w:val="hy-AM"/>
              </w:rPr>
            </w:pPr>
            <w:r w:rsidRPr="00B340B0">
              <w:rPr>
                <w:sz w:val="20"/>
                <w:szCs w:val="20"/>
                <w:lang w:val="en-US"/>
              </w:rPr>
              <w:t>361,579.4</w:t>
            </w:r>
          </w:p>
        </w:tc>
        <w:tc>
          <w:tcPr>
            <w:tcW w:w="621" w:type="pct"/>
            <w:shd w:val="clear" w:color="auto" w:fill="C6D9F1" w:themeFill="text2" w:themeFillTint="33"/>
          </w:tcPr>
          <w:p w14:paraId="4D5B765F" w14:textId="77777777" w:rsidR="007E61D3" w:rsidRPr="00127B0F" w:rsidRDefault="007E61D3" w:rsidP="00291CBE">
            <w:pPr>
              <w:spacing w:before="0" w:line="276" w:lineRule="auto"/>
              <w:ind w:firstLine="0"/>
              <w:jc w:val="center"/>
              <w:rPr>
                <w:b w:val="0"/>
                <w:sz w:val="20"/>
                <w:szCs w:val="20"/>
                <w:lang w:val="hy-AM"/>
              </w:rPr>
            </w:pPr>
            <w:r w:rsidRPr="00B340B0">
              <w:rPr>
                <w:sz w:val="20"/>
                <w:szCs w:val="20"/>
                <w:lang w:val="en-US"/>
              </w:rPr>
              <w:t>459,284.1</w:t>
            </w:r>
          </w:p>
        </w:tc>
        <w:tc>
          <w:tcPr>
            <w:tcW w:w="612" w:type="pct"/>
            <w:shd w:val="clear" w:color="auto" w:fill="C6D9F1" w:themeFill="text2" w:themeFillTint="33"/>
          </w:tcPr>
          <w:p w14:paraId="48D8E8F6" w14:textId="77777777" w:rsidR="007E61D3" w:rsidRPr="00B340B0" w:rsidRDefault="007E61D3" w:rsidP="00291CBE">
            <w:pPr>
              <w:spacing w:before="0" w:line="276" w:lineRule="auto"/>
              <w:ind w:firstLine="0"/>
              <w:jc w:val="center"/>
              <w:rPr>
                <w:sz w:val="20"/>
                <w:szCs w:val="20"/>
                <w:lang w:val="en-US"/>
              </w:rPr>
            </w:pPr>
            <w:r>
              <w:rPr>
                <w:sz w:val="20"/>
                <w:szCs w:val="20"/>
                <w:lang w:val="en-US"/>
              </w:rPr>
              <w:t>539</w:t>
            </w:r>
            <w:r w:rsidRPr="00B340B0">
              <w:rPr>
                <w:sz w:val="20"/>
                <w:szCs w:val="20"/>
                <w:lang w:val="en-US"/>
              </w:rPr>
              <w:t>,</w:t>
            </w:r>
            <w:r>
              <w:rPr>
                <w:sz w:val="20"/>
                <w:szCs w:val="20"/>
                <w:lang w:val="en-US"/>
              </w:rPr>
              <w:t>185.3</w:t>
            </w:r>
          </w:p>
        </w:tc>
        <w:tc>
          <w:tcPr>
            <w:tcW w:w="640" w:type="pct"/>
            <w:shd w:val="clear" w:color="auto" w:fill="C6D9F1" w:themeFill="text2" w:themeFillTint="33"/>
            <w:tcMar>
              <w:top w:w="0" w:type="dxa"/>
              <w:left w:w="30" w:type="dxa"/>
              <w:bottom w:w="0" w:type="dxa"/>
              <w:right w:w="30" w:type="dxa"/>
            </w:tcMar>
            <w:hideMark/>
          </w:tcPr>
          <w:p w14:paraId="446E0606" w14:textId="77777777" w:rsidR="007E61D3" w:rsidRPr="002F284A" w:rsidRDefault="007E61D3" w:rsidP="00291CBE">
            <w:pPr>
              <w:spacing w:before="0" w:line="276" w:lineRule="auto"/>
              <w:ind w:firstLine="0"/>
              <w:jc w:val="center"/>
              <w:rPr>
                <w:b w:val="0"/>
                <w:sz w:val="20"/>
                <w:szCs w:val="20"/>
                <w:lang w:val="en-US"/>
              </w:rPr>
            </w:pPr>
            <w:r w:rsidRPr="00B340B0">
              <w:rPr>
                <w:sz w:val="20"/>
                <w:szCs w:val="20"/>
                <w:lang w:val="en-US"/>
              </w:rPr>
              <w:t>468,807.</w:t>
            </w:r>
            <w:r>
              <w:rPr>
                <w:sz w:val="20"/>
                <w:szCs w:val="20"/>
                <w:lang w:val="en-US"/>
              </w:rPr>
              <w:t>7</w:t>
            </w:r>
          </w:p>
        </w:tc>
        <w:tc>
          <w:tcPr>
            <w:tcW w:w="593" w:type="pct"/>
            <w:shd w:val="clear" w:color="auto" w:fill="C6D9F1" w:themeFill="text2" w:themeFillTint="33"/>
          </w:tcPr>
          <w:p w14:paraId="4BE9FA28" w14:textId="77777777" w:rsidR="007E61D3" w:rsidRPr="00987A2A" w:rsidRDefault="007E61D3" w:rsidP="00291CBE">
            <w:pPr>
              <w:spacing w:before="0" w:line="276" w:lineRule="auto"/>
              <w:ind w:firstLine="0"/>
              <w:jc w:val="center"/>
              <w:rPr>
                <w:sz w:val="20"/>
                <w:szCs w:val="20"/>
                <w:lang w:val="en-US"/>
              </w:rPr>
            </w:pPr>
            <w:r w:rsidRPr="00B340B0">
              <w:rPr>
                <w:sz w:val="20"/>
                <w:szCs w:val="20"/>
                <w:lang w:val="en-US"/>
              </w:rPr>
              <w:t>518,</w:t>
            </w:r>
            <w:r>
              <w:rPr>
                <w:sz w:val="20"/>
                <w:szCs w:val="20"/>
                <w:lang w:val="en-US"/>
              </w:rPr>
              <w:t>619</w:t>
            </w:r>
            <w:r w:rsidRPr="00B340B0">
              <w:rPr>
                <w:sz w:val="20"/>
                <w:szCs w:val="20"/>
                <w:lang w:val="en-US"/>
              </w:rPr>
              <w:t>.</w:t>
            </w:r>
            <w:r>
              <w:rPr>
                <w:sz w:val="20"/>
                <w:szCs w:val="20"/>
                <w:lang w:val="en-US"/>
              </w:rPr>
              <w:t>0</w:t>
            </w:r>
          </w:p>
        </w:tc>
      </w:tr>
      <w:tr w:rsidR="007E61D3" w:rsidRPr="00A604DD" w14:paraId="528418D1" w14:textId="77777777" w:rsidTr="00291CBE">
        <w:trPr>
          <w:trHeight w:val="20"/>
        </w:trPr>
        <w:tc>
          <w:tcPr>
            <w:tcW w:w="1913" w:type="pct"/>
            <w:shd w:val="clear" w:color="auto" w:fill="FFFFFF"/>
            <w:tcMar>
              <w:top w:w="0" w:type="dxa"/>
              <w:left w:w="57" w:type="dxa"/>
              <w:bottom w:w="0" w:type="dxa"/>
              <w:right w:w="57" w:type="dxa"/>
            </w:tcMar>
            <w:vAlign w:val="center"/>
            <w:hideMark/>
          </w:tcPr>
          <w:p w14:paraId="1C842217"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clear" w:color="auto" w:fill="FFFFFF"/>
          </w:tcPr>
          <w:p w14:paraId="141C8A8D"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6.0%</w:t>
            </w:r>
          </w:p>
        </w:tc>
        <w:tc>
          <w:tcPr>
            <w:tcW w:w="621" w:type="pct"/>
            <w:shd w:val="clear" w:color="auto" w:fill="FFFFFF"/>
          </w:tcPr>
          <w:p w14:paraId="25FBED8F"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7.0%</w:t>
            </w:r>
          </w:p>
        </w:tc>
        <w:tc>
          <w:tcPr>
            <w:tcW w:w="612" w:type="pct"/>
            <w:shd w:val="clear" w:color="auto" w:fill="FFFFFF"/>
          </w:tcPr>
          <w:p w14:paraId="4CD5527A" w14:textId="77777777" w:rsidR="007E61D3" w:rsidRPr="00A604DD" w:rsidRDefault="007E61D3" w:rsidP="00291CBE">
            <w:pPr>
              <w:spacing w:before="0" w:line="276" w:lineRule="auto"/>
              <w:ind w:firstLine="0"/>
              <w:jc w:val="center"/>
              <w:rPr>
                <w:b w:val="0"/>
                <w:sz w:val="20"/>
                <w:szCs w:val="20"/>
              </w:rPr>
            </w:pPr>
            <w:r>
              <w:rPr>
                <w:b w:val="0"/>
                <w:sz w:val="20"/>
                <w:szCs w:val="20"/>
                <w:lang w:val="hy-AM"/>
              </w:rPr>
              <w:t>8</w:t>
            </w:r>
            <w:r w:rsidRPr="00A604DD">
              <w:rPr>
                <w:b w:val="0"/>
                <w:sz w:val="20"/>
                <w:szCs w:val="20"/>
              </w:rPr>
              <w:t>.</w:t>
            </w:r>
            <w:r>
              <w:rPr>
                <w:b w:val="0"/>
                <w:sz w:val="20"/>
                <w:szCs w:val="20"/>
                <w:lang w:val="hy-AM"/>
              </w:rPr>
              <w:t>7</w:t>
            </w:r>
            <w:r w:rsidRPr="00A604DD">
              <w:rPr>
                <w:b w:val="0"/>
                <w:sz w:val="20"/>
                <w:szCs w:val="20"/>
              </w:rPr>
              <w:t>%</w:t>
            </w:r>
          </w:p>
        </w:tc>
        <w:tc>
          <w:tcPr>
            <w:tcW w:w="640" w:type="pct"/>
            <w:shd w:val="clear" w:color="auto" w:fill="FFFFFF"/>
            <w:hideMark/>
          </w:tcPr>
          <w:p w14:paraId="2EC9EFC2"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7.3%</w:t>
            </w:r>
          </w:p>
        </w:tc>
        <w:tc>
          <w:tcPr>
            <w:tcW w:w="593" w:type="pct"/>
            <w:shd w:val="clear" w:color="auto" w:fill="FFFFFF"/>
          </w:tcPr>
          <w:p w14:paraId="13FFAC5D" w14:textId="77777777" w:rsidR="007E61D3" w:rsidRPr="00A604DD" w:rsidRDefault="007E61D3" w:rsidP="00291CBE">
            <w:pPr>
              <w:spacing w:before="0" w:line="276" w:lineRule="auto"/>
              <w:ind w:firstLine="0"/>
              <w:jc w:val="center"/>
              <w:rPr>
                <w:b w:val="0"/>
                <w:sz w:val="20"/>
                <w:szCs w:val="20"/>
              </w:rPr>
            </w:pPr>
            <w:r>
              <w:rPr>
                <w:b w:val="0"/>
                <w:sz w:val="20"/>
                <w:szCs w:val="20"/>
              </w:rPr>
              <w:t>6.6%</w:t>
            </w:r>
          </w:p>
        </w:tc>
      </w:tr>
      <w:tr w:rsidR="007E61D3" w:rsidRPr="00A604DD" w14:paraId="77EEBD67" w14:textId="77777777" w:rsidTr="00291CBE">
        <w:trPr>
          <w:trHeight w:val="20"/>
        </w:trPr>
        <w:tc>
          <w:tcPr>
            <w:tcW w:w="1913" w:type="pct"/>
            <w:shd w:val="clear" w:color="auto" w:fill="FFFFFF"/>
            <w:tcMar>
              <w:top w:w="0" w:type="dxa"/>
              <w:left w:w="57" w:type="dxa"/>
              <w:bottom w:w="0" w:type="dxa"/>
              <w:right w:w="57" w:type="dxa"/>
            </w:tcMar>
            <w:vAlign w:val="center"/>
            <w:hideMark/>
          </w:tcPr>
          <w:p w14:paraId="30B8EA23"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clear" w:color="auto" w:fill="FFFFFF"/>
          </w:tcPr>
          <w:p w14:paraId="40FAFCE2"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25.0%</w:t>
            </w:r>
          </w:p>
        </w:tc>
        <w:tc>
          <w:tcPr>
            <w:tcW w:w="621" w:type="pct"/>
            <w:shd w:val="clear" w:color="auto" w:fill="FFFFFF"/>
          </w:tcPr>
          <w:p w14:paraId="77C43E78"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28.2%</w:t>
            </w:r>
          </w:p>
        </w:tc>
        <w:tc>
          <w:tcPr>
            <w:tcW w:w="612" w:type="pct"/>
            <w:shd w:val="clear" w:color="auto" w:fill="FFFFFF"/>
          </w:tcPr>
          <w:p w14:paraId="3E9D6FAA" w14:textId="77777777" w:rsidR="007E61D3" w:rsidRPr="00A604DD" w:rsidRDefault="007E61D3" w:rsidP="00291CBE">
            <w:pPr>
              <w:spacing w:before="0" w:line="276" w:lineRule="auto"/>
              <w:ind w:firstLine="0"/>
              <w:jc w:val="center"/>
              <w:rPr>
                <w:b w:val="0"/>
                <w:sz w:val="20"/>
                <w:szCs w:val="20"/>
              </w:rPr>
            </w:pPr>
            <w:r w:rsidRPr="00A604DD">
              <w:rPr>
                <w:b w:val="0"/>
                <w:sz w:val="20"/>
                <w:szCs w:val="20"/>
              </w:rPr>
              <w:t>2</w:t>
            </w:r>
            <w:r>
              <w:rPr>
                <w:b w:val="0"/>
                <w:sz w:val="20"/>
                <w:szCs w:val="20"/>
                <w:lang w:val="en-US"/>
              </w:rPr>
              <w:t>8</w:t>
            </w:r>
            <w:r w:rsidRPr="00A604DD">
              <w:rPr>
                <w:b w:val="0"/>
                <w:sz w:val="20"/>
                <w:szCs w:val="20"/>
              </w:rPr>
              <w:t>.</w:t>
            </w:r>
            <w:r>
              <w:rPr>
                <w:b w:val="0"/>
                <w:sz w:val="20"/>
                <w:szCs w:val="20"/>
                <w:lang w:val="en-US"/>
              </w:rPr>
              <w:t>5</w:t>
            </w:r>
            <w:r w:rsidRPr="00A604DD">
              <w:rPr>
                <w:b w:val="0"/>
                <w:sz w:val="20"/>
                <w:szCs w:val="20"/>
              </w:rPr>
              <w:t>%</w:t>
            </w:r>
          </w:p>
        </w:tc>
        <w:tc>
          <w:tcPr>
            <w:tcW w:w="640" w:type="pct"/>
            <w:shd w:val="clear" w:color="auto" w:fill="FFFFFF"/>
            <w:hideMark/>
          </w:tcPr>
          <w:p w14:paraId="38D1A027"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25.3%</w:t>
            </w:r>
          </w:p>
        </w:tc>
        <w:tc>
          <w:tcPr>
            <w:tcW w:w="593" w:type="pct"/>
            <w:shd w:val="clear" w:color="auto" w:fill="FFFFFF"/>
          </w:tcPr>
          <w:p w14:paraId="5CF9D860" w14:textId="77777777" w:rsidR="007E61D3" w:rsidRPr="00A604DD" w:rsidRDefault="007E61D3" w:rsidP="00291CBE">
            <w:pPr>
              <w:spacing w:before="0" w:line="276" w:lineRule="auto"/>
              <w:ind w:firstLine="0"/>
              <w:jc w:val="center"/>
              <w:rPr>
                <w:b w:val="0"/>
                <w:sz w:val="20"/>
                <w:szCs w:val="20"/>
              </w:rPr>
            </w:pPr>
            <w:r>
              <w:rPr>
                <w:b w:val="0"/>
                <w:sz w:val="20"/>
                <w:szCs w:val="20"/>
              </w:rPr>
              <w:t>23.</w:t>
            </w:r>
            <w:r>
              <w:rPr>
                <w:b w:val="0"/>
                <w:sz w:val="20"/>
                <w:szCs w:val="20"/>
                <w:lang w:val="en-US"/>
              </w:rPr>
              <w:t>7</w:t>
            </w:r>
            <w:r>
              <w:rPr>
                <w:b w:val="0"/>
                <w:sz w:val="20"/>
                <w:szCs w:val="20"/>
              </w:rPr>
              <w:t>%</w:t>
            </w:r>
          </w:p>
        </w:tc>
      </w:tr>
      <w:tr w:rsidR="007E61D3" w:rsidRPr="00A604DD" w14:paraId="18B05A50" w14:textId="77777777" w:rsidTr="00291CBE">
        <w:trPr>
          <w:trHeight w:val="20"/>
        </w:trPr>
        <w:tc>
          <w:tcPr>
            <w:tcW w:w="1913" w:type="pct"/>
            <w:shd w:val="clear" w:color="auto" w:fill="C6D9F1" w:themeFill="text2" w:themeFillTint="33"/>
            <w:tcMar>
              <w:top w:w="0" w:type="dxa"/>
              <w:left w:w="57" w:type="dxa"/>
              <w:bottom w:w="0" w:type="dxa"/>
              <w:right w:w="57" w:type="dxa"/>
            </w:tcMar>
            <w:vAlign w:val="center"/>
            <w:hideMark/>
          </w:tcPr>
          <w:p w14:paraId="1CE51327" w14:textId="77777777" w:rsidR="007E61D3" w:rsidRPr="00A604DD" w:rsidRDefault="007E61D3" w:rsidP="00291CBE">
            <w:pPr>
              <w:spacing w:before="0" w:line="276" w:lineRule="auto"/>
              <w:ind w:firstLine="0"/>
              <w:rPr>
                <w:b w:val="0"/>
                <w:sz w:val="20"/>
                <w:szCs w:val="20"/>
              </w:rPr>
            </w:pPr>
            <w:r w:rsidRPr="00A604DD">
              <w:rPr>
                <w:rFonts w:cs="Arial"/>
                <w:sz w:val="20"/>
                <w:szCs w:val="20"/>
              </w:rPr>
              <w:t>ՏՆՏԵՍԱԿԱՆ</w:t>
            </w:r>
            <w:r w:rsidRPr="00A604DD">
              <w:rPr>
                <w:sz w:val="20"/>
                <w:szCs w:val="20"/>
              </w:rPr>
              <w:t xml:space="preserve"> </w:t>
            </w:r>
            <w:r w:rsidRPr="00A604DD">
              <w:rPr>
                <w:rFonts w:cs="Arial"/>
                <w:sz w:val="20"/>
                <w:szCs w:val="20"/>
              </w:rPr>
              <w:t>ՈԼՈՐՏ</w:t>
            </w:r>
          </w:p>
        </w:tc>
        <w:tc>
          <w:tcPr>
            <w:tcW w:w="621" w:type="pct"/>
            <w:shd w:val="clear" w:color="auto" w:fill="C6D9F1" w:themeFill="text2" w:themeFillTint="33"/>
          </w:tcPr>
          <w:p w14:paraId="1B1C8707" w14:textId="77777777" w:rsidR="007E61D3" w:rsidRPr="00A604DD" w:rsidRDefault="007E61D3" w:rsidP="00291CBE">
            <w:pPr>
              <w:spacing w:before="0" w:line="276" w:lineRule="auto"/>
              <w:ind w:firstLine="0"/>
              <w:jc w:val="center"/>
              <w:rPr>
                <w:rFonts w:cs="Arial"/>
                <w:b w:val="0"/>
                <w:bCs/>
                <w:sz w:val="20"/>
                <w:szCs w:val="20"/>
              </w:rPr>
            </w:pPr>
            <w:r w:rsidRPr="00A604DD">
              <w:rPr>
                <w:sz w:val="20"/>
                <w:szCs w:val="20"/>
              </w:rPr>
              <w:t>129,599.</w:t>
            </w:r>
            <w:r>
              <w:rPr>
                <w:sz w:val="20"/>
                <w:szCs w:val="20"/>
                <w:lang w:val="hy-AM"/>
              </w:rPr>
              <w:t>5</w:t>
            </w:r>
          </w:p>
        </w:tc>
        <w:tc>
          <w:tcPr>
            <w:tcW w:w="621" w:type="pct"/>
            <w:shd w:val="clear" w:color="auto" w:fill="C6D9F1" w:themeFill="text2" w:themeFillTint="33"/>
          </w:tcPr>
          <w:p w14:paraId="3074D270" w14:textId="77777777" w:rsidR="007E61D3" w:rsidRPr="00A604DD" w:rsidRDefault="007E61D3" w:rsidP="00291CBE">
            <w:pPr>
              <w:spacing w:before="0" w:line="276" w:lineRule="auto"/>
              <w:ind w:firstLine="0"/>
              <w:jc w:val="center"/>
              <w:rPr>
                <w:rFonts w:cs="Arial"/>
                <w:b w:val="0"/>
                <w:bCs/>
                <w:sz w:val="20"/>
                <w:szCs w:val="20"/>
              </w:rPr>
            </w:pPr>
            <w:r w:rsidRPr="00A604DD">
              <w:rPr>
                <w:sz w:val="20"/>
                <w:szCs w:val="20"/>
              </w:rPr>
              <w:t>133,980.8</w:t>
            </w:r>
          </w:p>
        </w:tc>
        <w:tc>
          <w:tcPr>
            <w:tcW w:w="612" w:type="pct"/>
            <w:shd w:val="clear" w:color="auto" w:fill="C6D9F1" w:themeFill="text2" w:themeFillTint="33"/>
          </w:tcPr>
          <w:p w14:paraId="0CB9E3B0" w14:textId="77777777" w:rsidR="007E61D3" w:rsidRPr="0094616F" w:rsidRDefault="007E61D3" w:rsidP="00291CBE">
            <w:pPr>
              <w:spacing w:before="0" w:line="276" w:lineRule="auto"/>
              <w:ind w:firstLine="0"/>
              <w:jc w:val="center"/>
              <w:rPr>
                <w:sz w:val="20"/>
                <w:szCs w:val="20"/>
                <w:lang w:val="en-US"/>
              </w:rPr>
            </w:pPr>
            <w:r>
              <w:rPr>
                <w:sz w:val="20"/>
                <w:szCs w:val="20"/>
                <w:lang w:val="en-US"/>
              </w:rPr>
              <w:t>138</w:t>
            </w:r>
            <w:r w:rsidRPr="00A604DD">
              <w:rPr>
                <w:sz w:val="20"/>
                <w:szCs w:val="20"/>
              </w:rPr>
              <w:t>,</w:t>
            </w:r>
            <w:r>
              <w:rPr>
                <w:sz w:val="20"/>
                <w:szCs w:val="20"/>
                <w:lang w:val="en-US"/>
              </w:rPr>
              <w:t>887</w:t>
            </w:r>
            <w:r w:rsidRPr="00A604DD">
              <w:rPr>
                <w:sz w:val="20"/>
                <w:szCs w:val="20"/>
              </w:rPr>
              <w:t>.</w:t>
            </w:r>
            <w:r>
              <w:rPr>
                <w:sz w:val="20"/>
                <w:szCs w:val="20"/>
                <w:lang w:val="en-US"/>
              </w:rPr>
              <w:t>2</w:t>
            </w:r>
          </w:p>
        </w:tc>
        <w:tc>
          <w:tcPr>
            <w:tcW w:w="640" w:type="pct"/>
            <w:shd w:val="clear" w:color="auto" w:fill="C6D9F1" w:themeFill="text2" w:themeFillTint="33"/>
            <w:tcMar>
              <w:top w:w="0" w:type="dxa"/>
              <w:left w:w="30" w:type="dxa"/>
              <w:bottom w:w="0" w:type="dxa"/>
              <w:right w:w="30" w:type="dxa"/>
            </w:tcMar>
            <w:hideMark/>
          </w:tcPr>
          <w:p w14:paraId="526097F9" w14:textId="77777777" w:rsidR="007E61D3" w:rsidRPr="00127B0F" w:rsidRDefault="007E61D3" w:rsidP="00291CBE">
            <w:pPr>
              <w:spacing w:before="0" w:line="276" w:lineRule="auto"/>
              <w:ind w:firstLine="0"/>
              <w:jc w:val="center"/>
              <w:rPr>
                <w:rFonts w:cs="Arial"/>
                <w:b w:val="0"/>
                <w:bCs/>
                <w:sz w:val="20"/>
                <w:szCs w:val="20"/>
                <w:lang w:val="hy-AM"/>
              </w:rPr>
            </w:pPr>
            <w:r w:rsidRPr="00A604DD">
              <w:rPr>
                <w:sz w:val="20"/>
                <w:szCs w:val="20"/>
              </w:rPr>
              <w:t>174,531.</w:t>
            </w:r>
            <w:r>
              <w:rPr>
                <w:sz w:val="20"/>
                <w:szCs w:val="20"/>
                <w:lang w:val="hy-AM"/>
              </w:rPr>
              <w:t>3</w:t>
            </w:r>
          </w:p>
        </w:tc>
        <w:tc>
          <w:tcPr>
            <w:tcW w:w="593" w:type="pct"/>
            <w:shd w:val="clear" w:color="auto" w:fill="C6D9F1" w:themeFill="text2" w:themeFillTint="33"/>
          </w:tcPr>
          <w:p w14:paraId="5EB31EC5" w14:textId="77777777" w:rsidR="007E61D3" w:rsidRPr="00987A2A" w:rsidRDefault="007E61D3" w:rsidP="00291CBE">
            <w:pPr>
              <w:spacing w:before="0" w:line="276" w:lineRule="auto"/>
              <w:ind w:firstLine="0"/>
              <w:jc w:val="center"/>
              <w:rPr>
                <w:sz w:val="20"/>
                <w:szCs w:val="20"/>
                <w:lang w:val="en-US"/>
              </w:rPr>
            </w:pPr>
            <w:r>
              <w:rPr>
                <w:sz w:val="20"/>
                <w:szCs w:val="20"/>
              </w:rPr>
              <w:t>2</w:t>
            </w:r>
            <w:r>
              <w:rPr>
                <w:sz w:val="20"/>
                <w:szCs w:val="20"/>
                <w:lang w:val="en-US"/>
              </w:rPr>
              <w:t>37</w:t>
            </w:r>
            <w:r>
              <w:rPr>
                <w:sz w:val="20"/>
                <w:szCs w:val="20"/>
              </w:rPr>
              <w:t>,</w:t>
            </w:r>
            <w:r>
              <w:rPr>
                <w:sz w:val="20"/>
                <w:szCs w:val="20"/>
                <w:lang w:val="en-US"/>
              </w:rPr>
              <w:t>390</w:t>
            </w:r>
            <w:r>
              <w:rPr>
                <w:sz w:val="20"/>
                <w:szCs w:val="20"/>
              </w:rPr>
              <w:t>.</w:t>
            </w:r>
            <w:r>
              <w:rPr>
                <w:sz w:val="20"/>
                <w:szCs w:val="20"/>
                <w:lang w:val="en-US"/>
              </w:rPr>
              <w:t>2</w:t>
            </w:r>
          </w:p>
        </w:tc>
      </w:tr>
      <w:tr w:rsidR="007E61D3" w:rsidRPr="00A604DD" w14:paraId="6FE66C7B" w14:textId="77777777" w:rsidTr="00291CBE">
        <w:trPr>
          <w:trHeight w:val="20"/>
        </w:trPr>
        <w:tc>
          <w:tcPr>
            <w:tcW w:w="1913" w:type="pct"/>
            <w:shd w:val="clear" w:color="auto" w:fill="FFFFFF"/>
            <w:tcMar>
              <w:top w:w="0" w:type="dxa"/>
              <w:left w:w="57" w:type="dxa"/>
              <w:bottom w:w="0" w:type="dxa"/>
              <w:right w:w="57" w:type="dxa"/>
            </w:tcMar>
            <w:vAlign w:val="center"/>
            <w:hideMark/>
          </w:tcPr>
          <w:p w14:paraId="4085745F"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clear" w:color="auto" w:fill="FFFFFF"/>
          </w:tcPr>
          <w:p w14:paraId="5ACE3B06"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2.2%</w:t>
            </w:r>
          </w:p>
        </w:tc>
        <w:tc>
          <w:tcPr>
            <w:tcW w:w="621" w:type="pct"/>
            <w:shd w:val="clear" w:color="auto" w:fill="FFFFFF"/>
          </w:tcPr>
          <w:p w14:paraId="34BB3F34"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2.0%</w:t>
            </w:r>
          </w:p>
        </w:tc>
        <w:tc>
          <w:tcPr>
            <w:tcW w:w="612" w:type="pct"/>
            <w:shd w:val="clear" w:color="auto" w:fill="FFFFFF"/>
          </w:tcPr>
          <w:p w14:paraId="0E74888F" w14:textId="77777777" w:rsidR="007E61D3" w:rsidRPr="00A604DD" w:rsidRDefault="007E61D3" w:rsidP="00291CBE">
            <w:pPr>
              <w:spacing w:before="0" w:line="276" w:lineRule="auto"/>
              <w:ind w:firstLine="0"/>
              <w:jc w:val="center"/>
              <w:rPr>
                <w:b w:val="0"/>
                <w:sz w:val="20"/>
                <w:szCs w:val="20"/>
              </w:rPr>
            </w:pPr>
            <w:r>
              <w:rPr>
                <w:b w:val="0"/>
                <w:sz w:val="20"/>
                <w:szCs w:val="20"/>
                <w:lang w:val="hy-AM"/>
              </w:rPr>
              <w:t>2</w:t>
            </w:r>
            <w:r w:rsidRPr="00A604DD">
              <w:rPr>
                <w:b w:val="0"/>
                <w:sz w:val="20"/>
                <w:szCs w:val="20"/>
              </w:rPr>
              <w:t>.</w:t>
            </w:r>
            <w:r>
              <w:rPr>
                <w:b w:val="0"/>
                <w:sz w:val="20"/>
                <w:szCs w:val="20"/>
                <w:lang w:val="hy-AM"/>
              </w:rPr>
              <w:t>4</w:t>
            </w:r>
            <w:r w:rsidRPr="00A604DD">
              <w:rPr>
                <w:b w:val="0"/>
                <w:sz w:val="20"/>
                <w:szCs w:val="20"/>
              </w:rPr>
              <w:t>%</w:t>
            </w:r>
          </w:p>
        </w:tc>
        <w:tc>
          <w:tcPr>
            <w:tcW w:w="640" w:type="pct"/>
            <w:shd w:val="clear" w:color="auto" w:fill="FFFFFF"/>
            <w:hideMark/>
          </w:tcPr>
          <w:p w14:paraId="27A7812F"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2.7%</w:t>
            </w:r>
          </w:p>
        </w:tc>
        <w:tc>
          <w:tcPr>
            <w:tcW w:w="593" w:type="pct"/>
            <w:shd w:val="clear" w:color="auto" w:fill="FFFFFF"/>
          </w:tcPr>
          <w:p w14:paraId="6013BA7E" w14:textId="77777777" w:rsidR="007E61D3" w:rsidRPr="00125424" w:rsidRDefault="007E61D3" w:rsidP="00291CBE">
            <w:pPr>
              <w:spacing w:before="0" w:line="276" w:lineRule="auto"/>
              <w:ind w:firstLine="0"/>
              <w:jc w:val="center"/>
              <w:rPr>
                <w:b w:val="0"/>
                <w:sz w:val="20"/>
                <w:szCs w:val="20"/>
                <w:lang w:val="en-US"/>
              </w:rPr>
            </w:pPr>
            <w:r>
              <w:rPr>
                <w:b w:val="0"/>
                <w:sz w:val="20"/>
                <w:szCs w:val="20"/>
              </w:rPr>
              <w:t>3.</w:t>
            </w:r>
            <w:r>
              <w:rPr>
                <w:b w:val="0"/>
                <w:sz w:val="20"/>
                <w:szCs w:val="20"/>
                <w:lang w:val="en-US"/>
              </w:rPr>
              <w:t>0</w:t>
            </w:r>
            <w:r>
              <w:rPr>
                <w:b w:val="0"/>
                <w:sz w:val="20"/>
                <w:szCs w:val="20"/>
              </w:rPr>
              <w:t>%</w:t>
            </w:r>
          </w:p>
        </w:tc>
      </w:tr>
      <w:tr w:rsidR="007E61D3" w:rsidRPr="00A604DD" w14:paraId="71EFA7C8" w14:textId="77777777" w:rsidTr="00291CBE">
        <w:trPr>
          <w:trHeight w:val="20"/>
        </w:trPr>
        <w:tc>
          <w:tcPr>
            <w:tcW w:w="1913" w:type="pct"/>
            <w:shd w:val="clear" w:color="auto" w:fill="FFFFFF"/>
            <w:tcMar>
              <w:top w:w="0" w:type="dxa"/>
              <w:left w:w="57" w:type="dxa"/>
              <w:bottom w:w="0" w:type="dxa"/>
              <w:right w:w="57" w:type="dxa"/>
            </w:tcMar>
            <w:vAlign w:val="center"/>
            <w:hideMark/>
          </w:tcPr>
          <w:p w14:paraId="75DC9C6C" w14:textId="77777777"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clear" w:color="auto" w:fill="FFFFFF"/>
          </w:tcPr>
          <w:p w14:paraId="2B69D13F"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9.0%</w:t>
            </w:r>
          </w:p>
        </w:tc>
        <w:tc>
          <w:tcPr>
            <w:tcW w:w="621" w:type="pct"/>
            <w:shd w:val="clear" w:color="auto" w:fill="FFFFFF"/>
          </w:tcPr>
          <w:p w14:paraId="158D3B07"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8.2%</w:t>
            </w:r>
          </w:p>
        </w:tc>
        <w:tc>
          <w:tcPr>
            <w:tcW w:w="612" w:type="pct"/>
            <w:shd w:val="clear" w:color="auto" w:fill="FFFFFF"/>
          </w:tcPr>
          <w:p w14:paraId="661E268D" w14:textId="77777777" w:rsidR="007E61D3" w:rsidRPr="00A604DD" w:rsidRDefault="007E61D3" w:rsidP="00291CBE">
            <w:pPr>
              <w:spacing w:before="0" w:line="276" w:lineRule="auto"/>
              <w:ind w:firstLine="0"/>
              <w:jc w:val="center"/>
              <w:rPr>
                <w:b w:val="0"/>
                <w:sz w:val="20"/>
                <w:szCs w:val="20"/>
              </w:rPr>
            </w:pPr>
            <w:r>
              <w:rPr>
                <w:b w:val="0"/>
                <w:sz w:val="20"/>
                <w:szCs w:val="20"/>
                <w:lang w:val="en-US"/>
              </w:rPr>
              <w:t>7.3</w:t>
            </w:r>
            <w:r w:rsidRPr="00A604DD">
              <w:rPr>
                <w:b w:val="0"/>
                <w:sz w:val="20"/>
                <w:szCs w:val="20"/>
              </w:rPr>
              <w:t>%</w:t>
            </w:r>
          </w:p>
        </w:tc>
        <w:tc>
          <w:tcPr>
            <w:tcW w:w="640" w:type="pct"/>
            <w:shd w:val="clear" w:color="auto" w:fill="FFFFFF"/>
            <w:hideMark/>
          </w:tcPr>
          <w:p w14:paraId="2DB9D31A"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9.4%</w:t>
            </w:r>
          </w:p>
        </w:tc>
        <w:tc>
          <w:tcPr>
            <w:tcW w:w="593" w:type="pct"/>
            <w:shd w:val="clear" w:color="auto" w:fill="FFFFFF"/>
          </w:tcPr>
          <w:p w14:paraId="4CE46B27" w14:textId="77777777" w:rsidR="007E61D3" w:rsidRPr="00A604DD" w:rsidRDefault="007E61D3" w:rsidP="00291CBE">
            <w:pPr>
              <w:spacing w:before="0" w:line="276" w:lineRule="auto"/>
              <w:ind w:firstLine="0"/>
              <w:jc w:val="center"/>
              <w:rPr>
                <w:b w:val="0"/>
                <w:sz w:val="20"/>
                <w:szCs w:val="20"/>
              </w:rPr>
            </w:pPr>
            <w:r>
              <w:rPr>
                <w:b w:val="0"/>
                <w:sz w:val="20"/>
                <w:szCs w:val="20"/>
                <w:lang w:val="en-US"/>
              </w:rPr>
              <w:t>10</w:t>
            </w:r>
            <w:r>
              <w:rPr>
                <w:b w:val="0"/>
                <w:sz w:val="20"/>
                <w:szCs w:val="20"/>
              </w:rPr>
              <w:t>.</w:t>
            </w:r>
            <w:r>
              <w:rPr>
                <w:b w:val="0"/>
                <w:sz w:val="20"/>
                <w:szCs w:val="20"/>
                <w:lang w:val="en-US"/>
              </w:rPr>
              <w:t>9</w:t>
            </w:r>
            <w:r>
              <w:rPr>
                <w:b w:val="0"/>
                <w:sz w:val="20"/>
                <w:szCs w:val="20"/>
              </w:rPr>
              <w:t>%</w:t>
            </w:r>
          </w:p>
        </w:tc>
      </w:tr>
      <w:tr w:rsidR="007E61D3" w:rsidRPr="00A604DD" w14:paraId="26C08F02" w14:textId="77777777" w:rsidTr="00291CBE">
        <w:trPr>
          <w:trHeight w:val="20"/>
        </w:trPr>
        <w:tc>
          <w:tcPr>
            <w:tcW w:w="1913" w:type="pct"/>
            <w:shd w:val="clear" w:color="auto" w:fill="C6D9F1" w:themeFill="text2" w:themeFillTint="33"/>
            <w:tcMar>
              <w:top w:w="0" w:type="dxa"/>
              <w:left w:w="57" w:type="dxa"/>
              <w:bottom w:w="0" w:type="dxa"/>
              <w:right w:w="57" w:type="dxa"/>
            </w:tcMar>
            <w:vAlign w:val="center"/>
            <w:hideMark/>
          </w:tcPr>
          <w:p w14:paraId="1204A416" w14:textId="77777777" w:rsidR="007E61D3" w:rsidRPr="00A604DD" w:rsidRDefault="007E61D3" w:rsidP="00291CBE">
            <w:pPr>
              <w:spacing w:before="0" w:line="276" w:lineRule="auto"/>
              <w:ind w:firstLine="0"/>
              <w:rPr>
                <w:b w:val="0"/>
                <w:sz w:val="20"/>
                <w:szCs w:val="20"/>
                <w:lang w:val="hy-AM"/>
              </w:rPr>
            </w:pPr>
            <w:r w:rsidRPr="00A604DD">
              <w:rPr>
                <w:rFonts w:cs="Arial"/>
                <w:sz w:val="20"/>
                <w:szCs w:val="20"/>
              </w:rPr>
              <w:t>ՍՈՑԻԱԼԱԿԱՆ</w:t>
            </w:r>
            <w:r w:rsidRPr="00A604DD">
              <w:rPr>
                <w:sz w:val="20"/>
                <w:szCs w:val="20"/>
              </w:rPr>
              <w:t xml:space="preserve"> </w:t>
            </w:r>
            <w:r w:rsidRPr="00A604DD">
              <w:rPr>
                <w:rFonts w:cs="Arial"/>
                <w:sz w:val="20"/>
                <w:szCs w:val="20"/>
              </w:rPr>
              <w:t>ՈԼՈՐՏ</w:t>
            </w:r>
          </w:p>
        </w:tc>
        <w:tc>
          <w:tcPr>
            <w:tcW w:w="621" w:type="pct"/>
            <w:shd w:val="clear" w:color="auto" w:fill="C6D9F1" w:themeFill="text2" w:themeFillTint="33"/>
          </w:tcPr>
          <w:p w14:paraId="5717A05B" w14:textId="77777777" w:rsidR="007E61D3" w:rsidRPr="00A604DD" w:rsidRDefault="007E61D3" w:rsidP="00291CBE">
            <w:pPr>
              <w:spacing w:before="0" w:line="276" w:lineRule="auto"/>
              <w:ind w:firstLine="0"/>
              <w:jc w:val="center"/>
              <w:rPr>
                <w:rFonts w:cs="Arial"/>
                <w:b w:val="0"/>
                <w:bCs/>
                <w:sz w:val="20"/>
                <w:szCs w:val="20"/>
              </w:rPr>
            </w:pPr>
            <w:r w:rsidRPr="00A604DD">
              <w:rPr>
                <w:sz w:val="20"/>
                <w:szCs w:val="20"/>
              </w:rPr>
              <w:t>643,132.</w:t>
            </w:r>
            <w:r>
              <w:rPr>
                <w:sz w:val="20"/>
                <w:szCs w:val="20"/>
                <w:lang w:val="hy-AM"/>
              </w:rPr>
              <w:t>6</w:t>
            </w:r>
          </w:p>
        </w:tc>
        <w:tc>
          <w:tcPr>
            <w:tcW w:w="621" w:type="pct"/>
            <w:shd w:val="clear" w:color="auto" w:fill="C6D9F1" w:themeFill="text2" w:themeFillTint="33"/>
          </w:tcPr>
          <w:p w14:paraId="406F9E06" w14:textId="77777777" w:rsidR="007E61D3" w:rsidRPr="00A604DD" w:rsidRDefault="007E61D3" w:rsidP="00291CBE">
            <w:pPr>
              <w:spacing w:before="0" w:line="276" w:lineRule="auto"/>
              <w:ind w:firstLine="0"/>
              <w:jc w:val="center"/>
              <w:rPr>
                <w:rFonts w:cs="Arial"/>
                <w:b w:val="0"/>
                <w:bCs/>
                <w:sz w:val="20"/>
                <w:szCs w:val="20"/>
              </w:rPr>
            </w:pPr>
            <w:r w:rsidRPr="00A604DD">
              <w:rPr>
                <w:sz w:val="20"/>
                <w:szCs w:val="20"/>
              </w:rPr>
              <w:t>716,099.0</w:t>
            </w:r>
          </w:p>
        </w:tc>
        <w:tc>
          <w:tcPr>
            <w:tcW w:w="612" w:type="pct"/>
            <w:shd w:val="clear" w:color="auto" w:fill="C6D9F1" w:themeFill="text2" w:themeFillTint="33"/>
          </w:tcPr>
          <w:p w14:paraId="150E134A" w14:textId="77777777" w:rsidR="007E61D3" w:rsidRPr="0094616F" w:rsidRDefault="007E61D3" w:rsidP="00291CBE">
            <w:pPr>
              <w:spacing w:before="0" w:line="276" w:lineRule="auto"/>
              <w:ind w:firstLine="0"/>
              <w:jc w:val="center"/>
              <w:rPr>
                <w:sz w:val="20"/>
                <w:szCs w:val="20"/>
                <w:lang w:val="en-US"/>
              </w:rPr>
            </w:pPr>
            <w:r>
              <w:rPr>
                <w:sz w:val="20"/>
                <w:szCs w:val="20"/>
                <w:lang w:val="en-US"/>
              </w:rPr>
              <w:t>872</w:t>
            </w:r>
            <w:r w:rsidRPr="00A604DD">
              <w:rPr>
                <w:sz w:val="20"/>
                <w:szCs w:val="20"/>
              </w:rPr>
              <w:t>,</w:t>
            </w:r>
            <w:r>
              <w:rPr>
                <w:sz w:val="20"/>
                <w:szCs w:val="20"/>
                <w:lang w:val="en-US"/>
              </w:rPr>
              <w:t>233.8</w:t>
            </w:r>
          </w:p>
        </w:tc>
        <w:tc>
          <w:tcPr>
            <w:tcW w:w="640" w:type="pct"/>
            <w:shd w:val="clear" w:color="auto" w:fill="C6D9F1" w:themeFill="text2" w:themeFillTint="33"/>
            <w:tcMar>
              <w:top w:w="0" w:type="dxa"/>
              <w:left w:w="30" w:type="dxa"/>
              <w:bottom w:w="0" w:type="dxa"/>
              <w:right w:w="30" w:type="dxa"/>
            </w:tcMar>
            <w:hideMark/>
          </w:tcPr>
          <w:p w14:paraId="5806BFD2" w14:textId="77777777" w:rsidR="007E61D3" w:rsidRPr="00A604DD" w:rsidRDefault="007E61D3" w:rsidP="00291CBE">
            <w:pPr>
              <w:spacing w:before="0" w:line="276" w:lineRule="auto"/>
              <w:ind w:firstLine="0"/>
              <w:jc w:val="center"/>
              <w:rPr>
                <w:rFonts w:cs="Arial"/>
                <w:b w:val="0"/>
                <w:bCs/>
                <w:sz w:val="20"/>
                <w:szCs w:val="20"/>
                <w:lang w:val="en-US"/>
              </w:rPr>
            </w:pPr>
            <w:r w:rsidRPr="00A604DD">
              <w:rPr>
                <w:sz w:val="20"/>
                <w:szCs w:val="20"/>
              </w:rPr>
              <w:t>806,603.0</w:t>
            </w:r>
          </w:p>
        </w:tc>
        <w:tc>
          <w:tcPr>
            <w:tcW w:w="593" w:type="pct"/>
            <w:shd w:val="clear" w:color="auto" w:fill="C6D9F1" w:themeFill="text2" w:themeFillTint="33"/>
          </w:tcPr>
          <w:p w14:paraId="15F9AF23" w14:textId="77777777" w:rsidR="007E61D3" w:rsidRPr="00987A2A" w:rsidRDefault="007E61D3" w:rsidP="00291CBE">
            <w:pPr>
              <w:spacing w:before="0" w:line="276" w:lineRule="auto"/>
              <w:ind w:firstLine="0"/>
              <w:jc w:val="center"/>
              <w:rPr>
                <w:sz w:val="20"/>
                <w:szCs w:val="20"/>
                <w:lang w:val="en-US"/>
              </w:rPr>
            </w:pPr>
            <w:r>
              <w:rPr>
                <w:sz w:val="20"/>
                <w:szCs w:val="20"/>
              </w:rPr>
              <w:t>9</w:t>
            </w:r>
            <w:r>
              <w:rPr>
                <w:sz w:val="20"/>
                <w:szCs w:val="20"/>
                <w:lang w:val="en-US"/>
              </w:rPr>
              <w:t>29</w:t>
            </w:r>
            <w:r>
              <w:rPr>
                <w:sz w:val="20"/>
                <w:szCs w:val="20"/>
              </w:rPr>
              <w:t>,</w:t>
            </w:r>
            <w:r>
              <w:rPr>
                <w:sz w:val="20"/>
                <w:szCs w:val="20"/>
                <w:lang w:val="hy-AM"/>
              </w:rPr>
              <w:t>603</w:t>
            </w:r>
            <w:r>
              <w:rPr>
                <w:sz w:val="20"/>
                <w:szCs w:val="20"/>
              </w:rPr>
              <w:t>.</w:t>
            </w:r>
            <w:r>
              <w:rPr>
                <w:sz w:val="20"/>
                <w:szCs w:val="20"/>
                <w:lang w:val="en-US"/>
              </w:rPr>
              <w:t>0</w:t>
            </w:r>
          </w:p>
        </w:tc>
      </w:tr>
      <w:tr w:rsidR="007E61D3" w:rsidRPr="00A604DD" w14:paraId="4B5D9639" w14:textId="77777777" w:rsidTr="00291CBE">
        <w:trPr>
          <w:trHeight w:val="20"/>
        </w:trPr>
        <w:tc>
          <w:tcPr>
            <w:tcW w:w="1913" w:type="pct"/>
            <w:shd w:val="clear" w:color="auto" w:fill="FFFFFF"/>
            <w:tcMar>
              <w:top w:w="0" w:type="dxa"/>
              <w:left w:w="57" w:type="dxa"/>
              <w:bottom w:w="0" w:type="dxa"/>
              <w:right w:w="57" w:type="dxa"/>
            </w:tcMar>
            <w:vAlign w:val="center"/>
            <w:hideMark/>
          </w:tcPr>
          <w:p w14:paraId="443B0988" w14:textId="3E539FC1"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Հարաբերությունը</w:t>
            </w:r>
            <w:r w:rsidRPr="00A604DD">
              <w:rPr>
                <w:b w:val="0"/>
                <w:sz w:val="20"/>
                <w:szCs w:val="20"/>
                <w:lang w:val="hy-AM"/>
              </w:rPr>
              <w:t xml:space="preserve"> </w:t>
            </w:r>
            <w:r w:rsidRPr="00A604DD">
              <w:rPr>
                <w:rFonts w:cs="Arial"/>
                <w:b w:val="0"/>
                <w:sz w:val="20"/>
                <w:szCs w:val="20"/>
                <w:lang w:val="hy-AM"/>
              </w:rPr>
              <w:t>ՀՆԱ</w:t>
            </w:r>
            <w:r w:rsidRPr="00A604DD">
              <w:rPr>
                <w:b w:val="0"/>
                <w:sz w:val="20"/>
                <w:szCs w:val="20"/>
                <w:lang w:val="hy-AM"/>
              </w:rPr>
              <w:t>-</w:t>
            </w:r>
            <w:r w:rsidRPr="00A604DD">
              <w:rPr>
                <w:rFonts w:cs="Arial"/>
                <w:b w:val="0"/>
                <w:sz w:val="20"/>
                <w:szCs w:val="20"/>
                <w:lang w:val="hy-AM"/>
              </w:rPr>
              <w:t>ի</w:t>
            </w:r>
            <w:r w:rsidRPr="00A604DD">
              <w:rPr>
                <w:b w:val="0"/>
                <w:sz w:val="20"/>
                <w:szCs w:val="20"/>
                <w:lang w:val="hy-AM"/>
              </w:rPr>
              <w:t xml:space="preserve"> </w:t>
            </w:r>
            <w:r w:rsidRPr="00A604DD">
              <w:rPr>
                <w:rFonts w:cs="Arial"/>
                <w:b w:val="0"/>
                <w:sz w:val="20"/>
                <w:szCs w:val="20"/>
                <w:lang w:val="hy-AM"/>
              </w:rPr>
              <w:t>նկատմամբ</w:t>
            </w:r>
            <w:r w:rsidRPr="00A604DD">
              <w:rPr>
                <w:b w:val="0"/>
                <w:sz w:val="20"/>
                <w:szCs w:val="20"/>
                <w:lang w:val="hy-AM"/>
              </w:rPr>
              <w:t xml:space="preserve"> (%)</w:t>
            </w:r>
          </w:p>
        </w:tc>
        <w:tc>
          <w:tcPr>
            <w:tcW w:w="621" w:type="pct"/>
            <w:shd w:val="clear" w:color="auto" w:fill="FFFFFF"/>
          </w:tcPr>
          <w:p w14:paraId="27E97D06"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10.7%</w:t>
            </w:r>
          </w:p>
        </w:tc>
        <w:tc>
          <w:tcPr>
            <w:tcW w:w="621" w:type="pct"/>
            <w:shd w:val="clear" w:color="auto" w:fill="FFFFFF"/>
          </w:tcPr>
          <w:p w14:paraId="436E281F"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10.9%</w:t>
            </w:r>
          </w:p>
        </w:tc>
        <w:tc>
          <w:tcPr>
            <w:tcW w:w="612" w:type="pct"/>
            <w:shd w:val="clear" w:color="auto" w:fill="FFFFFF"/>
          </w:tcPr>
          <w:p w14:paraId="7405F80A" w14:textId="77777777" w:rsidR="007E61D3" w:rsidRPr="00A604DD" w:rsidRDefault="007E61D3" w:rsidP="00291CBE">
            <w:pPr>
              <w:spacing w:before="0" w:line="276" w:lineRule="auto"/>
              <w:ind w:firstLine="0"/>
              <w:jc w:val="center"/>
              <w:rPr>
                <w:b w:val="0"/>
                <w:sz w:val="20"/>
                <w:szCs w:val="20"/>
              </w:rPr>
            </w:pPr>
            <w:r w:rsidRPr="00A604DD">
              <w:rPr>
                <w:b w:val="0"/>
                <w:sz w:val="20"/>
                <w:szCs w:val="20"/>
              </w:rPr>
              <w:t>1</w:t>
            </w:r>
            <w:r>
              <w:rPr>
                <w:b w:val="0"/>
                <w:sz w:val="20"/>
                <w:szCs w:val="20"/>
                <w:lang w:val="hy-AM"/>
              </w:rPr>
              <w:t>4</w:t>
            </w:r>
            <w:r w:rsidRPr="00A604DD">
              <w:rPr>
                <w:b w:val="0"/>
                <w:sz w:val="20"/>
                <w:szCs w:val="20"/>
              </w:rPr>
              <w:t>.1%</w:t>
            </w:r>
          </w:p>
        </w:tc>
        <w:tc>
          <w:tcPr>
            <w:tcW w:w="640" w:type="pct"/>
            <w:shd w:val="clear" w:color="auto" w:fill="FFFFFF"/>
            <w:hideMark/>
          </w:tcPr>
          <w:p w14:paraId="24097C1D"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12.6%</w:t>
            </w:r>
          </w:p>
        </w:tc>
        <w:tc>
          <w:tcPr>
            <w:tcW w:w="593" w:type="pct"/>
            <w:shd w:val="clear" w:color="auto" w:fill="FFFFFF"/>
          </w:tcPr>
          <w:p w14:paraId="1AEB2E58" w14:textId="77777777" w:rsidR="007E61D3" w:rsidRPr="00A604DD" w:rsidRDefault="007E61D3" w:rsidP="00291CBE">
            <w:pPr>
              <w:spacing w:before="0" w:line="276" w:lineRule="auto"/>
              <w:ind w:firstLine="0"/>
              <w:jc w:val="center"/>
              <w:rPr>
                <w:b w:val="0"/>
                <w:sz w:val="20"/>
                <w:szCs w:val="20"/>
              </w:rPr>
            </w:pPr>
            <w:r>
              <w:rPr>
                <w:b w:val="0"/>
                <w:sz w:val="20"/>
                <w:szCs w:val="20"/>
              </w:rPr>
              <w:t>11.</w:t>
            </w:r>
            <w:r>
              <w:rPr>
                <w:b w:val="0"/>
                <w:sz w:val="20"/>
                <w:szCs w:val="20"/>
                <w:lang w:val="en-US"/>
              </w:rPr>
              <w:t>8</w:t>
            </w:r>
            <w:r>
              <w:rPr>
                <w:b w:val="0"/>
                <w:sz w:val="20"/>
                <w:szCs w:val="20"/>
              </w:rPr>
              <w:t>%</w:t>
            </w:r>
          </w:p>
        </w:tc>
      </w:tr>
      <w:tr w:rsidR="007E61D3" w:rsidRPr="00A604DD" w14:paraId="4A55E637" w14:textId="77777777" w:rsidTr="00291CBE">
        <w:trPr>
          <w:trHeight w:val="20"/>
        </w:trPr>
        <w:tc>
          <w:tcPr>
            <w:tcW w:w="1913" w:type="pct"/>
            <w:shd w:val="clear" w:color="auto" w:fill="FFFFFF"/>
            <w:tcMar>
              <w:top w:w="0" w:type="dxa"/>
              <w:left w:w="57" w:type="dxa"/>
              <w:bottom w:w="0" w:type="dxa"/>
              <w:right w:w="57" w:type="dxa"/>
            </w:tcMar>
            <w:vAlign w:val="center"/>
            <w:hideMark/>
          </w:tcPr>
          <w:p w14:paraId="6058E1A5" w14:textId="7D0CA06E" w:rsidR="007E61D3" w:rsidRPr="00A604DD" w:rsidRDefault="007E61D3" w:rsidP="00291CBE">
            <w:pPr>
              <w:spacing w:before="0" w:line="276" w:lineRule="auto"/>
              <w:ind w:firstLine="0"/>
              <w:rPr>
                <w:b w:val="0"/>
                <w:sz w:val="20"/>
                <w:szCs w:val="20"/>
                <w:lang w:val="hy-AM"/>
              </w:rPr>
            </w:pPr>
            <w:r w:rsidRPr="00A604DD">
              <w:rPr>
                <w:b w:val="0"/>
                <w:sz w:val="20"/>
                <w:szCs w:val="20"/>
                <w:lang w:val="hy-AM"/>
              </w:rPr>
              <w:t xml:space="preserve">- </w:t>
            </w:r>
            <w:r w:rsidRPr="00A604DD">
              <w:rPr>
                <w:rFonts w:cs="Arial"/>
                <w:b w:val="0"/>
                <w:sz w:val="20"/>
                <w:szCs w:val="20"/>
                <w:lang w:val="hy-AM"/>
              </w:rPr>
              <w:t>տեսակարար</w:t>
            </w:r>
            <w:r w:rsidRPr="00A604DD">
              <w:rPr>
                <w:b w:val="0"/>
                <w:sz w:val="20"/>
                <w:szCs w:val="20"/>
                <w:lang w:val="hy-AM"/>
              </w:rPr>
              <w:t xml:space="preserve"> </w:t>
            </w:r>
            <w:r w:rsidRPr="00A604DD">
              <w:rPr>
                <w:rFonts w:cs="Arial"/>
                <w:b w:val="0"/>
                <w:sz w:val="20"/>
                <w:szCs w:val="20"/>
                <w:lang w:val="hy-AM"/>
              </w:rPr>
              <w:t>կշիռը</w:t>
            </w:r>
            <w:r w:rsidRPr="00A604DD">
              <w:rPr>
                <w:b w:val="0"/>
                <w:sz w:val="20"/>
                <w:szCs w:val="20"/>
                <w:lang w:val="hy-AM"/>
              </w:rPr>
              <w:t xml:space="preserve"> </w:t>
            </w:r>
            <w:r w:rsidRPr="00A604DD">
              <w:rPr>
                <w:rFonts w:cs="Arial"/>
                <w:b w:val="0"/>
                <w:sz w:val="20"/>
                <w:szCs w:val="20"/>
                <w:lang w:val="hy-AM"/>
              </w:rPr>
              <w:t>ծախսերի</w:t>
            </w:r>
            <w:r w:rsidRPr="00A604DD">
              <w:rPr>
                <w:b w:val="0"/>
                <w:sz w:val="20"/>
                <w:szCs w:val="20"/>
                <w:lang w:val="hy-AM"/>
              </w:rPr>
              <w:t xml:space="preserve"> </w:t>
            </w:r>
            <w:r w:rsidRPr="00A604DD">
              <w:rPr>
                <w:rFonts w:cs="Arial"/>
                <w:b w:val="0"/>
                <w:sz w:val="20"/>
                <w:szCs w:val="20"/>
                <w:lang w:val="hy-AM"/>
              </w:rPr>
              <w:t>ամբողջ</w:t>
            </w:r>
            <w:r w:rsidRPr="00A604DD">
              <w:rPr>
                <w:b w:val="0"/>
                <w:sz w:val="20"/>
                <w:szCs w:val="20"/>
                <w:lang w:val="hy-AM"/>
              </w:rPr>
              <w:t xml:space="preserve"> </w:t>
            </w:r>
            <w:r w:rsidRPr="00A604DD">
              <w:rPr>
                <w:rFonts w:cs="Arial"/>
                <w:b w:val="0"/>
                <w:sz w:val="20"/>
                <w:szCs w:val="20"/>
                <w:lang w:val="hy-AM"/>
              </w:rPr>
              <w:t>ծավալում</w:t>
            </w:r>
            <w:r w:rsidRPr="00A604DD">
              <w:rPr>
                <w:b w:val="0"/>
                <w:sz w:val="20"/>
                <w:szCs w:val="20"/>
                <w:lang w:val="hy-AM"/>
              </w:rPr>
              <w:t xml:space="preserve"> (%)</w:t>
            </w:r>
          </w:p>
        </w:tc>
        <w:tc>
          <w:tcPr>
            <w:tcW w:w="621" w:type="pct"/>
            <w:shd w:val="clear" w:color="auto" w:fill="FFFFFF"/>
          </w:tcPr>
          <w:p w14:paraId="4CD56815"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44.4%</w:t>
            </w:r>
          </w:p>
        </w:tc>
        <w:tc>
          <w:tcPr>
            <w:tcW w:w="621" w:type="pct"/>
            <w:shd w:val="clear" w:color="auto" w:fill="FFFFFF"/>
          </w:tcPr>
          <w:p w14:paraId="3206D21C" w14:textId="77777777" w:rsidR="007E61D3" w:rsidRPr="00A604DD" w:rsidRDefault="007E61D3" w:rsidP="00291CBE">
            <w:pPr>
              <w:spacing w:before="0" w:line="276" w:lineRule="auto"/>
              <w:ind w:firstLine="0"/>
              <w:jc w:val="center"/>
              <w:rPr>
                <w:rFonts w:cs="Arial"/>
                <w:b w:val="0"/>
                <w:color w:val="000000"/>
                <w:sz w:val="20"/>
                <w:szCs w:val="20"/>
              </w:rPr>
            </w:pPr>
            <w:r w:rsidRPr="00A604DD">
              <w:rPr>
                <w:b w:val="0"/>
                <w:sz w:val="20"/>
                <w:szCs w:val="20"/>
              </w:rPr>
              <w:t>43.9%</w:t>
            </w:r>
          </w:p>
        </w:tc>
        <w:tc>
          <w:tcPr>
            <w:tcW w:w="612" w:type="pct"/>
            <w:shd w:val="clear" w:color="auto" w:fill="FFFFFF"/>
          </w:tcPr>
          <w:p w14:paraId="4AB745E7" w14:textId="070C80B7" w:rsidR="007E61D3" w:rsidRPr="00A604DD" w:rsidRDefault="007E61D3" w:rsidP="00291CBE">
            <w:pPr>
              <w:spacing w:before="0" w:line="276" w:lineRule="auto"/>
              <w:ind w:firstLine="0"/>
              <w:jc w:val="center"/>
              <w:rPr>
                <w:b w:val="0"/>
                <w:sz w:val="20"/>
                <w:szCs w:val="20"/>
              </w:rPr>
            </w:pPr>
            <w:r w:rsidRPr="00A604DD">
              <w:rPr>
                <w:b w:val="0"/>
                <w:sz w:val="20"/>
                <w:szCs w:val="20"/>
              </w:rPr>
              <w:t>4</w:t>
            </w:r>
            <w:r>
              <w:rPr>
                <w:b w:val="0"/>
                <w:sz w:val="20"/>
                <w:szCs w:val="20"/>
                <w:lang w:val="en-US"/>
              </w:rPr>
              <w:t>6</w:t>
            </w:r>
            <w:r w:rsidRPr="00A604DD">
              <w:rPr>
                <w:b w:val="0"/>
                <w:sz w:val="20"/>
                <w:szCs w:val="20"/>
              </w:rPr>
              <w:t>.0%</w:t>
            </w:r>
          </w:p>
        </w:tc>
        <w:tc>
          <w:tcPr>
            <w:tcW w:w="640" w:type="pct"/>
            <w:shd w:val="clear" w:color="auto" w:fill="FFFFFF"/>
            <w:hideMark/>
          </w:tcPr>
          <w:p w14:paraId="74017E90" w14:textId="77777777" w:rsidR="007E61D3" w:rsidRPr="00A604DD" w:rsidRDefault="007E61D3" w:rsidP="00291CBE">
            <w:pPr>
              <w:spacing w:before="0" w:line="276" w:lineRule="auto"/>
              <w:ind w:firstLine="0"/>
              <w:jc w:val="center"/>
              <w:rPr>
                <w:rFonts w:cs="Arial"/>
                <w:b w:val="0"/>
                <w:color w:val="000000"/>
                <w:sz w:val="20"/>
                <w:szCs w:val="20"/>
                <w:lang w:val="en-US"/>
              </w:rPr>
            </w:pPr>
            <w:r w:rsidRPr="00A604DD">
              <w:rPr>
                <w:b w:val="0"/>
                <w:sz w:val="20"/>
                <w:szCs w:val="20"/>
              </w:rPr>
              <w:t>43.6%</w:t>
            </w:r>
          </w:p>
        </w:tc>
        <w:tc>
          <w:tcPr>
            <w:tcW w:w="593" w:type="pct"/>
            <w:shd w:val="clear" w:color="auto" w:fill="FFFFFF"/>
          </w:tcPr>
          <w:p w14:paraId="78615DBC" w14:textId="77777777" w:rsidR="007E61D3" w:rsidRPr="00A604DD" w:rsidRDefault="007E61D3" w:rsidP="00291CBE">
            <w:pPr>
              <w:spacing w:before="0" w:line="276" w:lineRule="auto"/>
              <w:ind w:firstLine="0"/>
              <w:jc w:val="center"/>
              <w:rPr>
                <w:b w:val="0"/>
                <w:sz w:val="20"/>
                <w:szCs w:val="20"/>
              </w:rPr>
            </w:pPr>
            <w:r>
              <w:rPr>
                <w:b w:val="0"/>
                <w:sz w:val="20"/>
                <w:szCs w:val="20"/>
                <w:lang w:val="en-US"/>
              </w:rPr>
              <w:t>42</w:t>
            </w:r>
            <w:r>
              <w:rPr>
                <w:b w:val="0"/>
                <w:sz w:val="20"/>
                <w:szCs w:val="20"/>
              </w:rPr>
              <w:t>.</w:t>
            </w:r>
            <w:r>
              <w:rPr>
                <w:b w:val="0"/>
                <w:sz w:val="20"/>
                <w:szCs w:val="20"/>
                <w:lang w:val="hy-AM"/>
              </w:rPr>
              <w:t>6</w:t>
            </w:r>
            <w:r>
              <w:rPr>
                <w:b w:val="0"/>
                <w:sz w:val="20"/>
                <w:szCs w:val="20"/>
              </w:rPr>
              <w:t>%</w:t>
            </w:r>
          </w:p>
        </w:tc>
      </w:tr>
    </w:tbl>
    <w:p w14:paraId="5C6D9BA1" w14:textId="2C6DB2D2" w:rsidR="007E61D3" w:rsidRPr="00BB489E" w:rsidRDefault="007E61D3" w:rsidP="007E61D3">
      <w:pPr>
        <w:spacing w:before="0" w:line="276" w:lineRule="auto"/>
        <w:rPr>
          <w:rFonts w:cs="Arial"/>
          <w:b w:val="0"/>
          <w:lang w:val="hy-AM"/>
        </w:rPr>
      </w:pPr>
    </w:p>
    <w:p w14:paraId="73F84C8C" w14:textId="24680F60" w:rsidR="007E61D3" w:rsidRPr="00BB489E" w:rsidRDefault="007E61D3" w:rsidP="007E61D3">
      <w:pPr>
        <w:spacing w:before="0" w:line="276" w:lineRule="auto"/>
        <w:rPr>
          <w:rFonts w:cs="Arial"/>
          <w:b w:val="0"/>
          <w:lang w:val="hy-AM"/>
        </w:rPr>
      </w:pPr>
      <w:r w:rsidRPr="00BB489E">
        <w:rPr>
          <w:rFonts w:cs="Arial"/>
          <w:b w:val="0"/>
          <w:lang w:val="hy-AM"/>
        </w:rPr>
        <w:t>ՀՀ</w:t>
      </w:r>
      <w:r w:rsidRPr="00BB489E">
        <w:rPr>
          <w:b w:val="0"/>
          <w:lang w:val="af-ZA"/>
        </w:rPr>
        <w:t xml:space="preserve"> 20</w:t>
      </w:r>
      <w:r>
        <w:rPr>
          <w:b w:val="0"/>
          <w:lang w:val="af-ZA"/>
        </w:rPr>
        <w:t>18</w:t>
      </w:r>
      <w:r w:rsidRPr="00BB489E">
        <w:rPr>
          <w:b w:val="0"/>
          <w:lang w:val="af-ZA"/>
        </w:rPr>
        <w:t>-202</w:t>
      </w:r>
      <w:r>
        <w:rPr>
          <w:b w:val="0"/>
          <w:lang w:val="af-ZA"/>
        </w:rPr>
        <w:t>2</w:t>
      </w:r>
      <w:r w:rsidRPr="00BB489E">
        <w:rPr>
          <w:b w:val="0"/>
          <w:lang w:val="af-ZA"/>
        </w:rPr>
        <w:t xml:space="preserve"> </w:t>
      </w:r>
      <w:r w:rsidRPr="00BB489E">
        <w:rPr>
          <w:rFonts w:cs="Arial"/>
          <w:b w:val="0"/>
          <w:lang w:val="hy-AM"/>
        </w:rPr>
        <w:t>թվականների</w:t>
      </w:r>
      <w:r w:rsidRPr="00BB489E">
        <w:rPr>
          <w:b w:val="0"/>
          <w:lang w:val="af-ZA"/>
        </w:rPr>
        <w:t xml:space="preserve"> </w:t>
      </w:r>
      <w:r w:rsidRPr="00BB489E">
        <w:rPr>
          <w:rFonts w:cs="Arial"/>
          <w:b w:val="0"/>
          <w:lang w:val="hy-AM"/>
        </w:rPr>
        <w:t>պետական բյուջեի ծախսերն ըստ ոլորտների ունեն հետևյալ գրաֆիկական տեսքը.</w:t>
      </w:r>
    </w:p>
    <w:p w14:paraId="179D87A1" w14:textId="68739FAF" w:rsidR="007E61D3" w:rsidRPr="00BB489E" w:rsidRDefault="007E61D3" w:rsidP="007E61D3">
      <w:pPr>
        <w:spacing w:before="0" w:line="276" w:lineRule="auto"/>
        <w:rPr>
          <w:rFonts w:cs="Arial"/>
          <w:b w:val="0"/>
          <w:lang w:val="hy-AM"/>
        </w:rPr>
      </w:pPr>
      <w:r w:rsidRPr="0089559F">
        <w:rPr>
          <w:b w:val="0"/>
          <w:noProof/>
          <w:lang w:val="en-US" w:eastAsia="en-US"/>
        </w:rPr>
        <w:drawing>
          <wp:anchor distT="0" distB="0" distL="114300" distR="114300" simplePos="0" relativeHeight="251734016" behindDoc="0" locked="0" layoutInCell="1" allowOverlap="1" wp14:anchorId="2CA2E2EA" wp14:editId="182ED8CA">
            <wp:simplePos x="0" y="0"/>
            <wp:positionH relativeFrom="column">
              <wp:posOffset>92075</wp:posOffset>
            </wp:positionH>
            <wp:positionV relativeFrom="paragraph">
              <wp:posOffset>104140</wp:posOffset>
            </wp:positionV>
            <wp:extent cx="6082665" cy="3307715"/>
            <wp:effectExtent l="0" t="0" r="13335" b="6985"/>
            <wp:wrapNone/>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1168ED34" w14:textId="4C56D93B" w:rsidR="007E61D3" w:rsidRPr="00BB489E" w:rsidRDefault="007E61D3" w:rsidP="007E61D3">
      <w:pPr>
        <w:spacing w:before="0" w:line="276" w:lineRule="auto"/>
        <w:rPr>
          <w:rFonts w:cs="Arial"/>
          <w:b w:val="0"/>
          <w:lang w:val="hy-AM"/>
        </w:rPr>
      </w:pPr>
    </w:p>
    <w:p w14:paraId="0160A2D6" w14:textId="36E2FCC6" w:rsidR="007E61D3" w:rsidRPr="00BB489E" w:rsidRDefault="007E61D3" w:rsidP="007E61D3">
      <w:pPr>
        <w:spacing w:before="0" w:line="276" w:lineRule="auto"/>
        <w:rPr>
          <w:rFonts w:cs="Arial"/>
          <w:b w:val="0"/>
          <w:lang w:val="hy-AM"/>
        </w:rPr>
      </w:pPr>
    </w:p>
    <w:p w14:paraId="73538F08" w14:textId="692EF732" w:rsidR="007E61D3" w:rsidRPr="00BB489E" w:rsidRDefault="007E61D3" w:rsidP="007E61D3">
      <w:pPr>
        <w:spacing w:before="0" w:line="276" w:lineRule="auto"/>
        <w:rPr>
          <w:rFonts w:cs="Arial"/>
          <w:b w:val="0"/>
          <w:lang w:val="hy-AM"/>
        </w:rPr>
      </w:pPr>
    </w:p>
    <w:p w14:paraId="67A314F3" w14:textId="4739F5F2" w:rsidR="007E61D3" w:rsidRPr="00BB489E" w:rsidRDefault="007E61D3" w:rsidP="007E61D3">
      <w:pPr>
        <w:spacing w:before="0" w:line="276" w:lineRule="auto"/>
        <w:rPr>
          <w:rFonts w:cs="Arial"/>
          <w:b w:val="0"/>
          <w:color w:val="FF0000"/>
          <w:lang w:val="hy-AM"/>
        </w:rPr>
      </w:pPr>
    </w:p>
    <w:p w14:paraId="76679AFF" w14:textId="39A7CF05" w:rsidR="007E61D3" w:rsidRPr="00BB489E" w:rsidRDefault="007E61D3" w:rsidP="007E61D3">
      <w:pPr>
        <w:spacing w:before="0" w:line="276" w:lineRule="auto"/>
        <w:rPr>
          <w:rFonts w:cs="Arial"/>
          <w:color w:val="FF0000"/>
          <w:lang w:val="hy-AM"/>
        </w:rPr>
      </w:pPr>
    </w:p>
    <w:p w14:paraId="7FB217FA" w14:textId="5BA34027" w:rsidR="007E61D3" w:rsidRPr="00BB489E" w:rsidRDefault="007E61D3" w:rsidP="007E61D3">
      <w:pPr>
        <w:spacing w:before="0" w:line="276" w:lineRule="auto"/>
        <w:rPr>
          <w:rFonts w:cs="Arial"/>
          <w:color w:val="FF0000"/>
          <w:lang w:val="hy-AM"/>
        </w:rPr>
      </w:pPr>
    </w:p>
    <w:p w14:paraId="6E4ECF06" w14:textId="77777777" w:rsidR="007E61D3" w:rsidRPr="00BB489E" w:rsidRDefault="007E61D3" w:rsidP="007E61D3">
      <w:pPr>
        <w:spacing w:before="0" w:line="276" w:lineRule="auto"/>
        <w:rPr>
          <w:rFonts w:ascii="Cambria Math" w:hAnsi="Cambria Math"/>
          <w:color w:val="FF0000"/>
          <w:lang w:val="hy-AM"/>
        </w:rPr>
      </w:pPr>
    </w:p>
    <w:p w14:paraId="60690719" w14:textId="3798435D" w:rsidR="007E61D3" w:rsidRPr="00BB489E" w:rsidRDefault="007E61D3" w:rsidP="007E61D3">
      <w:pPr>
        <w:spacing w:before="0" w:line="276" w:lineRule="auto"/>
        <w:ind w:firstLine="720"/>
        <w:jc w:val="left"/>
        <w:rPr>
          <w:lang w:val="hy-AM"/>
        </w:rPr>
      </w:pPr>
    </w:p>
    <w:p w14:paraId="384235E8" w14:textId="1B97AE7F" w:rsidR="007E61D3" w:rsidRPr="00BB489E" w:rsidRDefault="007E61D3" w:rsidP="007E61D3">
      <w:pPr>
        <w:spacing w:before="0" w:line="276" w:lineRule="auto"/>
        <w:ind w:firstLine="720"/>
        <w:rPr>
          <w:lang w:val="hy-AM"/>
        </w:rPr>
      </w:pPr>
    </w:p>
    <w:p w14:paraId="5F1AC75E" w14:textId="47B77FA6" w:rsidR="007E61D3" w:rsidRPr="00BB489E" w:rsidRDefault="007E61D3" w:rsidP="007E61D3">
      <w:pPr>
        <w:spacing w:before="0" w:line="276" w:lineRule="auto"/>
        <w:ind w:firstLine="720"/>
        <w:rPr>
          <w:lang w:val="hy-AM"/>
        </w:rPr>
      </w:pPr>
    </w:p>
    <w:p w14:paraId="215F42EF" w14:textId="69BF9708" w:rsidR="007E61D3" w:rsidRPr="00BB489E" w:rsidRDefault="007E61D3" w:rsidP="007E61D3">
      <w:pPr>
        <w:spacing w:before="0" w:line="276" w:lineRule="auto"/>
        <w:ind w:firstLine="720"/>
        <w:rPr>
          <w:lang w:val="hy-AM"/>
        </w:rPr>
      </w:pPr>
    </w:p>
    <w:p w14:paraId="5E977FDF" w14:textId="2BD5A0CB" w:rsidR="007E61D3" w:rsidRPr="00BB489E" w:rsidRDefault="007E61D3" w:rsidP="007E61D3">
      <w:pPr>
        <w:spacing w:before="0" w:line="276" w:lineRule="auto"/>
        <w:ind w:firstLine="720"/>
        <w:rPr>
          <w:lang w:val="hy-AM"/>
        </w:rPr>
      </w:pPr>
    </w:p>
    <w:p w14:paraId="04D04C52" w14:textId="6D68E6CE" w:rsidR="007E61D3" w:rsidRDefault="007E61D3" w:rsidP="007E61D3">
      <w:pPr>
        <w:spacing w:before="0" w:line="276" w:lineRule="auto"/>
        <w:ind w:firstLine="600"/>
        <w:rPr>
          <w:b w:val="0"/>
          <w:lang w:val="hy-AM"/>
        </w:rPr>
      </w:pPr>
    </w:p>
    <w:p w14:paraId="2774C98D" w14:textId="08001D51" w:rsidR="007E61D3" w:rsidRDefault="007E61D3" w:rsidP="007E61D3">
      <w:pPr>
        <w:spacing w:before="0" w:line="276" w:lineRule="auto"/>
        <w:ind w:firstLine="600"/>
        <w:rPr>
          <w:b w:val="0"/>
          <w:lang w:val="hy-AM"/>
        </w:rPr>
      </w:pPr>
    </w:p>
    <w:p w14:paraId="52DFC250" w14:textId="3333D007" w:rsidR="007E61D3" w:rsidRDefault="007E61D3" w:rsidP="007E61D3">
      <w:pPr>
        <w:spacing w:before="0" w:line="276" w:lineRule="auto"/>
        <w:ind w:firstLine="600"/>
        <w:rPr>
          <w:b w:val="0"/>
          <w:lang w:val="hy-AM"/>
        </w:rPr>
      </w:pPr>
    </w:p>
    <w:p w14:paraId="5C7872A7" w14:textId="77777777" w:rsidR="007E61D3" w:rsidRDefault="007E61D3" w:rsidP="007E61D3">
      <w:pPr>
        <w:spacing w:before="0" w:line="276" w:lineRule="auto"/>
        <w:ind w:firstLine="0"/>
        <w:rPr>
          <w:b w:val="0"/>
          <w:lang w:val="hy-AM"/>
        </w:rPr>
      </w:pPr>
    </w:p>
    <w:p w14:paraId="7DB98025" w14:textId="77777777" w:rsidR="007E61D3" w:rsidRDefault="007E61D3" w:rsidP="007E61D3">
      <w:pPr>
        <w:spacing w:before="0" w:line="276" w:lineRule="auto"/>
        <w:ind w:firstLine="0"/>
        <w:rPr>
          <w:b w:val="0"/>
          <w:lang w:val="hy-AM"/>
        </w:rPr>
      </w:pPr>
    </w:p>
    <w:p w14:paraId="75117EED" w14:textId="4DE20E06" w:rsidR="007E61D3" w:rsidRDefault="007E61D3" w:rsidP="007E61D3">
      <w:pPr>
        <w:spacing w:before="0" w:line="276" w:lineRule="auto"/>
        <w:ind w:firstLine="600"/>
        <w:rPr>
          <w:b w:val="0"/>
          <w:lang w:val="hy-AM"/>
        </w:rPr>
      </w:pPr>
      <w:r w:rsidRPr="00BB489E">
        <w:rPr>
          <w:b w:val="0"/>
          <w:lang w:val="hy-AM"/>
        </w:rPr>
        <w:t>201</w:t>
      </w:r>
      <w:r w:rsidRPr="002F284A">
        <w:rPr>
          <w:b w:val="0"/>
          <w:lang w:val="hy-AM"/>
        </w:rPr>
        <w:t>8</w:t>
      </w:r>
      <w:r w:rsidRPr="00BB489E">
        <w:rPr>
          <w:b w:val="0"/>
          <w:lang w:val="hy-AM"/>
        </w:rPr>
        <w:t>-202</w:t>
      </w:r>
      <w:r>
        <w:rPr>
          <w:b w:val="0"/>
          <w:lang w:val="hy-AM"/>
        </w:rPr>
        <w:t>2</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պետական բյուջեի ընդամենը ծախսերում գերակայել են սոցիալական</w:t>
      </w:r>
      <w:r w:rsidRPr="00BB489E">
        <w:rPr>
          <w:b w:val="0"/>
          <w:lang w:val="hy-AM"/>
        </w:rPr>
        <w:t xml:space="preserve"> </w:t>
      </w:r>
      <w:r w:rsidRPr="00BB489E">
        <w:rPr>
          <w:b w:val="0"/>
          <w:lang w:val="hy-AM"/>
        </w:rPr>
        <w:t>բնույթի ծախսերը (կրթություն, սոցիալական պաշտպանություն, առողջապահություն և այլն) միջինում 4</w:t>
      </w:r>
      <w:r w:rsidRPr="000F6E7B">
        <w:rPr>
          <w:b w:val="0"/>
          <w:lang w:val="hy-AM"/>
        </w:rPr>
        <w:t>4</w:t>
      </w:r>
      <w:r w:rsidRPr="00BB489E">
        <w:rPr>
          <w:b w:val="0"/>
          <w:lang w:val="hy-AM"/>
        </w:rPr>
        <w:t xml:space="preserve">%, պաշտպանության, հասարակական կարգի,  անվտանգության և դատական գործունեությանն՝ միջինում </w:t>
      </w:r>
      <w:r w:rsidRPr="00BA3AAA">
        <w:rPr>
          <w:b w:val="0"/>
          <w:lang w:val="hy-AM"/>
        </w:rPr>
        <w:t>26</w:t>
      </w:r>
      <w:r w:rsidRPr="00BB489E">
        <w:rPr>
          <w:b w:val="0"/>
          <w:lang w:val="hy-AM"/>
        </w:rPr>
        <w:t>%, ընդհանուր բնույթի հանրային ծառայությունների</w:t>
      </w:r>
      <w:r w:rsidRPr="00125424">
        <w:rPr>
          <w:b w:val="0"/>
          <w:lang w:val="hy-AM"/>
        </w:rPr>
        <w:t>,</w:t>
      </w:r>
      <w:r>
        <w:rPr>
          <w:b w:val="0"/>
          <w:lang w:val="hy-AM"/>
        </w:rPr>
        <w:t>այդ թվում հիմնական բաժիններին չդասվող պահուստային ֆոնդերի</w:t>
      </w:r>
      <w:r w:rsidRPr="00BB489E">
        <w:rPr>
          <w:b w:val="0"/>
          <w:lang w:val="hy-AM"/>
        </w:rPr>
        <w:t>՝ միջինում 2</w:t>
      </w:r>
      <w:r w:rsidRPr="00BA3AAA">
        <w:rPr>
          <w:b w:val="0"/>
          <w:lang w:val="hy-AM"/>
        </w:rPr>
        <w:t>1</w:t>
      </w:r>
      <w:r w:rsidRPr="00BB489E">
        <w:rPr>
          <w:b w:val="0"/>
          <w:lang w:val="hy-AM"/>
        </w:rPr>
        <w:t xml:space="preserve">%, տնտեսական ոլորտի՝ միջինում </w:t>
      </w:r>
      <w:r w:rsidRPr="00BA3AAA">
        <w:rPr>
          <w:b w:val="0"/>
          <w:lang w:val="hy-AM"/>
        </w:rPr>
        <w:t>9</w:t>
      </w:r>
      <w:r w:rsidRPr="00BB489E">
        <w:rPr>
          <w:b w:val="0"/>
          <w:lang w:val="hy-AM"/>
        </w:rPr>
        <w:t>% ֆինանսավորումը։ Այս միտումը կշանունակվի նաև 202</w:t>
      </w:r>
      <w:r w:rsidRPr="00C818F4">
        <w:rPr>
          <w:b w:val="0"/>
          <w:lang w:val="hy-AM"/>
        </w:rPr>
        <w:t>2</w:t>
      </w:r>
      <w:r w:rsidRPr="00BB489E">
        <w:rPr>
          <w:b w:val="0"/>
          <w:lang w:val="hy-AM"/>
        </w:rPr>
        <w:t xml:space="preserve"> թվականին։</w:t>
      </w:r>
      <w:r>
        <w:rPr>
          <w:b w:val="0"/>
          <w:lang w:val="hy-AM"/>
        </w:rPr>
        <w:t xml:space="preserve"> </w:t>
      </w:r>
    </w:p>
    <w:p w14:paraId="3B3F4009" w14:textId="77777777" w:rsidR="007E61D3" w:rsidRDefault="007E61D3" w:rsidP="007E61D3">
      <w:pPr>
        <w:spacing w:before="0" w:line="276" w:lineRule="auto"/>
        <w:ind w:firstLine="600"/>
        <w:rPr>
          <w:b w:val="0"/>
          <w:lang w:val="hy-AM"/>
        </w:rPr>
      </w:pPr>
      <w:r>
        <w:rPr>
          <w:b w:val="0"/>
          <w:lang w:val="hy-AM"/>
        </w:rPr>
        <w:t>2022թ. ընդհանուր բնույթի  հանրային ծառայությունների և պահուստային ֆոնդերի ոլորտին ուղղվելիք միջոցները նախատեսվել են շուրջ 9</w:t>
      </w:r>
      <w:r w:rsidRPr="00AB0DE3">
        <w:rPr>
          <w:b w:val="0"/>
          <w:lang w:val="hy-AM"/>
        </w:rPr>
        <w:t>7</w:t>
      </w:r>
      <w:r>
        <w:rPr>
          <w:b w:val="0"/>
          <w:lang w:val="hy-AM"/>
        </w:rPr>
        <w:t>,</w:t>
      </w:r>
      <w:r w:rsidRPr="00AB0DE3">
        <w:rPr>
          <w:b w:val="0"/>
          <w:lang w:val="hy-AM"/>
        </w:rPr>
        <w:t>4</w:t>
      </w:r>
      <w:r w:rsidRPr="00D2515B">
        <w:rPr>
          <w:b w:val="0"/>
          <w:lang w:val="hy-AM"/>
        </w:rPr>
        <w:t>9</w:t>
      </w:r>
      <w:r>
        <w:rPr>
          <w:b w:val="0"/>
          <w:lang w:val="hy-AM"/>
        </w:rPr>
        <w:t>2.4 մլն. դրամով ավել՝ համեմատած 2021 թվականի հետ: Ոլորտին ուղղվելիք հատկացումների աճը հիմնականում պայմանավորված է հիմնական բաժիններին չդասվող պահուստային ֆոնդերի՝ 2021 թվականի համեմատ շուրջ 6</w:t>
      </w:r>
      <w:r w:rsidRPr="00AB0DE3">
        <w:rPr>
          <w:b w:val="0"/>
          <w:lang w:val="hy-AM"/>
        </w:rPr>
        <w:t>4</w:t>
      </w:r>
      <w:r>
        <w:rPr>
          <w:b w:val="0"/>
          <w:lang w:val="hy-AM"/>
        </w:rPr>
        <w:t>,</w:t>
      </w:r>
      <w:r w:rsidRPr="00AB0DE3">
        <w:rPr>
          <w:b w:val="0"/>
          <w:lang w:val="hy-AM"/>
        </w:rPr>
        <w:t>5</w:t>
      </w:r>
      <w:r w:rsidRPr="00D2515B">
        <w:rPr>
          <w:b w:val="0"/>
          <w:lang w:val="hy-AM"/>
        </w:rPr>
        <w:t>2</w:t>
      </w:r>
      <w:r>
        <w:rPr>
          <w:b w:val="0"/>
          <w:lang w:val="hy-AM"/>
        </w:rPr>
        <w:t>2.4 մլն</w:t>
      </w:r>
      <w:r w:rsidRPr="00434428">
        <w:rPr>
          <w:b w:val="0"/>
          <w:lang w:val="hy-AM"/>
        </w:rPr>
        <w:t>.</w:t>
      </w:r>
      <w:r>
        <w:rPr>
          <w:b w:val="0"/>
          <w:lang w:val="hy-AM"/>
        </w:rPr>
        <w:t xml:space="preserve"> դրամ հավելյալ ֆինանսավորմամբ: </w:t>
      </w:r>
    </w:p>
    <w:p w14:paraId="04886F84" w14:textId="77777777" w:rsidR="007E61D3" w:rsidRDefault="007E61D3" w:rsidP="007E61D3">
      <w:pPr>
        <w:spacing w:before="0" w:line="276" w:lineRule="auto"/>
        <w:ind w:firstLine="600"/>
        <w:rPr>
          <w:b w:val="0"/>
          <w:lang w:val="hy-AM"/>
        </w:rPr>
      </w:pPr>
      <w:r>
        <w:rPr>
          <w:b w:val="0"/>
          <w:lang w:val="hy-AM"/>
        </w:rPr>
        <w:t xml:space="preserve">2022թ. պետական բյուջեի նախագծով նախատեսվում է նաև </w:t>
      </w:r>
      <w:r w:rsidRPr="003C5193">
        <w:rPr>
          <w:b w:val="0"/>
          <w:lang w:val="hy-AM"/>
        </w:rPr>
        <w:t>պաշտպանությ</w:t>
      </w:r>
      <w:r>
        <w:rPr>
          <w:b w:val="0"/>
          <w:lang w:val="hy-AM"/>
        </w:rPr>
        <w:t>ա</w:t>
      </w:r>
      <w:r w:rsidRPr="003C5193">
        <w:rPr>
          <w:b w:val="0"/>
          <w:lang w:val="hy-AM"/>
        </w:rPr>
        <w:t>ն, հասարակական կարգ</w:t>
      </w:r>
      <w:r>
        <w:rPr>
          <w:b w:val="0"/>
          <w:lang w:val="hy-AM"/>
        </w:rPr>
        <w:t>ի</w:t>
      </w:r>
      <w:r w:rsidRPr="003C5193">
        <w:rPr>
          <w:b w:val="0"/>
          <w:lang w:val="hy-AM"/>
        </w:rPr>
        <w:t>, անվտանգությ</w:t>
      </w:r>
      <w:r>
        <w:rPr>
          <w:b w:val="0"/>
          <w:lang w:val="hy-AM"/>
        </w:rPr>
        <w:t>ա</w:t>
      </w:r>
      <w:r w:rsidRPr="003C5193">
        <w:rPr>
          <w:b w:val="0"/>
          <w:lang w:val="hy-AM"/>
        </w:rPr>
        <w:t xml:space="preserve">ն </w:t>
      </w:r>
      <w:r>
        <w:rPr>
          <w:b w:val="0"/>
          <w:lang w:val="hy-AM"/>
        </w:rPr>
        <w:t>և</w:t>
      </w:r>
      <w:r w:rsidRPr="003C5193">
        <w:rPr>
          <w:b w:val="0"/>
          <w:lang w:val="hy-AM"/>
        </w:rPr>
        <w:t xml:space="preserve"> դատական գործունեությ</w:t>
      </w:r>
      <w:r>
        <w:rPr>
          <w:b w:val="0"/>
          <w:lang w:val="hy-AM"/>
        </w:rPr>
        <w:t>ա</w:t>
      </w:r>
      <w:r w:rsidRPr="003C5193">
        <w:rPr>
          <w:b w:val="0"/>
          <w:lang w:val="hy-AM"/>
        </w:rPr>
        <w:t>ն</w:t>
      </w:r>
      <w:r>
        <w:rPr>
          <w:b w:val="0"/>
          <w:lang w:val="hy-AM"/>
        </w:rPr>
        <w:t xml:space="preserve"> ոլորտին հատկացվելիք միջոցների աճ՝ 2021 թվականի համեմատ շուրջ </w:t>
      </w:r>
      <w:r w:rsidRPr="002E65F8">
        <w:rPr>
          <w:b w:val="0"/>
          <w:lang w:val="hy-AM"/>
        </w:rPr>
        <w:t>49</w:t>
      </w:r>
      <w:r>
        <w:rPr>
          <w:b w:val="0"/>
          <w:lang w:val="hy-AM"/>
        </w:rPr>
        <w:t>,</w:t>
      </w:r>
      <w:r w:rsidRPr="002E65F8">
        <w:rPr>
          <w:b w:val="0"/>
          <w:lang w:val="hy-AM"/>
        </w:rPr>
        <w:t>811</w:t>
      </w:r>
      <w:r>
        <w:rPr>
          <w:b w:val="0"/>
          <w:lang w:val="hy-AM"/>
        </w:rPr>
        <w:t>.</w:t>
      </w:r>
      <w:r w:rsidRPr="002E65F8">
        <w:rPr>
          <w:b w:val="0"/>
          <w:lang w:val="hy-AM"/>
        </w:rPr>
        <w:t>3</w:t>
      </w:r>
      <w:r>
        <w:rPr>
          <w:b w:val="0"/>
          <w:lang w:val="hy-AM"/>
        </w:rPr>
        <w:t xml:space="preserve"> մլն դրամի չափով, որը հիմնականում ուղղվելու է ռազմական պաշտպանության, հասարակական կարգի և անվտանգության, ազգային անվտանգության,</w:t>
      </w:r>
      <w:r w:rsidRPr="00780FA0">
        <w:rPr>
          <w:lang w:val="hy-AM"/>
        </w:rPr>
        <w:t xml:space="preserve"> </w:t>
      </w:r>
      <w:r>
        <w:rPr>
          <w:b w:val="0"/>
          <w:lang w:val="hy-AM"/>
        </w:rPr>
        <w:t>դ</w:t>
      </w:r>
      <w:r w:rsidRPr="00780FA0">
        <w:rPr>
          <w:b w:val="0"/>
          <w:lang w:val="hy-AM"/>
        </w:rPr>
        <w:t>ատական գործունե</w:t>
      </w:r>
      <w:r>
        <w:rPr>
          <w:b w:val="0"/>
          <w:lang w:val="hy-AM"/>
        </w:rPr>
        <w:t>ություն և իրավական պաշտպանությա</w:t>
      </w:r>
      <w:r w:rsidRPr="00780FA0">
        <w:rPr>
          <w:b w:val="0"/>
          <w:lang w:val="hy-AM"/>
        </w:rPr>
        <w:t>ն</w:t>
      </w:r>
      <w:r>
        <w:rPr>
          <w:b w:val="0"/>
          <w:lang w:val="hy-AM"/>
        </w:rPr>
        <w:t xml:space="preserve"> ապահովմանը:</w:t>
      </w:r>
    </w:p>
    <w:p w14:paraId="012AD10E" w14:textId="77777777" w:rsidR="007E61D3" w:rsidRPr="00C23AFB" w:rsidRDefault="007E61D3" w:rsidP="007E61D3">
      <w:pPr>
        <w:spacing w:before="0" w:line="276" w:lineRule="auto"/>
        <w:ind w:firstLine="562"/>
        <w:rPr>
          <w:b w:val="0"/>
          <w:lang w:val="hy-AM"/>
        </w:rPr>
      </w:pPr>
      <w:r w:rsidRPr="00BB489E">
        <w:rPr>
          <w:b w:val="0"/>
          <w:lang w:val="hy-AM"/>
        </w:rPr>
        <w:t>202</w:t>
      </w:r>
      <w:r w:rsidRPr="00755469">
        <w:rPr>
          <w:b w:val="0"/>
          <w:lang w:val="hy-AM"/>
        </w:rPr>
        <w:t>2</w:t>
      </w:r>
      <w:r w:rsidRPr="00BB489E">
        <w:rPr>
          <w:b w:val="0"/>
          <w:lang w:val="hy-AM"/>
        </w:rPr>
        <w:t xml:space="preserve"> թվականի</w:t>
      </w:r>
      <w:r>
        <w:rPr>
          <w:b w:val="0"/>
          <w:lang w:val="hy-AM"/>
        </w:rPr>
        <w:t>ն, ինչպես և 2021 թվականին,</w:t>
      </w:r>
      <w:r w:rsidRPr="00BB489E">
        <w:rPr>
          <w:b w:val="0"/>
          <w:lang w:val="hy-AM"/>
        </w:rPr>
        <w:t xml:space="preserve"> տնտեսության ճյուղերի պետական ֆինանսավորումը նպատակաուղղված </w:t>
      </w:r>
      <w:r w:rsidRPr="000211C0">
        <w:rPr>
          <w:b w:val="0"/>
          <w:lang w:val="hy-AM"/>
        </w:rPr>
        <w:t>է</w:t>
      </w:r>
      <w:r w:rsidRPr="00BB489E">
        <w:rPr>
          <w:b w:val="0"/>
          <w:lang w:val="hy-AM"/>
        </w:rPr>
        <w:t xml:space="preserve"> լինելու ենթակառուցվածքների, տնտեսության իրական հատվածի, բարձր տեխնոլոգիական արդյունաբերական, ինչպես նաև բնապահպանական բարձր չափանիշներին համապատասխանող՝ արտահանմանը միտված մրցունակ և ներառական տնտեսության կառուցմանն ուղղված ծրագրերի իրականացմանը։</w:t>
      </w:r>
      <w:r>
        <w:rPr>
          <w:b w:val="0"/>
          <w:lang w:val="hy-AM"/>
        </w:rPr>
        <w:t xml:space="preserve"> 2022 թվականին տնտեսության ոլորտի հատկացումներն ուղղվելու են </w:t>
      </w:r>
      <w:r w:rsidRPr="00C23AFB">
        <w:rPr>
          <w:b w:val="0"/>
          <w:lang w:val="hy-AM"/>
        </w:rPr>
        <w:t>ՀՀ կ</w:t>
      </w:r>
      <w:r>
        <w:rPr>
          <w:b w:val="0"/>
          <w:lang w:val="hy-AM"/>
        </w:rPr>
        <w:t xml:space="preserve">առավարության 2021-2026թթ. ծրագրով սահմանված տնտեսության մրցունակության և արտադրողականության աճի, </w:t>
      </w:r>
      <w:r w:rsidRPr="0069070B">
        <w:rPr>
          <w:b w:val="0"/>
          <w:lang w:val="hy-AM"/>
        </w:rPr>
        <w:t>տնտեսական հնարավորությունների ընդլայն</w:t>
      </w:r>
      <w:r>
        <w:rPr>
          <w:b w:val="0"/>
          <w:lang w:val="hy-AM"/>
        </w:rPr>
        <w:t>ման</w:t>
      </w:r>
      <w:r w:rsidRPr="0069070B">
        <w:rPr>
          <w:b w:val="0"/>
          <w:lang w:val="hy-AM"/>
        </w:rPr>
        <w:t xml:space="preserve"> և դրանց հավասար հասանելիության </w:t>
      </w:r>
      <w:r>
        <w:rPr>
          <w:b w:val="0"/>
          <w:lang w:val="hy-AM"/>
        </w:rPr>
        <w:t>ապահովմանը:</w:t>
      </w:r>
    </w:p>
    <w:p w14:paraId="62A2BF1B" w14:textId="77777777" w:rsidR="007E61D3" w:rsidRDefault="007E61D3" w:rsidP="007E61D3">
      <w:pPr>
        <w:spacing w:before="0" w:line="276" w:lineRule="auto"/>
        <w:ind w:firstLine="600"/>
        <w:rPr>
          <w:b w:val="0"/>
          <w:lang w:val="hy-AM"/>
        </w:rPr>
      </w:pPr>
    </w:p>
    <w:p w14:paraId="188A516B" w14:textId="77777777" w:rsidR="007E61D3" w:rsidRDefault="007E61D3" w:rsidP="007E61D3">
      <w:pPr>
        <w:spacing w:before="0"/>
        <w:rPr>
          <w:b w:val="0"/>
          <w:bCs/>
          <w:color w:val="4F81BD" w:themeColor="accent1"/>
          <w:sz w:val="18"/>
          <w:szCs w:val="18"/>
          <w:lang w:val="hy-AM"/>
        </w:rPr>
      </w:pPr>
    </w:p>
    <w:p w14:paraId="0D623650" w14:textId="6B79C478" w:rsidR="007E61D3" w:rsidRPr="00BB489E" w:rsidRDefault="00A10D4F" w:rsidP="00A10D4F">
      <w:pPr>
        <w:pStyle w:val="Caption"/>
        <w:rPr>
          <w:b/>
          <w:bCs w:val="0"/>
          <w:i/>
          <w:sz w:val="20"/>
          <w:szCs w:val="20"/>
          <w:lang w:val="hy-AM"/>
        </w:rPr>
      </w:pPr>
      <w:bookmarkStart w:id="284" w:name="_Toc83728703"/>
      <w:bookmarkStart w:id="285" w:name="_Toc89428775"/>
      <w:r w:rsidRPr="00A10D4F">
        <w:rPr>
          <w:lang w:val="hy-AM"/>
        </w:rPr>
        <w:t xml:space="preserve">Աղյուսակ </w:t>
      </w:r>
      <w:r>
        <w:fldChar w:fldCharType="begin"/>
      </w:r>
      <w:r w:rsidRPr="00A10D4F">
        <w:rPr>
          <w:lang w:val="hy-AM"/>
        </w:rPr>
        <w:instrText xml:space="preserve"> SEQ Աղյուսակ \* ARABIC </w:instrText>
      </w:r>
      <w:r>
        <w:fldChar w:fldCharType="separate"/>
      </w:r>
      <w:r>
        <w:rPr>
          <w:noProof/>
          <w:lang w:val="hy-AM"/>
        </w:rPr>
        <w:t>15</w:t>
      </w:r>
      <w:r>
        <w:fldChar w:fldCharType="end"/>
      </w:r>
      <w:r w:rsidR="007E61D3" w:rsidRPr="000C70AA">
        <w:rPr>
          <w:rFonts w:ascii="Cambria Math" w:hAnsi="Cambria Math" w:cs="Cambria Math"/>
          <w:lang w:val="hy-AM"/>
        </w:rPr>
        <w:t>․</w:t>
      </w:r>
      <w:r w:rsidR="007E61D3" w:rsidRPr="00BB489E">
        <w:rPr>
          <w:rFonts w:ascii="Cambria Math" w:hAnsi="Cambria Math"/>
          <w:lang w:val="hy-AM"/>
        </w:rPr>
        <w:t xml:space="preserve"> </w:t>
      </w:r>
      <w:r w:rsidR="007E61D3" w:rsidRPr="00BB489E">
        <w:rPr>
          <w:rFonts w:cs="Arial"/>
          <w:i/>
          <w:sz w:val="20"/>
          <w:szCs w:val="20"/>
          <w:lang w:val="hy-AM"/>
        </w:rPr>
        <w:t>Տնտեսական ոլորտի</w:t>
      </w:r>
      <w:r w:rsidR="007E61D3" w:rsidRPr="00BB489E">
        <w:rPr>
          <w:i/>
          <w:sz w:val="20"/>
          <w:szCs w:val="20"/>
          <w:lang w:val="hy-AM"/>
        </w:rPr>
        <w:t xml:space="preserve"> 20</w:t>
      </w:r>
      <w:r w:rsidR="007E61D3" w:rsidRPr="00E04372">
        <w:rPr>
          <w:i/>
          <w:sz w:val="20"/>
          <w:szCs w:val="20"/>
          <w:lang w:val="hy-AM"/>
        </w:rPr>
        <w:t>18</w:t>
      </w:r>
      <w:r w:rsidR="007E61D3" w:rsidRPr="00BB489E">
        <w:rPr>
          <w:i/>
          <w:sz w:val="20"/>
          <w:szCs w:val="20"/>
          <w:lang w:val="hy-AM"/>
        </w:rPr>
        <w:t>-202</w:t>
      </w:r>
      <w:r w:rsidR="007E61D3" w:rsidRPr="00E04372">
        <w:rPr>
          <w:i/>
          <w:sz w:val="20"/>
          <w:szCs w:val="20"/>
          <w:lang w:val="hy-AM"/>
        </w:rPr>
        <w:t>2</w:t>
      </w:r>
      <w:r w:rsidR="007E61D3" w:rsidRPr="00BB489E">
        <w:rPr>
          <w:rFonts w:cs="Arial"/>
          <w:i/>
          <w:sz w:val="20"/>
          <w:szCs w:val="20"/>
          <w:lang w:val="hy-AM"/>
        </w:rPr>
        <w:t>թթ</w:t>
      </w:r>
      <w:r w:rsidR="007E61D3">
        <w:rPr>
          <w:rFonts w:ascii="Cambria Math" w:hAnsi="Cambria Math" w:cs="Arial"/>
          <w:i/>
          <w:sz w:val="20"/>
          <w:szCs w:val="20"/>
          <w:lang w:val="hy-AM"/>
        </w:rPr>
        <w:t>․</w:t>
      </w:r>
      <w:r w:rsidR="007E61D3" w:rsidRPr="00BB489E">
        <w:rPr>
          <w:i/>
          <w:sz w:val="20"/>
          <w:szCs w:val="20"/>
          <w:lang w:val="hy-AM"/>
        </w:rPr>
        <w:t xml:space="preserve"> </w:t>
      </w:r>
      <w:r w:rsidR="007E61D3" w:rsidRPr="00BB489E">
        <w:rPr>
          <w:rFonts w:cs="Arial"/>
          <w:i/>
          <w:sz w:val="20"/>
          <w:szCs w:val="20"/>
          <w:lang w:val="hy-AM"/>
        </w:rPr>
        <w:t>բյուջետային</w:t>
      </w:r>
      <w:r w:rsidR="007E61D3" w:rsidRPr="00BB489E">
        <w:rPr>
          <w:i/>
          <w:sz w:val="20"/>
          <w:szCs w:val="20"/>
          <w:lang w:val="hy-AM"/>
        </w:rPr>
        <w:t xml:space="preserve"> </w:t>
      </w:r>
      <w:r w:rsidR="007E61D3" w:rsidRPr="00BB489E">
        <w:rPr>
          <w:rFonts w:cs="Arial"/>
          <w:i/>
          <w:sz w:val="20"/>
          <w:szCs w:val="20"/>
          <w:lang w:val="hy-AM"/>
        </w:rPr>
        <w:t>ծախսերը</w:t>
      </w:r>
      <w:r w:rsidR="007E61D3" w:rsidRPr="00BB489E">
        <w:rPr>
          <w:i/>
          <w:sz w:val="20"/>
          <w:szCs w:val="20"/>
          <w:lang w:val="hy-AM"/>
        </w:rPr>
        <w:t xml:space="preserve"> (</w:t>
      </w:r>
      <w:r w:rsidR="007E61D3" w:rsidRPr="00BB489E">
        <w:rPr>
          <w:rFonts w:cs="Arial"/>
          <w:i/>
          <w:sz w:val="20"/>
          <w:szCs w:val="20"/>
          <w:lang w:val="hy-AM"/>
        </w:rPr>
        <w:t>մլն</w:t>
      </w:r>
      <w:r w:rsidR="007E61D3">
        <w:rPr>
          <w:rFonts w:cs="Arial"/>
          <w:i/>
          <w:sz w:val="20"/>
          <w:szCs w:val="20"/>
          <w:lang w:val="hy-AM"/>
        </w:rPr>
        <w:t>.</w:t>
      </w:r>
      <w:r w:rsidR="007E61D3" w:rsidRPr="00BB489E">
        <w:rPr>
          <w:i/>
          <w:sz w:val="20"/>
          <w:szCs w:val="20"/>
          <w:lang w:val="hy-AM"/>
        </w:rPr>
        <w:t xml:space="preserve"> </w:t>
      </w:r>
      <w:r w:rsidR="007E61D3" w:rsidRPr="00BB489E">
        <w:rPr>
          <w:rFonts w:cs="Arial"/>
          <w:i/>
          <w:sz w:val="20"/>
          <w:szCs w:val="20"/>
          <w:lang w:val="hy-AM"/>
        </w:rPr>
        <w:t>դրամ</w:t>
      </w:r>
      <w:r w:rsidR="007E61D3" w:rsidRPr="00BB489E">
        <w:rPr>
          <w:i/>
          <w:sz w:val="20"/>
          <w:szCs w:val="20"/>
          <w:lang w:val="hy-AM"/>
        </w:rPr>
        <w:t>)</w:t>
      </w:r>
      <w:bookmarkEnd w:id="284"/>
      <w:bookmarkEnd w:id="285"/>
    </w:p>
    <w:tbl>
      <w:tblPr>
        <w:tblW w:w="5234" w:type="pct"/>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3531"/>
        <w:gridCol w:w="1330"/>
        <w:gridCol w:w="1183"/>
        <w:gridCol w:w="1236"/>
        <w:gridCol w:w="1423"/>
        <w:gridCol w:w="1478"/>
      </w:tblGrid>
      <w:tr w:rsidR="007E61D3" w:rsidRPr="00BB489E" w14:paraId="5005DFA9" w14:textId="77777777" w:rsidTr="00291CBE">
        <w:trPr>
          <w:trHeight w:val="20"/>
          <w:tblHeader/>
        </w:trPr>
        <w:tc>
          <w:tcPr>
            <w:tcW w:w="1734" w:type="pct"/>
            <w:tcBorders>
              <w:top w:val="double" w:sz="4" w:space="0" w:color="auto"/>
              <w:left w:val="double" w:sz="4"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14:paraId="0BCA56A2" w14:textId="77777777" w:rsidR="007E61D3" w:rsidRPr="00BB489E" w:rsidRDefault="007E61D3" w:rsidP="00291CBE">
            <w:pPr>
              <w:spacing w:before="0" w:line="276" w:lineRule="auto"/>
              <w:jc w:val="center"/>
              <w:rPr>
                <w:rFonts w:cs="Arial"/>
                <w:b w:val="0"/>
                <w:color w:val="FFFFFF" w:themeColor="background1"/>
                <w:sz w:val="20"/>
                <w:szCs w:val="20"/>
                <w:lang w:val="hy-AM"/>
              </w:rPr>
            </w:pPr>
            <w:r w:rsidRPr="00BB489E">
              <w:rPr>
                <w:rFonts w:cs="Arial"/>
                <w:b w:val="0"/>
                <w:color w:val="FFFFFF" w:themeColor="background1"/>
                <w:sz w:val="20"/>
                <w:szCs w:val="20"/>
                <w:lang w:val="hy-AM"/>
              </w:rPr>
              <w:t>Ցուցանիշներ</w:t>
            </w:r>
          </w:p>
        </w:tc>
        <w:tc>
          <w:tcPr>
            <w:tcW w:w="653"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14:paraId="6C6A47D6"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2018թ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581" w:type="pct"/>
            <w:tcBorders>
              <w:top w:val="double" w:sz="4" w:space="0" w:color="auto"/>
              <w:left w:val="single" w:sz="8" w:space="0" w:color="auto"/>
              <w:bottom w:val="single" w:sz="8" w:space="0" w:color="auto"/>
              <w:right w:val="single" w:sz="8" w:space="0" w:color="auto"/>
            </w:tcBorders>
            <w:shd w:val="clear" w:color="auto" w:fill="4F81BD" w:themeFill="accent1"/>
            <w:tcMar>
              <w:top w:w="0" w:type="dxa"/>
              <w:left w:w="57" w:type="dxa"/>
              <w:bottom w:w="0" w:type="dxa"/>
              <w:right w:w="57" w:type="dxa"/>
            </w:tcMar>
            <w:vAlign w:val="center"/>
            <w:hideMark/>
          </w:tcPr>
          <w:p w14:paraId="4452C56B"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2019թ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07" w:type="pct"/>
            <w:tcBorders>
              <w:top w:val="double" w:sz="4" w:space="0" w:color="auto"/>
              <w:left w:val="single" w:sz="8" w:space="0" w:color="auto"/>
              <w:bottom w:val="single" w:sz="8" w:space="0" w:color="auto"/>
              <w:right w:val="single" w:sz="8" w:space="0" w:color="auto"/>
            </w:tcBorders>
            <w:shd w:val="clear" w:color="auto" w:fill="4F81BD" w:themeFill="accent1"/>
            <w:vAlign w:val="center"/>
            <w:hideMark/>
          </w:tcPr>
          <w:p w14:paraId="366C6A45" w14:textId="77777777" w:rsidR="007E61D3" w:rsidRDefault="007E61D3" w:rsidP="00291CBE">
            <w:pPr>
              <w:spacing w:before="0" w:line="276" w:lineRule="auto"/>
              <w:ind w:firstLine="0"/>
              <w:jc w:val="center"/>
              <w:rPr>
                <w:rFonts w:ascii="MS Gothic" w:eastAsia="MS Gothic" w:hAnsi="MS Gothic" w:cs="MS Gothic"/>
                <w:b w:val="0"/>
                <w:color w:val="FFFFFF" w:themeColor="background1"/>
                <w:sz w:val="20"/>
                <w:szCs w:val="20"/>
              </w:rPr>
            </w:pPr>
            <w:r w:rsidRPr="00BB489E">
              <w:rPr>
                <w:rFonts w:cs="Arial"/>
                <w:b w:val="0"/>
                <w:color w:val="FFFFFF" w:themeColor="background1"/>
                <w:sz w:val="20"/>
                <w:szCs w:val="20"/>
                <w:lang w:val="hy-AM"/>
              </w:rPr>
              <w:t>2020թ</w:t>
            </w:r>
            <w:r w:rsidRPr="00BB489E">
              <w:rPr>
                <w:rFonts w:ascii="MS Gothic" w:eastAsia="MS Gothic" w:hAnsi="MS Gothic" w:cs="MS Gothic" w:hint="eastAsia"/>
                <w:b w:val="0"/>
                <w:color w:val="FFFFFF" w:themeColor="background1"/>
                <w:sz w:val="20"/>
                <w:szCs w:val="20"/>
                <w:lang w:val="hy-AM"/>
              </w:rPr>
              <w:t>․</w:t>
            </w:r>
          </w:p>
          <w:p w14:paraId="7835AF15" w14:textId="77777777" w:rsidR="007E61D3" w:rsidRPr="00284569" w:rsidRDefault="007E61D3" w:rsidP="00291CBE">
            <w:pPr>
              <w:spacing w:before="0" w:line="276" w:lineRule="auto"/>
              <w:ind w:firstLine="0"/>
              <w:jc w:val="center"/>
              <w:rPr>
                <w:rFonts w:cs="Arial"/>
                <w:b w:val="0"/>
                <w:color w:val="FFFFFF" w:themeColor="background1"/>
                <w:sz w:val="20"/>
                <w:szCs w:val="20"/>
                <w:lang w:val="hy-AM"/>
              </w:rPr>
            </w:pPr>
            <w:r>
              <w:rPr>
                <w:rFonts w:cs="Arial"/>
                <w:b w:val="0"/>
                <w:color w:val="FFFFFF" w:themeColor="background1"/>
                <w:sz w:val="20"/>
                <w:szCs w:val="20"/>
                <w:lang w:val="hy-AM"/>
              </w:rPr>
              <w:t>փաստացի</w:t>
            </w:r>
          </w:p>
        </w:tc>
        <w:tc>
          <w:tcPr>
            <w:tcW w:w="699" w:type="pct"/>
            <w:tcBorders>
              <w:top w:val="double" w:sz="4" w:space="0" w:color="auto"/>
              <w:left w:val="single" w:sz="8" w:space="0" w:color="auto"/>
              <w:bottom w:val="single" w:sz="8" w:space="0" w:color="auto"/>
              <w:right w:val="double" w:sz="4" w:space="0" w:color="auto"/>
            </w:tcBorders>
            <w:shd w:val="clear" w:color="auto" w:fill="4F81BD" w:themeFill="accent1"/>
            <w:vAlign w:val="center"/>
            <w:hideMark/>
          </w:tcPr>
          <w:p w14:paraId="3E8AA68D"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2021թ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w:t>
            </w:r>
            <w:r>
              <w:rPr>
                <w:rFonts w:cs="Arial"/>
                <w:b w:val="0"/>
                <w:color w:val="FFFFFF" w:themeColor="background1"/>
                <w:sz w:val="20"/>
                <w:szCs w:val="20"/>
                <w:lang w:val="hy-AM"/>
              </w:rPr>
              <w:t>հաստատված</w:t>
            </w:r>
          </w:p>
        </w:tc>
        <w:tc>
          <w:tcPr>
            <w:tcW w:w="726" w:type="pct"/>
            <w:tcBorders>
              <w:top w:val="double" w:sz="4" w:space="0" w:color="auto"/>
              <w:left w:val="single" w:sz="8" w:space="0" w:color="auto"/>
              <w:bottom w:val="single" w:sz="8" w:space="0" w:color="auto"/>
              <w:right w:val="double" w:sz="4" w:space="0" w:color="auto"/>
            </w:tcBorders>
            <w:shd w:val="clear" w:color="auto" w:fill="4F81BD" w:themeFill="accent1"/>
            <w:vAlign w:val="center"/>
          </w:tcPr>
          <w:p w14:paraId="682434AE"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Pr>
                <w:rFonts w:cs="Arial"/>
                <w:b w:val="0"/>
                <w:color w:val="FFFFFF" w:themeColor="background1"/>
                <w:sz w:val="20"/>
                <w:szCs w:val="20"/>
                <w:lang w:val="hy-AM"/>
              </w:rPr>
              <w:t>2022թ</w:t>
            </w:r>
            <w:r>
              <w:rPr>
                <w:rFonts w:ascii="Cambria Math" w:hAnsi="Cambria Math" w:cs="Arial"/>
                <w:b w:val="0"/>
                <w:color w:val="FFFFFF" w:themeColor="background1"/>
                <w:sz w:val="20"/>
                <w:szCs w:val="20"/>
                <w:lang w:val="hy-AM"/>
              </w:rPr>
              <w:t xml:space="preserve">․ </w:t>
            </w:r>
            <w:r>
              <w:rPr>
                <w:rFonts w:cs="Arial"/>
                <w:b w:val="0"/>
                <w:color w:val="FFFFFF" w:themeColor="background1"/>
                <w:sz w:val="20"/>
                <w:szCs w:val="20"/>
                <w:lang w:val="hy-AM"/>
              </w:rPr>
              <w:t xml:space="preserve">նախագիծ </w:t>
            </w:r>
          </w:p>
        </w:tc>
      </w:tr>
      <w:tr w:rsidR="007E61D3" w:rsidRPr="00BB489E" w14:paraId="7E5E0E79"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0C62382E" w14:textId="77777777" w:rsidR="007E61D3" w:rsidRPr="00BB489E" w:rsidRDefault="007E61D3" w:rsidP="00291CBE">
            <w:pPr>
              <w:spacing w:before="0" w:line="276" w:lineRule="auto"/>
              <w:ind w:firstLine="0"/>
              <w:rPr>
                <w:rFonts w:cs="Arial"/>
                <w:sz w:val="20"/>
                <w:szCs w:val="20"/>
                <w:lang w:val="hy-AM"/>
              </w:rPr>
            </w:pPr>
            <w:r w:rsidRPr="00BB489E">
              <w:rPr>
                <w:rFonts w:cs="Arial"/>
                <w:sz w:val="20"/>
                <w:szCs w:val="20"/>
                <w:lang w:val="hy-AM"/>
              </w:rPr>
              <w:t>ՏՆՏԵՍԱԿԱՆ ՈԼՈՐՏ ԸՆԴԱՄԵՆԸ</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2F11F1C3" w14:textId="77777777" w:rsidR="007E61D3" w:rsidRPr="00BB489E" w:rsidRDefault="007E61D3" w:rsidP="00291CBE">
            <w:pPr>
              <w:spacing w:before="0" w:line="276" w:lineRule="auto"/>
              <w:ind w:firstLine="0"/>
              <w:jc w:val="center"/>
              <w:rPr>
                <w:sz w:val="20"/>
                <w:szCs w:val="20"/>
              </w:rPr>
            </w:pPr>
            <w:r w:rsidRPr="00BB489E">
              <w:rPr>
                <w:rFonts w:cs="Calibri"/>
                <w:bCs/>
                <w:sz w:val="20"/>
                <w:szCs w:val="20"/>
              </w:rPr>
              <w:t>129,599.4</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5E749064" w14:textId="77777777" w:rsidR="007E61D3" w:rsidRPr="00BB489E" w:rsidRDefault="007E61D3" w:rsidP="00291CBE">
            <w:pPr>
              <w:spacing w:before="0" w:line="276" w:lineRule="auto"/>
              <w:ind w:firstLine="0"/>
              <w:jc w:val="center"/>
              <w:rPr>
                <w:sz w:val="20"/>
                <w:szCs w:val="20"/>
              </w:rPr>
            </w:pPr>
            <w:r w:rsidRPr="00BB489E">
              <w:rPr>
                <w:rFonts w:cs="Calibri"/>
                <w:bCs/>
                <w:sz w:val="20"/>
                <w:szCs w:val="20"/>
              </w:rPr>
              <w:t>133,980.8</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hideMark/>
          </w:tcPr>
          <w:p w14:paraId="38D44244" w14:textId="77777777" w:rsidR="007E61D3" w:rsidRPr="00BB489E" w:rsidRDefault="007E61D3" w:rsidP="00291CBE">
            <w:pPr>
              <w:spacing w:before="0" w:line="276" w:lineRule="auto"/>
              <w:ind w:firstLine="0"/>
              <w:jc w:val="center"/>
              <w:rPr>
                <w:sz w:val="20"/>
                <w:szCs w:val="20"/>
              </w:rPr>
            </w:pPr>
            <w:r w:rsidRPr="0071463D">
              <w:rPr>
                <w:rFonts w:cs="Calibri"/>
                <w:bCs/>
                <w:sz w:val="20"/>
                <w:szCs w:val="20"/>
              </w:rPr>
              <w:t>138,887.2</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41FF00CC" w14:textId="77777777" w:rsidR="007E61D3" w:rsidRPr="00BB489E" w:rsidRDefault="007E61D3" w:rsidP="00291CBE">
            <w:pPr>
              <w:spacing w:before="0" w:line="276" w:lineRule="auto"/>
              <w:ind w:firstLine="0"/>
              <w:jc w:val="center"/>
              <w:rPr>
                <w:sz w:val="20"/>
                <w:szCs w:val="20"/>
                <w:lang w:val="en-US"/>
              </w:rPr>
            </w:pPr>
            <w:r w:rsidRPr="00BB489E">
              <w:rPr>
                <w:rFonts w:cs="Calibri"/>
                <w:bCs/>
                <w:sz w:val="20"/>
                <w:szCs w:val="20"/>
                <w:lang w:val="en-US"/>
              </w:rPr>
              <w:t>174</w:t>
            </w:r>
            <w:r w:rsidRPr="00BB489E">
              <w:rPr>
                <w:rFonts w:cs="Calibri"/>
                <w:bCs/>
                <w:sz w:val="20"/>
                <w:szCs w:val="20"/>
              </w:rPr>
              <w:t>,</w:t>
            </w:r>
            <w:r w:rsidRPr="00BB489E">
              <w:rPr>
                <w:rFonts w:cs="Calibri"/>
                <w:bCs/>
                <w:sz w:val="20"/>
                <w:szCs w:val="20"/>
                <w:lang w:val="en-US"/>
              </w:rPr>
              <w:t>531</w:t>
            </w:r>
            <w:r w:rsidRPr="00BB489E">
              <w:rPr>
                <w:rFonts w:cs="Calibri"/>
                <w:bCs/>
                <w:sz w:val="20"/>
                <w:szCs w:val="20"/>
              </w:rPr>
              <w:t>.</w:t>
            </w:r>
            <w:r w:rsidRPr="00BB489E">
              <w:rPr>
                <w:rFonts w:cs="Calibri"/>
                <w:bCs/>
                <w:sz w:val="20"/>
                <w:szCs w:val="20"/>
                <w:lang w:val="en-US"/>
              </w:rPr>
              <w:t>2</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6ECE60A2" w14:textId="77777777" w:rsidR="007E61D3" w:rsidRPr="002E65F8" w:rsidRDefault="007E61D3" w:rsidP="00291CBE">
            <w:pPr>
              <w:spacing w:before="0" w:line="276" w:lineRule="auto"/>
              <w:ind w:firstLine="0"/>
              <w:jc w:val="center"/>
              <w:rPr>
                <w:rFonts w:cs="Calibri"/>
                <w:bCs/>
                <w:sz w:val="20"/>
                <w:szCs w:val="20"/>
                <w:lang w:val="en-US"/>
              </w:rPr>
            </w:pPr>
            <w:r w:rsidRPr="00755469">
              <w:rPr>
                <w:rFonts w:cs="Calibri"/>
                <w:bCs/>
                <w:sz w:val="20"/>
                <w:szCs w:val="20"/>
                <w:lang w:val="en-US"/>
              </w:rPr>
              <w:t>2</w:t>
            </w:r>
            <w:r>
              <w:rPr>
                <w:rFonts w:cs="Calibri"/>
                <w:bCs/>
                <w:sz w:val="20"/>
                <w:szCs w:val="20"/>
                <w:lang w:val="en-US"/>
              </w:rPr>
              <w:t>37,390</w:t>
            </w:r>
            <w:r w:rsidRPr="002E65F8">
              <w:rPr>
                <w:rFonts w:ascii="Cambria Math" w:hAnsi="Cambria Math" w:cs="Cambria Math"/>
                <w:bCs/>
                <w:sz w:val="20"/>
                <w:szCs w:val="20"/>
                <w:lang w:val="en-US"/>
              </w:rPr>
              <w:t>․</w:t>
            </w:r>
            <w:r w:rsidRPr="002E65F8">
              <w:rPr>
                <w:rFonts w:cs="Calibri"/>
                <w:bCs/>
                <w:sz w:val="20"/>
                <w:szCs w:val="20"/>
                <w:lang w:val="en-US"/>
              </w:rPr>
              <w:t>2</w:t>
            </w:r>
          </w:p>
        </w:tc>
      </w:tr>
      <w:tr w:rsidR="007E61D3" w:rsidRPr="00BB489E" w14:paraId="28BCFF35"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795E4040"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2FD3C0AD"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2.2</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69937633"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2.0</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592A7C0F" w14:textId="77777777" w:rsidR="007E61D3" w:rsidRPr="0071463D" w:rsidRDefault="007E61D3" w:rsidP="00291CBE">
            <w:pPr>
              <w:spacing w:before="0" w:line="276" w:lineRule="auto"/>
              <w:ind w:firstLine="0"/>
              <w:jc w:val="center"/>
              <w:rPr>
                <w:rFonts w:cs="Arial"/>
                <w:b w:val="0"/>
                <w:bCs/>
                <w:color w:val="000000"/>
                <w:sz w:val="18"/>
                <w:szCs w:val="18"/>
              </w:rPr>
            </w:pPr>
            <w:r w:rsidRPr="0071463D">
              <w:rPr>
                <w:b w:val="0"/>
                <w:bCs/>
                <w:sz w:val="20"/>
                <w:szCs w:val="20"/>
              </w:rPr>
              <w:t>2.4%</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4DE63D1D" w14:textId="77777777" w:rsidR="007E61D3" w:rsidRPr="00BB489E" w:rsidRDefault="007E61D3" w:rsidP="00291CBE">
            <w:pPr>
              <w:spacing w:before="0" w:line="276" w:lineRule="auto"/>
              <w:ind w:firstLine="0"/>
              <w:jc w:val="center"/>
              <w:rPr>
                <w:rFonts w:cs="Arial"/>
                <w:b w:val="0"/>
                <w:color w:val="000000"/>
                <w:sz w:val="18"/>
                <w:szCs w:val="18"/>
                <w:lang w:val="en-US"/>
              </w:rPr>
            </w:pPr>
            <w:r w:rsidRPr="00BB489E">
              <w:rPr>
                <w:rFonts w:cs="Arial"/>
                <w:b w:val="0"/>
                <w:color w:val="000000"/>
                <w:sz w:val="18"/>
                <w:szCs w:val="18"/>
              </w:rPr>
              <w:t>2.</w:t>
            </w:r>
            <w:r w:rsidRPr="00BB489E">
              <w:rPr>
                <w:rFonts w:cs="Arial"/>
                <w:b w:val="0"/>
                <w:color w:val="000000"/>
                <w:sz w:val="18"/>
                <w:szCs w:val="18"/>
                <w:lang w:val="en-US"/>
              </w:rPr>
              <w:t>7</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14C3706F"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hy-AM"/>
              </w:rPr>
              <w:t>3</w:t>
            </w:r>
            <w:r>
              <w:rPr>
                <w:rFonts w:cs="Arial"/>
                <w:b w:val="0"/>
                <w:color w:val="000000"/>
                <w:sz w:val="18"/>
                <w:szCs w:val="18"/>
                <w:lang w:val="en-US"/>
              </w:rPr>
              <w:t>.0%</w:t>
            </w:r>
          </w:p>
        </w:tc>
      </w:tr>
      <w:tr w:rsidR="007E61D3" w:rsidRPr="00BB489E" w14:paraId="7AF95BE5" w14:textId="77777777" w:rsidTr="00291CBE">
        <w:trPr>
          <w:trHeight w:val="961"/>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75976686"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C450D74"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9.0</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021EED7"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8.2</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00D45D77" w14:textId="77777777" w:rsidR="007E61D3" w:rsidRPr="0071463D" w:rsidRDefault="007E61D3" w:rsidP="00291CBE">
            <w:pPr>
              <w:spacing w:before="0" w:line="276" w:lineRule="auto"/>
              <w:ind w:firstLine="0"/>
              <w:jc w:val="center"/>
              <w:rPr>
                <w:b w:val="0"/>
                <w:bCs/>
                <w:sz w:val="20"/>
                <w:szCs w:val="20"/>
              </w:rPr>
            </w:pPr>
            <w:r w:rsidRPr="0071463D">
              <w:rPr>
                <w:b w:val="0"/>
                <w:bCs/>
                <w:sz w:val="20"/>
                <w:szCs w:val="20"/>
              </w:rPr>
              <w:t>7.3%</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6E1249E9"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9.4</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4EAA6BE0"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10.9%</w:t>
            </w:r>
          </w:p>
        </w:tc>
      </w:tr>
      <w:tr w:rsidR="007E61D3" w:rsidRPr="00BB489E" w14:paraId="0C0A2CA9"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B475322" w14:textId="77777777" w:rsidR="007E61D3" w:rsidRPr="00BB489E" w:rsidRDefault="007E61D3" w:rsidP="00291CBE">
            <w:pPr>
              <w:spacing w:before="0" w:line="276" w:lineRule="auto"/>
              <w:rPr>
                <w:b w:val="0"/>
                <w:sz w:val="20"/>
                <w:szCs w:val="20"/>
                <w:lang w:val="hy-AM"/>
              </w:rPr>
            </w:pPr>
            <w:r w:rsidRPr="00BB489E">
              <w:rPr>
                <w:rFonts w:cs="Arial"/>
                <w:b w:val="0"/>
                <w:sz w:val="20"/>
                <w:szCs w:val="20"/>
              </w:rPr>
              <w:t>այդ</w:t>
            </w:r>
            <w:r w:rsidRPr="00BB489E">
              <w:rPr>
                <w:b w:val="0"/>
                <w:sz w:val="20"/>
                <w:szCs w:val="20"/>
              </w:rPr>
              <w:t xml:space="preserve"> </w:t>
            </w:r>
            <w:r w:rsidRPr="00BB489E">
              <w:rPr>
                <w:rFonts w:cs="Arial"/>
                <w:b w:val="0"/>
                <w:sz w:val="20"/>
                <w:szCs w:val="20"/>
              </w:rPr>
              <w:t>թվում</w:t>
            </w:r>
            <w:r w:rsidRPr="00BB489E">
              <w:rPr>
                <w:b w:val="0"/>
                <w:sz w:val="20"/>
                <w:szCs w:val="20"/>
              </w:rPr>
              <w:t>`</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14:paraId="0A4D0B68" w14:textId="77777777" w:rsidR="007E61D3" w:rsidRPr="00BB489E" w:rsidRDefault="007E61D3" w:rsidP="00291CBE">
            <w:pPr>
              <w:spacing w:before="0" w:line="276" w:lineRule="auto"/>
              <w:jc w:val="center"/>
              <w:rPr>
                <w:b w:val="0"/>
                <w:sz w:val="20"/>
                <w:szCs w:val="20"/>
              </w:rPr>
            </w:pP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tcPr>
          <w:p w14:paraId="48BB5645" w14:textId="77777777" w:rsidR="007E61D3" w:rsidRPr="00BB489E" w:rsidRDefault="007E61D3" w:rsidP="00291CBE">
            <w:pPr>
              <w:spacing w:before="0" w:line="276" w:lineRule="auto"/>
              <w:jc w:val="center"/>
              <w:rPr>
                <w:b w:val="0"/>
                <w:sz w:val="20"/>
                <w:szCs w:val="20"/>
              </w:rPr>
            </w:pP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tcPr>
          <w:p w14:paraId="55E96577" w14:textId="77777777" w:rsidR="007E61D3" w:rsidRPr="00BB489E" w:rsidRDefault="007E61D3" w:rsidP="00291CBE">
            <w:pPr>
              <w:spacing w:before="0" w:line="276" w:lineRule="auto"/>
              <w:jc w:val="center"/>
              <w:rPr>
                <w:b w:val="0"/>
                <w:sz w:val="20"/>
                <w:szCs w:val="20"/>
              </w:rPr>
            </w:pP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tcPr>
          <w:p w14:paraId="75E65C3F" w14:textId="77777777" w:rsidR="007E61D3" w:rsidRPr="00BB489E" w:rsidRDefault="007E61D3" w:rsidP="00291CBE">
            <w:pPr>
              <w:spacing w:before="0" w:line="276" w:lineRule="auto"/>
              <w:jc w:val="center"/>
              <w:rPr>
                <w:b w:val="0"/>
                <w:sz w:val="20"/>
                <w:szCs w:val="20"/>
              </w:rPr>
            </w:pP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216DCACF" w14:textId="77777777" w:rsidR="007E61D3" w:rsidRPr="00BB489E" w:rsidRDefault="007E61D3" w:rsidP="00291CBE">
            <w:pPr>
              <w:spacing w:before="0" w:line="276" w:lineRule="auto"/>
              <w:jc w:val="center"/>
              <w:rPr>
                <w:b w:val="0"/>
                <w:sz w:val="20"/>
                <w:szCs w:val="20"/>
              </w:rPr>
            </w:pPr>
          </w:p>
        </w:tc>
      </w:tr>
      <w:tr w:rsidR="007E61D3" w:rsidRPr="00BB489E" w14:paraId="65D2B582"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7D60117A" w14:textId="77777777" w:rsidR="007E61D3" w:rsidRPr="00BB489E" w:rsidRDefault="007E61D3" w:rsidP="00291CBE">
            <w:pPr>
              <w:spacing w:before="0" w:line="276" w:lineRule="auto"/>
              <w:ind w:firstLine="0"/>
              <w:rPr>
                <w:sz w:val="20"/>
                <w:szCs w:val="20"/>
                <w:lang w:val="hy-AM"/>
              </w:rPr>
            </w:pPr>
            <w:r w:rsidRPr="00BB489E">
              <w:rPr>
                <w:sz w:val="20"/>
                <w:szCs w:val="20"/>
                <w:lang w:val="hy-AM"/>
              </w:rPr>
              <w:t>1.</w:t>
            </w:r>
            <w:r w:rsidRPr="00BB489E">
              <w:rPr>
                <w:rFonts w:cs="Arial"/>
                <w:sz w:val="20"/>
                <w:szCs w:val="20"/>
                <w:lang w:val="hy-AM"/>
              </w:rPr>
              <w:t>ՏՆՏԵՍԱԿԱՆ ՀԱՐԱԲԵՐՈՒԹՅՈՒՆՆԵՐ</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698B7D76" w14:textId="77777777" w:rsidR="007E61D3" w:rsidRPr="00BB489E" w:rsidRDefault="007E61D3" w:rsidP="00291CBE">
            <w:pPr>
              <w:spacing w:before="0" w:line="276" w:lineRule="auto"/>
              <w:ind w:firstLine="0"/>
              <w:jc w:val="center"/>
              <w:rPr>
                <w:bCs/>
                <w:sz w:val="20"/>
                <w:szCs w:val="20"/>
              </w:rPr>
            </w:pPr>
            <w:r w:rsidRPr="00BB489E">
              <w:rPr>
                <w:rFonts w:cs="Calibri"/>
                <w:bCs/>
                <w:sz w:val="20"/>
                <w:szCs w:val="20"/>
              </w:rPr>
              <w:t>112,199.5</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275919B8" w14:textId="77777777" w:rsidR="007E61D3" w:rsidRPr="00BB489E" w:rsidRDefault="007E61D3" w:rsidP="00291CBE">
            <w:pPr>
              <w:spacing w:before="0" w:line="276" w:lineRule="auto"/>
              <w:ind w:firstLine="0"/>
              <w:jc w:val="center"/>
              <w:rPr>
                <w:bCs/>
                <w:sz w:val="20"/>
                <w:szCs w:val="20"/>
              </w:rPr>
            </w:pPr>
            <w:r w:rsidRPr="00BB489E">
              <w:rPr>
                <w:rFonts w:cs="Calibri"/>
                <w:bCs/>
                <w:sz w:val="20"/>
                <w:szCs w:val="20"/>
              </w:rPr>
              <w:t>111,916.2</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14:paraId="203C795E" w14:textId="77777777" w:rsidR="007E61D3" w:rsidRPr="00726C30" w:rsidRDefault="007E61D3" w:rsidP="00291CBE">
            <w:pPr>
              <w:spacing w:before="0" w:line="276" w:lineRule="auto"/>
              <w:ind w:firstLine="0"/>
              <w:jc w:val="center"/>
              <w:rPr>
                <w:bCs/>
                <w:sz w:val="20"/>
                <w:szCs w:val="20"/>
                <w:lang w:val="hy-AM"/>
              </w:rPr>
            </w:pPr>
            <w:r w:rsidRPr="00BB489E">
              <w:rPr>
                <w:rFonts w:cs="Calibri"/>
                <w:bCs/>
                <w:sz w:val="20"/>
                <w:szCs w:val="20"/>
              </w:rPr>
              <w:t>1</w:t>
            </w:r>
            <w:r>
              <w:rPr>
                <w:rFonts w:cs="Calibri"/>
                <w:bCs/>
                <w:sz w:val="20"/>
                <w:szCs w:val="20"/>
                <w:lang w:val="hy-AM"/>
              </w:rPr>
              <w:t>25</w:t>
            </w:r>
            <w:r w:rsidRPr="00BB489E">
              <w:rPr>
                <w:rFonts w:cs="Calibri"/>
                <w:bCs/>
                <w:sz w:val="20"/>
                <w:szCs w:val="20"/>
              </w:rPr>
              <w:t>,</w:t>
            </w:r>
            <w:r>
              <w:rPr>
                <w:rFonts w:cs="Calibri"/>
                <w:bCs/>
                <w:sz w:val="20"/>
                <w:szCs w:val="20"/>
                <w:lang w:val="hy-AM"/>
              </w:rPr>
              <w:t>559</w:t>
            </w:r>
            <w:r w:rsidRPr="00BB489E">
              <w:rPr>
                <w:rFonts w:cs="Calibri"/>
                <w:bCs/>
                <w:sz w:val="20"/>
                <w:szCs w:val="20"/>
              </w:rPr>
              <w:t>.</w:t>
            </w:r>
            <w:r>
              <w:rPr>
                <w:rFonts w:cs="Calibri"/>
                <w:bCs/>
                <w:sz w:val="20"/>
                <w:szCs w:val="20"/>
                <w:lang w:val="hy-AM"/>
              </w:rPr>
              <w:t>4</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4B08D69A" w14:textId="77777777" w:rsidR="007E61D3" w:rsidRPr="00BB489E" w:rsidRDefault="007E61D3" w:rsidP="00291CBE">
            <w:pPr>
              <w:spacing w:before="0" w:line="276" w:lineRule="auto"/>
              <w:ind w:firstLine="0"/>
              <w:jc w:val="center"/>
              <w:rPr>
                <w:bCs/>
                <w:sz w:val="20"/>
                <w:szCs w:val="20"/>
                <w:lang w:val="en-US"/>
              </w:rPr>
            </w:pPr>
            <w:r w:rsidRPr="00BB489E">
              <w:rPr>
                <w:rFonts w:cs="Calibri"/>
                <w:bCs/>
                <w:sz w:val="20"/>
                <w:szCs w:val="20"/>
              </w:rPr>
              <w:t>1</w:t>
            </w:r>
            <w:r w:rsidRPr="00BB489E">
              <w:rPr>
                <w:rFonts w:cs="Calibri"/>
                <w:bCs/>
                <w:sz w:val="20"/>
                <w:szCs w:val="20"/>
                <w:lang w:val="en-US"/>
              </w:rPr>
              <w:t>48</w:t>
            </w:r>
            <w:r w:rsidRPr="00BB489E">
              <w:rPr>
                <w:rFonts w:cs="Calibri"/>
                <w:bCs/>
                <w:sz w:val="20"/>
                <w:szCs w:val="20"/>
              </w:rPr>
              <w:t>,</w:t>
            </w:r>
            <w:r w:rsidRPr="00BB489E">
              <w:rPr>
                <w:rFonts w:cs="Calibri"/>
                <w:bCs/>
                <w:sz w:val="20"/>
                <w:szCs w:val="20"/>
                <w:lang w:val="en-US"/>
              </w:rPr>
              <w:t>944</w:t>
            </w:r>
            <w:r w:rsidRPr="00BB489E">
              <w:rPr>
                <w:rFonts w:cs="Calibri"/>
                <w:bCs/>
                <w:sz w:val="20"/>
                <w:szCs w:val="20"/>
              </w:rPr>
              <w:t>.</w:t>
            </w:r>
            <w:r w:rsidRPr="00BB489E">
              <w:rPr>
                <w:rFonts w:cs="Calibri"/>
                <w:bCs/>
                <w:sz w:val="20"/>
                <w:szCs w:val="20"/>
                <w:lang w:val="en-US"/>
              </w:rPr>
              <w:t>2</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2D1DA86A" w14:textId="77777777" w:rsidR="007E61D3" w:rsidRPr="00755469" w:rsidRDefault="007E61D3" w:rsidP="00291CBE">
            <w:pPr>
              <w:spacing w:before="0" w:line="276" w:lineRule="auto"/>
              <w:ind w:firstLine="0"/>
              <w:jc w:val="center"/>
              <w:rPr>
                <w:rFonts w:cs="Calibri"/>
                <w:bCs/>
                <w:sz w:val="20"/>
                <w:szCs w:val="20"/>
                <w:lang w:val="en-US"/>
              </w:rPr>
            </w:pPr>
            <w:r>
              <w:rPr>
                <w:rFonts w:cs="Calibri"/>
                <w:bCs/>
                <w:sz w:val="20"/>
                <w:szCs w:val="20"/>
                <w:lang w:val="hy-AM"/>
              </w:rPr>
              <w:t>2</w:t>
            </w:r>
            <w:r>
              <w:rPr>
                <w:rFonts w:cs="Calibri"/>
                <w:bCs/>
                <w:sz w:val="20"/>
                <w:szCs w:val="20"/>
                <w:lang w:val="en-US"/>
              </w:rPr>
              <w:t>11,599.0</w:t>
            </w:r>
          </w:p>
        </w:tc>
      </w:tr>
      <w:tr w:rsidR="007E61D3" w:rsidRPr="00BB489E" w14:paraId="0C7B4AC6"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5F8A359C"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54378567"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1.86</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71059130"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1.70</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7D9FD74B" w14:textId="77777777" w:rsidR="007E61D3" w:rsidRPr="00BB489E" w:rsidRDefault="007E61D3" w:rsidP="00291CBE">
            <w:pPr>
              <w:spacing w:before="0" w:line="276" w:lineRule="auto"/>
              <w:ind w:firstLine="0"/>
              <w:jc w:val="center"/>
              <w:rPr>
                <w:rFonts w:cs="Arial"/>
                <w:b w:val="0"/>
                <w:color w:val="000000"/>
                <w:sz w:val="18"/>
                <w:szCs w:val="18"/>
              </w:rPr>
            </w:pPr>
            <w:r>
              <w:rPr>
                <w:rFonts w:cs="Arial"/>
                <w:b w:val="0"/>
                <w:color w:val="000000"/>
                <w:sz w:val="18"/>
                <w:szCs w:val="18"/>
                <w:lang w:val="hy-AM"/>
              </w:rPr>
              <w:t>2,03</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clear" w:color="auto" w:fill="FFFFFF"/>
            <w:vAlign w:val="center"/>
            <w:hideMark/>
          </w:tcPr>
          <w:p w14:paraId="781357FF" w14:textId="77777777" w:rsidR="007E61D3" w:rsidRPr="00BB489E" w:rsidRDefault="007E61D3" w:rsidP="00291CBE">
            <w:pPr>
              <w:spacing w:before="0" w:line="276" w:lineRule="auto"/>
              <w:ind w:firstLine="0"/>
              <w:jc w:val="center"/>
              <w:rPr>
                <w:rFonts w:cs="Arial"/>
                <w:b w:val="0"/>
                <w:color w:val="000000"/>
                <w:sz w:val="18"/>
                <w:szCs w:val="18"/>
                <w:lang w:val="en-US"/>
              </w:rPr>
            </w:pPr>
            <w:r w:rsidRPr="00BB489E">
              <w:rPr>
                <w:rFonts w:cs="Arial"/>
                <w:b w:val="0"/>
                <w:color w:val="000000"/>
                <w:sz w:val="18"/>
                <w:szCs w:val="18"/>
              </w:rPr>
              <w:t>2.</w:t>
            </w:r>
            <w:r w:rsidRPr="00BB489E">
              <w:rPr>
                <w:rFonts w:cs="Arial"/>
                <w:b w:val="0"/>
                <w:color w:val="000000"/>
                <w:sz w:val="18"/>
                <w:szCs w:val="18"/>
                <w:lang w:val="en-US"/>
              </w:rPr>
              <w:t>33</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clear" w:color="auto" w:fill="FFFFFF"/>
            <w:vAlign w:val="center"/>
          </w:tcPr>
          <w:p w14:paraId="1923C64E"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2.</w:t>
            </w:r>
            <w:r>
              <w:rPr>
                <w:rFonts w:cs="Arial"/>
                <w:b w:val="0"/>
                <w:color w:val="000000"/>
                <w:sz w:val="18"/>
                <w:szCs w:val="18"/>
                <w:lang w:val="hy-AM"/>
              </w:rPr>
              <w:t>6</w:t>
            </w:r>
            <w:r>
              <w:rPr>
                <w:rFonts w:cs="Arial"/>
                <w:b w:val="0"/>
                <w:color w:val="000000"/>
                <w:sz w:val="18"/>
                <w:szCs w:val="18"/>
                <w:lang w:val="en-US"/>
              </w:rPr>
              <w:t>9%</w:t>
            </w:r>
          </w:p>
        </w:tc>
      </w:tr>
      <w:tr w:rsidR="007E61D3" w:rsidRPr="00BB489E" w14:paraId="1D2C6C11"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70F03663"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4A637777"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7.8</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clear" w:color="auto" w:fill="FFFFFF"/>
            <w:tcMar>
              <w:top w:w="0" w:type="dxa"/>
              <w:left w:w="57" w:type="dxa"/>
              <w:bottom w:w="0" w:type="dxa"/>
              <w:right w:w="85" w:type="dxa"/>
            </w:tcMar>
            <w:vAlign w:val="center"/>
            <w:hideMark/>
          </w:tcPr>
          <w:p w14:paraId="64EAE1AD"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6.9</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clear" w:color="auto" w:fill="FFFFFF"/>
            <w:vAlign w:val="center"/>
            <w:hideMark/>
          </w:tcPr>
          <w:p w14:paraId="21E094B3" w14:textId="77777777" w:rsidR="007E61D3" w:rsidRPr="00BB489E" w:rsidRDefault="007E61D3" w:rsidP="00291CBE">
            <w:pPr>
              <w:spacing w:before="0" w:line="276" w:lineRule="auto"/>
              <w:ind w:firstLine="0"/>
              <w:jc w:val="center"/>
              <w:rPr>
                <w:rFonts w:cs="Arial"/>
                <w:b w:val="0"/>
                <w:color w:val="000000"/>
                <w:sz w:val="18"/>
                <w:szCs w:val="18"/>
              </w:rPr>
            </w:pPr>
            <w:r>
              <w:rPr>
                <w:rFonts w:cs="Arial"/>
                <w:b w:val="0"/>
                <w:color w:val="000000"/>
                <w:sz w:val="18"/>
                <w:szCs w:val="18"/>
                <w:lang w:val="hy-AM"/>
              </w:rPr>
              <w:t>6</w:t>
            </w:r>
            <w:r w:rsidRPr="00BB489E">
              <w:rPr>
                <w:rFonts w:cs="Arial"/>
                <w:b w:val="0"/>
                <w:color w:val="000000"/>
                <w:sz w:val="18"/>
                <w:szCs w:val="18"/>
              </w:rPr>
              <w:t>.</w:t>
            </w:r>
            <w:r>
              <w:rPr>
                <w:rFonts w:cs="Arial"/>
                <w:b w:val="0"/>
                <w:color w:val="000000"/>
                <w:sz w:val="18"/>
                <w:szCs w:val="18"/>
                <w:lang w:val="hy-AM"/>
              </w:rPr>
              <w:t>6</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clear" w:color="auto" w:fill="FFFFFF"/>
            <w:vAlign w:val="center"/>
            <w:hideMark/>
          </w:tcPr>
          <w:p w14:paraId="3FB54B41"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8.0</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clear" w:color="auto" w:fill="FFFFFF"/>
            <w:vAlign w:val="center"/>
          </w:tcPr>
          <w:p w14:paraId="2914C73E"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9.7%</w:t>
            </w:r>
          </w:p>
        </w:tc>
      </w:tr>
      <w:tr w:rsidR="007E61D3" w:rsidRPr="00BB489E" w14:paraId="21C155E2"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4C3A9A26" w14:textId="77777777" w:rsidR="007E61D3" w:rsidRPr="00BB489E" w:rsidRDefault="007E61D3" w:rsidP="00291CBE">
            <w:pPr>
              <w:spacing w:before="0" w:line="276" w:lineRule="auto"/>
              <w:ind w:firstLine="0"/>
              <w:jc w:val="left"/>
              <w:rPr>
                <w:sz w:val="20"/>
                <w:szCs w:val="20"/>
              </w:rPr>
            </w:pPr>
            <w:r w:rsidRPr="00BB489E">
              <w:rPr>
                <w:sz w:val="20"/>
                <w:szCs w:val="20"/>
              </w:rPr>
              <w:t>2.</w:t>
            </w:r>
            <w:r w:rsidRPr="00BB489E">
              <w:rPr>
                <w:bCs/>
                <w:sz w:val="20"/>
                <w:szCs w:val="20"/>
              </w:rPr>
              <w:t>ՇՐՋԱԿԱ  ՄԻՋԱՎԱՅՐԻ ՊԱՇՏՊԱՆՈՒԹՅՈՒՆ</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7F3872B3" w14:textId="77777777" w:rsidR="007E61D3" w:rsidRPr="00BB489E" w:rsidRDefault="007E61D3" w:rsidP="00291CBE">
            <w:pPr>
              <w:spacing w:before="0" w:line="276" w:lineRule="auto"/>
              <w:ind w:firstLine="0"/>
              <w:jc w:val="center"/>
              <w:rPr>
                <w:bCs/>
                <w:sz w:val="20"/>
                <w:szCs w:val="20"/>
              </w:rPr>
            </w:pPr>
            <w:r w:rsidRPr="00BB489E">
              <w:rPr>
                <w:rFonts w:cs="Calibri"/>
                <w:bCs/>
                <w:sz w:val="20"/>
                <w:szCs w:val="20"/>
              </w:rPr>
              <w:t>5,690.8</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3395477F" w14:textId="77777777" w:rsidR="007E61D3" w:rsidRPr="00BB489E" w:rsidRDefault="007E61D3" w:rsidP="00291CBE">
            <w:pPr>
              <w:spacing w:before="0" w:line="276" w:lineRule="auto"/>
              <w:ind w:firstLine="0"/>
              <w:jc w:val="center"/>
              <w:rPr>
                <w:bCs/>
                <w:sz w:val="20"/>
                <w:szCs w:val="20"/>
              </w:rPr>
            </w:pPr>
            <w:r w:rsidRPr="00BB489E">
              <w:rPr>
                <w:rFonts w:cs="Calibri"/>
                <w:bCs/>
                <w:sz w:val="20"/>
                <w:szCs w:val="20"/>
              </w:rPr>
              <w:t>5,816.9</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14:paraId="00E4A064" w14:textId="77777777" w:rsidR="007E61D3" w:rsidRPr="00A15FAC" w:rsidRDefault="007E61D3" w:rsidP="00291CBE">
            <w:pPr>
              <w:spacing w:before="0" w:line="276" w:lineRule="auto"/>
              <w:ind w:firstLine="0"/>
              <w:jc w:val="center"/>
              <w:rPr>
                <w:bCs/>
                <w:sz w:val="20"/>
                <w:szCs w:val="20"/>
                <w:lang w:val="hy-AM"/>
              </w:rPr>
            </w:pPr>
            <w:r>
              <w:rPr>
                <w:rFonts w:cs="Calibri"/>
                <w:bCs/>
                <w:sz w:val="20"/>
                <w:szCs w:val="20"/>
                <w:lang w:val="hy-AM"/>
              </w:rPr>
              <w:t>4</w:t>
            </w:r>
            <w:r w:rsidRPr="00BB489E">
              <w:rPr>
                <w:rFonts w:cs="Calibri"/>
                <w:bCs/>
                <w:sz w:val="20"/>
                <w:szCs w:val="20"/>
              </w:rPr>
              <w:t>,</w:t>
            </w:r>
            <w:r>
              <w:rPr>
                <w:rFonts w:cs="Calibri"/>
                <w:bCs/>
                <w:sz w:val="20"/>
                <w:szCs w:val="20"/>
                <w:lang w:val="hy-AM"/>
              </w:rPr>
              <w:t>424</w:t>
            </w:r>
            <w:r w:rsidRPr="00BB489E">
              <w:rPr>
                <w:rFonts w:cs="Calibri"/>
                <w:bCs/>
                <w:sz w:val="20"/>
                <w:szCs w:val="20"/>
              </w:rPr>
              <w:t>.</w:t>
            </w:r>
            <w:r>
              <w:rPr>
                <w:rFonts w:cs="Calibri"/>
                <w:bCs/>
                <w:sz w:val="20"/>
                <w:szCs w:val="20"/>
                <w:lang w:val="hy-AM"/>
              </w:rPr>
              <w:t>2</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5DE9DA38" w14:textId="77777777" w:rsidR="007E61D3" w:rsidRPr="00BB489E" w:rsidRDefault="007E61D3" w:rsidP="00291CBE">
            <w:pPr>
              <w:spacing w:before="0" w:line="276" w:lineRule="auto"/>
              <w:ind w:firstLine="0"/>
              <w:jc w:val="center"/>
              <w:rPr>
                <w:bCs/>
                <w:sz w:val="20"/>
                <w:szCs w:val="20"/>
                <w:lang w:val="en-US"/>
              </w:rPr>
            </w:pPr>
            <w:r w:rsidRPr="00BB489E">
              <w:rPr>
                <w:rFonts w:cs="Calibri"/>
                <w:bCs/>
                <w:sz w:val="20"/>
                <w:szCs w:val="20"/>
              </w:rPr>
              <w:t>10,</w:t>
            </w:r>
            <w:r w:rsidRPr="00BB489E">
              <w:rPr>
                <w:rFonts w:cs="Calibri"/>
                <w:bCs/>
                <w:sz w:val="20"/>
                <w:szCs w:val="20"/>
                <w:lang w:val="en-US"/>
              </w:rPr>
              <w:t>892</w:t>
            </w:r>
            <w:r w:rsidRPr="00BB489E">
              <w:rPr>
                <w:rFonts w:cs="Calibri"/>
                <w:bCs/>
                <w:sz w:val="20"/>
                <w:szCs w:val="20"/>
              </w:rPr>
              <w:t>.</w:t>
            </w:r>
            <w:r w:rsidRPr="00BB489E">
              <w:rPr>
                <w:rFonts w:cs="Calibri"/>
                <w:bCs/>
                <w:sz w:val="20"/>
                <w:szCs w:val="20"/>
                <w:lang w:val="en-US"/>
              </w:rPr>
              <w:t>1</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6F657188" w14:textId="77777777" w:rsidR="007E61D3" w:rsidRPr="00755469" w:rsidRDefault="007E61D3" w:rsidP="00291CBE">
            <w:pPr>
              <w:spacing w:before="0" w:line="276" w:lineRule="auto"/>
              <w:ind w:firstLine="0"/>
              <w:jc w:val="center"/>
              <w:rPr>
                <w:rFonts w:cs="Calibri"/>
                <w:bCs/>
                <w:sz w:val="20"/>
                <w:szCs w:val="20"/>
                <w:lang w:val="en-US"/>
              </w:rPr>
            </w:pPr>
            <w:r>
              <w:rPr>
                <w:rFonts w:cs="Calibri"/>
                <w:bCs/>
                <w:sz w:val="20"/>
                <w:szCs w:val="20"/>
                <w:lang w:val="en-US"/>
              </w:rPr>
              <w:t>9,766.5</w:t>
            </w:r>
          </w:p>
        </w:tc>
      </w:tr>
      <w:tr w:rsidR="007E61D3" w:rsidRPr="00BB489E" w14:paraId="52D03BBB"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1089319"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0FFF150"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0.09</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45D94BA0"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0.09</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3C37107E"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w:t>
            </w:r>
            <w:r>
              <w:rPr>
                <w:rFonts w:cs="Arial"/>
                <w:b w:val="0"/>
                <w:color w:val="000000"/>
                <w:sz w:val="18"/>
                <w:szCs w:val="18"/>
                <w:lang w:val="hy-AM"/>
              </w:rPr>
              <w:t>07</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278083AC" w14:textId="77777777" w:rsidR="007E61D3" w:rsidRPr="00BB489E" w:rsidRDefault="007E61D3" w:rsidP="00291CBE">
            <w:pPr>
              <w:spacing w:before="0" w:line="276" w:lineRule="auto"/>
              <w:ind w:firstLine="0"/>
              <w:jc w:val="center"/>
              <w:rPr>
                <w:rFonts w:cs="Arial"/>
                <w:b w:val="0"/>
                <w:color w:val="000000"/>
                <w:sz w:val="18"/>
                <w:szCs w:val="18"/>
                <w:lang w:val="en-US"/>
              </w:rPr>
            </w:pPr>
            <w:r w:rsidRPr="00BB489E">
              <w:rPr>
                <w:rFonts w:cs="Arial"/>
                <w:b w:val="0"/>
                <w:color w:val="000000"/>
                <w:sz w:val="18"/>
                <w:szCs w:val="18"/>
              </w:rPr>
              <w:t>0.1</w:t>
            </w:r>
            <w:r w:rsidRPr="00BB489E">
              <w:rPr>
                <w:rFonts w:cs="Arial"/>
                <w:b w:val="0"/>
                <w:color w:val="000000"/>
                <w:sz w:val="18"/>
                <w:szCs w:val="18"/>
                <w:lang w:val="en-US"/>
              </w:rPr>
              <w:t>7</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0848256B"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0.12%</w:t>
            </w:r>
          </w:p>
        </w:tc>
      </w:tr>
      <w:tr w:rsidR="007E61D3" w:rsidRPr="00BB489E" w14:paraId="1C440DF2"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990682D"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53F947C2"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0.39</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1D42CD46"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0.36</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26C9AA35"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w:t>
            </w:r>
            <w:r>
              <w:rPr>
                <w:rFonts w:cs="Arial"/>
                <w:b w:val="0"/>
                <w:color w:val="000000"/>
                <w:sz w:val="18"/>
                <w:szCs w:val="18"/>
                <w:lang w:val="hy-AM"/>
              </w:rPr>
              <w:t>23</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21937A70" w14:textId="77777777" w:rsidR="007E61D3" w:rsidRPr="00BB489E" w:rsidRDefault="007E61D3" w:rsidP="00291CBE">
            <w:pPr>
              <w:spacing w:before="0" w:line="276" w:lineRule="auto"/>
              <w:ind w:firstLine="0"/>
              <w:jc w:val="center"/>
              <w:rPr>
                <w:rFonts w:cs="Arial"/>
                <w:b w:val="0"/>
                <w:color w:val="000000"/>
                <w:sz w:val="18"/>
                <w:szCs w:val="18"/>
                <w:lang w:val="en-US"/>
              </w:rPr>
            </w:pPr>
            <w:r w:rsidRPr="00BB489E">
              <w:rPr>
                <w:rFonts w:cs="Arial"/>
                <w:b w:val="0"/>
                <w:color w:val="000000"/>
                <w:sz w:val="18"/>
                <w:szCs w:val="18"/>
              </w:rPr>
              <w:t>0.5</w:t>
            </w:r>
            <w:r w:rsidRPr="00BB489E">
              <w:rPr>
                <w:rFonts w:cs="Arial"/>
                <w:b w:val="0"/>
                <w:color w:val="000000"/>
                <w:sz w:val="18"/>
                <w:szCs w:val="18"/>
                <w:lang w:val="en-US"/>
              </w:rPr>
              <w:t>9</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31CCE398"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0.45%</w:t>
            </w:r>
          </w:p>
        </w:tc>
      </w:tr>
      <w:tr w:rsidR="007E61D3" w:rsidRPr="00BB489E" w14:paraId="157045C2"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79D7BA94" w14:textId="77777777" w:rsidR="007E61D3" w:rsidRPr="00BB489E" w:rsidRDefault="007E61D3" w:rsidP="00291CBE">
            <w:pPr>
              <w:spacing w:before="0" w:line="276" w:lineRule="auto"/>
              <w:ind w:firstLine="0"/>
              <w:jc w:val="left"/>
              <w:rPr>
                <w:sz w:val="20"/>
                <w:szCs w:val="20"/>
                <w:lang w:val="hy-AM"/>
              </w:rPr>
            </w:pPr>
            <w:r w:rsidRPr="00E445D5">
              <w:rPr>
                <w:sz w:val="20"/>
                <w:szCs w:val="20"/>
              </w:rPr>
              <w:t>3</w:t>
            </w:r>
            <w:r w:rsidRPr="00BB489E">
              <w:rPr>
                <w:sz w:val="20"/>
                <w:szCs w:val="20"/>
                <w:lang w:val="hy-AM"/>
              </w:rPr>
              <w:t xml:space="preserve">. </w:t>
            </w:r>
            <w:r w:rsidRPr="00BB489E">
              <w:rPr>
                <w:bCs/>
                <w:sz w:val="20"/>
                <w:szCs w:val="20"/>
              </w:rPr>
              <w:t>ԲՆԱԿԱՐԱՆԱՅԻՆ</w:t>
            </w:r>
            <w:r w:rsidRPr="00E445D5">
              <w:rPr>
                <w:bCs/>
                <w:sz w:val="20"/>
                <w:szCs w:val="20"/>
              </w:rPr>
              <w:t xml:space="preserve"> </w:t>
            </w:r>
            <w:r w:rsidRPr="00BB489E">
              <w:rPr>
                <w:bCs/>
                <w:sz w:val="20"/>
                <w:szCs w:val="20"/>
              </w:rPr>
              <w:t>ՇԻՆԱՐԱՐՈՒԹՅՈՒՆ</w:t>
            </w:r>
            <w:r w:rsidRPr="00E445D5">
              <w:rPr>
                <w:bCs/>
                <w:sz w:val="20"/>
                <w:szCs w:val="20"/>
              </w:rPr>
              <w:t xml:space="preserve"> </w:t>
            </w:r>
            <w:r w:rsidRPr="00BB489E">
              <w:rPr>
                <w:bCs/>
                <w:sz w:val="20"/>
                <w:szCs w:val="20"/>
              </w:rPr>
              <w:t>ԵՎ</w:t>
            </w:r>
            <w:r w:rsidRPr="00E445D5">
              <w:rPr>
                <w:bCs/>
                <w:sz w:val="20"/>
                <w:szCs w:val="20"/>
              </w:rPr>
              <w:t xml:space="preserve"> </w:t>
            </w:r>
            <w:r w:rsidRPr="00BB489E">
              <w:rPr>
                <w:bCs/>
                <w:sz w:val="20"/>
                <w:szCs w:val="20"/>
              </w:rPr>
              <w:t>ԿՈՄՈՒՆԱԼ</w:t>
            </w:r>
            <w:r w:rsidRPr="00E445D5">
              <w:rPr>
                <w:bCs/>
                <w:sz w:val="20"/>
                <w:szCs w:val="20"/>
              </w:rPr>
              <w:t xml:space="preserve"> </w:t>
            </w:r>
            <w:r w:rsidRPr="00BB489E">
              <w:rPr>
                <w:bCs/>
                <w:sz w:val="20"/>
                <w:szCs w:val="20"/>
              </w:rPr>
              <w:t>ԾԱՌԱՅՈՒԹՅՈՒՆՆԵՐ</w:t>
            </w:r>
          </w:p>
        </w:tc>
        <w:tc>
          <w:tcPr>
            <w:tcW w:w="653"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641DAC69" w14:textId="77777777" w:rsidR="007E61D3" w:rsidRPr="00BB489E" w:rsidRDefault="007E61D3" w:rsidP="00291CBE">
            <w:pPr>
              <w:spacing w:before="0" w:line="276" w:lineRule="auto"/>
              <w:ind w:firstLine="0"/>
              <w:jc w:val="center"/>
              <w:rPr>
                <w:bCs/>
                <w:sz w:val="20"/>
                <w:szCs w:val="20"/>
              </w:rPr>
            </w:pPr>
            <w:r w:rsidRPr="00BB489E">
              <w:rPr>
                <w:rFonts w:cs="Calibri"/>
                <w:bCs/>
                <w:sz w:val="20"/>
                <w:szCs w:val="20"/>
              </w:rPr>
              <w:t>11,709.0</w:t>
            </w:r>
          </w:p>
        </w:tc>
        <w:tc>
          <w:tcPr>
            <w:tcW w:w="581"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57" w:type="dxa"/>
              <w:bottom w:w="0" w:type="dxa"/>
              <w:right w:w="85" w:type="dxa"/>
            </w:tcMar>
            <w:vAlign w:val="center"/>
            <w:hideMark/>
          </w:tcPr>
          <w:p w14:paraId="616C20AB" w14:textId="77777777" w:rsidR="007E61D3" w:rsidRPr="00BB489E" w:rsidRDefault="007E61D3" w:rsidP="00291CBE">
            <w:pPr>
              <w:spacing w:before="0" w:line="276" w:lineRule="auto"/>
              <w:ind w:firstLine="0"/>
              <w:jc w:val="center"/>
              <w:rPr>
                <w:bCs/>
                <w:sz w:val="20"/>
                <w:szCs w:val="20"/>
              </w:rPr>
            </w:pPr>
            <w:r w:rsidRPr="00BB489E">
              <w:rPr>
                <w:rFonts w:cs="Calibri"/>
                <w:bCs/>
                <w:sz w:val="20"/>
                <w:szCs w:val="20"/>
              </w:rPr>
              <w:t>16,247.5</w:t>
            </w:r>
          </w:p>
        </w:tc>
        <w:tc>
          <w:tcPr>
            <w:tcW w:w="607" w:type="pct"/>
            <w:tcBorders>
              <w:top w:val="single" w:sz="8" w:space="0" w:color="auto"/>
              <w:left w:val="single" w:sz="8" w:space="0" w:color="auto"/>
              <w:bottom w:val="single" w:sz="8" w:space="0" w:color="auto"/>
              <w:right w:val="single" w:sz="8" w:space="0" w:color="auto"/>
            </w:tcBorders>
            <w:shd w:val="clear" w:color="auto" w:fill="C6D9F1" w:themeFill="text2" w:themeFillTint="33"/>
            <w:tcMar>
              <w:top w:w="0" w:type="dxa"/>
              <w:left w:w="30" w:type="dxa"/>
              <w:bottom w:w="0" w:type="dxa"/>
              <w:right w:w="30" w:type="dxa"/>
            </w:tcMar>
            <w:vAlign w:val="center"/>
            <w:hideMark/>
          </w:tcPr>
          <w:p w14:paraId="0C2E28E0" w14:textId="77777777" w:rsidR="007E61D3" w:rsidRPr="00A15FAC" w:rsidRDefault="007E61D3" w:rsidP="00291CBE">
            <w:pPr>
              <w:spacing w:before="0" w:line="276" w:lineRule="auto"/>
              <w:ind w:firstLine="0"/>
              <w:jc w:val="center"/>
              <w:rPr>
                <w:bCs/>
                <w:sz w:val="20"/>
                <w:szCs w:val="20"/>
                <w:lang w:val="hy-AM"/>
              </w:rPr>
            </w:pPr>
            <w:r>
              <w:rPr>
                <w:rFonts w:cs="Calibri"/>
                <w:bCs/>
                <w:sz w:val="20"/>
                <w:szCs w:val="20"/>
                <w:lang w:val="hy-AM"/>
              </w:rPr>
              <w:t>8</w:t>
            </w:r>
            <w:r w:rsidRPr="00BB489E">
              <w:rPr>
                <w:rFonts w:cs="Calibri"/>
                <w:bCs/>
                <w:sz w:val="20"/>
                <w:szCs w:val="20"/>
              </w:rPr>
              <w:t>,9</w:t>
            </w:r>
            <w:r>
              <w:rPr>
                <w:rFonts w:cs="Calibri"/>
                <w:bCs/>
                <w:sz w:val="20"/>
                <w:szCs w:val="20"/>
                <w:lang w:val="hy-AM"/>
              </w:rPr>
              <w:t>03</w:t>
            </w:r>
            <w:r w:rsidRPr="00BB489E">
              <w:rPr>
                <w:rFonts w:cs="Calibri"/>
                <w:bCs/>
                <w:sz w:val="20"/>
                <w:szCs w:val="20"/>
              </w:rPr>
              <w:t>.</w:t>
            </w:r>
            <w:r>
              <w:rPr>
                <w:rFonts w:cs="Calibri"/>
                <w:bCs/>
                <w:sz w:val="20"/>
                <w:szCs w:val="20"/>
                <w:lang w:val="hy-AM"/>
              </w:rPr>
              <w:t>6</w:t>
            </w:r>
          </w:p>
        </w:tc>
        <w:tc>
          <w:tcPr>
            <w:tcW w:w="699" w:type="pct"/>
            <w:tcBorders>
              <w:top w:val="single" w:sz="8" w:space="0" w:color="auto"/>
              <w:left w:val="single" w:sz="8" w:space="0" w:color="auto"/>
              <w:bottom w:val="single" w:sz="8"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61E2CA4D" w14:textId="77777777" w:rsidR="007E61D3" w:rsidRPr="00BB489E" w:rsidRDefault="007E61D3" w:rsidP="00291CBE">
            <w:pPr>
              <w:spacing w:before="0" w:line="276" w:lineRule="auto"/>
              <w:ind w:firstLine="0"/>
              <w:jc w:val="center"/>
              <w:rPr>
                <w:bCs/>
                <w:sz w:val="20"/>
                <w:szCs w:val="20"/>
                <w:lang w:val="en-US"/>
              </w:rPr>
            </w:pPr>
            <w:r w:rsidRPr="00BB489E">
              <w:rPr>
                <w:rFonts w:cs="Calibri"/>
                <w:bCs/>
                <w:sz w:val="20"/>
                <w:szCs w:val="20"/>
              </w:rPr>
              <w:t>14,</w:t>
            </w:r>
            <w:r w:rsidRPr="00BB489E">
              <w:rPr>
                <w:rFonts w:cs="Calibri"/>
                <w:bCs/>
                <w:sz w:val="20"/>
                <w:szCs w:val="20"/>
                <w:lang w:val="en-US"/>
              </w:rPr>
              <w:t>694</w:t>
            </w:r>
            <w:r w:rsidRPr="00BB489E">
              <w:rPr>
                <w:rFonts w:cs="Calibri"/>
                <w:bCs/>
                <w:sz w:val="20"/>
                <w:szCs w:val="20"/>
              </w:rPr>
              <w:t>.</w:t>
            </w:r>
            <w:r w:rsidRPr="00BB489E">
              <w:rPr>
                <w:rFonts w:cs="Calibri"/>
                <w:bCs/>
                <w:sz w:val="20"/>
                <w:szCs w:val="20"/>
                <w:lang w:val="en-US"/>
              </w:rPr>
              <w:t>9</w:t>
            </w:r>
          </w:p>
        </w:tc>
        <w:tc>
          <w:tcPr>
            <w:tcW w:w="726" w:type="pct"/>
            <w:tcBorders>
              <w:top w:val="single" w:sz="8" w:space="0" w:color="auto"/>
              <w:left w:val="single" w:sz="8" w:space="0" w:color="auto"/>
              <w:bottom w:val="single" w:sz="8" w:space="0" w:color="auto"/>
              <w:right w:val="double" w:sz="4" w:space="0" w:color="auto"/>
            </w:tcBorders>
            <w:shd w:val="clear" w:color="auto" w:fill="C6D9F1" w:themeFill="text2" w:themeFillTint="33"/>
            <w:vAlign w:val="center"/>
          </w:tcPr>
          <w:p w14:paraId="5477DD43" w14:textId="77777777" w:rsidR="007E61D3" w:rsidRPr="00755469" w:rsidRDefault="007E61D3" w:rsidP="00291CBE">
            <w:pPr>
              <w:spacing w:before="0" w:line="276" w:lineRule="auto"/>
              <w:ind w:firstLine="0"/>
              <w:jc w:val="center"/>
              <w:rPr>
                <w:rFonts w:cs="Calibri"/>
                <w:bCs/>
                <w:sz w:val="20"/>
                <w:szCs w:val="20"/>
                <w:lang w:val="en-US"/>
              </w:rPr>
            </w:pPr>
            <w:r>
              <w:rPr>
                <w:rFonts w:cs="Calibri"/>
                <w:bCs/>
                <w:sz w:val="20"/>
                <w:szCs w:val="20"/>
                <w:lang w:val="en-US"/>
              </w:rPr>
              <w:t>16,024.6</w:t>
            </w:r>
          </w:p>
        </w:tc>
      </w:tr>
      <w:tr w:rsidR="007E61D3" w:rsidRPr="00BB489E" w14:paraId="5B2AA2F5" w14:textId="77777777" w:rsidTr="00291CBE">
        <w:trPr>
          <w:trHeight w:val="20"/>
        </w:trPr>
        <w:tc>
          <w:tcPr>
            <w:tcW w:w="1734" w:type="pct"/>
            <w:tcBorders>
              <w:top w:val="single" w:sz="8" w:space="0" w:color="auto"/>
              <w:left w:val="double" w:sz="4"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0F30E4F8"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53"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61CCA820"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0.19</w:t>
            </w:r>
            <w:r w:rsidRPr="00C05F21">
              <w:rPr>
                <w:sz w:val="20"/>
                <w:szCs w:val="20"/>
              </w:rPr>
              <w:t>%</w:t>
            </w:r>
          </w:p>
        </w:tc>
        <w:tc>
          <w:tcPr>
            <w:tcW w:w="581" w:type="pct"/>
            <w:tcBorders>
              <w:top w:val="single" w:sz="8" w:space="0" w:color="auto"/>
              <w:left w:val="single" w:sz="8" w:space="0" w:color="auto"/>
              <w:bottom w:val="single" w:sz="8" w:space="0" w:color="auto"/>
              <w:right w:val="single" w:sz="8" w:space="0" w:color="auto"/>
            </w:tcBorders>
            <w:shd w:val="solid" w:color="FFFFFF" w:fill="auto"/>
            <w:tcMar>
              <w:top w:w="0" w:type="dxa"/>
              <w:left w:w="57" w:type="dxa"/>
              <w:bottom w:w="0" w:type="dxa"/>
              <w:right w:w="85" w:type="dxa"/>
            </w:tcMar>
            <w:vAlign w:val="center"/>
            <w:hideMark/>
          </w:tcPr>
          <w:p w14:paraId="035AD003"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0.25</w:t>
            </w:r>
            <w:r w:rsidRPr="00C05F21">
              <w:rPr>
                <w:sz w:val="20"/>
                <w:szCs w:val="20"/>
              </w:rPr>
              <w:t>%</w:t>
            </w:r>
          </w:p>
        </w:tc>
        <w:tc>
          <w:tcPr>
            <w:tcW w:w="607" w:type="pct"/>
            <w:tcBorders>
              <w:top w:val="single" w:sz="8" w:space="0" w:color="auto"/>
              <w:left w:val="single" w:sz="8" w:space="0" w:color="auto"/>
              <w:bottom w:val="single" w:sz="8" w:space="0" w:color="auto"/>
              <w:right w:val="single" w:sz="8" w:space="0" w:color="auto"/>
            </w:tcBorders>
            <w:shd w:val="solid" w:color="FFFFFF" w:fill="auto"/>
            <w:tcMar>
              <w:top w:w="0" w:type="dxa"/>
              <w:left w:w="30" w:type="dxa"/>
              <w:bottom w:w="0" w:type="dxa"/>
              <w:right w:w="30" w:type="dxa"/>
            </w:tcMar>
            <w:vAlign w:val="center"/>
            <w:hideMark/>
          </w:tcPr>
          <w:p w14:paraId="4DEAA448"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w:t>
            </w:r>
            <w:r>
              <w:rPr>
                <w:rFonts w:cs="Arial"/>
                <w:b w:val="0"/>
                <w:color w:val="000000"/>
                <w:sz w:val="18"/>
                <w:szCs w:val="18"/>
                <w:lang w:val="hy-AM"/>
              </w:rPr>
              <w:t>01</w:t>
            </w:r>
            <w:r w:rsidRPr="00C05F21">
              <w:rPr>
                <w:sz w:val="20"/>
                <w:szCs w:val="20"/>
              </w:rPr>
              <w:t>%</w:t>
            </w:r>
          </w:p>
        </w:tc>
        <w:tc>
          <w:tcPr>
            <w:tcW w:w="699" w:type="pct"/>
            <w:tcBorders>
              <w:top w:val="single" w:sz="8" w:space="0" w:color="auto"/>
              <w:left w:val="single" w:sz="8" w:space="0" w:color="auto"/>
              <w:bottom w:val="single" w:sz="8" w:space="0" w:color="auto"/>
              <w:right w:val="double" w:sz="4" w:space="0" w:color="auto"/>
            </w:tcBorders>
            <w:shd w:val="solid" w:color="FFFFFF" w:fill="auto"/>
            <w:tcMar>
              <w:top w:w="0" w:type="dxa"/>
              <w:left w:w="30" w:type="dxa"/>
              <w:bottom w:w="0" w:type="dxa"/>
              <w:right w:w="30" w:type="dxa"/>
            </w:tcMar>
            <w:vAlign w:val="center"/>
            <w:hideMark/>
          </w:tcPr>
          <w:p w14:paraId="3DAD49E7" w14:textId="77777777" w:rsidR="007E61D3" w:rsidRPr="00BB489E" w:rsidRDefault="007E61D3" w:rsidP="00291CBE">
            <w:pPr>
              <w:spacing w:before="0" w:line="276" w:lineRule="auto"/>
              <w:ind w:firstLine="0"/>
              <w:jc w:val="center"/>
              <w:rPr>
                <w:rFonts w:cs="Arial"/>
                <w:b w:val="0"/>
                <w:color w:val="000000"/>
                <w:sz w:val="18"/>
                <w:szCs w:val="18"/>
                <w:lang w:val="en-US"/>
              </w:rPr>
            </w:pPr>
            <w:r w:rsidRPr="00BB489E">
              <w:rPr>
                <w:rFonts w:cs="Arial"/>
                <w:b w:val="0"/>
                <w:color w:val="000000"/>
                <w:sz w:val="18"/>
                <w:szCs w:val="18"/>
              </w:rPr>
              <w:t>0.2</w:t>
            </w:r>
            <w:r w:rsidRPr="00BB489E">
              <w:rPr>
                <w:rFonts w:cs="Arial"/>
                <w:b w:val="0"/>
                <w:color w:val="000000"/>
                <w:sz w:val="18"/>
                <w:szCs w:val="18"/>
                <w:lang w:val="en-US"/>
              </w:rPr>
              <w:t>3</w:t>
            </w:r>
            <w:r w:rsidRPr="00C05F21">
              <w:rPr>
                <w:sz w:val="20"/>
                <w:szCs w:val="20"/>
              </w:rPr>
              <w:t>%</w:t>
            </w:r>
          </w:p>
        </w:tc>
        <w:tc>
          <w:tcPr>
            <w:tcW w:w="726" w:type="pct"/>
            <w:tcBorders>
              <w:top w:val="single" w:sz="8" w:space="0" w:color="auto"/>
              <w:left w:val="single" w:sz="8" w:space="0" w:color="auto"/>
              <w:bottom w:val="single" w:sz="8" w:space="0" w:color="auto"/>
              <w:right w:val="double" w:sz="4" w:space="0" w:color="auto"/>
            </w:tcBorders>
            <w:shd w:val="solid" w:color="FFFFFF" w:fill="auto"/>
            <w:vAlign w:val="center"/>
          </w:tcPr>
          <w:p w14:paraId="3BF90466"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0.20%</w:t>
            </w:r>
          </w:p>
        </w:tc>
      </w:tr>
      <w:tr w:rsidR="007E61D3" w:rsidRPr="00BB489E" w14:paraId="4D5AF9CF" w14:textId="77777777" w:rsidTr="00291CBE">
        <w:trPr>
          <w:trHeight w:val="20"/>
        </w:trPr>
        <w:tc>
          <w:tcPr>
            <w:tcW w:w="1734" w:type="pct"/>
            <w:tcBorders>
              <w:top w:val="single" w:sz="8" w:space="0" w:color="auto"/>
              <w:left w:val="double" w:sz="4"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14:paraId="0DBA6C0C"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53"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14:paraId="43CFB012"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0.81</w:t>
            </w:r>
            <w:r w:rsidRPr="00C05F21">
              <w:rPr>
                <w:sz w:val="20"/>
                <w:szCs w:val="20"/>
              </w:rPr>
              <w:t>%</w:t>
            </w:r>
          </w:p>
        </w:tc>
        <w:tc>
          <w:tcPr>
            <w:tcW w:w="581" w:type="pct"/>
            <w:tcBorders>
              <w:top w:val="single" w:sz="8" w:space="0" w:color="auto"/>
              <w:left w:val="single" w:sz="8" w:space="0" w:color="auto"/>
              <w:bottom w:val="double" w:sz="4" w:space="0" w:color="auto"/>
              <w:right w:val="single" w:sz="8" w:space="0" w:color="auto"/>
            </w:tcBorders>
            <w:shd w:val="solid" w:color="FFFFFF" w:fill="auto"/>
            <w:tcMar>
              <w:top w:w="0" w:type="dxa"/>
              <w:left w:w="57" w:type="dxa"/>
              <w:bottom w:w="0" w:type="dxa"/>
              <w:right w:w="85" w:type="dxa"/>
            </w:tcMar>
            <w:vAlign w:val="center"/>
            <w:hideMark/>
          </w:tcPr>
          <w:p w14:paraId="11A286B9" w14:textId="77777777" w:rsidR="007E61D3" w:rsidRPr="00BB489E" w:rsidRDefault="007E61D3" w:rsidP="00291CBE">
            <w:pPr>
              <w:spacing w:before="0" w:line="276" w:lineRule="auto"/>
              <w:ind w:firstLine="0"/>
              <w:jc w:val="center"/>
              <w:rPr>
                <w:rFonts w:cs="Arial"/>
                <w:b w:val="0"/>
                <w:color w:val="000000"/>
                <w:sz w:val="18"/>
                <w:szCs w:val="18"/>
              </w:rPr>
            </w:pPr>
            <w:r w:rsidRPr="00BB489E">
              <w:rPr>
                <w:rFonts w:cs="Arial"/>
                <w:b w:val="0"/>
                <w:color w:val="000000"/>
                <w:sz w:val="18"/>
                <w:szCs w:val="18"/>
              </w:rPr>
              <w:t>1.00</w:t>
            </w:r>
            <w:r w:rsidRPr="00C05F21">
              <w:rPr>
                <w:sz w:val="20"/>
                <w:szCs w:val="20"/>
              </w:rPr>
              <w:t>%</w:t>
            </w:r>
          </w:p>
        </w:tc>
        <w:tc>
          <w:tcPr>
            <w:tcW w:w="607" w:type="pct"/>
            <w:tcBorders>
              <w:top w:val="single" w:sz="8" w:space="0" w:color="auto"/>
              <w:left w:val="single" w:sz="8" w:space="0" w:color="auto"/>
              <w:bottom w:val="double" w:sz="4" w:space="0" w:color="auto"/>
              <w:right w:val="single" w:sz="8" w:space="0" w:color="auto"/>
            </w:tcBorders>
            <w:shd w:val="solid" w:color="FFFFFF" w:fill="auto"/>
            <w:tcMar>
              <w:top w:w="0" w:type="dxa"/>
              <w:left w:w="30" w:type="dxa"/>
              <w:bottom w:w="0" w:type="dxa"/>
              <w:right w:w="30" w:type="dxa"/>
            </w:tcMar>
            <w:vAlign w:val="center"/>
            <w:hideMark/>
          </w:tcPr>
          <w:p w14:paraId="23171511" w14:textId="77777777" w:rsidR="007E61D3" w:rsidRPr="00A15FAC" w:rsidRDefault="007E61D3" w:rsidP="00291CBE">
            <w:pPr>
              <w:spacing w:before="0" w:line="276" w:lineRule="auto"/>
              <w:ind w:firstLine="0"/>
              <w:jc w:val="center"/>
              <w:rPr>
                <w:b w:val="0"/>
                <w:bCs/>
                <w:sz w:val="20"/>
                <w:szCs w:val="20"/>
              </w:rPr>
            </w:pPr>
            <w:r w:rsidRPr="00A15FAC">
              <w:rPr>
                <w:b w:val="0"/>
                <w:bCs/>
                <w:sz w:val="20"/>
                <w:szCs w:val="20"/>
              </w:rPr>
              <w:t>0</w:t>
            </w:r>
            <w:r w:rsidRPr="00A15FAC">
              <w:rPr>
                <w:rFonts w:ascii="Cambria Math" w:hAnsi="Cambria Math" w:cs="Cambria Math"/>
                <w:b w:val="0"/>
                <w:bCs/>
                <w:sz w:val="20"/>
                <w:szCs w:val="20"/>
              </w:rPr>
              <w:t>․</w:t>
            </w:r>
            <w:r w:rsidRPr="00A15FAC">
              <w:rPr>
                <w:b w:val="0"/>
                <w:bCs/>
                <w:sz w:val="20"/>
                <w:szCs w:val="20"/>
              </w:rPr>
              <w:t>47%</w:t>
            </w:r>
          </w:p>
        </w:tc>
        <w:tc>
          <w:tcPr>
            <w:tcW w:w="699" w:type="pct"/>
            <w:tcBorders>
              <w:top w:val="single" w:sz="8" w:space="0" w:color="auto"/>
              <w:left w:val="single" w:sz="8" w:space="0" w:color="auto"/>
              <w:bottom w:val="double" w:sz="4" w:space="0" w:color="auto"/>
              <w:right w:val="double" w:sz="4" w:space="0" w:color="auto"/>
            </w:tcBorders>
            <w:shd w:val="solid" w:color="FFFFFF" w:fill="auto"/>
            <w:tcMar>
              <w:top w:w="0" w:type="dxa"/>
              <w:left w:w="30" w:type="dxa"/>
              <w:bottom w:w="0" w:type="dxa"/>
              <w:right w:w="30" w:type="dxa"/>
            </w:tcMar>
            <w:vAlign w:val="center"/>
            <w:hideMark/>
          </w:tcPr>
          <w:p w14:paraId="478FE6F2" w14:textId="77777777" w:rsidR="007E61D3" w:rsidRPr="00BB489E" w:rsidRDefault="007E61D3" w:rsidP="00291CBE">
            <w:pPr>
              <w:spacing w:before="0" w:line="276" w:lineRule="auto"/>
              <w:ind w:firstLine="0"/>
              <w:jc w:val="center"/>
              <w:rPr>
                <w:rFonts w:cs="Arial"/>
                <w:b w:val="0"/>
                <w:color w:val="000000"/>
                <w:sz w:val="18"/>
                <w:szCs w:val="18"/>
                <w:lang w:val="en-US"/>
              </w:rPr>
            </w:pPr>
            <w:r w:rsidRPr="00BB489E">
              <w:rPr>
                <w:rFonts w:cs="Arial"/>
                <w:b w:val="0"/>
                <w:color w:val="000000"/>
                <w:sz w:val="18"/>
                <w:szCs w:val="18"/>
              </w:rPr>
              <w:t>0.</w:t>
            </w:r>
            <w:r w:rsidRPr="00BB489E">
              <w:rPr>
                <w:rFonts w:cs="Arial"/>
                <w:b w:val="0"/>
                <w:color w:val="000000"/>
                <w:sz w:val="18"/>
                <w:szCs w:val="18"/>
                <w:lang w:val="en-US"/>
              </w:rPr>
              <w:t>79</w:t>
            </w:r>
            <w:r w:rsidRPr="00C05F21">
              <w:rPr>
                <w:sz w:val="20"/>
                <w:szCs w:val="20"/>
              </w:rPr>
              <w:t>%</w:t>
            </w:r>
          </w:p>
        </w:tc>
        <w:tc>
          <w:tcPr>
            <w:tcW w:w="726" w:type="pct"/>
            <w:tcBorders>
              <w:top w:val="single" w:sz="8" w:space="0" w:color="auto"/>
              <w:left w:val="single" w:sz="8" w:space="0" w:color="auto"/>
              <w:bottom w:val="double" w:sz="4" w:space="0" w:color="auto"/>
              <w:right w:val="double" w:sz="4" w:space="0" w:color="auto"/>
            </w:tcBorders>
            <w:shd w:val="solid" w:color="FFFFFF" w:fill="auto"/>
            <w:vAlign w:val="center"/>
          </w:tcPr>
          <w:p w14:paraId="769BAD79" w14:textId="77777777" w:rsidR="007E61D3" w:rsidRPr="00755469" w:rsidRDefault="007E61D3" w:rsidP="00291CBE">
            <w:pPr>
              <w:spacing w:before="0" w:line="276" w:lineRule="auto"/>
              <w:ind w:firstLine="0"/>
              <w:jc w:val="center"/>
              <w:rPr>
                <w:rFonts w:cs="Arial"/>
                <w:b w:val="0"/>
                <w:color w:val="000000"/>
                <w:sz w:val="18"/>
                <w:szCs w:val="18"/>
                <w:lang w:val="en-US"/>
              </w:rPr>
            </w:pPr>
            <w:r>
              <w:rPr>
                <w:rFonts w:cs="Arial"/>
                <w:b w:val="0"/>
                <w:color w:val="000000"/>
                <w:sz w:val="18"/>
                <w:szCs w:val="18"/>
                <w:lang w:val="en-US"/>
              </w:rPr>
              <w:t>0.73%</w:t>
            </w:r>
          </w:p>
        </w:tc>
      </w:tr>
    </w:tbl>
    <w:p w14:paraId="362E67F8" w14:textId="77777777" w:rsidR="007E61D3" w:rsidRPr="00BB489E" w:rsidRDefault="007E61D3" w:rsidP="007E61D3">
      <w:pPr>
        <w:spacing w:before="0" w:line="276" w:lineRule="auto"/>
        <w:rPr>
          <w:rFonts w:cs="Arial"/>
          <w:lang w:val="hy-AM"/>
        </w:rPr>
      </w:pPr>
    </w:p>
    <w:p w14:paraId="2D5772E8" w14:textId="77777777" w:rsidR="007E61D3" w:rsidRPr="00BB489E" w:rsidRDefault="007E61D3" w:rsidP="007E61D3">
      <w:pPr>
        <w:spacing w:before="0" w:line="276" w:lineRule="auto"/>
        <w:ind w:firstLine="600"/>
        <w:rPr>
          <w:b w:val="0"/>
          <w:lang w:val="hy-AM"/>
        </w:rPr>
      </w:pPr>
      <w:r w:rsidRPr="00BB489E">
        <w:rPr>
          <w:b w:val="0"/>
          <w:lang w:val="hy-AM"/>
        </w:rPr>
        <w:t>Սոցիալական ոլորտի խմբում 201</w:t>
      </w:r>
      <w:r w:rsidRPr="00C818F4">
        <w:rPr>
          <w:b w:val="0"/>
          <w:lang w:val="hy-AM"/>
        </w:rPr>
        <w:t>8</w:t>
      </w:r>
      <w:r w:rsidRPr="00BB489E">
        <w:rPr>
          <w:b w:val="0"/>
          <w:lang w:val="hy-AM"/>
        </w:rPr>
        <w:t>-202</w:t>
      </w:r>
      <w:r w:rsidRPr="00C818F4">
        <w:rPr>
          <w:b w:val="0"/>
          <w:lang w:val="hy-AM"/>
        </w:rPr>
        <w:t>1</w:t>
      </w:r>
      <w:r w:rsidRPr="00BB489E">
        <w:rPr>
          <w:b w:val="0"/>
          <w:lang w:val="hy-AM"/>
        </w:rPr>
        <w:t xml:space="preserve"> թվականներին առանցքային են եղել և 202</w:t>
      </w:r>
      <w:r w:rsidRPr="00C818F4">
        <w:rPr>
          <w:b w:val="0"/>
          <w:lang w:val="hy-AM"/>
        </w:rPr>
        <w:t>2</w:t>
      </w:r>
      <w:r w:rsidRPr="00BB489E">
        <w:rPr>
          <w:b w:val="0"/>
          <w:lang w:val="hy-AM"/>
        </w:rPr>
        <w:t xml:space="preserve"> շարունակվելու են կարևորվել հատկապես սոցիալական ապահովության,  կրթության և առողջապահության բնա</w:t>
      </w:r>
      <w:r w:rsidRPr="00BB489E">
        <w:rPr>
          <w:b w:val="0"/>
          <w:lang w:val="hy-AM"/>
        </w:rPr>
        <w:softHyphen/>
        <w:t>գա</w:t>
      </w:r>
      <w:r w:rsidRPr="00BB489E">
        <w:rPr>
          <w:b w:val="0"/>
          <w:lang w:val="hy-AM"/>
        </w:rPr>
        <w:softHyphen/>
        <w:t>վառ</w:t>
      </w:r>
      <w:r w:rsidRPr="00BB489E">
        <w:rPr>
          <w:b w:val="0"/>
          <w:lang w:val="hy-AM"/>
        </w:rPr>
        <w:softHyphen/>
        <w:t>նե</w:t>
      </w:r>
      <w:r w:rsidRPr="00BB489E">
        <w:rPr>
          <w:b w:val="0"/>
          <w:lang w:val="hy-AM"/>
        </w:rPr>
        <w:softHyphen/>
        <w:t>րի զարգաց</w:t>
      </w:r>
      <w:r w:rsidRPr="00BB489E">
        <w:rPr>
          <w:b w:val="0"/>
          <w:lang w:val="hy-AM"/>
        </w:rPr>
        <w:softHyphen/>
        <w:t xml:space="preserve">ման ռազմավարական ծրագրերի իրականացումը: </w:t>
      </w:r>
    </w:p>
    <w:p w14:paraId="0EDFF1A5" w14:textId="77777777" w:rsidR="007E61D3" w:rsidRPr="00BB489E" w:rsidRDefault="007E61D3" w:rsidP="007E61D3">
      <w:pPr>
        <w:spacing w:before="0" w:line="276" w:lineRule="auto"/>
        <w:ind w:firstLine="720"/>
        <w:rPr>
          <w:lang w:val="hy-AM"/>
        </w:rPr>
      </w:pPr>
    </w:p>
    <w:p w14:paraId="404605BB" w14:textId="2E9B320B" w:rsidR="007E61D3" w:rsidRPr="00BB489E" w:rsidRDefault="00A10D4F" w:rsidP="00A10D4F">
      <w:pPr>
        <w:pStyle w:val="Caption"/>
        <w:keepNext/>
        <w:rPr>
          <w:bCs w:val="0"/>
          <w:i/>
          <w:sz w:val="20"/>
          <w:szCs w:val="20"/>
          <w:lang w:val="hy-AM"/>
        </w:rPr>
      </w:pPr>
      <w:bookmarkStart w:id="286" w:name="_Toc89428776"/>
      <w:r w:rsidRPr="00A10D4F">
        <w:rPr>
          <w:lang w:val="hy-AM"/>
        </w:rPr>
        <w:t xml:space="preserve">Աղյուսակ </w:t>
      </w:r>
      <w:r>
        <w:fldChar w:fldCharType="begin"/>
      </w:r>
      <w:r w:rsidRPr="00A10D4F">
        <w:rPr>
          <w:lang w:val="hy-AM"/>
        </w:rPr>
        <w:instrText xml:space="preserve"> SEQ Աղյուսակ \* ARABIC </w:instrText>
      </w:r>
      <w:r>
        <w:fldChar w:fldCharType="separate"/>
      </w:r>
      <w:r>
        <w:rPr>
          <w:noProof/>
          <w:lang w:val="hy-AM"/>
        </w:rPr>
        <w:t>16</w:t>
      </w:r>
      <w:r>
        <w:fldChar w:fldCharType="end"/>
      </w:r>
      <w:r w:rsidR="007E61D3" w:rsidRPr="000C70AA">
        <w:rPr>
          <w:rFonts w:ascii="Cambria Math" w:hAnsi="Cambria Math" w:cs="Cambria Math"/>
          <w:lang w:val="hy-AM"/>
        </w:rPr>
        <w:t>․</w:t>
      </w:r>
      <w:r w:rsidR="007E61D3" w:rsidRPr="00BB489E">
        <w:rPr>
          <w:rFonts w:ascii="Cambria Math" w:hAnsi="Cambria Math"/>
          <w:lang w:val="hy-AM"/>
        </w:rPr>
        <w:t xml:space="preserve"> </w:t>
      </w:r>
      <w:r w:rsidR="007E61D3" w:rsidRPr="00BB489E">
        <w:rPr>
          <w:i/>
          <w:sz w:val="20"/>
          <w:szCs w:val="20"/>
          <w:lang w:val="hy-AM"/>
        </w:rPr>
        <w:t>Սոցիալական ոլորտի 20</w:t>
      </w:r>
      <w:r w:rsidR="007E61D3" w:rsidRPr="00E04372">
        <w:rPr>
          <w:i/>
          <w:sz w:val="20"/>
          <w:szCs w:val="20"/>
          <w:lang w:val="hy-AM"/>
        </w:rPr>
        <w:t>18</w:t>
      </w:r>
      <w:r w:rsidR="007E61D3" w:rsidRPr="00BB489E">
        <w:rPr>
          <w:i/>
          <w:sz w:val="20"/>
          <w:szCs w:val="20"/>
          <w:lang w:val="hy-AM"/>
        </w:rPr>
        <w:t>-202</w:t>
      </w:r>
      <w:r w:rsidR="007E61D3" w:rsidRPr="00E04372">
        <w:rPr>
          <w:i/>
          <w:sz w:val="20"/>
          <w:szCs w:val="20"/>
          <w:lang w:val="hy-AM"/>
        </w:rPr>
        <w:t>2</w:t>
      </w:r>
      <w:r w:rsidR="007E61D3" w:rsidRPr="00BB489E">
        <w:rPr>
          <w:rFonts w:cs="Arial"/>
          <w:i/>
          <w:sz w:val="20"/>
          <w:szCs w:val="20"/>
          <w:lang w:val="hy-AM"/>
        </w:rPr>
        <w:t>թթ</w:t>
      </w:r>
      <w:r w:rsidR="007E61D3">
        <w:rPr>
          <w:rFonts w:ascii="Cambria Math" w:hAnsi="Cambria Math" w:cs="Arial"/>
          <w:i/>
          <w:sz w:val="20"/>
          <w:szCs w:val="20"/>
          <w:lang w:val="hy-AM"/>
        </w:rPr>
        <w:t>․</w:t>
      </w:r>
      <w:r w:rsidR="007E61D3" w:rsidRPr="00BB489E">
        <w:rPr>
          <w:i/>
          <w:sz w:val="20"/>
          <w:szCs w:val="20"/>
          <w:lang w:val="hy-AM"/>
        </w:rPr>
        <w:t xml:space="preserve"> բյուջետային ծախսերը  (մլն դրամ)</w:t>
      </w:r>
      <w:bookmarkEnd w:id="286"/>
    </w:p>
    <w:tbl>
      <w:tblPr>
        <w:tblW w:w="5315" w:type="pct"/>
        <w:tblInd w:w="-12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3457"/>
        <w:gridCol w:w="1396"/>
        <w:gridCol w:w="1396"/>
        <w:gridCol w:w="1226"/>
        <w:gridCol w:w="1342"/>
        <w:gridCol w:w="1522"/>
      </w:tblGrid>
      <w:tr w:rsidR="007E61D3" w:rsidRPr="00BB489E" w14:paraId="5A000CC6" w14:textId="77777777" w:rsidTr="00291CBE">
        <w:trPr>
          <w:trHeight w:val="20"/>
          <w:tblHeader/>
        </w:trPr>
        <w:tc>
          <w:tcPr>
            <w:tcW w:w="1672" w:type="pct"/>
            <w:tcBorders>
              <w:top w:val="double" w:sz="4" w:space="0" w:color="auto"/>
              <w:left w:val="double" w:sz="4"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14:paraId="5956B903" w14:textId="77777777" w:rsidR="007E61D3" w:rsidRPr="00BB489E" w:rsidRDefault="007E61D3" w:rsidP="00291CBE">
            <w:pPr>
              <w:spacing w:before="0" w:line="276" w:lineRule="auto"/>
              <w:jc w:val="center"/>
              <w:rPr>
                <w:rFonts w:cs="Arial"/>
                <w:b w:val="0"/>
                <w:color w:val="FFFFFF" w:themeColor="background1"/>
                <w:sz w:val="20"/>
                <w:szCs w:val="20"/>
                <w:lang w:val="hy-AM"/>
              </w:rPr>
            </w:pPr>
            <w:r w:rsidRPr="00BB489E">
              <w:rPr>
                <w:rFonts w:cs="Arial"/>
                <w:b w:val="0"/>
                <w:color w:val="FFFFFF" w:themeColor="background1"/>
                <w:sz w:val="20"/>
                <w:szCs w:val="20"/>
                <w:lang w:val="hy-AM"/>
              </w:rPr>
              <w:t>Ցուցանիշներ</w:t>
            </w:r>
          </w:p>
        </w:tc>
        <w:tc>
          <w:tcPr>
            <w:tcW w:w="675"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14:paraId="6F049F60"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2018թ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675" w:type="pct"/>
            <w:tcBorders>
              <w:top w:val="double" w:sz="4" w:space="0" w:color="auto"/>
              <w:left w:val="single" w:sz="6" w:space="0" w:color="auto"/>
              <w:bottom w:val="double" w:sz="4" w:space="0" w:color="auto"/>
              <w:right w:val="single" w:sz="6" w:space="0" w:color="auto"/>
            </w:tcBorders>
            <w:shd w:val="clear" w:color="auto" w:fill="4F81BD" w:themeFill="accent1"/>
            <w:tcMar>
              <w:top w:w="0" w:type="dxa"/>
              <w:left w:w="57" w:type="dxa"/>
              <w:bottom w:w="0" w:type="dxa"/>
              <w:right w:w="85" w:type="dxa"/>
            </w:tcMar>
            <w:vAlign w:val="center"/>
            <w:hideMark/>
          </w:tcPr>
          <w:p w14:paraId="1F63064F"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2019թ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փաստացի</w:t>
            </w:r>
          </w:p>
        </w:tc>
        <w:tc>
          <w:tcPr>
            <w:tcW w:w="593" w:type="pct"/>
            <w:tcBorders>
              <w:top w:val="double" w:sz="4" w:space="0" w:color="auto"/>
              <w:left w:val="single" w:sz="6" w:space="0" w:color="auto"/>
              <w:bottom w:val="double" w:sz="4" w:space="0" w:color="auto"/>
              <w:right w:val="single" w:sz="6" w:space="0" w:color="auto"/>
            </w:tcBorders>
            <w:shd w:val="clear" w:color="auto" w:fill="4F81BD" w:themeFill="accent1"/>
            <w:vAlign w:val="center"/>
            <w:hideMark/>
          </w:tcPr>
          <w:p w14:paraId="34F5D5D9" w14:textId="77777777" w:rsidR="007E61D3" w:rsidRPr="00284569" w:rsidRDefault="007E61D3" w:rsidP="00291CBE">
            <w:pPr>
              <w:spacing w:before="0" w:line="276" w:lineRule="auto"/>
              <w:ind w:firstLine="0"/>
              <w:jc w:val="center"/>
              <w:rPr>
                <w:rFonts w:cs="Arial"/>
                <w:b w:val="0"/>
                <w:color w:val="FFFFFF" w:themeColor="background1"/>
                <w:sz w:val="20"/>
                <w:szCs w:val="20"/>
                <w:lang w:val="hy-AM"/>
              </w:rPr>
            </w:pPr>
            <w:r w:rsidRPr="00284569">
              <w:rPr>
                <w:rFonts w:cs="Arial"/>
                <w:b w:val="0"/>
                <w:color w:val="FFFFFF" w:themeColor="background1"/>
                <w:sz w:val="20"/>
                <w:szCs w:val="20"/>
                <w:lang w:val="hy-AM"/>
              </w:rPr>
              <w:t>2020թ</w:t>
            </w:r>
            <w:r w:rsidRPr="00284569">
              <w:rPr>
                <w:rFonts w:ascii="Cambria Math" w:hAnsi="Cambria Math" w:cs="Cambria Math"/>
                <w:b w:val="0"/>
                <w:color w:val="FFFFFF" w:themeColor="background1"/>
                <w:sz w:val="20"/>
                <w:szCs w:val="20"/>
                <w:lang w:val="hy-AM"/>
              </w:rPr>
              <w:t>․</w:t>
            </w:r>
            <w:r w:rsidRPr="00284569">
              <w:rPr>
                <w:rFonts w:cs="Arial"/>
                <w:b w:val="0"/>
                <w:color w:val="FFFFFF" w:themeColor="background1"/>
                <w:sz w:val="20"/>
                <w:szCs w:val="20"/>
                <w:lang w:val="hy-AM"/>
              </w:rPr>
              <w:t xml:space="preserve"> </w:t>
            </w:r>
            <w:r w:rsidRPr="00284569">
              <w:rPr>
                <w:rFonts w:cs="GHEA Grapalat"/>
                <w:b w:val="0"/>
                <w:color w:val="FFFFFF" w:themeColor="background1"/>
                <w:sz w:val="20"/>
                <w:szCs w:val="20"/>
                <w:lang w:val="hy-AM"/>
              </w:rPr>
              <w:t>փաստացի</w:t>
            </w:r>
          </w:p>
        </w:tc>
        <w:tc>
          <w:tcPr>
            <w:tcW w:w="649" w:type="pct"/>
            <w:tcBorders>
              <w:top w:val="double" w:sz="4" w:space="0" w:color="auto"/>
              <w:left w:val="single" w:sz="6" w:space="0" w:color="auto"/>
              <w:bottom w:val="double" w:sz="4" w:space="0" w:color="auto"/>
              <w:right w:val="double" w:sz="4" w:space="0" w:color="auto"/>
            </w:tcBorders>
            <w:shd w:val="clear" w:color="auto" w:fill="4F81BD" w:themeFill="accent1"/>
            <w:vAlign w:val="center"/>
            <w:hideMark/>
          </w:tcPr>
          <w:p w14:paraId="5619B4CE"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2021թ</w:t>
            </w:r>
            <w:r w:rsidRPr="00C818F4">
              <w:rPr>
                <w:rFonts w:ascii="Cambria Math" w:hAnsi="Cambria Math" w:cs="Cambria Math"/>
                <w:b w:val="0"/>
                <w:color w:val="FFFFFF" w:themeColor="background1"/>
                <w:sz w:val="20"/>
                <w:szCs w:val="20"/>
                <w:lang w:val="hy-AM"/>
              </w:rPr>
              <w:t>․</w:t>
            </w:r>
            <w:r w:rsidRPr="00BB489E">
              <w:rPr>
                <w:rFonts w:cs="Arial"/>
                <w:b w:val="0"/>
                <w:color w:val="FFFFFF" w:themeColor="background1"/>
                <w:sz w:val="20"/>
                <w:szCs w:val="20"/>
                <w:lang w:val="hy-AM"/>
              </w:rPr>
              <w:t xml:space="preserve"> </w:t>
            </w:r>
            <w:r>
              <w:rPr>
                <w:rFonts w:cs="Arial"/>
                <w:b w:val="0"/>
                <w:color w:val="FFFFFF" w:themeColor="background1"/>
                <w:sz w:val="20"/>
                <w:szCs w:val="20"/>
                <w:lang w:val="hy-AM"/>
              </w:rPr>
              <w:t>հաստատված</w:t>
            </w:r>
          </w:p>
        </w:tc>
        <w:tc>
          <w:tcPr>
            <w:tcW w:w="736" w:type="pct"/>
            <w:tcBorders>
              <w:top w:val="double" w:sz="4" w:space="0" w:color="auto"/>
              <w:left w:val="single" w:sz="6" w:space="0" w:color="auto"/>
              <w:bottom w:val="double" w:sz="4" w:space="0" w:color="auto"/>
              <w:right w:val="double" w:sz="4" w:space="0" w:color="auto"/>
            </w:tcBorders>
            <w:shd w:val="clear" w:color="auto" w:fill="4F81BD" w:themeFill="accent1"/>
            <w:vAlign w:val="center"/>
          </w:tcPr>
          <w:p w14:paraId="333A2DE9" w14:textId="77777777" w:rsidR="007E61D3" w:rsidRPr="00BB489E" w:rsidRDefault="007E61D3" w:rsidP="00291CBE">
            <w:pPr>
              <w:spacing w:before="0" w:line="276" w:lineRule="auto"/>
              <w:ind w:firstLine="0"/>
              <w:jc w:val="center"/>
              <w:rPr>
                <w:rFonts w:cs="Arial"/>
                <w:b w:val="0"/>
                <w:color w:val="FFFFFF" w:themeColor="background1"/>
                <w:sz w:val="20"/>
                <w:szCs w:val="20"/>
                <w:lang w:val="hy-AM"/>
              </w:rPr>
            </w:pPr>
            <w:r w:rsidRPr="00BB489E">
              <w:rPr>
                <w:rFonts w:cs="Arial"/>
                <w:b w:val="0"/>
                <w:color w:val="FFFFFF" w:themeColor="background1"/>
                <w:sz w:val="20"/>
                <w:szCs w:val="20"/>
                <w:lang w:val="hy-AM"/>
              </w:rPr>
              <w:t>202</w:t>
            </w:r>
            <w:r>
              <w:rPr>
                <w:rFonts w:cs="Arial"/>
                <w:b w:val="0"/>
                <w:color w:val="FFFFFF" w:themeColor="background1"/>
                <w:sz w:val="20"/>
                <w:szCs w:val="20"/>
                <w:lang w:val="hy-AM"/>
              </w:rPr>
              <w:t>2</w:t>
            </w:r>
            <w:r w:rsidRPr="00BB489E">
              <w:rPr>
                <w:rFonts w:cs="Arial"/>
                <w:b w:val="0"/>
                <w:color w:val="FFFFFF" w:themeColor="background1"/>
                <w:sz w:val="20"/>
                <w:szCs w:val="20"/>
                <w:lang w:val="hy-AM"/>
              </w:rPr>
              <w:t>թ</w:t>
            </w:r>
            <w:r w:rsidRPr="00BB489E">
              <w:rPr>
                <w:rFonts w:ascii="MS Gothic" w:eastAsia="MS Gothic" w:hAnsi="MS Gothic" w:cs="MS Gothic" w:hint="eastAsia"/>
                <w:b w:val="0"/>
                <w:color w:val="FFFFFF" w:themeColor="background1"/>
                <w:sz w:val="20"/>
                <w:szCs w:val="20"/>
                <w:lang w:val="hy-AM"/>
              </w:rPr>
              <w:t>․</w:t>
            </w:r>
            <w:r w:rsidRPr="00BB489E">
              <w:rPr>
                <w:rFonts w:cs="Arial"/>
                <w:b w:val="0"/>
                <w:color w:val="FFFFFF" w:themeColor="background1"/>
                <w:sz w:val="20"/>
                <w:szCs w:val="20"/>
                <w:lang w:val="hy-AM"/>
              </w:rPr>
              <w:t xml:space="preserve"> նախագիծ</w:t>
            </w:r>
          </w:p>
        </w:tc>
      </w:tr>
      <w:tr w:rsidR="007E61D3" w:rsidRPr="00BB489E" w14:paraId="6DF9D4B0" w14:textId="77777777" w:rsidTr="00291CBE">
        <w:trPr>
          <w:trHeight w:val="20"/>
        </w:trPr>
        <w:tc>
          <w:tcPr>
            <w:tcW w:w="1672" w:type="pct"/>
            <w:tcBorders>
              <w:top w:val="double" w:sz="4"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4EF6EC8F" w14:textId="77777777" w:rsidR="007E61D3" w:rsidRPr="00BB489E" w:rsidRDefault="007E61D3" w:rsidP="00291CBE">
            <w:pPr>
              <w:spacing w:before="0" w:line="276" w:lineRule="auto"/>
              <w:ind w:firstLine="0"/>
              <w:jc w:val="left"/>
              <w:rPr>
                <w:rFonts w:cs="Arial"/>
                <w:b w:val="0"/>
                <w:sz w:val="20"/>
                <w:szCs w:val="20"/>
                <w:lang w:val="hy-AM"/>
              </w:rPr>
            </w:pPr>
            <w:r w:rsidRPr="00BB489E">
              <w:rPr>
                <w:rFonts w:cs="Arial"/>
                <w:sz w:val="20"/>
                <w:szCs w:val="20"/>
                <w:lang w:val="hy-AM"/>
              </w:rPr>
              <w:t>ՍՈՑԻԱԼԱԿԱՆ ՈԼՈՐՏ ԸՆԴԱՄԵՆԸ</w:t>
            </w:r>
          </w:p>
        </w:tc>
        <w:tc>
          <w:tcPr>
            <w:tcW w:w="675"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hideMark/>
          </w:tcPr>
          <w:p w14:paraId="71DE019D" w14:textId="77777777" w:rsidR="007E61D3" w:rsidRPr="002D7391" w:rsidRDefault="007E61D3" w:rsidP="00291CBE">
            <w:pPr>
              <w:spacing w:before="0" w:line="276" w:lineRule="auto"/>
              <w:ind w:firstLine="0"/>
              <w:jc w:val="center"/>
              <w:rPr>
                <w:b w:val="0"/>
                <w:sz w:val="20"/>
                <w:szCs w:val="20"/>
              </w:rPr>
            </w:pPr>
            <w:r w:rsidRPr="002D7391">
              <w:rPr>
                <w:sz w:val="20"/>
                <w:szCs w:val="20"/>
              </w:rPr>
              <w:t xml:space="preserve"> 643,132.58 </w:t>
            </w:r>
          </w:p>
        </w:tc>
        <w:tc>
          <w:tcPr>
            <w:tcW w:w="675"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57" w:type="dxa"/>
              <w:bottom w:w="0" w:type="dxa"/>
              <w:right w:w="85" w:type="dxa"/>
            </w:tcMar>
            <w:hideMark/>
          </w:tcPr>
          <w:p w14:paraId="6CF0D1CD" w14:textId="77777777" w:rsidR="007E61D3" w:rsidRPr="002D7391" w:rsidRDefault="007E61D3" w:rsidP="00291CBE">
            <w:pPr>
              <w:spacing w:before="0" w:line="276" w:lineRule="auto"/>
              <w:ind w:firstLine="0"/>
              <w:jc w:val="center"/>
              <w:rPr>
                <w:b w:val="0"/>
                <w:sz w:val="20"/>
                <w:szCs w:val="20"/>
              </w:rPr>
            </w:pPr>
            <w:r w:rsidRPr="002D7391">
              <w:rPr>
                <w:sz w:val="20"/>
                <w:szCs w:val="20"/>
              </w:rPr>
              <w:t xml:space="preserve"> 716,099.00 </w:t>
            </w:r>
          </w:p>
        </w:tc>
        <w:tc>
          <w:tcPr>
            <w:tcW w:w="593" w:type="pct"/>
            <w:tcBorders>
              <w:top w:val="double" w:sz="4" w:space="0" w:color="auto"/>
              <w:left w:val="single" w:sz="6" w:space="0" w:color="auto"/>
              <w:bottom w:val="single" w:sz="4" w:space="0" w:color="auto"/>
              <w:right w:val="single" w:sz="6" w:space="0" w:color="auto"/>
            </w:tcBorders>
            <w:shd w:val="clear" w:color="auto" w:fill="C6D9F1" w:themeFill="text2" w:themeFillTint="33"/>
            <w:tcMar>
              <w:top w:w="0" w:type="dxa"/>
              <w:left w:w="30" w:type="dxa"/>
              <w:bottom w:w="0" w:type="dxa"/>
              <w:right w:w="30" w:type="dxa"/>
            </w:tcMar>
            <w:hideMark/>
          </w:tcPr>
          <w:p w14:paraId="6DADA9B8" w14:textId="77777777" w:rsidR="007E61D3" w:rsidRPr="003437E7" w:rsidRDefault="007E61D3" w:rsidP="00291CBE">
            <w:pPr>
              <w:spacing w:before="0" w:line="276" w:lineRule="auto"/>
              <w:ind w:firstLine="0"/>
              <w:jc w:val="center"/>
              <w:rPr>
                <w:sz w:val="20"/>
                <w:szCs w:val="20"/>
              </w:rPr>
            </w:pPr>
            <w:r w:rsidRPr="003437E7">
              <w:rPr>
                <w:sz w:val="20"/>
                <w:szCs w:val="20"/>
                <w:lang w:val="en-US"/>
              </w:rPr>
              <w:t>872</w:t>
            </w:r>
            <w:r w:rsidRPr="003437E7">
              <w:rPr>
                <w:sz w:val="20"/>
                <w:szCs w:val="20"/>
              </w:rPr>
              <w:t>,</w:t>
            </w:r>
            <w:r w:rsidRPr="003437E7">
              <w:rPr>
                <w:sz w:val="20"/>
                <w:szCs w:val="20"/>
                <w:lang w:val="en-US"/>
              </w:rPr>
              <w:t>233.8</w:t>
            </w:r>
          </w:p>
        </w:tc>
        <w:tc>
          <w:tcPr>
            <w:tcW w:w="649" w:type="pct"/>
            <w:tcBorders>
              <w:top w:val="double" w:sz="4" w:space="0" w:color="auto"/>
              <w:left w:val="single" w:sz="6"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hideMark/>
          </w:tcPr>
          <w:p w14:paraId="3A54E89D" w14:textId="77777777" w:rsidR="007E61D3" w:rsidRPr="002D7391" w:rsidRDefault="007E61D3" w:rsidP="00291CBE">
            <w:pPr>
              <w:spacing w:before="0" w:line="276" w:lineRule="auto"/>
              <w:ind w:firstLine="0"/>
              <w:jc w:val="center"/>
              <w:rPr>
                <w:b w:val="0"/>
                <w:sz w:val="20"/>
                <w:szCs w:val="20"/>
                <w:lang w:val="en-US"/>
              </w:rPr>
            </w:pPr>
            <w:r w:rsidRPr="002D7391">
              <w:rPr>
                <w:sz w:val="20"/>
                <w:szCs w:val="20"/>
              </w:rPr>
              <w:t xml:space="preserve">806,603.02 </w:t>
            </w:r>
          </w:p>
        </w:tc>
        <w:tc>
          <w:tcPr>
            <w:tcW w:w="736" w:type="pct"/>
            <w:tcBorders>
              <w:top w:val="double" w:sz="4" w:space="0" w:color="auto"/>
              <w:left w:val="single" w:sz="6" w:space="0" w:color="auto"/>
              <w:bottom w:val="single" w:sz="4" w:space="0" w:color="auto"/>
              <w:right w:val="double" w:sz="4" w:space="0" w:color="auto"/>
            </w:tcBorders>
            <w:shd w:val="clear" w:color="auto" w:fill="C6D9F1" w:themeFill="text2" w:themeFillTint="33"/>
          </w:tcPr>
          <w:p w14:paraId="666C90BF" w14:textId="77777777" w:rsidR="007E61D3" w:rsidRPr="002E65F8" w:rsidRDefault="007E61D3" w:rsidP="00291CBE">
            <w:pPr>
              <w:spacing w:before="0" w:line="276" w:lineRule="auto"/>
              <w:ind w:firstLine="0"/>
              <w:jc w:val="center"/>
              <w:rPr>
                <w:sz w:val="20"/>
                <w:szCs w:val="20"/>
                <w:lang w:val="en-US"/>
              </w:rPr>
            </w:pPr>
            <w:r w:rsidRPr="00841900">
              <w:rPr>
                <w:sz w:val="20"/>
                <w:szCs w:val="20"/>
              </w:rPr>
              <w:t>9</w:t>
            </w:r>
            <w:r>
              <w:rPr>
                <w:sz w:val="20"/>
                <w:szCs w:val="20"/>
                <w:lang w:val="en-US"/>
              </w:rPr>
              <w:t>29</w:t>
            </w:r>
            <w:r w:rsidRPr="00841900">
              <w:rPr>
                <w:sz w:val="20"/>
                <w:szCs w:val="20"/>
              </w:rPr>
              <w:t>,</w:t>
            </w:r>
            <w:r>
              <w:rPr>
                <w:sz w:val="20"/>
                <w:szCs w:val="20"/>
                <w:lang w:val="hy-AM"/>
              </w:rPr>
              <w:t>603</w:t>
            </w:r>
            <w:r w:rsidRPr="00841900">
              <w:rPr>
                <w:sz w:val="20"/>
                <w:szCs w:val="20"/>
              </w:rPr>
              <w:t>.</w:t>
            </w:r>
            <w:r>
              <w:rPr>
                <w:sz w:val="20"/>
                <w:szCs w:val="20"/>
                <w:lang w:val="en-US"/>
              </w:rPr>
              <w:t>0</w:t>
            </w:r>
          </w:p>
        </w:tc>
      </w:tr>
      <w:tr w:rsidR="007E61D3" w:rsidRPr="00BB489E" w14:paraId="004B4850"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14:paraId="246153F5"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4DEA6C2" w14:textId="77777777" w:rsidR="007E61D3" w:rsidRPr="002D7391" w:rsidRDefault="007E61D3" w:rsidP="00291CBE">
            <w:pPr>
              <w:spacing w:before="0" w:line="276" w:lineRule="auto"/>
              <w:ind w:firstLine="0"/>
              <w:jc w:val="center"/>
              <w:rPr>
                <w:rFonts w:cs="Arial"/>
                <w:b w:val="0"/>
                <w:color w:val="000000"/>
                <w:sz w:val="20"/>
                <w:szCs w:val="20"/>
              </w:rPr>
            </w:pPr>
            <w:r w:rsidRPr="002D7391">
              <w:rPr>
                <w:sz w:val="20"/>
                <w:szCs w:val="20"/>
              </w:rPr>
              <w:t>10.7%</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CB048A1" w14:textId="77777777" w:rsidR="007E61D3" w:rsidRPr="002D7391" w:rsidRDefault="007E61D3" w:rsidP="00291CBE">
            <w:pPr>
              <w:spacing w:before="0" w:line="276" w:lineRule="auto"/>
              <w:ind w:firstLine="0"/>
              <w:jc w:val="center"/>
              <w:rPr>
                <w:rFonts w:cs="Arial"/>
                <w:b w:val="0"/>
                <w:color w:val="000000"/>
                <w:sz w:val="20"/>
                <w:szCs w:val="20"/>
              </w:rPr>
            </w:pPr>
            <w:r w:rsidRPr="002D7391">
              <w:rPr>
                <w:sz w:val="20"/>
                <w:szCs w:val="20"/>
              </w:rPr>
              <w:t>10.9%</w:t>
            </w:r>
          </w:p>
        </w:tc>
        <w:tc>
          <w:tcPr>
            <w:tcW w:w="5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01DF0E67" w14:textId="77777777" w:rsidR="007E61D3" w:rsidRPr="003437E7" w:rsidRDefault="007E61D3" w:rsidP="00291CBE">
            <w:pPr>
              <w:spacing w:before="0" w:line="276" w:lineRule="auto"/>
              <w:ind w:firstLine="0"/>
              <w:jc w:val="center"/>
              <w:rPr>
                <w:rFonts w:cs="Arial"/>
                <w:color w:val="000000"/>
                <w:sz w:val="20"/>
                <w:szCs w:val="20"/>
              </w:rPr>
            </w:pPr>
            <w:r w:rsidRPr="003437E7">
              <w:rPr>
                <w:sz w:val="20"/>
                <w:szCs w:val="20"/>
              </w:rPr>
              <w:t>1</w:t>
            </w:r>
            <w:r w:rsidRPr="003437E7">
              <w:rPr>
                <w:sz w:val="20"/>
                <w:szCs w:val="20"/>
                <w:lang w:val="hy-AM"/>
              </w:rPr>
              <w:t>4</w:t>
            </w:r>
            <w:r w:rsidRPr="003437E7">
              <w:rPr>
                <w:sz w:val="20"/>
                <w:szCs w:val="20"/>
              </w:rPr>
              <w:t>.1%</w:t>
            </w:r>
          </w:p>
        </w:tc>
        <w:tc>
          <w:tcPr>
            <w:tcW w:w="649"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14:paraId="65382496" w14:textId="77777777" w:rsidR="007E61D3" w:rsidRPr="002D7391" w:rsidRDefault="007E61D3" w:rsidP="00291CBE">
            <w:pPr>
              <w:spacing w:before="0" w:line="276" w:lineRule="auto"/>
              <w:ind w:firstLine="0"/>
              <w:jc w:val="center"/>
              <w:rPr>
                <w:rFonts w:cs="Arial"/>
                <w:b w:val="0"/>
                <w:color w:val="000000"/>
                <w:sz w:val="20"/>
                <w:szCs w:val="20"/>
                <w:lang w:val="en-US"/>
              </w:rPr>
            </w:pPr>
            <w:r w:rsidRPr="002D7391">
              <w:rPr>
                <w:sz w:val="20"/>
                <w:szCs w:val="20"/>
              </w:rPr>
              <w:t>12.6%</w:t>
            </w:r>
          </w:p>
        </w:tc>
        <w:tc>
          <w:tcPr>
            <w:tcW w:w="736" w:type="pct"/>
            <w:tcBorders>
              <w:top w:val="single" w:sz="6" w:space="0" w:color="auto"/>
              <w:left w:val="single" w:sz="6" w:space="0" w:color="auto"/>
              <w:bottom w:val="single" w:sz="6" w:space="0" w:color="auto"/>
              <w:right w:val="double" w:sz="4" w:space="0" w:color="auto"/>
            </w:tcBorders>
          </w:tcPr>
          <w:p w14:paraId="35E07DEA" w14:textId="77777777" w:rsidR="007E61D3" w:rsidRPr="00841900" w:rsidRDefault="007E61D3" w:rsidP="00291CBE">
            <w:pPr>
              <w:spacing w:before="0" w:line="276" w:lineRule="auto"/>
              <w:ind w:firstLine="0"/>
              <w:jc w:val="center"/>
              <w:rPr>
                <w:sz w:val="20"/>
                <w:szCs w:val="20"/>
              </w:rPr>
            </w:pPr>
            <w:r w:rsidRPr="00841900">
              <w:rPr>
                <w:sz w:val="20"/>
                <w:szCs w:val="20"/>
              </w:rPr>
              <w:t>11.</w:t>
            </w:r>
            <w:r>
              <w:rPr>
                <w:sz w:val="20"/>
                <w:szCs w:val="20"/>
                <w:lang w:val="en-US"/>
              </w:rPr>
              <w:t>8</w:t>
            </w:r>
            <w:r w:rsidRPr="00841900">
              <w:rPr>
                <w:sz w:val="20"/>
                <w:szCs w:val="20"/>
              </w:rPr>
              <w:t>%</w:t>
            </w:r>
          </w:p>
        </w:tc>
      </w:tr>
      <w:tr w:rsidR="007E61D3" w:rsidRPr="00BB489E" w14:paraId="0BFACFA9"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tcMar>
              <w:top w:w="0" w:type="dxa"/>
              <w:left w:w="108" w:type="dxa"/>
              <w:bottom w:w="0" w:type="dxa"/>
              <w:right w:w="108" w:type="dxa"/>
            </w:tcMar>
            <w:hideMark/>
          </w:tcPr>
          <w:p w14:paraId="6321D16B"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236BE418" w14:textId="77777777" w:rsidR="007E61D3" w:rsidRPr="002D7391" w:rsidRDefault="007E61D3" w:rsidP="00291CBE">
            <w:pPr>
              <w:spacing w:before="0" w:line="276" w:lineRule="auto"/>
              <w:ind w:firstLine="0"/>
              <w:jc w:val="center"/>
              <w:rPr>
                <w:rFonts w:cs="Arial"/>
                <w:b w:val="0"/>
                <w:color w:val="000000"/>
                <w:sz w:val="20"/>
                <w:szCs w:val="20"/>
              </w:rPr>
            </w:pPr>
            <w:r w:rsidRPr="002D7391">
              <w:rPr>
                <w:sz w:val="20"/>
                <w:szCs w:val="20"/>
              </w:rPr>
              <w:t>44.4%</w:t>
            </w:r>
          </w:p>
        </w:tc>
        <w:tc>
          <w:tcPr>
            <w:tcW w:w="675"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D1A35FF" w14:textId="77777777" w:rsidR="007E61D3" w:rsidRPr="002D7391" w:rsidRDefault="007E61D3" w:rsidP="00291CBE">
            <w:pPr>
              <w:spacing w:before="0" w:line="276" w:lineRule="auto"/>
              <w:ind w:firstLine="0"/>
              <w:jc w:val="center"/>
              <w:rPr>
                <w:rFonts w:cs="Arial"/>
                <w:b w:val="0"/>
                <w:color w:val="000000"/>
                <w:sz w:val="20"/>
                <w:szCs w:val="20"/>
              </w:rPr>
            </w:pPr>
            <w:r w:rsidRPr="002D7391">
              <w:rPr>
                <w:sz w:val="20"/>
                <w:szCs w:val="20"/>
              </w:rPr>
              <w:t>43.9%</w:t>
            </w:r>
          </w:p>
        </w:tc>
        <w:tc>
          <w:tcPr>
            <w:tcW w:w="593" w:type="pct"/>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71966A33" w14:textId="77777777" w:rsidR="007E61D3" w:rsidRPr="003437E7" w:rsidRDefault="007E61D3" w:rsidP="00291CBE">
            <w:pPr>
              <w:spacing w:before="0" w:line="276" w:lineRule="auto"/>
              <w:ind w:firstLine="0"/>
              <w:jc w:val="center"/>
              <w:rPr>
                <w:rFonts w:cs="Arial"/>
                <w:color w:val="000000"/>
                <w:sz w:val="20"/>
                <w:szCs w:val="20"/>
              </w:rPr>
            </w:pPr>
            <w:r w:rsidRPr="003437E7">
              <w:rPr>
                <w:sz w:val="20"/>
                <w:szCs w:val="20"/>
              </w:rPr>
              <w:t>4</w:t>
            </w:r>
            <w:r w:rsidRPr="003437E7">
              <w:rPr>
                <w:sz w:val="20"/>
                <w:szCs w:val="20"/>
                <w:lang w:val="en-US"/>
              </w:rPr>
              <w:t>6</w:t>
            </w:r>
            <w:r w:rsidRPr="003437E7">
              <w:rPr>
                <w:sz w:val="20"/>
                <w:szCs w:val="20"/>
              </w:rPr>
              <w:t>.0%</w:t>
            </w:r>
          </w:p>
        </w:tc>
        <w:tc>
          <w:tcPr>
            <w:tcW w:w="649" w:type="pct"/>
            <w:tcBorders>
              <w:top w:val="single" w:sz="6" w:space="0" w:color="auto"/>
              <w:left w:val="single" w:sz="6" w:space="0" w:color="auto"/>
              <w:bottom w:val="single" w:sz="6" w:space="0" w:color="auto"/>
              <w:right w:val="double" w:sz="4" w:space="0" w:color="auto"/>
            </w:tcBorders>
            <w:tcMar>
              <w:top w:w="0" w:type="dxa"/>
              <w:left w:w="108" w:type="dxa"/>
              <w:bottom w:w="0" w:type="dxa"/>
              <w:right w:w="108" w:type="dxa"/>
            </w:tcMar>
            <w:hideMark/>
          </w:tcPr>
          <w:p w14:paraId="32751C64" w14:textId="77777777" w:rsidR="007E61D3" w:rsidRPr="002D7391" w:rsidRDefault="007E61D3" w:rsidP="00291CBE">
            <w:pPr>
              <w:spacing w:before="0" w:line="276" w:lineRule="auto"/>
              <w:ind w:firstLine="0"/>
              <w:jc w:val="center"/>
              <w:rPr>
                <w:rFonts w:cs="Arial"/>
                <w:b w:val="0"/>
                <w:color w:val="000000"/>
                <w:sz w:val="20"/>
                <w:szCs w:val="20"/>
                <w:lang w:val="en-US"/>
              </w:rPr>
            </w:pPr>
            <w:r w:rsidRPr="002D7391">
              <w:rPr>
                <w:sz w:val="20"/>
                <w:szCs w:val="20"/>
              </w:rPr>
              <w:t>43.6%</w:t>
            </w:r>
          </w:p>
        </w:tc>
        <w:tc>
          <w:tcPr>
            <w:tcW w:w="736" w:type="pct"/>
            <w:tcBorders>
              <w:top w:val="single" w:sz="6" w:space="0" w:color="auto"/>
              <w:left w:val="single" w:sz="6" w:space="0" w:color="auto"/>
              <w:bottom w:val="single" w:sz="6" w:space="0" w:color="auto"/>
              <w:right w:val="double" w:sz="4" w:space="0" w:color="auto"/>
            </w:tcBorders>
          </w:tcPr>
          <w:p w14:paraId="51CEF787" w14:textId="77777777" w:rsidR="007E61D3" w:rsidRPr="00841900" w:rsidRDefault="007E61D3" w:rsidP="00291CBE">
            <w:pPr>
              <w:spacing w:before="0" w:line="276" w:lineRule="auto"/>
              <w:ind w:firstLine="0"/>
              <w:jc w:val="center"/>
              <w:rPr>
                <w:sz w:val="20"/>
                <w:szCs w:val="20"/>
              </w:rPr>
            </w:pPr>
            <w:r>
              <w:rPr>
                <w:sz w:val="20"/>
                <w:szCs w:val="20"/>
                <w:lang w:val="en-US"/>
              </w:rPr>
              <w:t>42</w:t>
            </w:r>
            <w:r w:rsidRPr="00841900">
              <w:rPr>
                <w:sz w:val="20"/>
                <w:szCs w:val="20"/>
              </w:rPr>
              <w:t>.</w:t>
            </w:r>
            <w:r>
              <w:rPr>
                <w:sz w:val="20"/>
                <w:szCs w:val="20"/>
                <w:lang w:val="hy-AM"/>
              </w:rPr>
              <w:t>6</w:t>
            </w:r>
            <w:r w:rsidRPr="00841900">
              <w:rPr>
                <w:sz w:val="20"/>
                <w:szCs w:val="20"/>
              </w:rPr>
              <w:t>%</w:t>
            </w:r>
          </w:p>
        </w:tc>
      </w:tr>
      <w:tr w:rsidR="007E61D3" w:rsidRPr="00BB489E" w14:paraId="7D7AF252" w14:textId="77777777" w:rsidTr="00291CBE">
        <w:trPr>
          <w:trHeight w:val="20"/>
        </w:trPr>
        <w:tc>
          <w:tcPr>
            <w:tcW w:w="1672" w:type="pct"/>
            <w:tcBorders>
              <w:top w:val="single" w:sz="6" w:space="0" w:color="auto"/>
              <w:left w:val="double" w:sz="4" w:space="0" w:color="auto"/>
              <w:bottom w:val="single" w:sz="6" w:space="0" w:color="auto"/>
              <w:right w:val="single" w:sz="4" w:space="0" w:color="auto"/>
            </w:tcBorders>
            <w:shd w:val="solid" w:color="FFFFFF" w:fill="auto"/>
            <w:tcMar>
              <w:top w:w="0" w:type="dxa"/>
              <w:left w:w="57" w:type="dxa"/>
              <w:bottom w:w="0" w:type="dxa"/>
              <w:right w:w="85" w:type="dxa"/>
            </w:tcMar>
            <w:vAlign w:val="center"/>
            <w:hideMark/>
          </w:tcPr>
          <w:p w14:paraId="2FFD432A" w14:textId="77777777" w:rsidR="007E61D3" w:rsidRPr="00BB489E" w:rsidRDefault="007E61D3" w:rsidP="00291CBE">
            <w:pPr>
              <w:spacing w:before="0" w:line="276" w:lineRule="auto"/>
              <w:jc w:val="left"/>
              <w:rPr>
                <w:b w:val="0"/>
                <w:sz w:val="20"/>
                <w:szCs w:val="20"/>
              </w:rPr>
            </w:pPr>
            <w:r w:rsidRPr="00BB489E">
              <w:rPr>
                <w:rFonts w:cs="Arial"/>
                <w:b w:val="0"/>
                <w:sz w:val="20"/>
                <w:szCs w:val="20"/>
              </w:rPr>
              <w:t>այդ</w:t>
            </w:r>
            <w:r w:rsidRPr="00BB489E">
              <w:rPr>
                <w:b w:val="0"/>
                <w:sz w:val="20"/>
                <w:szCs w:val="20"/>
              </w:rPr>
              <w:t xml:space="preserve"> </w:t>
            </w:r>
            <w:r w:rsidRPr="00BB489E">
              <w:rPr>
                <w:rFonts w:cs="Arial"/>
                <w:b w:val="0"/>
                <w:sz w:val="20"/>
                <w:szCs w:val="20"/>
              </w:rPr>
              <w:t>թվում</w:t>
            </w:r>
            <w:r w:rsidRPr="00BB489E">
              <w:rPr>
                <w:b w:val="0"/>
                <w:sz w:val="20"/>
                <w:szCs w:val="20"/>
              </w:rPr>
              <w:t>`</w:t>
            </w:r>
          </w:p>
        </w:tc>
        <w:tc>
          <w:tcPr>
            <w:tcW w:w="675"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14:paraId="220661A6" w14:textId="77777777" w:rsidR="007E61D3" w:rsidRPr="00BB489E" w:rsidRDefault="007E61D3" w:rsidP="00291CBE">
            <w:pPr>
              <w:spacing w:before="0" w:line="276" w:lineRule="auto"/>
              <w:jc w:val="center"/>
              <w:rPr>
                <w:b w:val="0"/>
                <w:sz w:val="20"/>
                <w:szCs w:val="20"/>
                <w:lang w:val="hy-AM"/>
              </w:rPr>
            </w:pPr>
          </w:p>
        </w:tc>
        <w:tc>
          <w:tcPr>
            <w:tcW w:w="675" w:type="pct"/>
            <w:tcBorders>
              <w:top w:val="single" w:sz="4" w:space="0" w:color="auto"/>
              <w:left w:val="single" w:sz="4" w:space="0" w:color="auto"/>
              <w:bottom w:val="single" w:sz="4" w:space="0" w:color="auto"/>
              <w:right w:val="single" w:sz="4" w:space="0" w:color="auto"/>
            </w:tcBorders>
            <w:shd w:val="solid" w:color="FFFFFF" w:fill="auto"/>
            <w:tcMar>
              <w:top w:w="0" w:type="dxa"/>
              <w:left w:w="57" w:type="dxa"/>
              <w:bottom w:w="0" w:type="dxa"/>
              <w:right w:w="85" w:type="dxa"/>
            </w:tcMar>
            <w:vAlign w:val="center"/>
          </w:tcPr>
          <w:p w14:paraId="69DCEA67" w14:textId="77777777" w:rsidR="007E61D3" w:rsidRPr="00BB489E" w:rsidRDefault="007E61D3" w:rsidP="00291CBE">
            <w:pPr>
              <w:spacing w:before="0" w:line="276" w:lineRule="auto"/>
              <w:jc w:val="center"/>
              <w:rPr>
                <w:b w:val="0"/>
                <w:sz w:val="20"/>
                <w:szCs w:val="20"/>
                <w:lang w:val="hy-AM"/>
              </w:rPr>
            </w:pPr>
          </w:p>
        </w:tc>
        <w:tc>
          <w:tcPr>
            <w:tcW w:w="593" w:type="pct"/>
            <w:tcBorders>
              <w:top w:val="single" w:sz="4" w:space="0" w:color="auto"/>
              <w:left w:val="single" w:sz="4" w:space="0" w:color="auto"/>
              <w:bottom w:val="single" w:sz="4" w:space="0" w:color="auto"/>
              <w:right w:val="single" w:sz="4" w:space="0" w:color="auto"/>
            </w:tcBorders>
            <w:shd w:val="solid" w:color="FFFFFF" w:fill="auto"/>
            <w:tcMar>
              <w:top w:w="0" w:type="dxa"/>
              <w:left w:w="30" w:type="dxa"/>
              <w:bottom w:w="0" w:type="dxa"/>
              <w:right w:w="30" w:type="dxa"/>
            </w:tcMar>
            <w:vAlign w:val="center"/>
          </w:tcPr>
          <w:p w14:paraId="5B196E19" w14:textId="77777777" w:rsidR="007E61D3" w:rsidRPr="00BB489E" w:rsidRDefault="007E61D3" w:rsidP="00291CBE">
            <w:pPr>
              <w:spacing w:before="0" w:line="276" w:lineRule="auto"/>
              <w:jc w:val="center"/>
              <w:rPr>
                <w:b w:val="0"/>
                <w:sz w:val="20"/>
                <w:szCs w:val="20"/>
                <w:lang w:val="hy-AM"/>
              </w:rPr>
            </w:pPr>
          </w:p>
        </w:tc>
        <w:tc>
          <w:tcPr>
            <w:tcW w:w="649" w:type="pct"/>
            <w:tcBorders>
              <w:top w:val="single" w:sz="4" w:space="0" w:color="auto"/>
              <w:left w:val="single" w:sz="4" w:space="0" w:color="auto"/>
              <w:bottom w:val="single" w:sz="4" w:space="0" w:color="auto"/>
              <w:right w:val="double" w:sz="4" w:space="0" w:color="auto"/>
            </w:tcBorders>
            <w:shd w:val="solid" w:color="FFFFFF" w:fill="auto"/>
            <w:tcMar>
              <w:top w:w="0" w:type="dxa"/>
              <w:left w:w="30" w:type="dxa"/>
              <w:bottom w:w="0" w:type="dxa"/>
              <w:right w:w="30" w:type="dxa"/>
            </w:tcMar>
            <w:vAlign w:val="center"/>
          </w:tcPr>
          <w:p w14:paraId="79A19882" w14:textId="77777777" w:rsidR="007E61D3" w:rsidRPr="00BB489E" w:rsidRDefault="007E61D3" w:rsidP="00291CBE">
            <w:pPr>
              <w:spacing w:before="0" w:line="276" w:lineRule="auto"/>
              <w:jc w:val="center"/>
              <w:rPr>
                <w:b w:val="0"/>
                <w:sz w:val="20"/>
                <w:szCs w:val="20"/>
                <w:lang w:val="hy-AM"/>
              </w:rPr>
            </w:pPr>
          </w:p>
        </w:tc>
        <w:tc>
          <w:tcPr>
            <w:tcW w:w="736" w:type="pct"/>
            <w:tcBorders>
              <w:top w:val="single" w:sz="4" w:space="0" w:color="auto"/>
              <w:left w:val="single" w:sz="4" w:space="0" w:color="auto"/>
              <w:bottom w:val="single" w:sz="4" w:space="0" w:color="auto"/>
              <w:right w:val="double" w:sz="4" w:space="0" w:color="auto"/>
            </w:tcBorders>
            <w:shd w:val="solid" w:color="FFFFFF" w:fill="auto"/>
            <w:vAlign w:val="center"/>
          </w:tcPr>
          <w:p w14:paraId="4764B4DA" w14:textId="77777777" w:rsidR="007E61D3" w:rsidRPr="00841900" w:rsidRDefault="007E61D3" w:rsidP="00291CBE">
            <w:pPr>
              <w:spacing w:before="0" w:line="276" w:lineRule="auto"/>
              <w:ind w:firstLine="0"/>
              <w:jc w:val="center"/>
              <w:rPr>
                <w:sz w:val="20"/>
                <w:szCs w:val="20"/>
              </w:rPr>
            </w:pPr>
          </w:p>
        </w:tc>
      </w:tr>
      <w:tr w:rsidR="007E61D3" w:rsidRPr="00BB489E" w14:paraId="7B7431CA" w14:textId="77777777" w:rsidTr="00291CBE">
        <w:trPr>
          <w:trHeight w:val="20"/>
        </w:trPr>
        <w:tc>
          <w:tcPr>
            <w:tcW w:w="1672" w:type="pct"/>
            <w:tcBorders>
              <w:top w:val="single" w:sz="6" w:space="0" w:color="auto"/>
              <w:left w:val="double" w:sz="4" w:space="0" w:color="auto"/>
              <w:bottom w:val="single" w:sz="6" w:space="0" w:color="auto"/>
              <w:right w:val="single" w:sz="4" w:space="0" w:color="auto"/>
            </w:tcBorders>
            <w:shd w:val="clear" w:color="auto" w:fill="C6D9F1" w:themeFill="text2" w:themeFillTint="33"/>
            <w:tcMar>
              <w:top w:w="0" w:type="dxa"/>
              <w:left w:w="57" w:type="dxa"/>
              <w:bottom w:w="0" w:type="dxa"/>
              <w:right w:w="85" w:type="dxa"/>
            </w:tcMar>
            <w:vAlign w:val="center"/>
            <w:hideMark/>
          </w:tcPr>
          <w:p w14:paraId="70AF3FE7" w14:textId="77777777" w:rsidR="007E61D3" w:rsidRPr="00BB489E" w:rsidRDefault="007E61D3" w:rsidP="00291CBE">
            <w:pPr>
              <w:spacing w:before="0" w:line="276" w:lineRule="auto"/>
              <w:ind w:firstLine="0"/>
              <w:jc w:val="left"/>
              <w:rPr>
                <w:b w:val="0"/>
                <w:sz w:val="20"/>
                <w:szCs w:val="20"/>
                <w:lang w:val="hy-AM"/>
              </w:rPr>
            </w:pPr>
            <w:r w:rsidRPr="00BB489E">
              <w:rPr>
                <w:sz w:val="20"/>
                <w:szCs w:val="20"/>
                <w:lang w:val="hy-AM"/>
              </w:rPr>
              <w:t xml:space="preserve">1. </w:t>
            </w:r>
            <w:r w:rsidRPr="00BB489E">
              <w:rPr>
                <w:rFonts w:cs="Arial"/>
                <w:sz w:val="20"/>
                <w:szCs w:val="20"/>
                <w:lang w:val="hy-AM"/>
              </w:rPr>
              <w:t>ԿՐԹՈՒԹՅՈՒՆ</w:t>
            </w:r>
          </w:p>
        </w:tc>
        <w:tc>
          <w:tcPr>
            <w:tcW w:w="675"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14:paraId="0E337489" w14:textId="77777777" w:rsidR="007E61D3" w:rsidRPr="00BB489E" w:rsidRDefault="007E61D3" w:rsidP="00291CBE">
            <w:pPr>
              <w:spacing w:before="0" w:line="276" w:lineRule="auto"/>
              <w:ind w:firstLine="0"/>
              <w:jc w:val="center"/>
              <w:rPr>
                <w:b w:val="0"/>
                <w:sz w:val="20"/>
                <w:szCs w:val="20"/>
              </w:rPr>
            </w:pPr>
            <w:r w:rsidRPr="00BB489E">
              <w:rPr>
                <w:rFonts w:cs="Calibri"/>
                <w:bCs/>
                <w:sz w:val="20"/>
                <w:szCs w:val="20"/>
              </w:rPr>
              <w:t>121,626.5</w:t>
            </w:r>
          </w:p>
        </w:tc>
        <w:tc>
          <w:tcPr>
            <w:tcW w:w="675"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57" w:type="dxa"/>
              <w:bottom w:w="0" w:type="dxa"/>
              <w:right w:w="85" w:type="dxa"/>
            </w:tcMar>
            <w:vAlign w:val="center"/>
            <w:hideMark/>
          </w:tcPr>
          <w:p w14:paraId="670A69BC" w14:textId="77777777" w:rsidR="007E61D3" w:rsidRPr="00BB489E" w:rsidRDefault="007E61D3" w:rsidP="00291CBE">
            <w:pPr>
              <w:spacing w:before="0" w:line="276" w:lineRule="auto"/>
              <w:ind w:firstLine="0"/>
              <w:jc w:val="center"/>
              <w:rPr>
                <w:b w:val="0"/>
                <w:sz w:val="20"/>
                <w:szCs w:val="20"/>
              </w:rPr>
            </w:pPr>
            <w:r w:rsidRPr="00BB489E">
              <w:rPr>
                <w:rFonts w:cs="Calibri"/>
                <w:bCs/>
                <w:sz w:val="20"/>
                <w:szCs w:val="20"/>
              </w:rPr>
              <w:t>129,336.3</w:t>
            </w:r>
          </w:p>
        </w:tc>
        <w:tc>
          <w:tcPr>
            <w:tcW w:w="593" w:type="pct"/>
            <w:tcBorders>
              <w:top w:val="single" w:sz="4" w:space="0" w:color="auto"/>
              <w:left w:val="single" w:sz="4" w:space="0" w:color="auto"/>
              <w:bottom w:val="single" w:sz="4" w:space="0" w:color="auto"/>
              <w:right w:val="single" w:sz="4" w:space="0" w:color="auto"/>
            </w:tcBorders>
            <w:shd w:val="clear" w:color="auto" w:fill="C6D9F1" w:themeFill="text2" w:themeFillTint="33"/>
            <w:tcMar>
              <w:top w:w="0" w:type="dxa"/>
              <w:left w:w="30" w:type="dxa"/>
              <w:bottom w:w="0" w:type="dxa"/>
              <w:right w:w="30" w:type="dxa"/>
            </w:tcMar>
            <w:vAlign w:val="center"/>
            <w:hideMark/>
          </w:tcPr>
          <w:p w14:paraId="15873375" w14:textId="77777777" w:rsidR="007E61D3" w:rsidRPr="003437E7" w:rsidRDefault="007E61D3" w:rsidP="00291CBE">
            <w:pPr>
              <w:spacing w:before="0" w:line="276" w:lineRule="auto"/>
              <w:ind w:firstLine="0"/>
              <w:jc w:val="center"/>
              <w:rPr>
                <w:b w:val="0"/>
                <w:sz w:val="20"/>
                <w:szCs w:val="20"/>
                <w:lang w:val="hy-AM"/>
              </w:rPr>
            </w:pPr>
            <w:r>
              <w:rPr>
                <w:rFonts w:cs="Calibri"/>
                <w:bCs/>
                <w:sz w:val="20"/>
                <w:szCs w:val="20"/>
                <w:lang w:val="hy-AM"/>
              </w:rPr>
              <w:t>143</w:t>
            </w:r>
            <w:r w:rsidRPr="00BB489E">
              <w:rPr>
                <w:rFonts w:cs="Calibri"/>
                <w:bCs/>
                <w:sz w:val="20"/>
                <w:szCs w:val="20"/>
              </w:rPr>
              <w:t>,</w:t>
            </w:r>
            <w:r>
              <w:rPr>
                <w:rFonts w:cs="Calibri"/>
                <w:bCs/>
                <w:sz w:val="20"/>
                <w:szCs w:val="20"/>
                <w:lang w:val="hy-AM"/>
              </w:rPr>
              <w:t>796</w:t>
            </w:r>
            <w:r w:rsidRPr="00BB489E">
              <w:rPr>
                <w:rFonts w:cs="Calibri"/>
                <w:bCs/>
                <w:sz w:val="20"/>
                <w:szCs w:val="20"/>
              </w:rPr>
              <w:t>.</w:t>
            </w:r>
            <w:r>
              <w:rPr>
                <w:rFonts w:cs="Calibri"/>
                <w:bCs/>
                <w:sz w:val="20"/>
                <w:szCs w:val="20"/>
                <w:lang w:val="hy-AM"/>
              </w:rPr>
              <w:t>3</w:t>
            </w:r>
          </w:p>
        </w:tc>
        <w:tc>
          <w:tcPr>
            <w:tcW w:w="649" w:type="pct"/>
            <w:tcBorders>
              <w:top w:val="single" w:sz="4" w:space="0" w:color="auto"/>
              <w:left w:val="single" w:sz="4" w:space="0" w:color="auto"/>
              <w:bottom w:val="single" w:sz="4"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7ECDC107" w14:textId="77777777" w:rsidR="007E61D3" w:rsidRPr="00BB489E" w:rsidRDefault="007E61D3" w:rsidP="00291CBE">
            <w:pPr>
              <w:spacing w:before="0" w:line="276" w:lineRule="auto"/>
              <w:ind w:firstLine="0"/>
              <w:jc w:val="center"/>
              <w:rPr>
                <w:b w:val="0"/>
                <w:sz w:val="20"/>
                <w:szCs w:val="20"/>
              </w:rPr>
            </w:pPr>
            <w:r w:rsidRPr="00BB489E">
              <w:rPr>
                <w:rFonts w:cs="Calibri"/>
                <w:bCs/>
                <w:sz w:val="20"/>
                <w:szCs w:val="20"/>
              </w:rPr>
              <w:t>153,</w:t>
            </w:r>
            <w:r w:rsidRPr="00BB489E">
              <w:rPr>
                <w:rFonts w:cs="Calibri"/>
                <w:bCs/>
                <w:sz w:val="20"/>
                <w:szCs w:val="20"/>
                <w:lang w:val="en-US"/>
              </w:rPr>
              <w:t>593</w:t>
            </w:r>
            <w:r w:rsidRPr="00BB489E">
              <w:rPr>
                <w:rFonts w:cs="Calibri"/>
                <w:bCs/>
                <w:sz w:val="20"/>
                <w:szCs w:val="20"/>
              </w:rPr>
              <w:t>.3</w:t>
            </w:r>
          </w:p>
        </w:tc>
        <w:tc>
          <w:tcPr>
            <w:tcW w:w="736" w:type="pct"/>
            <w:tcBorders>
              <w:top w:val="single" w:sz="4" w:space="0" w:color="auto"/>
              <w:left w:val="single" w:sz="4" w:space="0" w:color="auto"/>
              <w:bottom w:val="single" w:sz="4" w:space="0" w:color="auto"/>
              <w:right w:val="double" w:sz="4" w:space="0" w:color="auto"/>
            </w:tcBorders>
            <w:shd w:val="clear" w:color="auto" w:fill="C6D9F1" w:themeFill="text2" w:themeFillTint="33"/>
            <w:vAlign w:val="center"/>
          </w:tcPr>
          <w:p w14:paraId="36732C38" w14:textId="77777777" w:rsidR="007E61D3" w:rsidRPr="002E65F8" w:rsidRDefault="007E61D3" w:rsidP="00291CBE">
            <w:pPr>
              <w:spacing w:before="0" w:line="276" w:lineRule="auto"/>
              <w:ind w:firstLine="0"/>
              <w:jc w:val="center"/>
              <w:rPr>
                <w:sz w:val="20"/>
                <w:szCs w:val="20"/>
                <w:lang w:val="en-US"/>
              </w:rPr>
            </w:pPr>
            <w:r w:rsidRPr="00841900">
              <w:rPr>
                <w:sz w:val="20"/>
                <w:szCs w:val="20"/>
              </w:rPr>
              <w:t>19</w:t>
            </w:r>
            <w:r>
              <w:rPr>
                <w:sz w:val="20"/>
                <w:szCs w:val="20"/>
                <w:lang w:val="hy-AM"/>
              </w:rPr>
              <w:t>3</w:t>
            </w:r>
            <w:r w:rsidRPr="00841900">
              <w:rPr>
                <w:sz w:val="20"/>
                <w:szCs w:val="20"/>
              </w:rPr>
              <w:t>,</w:t>
            </w:r>
            <w:r>
              <w:rPr>
                <w:sz w:val="20"/>
                <w:szCs w:val="20"/>
                <w:lang w:val="hy-AM"/>
              </w:rPr>
              <w:t>026</w:t>
            </w:r>
            <w:r w:rsidRPr="00841900">
              <w:rPr>
                <w:sz w:val="20"/>
                <w:szCs w:val="20"/>
              </w:rPr>
              <w:t>.</w:t>
            </w:r>
            <w:r>
              <w:rPr>
                <w:sz w:val="20"/>
                <w:szCs w:val="20"/>
                <w:lang w:val="en-US"/>
              </w:rPr>
              <w:t>5</w:t>
            </w:r>
          </w:p>
        </w:tc>
      </w:tr>
      <w:tr w:rsidR="007E61D3" w:rsidRPr="00BB489E" w14:paraId="30DE52B0"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33A6FD3B"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284D9B2C" w14:textId="77777777" w:rsidR="007E61D3" w:rsidRPr="003437E7" w:rsidRDefault="007E61D3" w:rsidP="00291CBE">
            <w:pPr>
              <w:spacing w:before="0" w:line="276" w:lineRule="auto"/>
              <w:ind w:firstLine="0"/>
              <w:jc w:val="center"/>
              <w:rPr>
                <w:rFonts w:cs="Arial"/>
                <w:b w:val="0"/>
                <w:bCs/>
                <w:color w:val="000000"/>
                <w:sz w:val="20"/>
                <w:szCs w:val="20"/>
              </w:rPr>
            </w:pPr>
            <w:r w:rsidRPr="003437E7">
              <w:rPr>
                <w:b w:val="0"/>
                <w:bCs/>
                <w:sz w:val="20"/>
                <w:szCs w:val="20"/>
              </w:rPr>
              <w:t>2.0%</w:t>
            </w:r>
          </w:p>
        </w:tc>
        <w:tc>
          <w:tcPr>
            <w:tcW w:w="675" w:type="pct"/>
            <w:tcBorders>
              <w:top w:val="single" w:sz="4"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4446BF8D" w14:textId="77777777" w:rsidR="007E61D3" w:rsidRPr="003437E7" w:rsidRDefault="007E61D3" w:rsidP="00291CBE">
            <w:pPr>
              <w:spacing w:before="0" w:line="276" w:lineRule="auto"/>
              <w:ind w:firstLine="0"/>
              <w:jc w:val="center"/>
              <w:rPr>
                <w:rFonts w:cs="Arial"/>
                <w:b w:val="0"/>
                <w:bCs/>
                <w:color w:val="000000"/>
                <w:sz w:val="20"/>
                <w:szCs w:val="20"/>
              </w:rPr>
            </w:pPr>
            <w:r w:rsidRPr="003437E7">
              <w:rPr>
                <w:b w:val="0"/>
                <w:bCs/>
                <w:sz w:val="20"/>
                <w:szCs w:val="20"/>
              </w:rPr>
              <w:t>2.0%</w:t>
            </w:r>
          </w:p>
        </w:tc>
        <w:tc>
          <w:tcPr>
            <w:tcW w:w="593" w:type="pct"/>
            <w:tcBorders>
              <w:top w:val="single" w:sz="4" w:space="0" w:color="auto"/>
              <w:left w:val="single" w:sz="6" w:space="0" w:color="auto"/>
              <w:bottom w:val="single" w:sz="6" w:space="0" w:color="auto"/>
              <w:right w:val="single" w:sz="6" w:space="0" w:color="auto"/>
            </w:tcBorders>
            <w:shd w:val="clear" w:color="auto" w:fill="FFFFFF"/>
            <w:hideMark/>
          </w:tcPr>
          <w:p w14:paraId="692F5285" w14:textId="77777777" w:rsidR="007E61D3" w:rsidRPr="003437E7" w:rsidRDefault="007E61D3" w:rsidP="00291CBE">
            <w:pPr>
              <w:spacing w:before="0" w:line="276" w:lineRule="auto"/>
              <w:ind w:firstLine="0"/>
              <w:jc w:val="center"/>
              <w:rPr>
                <w:rFonts w:cs="Arial"/>
                <w:b w:val="0"/>
                <w:bCs/>
                <w:color w:val="000000"/>
                <w:sz w:val="20"/>
                <w:szCs w:val="20"/>
              </w:rPr>
            </w:pPr>
            <w:r w:rsidRPr="003437E7">
              <w:rPr>
                <w:b w:val="0"/>
                <w:bCs/>
                <w:sz w:val="20"/>
                <w:szCs w:val="20"/>
              </w:rPr>
              <w:t>2.</w:t>
            </w:r>
            <w:r>
              <w:rPr>
                <w:b w:val="0"/>
                <w:bCs/>
                <w:sz w:val="20"/>
                <w:szCs w:val="20"/>
                <w:lang w:val="hy-AM"/>
              </w:rPr>
              <w:t>3</w:t>
            </w:r>
            <w:r w:rsidRPr="003437E7">
              <w:rPr>
                <w:b w:val="0"/>
                <w:bCs/>
                <w:sz w:val="20"/>
                <w:szCs w:val="20"/>
              </w:rPr>
              <w:t>%</w:t>
            </w:r>
          </w:p>
        </w:tc>
        <w:tc>
          <w:tcPr>
            <w:tcW w:w="649" w:type="pct"/>
            <w:tcBorders>
              <w:top w:val="single" w:sz="4" w:space="0" w:color="auto"/>
              <w:left w:val="single" w:sz="6" w:space="0" w:color="auto"/>
              <w:bottom w:val="single" w:sz="6" w:space="0" w:color="auto"/>
              <w:right w:val="double" w:sz="4" w:space="0" w:color="auto"/>
            </w:tcBorders>
            <w:shd w:val="clear" w:color="auto" w:fill="FFFFFF"/>
            <w:hideMark/>
          </w:tcPr>
          <w:p w14:paraId="577DB166" w14:textId="77777777" w:rsidR="007E61D3" w:rsidRPr="003437E7" w:rsidRDefault="007E61D3" w:rsidP="00291CBE">
            <w:pPr>
              <w:spacing w:before="0" w:line="276" w:lineRule="auto"/>
              <w:ind w:firstLine="0"/>
              <w:jc w:val="center"/>
              <w:rPr>
                <w:rFonts w:cs="Arial"/>
                <w:b w:val="0"/>
                <w:bCs/>
                <w:color w:val="000000"/>
                <w:sz w:val="20"/>
                <w:szCs w:val="20"/>
                <w:lang w:val="en-US"/>
              </w:rPr>
            </w:pPr>
            <w:r w:rsidRPr="003437E7">
              <w:rPr>
                <w:b w:val="0"/>
                <w:bCs/>
                <w:sz w:val="20"/>
                <w:szCs w:val="20"/>
              </w:rPr>
              <w:t>2.4%</w:t>
            </w:r>
          </w:p>
        </w:tc>
        <w:tc>
          <w:tcPr>
            <w:tcW w:w="736" w:type="pct"/>
            <w:tcBorders>
              <w:top w:val="single" w:sz="4" w:space="0" w:color="auto"/>
              <w:left w:val="single" w:sz="6" w:space="0" w:color="auto"/>
              <w:bottom w:val="single" w:sz="6" w:space="0" w:color="auto"/>
              <w:right w:val="double" w:sz="4" w:space="0" w:color="auto"/>
            </w:tcBorders>
            <w:shd w:val="clear" w:color="auto" w:fill="FFFFFF"/>
          </w:tcPr>
          <w:p w14:paraId="0C0B8447" w14:textId="77777777" w:rsidR="007E61D3" w:rsidRPr="003437E7" w:rsidRDefault="007E61D3" w:rsidP="00291CBE">
            <w:pPr>
              <w:spacing w:before="0" w:line="276" w:lineRule="auto"/>
              <w:ind w:firstLine="0"/>
              <w:jc w:val="center"/>
              <w:rPr>
                <w:b w:val="0"/>
                <w:bCs/>
                <w:sz w:val="20"/>
                <w:szCs w:val="20"/>
              </w:rPr>
            </w:pPr>
            <w:r w:rsidRPr="003437E7">
              <w:rPr>
                <w:b w:val="0"/>
                <w:bCs/>
                <w:sz w:val="20"/>
                <w:szCs w:val="20"/>
              </w:rPr>
              <w:t>2.5%</w:t>
            </w:r>
          </w:p>
        </w:tc>
      </w:tr>
      <w:tr w:rsidR="007E61D3" w:rsidRPr="00BB489E" w14:paraId="32B4F0F8"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5C16FAEF"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78A58A39" w14:textId="77777777" w:rsidR="007E61D3" w:rsidRPr="003437E7" w:rsidRDefault="007E61D3" w:rsidP="00291CBE">
            <w:pPr>
              <w:spacing w:before="0" w:line="276" w:lineRule="auto"/>
              <w:ind w:firstLine="0"/>
              <w:jc w:val="center"/>
              <w:rPr>
                <w:rFonts w:cs="Arial"/>
                <w:b w:val="0"/>
                <w:bCs/>
                <w:color w:val="000000"/>
                <w:sz w:val="20"/>
                <w:szCs w:val="20"/>
              </w:rPr>
            </w:pPr>
            <w:r w:rsidRPr="003437E7">
              <w:rPr>
                <w:b w:val="0"/>
                <w:bCs/>
                <w:sz w:val="20"/>
                <w:szCs w:val="20"/>
              </w:rPr>
              <w:t>8.4%</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01B4A007" w14:textId="77777777" w:rsidR="007E61D3" w:rsidRPr="003437E7" w:rsidRDefault="007E61D3" w:rsidP="00291CBE">
            <w:pPr>
              <w:spacing w:before="0" w:line="276" w:lineRule="auto"/>
              <w:ind w:firstLine="0"/>
              <w:jc w:val="center"/>
              <w:rPr>
                <w:rFonts w:cs="Arial"/>
                <w:b w:val="0"/>
                <w:bCs/>
                <w:color w:val="000000"/>
                <w:sz w:val="20"/>
                <w:szCs w:val="20"/>
              </w:rPr>
            </w:pPr>
            <w:r w:rsidRPr="003437E7">
              <w:rPr>
                <w:b w:val="0"/>
                <w:bCs/>
                <w:sz w:val="20"/>
                <w:szCs w:val="20"/>
              </w:rPr>
              <w:t>7.9%</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096BCEA4" w14:textId="77777777" w:rsidR="007E61D3" w:rsidRPr="003437E7" w:rsidRDefault="007E61D3" w:rsidP="00291CBE">
            <w:pPr>
              <w:spacing w:before="0" w:line="276" w:lineRule="auto"/>
              <w:ind w:firstLine="0"/>
              <w:jc w:val="center"/>
              <w:rPr>
                <w:rFonts w:cs="Arial"/>
                <w:b w:val="0"/>
                <w:bCs/>
                <w:color w:val="000000"/>
                <w:sz w:val="20"/>
                <w:szCs w:val="20"/>
              </w:rPr>
            </w:pPr>
            <w:r w:rsidRPr="003437E7">
              <w:rPr>
                <w:b w:val="0"/>
                <w:bCs/>
                <w:sz w:val="20"/>
                <w:szCs w:val="20"/>
                <w:lang w:val="hy-AM"/>
              </w:rPr>
              <w:t>7</w:t>
            </w:r>
            <w:r w:rsidRPr="003437E7">
              <w:rPr>
                <w:b w:val="0"/>
                <w:bCs/>
                <w:sz w:val="20"/>
                <w:szCs w:val="20"/>
              </w:rPr>
              <w:t>.</w:t>
            </w:r>
            <w:r w:rsidRPr="003437E7">
              <w:rPr>
                <w:b w:val="0"/>
                <w:bCs/>
                <w:sz w:val="20"/>
                <w:szCs w:val="20"/>
                <w:lang w:val="hy-AM"/>
              </w:rPr>
              <w:t>6</w:t>
            </w:r>
            <w:r w:rsidRPr="003437E7">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07E30F7F" w14:textId="77777777" w:rsidR="007E61D3" w:rsidRPr="003437E7" w:rsidRDefault="007E61D3" w:rsidP="00291CBE">
            <w:pPr>
              <w:spacing w:before="0" w:line="276" w:lineRule="auto"/>
              <w:ind w:firstLine="0"/>
              <w:jc w:val="center"/>
              <w:rPr>
                <w:rFonts w:cs="Arial"/>
                <w:b w:val="0"/>
                <w:bCs/>
                <w:color w:val="000000"/>
                <w:sz w:val="20"/>
                <w:szCs w:val="20"/>
                <w:lang w:val="en-US"/>
              </w:rPr>
            </w:pPr>
            <w:r w:rsidRPr="003437E7">
              <w:rPr>
                <w:b w:val="0"/>
                <w:bCs/>
                <w:sz w:val="20"/>
                <w:szCs w:val="20"/>
              </w:rPr>
              <w:t>8.3%</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2CD64229" w14:textId="77777777" w:rsidR="007E61D3" w:rsidRPr="003437E7" w:rsidRDefault="007E61D3" w:rsidP="00291CBE">
            <w:pPr>
              <w:spacing w:before="0" w:line="276" w:lineRule="auto"/>
              <w:ind w:firstLine="0"/>
              <w:jc w:val="center"/>
              <w:rPr>
                <w:b w:val="0"/>
                <w:bCs/>
                <w:sz w:val="20"/>
                <w:szCs w:val="20"/>
              </w:rPr>
            </w:pPr>
            <w:r w:rsidRPr="003437E7">
              <w:rPr>
                <w:b w:val="0"/>
                <w:bCs/>
                <w:sz w:val="20"/>
                <w:szCs w:val="20"/>
              </w:rPr>
              <w:t>8.</w:t>
            </w:r>
            <w:r w:rsidRPr="003437E7">
              <w:rPr>
                <w:b w:val="0"/>
                <w:bCs/>
                <w:sz w:val="20"/>
                <w:szCs w:val="20"/>
                <w:lang w:val="en-US"/>
              </w:rPr>
              <w:t>8</w:t>
            </w:r>
            <w:r w:rsidRPr="003437E7">
              <w:rPr>
                <w:b w:val="0"/>
                <w:bCs/>
                <w:sz w:val="20"/>
                <w:szCs w:val="20"/>
              </w:rPr>
              <w:t>%</w:t>
            </w:r>
          </w:p>
        </w:tc>
      </w:tr>
      <w:tr w:rsidR="007E61D3" w:rsidRPr="00BB489E" w14:paraId="12B4D1B2"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628D3761" w14:textId="77777777" w:rsidR="007E61D3" w:rsidRPr="00BB489E" w:rsidRDefault="007E61D3" w:rsidP="00291CBE">
            <w:pPr>
              <w:spacing w:before="0" w:line="276" w:lineRule="auto"/>
              <w:ind w:firstLine="0"/>
              <w:jc w:val="left"/>
              <w:rPr>
                <w:b w:val="0"/>
                <w:sz w:val="20"/>
                <w:szCs w:val="20"/>
                <w:lang w:val="hy-AM"/>
              </w:rPr>
            </w:pPr>
            <w:r w:rsidRPr="00BB489E">
              <w:rPr>
                <w:sz w:val="20"/>
                <w:szCs w:val="20"/>
                <w:lang w:val="hy-AM"/>
              </w:rPr>
              <w:t xml:space="preserve">2. </w:t>
            </w:r>
            <w:r w:rsidRPr="00BB489E">
              <w:rPr>
                <w:rFonts w:cs="Arial"/>
                <w:sz w:val="20"/>
                <w:szCs w:val="20"/>
                <w:lang w:val="hy-AM"/>
              </w:rPr>
              <w:t>ՍՈՑԻԱԼԱԿԱՆ</w:t>
            </w:r>
            <w:r w:rsidRPr="00BB489E">
              <w:rPr>
                <w:sz w:val="20"/>
                <w:szCs w:val="20"/>
                <w:lang w:val="hy-AM"/>
              </w:rPr>
              <w:t xml:space="preserve"> </w:t>
            </w:r>
            <w:r w:rsidRPr="00BB489E">
              <w:rPr>
                <w:rFonts w:cs="Arial"/>
                <w:sz w:val="20"/>
                <w:szCs w:val="20"/>
                <w:lang w:val="hy-AM"/>
              </w:rPr>
              <w:t>ՊԱՇՏՊԱՆՈՒԹՅՈՒՆ</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5E92638C" w14:textId="77777777" w:rsidR="007E61D3" w:rsidRPr="00BB489E" w:rsidRDefault="007E61D3" w:rsidP="00291CBE">
            <w:pPr>
              <w:spacing w:before="0" w:line="276" w:lineRule="auto"/>
              <w:ind w:firstLine="0"/>
              <w:jc w:val="center"/>
              <w:rPr>
                <w:rFonts w:cs="Arial"/>
                <w:b w:val="0"/>
                <w:bCs/>
                <w:sz w:val="20"/>
                <w:szCs w:val="20"/>
              </w:rPr>
            </w:pPr>
            <w:r w:rsidRPr="00BB489E">
              <w:rPr>
                <w:rFonts w:cs="Calibri"/>
                <w:bCs/>
                <w:sz w:val="20"/>
                <w:szCs w:val="20"/>
              </w:rPr>
              <w:t>416,625.8</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3101CD7F" w14:textId="77777777" w:rsidR="007E61D3" w:rsidRPr="00BB489E" w:rsidRDefault="007E61D3" w:rsidP="00291CBE">
            <w:pPr>
              <w:spacing w:before="0" w:line="276" w:lineRule="auto"/>
              <w:ind w:firstLine="0"/>
              <w:jc w:val="center"/>
              <w:rPr>
                <w:rFonts w:cs="Arial"/>
                <w:b w:val="0"/>
                <w:bCs/>
                <w:sz w:val="20"/>
                <w:szCs w:val="20"/>
              </w:rPr>
            </w:pPr>
            <w:r w:rsidRPr="00BB489E">
              <w:rPr>
                <w:rFonts w:cs="Calibri"/>
                <w:bCs/>
                <w:sz w:val="20"/>
                <w:szCs w:val="20"/>
              </w:rPr>
              <w:t>453,921.2</w:t>
            </w:r>
          </w:p>
        </w:tc>
        <w:tc>
          <w:tcPr>
            <w:tcW w:w="5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14:paraId="2D356099" w14:textId="77777777" w:rsidR="007E61D3" w:rsidRPr="00F92324" w:rsidRDefault="007E61D3" w:rsidP="00291CBE">
            <w:pPr>
              <w:spacing w:before="0" w:line="276" w:lineRule="auto"/>
              <w:ind w:firstLine="0"/>
              <w:jc w:val="center"/>
              <w:rPr>
                <w:rFonts w:cs="Arial"/>
                <w:b w:val="0"/>
                <w:bCs/>
                <w:sz w:val="20"/>
                <w:szCs w:val="20"/>
                <w:lang w:val="hy-AM"/>
              </w:rPr>
            </w:pPr>
            <w:r>
              <w:rPr>
                <w:rFonts w:cs="Calibri"/>
                <w:bCs/>
                <w:sz w:val="20"/>
                <w:szCs w:val="20"/>
                <w:lang w:val="hy-AM"/>
              </w:rPr>
              <w:t>546</w:t>
            </w:r>
            <w:r w:rsidRPr="00BB489E">
              <w:rPr>
                <w:rFonts w:cs="Calibri"/>
                <w:bCs/>
                <w:sz w:val="20"/>
                <w:szCs w:val="20"/>
              </w:rPr>
              <w:t>,</w:t>
            </w:r>
            <w:r>
              <w:rPr>
                <w:rFonts w:cs="Calibri"/>
                <w:bCs/>
                <w:sz w:val="20"/>
                <w:szCs w:val="20"/>
                <w:lang w:val="hy-AM"/>
              </w:rPr>
              <w:t>575</w:t>
            </w:r>
            <w:r w:rsidRPr="00BB489E">
              <w:rPr>
                <w:rFonts w:cs="Calibri"/>
                <w:bCs/>
                <w:sz w:val="20"/>
                <w:szCs w:val="20"/>
              </w:rPr>
              <w:t>.</w:t>
            </w:r>
            <w:r>
              <w:rPr>
                <w:rFonts w:cs="Calibri"/>
                <w:bCs/>
                <w:sz w:val="20"/>
                <w:szCs w:val="20"/>
                <w:lang w:val="hy-AM"/>
              </w:rPr>
              <w:t>7</w:t>
            </w:r>
          </w:p>
        </w:tc>
        <w:tc>
          <w:tcPr>
            <w:tcW w:w="649"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73C790CA" w14:textId="77777777" w:rsidR="007E61D3" w:rsidRPr="00BB489E" w:rsidRDefault="007E61D3" w:rsidP="00291CBE">
            <w:pPr>
              <w:spacing w:before="0" w:line="276" w:lineRule="auto"/>
              <w:ind w:firstLine="0"/>
              <w:jc w:val="center"/>
              <w:rPr>
                <w:rFonts w:cs="Arial"/>
                <w:b w:val="0"/>
                <w:bCs/>
                <w:sz w:val="20"/>
                <w:szCs w:val="20"/>
                <w:lang w:val="en-US"/>
              </w:rPr>
            </w:pPr>
            <w:r w:rsidRPr="00BB489E">
              <w:rPr>
                <w:rFonts w:cs="Calibri"/>
                <w:bCs/>
                <w:sz w:val="20"/>
                <w:szCs w:val="20"/>
              </w:rPr>
              <w:t>504,8</w:t>
            </w:r>
            <w:r w:rsidRPr="00BB489E">
              <w:rPr>
                <w:rFonts w:cs="Calibri"/>
                <w:bCs/>
                <w:sz w:val="20"/>
                <w:szCs w:val="20"/>
                <w:lang w:val="en-US"/>
              </w:rPr>
              <w:t>75</w:t>
            </w:r>
            <w:r w:rsidRPr="00BB489E">
              <w:rPr>
                <w:rFonts w:cs="Calibri"/>
                <w:bCs/>
                <w:sz w:val="20"/>
                <w:szCs w:val="20"/>
              </w:rPr>
              <w:t>.</w:t>
            </w:r>
            <w:r w:rsidRPr="00BB489E">
              <w:rPr>
                <w:rFonts w:cs="Calibri"/>
                <w:bCs/>
                <w:sz w:val="20"/>
                <w:szCs w:val="20"/>
                <w:lang w:val="en-US"/>
              </w:rPr>
              <w:t>9</w:t>
            </w:r>
          </w:p>
        </w:tc>
        <w:tc>
          <w:tcPr>
            <w:tcW w:w="736"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14:paraId="4A0A92F6" w14:textId="77777777" w:rsidR="007E61D3" w:rsidRPr="007073A4" w:rsidRDefault="007E61D3" w:rsidP="00291CBE">
            <w:pPr>
              <w:spacing w:before="0" w:line="276" w:lineRule="auto"/>
              <w:ind w:firstLine="0"/>
              <w:jc w:val="center"/>
              <w:rPr>
                <w:sz w:val="20"/>
                <w:szCs w:val="20"/>
                <w:lang w:val="en-US"/>
              </w:rPr>
            </w:pPr>
            <w:r w:rsidRPr="00841900">
              <w:rPr>
                <w:sz w:val="20"/>
                <w:szCs w:val="20"/>
              </w:rPr>
              <w:t>581,</w:t>
            </w:r>
            <w:r>
              <w:rPr>
                <w:sz w:val="20"/>
                <w:szCs w:val="20"/>
                <w:lang w:val="en-US"/>
              </w:rPr>
              <w:t>318</w:t>
            </w:r>
            <w:r w:rsidRPr="00841900">
              <w:rPr>
                <w:sz w:val="20"/>
                <w:szCs w:val="20"/>
              </w:rPr>
              <w:t>.</w:t>
            </w:r>
            <w:r>
              <w:rPr>
                <w:sz w:val="20"/>
                <w:szCs w:val="20"/>
                <w:lang w:val="en-US"/>
              </w:rPr>
              <w:t>0</w:t>
            </w:r>
          </w:p>
        </w:tc>
      </w:tr>
      <w:tr w:rsidR="007E61D3" w:rsidRPr="00BB489E" w14:paraId="31A266E1"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3DDD4379"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6C72606E"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6.9%</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7AEA563E"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6.9%</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0AFB7326"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8.</w:t>
            </w:r>
            <w:r w:rsidRPr="002510B4">
              <w:rPr>
                <w:b w:val="0"/>
                <w:bCs/>
                <w:sz w:val="20"/>
                <w:szCs w:val="20"/>
                <w:lang w:val="hy-AM"/>
              </w:rPr>
              <w:t>8</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6B7D3E90" w14:textId="77777777" w:rsidR="007E61D3" w:rsidRPr="002510B4" w:rsidRDefault="007E61D3" w:rsidP="00291CBE">
            <w:pPr>
              <w:spacing w:before="0" w:line="276" w:lineRule="auto"/>
              <w:ind w:firstLine="0"/>
              <w:jc w:val="center"/>
              <w:rPr>
                <w:rFonts w:cs="Arial"/>
                <w:b w:val="0"/>
                <w:bCs/>
                <w:color w:val="000000"/>
                <w:sz w:val="20"/>
                <w:szCs w:val="20"/>
                <w:lang w:val="en-US"/>
              </w:rPr>
            </w:pPr>
            <w:r w:rsidRPr="002510B4">
              <w:rPr>
                <w:b w:val="0"/>
                <w:bCs/>
                <w:sz w:val="20"/>
                <w:szCs w:val="20"/>
              </w:rPr>
              <w:t>7.9%</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3ED5F846" w14:textId="77777777" w:rsidR="007E61D3" w:rsidRPr="002510B4" w:rsidRDefault="007E61D3" w:rsidP="00291CBE">
            <w:pPr>
              <w:spacing w:before="0" w:line="276" w:lineRule="auto"/>
              <w:ind w:firstLine="0"/>
              <w:jc w:val="center"/>
              <w:rPr>
                <w:b w:val="0"/>
                <w:bCs/>
                <w:sz w:val="20"/>
                <w:szCs w:val="20"/>
              </w:rPr>
            </w:pPr>
            <w:r w:rsidRPr="002510B4">
              <w:rPr>
                <w:b w:val="0"/>
                <w:bCs/>
                <w:sz w:val="20"/>
                <w:szCs w:val="20"/>
              </w:rPr>
              <w:t>7.</w:t>
            </w:r>
            <w:r>
              <w:rPr>
                <w:b w:val="0"/>
                <w:bCs/>
                <w:sz w:val="20"/>
                <w:szCs w:val="20"/>
                <w:lang w:val="hy-AM"/>
              </w:rPr>
              <w:t>4</w:t>
            </w:r>
            <w:r w:rsidRPr="002510B4">
              <w:rPr>
                <w:b w:val="0"/>
                <w:bCs/>
                <w:sz w:val="20"/>
                <w:szCs w:val="20"/>
              </w:rPr>
              <w:t>%</w:t>
            </w:r>
          </w:p>
        </w:tc>
      </w:tr>
      <w:tr w:rsidR="007E61D3" w:rsidRPr="00BB489E" w14:paraId="653DF1AD"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3E518A39"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5930874B"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28.8%</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35C3393D"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27.9%</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1D77AFB4"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lang w:val="hy-AM"/>
              </w:rPr>
              <w:t>28,8</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139C5E5D" w14:textId="77777777" w:rsidR="007E61D3" w:rsidRPr="002510B4" w:rsidRDefault="007E61D3" w:rsidP="00291CBE">
            <w:pPr>
              <w:spacing w:before="0" w:line="276" w:lineRule="auto"/>
              <w:ind w:firstLine="0"/>
              <w:jc w:val="center"/>
              <w:rPr>
                <w:rFonts w:cs="Arial"/>
                <w:b w:val="0"/>
                <w:bCs/>
                <w:color w:val="000000"/>
                <w:sz w:val="20"/>
                <w:szCs w:val="20"/>
                <w:lang w:val="en-US"/>
              </w:rPr>
            </w:pPr>
            <w:r w:rsidRPr="002510B4">
              <w:rPr>
                <w:b w:val="0"/>
                <w:bCs/>
                <w:sz w:val="20"/>
                <w:szCs w:val="20"/>
              </w:rPr>
              <w:t>27.3%</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70DCE4AF" w14:textId="77777777" w:rsidR="007E61D3" w:rsidRPr="002510B4" w:rsidRDefault="007E61D3" w:rsidP="00291CBE">
            <w:pPr>
              <w:spacing w:before="0" w:line="276" w:lineRule="auto"/>
              <w:ind w:firstLine="0"/>
              <w:jc w:val="center"/>
              <w:rPr>
                <w:b w:val="0"/>
                <w:bCs/>
                <w:sz w:val="20"/>
                <w:szCs w:val="20"/>
              </w:rPr>
            </w:pPr>
            <w:r w:rsidRPr="002510B4">
              <w:rPr>
                <w:b w:val="0"/>
                <w:bCs/>
                <w:sz w:val="20"/>
                <w:szCs w:val="20"/>
              </w:rPr>
              <w:t>26.</w:t>
            </w:r>
            <w:r w:rsidRPr="002510B4">
              <w:rPr>
                <w:b w:val="0"/>
                <w:bCs/>
                <w:sz w:val="20"/>
                <w:szCs w:val="20"/>
                <w:lang w:val="en-US"/>
              </w:rPr>
              <w:t>6</w:t>
            </w:r>
            <w:r w:rsidRPr="002510B4">
              <w:rPr>
                <w:b w:val="0"/>
                <w:bCs/>
                <w:sz w:val="20"/>
                <w:szCs w:val="20"/>
              </w:rPr>
              <w:t>%</w:t>
            </w:r>
          </w:p>
        </w:tc>
      </w:tr>
      <w:tr w:rsidR="007E61D3" w:rsidRPr="00BB489E" w14:paraId="1CD16992"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146D6D77" w14:textId="77777777" w:rsidR="007E61D3" w:rsidRPr="00BB489E" w:rsidRDefault="007E61D3" w:rsidP="00291CBE">
            <w:pPr>
              <w:spacing w:before="0" w:line="276" w:lineRule="auto"/>
              <w:ind w:firstLine="0"/>
              <w:jc w:val="left"/>
              <w:rPr>
                <w:b w:val="0"/>
                <w:sz w:val="20"/>
                <w:szCs w:val="20"/>
                <w:lang w:val="hy-AM"/>
              </w:rPr>
            </w:pPr>
            <w:r w:rsidRPr="00BB489E">
              <w:rPr>
                <w:sz w:val="20"/>
                <w:szCs w:val="20"/>
                <w:lang w:val="hy-AM"/>
              </w:rPr>
              <w:t xml:space="preserve">3. </w:t>
            </w:r>
            <w:r w:rsidRPr="00BB489E">
              <w:rPr>
                <w:rFonts w:cs="Arial"/>
                <w:sz w:val="20"/>
                <w:szCs w:val="20"/>
                <w:lang w:val="hy-AM"/>
              </w:rPr>
              <w:t>ԱՌՈՂՋԱՊԱՀՈՒԹՅՈՒՆ</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450D2C1F" w14:textId="77777777" w:rsidR="007E61D3" w:rsidRPr="00BB489E" w:rsidRDefault="007E61D3" w:rsidP="00291CBE">
            <w:pPr>
              <w:spacing w:before="0" w:line="276" w:lineRule="auto"/>
              <w:ind w:firstLine="0"/>
              <w:jc w:val="center"/>
              <w:rPr>
                <w:b w:val="0"/>
                <w:bCs/>
                <w:sz w:val="20"/>
                <w:szCs w:val="20"/>
              </w:rPr>
            </w:pPr>
            <w:r w:rsidRPr="00BB489E">
              <w:rPr>
                <w:rFonts w:cs="Calibri"/>
                <w:bCs/>
                <w:sz w:val="20"/>
                <w:szCs w:val="20"/>
              </w:rPr>
              <w:t>79,574,1</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25627C74" w14:textId="77777777" w:rsidR="007E61D3" w:rsidRPr="00BB489E" w:rsidRDefault="007E61D3" w:rsidP="00291CBE">
            <w:pPr>
              <w:spacing w:before="0" w:line="276" w:lineRule="auto"/>
              <w:ind w:firstLine="0"/>
              <w:jc w:val="center"/>
              <w:rPr>
                <w:b w:val="0"/>
                <w:bCs/>
                <w:sz w:val="20"/>
                <w:szCs w:val="20"/>
              </w:rPr>
            </w:pPr>
            <w:r w:rsidRPr="00BB489E">
              <w:rPr>
                <w:rFonts w:cs="Calibri"/>
                <w:bCs/>
                <w:sz w:val="20"/>
                <w:szCs w:val="20"/>
              </w:rPr>
              <w:t>99,283,0</w:t>
            </w:r>
          </w:p>
        </w:tc>
        <w:tc>
          <w:tcPr>
            <w:tcW w:w="5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14:paraId="4E4D23CA" w14:textId="77777777" w:rsidR="007E61D3" w:rsidRPr="00F92324" w:rsidRDefault="007E61D3" w:rsidP="00291CBE">
            <w:pPr>
              <w:spacing w:before="0" w:line="276" w:lineRule="auto"/>
              <w:ind w:firstLine="0"/>
              <w:jc w:val="center"/>
              <w:rPr>
                <w:b w:val="0"/>
                <w:bCs/>
                <w:sz w:val="20"/>
                <w:szCs w:val="20"/>
                <w:lang w:val="hy-AM"/>
              </w:rPr>
            </w:pPr>
            <w:r>
              <w:rPr>
                <w:rFonts w:cs="Calibri"/>
                <w:bCs/>
                <w:sz w:val="20"/>
                <w:szCs w:val="20"/>
                <w:lang w:val="hy-AM"/>
              </w:rPr>
              <w:t>148</w:t>
            </w:r>
            <w:r w:rsidRPr="00BB489E">
              <w:rPr>
                <w:rFonts w:cs="Calibri"/>
                <w:bCs/>
                <w:sz w:val="20"/>
                <w:szCs w:val="20"/>
              </w:rPr>
              <w:t>,</w:t>
            </w:r>
            <w:r>
              <w:rPr>
                <w:rFonts w:cs="Calibri"/>
                <w:bCs/>
                <w:sz w:val="20"/>
                <w:szCs w:val="20"/>
                <w:lang w:val="hy-AM"/>
              </w:rPr>
              <w:t>236</w:t>
            </w:r>
            <w:r w:rsidRPr="00BB489E">
              <w:rPr>
                <w:rFonts w:cs="Calibri"/>
                <w:bCs/>
                <w:sz w:val="20"/>
                <w:szCs w:val="20"/>
              </w:rPr>
              <w:t>.</w:t>
            </w:r>
            <w:r>
              <w:rPr>
                <w:rFonts w:cs="Calibri"/>
                <w:bCs/>
                <w:sz w:val="20"/>
                <w:szCs w:val="20"/>
                <w:lang w:val="hy-AM"/>
              </w:rPr>
              <w:t>7</w:t>
            </w:r>
          </w:p>
        </w:tc>
        <w:tc>
          <w:tcPr>
            <w:tcW w:w="649"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0062D853" w14:textId="77777777" w:rsidR="007E61D3" w:rsidRPr="00BB489E" w:rsidRDefault="007E61D3" w:rsidP="00291CBE">
            <w:pPr>
              <w:spacing w:before="0" w:line="276" w:lineRule="auto"/>
              <w:ind w:firstLine="0"/>
              <w:jc w:val="center"/>
              <w:rPr>
                <w:b w:val="0"/>
                <w:bCs/>
                <w:sz w:val="20"/>
                <w:szCs w:val="20"/>
                <w:lang w:val="en-US"/>
              </w:rPr>
            </w:pPr>
            <w:r w:rsidRPr="00BB489E">
              <w:rPr>
                <w:rFonts w:cs="Calibri"/>
                <w:bCs/>
                <w:sz w:val="20"/>
                <w:szCs w:val="20"/>
                <w:lang w:val="en-US"/>
              </w:rPr>
              <w:t>117</w:t>
            </w:r>
            <w:r w:rsidRPr="00BB489E">
              <w:rPr>
                <w:rFonts w:cs="Calibri"/>
                <w:bCs/>
                <w:sz w:val="20"/>
                <w:szCs w:val="20"/>
              </w:rPr>
              <w:t>,</w:t>
            </w:r>
            <w:r w:rsidRPr="00BB489E">
              <w:rPr>
                <w:rFonts w:cs="Calibri"/>
                <w:bCs/>
                <w:sz w:val="20"/>
                <w:szCs w:val="20"/>
                <w:lang w:val="en-US"/>
              </w:rPr>
              <w:t>548</w:t>
            </w:r>
            <w:r w:rsidRPr="00BB489E">
              <w:rPr>
                <w:rFonts w:cs="Calibri"/>
                <w:bCs/>
                <w:sz w:val="20"/>
                <w:szCs w:val="20"/>
              </w:rPr>
              <w:t>.</w:t>
            </w:r>
            <w:r w:rsidRPr="00BB489E">
              <w:rPr>
                <w:rFonts w:cs="Calibri"/>
                <w:bCs/>
                <w:sz w:val="20"/>
                <w:szCs w:val="20"/>
                <w:lang w:val="en-US"/>
              </w:rPr>
              <w:t>5</w:t>
            </w:r>
          </w:p>
        </w:tc>
        <w:tc>
          <w:tcPr>
            <w:tcW w:w="736"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14:paraId="6B1196C1" w14:textId="77777777" w:rsidR="007E61D3" w:rsidRPr="007073A4" w:rsidRDefault="007E61D3" w:rsidP="00291CBE">
            <w:pPr>
              <w:spacing w:before="0" w:line="276" w:lineRule="auto"/>
              <w:ind w:firstLine="0"/>
              <w:jc w:val="center"/>
              <w:rPr>
                <w:sz w:val="20"/>
                <w:szCs w:val="20"/>
                <w:lang w:val="en-US"/>
              </w:rPr>
            </w:pPr>
            <w:r w:rsidRPr="00841900">
              <w:rPr>
                <w:sz w:val="20"/>
                <w:szCs w:val="20"/>
              </w:rPr>
              <w:t>12</w:t>
            </w:r>
            <w:r>
              <w:rPr>
                <w:sz w:val="20"/>
                <w:szCs w:val="20"/>
                <w:lang w:val="en-US"/>
              </w:rPr>
              <w:t>2</w:t>
            </w:r>
            <w:r w:rsidRPr="00841900">
              <w:rPr>
                <w:sz w:val="20"/>
                <w:szCs w:val="20"/>
              </w:rPr>
              <w:t>,</w:t>
            </w:r>
            <w:r>
              <w:rPr>
                <w:sz w:val="20"/>
                <w:szCs w:val="20"/>
                <w:lang w:val="en-US"/>
              </w:rPr>
              <w:t>484</w:t>
            </w:r>
            <w:r w:rsidRPr="00841900">
              <w:rPr>
                <w:sz w:val="20"/>
                <w:szCs w:val="20"/>
              </w:rPr>
              <w:t>.</w:t>
            </w:r>
            <w:r>
              <w:rPr>
                <w:sz w:val="20"/>
                <w:szCs w:val="20"/>
                <w:lang w:val="en-US"/>
              </w:rPr>
              <w:t>1</w:t>
            </w:r>
          </w:p>
        </w:tc>
      </w:tr>
      <w:tr w:rsidR="007E61D3" w:rsidRPr="00BB489E" w14:paraId="3101D56A"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28CBC6DB"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2C98779B"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1.3%</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70314A0D"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1.5%</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2DF2BF46" w14:textId="77777777" w:rsidR="007E61D3" w:rsidRPr="002510B4" w:rsidRDefault="007E61D3" w:rsidP="00291CBE">
            <w:pPr>
              <w:spacing w:before="0" w:line="276" w:lineRule="auto"/>
              <w:ind w:firstLine="0"/>
              <w:jc w:val="center"/>
              <w:rPr>
                <w:b w:val="0"/>
                <w:bCs/>
                <w:sz w:val="20"/>
                <w:szCs w:val="20"/>
              </w:rPr>
            </w:pPr>
            <w:r w:rsidRPr="002510B4">
              <w:rPr>
                <w:b w:val="0"/>
                <w:bCs/>
                <w:sz w:val="20"/>
                <w:szCs w:val="20"/>
              </w:rPr>
              <w:t>2</w:t>
            </w:r>
            <w:r w:rsidRPr="002510B4">
              <w:rPr>
                <w:rFonts w:ascii="Cambria Math" w:hAnsi="Cambria Math" w:cs="Cambria Math"/>
                <w:b w:val="0"/>
                <w:bCs/>
                <w:sz w:val="20"/>
                <w:szCs w:val="20"/>
              </w:rPr>
              <w:t>․</w:t>
            </w:r>
            <w:r w:rsidRPr="002510B4">
              <w:rPr>
                <w:b w:val="0"/>
                <w:bCs/>
                <w:sz w:val="20"/>
                <w:szCs w:val="20"/>
              </w:rPr>
              <w:t>3%</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54A09F4B" w14:textId="77777777" w:rsidR="007E61D3" w:rsidRPr="002510B4" w:rsidRDefault="007E61D3" w:rsidP="00291CBE">
            <w:pPr>
              <w:spacing w:before="0" w:line="276" w:lineRule="auto"/>
              <w:ind w:firstLine="0"/>
              <w:jc w:val="center"/>
              <w:rPr>
                <w:rFonts w:cs="Arial"/>
                <w:b w:val="0"/>
                <w:bCs/>
                <w:color w:val="000000"/>
                <w:sz w:val="20"/>
                <w:szCs w:val="20"/>
                <w:lang w:val="en-US"/>
              </w:rPr>
            </w:pPr>
            <w:r w:rsidRPr="002510B4">
              <w:rPr>
                <w:b w:val="0"/>
                <w:bCs/>
                <w:sz w:val="20"/>
                <w:szCs w:val="20"/>
              </w:rPr>
              <w:t>1.8%</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310BE94C" w14:textId="77777777" w:rsidR="007E61D3" w:rsidRPr="002510B4" w:rsidRDefault="007E61D3" w:rsidP="00291CBE">
            <w:pPr>
              <w:spacing w:before="0" w:line="276" w:lineRule="auto"/>
              <w:ind w:firstLine="0"/>
              <w:jc w:val="center"/>
              <w:rPr>
                <w:b w:val="0"/>
                <w:bCs/>
                <w:sz w:val="20"/>
                <w:szCs w:val="20"/>
              </w:rPr>
            </w:pPr>
            <w:r w:rsidRPr="002510B4">
              <w:rPr>
                <w:b w:val="0"/>
                <w:bCs/>
                <w:sz w:val="20"/>
                <w:szCs w:val="20"/>
              </w:rPr>
              <w:t>1.</w:t>
            </w:r>
            <w:r>
              <w:rPr>
                <w:b w:val="0"/>
                <w:bCs/>
                <w:sz w:val="20"/>
                <w:szCs w:val="20"/>
                <w:lang w:val="en-US"/>
              </w:rPr>
              <w:t>6</w:t>
            </w:r>
            <w:r w:rsidRPr="002510B4">
              <w:rPr>
                <w:b w:val="0"/>
                <w:bCs/>
                <w:sz w:val="20"/>
                <w:szCs w:val="20"/>
              </w:rPr>
              <w:t>%</w:t>
            </w:r>
          </w:p>
        </w:tc>
      </w:tr>
      <w:tr w:rsidR="007E61D3" w:rsidRPr="00BB489E" w14:paraId="1A6A55A1" w14:textId="77777777" w:rsidTr="00291CBE">
        <w:trPr>
          <w:trHeight w:val="426"/>
        </w:trPr>
        <w:tc>
          <w:tcPr>
            <w:tcW w:w="1672" w:type="pct"/>
            <w:tcBorders>
              <w:top w:val="single" w:sz="6" w:space="0" w:color="auto"/>
              <w:left w:val="double" w:sz="4" w:space="0" w:color="auto"/>
              <w:bottom w:val="single" w:sz="6" w:space="0" w:color="auto"/>
              <w:right w:val="single" w:sz="6" w:space="0" w:color="auto"/>
            </w:tcBorders>
            <w:shd w:val="clear" w:color="auto" w:fill="FFFFFF"/>
            <w:tcMar>
              <w:top w:w="0" w:type="dxa"/>
              <w:left w:w="57" w:type="dxa"/>
              <w:bottom w:w="0" w:type="dxa"/>
              <w:right w:w="85" w:type="dxa"/>
            </w:tcMar>
            <w:vAlign w:val="center"/>
            <w:hideMark/>
          </w:tcPr>
          <w:p w14:paraId="2E64FDF4" w14:textId="77777777" w:rsidR="007E61D3" w:rsidRPr="00BB489E" w:rsidRDefault="007E61D3" w:rsidP="00291CBE">
            <w:pPr>
              <w:spacing w:before="0" w:line="276" w:lineRule="auto"/>
              <w:ind w:firstLine="0"/>
              <w:jc w:val="left"/>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736F4730"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5.5%</w:t>
            </w:r>
          </w:p>
        </w:tc>
        <w:tc>
          <w:tcPr>
            <w:tcW w:w="675" w:type="pct"/>
            <w:tcBorders>
              <w:top w:val="single" w:sz="6" w:space="0" w:color="auto"/>
              <w:left w:val="single" w:sz="6" w:space="0" w:color="auto"/>
              <w:bottom w:val="single" w:sz="6" w:space="0" w:color="auto"/>
              <w:right w:val="single" w:sz="6" w:space="0" w:color="auto"/>
            </w:tcBorders>
            <w:shd w:val="clear" w:color="auto" w:fill="FFFFFF"/>
            <w:tcMar>
              <w:top w:w="0" w:type="dxa"/>
              <w:left w:w="57" w:type="dxa"/>
              <w:bottom w:w="0" w:type="dxa"/>
              <w:right w:w="85" w:type="dxa"/>
            </w:tcMar>
            <w:hideMark/>
          </w:tcPr>
          <w:p w14:paraId="0F0AFC91"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6.1%</w:t>
            </w:r>
          </w:p>
        </w:tc>
        <w:tc>
          <w:tcPr>
            <w:tcW w:w="593" w:type="pct"/>
            <w:tcBorders>
              <w:top w:val="single" w:sz="6" w:space="0" w:color="auto"/>
              <w:left w:val="single" w:sz="6" w:space="0" w:color="auto"/>
              <w:bottom w:val="single" w:sz="6" w:space="0" w:color="auto"/>
              <w:right w:val="single" w:sz="6" w:space="0" w:color="auto"/>
            </w:tcBorders>
            <w:shd w:val="clear" w:color="auto" w:fill="FFFFFF"/>
            <w:hideMark/>
          </w:tcPr>
          <w:p w14:paraId="33881188"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lang w:val="hy-AM"/>
              </w:rPr>
              <w:t>7</w:t>
            </w:r>
            <w:r w:rsidRPr="002510B4">
              <w:rPr>
                <w:rFonts w:ascii="Cambria Math" w:hAnsi="Cambria Math"/>
                <w:b w:val="0"/>
                <w:bCs/>
                <w:sz w:val="20"/>
                <w:szCs w:val="20"/>
                <w:lang w:val="hy-AM"/>
              </w:rPr>
              <w:t>․</w:t>
            </w:r>
            <w:r w:rsidRPr="002510B4">
              <w:rPr>
                <w:b w:val="0"/>
                <w:bCs/>
                <w:sz w:val="20"/>
                <w:szCs w:val="20"/>
                <w:lang w:val="hy-AM"/>
              </w:rPr>
              <w:t>8</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clear" w:color="auto" w:fill="FFFFFF"/>
            <w:hideMark/>
          </w:tcPr>
          <w:p w14:paraId="0615537E"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6.4%</w:t>
            </w:r>
          </w:p>
        </w:tc>
        <w:tc>
          <w:tcPr>
            <w:tcW w:w="736" w:type="pct"/>
            <w:tcBorders>
              <w:top w:val="single" w:sz="6" w:space="0" w:color="auto"/>
              <w:left w:val="single" w:sz="6" w:space="0" w:color="auto"/>
              <w:bottom w:val="single" w:sz="6" w:space="0" w:color="auto"/>
              <w:right w:val="double" w:sz="4" w:space="0" w:color="auto"/>
            </w:tcBorders>
            <w:shd w:val="clear" w:color="auto" w:fill="FFFFFF"/>
          </w:tcPr>
          <w:p w14:paraId="7B30CE61" w14:textId="77777777" w:rsidR="007E61D3" w:rsidRPr="002510B4" w:rsidRDefault="007E61D3" w:rsidP="00291CBE">
            <w:pPr>
              <w:spacing w:before="0" w:line="276" w:lineRule="auto"/>
              <w:ind w:firstLine="0"/>
              <w:jc w:val="center"/>
              <w:rPr>
                <w:b w:val="0"/>
                <w:bCs/>
                <w:sz w:val="20"/>
                <w:szCs w:val="20"/>
              </w:rPr>
            </w:pPr>
            <w:r w:rsidRPr="002510B4">
              <w:rPr>
                <w:b w:val="0"/>
                <w:bCs/>
                <w:sz w:val="20"/>
                <w:szCs w:val="20"/>
              </w:rPr>
              <w:t>5.6%</w:t>
            </w:r>
          </w:p>
        </w:tc>
      </w:tr>
      <w:tr w:rsidR="007E61D3" w:rsidRPr="00BB489E" w14:paraId="4DDA127C" w14:textId="77777777" w:rsidTr="00291CBE">
        <w:trPr>
          <w:trHeight w:val="20"/>
        </w:trPr>
        <w:tc>
          <w:tcPr>
            <w:tcW w:w="1672" w:type="pct"/>
            <w:tcBorders>
              <w:top w:val="single" w:sz="6" w:space="0" w:color="auto"/>
              <w:left w:val="double" w:sz="4"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7C63B4A9" w14:textId="77777777" w:rsidR="007E61D3" w:rsidRPr="00BB489E" w:rsidRDefault="007E61D3" w:rsidP="00291CBE">
            <w:pPr>
              <w:spacing w:before="0" w:line="276" w:lineRule="auto"/>
              <w:ind w:firstLine="0"/>
              <w:rPr>
                <w:b w:val="0"/>
                <w:sz w:val="20"/>
                <w:szCs w:val="20"/>
                <w:lang w:val="hy-AM"/>
              </w:rPr>
            </w:pPr>
            <w:r w:rsidRPr="00BB489E">
              <w:rPr>
                <w:sz w:val="20"/>
                <w:szCs w:val="20"/>
              </w:rPr>
              <w:t>4</w:t>
            </w:r>
            <w:r w:rsidRPr="00BB489E">
              <w:rPr>
                <w:sz w:val="20"/>
                <w:szCs w:val="20"/>
                <w:lang w:val="hy-AM"/>
              </w:rPr>
              <w:t xml:space="preserve">. </w:t>
            </w:r>
            <w:r w:rsidRPr="00BB489E">
              <w:rPr>
                <w:rFonts w:cs="Arial"/>
                <w:sz w:val="20"/>
                <w:szCs w:val="20"/>
                <w:lang w:val="hy-AM"/>
              </w:rPr>
              <w:t>ՀԱՆԳԻՍՏ, ՄՇԱԿՈՒՅԹ ԵՎ ԿՐՈՆ</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1816B9EC" w14:textId="77777777" w:rsidR="007E61D3" w:rsidRPr="00BB489E" w:rsidRDefault="007E61D3" w:rsidP="00291CBE">
            <w:pPr>
              <w:spacing w:before="0" w:line="276" w:lineRule="auto"/>
              <w:ind w:firstLine="0"/>
              <w:jc w:val="center"/>
              <w:rPr>
                <w:b w:val="0"/>
                <w:bCs/>
                <w:sz w:val="20"/>
                <w:szCs w:val="20"/>
              </w:rPr>
            </w:pPr>
            <w:r w:rsidRPr="00BB489E">
              <w:rPr>
                <w:rFonts w:cs="Calibri"/>
                <w:bCs/>
                <w:sz w:val="20"/>
                <w:szCs w:val="20"/>
              </w:rPr>
              <w:t>25,306.0</w:t>
            </w:r>
          </w:p>
        </w:tc>
        <w:tc>
          <w:tcPr>
            <w:tcW w:w="675"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57" w:type="dxa"/>
              <w:bottom w:w="0" w:type="dxa"/>
              <w:right w:w="85" w:type="dxa"/>
            </w:tcMar>
            <w:vAlign w:val="center"/>
            <w:hideMark/>
          </w:tcPr>
          <w:p w14:paraId="3AE75665" w14:textId="77777777" w:rsidR="007E61D3" w:rsidRPr="00BB489E" w:rsidRDefault="007E61D3" w:rsidP="00291CBE">
            <w:pPr>
              <w:spacing w:before="0" w:line="276" w:lineRule="auto"/>
              <w:ind w:firstLine="0"/>
              <w:jc w:val="center"/>
              <w:rPr>
                <w:b w:val="0"/>
                <w:bCs/>
                <w:sz w:val="20"/>
                <w:szCs w:val="20"/>
              </w:rPr>
            </w:pPr>
            <w:r w:rsidRPr="00BB489E">
              <w:rPr>
                <w:rFonts w:cs="Calibri"/>
                <w:bCs/>
                <w:sz w:val="20"/>
                <w:szCs w:val="20"/>
              </w:rPr>
              <w:t>33,558,3</w:t>
            </w:r>
          </w:p>
        </w:tc>
        <w:tc>
          <w:tcPr>
            <w:tcW w:w="593" w:type="pct"/>
            <w:tcBorders>
              <w:top w:val="single" w:sz="6" w:space="0" w:color="auto"/>
              <w:left w:val="single" w:sz="6" w:space="0" w:color="auto"/>
              <w:bottom w:val="single" w:sz="6" w:space="0" w:color="auto"/>
              <w:right w:val="single" w:sz="6" w:space="0" w:color="auto"/>
            </w:tcBorders>
            <w:shd w:val="clear" w:color="auto" w:fill="C6D9F1" w:themeFill="text2" w:themeFillTint="33"/>
            <w:tcMar>
              <w:top w:w="0" w:type="dxa"/>
              <w:left w:w="30" w:type="dxa"/>
              <w:bottom w:w="0" w:type="dxa"/>
              <w:right w:w="30" w:type="dxa"/>
            </w:tcMar>
            <w:vAlign w:val="center"/>
            <w:hideMark/>
          </w:tcPr>
          <w:p w14:paraId="57EA3B5A" w14:textId="77777777" w:rsidR="007E61D3" w:rsidRPr="00F92324" w:rsidRDefault="007E61D3" w:rsidP="00291CBE">
            <w:pPr>
              <w:spacing w:before="0" w:line="276" w:lineRule="auto"/>
              <w:ind w:firstLine="0"/>
              <w:jc w:val="center"/>
              <w:rPr>
                <w:b w:val="0"/>
                <w:bCs/>
                <w:sz w:val="20"/>
                <w:szCs w:val="20"/>
                <w:lang w:val="hy-AM"/>
              </w:rPr>
            </w:pPr>
            <w:r w:rsidRPr="00BB489E">
              <w:rPr>
                <w:rFonts w:cs="Calibri"/>
                <w:bCs/>
                <w:sz w:val="20"/>
                <w:szCs w:val="20"/>
              </w:rPr>
              <w:t>3</w:t>
            </w:r>
            <w:r>
              <w:rPr>
                <w:rFonts w:cs="Calibri"/>
                <w:bCs/>
                <w:sz w:val="20"/>
                <w:szCs w:val="20"/>
                <w:lang w:val="hy-AM"/>
              </w:rPr>
              <w:t>3</w:t>
            </w:r>
            <w:r w:rsidRPr="00BB489E">
              <w:rPr>
                <w:rFonts w:cs="Calibri"/>
                <w:bCs/>
                <w:sz w:val="20"/>
                <w:szCs w:val="20"/>
              </w:rPr>
              <w:t>,</w:t>
            </w:r>
            <w:r>
              <w:rPr>
                <w:rFonts w:cs="Calibri"/>
                <w:bCs/>
                <w:sz w:val="20"/>
                <w:szCs w:val="20"/>
                <w:lang w:val="hy-AM"/>
              </w:rPr>
              <w:t>625</w:t>
            </w:r>
            <w:r w:rsidRPr="00BB489E">
              <w:rPr>
                <w:rFonts w:cs="Calibri"/>
                <w:bCs/>
                <w:sz w:val="20"/>
                <w:szCs w:val="20"/>
              </w:rPr>
              <w:t>.</w:t>
            </w:r>
            <w:r>
              <w:rPr>
                <w:rFonts w:cs="Calibri"/>
                <w:bCs/>
                <w:sz w:val="20"/>
                <w:szCs w:val="20"/>
                <w:lang w:val="hy-AM"/>
              </w:rPr>
              <w:t>0</w:t>
            </w:r>
          </w:p>
        </w:tc>
        <w:tc>
          <w:tcPr>
            <w:tcW w:w="649" w:type="pct"/>
            <w:tcBorders>
              <w:top w:val="single" w:sz="6" w:space="0" w:color="auto"/>
              <w:left w:val="single" w:sz="6" w:space="0" w:color="auto"/>
              <w:bottom w:val="single" w:sz="6" w:space="0" w:color="auto"/>
              <w:right w:val="double" w:sz="4" w:space="0" w:color="auto"/>
            </w:tcBorders>
            <w:shd w:val="clear" w:color="auto" w:fill="C6D9F1" w:themeFill="text2" w:themeFillTint="33"/>
            <w:tcMar>
              <w:top w:w="0" w:type="dxa"/>
              <w:left w:w="30" w:type="dxa"/>
              <w:bottom w:w="0" w:type="dxa"/>
              <w:right w:w="30" w:type="dxa"/>
            </w:tcMar>
            <w:vAlign w:val="center"/>
            <w:hideMark/>
          </w:tcPr>
          <w:p w14:paraId="4FF3E3A8" w14:textId="77777777" w:rsidR="007E61D3" w:rsidRPr="00BB489E" w:rsidRDefault="007E61D3" w:rsidP="00291CBE">
            <w:pPr>
              <w:spacing w:before="0" w:line="276" w:lineRule="auto"/>
              <w:ind w:firstLine="0"/>
              <w:jc w:val="center"/>
              <w:rPr>
                <w:b w:val="0"/>
                <w:bCs/>
                <w:sz w:val="20"/>
                <w:szCs w:val="20"/>
                <w:lang w:val="en-US"/>
              </w:rPr>
            </w:pPr>
            <w:r w:rsidRPr="00BB489E">
              <w:rPr>
                <w:rFonts w:cs="Calibri"/>
                <w:bCs/>
                <w:sz w:val="20"/>
                <w:szCs w:val="20"/>
              </w:rPr>
              <w:t>30,5</w:t>
            </w:r>
            <w:r w:rsidRPr="00BB489E">
              <w:rPr>
                <w:rFonts w:cs="Calibri"/>
                <w:bCs/>
                <w:sz w:val="20"/>
                <w:szCs w:val="20"/>
                <w:lang w:val="en-US"/>
              </w:rPr>
              <w:t>85</w:t>
            </w:r>
            <w:r w:rsidRPr="00BB489E">
              <w:rPr>
                <w:rFonts w:cs="Calibri"/>
                <w:bCs/>
                <w:sz w:val="20"/>
                <w:szCs w:val="20"/>
              </w:rPr>
              <w:t>.</w:t>
            </w:r>
            <w:r w:rsidRPr="00BB489E">
              <w:rPr>
                <w:rFonts w:cs="Calibri"/>
                <w:bCs/>
                <w:sz w:val="20"/>
                <w:szCs w:val="20"/>
                <w:lang w:val="en-US"/>
              </w:rPr>
              <w:t>0</w:t>
            </w:r>
          </w:p>
        </w:tc>
        <w:tc>
          <w:tcPr>
            <w:tcW w:w="736" w:type="pct"/>
            <w:tcBorders>
              <w:top w:val="single" w:sz="6" w:space="0" w:color="auto"/>
              <w:left w:val="single" w:sz="6" w:space="0" w:color="auto"/>
              <w:bottom w:val="single" w:sz="6" w:space="0" w:color="auto"/>
              <w:right w:val="double" w:sz="4" w:space="0" w:color="auto"/>
            </w:tcBorders>
            <w:shd w:val="clear" w:color="auto" w:fill="C6D9F1" w:themeFill="text2" w:themeFillTint="33"/>
            <w:vAlign w:val="center"/>
          </w:tcPr>
          <w:p w14:paraId="5A717673" w14:textId="77777777" w:rsidR="007E61D3" w:rsidRPr="00125424" w:rsidRDefault="007E61D3" w:rsidP="00291CBE">
            <w:pPr>
              <w:spacing w:before="0" w:line="276" w:lineRule="auto"/>
              <w:ind w:firstLine="0"/>
              <w:jc w:val="center"/>
              <w:rPr>
                <w:rFonts w:cs="Calibri"/>
                <w:bCs/>
                <w:sz w:val="20"/>
                <w:szCs w:val="20"/>
                <w:lang w:val="en-US"/>
              </w:rPr>
            </w:pPr>
            <w:r>
              <w:rPr>
                <w:rFonts w:cs="Calibri"/>
                <w:bCs/>
                <w:sz w:val="20"/>
                <w:szCs w:val="20"/>
                <w:lang w:val="en-US"/>
              </w:rPr>
              <w:t>32,774.3</w:t>
            </w:r>
          </w:p>
        </w:tc>
      </w:tr>
      <w:tr w:rsidR="007E61D3" w:rsidRPr="00BB489E" w14:paraId="693937AF" w14:textId="77777777" w:rsidTr="00291CBE">
        <w:trPr>
          <w:trHeight w:val="395"/>
        </w:trPr>
        <w:tc>
          <w:tcPr>
            <w:tcW w:w="1672" w:type="pct"/>
            <w:tcBorders>
              <w:top w:val="single" w:sz="6" w:space="0" w:color="auto"/>
              <w:left w:val="double" w:sz="4" w:space="0" w:color="auto"/>
              <w:bottom w:val="single" w:sz="6" w:space="0" w:color="auto"/>
              <w:right w:val="single" w:sz="6" w:space="0" w:color="auto"/>
            </w:tcBorders>
            <w:shd w:val="solid" w:color="FFFFFF" w:fill="auto"/>
            <w:tcMar>
              <w:top w:w="0" w:type="dxa"/>
              <w:left w:w="57" w:type="dxa"/>
              <w:bottom w:w="0" w:type="dxa"/>
              <w:right w:w="85" w:type="dxa"/>
            </w:tcMar>
            <w:vAlign w:val="center"/>
            <w:hideMark/>
          </w:tcPr>
          <w:p w14:paraId="420410CA"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Հարաբերությունը</w:t>
            </w:r>
            <w:r w:rsidRPr="00BB489E">
              <w:rPr>
                <w:b w:val="0"/>
                <w:sz w:val="20"/>
                <w:szCs w:val="20"/>
                <w:lang w:val="hy-AM"/>
              </w:rPr>
              <w:t xml:space="preserve"> </w:t>
            </w:r>
            <w:r w:rsidRPr="00BB489E">
              <w:rPr>
                <w:rFonts w:cs="Arial"/>
                <w:b w:val="0"/>
                <w:sz w:val="20"/>
                <w:szCs w:val="20"/>
                <w:lang w:val="hy-AM"/>
              </w:rPr>
              <w:t>ՀՆԱ</w:t>
            </w:r>
            <w:r w:rsidRPr="00BB489E">
              <w:rPr>
                <w:b w:val="0"/>
                <w:sz w:val="20"/>
                <w:szCs w:val="20"/>
                <w:lang w:val="hy-AM"/>
              </w:rPr>
              <w:t>-</w:t>
            </w:r>
            <w:r w:rsidRPr="00BB489E">
              <w:rPr>
                <w:rFonts w:cs="Arial"/>
                <w:b w:val="0"/>
                <w:sz w:val="20"/>
                <w:szCs w:val="20"/>
                <w:lang w:val="hy-AM"/>
              </w:rPr>
              <w:t>ի</w:t>
            </w:r>
            <w:r w:rsidRPr="00BB489E">
              <w:rPr>
                <w:b w:val="0"/>
                <w:sz w:val="20"/>
                <w:szCs w:val="20"/>
                <w:lang w:val="hy-AM"/>
              </w:rPr>
              <w:t xml:space="preserve"> </w:t>
            </w:r>
            <w:r w:rsidRPr="00BB489E">
              <w:rPr>
                <w:rFonts w:cs="Arial"/>
                <w:b w:val="0"/>
                <w:sz w:val="20"/>
                <w:szCs w:val="20"/>
                <w:lang w:val="hy-AM"/>
              </w:rPr>
              <w:t>նկատմամբ</w:t>
            </w:r>
            <w:r w:rsidRPr="00BB489E">
              <w:rPr>
                <w:b w:val="0"/>
                <w:sz w:val="20"/>
                <w:szCs w:val="20"/>
                <w:lang w:val="hy-AM"/>
              </w:rPr>
              <w:t xml:space="preserve"> (%)</w:t>
            </w:r>
          </w:p>
        </w:tc>
        <w:tc>
          <w:tcPr>
            <w:tcW w:w="675"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14:paraId="3104E4E2"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0.4%</w:t>
            </w:r>
          </w:p>
        </w:tc>
        <w:tc>
          <w:tcPr>
            <w:tcW w:w="675" w:type="pct"/>
            <w:tcBorders>
              <w:top w:val="single" w:sz="6" w:space="0" w:color="auto"/>
              <w:left w:val="single" w:sz="6" w:space="0" w:color="auto"/>
              <w:bottom w:val="single" w:sz="6" w:space="0" w:color="auto"/>
              <w:right w:val="single" w:sz="6" w:space="0" w:color="auto"/>
            </w:tcBorders>
            <w:shd w:val="solid" w:color="FFFFFF" w:fill="auto"/>
            <w:tcMar>
              <w:top w:w="0" w:type="dxa"/>
              <w:left w:w="57" w:type="dxa"/>
              <w:bottom w:w="0" w:type="dxa"/>
              <w:right w:w="85" w:type="dxa"/>
            </w:tcMar>
            <w:hideMark/>
          </w:tcPr>
          <w:p w14:paraId="23CD813A"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0.5%</w:t>
            </w:r>
          </w:p>
        </w:tc>
        <w:tc>
          <w:tcPr>
            <w:tcW w:w="593" w:type="pct"/>
            <w:tcBorders>
              <w:top w:val="single" w:sz="6" w:space="0" w:color="auto"/>
              <w:left w:val="single" w:sz="6" w:space="0" w:color="auto"/>
              <w:bottom w:val="single" w:sz="6" w:space="0" w:color="auto"/>
              <w:right w:val="single" w:sz="6" w:space="0" w:color="auto"/>
            </w:tcBorders>
            <w:shd w:val="solid" w:color="FFFFFF" w:fill="auto"/>
            <w:tcMar>
              <w:top w:w="0" w:type="dxa"/>
              <w:left w:w="30" w:type="dxa"/>
              <w:bottom w:w="0" w:type="dxa"/>
              <w:right w:w="30" w:type="dxa"/>
            </w:tcMar>
            <w:hideMark/>
          </w:tcPr>
          <w:p w14:paraId="1DE360B8"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0.</w:t>
            </w:r>
            <w:r w:rsidRPr="002510B4">
              <w:rPr>
                <w:b w:val="0"/>
                <w:bCs/>
                <w:sz w:val="20"/>
                <w:szCs w:val="20"/>
                <w:lang w:val="hy-AM"/>
              </w:rPr>
              <w:t>2</w:t>
            </w:r>
            <w:r w:rsidRPr="002510B4">
              <w:rPr>
                <w:b w:val="0"/>
                <w:bCs/>
                <w:sz w:val="20"/>
                <w:szCs w:val="20"/>
              </w:rPr>
              <w:t>%</w:t>
            </w:r>
          </w:p>
        </w:tc>
        <w:tc>
          <w:tcPr>
            <w:tcW w:w="649" w:type="pct"/>
            <w:tcBorders>
              <w:top w:val="single" w:sz="6" w:space="0" w:color="auto"/>
              <w:left w:val="single" w:sz="6" w:space="0" w:color="auto"/>
              <w:bottom w:val="single" w:sz="6" w:space="0" w:color="auto"/>
              <w:right w:val="double" w:sz="4" w:space="0" w:color="auto"/>
            </w:tcBorders>
            <w:shd w:val="solid" w:color="FFFFFF" w:fill="auto"/>
            <w:tcMar>
              <w:top w:w="0" w:type="dxa"/>
              <w:left w:w="30" w:type="dxa"/>
              <w:bottom w:w="0" w:type="dxa"/>
              <w:right w:w="30" w:type="dxa"/>
            </w:tcMar>
            <w:hideMark/>
          </w:tcPr>
          <w:p w14:paraId="370233BC" w14:textId="77777777" w:rsidR="007E61D3" w:rsidRPr="002510B4" w:rsidRDefault="007E61D3" w:rsidP="00291CBE">
            <w:pPr>
              <w:spacing w:before="0" w:line="276" w:lineRule="auto"/>
              <w:ind w:firstLine="0"/>
              <w:jc w:val="center"/>
              <w:rPr>
                <w:rFonts w:cs="Arial"/>
                <w:b w:val="0"/>
                <w:bCs/>
                <w:color w:val="000000"/>
                <w:sz w:val="20"/>
                <w:szCs w:val="20"/>
                <w:lang w:val="en-US"/>
              </w:rPr>
            </w:pPr>
            <w:r w:rsidRPr="002510B4">
              <w:rPr>
                <w:b w:val="0"/>
                <w:bCs/>
                <w:sz w:val="20"/>
                <w:szCs w:val="20"/>
              </w:rPr>
              <w:t>0.5%</w:t>
            </w:r>
          </w:p>
        </w:tc>
        <w:tc>
          <w:tcPr>
            <w:tcW w:w="736" w:type="pct"/>
            <w:tcBorders>
              <w:top w:val="single" w:sz="6" w:space="0" w:color="auto"/>
              <w:left w:val="single" w:sz="6" w:space="0" w:color="auto"/>
              <w:bottom w:val="single" w:sz="6" w:space="0" w:color="auto"/>
              <w:right w:val="double" w:sz="4" w:space="0" w:color="auto"/>
            </w:tcBorders>
            <w:shd w:val="solid" w:color="FFFFFF" w:fill="auto"/>
          </w:tcPr>
          <w:p w14:paraId="6A87724F" w14:textId="77777777" w:rsidR="007E61D3" w:rsidRPr="002510B4" w:rsidRDefault="007E61D3" w:rsidP="00291CBE">
            <w:pPr>
              <w:spacing w:before="0" w:line="276" w:lineRule="auto"/>
              <w:ind w:firstLine="0"/>
              <w:jc w:val="center"/>
              <w:rPr>
                <w:b w:val="0"/>
                <w:bCs/>
                <w:sz w:val="20"/>
                <w:szCs w:val="20"/>
                <w:lang w:val="en-US"/>
              </w:rPr>
            </w:pPr>
            <w:r w:rsidRPr="002510B4">
              <w:rPr>
                <w:b w:val="0"/>
                <w:bCs/>
                <w:sz w:val="20"/>
                <w:szCs w:val="20"/>
                <w:lang w:val="en-US"/>
              </w:rPr>
              <w:t>0.4</w:t>
            </w:r>
            <w:r>
              <w:rPr>
                <w:b w:val="0"/>
                <w:bCs/>
                <w:sz w:val="20"/>
                <w:szCs w:val="20"/>
                <w:lang w:val="en-US"/>
              </w:rPr>
              <w:t>2</w:t>
            </w:r>
            <w:r w:rsidRPr="002510B4">
              <w:rPr>
                <w:b w:val="0"/>
                <w:bCs/>
                <w:sz w:val="20"/>
                <w:szCs w:val="20"/>
                <w:lang w:val="en-US"/>
              </w:rPr>
              <w:t>%</w:t>
            </w:r>
          </w:p>
        </w:tc>
      </w:tr>
      <w:tr w:rsidR="007E61D3" w:rsidRPr="00BB489E" w14:paraId="08A1B3D1" w14:textId="77777777" w:rsidTr="00291CBE">
        <w:trPr>
          <w:trHeight w:val="20"/>
        </w:trPr>
        <w:tc>
          <w:tcPr>
            <w:tcW w:w="1672" w:type="pct"/>
            <w:tcBorders>
              <w:top w:val="single" w:sz="6" w:space="0" w:color="auto"/>
              <w:left w:val="double" w:sz="4" w:space="0" w:color="auto"/>
              <w:bottom w:val="double" w:sz="4" w:space="0" w:color="auto"/>
              <w:right w:val="single" w:sz="6" w:space="0" w:color="auto"/>
            </w:tcBorders>
            <w:shd w:val="solid" w:color="FFFFFF" w:fill="auto"/>
            <w:tcMar>
              <w:top w:w="0" w:type="dxa"/>
              <w:left w:w="57" w:type="dxa"/>
              <w:bottom w:w="0" w:type="dxa"/>
              <w:right w:w="85" w:type="dxa"/>
            </w:tcMar>
            <w:vAlign w:val="center"/>
            <w:hideMark/>
          </w:tcPr>
          <w:p w14:paraId="531A1F7F" w14:textId="77777777" w:rsidR="007E61D3" w:rsidRPr="00BB489E" w:rsidRDefault="007E61D3" w:rsidP="00291CBE">
            <w:pPr>
              <w:spacing w:before="0" w:line="276" w:lineRule="auto"/>
              <w:ind w:firstLine="0"/>
              <w:rPr>
                <w:b w:val="0"/>
                <w:sz w:val="20"/>
                <w:szCs w:val="20"/>
                <w:lang w:val="hy-AM"/>
              </w:rPr>
            </w:pPr>
            <w:r w:rsidRPr="00BB489E">
              <w:rPr>
                <w:b w:val="0"/>
                <w:sz w:val="20"/>
                <w:szCs w:val="20"/>
                <w:lang w:val="hy-AM"/>
              </w:rPr>
              <w:t xml:space="preserve">- </w:t>
            </w:r>
            <w:r w:rsidRPr="00BB489E">
              <w:rPr>
                <w:rFonts w:cs="Arial"/>
                <w:b w:val="0"/>
                <w:sz w:val="20"/>
                <w:szCs w:val="20"/>
                <w:lang w:val="hy-AM"/>
              </w:rPr>
              <w:t>տեսակարար</w:t>
            </w:r>
            <w:r w:rsidRPr="00BB489E">
              <w:rPr>
                <w:b w:val="0"/>
                <w:sz w:val="20"/>
                <w:szCs w:val="20"/>
                <w:lang w:val="hy-AM"/>
              </w:rPr>
              <w:t xml:space="preserve"> </w:t>
            </w:r>
            <w:r w:rsidRPr="00BB489E">
              <w:rPr>
                <w:rFonts w:cs="Arial"/>
                <w:b w:val="0"/>
                <w:sz w:val="20"/>
                <w:szCs w:val="20"/>
                <w:lang w:val="hy-AM"/>
              </w:rPr>
              <w:t>կշիռը</w:t>
            </w:r>
            <w:r w:rsidRPr="00BB489E">
              <w:rPr>
                <w:b w:val="0"/>
                <w:sz w:val="20"/>
                <w:szCs w:val="20"/>
                <w:lang w:val="hy-AM"/>
              </w:rPr>
              <w:t xml:space="preserve"> </w:t>
            </w:r>
            <w:r w:rsidRPr="00BB489E">
              <w:rPr>
                <w:rFonts w:cs="Arial"/>
                <w:b w:val="0"/>
                <w:sz w:val="20"/>
                <w:szCs w:val="20"/>
                <w:lang w:val="hy-AM"/>
              </w:rPr>
              <w:t>ծախսերի</w:t>
            </w:r>
            <w:r w:rsidRPr="00BB489E">
              <w:rPr>
                <w:b w:val="0"/>
                <w:sz w:val="20"/>
                <w:szCs w:val="20"/>
                <w:lang w:val="hy-AM"/>
              </w:rPr>
              <w:t xml:space="preserve"> </w:t>
            </w:r>
            <w:r w:rsidRPr="00BB489E">
              <w:rPr>
                <w:rFonts w:cs="Arial"/>
                <w:b w:val="0"/>
                <w:sz w:val="20"/>
                <w:szCs w:val="20"/>
                <w:lang w:val="hy-AM"/>
              </w:rPr>
              <w:t>ամբողջ</w:t>
            </w:r>
            <w:r w:rsidRPr="00BB489E">
              <w:rPr>
                <w:b w:val="0"/>
                <w:sz w:val="20"/>
                <w:szCs w:val="20"/>
                <w:lang w:val="hy-AM"/>
              </w:rPr>
              <w:t xml:space="preserve"> </w:t>
            </w:r>
            <w:r w:rsidRPr="00BB489E">
              <w:rPr>
                <w:rFonts w:cs="Arial"/>
                <w:b w:val="0"/>
                <w:sz w:val="20"/>
                <w:szCs w:val="20"/>
                <w:lang w:val="hy-AM"/>
              </w:rPr>
              <w:t>ծավալում</w:t>
            </w:r>
            <w:r w:rsidRPr="00BB489E">
              <w:rPr>
                <w:b w:val="0"/>
                <w:sz w:val="20"/>
                <w:szCs w:val="20"/>
                <w:lang w:val="hy-AM"/>
              </w:rPr>
              <w:t xml:space="preserve"> (%)</w:t>
            </w:r>
          </w:p>
        </w:tc>
        <w:tc>
          <w:tcPr>
            <w:tcW w:w="675"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14:paraId="2C372CB2"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1.7%</w:t>
            </w:r>
          </w:p>
        </w:tc>
        <w:tc>
          <w:tcPr>
            <w:tcW w:w="675" w:type="pct"/>
            <w:tcBorders>
              <w:top w:val="single" w:sz="6" w:space="0" w:color="auto"/>
              <w:left w:val="single" w:sz="6" w:space="0" w:color="auto"/>
              <w:bottom w:val="double" w:sz="4" w:space="0" w:color="auto"/>
              <w:right w:val="single" w:sz="6" w:space="0" w:color="auto"/>
            </w:tcBorders>
            <w:shd w:val="solid" w:color="FFFFFF" w:fill="auto"/>
            <w:tcMar>
              <w:top w:w="0" w:type="dxa"/>
              <w:left w:w="57" w:type="dxa"/>
              <w:bottom w:w="0" w:type="dxa"/>
              <w:right w:w="85" w:type="dxa"/>
            </w:tcMar>
            <w:hideMark/>
          </w:tcPr>
          <w:p w14:paraId="5BBA6F2C"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2.1%</w:t>
            </w:r>
          </w:p>
        </w:tc>
        <w:tc>
          <w:tcPr>
            <w:tcW w:w="593" w:type="pct"/>
            <w:tcBorders>
              <w:top w:val="single" w:sz="6" w:space="0" w:color="auto"/>
              <w:left w:val="single" w:sz="6" w:space="0" w:color="auto"/>
              <w:bottom w:val="double" w:sz="4" w:space="0" w:color="auto"/>
              <w:right w:val="single" w:sz="6" w:space="0" w:color="auto"/>
            </w:tcBorders>
            <w:shd w:val="solid" w:color="FFFFFF" w:fill="auto"/>
            <w:tcMar>
              <w:top w:w="0" w:type="dxa"/>
              <w:left w:w="30" w:type="dxa"/>
              <w:bottom w:w="0" w:type="dxa"/>
              <w:right w:w="30" w:type="dxa"/>
            </w:tcMar>
            <w:hideMark/>
          </w:tcPr>
          <w:p w14:paraId="1A47C1E7" w14:textId="77777777" w:rsidR="007E61D3" w:rsidRPr="002510B4" w:rsidRDefault="007E61D3" w:rsidP="00291CBE">
            <w:pPr>
              <w:spacing w:before="0" w:line="276" w:lineRule="auto"/>
              <w:ind w:firstLine="0"/>
              <w:jc w:val="center"/>
              <w:rPr>
                <w:rFonts w:cs="Arial"/>
                <w:b w:val="0"/>
                <w:bCs/>
                <w:color w:val="000000"/>
                <w:sz w:val="20"/>
                <w:szCs w:val="20"/>
              </w:rPr>
            </w:pPr>
            <w:r w:rsidRPr="002510B4">
              <w:rPr>
                <w:b w:val="0"/>
                <w:bCs/>
                <w:sz w:val="20"/>
                <w:szCs w:val="20"/>
              </w:rPr>
              <w:t>1.</w:t>
            </w:r>
            <w:r w:rsidRPr="002510B4">
              <w:rPr>
                <w:b w:val="0"/>
                <w:bCs/>
                <w:sz w:val="20"/>
                <w:szCs w:val="20"/>
                <w:lang w:val="hy-AM"/>
              </w:rPr>
              <w:t>8</w:t>
            </w:r>
            <w:r w:rsidRPr="002510B4">
              <w:rPr>
                <w:b w:val="0"/>
                <w:bCs/>
                <w:sz w:val="20"/>
                <w:szCs w:val="20"/>
              </w:rPr>
              <w:t>%</w:t>
            </w:r>
          </w:p>
        </w:tc>
        <w:tc>
          <w:tcPr>
            <w:tcW w:w="649" w:type="pct"/>
            <w:tcBorders>
              <w:top w:val="single" w:sz="6" w:space="0" w:color="auto"/>
              <w:left w:val="single" w:sz="6" w:space="0" w:color="auto"/>
              <w:bottom w:val="double" w:sz="4" w:space="0" w:color="auto"/>
              <w:right w:val="double" w:sz="4" w:space="0" w:color="auto"/>
            </w:tcBorders>
            <w:shd w:val="solid" w:color="FFFFFF" w:fill="auto"/>
            <w:tcMar>
              <w:top w:w="0" w:type="dxa"/>
              <w:left w:w="30" w:type="dxa"/>
              <w:bottom w:w="0" w:type="dxa"/>
              <w:right w:w="30" w:type="dxa"/>
            </w:tcMar>
            <w:hideMark/>
          </w:tcPr>
          <w:p w14:paraId="4DE6895E" w14:textId="77777777" w:rsidR="007E61D3" w:rsidRPr="002510B4" w:rsidRDefault="007E61D3" w:rsidP="00291CBE">
            <w:pPr>
              <w:spacing w:before="0" w:line="276" w:lineRule="auto"/>
              <w:ind w:firstLine="0"/>
              <w:jc w:val="center"/>
              <w:rPr>
                <w:rFonts w:cs="Arial"/>
                <w:b w:val="0"/>
                <w:bCs/>
                <w:color w:val="000000"/>
                <w:sz w:val="20"/>
                <w:szCs w:val="20"/>
                <w:lang w:val="en-US"/>
              </w:rPr>
            </w:pPr>
            <w:r w:rsidRPr="002510B4">
              <w:rPr>
                <w:b w:val="0"/>
                <w:bCs/>
                <w:sz w:val="20"/>
                <w:szCs w:val="20"/>
              </w:rPr>
              <w:t>1.7%</w:t>
            </w:r>
          </w:p>
        </w:tc>
        <w:tc>
          <w:tcPr>
            <w:tcW w:w="736" w:type="pct"/>
            <w:tcBorders>
              <w:top w:val="single" w:sz="6" w:space="0" w:color="auto"/>
              <w:left w:val="single" w:sz="6" w:space="0" w:color="auto"/>
              <w:bottom w:val="double" w:sz="4" w:space="0" w:color="auto"/>
              <w:right w:val="double" w:sz="4" w:space="0" w:color="auto"/>
            </w:tcBorders>
            <w:shd w:val="solid" w:color="FFFFFF" w:fill="auto"/>
          </w:tcPr>
          <w:p w14:paraId="2030BBCF" w14:textId="77777777" w:rsidR="007E61D3" w:rsidRPr="002510B4" w:rsidRDefault="007E61D3" w:rsidP="00291CBE">
            <w:pPr>
              <w:spacing w:before="0" w:line="276" w:lineRule="auto"/>
              <w:ind w:firstLine="0"/>
              <w:jc w:val="center"/>
              <w:rPr>
                <w:b w:val="0"/>
                <w:bCs/>
                <w:sz w:val="20"/>
                <w:szCs w:val="20"/>
                <w:lang w:val="en-US"/>
              </w:rPr>
            </w:pPr>
            <w:r w:rsidRPr="002510B4">
              <w:rPr>
                <w:b w:val="0"/>
                <w:bCs/>
                <w:sz w:val="20"/>
                <w:szCs w:val="20"/>
                <w:lang w:val="en-US"/>
              </w:rPr>
              <w:t>1.5%</w:t>
            </w:r>
          </w:p>
        </w:tc>
      </w:tr>
    </w:tbl>
    <w:p w14:paraId="3E7C1492" w14:textId="77777777" w:rsidR="007E61D3" w:rsidRPr="00BB489E" w:rsidRDefault="007E61D3" w:rsidP="007E61D3">
      <w:pPr>
        <w:spacing w:before="0" w:line="276" w:lineRule="auto"/>
        <w:rPr>
          <w:lang w:val="hy-AM"/>
        </w:rPr>
      </w:pPr>
    </w:p>
    <w:p w14:paraId="392DEEFE" w14:textId="77777777" w:rsidR="007E61D3" w:rsidRPr="00BB489E" w:rsidRDefault="007E61D3" w:rsidP="007E61D3">
      <w:pPr>
        <w:spacing w:before="0" w:line="276" w:lineRule="auto"/>
        <w:ind w:firstLine="600"/>
        <w:rPr>
          <w:b w:val="0"/>
          <w:lang w:val="hy-AM"/>
        </w:rPr>
      </w:pPr>
      <w:r w:rsidRPr="00BB489E">
        <w:rPr>
          <w:b w:val="0"/>
          <w:lang w:val="hy-AM"/>
        </w:rPr>
        <w:t>201</w:t>
      </w:r>
      <w:r w:rsidRPr="00284569">
        <w:rPr>
          <w:b w:val="0"/>
          <w:lang w:val="hy-AM"/>
        </w:rPr>
        <w:t>8</w:t>
      </w:r>
      <w:r w:rsidRPr="00BB489E">
        <w:rPr>
          <w:b w:val="0"/>
          <w:lang w:val="hy-AM"/>
        </w:rPr>
        <w:t>-202</w:t>
      </w:r>
      <w:r w:rsidRPr="00284569">
        <w:rPr>
          <w:b w:val="0"/>
          <w:lang w:val="hy-AM"/>
        </w:rPr>
        <w:t>2</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ժամանակահատվածում կրթության և առողջապահության ոլորտների ֆինանսավորումը ՀՆԱ նկատմամբ փոփոխական բնույթ է կրել։</w:t>
      </w:r>
      <w:r w:rsidRPr="00BB489E">
        <w:rPr>
          <w:b w:val="0"/>
          <w:lang w:val="hy-AM"/>
        </w:rPr>
        <w:tab/>
      </w:r>
    </w:p>
    <w:p w14:paraId="32366AD4" w14:textId="77777777" w:rsidR="007E61D3" w:rsidRPr="00BB489E" w:rsidRDefault="007E61D3" w:rsidP="007E61D3">
      <w:pPr>
        <w:spacing w:before="0" w:line="276" w:lineRule="auto"/>
        <w:ind w:firstLine="600"/>
        <w:rPr>
          <w:b w:val="0"/>
          <w:lang w:val="hy-AM"/>
        </w:rPr>
      </w:pPr>
      <w:r w:rsidRPr="00BB489E">
        <w:rPr>
          <w:b w:val="0"/>
          <w:lang w:val="hy-AM"/>
        </w:rPr>
        <w:t xml:space="preserve"> 202</w:t>
      </w:r>
      <w:r w:rsidRPr="00284569">
        <w:rPr>
          <w:b w:val="0"/>
          <w:lang w:val="hy-AM"/>
        </w:rPr>
        <w:t>2</w:t>
      </w:r>
      <w:r w:rsidRPr="00BB489E">
        <w:rPr>
          <w:b w:val="0"/>
          <w:lang w:val="hy-AM"/>
        </w:rPr>
        <w:t>թ</w:t>
      </w:r>
      <w:r w:rsidRPr="00BB489E">
        <w:rPr>
          <w:rFonts w:ascii="MS Gothic" w:eastAsia="MS Gothic" w:hAnsi="MS Gothic" w:cs="MS Gothic" w:hint="eastAsia"/>
          <w:b w:val="0"/>
          <w:lang w:val="hy-AM"/>
        </w:rPr>
        <w:t>․</w:t>
      </w:r>
      <w:r w:rsidRPr="00BB489E">
        <w:rPr>
          <w:b w:val="0"/>
          <w:lang w:val="hy-AM"/>
        </w:rPr>
        <w:t xml:space="preserve"> համար այս ոլորտների բյուջետային ծախսերի չափաքանակները սահմանելիս առաջնային է դիտարկվել նշված ոլորտների համար ծախսեր/ՀՆԱ  ցուցանիշի առաջանցիկ մակարդակի ապահովումը։ </w:t>
      </w:r>
    </w:p>
    <w:p w14:paraId="6CAD17B6" w14:textId="77777777" w:rsidR="007E61D3" w:rsidRPr="004E506C" w:rsidRDefault="007E61D3" w:rsidP="007E61D3">
      <w:pPr>
        <w:spacing w:before="0" w:line="276" w:lineRule="auto"/>
        <w:ind w:firstLine="600"/>
        <w:rPr>
          <w:b w:val="0"/>
          <w:lang w:val="hy-AM"/>
        </w:rPr>
      </w:pPr>
      <w:r w:rsidRPr="00BB489E">
        <w:rPr>
          <w:b w:val="0"/>
          <w:lang w:val="hy-AM"/>
        </w:rPr>
        <w:t>201</w:t>
      </w:r>
      <w:r w:rsidRPr="00284569">
        <w:rPr>
          <w:b w:val="0"/>
          <w:lang w:val="hy-AM"/>
        </w:rPr>
        <w:t>8</w:t>
      </w:r>
      <w:r w:rsidRPr="00BB489E">
        <w:rPr>
          <w:b w:val="0"/>
          <w:lang w:val="hy-AM"/>
        </w:rPr>
        <w:t>-202</w:t>
      </w:r>
      <w:r>
        <w:rPr>
          <w:b w:val="0"/>
          <w:lang w:val="hy-AM"/>
        </w:rPr>
        <w:t>1</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ընթացքում կրթության ոլորտին ուղղված պետական միջոցները կազմել են համապատասխանաբար 121,626.5, 129,336.3</w:t>
      </w:r>
      <w:r w:rsidRPr="00125424">
        <w:rPr>
          <w:b w:val="0"/>
          <w:lang w:val="hy-AM"/>
        </w:rPr>
        <w:t xml:space="preserve">, </w:t>
      </w:r>
      <w:r w:rsidRPr="002510B4">
        <w:rPr>
          <w:b w:val="0"/>
          <w:lang w:val="hy-AM"/>
        </w:rPr>
        <w:t xml:space="preserve">143,796.3 </w:t>
      </w:r>
      <w:r>
        <w:rPr>
          <w:b w:val="0"/>
          <w:lang w:val="hy-AM"/>
        </w:rPr>
        <w:t xml:space="preserve">և </w:t>
      </w:r>
      <w:r w:rsidRPr="00125424">
        <w:rPr>
          <w:b w:val="0"/>
          <w:lang w:val="hy-AM"/>
        </w:rPr>
        <w:t>153,593.3</w:t>
      </w:r>
      <w:r>
        <w:rPr>
          <w:b w:val="0"/>
          <w:lang w:val="hy-AM"/>
        </w:rPr>
        <w:t xml:space="preserve">  </w:t>
      </w:r>
      <w:r w:rsidRPr="00BB489E">
        <w:rPr>
          <w:b w:val="0"/>
          <w:lang w:val="hy-AM"/>
        </w:rPr>
        <w:t>մլն</w:t>
      </w:r>
      <w:r w:rsidRPr="00125424">
        <w:rPr>
          <w:rFonts w:ascii="Cambria Math" w:hAnsi="Cambria Math" w:cs="Cambria Math"/>
          <w:b w:val="0"/>
          <w:lang w:val="hy-AM"/>
        </w:rPr>
        <w:t>․</w:t>
      </w:r>
      <w:r>
        <w:rPr>
          <w:rFonts w:ascii="Cambria Math" w:hAnsi="Cambria Math" w:cs="Cambria Math"/>
          <w:b w:val="0"/>
          <w:lang w:val="hy-AM"/>
        </w:rPr>
        <w:t xml:space="preserve"> </w:t>
      </w:r>
      <w:r w:rsidRPr="00BB489E">
        <w:rPr>
          <w:b w:val="0"/>
          <w:lang w:val="hy-AM"/>
        </w:rPr>
        <w:t>դրամ։ 202</w:t>
      </w:r>
      <w:r w:rsidRPr="00284569">
        <w:rPr>
          <w:b w:val="0"/>
          <w:lang w:val="hy-AM"/>
        </w:rPr>
        <w:t>2</w:t>
      </w:r>
      <w:r w:rsidRPr="00BB489E">
        <w:rPr>
          <w:b w:val="0"/>
          <w:lang w:val="hy-AM"/>
        </w:rPr>
        <w:t>թ</w:t>
      </w:r>
      <w:r w:rsidRPr="00125424">
        <w:rPr>
          <w:rFonts w:ascii="Cambria Math" w:hAnsi="Cambria Math" w:cs="Cambria Math"/>
          <w:b w:val="0"/>
          <w:lang w:val="hy-AM"/>
        </w:rPr>
        <w:t>․</w:t>
      </w:r>
      <w:r w:rsidRPr="00BB489E">
        <w:rPr>
          <w:b w:val="0"/>
          <w:lang w:val="hy-AM"/>
        </w:rPr>
        <w:t xml:space="preserve"> ոլորտի ֆինանսավորման համար հատկացվելիք </w:t>
      </w:r>
      <w:r w:rsidRPr="002510B4">
        <w:rPr>
          <w:b w:val="0"/>
          <w:lang w:val="hy-AM"/>
        </w:rPr>
        <w:t>19</w:t>
      </w:r>
      <w:r>
        <w:rPr>
          <w:b w:val="0"/>
          <w:lang w:val="hy-AM"/>
        </w:rPr>
        <w:t>3</w:t>
      </w:r>
      <w:r w:rsidRPr="002510B4">
        <w:rPr>
          <w:b w:val="0"/>
          <w:lang w:val="hy-AM"/>
        </w:rPr>
        <w:t>,</w:t>
      </w:r>
      <w:r>
        <w:rPr>
          <w:b w:val="0"/>
          <w:lang w:val="hy-AM"/>
        </w:rPr>
        <w:t>026</w:t>
      </w:r>
      <w:r w:rsidRPr="002510B4">
        <w:rPr>
          <w:b w:val="0"/>
          <w:lang w:val="hy-AM"/>
        </w:rPr>
        <w:t>.</w:t>
      </w:r>
      <w:r>
        <w:rPr>
          <w:b w:val="0"/>
          <w:lang w:val="hy-AM"/>
        </w:rPr>
        <w:t xml:space="preserve">5 </w:t>
      </w:r>
      <w:r w:rsidRPr="00BB489E">
        <w:rPr>
          <w:b w:val="0"/>
          <w:lang w:val="hy-AM"/>
        </w:rPr>
        <w:t>մլն</w:t>
      </w:r>
      <w:r w:rsidRPr="00125424">
        <w:rPr>
          <w:rFonts w:ascii="Cambria Math" w:hAnsi="Cambria Math" w:cs="Cambria Math"/>
          <w:b w:val="0"/>
          <w:lang w:val="hy-AM"/>
        </w:rPr>
        <w:t>․</w:t>
      </w:r>
      <w:r>
        <w:rPr>
          <w:rFonts w:ascii="Cambria Math" w:hAnsi="Cambria Math" w:cs="Cambria Math"/>
          <w:b w:val="0"/>
          <w:lang w:val="hy-AM"/>
        </w:rPr>
        <w:t xml:space="preserve"> </w:t>
      </w:r>
      <w:r w:rsidRPr="00BB489E">
        <w:rPr>
          <w:b w:val="0"/>
          <w:lang w:val="hy-AM"/>
        </w:rPr>
        <w:t>դրամը նախատեսվում է համամասնորեն ուղղել կրթության առանձին տեսակների՝ նախադպրոցական, տարրական, միջնակարգ, մասնագիտական, բարձրագույն, հետբուհական, ինչպես նաև կրթությանը տրամադրվող օժանդակ ծառայությունների ֆինանսավորմանը։</w:t>
      </w:r>
      <w:r>
        <w:rPr>
          <w:b w:val="0"/>
          <w:lang w:val="hy-AM"/>
        </w:rPr>
        <w:t xml:space="preserve"> </w:t>
      </w:r>
      <w:r w:rsidRPr="00AB0DE3">
        <w:rPr>
          <w:b w:val="0"/>
          <w:lang w:val="hy-AM"/>
        </w:rPr>
        <w:t>ԵՄ աջակցությամբ իրականացվող դրամաշնորհային ծրագրի շրջանակներում ուսումնական հաստատությունների շենքային պայմանների բարելավման նպատակով պլանավորվում է ծախսել 6,048.1 մլն. դրամ:</w:t>
      </w:r>
      <w:r w:rsidRPr="004E506C">
        <w:rPr>
          <w:b w:val="0"/>
          <w:lang w:val="hy-AM"/>
        </w:rPr>
        <w:t xml:space="preserve"> </w:t>
      </w:r>
    </w:p>
    <w:p w14:paraId="47739302" w14:textId="77777777" w:rsidR="007E61D3" w:rsidRPr="00BB489E" w:rsidRDefault="007E61D3" w:rsidP="007E61D3">
      <w:pPr>
        <w:spacing w:before="0" w:line="276" w:lineRule="auto"/>
        <w:ind w:firstLine="600"/>
        <w:rPr>
          <w:b w:val="0"/>
          <w:lang w:val="hy-AM"/>
        </w:rPr>
      </w:pPr>
      <w:r w:rsidRPr="00BB489E">
        <w:rPr>
          <w:b w:val="0"/>
          <w:lang w:val="hy-AM"/>
        </w:rPr>
        <w:t>Առողջապահության ոլորտի ֆինանսավորումը 201</w:t>
      </w:r>
      <w:r w:rsidRPr="00284569">
        <w:rPr>
          <w:b w:val="0"/>
          <w:lang w:val="hy-AM"/>
        </w:rPr>
        <w:t>8</w:t>
      </w:r>
      <w:r w:rsidRPr="00BB489E">
        <w:rPr>
          <w:b w:val="0"/>
          <w:lang w:val="hy-AM"/>
        </w:rPr>
        <w:t>-202</w:t>
      </w:r>
      <w:r>
        <w:rPr>
          <w:b w:val="0"/>
          <w:lang w:val="hy-AM"/>
        </w:rPr>
        <w:t>1</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համապատասխանաբար կազմել է 79,574,1, 99,283,0</w:t>
      </w:r>
      <w:r>
        <w:rPr>
          <w:b w:val="0"/>
          <w:lang w:val="hy-AM"/>
        </w:rPr>
        <w:t>,</w:t>
      </w:r>
      <w:r w:rsidRPr="00BB489E">
        <w:rPr>
          <w:b w:val="0"/>
          <w:lang w:val="hy-AM"/>
        </w:rPr>
        <w:t xml:space="preserve"> </w:t>
      </w:r>
      <w:r w:rsidRPr="002510B4">
        <w:rPr>
          <w:b w:val="0"/>
          <w:lang w:val="hy-AM"/>
        </w:rPr>
        <w:t>148,236.7</w:t>
      </w:r>
      <w:r>
        <w:rPr>
          <w:b w:val="0"/>
          <w:lang w:val="hy-AM"/>
        </w:rPr>
        <w:t xml:space="preserve"> և </w:t>
      </w:r>
      <w:r w:rsidRPr="00BB489E">
        <w:rPr>
          <w:b w:val="0"/>
          <w:lang w:val="hy-AM"/>
        </w:rPr>
        <w:t xml:space="preserve"> </w:t>
      </w:r>
      <w:r w:rsidRPr="00125424">
        <w:rPr>
          <w:b w:val="0"/>
          <w:lang w:val="hy-AM"/>
        </w:rPr>
        <w:t>117,548.5</w:t>
      </w:r>
      <w:r>
        <w:rPr>
          <w:b w:val="0"/>
          <w:lang w:val="hy-AM"/>
        </w:rPr>
        <w:t xml:space="preserve"> </w:t>
      </w:r>
      <w:r w:rsidRPr="00BB489E">
        <w:rPr>
          <w:b w:val="0"/>
          <w:lang w:val="hy-AM"/>
        </w:rPr>
        <w:t>մլն</w:t>
      </w:r>
      <w:r w:rsidRPr="00BB489E">
        <w:rPr>
          <w:rFonts w:ascii="MS Gothic" w:eastAsia="MS Gothic" w:hAnsi="MS Gothic" w:cs="MS Gothic" w:hint="eastAsia"/>
          <w:b w:val="0"/>
          <w:lang w:val="hy-AM"/>
        </w:rPr>
        <w:t>․</w:t>
      </w:r>
      <w:r w:rsidRPr="00BB489E">
        <w:rPr>
          <w:b w:val="0"/>
          <w:lang w:val="hy-AM"/>
        </w:rPr>
        <w:t xml:space="preserve"> դրամ։ 202</w:t>
      </w:r>
      <w:r w:rsidRPr="00284569">
        <w:rPr>
          <w:b w:val="0"/>
          <w:lang w:val="hy-AM"/>
        </w:rPr>
        <w:t>2</w:t>
      </w:r>
      <w:r w:rsidRPr="00BB489E">
        <w:rPr>
          <w:b w:val="0"/>
          <w:lang w:val="hy-AM"/>
        </w:rPr>
        <w:t>թ</w:t>
      </w:r>
      <w:r w:rsidRPr="00BB489E">
        <w:rPr>
          <w:rFonts w:ascii="MS Gothic" w:eastAsia="MS Gothic" w:hAnsi="MS Gothic" w:cs="MS Gothic" w:hint="eastAsia"/>
          <w:b w:val="0"/>
          <w:lang w:val="hy-AM"/>
        </w:rPr>
        <w:t>․</w:t>
      </w:r>
      <w:r w:rsidRPr="00BB489E">
        <w:rPr>
          <w:b w:val="0"/>
          <w:lang w:val="hy-AM"/>
        </w:rPr>
        <w:t xml:space="preserve"> ոլորտին ուղղվող ծախսերը </w:t>
      </w:r>
      <w:r>
        <w:rPr>
          <w:b w:val="0"/>
          <w:lang w:val="hy-AM"/>
        </w:rPr>
        <w:t>նախորդ տարվա հաեմատ ավելացել են 4,935.6 մլն</w:t>
      </w:r>
      <w:r w:rsidRPr="00A53AB0">
        <w:rPr>
          <w:rFonts w:ascii="Cambria Math" w:hAnsi="Cambria Math" w:cs="Cambria Math"/>
          <w:b w:val="0"/>
          <w:lang w:val="hy-AM"/>
        </w:rPr>
        <w:t>․</w:t>
      </w:r>
      <w:r w:rsidRPr="00A53AB0">
        <w:rPr>
          <w:b w:val="0"/>
          <w:lang w:val="hy-AM"/>
        </w:rPr>
        <w:t xml:space="preserve"> </w:t>
      </w:r>
      <w:r w:rsidRPr="00A53AB0">
        <w:rPr>
          <w:rFonts w:cs="GHEA Grapalat"/>
          <w:b w:val="0"/>
          <w:lang w:val="hy-AM"/>
        </w:rPr>
        <w:t>դրամով</w:t>
      </w:r>
      <w:r w:rsidRPr="00A53AB0">
        <w:rPr>
          <w:b w:val="0"/>
          <w:lang w:val="hy-AM"/>
        </w:rPr>
        <w:t xml:space="preserve"> </w:t>
      </w:r>
      <w:r>
        <w:rPr>
          <w:b w:val="0"/>
          <w:lang w:val="hy-AM"/>
        </w:rPr>
        <w:t xml:space="preserve">և </w:t>
      </w:r>
      <w:r w:rsidRPr="00BB489E">
        <w:rPr>
          <w:b w:val="0"/>
          <w:lang w:val="hy-AM"/>
        </w:rPr>
        <w:t xml:space="preserve">պլանավորվում են </w:t>
      </w:r>
      <w:r w:rsidRPr="002510B4">
        <w:rPr>
          <w:b w:val="0"/>
          <w:lang w:val="hy-AM"/>
        </w:rPr>
        <w:t>122,</w:t>
      </w:r>
      <w:r>
        <w:rPr>
          <w:b w:val="0"/>
          <w:lang w:val="hy-AM"/>
        </w:rPr>
        <w:t>484</w:t>
      </w:r>
      <w:r w:rsidRPr="002510B4">
        <w:rPr>
          <w:b w:val="0"/>
          <w:lang w:val="hy-AM"/>
        </w:rPr>
        <w:t>.</w:t>
      </w:r>
      <w:r>
        <w:rPr>
          <w:b w:val="0"/>
          <w:lang w:val="hy-AM"/>
        </w:rPr>
        <w:t xml:space="preserve">1 </w:t>
      </w:r>
      <w:r w:rsidRPr="00BB489E">
        <w:rPr>
          <w:b w:val="0"/>
          <w:lang w:val="hy-AM"/>
        </w:rPr>
        <w:t>մլն</w:t>
      </w:r>
      <w:r w:rsidRPr="00125424">
        <w:rPr>
          <w:rFonts w:ascii="Cambria Math" w:hAnsi="Cambria Math" w:cs="Cambria Math"/>
          <w:b w:val="0"/>
          <w:lang w:val="hy-AM"/>
        </w:rPr>
        <w:t>․</w:t>
      </w:r>
      <w:r w:rsidRPr="00BB489E">
        <w:rPr>
          <w:b w:val="0"/>
          <w:lang w:val="hy-AM"/>
        </w:rPr>
        <w:t xml:space="preserve"> դրամի չափով, որոնք, հաշվի առնելով 2020</w:t>
      </w:r>
      <w:r w:rsidRPr="00284569">
        <w:rPr>
          <w:b w:val="0"/>
          <w:lang w:val="hy-AM"/>
        </w:rPr>
        <w:t>-2021</w:t>
      </w:r>
      <w:r w:rsidRPr="00BB489E">
        <w:rPr>
          <w:b w:val="0"/>
          <w:lang w:val="hy-AM"/>
        </w:rPr>
        <w:t>թ</w:t>
      </w:r>
      <w:r>
        <w:rPr>
          <w:b w:val="0"/>
          <w:lang w:val="hy-AM"/>
        </w:rPr>
        <w:t>թ</w:t>
      </w:r>
      <w:r w:rsidRPr="00BB489E">
        <w:rPr>
          <w:rFonts w:ascii="MS Gothic" w:eastAsia="MS Gothic" w:hAnsi="MS Gothic" w:cs="MS Gothic" w:hint="eastAsia"/>
          <w:b w:val="0"/>
          <w:lang w:val="hy-AM"/>
        </w:rPr>
        <w:t>․</w:t>
      </w:r>
      <w:r w:rsidRPr="00BB489E">
        <w:rPr>
          <w:b w:val="0"/>
          <w:lang w:val="hy-AM"/>
        </w:rPr>
        <w:t xml:space="preserve"> համավարակով պայմանավորված առողջապահության համակարգի համաշխարհային արդի մարտահրավերներն, առաջնահերթ ուղղվելու են վերջինիս դեմ պայքարի միջոցառումների իրականացմանը,</w:t>
      </w:r>
      <w:r>
        <w:rPr>
          <w:b w:val="0"/>
          <w:lang w:val="hy-AM"/>
        </w:rPr>
        <w:t xml:space="preserve"> հանրությանը պատվաստանյութերով ապահովմանը,</w:t>
      </w:r>
      <w:r w:rsidRPr="00BB489E">
        <w:rPr>
          <w:b w:val="0"/>
          <w:lang w:val="hy-AM"/>
        </w:rPr>
        <w:t xml:space="preserve"> առողջապահական համակարգի ռիսկերին արագ և համարժեք արձագանքմանը։ </w:t>
      </w:r>
      <w:r>
        <w:rPr>
          <w:b w:val="0"/>
          <w:lang w:val="hy-AM"/>
        </w:rPr>
        <w:t xml:space="preserve">Միաժամանակ, համաձայն </w:t>
      </w:r>
      <w:r w:rsidRPr="00C23AFB">
        <w:rPr>
          <w:b w:val="0"/>
          <w:lang w:val="hy-AM"/>
        </w:rPr>
        <w:t>ՀՀ կ</w:t>
      </w:r>
      <w:r>
        <w:rPr>
          <w:b w:val="0"/>
          <w:lang w:val="hy-AM"/>
        </w:rPr>
        <w:t>առավարության 2021-2026թթ. ծրագրի առաջնահերթությունների, առողջապահության ոլորտի ֆինանսավորումը 2022 թվականին ուղղվելու է նաև</w:t>
      </w:r>
      <w:r w:rsidRPr="00B85B03">
        <w:rPr>
          <w:lang w:val="hy-AM"/>
        </w:rPr>
        <w:t xml:space="preserve"> </w:t>
      </w:r>
      <w:r w:rsidRPr="00B85B03">
        <w:rPr>
          <w:b w:val="0"/>
          <w:lang w:val="hy-AM"/>
        </w:rPr>
        <w:t>մարզային առողջապահական կազմակերպությունների շենքային և նյութատեխնիկակա</w:t>
      </w:r>
      <w:r>
        <w:rPr>
          <w:b w:val="0"/>
          <w:lang w:val="hy-AM"/>
        </w:rPr>
        <w:t xml:space="preserve">ն պայմանների բարելավման աշխատանքների իրականացմանը:  </w:t>
      </w:r>
    </w:p>
    <w:p w14:paraId="37DB912A" w14:textId="77777777" w:rsidR="007E61D3" w:rsidRPr="00BB489E" w:rsidRDefault="007E61D3" w:rsidP="007E61D3">
      <w:pPr>
        <w:spacing w:before="0" w:line="276" w:lineRule="auto"/>
        <w:ind w:firstLine="600"/>
        <w:rPr>
          <w:b w:val="0"/>
          <w:lang w:val="hy-AM"/>
        </w:rPr>
      </w:pPr>
      <w:r w:rsidRPr="00BB489E">
        <w:rPr>
          <w:b w:val="0"/>
          <w:lang w:val="hy-AM"/>
        </w:rPr>
        <w:t>201</w:t>
      </w:r>
      <w:r w:rsidRPr="00284569">
        <w:rPr>
          <w:b w:val="0"/>
          <w:lang w:val="hy-AM"/>
        </w:rPr>
        <w:t>8</w:t>
      </w:r>
      <w:r w:rsidRPr="00BB489E">
        <w:rPr>
          <w:b w:val="0"/>
          <w:lang w:val="hy-AM"/>
        </w:rPr>
        <w:t>-202</w:t>
      </w:r>
      <w:r>
        <w:rPr>
          <w:b w:val="0"/>
          <w:lang w:val="hy-AM"/>
        </w:rPr>
        <w:t>1</w:t>
      </w:r>
      <w:r w:rsidRPr="00BB489E">
        <w:rPr>
          <w:b w:val="0"/>
          <w:lang w:val="hy-AM"/>
        </w:rPr>
        <w:t>թթ</w:t>
      </w:r>
      <w:r w:rsidRPr="00BB489E">
        <w:rPr>
          <w:rFonts w:ascii="MS Gothic" w:eastAsia="MS Gothic" w:hAnsi="MS Gothic" w:cs="MS Gothic" w:hint="eastAsia"/>
          <w:b w:val="0"/>
          <w:lang w:val="hy-AM"/>
        </w:rPr>
        <w:t>․</w:t>
      </w:r>
      <w:r w:rsidRPr="00BB489E">
        <w:rPr>
          <w:b w:val="0"/>
          <w:lang w:val="hy-AM"/>
        </w:rPr>
        <w:t xml:space="preserve"> սոցիալական պաշտպանության ոլորտի ֆինանսավորում</w:t>
      </w:r>
      <w:r>
        <w:rPr>
          <w:b w:val="0"/>
          <w:lang w:val="hy-AM"/>
        </w:rPr>
        <w:t xml:space="preserve">ն աճողական բնույթ է կրել՝ </w:t>
      </w:r>
      <w:r w:rsidRPr="00BB489E">
        <w:rPr>
          <w:b w:val="0"/>
          <w:lang w:val="hy-AM"/>
        </w:rPr>
        <w:t>համապատասխանաբար կազմել</w:t>
      </w:r>
      <w:r>
        <w:rPr>
          <w:b w:val="0"/>
          <w:lang w:val="hy-AM"/>
        </w:rPr>
        <w:t>ով</w:t>
      </w:r>
      <w:r w:rsidRPr="00BB489E">
        <w:rPr>
          <w:b w:val="0"/>
          <w:lang w:val="hy-AM"/>
        </w:rPr>
        <w:t xml:space="preserve"> 416,625.8, 453,921.2</w:t>
      </w:r>
      <w:r>
        <w:rPr>
          <w:b w:val="0"/>
          <w:lang w:val="hy-AM"/>
        </w:rPr>
        <w:t>,</w:t>
      </w:r>
      <w:r w:rsidRPr="00BB489E">
        <w:rPr>
          <w:b w:val="0"/>
          <w:lang w:val="hy-AM"/>
        </w:rPr>
        <w:t xml:space="preserve"> </w:t>
      </w:r>
      <w:r w:rsidRPr="002510B4">
        <w:rPr>
          <w:b w:val="0"/>
          <w:lang w:val="hy-AM"/>
        </w:rPr>
        <w:t>546,575.7</w:t>
      </w:r>
      <w:r>
        <w:rPr>
          <w:b w:val="0"/>
          <w:lang w:val="hy-AM"/>
        </w:rPr>
        <w:t xml:space="preserve"> և </w:t>
      </w:r>
      <w:r w:rsidRPr="00BB489E">
        <w:rPr>
          <w:b w:val="0"/>
          <w:lang w:val="hy-AM"/>
        </w:rPr>
        <w:t xml:space="preserve"> 504,875.9 մլն</w:t>
      </w:r>
      <w:r w:rsidRPr="00BB489E">
        <w:rPr>
          <w:rFonts w:ascii="MS Gothic" w:eastAsia="MS Gothic" w:hAnsi="MS Gothic" w:cs="MS Gothic" w:hint="eastAsia"/>
          <w:b w:val="0"/>
          <w:lang w:val="hy-AM"/>
        </w:rPr>
        <w:t>․</w:t>
      </w:r>
      <w:r w:rsidRPr="00BB489E">
        <w:rPr>
          <w:b w:val="0"/>
          <w:lang w:val="hy-AM"/>
        </w:rPr>
        <w:t xml:space="preserve"> դրամ։ 202</w:t>
      </w:r>
      <w:r>
        <w:rPr>
          <w:b w:val="0"/>
          <w:lang w:val="hy-AM"/>
        </w:rPr>
        <w:t>2</w:t>
      </w:r>
      <w:r w:rsidRPr="00BB489E">
        <w:rPr>
          <w:b w:val="0"/>
          <w:lang w:val="hy-AM"/>
        </w:rPr>
        <w:t xml:space="preserve"> թվականի</w:t>
      </w:r>
      <w:r>
        <w:rPr>
          <w:b w:val="0"/>
          <w:lang w:val="hy-AM"/>
        </w:rPr>
        <w:t xml:space="preserve"> այս միտումը շարունակվելու է և</w:t>
      </w:r>
      <w:r w:rsidRPr="00BB489E">
        <w:rPr>
          <w:b w:val="0"/>
          <w:lang w:val="hy-AM"/>
        </w:rPr>
        <w:t xml:space="preserve"> պետական բյուջեի նախագծով այս ոլորտին </w:t>
      </w:r>
      <w:r>
        <w:rPr>
          <w:b w:val="0"/>
          <w:lang w:val="hy-AM"/>
        </w:rPr>
        <w:t xml:space="preserve">նախատեսվում է հատկացնել </w:t>
      </w:r>
      <w:r w:rsidRPr="001E490D">
        <w:rPr>
          <w:b w:val="0"/>
          <w:lang w:val="hy-AM"/>
        </w:rPr>
        <w:t>581,</w:t>
      </w:r>
      <w:r>
        <w:rPr>
          <w:b w:val="0"/>
          <w:lang w:val="hy-AM"/>
        </w:rPr>
        <w:t>318</w:t>
      </w:r>
      <w:r w:rsidRPr="001E490D">
        <w:rPr>
          <w:b w:val="0"/>
          <w:lang w:val="hy-AM"/>
        </w:rPr>
        <w:t>.</w:t>
      </w:r>
      <w:r>
        <w:rPr>
          <w:b w:val="0"/>
          <w:lang w:val="hy-AM"/>
        </w:rPr>
        <w:t>0</w:t>
      </w:r>
      <w:r w:rsidRPr="00BB489E">
        <w:rPr>
          <w:b w:val="0"/>
          <w:lang w:val="hy-AM"/>
        </w:rPr>
        <w:t xml:space="preserve"> մլն</w:t>
      </w:r>
      <w:r w:rsidRPr="00BB489E">
        <w:rPr>
          <w:rFonts w:ascii="MS Gothic" w:eastAsia="MS Gothic" w:hAnsi="MS Gothic" w:cs="MS Gothic" w:hint="eastAsia"/>
          <w:b w:val="0"/>
          <w:lang w:val="hy-AM"/>
        </w:rPr>
        <w:t>․</w:t>
      </w:r>
      <w:r w:rsidRPr="00BB489E">
        <w:rPr>
          <w:b w:val="0"/>
          <w:lang w:val="hy-AM"/>
        </w:rPr>
        <w:t xml:space="preserve">դրամ, </w:t>
      </w:r>
      <w:r>
        <w:rPr>
          <w:b w:val="0"/>
          <w:lang w:val="hy-AM"/>
        </w:rPr>
        <w:t xml:space="preserve">որը, </w:t>
      </w:r>
      <w:r w:rsidRPr="00BB489E">
        <w:rPr>
          <w:b w:val="0"/>
          <w:lang w:val="hy-AM"/>
        </w:rPr>
        <w:t>ինչպես և դիտարկվող տարիների ընթացքում</w:t>
      </w:r>
      <w:r>
        <w:rPr>
          <w:b w:val="0"/>
          <w:lang w:val="hy-AM"/>
        </w:rPr>
        <w:t>,</w:t>
      </w:r>
      <w:r w:rsidRPr="00BB489E">
        <w:rPr>
          <w:b w:val="0"/>
          <w:lang w:val="hy-AM"/>
        </w:rPr>
        <w:t xml:space="preserve"> առաջնահերթ ուղղվելու </w:t>
      </w:r>
      <w:r>
        <w:rPr>
          <w:b w:val="0"/>
          <w:lang w:val="hy-AM"/>
        </w:rPr>
        <w:t>է</w:t>
      </w:r>
      <w:r w:rsidRPr="00BB489E">
        <w:rPr>
          <w:b w:val="0"/>
          <w:lang w:val="hy-AM"/>
        </w:rPr>
        <w:t xml:space="preserve"> տարեցներին և հաշմանդամներին աջակցության տրամադրմանը, ինչպես նաև գործազրկության, սոցիալական հատուկ արտոնությունների, բնակարային ապահովման, ընտանեկան նպաստների տրամադրման և այլ սոցիալական ծառայությունների ապահովմանը։</w:t>
      </w:r>
      <w:r>
        <w:rPr>
          <w:b w:val="0"/>
          <w:color w:val="FF0000"/>
          <w:lang w:val="hy-AM"/>
        </w:rPr>
        <w:t xml:space="preserve"> </w:t>
      </w:r>
      <w:r>
        <w:rPr>
          <w:b w:val="0"/>
          <w:lang w:val="hy-AM"/>
        </w:rPr>
        <w:t xml:space="preserve">Բացի այդ, </w:t>
      </w:r>
      <w:r w:rsidRPr="00C23AFB">
        <w:rPr>
          <w:b w:val="0"/>
          <w:lang w:val="hy-AM"/>
        </w:rPr>
        <w:t>ՀՀ կ</w:t>
      </w:r>
      <w:r>
        <w:rPr>
          <w:b w:val="0"/>
          <w:lang w:val="hy-AM"/>
        </w:rPr>
        <w:t xml:space="preserve">առավարության 2021-2026թթ. ծրագրով սահմանված առաջնահերթություններից ելնելով, ոլորտի հատկացումները ուղղվելու են </w:t>
      </w:r>
      <w:r w:rsidRPr="00B81707">
        <w:rPr>
          <w:b w:val="0"/>
          <w:lang w:val="hy-AM"/>
        </w:rPr>
        <w:t>ծնելիությ</w:t>
      </w:r>
      <w:r>
        <w:rPr>
          <w:b w:val="0"/>
          <w:lang w:val="hy-AM"/>
        </w:rPr>
        <w:t>ան</w:t>
      </w:r>
      <w:r w:rsidRPr="00B81707">
        <w:rPr>
          <w:b w:val="0"/>
          <w:lang w:val="hy-AM"/>
        </w:rPr>
        <w:t xml:space="preserve"> խթան</w:t>
      </w:r>
      <w:r>
        <w:rPr>
          <w:b w:val="0"/>
          <w:lang w:val="hy-AM"/>
        </w:rPr>
        <w:t>մանը</w:t>
      </w:r>
      <w:r w:rsidRPr="00B81707">
        <w:rPr>
          <w:b w:val="0"/>
          <w:lang w:val="hy-AM"/>
        </w:rPr>
        <w:t xml:space="preserve"> և բազմազավակ ընտանիքներին պետական աջակցությ</w:t>
      </w:r>
      <w:r w:rsidRPr="000211C0">
        <w:rPr>
          <w:b w:val="0"/>
          <w:lang w:val="hy-AM"/>
        </w:rPr>
        <w:t>ա</w:t>
      </w:r>
      <w:r w:rsidRPr="00B81707">
        <w:rPr>
          <w:b w:val="0"/>
          <w:lang w:val="hy-AM"/>
        </w:rPr>
        <w:t>ն ցուցաբեր</w:t>
      </w:r>
      <w:r>
        <w:rPr>
          <w:b w:val="0"/>
          <w:lang w:val="hy-AM"/>
        </w:rPr>
        <w:t>մանը:</w:t>
      </w:r>
    </w:p>
    <w:p w14:paraId="7D5CBF23" w14:textId="77777777" w:rsidR="007E61D3" w:rsidRPr="00505318" w:rsidRDefault="007E61D3" w:rsidP="007E61D3">
      <w:pPr>
        <w:spacing w:before="0" w:line="276" w:lineRule="auto"/>
        <w:ind w:firstLine="562"/>
        <w:rPr>
          <w:b w:val="0"/>
          <w:lang w:val="hy-AM"/>
        </w:rPr>
      </w:pPr>
      <w:r w:rsidRPr="00BB489E">
        <w:rPr>
          <w:b w:val="0"/>
          <w:lang w:val="hy-AM"/>
        </w:rPr>
        <w:t>202</w:t>
      </w:r>
      <w:r w:rsidRPr="00755469">
        <w:rPr>
          <w:b w:val="0"/>
          <w:lang w:val="hy-AM"/>
        </w:rPr>
        <w:t>2</w:t>
      </w:r>
      <w:r w:rsidRPr="00BB489E">
        <w:rPr>
          <w:b w:val="0"/>
          <w:lang w:val="hy-AM"/>
        </w:rPr>
        <w:t xml:space="preserve"> թվականի ընթացքում պետական բյուջեների ծախ</w:t>
      </w:r>
      <w:r w:rsidRPr="00BB489E">
        <w:rPr>
          <w:b w:val="0"/>
          <w:lang w:val="hy-AM"/>
        </w:rPr>
        <w:softHyphen/>
        <w:t>սերի ընդհանուր ծավալը որոշ կախ</w:t>
      </w:r>
      <w:r w:rsidRPr="00BB489E">
        <w:rPr>
          <w:b w:val="0"/>
          <w:lang w:val="hy-AM"/>
        </w:rPr>
        <w:softHyphen/>
        <w:t>վածության մեջ կլինի նաև արտաքին հոսքերից:</w:t>
      </w:r>
    </w:p>
    <w:p w14:paraId="6A1D9B79" w14:textId="77777777" w:rsidR="007E61D3" w:rsidRDefault="007E61D3" w:rsidP="007E61D3">
      <w:pPr>
        <w:spacing w:before="0"/>
        <w:rPr>
          <w:b w:val="0"/>
          <w:bCs/>
          <w:sz w:val="18"/>
          <w:szCs w:val="18"/>
          <w:lang w:val="hy-AM"/>
        </w:rPr>
      </w:pPr>
    </w:p>
    <w:p w14:paraId="5E1FD33D" w14:textId="77777777" w:rsidR="007E61D3" w:rsidRPr="0054547F" w:rsidRDefault="007E61D3" w:rsidP="007E61D3">
      <w:pPr>
        <w:spacing w:before="0"/>
        <w:rPr>
          <w:b w:val="0"/>
          <w:bCs/>
          <w:sz w:val="18"/>
          <w:szCs w:val="18"/>
          <w:lang w:val="hy-AM"/>
        </w:rPr>
      </w:pPr>
      <w:bookmarkStart w:id="287" w:name="_Toc83718603"/>
      <w:bookmarkStart w:id="288" w:name="_Toc89428821"/>
      <w:r w:rsidRPr="0054547F">
        <w:rPr>
          <w:b w:val="0"/>
          <w:bCs/>
          <w:sz w:val="18"/>
          <w:szCs w:val="18"/>
          <w:lang w:val="hy-AM"/>
        </w:rPr>
        <w:t xml:space="preserve">Գծապատկեր </w:t>
      </w:r>
      <w:r w:rsidRPr="0054547F">
        <w:rPr>
          <w:b w:val="0"/>
          <w:bCs/>
          <w:sz w:val="18"/>
          <w:szCs w:val="18"/>
          <w:lang w:val="hy-AM"/>
        </w:rPr>
        <w:fldChar w:fldCharType="begin"/>
      </w:r>
      <w:r w:rsidRPr="0054547F">
        <w:rPr>
          <w:b w:val="0"/>
          <w:bCs/>
          <w:sz w:val="18"/>
          <w:szCs w:val="18"/>
          <w:lang w:val="hy-AM"/>
        </w:rPr>
        <w:instrText xml:space="preserve"> SEQ Գծապատկեր \* ARABIC </w:instrText>
      </w:r>
      <w:r w:rsidRPr="0054547F">
        <w:rPr>
          <w:b w:val="0"/>
          <w:bCs/>
          <w:sz w:val="18"/>
          <w:szCs w:val="18"/>
          <w:lang w:val="hy-AM"/>
        </w:rPr>
        <w:fldChar w:fldCharType="separate"/>
      </w:r>
      <w:r w:rsidRPr="0054547F">
        <w:rPr>
          <w:b w:val="0"/>
          <w:bCs/>
          <w:sz w:val="18"/>
          <w:szCs w:val="18"/>
          <w:lang w:val="hy-AM"/>
        </w:rPr>
        <w:t>6</w:t>
      </w:r>
      <w:r w:rsidRPr="0054547F">
        <w:rPr>
          <w:b w:val="0"/>
          <w:bCs/>
          <w:sz w:val="18"/>
          <w:szCs w:val="18"/>
          <w:lang w:val="hy-AM"/>
        </w:rPr>
        <w:fldChar w:fldCharType="end"/>
      </w:r>
      <w:r w:rsidRPr="0054547F">
        <w:rPr>
          <w:rFonts w:ascii="Cambria Math" w:hAnsi="Cambria Math" w:cs="Cambria Math"/>
          <w:b w:val="0"/>
          <w:bCs/>
          <w:sz w:val="18"/>
          <w:szCs w:val="18"/>
          <w:lang w:val="hy-AM"/>
        </w:rPr>
        <w:t>․</w:t>
      </w:r>
      <w:r w:rsidRPr="0054547F">
        <w:rPr>
          <w:b w:val="0"/>
          <w:bCs/>
          <w:sz w:val="18"/>
          <w:szCs w:val="18"/>
          <w:lang w:val="hy-AM"/>
        </w:rPr>
        <w:t xml:space="preserve"> 2018-2022 թթ</w:t>
      </w:r>
      <w:r w:rsidRPr="0054547F">
        <w:rPr>
          <w:rFonts w:ascii="Cambria Math" w:hAnsi="Cambria Math" w:cs="Cambria Math"/>
          <w:b w:val="0"/>
          <w:bCs/>
          <w:sz w:val="18"/>
          <w:szCs w:val="18"/>
          <w:lang w:val="hy-AM"/>
        </w:rPr>
        <w:t>․</w:t>
      </w:r>
      <w:r w:rsidRPr="0054547F">
        <w:rPr>
          <w:b w:val="0"/>
          <w:bCs/>
          <w:sz w:val="18"/>
          <w:szCs w:val="18"/>
          <w:lang w:val="hy-AM"/>
        </w:rPr>
        <w:t xml:space="preserve"> վարկային, դրամաշնորհային միջոցների հաշվին ֆինանսավորումը, կշիռը ՀՆԱ-ում, կշիռը ընդամենը ծախսերում</w:t>
      </w:r>
      <w:bookmarkEnd w:id="287"/>
      <w:bookmarkEnd w:id="288"/>
    </w:p>
    <w:p w14:paraId="05F7AF7E" w14:textId="77777777" w:rsidR="007E61D3" w:rsidRPr="00505318" w:rsidRDefault="007E61D3" w:rsidP="007E61D3">
      <w:pPr>
        <w:keepNext/>
        <w:spacing w:before="0" w:line="276" w:lineRule="auto"/>
        <w:ind w:firstLine="360"/>
      </w:pPr>
      <w:r w:rsidRPr="00505318">
        <w:rPr>
          <w:rFonts w:asciiTheme="minorHAnsi" w:eastAsiaTheme="minorHAnsi" w:hAnsiTheme="minorHAnsi" w:cstheme="minorBidi"/>
          <w:b w:val="0"/>
          <w:noProof/>
          <w:szCs w:val="22"/>
          <w:lang w:val="en-US" w:eastAsia="en-US"/>
        </w:rPr>
        <w:drawing>
          <wp:inline distT="0" distB="0" distL="0" distR="0" wp14:anchorId="01F23750" wp14:editId="44409D27">
            <wp:extent cx="58293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A143092" w14:textId="77777777" w:rsidR="007E61D3" w:rsidRPr="00505318" w:rsidRDefault="007E61D3" w:rsidP="007E61D3">
      <w:pPr>
        <w:spacing w:before="0" w:line="276" w:lineRule="auto"/>
        <w:ind w:firstLine="720"/>
        <w:rPr>
          <w:rFonts w:cs="Sylfaen"/>
          <w:highlight w:val="yellow"/>
        </w:rPr>
      </w:pPr>
    </w:p>
    <w:p w14:paraId="43980291" w14:textId="1B9C4E5B" w:rsidR="007E61D3" w:rsidRPr="00A10D4F" w:rsidRDefault="00A10D4F" w:rsidP="00A10D4F">
      <w:pPr>
        <w:pStyle w:val="Caption"/>
        <w:rPr>
          <w:bCs w:val="0"/>
          <w:i/>
          <w:sz w:val="20"/>
          <w:szCs w:val="20"/>
          <w:lang w:val="hy-AM"/>
        </w:rPr>
      </w:pPr>
      <w:bookmarkStart w:id="289" w:name="_Toc83728704"/>
      <w:bookmarkStart w:id="290" w:name="_Toc89428777"/>
      <w:r>
        <w:t xml:space="preserve">Աղյուսակ </w:t>
      </w:r>
      <w:r>
        <w:fldChar w:fldCharType="begin"/>
      </w:r>
      <w:r>
        <w:instrText xml:space="preserve"> SEQ Աղյուսակ \* ARABIC </w:instrText>
      </w:r>
      <w:r>
        <w:fldChar w:fldCharType="separate"/>
      </w:r>
      <w:r>
        <w:rPr>
          <w:noProof/>
        </w:rPr>
        <w:t>17</w:t>
      </w:r>
      <w:r>
        <w:fldChar w:fldCharType="end"/>
      </w:r>
      <w:r>
        <w:rPr>
          <w:lang w:val="hy-AM"/>
        </w:rPr>
        <w:t>.</w:t>
      </w:r>
      <w:r w:rsidR="007E61D3" w:rsidRPr="0054547F">
        <w:rPr>
          <w:lang w:val="hy-AM"/>
        </w:rPr>
        <w:t xml:space="preserve"> </w:t>
      </w:r>
      <w:r w:rsidR="007E61D3" w:rsidRPr="00A10D4F">
        <w:rPr>
          <w:i/>
          <w:sz w:val="20"/>
          <w:szCs w:val="20"/>
          <w:lang w:val="hy-AM"/>
        </w:rPr>
        <w:t>Արտաքին աղբյուրներից 2022թ. ստացվելիք միջոցների (վարկերի և պաշտո</w:t>
      </w:r>
      <w:r w:rsidR="007E61D3" w:rsidRPr="00A10D4F">
        <w:rPr>
          <w:i/>
          <w:sz w:val="20"/>
          <w:szCs w:val="20"/>
          <w:lang w:val="hy-AM"/>
        </w:rPr>
        <w:softHyphen/>
        <w:t>նական դրամաշնորհներ) հաշվին ֆինանսավորվող ծախսերը</w:t>
      </w:r>
      <w:bookmarkEnd w:id="289"/>
      <w:bookmarkEnd w:id="290"/>
    </w:p>
    <w:tbl>
      <w:tblPr>
        <w:tblStyle w:val="GridTable4-Accent111"/>
        <w:tblW w:w="9491" w:type="dxa"/>
        <w:tblLook w:val="04A0" w:firstRow="1" w:lastRow="0" w:firstColumn="1" w:lastColumn="0" w:noHBand="0" w:noVBand="1"/>
      </w:tblPr>
      <w:tblGrid>
        <w:gridCol w:w="2610"/>
        <w:gridCol w:w="1391"/>
        <w:gridCol w:w="1440"/>
        <w:gridCol w:w="1530"/>
        <w:gridCol w:w="1260"/>
        <w:gridCol w:w="1260"/>
      </w:tblGrid>
      <w:tr w:rsidR="007E61D3" w:rsidRPr="00DE3AEF" w14:paraId="037F0200" w14:textId="77777777" w:rsidTr="00291CBE">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610" w:type="dxa"/>
            <w:hideMark/>
          </w:tcPr>
          <w:p w14:paraId="39A750FD" w14:textId="77777777" w:rsidR="007E61D3" w:rsidRPr="00453D56" w:rsidRDefault="007E61D3" w:rsidP="00291CBE">
            <w:pPr>
              <w:spacing w:before="0" w:line="276" w:lineRule="auto"/>
              <w:jc w:val="center"/>
              <w:rPr>
                <w:rFonts w:cs="Arial"/>
                <w:b/>
                <w:color w:val="FFFFFF" w:themeColor="background1"/>
                <w:sz w:val="20"/>
                <w:szCs w:val="20"/>
                <w:lang w:val="hy-AM"/>
              </w:rPr>
            </w:pPr>
            <w:r w:rsidRPr="00453D56">
              <w:rPr>
                <w:rFonts w:cs="Arial"/>
                <w:b/>
                <w:color w:val="FFFFFF" w:themeColor="background1"/>
                <w:sz w:val="20"/>
                <w:szCs w:val="20"/>
                <w:lang w:val="hy-AM"/>
              </w:rPr>
              <w:t>Ցուցանիշներ</w:t>
            </w:r>
          </w:p>
        </w:tc>
        <w:tc>
          <w:tcPr>
            <w:tcW w:w="1391" w:type="dxa"/>
            <w:hideMark/>
          </w:tcPr>
          <w:p w14:paraId="62DACB5B" w14:textId="77777777" w:rsidR="007E61D3" w:rsidRPr="00DE3AEF" w:rsidRDefault="007E61D3" w:rsidP="00291CBE">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2018թ.</w:t>
            </w:r>
          </w:p>
        </w:tc>
        <w:tc>
          <w:tcPr>
            <w:tcW w:w="1440" w:type="dxa"/>
            <w:hideMark/>
          </w:tcPr>
          <w:p w14:paraId="7EB84CE7" w14:textId="77777777" w:rsidR="007E61D3" w:rsidRPr="00DE3AEF" w:rsidRDefault="007E61D3" w:rsidP="00291CBE">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2019թ.</w:t>
            </w:r>
          </w:p>
        </w:tc>
        <w:tc>
          <w:tcPr>
            <w:tcW w:w="1530" w:type="dxa"/>
            <w:hideMark/>
          </w:tcPr>
          <w:p w14:paraId="7F6B3ADE" w14:textId="77777777" w:rsidR="007E61D3" w:rsidRPr="00DE3AEF" w:rsidRDefault="007E61D3" w:rsidP="00291CBE">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2020 թ.</w:t>
            </w:r>
          </w:p>
        </w:tc>
        <w:tc>
          <w:tcPr>
            <w:tcW w:w="1260" w:type="dxa"/>
          </w:tcPr>
          <w:p w14:paraId="4FBE47B7" w14:textId="77777777" w:rsidR="007E61D3" w:rsidRPr="00DE3AEF" w:rsidRDefault="007E61D3" w:rsidP="00291CBE">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2021թ.</w:t>
            </w:r>
          </w:p>
        </w:tc>
        <w:tc>
          <w:tcPr>
            <w:tcW w:w="1260" w:type="dxa"/>
            <w:hideMark/>
          </w:tcPr>
          <w:p w14:paraId="51D21511" w14:textId="77777777" w:rsidR="007E61D3" w:rsidRPr="00DE3AEF" w:rsidRDefault="007E61D3" w:rsidP="00291CBE">
            <w:pPr>
              <w:spacing w:before="0" w:line="240" w:lineRule="auto"/>
              <w:ind w:firstLine="0"/>
              <w:jc w:val="center"/>
              <w:cnfStyle w:val="100000000000" w:firstRow="1" w:lastRow="0" w:firstColumn="0" w:lastColumn="0" w:oddVBand="0" w:evenVBand="0" w:oddHBand="0" w:evenHBand="0" w:firstRowFirstColumn="0" w:firstRowLastColumn="0" w:lastRowFirstColumn="0" w:lastRowLastColumn="0"/>
              <w:rPr>
                <w:rFonts w:cs="Calibri"/>
                <w:sz w:val="20"/>
                <w:szCs w:val="20"/>
              </w:rPr>
            </w:pPr>
            <w:r w:rsidRPr="00DE3AEF">
              <w:rPr>
                <w:rFonts w:cs="Calibri"/>
                <w:sz w:val="20"/>
                <w:szCs w:val="20"/>
              </w:rPr>
              <w:t>202</w:t>
            </w:r>
            <w:r w:rsidRPr="00DE3AEF">
              <w:rPr>
                <w:rFonts w:cs="Calibri"/>
                <w:sz w:val="20"/>
                <w:szCs w:val="20"/>
                <w:lang w:val="hy-AM"/>
              </w:rPr>
              <w:t>2</w:t>
            </w:r>
            <w:r w:rsidRPr="00DE3AEF">
              <w:rPr>
                <w:rFonts w:cs="Calibri"/>
                <w:sz w:val="20"/>
                <w:szCs w:val="20"/>
              </w:rPr>
              <w:t>թ.</w:t>
            </w:r>
          </w:p>
        </w:tc>
      </w:tr>
      <w:tr w:rsidR="007E61D3" w:rsidRPr="00DE3AEF" w14:paraId="576BBAE3" w14:textId="77777777" w:rsidTr="00291CBE">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2610" w:type="dxa"/>
            <w:hideMark/>
          </w:tcPr>
          <w:p w14:paraId="3A7C5ECA" w14:textId="77777777" w:rsidR="007E61D3" w:rsidRPr="00DE3AEF" w:rsidRDefault="007E61D3" w:rsidP="00291CBE">
            <w:pPr>
              <w:spacing w:before="0" w:line="240" w:lineRule="auto"/>
              <w:ind w:firstLine="0"/>
              <w:jc w:val="left"/>
              <w:rPr>
                <w:rFonts w:cs="Calibri"/>
                <w:b/>
                <w:bCs w:val="0"/>
                <w:color w:val="000000"/>
                <w:sz w:val="20"/>
                <w:szCs w:val="20"/>
              </w:rPr>
            </w:pPr>
            <w:r w:rsidRPr="00DE3AEF">
              <w:rPr>
                <w:rFonts w:cs="Sylfaen"/>
                <w:color w:val="000000"/>
                <w:sz w:val="20"/>
                <w:szCs w:val="20"/>
                <w:lang w:val="hy-AM"/>
              </w:rPr>
              <w:t>Արտաքին աղբյուրների հաշվին ֆինանսավորվող ծախսերի ծավալը (մլն դրամ)</w:t>
            </w:r>
          </w:p>
        </w:tc>
        <w:tc>
          <w:tcPr>
            <w:tcW w:w="1391" w:type="dxa"/>
            <w:hideMark/>
          </w:tcPr>
          <w:p w14:paraId="504D4C57"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69,364.1</w:t>
            </w:r>
          </w:p>
        </w:tc>
        <w:tc>
          <w:tcPr>
            <w:tcW w:w="1440" w:type="dxa"/>
            <w:hideMark/>
          </w:tcPr>
          <w:p w14:paraId="40768118"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76,301.5</w:t>
            </w:r>
          </w:p>
        </w:tc>
        <w:tc>
          <w:tcPr>
            <w:tcW w:w="1530" w:type="dxa"/>
            <w:hideMark/>
          </w:tcPr>
          <w:p w14:paraId="1D43473E"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161,535.7</w:t>
            </w:r>
          </w:p>
        </w:tc>
        <w:tc>
          <w:tcPr>
            <w:tcW w:w="1260" w:type="dxa"/>
          </w:tcPr>
          <w:p w14:paraId="3910E0FA"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rPr>
            </w:pPr>
            <w:r w:rsidRPr="00DE3AEF">
              <w:rPr>
                <w:rFonts w:cs="Calibri"/>
                <w:color w:val="000000"/>
              </w:rPr>
              <w:t>8</w:t>
            </w:r>
            <w:r w:rsidRPr="00DE3AEF">
              <w:rPr>
                <w:rFonts w:cs="Calibri"/>
                <w:color w:val="000000"/>
                <w:lang w:val="hy-AM"/>
              </w:rPr>
              <w:t>6</w:t>
            </w:r>
            <w:r w:rsidRPr="00DE3AEF">
              <w:rPr>
                <w:rFonts w:cs="Calibri"/>
                <w:color w:val="000000"/>
              </w:rPr>
              <w:t>,</w:t>
            </w:r>
            <w:r w:rsidRPr="00DE3AEF">
              <w:rPr>
                <w:rFonts w:cs="Calibri"/>
                <w:color w:val="000000"/>
                <w:lang w:val="hy-AM"/>
              </w:rPr>
              <w:t>707</w:t>
            </w:r>
            <w:r w:rsidRPr="00DE3AEF">
              <w:rPr>
                <w:rFonts w:cs="Calibri"/>
                <w:color w:val="000000"/>
              </w:rPr>
              <w:t>.</w:t>
            </w:r>
            <w:r w:rsidRPr="00DE3AEF">
              <w:rPr>
                <w:rFonts w:cs="Calibri"/>
                <w:color w:val="000000"/>
                <w:lang w:val="hy-AM"/>
              </w:rPr>
              <w:t>3</w:t>
            </w:r>
          </w:p>
        </w:tc>
        <w:tc>
          <w:tcPr>
            <w:tcW w:w="1260" w:type="dxa"/>
          </w:tcPr>
          <w:p w14:paraId="5793AD49"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lang w:val="en-US"/>
              </w:rPr>
            </w:pPr>
            <w:r>
              <w:rPr>
                <w:rFonts w:cs="Calibri"/>
                <w:color w:val="000000"/>
                <w:lang w:val="hy-AM"/>
              </w:rPr>
              <w:t>129,389</w:t>
            </w:r>
            <w:r>
              <w:rPr>
                <w:rFonts w:cs="Calibri"/>
                <w:color w:val="000000"/>
                <w:lang w:val="en-US"/>
              </w:rPr>
              <w:t>.0</w:t>
            </w:r>
          </w:p>
        </w:tc>
      </w:tr>
      <w:tr w:rsidR="007E61D3" w:rsidRPr="00757C76" w14:paraId="386811CF" w14:textId="77777777" w:rsidTr="00291CBE">
        <w:trPr>
          <w:trHeight w:val="780"/>
        </w:trPr>
        <w:tc>
          <w:tcPr>
            <w:cnfStyle w:val="001000000000" w:firstRow="0" w:lastRow="0" w:firstColumn="1" w:lastColumn="0" w:oddVBand="0" w:evenVBand="0" w:oddHBand="0" w:evenHBand="0" w:firstRowFirstColumn="0" w:firstRowLastColumn="0" w:lastRowFirstColumn="0" w:lastRowLastColumn="0"/>
            <w:tcW w:w="2610" w:type="dxa"/>
            <w:hideMark/>
          </w:tcPr>
          <w:p w14:paraId="5AED697C" w14:textId="77777777" w:rsidR="007E61D3" w:rsidRPr="00DE3AEF" w:rsidRDefault="007E61D3" w:rsidP="00291CBE">
            <w:pPr>
              <w:spacing w:before="0" w:line="240" w:lineRule="auto"/>
              <w:ind w:firstLine="0"/>
              <w:jc w:val="left"/>
              <w:rPr>
                <w:rFonts w:cs="Calibri"/>
                <w:color w:val="000000"/>
                <w:sz w:val="20"/>
                <w:szCs w:val="20"/>
              </w:rPr>
            </w:pPr>
            <w:r w:rsidRPr="00DE3AEF">
              <w:rPr>
                <w:rFonts w:cs="Calibri"/>
                <w:color w:val="000000"/>
                <w:sz w:val="20"/>
                <w:szCs w:val="20"/>
                <w:lang w:val="hy-AM"/>
              </w:rPr>
              <w:t xml:space="preserve">- </w:t>
            </w:r>
            <w:r w:rsidRPr="00DE3AEF">
              <w:rPr>
                <w:rFonts w:cs="Calibri"/>
                <w:color w:val="000000"/>
                <w:sz w:val="20"/>
                <w:szCs w:val="20"/>
              </w:rPr>
              <w:t>հ</w:t>
            </w:r>
            <w:r w:rsidRPr="00DE3AEF">
              <w:rPr>
                <w:rFonts w:cs="Calibri"/>
                <w:color w:val="000000"/>
                <w:sz w:val="20"/>
                <w:szCs w:val="20"/>
                <w:lang w:val="hy-AM"/>
              </w:rPr>
              <w:t>արաբերությունը ՀՆԱ-ի նկատմամբ (%)</w:t>
            </w:r>
          </w:p>
        </w:tc>
        <w:tc>
          <w:tcPr>
            <w:tcW w:w="1391" w:type="dxa"/>
            <w:hideMark/>
          </w:tcPr>
          <w:p w14:paraId="60F49DC6" w14:textId="77777777" w:rsidR="007E61D3" w:rsidRPr="00DE3AEF" w:rsidRDefault="007E61D3" w:rsidP="00291CBE">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1.2%</w:t>
            </w:r>
          </w:p>
        </w:tc>
        <w:tc>
          <w:tcPr>
            <w:tcW w:w="1440" w:type="dxa"/>
            <w:hideMark/>
          </w:tcPr>
          <w:p w14:paraId="2355AC11" w14:textId="77777777" w:rsidR="007E61D3" w:rsidRPr="00DE3AEF" w:rsidRDefault="007E61D3" w:rsidP="00291CBE">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1.2%</w:t>
            </w:r>
          </w:p>
        </w:tc>
        <w:tc>
          <w:tcPr>
            <w:tcW w:w="1530" w:type="dxa"/>
            <w:hideMark/>
          </w:tcPr>
          <w:p w14:paraId="28B6DAAC" w14:textId="77777777" w:rsidR="007E61D3" w:rsidRPr="00DE3AEF" w:rsidRDefault="007E61D3" w:rsidP="00291CBE">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2.</w:t>
            </w:r>
            <w:r w:rsidRPr="00DE3AEF">
              <w:rPr>
                <w:rFonts w:cs="Calibri"/>
                <w:color w:val="000000"/>
                <w:sz w:val="20"/>
                <w:szCs w:val="20"/>
                <w:lang w:val="en-US"/>
              </w:rPr>
              <w:t>6</w:t>
            </w:r>
            <w:r w:rsidRPr="00DE3AEF">
              <w:rPr>
                <w:rFonts w:cs="Calibri"/>
                <w:color w:val="000000"/>
                <w:sz w:val="20"/>
                <w:szCs w:val="20"/>
              </w:rPr>
              <w:t>%</w:t>
            </w:r>
          </w:p>
        </w:tc>
        <w:tc>
          <w:tcPr>
            <w:tcW w:w="1260" w:type="dxa"/>
          </w:tcPr>
          <w:p w14:paraId="09EFD1CD" w14:textId="77777777" w:rsidR="007E61D3" w:rsidRPr="00DE3AEF" w:rsidRDefault="007E61D3" w:rsidP="00291CBE">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rPr>
            </w:pPr>
            <w:r w:rsidRPr="00DE3AEF">
              <w:rPr>
                <w:rFonts w:cs="Calibri"/>
                <w:color w:val="000000"/>
                <w:sz w:val="20"/>
                <w:szCs w:val="20"/>
              </w:rPr>
              <w:t>1.</w:t>
            </w:r>
            <w:r w:rsidRPr="00DE3AEF">
              <w:rPr>
                <w:rFonts w:cs="Calibri"/>
                <w:color w:val="000000"/>
                <w:sz w:val="20"/>
                <w:szCs w:val="20"/>
                <w:lang w:val="hy-AM"/>
              </w:rPr>
              <w:t>4</w:t>
            </w:r>
            <w:r w:rsidRPr="00DE3AEF">
              <w:rPr>
                <w:rFonts w:cs="Calibri"/>
                <w:color w:val="000000"/>
                <w:sz w:val="20"/>
                <w:szCs w:val="20"/>
              </w:rPr>
              <w:t>%</w:t>
            </w:r>
          </w:p>
        </w:tc>
        <w:tc>
          <w:tcPr>
            <w:tcW w:w="1260" w:type="dxa"/>
          </w:tcPr>
          <w:p w14:paraId="50506CBB" w14:textId="77777777" w:rsidR="007E61D3" w:rsidRPr="00DE3AEF" w:rsidRDefault="007E61D3" w:rsidP="00291CBE">
            <w:pPr>
              <w:spacing w:before="0" w:line="240" w:lineRule="auto"/>
              <w:ind w:firstLine="0"/>
              <w:jc w:val="center"/>
              <w:cnfStyle w:val="000000000000" w:firstRow="0" w:lastRow="0" w:firstColumn="0" w:lastColumn="0" w:oddVBand="0" w:evenVBand="0" w:oddHBand="0" w:evenHBand="0" w:firstRowFirstColumn="0" w:firstRowLastColumn="0" w:lastRowFirstColumn="0" w:lastRowLastColumn="0"/>
              <w:rPr>
                <w:rFonts w:cs="Calibri"/>
                <w:color w:val="000000"/>
                <w:sz w:val="20"/>
                <w:szCs w:val="20"/>
                <w:lang w:val="en-US"/>
              </w:rPr>
            </w:pPr>
            <w:r>
              <w:rPr>
                <w:rFonts w:cs="Calibri"/>
                <w:color w:val="000000"/>
                <w:sz w:val="20"/>
                <w:szCs w:val="20"/>
                <w:lang w:val="en-US"/>
              </w:rPr>
              <w:t>1</w:t>
            </w:r>
            <w:r w:rsidRPr="00DE3AEF">
              <w:rPr>
                <w:rFonts w:cs="Calibri"/>
                <w:color w:val="000000"/>
                <w:sz w:val="20"/>
                <w:szCs w:val="20"/>
                <w:lang w:val="en-US"/>
              </w:rPr>
              <w:t>.</w:t>
            </w:r>
            <w:r>
              <w:rPr>
                <w:rFonts w:cs="Calibri"/>
                <w:color w:val="000000"/>
                <w:sz w:val="20"/>
                <w:szCs w:val="20"/>
                <w:lang w:val="hy-AM"/>
              </w:rPr>
              <w:t>6</w:t>
            </w:r>
            <w:r w:rsidRPr="00DE3AEF">
              <w:rPr>
                <w:rFonts w:cs="Calibri"/>
                <w:color w:val="000000"/>
                <w:sz w:val="20"/>
                <w:szCs w:val="20"/>
                <w:lang w:val="en-US"/>
              </w:rPr>
              <w:t>%</w:t>
            </w:r>
          </w:p>
        </w:tc>
      </w:tr>
      <w:tr w:rsidR="007E61D3" w:rsidRPr="00DE3AEF" w14:paraId="34E7B7E0" w14:textId="77777777" w:rsidTr="00291CBE">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610" w:type="dxa"/>
            <w:hideMark/>
          </w:tcPr>
          <w:p w14:paraId="0B7FFDCE" w14:textId="77777777" w:rsidR="007E61D3" w:rsidRPr="00DE3AEF" w:rsidRDefault="007E61D3" w:rsidP="00291CBE">
            <w:pPr>
              <w:spacing w:before="0" w:line="240" w:lineRule="auto"/>
              <w:ind w:firstLine="0"/>
              <w:jc w:val="left"/>
              <w:rPr>
                <w:rFonts w:cs="Calibri"/>
                <w:color w:val="000000"/>
                <w:sz w:val="20"/>
                <w:szCs w:val="20"/>
              </w:rPr>
            </w:pPr>
            <w:r w:rsidRPr="00DE3AEF">
              <w:rPr>
                <w:rFonts w:cs="Calibri"/>
                <w:color w:val="000000"/>
                <w:sz w:val="20"/>
                <w:szCs w:val="20"/>
                <w:lang w:val="hy-AM"/>
              </w:rPr>
              <w:t>-</w:t>
            </w:r>
            <w:r w:rsidRPr="00DE3AEF">
              <w:rPr>
                <w:rFonts w:cs="Calibri"/>
                <w:color w:val="000000"/>
                <w:sz w:val="20"/>
                <w:szCs w:val="20"/>
              </w:rPr>
              <w:t xml:space="preserve"> </w:t>
            </w:r>
            <w:r w:rsidRPr="00DE3AEF">
              <w:rPr>
                <w:rFonts w:cs="Calibri"/>
                <w:color w:val="000000"/>
                <w:sz w:val="20"/>
                <w:szCs w:val="20"/>
                <w:lang w:val="hy-AM"/>
              </w:rPr>
              <w:t>տեսակարար կշիռը ծախսերի ամբողջ ծավալում (%)</w:t>
            </w:r>
          </w:p>
        </w:tc>
        <w:tc>
          <w:tcPr>
            <w:tcW w:w="1391" w:type="dxa"/>
            <w:hideMark/>
          </w:tcPr>
          <w:p w14:paraId="483885E0"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4.8%</w:t>
            </w:r>
          </w:p>
        </w:tc>
        <w:tc>
          <w:tcPr>
            <w:tcW w:w="1440" w:type="dxa"/>
            <w:hideMark/>
          </w:tcPr>
          <w:p w14:paraId="3B74CB80"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4.7%</w:t>
            </w:r>
          </w:p>
        </w:tc>
        <w:tc>
          <w:tcPr>
            <w:tcW w:w="1530" w:type="dxa"/>
            <w:hideMark/>
          </w:tcPr>
          <w:p w14:paraId="0AAFC146"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8.</w:t>
            </w:r>
            <w:r w:rsidRPr="00DE3AEF">
              <w:rPr>
                <w:rFonts w:cs="Calibri"/>
                <w:color w:val="000000"/>
                <w:sz w:val="20"/>
                <w:szCs w:val="20"/>
                <w:lang w:val="en-US"/>
              </w:rPr>
              <w:t>9</w:t>
            </w:r>
            <w:r w:rsidRPr="00DE3AEF">
              <w:rPr>
                <w:rFonts w:cs="Calibri"/>
                <w:color w:val="000000"/>
                <w:sz w:val="20"/>
                <w:szCs w:val="20"/>
              </w:rPr>
              <w:t>%</w:t>
            </w:r>
          </w:p>
        </w:tc>
        <w:tc>
          <w:tcPr>
            <w:tcW w:w="1260" w:type="dxa"/>
          </w:tcPr>
          <w:p w14:paraId="139650C1"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rPr>
            </w:pPr>
            <w:r w:rsidRPr="00DE3AEF">
              <w:rPr>
                <w:rFonts w:cs="Calibri"/>
                <w:color w:val="000000"/>
                <w:sz w:val="20"/>
                <w:szCs w:val="20"/>
              </w:rPr>
              <w:t>4.</w:t>
            </w:r>
            <w:r w:rsidRPr="00DE3AEF">
              <w:rPr>
                <w:rFonts w:cs="Calibri"/>
                <w:color w:val="000000"/>
                <w:sz w:val="20"/>
                <w:szCs w:val="20"/>
                <w:lang w:val="hy-AM"/>
              </w:rPr>
              <w:t>7</w:t>
            </w:r>
            <w:r w:rsidRPr="00DE3AEF">
              <w:rPr>
                <w:rFonts w:cs="Calibri"/>
                <w:color w:val="000000"/>
                <w:sz w:val="20"/>
                <w:szCs w:val="20"/>
              </w:rPr>
              <w:t>%</w:t>
            </w:r>
          </w:p>
        </w:tc>
        <w:tc>
          <w:tcPr>
            <w:tcW w:w="1260" w:type="dxa"/>
          </w:tcPr>
          <w:p w14:paraId="08A4CA0B" w14:textId="77777777" w:rsidR="007E61D3" w:rsidRPr="00DE3AEF" w:rsidRDefault="007E61D3" w:rsidP="00291CBE">
            <w:pPr>
              <w:spacing w:before="0" w:line="240" w:lineRule="auto"/>
              <w:ind w:firstLine="0"/>
              <w:jc w:val="center"/>
              <w:cnfStyle w:val="000000100000" w:firstRow="0" w:lastRow="0" w:firstColumn="0" w:lastColumn="0" w:oddVBand="0" w:evenVBand="0" w:oddHBand="1" w:evenHBand="0" w:firstRowFirstColumn="0" w:firstRowLastColumn="0" w:lastRowFirstColumn="0" w:lastRowLastColumn="0"/>
              <w:rPr>
                <w:rFonts w:cs="Calibri"/>
                <w:color w:val="000000"/>
                <w:sz w:val="20"/>
                <w:szCs w:val="20"/>
                <w:lang w:val="en-US"/>
              </w:rPr>
            </w:pPr>
            <w:r>
              <w:rPr>
                <w:rFonts w:cs="Calibri"/>
                <w:color w:val="000000"/>
                <w:sz w:val="20"/>
                <w:szCs w:val="20"/>
                <w:lang w:val="en-US"/>
              </w:rPr>
              <w:t>6</w:t>
            </w:r>
            <w:r w:rsidRPr="00DE3AEF">
              <w:rPr>
                <w:rFonts w:cs="Calibri"/>
                <w:color w:val="000000"/>
                <w:sz w:val="20"/>
                <w:szCs w:val="20"/>
                <w:lang w:val="en-US"/>
              </w:rPr>
              <w:t>.</w:t>
            </w:r>
            <w:r>
              <w:rPr>
                <w:rFonts w:cs="Calibri"/>
                <w:color w:val="000000"/>
                <w:sz w:val="20"/>
                <w:szCs w:val="20"/>
                <w:lang w:val="en-US"/>
              </w:rPr>
              <w:t>0</w:t>
            </w:r>
            <w:r w:rsidRPr="00DE3AEF">
              <w:rPr>
                <w:rFonts w:cs="Calibri"/>
                <w:color w:val="000000"/>
                <w:sz w:val="20"/>
                <w:szCs w:val="20"/>
                <w:lang w:val="en-US"/>
              </w:rPr>
              <w:t>%</w:t>
            </w:r>
          </w:p>
        </w:tc>
      </w:tr>
    </w:tbl>
    <w:p w14:paraId="3885E8D6" w14:textId="77777777" w:rsidR="007E61D3" w:rsidRPr="00505318" w:rsidRDefault="007E61D3" w:rsidP="007E61D3">
      <w:pPr>
        <w:spacing w:before="0" w:line="276" w:lineRule="auto"/>
        <w:ind w:firstLine="720"/>
        <w:rPr>
          <w:rFonts w:cs="Sylfaen"/>
          <w:highlight w:val="yellow"/>
        </w:rPr>
      </w:pPr>
    </w:p>
    <w:p w14:paraId="04423921" w14:textId="77777777" w:rsidR="007E61D3" w:rsidRPr="00CD7785" w:rsidRDefault="007E61D3" w:rsidP="007E61D3">
      <w:pPr>
        <w:spacing w:before="0" w:line="276" w:lineRule="auto"/>
        <w:rPr>
          <w:b w:val="0"/>
        </w:rPr>
      </w:pPr>
      <w:r w:rsidRPr="00CD7785">
        <w:rPr>
          <w:rFonts w:cs="Arial"/>
          <w:b w:val="0"/>
          <w:lang w:val="hy-AM"/>
        </w:rPr>
        <w:t>Արտաքին</w:t>
      </w:r>
      <w:r w:rsidRPr="00CD7785">
        <w:rPr>
          <w:b w:val="0"/>
          <w:lang w:val="hy-AM"/>
        </w:rPr>
        <w:t xml:space="preserve">  </w:t>
      </w:r>
      <w:r w:rsidRPr="00CD7785">
        <w:rPr>
          <w:rFonts w:cs="Arial"/>
          <w:b w:val="0"/>
          <w:lang w:val="hy-AM"/>
        </w:rPr>
        <w:t>աղբյուրներից</w:t>
      </w:r>
      <w:r w:rsidRPr="00CD7785">
        <w:rPr>
          <w:b w:val="0"/>
          <w:lang w:val="hy-AM"/>
        </w:rPr>
        <w:t xml:space="preserve"> </w:t>
      </w:r>
      <w:r w:rsidRPr="00CD7785">
        <w:rPr>
          <w:rFonts w:cs="Arial"/>
          <w:b w:val="0"/>
          <w:lang w:val="hy-AM"/>
        </w:rPr>
        <w:t>վարկերի</w:t>
      </w:r>
      <w:r w:rsidRPr="00CD7785">
        <w:rPr>
          <w:b w:val="0"/>
          <w:lang w:val="hy-AM"/>
        </w:rPr>
        <w:t xml:space="preserve"> </w:t>
      </w:r>
      <w:r w:rsidRPr="00CD7785">
        <w:rPr>
          <w:rFonts w:cs="Arial"/>
          <w:b w:val="0"/>
          <w:lang w:val="hy-AM"/>
        </w:rPr>
        <w:t>և</w:t>
      </w:r>
      <w:r w:rsidRPr="00CD7785">
        <w:rPr>
          <w:b w:val="0"/>
          <w:lang w:val="hy-AM"/>
        </w:rPr>
        <w:t xml:space="preserve"> </w:t>
      </w:r>
      <w:r w:rsidRPr="00CD7785">
        <w:rPr>
          <w:rFonts w:cs="Arial"/>
          <w:b w:val="0"/>
          <w:lang w:val="hy-AM"/>
        </w:rPr>
        <w:t>պաշտոնական</w:t>
      </w:r>
      <w:r w:rsidRPr="00CD7785">
        <w:rPr>
          <w:b w:val="0"/>
          <w:lang w:val="hy-AM"/>
        </w:rPr>
        <w:t xml:space="preserve"> </w:t>
      </w:r>
      <w:r w:rsidRPr="00CD7785">
        <w:rPr>
          <w:rFonts w:cs="Arial"/>
          <w:b w:val="0"/>
          <w:lang w:val="hy-AM"/>
        </w:rPr>
        <w:t>դրամաշնորհների</w:t>
      </w:r>
      <w:r w:rsidRPr="00CD7785">
        <w:rPr>
          <w:b w:val="0"/>
          <w:lang w:val="hy-AM"/>
        </w:rPr>
        <w:t xml:space="preserve"> </w:t>
      </w:r>
      <w:r w:rsidRPr="00CD7785">
        <w:rPr>
          <w:rFonts w:cs="Arial"/>
          <w:b w:val="0"/>
          <w:lang w:val="hy-AM"/>
        </w:rPr>
        <w:t>տեսքով</w:t>
      </w:r>
      <w:r w:rsidRPr="00CD7785">
        <w:rPr>
          <w:b w:val="0"/>
          <w:lang w:val="hy-AM"/>
        </w:rPr>
        <w:t xml:space="preserve"> </w:t>
      </w:r>
      <w:r w:rsidRPr="00CD7785">
        <w:rPr>
          <w:rFonts w:cs="Arial"/>
          <w:b w:val="0"/>
          <w:lang w:val="hy-AM"/>
        </w:rPr>
        <w:t>ստաց</w:t>
      </w:r>
      <w:r w:rsidRPr="00CD7785">
        <w:rPr>
          <w:b w:val="0"/>
          <w:lang w:val="hy-AM"/>
        </w:rPr>
        <w:softHyphen/>
      </w:r>
      <w:r w:rsidRPr="00CD7785">
        <w:rPr>
          <w:rFonts w:cs="Arial"/>
          <w:b w:val="0"/>
          <w:lang w:val="hy-AM"/>
        </w:rPr>
        <w:t>վե</w:t>
      </w:r>
      <w:r w:rsidRPr="00CD7785">
        <w:rPr>
          <w:b w:val="0"/>
          <w:lang w:val="hy-AM"/>
        </w:rPr>
        <w:softHyphen/>
      </w:r>
      <w:r w:rsidRPr="00CD7785">
        <w:rPr>
          <w:rFonts w:cs="Arial"/>
          <w:b w:val="0"/>
          <w:lang w:val="hy-AM"/>
        </w:rPr>
        <w:t>լիք</w:t>
      </w:r>
      <w:r w:rsidRPr="00CD7785">
        <w:rPr>
          <w:b w:val="0"/>
          <w:lang w:val="hy-AM"/>
        </w:rPr>
        <w:t xml:space="preserve"> </w:t>
      </w:r>
      <w:r w:rsidRPr="00CD7785">
        <w:rPr>
          <w:rFonts w:cs="Arial"/>
          <w:b w:val="0"/>
          <w:lang w:val="hy-AM"/>
        </w:rPr>
        <w:t>մի</w:t>
      </w:r>
      <w:r w:rsidRPr="00CD7785">
        <w:rPr>
          <w:b w:val="0"/>
          <w:lang w:val="hy-AM"/>
        </w:rPr>
        <w:softHyphen/>
      </w:r>
      <w:r w:rsidRPr="00CD7785">
        <w:rPr>
          <w:rFonts w:cs="Arial"/>
          <w:b w:val="0"/>
          <w:lang w:val="hy-AM"/>
        </w:rPr>
        <w:t>ջոցների</w:t>
      </w:r>
      <w:r w:rsidRPr="00CD7785">
        <w:rPr>
          <w:b w:val="0"/>
          <w:lang w:val="hy-AM"/>
        </w:rPr>
        <w:t xml:space="preserve"> </w:t>
      </w:r>
      <w:r w:rsidRPr="00CD7785">
        <w:rPr>
          <w:rFonts w:cs="Arial"/>
          <w:b w:val="0"/>
          <w:lang w:val="hy-AM"/>
        </w:rPr>
        <w:t>հաշվին</w:t>
      </w:r>
      <w:r w:rsidRPr="00CD7785">
        <w:rPr>
          <w:b w:val="0"/>
          <w:lang w:val="hy-AM"/>
        </w:rPr>
        <w:t xml:space="preserve"> 2022 </w:t>
      </w:r>
      <w:r w:rsidRPr="00CD7785">
        <w:rPr>
          <w:rFonts w:cs="Arial"/>
          <w:b w:val="0"/>
          <w:lang w:val="hy-AM"/>
        </w:rPr>
        <w:t>թվականին ֆինանսավորվող</w:t>
      </w:r>
      <w:r w:rsidRPr="00CD7785">
        <w:rPr>
          <w:b w:val="0"/>
          <w:lang w:val="hy-AM"/>
        </w:rPr>
        <w:t xml:space="preserve"> </w:t>
      </w:r>
      <w:r w:rsidRPr="00CD7785">
        <w:rPr>
          <w:rFonts w:cs="Arial"/>
          <w:b w:val="0"/>
          <w:lang w:val="hy-AM"/>
        </w:rPr>
        <w:t>ծախսերի</w:t>
      </w:r>
      <w:r w:rsidRPr="00CD7785">
        <w:rPr>
          <w:b w:val="0"/>
          <w:lang w:val="hy-AM"/>
        </w:rPr>
        <w:t xml:space="preserve"> </w:t>
      </w:r>
      <w:r w:rsidRPr="00CD7785">
        <w:rPr>
          <w:rFonts w:cs="Arial"/>
          <w:b w:val="0"/>
          <w:lang w:val="hy-AM"/>
        </w:rPr>
        <w:t>տեսակարար կշիռը</w:t>
      </w:r>
      <w:r w:rsidRPr="00CD7785">
        <w:rPr>
          <w:b w:val="0"/>
          <w:lang w:val="hy-AM"/>
        </w:rPr>
        <w:t xml:space="preserve"> </w:t>
      </w:r>
      <w:r w:rsidRPr="00CD7785">
        <w:rPr>
          <w:rFonts w:cs="Arial"/>
          <w:b w:val="0"/>
          <w:lang w:val="hy-AM"/>
        </w:rPr>
        <w:t>ծախսերի</w:t>
      </w:r>
      <w:r w:rsidRPr="00CD7785">
        <w:rPr>
          <w:b w:val="0"/>
          <w:lang w:val="hy-AM"/>
        </w:rPr>
        <w:t xml:space="preserve"> </w:t>
      </w:r>
      <w:r w:rsidRPr="00CD7785">
        <w:rPr>
          <w:rFonts w:cs="Arial"/>
          <w:b w:val="0"/>
          <w:lang w:val="hy-AM"/>
        </w:rPr>
        <w:t>ամբողջ</w:t>
      </w:r>
      <w:r w:rsidRPr="00CD7785">
        <w:rPr>
          <w:b w:val="0"/>
          <w:lang w:val="hy-AM"/>
        </w:rPr>
        <w:t xml:space="preserve"> </w:t>
      </w:r>
      <w:r w:rsidRPr="00CD7785">
        <w:rPr>
          <w:rFonts w:cs="Arial"/>
          <w:b w:val="0"/>
          <w:lang w:val="hy-AM"/>
        </w:rPr>
        <w:t>ծավալում</w:t>
      </w:r>
      <w:r w:rsidRPr="00CD7785">
        <w:rPr>
          <w:b w:val="0"/>
          <w:lang w:val="hy-AM"/>
        </w:rPr>
        <w:t xml:space="preserve"> </w:t>
      </w:r>
      <w:r w:rsidRPr="00CD7785">
        <w:rPr>
          <w:rFonts w:cs="Arial"/>
          <w:b w:val="0"/>
          <w:lang w:val="hy-AM"/>
        </w:rPr>
        <w:t>կազմում</w:t>
      </w:r>
      <w:r w:rsidRPr="00CD7785">
        <w:rPr>
          <w:b w:val="0"/>
          <w:lang w:val="hy-AM"/>
        </w:rPr>
        <w:t xml:space="preserve"> </w:t>
      </w:r>
      <w:r w:rsidRPr="00CD7785">
        <w:rPr>
          <w:rFonts w:cs="Arial"/>
          <w:b w:val="0"/>
          <w:lang w:val="hy-AM"/>
        </w:rPr>
        <w:t>է</w:t>
      </w:r>
      <w:r w:rsidRPr="00CD7785">
        <w:rPr>
          <w:b w:val="0"/>
          <w:lang w:val="hy-AM"/>
        </w:rPr>
        <w:t xml:space="preserve"> </w:t>
      </w:r>
      <w:r w:rsidRPr="00E53981">
        <w:rPr>
          <w:b w:val="0"/>
        </w:rPr>
        <w:t>6</w:t>
      </w:r>
      <w:r w:rsidRPr="00CD7785">
        <w:rPr>
          <w:b w:val="0"/>
        </w:rPr>
        <w:t>.</w:t>
      </w:r>
      <w:r w:rsidRPr="00DD63BE">
        <w:rPr>
          <w:b w:val="0"/>
        </w:rPr>
        <w:t>0</w:t>
      </w:r>
      <w:r w:rsidRPr="00CD7785">
        <w:rPr>
          <w:b w:val="0"/>
          <w:lang w:val="hy-AM"/>
        </w:rPr>
        <w:t xml:space="preserve">% </w:t>
      </w:r>
      <w:r w:rsidRPr="00CD7785">
        <w:rPr>
          <w:rFonts w:cs="Arial"/>
          <w:b w:val="0"/>
          <w:lang w:val="hy-AM"/>
        </w:rPr>
        <w:t>և</w:t>
      </w:r>
      <w:r w:rsidRPr="00CD7785">
        <w:rPr>
          <w:b w:val="0"/>
          <w:lang w:val="hy-AM"/>
        </w:rPr>
        <w:t xml:space="preserve"> </w:t>
      </w:r>
      <w:r w:rsidRPr="00CD7785">
        <w:rPr>
          <w:rFonts w:cs="Arial"/>
          <w:b w:val="0"/>
          <w:lang w:val="hy-AM"/>
        </w:rPr>
        <w:t>ՀՆԱ</w:t>
      </w:r>
      <w:r w:rsidRPr="00CD7785">
        <w:rPr>
          <w:b w:val="0"/>
          <w:lang w:val="hy-AM"/>
        </w:rPr>
        <w:t>-</w:t>
      </w:r>
      <w:r w:rsidRPr="00CD7785">
        <w:rPr>
          <w:rFonts w:cs="Arial"/>
          <w:b w:val="0"/>
          <w:lang w:val="hy-AM"/>
        </w:rPr>
        <w:t>ի</w:t>
      </w:r>
      <w:r w:rsidRPr="00CD7785">
        <w:rPr>
          <w:b w:val="0"/>
          <w:lang w:val="hy-AM"/>
        </w:rPr>
        <w:t xml:space="preserve"> </w:t>
      </w:r>
      <w:r w:rsidRPr="00CD7785">
        <w:rPr>
          <w:rFonts w:cs="Arial"/>
          <w:b w:val="0"/>
          <w:lang w:val="hy-AM"/>
        </w:rPr>
        <w:t>նկատ</w:t>
      </w:r>
      <w:r w:rsidRPr="00CD7785">
        <w:rPr>
          <w:b w:val="0"/>
          <w:lang w:val="hy-AM"/>
        </w:rPr>
        <w:softHyphen/>
      </w:r>
      <w:r w:rsidRPr="00CD7785">
        <w:rPr>
          <w:rFonts w:cs="Arial"/>
          <w:b w:val="0"/>
          <w:lang w:val="hy-AM"/>
        </w:rPr>
        <w:t>մամբ՝</w:t>
      </w:r>
      <w:r w:rsidRPr="00CD7785">
        <w:rPr>
          <w:b w:val="0"/>
          <w:lang w:val="hy-AM"/>
        </w:rPr>
        <w:t xml:space="preserve"> </w:t>
      </w:r>
      <w:r w:rsidRPr="00E53981">
        <w:rPr>
          <w:b w:val="0"/>
        </w:rPr>
        <w:t>1</w:t>
      </w:r>
      <w:r w:rsidRPr="00CD7785">
        <w:rPr>
          <w:b w:val="0"/>
        </w:rPr>
        <w:t>.</w:t>
      </w:r>
      <w:r>
        <w:rPr>
          <w:b w:val="0"/>
          <w:lang w:val="hy-AM"/>
        </w:rPr>
        <w:t>6</w:t>
      </w:r>
      <w:r w:rsidRPr="00CD7785">
        <w:rPr>
          <w:b w:val="0"/>
          <w:lang w:val="hy-AM"/>
        </w:rPr>
        <w:t xml:space="preserve">%: </w:t>
      </w:r>
    </w:p>
    <w:p w14:paraId="7B96633A" w14:textId="77777777" w:rsidR="007E61D3" w:rsidRPr="00A53AB0" w:rsidRDefault="007E61D3" w:rsidP="007E61D3">
      <w:pPr>
        <w:spacing w:before="0" w:line="276" w:lineRule="auto"/>
        <w:rPr>
          <w:b w:val="0"/>
          <w:color w:val="FF0000"/>
        </w:rPr>
      </w:pPr>
    </w:p>
    <w:p w14:paraId="5369A9C5" w14:textId="77777777" w:rsidR="007E61D3" w:rsidRDefault="007E61D3" w:rsidP="007E61D3">
      <w:pPr>
        <w:spacing w:before="0" w:line="276" w:lineRule="auto"/>
        <w:ind w:firstLine="562"/>
        <w:contextualSpacing w:val="0"/>
        <w:rPr>
          <w:rFonts w:cs="Sylfaen"/>
          <w:b w:val="0"/>
          <w:iCs/>
          <w:szCs w:val="22"/>
          <w:lang w:eastAsia="en-GB"/>
        </w:rPr>
      </w:pPr>
    </w:p>
    <w:p w14:paraId="31ADA139" w14:textId="77777777" w:rsidR="007E61D3" w:rsidRDefault="007E61D3">
      <w:pPr>
        <w:spacing w:before="0" w:line="240" w:lineRule="auto"/>
        <w:ind w:firstLine="0"/>
        <w:contextualSpacing w:val="0"/>
        <w:jc w:val="left"/>
      </w:pPr>
      <w:r>
        <w:br w:type="page"/>
      </w:r>
    </w:p>
    <w:p w14:paraId="209D6F45" w14:textId="6C66AA80" w:rsidR="00453D56" w:rsidRPr="00A83C94" w:rsidRDefault="00453D56" w:rsidP="00AB7355">
      <w:pPr>
        <w:pStyle w:val="ListParagraph"/>
        <w:keepNext/>
        <w:tabs>
          <w:tab w:val="left" w:pos="709"/>
        </w:tabs>
        <w:spacing w:before="0" w:line="276" w:lineRule="auto"/>
        <w:ind w:left="0" w:firstLine="0"/>
        <w:jc w:val="left"/>
        <w:outlineLvl w:val="2"/>
        <w:rPr>
          <w:rFonts w:eastAsia="Calibri" w:cs="GHEA Grapalat"/>
          <w:bCs/>
          <w:sz w:val="24"/>
          <w:szCs w:val="26"/>
          <w:lang w:val="af-ZA" w:eastAsia="en-US"/>
        </w:rPr>
      </w:pPr>
      <w:bookmarkStart w:id="291" w:name="_Toc77356423"/>
      <w:bookmarkStart w:id="292" w:name="_Toc77837866"/>
      <w:bookmarkStart w:id="293" w:name="_Toc89428310"/>
      <w:bookmarkEnd w:id="254"/>
      <w:r w:rsidRPr="00A83C94">
        <w:rPr>
          <w:rFonts w:eastAsia="Calibri" w:cs="GHEA Grapalat"/>
          <w:bCs/>
          <w:sz w:val="24"/>
          <w:szCs w:val="26"/>
          <w:lang w:val="af-ZA" w:eastAsia="en-US"/>
        </w:rPr>
        <w:t>2022</w:t>
      </w:r>
      <w:r w:rsidR="00AB7355" w:rsidRPr="00A83C94">
        <w:rPr>
          <w:rFonts w:eastAsia="Calibri" w:cs="GHEA Grapalat"/>
          <w:bCs/>
          <w:sz w:val="24"/>
          <w:szCs w:val="26"/>
          <w:lang w:val="af-ZA" w:eastAsia="en-US"/>
        </w:rPr>
        <w:t xml:space="preserve"> </w:t>
      </w:r>
      <w:r w:rsidRPr="00A83C94">
        <w:rPr>
          <w:rFonts w:eastAsia="Calibri" w:cs="GHEA Grapalat"/>
          <w:bCs/>
          <w:sz w:val="24"/>
          <w:szCs w:val="26"/>
          <w:lang w:val="af-ZA" w:eastAsia="en-US"/>
        </w:rPr>
        <w:t>Թ</w:t>
      </w:r>
      <w:r w:rsidR="00AB7355" w:rsidRPr="00A83C94">
        <w:rPr>
          <w:rFonts w:eastAsia="Calibri" w:cs="GHEA Grapalat"/>
          <w:bCs/>
          <w:sz w:val="24"/>
          <w:szCs w:val="26"/>
          <w:lang w:val="af-ZA" w:eastAsia="en-US"/>
        </w:rPr>
        <w:t>ՎԱԿԱՆԻ</w:t>
      </w:r>
      <w:r w:rsidRPr="00A83C94">
        <w:rPr>
          <w:rFonts w:eastAsia="Calibri" w:cs="GHEA Grapalat"/>
          <w:bCs/>
          <w:sz w:val="24"/>
          <w:szCs w:val="26"/>
          <w:lang w:val="af-ZA" w:eastAsia="en-US"/>
        </w:rPr>
        <w:t xml:space="preserve"> ԲՅՈՒՋԵԻ ԱՌԱՋՆԱՀԵՐԹՈՒԹՅՈՒՆՆԵՐ</w:t>
      </w:r>
      <w:bookmarkEnd w:id="291"/>
      <w:bookmarkEnd w:id="292"/>
      <w:r w:rsidRPr="00A83C94">
        <w:rPr>
          <w:rFonts w:eastAsia="Calibri" w:cs="GHEA Grapalat"/>
          <w:bCs/>
          <w:sz w:val="24"/>
          <w:szCs w:val="26"/>
          <w:lang w:val="af-ZA" w:eastAsia="en-US"/>
        </w:rPr>
        <w:t>Ը</w:t>
      </w:r>
      <w:bookmarkEnd w:id="293"/>
    </w:p>
    <w:p w14:paraId="52C260FD" w14:textId="77777777" w:rsidR="00453D56" w:rsidRPr="00A83C94" w:rsidRDefault="00453D56" w:rsidP="00453D56">
      <w:pPr>
        <w:spacing w:before="40" w:after="60" w:line="276" w:lineRule="auto"/>
        <w:ind w:firstLine="475"/>
        <w:contextualSpacing w:val="0"/>
        <w:rPr>
          <w:rFonts w:eastAsiaTheme="minorEastAsia" w:cstheme="minorBidi"/>
          <w:b w:val="0"/>
          <w:szCs w:val="22"/>
          <w:lang w:val="hy-AM" w:eastAsia="en-US"/>
        </w:rPr>
      </w:pPr>
      <w:r w:rsidRPr="00A83C94">
        <w:rPr>
          <w:rFonts w:eastAsiaTheme="minorEastAsia" w:cstheme="minorBidi"/>
          <w:b w:val="0"/>
          <w:szCs w:val="22"/>
          <w:lang w:val="hy-AM" w:eastAsia="en-US"/>
        </w:rPr>
        <w:t>ՀՀ կառավարության ծրագրին համապատասխան ծախսային քաղաքականության արդյունավետության բարձրացման տեսանկյունից միջնաժամկետ ժամանակահատվածում կարևորվում է հանրային ֆինանսների նպատակային, խնայողաբար և ադյունավետ օգտագործումը, ինչի արդյունքում ՀՀ պետական բյուջեի ծախսերի կառուցվածքում աստիճանաբար հնարավորության սահմաններում կմեծանա մարդկային կապիտալին և ենթակառուցվածքներին ուղղվող ծախսերի տեսակարար կշիռը:</w:t>
      </w:r>
    </w:p>
    <w:p w14:paraId="42D682FB" w14:textId="6A715972" w:rsidR="00813A99" w:rsidRPr="00A83C94" w:rsidRDefault="00453D56" w:rsidP="00813A99">
      <w:pPr>
        <w:spacing w:before="0" w:line="276" w:lineRule="auto"/>
        <w:ind w:firstLine="475"/>
        <w:contextualSpacing w:val="0"/>
        <w:rPr>
          <w:rFonts w:eastAsiaTheme="minorEastAsia" w:cs="Arial"/>
          <w:b w:val="0"/>
          <w:szCs w:val="22"/>
          <w:lang w:val="hy-AM" w:eastAsia="en-US"/>
        </w:rPr>
      </w:pPr>
      <w:r w:rsidRPr="00A83C94">
        <w:rPr>
          <w:rFonts w:eastAsiaTheme="minorEastAsia" w:cstheme="minorBidi"/>
          <w:b w:val="0"/>
          <w:szCs w:val="22"/>
          <w:lang w:val="hy-AM" w:eastAsia="en-US"/>
        </w:rPr>
        <w:t>2022թ</w:t>
      </w:r>
      <w:r w:rsidR="00813A99">
        <w:rPr>
          <w:rFonts w:eastAsiaTheme="minorEastAsia" w:cstheme="minorBidi"/>
          <w:b w:val="0"/>
          <w:szCs w:val="22"/>
          <w:lang w:val="hy-AM" w:eastAsia="en-US"/>
        </w:rPr>
        <w:t>.</w:t>
      </w:r>
      <w:r w:rsidRPr="00A83C94">
        <w:rPr>
          <w:rFonts w:eastAsiaTheme="minorEastAsia" w:cstheme="minorBidi"/>
          <w:b w:val="0"/>
          <w:szCs w:val="22"/>
          <w:lang w:val="hy-AM" w:eastAsia="en-US"/>
        </w:rPr>
        <w:t xml:space="preserve"> </w:t>
      </w:r>
      <w:r w:rsidR="00813A99">
        <w:rPr>
          <w:rFonts w:eastAsiaTheme="minorEastAsia" w:cstheme="minorBidi"/>
          <w:b w:val="0"/>
          <w:szCs w:val="22"/>
          <w:lang w:val="hy-AM" w:eastAsia="en-US"/>
        </w:rPr>
        <w:t>բյուջեի 6-րդ</w:t>
      </w:r>
      <w:r w:rsidRPr="00A83C94">
        <w:rPr>
          <w:rFonts w:eastAsiaTheme="minorEastAsia" w:cstheme="minorBidi"/>
          <w:b w:val="0"/>
          <w:szCs w:val="22"/>
          <w:lang w:val="hy-AM" w:eastAsia="en-US"/>
        </w:rPr>
        <w:t xml:space="preserve"> հավելվածով ներկայացվել են </w:t>
      </w:r>
      <w:r w:rsidR="00813A99" w:rsidRPr="00813A99">
        <w:rPr>
          <w:rFonts w:eastAsiaTheme="minorEastAsia" w:cstheme="minorBidi"/>
          <w:b w:val="0"/>
          <w:szCs w:val="22"/>
          <w:lang w:val="hy-AM" w:eastAsia="en-US"/>
        </w:rPr>
        <w:t xml:space="preserve">ծախսային  </w:t>
      </w:r>
      <w:r w:rsidR="00813A99">
        <w:rPr>
          <w:rFonts w:eastAsiaTheme="minorEastAsia" w:cstheme="minorBidi"/>
          <w:b w:val="0"/>
          <w:szCs w:val="22"/>
          <w:lang w:val="hy-AM" w:eastAsia="en-US"/>
        </w:rPr>
        <w:t>առաջնահերթությունները</w:t>
      </w:r>
      <w:r w:rsidR="00813A99" w:rsidRPr="00813A99">
        <w:rPr>
          <w:rFonts w:eastAsiaTheme="minorEastAsia" w:cstheme="minorBidi"/>
          <w:b w:val="0"/>
          <w:szCs w:val="22"/>
          <w:lang w:val="hy-AM" w:eastAsia="en-US"/>
        </w:rPr>
        <w:t xml:space="preserve">՝ </w:t>
      </w:r>
      <w:r w:rsidR="00AD2499" w:rsidRPr="00AD2499">
        <w:rPr>
          <w:rFonts w:eastAsiaTheme="minorEastAsia" w:cstheme="minorBidi"/>
          <w:b w:val="0"/>
          <w:szCs w:val="22"/>
          <w:lang w:val="hy-AM" w:eastAsia="en-US"/>
        </w:rPr>
        <w:t>8</w:t>
      </w:r>
      <w:r w:rsidR="00FC6197">
        <w:rPr>
          <w:rFonts w:eastAsiaTheme="minorEastAsia" w:cstheme="minorBidi"/>
          <w:b w:val="0"/>
          <w:szCs w:val="22"/>
          <w:lang w:val="hy-AM" w:eastAsia="en-US"/>
        </w:rPr>
        <w:t>5</w:t>
      </w:r>
      <w:r w:rsidR="00813A99" w:rsidRPr="00AD2499">
        <w:rPr>
          <w:rFonts w:eastAsiaTheme="minorEastAsia" w:cstheme="minorBidi"/>
          <w:b w:val="0"/>
          <w:szCs w:val="22"/>
          <w:lang w:val="hy-AM" w:eastAsia="en-US"/>
        </w:rPr>
        <w:t>,</w:t>
      </w:r>
      <w:r w:rsidR="00FC6197">
        <w:rPr>
          <w:rFonts w:eastAsiaTheme="minorEastAsia" w:cstheme="minorBidi"/>
          <w:b w:val="0"/>
          <w:szCs w:val="22"/>
          <w:lang w:val="hy-AM" w:eastAsia="en-US"/>
        </w:rPr>
        <w:t>556</w:t>
      </w:r>
      <w:r w:rsidR="00813A99" w:rsidRPr="00AD2499">
        <w:rPr>
          <w:rFonts w:eastAsiaTheme="minorEastAsia" w:cstheme="minorBidi"/>
          <w:b w:val="0"/>
          <w:szCs w:val="22"/>
          <w:lang w:val="hy-AM" w:eastAsia="en-US"/>
        </w:rPr>
        <w:t xml:space="preserve"> մլրդ</w:t>
      </w:r>
      <w:r w:rsidR="00813A99" w:rsidRPr="00A83C94">
        <w:rPr>
          <w:rFonts w:eastAsiaTheme="minorEastAsia" w:cstheme="minorBidi"/>
          <w:b w:val="0"/>
          <w:szCs w:val="22"/>
          <w:lang w:val="hy-AM" w:eastAsia="en-US"/>
        </w:rPr>
        <w:t xml:space="preserve"> դրամ</w:t>
      </w:r>
      <w:r w:rsidR="00813A99" w:rsidRPr="00813A99">
        <w:rPr>
          <w:rFonts w:eastAsiaTheme="minorEastAsia" w:cstheme="minorBidi"/>
          <w:b w:val="0"/>
          <w:szCs w:val="22"/>
          <w:lang w:val="hy-AM" w:eastAsia="en-US"/>
        </w:rPr>
        <w:t>ի չափով</w:t>
      </w:r>
      <w:r w:rsidRPr="00A83C94">
        <w:rPr>
          <w:rFonts w:eastAsiaTheme="minorEastAsia" w:cstheme="minorBidi"/>
          <w:b w:val="0"/>
          <w:szCs w:val="22"/>
          <w:lang w:val="hy-AM" w:eastAsia="en-US"/>
        </w:rPr>
        <w:t xml:space="preserve">: </w:t>
      </w:r>
    </w:p>
    <w:p w14:paraId="060FA939" w14:textId="2E5E9257" w:rsidR="00453D56" w:rsidRPr="00A83C94" w:rsidRDefault="00453D56" w:rsidP="00FA67A9">
      <w:pPr>
        <w:spacing w:before="0" w:line="276" w:lineRule="auto"/>
        <w:ind w:firstLine="475"/>
        <w:contextualSpacing w:val="0"/>
        <w:rPr>
          <w:rFonts w:eastAsiaTheme="minorEastAsia" w:cstheme="minorBidi"/>
          <w:b w:val="0"/>
          <w:szCs w:val="22"/>
          <w:lang w:val="hy-AM" w:eastAsia="en-US"/>
        </w:rPr>
      </w:pPr>
      <w:r w:rsidRPr="00A83C94">
        <w:rPr>
          <w:rFonts w:eastAsiaTheme="minorEastAsia" w:cstheme="minorBidi"/>
          <w:b w:val="0"/>
          <w:szCs w:val="22"/>
          <w:lang w:val="hy-AM" w:eastAsia="en-US"/>
        </w:rPr>
        <w:t>ԲԳԿ-ների կողմից ներկայացված առաջնահերթությունները 2022թ. բյուջեում լրացուցիչ ֆինանսական միջոցների առկայության պայմաններում (Հայաստանի Հանրապետության տնտեսական զարգացման բարենպաստ միջավայրի և այլ գործոններով պայմանավորված), ինչպես նաև 2022թ ընթացքում բյուջեով նախատեսված ծախսերի կրճատման, ծախսային ուղղությունների գծով հնարավոր գերակայությունների (առաջնահերթությունների) փոփոխման արդյունքում վերաբաշխումների (փոխատեղումների), խնայողությունների առկայության, Հայաստանի Հանրապետության օրենսդրությամբ սահմանված կարգով Հայաստանի Հանրապետության պետական բյուջեի դեֆիցիտի սահմանաչափի ավելացման պարագայում վերջիններիս ֆինանսավորումը պետք է իրականացվեն առաջնահերթ կարգով՝ կապիտալ ծախսերի դեպքում հիմք ընդունելով համապատասխան նախագծանախահաշվային փաստաթղթերի հիման վրա այդ աշխատանքների արժեքների ճշգրտումները։</w:t>
      </w:r>
    </w:p>
    <w:p w14:paraId="68ADBCE7" w14:textId="025510A5" w:rsidR="000123D5" w:rsidRPr="00A83C94" w:rsidRDefault="00453D56" w:rsidP="00FA67A9">
      <w:pPr>
        <w:spacing w:before="0" w:line="276" w:lineRule="auto"/>
        <w:ind w:firstLine="475"/>
        <w:rPr>
          <w:lang w:val="hy-AM"/>
        </w:rPr>
      </w:pPr>
      <w:r w:rsidRPr="00A83C94">
        <w:rPr>
          <w:rFonts w:eastAsiaTheme="minorEastAsia" w:cstheme="minorBidi"/>
          <w:b w:val="0"/>
          <w:szCs w:val="22"/>
          <w:lang w:val="hy-AM" w:eastAsia="en-US"/>
        </w:rPr>
        <w:t>Առաջնահերթություններում</w:t>
      </w:r>
      <w:r w:rsidRPr="00A83C94">
        <w:rPr>
          <w:rFonts w:eastAsiaTheme="minorEastAsia" w:cs="Arial"/>
          <w:b w:val="0"/>
          <w:szCs w:val="22"/>
          <w:lang w:val="hy-AM" w:eastAsia="en-US"/>
        </w:rPr>
        <w:t xml:space="preserve"> կարևորվում է նաև կ</w:t>
      </w:r>
      <w:r w:rsidRPr="00A83C94">
        <w:rPr>
          <w:rFonts w:eastAsiaTheme="minorEastAsia" w:cstheme="minorBidi"/>
          <w:b w:val="0"/>
          <w:szCs w:val="22"/>
          <w:lang w:val="hy-AM" w:eastAsia="en-US"/>
        </w:rPr>
        <w:t>ապիտալ ծրագրերի դերը, որոնք իրենց ուրույն տեղն են գտել նաև ՊՖԿՀ բարեփոխումների ռազմավարությունում, որտեղ «Հանրային ներդրումների կառավարման» համակարգի ներդրումը դիտվում է որպես կապիտալ ծրագրերի գնահատման, առաջնահերթությունների որոշման և ֆինանսավորման համար անհրաժեշտ ռեսուրսների հաշվարկման առանցքային գործիքակազմի բաղադրիչներից մեկը: Այս միջոցառման իրականացումը ապագայում կնպաստի կապիտալ ծախսերի իրականացման արդյունավետության բարձրացմանը՝ խթանելով երկարաժամկետ տնտեսական աճի արագացումը:</w:t>
      </w:r>
      <w:r w:rsidR="000123D5" w:rsidRPr="00A83C94">
        <w:rPr>
          <w:b w:val="0"/>
          <w:lang w:val="hy-AM"/>
        </w:rPr>
        <w:br w:type="page"/>
      </w:r>
    </w:p>
    <w:p w14:paraId="6C34DBE2" w14:textId="77777777" w:rsidR="00E85612" w:rsidRPr="00A83C94" w:rsidRDefault="00E85612" w:rsidP="007C65A5">
      <w:pPr>
        <w:keepNext/>
        <w:tabs>
          <w:tab w:val="left" w:pos="709"/>
        </w:tabs>
        <w:spacing w:before="0" w:line="276" w:lineRule="auto"/>
        <w:ind w:firstLine="0"/>
        <w:jc w:val="left"/>
        <w:outlineLvl w:val="2"/>
        <w:rPr>
          <w:rFonts w:eastAsia="Calibri" w:cs="GHEA Grapalat"/>
          <w:bCs/>
          <w:sz w:val="24"/>
          <w:lang w:val="af-ZA" w:eastAsia="en-US"/>
        </w:rPr>
      </w:pPr>
      <w:bookmarkStart w:id="294" w:name="_Toc89428311"/>
      <w:r w:rsidRPr="00A83C94">
        <w:rPr>
          <w:rFonts w:eastAsia="Calibri" w:cs="GHEA Grapalat"/>
          <w:bCs/>
          <w:sz w:val="24"/>
          <w:lang w:val="af-ZA" w:eastAsia="en-US"/>
        </w:rPr>
        <w:t xml:space="preserve">ԾԱԽՍԵՐՆ ԸՍՏ </w:t>
      </w:r>
      <w:r w:rsidRPr="00A83C94">
        <w:rPr>
          <w:rFonts w:eastAsia="Calibri" w:cs="GHEA Grapalat"/>
          <w:bCs/>
          <w:sz w:val="24"/>
          <w:lang w:val="hy-AM" w:eastAsia="en-US"/>
        </w:rPr>
        <w:t>ԲՅՈՒՋԵՏԱՅԻՆ ԳԼԽԱՎՈՐ ԿԱՐԳԱԴՐԻՉՆԵՐԻ</w:t>
      </w:r>
      <w:bookmarkEnd w:id="294"/>
    </w:p>
    <w:p w14:paraId="0F0D4504" w14:textId="77777777" w:rsidR="00442DED" w:rsidRPr="00A83C94" w:rsidRDefault="00442DED" w:rsidP="007C65A5">
      <w:pPr>
        <w:keepNext/>
        <w:tabs>
          <w:tab w:val="left" w:pos="709"/>
        </w:tabs>
        <w:spacing w:before="0" w:line="276" w:lineRule="auto"/>
        <w:ind w:firstLine="0"/>
        <w:jc w:val="center"/>
        <w:outlineLvl w:val="2"/>
        <w:rPr>
          <w:rFonts w:eastAsia="Calibri" w:cs="GHEA Grapalat"/>
          <w:sz w:val="24"/>
          <w:lang w:val="af-ZA" w:eastAsia="en-US"/>
        </w:rPr>
      </w:pPr>
      <w:bookmarkStart w:id="295" w:name="_Toc57655473"/>
      <w:bookmarkStart w:id="296" w:name="_Toc89428312"/>
      <w:r w:rsidRPr="00A83C94">
        <w:rPr>
          <w:rFonts w:eastAsia="Calibri" w:cs="GHEA Grapalat"/>
          <w:sz w:val="24"/>
          <w:lang w:val="af-ZA" w:eastAsia="en-US"/>
        </w:rPr>
        <w:t>Պետական կառավարման համակարգի մարմինների պահպանման ծախսեր</w:t>
      </w:r>
      <w:bookmarkEnd w:id="295"/>
      <w:bookmarkEnd w:id="296"/>
    </w:p>
    <w:p w14:paraId="1E2A6351"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 xml:space="preserve">Ոլորտը ներառում է Սահմանադրությամբ և օրենքով ստեղծված պետական մարմինների պահպանմանն ուղղված բյուջետային ծրագրերի ու միջոցառումների շրջանակը, որն ընդգրկում է պետական իշխանության մարմինների (օրենսդիր, գործադիր և դատական), Սահմանադրությամբ և օրենքով ստեղծված ինքնավար և անկախ մարմինների ընթացիկ պահպանումը և տեխնիկական միջոցներով ապահովումը: </w:t>
      </w:r>
    </w:p>
    <w:p w14:paraId="5B30DACA"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Պետական կառավարման համակարգի մարմինների պահպանման ծախսերի ընդհանուր գումարը ՀՀ 2022 թվականի պետական բյուջեի նախագծում ծրագրավորված է 133,1115.0  մլն դրամի չափով, որը 2020 թվականի բյուջետային տարվա փաստացի և 2021 թվականի բյուջետային տարվա համար հաստատված համապատասխան ցուցանիշների նկատմամբ կազմում է համապատասխանաբար 118.5 և 101.7 տոկոս: Նշված ցուցանիշների համեմատությունը արտացոլված է սույն բացատրագրի N 2 աղյուսակում:</w:t>
      </w:r>
    </w:p>
    <w:p w14:paraId="7C465258" w14:textId="4D7613A4"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ՀՀ 2022 թվականի պետական բյուջեի նախագծում ծրագրավորված պետական կառավարման համակարգի մարմինների պահպանման ընթացիկ ծախսերը նախատեսվել են   130,939.0 մլն դրամի չափով, իսկ ոչ ֆինանսական (կապիտալ) ակտիվների գծով ծախսերը նախատեսվել են 2,176.0 մլն դրամի չափով` առանձին պետական մարմիններում կարողությունների զարգացման նպատակով:</w:t>
      </w:r>
    </w:p>
    <w:p w14:paraId="30D1E771"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Հանրային կառավարման համակարգի խորքային բարեփոխումների անհրաժեշտությունն ամրագրված է ՀՀ կառավարության 2021 թվականի օգոստոսի 18-ի N 1363-Ա որոշմամբ հավանության արժանացած ՀՀ կառավարության 2021-2026թթ. հնգամյա ծրագրով: Կառավարությունը 2019 թվականից ձեռնամուխ է եղել հանրային կառավարման համակարգում համընդգրկուն բարեփոխումների օրակարգ ձևավորելու ու իրագործելու գործին: Մի շարք կարևոր ռազմավարություններ ու գործողությունների ծրագրեր են ընդունվել և սկսել իրագործվել, որոնցից՝ հակակոռուպցիոն, պետական ֆինանսների կառավարման, թվայնացման, դատաիրավական բարեփոխումների և այլն: Կառավարության կողմից շրջանառվում է նաև հանրային կառավարման բարեփոխումների մինչև 2030 թվականը ռազմավարությունը:</w:t>
      </w:r>
    </w:p>
    <w:p w14:paraId="7FA89C0F"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 xml:space="preserve">Պետական կառավարման համակարգի մարմինների պահպանման ծախսերը ՀՀ 2022 թվականի բյուջեի նախագծում նախատեսելիս դրանք դիտարկվել են Կառավարության ծրագրով նախանշված ուղղությունների և նպատակների համապատասխանության տեսանկյունից, ինչպես նաև հաշվի են առնվել պետական կառավարման համակարգի ինստիտուցիոնալ բարեփոխումները՝ համաձայն առանձին ոլորտների ռազմավարական ծրագրերի: </w:t>
      </w:r>
    </w:p>
    <w:p w14:paraId="0277ECA1"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Մասնավորապես, ՀՀ կառավարության 2019թ. հոկտեմբերի 3-ի «Հայաստանի Հանրապետության հակակոռուպցիոն ռազմավարությունը և դրա իրականացման 2019-2022 թվականների միջոցառումների ծրագիրը հաստատելու մասին» որոշման դրույթներին համապատասխան, 2021 թվականի մարտի 24-ին ընդունվել է  «Հակակոռուպցիոն կոմիտեի մասին» ՀՕ-147-Ն օրենքը (այսուհետ՝ Օրենք), որից հետո դեռևս շարունակում են ընդունվել Հակակոռուպցիոն կոմիտեի (այսուհետ՝ Կոմիտե) ստեղծման և ձևավորման հետ կապված, ինչպես նաև գործունեության ոլորտը կարգավորող մի շարք իրավական ակտեր: Այդ կապակցությամբ, 2022 թվականի պետական բյուջեի նախագիծը կազմելիս հաշվի են առնվում Կոմիտեի ստեղծման և աշխատակազմի ձևավորման հետ կապված վերը նշված բոլոր կարգավորումները: Միաժամանակ, Օրենքի 48-րդ հոդվածի 20-րդ մասի համաձայն՝ օրենքն ուժի մեջ մտնելու օրվանից ուժը կորցրած է ճանաչվում 2007 թվականի նոյեմբերի 28-ին ընդունված «Հատուկ քննչական ծառայության մասին» ՀՕ-255-Ն օրենքը, և դադարեցված է համարվում հատուկ քննչական ծառայության գործունեությունը:</w:t>
      </w:r>
    </w:p>
    <w:p w14:paraId="4DBD95A8"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Միաժամանակ, ինչպես վերոհիշյալ ռազմավարությամբ, այնպես էլ Կառավարության ծրագրով ամրագրված է հակաոռուպցիոն համակարգի մարմինների ստեղծման անհրաժեշտությունը, մասնավորապես, կոռուպցիայի դեմ պայքարի ինստիտուցիոնալ համակարգի կայացման և շարունակական զարգացման տեսանկյունից կարևորվում է նաև հակակոռուպցիոն մասնագիտացված դատարանների ստեղծումը, որոնք պետք է օգտվեն բավարար մարդկային, վարչական և նյութական ռեսուրսներից, ինչը կհանգեցնի մասնագիտացված դատավորների կողմից գործերի առավել որակյալ, բազմակողմանի և արդյունավետ լուծմանը:</w:t>
      </w:r>
    </w:p>
    <w:p w14:paraId="7D233E93"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Այս կապակցությամբ Դատական օրենսգրքում կատարված փոփոխության արդյունքում մինչդատական քրեական վարույթի գործերի, ինչպես նաև կոռուպցիոն հանցագործությունների հետ կապված գործերի քննության համար ավելացվել է դատավորների թվակազմը ընդամենը 59 դատավորով։</w:t>
      </w:r>
    </w:p>
    <w:p w14:paraId="4C247780"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Ստորև ներկայացվում են պետական կառավարման համակարգին առնչվող օրենսդրական և իրավական այն կարգավորումները, որոնք անմիջականորեն որոշակի ազդեցություն են ունեցել 2022 թվականի պետական կառավարման համակարգի պահպանման ծախսերի գծով միջոցառումների ձևավորման և դրանց ծրագրավորման վրա:</w:t>
      </w:r>
    </w:p>
    <w:p w14:paraId="2E094B22"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«Սոցիալական աջակցության մասին» օրենքում 2020թ. մարտի 4-ի ՀՕ-97-Ն օրենքով կատարված փոփոխությունների համաձայն՝ ծառայություններ մատուցող մարմինները սոցիալական աջակցության բնագավառում Հայաստանի Հանրապետության կառավարության լիազորած պետական մարմնի (ՀՀ աշխատանքի և սոցիալական հարցերի նախարարության) ենթակա մարմնի (Միասնական սոցիալական ծառայության) տարածքային ստորաբաժանումներն են, այսինքն՝ օրենքով սահմանվել է, որ սոցիալական ծառայություններ կարող են մատուցել միայն նախարարության ենթակա մարմնի ստորաբաժանումները։</w:t>
      </w:r>
    </w:p>
    <w:p w14:paraId="359424D4"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Սոցիալական աջակցության տարածքային մարմինները մարզպետարանների և համայնքների ենթակայությունից ՀՀ աշխատանքի և սոցիալական հարցերի նախարարության ենթակայության ներքո տեղափոխելու նպատակով համատասխան փոփոփություններ են կատարվել «Սոցիալական աջակցության մասին», «Տեղական ինքնակառավարման մասին» և «Երևան քաղաքում տեղական ինքնակառավարման մասին» ՀՀ օրենքներում և ՀՀ Ընտանեկան օրենսգրքում: Նշված համատեքստում իրականացվեց սոցիալական ծառայություններ մատուցող մարմինների կառուցվածքագործառույթային ինտեգրում։ Արդյունքում, սոցիալական պաշտպանության ոլորտի բոլոր 4 մարմինները  (ՀՀ աշխատանքի և սոցիալական հարցերի նախարարության սոցիալական ապահովության ծառայություն, բժշկասոցիալական փորձաքննության, զբաղվածության պետական գրասենյակներ և մարզային ենթակայության սոցիալական աջակցության 38 գործակալություններ և համայնքային ենթակայության սոցիալական աջակցության 17 բաժիններ) միավորցին մեկ մարմնում՝ Միասնական սոցիալական  ծառայությունում՝ նախկինում գործող Սոցիալական ապահովության ծառայության հիմքի վրա, և Միասնական սոցիալական ծառայությանը վերապահվել է վերոգրյալ բոլոր 4 մարմինների գործառույթները:</w:t>
      </w:r>
    </w:p>
    <w:p w14:paraId="0F55ABD1"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 xml:space="preserve">Հայաստանի Հանրապետության կառավարության 2019 թվականի հոկտեմբերի 3-ի «Հայաստանի Հանրապետության հակակոռուպցիոն ռազմավարությունը և դրա իրականացման 2019-2022 թվականների միջոցառումների ծրագիրը հաստատելու մասին» N 1332-Ն որոշման միջոցառումների ծրագրի 1-ին կետի կարգավորումներով և «Կուսակցությունների մասին» սահմանադրական օրենքում և հարակից օրենքներում փոփոխություններ և լրացումներ կատարելու մասին» Հայաստանի Հանրապետության օրենքների նախագծերով, ինչպես նաև այլ իրավական ակտերով ընդլայնվել է Կոռուպցիայի կանխարգելման հանձնաժողովի լիազորությունների շրջանակը: Մասնավորապես, «Հանրային ծառայության մասին» օրենքում կատարված լրացումների արդյունքում ընդլայնվել է գույքի, եկամուտների, շահերի և ծախսերի հայտարարագիր ներկայացնող անձանց շրջանակը։ Բացի այդ, «Կուսակցությունների մասին» սահմանադրական օրենքում կատարված փոփոխությունների համաձայն կուսակցության մշտապես գործող ղեկավար մարմնի անդամները, իսկ այլ ղեկավար մարմինների դեպքում՝ այդ մարմնի անդամները պարտավոր են Կոռուպցիայի կանխարգելման հանձնաժողով ներկայացնել իրենց գույքի և եկամուտների հայտարարագիր։  </w:t>
      </w:r>
    </w:p>
    <w:p w14:paraId="64AD1963"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«Թմրամիջոցների և հոգեմետ (հոգեներգործուն) նյութերի մասին» օրենքում լրացումներ և փոփոխություններ կատարելու մասին» օրենով արտադրական կանեփի օրինական շրջանառության նկատմամբ վերահսկողության լիազորությունը վերապահվել է ՀՀ շուկայի վերահսկողության տեսչական մարմնին, իսկ «Վարչական իրավախախտումների վերաբերյալ» օրենքում կատարված լրացման արդյունքում արտադրական կանեփի օրինական շրջանառության վերաբերյալ գործերը քննում և վարչական տույժեր է նշանակում ՀՀ շուկայի վերահսկողության տեսչական մարմինը:</w:t>
      </w:r>
    </w:p>
    <w:p w14:paraId="5FB3C819"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ՀՀ շուկայի վերահսկողության տեսչական մարմնին վերապահված նոր լիազորությունները ամրագրվել են կանոնադրությամբ, ստեղծելով նաև համապատասխան կառուցվածքային ստորաբաժանումներ:</w:t>
      </w:r>
    </w:p>
    <w:p w14:paraId="0F105ED2"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«Պետական սահմանի մասին» օրենքում կատարված լրացումների արդյունքում սահմանվել է, որ պետական սահմանի անցման կետերում ավտոտրանսպորտային օրենսդրության պահպանման նկատմամբ վերահսկողությունն իրականացնում է տրանսպորտի բնագավառում վերահսկողություն իրականացնող տեսչական մարմինը՝ ՀՀ քաղաքաշինության, տեխնիկական և հրդեհային անվտանգության տեսչական մարմինը:</w:t>
      </w:r>
    </w:p>
    <w:p w14:paraId="02125BCF"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2021 թվականի հունվարի 19-ին ընդունվել է «Քաղաքացիական կացության ակտերի գրանցման մասին» օրենքը, որի պահանջներին համապատասխան կատարվել են համակարգային բարեփոխումներ և քաղաքացիական կացության ակտերի գրանցման հետ կապված գործառույթների կատարման համար տեղական ինքնակառավարման մարմիններում ստեղծվել են սպասարկման կենտրոններ՝ ՔԿԱԳ տարածքային մարմինների փոխարեն, ինչպես նաև ՀՀ կառավարության 2021 թվականի սեպտեմբերի 16-ին N 1531-Ն որոշմամբ հաստատվել է սպասարկման կենտրոնների նստավայրերի ցանկը և հաստիքային միավորների թիվը:</w:t>
      </w:r>
    </w:p>
    <w:p w14:paraId="1558CC8C" w14:textId="77777777" w:rsidR="00A3274E" w:rsidRPr="00A3274E" w:rsidRDefault="00A3274E" w:rsidP="00A3274E">
      <w:pPr>
        <w:spacing w:line="276" w:lineRule="auto"/>
        <w:ind w:firstLine="720"/>
        <w:rPr>
          <w:rFonts w:eastAsia="Calibri"/>
          <w:b w:val="0"/>
          <w:color w:val="000000" w:themeColor="text1"/>
          <w:szCs w:val="22"/>
          <w:lang w:val="hy-AM"/>
        </w:rPr>
      </w:pPr>
      <w:r w:rsidRPr="00A3274E">
        <w:rPr>
          <w:rFonts w:eastAsia="Calibri"/>
          <w:b w:val="0"/>
          <w:color w:val="000000" w:themeColor="text1"/>
          <w:szCs w:val="22"/>
          <w:lang w:val="hy-AM"/>
        </w:rPr>
        <w:t>ՀՀ կառավարության 2021 թվականի ապրիլի 15-ի N 554-Ա որոշմամբ Իրանի Իսլամական Հանրապետությունում ստեղծվել է Հայաստանի Հանրապետության առևտրական կցորդի հաստիք:</w:t>
      </w:r>
    </w:p>
    <w:p w14:paraId="0AABE11F" w14:textId="77777777" w:rsidR="00A3274E" w:rsidRPr="00B14A4A" w:rsidRDefault="00A3274E" w:rsidP="00A3274E">
      <w:pPr>
        <w:spacing w:line="276" w:lineRule="auto"/>
        <w:ind w:firstLine="720"/>
        <w:rPr>
          <w:rFonts w:eastAsia="Calibri"/>
          <w:color w:val="000000" w:themeColor="text1"/>
          <w:szCs w:val="22"/>
          <w:lang w:val="hy-AM"/>
        </w:rPr>
      </w:pPr>
    </w:p>
    <w:p w14:paraId="7EE80699" w14:textId="77777777" w:rsidR="00A3274E" w:rsidRPr="00B14A4A" w:rsidRDefault="00A3274E" w:rsidP="00A3274E">
      <w:pPr>
        <w:spacing w:line="276" w:lineRule="auto"/>
        <w:ind w:firstLine="720"/>
        <w:jc w:val="center"/>
        <w:rPr>
          <w:rFonts w:eastAsia="Calibri"/>
          <w:b w:val="0"/>
          <w:szCs w:val="22"/>
          <w:lang w:val="hy-AM"/>
        </w:rPr>
      </w:pPr>
      <w:r w:rsidRPr="00B14A4A">
        <w:rPr>
          <w:rFonts w:eastAsia="Calibri"/>
          <w:szCs w:val="22"/>
          <w:lang w:val="hy-AM"/>
        </w:rPr>
        <w:t>Պետական կառավարման համակարգի մարմինների պահպանման ծախսերի ծրագրավորման առանձնահատկությունները</w:t>
      </w:r>
    </w:p>
    <w:p w14:paraId="26521F75"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Պետական կառավարման համակարգի մարմինների պահպանման ծախսերը ՀՀ 2022 թվականի պե</w:t>
      </w:r>
      <w:r w:rsidRPr="00A3274E">
        <w:rPr>
          <w:rFonts w:eastAsia="Calibri"/>
          <w:b w:val="0"/>
          <w:szCs w:val="22"/>
          <w:lang w:val="hy-AM"/>
        </w:rPr>
        <w:softHyphen/>
      </w:r>
      <w:r w:rsidRPr="00A3274E">
        <w:rPr>
          <w:rFonts w:eastAsia="Calibri"/>
          <w:b w:val="0"/>
          <w:szCs w:val="22"/>
          <w:lang w:val="hy-AM"/>
        </w:rPr>
        <w:softHyphen/>
        <w:t>տա</w:t>
      </w:r>
      <w:r w:rsidRPr="00A3274E">
        <w:rPr>
          <w:rFonts w:eastAsia="Calibri"/>
          <w:b w:val="0"/>
          <w:szCs w:val="22"/>
          <w:lang w:val="hy-AM"/>
        </w:rPr>
        <w:softHyphen/>
      </w:r>
      <w:r w:rsidRPr="00A3274E">
        <w:rPr>
          <w:rFonts w:eastAsia="Calibri"/>
          <w:b w:val="0"/>
          <w:szCs w:val="22"/>
          <w:lang w:val="hy-AM"/>
        </w:rPr>
        <w:softHyphen/>
      </w:r>
      <w:r w:rsidRPr="00A3274E">
        <w:rPr>
          <w:rFonts w:eastAsia="Calibri"/>
          <w:b w:val="0"/>
          <w:szCs w:val="22"/>
          <w:lang w:val="hy-AM"/>
        </w:rPr>
        <w:softHyphen/>
      </w:r>
      <w:r w:rsidRPr="00A3274E">
        <w:rPr>
          <w:rFonts w:eastAsia="Calibri"/>
          <w:b w:val="0"/>
          <w:szCs w:val="22"/>
          <w:lang w:val="hy-AM"/>
        </w:rPr>
        <w:softHyphen/>
        <w:t>կան բյուջեի նախագծում գլխավորապես ծրագրավորվել են հիմք ընդունելով ՀՀ կառավա</w:t>
      </w:r>
      <w:r w:rsidRPr="00A3274E">
        <w:rPr>
          <w:rFonts w:eastAsia="Calibri"/>
          <w:b w:val="0"/>
          <w:szCs w:val="22"/>
          <w:lang w:val="hy-AM"/>
        </w:rPr>
        <w:softHyphen/>
        <w:t>րու</w:t>
      </w:r>
      <w:r w:rsidRPr="00A3274E">
        <w:rPr>
          <w:rFonts w:eastAsia="Calibri"/>
          <w:b w:val="0"/>
          <w:szCs w:val="22"/>
          <w:lang w:val="hy-AM"/>
        </w:rPr>
        <w:softHyphen/>
        <w:t>թյան 2021 թվականի հուլիսի 12-ի N</w:t>
      </w:r>
      <w:r w:rsidRPr="00A3274E">
        <w:rPr>
          <w:rFonts w:ascii="Calibri" w:eastAsia="Calibri" w:hAnsi="Calibri" w:cs="Calibri"/>
          <w:b w:val="0"/>
          <w:szCs w:val="22"/>
          <w:lang w:val="hy-AM"/>
        </w:rPr>
        <w:t> </w:t>
      </w:r>
      <w:r w:rsidRPr="00A3274E">
        <w:rPr>
          <w:rFonts w:eastAsia="Calibri"/>
          <w:b w:val="0"/>
          <w:szCs w:val="22"/>
          <w:lang w:val="hy-AM"/>
        </w:rPr>
        <w:t>1171-Ն որոշմամբ հաստատված Հայաստանի Հանրապետության 2022-2024 թվականների պետական միջ</w:t>
      </w:r>
      <w:r w:rsidRPr="00A3274E">
        <w:rPr>
          <w:rFonts w:eastAsia="Calibri"/>
          <w:b w:val="0"/>
          <w:szCs w:val="22"/>
          <w:lang w:val="hy-AM"/>
        </w:rPr>
        <w:softHyphen/>
      </w:r>
      <w:r w:rsidRPr="00A3274E">
        <w:rPr>
          <w:rFonts w:eastAsia="Calibri"/>
          <w:b w:val="0"/>
          <w:szCs w:val="22"/>
          <w:lang w:val="hy-AM"/>
        </w:rPr>
        <w:softHyphen/>
      </w:r>
      <w:r w:rsidRPr="00A3274E">
        <w:rPr>
          <w:rFonts w:eastAsia="Calibri"/>
          <w:b w:val="0"/>
          <w:szCs w:val="22"/>
          <w:lang w:val="hy-AM"/>
        </w:rPr>
        <w:softHyphen/>
        <w:t>նա</w:t>
      </w:r>
      <w:r w:rsidRPr="00A3274E">
        <w:rPr>
          <w:rFonts w:eastAsia="Calibri"/>
          <w:b w:val="0"/>
          <w:szCs w:val="22"/>
          <w:lang w:val="hy-AM"/>
        </w:rPr>
        <w:softHyphen/>
      </w:r>
      <w:r w:rsidRPr="00A3274E">
        <w:rPr>
          <w:rFonts w:eastAsia="Calibri"/>
          <w:b w:val="0"/>
          <w:szCs w:val="22"/>
          <w:lang w:val="hy-AM"/>
        </w:rPr>
        <w:softHyphen/>
        <w:t xml:space="preserve">ժամկետ ծախսերի ծրագրային ցուցանիշները, ինչպես նաև, ըստ անհրաժեշտության, կատարվել են փոփոխություններ՝ պայմանավորված միջնաժամկետ ծախսերի ծրագրի ընդունումից հետո պահպանման ծախսերին առնչվող օրենսդրական և իրավական ակտերում կատարված փոփոխություններով: </w:t>
      </w:r>
    </w:p>
    <w:p w14:paraId="378D995B"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 xml:space="preserve">ՀՀ 2022 թվականի պետական բյուջեի նախագծում պետական կառավարման համակարգի մարմինների պահպանման ծախսերը հաշվարկելիս հաշվի են առնվել կառուցվածքային և գործառութային կարգավորումների արդյունքում ՀՀ վարչապետի որոշմամբ հաստատված համապատասխան մարմինների աշխատողների առավելագույն թվաքանակի փոփոխությունները։ </w:t>
      </w:r>
    </w:p>
    <w:p w14:paraId="4E410755"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ՀՀ 2022 թվականի պետական բյուջեի նախագծում պետական մարմինների պահպանման ծախսերը հաշվարկվել են հիմք ընդունելով 20185 հաստիքային միավորների քանակը, որը 2021 թվականի համեմատ ավելացել է 748 միավորով: Թվաքանակի փոփոխությունը հիմնականում պայմանավորված է օրենսդրական կարգավորումներով, ինչպես նաև պետական մարմինների գործառույթների և կառուցվածքների օպտիմալացմամբ։</w:t>
      </w:r>
    </w:p>
    <w:p w14:paraId="2FC32876"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ՀՀ պետական մարմինների աշխատողների թվաքանակի փոփոխությունը արտացոլված է սույն բացատրագրի N 2ա աղյուսակում:</w:t>
      </w:r>
    </w:p>
    <w:p w14:paraId="6CF415E0"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Ծախսերի ծրագրավորման սկզբունքները ըստ առանձին ծախսային ուղղու</w:t>
      </w:r>
      <w:r w:rsidRPr="00A3274E">
        <w:rPr>
          <w:rFonts w:eastAsia="Calibri"/>
          <w:b w:val="0"/>
          <w:szCs w:val="22"/>
          <w:lang w:val="hy-AM"/>
        </w:rPr>
        <w:softHyphen/>
        <w:t>թյունների.</w:t>
      </w:r>
    </w:p>
    <w:p w14:paraId="6AF81880"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Աշխատավարձի ֆոնդ</w:t>
      </w:r>
    </w:p>
    <w:p w14:paraId="4AD0D684"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Պետական կառավարման համակարգի մարմինների պահպանման ծախսերում աշխա</w:t>
      </w:r>
      <w:r w:rsidRPr="00A3274E">
        <w:rPr>
          <w:rFonts w:eastAsia="Calibri"/>
          <w:b w:val="0"/>
          <w:szCs w:val="22"/>
          <w:lang w:val="hy-AM"/>
        </w:rPr>
        <w:softHyphen/>
        <w:t>տավարձի ֆոնդում ներառվում են ինչպես աշխատողներին վճարվող հիմնական աշխատավարձերը, հավելումներն ու հավելավճարները, այնպես էլ պարգևատրման և դրամական խրախուսման համար օրենսդրությամբ նախատեսված միջոցները: Աշխատավարձի ֆոնդը հաշվարկվել է «Պետական պաշտոններ և պետական ծառայության պաշտոններ զբաղեցնող անձանց վարձատրության մասին» ՀՀ օրենքի դրույթներին և ՀՀ կառավարության 2014 թվականի հուլիսի 3-ի «Պետական իշխանության մարմիններում քաղաքա</w:t>
      </w:r>
      <w:r w:rsidRPr="00A3274E">
        <w:rPr>
          <w:rFonts w:eastAsia="Calibri"/>
          <w:b w:val="0"/>
          <w:szCs w:val="22"/>
          <w:lang w:val="hy-AM"/>
        </w:rPr>
        <w:softHyphen/>
        <w:t>ցիական աշխատանք կատարող և տեխնիկական սպասարկում իրականացնող անձանց պաշտո</w:t>
      </w:r>
      <w:r w:rsidRPr="00A3274E">
        <w:rPr>
          <w:rFonts w:eastAsia="Calibri"/>
          <w:b w:val="0"/>
          <w:szCs w:val="22"/>
          <w:lang w:val="hy-AM"/>
        </w:rPr>
        <w:softHyphen/>
      </w:r>
      <w:r w:rsidRPr="00A3274E">
        <w:rPr>
          <w:rFonts w:eastAsia="Calibri"/>
          <w:b w:val="0"/>
          <w:szCs w:val="22"/>
          <w:lang w:val="hy-AM"/>
        </w:rPr>
        <w:softHyphen/>
        <w:t>նային դրույքաչափերը սահմանելու մասին» N 737-Ն որոշման պահանջներին համապատասխան։</w:t>
      </w:r>
    </w:p>
    <w:p w14:paraId="48C27512"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2022 թվականի համար աշխատավարձի ֆոնդի հաշվարկման հիմքում բազային աշխա</w:t>
      </w:r>
      <w:r w:rsidRPr="00A3274E">
        <w:rPr>
          <w:rFonts w:eastAsia="Calibri"/>
          <w:b w:val="0"/>
          <w:szCs w:val="22"/>
          <w:lang w:val="hy-AM"/>
        </w:rPr>
        <w:softHyphen/>
        <w:t xml:space="preserve">տավարձի չափ է ընդունվել 66140.0 դրամը: </w:t>
      </w:r>
    </w:p>
    <w:p w14:paraId="67121BB0"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Աշխատավարձի ֆոնդը ծրագրավորվել է հաշ</w:t>
      </w:r>
      <w:r w:rsidRPr="00A3274E">
        <w:rPr>
          <w:rFonts w:eastAsia="Calibri"/>
          <w:b w:val="0"/>
          <w:szCs w:val="22"/>
          <w:lang w:val="hy-AM"/>
        </w:rPr>
        <w:softHyphen/>
        <w:t>վի առ</w:t>
      </w:r>
      <w:r w:rsidRPr="00A3274E">
        <w:rPr>
          <w:rFonts w:eastAsia="Calibri"/>
          <w:b w:val="0"/>
          <w:szCs w:val="22"/>
          <w:lang w:val="hy-AM"/>
        </w:rPr>
        <w:softHyphen/>
        <w:t>նե</w:t>
      </w:r>
      <w:r w:rsidRPr="00A3274E">
        <w:rPr>
          <w:rFonts w:eastAsia="Calibri"/>
          <w:b w:val="0"/>
          <w:szCs w:val="22"/>
          <w:lang w:val="hy-AM"/>
        </w:rPr>
        <w:softHyphen/>
        <w:t>լով՝ պետական պաշտոն զբաղեցնող անձանց պաշտոնային դրույքաչափերի նկատմամբ գործող օրենսդրությամբ նախա</w:t>
      </w:r>
      <w:r w:rsidRPr="00A3274E">
        <w:rPr>
          <w:rFonts w:eastAsia="Calibri"/>
          <w:b w:val="0"/>
          <w:szCs w:val="22"/>
          <w:lang w:val="hy-AM"/>
        </w:rPr>
        <w:softHyphen/>
        <w:t>տեսված հավելավճարները (դասային, դիվանագիտական աստիճանների, կոչման, աշխատանքային ստա</w:t>
      </w:r>
      <w:r w:rsidRPr="00A3274E">
        <w:rPr>
          <w:rFonts w:eastAsia="Calibri"/>
          <w:b w:val="0"/>
          <w:szCs w:val="22"/>
          <w:lang w:val="hy-AM"/>
        </w:rPr>
        <w:softHyphen/>
        <w:t xml:space="preserve">ժի և այլն), հավելումները (բարձր լեռնային, ծանր, վնասակար աշխատանքների համար և այլն) և պետական ծառայողների հիմնական աշխատավարձի բնականոն աճերը, ինչպես նաև ՀՀ օրենսդրությամբ սահմանված նվազագույն աշխատավարձի չափը չգերազանցող աշխատավարձ ստացողների համար՝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վճարի գումարը </w:t>
      </w:r>
      <w:bookmarkStart w:id="297" w:name="_Hlk51424056"/>
      <w:r w:rsidRPr="00A3274E">
        <w:rPr>
          <w:rFonts w:eastAsia="Calibri"/>
          <w:b w:val="0"/>
          <w:szCs w:val="22"/>
          <w:lang w:val="hy-AM"/>
        </w:rPr>
        <w:t>և «Նվազագույն ամսական աշխատավարձի մասին» ՀՀ</w:t>
      </w:r>
      <w:bookmarkEnd w:id="297"/>
      <w:r w:rsidRPr="00A3274E">
        <w:rPr>
          <w:rFonts w:eastAsia="Calibri"/>
          <w:b w:val="0"/>
          <w:szCs w:val="22"/>
          <w:lang w:val="hy-AM"/>
        </w:rPr>
        <w:t xml:space="preserve"> օրենքի պահանջները:</w:t>
      </w:r>
    </w:p>
    <w:p w14:paraId="3CBD1B36"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Աշխատավարձի ֆոնդում նախատեսվել է նաև հանրային ծառայողների պարգևատրման ֆոնդ` նրանց 2021 թվականի տարեկան աշխատավարձի ֆոնդի 10 տոկոսի չափով: Միաժամանակ, պետական կառավարման համակարգի մարմինների պահպանման ծախսերում նախատեսված պարգևատրման գումարները հաշվարկվել են աշխատավարձի տարեկան ֆոնդի 30%-ի չափով (ներառյալ պետական ծառայողների պարգևատրումը):</w:t>
      </w:r>
    </w:p>
    <w:p w14:paraId="3DC9AC27"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 xml:space="preserve"> Էներգետիկ ծառայությունների` էլեկտրաէներգիայի, վառելիքի և ջեռուցման ծախսերը ծրագրավորվել են ՀՀ կառա</w:t>
      </w:r>
      <w:r w:rsidRPr="00A3274E">
        <w:rPr>
          <w:rFonts w:eastAsia="Calibri"/>
          <w:b w:val="0"/>
          <w:szCs w:val="22"/>
          <w:lang w:val="hy-AM"/>
        </w:rPr>
        <w:softHyphen/>
        <w:t>վարության 2005 թվականի ապրիլի 28-ի «Հայաստանի Հանրա</w:t>
      </w:r>
      <w:r w:rsidRPr="00A3274E">
        <w:rPr>
          <w:rFonts w:eastAsia="Calibri"/>
          <w:b w:val="0"/>
          <w:szCs w:val="22"/>
          <w:lang w:val="hy-AM"/>
        </w:rPr>
        <w:softHyphen/>
        <w:t>պետության պետական բյուջեի նախագծում Հայաստանի Հանրապետության պետական մար</w:t>
      </w:r>
      <w:r w:rsidRPr="00A3274E">
        <w:rPr>
          <w:rFonts w:eastAsia="Calibri"/>
          <w:b w:val="0"/>
          <w:szCs w:val="22"/>
          <w:lang w:val="hy-AM"/>
        </w:rPr>
        <w:softHyphen/>
        <w:t>մինների գծով բյուջե</w:t>
      </w:r>
      <w:r w:rsidRPr="00A3274E">
        <w:rPr>
          <w:rFonts w:eastAsia="Calibri"/>
          <w:b w:val="0"/>
          <w:szCs w:val="22"/>
          <w:lang w:val="hy-AM"/>
        </w:rPr>
        <w:softHyphen/>
        <w:t>տային ծախ</w:t>
      </w:r>
      <w:r w:rsidRPr="00A3274E">
        <w:rPr>
          <w:rFonts w:eastAsia="Calibri"/>
          <w:b w:val="0"/>
          <w:szCs w:val="22"/>
          <w:lang w:val="hy-AM"/>
        </w:rPr>
        <w:softHyphen/>
        <w:t>սե</w:t>
      </w:r>
      <w:r w:rsidRPr="00A3274E">
        <w:rPr>
          <w:rFonts w:eastAsia="Calibri"/>
          <w:b w:val="0"/>
          <w:szCs w:val="22"/>
          <w:lang w:val="hy-AM"/>
        </w:rPr>
        <w:softHyphen/>
        <w:t>րի առանձին տեսակների ջեռուցման, վառելիքի և էլեկտրա</w:t>
      </w:r>
      <w:r w:rsidRPr="00A3274E">
        <w:rPr>
          <w:rFonts w:eastAsia="Calibri"/>
          <w:b w:val="0"/>
          <w:szCs w:val="22"/>
          <w:lang w:val="hy-AM"/>
        </w:rPr>
        <w:softHyphen/>
        <w:t>էներգիայի ձեռք</w:t>
      </w:r>
      <w:r w:rsidRPr="00A3274E">
        <w:rPr>
          <w:rFonts w:eastAsia="Calibri"/>
          <w:b w:val="0"/>
          <w:szCs w:val="22"/>
          <w:lang w:val="hy-AM"/>
        </w:rPr>
        <w:softHyphen/>
        <w:t>բերման ծա</w:t>
      </w:r>
      <w:r w:rsidRPr="00A3274E">
        <w:rPr>
          <w:rFonts w:eastAsia="Calibri"/>
          <w:b w:val="0"/>
          <w:szCs w:val="22"/>
          <w:lang w:val="hy-AM"/>
        </w:rPr>
        <w:softHyphen/>
        <w:t>վալ</w:t>
      </w:r>
      <w:r w:rsidRPr="00A3274E">
        <w:rPr>
          <w:rFonts w:eastAsia="Calibri"/>
          <w:b w:val="0"/>
          <w:szCs w:val="22"/>
          <w:lang w:val="hy-AM"/>
        </w:rPr>
        <w:softHyphen/>
        <w:t>ների հաշվարկման հիմքում դրվող նորմաները հաս</w:t>
      </w:r>
      <w:r w:rsidRPr="00A3274E">
        <w:rPr>
          <w:rFonts w:eastAsia="Calibri"/>
          <w:b w:val="0"/>
          <w:szCs w:val="22"/>
          <w:lang w:val="hy-AM"/>
        </w:rPr>
        <w:softHyphen/>
        <w:t>տատելու մասին» N 629-Ն որոշ</w:t>
      </w:r>
      <w:r w:rsidRPr="00A3274E">
        <w:rPr>
          <w:rFonts w:eastAsia="Calibri"/>
          <w:b w:val="0"/>
          <w:szCs w:val="22"/>
          <w:lang w:val="hy-AM"/>
        </w:rPr>
        <w:softHyphen/>
        <w:t>ման պա</w:t>
      </w:r>
      <w:r w:rsidRPr="00A3274E">
        <w:rPr>
          <w:rFonts w:eastAsia="Calibri"/>
          <w:b w:val="0"/>
          <w:szCs w:val="22"/>
          <w:lang w:val="hy-AM"/>
        </w:rPr>
        <w:softHyphen/>
        <w:t>հանջ</w:t>
      </w:r>
      <w:r w:rsidRPr="00A3274E">
        <w:rPr>
          <w:rFonts w:eastAsia="Calibri"/>
          <w:b w:val="0"/>
          <w:szCs w:val="22"/>
          <w:lang w:val="hy-AM"/>
        </w:rPr>
        <w:softHyphen/>
      </w:r>
      <w:r w:rsidRPr="00A3274E">
        <w:rPr>
          <w:rFonts w:eastAsia="Calibri"/>
          <w:b w:val="0"/>
          <w:szCs w:val="22"/>
          <w:lang w:val="hy-AM"/>
        </w:rPr>
        <w:softHyphen/>
        <w:t>նե</w:t>
      </w:r>
      <w:r w:rsidRPr="00A3274E">
        <w:rPr>
          <w:rFonts w:eastAsia="Calibri"/>
          <w:b w:val="0"/>
          <w:szCs w:val="22"/>
          <w:lang w:val="hy-AM"/>
        </w:rPr>
        <w:softHyphen/>
        <w:t>րին համապատասխան` հաշվի առնելով գործող սակագ</w:t>
      </w:r>
      <w:r w:rsidRPr="00A3274E">
        <w:rPr>
          <w:rFonts w:eastAsia="Calibri"/>
          <w:b w:val="0"/>
          <w:szCs w:val="22"/>
          <w:lang w:val="hy-AM"/>
        </w:rPr>
        <w:softHyphen/>
        <w:t>ները։ Բնական գազի սակագինը սահ</w:t>
      </w:r>
      <w:r w:rsidRPr="00A3274E">
        <w:rPr>
          <w:rFonts w:eastAsia="Calibri"/>
          <w:b w:val="0"/>
          <w:szCs w:val="22"/>
          <w:lang w:val="hy-AM"/>
        </w:rPr>
        <w:softHyphen/>
        <w:t>ման</w:t>
      </w:r>
      <w:r w:rsidRPr="00A3274E">
        <w:rPr>
          <w:rFonts w:eastAsia="Calibri"/>
          <w:b w:val="0"/>
          <w:szCs w:val="22"/>
          <w:lang w:val="hy-AM"/>
        </w:rPr>
        <w:softHyphen/>
        <w:t>վել է Հանրային ծառայությունները կարգավորող հանձնաժողովի 2020 թվականի հունիսի 19-ի N</w:t>
      </w:r>
      <w:r w:rsidRPr="00A3274E">
        <w:rPr>
          <w:rFonts w:ascii="Calibri" w:eastAsia="Calibri" w:hAnsi="Calibri" w:cs="Calibri"/>
          <w:b w:val="0"/>
          <w:szCs w:val="22"/>
          <w:lang w:val="hy-AM"/>
        </w:rPr>
        <w:t> </w:t>
      </w:r>
      <w:r w:rsidRPr="00A3274E">
        <w:rPr>
          <w:rFonts w:eastAsia="Calibri"/>
          <w:b w:val="0"/>
          <w:szCs w:val="22"/>
          <w:lang w:val="hy-AM"/>
        </w:rPr>
        <w:t>221-Ն որոշմամբ (յուրաքանչյուր հազար խորանարդ մետր բնական գազի սակագինը՝ ամսական մինչև 10 հազար խորանարդ մետր բնական գազի համար՝ 139000 դրամ է, իսկ ամսական 10 հազար խորանարդ մետրը գերազանցող բնական գազի համար` 255.91 ԱՄՆ դոլարին համարժեք դրամ)։ Հանրային ծառայությունները կարգավորող հանձնաժողովի 2020 թվականի դեկտեմբերի 29-ի N 488-Ն որոշմամբ էլեկտրաէներգիայի սակագինը սահմանվել է 47.98 դրամ՝ 44.98 դրամի փոխարեն: Էլեկտրա</w:t>
      </w:r>
      <w:r w:rsidRPr="00A3274E">
        <w:rPr>
          <w:rFonts w:eastAsia="Calibri"/>
          <w:b w:val="0"/>
          <w:szCs w:val="22"/>
          <w:lang w:val="hy-AM"/>
        </w:rPr>
        <w:softHyphen/>
        <w:t>էներգիայի ծախ</w:t>
      </w:r>
      <w:r w:rsidRPr="00A3274E">
        <w:rPr>
          <w:rFonts w:eastAsia="Calibri"/>
          <w:b w:val="0"/>
          <w:szCs w:val="22"/>
          <w:lang w:val="hy-AM"/>
        </w:rPr>
        <w:softHyphen/>
        <w:t>սերը ծրագրավոր</w:t>
      </w:r>
      <w:r w:rsidRPr="00A3274E">
        <w:rPr>
          <w:rFonts w:eastAsia="Calibri"/>
          <w:b w:val="0"/>
          <w:szCs w:val="22"/>
          <w:lang w:val="hy-AM"/>
        </w:rPr>
        <w:softHyphen/>
        <w:t>վել են սահմանված նոր</w:t>
      </w:r>
      <w:r w:rsidRPr="00A3274E">
        <w:rPr>
          <w:rFonts w:eastAsia="Calibri"/>
          <w:b w:val="0"/>
          <w:szCs w:val="22"/>
          <w:lang w:val="hy-AM"/>
        </w:rPr>
        <w:softHyphen/>
        <w:t xml:space="preserve">մաներով հաշվարկվածի 65%-ի չափով: </w:t>
      </w:r>
    </w:p>
    <w:p w14:paraId="7CDE1D38"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Պետական մարմին</w:t>
      </w:r>
      <w:r w:rsidRPr="00A3274E">
        <w:rPr>
          <w:rFonts w:eastAsia="Calibri"/>
          <w:b w:val="0"/>
          <w:szCs w:val="22"/>
          <w:lang w:val="hy-AM"/>
        </w:rPr>
        <w:softHyphen/>
        <w:t>ների կողմից խմելու ջրի մատակարարման և ջրահեռացման ծառայություն</w:t>
      </w:r>
      <w:r w:rsidRPr="00A3274E">
        <w:rPr>
          <w:rFonts w:eastAsia="Calibri"/>
          <w:b w:val="0"/>
          <w:szCs w:val="22"/>
          <w:lang w:val="hy-AM"/>
        </w:rPr>
        <w:softHyphen/>
        <w:t>ներից օգտվելու վարձի վճարման ծախսերը հաշվարկվել են գործող սակագներով՝ հիմք ընդունելով յուրաքանչյուր հաստիքային միավորի համար սահման</w:t>
      </w:r>
      <w:r w:rsidRPr="00A3274E">
        <w:rPr>
          <w:rFonts w:eastAsia="Calibri"/>
          <w:b w:val="0"/>
          <w:szCs w:val="22"/>
          <w:lang w:val="hy-AM"/>
        </w:rPr>
        <w:softHyphen/>
        <w:t>ված նորմատիվը` օրական 30 լիտր (հիմք ՀՀ կառավարության 23.09.2004թ. N 1536-Ն որոշում): Բացի այդ, ՀՀ դատարան</w:t>
      </w:r>
      <w:r w:rsidRPr="00A3274E">
        <w:rPr>
          <w:rFonts w:eastAsia="Calibri"/>
          <w:b w:val="0"/>
          <w:szCs w:val="22"/>
          <w:lang w:val="hy-AM"/>
        </w:rPr>
        <w:softHyphen/>
        <w:t>ների համար ՀՀ կառավարության 2005 թվականի մայիսի 12-ի N 732-Ա որոշման պահանջ</w:t>
      </w:r>
      <w:r w:rsidRPr="00A3274E">
        <w:rPr>
          <w:rFonts w:eastAsia="Calibri"/>
          <w:b w:val="0"/>
          <w:szCs w:val="22"/>
          <w:lang w:val="hy-AM"/>
        </w:rPr>
        <w:softHyphen/>
        <w:t>ներին համապատասխան նախատեսվել է նաև լրացուցիչ ծախս` ելնելով դատական նիստերի դահլիճների ընդհանուր մակերեսի մեծու</w:t>
      </w:r>
      <w:r w:rsidRPr="00A3274E">
        <w:rPr>
          <w:rFonts w:eastAsia="Calibri"/>
          <w:b w:val="0"/>
          <w:szCs w:val="22"/>
          <w:lang w:val="hy-AM"/>
        </w:rPr>
        <w:softHyphen/>
        <w:t xml:space="preserve">թյունից: </w:t>
      </w:r>
    </w:p>
    <w:p w14:paraId="7013F15D"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Կապի ծառայությունների վճարները հաշվարկվել են ՀՀ կառավարութ</w:t>
      </w:r>
      <w:r w:rsidRPr="00A3274E">
        <w:rPr>
          <w:rFonts w:eastAsia="Calibri"/>
          <w:b w:val="0"/>
          <w:szCs w:val="22"/>
          <w:lang w:val="hy-AM"/>
        </w:rPr>
        <w:softHyphen/>
        <w:t>յան 2004 թվա</w:t>
      </w:r>
      <w:r w:rsidRPr="00A3274E">
        <w:rPr>
          <w:rFonts w:eastAsia="Calibri"/>
          <w:b w:val="0"/>
          <w:szCs w:val="22"/>
          <w:lang w:val="hy-AM"/>
        </w:rPr>
        <w:softHyphen/>
      </w:r>
      <w:r w:rsidRPr="00A3274E">
        <w:rPr>
          <w:rFonts w:eastAsia="Calibri"/>
          <w:b w:val="0"/>
          <w:szCs w:val="22"/>
          <w:lang w:val="hy-AM"/>
        </w:rPr>
        <w:softHyphen/>
        <w:t>կանի սեպտեմբերի 23-ի «Հայաստանի Հանրապետության պետական մարմինների կա</w:t>
      </w:r>
      <w:r w:rsidRPr="00A3274E">
        <w:rPr>
          <w:rFonts w:eastAsia="Calibri"/>
          <w:b w:val="0"/>
          <w:szCs w:val="22"/>
          <w:lang w:val="hy-AM"/>
        </w:rPr>
        <w:softHyphen/>
        <w:t>պի և կոմունալ ծախսերի նորմաներ սահմանելու մասին» N 1536-Ն և ՀՀ կառավարության 2004 թվա</w:t>
      </w:r>
      <w:r w:rsidRPr="00A3274E">
        <w:rPr>
          <w:rFonts w:eastAsia="Calibri"/>
          <w:b w:val="0"/>
          <w:szCs w:val="22"/>
          <w:lang w:val="hy-AM"/>
        </w:rPr>
        <w:softHyphen/>
        <w:t>կանի դեկտեմբերի 30-ի «Հայաստանի Հանրապետության պետական մարմիններում կա</w:t>
      </w:r>
      <w:r w:rsidRPr="00A3274E">
        <w:rPr>
          <w:rFonts w:eastAsia="Calibri"/>
          <w:b w:val="0"/>
          <w:szCs w:val="22"/>
          <w:lang w:val="hy-AM"/>
        </w:rPr>
        <w:softHyphen/>
        <w:t>պի ծառա</w:t>
      </w:r>
      <w:r w:rsidRPr="00A3274E">
        <w:rPr>
          <w:rFonts w:eastAsia="Calibri"/>
          <w:b w:val="0"/>
          <w:szCs w:val="22"/>
          <w:lang w:val="hy-AM"/>
        </w:rPr>
        <w:softHyphen/>
        <w:t>յությունների նորմաները և հեռախոսակապից օգտվելու օրինակելի ներքին կա</w:t>
      </w:r>
      <w:r w:rsidRPr="00A3274E">
        <w:rPr>
          <w:rFonts w:eastAsia="Calibri"/>
          <w:b w:val="0"/>
          <w:szCs w:val="22"/>
          <w:lang w:val="hy-AM"/>
        </w:rPr>
        <w:softHyphen/>
        <w:t>նոն</w:t>
      </w:r>
      <w:r w:rsidRPr="00A3274E">
        <w:rPr>
          <w:rFonts w:eastAsia="Calibri"/>
          <w:b w:val="0"/>
          <w:szCs w:val="22"/>
          <w:lang w:val="hy-AM"/>
        </w:rPr>
        <w:softHyphen/>
        <w:t>ները հաստատելու մասին» N 1956-Ն որոշումների պահանջներին համապատասխան: 2022 թվականի համար հեռա</w:t>
      </w:r>
      <w:r w:rsidRPr="00A3274E">
        <w:rPr>
          <w:rFonts w:eastAsia="Calibri"/>
          <w:b w:val="0"/>
          <w:szCs w:val="22"/>
          <w:lang w:val="hy-AM"/>
        </w:rPr>
        <w:softHyphen/>
      </w:r>
      <w:r w:rsidRPr="00A3274E">
        <w:rPr>
          <w:rFonts w:eastAsia="Calibri"/>
          <w:b w:val="0"/>
          <w:szCs w:val="22"/>
          <w:lang w:val="hy-AM"/>
        </w:rPr>
        <w:softHyphen/>
        <w:t>խո</w:t>
      </w:r>
      <w:r w:rsidRPr="00A3274E">
        <w:rPr>
          <w:rFonts w:eastAsia="Calibri"/>
          <w:b w:val="0"/>
          <w:szCs w:val="22"/>
          <w:lang w:val="hy-AM"/>
        </w:rPr>
        <w:softHyphen/>
        <w:t>սային խոսակցությունների տարեկան սահմանաչափը ծրագրավորվել է սահման</w:t>
      </w:r>
      <w:r w:rsidRPr="00A3274E">
        <w:rPr>
          <w:rFonts w:eastAsia="Calibri"/>
          <w:b w:val="0"/>
          <w:szCs w:val="22"/>
          <w:lang w:val="hy-AM"/>
        </w:rPr>
        <w:softHyphen/>
        <w:t>ված նոր</w:t>
      </w:r>
      <w:r w:rsidRPr="00A3274E">
        <w:rPr>
          <w:rFonts w:eastAsia="Calibri"/>
          <w:b w:val="0"/>
          <w:szCs w:val="22"/>
          <w:lang w:val="hy-AM"/>
        </w:rPr>
        <w:softHyphen/>
        <w:t xml:space="preserve">մայի 30%-ի չափով: Կապի ծախսերը հաշվարկելիս հիմք են ընդունվել Հայաստանի Հանրապետությունում գործող կապի առանձին օպերատորների կողմից մատուցվող ծառայությունների սակագները՝ ըստ համապատասխան մարմինների հետ կնքված պայմանագրերի: Միաժամանակ, հաշվի է առնվել փոստային կապի ծառայությունների սակագնի բարձրացումը` համաձայն ՀԾԿՀ 2021թ. մարտի 31-ի N 94-Ն որոշման, որով սահմանվել են Հայփոստ ՓԲԸ-ի կողմից փոստային կապի ծառայությունների սակագները: </w:t>
      </w:r>
    </w:p>
    <w:p w14:paraId="481F7F16"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Ծառայողական գործուղումների գծով ծախսերը նախատեսվում են որոշակի գործառույթների իրականացումն ապահովելու նպատակով, իսկ ծախսերի հատուցումն իրականացվում է ՀՀ կառավարության 2005 թվականի դեկտեմբերի 29-ի N 2335-Ն որոշմամբ սահ</w:t>
      </w:r>
      <w:r w:rsidRPr="00A3274E">
        <w:rPr>
          <w:rFonts w:eastAsia="Calibri"/>
          <w:b w:val="0"/>
          <w:szCs w:val="22"/>
          <w:lang w:val="hy-AM"/>
        </w:rPr>
        <w:softHyphen/>
        <w:t>ման</w:t>
      </w:r>
      <w:r w:rsidRPr="00A3274E">
        <w:rPr>
          <w:rFonts w:eastAsia="Calibri"/>
          <w:b w:val="0"/>
          <w:szCs w:val="22"/>
          <w:lang w:val="hy-AM"/>
        </w:rPr>
        <w:softHyphen/>
        <w:t xml:space="preserve">ված նորմաներով: </w:t>
      </w:r>
    </w:p>
    <w:p w14:paraId="7B5B4408"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ՀՀ 2022 թվականի պետական բյուջեի նախագծում պահ</w:t>
      </w:r>
      <w:r w:rsidRPr="00A3274E">
        <w:rPr>
          <w:rFonts w:eastAsia="Calibri"/>
          <w:b w:val="0"/>
          <w:szCs w:val="22"/>
          <w:lang w:val="hy-AM"/>
        </w:rPr>
        <w:softHyphen/>
        <w:t>պանվել է պետական կառավարման համակարգի մարմինների արտա</w:t>
      </w:r>
      <w:r w:rsidRPr="00A3274E">
        <w:rPr>
          <w:rFonts w:eastAsia="Calibri"/>
          <w:b w:val="0"/>
          <w:szCs w:val="22"/>
          <w:lang w:val="hy-AM"/>
        </w:rPr>
        <w:softHyphen/>
        <w:t>սահ</w:t>
      </w:r>
      <w:r w:rsidRPr="00A3274E">
        <w:rPr>
          <w:rFonts w:eastAsia="Calibri"/>
          <w:b w:val="0"/>
          <w:szCs w:val="22"/>
          <w:lang w:val="hy-AM"/>
        </w:rPr>
        <w:softHyphen/>
        <w:t>ման</w:t>
      </w:r>
      <w:r w:rsidRPr="00A3274E">
        <w:rPr>
          <w:rFonts w:eastAsia="Calibri"/>
          <w:b w:val="0"/>
          <w:szCs w:val="22"/>
          <w:lang w:val="hy-AM"/>
        </w:rPr>
        <w:softHyphen/>
        <w:t>յան պաշտոնական գործուղումների հետ կապված ծախ</w:t>
      </w:r>
      <w:r w:rsidRPr="00A3274E">
        <w:rPr>
          <w:rFonts w:eastAsia="Calibri"/>
          <w:b w:val="0"/>
          <w:szCs w:val="22"/>
          <w:lang w:val="hy-AM"/>
        </w:rPr>
        <w:softHyphen/>
        <w:t>սերի գծով հատկացումները ՀՀ պետական բյուջեում առանձին տողով արտացոլվող կենտրո</w:t>
      </w:r>
      <w:r w:rsidRPr="00A3274E">
        <w:rPr>
          <w:rFonts w:eastAsia="Calibri"/>
          <w:b w:val="0"/>
          <w:szCs w:val="22"/>
          <w:lang w:val="hy-AM"/>
        </w:rPr>
        <w:softHyphen/>
        <w:t>նացված ֆոնդում ներառելու սկզբուն</w:t>
      </w:r>
      <w:r w:rsidRPr="00A3274E">
        <w:rPr>
          <w:rFonts w:eastAsia="Calibri"/>
          <w:b w:val="0"/>
          <w:szCs w:val="22"/>
          <w:lang w:val="hy-AM"/>
        </w:rPr>
        <w:softHyphen/>
        <w:t xml:space="preserve">քը: </w:t>
      </w:r>
    </w:p>
    <w:p w14:paraId="774DED53"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Ծառայողական ավտոմեքենաների պահպանման ծախսերը ծրագրավորվել են  համապատասխան մարմինների կողմից 2022 թվականի բյուջետային ֆինանսավորման հայտերով  ներկայացված ծառայողական ավտոմեքենաների քանակին համապատասխան, բայց ոչ ավելի քան ՀՀ կառավարության 2005 թվականի փետրվարի 17-ի N 194-Ն որոշմամբ նախատեսված սահմանաքանակը։ Ընդ որում, 1 մեքենայի պահպանման տարեկան ծախսը հաշվարկվել է 1,2 մլն դրամի չափով (պահպանվել է նախորդ տարիների մակարդակը):</w:t>
      </w:r>
    </w:p>
    <w:p w14:paraId="03968443"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Միաժամանակ, պահպանման մի շարք այլ պայմանագրային ծառայությունների ձեռքբերման ծախսերը նախատեսելիս դրանք դիտարկվել են նախորդ տարիների փաստացի ծախսի մակարդակը հաշվի առնելով:</w:t>
      </w:r>
    </w:p>
    <w:p w14:paraId="405CC29A" w14:textId="77777777" w:rsidR="00A3274E" w:rsidRPr="00A3274E" w:rsidRDefault="00A3274E" w:rsidP="00A3274E">
      <w:pPr>
        <w:spacing w:line="276" w:lineRule="auto"/>
        <w:ind w:firstLine="720"/>
        <w:rPr>
          <w:rFonts w:eastAsia="Calibri"/>
          <w:b w:val="0"/>
          <w:szCs w:val="22"/>
          <w:lang w:val="hy-AM"/>
        </w:rPr>
      </w:pPr>
      <w:r w:rsidRPr="00A3274E">
        <w:rPr>
          <w:rFonts w:eastAsia="Calibri"/>
          <w:b w:val="0"/>
          <w:szCs w:val="22"/>
          <w:lang w:val="hy-AM"/>
        </w:rPr>
        <w:t>Ոչ ֆինանսական ակտիվների ձեռքբերման գծով ծախսերի նախատեսման հարցում հիմնականում կիրառվել է միասնական մոտեցում՝ նախատեսվել է հայտով ներկայացված գումարի 50%-ի չափով:</w:t>
      </w:r>
    </w:p>
    <w:p w14:paraId="41A253A1" w14:textId="77777777" w:rsidR="00A3274E" w:rsidRPr="00B14A4A" w:rsidRDefault="00A3274E" w:rsidP="00A3274E">
      <w:pPr>
        <w:spacing w:line="276" w:lineRule="auto"/>
        <w:ind w:firstLine="720"/>
        <w:rPr>
          <w:rFonts w:eastAsia="Calibri"/>
          <w:szCs w:val="22"/>
          <w:lang w:val="hy-AM"/>
        </w:rPr>
      </w:pPr>
    </w:p>
    <w:p w14:paraId="10C1307A" w14:textId="77777777" w:rsidR="008619B9" w:rsidRPr="00A83C94" w:rsidRDefault="008619B9" w:rsidP="007C65A5">
      <w:pPr>
        <w:pStyle w:val="BodyText2"/>
      </w:pPr>
    </w:p>
    <w:p w14:paraId="3A47DFFA" w14:textId="50E7F8FD" w:rsidR="00060470" w:rsidRPr="00A83C94" w:rsidRDefault="00277648" w:rsidP="002F7255">
      <w:pPr>
        <w:pStyle w:val="Heading3"/>
      </w:pPr>
      <w:bookmarkStart w:id="298" w:name="_Toc89428313"/>
      <w:r w:rsidRPr="00A83C94">
        <w:t>ՀՀ ա</w:t>
      </w:r>
      <w:r w:rsidR="00B857F9" w:rsidRPr="00A83C94">
        <w:t>ռողջապահության նախարարություն</w:t>
      </w:r>
      <w:bookmarkEnd w:id="298"/>
    </w:p>
    <w:p w14:paraId="6585B598" w14:textId="38AA1CDA" w:rsidR="00E0291A" w:rsidRPr="00A83C94" w:rsidRDefault="00E0291A" w:rsidP="00410C78">
      <w:pPr>
        <w:pStyle w:val="BodyText2"/>
      </w:pPr>
      <w:r w:rsidRPr="00A83C94">
        <w:t>ՀՀ առողջապահության նախարարության գծով</w:t>
      </w:r>
      <w:r w:rsidR="003B7313" w:rsidRPr="00A83C94">
        <w:t xml:space="preserve"> </w:t>
      </w:r>
      <w:r w:rsidR="003B7313" w:rsidRPr="00A83C94">
        <w:rPr>
          <w:rFonts w:cs="Sylfaen"/>
          <w:lang w:val="af-ZA"/>
        </w:rPr>
        <w:t>ՀՀ 2022 թվականի պետական բյուջեի նախագծով նախատեսվում է</w:t>
      </w:r>
      <w:r w:rsidR="00B92394" w:rsidRPr="00A83C94">
        <w:rPr>
          <w:rFonts w:cs="Sylfaen"/>
          <w:lang w:val="af-ZA"/>
        </w:rPr>
        <w:t xml:space="preserve"> </w:t>
      </w:r>
      <w:r w:rsidR="009272E0">
        <w:rPr>
          <w:rFonts w:cs="Sylfaen"/>
          <w:lang w:val="af-ZA"/>
        </w:rPr>
        <w:t>119</w:t>
      </w:r>
      <w:r w:rsidR="003B7313" w:rsidRPr="00A83C94">
        <w:rPr>
          <w:rFonts w:cs="Sylfaen"/>
          <w:color w:val="000000" w:themeColor="text1"/>
          <w:lang w:val="af-ZA"/>
        </w:rPr>
        <w:t>,</w:t>
      </w:r>
      <w:r w:rsidR="00F96E02">
        <w:rPr>
          <w:rFonts w:cs="Sylfaen"/>
          <w:color w:val="000000" w:themeColor="text1"/>
          <w:lang w:val="af-ZA"/>
        </w:rPr>
        <w:t>696.5</w:t>
      </w:r>
      <w:r w:rsidR="003B7313" w:rsidRPr="00A83C94">
        <w:rPr>
          <w:rFonts w:cs="Sylfaen"/>
          <w:color w:val="000000" w:themeColor="text1"/>
          <w:lang w:val="af-ZA"/>
        </w:rPr>
        <w:t xml:space="preserve"> մլն դրամի ծախսեր</w:t>
      </w:r>
      <w:r w:rsidR="003B7313" w:rsidRPr="00A83C94">
        <w:rPr>
          <w:rFonts w:cs="Sylfaen"/>
          <w:color w:val="000000" w:themeColor="text1"/>
        </w:rPr>
        <w:t xml:space="preserve"> </w:t>
      </w:r>
      <w:r w:rsidR="002F5005" w:rsidRPr="00A83C94">
        <w:rPr>
          <w:rFonts w:cs="Sylfaen"/>
          <w:color w:val="000000" w:themeColor="text1"/>
          <w:lang w:val="af-ZA"/>
        </w:rPr>
        <w:t>(</w:t>
      </w:r>
      <w:r w:rsidR="002F5005" w:rsidRPr="00A83C94">
        <w:rPr>
          <w:rFonts w:cs="Sylfaen"/>
          <w:color w:val="000000" w:themeColor="text1"/>
        </w:rPr>
        <w:t>ներառյալ</w:t>
      </w:r>
      <w:r w:rsidR="003B7313" w:rsidRPr="00A83C94">
        <w:rPr>
          <w:rFonts w:cs="Sylfaen"/>
          <w:color w:val="000000" w:themeColor="text1"/>
        </w:rPr>
        <w:t xml:space="preserve"> </w:t>
      </w:r>
      <w:r w:rsidR="002F5005" w:rsidRPr="00A83C94">
        <w:rPr>
          <w:rFonts w:cs="Sylfaen"/>
          <w:color w:val="000000" w:themeColor="text1"/>
        </w:rPr>
        <w:t>կառավարման</w:t>
      </w:r>
      <w:r w:rsidR="002F5005" w:rsidRPr="00A83C94">
        <w:rPr>
          <w:rFonts w:cs="Sylfaen"/>
          <w:color w:val="000000" w:themeColor="text1"/>
          <w:lang w:val="af-ZA"/>
        </w:rPr>
        <w:t xml:space="preserve"> </w:t>
      </w:r>
      <w:r w:rsidR="003B7313" w:rsidRPr="00A83C94">
        <w:rPr>
          <w:rFonts w:cs="Sylfaen"/>
          <w:color w:val="000000" w:themeColor="text1"/>
        </w:rPr>
        <w:t>ապարատի պահպանման ծախսեր</w:t>
      </w:r>
      <w:r w:rsidR="002F5005" w:rsidRPr="00A83C94">
        <w:rPr>
          <w:rFonts w:cs="Sylfaen"/>
          <w:color w:val="000000" w:themeColor="text1"/>
        </w:rPr>
        <w:t>ը</w:t>
      </w:r>
      <w:r w:rsidR="002F5005" w:rsidRPr="00A83C94">
        <w:rPr>
          <w:rFonts w:cs="Sylfaen"/>
          <w:color w:val="000000" w:themeColor="text1"/>
          <w:lang w:val="af-ZA"/>
        </w:rPr>
        <w:t>)</w:t>
      </w:r>
      <w:r w:rsidRPr="00A83C94">
        <w:t xml:space="preserve">, որի շրջանակներում նախատեսվում է իրականացնել հետևյալ ծրագրերը. </w:t>
      </w:r>
    </w:p>
    <w:p w14:paraId="4F1684B2" w14:textId="77777777" w:rsidR="00E0291A" w:rsidRPr="00A83C94" w:rsidRDefault="00E0291A" w:rsidP="00410C78">
      <w:pPr>
        <w:pStyle w:val="BodyText2"/>
        <w:rPr>
          <w:b/>
        </w:rPr>
      </w:pPr>
      <w:r w:rsidRPr="00A83C94">
        <w:rPr>
          <w:b/>
        </w:rPr>
        <w:t>Հանրային</w:t>
      </w:r>
      <w:r w:rsidRPr="00A83C94">
        <w:rPr>
          <w:rFonts w:cs="Arial Armenian"/>
          <w:b/>
        </w:rPr>
        <w:t xml:space="preserve"> </w:t>
      </w:r>
      <w:r w:rsidRPr="00A83C94">
        <w:rPr>
          <w:b/>
        </w:rPr>
        <w:t>առողջության պահպանում</w:t>
      </w:r>
      <w:r w:rsidRPr="00A83C94">
        <w:t xml:space="preserve"> ծրագրի գծով 2022թ. նախատեսվել է 6,185.3 մլն դրամ: Ծրագրի նպատակն է մարդու օրգանիզմի վրա շրջակա միջավայրի վնասակար և վտանգավոր գործոնների ազդեցության բացառումը և նվազեցումը, կառավարելի վարակիչ հիվանդությունների դեմ պայքարը:</w:t>
      </w:r>
      <w:r w:rsidRPr="00A83C94">
        <w:rPr>
          <w:b/>
        </w:rPr>
        <w:t xml:space="preserve"> </w:t>
      </w:r>
    </w:p>
    <w:p w14:paraId="5C223289" w14:textId="1604BEC0" w:rsidR="00E0291A" w:rsidRPr="00A83C94" w:rsidRDefault="00E0291A" w:rsidP="00410C78">
      <w:pPr>
        <w:pStyle w:val="BodyText2"/>
        <w:rPr>
          <w:b/>
        </w:rPr>
      </w:pPr>
      <w:r w:rsidRPr="00A83C94">
        <w:t xml:space="preserve">Ծրագրի շրջանակներում նախատեսվում է իրականացնել 5000 վարակիչ օջախների ախտահաման ծառայություններ, 60% ՀՀ բժշկական օգնություն և սպասարկում իրականացնող կազմակերպություններում վարակի հսկողության առանձին բաղադրիչների գնահատում,  99%-ով ապահովվել համաճարակաբանական հետազոտության ենթակա վարակիչ, մակաբուծային, սննդային և քիմիական թունավորումների օջախների ընդգրկվածությունը, պատվաստանյութերի արդյունավետ կառավարման նպատակով՝  ապահովել 1160000 դեղաչափ պատվաստանյութերի ստացումը՝ 960000 պատվաստումներ իրականացնելու համար, հանրապետությունում արյան, արյան բաղադրամասերի և արյան  պատրաստուկների  անհրաժեշտ  քանակության (95%) ապահովումը,  ինչպես նաև իրականացնել առողջ ապրելակերպի խթանմանն ու ծխաելու դեմ պայքարին ուղղված 3 միջոցառում: </w:t>
      </w:r>
    </w:p>
    <w:p w14:paraId="26F9902E" w14:textId="77777777" w:rsidR="00E0291A" w:rsidRPr="00A83C94" w:rsidRDefault="00E0291A" w:rsidP="00410C78">
      <w:pPr>
        <w:widowControl w:val="0"/>
        <w:tabs>
          <w:tab w:val="left" w:pos="180"/>
        </w:tabs>
        <w:spacing w:before="0" w:line="276" w:lineRule="auto"/>
        <w:ind w:firstLine="720"/>
        <w:rPr>
          <w:b w:val="0"/>
          <w:lang w:val="hy-AM"/>
        </w:rPr>
      </w:pPr>
      <w:r w:rsidRPr="00A83C94">
        <w:rPr>
          <w:rFonts w:cs="Sylfaen"/>
          <w:bCs/>
          <w:szCs w:val="22"/>
          <w:lang w:val="hy-AM"/>
        </w:rPr>
        <w:t xml:space="preserve">Առողջության առաջնային պահպանում </w:t>
      </w:r>
      <w:r w:rsidRPr="00A83C94">
        <w:rPr>
          <w:b w:val="0"/>
          <w:lang w:val="hy-AM"/>
        </w:rPr>
        <w:t xml:space="preserve">ծրագրի գծով նախատեսվել է 27,804.5 մլն դրամ: </w:t>
      </w:r>
    </w:p>
    <w:p w14:paraId="280091B1" w14:textId="2150EE72" w:rsidR="00E0291A" w:rsidRPr="00A83C94" w:rsidRDefault="00E0291A" w:rsidP="00410C78">
      <w:pPr>
        <w:spacing w:before="0" w:line="276" w:lineRule="auto"/>
        <w:ind w:firstLine="720"/>
        <w:rPr>
          <w:b w:val="0"/>
          <w:lang w:val="hy-AM"/>
        </w:rPr>
      </w:pPr>
      <w:r w:rsidRPr="00A83C94">
        <w:rPr>
          <w:b w:val="0"/>
          <w:lang w:val="hy-AM"/>
        </w:rPr>
        <w:t xml:space="preserve">Ծրագրի նպատակն է բնակչությանը մատչելի և որակյալ առաջնային բժշկական օգնության և սպասարկման տրամադրումը, առողջության վատթարացման ռիսկի գործոնների վերհանումը և դրանց հնարավոր անբարենպաստ ազդեցության կանխարգելումը, որը ներառում է առողջության առաջնային պահպանման գծով կազմակերպություններում գրանցված 2940000 բնակչի՝ ընտանեկան բժշկի, ընդհանուր պրակտիկայի թերապևտի, ընդհանուր պրակտիկայի մանկաբույժի կողմից մատուցվող ծառայություններ՝ հավաքագրված բնակչության շրջանում հիվանդությունների կանխարգելումը, վաղ հայտնաբերումը, ախտորոշումը, բուժումը, քրոնիկ հիվանդների դինամիկ հսկողությունը (ներառյալ ակտիվ կանչերը), ժամանակավոր անաշխատունակության փորձաքննությունը, տնային կանչերի իրականացումը, ըստ ցուցումների, հիվանդների հոսպիտալացման կազմակերպումը, բնակչության բժշկահիգիենիկ կրթումը, անվճար կամ արտոնյալ պայմաններով դեղեր ստանալու իրավունք ունեցող թվով 1036871 անձանց դեղերով ապահովումը, առավել տարածված ոչ վարակիչ հիվանդությունների (արյան շրջանառության համակարգի, շաքարային դիաբետի, չարորակ նորագոյացությունների և այլն) վաղ հայտնաբերման և կանխարգելման գործընթացի պարտադիր իրականացումը, վարակիչ հիվանդությունների կանխարգելում ու վաղ հայտնաբերումը, ինչպես նաև ախտորոշման ճշտման նպատակով լաբորատոր-գործիքային 105000 հետազոտությունների իրականացումը: </w:t>
      </w:r>
    </w:p>
    <w:p w14:paraId="4F0E5E91" w14:textId="7023119D" w:rsidR="00E0291A" w:rsidRPr="00A83C94" w:rsidRDefault="00E0291A" w:rsidP="00410C78">
      <w:pPr>
        <w:spacing w:before="0" w:line="276" w:lineRule="auto"/>
        <w:ind w:firstLine="720"/>
        <w:rPr>
          <w:rFonts w:cs="Sylfaen"/>
          <w:b w:val="0"/>
          <w:szCs w:val="22"/>
          <w:lang w:val="hy-AM"/>
        </w:rPr>
      </w:pPr>
      <w:r w:rsidRPr="00A83C94">
        <w:rPr>
          <w:rFonts w:cs="Sylfaen"/>
          <w:bCs/>
          <w:szCs w:val="22"/>
          <w:lang w:val="hy-AM"/>
        </w:rPr>
        <w:t xml:space="preserve">Դատաբժշկական և ախտաբանաանատոմիական ծառայություններ </w:t>
      </w:r>
      <w:r w:rsidRPr="00A83C94">
        <w:rPr>
          <w:b w:val="0"/>
          <w:lang w:val="hy-AM"/>
        </w:rPr>
        <w:t>գծով նախատեսվել է 502.9 մլն դրամ:</w:t>
      </w:r>
      <w:bookmarkStart w:id="299" w:name="_Hlk19663384"/>
      <w:r w:rsidRPr="00A83C94">
        <w:rPr>
          <w:b w:val="0"/>
          <w:lang w:val="hy-AM"/>
        </w:rPr>
        <w:t xml:space="preserve"> </w:t>
      </w:r>
      <w:r w:rsidRPr="00A83C94">
        <w:rPr>
          <w:rFonts w:cs="Sylfaen"/>
          <w:b w:val="0"/>
          <w:szCs w:val="22"/>
          <w:lang w:val="hy-AM"/>
        </w:rPr>
        <w:t xml:space="preserve">Ծրագրի նպատակն է Հանրապետության ուժային մարմինների որոշումների հիման վրա դատաբժշկական և գենետիկ փորձաքննությունների ապահովումը` մահերի պատճառների վերհանման նպատակով դիակների փորձաքննությունների միջոցով, ինչպես նաև պաթանատոմիական կանխորոշումների հիման վրա ախտորոշման և բուժման արդյունավետության բարձրացումը: Ծրագրի ակնկալվող արդյունքը մահերի պատճառների բացահայտումն է: </w:t>
      </w:r>
    </w:p>
    <w:p w14:paraId="754EB5B7"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շրջանակներում նախատեսված իրականացնել դատաբժշկական և գենետիկ ծառայությունների գծով 61945 փորձաքննություն, վիրահատական և բիոպսիոն նյութերի 5315 հետազոտություններ, ինչպես նաև 732 ախտաբանաանատոմիական դիահերձումներ:</w:t>
      </w:r>
      <w:bookmarkEnd w:id="299"/>
    </w:p>
    <w:p w14:paraId="679E33E6" w14:textId="497AE7EB" w:rsidR="00E0291A" w:rsidRPr="00A83C94" w:rsidRDefault="00E0291A" w:rsidP="00410C78">
      <w:pPr>
        <w:spacing w:before="0" w:line="276" w:lineRule="auto"/>
        <w:ind w:firstLine="720"/>
        <w:rPr>
          <w:b w:val="0"/>
          <w:lang w:val="hy-AM"/>
        </w:rPr>
      </w:pPr>
      <w:r w:rsidRPr="00A83C94">
        <w:rPr>
          <w:rFonts w:cs="Sylfaen"/>
          <w:bCs/>
          <w:szCs w:val="22"/>
          <w:lang w:val="hy-AM"/>
        </w:rPr>
        <w:t>Դեղապահովում ծրագիր</w:t>
      </w:r>
      <w:bookmarkStart w:id="300" w:name="_Hlk19664365"/>
      <w:r w:rsidRPr="00A83C94">
        <w:rPr>
          <w:rFonts w:cs="Sylfaen"/>
          <w:bCs/>
          <w:szCs w:val="22"/>
          <w:lang w:val="hy-AM"/>
        </w:rPr>
        <w:t xml:space="preserve"> </w:t>
      </w:r>
      <w:r w:rsidRPr="00A83C94">
        <w:rPr>
          <w:b w:val="0"/>
          <w:lang w:val="hy-AM"/>
        </w:rPr>
        <w:t>գծով նախատեսվել է 3,880.0 մլն դրամ:</w:t>
      </w:r>
    </w:p>
    <w:p w14:paraId="3A2BB2F1" w14:textId="43A5EBDF"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Ծրագրի նպատակը դեղերի անվտանգության, արդյունավետության և որակի ապահովումն է, ՀՀ հիմնական դեղերի ցանկում առկա կենսականորեն անհրաժեշտ դեղերի ֆիզիկական և տնտեսական մատչելիության բարձրացումը, որի արդյունքում ակնկալվում է Հանրապետությունում առանձին հիվանդություններով տառապող անձանց առանցքային նշանակության դեղորայքի մատչելիության բարձրացում: Ծրագրի շրջանակներում նախատեսված հատկացումներն ուղղվելու են ՀՀ կառավարության 2019թ.-ի մայիսի 30-ի N 642-Ն որոշմամբ սահմանված 267175 շահառուներին՝ պետության կողմից անվճար և արտոնյալ պայմաններով դեղորայքի տրամադրման համար ապահովելով 12 հիվանդության ծածկույթ: </w:t>
      </w:r>
    </w:p>
    <w:p w14:paraId="397CACA1"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Դեղապահովում ծրագրի համար ՀՀ 2022թ. պետական բյուջեով նախատեսվում է հատկացնել 3,880.0 մլն դրամ` ՀՀ 2021 թվականի պետական բյուջեով հաստատված 3,490.8 մլն դրամի դիմաց: </w:t>
      </w:r>
    </w:p>
    <w:p w14:paraId="7EF77799" w14:textId="77777777" w:rsidR="00E0291A" w:rsidRPr="00A83C94" w:rsidRDefault="00E0291A" w:rsidP="00410C78">
      <w:pPr>
        <w:spacing w:before="0" w:line="276" w:lineRule="auto"/>
        <w:ind w:firstLine="720"/>
        <w:rPr>
          <w:rFonts w:cs="Sylfaen"/>
          <w:b w:val="0"/>
          <w:szCs w:val="22"/>
          <w:lang w:val="hy-AM"/>
        </w:rPr>
      </w:pPr>
      <w:r w:rsidRPr="00A83C94">
        <w:rPr>
          <w:rFonts w:cs="Sylfaen"/>
          <w:b w:val="0"/>
          <w:szCs w:val="22"/>
          <w:lang w:val="hy-AM"/>
        </w:rPr>
        <w:t>Ծրագրի գծով ծախսերը ՀՀ 2021թ. պետական բյուջեով հաստատված ծախսերի նկատմամբ ավելացել են՝ 389.2 մլն դրամով կամ 10%-ով, որը պայմանավորված է հիմնականում ծրագրի շրջանակներում անվճար և արտոնյալ պայմաններով դեղորայք ստացող շահառուների ցանկի ընդլայնմամբ՝ համաձայն ՀՀ կառավարության 04.12.2020թ. N 1980-Ն որոշմամբ ՀՀ կառավարության 30.05.2019թ. N 642-Ն որոշման մեջ կատարված լրացումների շահառուների ցանկում ընդգրկվել են 44 օրյա պատերազմի հետևանքով տուժած և ռազմական գործողությունների կամ ահաբեկչական գործողությունների արդյունքում Արցախի Հանրապետությունում մշտապես բնակվող, սակայն Հայաստանի Հանրապետություն տեղափոխված անձինք:</w:t>
      </w:r>
      <w:bookmarkEnd w:id="300"/>
    </w:p>
    <w:p w14:paraId="110DAD66" w14:textId="3BFF815B" w:rsidR="00E0291A" w:rsidRPr="00A83C94" w:rsidRDefault="00E0291A" w:rsidP="00410C78">
      <w:pPr>
        <w:tabs>
          <w:tab w:val="left" w:pos="180"/>
          <w:tab w:val="left" w:pos="851"/>
        </w:tabs>
        <w:spacing w:before="0" w:line="276" w:lineRule="auto"/>
        <w:ind w:firstLine="720"/>
        <w:rPr>
          <w:rFonts w:cs="Sylfaen"/>
          <w:b w:val="0"/>
          <w:szCs w:val="22"/>
          <w:lang w:val="hy-AM"/>
        </w:rPr>
      </w:pPr>
      <w:r w:rsidRPr="00A83C94">
        <w:rPr>
          <w:rFonts w:cs="Sylfaen"/>
          <w:bCs/>
          <w:szCs w:val="22"/>
          <w:lang w:val="hy-AM"/>
        </w:rPr>
        <w:t xml:space="preserve">Խորհրդատվական, մասնագիտական աջակցություն և հետազոտություններ </w:t>
      </w:r>
      <w:r w:rsidRPr="00A83C94">
        <w:rPr>
          <w:rFonts w:cs="Sylfaen"/>
          <w:b w:val="0"/>
          <w:bCs/>
          <w:szCs w:val="22"/>
          <w:lang w:val="hy-AM"/>
        </w:rPr>
        <w:t>ծրագրի գծով նախատեսվել է 291.3 մլն դրամ:</w:t>
      </w:r>
      <w:bookmarkStart w:id="301" w:name="_Hlk19665130"/>
      <w:r w:rsidRPr="00A83C94">
        <w:rPr>
          <w:rFonts w:cs="Sylfaen"/>
          <w:b w:val="0"/>
          <w:bCs/>
          <w:szCs w:val="22"/>
          <w:lang w:val="hy-AM"/>
        </w:rPr>
        <w:t xml:space="preserve"> </w:t>
      </w:r>
      <w:r w:rsidRPr="00A83C94">
        <w:rPr>
          <w:rFonts w:cs="Sylfaen"/>
          <w:b w:val="0"/>
          <w:szCs w:val="22"/>
          <w:lang w:val="hy-AM"/>
        </w:rPr>
        <w:t xml:space="preserve">Ծրագրի նպատակն է բժշկական օգնության կազմակերպման ու որակի բարձրացման կարգավորման մասնագիտական, խորհրդատվական, կազմակերպամեթոդական ապահովումը, համակարգի գործունեության արդյունքների գնահատումը, ինչպես նաև բժիշկ-մասնագետների ժամանակավոր ուղեգրման միջոցով ՀՀ մարզային առողջապահական կազմակերպություններում բժշկական ծառայությունների մատուցումը: </w:t>
      </w:r>
    </w:p>
    <w:p w14:paraId="54C45EA2" w14:textId="21C15604" w:rsidR="00E0291A" w:rsidRPr="00A83C94" w:rsidRDefault="00E0291A" w:rsidP="00410C78">
      <w:pPr>
        <w:tabs>
          <w:tab w:val="left" w:pos="180"/>
          <w:tab w:val="left" w:pos="851"/>
        </w:tabs>
        <w:spacing w:before="0" w:line="276" w:lineRule="auto"/>
        <w:ind w:firstLine="720"/>
        <w:rPr>
          <w:b w:val="0"/>
          <w:bCs/>
          <w:lang w:val="hy-AM"/>
        </w:rPr>
      </w:pPr>
      <w:r w:rsidRPr="00A83C94">
        <w:rPr>
          <w:rFonts w:cs="Sylfaen"/>
          <w:b w:val="0"/>
          <w:szCs w:val="22"/>
          <w:lang w:val="hy-AM"/>
        </w:rPr>
        <w:t>Ծրագրի շրջանակներում նախատեվում է իրականացնել 200 հատ շարունակական մասնագիտական զարգացման կրեդիտային համակարգի ծառայություններ, 200 ուղեցույցերի, գործելակարգերի, հաշվառման ձևերի և այլ փաստաթղթերի մշակման ծառայություններ, ինչպես նաև 50 բժիշկ-մասնագետների ուղեգրումն ընդունված 20 մարզային առողջապահական կազմակերպություններ:</w:t>
      </w:r>
      <w:bookmarkEnd w:id="301"/>
    </w:p>
    <w:p w14:paraId="24D23C25" w14:textId="775CB0FB" w:rsidR="00E0291A" w:rsidRPr="00A83C94" w:rsidRDefault="00E0291A" w:rsidP="00410C78">
      <w:pPr>
        <w:tabs>
          <w:tab w:val="left" w:pos="180"/>
          <w:tab w:val="left" w:pos="851"/>
        </w:tabs>
        <w:spacing w:before="0" w:line="276" w:lineRule="auto"/>
        <w:ind w:firstLine="720"/>
        <w:rPr>
          <w:rFonts w:cs="Sylfaen"/>
          <w:b w:val="0"/>
          <w:szCs w:val="22"/>
          <w:lang w:val="hy-AM"/>
        </w:rPr>
      </w:pPr>
      <w:r w:rsidRPr="00A83C94">
        <w:rPr>
          <w:rFonts w:cs="Sylfaen"/>
          <w:bCs/>
          <w:szCs w:val="22"/>
          <w:lang w:val="hy-AM"/>
        </w:rPr>
        <w:t xml:space="preserve">Մոր և մանկան առողջության պահպանում ծրագրի </w:t>
      </w:r>
      <w:r w:rsidRPr="00A83C94">
        <w:rPr>
          <w:rFonts w:cs="Sylfaen"/>
          <w:b w:val="0"/>
          <w:bCs/>
          <w:szCs w:val="22"/>
          <w:lang w:val="hy-AM"/>
        </w:rPr>
        <w:t xml:space="preserve">գծով նախատեսվել է 18,664.9 մլն դրամ: </w:t>
      </w:r>
      <w:r w:rsidRPr="00A83C94">
        <w:rPr>
          <w:rFonts w:cs="Sylfaen"/>
          <w:b w:val="0"/>
          <w:szCs w:val="22"/>
          <w:lang w:val="hy-AM"/>
        </w:rPr>
        <w:t xml:space="preserve">Ծրագրի նպատակն է մոր և մանկան առողջության պահպանումը, կանանց և երեխաներին մատուցվող բժշկական ծառայությունների մատչելիության և որակի բարելավումը, որի արդյունքում ակնկալվում է մանկական և մայրական մահացության և հիվանդացության կրճատում, կանանց վերարտադրողական առողջության բարելավում: </w:t>
      </w:r>
    </w:p>
    <w:p w14:paraId="305A2A8A" w14:textId="77777777" w:rsidR="00E0291A" w:rsidRPr="00A83C94" w:rsidRDefault="00E0291A" w:rsidP="00410C78">
      <w:pPr>
        <w:pStyle w:val="ListParagraph"/>
        <w:tabs>
          <w:tab w:val="left" w:pos="180"/>
          <w:tab w:val="left" w:pos="540"/>
        </w:tabs>
        <w:spacing w:before="0" w:line="276" w:lineRule="auto"/>
        <w:ind w:left="0" w:firstLine="720"/>
        <w:rPr>
          <w:rFonts w:cs="Sylfaen"/>
          <w:b w:val="0"/>
          <w:szCs w:val="22"/>
          <w:lang w:val="hy-AM"/>
        </w:rPr>
      </w:pPr>
      <w:r w:rsidRPr="00A83C94">
        <w:rPr>
          <w:rFonts w:cs="Sylfaen"/>
          <w:b w:val="0"/>
          <w:szCs w:val="22"/>
          <w:lang w:val="hy-AM"/>
        </w:rPr>
        <w:t>Ծրագրի շրջանակներում նախատեսվում է իրականացնել մանկաբարձական բժշկական օգնության ծառայություններից օգտվելու 53400 դեպք, 38250 հատ ծնունդներ, 13500 կեսարյան հատում, երեխաների բժշկական օգնության գծով ծառայություններից օգտվելու 81000 դեպք, մտավոր, հոգեկան (վարքագծային), լսողական, ֆիզիկական (շարժողական) և զարգացման այլ խանգարումներով երեխաների վերականգնողական բուժման գծով ծառայություններից օգտվելու 90000 դեպք, 1206 ամուսնական զույգիերի տրամադրել վերարտադրողական օժանդակ տեխնոլոգիաների կիրառմամբ բժշկական օգնության ծառայություններ, այդ թվում՝ իրականացնել 22921 հատ հետազոտություններ, ինչպես նաև անցկացնել 133403 հատ բնածին հիպոթիրեոզի, ֆենիլկենտոնուրիայի և լսողութան խանգարումների վաղ հայտնաբերման նպատակով նորածնային սկրինինգի հետազոտություններ:</w:t>
      </w:r>
    </w:p>
    <w:p w14:paraId="0E1EB479" w14:textId="77777777" w:rsidR="00E0291A" w:rsidRPr="00A83C94" w:rsidRDefault="00E0291A" w:rsidP="00410C78">
      <w:pPr>
        <w:pStyle w:val="ListParagraph"/>
        <w:tabs>
          <w:tab w:val="left" w:pos="180"/>
          <w:tab w:val="left" w:pos="540"/>
        </w:tabs>
        <w:spacing w:before="0" w:line="276" w:lineRule="auto"/>
        <w:ind w:left="0" w:firstLine="720"/>
        <w:rPr>
          <w:rFonts w:cs="Sylfaen"/>
          <w:b w:val="0"/>
          <w:szCs w:val="22"/>
          <w:lang w:val="hy-AM"/>
        </w:rPr>
      </w:pPr>
      <w:r w:rsidRPr="00A83C94">
        <w:rPr>
          <w:rFonts w:cs="Sylfaen"/>
          <w:bCs/>
          <w:szCs w:val="22"/>
          <w:lang w:val="hy-AM"/>
        </w:rPr>
        <w:t xml:space="preserve">Շտապ բժշկական օգնություն ծրագրի </w:t>
      </w:r>
      <w:r w:rsidRPr="00A83C94">
        <w:rPr>
          <w:rFonts w:cs="Sylfaen"/>
          <w:b w:val="0"/>
          <w:szCs w:val="22"/>
          <w:lang w:val="hy-AM"/>
        </w:rPr>
        <w:t>գծով նախատեսվել է 5,000.0 մլն դրամ:</w:t>
      </w:r>
    </w:p>
    <w:p w14:paraId="4AFE2C3F"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Ծրագրի նպատակն է մարդու կյանքին և առողջությանը վտանգ սպառնացող վիճակներում որակյալ շտապ բժշկական օգնության ծառայությունների տրամադրումը, որի արդյունքում նախատեսվում է բարելավել շտապ օգնության համակարգի պատրաստվածությունը, արձագանքման արագությունը, հասանելիության և բժշկական օգնության ծառայությունների որակը: </w:t>
      </w:r>
    </w:p>
    <w:p w14:paraId="13F43FC3"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շրջանակներում նախատեսված իրականացնել 550000 հատ շտապ օգնության կանչեր և 100 հատ օդային ճանապարհով սանիտարական ավիացիայի կանչեր:</w:t>
      </w:r>
    </w:p>
    <w:p w14:paraId="1C3ECB46"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Cs/>
          <w:szCs w:val="22"/>
          <w:lang w:val="hy-AM"/>
        </w:rPr>
        <w:t xml:space="preserve">Ոչ վարակիչ հիվանդությունների բժշկական օգնության ապահովում </w:t>
      </w:r>
      <w:r w:rsidRPr="00A83C94">
        <w:rPr>
          <w:rFonts w:cs="Sylfaen"/>
          <w:b w:val="0"/>
          <w:bCs/>
          <w:szCs w:val="22"/>
          <w:lang w:val="hy-AM"/>
        </w:rPr>
        <w:t>ծր</w:t>
      </w:r>
      <w:r w:rsidRPr="00A83C94">
        <w:rPr>
          <w:rFonts w:cs="Sylfaen"/>
          <w:b w:val="0"/>
          <w:szCs w:val="22"/>
          <w:lang w:val="hy-AM"/>
        </w:rPr>
        <w:t>ագրի գծով նախատեսվել է 16,482.9 մլն դրամ:</w:t>
      </w:r>
    </w:p>
    <w:p w14:paraId="3008EF15"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նպատակն է ոչ վարակիչ հիվանդությունների (մասնավորապես՛ սիրտանոթային, շաքարային դիաբետի և չարորակ նորագոյացությունների) բուժման արդյունավետության բարձրացումը: Ծրագրի իրականացման արդյունքում նախատեսվում է նվազեցնել ոչ վարակիչ հիվանդություններով պայմանավորված հիվանդացությունը և մահացությունը:</w:t>
      </w:r>
    </w:p>
    <w:p w14:paraId="61C8CA60"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 xml:space="preserve">Ծրագրի շրջանակներում նախատեսված հատկացումններն ուղղվելու են 190340 հատ հեմոդիալիզի անցկացման սեանսներին, անհետաձգելի բժշկական օգնության ծառայություններից օգտվելու 26691 դեպքի, հոգեկան և նարկոլոգիական հիվանդների բժշկական օգնության գծով ծառայություններից օգտվելու 6391 դեպքի, ուռուցքաբանական և արյունաբանական հիվանդությունների բժշկական օգնության գծով ծառայություններից օգտվելու 36015 դեպքի և 7340 վիրաբուժական միջամտությունների, ինչպես նաև սրտի անհետաձգելի վիրահատությունների գծով 2301 դեպքի իրականացմանը: </w:t>
      </w:r>
    </w:p>
    <w:p w14:paraId="6F08A53B" w14:textId="7599C75A"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Cs/>
          <w:szCs w:val="22"/>
          <w:lang w:val="hy-AM"/>
        </w:rPr>
        <w:t xml:space="preserve">Սոցիալապես անապահով և առանձին խմբերի անձանց բժշկական օգնություն </w:t>
      </w:r>
      <w:r w:rsidRPr="00A83C94">
        <w:rPr>
          <w:rFonts w:cs="Sylfaen"/>
          <w:b w:val="0"/>
          <w:bCs/>
          <w:szCs w:val="22"/>
          <w:lang w:val="hy-AM"/>
        </w:rPr>
        <w:t>ծրագրի գծով նախատեսվել է 26,960.3 մլն դրամ:</w:t>
      </w:r>
    </w:p>
    <w:p w14:paraId="39B7B8E7" w14:textId="77777777" w:rsidR="00E0291A" w:rsidRPr="00A83C94" w:rsidRDefault="00E0291A" w:rsidP="00410C78">
      <w:pPr>
        <w:tabs>
          <w:tab w:val="left" w:pos="180"/>
        </w:tabs>
        <w:spacing w:before="0" w:line="276" w:lineRule="auto"/>
        <w:ind w:firstLine="720"/>
        <w:rPr>
          <w:rFonts w:cs="Sylfaen"/>
          <w:b w:val="0"/>
          <w:szCs w:val="22"/>
          <w:lang w:val="hy-AM"/>
        </w:rPr>
      </w:pPr>
      <w:bookmarkStart w:id="302" w:name="_Hlk19669190"/>
      <w:r w:rsidRPr="00A83C94">
        <w:rPr>
          <w:rFonts w:cs="Sylfaen"/>
          <w:b w:val="0"/>
          <w:szCs w:val="22"/>
          <w:lang w:val="hy-AM"/>
        </w:rPr>
        <w:t xml:space="preserve">Ծրագրի նպատակն է սոցիալապես անապահով և հատուկ խմբերում ընդգրկված անձանց բժշկական օգնության հասանելիության և մատչելիության մակարդակի բարձրացումը, հիվանդանոցային որակյալ բժշկական օգնության ապահովումը: </w:t>
      </w:r>
    </w:p>
    <w:p w14:paraId="583D421E"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Ծրագիրը հանդիսանում է սոցիալապես անապահով և հատուկ խմբերում ընդգրկված շուրջ 700,0 հազար շահառուների սոցիալական երաշխիքի առողջապահական բաղադրիչը և ապահովում է բնակչության սոցիալապես անապահով և հատուկ խմբերում ընդգրկվածների, զինծառայողների, ինչպես նաև փրկարար ծառայողների և նրանց ընտանիքի անդամնրի,</w:t>
      </w:r>
      <w:r w:rsidRPr="00A83C94">
        <w:rPr>
          <w:lang w:val="hy-AM"/>
        </w:rPr>
        <w:t xml:space="preserve"> </w:t>
      </w:r>
      <w:r w:rsidRPr="00A83C94">
        <w:rPr>
          <w:rFonts w:cs="Sylfaen"/>
          <w:b w:val="0"/>
          <w:szCs w:val="22"/>
          <w:lang w:val="hy-AM"/>
        </w:rPr>
        <w:t>պետական հիմնարկների և կազմակերպությունների աշխատողների և թրաֆիքինգի զոհերի գծով բժշկական օգնության ծառայություններից օգտվելու 216640 դեպքի, ինչպես նաև ստոմատոլոգիական բժշկական օգնության գծով 100000 դեպքի, մարդու օրգանների փոխպատվաստման 10 դեպքի և ոսկրածուծի փոխպատվաստման 14 դեպքի իրականացումը:</w:t>
      </w:r>
      <w:bookmarkEnd w:id="302"/>
    </w:p>
    <w:p w14:paraId="411E6EB0" w14:textId="77777777"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 w:val="0"/>
          <w:szCs w:val="22"/>
          <w:lang w:val="hy-AM"/>
        </w:rPr>
        <w:t>Ծրագրի շրջանաներում իրականացվող զինծառայողներին, ինչպես նաև փրկարար ծառայողներին և նրանց ընտանիքի անդամնրին բժշկական օգնության ծառայությունների գծով ծախսերը՝ ՀՀ 2021թ. պետական բյուջեով հաստատված ծախսերի նկատմամբ ավելացել են՝ 922.8 մլն դրամով կամ 25.8%-ով, որը պայմանավորված 2020 թվականի 44-օրյա պատերազմի ժամանակ մարտական գործողությունների հետևանքով վնասվածք (խեղում) ստացած զինծառայողներին և Հայաստանի Հանրապետության պաշտպանության մարտական գործողություններին կամավոր հիմունքներով մասնակցած անձանց վերականգնողական բժշկական օգնություն և սպասարկում տրամադրելու հետ:</w:t>
      </w:r>
    </w:p>
    <w:p w14:paraId="47891E18" w14:textId="1033D17C" w:rsidR="00E0291A" w:rsidRPr="00A83C94" w:rsidRDefault="00E0291A" w:rsidP="00410C78">
      <w:pPr>
        <w:tabs>
          <w:tab w:val="left" w:pos="180"/>
        </w:tabs>
        <w:spacing w:before="0" w:line="276" w:lineRule="auto"/>
        <w:ind w:firstLine="720"/>
        <w:rPr>
          <w:rFonts w:cs="Sylfaen"/>
          <w:b w:val="0"/>
          <w:szCs w:val="22"/>
          <w:lang w:val="hy-AM"/>
        </w:rPr>
      </w:pPr>
      <w:r w:rsidRPr="00A83C94">
        <w:rPr>
          <w:rFonts w:cs="Sylfaen"/>
          <w:bCs/>
          <w:szCs w:val="22"/>
          <w:lang w:val="hy-AM"/>
        </w:rPr>
        <w:t xml:space="preserve">Վարակիչ հիվանդությունների կանխարգելում ծրագիր </w:t>
      </w:r>
      <w:r w:rsidRPr="00A83C94">
        <w:rPr>
          <w:rFonts w:cs="Sylfaen"/>
          <w:b w:val="0"/>
          <w:bCs/>
          <w:szCs w:val="22"/>
          <w:lang w:val="hy-AM"/>
        </w:rPr>
        <w:t>ծրագրի գծով նախատեսվել է 2,157.4 մլն դրամ:</w:t>
      </w:r>
    </w:p>
    <w:p w14:paraId="7254557C" w14:textId="77777777" w:rsidR="00E0291A" w:rsidRPr="00A83C94" w:rsidRDefault="00E0291A" w:rsidP="00410C78">
      <w:pPr>
        <w:tabs>
          <w:tab w:val="left" w:pos="0"/>
          <w:tab w:val="left" w:pos="567"/>
        </w:tabs>
        <w:spacing w:before="0" w:line="276" w:lineRule="auto"/>
        <w:ind w:firstLine="720"/>
        <w:rPr>
          <w:rFonts w:cs="Sylfaen"/>
          <w:b w:val="0"/>
          <w:szCs w:val="22"/>
          <w:lang w:val="hy-AM"/>
        </w:rPr>
      </w:pPr>
      <w:r w:rsidRPr="00A83C94">
        <w:rPr>
          <w:rFonts w:cs="Sylfaen"/>
          <w:b w:val="0"/>
          <w:szCs w:val="22"/>
          <w:lang w:val="hy-AM"/>
        </w:rPr>
        <w:tab/>
        <w:t xml:space="preserve">Ծրագրի նպատակն է վարակիչ և բնակչության համար մեծ ռիսկ ներկայացնող հիվանդությունների (մալարիա, տուբերկուլյոզ, ՄԻԱՎ/ՁԻԱՀ և այլն) վաղ հայտնաբերումը, արդյունվետ հակազդումը և բժշկական օգնության ապահովումը, որի իրականացման արդյունքում նախատեսվում է նվազեցնել վարակի փոխանցումը, վարակիչ հիվանդություններով պայմանավորված հիվանդացությունը և մահացությունը: </w:t>
      </w:r>
    </w:p>
    <w:p w14:paraId="28605CED" w14:textId="77777777" w:rsidR="00E0291A" w:rsidRPr="00A83C94" w:rsidRDefault="00E0291A" w:rsidP="005A5832">
      <w:pPr>
        <w:tabs>
          <w:tab w:val="left" w:pos="0"/>
          <w:tab w:val="left" w:pos="567"/>
        </w:tabs>
        <w:spacing w:before="0" w:line="276" w:lineRule="auto"/>
        <w:ind w:firstLine="720"/>
        <w:rPr>
          <w:rFonts w:cs="Sylfaen"/>
          <w:b w:val="0"/>
          <w:szCs w:val="22"/>
          <w:lang w:val="hy-AM"/>
        </w:rPr>
      </w:pPr>
      <w:r w:rsidRPr="00A83C94">
        <w:rPr>
          <w:rFonts w:cs="Sylfaen"/>
          <w:b w:val="0"/>
          <w:szCs w:val="22"/>
          <w:lang w:val="hy-AM"/>
        </w:rPr>
        <w:t>Ծրագրի շրջանակներում նախատեսված հատկացումններն ուղղվելու են ՄԻԱՎ/ՁԻԱՀ-ի  կանխարգելման և բուժօգնության ծառայությունների գծով 37107 հետազոտությունների, 14900 ՄԻԱՎ/ՁԻԱՀ-ով հիվանդների դիսպանսերային հսկողության, տուբերկուլյոզի բժշկական օգնության գծով ծառայություններից օգտվելու 930 դեպքի, ինչպես նաև աղիքային և այլ ինֆեկցիոն հիվանդությունների բժշկական օգնության գծով ծառայություններից օգտվելու 930 դեպքի իրականացմանը:</w:t>
      </w:r>
    </w:p>
    <w:p w14:paraId="111DD9BA" w14:textId="4D792319" w:rsidR="00FA639D" w:rsidRPr="00A83C94" w:rsidRDefault="00035D1C" w:rsidP="00035D1C">
      <w:pPr>
        <w:tabs>
          <w:tab w:val="left" w:pos="180"/>
        </w:tabs>
        <w:spacing w:before="0" w:line="276" w:lineRule="auto"/>
        <w:ind w:firstLine="720"/>
        <w:rPr>
          <w:rFonts w:cs="Sylfaen"/>
          <w:bCs/>
          <w:szCs w:val="22"/>
          <w:lang w:val="hy-AM"/>
        </w:rPr>
      </w:pPr>
      <w:r w:rsidRPr="00A83C94">
        <w:rPr>
          <w:rFonts w:cs="Sylfaen"/>
          <w:bCs/>
          <w:szCs w:val="22"/>
          <w:lang w:val="hy-AM"/>
        </w:rPr>
        <w:t xml:space="preserve"> </w:t>
      </w:r>
      <w:r w:rsidR="00FA639D" w:rsidRPr="00A83C94">
        <w:rPr>
          <w:rFonts w:cs="Sylfaen"/>
          <w:bCs/>
          <w:szCs w:val="22"/>
          <w:lang w:val="hy-AM"/>
        </w:rPr>
        <w:t>Առողջապահության համակարգի արդիականացման և արդյունավետության բարձրացման ծրագիր</w:t>
      </w:r>
    </w:p>
    <w:p w14:paraId="0B7EF8FD" w14:textId="50DCCF44" w:rsidR="00FA639D" w:rsidRPr="00A83C94" w:rsidRDefault="00FA639D" w:rsidP="005A5832">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A83C94">
        <w:rPr>
          <w:b w:val="0"/>
          <w:color w:val="000000"/>
          <w:szCs w:val="22"/>
          <w:lang w:val="hy-AM" w:eastAsia="en-US"/>
        </w:rPr>
        <w:t>Ծրագրի նպատակն է Առողջապահության համակարգի արդիականացում և զարգացում վարակիչ և բնակչության համար մեծ ռիսկ ներկայացնող հիվանդությունների (մալարիա, տուբերկուլյոզ, ՄԻԱՎ/ՁԻԱՀ և այլն) վաղ հայտնաբերումը, արդյունվետ հակազդումը և բժշկական օգնության ապահովումը:</w:t>
      </w:r>
    </w:p>
    <w:p w14:paraId="2122B158" w14:textId="388AE315" w:rsidR="00FA639D" w:rsidRPr="00A83C94" w:rsidRDefault="00FC7DB9" w:rsidP="005A5832">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A83C94">
        <w:rPr>
          <w:b w:val="0"/>
          <w:szCs w:val="22"/>
          <w:lang w:val="hy-AM" w:eastAsia="en-US"/>
        </w:rPr>
        <w:t>Ծրագրի շրջանակներում նախատեսվում է՝ խորհրդատվական ծառայությունների մատուցում,ս</w:t>
      </w:r>
      <w:r w:rsidRPr="00A83C94">
        <w:rPr>
          <w:rFonts w:cs="Sylfaen"/>
          <w:b w:val="0"/>
          <w:lang w:val="hy-AM"/>
        </w:rPr>
        <w:t>քրինինգային</w:t>
      </w:r>
      <w:r w:rsidRPr="00A83C94">
        <w:rPr>
          <w:rFonts w:cs="Sylfaen"/>
          <w:b w:val="0"/>
          <w:lang w:val="af-ZA"/>
        </w:rPr>
        <w:t xml:space="preserve"> </w:t>
      </w:r>
      <w:r w:rsidRPr="00A83C94">
        <w:rPr>
          <w:rFonts w:cs="Sylfaen"/>
          <w:b w:val="0"/>
          <w:lang w:val="hy-AM"/>
        </w:rPr>
        <w:t>հետազոտությունների</w:t>
      </w:r>
      <w:r w:rsidRPr="00A83C94">
        <w:rPr>
          <w:rFonts w:cs="Sylfaen"/>
          <w:b w:val="0"/>
          <w:lang w:val="af-ZA"/>
        </w:rPr>
        <w:t xml:space="preserve"> </w:t>
      </w:r>
      <w:r w:rsidRPr="00A83C94">
        <w:rPr>
          <w:rFonts w:cs="Sylfaen"/>
          <w:b w:val="0"/>
          <w:lang w:val="hy-AM"/>
        </w:rPr>
        <w:t>իրականացում</w:t>
      </w:r>
      <w:r w:rsidRPr="00A83C94">
        <w:rPr>
          <w:rFonts w:cs="Sylfaen"/>
          <w:b w:val="0"/>
          <w:lang w:val="af-ZA"/>
        </w:rPr>
        <w:t xml:space="preserve">, </w:t>
      </w:r>
      <w:r w:rsidRPr="00A83C94">
        <w:rPr>
          <w:rFonts w:cs="Sylfaen"/>
          <w:b w:val="0"/>
          <w:szCs w:val="22"/>
          <w:lang w:val="af-ZA"/>
        </w:rPr>
        <w:t xml:space="preserve">հանրապետության տարբեր մարզերում </w:t>
      </w:r>
      <w:r w:rsidRPr="00A83C94">
        <w:rPr>
          <w:b w:val="0"/>
          <w:szCs w:val="22"/>
          <w:lang w:val="hy-AM"/>
        </w:rPr>
        <w:t>ընտրված հիվանդանոցների արդյունավետության և որակի բարելավում</w:t>
      </w:r>
      <w:r w:rsidRPr="00A83C94">
        <w:rPr>
          <w:b w:val="0"/>
          <w:szCs w:val="22"/>
          <w:lang w:val="af-ZA"/>
        </w:rPr>
        <w:t>,</w:t>
      </w:r>
      <w:r w:rsidRPr="00A83C94">
        <w:rPr>
          <w:b w:val="0"/>
          <w:szCs w:val="22"/>
          <w:lang w:val="hy-AM"/>
        </w:rPr>
        <w:t xml:space="preserve"> </w:t>
      </w:r>
      <w:r w:rsidRPr="00A83C94">
        <w:rPr>
          <w:rFonts w:cs="Sylfaen"/>
          <w:b w:val="0"/>
          <w:lang w:val="hy-AM"/>
        </w:rPr>
        <w:t xml:space="preserve">նոր բժշկական կենտրոնների կառուցում, </w:t>
      </w:r>
      <w:r w:rsidRPr="00A83C94">
        <w:rPr>
          <w:rFonts w:cs="Sylfaen"/>
          <w:b w:val="0"/>
          <w:szCs w:val="22"/>
          <w:lang w:val="af-ZA"/>
        </w:rPr>
        <w:t xml:space="preserve">տուբերկուլոզի բոլոր տեսակների և ՄԻԱՎ/ՁԻԱՀ-ի ախտորոշման հասանելիության բուժման մոնիթորինգի և կանխարգելման ապահովում, տուբերկուլոզով հիվանդների սոցիալական և հոգեբանական օժանդակություն, հիվանդների ակտիվ հայտնաբերման միջոցառումներ, բուժման մոնիթորինգի, վարակի վերահսկման բարելավում, ներառյալ մեթադոնային փոխարինող </w:t>
      </w:r>
      <w:r w:rsidRPr="00A83C94">
        <w:rPr>
          <w:b w:val="0"/>
          <w:lang w:val="hy-AM" w:eastAsia="en-US"/>
        </w:rPr>
        <w:t xml:space="preserve">բուժման իրականացում, որի արդյունքում </w:t>
      </w:r>
      <w:r w:rsidR="00FA639D" w:rsidRPr="00A83C94">
        <w:rPr>
          <w:b w:val="0"/>
          <w:color w:val="000000"/>
          <w:szCs w:val="22"/>
          <w:lang w:val="hy-AM" w:eastAsia="en-US"/>
        </w:rPr>
        <w:t>նվազեց</w:t>
      </w:r>
      <w:r w:rsidRPr="00A83C94">
        <w:rPr>
          <w:b w:val="0"/>
          <w:color w:val="000000"/>
          <w:szCs w:val="22"/>
          <w:lang w:val="hy-AM" w:eastAsia="en-US"/>
        </w:rPr>
        <w:t xml:space="preserve">վում է </w:t>
      </w:r>
      <w:r w:rsidR="00FA639D" w:rsidRPr="00A83C94">
        <w:rPr>
          <w:b w:val="0"/>
          <w:color w:val="000000"/>
          <w:szCs w:val="22"/>
          <w:lang w:val="hy-AM" w:eastAsia="en-US"/>
        </w:rPr>
        <w:t>վարակի փոխանցումը, վարակիչ հիվանդություններով պայմանավորված հի</w:t>
      </w:r>
      <w:r w:rsidRPr="00A83C94">
        <w:rPr>
          <w:b w:val="0"/>
          <w:color w:val="000000"/>
          <w:szCs w:val="22"/>
          <w:lang w:val="hy-AM" w:eastAsia="en-US"/>
        </w:rPr>
        <w:t>վանդացությունը և մահացությունը, բարելավում առողջապահական ծառայությունները:</w:t>
      </w:r>
    </w:p>
    <w:p w14:paraId="0FD6D60D" w14:textId="29C5FE94" w:rsidR="00FC7DB9" w:rsidRPr="00A83C94" w:rsidRDefault="00FC7DB9" w:rsidP="00FC7DB9">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b w:val="0"/>
          <w:szCs w:val="22"/>
          <w:lang w:val="hy-AM" w:eastAsia="en-US"/>
        </w:rPr>
        <w:t xml:space="preserve">Ծրագրի համար ՀՀ 2022թ. պետական բյուջեով նախատեսվել է </w:t>
      </w:r>
      <w:r w:rsidR="00F96E02" w:rsidRPr="002526E9">
        <w:rPr>
          <w:b w:val="0"/>
          <w:szCs w:val="22"/>
          <w:lang w:val="hy-AM" w:eastAsia="en-US"/>
        </w:rPr>
        <w:t>6,847.7</w:t>
      </w:r>
      <w:r w:rsidRPr="00A83C94">
        <w:rPr>
          <w:b w:val="0"/>
          <w:szCs w:val="22"/>
          <w:lang w:val="hy-AM" w:eastAsia="en-US"/>
        </w:rPr>
        <w:t xml:space="preserve"> մլն դրամ, որից՝ վարկային միջոցների գծով 7,817.6</w:t>
      </w:r>
      <w:r w:rsidR="005C6069" w:rsidRPr="005C6069">
        <w:rPr>
          <w:b w:val="0"/>
          <w:szCs w:val="22"/>
          <w:lang w:val="hy-AM" w:eastAsia="en-US"/>
        </w:rPr>
        <w:t xml:space="preserve"> </w:t>
      </w:r>
      <w:r w:rsidR="005C6069" w:rsidRPr="00A83C94">
        <w:rPr>
          <w:b w:val="0"/>
          <w:szCs w:val="22"/>
          <w:lang w:val="hy-AM" w:eastAsia="en-US"/>
        </w:rPr>
        <w:t>մլն</w:t>
      </w:r>
      <w:r w:rsidRPr="00A83C94">
        <w:rPr>
          <w:b w:val="0"/>
          <w:szCs w:val="22"/>
          <w:lang w:val="hy-AM" w:eastAsia="en-US"/>
        </w:rPr>
        <w:t xml:space="preserve"> դրամ, համաֆինանասավորման գծով՝ 458.7</w:t>
      </w:r>
      <w:r w:rsidR="005C6069" w:rsidRPr="005C6069">
        <w:rPr>
          <w:b w:val="0"/>
          <w:szCs w:val="22"/>
          <w:lang w:val="hy-AM" w:eastAsia="en-US"/>
        </w:rPr>
        <w:t xml:space="preserve"> </w:t>
      </w:r>
      <w:r w:rsidR="005C6069" w:rsidRPr="00A83C94">
        <w:rPr>
          <w:b w:val="0"/>
          <w:szCs w:val="22"/>
          <w:lang w:val="hy-AM" w:eastAsia="en-US"/>
        </w:rPr>
        <w:t>մլն</w:t>
      </w:r>
      <w:r w:rsidRPr="00A83C94">
        <w:rPr>
          <w:b w:val="0"/>
          <w:szCs w:val="22"/>
          <w:lang w:val="hy-AM" w:eastAsia="en-US"/>
        </w:rPr>
        <w:t xml:space="preserve"> դրամ: </w:t>
      </w:r>
    </w:p>
    <w:p w14:paraId="628E659E" w14:textId="5441ABFD" w:rsidR="00FC7DB9" w:rsidRPr="00A83C94" w:rsidRDefault="00FC7DB9" w:rsidP="00FC7DB9">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b w:val="0"/>
          <w:szCs w:val="22"/>
          <w:lang w:val="hy-AM" w:eastAsia="en-US"/>
        </w:rPr>
        <w:t xml:space="preserve">Միաժամանակ, Եվրոմիության աջակցության վարկային ծրագրի շրջանակներում առողջապահական համակարգի արդիականացման նպատակով 2022թ. համար նախատեսվում է հատկացնել </w:t>
      </w:r>
      <w:r w:rsidR="003D2AA0" w:rsidRPr="005C6069">
        <w:rPr>
          <w:b w:val="0"/>
          <w:szCs w:val="22"/>
          <w:lang w:val="hy-AM" w:eastAsia="en-US"/>
        </w:rPr>
        <w:t>3</w:t>
      </w:r>
      <w:r w:rsidRPr="00A83C94">
        <w:rPr>
          <w:b w:val="0"/>
          <w:szCs w:val="22"/>
          <w:lang w:val="hy-AM" w:eastAsia="en-US"/>
        </w:rPr>
        <w:t>,927.3</w:t>
      </w:r>
      <w:r w:rsidR="005C6069" w:rsidRPr="006F02BB">
        <w:rPr>
          <w:b w:val="0"/>
          <w:szCs w:val="22"/>
          <w:lang w:val="hy-AM" w:eastAsia="en-US"/>
        </w:rPr>
        <w:t xml:space="preserve"> </w:t>
      </w:r>
      <w:r w:rsidR="005C6069" w:rsidRPr="00A83C94">
        <w:rPr>
          <w:b w:val="0"/>
          <w:szCs w:val="22"/>
          <w:lang w:val="hy-AM" w:eastAsia="en-US"/>
        </w:rPr>
        <w:t>մլն</w:t>
      </w:r>
      <w:r w:rsidRPr="00A83C94">
        <w:rPr>
          <w:b w:val="0"/>
          <w:szCs w:val="22"/>
          <w:lang w:val="hy-AM" w:eastAsia="en-US"/>
        </w:rPr>
        <w:t xml:space="preserve"> դրամ:</w:t>
      </w:r>
    </w:p>
    <w:p w14:paraId="602D92F5" w14:textId="77777777" w:rsidR="00FC7DB9" w:rsidRPr="00A83C94" w:rsidRDefault="00FC7DB9" w:rsidP="00FC7DB9">
      <w:pPr>
        <w:numPr>
          <w:ilvl w:val="12"/>
          <w:numId w:val="0"/>
        </w:numPr>
        <w:tabs>
          <w:tab w:val="left" w:pos="851"/>
          <w:tab w:val="left" w:pos="9214"/>
        </w:tabs>
        <w:spacing w:before="0" w:line="276" w:lineRule="auto"/>
        <w:ind w:firstLine="720"/>
        <w:contextualSpacing w:val="0"/>
        <w:rPr>
          <w:b w:val="0"/>
          <w:szCs w:val="22"/>
          <w:lang w:val="hy-AM" w:eastAsia="en-US"/>
        </w:rPr>
      </w:pPr>
    </w:p>
    <w:p w14:paraId="3372DA65" w14:textId="3C763F80" w:rsidR="00632A9E" w:rsidRPr="00A83C94" w:rsidRDefault="00F0615A" w:rsidP="002F7255">
      <w:pPr>
        <w:pStyle w:val="Heading3"/>
      </w:pPr>
      <w:bookmarkStart w:id="303" w:name="_Toc89428314"/>
      <w:r w:rsidRPr="00A83C94">
        <w:t>ՀՀ կ</w:t>
      </w:r>
      <w:r w:rsidR="004D4C68" w:rsidRPr="00A83C94">
        <w:t>րթությ</w:t>
      </w:r>
      <w:r w:rsidRPr="00A83C94">
        <w:t>ան</w:t>
      </w:r>
      <w:r w:rsidR="00E66B09" w:rsidRPr="00A83C94">
        <w:t>,</w:t>
      </w:r>
      <w:r w:rsidRPr="00A83C94">
        <w:t xml:space="preserve"> գիտության</w:t>
      </w:r>
      <w:r w:rsidR="00E66B09" w:rsidRPr="00A83C94">
        <w:t>, մշակույթի և սպորտի</w:t>
      </w:r>
      <w:r w:rsidRPr="00A83C94">
        <w:t xml:space="preserve"> նախարարություն</w:t>
      </w:r>
      <w:bookmarkEnd w:id="303"/>
    </w:p>
    <w:p w14:paraId="2DE0F3CA" w14:textId="425776B6" w:rsidR="002D2E24" w:rsidRPr="00A83C94" w:rsidRDefault="002D2E24" w:rsidP="007C65A5">
      <w:pPr>
        <w:numPr>
          <w:ilvl w:val="12"/>
          <w:numId w:val="0"/>
        </w:numPr>
        <w:tabs>
          <w:tab w:val="left" w:pos="851"/>
          <w:tab w:val="left" w:pos="9214"/>
        </w:tabs>
        <w:spacing w:before="0" w:line="276" w:lineRule="auto"/>
        <w:ind w:firstLine="720"/>
        <w:contextualSpacing w:val="0"/>
        <w:rPr>
          <w:color w:val="000000"/>
          <w:szCs w:val="22"/>
          <w:lang w:val="hy-AM" w:eastAsia="en-US"/>
        </w:rPr>
      </w:pPr>
      <w:bookmarkStart w:id="304" w:name="OLE_LINK4"/>
      <w:r w:rsidRPr="00A83C94">
        <w:rPr>
          <w:color w:val="000000"/>
          <w:szCs w:val="22"/>
          <w:lang w:val="hy-AM" w:eastAsia="en-US"/>
        </w:rPr>
        <w:t>Կրթություն</w:t>
      </w:r>
    </w:p>
    <w:p w14:paraId="72C43EEA" w14:textId="0339143C" w:rsidR="00907596" w:rsidRPr="00A83C94" w:rsidRDefault="00907596" w:rsidP="00655AFE">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A83C94">
        <w:rPr>
          <w:b w:val="0"/>
          <w:color w:val="000000"/>
          <w:szCs w:val="22"/>
          <w:lang w:val="hy-AM" w:eastAsia="en-US"/>
        </w:rPr>
        <w:t xml:space="preserve">ՀՀ կրթության, գիտության, մշակույթի և սպորտի նախարարության </w:t>
      </w:r>
      <w:r w:rsidR="00585D59" w:rsidRPr="00A83C94">
        <w:rPr>
          <w:b w:val="0"/>
          <w:color w:val="000000"/>
          <w:szCs w:val="22"/>
          <w:lang w:val="hy-AM" w:eastAsia="en-US"/>
        </w:rPr>
        <w:t xml:space="preserve">գծով ՀՀ 2022 թվականի պետական բյուջեի նախագծով նախատեսվում է </w:t>
      </w:r>
      <w:r w:rsidR="008E2D57">
        <w:rPr>
          <w:b w:val="0"/>
          <w:color w:val="000000"/>
          <w:szCs w:val="22"/>
          <w:lang w:val="hy-AM" w:eastAsia="en-US"/>
        </w:rPr>
        <w:t>226</w:t>
      </w:r>
      <w:r w:rsidR="00585D59" w:rsidRPr="00A83C94">
        <w:rPr>
          <w:b w:val="0"/>
          <w:color w:val="000000"/>
          <w:szCs w:val="22"/>
          <w:lang w:val="hy-AM" w:eastAsia="en-US"/>
        </w:rPr>
        <w:t>,</w:t>
      </w:r>
      <w:r w:rsidR="002D48B9">
        <w:rPr>
          <w:b w:val="0"/>
          <w:color w:val="000000"/>
          <w:szCs w:val="22"/>
          <w:lang w:val="af-ZA" w:eastAsia="en-US"/>
        </w:rPr>
        <w:t>801.</w:t>
      </w:r>
      <w:r w:rsidR="004D0137" w:rsidRPr="002526E9">
        <w:rPr>
          <w:b w:val="0"/>
          <w:color w:val="000000"/>
          <w:szCs w:val="22"/>
          <w:lang w:val="af-ZA" w:eastAsia="en-US"/>
        </w:rPr>
        <w:t>2</w:t>
      </w:r>
      <w:r w:rsidR="00585D59" w:rsidRPr="00A83C94">
        <w:rPr>
          <w:b w:val="0"/>
          <w:color w:val="000000"/>
          <w:szCs w:val="22"/>
          <w:lang w:val="hy-AM" w:eastAsia="en-US"/>
        </w:rPr>
        <w:t xml:space="preserve"> մլն դրամի ծախսեր </w:t>
      </w:r>
      <w:r w:rsidR="00AE3DCB" w:rsidRPr="00A83C94">
        <w:rPr>
          <w:b w:val="0"/>
          <w:color w:val="000000"/>
          <w:szCs w:val="22"/>
          <w:lang w:val="hy-AM" w:eastAsia="en-US"/>
        </w:rPr>
        <w:t>(ներառյալ կառավարման ապարատի պահպանման ծախսերը)</w:t>
      </w:r>
      <w:r w:rsidRPr="00A83C94">
        <w:rPr>
          <w:b w:val="0"/>
          <w:color w:val="000000"/>
          <w:szCs w:val="22"/>
          <w:lang w:val="hy-AM" w:eastAsia="en-US"/>
        </w:rPr>
        <w:t>:</w:t>
      </w:r>
    </w:p>
    <w:p w14:paraId="6DAE793D" w14:textId="33E423A6"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af-ZA" w:eastAsia="en-US"/>
        </w:rPr>
      </w:pPr>
      <w:r w:rsidRPr="00A83C94">
        <w:rPr>
          <w:b w:val="0"/>
          <w:color w:val="000000"/>
          <w:szCs w:val="22"/>
          <w:lang w:val="hy-AM" w:eastAsia="en-US"/>
        </w:rPr>
        <w:t>Կրթության և գիտության ոլորտների գծով ՀՀ կրթության, գիտության, մշակույթի և սպորտի նախարարության կողմից իրականացվելիք ծրագրերին (առանց կառավարման ապարատի և</w:t>
      </w:r>
      <w:r w:rsidRPr="00A83C94">
        <w:rPr>
          <w:b w:val="0"/>
          <w:color w:val="000000"/>
          <w:szCs w:val="22"/>
          <w:lang w:val="af-ZA" w:eastAsia="en-US"/>
        </w:rPr>
        <w:t xml:space="preserve"> </w:t>
      </w:r>
      <w:r w:rsidRPr="00A83C94">
        <w:rPr>
          <w:b w:val="0"/>
          <w:color w:val="000000"/>
          <w:szCs w:val="22"/>
          <w:lang w:val="hy-AM" w:eastAsia="en-US"/>
        </w:rPr>
        <w:t>վարկային</w:t>
      </w:r>
      <w:r w:rsidRPr="00A83C94">
        <w:rPr>
          <w:b w:val="0"/>
          <w:color w:val="000000"/>
          <w:szCs w:val="22"/>
          <w:lang w:val="af-ZA" w:eastAsia="en-US"/>
        </w:rPr>
        <w:t xml:space="preserve"> </w:t>
      </w:r>
      <w:r w:rsidRPr="00A83C94">
        <w:rPr>
          <w:b w:val="0"/>
          <w:color w:val="000000"/>
          <w:szCs w:val="22"/>
          <w:lang w:val="hy-AM" w:eastAsia="en-US"/>
        </w:rPr>
        <w:t>ու</w:t>
      </w:r>
      <w:r w:rsidRPr="00A83C94">
        <w:rPr>
          <w:b w:val="0"/>
          <w:color w:val="000000"/>
          <w:szCs w:val="22"/>
          <w:lang w:val="af-ZA" w:eastAsia="en-US"/>
        </w:rPr>
        <w:t xml:space="preserve"> </w:t>
      </w:r>
      <w:r w:rsidRPr="00A83C94">
        <w:rPr>
          <w:b w:val="0"/>
          <w:color w:val="000000"/>
          <w:szCs w:val="22"/>
          <w:lang w:val="hy-AM" w:eastAsia="en-US"/>
        </w:rPr>
        <w:t>դրամաշնորհային</w:t>
      </w:r>
      <w:r w:rsidRPr="00A83C94">
        <w:rPr>
          <w:b w:val="0"/>
          <w:color w:val="000000"/>
          <w:szCs w:val="22"/>
          <w:lang w:val="af-ZA" w:eastAsia="en-US"/>
        </w:rPr>
        <w:t xml:space="preserve"> </w:t>
      </w:r>
      <w:r w:rsidRPr="00A83C94">
        <w:rPr>
          <w:b w:val="0"/>
          <w:color w:val="000000"/>
          <w:szCs w:val="22"/>
          <w:lang w:val="hy-AM" w:eastAsia="en-US"/>
        </w:rPr>
        <w:t>միջոցների</w:t>
      </w:r>
      <w:r w:rsidRPr="00A83C94">
        <w:rPr>
          <w:b w:val="0"/>
          <w:color w:val="000000"/>
          <w:szCs w:val="22"/>
          <w:lang w:val="af-ZA" w:eastAsia="en-US"/>
        </w:rPr>
        <w:t xml:space="preserve"> </w:t>
      </w:r>
      <w:r w:rsidRPr="00A83C94">
        <w:rPr>
          <w:b w:val="0"/>
          <w:color w:val="000000"/>
          <w:szCs w:val="22"/>
          <w:lang w:val="hy-AM" w:eastAsia="en-US"/>
        </w:rPr>
        <w:t xml:space="preserve">գծով ծախսերի) նախատեսվում է հատկացնել </w:t>
      </w:r>
      <w:r w:rsidRPr="00A83C94">
        <w:rPr>
          <w:b w:val="0"/>
          <w:szCs w:val="22"/>
          <w:lang w:val="hy-AM" w:eastAsia="en-US"/>
        </w:rPr>
        <w:t>1</w:t>
      </w:r>
      <w:r w:rsidR="008E2D57" w:rsidRPr="008E2D57">
        <w:rPr>
          <w:b w:val="0"/>
          <w:szCs w:val="22"/>
          <w:lang w:val="hy-AM" w:eastAsia="en-US"/>
        </w:rPr>
        <w:t>88</w:t>
      </w:r>
      <w:r w:rsidRPr="00A83C94">
        <w:rPr>
          <w:b w:val="0"/>
          <w:szCs w:val="22"/>
          <w:lang w:val="hy-AM" w:eastAsia="en-US"/>
        </w:rPr>
        <w:t>,</w:t>
      </w:r>
      <w:r w:rsidR="002D48B9" w:rsidRPr="002D48B9">
        <w:rPr>
          <w:b w:val="0"/>
          <w:szCs w:val="22"/>
          <w:lang w:val="hy-AM" w:eastAsia="en-US"/>
        </w:rPr>
        <w:t>867</w:t>
      </w:r>
      <w:r w:rsidRPr="00A83C94">
        <w:rPr>
          <w:b w:val="0"/>
          <w:szCs w:val="22"/>
          <w:lang w:val="hy-AM" w:eastAsia="en-US"/>
        </w:rPr>
        <w:t>.</w:t>
      </w:r>
      <w:r w:rsidR="002D48B9" w:rsidRPr="002D48B9">
        <w:rPr>
          <w:b w:val="0"/>
          <w:szCs w:val="22"/>
          <w:lang w:val="hy-AM" w:eastAsia="en-US"/>
        </w:rPr>
        <w:t>3</w:t>
      </w:r>
      <w:r w:rsidRPr="00A83C94">
        <w:rPr>
          <w:b w:val="0"/>
          <w:szCs w:val="22"/>
          <w:lang w:val="hy-AM" w:eastAsia="en-US"/>
        </w:rPr>
        <w:t xml:space="preserve"> մլն դրամ՝ 2021 թվականի 150,790.1 մլն դրամի դիմաց, ծախսերի աճը կազմել է </w:t>
      </w:r>
      <w:r w:rsidR="008E2D57" w:rsidRPr="008E2D57">
        <w:rPr>
          <w:b w:val="0"/>
          <w:szCs w:val="22"/>
          <w:lang w:val="hy-AM" w:eastAsia="en-US"/>
        </w:rPr>
        <w:t>3</w:t>
      </w:r>
      <w:r w:rsidR="002D48B9" w:rsidRPr="002D48B9">
        <w:rPr>
          <w:b w:val="0"/>
          <w:szCs w:val="22"/>
          <w:lang w:val="hy-AM" w:eastAsia="en-US"/>
        </w:rPr>
        <w:t>8</w:t>
      </w:r>
      <w:r w:rsidRPr="00A83C94">
        <w:rPr>
          <w:b w:val="0"/>
          <w:szCs w:val="22"/>
          <w:lang w:val="hy-AM" w:eastAsia="en-US"/>
        </w:rPr>
        <w:t>,</w:t>
      </w:r>
      <w:r w:rsidR="002D48B9" w:rsidRPr="002D48B9">
        <w:rPr>
          <w:b w:val="0"/>
          <w:szCs w:val="22"/>
          <w:lang w:val="hy-AM" w:eastAsia="en-US"/>
        </w:rPr>
        <w:t>077</w:t>
      </w:r>
      <w:r w:rsidRPr="00A83C94">
        <w:rPr>
          <w:b w:val="0"/>
          <w:szCs w:val="22"/>
          <w:lang w:val="hy-AM" w:eastAsia="en-US"/>
        </w:rPr>
        <w:t>.</w:t>
      </w:r>
      <w:r w:rsidR="002D48B9" w:rsidRPr="002D48B9">
        <w:rPr>
          <w:b w:val="0"/>
          <w:szCs w:val="22"/>
          <w:lang w:val="hy-AM" w:eastAsia="en-US"/>
        </w:rPr>
        <w:t>2</w:t>
      </w:r>
      <w:r w:rsidRPr="00A83C94">
        <w:rPr>
          <w:b w:val="0"/>
          <w:szCs w:val="22"/>
          <w:lang w:val="hy-AM" w:eastAsia="en-US"/>
        </w:rPr>
        <w:t xml:space="preserve"> մլն դրամ կամ 2</w:t>
      </w:r>
      <w:r w:rsidR="008E2D57" w:rsidRPr="00A21A24">
        <w:rPr>
          <w:b w:val="0"/>
          <w:szCs w:val="22"/>
          <w:lang w:val="hy-AM" w:eastAsia="en-US"/>
        </w:rPr>
        <w:t>5</w:t>
      </w:r>
      <w:r w:rsidRPr="00A83C94">
        <w:rPr>
          <w:b w:val="0"/>
          <w:szCs w:val="22"/>
          <w:lang w:val="hy-AM" w:eastAsia="en-US"/>
        </w:rPr>
        <w:t>.</w:t>
      </w:r>
      <w:r w:rsidR="002D48B9" w:rsidRPr="002D48B9">
        <w:rPr>
          <w:b w:val="0"/>
          <w:szCs w:val="22"/>
          <w:lang w:val="hy-AM" w:eastAsia="en-US"/>
        </w:rPr>
        <w:t>3</w:t>
      </w:r>
      <w:r w:rsidRPr="00A83C94">
        <w:rPr>
          <w:b w:val="0"/>
          <w:szCs w:val="22"/>
          <w:lang w:val="hy-AM" w:eastAsia="en-US"/>
        </w:rPr>
        <w:t xml:space="preserve"> տոկոս: </w:t>
      </w:r>
    </w:p>
    <w:p w14:paraId="596DF818" w14:textId="77777777" w:rsidR="00907596" w:rsidRPr="00A83C94" w:rsidRDefault="00907596" w:rsidP="007C65A5">
      <w:pPr>
        <w:numPr>
          <w:ilvl w:val="12"/>
          <w:numId w:val="0"/>
        </w:numPr>
        <w:tabs>
          <w:tab w:val="left" w:pos="851"/>
          <w:tab w:val="left" w:pos="9214"/>
        </w:tabs>
        <w:spacing w:before="0" w:line="276" w:lineRule="auto"/>
        <w:ind w:firstLine="720"/>
        <w:contextualSpacing w:val="0"/>
        <w:rPr>
          <w:b w:val="0"/>
          <w:color w:val="000000"/>
          <w:szCs w:val="22"/>
          <w:lang w:val="af-ZA" w:eastAsia="en-US"/>
        </w:rPr>
      </w:pPr>
      <w:r w:rsidRPr="00A83C94">
        <w:rPr>
          <w:b w:val="0"/>
          <w:color w:val="000000"/>
          <w:szCs w:val="22"/>
          <w:lang w:val="fr-FR" w:eastAsia="en-US"/>
        </w:rPr>
        <w:t>2022</w:t>
      </w:r>
      <w:r w:rsidRPr="00A83C94">
        <w:rPr>
          <w:b w:val="0"/>
          <w:color w:val="000000"/>
          <w:szCs w:val="22"/>
          <w:lang w:val="hy-AM" w:eastAsia="en-US"/>
        </w:rPr>
        <w:t xml:space="preserve"> թվականին նախարարությանը նախատեսված հատկացումներն ուղղվելու են </w:t>
      </w:r>
      <w:r w:rsidRPr="00A83C94">
        <w:rPr>
          <w:b w:val="0"/>
          <w:color w:val="000000"/>
          <w:szCs w:val="22"/>
          <w:lang w:val="fr-FR" w:eastAsia="en-US"/>
        </w:rPr>
        <w:t>10</w:t>
      </w:r>
      <w:r w:rsidRPr="00A83C94">
        <w:rPr>
          <w:b w:val="0"/>
          <w:color w:val="000000"/>
          <w:szCs w:val="22"/>
          <w:lang w:val="hy-AM" w:eastAsia="en-US"/>
        </w:rPr>
        <w:t xml:space="preserve"> ծրագրերի իրականացմանը: Մասնավորապես.</w:t>
      </w:r>
    </w:p>
    <w:p w14:paraId="6AD38FF3" w14:textId="1CE7542A"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af-ZA" w:eastAsia="en-US"/>
        </w:rPr>
      </w:pPr>
      <w:r w:rsidRPr="00A83C94">
        <w:rPr>
          <w:color w:val="000000"/>
          <w:szCs w:val="22"/>
          <w:lang w:val="hy-AM" w:eastAsia="en-US"/>
        </w:rPr>
        <w:t>Նախնական (արհեստագործական) և միջին մասնագիտական կրթություն</w:t>
      </w:r>
      <w:r w:rsidRPr="00A83C94">
        <w:rPr>
          <w:b w:val="0"/>
          <w:color w:val="000000"/>
          <w:szCs w:val="22"/>
          <w:lang w:val="hy-AM" w:eastAsia="en-US"/>
        </w:rPr>
        <w:t xml:space="preserve"> ծրագրի նպատակն է՝ աշխատաշուկայի արդի պահանջներին համապատասխան նախնական մասնագիտական (արհեստագործական) և միջին մասնագիտական կրթության որակավորում ունեցող մասնագետների պատրաստումը: Ծրագրի գծով նախատեսվել է </w:t>
      </w:r>
      <w:r w:rsidRPr="00A83C94">
        <w:rPr>
          <w:b w:val="0"/>
          <w:szCs w:val="22"/>
          <w:lang w:val="hy-AM" w:eastAsia="en-US"/>
        </w:rPr>
        <w:t xml:space="preserve">12,485.8 մլն դրամ՝ 2021 թվականի 11,636.1 մլն դրամի դիմաց, ծախսերի </w:t>
      </w:r>
      <w:r w:rsidRPr="00A83C94">
        <w:rPr>
          <w:b w:val="0"/>
          <w:color w:val="000000"/>
          <w:szCs w:val="22"/>
          <w:lang w:val="hy-AM" w:eastAsia="en-US"/>
        </w:rPr>
        <w:t>աճը</w:t>
      </w:r>
      <w:r w:rsidRPr="00A83C94">
        <w:rPr>
          <w:b w:val="0"/>
          <w:szCs w:val="22"/>
          <w:lang w:val="hy-AM" w:eastAsia="en-US"/>
        </w:rPr>
        <w:t xml:space="preserve"> կազմել է 849.7 մլն դրամ կամ 7.3 տոկոս, պայմանավորված հետևյալով. </w:t>
      </w:r>
    </w:p>
    <w:p w14:paraId="5146584F" w14:textId="77777777" w:rsidR="00907596" w:rsidRPr="00A83C94" w:rsidRDefault="00907596" w:rsidP="007C65A5">
      <w:pPr>
        <w:numPr>
          <w:ilvl w:val="12"/>
          <w:numId w:val="0"/>
        </w:numPr>
        <w:tabs>
          <w:tab w:val="left" w:pos="851"/>
          <w:tab w:val="left" w:pos="9214"/>
        </w:tabs>
        <w:spacing w:before="0" w:line="276" w:lineRule="auto"/>
        <w:ind w:firstLine="720"/>
        <w:contextualSpacing w:val="0"/>
        <w:rPr>
          <w:color w:val="000000"/>
          <w:szCs w:val="22"/>
          <w:shd w:val="clear" w:color="auto" w:fill="FFFFFF"/>
          <w:lang w:val="af-ZA"/>
        </w:rPr>
      </w:pPr>
      <w:r w:rsidRPr="00A83C94">
        <w:rPr>
          <w:rFonts w:cs="GHEA Grapalat"/>
          <w:b w:val="0"/>
          <w:szCs w:val="22"/>
          <w:lang w:val="hy-AM" w:eastAsia="en-US"/>
        </w:rPr>
        <w:t>սովորողների թվաքանակների փոփոխության արդյունքում՝ ծախսերը նվազել են 130</w:t>
      </w:r>
      <w:r w:rsidRPr="00A83C94">
        <w:rPr>
          <w:b w:val="0"/>
          <w:szCs w:val="22"/>
          <w:lang w:val="hy-AM" w:eastAsia="en-US"/>
        </w:rPr>
        <w:t>.</w:t>
      </w:r>
      <w:r w:rsidRPr="00A83C94">
        <w:rPr>
          <w:rFonts w:cs="GHEA Grapalat"/>
          <w:b w:val="0"/>
          <w:szCs w:val="22"/>
          <w:lang w:val="hy-AM" w:eastAsia="en-US"/>
        </w:rPr>
        <w:t>1 մլն դրամով, միաժամանակ, 75</w:t>
      </w:r>
      <w:r w:rsidRPr="00A83C94">
        <w:rPr>
          <w:b w:val="0"/>
          <w:szCs w:val="22"/>
          <w:lang w:val="hy-AM" w:eastAsia="en-US"/>
        </w:rPr>
        <w:t>.</w:t>
      </w:r>
      <w:r w:rsidRPr="00A83C94">
        <w:rPr>
          <w:rFonts w:cs="GHEA Grapalat"/>
          <w:b w:val="0"/>
          <w:szCs w:val="22"/>
          <w:lang w:val="hy-AM" w:eastAsia="en-US"/>
        </w:rPr>
        <w:t xml:space="preserve">8 մլն դրամ է նախատեսվել </w:t>
      </w:r>
      <w:r w:rsidRPr="00A83C94">
        <w:rPr>
          <w:b w:val="0"/>
          <w:szCs w:val="22"/>
          <w:lang w:val="hy-AM" w:eastAsia="en-US"/>
        </w:rPr>
        <w:t>մարտական գործողություններին մասնակցած ուսանողների, երկու և ավելի անչափահաս երեխա ունեցող ուսանողների ուսման վճարի մասնակի փոխհատուցման գծով՝ 2021 թվականի հուլիսին ընդունված ՀՕ-318-Ն և ՀՕ-319-Ն օրենքների կիրարկմամբ պայմանավորված</w:t>
      </w:r>
      <w:r w:rsidRPr="00A83C94">
        <w:rPr>
          <w:rFonts w:cs="GHEA Grapalat"/>
          <w:b w:val="0"/>
          <w:szCs w:val="22"/>
          <w:lang w:val="hy-AM" w:eastAsia="en-US"/>
        </w:rPr>
        <w:t xml:space="preserve">: </w:t>
      </w:r>
      <w:r w:rsidRPr="00A83C94">
        <w:rPr>
          <w:b w:val="0"/>
          <w:color w:val="000000"/>
          <w:szCs w:val="22"/>
          <w:lang w:val="hy-AM" w:eastAsia="en-US"/>
        </w:rPr>
        <w:t>Ծրագրով ծախսերը նախատեսվել են հանրապետության 21 արհեստագործական ուսումնարաններում արհեստագործական կրթության մեջ ընդգրկվող 7.8 հազար սովորողների ուսուցման գծով` 2021 թվականի 7.9 հազարի դիմաց (սովորողների թվաքանակը 2022 թվականին կնվազի 0.1 հազարով) և 69 հաստատություններում միջին մասնագիտական կրթության մեջ ընդգրկվող 21.6 հազար սովորողների ուսուցման գծով` 2021 թվականի 22.3 հազարի դիմաց (սովորողների թվաքանակը կնվազի 0.7</w:t>
      </w:r>
      <w:r w:rsidRPr="00A83C94">
        <w:rPr>
          <w:b w:val="0"/>
          <w:szCs w:val="22"/>
          <w:lang w:val="hy-AM" w:eastAsia="en-US"/>
        </w:rPr>
        <w:t xml:space="preserve"> հազարով):</w:t>
      </w:r>
      <w:r w:rsidRPr="00A83C94">
        <w:rPr>
          <w:color w:val="000000"/>
          <w:szCs w:val="22"/>
          <w:shd w:val="clear" w:color="auto" w:fill="FFFFFF"/>
          <w:lang w:val="hy-AM"/>
        </w:rPr>
        <w:t xml:space="preserve"> </w:t>
      </w:r>
    </w:p>
    <w:p w14:paraId="12B6B248" w14:textId="4AE8C9A2"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rFonts w:cs="GHEA Grapalat"/>
          <w:b w:val="0"/>
          <w:szCs w:val="22"/>
          <w:lang w:val="hy-AM" w:eastAsia="en-US"/>
        </w:rPr>
        <w:t xml:space="preserve">Նախագծով </w:t>
      </w:r>
      <w:r w:rsidRPr="00A83C94">
        <w:rPr>
          <w:b w:val="0"/>
          <w:szCs w:val="22"/>
          <w:lang w:val="hy-AM" w:eastAsia="en-US"/>
        </w:rPr>
        <w:t>«</w:t>
      </w:r>
      <w:r w:rsidRPr="00A83C94">
        <w:rPr>
          <w:rFonts w:cs="GHEA Grapalat"/>
          <w:b w:val="0"/>
          <w:szCs w:val="22"/>
          <w:lang w:val="hy-AM" w:eastAsia="en-US"/>
        </w:rPr>
        <w:t xml:space="preserve">Նախնական մասնագիտական (արհեստագործական) և միջին մասնագիտական ուսումնական հաստատությունների շենքային պայմանների բարելավում» միջոցառման շրջանակներում Նոր Գեղիի ակադեմիկոս Գ. Աղաջանյանի անվան պետական և Գորիսի պրոֆեսոր Խ. Երիցյանի անվան պետական գյուղատնտեսական </w:t>
      </w:r>
      <w:r w:rsidR="00965CDC" w:rsidRPr="00A83C94">
        <w:rPr>
          <w:rFonts w:cs="GHEA Grapalat"/>
          <w:b w:val="0"/>
          <w:szCs w:val="22"/>
          <w:lang w:val="hy-AM" w:eastAsia="en-US"/>
        </w:rPr>
        <w:t xml:space="preserve">քոլեջների շինարարական և Երևանի թեթև արդյունաբերության պետական քոլեջի նախագծային աշխատանքների իրականացման </w:t>
      </w:r>
      <w:r w:rsidRPr="00A83C94">
        <w:rPr>
          <w:rFonts w:cs="GHEA Grapalat"/>
          <w:b w:val="0"/>
          <w:szCs w:val="22"/>
          <w:lang w:val="hy-AM" w:eastAsia="en-US"/>
        </w:rPr>
        <w:t xml:space="preserve">նպատակով նախատեսվել է 1,173.9 մլն դրամ՝ 2021 թվականի 269.9 մլն դրամի դիմաց կամ՝ ծախսերի աճը կազմել է </w:t>
      </w:r>
      <w:r w:rsidRPr="00A83C94">
        <w:rPr>
          <w:rFonts w:cs="GHEA Grapalat"/>
          <w:b w:val="0"/>
          <w:szCs w:val="22"/>
          <w:lang w:val="af-ZA" w:eastAsia="en-US"/>
        </w:rPr>
        <w:t>904</w:t>
      </w:r>
      <w:r w:rsidRPr="00A83C94">
        <w:rPr>
          <w:rFonts w:cs="GHEA Grapalat"/>
          <w:b w:val="0"/>
          <w:szCs w:val="22"/>
          <w:lang w:val="hy-AM" w:eastAsia="en-US"/>
        </w:rPr>
        <w:t xml:space="preserve">.0 մլն դրամ </w:t>
      </w:r>
      <w:r w:rsidRPr="00A83C94">
        <w:rPr>
          <w:b w:val="0"/>
          <w:szCs w:val="22"/>
          <w:lang w:val="hy-AM" w:eastAsia="en-US"/>
        </w:rPr>
        <w:t>(ընդհանուր առմամբ՝ կրթական օբյեկտների հիմնանորոգման, շինարարության և գույքով ապահովման գծով ծախսերը նախատեսվել են 2</w:t>
      </w:r>
      <w:r w:rsidR="00A21A24" w:rsidRPr="00A21A24">
        <w:rPr>
          <w:b w:val="0"/>
          <w:szCs w:val="22"/>
          <w:lang w:val="af-ZA" w:eastAsia="en-US"/>
        </w:rPr>
        <w:t>0</w:t>
      </w:r>
      <w:r w:rsidR="002D48B9">
        <w:rPr>
          <w:b w:val="0"/>
          <w:szCs w:val="22"/>
          <w:lang w:val="hy-AM" w:eastAsia="en-US"/>
        </w:rPr>
        <w:t>,55</w:t>
      </w:r>
      <w:r w:rsidRPr="00A83C94">
        <w:rPr>
          <w:b w:val="0"/>
          <w:szCs w:val="22"/>
          <w:lang w:val="hy-AM" w:eastAsia="en-US"/>
        </w:rPr>
        <w:t>4.</w:t>
      </w:r>
      <w:r w:rsidR="002D48B9" w:rsidRPr="002D48B9">
        <w:rPr>
          <w:b w:val="0"/>
          <w:szCs w:val="22"/>
          <w:lang w:val="af-ZA" w:eastAsia="en-US"/>
        </w:rPr>
        <w:t>4</w:t>
      </w:r>
      <w:r w:rsidRPr="00A83C94">
        <w:rPr>
          <w:b w:val="0"/>
          <w:szCs w:val="22"/>
          <w:lang w:val="hy-AM" w:eastAsia="en-US"/>
        </w:rPr>
        <w:t xml:space="preserve"> մլն դրամի չափով, որը 2021 թվականի համար հաստատված համապատասխան ցուցանիշից (1,327.6 մլն դրամ) ավել է </w:t>
      </w:r>
      <w:r w:rsidR="00A21A24" w:rsidRPr="00A21A24">
        <w:rPr>
          <w:b w:val="0"/>
          <w:szCs w:val="22"/>
          <w:lang w:val="af-ZA" w:eastAsia="en-US"/>
        </w:rPr>
        <w:t>19</w:t>
      </w:r>
      <w:r w:rsidRPr="00A83C94">
        <w:rPr>
          <w:b w:val="0"/>
          <w:szCs w:val="22"/>
          <w:lang w:val="hy-AM" w:eastAsia="en-US"/>
        </w:rPr>
        <w:t>,</w:t>
      </w:r>
      <w:r w:rsidR="002D48B9" w:rsidRPr="002D48B9">
        <w:rPr>
          <w:b w:val="0"/>
          <w:szCs w:val="22"/>
          <w:lang w:val="af-ZA" w:eastAsia="en-US"/>
        </w:rPr>
        <w:t>226</w:t>
      </w:r>
      <w:r w:rsidRPr="00A83C94">
        <w:rPr>
          <w:b w:val="0"/>
          <w:szCs w:val="22"/>
          <w:lang w:val="hy-AM" w:eastAsia="en-US"/>
        </w:rPr>
        <w:t>.</w:t>
      </w:r>
      <w:r w:rsidR="002D48B9" w:rsidRPr="002D48B9">
        <w:rPr>
          <w:b w:val="0"/>
          <w:szCs w:val="22"/>
          <w:lang w:val="af-ZA" w:eastAsia="en-US"/>
        </w:rPr>
        <w:t>8</w:t>
      </w:r>
      <w:r w:rsidRPr="00A83C94">
        <w:rPr>
          <w:b w:val="0"/>
          <w:szCs w:val="22"/>
          <w:lang w:val="hy-AM" w:eastAsia="en-US"/>
        </w:rPr>
        <w:t xml:space="preserve"> մլն դրամով: Կրթական օբյեկտների կառուցման և հիմնանորոգման աշխատանքների, ինչպես նաև գույքով ապահովման գծով ծախսերն ուղղված են ուսումնական գործընթացը բարելավված շենքային պայմաններում կազմակերպելու ապահովմանը և համահունչ են ՀՀ կառավարության 2021 թվականի օգոստոսի 18-ի N 1363-Ա որոշմամբ հաստատված՝ ՀՀ կառավարության ծրագրի «4.3 Կրթություն» բաժնում սահմանված ՀՀ կառավարության քաղաքականության նպատակներին և թիրախներին: </w:t>
      </w:r>
    </w:p>
    <w:p w14:paraId="05E236FF" w14:textId="170F75A8" w:rsidR="00907596" w:rsidRPr="00A83C94" w:rsidRDefault="00907596" w:rsidP="007C65A5">
      <w:pPr>
        <w:numPr>
          <w:ilvl w:val="12"/>
          <w:numId w:val="0"/>
        </w:numPr>
        <w:tabs>
          <w:tab w:val="left" w:pos="851"/>
          <w:tab w:val="left" w:pos="9214"/>
        </w:tabs>
        <w:spacing w:before="0" w:line="276" w:lineRule="auto"/>
        <w:ind w:firstLine="720"/>
        <w:contextualSpacing w:val="0"/>
        <w:rPr>
          <w:rFonts w:cs="GHEA Grapalat"/>
          <w:b w:val="0"/>
          <w:szCs w:val="22"/>
          <w:lang w:val="hy-AM" w:eastAsia="en-US"/>
        </w:rPr>
      </w:pPr>
      <w:r w:rsidRPr="00A83C94">
        <w:rPr>
          <w:szCs w:val="22"/>
          <w:lang w:val="hy-AM" w:eastAsia="en-US"/>
        </w:rPr>
        <w:t xml:space="preserve">Բարձրագույն և հետբուհական մասնագիտական կրթության </w:t>
      </w:r>
      <w:r w:rsidRPr="00A83C94">
        <w:rPr>
          <w:b w:val="0"/>
          <w:szCs w:val="22"/>
          <w:lang w:val="hy-AM" w:eastAsia="en-US"/>
        </w:rPr>
        <w:t xml:space="preserve">ծրագրի նպատակն է՝ ապահովել մատչելի, որակյալ և մրցունակ բարձրագույն և հետբուհական մասնագիտական կրթություն: Ծրագրի գծով նախատեսվել է </w:t>
      </w:r>
      <w:r w:rsidRPr="00A83C94">
        <w:rPr>
          <w:rFonts w:cs="GHEA Grapalat"/>
          <w:b w:val="0"/>
          <w:szCs w:val="22"/>
          <w:lang w:val="hy-AM" w:eastAsia="en-US"/>
        </w:rPr>
        <w:t xml:space="preserve">14,593.1 </w:t>
      </w:r>
      <w:r w:rsidRPr="00A83C94">
        <w:rPr>
          <w:b w:val="0"/>
          <w:szCs w:val="22"/>
          <w:lang w:val="hy-AM" w:eastAsia="en-US"/>
        </w:rPr>
        <w:t xml:space="preserve">մլն դրամ՝ 2021 թվականի </w:t>
      </w:r>
      <w:r w:rsidRPr="00A83C94">
        <w:rPr>
          <w:rFonts w:cs="GHEA Grapalat"/>
          <w:b w:val="0"/>
          <w:szCs w:val="22"/>
          <w:lang w:val="hy-AM" w:eastAsia="en-US"/>
        </w:rPr>
        <w:t xml:space="preserve">11,861.9 </w:t>
      </w:r>
      <w:r w:rsidRPr="00A83C94">
        <w:rPr>
          <w:b w:val="0"/>
          <w:szCs w:val="22"/>
          <w:lang w:val="hy-AM" w:eastAsia="en-US"/>
        </w:rPr>
        <w:t xml:space="preserve">մլն դրամի դիմաց, ծախսերի </w:t>
      </w:r>
      <w:r w:rsidRPr="00A83C94">
        <w:rPr>
          <w:rFonts w:cs="GHEA Grapalat"/>
          <w:b w:val="0"/>
          <w:szCs w:val="22"/>
          <w:lang w:val="hy-AM" w:eastAsia="en-US"/>
        </w:rPr>
        <w:t>աճը</w:t>
      </w:r>
      <w:r w:rsidRPr="00A83C94">
        <w:rPr>
          <w:b w:val="0"/>
          <w:szCs w:val="22"/>
          <w:lang w:val="hy-AM" w:eastAsia="en-US"/>
        </w:rPr>
        <w:t xml:space="preserve"> կազմել է 2</w:t>
      </w:r>
      <w:r w:rsidRPr="00A83C94">
        <w:rPr>
          <w:rFonts w:cs="GHEA Grapalat"/>
          <w:b w:val="0"/>
          <w:szCs w:val="22"/>
          <w:lang w:val="hy-AM" w:eastAsia="en-US"/>
        </w:rPr>
        <w:t xml:space="preserve">,731.2 </w:t>
      </w:r>
      <w:r w:rsidRPr="00A83C94">
        <w:rPr>
          <w:b w:val="0"/>
          <w:szCs w:val="22"/>
          <w:lang w:val="hy-AM" w:eastAsia="en-US"/>
        </w:rPr>
        <w:t>մլն դրամ կամ 23.0 տոկոս՝</w:t>
      </w:r>
      <w:r w:rsidRPr="00A83C94">
        <w:rPr>
          <w:rFonts w:cs="GHEA Grapalat"/>
          <w:b w:val="0"/>
          <w:szCs w:val="22"/>
          <w:lang w:val="hy-AM" w:eastAsia="en-US"/>
        </w:rPr>
        <w:t xml:space="preserve"> պայմանավորված ուսանողների թվաքանակների փոփոխությամբ:</w:t>
      </w:r>
    </w:p>
    <w:p w14:paraId="52648903" w14:textId="77777777" w:rsidR="00907596" w:rsidRPr="00A83C94" w:rsidRDefault="00907596" w:rsidP="007C65A5">
      <w:pPr>
        <w:numPr>
          <w:ilvl w:val="12"/>
          <w:numId w:val="0"/>
        </w:numPr>
        <w:tabs>
          <w:tab w:val="left" w:pos="851"/>
          <w:tab w:val="left" w:pos="9214"/>
        </w:tabs>
        <w:spacing w:before="0" w:line="276" w:lineRule="auto"/>
        <w:ind w:firstLine="720"/>
        <w:contextualSpacing w:val="0"/>
        <w:rPr>
          <w:b w:val="0"/>
          <w:szCs w:val="22"/>
          <w:lang w:val="hy-AM" w:eastAsia="en-US"/>
        </w:rPr>
      </w:pPr>
      <w:r w:rsidRPr="00A83C94">
        <w:rPr>
          <w:b w:val="0"/>
          <w:szCs w:val="22"/>
          <w:lang w:val="hy-AM" w:eastAsia="en-US"/>
        </w:rPr>
        <w:t xml:space="preserve">Ծրագրի շրջանակներում բարձրագույն և հետբուհական մասնագիտական կրթություն ստացող ուսանողների կրթաթոշակի և ուսանողական նպաստների տրամադրման գծով միջոցառումներով նախատեսվել է՝ ընդամենը, 13,780.8 մլն դրամ՝ 2021 թվականի 11,432.0 մլն դրամի դիմաց, կամ՝ ծախսերի </w:t>
      </w:r>
      <w:r w:rsidRPr="00A83C94">
        <w:rPr>
          <w:rFonts w:cs="GHEA Grapalat"/>
          <w:b w:val="0"/>
          <w:szCs w:val="22"/>
          <w:lang w:val="hy-AM" w:eastAsia="en-US"/>
        </w:rPr>
        <w:t>աճը</w:t>
      </w:r>
      <w:r w:rsidRPr="00A83C94">
        <w:rPr>
          <w:b w:val="0"/>
          <w:szCs w:val="22"/>
          <w:lang w:val="hy-AM" w:eastAsia="en-US"/>
        </w:rPr>
        <w:t xml:space="preserve"> կազմում է 2,348.8 մլն դրամ կամ 20.5 տոկոս</w:t>
      </w:r>
      <w:r w:rsidRPr="00A83C94">
        <w:rPr>
          <w:rFonts w:cs="GHEA Grapalat"/>
          <w:b w:val="0"/>
          <w:szCs w:val="22"/>
          <w:lang w:val="hy-AM" w:eastAsia="en-US"/>
        </w:rPr>
        <w:t xml:space="preserve">: </w:t>
      </w:r>
      <w:r w:rsidRPr="00A83C94">
        <w:rPr>
          <w:b w:val="0"/>
          <w:szCs w:val="22"/>
          <w:lang w:val="hy-AM" w:eastAsia="en-US"/>
        </w:rPr>
        <w:t>Նշված միջոցառումների գծով ծախսերը նախատեսվել են 12.5 հազար ուսանողի հաշվով` 2021 թվականի 12.3 հազարի դիմաց (ուսանողների թվաքանակը 2022 թվականին կաճի 0.2 հազարով):</w:t>
      </w:r>
    </w:p>
    <w:p w14:paraId="75E910A7"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Նախագծով «Բարձրագույն մասնագիտական կրթության գծով ուսանողական նպաստների տրամադրում» միջոցառման հաշվարկներում 748.0 մլն դրամ է նախատեսվել 2020 թվականի սեպտեմբերի 27-ից Ադրբեջանի Հանրապետության կողմից Արցախի Հանրապետության դեմ սանձազերծված պատերազմի ընթացքում մարտական գործողությունների մասնակից սովորողների, ինչպես նաև պատերազմի ընթացքում մարտական գործողությունների մասնակից անձանց սովորող երեխաների և սովորող ամուսնու՝ 1-ին կիսամյակի ուսման վարձի 100% փոխհատուցման գծով, համաձայն ՀՀ կառավարության 2020 թվականի դեկտեմբերի 10-ի N2008-Լ որոշման, ևս 990.0 մլն դրամ է նախատեսվել մարտական գործողություններին մասնակցած ուսանողների, երկու և ավելի անչափահաս երեխա ունեցող ուսանողների ուսման վճարի մասնակի փոխհատուցման գծով՝ 2021 թվականի հուլիսին ընդունված ՀՕ-317-Ն և ՀՕ-319-Ն օրենքների կիրարկմամբ պայմանավորված: </w:t>
      </w:r>
    </w:p>
    <w:p w14:paraId="0930CB56" w14:textId="77777777" w:rsidR="00907596" w:rsidRPr="00A83C94" w:rsidRDefault="00907596" w:rsidP="007C65A5">
      <w:pPr>
        <w:spacing w:before="0" w:line="276" w:lineRule="auto"/>
        <w:ind w:firstLine="547"/>
        <w:rPr>
          <w:rFonts w:eastAsia="Calibri"/>
          <w:b w:val="0"/>
          <w:szCs w:val="22"/>
          <w:lang w:val="hy-AM" w:eastAsia="en-US"/>
        </w:rPr>
      </w:pPr>
      <w:r w:rsidRPr="00A83C94">
        <w:rPr>
          <w:b w:val="0"/>
          <w:szCs w:val="22"/>
          <w:lang w:val="hy-AM" w:eastAsia="en-US"/>
        </w:rPr>
        <w:t xml:space="preserve">Նախագծով </w:t>
      </w:r>
      <w:r w:rsidRPr="00A83C94">
        <w:rPr>
          <w:rFonts w:eastAsia="Calibri"/>
          <w:b w:val="0"/>
          <w:szCs w:val="22"/>
          <w:lang w:val="af-ZA" w:eastAsia="en-US"/>
        </w:rPr>
        <w:t>473.0 մլն դրամ</w:t>
      </w:r>
      <w:r w:rsidRPr="00A83C94">
        <w:rPr>
          <w:rFonts w:eastAsia="Calibri"/>
          <w:b w:val="0"/>
          <w:szCs w:val="22"/>
          <w:lang w:val="hy-AM" w:eastAsia="en-US"/>
        </w:rPr>
        <w:t xml:space="preserve"> է նախատեսվել </w:t>
      </w:r>
      <w:r w:rsidRPr="00A83C94">
        <w:rPr>
          <w:rFonts w:eastAsia="Calibri"/>
          <w:b w:val="0"/>
          <w:szCs w:val="22"/>
          <w:lang w:val="af-ZA" w:eastAsia="en-US"/>
        </w:rPr>
        <w:t>«Երևանի Կոմիտասի անվան պետական կոնսերվատորիա» ՊՈԱԿ-ի շինարարական աշխատանքների</w:t>
      </w:r>
      <w:r w:rsidRPr="00A83C94">
        <w:rPr>
          <w:rFonts w:eastAsia="Calibri"/>
          <w:b w:val="0"/>
          <w:szCs w:val="22"/>
          <w:lang w:val="hy-AM" w:eastAsia="en-US"/>
        </w:rPr>
        <w:t xml:space="preserve"> գծով </w:t>
      </w:r>
      <w:r w:rsidRPr="00A83C94">
        <w:rPr>
          <w:rFonts w:cs="Arial"/>
          <w:b w:val="0"/>
          <w:szCs w:val="22"/>
          <w:lang w:val="hy-AM" w:eastAsia="en-US"/>
        </w:rPr>
        <w:t>(2021 թվականին նշված ծախսը նախատեսված չի եղել)</w:t>
      </w:r>
      <w:r w:rsidRPr="00A83C94">
        <w:rPr>
          <w:rFonts w:eastAsia="Calibri"/>
          <w:b w:val="0"/>
          <w:szCs w:val="22"/>
          <w:lang w:val="af-ZA" w:eastAsia="en-US"/>
        </w:rPr>
        <w:t>:</w:t>
      </w:r>
      <w:r w:rsidRPr="00A83C94">
        <w:rPr>
          <w:b w:val="0"/>
          <w:szCs w:val="22"/>
          <w:lang w:val="hy-AM" w:eastAsia="en-US"/>
        </w:rPr>
        <w:t xml:space="preserve"> </w:t>
      </w:r>
    </w:p>
    <w:p w14:paraId="70D811AB" w14:textId="77777777" w:rsidR="00907596" w:rsidRPr="00A83C94" w:rsidRDefault="00907596" w:rsidP="007C65A5">
      <w:pPr>
        <w:spacing w:before="0" w:line="276" w:lineRule="auto"/>
        <w:ind w:firstLine="547"/>
        <w:rPr>
          <w:rFonts w:eastAsia="Calibri"/>
          <w:b w:val="0"/>
          <w:szCs w:val="22"/>
          <w:lang w:val="hy-AM" w:eastAsia="en-US"/>
        </w:rPr>
      </w:pPr>
      <w:r w:rsidRPr="00A83C94">
        <w:rPr>
          <w:b w:val="0"/>
          <w:szCs w:val="22"/>
          <w:lang w:val="hy-AM" w:eastAsia="en-US"/>
        </w:rPr>
        <w:t>Բարձրագույն կրթության ոլորտի բարեփոխումներն ամրագրված են ՀՀ կառավարության ծրագրի «4.3 Կրթություն» բաժնում:</w:t>
      </w:r>
    </w:p>
    <w:p w14:paraId="2C2AD09F" w14:textId="6C5972E6" w:rsidR="00907596" w:rsidRPr="00A83C94" w:rsidRDefault="00907596" w:rsidP="007C65A5">
      <w:pPr>
        <w:spacing w:before="0" w:line="276" w:lineRule="auto"/>
        <w:ind w:firstLine="547"/>
        <w:rPr>
          <w:b w:val="0"/>
          <w:szCs w:val="22"/>
          <w:lang w:val="hy-AM" w:eastAsia="en-US"/>
        </w:rPr>
      </w:pPr>
      <w:r w:rsidRPr="00A83C94">
        <w:rPr>
          <w:szCs w:val="22"/>
          <w:lang w:val="hy-AM" w:eastAsia="en-US"/>
        </w:rPr>
        <w:t xml:space="preserve">Հանրակրթության </w:t>
      </w:r>
      <w:r w:rsidR="009A779D" w:rsidRPr="00A83C94">
        <w:rPr>
          <w:b w:val="0"/>
          <w:szCs w:val="22"/>
          <w:lang w:val="hy-AM" w:eastAsia="en-US"/>
        </w:rPr>
        <w:t>ծրագրի</w:t>
      </w:r>
      <w:r w:rsidRPr="00A83C94">
        <w:rPr>
          <w:b w:val="0"/>
          <w:szCs w:val="22"/>
          <w:lang w:val="hy-AM" w:eastAsia="en-US"/>
        </w:rPr>
        <w:t xml:space="preserve"> նպատակն է՝ ապահովել անվճար և որակյալ հանրակրթություն: Ծրագրի գծով նախատեսվել է 11</w:t>
      </w:r>
      <w:r w:rsidR="00A21A24" w:rsidRPr="00A21A24">
        <w:rPr>
          <w:b w:val="0"/>
          <w:szCs w:val="22"/>
          <w:lang w:val="hy-AM" w:eastAsia="en-US"/>
        </w:rPr>
        <w:t>2</w:t>
      </w:r>
      <w:r w:rsidR="002D48B9">
        <w:rPr>
          <w:b w:val="0"/>
          <w:szCs w:val="22"/>
          <w:lang w:val="hy-AM" w:eastAsia="en-US"/>
        </w:rPr>
        <w:t>,3</w:t>
      </w:r>
      <w:r w:rsidRPr="00A83C94">
        <w:rPr>
          <w:b w:val="0"/>
          <w:szCs w:val="22"/>
          <w:lang w:val="hy-AM" w:eastAsia="en-US"/>
        </w:rPr>
        <w:t>8</w:t>
      </w:r>
      <w:r w:rsidR="002D48B9" w:rsidRPr="002D48B9">
        <w:rPr>
          <w:b w:val="0"/>
          <w:szCs w:val="22"/>
          <w:lang w:val="hy-AM" w:eastAsia="en-US"/>
        </w:rPr>
        <w:t>6</w:t>
      </w:r>
      <w:r w:rsidRPr="00A83C94">
        <w:rPr>
          <w:b w:val="0"/>
          <w:szCs w:val="22"/>
          <w:lang w:val="hy-AM" w:eastAsia="en-US"/>
        </w:rPr>
        <w:t>.</w:t>
      </w:r>
      <w:r w:rsidR="002D48B9" w:rsidRPr="002D48B9">
        <w:rPr>
          <w:b w:val="0"/>
          <w:szCs w:val="22"/>
          <w:lang w:val="hy-AM" w:eastAsia="en-US"/>
        </w:rPr>
        <w:t>5</w:t>
      </w:r>
      <w:r w:rsidRPr="00A83C94">
        <w:rPr>
          <w:rFonts w:cs="GHEA Grapalat"/>
          <w:b w:val="0"/>
          <w:szCs w:val="22"/>
          <w:lang w:val="hy-AM" w:eastAsia="en-US"/>
        </w:rPr>
        <w:t xml:space="preserve"> </w:t>
      </w:r>
      <w:r w:rsidRPr="00A83C94">
        <w:rPr>
          <w:b w:val="0"/>
          <w:szCs w:val="22"/>
          <w:lang w:val="hy-AM" w:eastAsia="en-US"/>
        </w:rPr>
        <w:t>մլն դրամ՝ 2021 թվականի 103,163.0</w:t>
      </w:r>
      <w:r w:rsidRPr="00A83C94">
        <w:rPr>
          <w:rFonts w:cs="GHEA Grapalat"/>
          <w:b w:val="0"/>
          <w:szCs w:val="22"/>
          <w:lang w:val="hy-AM" w:eastAsia="en-US"/>
        </w:rPr>
        <w:t xml:space="preserve"> </w:t>
      </w:r>
      <w:r w:rsidRPr="00A83C94">
        <w:rPr>
          <w:b w:val="0"/>
          <w:szCs w:val="22"/>
          <w:lang w:val="hy-AM" w:eastAsia="en-US"/>
        </w:rPr>
        <w:t>մլն դրամի</w:t>
      </w:r>
      <w:r w:rsidR="00A21A24">
        <w:rPr>
          <w:b w:val="0"/>
          <w:szCs w:val="22"/>
          <w:lang w:val="hy-AM" w:eastAsia="en-US"/>
        </w:rPr>
        <w:t xml:space="preserve"> դիմաց, ծախսերի աճը կազմում է 9,</w:t>
      </w:r>
      <w:r w:rsidR="002D48B9" w:rsidRPr="002D48B9">
        <w:rPr>
          <w:b w:val="0"/>
          <w:szCs w:val="22"/>
          <w:lang w:val="hy-AM" w:eastAsia="en-US"/>
        </w:rPr>
        <w:t>223</w:t>
      </w:r>
      <w:r w:rsidRPr="00A83C94">
        <w:rPr>
          <w:b w:val="0"/>
          <w:szCs w:val="22"/>
          <w:lang w:val="hy-AM" w:eastAsia="en-US"/>
        </w:rPr>
        <w:t>.</w:t>
      </w:r>
      <w:r w:rsidR="002D48B9" w:rsidRPr="002D48B9">
        <w:rPr>
          <w:b w:val="0"/>
          <w:szCs w:val="22"/>
          <w:lang w:val="hy-AM" w:eastAsia="en-US"/>
        </w:rPr>
        <w:t>5</w:t>
      </w:r>
      <w:r w:rsidRPr="00A83C94">
        <w:rPr>
          <w:b w:val="0"/>
          <w:szCs w:val="22"/>
          <w:lang w:val="hy-AM" w:eastAsia="en-US"/>
        </w:rPr>
        <w:t xml:space="preserve"> մլն </w:t>
      </w:r>
      <w:r w:rsidR="00A21A24">
        <w:rPr>
          <w:b w:val="0"/>
          <w:szCs w:val="22"/>
          <w:lang w:val="hy-AM" w:eastAsia="en-US"/>
        </w:rPr>
        <w:t>դրամ կամ 8</w:t>
      </w:r>
      <w:r w:rsidRPr="00A83C94">
        <w:rPr>
          <w:b w:val="0"/>
          <w:szCs w:val="22"/>
          <w:lang w:val="hy-AM" w:eastAsia="en-US"/>
        </w:rPr>
        <w:t>.</w:t>
      </w:r>
      <w:r w:rsidR="002D48B9" w:rsidRPr="002D48B9">
        <w:rPr>
          <w:b w:val="0"/>
          <w:szCs w:val="22"/>
          <w:lang w:val="hy-AM" w:eastAsia="en-US"/>
        </w:rPr>
        <w:t>9</w:t>
      </w:r>
      <w:r w:rsidRPr="00A83C94">
        <w:rPr>
          <w:b w:val="0"/>
          <w:szCs w:val="22"/>
          <w:lang w:val="hy-AM" w:eastAsia="en-US"/>
        </w:rPr>
        <w:t xml:space="preserve"> տոկոս՝ պայմանավորված սովորողների թվաքանակների փոփոխությամբ: </w:t>
      </w:r>
    </w:p>
    <w:p w14:paraId="01923537"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Ծրագրի շրջանակներում միջոցներ են նախատեսվել պարտադիր կրթության երեք մակարդակներում սովորողների ուսուցման գծով: «Տարրական ընդհանուր հանրակրթություն», «Հիմնական ընդհանուր հանրակրթություն», «Միջնակարգ ընդհանուր հանրակրթություն», «Նախադպրոցական կրթություն» և «Միջնակարգ հանրակրթություն երեկոյան դպրոցում (Շիրակի մարզ)» միջոցառումների գծով նախատեսվել է՝ ընդամենը, 98,990.4 մլն դրամ՝ 2021 թվականի 93,233.5 մլն դրամի դիմաց, ծախսերի աճը կազմում է 5,756.9 մլն դրամ կամ 6.2 տոկոս` պայմանավորված սովորողների թվաքանակների փոփոխությամբ:</w:t>
      </w:r>
    </w:p>
    <w:p w14:paraId="61101D1A"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Նախագծով ծախսերը հաշվարկվել են 1336 հանրակրթական դպրոցների, միջին տարեկան հաշվարկով, 411.9 հազար աշակերտի ուսուցման գծով` 2021 թվականի 402.3  հազարի դիմաց կամ` աշակերտների թվաքանակի ավելացումը կազմում է 9.6 հազար (ընդ որում, հաշվարկներում նախադպրոցական կրթության մեջ ընդգրկվածների թվաքանակը նախատեսվել է 8.6 հազար` 2021 թվականի 7.9 հազարի դիմաց կամ` ավելացումը կազմում է 0.7 հազար երեխա, իսկ հանրակրթական դպրոցների սովորողների թիվը` 403.3 հազար աշակերտ` 2021 թվականի 394.4 հազարի դիմաց կամ՝ ավելացումը կազմում է 8.9 հազար աշակերտ): </w:t>
      </w:r>
    </w:p>
    <w:p w14:paraId="42394909" w14:textId="77777777" w:rsidR="00907596" w:rsidRPr="00A83C94" w:rsidRDefault="00907596" w:rsidP="007C65A5">
      <w:pPr>
        <w:spacing w:before="0" w:line="276" w:lineRule="auto"/>
        <w:ind w:firstLine="547"/>
        <w:rPr>
          <w:b w:val="0"/>
          <w:szCs w:val="22"/>
          <w:lang w:val="hy-AM" w:eastAsia="en-US"/>
        </w:rPr>
      </w:pPr>
      <w:r w:rsidRPr="00A83C94">
        <w:rPr>
          <w:rFonts w:cs="Arial"/>
          <w:b w:val="0"/>
          <w:szCs w:val="22"/>
          <w:lang w:val="hy-AM" w:eastAsia="en-US"/>
        </w:rPr>
        <w:t>Հ</w:t>
      </w:r>
      <w:r w:rsidRPr="00A83C94">
        <w:rPr>
          <w:b w:val="0"/>
          <w:szCs w:val="22"/>
          <w:lang w:val="hy-AM" w:eastAsia="en-US"/>
        </w:rPr>
        <w:t>աշվարկներում համապատասխան միջոցներ են նախատեսվել ՀՀ բոլոր մարզերում և Երևան քաղաքում համընդհանուր ներառական կրթության իրականացման գծով, ինչպես նաև մարզերի հանրակրթական դպրոցների տարրական դասարաններում և դպրոցին նախապատրաստման խմբերում (նախակրթարաններում) ընդգրկված երեխաների սննդով ապահովման գծով: Մասնավորապես, հանրապետության 8 մարզերում (Արագածոտն, Արարատ, Գեղարքունիք, Լոռի, Շիրակ, Սյունիք, Վայոց ձոր, Տավուշ) իրականացվում է «Կայուն դպրոցական սնունդ» ծրագիրը: 2022 թվականի սեպտեմբերից ծրագիրը կներդրվի Արմավիրի մարզում, արդյունքում՝ սննդով կապահովվեն նշված մարզերի հանրակրթական դպրոցների տարրական դասարաններում և դպրոցին նախապատրաստման խմբերում (նախակրթարաններում) ընդգրկված, շուրջ 96.0 հազար երեխաները, որոնցից 16.0 հազարը՝ 2022 թվականի սեպտեմբերից ՀՀ Արմավիրի մարզպետարանի ենթակայության հանրակրթական դպրոցներում:</w:t>
      </w:r>
    </w:p>
    <w:p w14:paraId="2AB3B45D"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 «Դպրոցներում STEM կրթության և ռոբոտատեխնիկայի զարգացման իրականացում» միջոցառման գծով նախատեսվել է 858.6 մլն դրամ՝ 2021 թվականի 767.0 մլն դրամի դիմաց  կամ՝ ծախսերի աճը կազմել է 91.6 մլն դրամ (ծախսերը նախատեսվել են ինժեներական  լաբորատորիաների 855 խմբակավարների վարձատրության գծով` 2021 թվականի 760-ի դիմաց): </w:t>
      </w:r>
    </w:p>
    <w:p w14:paraId="4B1B224F"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2022 թվականին ՀՀ-ում կանցկացվի կենսաբանության միջազգային օլիմպիադան, որի համար նախատեսվել է 324.2 մլն դրամ՝ 2021 թվականի 33.5 մլն դրամի դիմաց կամ՝ ծախսերի աճը կազմել է 290.7 մլն դրամ: </w:t>
      </w:r>
    </w:p>
    <w:p w14:paraId="6B001853" w14:textId="108CEC86"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«Հանրակրթական դպրոցների մանկավարժներին և դպրոցահասակ երեխաներին տրանսպորտային ծախսերի փոխհատուցում» միջոցառման գծով նախատեսվել է շուրջ 515.8 մլն դրամ՝ 2021 թվականի 332.3 մլն դրամի դիմաց, կամ՝ ծախսերի աճը կազմել է 183.5 մլն դրամ (նախատեսված գումարի շրջանակներում ծախսերի փոխհատուցում կստանա շուրջ 4.7 հազար մանկավարժ՝ 2021</w:t>
      </w:r>
      <w:r w:rsidR="000177C6" w:rsidRPr="00A83C94">
        <w:rPr>
          <w:b w:val="0"/>
          <w:szCs w:val="22"/>
          <w:lang w:val="hy-AM" w:eastAsia="en-US"/>
        </w:rPr>
        <w:t xml:space="preserve"> </w:t>
      </w:r>
      <w:r w:rsidRPr="00A83C94">
        <w:rPr>
          <w:b w:val="0"/>
          <w:szCs w:val="22"/>
          <w:lang w:val="hy-AM" w:eastAsia="en-US"/>
        </w:rPr>
        <w:t>թվականի 3.8 հազարի դիմաց</w:t>
      </w:r>
      <w:r w:rsidR="000177C6" w:rsidRPr="00A83C94">
        <w:rPr>
          <w:b w:val="0"/>
          <w:szCs w:val="22"/>
          <w:lang w:val="hy-AM" w:eastAsia="en-US"/>
        </w:rPr>
        <w:t>, ինչպես նաև 940 դպրոցների 2.1 հազար դպրոցահասակ երեխա, դպրոցների թիվը 2021 թվականին կազմել է 794</w:t>
      </w:r>
      <w:r w:rsidRPr="00A83C94">
        <w:rPr>
          <w:b w:val="0"/>
          <w:szCs w:val="22"/>
          <w:lang w:val="hy-AM" w:eastAsia="en-US"/>
        </w:rPr>
        <w:t>):</w:t>
      </w:r>
    </w:p>
    <w:p w14:paraId="7DB20A01" w14:textId="0BD08DB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Ծրագրի շրջանակներում 237.0 մլն դրամ է նախատեսվել «Սոցիալական որոշ խմբերի</w:t>
      </w:r>
      <w:r w:rsidRPr="00A83C94">
        <w:rPr>
          <w:rFonts w:ascii="Calibri" w:hAnsi="Calibri" w:cs="Calibri"/>
          <w:b w:val="0"/>
          <w:szCs w:val="22"/>
          <w:lang w:val="hy-AM" w:eastAsia="en-US"/>
        </w:rPr>
        <w:t> </w:t>
      </w:r>
      <w:r w:rsidRPr="00A83C94">
        <w:rPr>
          <w:b w:val="0"/>
          <w:szCs w:val="22"/>
          <w:lang w:val="hy-AM" w:eastAsia="en-US"/>
        </w:rPr>
        <w:t>1.5-5 տարեկան երեխաների նախադպրոցական կրթության ապահովում» միջոցառման գծով</w:t>
      </w:r>
      <w:r w:rsidR="000177C6" w:rsidRPr="00A83C94">
        <w:rPr>
          <w:b w:val="0"/>
          <w:szCs w:val="22"/>
          <w:lang w:val="hy-AM" w:eastAsia="en-US"/>
        </w:rPr>
        <w:t xml:space="preserve"> (նախադպրոցական կրթության մեջ կընդգրկվի 1670 երեխա)</w:t>
      </w:r>
      <w:r w:rsidR="002F02BD">
        <w:rPr>
          <w:b w:val="0"/>
          <w:szCs w:val="22"/>
          <w:lang w:val="hy-AM" w:eastAsia="en-US"/>
        </w:rPr>
        <w:t>, 3</w:t>
      </w:r>
      <w:r w:rsidRPr="00A83C94">
        <w:rPr>
          <w:b w:val="0"/>
          <w:szCs w:val="22"/>
          <w:lang w:val="hy-AM" w:eastAsia="en-US"/>
        </w:rPr>
        <w:t>,</w:t>
      </w:r>
      <w:r w:rsidR="002F02BD" w:rsidRPr="002F02BD">
        <w:rPr>
          <w:b w:val="0"/>
          <w:szCs w:val="22"/>
          <w:lang w:val="hy-AM" w:eastAsia="en-US"/>
        </w:rPr>
        <w:t>2</w:t>
      </w:r>
      <w:r w:rsidRPr="00A83C94">
        <w:rPr>
          <w:b w:val="0"/>
          <w:szCs w:val="22"/>
          <w:lang w:val="hy-AM" w:eastAsia="en-US"/>
        </w:rPr>
        <w:t>76.0 մլն դրամ էլ նախատեսվել է «Մոդուլային» տիպի մանկապարտեզների շենքայի</w:t>
      </w:r>
      <w:r w:rsidR="002F02BD">
        <w:rPr>
          <w:b w:val="0"/>
          <w:szCs w:val="22"/>
          <w:lang w:val="hy-AM" w:eastAsia="en-US"/>
        </w:rPr>
        <w:t xml:space="preserve">ն ապահովում» միջոցառման գծով՝ </w:t>
      </w:r>
      <w:r w:rsidRPr="00A83C94">
        <w:rPr>
          <w:b w:val="0"/>
          <w:szCs w:val="22"/>
          <w:lang w:val="hy-AM" w:eastAsia="en-US"/>
        </w:rPr>
        <w:t xml:space="preserve"> մանկապարտեզների կառուցման աշխատանքների համար (2021 թվականին նշված ծախսերը նախատեսված չեն եղել):</w:t>
      </w:r>
    </w:p>
    <w:p w14:paraId="3236D11C"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 xml:space="preserve">Հանրակրթության և նախադպրոցական կրթության վերաբերյալ դրույթներն ամրագրված են ՀՀ կառավարության ծրագրի «4.3 Կրթություն» բաժնում: </w:t>
      </w:r>
    </w:p>
    <w:p w14:paraId="7C00E5AD" w14:textId="54E9F2B4" w:rsidR="00907596" w:rsidRPr="00A83C94" w:rsidRDefault="00907596" w:rsidP="007C65A5">
      <w:pPr>
        <w:spacing w:before="0" w:line="276" w:lineRule="auto"/>
        <w:ind w:firstLine="547"/>
        <w:rPr>
          <w:b w:val="0"/>
          <w:szCs w:val="22"/>
          <w:lang w:val="af-ZA" w:eastAsia="en-US"/>
        </w:rPr>
      </w:pPr>
      <w:r w:rsidRPr="00A83C94">
        <w:rPr>
          <w:b w:val="0"/>
          <w:szCs w:val="22"/>
          <w:lang w:val="hy-AM" w:eastAsia="en-US"/>
        </w:rPr>
        <w:t xml:space="preserve"> </w:t>
      </w:r>
      <w:r w:rsidRPr="00A83C94">
        <w:rPr>
          <w:szCs w:val="22"/>
          <w:lang w:val="hy-AM" w:eastAsia="en-US"/>
        </w:rPr>
        <w:t>Արտադ</w:t>
      </w:r>
      <w:r w:rsidR="009A779D" w:rsidRPr="00A83C94">
        <w:rPr>
          <w:szCs w:val="22"/>
          <w:lang w:val="hy-AM" w:eastAsia="en-US"/>
        </w:rPr>
        <w:t xml:space="preserve">պրոցական դաստիարակության </w:t>
      </w:r>
      <w:r w:rsidR="009A779D" w:rsidRPr="00A83C94">
        <w:rPr>
          <w:b w:val="0"/>
          <w:szCs w:val="22"/>
          <w:lang w:val="hy-AM" w:eastAsia="en-US"/>
        </w:rPr>
        <w:t>ծրագրի</w:t>
      </w:r>
      <w:r w:rsidRPr="00A83C94">
        <w:rPr>
          <w:b w:val="0"/>
          <w:szCs w:val="22"/>
          <w:lang w:val="hy-AM" w:eastAsia="en-US"/>
        </w:rPr>
        <w:t xml:space="preserve"> նպատակն է՝ նպաստել հանրակրթական ուսուցման համակարգում  ընդգրկված երեխաների ֆիզիկական, հոգևոր և գեղագիտական զարգացմանը, բնապահպանական և կիրառական գիտելիքների ձեռքբերմանը</w:t>
      </w:r>
      <w:r w:rsidRPr="00A83C94">
        <w:rPr>
          <w:b w:val="0"/>
          <w:szCs w:val="22"/>
          <w:lang w:val="af-ZA" w:eastAsia="en-US"/>
        </w:rPr>
        <w:t>:</w:t>
      </w:r>
      <w:r w:rsidRPr="00A83C94">
        <w:rPr>
          <w:b w:val="0"/>
          <w:szCs w:val="22"/>
          <w:lang w:val="hy-AM" w:eastAsia="en-US"/>
        </w:rPr>
        <w:t xml:space="preserve"> Ծրագրի գծով 2022 թվականին նախատեսվել է 4,3</w:t>
      </w:r>
      <w:r w:rsidR="002D48B9" w:rsidRPr="00536EDA">
        <w:rPr>
          <w:b w:val="0"/>
          <w:szCs w:val="22"/>
          <w:lang w:val="hy-AM" w:eastAsia="en-US"/>
        </w:rPr>
        <w:t>49</w:t>
      </w:r>
      <w:r w:rsidRPr="00A83C94">
        <w:rPr>
          <w:b w:val="0"/>
          <w:szCs w:val="22"/>
          <w:lang w:val="hy-AM" w:eastAsia="en-US"/>
        </w:rPr>
        <w:t>.</w:t>
      </w:r>
      <w:r w:rsidR="002D48B9" w:rsidRPr="00536EDA">
        <w:rPr>
          <w:b w:val="0"/>
          <w:szCs w:val="22"/>
          <w:lang w:val="hy-AM" w:eastAsia="en-US"/>
        </w:rPr>
        <w:t>1</w:t>
      </w:r>
      <w:r w:rsidRPr="00A83C94">
        <w:rPr>
          <w:b w:val="0"/>
          <w:szCs w:val="22"/>
          <w:lang w:val="hy-AM" w:eastAsia="en-US"/>
        </w:rPr>
        <w:t xml:space="preserve"> մլն դրամ՝ 2021 թվականի 3,839.9 մլն դրամի դիմաց, ծախսերի աճը կազմում է 5</w:t>
      </w:r>
      <w:r w:rsidR="002D48B9" w:rsidRPr="00536EDA">
        <w:rPr>
          <w:b w:val="0"/>
          <w:szCs w:val="22"/>
          <w:lang w:val="hy-AM" w:eastAsia="en-US"/>
        </w:rPr>
        <w:t>09</w:t>
      </w:r>
      <w:r w:rsidRPr="00A83C94">
        <w:rPr>
          <w:b w:val="0"/>
          <w:szCs w:val="22"/>
          <w:lang w:val="hy-AM" w:eastAsia="en-US"/>
        </w:rPr>
        <w:t>.</w:t>
      </w:r>
      <w:r w:rsidR="002D48B9" w:rsidRPr="00536EDA">
        <w:rPr>
          <w:b w:val="0"/>
          <w:szCs w:val="22"/>
          <w:lang w:val="hy-AM" w:eastAsia="en-US"/>
        </w:rPr>
        <w:t>2</w:t>
      </w:r>
      <w:r w:rsidRPr="00A83C94">
        <w:rPr>
          <w:b w:val="0"/>
          <w:szCs w:val="22"/>
          <w:lang w:val="hy-AM" w:eastAsia="en-US"/>
        </w:rPr>
        <w:t xml:space="preserve"> մլն դրամ կամ 13.</w:t>
      </w:r>
      <w:r w:rsidR="002D48B9" w:rsidRPr="00536EDA">
        <w:rPr>
          <w:b w:val="0"/>
          <w:szCs w:val="22"/>
          <w:lang w:val="hy-AM" w:eastAsia="en-US"/>
        </w:rPr>
        <w:t>3</w:t>
      </w:r>
      <w:r w:rsidRPr="00A83C94">
        <w:rPr>
          <w:b w:val="0"/>
          <w:szCs w:val="22"/>
          <w:lang w:val="hy-AM" w:eastAsia="en-US"/>
        </w:rPr>
        <w:t xml:space="preserve"> տոկոս</w:t>
      </w:r>
      <w:r w:rsidRPr="00A83C94">
        <w:rPr>
          <w:b w:val="0"/>
          <w:szCs w:val="22"/>
          <w:lang w:val="af-ZA" w:eastAsia="en-US"/>
        </w:rPr>
        <w:t>:</w:t>
      </w:r>
    </w:p>
    <w:p w14:paraId="49781B21" w14:textId="68E71FC4" w:rsidR="00907596" w:rsidRPr="00A83C94" w:rsidRDefault="00907596" w:rsidP="007C65A5">
      <w:pPr>
        <w:spacing w:before="0" w:line="276" w:lineRule="auto"/>
        <w:ind w:firstLine="547"/>
        <w:rPr>
          <w:b w:val="0"/>
          <w:szCs w:val="22"/>
          <w:lang w:val="af-ZA" w:eastAsia="en-US"/>
        </w:rPr>
      </w:pPr>
      <w:r w:rsidRPr="00A83C94">
        <w:rPr>
          <w:b w:val="0"/>
          <w:szCs w:val="22"/>
          <w:lang w:val="hy-AM" w:eastAsia="en-US"/>
        </w:rPr>
        <w:t xml:space="preserve">Ծրագրի շրջանակներում 335.1 մլն դրամ է նախատեսվել 3200 դպրոցականների ամառային հանգստի կազմակերպման, 29.9 մլն դրամ՝ «Գիմնազիադա» համաշխարհային խաղերին </w:t>
      </w:r>
      <w:r w:rsidR="000177C6" w:rsidRPr="00A83C94">
        <w:rPr>
          <w:b w:val="0"/>
          <w:szCs w:val="22"/>
          <w:lang w:val="af-ZA" w:eastAsia="en-US"/>
        </w:rPr>
        <w:t xml:space="preserve">3 </w:t>
      </w:r>
      <w:r w:rsidR="000177C6" w:rsidRPr="00A83C94">
        <w:rPr>
          <w:b w:val="0"/>
          <w:szCs w:val="22"/>
          <w:lang w:val="en-US" w:eastAsia="en-US"/>
        </w:rPr>
        <w:t>պարտադիր</w:t>
      </w:r>
      <w:r w:rsidR="000177C6" w:rsidRPr="00A83C94">
        <w:rPr>
          <w:b w:val="0"/>
          <w:szCs w:val="22"/>
          <w:lang w:val="af-ZA" w:eastAsia="en-US"/>
        </w:rPr>
        <w:t xml:space="preserve"> </w:t>
      </w:r>
      <w:r w:rsidR="000177C6" w:rsidRPr="00A83C94">
        <w:rPr>
          <w:b w:val="0"/>
          <w:szCs w:val="22"/>
          <w:lang w:val="en-US" w:eastAsia="en-US"/>
        </w:rPr>
        <w:t>մարզաձևերով</w:t>
      </w:r>
      <w:r w:rsidR="000177C6" w:rsidRPr="00A83C94">
        <w:rPr>
          <w:b w:val="0"/>
          <w:szCs w:val="22"/>
          <w:lang w:val="af-ZA" w:eastAsia="en-US"/>
        </w:rPr>
        <w:t xml:space="preserve"> </w:t>
      </w:r>
      <w:r w:rsidRPr="00A83C94">
        <w:rPr>
          <w:b w:val="0"/>
          <w:szCs w:val="22"/>
          <w:lang w:val="hy-AM" w:eastAsia="en-US"/>
        </w:rPr>
        <w:t>մասնակցության գծով (2021 թվականին նշված ծախսերը նախատեսված չեն եղել), 179.0 մլն դրամով էլ աճել են ՀՀ հանրակրթական ծրագրեր իրականացնող ուսումնական հաստատությունների 11-րդ դասարանների աշակերտների ռազմամարզական ճամբարի կազմակերպման ծախսերը</w:t>
      </w:r>
      <w:r w:rsidR="000177C6" w:rsidRPr="00A83C94">
        <w:rPr>
          <w:b w:val="0"/>
          <w:szCs w:val="22"/>
          <w:lang w:val="af-ZA" w:eastAsia="en-US"/>
        </w:rPr>
        <w:t xml:space="preserve"> </w:t>
      </w:r>
      <w:r w:rsidR="000177C6" w:rsidRPr="00A83C94">
        <w:rPr>
          <w:b w:val="0"/>
          <w:szCs w:val="22"/>
          <w:lang w:val="hy-AM" w:eastAsia="en-US"/>
        </w:rPr>
        <w:t>(</w:t>
      </w:r>
      <w:r w:rsidR="000177C6" w:rsidRPr="00A83C94">
        <w:rPr>
          <w:b w:val="0"/>
          <w:szCs w:val="22"/>
          <w:lang w:val="en-US" w:eastAsia="en-US"/>
        </w:rPr>
        <w:t>նշված</w:t>
      </w:r>
      <w:r w:rsidR="000177C6" w:rsidRPr="00A83C94">
        <w:rPr>
          <w:b w:val="0"/>
          <w:szCs w:val="22"/>
          <w:lang w:val="af-ZA" w:eastAsia="en-US"/>
        </w:rPr>
        <w:t xml:space="preserve"> </w:t>
      </w:r>
      <w:r w:rsidR="000177C6" w:rsidRPr="00A83C94">
        <w:rPr>
          <w:b w:val="0"/>
          <w:szCs w:val="22"/>
          <w:lang w:val="en-US" w:eastAsia="en-US"/>
        </w:rPr>
        <w:t>միջոցառման</w:t>
      </w:r>
      <w:r w:rsidR="000177C6" w:rsidRPr="00A83C94">
        <w:rPr>
          <w:b w:val="0"/>
          <w:szCs w:val="22"/>
          <w:lang w:val="af-ZA" w:eastAsia="en-US"/>
        </w:rPr>
        <w:t xml:space="preserve"> </w:t>
      </w:r>
      <w:r w:rsidR="000177C6" w:rsidRPr="00A83C94">
        <w:rPr>
          <w:b w:val="0"/>
          <w:szCs w:val="22"/>
          <w:lang w:val="en-US" w:eastAsia="en-US"/>
        </w:rPr>
        <w:t>գծով</w:t>
      </w:r>
      <w:r w:rsidR="000177C6" w:rsidRPr="00A83C94">
        <w:rPr>
          <w:b w:val="0"/>
          <w:szCs w:val="22"/>
          <w:lang w:val="af-ZA" w:eastAsia="en-US"/>
        </w:rPr>
        <w:t xml:space="preserve"> 2022 </w:t>
      </w:r>
      <w:r w:rsidR="000177C6" w:rsidRPr="00A83C94">
        <w:rPr>
          <w:b w:val="0"/>
          <w:szCs w:val="22"/>
          <w:lang w:val="en-US" w:eastAsia="en-US"/>
        </w:rPr>
        <w:t>թվականին</w:t>
      </w:r>
      <w:r w:rsidR="000177C6" w:rsidRPr="00A83C94">
        <w:rPr>
          <w:b w:val="0"/>
          <w:szCs w:val="22"/>
          <w:lang w:val="af-ZA" w:eastAsia="en-US"/>
        </w:rPr>
        <w:t xml:space="preserve"> </w:t>
      </w:r>
      <w:r w:rsidR="000177C6" w:rsidRPr="00A83C94">
        <w:rPr>
          <w:b w:val="0"/>
          <w:szCs w:val="22"/>
          <w:lang w:val="en-US" w:eastAsia="en-US"/>
        </w:rPr>
        <w:t>նախատեսվող</w:t>
      </w:r>
      <w:r w:rsidR="000177C6" w:rsidRPr="00A83C94">
        <w:rPr>
          <w:b w:val="0"/>
          <w:szCs w:val="22"/>
          <w:lang w:val="af-ZA" w:eastAsia="en-US"/>
        </w:rPr>
        <w:t xml:space="preserve"> 184.0 </w:t>
      </w:r>
      <w:r w:rsidR="000177C6" w:rsidRPr="00A83C94">
        <w:rPr>
          <w:b w:val="0"/>
          <w:szCs w:val="22"/>
          <w:lang w:val="en-US" w:eastAsia="en-US"/>
        </w:rPr>
        <w:t>մլն</w:t>
      </w:r>
      <w:r w:rsidR="000177C6" w:rsidRPr="00A83C94">
        <w:rPr>
          <w:b w:val="0"/>
          <w:szCs w:val="22"/>
          <w:lang w:val="af-ZA" w:eastAsia="en-US"/>
        </w:rPr>
        <w:t xml:space="preserve"> </w:t>
      </w:r>
      <w:r w:rsidR="000177C6" w:rsidRPr="00A83C94">
        <w:rPr>
          <w:b w:val="0"/>
          <w:szCs w:val="22"/>
          <w:lang w:val="en-US" w:eastAsia="en-US"/>
        </w:rPr>
        <w:t>դրամի</w:t>
      </w:r>
      <w:r w:rsidR="000177C6" w:rsidRPr="00A83C94">
        <w:rPr>
          <w:b w:val="0"/>
          <w:szCs w:val="22"/>
          <w:lang w:val="af-ZA" w:eastAsia="en-US"/>
        </w:rPr>
        <w:t xml:space="preserve"> </w:t>
      </w:r>
      <w:r w:rsidR="000177C6" w:rsidRPr="00A83C94">
        <w:rPr>
          <w:b w:val="0"/>
          <w:szCs w:val="22"/>
          <w:lang w:val="en-US" w:eastAsia="en-US"/>
        </w:rPr>
        <w:t>շրջանակներում</w:t>
      </w:r>
      <w:r w:rsidR="000177C6" w:rsidRPr="00A83C94">
        <w:rPr>
          <w:b w:val="0"/>
          <w:szCs w:val="22"/>
          <w:lang w:val="af-ZA" w:eastAsia="en-US"/>
        </w:rPr>
        <w:t xml:space="preserve"> </w:t>
      </w:r>
      <w:r w:rsidR="000177C6" w:rsidRPr="00A83C94">
        <w:rPr>
          <w:b w:val="0"/>
          <w:szCs w:val="22"/>
          <w:lang w:val="en-US" w:eastAsia="en-US"/>
        </w:rPr>
        <w:t>ռազմամարզական</w:t>
      </w:r>
      <w:r w:rsidR="000177C6" w:rsidRPr="00A83C94">
        <w:rPr>
          <w:b w:val="0"/>
          <w:szCs w:val="22"/>
          <w:lang w:val="af-ZA" w:eastAsia="en-US"/>
        </w:rPr>
        <w:t xml:space="preserve"> </w:t>
      </w:r>
      <w:r w:rsidR="000177C6" w:rsidRPr="00A83C94">
        <w:rPr>
          <w:b w:val="0"/>
          <w:szCs w:val="22"/>
          <w:lang w:val="en-US" w:eastAsia="en-US"/>
        </w:rPr>
        <w:t>ճամբարում</w:t>
      </w:r>
      <w:r w:rsidR="000177C6" w:rsidRPr="00A83C94">
        <w:rPr>
          <w:b w:val="0"/>
          <w:szCs w:val="22"/>
          <w:lang w:val="af-ZA" w:eastAsia="en-US"/>
        </w:rPr>
        <w:t xml:space="preserve"> </w:t>
      </w:r>
      <w:r w:rsidR="000177C6" w:rsidRPr="00A83C94">
        <w:rPr>
          <w:b w:val="0"/>
          <w:szCs w:val="22"/>
          <w:lang w:val="en-US" w:eastAsia="en-US"/>
        </w:rPr>
        <w:t>կընդգրկվի</w:t>
      </w:r>
      <w:r w:rsidR="000177C6" w:rsidRPr="00A83C94">
        <w:rPr>
          <w:b w:val="0"/>
          <w:szCs w:val="22"/>
          <w:lang w:val="af-ZA" w:eastAsia="en-US"/>
        </w:rPr>
        <w:t xml:space="preserve"> 1186 </w:t>
      </w:r>
      <w:r w:rsidR="000177C6" w:rsidRPr="00A83C94">
        <w:rPr>
          <w:b w:val="0"/>
          <w:szCs w:val="22"/>
          <w:lang w:val="en-US" w:eastAsia="en-US"/>
        </w:rPr>
        <w:t>աշակերտ՝</w:t>
      </w:r>
      <w:r w:rsidR="000177C6" w:rsidRPr="00A83C94">
        <w:rPr>
          <w:b w:val="0"/>
          <w:szCs w:val="22"/>
          <w:lang w:val="af-ZA" w:eastAsia="en-US"/>
        </w:rPr>
        <w:t xml:space="preserve"> 2021 </w:t>
      </w:r>
      <w:r w:rsidR="000177C6" w:rsidRPr="00A83C94">
        <w:rPr>
          <w:b w:val="0"/>
          <w:szCs w:val="22"/>
          <w:lang w:val="en-US" w:eastAsia="en-US"/>
        </w:rPr>
        <w:t>թվականի</w:t>
      </w:r>
      <w:r w:rsidR="000177C6" w:rsidRPr="00A83C94">
        <w:rPr>
          <w:b w:val="0"/>
          <w:szCs w:val="22"/>
          <w:lang w:val="af-ZA" w:eastAsia="en-US"/>
        </w:rPr>
        <w:t xml:space="preserve"> 100 </w:t>
      </w:r>
      <w:r w:rsidR="000177C6" w:rsidRPr="00A83C94">
        <w:rPr>
          <w:b w:val="0"/>
          <w:szCs w:val="22"/>
          <w:lang w:val="en-US" w:eastAsia="en-US"/>
        </w:rPr>
        <w:t>աշակերտի</w:t>
      </w:r>
      <w:r w:rsidR="000177C6" w:rsidRPr="00A83C94">
        <w:rPr>
          <w:b w:val="0"/>
          <w:szCs w:val="22"/>
          <w:lang w:val="af-ZA" w:eastAsia="en-US"/>
        </w:rPr>
        <w:t xml:space="preserve"> </w:t>
      </w:r>
      <w:r w:rsidR="000177C6" w:rsidRPr="00A83C94">
        <w:rPr>
          <w:b w:val="0"/>
          <w:szCs w:val="22"/>
          <w:lang w:val="en-US" w:eastAsia="en-US"/>
        </w:rPr>
        <w:t>դիմաց</w:t>
      </w:r>
      <w:r w:rsidR="000177C6" w:rsidRPr="00A83C94">
        <w:rPr>
          <w:b w:val="0"/>
          <w:szCs w:val="22"/>
          <w:lang w:val="af-ZA" w:eastAsia="en-US"/>
        </w:rPr>
        <w:t xml:space="preserve">, 2021 </w:t>
      </w:r>
      <w:r w:rsidR="000177C6" w:rsidRPr="00A83C94">
        <w:rPr>
          <w:b w:val="0"/>
          <w:szCs w:val="22"/>
          <w:lang w:val="en-US" w:eastAsia="en-US"/>
        </w:rPr>
        <w:t>թվականին</w:t>
      </w:r>
      <w:r w:rsidR="000177C6" w:rsidRPr="00A83C94">
        <w:rPr>
          <w:b w:val="0"/>
          <w:szCs w:val="22"/>
          <w:lang w:val="af-ZA" w:eastAsia="en-US"/>
        </w:rPr>
        <w:t xml:space="preserve"> </w:t>
      </w:r>
      <w:r w:rsidR="000177C6" w:rsidRPr="00A83C94">
        <w:rPr>
          <w:b w:val="0"/>
          <w:szCs w:val="22"/>
          <w:lang w:val="en-US" w:eastAsia="en-US"/>
        </w:rPr>
        <w:t>ծախսը</w:t>
      </w:r>
      <w:r w:rsidR="000177C6" w:rsidRPr="00A83C94">
        <w:rPr>
          <w:b w:val="0"/>
          <w:szCs w:val="22"/>
          <w:lang w:val="af-ZA" w:eastAsia="en-US"/>
        </w:rPr>
        <w:t xml:space="preserve"> </w:t>
      </w:r>
      <w:r w:rsidR="000177C6" w:rsidRPr="00A83C94">
        <w:rPr>
          <w:b w:val="0"/>
          <w:szCs w:val="22"/>
          <w:lang w:val="en-US" w:eastAsia="en-US"/>
        </w:rPr>
        <w:t>կազմել</w:t>
      </w:r>
      <w:r w:rsidR="000177C6" w:rsidRPr="00A83C94">
        <w:rPr>
          <w:b w:val="0"/>
          <w:szCs w:val="22"/>
          <w:lang w:val="af-ZA" w:eastAsia="en-US"/>
        </w:rPr>
        <w:t xml:space="preserve"> </w:t>
      </w:r>
      <w:r w:rsidR="000177C6" w:rsidRPr="00A83C94">
        <w:rPr>
          <w:b w:val="0"/>
          <w:szCs w:val="22"/>
          <w:lang w:val="en-US" w:eastAsia="en-US"/>
        </w:rPr>
        <w:t>է</w:t>
      </w:r>
      <w:r w:rsidR="000177C6" w:rsidRPr="00A83C94">
        <w:rPr>
          <w:b w:val="0"/>
          <w:szCs w:val="22"/>
          <w:lang w:val="af-ZA" w:eastAsia="en-US"/>
        </w:rPr>
        <w:t xml:space="preserve"> 5.0 </w:t>
      </w:r>
      <w:r w:rsidR="000177C6" w:rsidRPr="00A83C94">
        <w:rPr>
          <w:b w:val="0"/>
          <w:szCs w:val="22"/>
          <w:lang w:val="en-US" w:eastAsia="en-US"/>
        </w:rPr>
        <w:t>մլն</w:t>
      </w:r>
      <w:r w:rsidR="000177C6" w:rsidRPr="00A83C94">
        <w:rPr>
          <w:b w:val="0"/>
          <w:szCs w:val="22"/>
          <w:lang w:val="af-ZA" w:eastAsia="en-US"/>
        </w:rPr>
        <w:t xml:space="preserve"> </w:t>
      </w:r>
      <w:r w:rsidR="000177C6" w:rsidRPr="00A83C94">
        <w:rPr>
          <w:b w:val="0"/>
          <w:szCs w:val="22"/>
          <w:lang w:val="en-US" w:eastAsia="en-US"/>
        </w:rPr>
        <w:t>դրամ</w:t>
      </w:r>
      <w:r w:rsidR="000177C6" w:rsidRPr="00A83C94">
        <w:rPr>
          <w:b w:val="0"/>
          <w:szCs w:val="22"/>
          <w:lang w:val="hy-AM" w:eastAsia="en-US"/>
        </w:rPr>
        <w:t>)</w:t>
      </w:r>
      <w:r w:rsidRPr="00A83C94">
        <w:rPr>
          <w:b w:val="0"/>
          <w:szCs w:val="22"/>
          <w:lang w:val="hy-AM" w:eastAsia="en-US"/>
        </w:rPr>
        <w:t>:</w:t>
      </w:r>
    </w:p>
    <w:p w14:paraId="1FB58F71" w14:textId="3F14036E" w:rsidR="00907596" w:rsidRPr="00A83C94" w:rsidRDefault="00907596" w:rsidP="007C65A5">
      <w:pPr>
        <w:spacing w:before="0" w:line="276" w:lineRule="auto"/>
        <w:ind w:firstLine="547"/>
        <w:rPr>
          <w:b w:val="0"/>
          <w:szCs w:val="22"/>
          <w:lang w:val="af-ZA" w:eastAsia="en-US"/>
        </w:rPr>
      </w:pPr>
      <w:r w:rsidRPr="00A83C94">
        <w:rPr>
          <w:b w:val="0"/>
          <w:szCs w:val="22"/>
          <w:lang w:val="hy-AM" w:eastAsia="en-US"/>
        </w:rPr>
        <w:t>Արտադպրոցական դաստիարակության վերաբերյալ դրույթներն ամրագրված են ՀՀ կառավարության ծրագրի «4.3 Կրթություն»,  «4.8 Սպորտ» բաժիններում,  «4.9 Մշակույթ»  բաժնի մշակութային կրթության վերաբերյալ ենթաբաժնում</w:t>
      </w:r>
      <w:r w:rsidRPr="00A83C94">
        <w:rPr>
          <w:b w:val="0"/>
          <w:szCs w:val="22"/>
          <w:lang w:val="af-ZA" w:eastAsia="en-US"/>
        </w:rPr>
        <w:t>:</w:t>
      </w:r>
    </w:p>
    <w:p w14:paraId="39950A60" w14:textId="5FA9E942" w:rsidR="00907596" w:rsidRPr="00A83C94" w:rsidRDefault="002D2E24" w:rsidP="007C65A5">
      <w:pPr>
        <w:spacing w:before="0" w:line="276" w:lineRule="auto"/>
        <w:ind w:firstLine="547"/>
        <w:rPr>
          <w:rFonts w:eastAsia="Calibri"/>
          <w:b w:val="0"/>
          <w:szCs w:val="22"/>
          <w:lang w:val="hy-AM" w:eastAsia="en-US"/>
        </w:rPr>
      </w:pPr>
      <w:r w:rsidRPr="00A83C94">
        <w:rPr>
          <w:szCs w:val="22"/>
          <w:lang w:val="hy-AM" w:eastAsia="en-US"/>
        </w:rPr>
        <w:t xml:space="preserve"> </w:t>
      </w:r>
      <w:r w:rsidR="009A779D" w:rsidRPr="00A83C94">
        <w:rPr>
          <w:szCs w:val="22"/>
          <w:lang w:val="hy-AM" w:eastAsia="en-US"/>
        </w:rPr>
        <w:t>Ապահով դպրոց</w:t>
      </w:r>
      <w:r w:rsidR="00907596" w:rsidRPr="00A83C94">
        <w:rPr>
          <w:b w:val="0"/>
          <w:szCs w:val="22"/>
          <w:lang w:val="hy-AM" w:eastAsia="en-US"/>
        </w:rPr>
        <w:t xml:space="preserve"> ծրագրի նպատակն է՝ հանրակրթական դպրոցներում բարելավել ուսումնական միջավայրը՝ ստեղծելով ապահով, պաշտպանված և երեխայակենտրոն պայմաններ: Ծրագրի գծով </w:t>
      </w:r>
      <w:r w:rsidR="00907596" w:rsidRPr="00A83C94">
        <w:rPr>
          <w:rFonts w:eastAsia="Calibri"/>
          <w:b w:val="0"/>
          <w:szCs w:val="22"/>
          <w:lang w:val="hy-AM" w:eastAsia="en-US"/>
        </w:rPr>
        <w:t>նախատեսվել է</w:t>
      </w:r>
      <w:r w:rsidR="00961398">
        <w:rPr>
          <w:rFonts w:eastAsia="Calibri"/>
          <w:b w:val="0"/>
          <w:szCs w:val="22"/>
          <w:lang w:val="hy-AM" w:eastAsia="en-US"/>
        </w:rPr>
        <w:t xml:space="preserve"> 15</w:t>
      </w:r>
      <w:r w:rsidR="00907596" w:rsidRPr="00A83C94">
        <w:rPr>
          <w:rFonts w:eastAsia="Calibri"/>
          <w:b w:val="0"/>
          <w:szCs w:val="22"/>
          <w:lang w:val="hy-AM" w:eastAsia="en-US"/>
        </w:rPr>
        <w:t>,</w:t>
      </w:r>
      <w:r w:rsidR="00961398" w:rsidRPr="00961398">
        <w:rPr>
          <w:rFonts w:eastAsia="Calibri"/>
          <w:b w:val="0"/>
          <w:szCs w:val="22"/>
          <w:lang w:val="af-ZA" w:eastAsia="en-US"/>
        </w:rPr>
        <w:t>5</w:t>
      </w:r>
      <w:r w:rsidR="00907596" w:rsidRPr="00A83C94">
        <w:rPr>
          <w:rFonts w:eastAsia="Calibri"/>
          <w:b w:val="0"/>
          <w:szCs w:val="22"/>
          <w:lang w:val="hy-AM" w:eastAsia="en-US"/>
        </w:rPr>
        <w:t xml:space="preserve">96.0 մլն դրամ՝ 2021 թվականի 1,127.0 մլն դրամի դիմաց, ընդ որում, </w:t>
      </w:r>
      <w:r w:rsidR="00907596" w:rsidRPr="00A83C94">
        <w:rPr>
          <w:rFonts w:eastAsia="Calibri"/>
          <w:b w:val="0"/>
          <w:szCs w:val="22"/>
          <w:lang w:val="af-ZA" w:eastAsia="en-US"/>
        </w:rPr>
        <w:t xml:space="preserve">դպրոցների, մարզադահլիճների </w:t>
      </w:r>
      <w:r w:rsidR="001C17F0" w:rsidRPr="00A83C94">
        <w:rPr>
          <w:rFonts w:eastAsia="Calibri"/>
          <w:b w:val="0"/>
          <w:szCs w:val="22"/>
          <w:lang w:val="af-ZA" w:eastAsia="en-US"/>
        </w:rPr>
        <w:t xml:space="preserve">կառուցման, հիմնանորոգման և նախագծային </w:t>
      </w:r>
      <w:r w:rsidR="00907596" w:rsidRPr="00A83C94">
        <w:rPr>
          <w:rFonts w:eastAsia="Calibri"/>
          <w:b w:val="0"/>
          <w:szCs w:val="22"/>
          <w:lang w:val="af-ZA" w:eastAsia="en-US"/>
        </w:rPr>
        <w:t>աշխատանքների, ինչպես նաև գույքով ապահովման գծով նախատեսվել է 1</w:t>
      </w:r>
      <w:r w:rsidR="00961398" w:rsidRPr="00961398">
        <w:rPr>
          <w:rFonts w:eastAsia="Calibri"/>
          <w:b w:val="0"/>
          <w:szCs w:val="22"/>
          <w:lang w:val="af-ZA" w:eastAsia="en-US"/>
        </w:rPr>
        <w:t>5</w:t>
      </w:r>
      <w:r w:rsidR="00907596" w:rsidRPr="00A83C94">
        <w:rPr>
          <w:rFonts w:eastAsia="Calibri"/>
          <w:b w:val="0"/>
          <w:szCs w:val="22"/>
          <w:lang w:val="af-ZA" w:eastAsia="en-US"/>
        </w:rPr>
        <w:t>,</w:t>
      </w:r>
      <w:r w:rsidR="00961398" w:rsidRPr="00961398">
        <w:rPr>
          <w:rFonts w:eastAsia="Calibri"/>
          <w:b w:val="0"/>
          <w:szCs w:val="22"/>
          <w:lang w:val="af-ZA" w:eastAsia="en-US"/>
        </w:rPr>
        <w:t>5</w:t>
      </w:r>
      <w:r w:rsidR="00907596" w:rsidRPr="00A83C94">
        <w:rPr>
          <w:rFonts w:eastAsia="Calibri"/>
          <w:b w:val="0"/>
          <w:szCs w:val="22"/>
          <w:lang w:val="af-ZA" w:eastAsia="en-US"/>
        </w:rPr>
        <w:t>25.7 մլն դրամ՝ 2021 թվականի 1,057.6  մլն դրամի դիմաց, կամ՝ ծախսերն աճել են 1</w:t>
      </w:r>
      <w:r w:rsidR="00961398" w:rsidRPr="00961398">
        <w:rPr>
          <w:rFonts w:eastAsia="Calibri"/>
          <w:b w:val="0"/>
          <w:szCs w:val="22"/>
          <w:lang w:val="af-ZA" w:eastAsia="en-US"/>
        </w:rPr>
        <w:t>4</w:t>
      </w:r>
      <w:r w:rsidR="00907596" w:rsidRPr="00A83C94">
        <w:rPr>
          <w:rFonts w:eastAsia="Calibri"/>
          <w:b w:val="0"/>
          <w:szCs w:val="22"/>
          <w:lang w:val="af-ZA" w:eastAsia="en-US"/>
        </w:rPr>
        <w:t>,</w:t>
      </w:r>
      <w:r w:rsidR="00961398" w:rsidRPr="00961398">
        <w:rPr>
          <w:rFonts w:eastAsia="Calibri"/>
          <w:b w:val="0"/>
          <w:szCs w:val="22"/>
          <w:lang w:val="af-ZA" w:eastAsia="en-US"/>
        </w:rPr>
        <w:t>4</w:t>
      </w:r>
      <w:r w:rsidR="00907596" w:rsidRPr="00A83C94">
        <w:rPr>
          <w:rFonts w:eastAsia="Calibri"/>
          <w:b w:val="0"/>
          <w:szCs w:val="22"/>
          <w:lang w:val="af-ZA" w:eastAsia="en-US"/>
        </w:rPr>
        <w:t xml:space="preserve">68,1 մլն դրամով, որից </w:t>
      </w:r>
      <w:r w:rsidR="00961398" w:rsidRPr="00961398">
        <w:rPr>
          <w:rFonts w:eastAsia="Calibri"/>
          <w:b w:val="0"/>
          <w:szCs w:val="22"/>
          <w:lang w:val="af-ZA" w:eastAsia="en-US"/>
        </w:rPr>
        <w:t>8</w:t>
      </w:r>
      <w:r w:rsidR="00907596" w:rsidRPr="00A83C94">
        <w:rPr>
          <w:rFonts w:eastAsia="Calibri"/>
          <w:b w:val="0"/>
          <w:szCs w:val="22"/>
          <w:lang w:val="af-ZA" w:eastAsia="en-US"/>
        </w:rPr>
        <w:t>,</w:t>
      </w:r>
      <w:r w:rsidR="00961398" w:rsidRPr="00961398">
        <w:rPr>
          <w:rFonts w:eastAsia="Calibri"/>
          <w:b w:val="0"/>
          <w:szCs w:val="22"/>
          <w:lang w:val="af-ZA" w:eastAsia="en-US"/>
        </w:rPr>
        <w:t>1</w:t>
      </w:r>
      <w:r w:rsidR="00907596" w:rsidRPr="00A83C94">
        <w:rPr>
          <w:rFonts w:eastAsia="Calibri"/>
          <w:b w:val="0"/>
          <w:szCs w:val="22"/>
          <w:lang w:val="af-ZA" w:eastAsia="en-US"/>
        </w:rPr>
        <w:t>85,6 մլն դրամը՝ փոքրաքանակ երեխաներով համալրված հանրակրթական դպրոցների  մոդուլային շենքերի կառուցման</w:t>
      </w:r>
      <w:r w:rsidR="001C17F0" w:rsidRPr="00A83C94">
        <w:rPr>
          <w:rFonts w:eastAsia="Calibri"/>
          <w:b w:val="0"/>
          <w:szCs w:val="22"/>
          <w:lang w:val="af-ZA" w:eastAsia="en-US"/>
        </w:rPr>
        <w:t>, նախագծման</w:t>
      </w:r>
      <w:r w:rsidR="00907596" w:rsidRPr="00A83C94">
        <w:rPr>
          <w:rFonts w:eastAsia="Calibri"/>
          <w:b w:val="0"/>
          <w:szCs w:val="22"/>
          <w:lang w:val="af-ZA" w:eastAsia="en-US"/>
        </w:rPr>
        <w:t xml:space="preserve"> և գույքով </w:t>
      </w:r>
      <w:r w:rsidR="00907596" w:rsidRPr="00A83C94">
        <w:rPr>
          <w:rFonts w:eastAsia="Calibri"/>
          <w:b w:val="0"/>
          <w:szCs w:val="22"/>
          <w:lang w:val="hy-AM" w:eastAsia="en-US"/>
        </w:rPr>
        <w:t>ապահովման գծով:</w:t>
      </w:r>
    </w:p>
    <w:p w14:paraId="25BBE2B0" w14:textId="4BBFE89A" w:rsidR="00907596" w:rsidRPr="00A83C94" w:rsidRDefault="009A779D" w:rsidP="007C65A5">
      <w:pPr>
        <w:spacing w:before="0" w:line="276" w:lineRule="auto"/>
        <w:ind w:firstLine="547"/>
        <w:rPr>
          <w:rFonts w:cs="GHEA Grapalat"/>
          <w:b w:val="0"/>
          <w:szCs w:val="22"/>
          <w:lang w:val="hy-AM" w:eastAsia="en-US"/>
        </w:rPr>
      </w:pPr>
      <w:r w:rsidRPr="00A83C94">
        <w:rPr>
          <w:szCs w:val="22"/>
          <w:lang w:val="hy-AM" w:eastAsia="en-US"/>
        </w:rPr>
        <w:t>Կրթության որակի ապահովում</w:t>
      </w:r>
      <w:r w:rsidR="00907596" w:rsidRPr="00A83C94">
        <w:rPr>
          <w:b w:val="0"/>
          <w:szCs w:val="22"/>
          <w:lang w:val="hy-AM" w:eastAsia="en-US"/>
        </w:rPr>
        <w:t xml:space="preserve"> ծրագիրն ուղղված է՝ </w:t>
      </w:r>
      <w:r w:rsidR="00907596" w:rsidRPr="00A83C94">
        <w:rPr>
          <w:rFonts w:eastAsia="MS Mincho" w:cs="MS Mincho"/>
          <w:b w:val="0"/>
          <w:kern w:val="16"/>
          <w:szCs w:val="22"/>
          <w:lang w:val="hy-AM"/>
        </w:rPr>
        <w:t>կրթության բոլոր մակարդակներում որակի բարձրացման և հավաստման միջոցառումների իրականացմանը:</w:t>
      </w:r>
      <w:r w:rsidR="00907596" w:rsidRPr="00A83C94">
        <w:rPr>
          <w:b w:val="0"/>
          <w:szCs w:val="22"/>
          <w:lang w:val="hy-AM" w:eastAsia="en-US"/>
        </w:rPr>
        <w:t xml:space="preserve"> Ծրագրի գծով նախատեսվել է 2</w:t>
      </w:r>
      <w:r w:rsidR="00907596" w:rsidRPr="00A83C94">
        <w:rPr>
          <w:rFonts w:cs="GHEA Grapalat"/>
          <w:b w:val="0"/>
          <w:szCs w:val="22"/>
          <w:lang w:val="hy-AM" w:eastAsia="en-US"/>
        </w:rPr>
        <w:t>,225.0</w:t>
      </w:r>
      <w:r w:rsidR="00907596" w:rsidRPr="00A83C94">
        <w:rPr>
          <w:b w:val="0"/>
          <w:szCs w:val="22"/>
          <w:lang w:val="hy-AM" w:eastAsia="en-US"/>
        </w:rPr>
        <w:t xml:space="preserve"> մլն դրամ՝ </w:t>
      </w:r>
      <w:r w:rsidR="00907596" w:rsidRPr="00A83C94">
        <w:rPr>
          <w:rFonts w:cs="GHEA Grapalat"/>
          <w:b w:val="0"/>
          <w:szCs w:val="22"/>
          <w:lang w:val="hy-AM" w:eastAsia="en-US"/>
        </w:rPr>
        <w:t>2021 թվականի 1,629.1 մլն դրամի դիմաց, ծախսերն աճել են 595.9 մլն դրամով կամ 36.6%-ով:</w:t>
      </w:r>
    </w:p>
    <w:p w14:paraId="33F43D4D" w14:textId="29B7E888" w:rsidR="00907596" w:rsidRPr="00A83C94" w:rsidRDefault="00907596" w:rsidP="0044180B">
      <w:pPr>
        <w:spacing w:before="0" w:line="276" w:lineRule="auto"/>
        <w:ind w:firstLine="540"/>
        <w:rPr>
          <w:b w:val="0"/>
          <w:szCs w:val="22"/>
          <w:lang w:val="hy-AM" w:eastAsia="en-US"/>
        </w:rPr>
      </w:pPr>
      <w:r w:rsidRPr="00A83C94">
        <w:rPr>
          <w:rFonts w:cs="GHEA Grapalat"/>
          <w:b w:val="0"/>
          <w:szCs w:val="22"/>
          <w:lang w:val="hy-AM" w:eastAsia="en-US"/>
        </w:rPr>
        <w:t xml:space="preserve">Ծրագրի շրջանակներում 1,384.5 մլն դրամ է նախատեսվել </w:t>
      </w:r>
      <w:r w:rsidRPr="00A83C94">
        <w:rPr>
          <w:b w:val="0"/>
          <w:szCs w:val="22"/>
          <w:lang w:val="hy-AM" w:eastAsia="en-US"/>
        </w:rPr>
        <w:t>«</w:t>
      </w:r>
      <w:r w:rsidRPr="00A83C94">
        <w:rPr>
          <w:rFonts w:cs="GHEA Grapalat"/>
          <w:b w:val="0"/>
          <w:szCs w:val="22"/>
          <w:lang w:val="hy-AM" w:eastAsia="en-US"/>
        </w:rPr>
        <w:t>Ատեստավորման նոր համակարգի ներդրում՛ ուղղված ուսուցիչների որակի բարձրացմանը</w:t>
      </w:r>
      <w:r w:rsidRPr="00A83C94">
        <w:rPr>
          <w:b w:val="0"/>
          <w:szCs w:val="22"/>
          <w:lang w:val="hy-AM" w:eastAsia="en-US"/>
        </w:rPr>
        <w:t xml:space="preserve">» միջոցառման գծով, 2022 թվականին նախատեսվում է 5.1 հազար ուսուցչի կամավոր ատեստավորում՝ 2021 թվականի 1.1 հազարի դիմաց: 365.4 մլն դրամ էլ նախատեսվել է «Հանրակրթական հիմնական ծրագրեր իրականացնող ուսումնական հաստատությունների հերթական ատեստավորման ենթակա ուսուցչի վերապատրաստում» միջոցառման գծով: Ուսուցիչների մասնագիտական շարունակական զարգացման և վարձատրության փոխկապակցված մեխանիզմի ներդրման վերաբերյալ դրույթն ամրագրված է ՀՀ կառավարության ծրագրի «4.3 Կրթություն» բաժնում: </w:t>
      </w:r>
    </w:p>
    <w:p w14:paraId="0B820041" w14:textId="48A263F9" w:rsidR="00035D1C" w:rsidRPr="00A83C94" w:rsidRDefault="00035D1C"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Վերոնշյալ ծրագրի շրջանակներում նախատեսվում է իրականացնել Համաշխարհային բանկի աջակցությամբ իրականացվող «Հայաստանում ԵՄ-ն հանուն նորարարության» դրամաշնորհային ծրագիրը, որի շրջանակներում նախատեսվում է Տավուշի մարզի հիմնական և միջնակարգ դպրոցների ուսուցիչների շարունակական վերապատրաստումներ և համապատասխան սարքավորումներով և տեխնիկայով ապահովում: ՀՀ 2022թ. պետական բյուջե</w:t>
      </w:r>
      <w:r w:rsidR="00BD4698" w:rsidRPr="00BD4698">
        <w:rPr>
          <w:b w:val="0"/>
          <w:szCs w:val="22"/>
          <w:lang w:val="hy-AM" w:eastAsia="en-US"/>
        </w:rPr>
        <w:t>ի նախագծ</w:t>
      </w:r>
      <w:r w:rsidRPr="00A83C94">
        <w:rPr>
          <w:b w:val="0"/>
          <w:szCs w:val="22"/>
          <w:lang w:val="hy-AM" w:eastAsia="en-US"/>
        </w:rPr>
        <w:t>ով նախատեսվել է դրամաշնորհային միջոցների գծով 2,</w:t>
      </w:r>
      <w:r w:rsidR="000C2DB0" w:rsidRPr="002526E9">
        <w:rPr>
          <w:b w:val="0"/>
          <w:szCs w:val="22"/>
          <w:lang w:val="hy-AM" w:eastAsia="en-US"/>
        </w:rPr>
        <w:t>053.7</w:t>
      </w:r>
      <w:r w:rsidRPr="00A83C94">
        <w:rPr>
          <w:b w:val="0"/>
          <w:szCs w:val="22"/>
          <w:lang w:val="hy-AM" w:eastAsia="en-US"/>
        </w:rPr>
        <w:t xml:space="preserve"> մլն դրամ: </w:t>
      </w:r>
    </w:p>
    <w:p w14:paraId="53DD716D" w14:textId="36CA5740" w:rsidR="00035D1C" w:rsidRPr="00A83C94" w:rsidRDefault="00035D1C"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Միաժամանակ, Եվրոմիության աջակցության դրամաշնորհային ծրագրի շրջանակներում ուսումնական հաստատությունների շենքային պայմանների բարելավման,</w:t>
      </w:r>
      <w:r w:rsidRPr="00A83C94">
        <w:rPr>
          <w:lang w:val="hy-AM"/>
        </w:rPr>
        <w:t xml:space="preserve"> </w:t>
      </w:r>
      <w:r w:rsidRPr="00A83C94">
        <w:rPr>
          <w:b w:val="0"/>
          <w:szCs w:val="22"/>
          <w:lang w:val="hy-AM" w:eastAsia="en-US"/>
        </w:rPr>
        <w:t>հանրակրթական, միջին մասնագիտական,  բարձրագույն ուսումնական և մարզական հաստատություններին գույքով և տեխնիկայով ապահովման նպատակով 2022թ. համար նախատեսվում է հատկացնել 6,606.4 մլն դրամ դրամաշնորհ:</w:t>
      </w:r>
    </w:p>
    <w:p w14:paraId="3BE071C3" w14:textId="70E8CD9E" w:rsidR="00907596" w:rsidRPr="00A83C94" w:rsidRDefault="00907596" w:rsidP="007C65A5">
      <w:pPr>
        <w:spacing w:before="0" w:line="276" w:lineRule="auto"/>
        <w:ind w:firstLine="547"/>
        <w:rPr>
          <w:b w:val="0"/>
          <w:szCs w:val="22"/>
          <w:lang w:val="hy-AM" w:eastAsia="en-US"/>
        </w:rPr>
      </w:pPr>
      <w:r w:rsidRPr="00A83C94">
        <w:rPr>
          <w:szCs w:val="22"/>
          <w:lang w:val="hy-AM" w:eastAsia="en-US"/>
        </w:rPr>
        <w:t>Համընդհանուր ներառակ</w:t>
      </w:r>
      <w:r w:rsidR="009A779D" w:rsidRPr="00A83C94">
        <w:rPr>
          <w:szCs w:val="22"/>
          <w:lang w:val="hy-AM" w:eastAsia="en-US"/>
        </w:rPr>
        <w:t>ան կրթության համակարգի ներդրում</w:t>
      </w:r>
      <w:r w:rsidRPr="00A83C94">
        <w:rPr>
          <w:b w:val="0"/>
          <w:szCs w:val="22"/>
          <w:lang w:val="hy-AM" w:eastAsia="en-US"/>
        </w:rPr>
        <w:t xml:space="preserve"> ծրագրի նպատակն է՝ յուրաքանչյուր երեխայի համար կրթության մատչելիության, հավասար մասնակցության հնարավորության և որակի ապահովում՛ զարգացման առանձնահատկություններին </w:t>
      </w:r>
      <w:r w:rsidRPr="00DE23F3">
        <w:rPr>
          <w:b w:val="0"/>
          <w:szCs w:val="22"/>
          <w:lang w:val="hy-AM" w:eastAsia="en-US"/>
        </w:rPr>
        <w:t>համապատասխան և անհրաժեշտ պայմանների ստեղծման միջոցով: Ծրագրի գծով նախատեսվել է 3,028.7 մլն դրամ՝ 2021 թվականի 2,464.3 մլն դրամի դիմաց, ծախսերի աճը կազմում է 564.4 մլն դրամ կամ 22.9%: «Մանկավարժահոգեբանական</w:t>
      </w:r>
      <w:r w:rsidRPr="00A83C94">
        <w:rPr>
          <w:b w:val="0"/>
          <w:szCs w:val="22"/>
          <w:lang w:val="hy-AM" w:eastAsia="en-US"/>
        </w:rPr>
        <w:t xml:space="preserve"> աջակցության ծառայություններ և կրթության առանձնահատուկ պայմանների կարիք ունեցող երեխաների կրթության կազմակերպմանն օժանդակող միջոցառումներ» միջոցառման գծով նախատեսվել է 2,820.0 մլն դրամ՝ 2021 թվականի 2,219.2 մլն դրամի դիմաց՝ համընդհանուր ներառական կրթության անցմամբ պայմանավորված, տարածքային մանկավարժահոգեբանական աջակցության կենտրոնների գործունեության հետ կապված: </w:t>
      </w:r>
    </w:p>
    <w:p w14:paraId="317C03D4" w14:textId="5DB74747" w:rsidR="0044180B" w:rsidRPr="00A83C94" w:rsidRDefault="0044180B"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Նշված ծրագրի շրջանակներում նախատեսվում է իրականացնել Ամերիկայի Միացյալ Նահանգների միջազգային զարգացման գործակալության աջակցությամբ իրականացնող «Ներառական կրթության համակարգի ներդրում դրամաշնորհային ծրագիրը, որի շրջանակներում նախատեսվում է հանրակրթական դպրոցների ենթակառուցվածքային վերանորոգումներ (թեքահարթակներ, սանհանգույցներ, ռեսուրս սենյակներ), անհրաժեշտ սարքավորումների ապա</w:t>
      </w:r>
      <w:r w:rsidR="00BD4698">
        <w:rPr>
          <w:b w:val="0"/>
          <w:szCs w:val="22"/>
          <w:lang w:val="hy-AM" w:eastAsia="en-US"/>
        </w:rPr>
        <w:t>հովում ՀՀ 2022թ. պետական բյուջե</w:t>
      </w:r>
      <w:r w:rsidR="00BD4698" w:rsidRPr="00BD4698">
        <w:rPr>
          <w:b w:val="0"/>
          <w:szCs w:val="22"/>
          <w:lang w:val="hy-AM" w:eastAsia="en-US"/>
        </w:rPr>
        <w:t>ի նախագծով</w:t>
      </w:r>
      <w:r w:rsidRPr="00A83C94">
        <w:rPr>
          <w:b w:val="0"/>
          <w:szCs w:val="22"/>
          <w:lang w:val="hy-AM" w:eastAsia="en-US"/>
        </w:rPr>
        <w:t xml:space="preserve"> նախատեսվել է դրամաշնորհային միջոցների գծով </w:t>
      </w:r>
      <w:r w:rsidR="000C2DB0" w:rsidRPr="002526E9">
        <w:rPr>
          <w:b w:val="0"/>
          <w:szCs w:val="22"/>
          <w:lang w:val="hy-AM" w:eastAsia="en-US"/>
        </w:rPr>
        <w:t>198.9</w:t>
      </w:r>
      <w:r w:rsidRPr="00A83C94">
        <w:rPr>
          <w:b w:val="0"/>
          <w:szCs w:val="22"/>
          <w:lang w:val="hy-AM" w:eastAsia="en-US"/>
        </w:rPr>
        <w:t xml:space="preserve"> մլն դրամ: </w:t>
      </w:r>
    </w:p>
    <w:p w14:paraId="2C7927EC" w14:textId="4E9F89E5" w:rsidR="00907596" w:rsidRPr="00A83C94" w:rsidRDefault="00907596" w:rsidP="007C65A5">
      <w:pPr>
        <w:spacing w:before="0" w:line="276" w:lineRule="auto"/>
        <w:ind w:firstLine="547"/>
        <w:rPr>
          <w:b w:val="0"/>
          <w:szCs w:val="22"/>
          <w:lang w:val="hy-AM" w:eastAsia="en-US"/>
        </w:rPr>
      </w:pPr>
      <w:r w:rsidRPr="00A83C94">
        <w:rPr>
          <w:szCs w:val="22"/>
          <w:lang w:val="hy-AM" w:eastAsia="en-US"/>
        </w:rPr>
        <w:t xml:space="preserve">Կրթության, մշակույթի և սպորտի ոլորտներում միջազգային և սփյուռքի </w:t>
      </w:r>
      <w:r w:rsidR="009A779D" w:rsidRPr="00A83C94">
        <w:rPr>
          <w:szCs w:val="22"/>
          <w:lang w:val="hy-AM" w:eastAsia="en-US"/>
        </w:rPr>
        <w:t>հետ համագործակցության զարգացում</w:t>
      </w:r>
      <w:r w:rsidRPr="00A83C94">
        <w:rPr>
          <w:b w:val="0"/>
          <w:szCs w:val="22"/>
          <w:lang w:val="hy-AM" w:eastAsia="en-US"/>
        </w:rPr>
        <w:t xml:space="preserve"> ծրագրի նպատակն է՝ կրթության, մշակույթի և սպորտի ոլորտներում միջազգային համագործակցության ընդլայնումը, սփյուռքում և օտարերկրյա պետություններում հայկական կրթական կարողությունների հզորացումը: Ծրագրի գծով նախատեսվել է 961.9 մլն դրամ՝ 2021 թվականի 1,085.0 մլն դրամի դիմաց, ծախսերի նվազումը կազմում է 123.1 մլն դրամ կամ 11.3%: Նախագծով 627.5 մլն դրամ է նախատեսվել Հայաստանում «STARMUS» փառատոնի կազմակերպման և անցկացման մասնակցության վճարի գծով` 2021 թվականի 660.0 մլն դրամի դիմաց: </w:t>
      </w:r>
    </w:p>
    <w:p w14:paraId="3EFD59A8" w14:textId="77777777" w:rsidR="00907596" w:rsidRPr="00A83C94" w:rsidRDefault="00907596" w:rsidP="007C65A5">
      <w:pPr>
        <w:spacing w:before="0" w:line="276" w:lineRule="auto"/>
        <w:ind w:firstLine="547"/>
        <w:rPr>
          <w:b w:val="0"/>
          <w:szCs w:val="22"/>
          <w:lang w:val="hy-AM" w:eastAsia="en-US"/>
        </w:rPr>
      </w:pPr>
      <w:r w:rsidRPr="00A83C94">
        <w:rPr>
          <w:b w:val="0"/>
          <w:szCs w:val="22"/>
          <w:lang w:val="hy-AM" w:eastAsia="en-US"/>
        </w:rPr>
        <w:t>Սփյուռքի հետ համագործակցության վերաբերյալ դրույթներն ամրագրված են ՀՀ կառավարության ծրագրի «1.4 Սփյուռք»,  «4.7 Երիտասարդություն» բաժիններում,  «4.9 Մշակույթ»  բաժնի մշակութային ժառանգության վերաբերյալ ենթաբաժնում</w:t>
      </w:r>
      <w:r w:rsidRPr="00A83C94">
        <w:rPr>
          <w:b w:val="0"/>
          <w:szCs w:val="22"/>
          <w:lang w:val="af-ZA" w:eastAsia="en-US"/>
        </w:rPr>
        <w:t>:</w:t>
      </w:r>
    </w:p>
    <w:p w14:paraId="18656277" w14:textId="3F2D1BE2" w:rsidR="00907596" w:rsidRPr="00A83C94" w:rsidRDefault="00907596" w:rsidP="007C65A5">
      <w:pPr>
        <w:spacing w:before="0" w:line="276" w:lineRule="auto"/>
        <w:ind w:firstLine="547"/>
        <w:rPr>
          <w:b w:val="0"/>
          <w:szCs w:val="22"/>
          <w:lang w:val="hy-AM" w:eastAsia="en-US"/>
        </w:rPr>
      </w:pPr>
      <w:r w:rsidRPr="00A83C94">
        <w:rPr>
          <w:rFonts w:cs="Arial"/>
          <w:kern w:val="16"/>
          <w:szCs w:val="22"/>
          <w:lang w:val="hy-AM" w:eastAsia="en-US"/>
        </w:rPr>
        <w:t>Կրթության ոլորտում տեղեկատվական և հաղորդ</w:t>
      </w:r>
      <w:r w:rsidR="009A779D" w:rsidRPr="00A83C94">
        <w:rPr>
          <w:rFonts w:cs="Arial"/>
          <w:kern w:val="16"/>
          <w:szCs w:val="22"/>
          <w:lang w:val="hy-AM" w:eastAsia="en-US"/>
        </w:rPr>
        <w:t>ակցական տեխնոլոգիաների ներդրում</w:t>
      </w:r>
      <w:r w:rsidRPr="00A83C94">
        <w:rPr>
          <w:rFonts w:cs="Arial"/>
          <w:kern w:val="16"/>
          <w:szCs w:val="22"/>
          <w:lang w:val="hy-AM" w:eastAsia="en-US"/>
        </w:rPr>
        <w:t xml:space="preserve">  </w:t>
      </w:r>
      <w:r w:rsidRPr="00A83C94">
        <w:rPr>
          <w:b w:val="0"/>
          <w:szCs w:val="22"/>
          <w:lang w:val="hy-AM" w:eastAsia="en-US"/>
        </w:rPr>
        <w:t xml:space="preserve">ծրագրի նպատակն է՝ կրթության ոլորտում տեղեկատվական և հաղորդակցական տեխնոլոգիաների կիրառման ընդլայնումը: Ծրագրի գծով 2022 թվականին նախատեսվում է հատկացնել 784.1 մլն դրամ՝ 2021 թվականի 424.1 մլն դրամի դիմաց, ծախսերի աճը կազմում է 360.0 մլն դրամ, որը հանրակրթական դպրոցների ինտերնետային կապով ապահովման գումարն է: </w:t>
      </w:r>
      <w:r w:rsidRPr="00A83C94">
        <w:rPr>
          <w:b w:val="0"/>
          <w:szCs w:val="22"/>
          <w:lang w:val="hy-AM"/>
        </w:rPr>
        <w:t>էլեկտրոնային ուսուցման գործիքների զարգացման</w:t>
      </w:r>
      <w:r w:rsidRPr="00A83C94">
        <w:rPr>
          <w:szCs w:val="22"/>
          <w:lang w:val="hy-AM"/>
        </w:rPr>
        <w:t xml:space="preserve"> </w:t>
      </w:r>
      <w:r w:rsidRPr="00A83C94">
        <w:rPr>
          <w:b w:val="0"/>
          <w:szCs w:val="22"/>
          <w:lang w:val="hy-AM" w:eastAsia="en-US"/>
        </w:rPr>
        <w:t xml:space="preserve">վերաբերյալ դրույթն ամրագրված է ՀՀ կառավարության ծրագրի «4.3 Կրթություն» բաժնում: </w:t>
      </w:r>
    </w:p>
    <w:p w14:paraId="7E8FCB65" w14:textId="77777777" w:rsidR="002D2E24" w:rsidRPr="00A83C94" w:rsidRDefault="002D2E24" w:rsidP="002D2E24">
      <w:pPr>
        <w:spacing w:before="0" w:line="276" w:lineRule="auto"/>
        <w:ind w:firstLine="547"/>
        <w:rPr>
          <w:szCs w:val="22"/>
          <w:lang w:val="hy-AM" w:eastAsia="en-US"/>
        </w:rPr>
      </w:pPr>
      <w:r w:rsidRPr="00A83C94">
        <w:rPr>
          <w:szCs w:val="22"/>
          <w:lang w:val="hy-AM" w:eastAsia="en-US"/>
        </w:rPr>
        <w:t>Գիտություն</w:t>
      </w:r>
    </w:p>
    <w:p w14:paraId="6D7AE484" w14:textId="0EC7BADD" w:rsidR="002D2E24" w:rsidRPr="00DE23F3" w:rsidRDefault="002D2E24" w:rsidP="002D2E24">
      <w:pPr>
        <w:spacing w:before="0" w:line="276" w:lineRule="auto"/>
        <w:ind w:firstLine="547"/>
        <w:rPr>
          <w:b w:val="0"/>
          <w:szCs w:val="22"/>
          <w:lang w:val="hy-AM" w:eastAsia="en-US"/>
        </w:rPr>
      </w:pPr>
      <w:r w:rsidRPr="00A83C94">
        <w:rPr>
          <w:szCs w:val="22"/>
          <w:lang w:val="hy-AM" w:eastAsia="en-US"/>
        </w:rPr>
        <w:t xml:space="preserve">Գիտական և գիտատեխնիկական հետազոտությունների ծրագրի </w:t>
      </w:r>
      <w:r w:rsidRPr="00A83C94">
        <w:rPr>
          <w:b w:val="0"/>
          <w:szCs w:val="22"/>
          <w:lang w:val="hy-AM" w:eastAsia="en-US"/>
        </w:rPr>
        <w:t xml:space="preserve">նպատակն է՝ գիտական և գիտատեխնիկական գործունեության հիմնարար, կիրառական և թեմատիկ հետազոտությունների իրականացում, ենթակառուցվածքի և ազգային արժեք ներկայացնող գիտական  օբյեկտների պահպանում և </w:t>
      </w:r>
      <w:r w:rsidRPr="00DE23F3">
        <w:rPr>
          <w:b w:val="0"/>
          <w:szCs w:val="22"/>
          <w:lang w:val="hy-AM" w:eastAsia="en-US"/>
        </w:rPr>
        <w:t>զարգացում, գիտական ներուժի վերարտադրության ապահովում: Ծրագրի գծով 2022 թվականին  նախատեսվել է 22,</w:t>
      </w:r>
      <w:r w:rsidR="00DE23F3" w:rsidRPr="00DE23F3">
        <w:rPr>
          <w:b w:val="0"/>
          <w:szCs w:val="22"/>
          <w:lang w:val="hy-AM" w:eastAsia="en-US"/>
        </w:rPr>
        <w:t>457</w:t>
      </w:r>
      <w:r w:rsidR="000C2DB0" w:rsidRPr="00DE23F3">
        <w:rPr>
          <w:b w:val="0"/>
          <w:szCs w:val="22"/>
          <w:lang w:val="hy-AM" w:eastAsia="en-US"/>
        </w:rPr>
        <w:t>.</w:t>
      </w:r>
      <w:r w:rsidR="00DE23F3" w:rsidRPr="004761A7">
        <w:rPr>
          <w:b w:val="0"/>
          <w:szCs w:val="22"/>
          <w:lang w:val="hy-AM" w:eastAsia="en-US"/>
        </w:rPr>
        <w:t>0</w:t>
      </w:r>
      <w:r w:rsidRPr="00DE23F3">
        <w:rPr>
          <w:b w:val="0"/>
          <w:szCs w:val="22"/>
          <w:lang w:val="hy-AM" w:eastAsia="en-US"/>
        </w:rPr>
        <w:t xml:space="preserve"> մլն դրամ՝ 2021 թվականի 13,559.7 մլն դրամի դիմաց, ծախսերն աճել  են 8,897.3 մլն դրամով կամ 65.6 տոկոսով: </w:t>
      </w:r>
    </w:p>
    <w:p w14:paraId="1E9D7B7D" w14:textId="77777777" w:rsidR="002D2E24" w:rsidRPr="00A83C94" w:rsidRDefault="002D2E24" w:rsidP="002D2E24">
      <w:pPr>
        <w:spacing w:before="0" w:line="276" w:lineRule="auto"/>
        <w:ind w:firstLine="547"/>
        <w:rPr>
          <w:b w:val="0"/>
          <w:szCs w:val="22"/>
          <w:lang w:val="hy-AM" w:eastAsia="en-US"/>
        </w:rPr>
      </w:pPr>
      <w:r w:rsidRPr="00DE23F3">
        <w:rPr>
          <w:b w:val="0"/>
          <w:szCs w:val="22"/>
          <w:lang w:val="hy-AM" w:eastAsia="en-US"/>
        </w:rPr>
        <w:tab/>
      </w:r>
      <w:r w:rsidRPr="00DE23F3">
        <w:rPr>
          <w:szCs w:val="22"/>
          <w:lang w:val="hy-AM" w:eastAsia="en-US"/>
        </w:rPr>
        <w:t>«</w:t>
      </w:r>
      <w:r w:rsidRPr="00DE23F3">
        <w:rPr>
          <w:b w:val="0"/>
          <w:szCs w:val="22"/>
          <w:lang w:val="hy-AM" w:eastAsia="en-US"/>
        </w:rPr>
        <w:t>Գիտական ենթակառուցվածքի արդիականացում» միջոցառման գծով նախատեսվել է 11,969.5 մլն դրամ՝ 2021 թվականի 7,380.7 մլն դրամի դիմաց՝</w:t>
      </w:r>
      <w:r w:rsidRPr="00A83C94">
        <w:rPr>
          <w:b w:val="0"/>
          <w:szCs w:val="22"/>
          <w:lang w:val="hy-AM" w:eastAsia="en-US"/>
        </w:rPr>
        <w:t xml:space="preserve"> գիտական կազմակերպությունների և բուհերի գիտական ստորաբաժանումների  զարգացման, ծրագրերի իրականացման, գիտական սարքավորումների արդիականացման, միջազգային համագործակցության աջակցության նպատակով: Միջոցառմանը հատկացվող միջոցների ծավալներն ավելացել են 2021 թվականի համեմատ` </w:t>
      </w:r>
      <w:bookmarkStart w:id="305" w:name="_Hlk77769403"/>
      <w:r w:rsidRPr="00A83C94">
        <w:rPr>
          <w:b w:val="0"/>
          <w:szCs w:val="22"/>
          <w:lang w:val="hy-AM" w:eastAsia="en-US"/>
        </w:rPr>
        <w:t>պայմանավորված 13.05.2021թ. «Հայաստանի Հանրապետության կառավարության 2001 թվականի նոյեմբերի 17-ի N 1121 որոշման մեջ փոփոխություններ և լրացումներ կատարելու մասին» ՀՀ կառավարության N 747-Լ որոշմամբ, որը նախատեսում է 2022-2025 թվականներին ՀՀ պետական բյուջեից գիտական կադրերի աշխատավարձի աստիճանական ավելացում</w:t>
      </w:r>
      <w:bookmarkEnd w:id="305"/>
      <w:r w:rsidRPr="00A83C94">
        <w:rPr>
          <w:b w:val="0"/>
          <w:szCs w:val="22"/>
          <w:lang w:val="hy-AM" w:eastAsia="en-US"/>
        </w:rPr>
        <w:t xml:space="preserve"> և այդ նպատակով նշված գումարի մեջ ներառված է նաև աշխատավարձի ավելացման գծով 3,446.5 մլն դրամը։ Միջոցառման մեջ ընդգրկված են միջազգային գիտական կառույցներին անդամակցության և գիտատեղեկատվական շտեմարանի ռեսուրսների օգտագործման 4 ծրագրեր` ընդամենը 815.5 մլն դրամի չափով:</w:t>
      </w:r>
    </w:p>
    <w:p w14:paraId="1A9734AB"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Աշխատավարձերի բարձրացման գծով համապատասխան միջոցներ են նախատեսվել «Քենդլ» սինքրոտրոնային հետազոտությունների ինստիտուտ» հիմնադրամին՝ արագացուցչային ֆիզիկայի և տեխնիկայի բնագավառում գիտական և գիտատեխնիկական հետազոտությունների, «Ա. Ի. Ալիխանյանի անվան ազգային գիտական լաբորատորիա (Երևանի ֆիզիկայի ինստիտուտ)» հիմնադրամին՝ ֆիզիկայի բնագավառում գիտական և գիտատեխնիկական հետազոտությունների իրականացման նպատակով, «Ազգային արժեք ներկայացնող գիտական օբյեկտների պահպանություն» միջոցառման գծով՝ Հին ձեռագրերի ինստիտուտի, Ցեղասպանության թանգարանի, Բյուրականի աստղադիտարանի պահպանման նպատակով:</w:t>
      </w:r>
    </w:p>
    <w:p w14:paraId="35CC37D3"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«Գիտական և գիտատեխնիկական պայմանագրային (թեմատիկ) հետազոտություններ» միջոցառման գծով նախատեսվել է 6,651.2 մլն դրամ՝ 2021 թվականի 2,454.4 մլն դրամի դիմաց, ծախսերի աճը կազմել է 4,196.8 մլն դրամ: Ֆինանսավորման ծավալների ավելացումը 2021 թվականի նկատմամբ պայմանավորված է 2021 թվականին ՀՀ կառավարության հաստատած հատկացումների շրջանակներում նոր մրցութային ծրագրերի իրականացմամբ: Միջոցառման շրջանակում իրականացվում են դրամաշնորհային մրցույթներ, որոնց համար որպես արդյունքային ցուցանիշներ են սահմանվում միջազգային չափանիշներին համապատասխան գիտական արդյունքները:</w:t>
      </w:r>
    </w:p>
    <w:p w14:paraId="768659DD" w14:textId="77777777"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139.2 մլն դրամ է նախատեսվել ՀՀ ԳԱԱ իսկական (42) և թղթակից (53) անդամների պատվովճարների, 842.0 մլն դրամ՝ պետական գիտական ծրագրերում ընդգրկված` գիտական աստիճան ունեցող գիտաշխատողներին հավելավճարների տրամադրման նպատակով (618 գիտության դոկտորներ և 1550 գիտության թեկնածուներ), 136.0 մլն դրամ՝ գիտական և գիտատեխնիկական նպատակային-ծրագրային հետազոտությունների, ևս 143.0 մլն դրամ՝ ՀՀ գիտությունների ազգային ակադեմիայի համակարգի կազմակերպություններն արդի պահանջներին համապատասխանող սարքավորումներով վերազինելու, այդ թվում՝ սուպերկոմպյուտերի պահպանման և սպասարկման նպատակով (նշված միջոցառումների մասով պահպանվել է 2021 թվականի ծախսերի մակարդակը):</w:t>
      </w:r>
    </w:p>
    <w:p w14:paraId="1B3266AD" w14:textId="5E15653F" w:rsidR="002D2E24" w:rsidRPr="00A83C94" w:rsidRDefault="002D2E24" w:rsidP="002D2E24">
      <w:pPr>
        <w:spacing w:before="0" w:line="276" w:lineRule="auto"/>
        <w:ind w:firstLine="547"/>
        <w:rPr>
          <w:b w:val="0"/>
          <w:szCs w:val="22"/>
          <w:lang w:val="hy-AM" w:eastAsia="en-US"/>
        </w:rPr>
      </w:pPr>
      <w:r w:rsidRPr="00A83C94">
        <w:rPr>
          <w:b w:val="0"/>
          <w:szCs w:val="22"/>
          <w:lang w:val="hy-AM" w:eastAsia="en-US"/>
        </w:rPr>
        <w:t xml:space="preserve">Գիտության ոլորտի զարգացման վերաբերյալ դրույթներն ամրագրված են ՀՀ կառավարության ծրագրի «4.4 Գիտությունն» բաժնում: </w:t>
      </w:r>
    </w:p>
    <w:p w14:paraId="6315E59D" w14:textId="48A0D229" w:rsidR="0044180B" w:rsidRPr="00A83C94" w:rsidRDefault="0044180B" w:rsidP="0044180B">
      <w:pPr>
        <w:numPr>
          <w:ilvl w:val="12"/>
          <w:numId w:val="0"/>
        </w:numPr>
        <w:tabs>
          <w:tab w:val="left" w:pos="851"/>
          <w:tab w:val="left" w:pos="9214"/>
        </w:tabs>
        <w:spacing w:before="0" w:line="276" w:lineRule="auto"/>
        <w:ind w:firstLine="540"/>
        <w:contextualSpacing w:val="0"/>
        <w:rPr>
          <w:b w:val="0"/>
          <w:szCs w:val="22"/>
          <w:lang w:val="hy-AM" w:eastAsia="en-US"/>
        </w:rPr>
      </w:pPr>
      <w:r w:rsidRPr="00A83C94">
        <w:rPr>
          <w:b w:val="0"/>
          <w:szCs w:val="22"/>
          <w:lang w:val="hy-AM" w:eastAsia="en-US"/>
        </w:rPr>
        <w:t>Միաժամանակ, Եվրոմիության աջակցության դրամաշնորհային ծրագրի շրջանակներում գիտության ոլորտում համատեղ օգտագործման և/կամ գերազանցության կենտրոնների ստեղծում նպատակով 2022թ. համար նախատեսվում է հատկացնել 2,500.0 մլն դրամ դրամաշնորհ:</w:t>
      </w:r>
    </w:p>
    <w:p w14:paraId="2A896BD8" w14:textId="5568704F" w:rsidR="00A93A45" w:rsidRPr="00A83C94" w:rsidRDefault="00A93A45" w:rsidP="007C65A5">
      <w:pPr>
        <w:spacing w:line="276" w:lineRule="auto"/>
        <w:ind w:firstLine="600"/>
        <w:rPr>
          <w:noProof/>
          <w:szCs w:val="22"/>
          <w:lang w:val="af-ZA"/>
        </w:rPr>
      </w:pPr>
      <w:r w:rsidRPr="00A83C94">
        <w:rPr>
          <w:noProof/>
          <w:szCs w:val="22"/>
          <w:lang w:val="hy-AM"/>
        </w:rPr>
        <w:t>Մշակույթ</w:t>
      </w:r>
    </w:p>
    <w:p w14:paraId="32401FAE" w14:textId="77777777" w:rsidR="003B2C15" w:rsidRPr="00A83C94" w:rsidRDefault="003B2C15" w:rsidP="003B2C15">
      <w:pPr>
        <w:spacing w:line="276" w:lineRule="auto"/>
        <w:ind w:firstLine="600"/>
        <w:rPr>
          <w:b w:val="0"/>
          <w:noProof/>
          <w:szCs w:val="22"/>
          <w:lang w:val="af-ZA"/>
        </w:rPr>
      </w:pPr>
      <w:r w:rsidRPr="00A83C94">
        <w:rPr>
          <w:b w:val="0"/>
          <w:noProof/>
          <w:szCs w:val="22"/>
          <w:lang w:val="hy-AM"/>
        </w:rPr>
        <w:t>ՀՀ</w:t>
      </w:r>
      <w:r w:rsidRPr="00A83C94">
        <w:rPr>
          <w:b w:val="0"/>
          <w:noProof/>
          <w:szCs w:val="22"/>
          <w:lang w:val="af-ZA"/>
        </w:rPr>
        <w:t xml:space="preserve"> </w:t>
      </w:r>
      <w:r w:rsidRPr="00A83C94">
        <w:rPr>
          <w:b w:val="0"/>
          <w:noProof/>
          <w:szCs w:val="22"/>
          <w:lang w:val="hy-AM"/>
        </w:rPr>
        <w:t>կառավարության</w:t>
      </w:r>
      <w:r w:rsidRPr="00A83C94">
        <w:rPr>
          <w:b w:val="0"/>
          <w:noProof/>
          <w:szCs w:val="22"/>
          <w:lang w:val="af-ZA"/>
        </w:rPr>
        <w:t xml:space="preserve"> </w:t>
      </w:r>
      <w:r w:rsidRPr="00A83C94">
        <w:rPr>
          <w:b w:val="0"/>
          <w:noProof/>
          <w:szCs w:val="22"/>
          <w:lang w:val="hy-AM"/>
        </w:rPr>
        <w:t>վարած</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քաղաքականությանը</w:t>
      </w:r>
      <w:r w:rsidRPr="00A83C94">
        <w:rPr>
          <w:b w:val="0"/>
          <w:noProof/>
          <w:szCs w:val="22"/>
          <w:lang w:val="af-ZA"/>
        </w:rPr>
        <w:t xml:space="preserve"> </w:t>
      </w:r>
      <w:r w:rsidRPr="00A83C94">
        <w:rPr>
          <w:b w:val="0"/>
          <w:noProof/>
          <w:szCs w:val="22"/>
          <w:lang w:val="hy-AM"/>
        </w:rPr>
        <w:t>համապա</w:t>
      </w:r>
      <w:r w:rsidRPr="00A83C94">
        <w:rPr>
          <w:b w:val="0"/>
          <w:noProof/>
          <w:szCs w:val="22"/>
          <w:lang w:val="af-ZA"/>
        </w:rPr>
        <w:softHyphen/>
      </w:r>
      <w:r w:rsidRPr="00A83C94">
        <w:rPr>
          <w:b w:val="0"/>
          <w:noProof/>
          <w:szCs w:val="22"/>
          <w:lang w:val="hy-AM"/>
        </w:rPr>
        <w:t>տասխան</w:t>
      </w:r>
      <w:r w:rsidRPr="00A83C94">
        <w:rPr>
          <w:b w:val="0"/>
          <w:noProof/>
          <w:szCs w:val="22"/>
          <w:lang w:val="af-ZA"/>
        </w:rPr>
        <w:t xml:space="preserve"> </w:t>
      </w:r>
      <w:r w:rsidRPr="00A83C94">
        <w:rPr>
          <w:b w:val="0"/>
          <w:noProof/>
          <w:szCs w:val="22"/>
          <w:lang w:val="hy-AM"/>
        </w:rPr>
        <w:t>մշակույթի</w:t>
      </w:r>
      <w:r w:rsidRPr="00A83C94">
        <w:rPr>
          <w:b w:val="0"/>
          <w:noProof/>
          <w:szCs w:val="22"/>
          <w:lang w:val="af-ZA"/>
        </w:rPr>
        <w:t xml:space="preserve"> </w:t>
      </w:r>
      <w:r w:rsidRPr="00A83C94">
        <w:rPr>
          <w:b w:val="0"/>
          <w:noProof/>
          <w:szCs w:val="22"/>
          <w:lang w:val="hy-AM"/>
        </w:rPr>
        <w:t>ոլորտում</w:t>
      </w:r>
      <w:r w:rsidRPr="00A83C94">
        <w:rPr>
          <w:b w:val="0"/>
          <w:noProof/>
          <w:szCs w:val="22"/>
          <w:lang w:val="af-ZA"/>
        </w:rPr>
        <w:t xml:space="preserve"> </w:t>
      </w:r>
      <w:r w:rsidRPr="00A83C94">
        <w:rPr>
          <w:b w:val="0"/>
          <w:noProof/>
          <w:szCs w:val="22"/>
          <w:lang w:val="hy-AM"/>
        </w:rPr>
        <w:t>իրականացվում</w:t>
      </w:r>
      <w:r w:rsidRPr="00A83C94">
        <w:rPr>
          <w:b w:val="0"/>
          <w:noProof/>
          <w:szCs w:val="22"/>
          <w:lang w:val="af-ZA"/>
        </w:rPr>
        <w:t xml:space="preserve"> </w:t>
      </w:r>
      <w:r w:rsidRPr="00A83C94">
        <w:rPr>
          <w:b w:val="0"/>
          <w:noProof/>
          <w:szCs w:val="22"/>
          <w:lang w:val="hy-AM"/>
        </w:rPr>
        <w:t>են</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ժառանգության</w:t>
      </w:r>
      <w:r w:rsidRPr="00A83C94">
        <w:rPr>
          <w:b w:val="0"/>
          <w:noProof/>
          <w:szCs w:val="22"/>
          <w:lang w:val="af-ZA"/>
        </w:rPr>
        <w:t xml:space="preserve"> (</w:t>
      </w:r>
      <w:r w:rsidRPr="00A83C94">
        <w:rPr>
          <w:b w:val="0"/>
          <w:noProof/>
          <w:szCs w:val="22"/>
          <w:lang w:val="hy-AM"/>
        </w:rPr>
        <w:t>նյութական</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ոչ</w:t>
      </w:r>
      <w:r w:rsidRPr="00A83C94">
        <w:rPr>
          <w:b w:val="0"/>
          <w:noProof/>
          <w:szCs w:val="22"/>
          <w:lang w:val="af-ZA"/>
        </w:rPr>
        <w:t xml:space="preserve"> </w:t>
      </w:r>
      <w:r w:rsidRPr="00A83C94">
        <w:rPr>
          <w:b w:val="0"/>
          <w:noProof/>
          <w:szCs w:val="22"/>
          <w:lang w:val="hy-AM"/>
        </w:rPr>
        <w:t>նյութական</w:t>
      </w:r>
      <w:r w:rsidRPr="00A83C94">
        <w:rPr>
          <w:b w:val="0"/>
          <w:noProof/>
          <w:szCs w:val="22"/>
          <w:lang w:val="af-ZA"/>
        </w:rPr>
        <w:t xml:space="preserve">) </w:t>
      </w:r>
      <w:r w:rsidRPr="00A83C94">
        <w:rPr>
          <w:b w:val="0"/>
          <w:noProof/>
          <w:szCs w:val="22"/>
          <w:lang w:val="hy-AM"/>
        </w:rPr>
        <w:t>պահպանության</w:t>
      </w:r>
      <w:r w:rsidRPr="00A83C94">
        <w:rPr>
          <w:b w:val="0"/>
          <w:noProof/>
          <w:szCs w:val="22"/>
          <w:lang w:val="af-ZA"/>
        </w:rPr>
        <w:t xml:space="preserve">, </w:t>
      </w:r>
      <w:r w:rsidRPr="00A83C94">
        <w:rPr>
          <w:b w:val="0"/>
          <w:noProof/>
          <w:szCs w:val="22"/>
          <w:lang w:val="hy-AM"/>
        </w:rPr>
        <w:t>պաշտպանության</w:t>
      </w:r>
      <w:r w:rsidRPr="00A83C94">
        <w:rPr>
          <w:b w:val="0"/>
          <w:noProof/>
          <w:szCs w:val="22"/>
          <w:lang w:val="af-ZA"/>
        </w:rPr>
        <w:t xml:space="preserve">, </w:t>
      </w:r>
      <w:r w:rsidRPr="00A83C94">
        <w:rPr>
          <w:b w:val="0"/>
          <w:noProof/>
          <w:szCs w:val="22"/>
          <w:lang w:val="hy-AM"/>
        </w:rPr>
        <w:t>ուսումնասիրության</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արվեստների</w:t>
      </w:r>
      <w:r w:rsidRPr="00A83C94">
        <w:rPr>
          <w:b w:val="0"/>
          <w:noProof/>
          <w:szCs w:val="22"/>
          <w:lang w:val="af-ZA"/>
        </w:rPr>
        <w:t xml:space="preserve"> </w:t>
      </w:r>
      <w:r w:rsidRPr="00A83C94">
        <w:rPr>
          <w:b w:val="0"/>
          <w:noProof/>
          <w:szCs w:val="22"/>
          <w:lang w:val="hy-AM"/>
        </w:rPr>
        <w:t>հենքի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ավանդույթների</w:t>
      </w:r>
      <w:r w:rsidRPr="00A83C94">
        <w:rPr>
          <w:b w:val="0"/>
          <w:noProof/>
          <w:szCs w:val="22"/>
          <w:lang w:val="af-ZA"/>
        </w:rPr>
        <w:t xml:space="preserve"> </w:t>
      </w:r>
      <w:r w:rsidRPr="00A83C94">
        <w:rPr>
          <w:b w:val="0"/>
          <w:noProof/>
          <w:szCs w:val="22"/>
          <w:lang w:val="hy-AM"/>
        </w:rPr>
        <w:t>հիմքի</w:t>
      </w:r>
      <w:r w:rsidRPr="00A83C94">
        <w:rPr>
          <w:b w:val="0"/>
          <w:noProof/>
          <w:szCs w:val="22"/>
          <w:lang w:val="af-ZA"/>
        </w:rPr>
        <w:t xml:space="preserve"> </w:t>
      </w:r>
      <w:r w:rsidRPr="00A83C94">
        <w:rPr>
          <w:b w:val="0"/>
          <w:noProof/>
          <w:szCs w:val="22"/>
          <w:lang w:val="hy-AM"/>
        </w:rPr>
        <w:t>վրա</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մարդու</w:t>
      </w:r>
      <w:r w:rsidRPr="00A83C94">
        <w:rPr>
          <w:b w:val="0"/>
          <w:noProof/>
          <w:szCs w:val="22"/>
          <w:lang w:val="af-ZA"/>
        </w:rPr>
        <w:t xml:space="preserve"> </w:t>
      </w:r>
      <w:r w:rsidRPr="00A83C94">
        <w:rPr>
          <w:b w:val="0"/>
          <w:noProof/>
          <w:szCs w:val="22"/>
          <w:lang w:val="hy-AM"/>
        </w:rPr>
        <w:t>ընկալումներին</w:t>
      </w:r>
      <w:r w:rsidRPr="00A83C94">
        <w:rPr>
          <w:b w:val="0"/>
          <w:noProof/>
          <w:szCs w:val="22"/>
          <w:lang w:val="af-ZA"/>
        </w:rPr>
        <w:t xml:space="preserve"> </w:t>
      </w:r>
      <w:r w:rsidRPr="00A83C94">
        <w:rPr>
          <w:b w:val="0"/>
          <w:noProof/>
          <w:szCs w:val="22"/>
          <w:lang w:val="hy-AM"/>
        </w:rPr>
        <w:t>ու</w:t>
      </w:r>
      <w:r w:rsidRPr="00A83C94">
        <w:rPr>
          <w:b w:val="0"/>
          <w:noProof/>
          <w:szCs w:val="22"/>
          <w:lang w:val="af-ZA"/>
        </w:rPr>
        <w:t xml:space="preserve"> </w:t>
      </w:r>
      <w:r w:rsidRPr="00A83C94">
        <w:rPr>
          <w:b w:val="0"/>
          <w:noProof/>
          <w:szCs w:val="22"/>
          <w:lang w:val="hy-AM"/>
        </w:rPr>
        <w:t>ձգտումներին</w:t>
      </w:r>
      <w:r w:rsidRPr="00A83C94">
        <w:rPr>
          <w:b w:val="0"/>
          <w:noProof/>
          <w:szCs w:val="22"/>
          <w:lang w:val="af-ZA"/>
        </w:rPr>
        <w:t xml:space="preserve"> </w:t>
      </w:r>
      <w:r w:rsidRPr="00A83C94">
        <w:rPr>
          <w:b w:val="0"/>
          <w:noProof/>
          <w:szCs w:val="22"/>
          <w:lang w:val="hy-AM"/>
        </w:rPr>
        <w:t>համահունչ</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ար</w:t>
      </w:r>
      <w:r w:rsidRPr="00A83C94">
        <w:rPr>
          <w:b w:val="0"/>
          <w:noProof/>
          <w:szCs w:val="22"/>
          <w:lang w:val="af-ZA"/>
        </w:rPr>
        <w:softHyphen/>
      </w:r>
      <w:r w:rsidRPr="00A83C94">
        <w:rPr>
          <w:b w:val="0"/>
          <w:noProof/>
          <w:szCs w:val="22"/>
          <w:lang w:val="hy-AM"/>
        </w:rPr>
        <w:t>վեստի</w:t>
      </w:r>
      <w:r w:rsidRPr="00A83C94">
        <w:rPr>
          <w:b w:val="0"/>
          <w:noProof/>
          <w:szCs w:val="22"/>
          <w:lang w:val="af-ZA"/>
        </w:rPr>
        <w:t xml:space="preserve"> </w:t>
      </w:r>
      <w:r w:rsidRPr="00A83C94">
        <w:rPr>
          <w:b w:val="0"/>
          <w:noProof/>
          <w:szCs w:val="22"/>
          <w:lang w:val="hy-AM"/>
        </w:rPr>
        <w:t>ստեղծման</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տարածման</w:t>
      </w:r>
      <w:r w:rsidRPr="00A83C94">
        <w:rPr>
          <w:b w:val="0"/>
          <w:noProof/>
          <w:szCs w:val="22"/>
          <w:lang w:val="af-ZA"/>
        </w:rPr>
        <w:t xml:space="preserve">, </w:t>
      </w:r>
      <w:r w:rsidRPr="00A83C94">
        <w:rPr>
          <w:b w:val="0"/>
          <w:noProof/>
          <w:szCs w:val="22"/>
          <w:lang w:val="hy-AM"/>
        </w:rPr>
        <w:t>ազգաբնակչության</w:t>
      </w:r>
      <w:r w:rsidRPr="00A83C94">
        <w:rPr>
          <w:b w:val="0"/>
          <w:noProof/>
          <w:szCs w:val="22"/>
          <w:lang w:val="af-ZA"/>
        </w:rPr>
        <w:t xml:space="preserve"> </w:t>
      </w:r>
      <w:r w:rsidRPr="00A83C94">
        <w:rPr>
          <w:b w:val="0"/>
          <w:noProof/>
          <w:szCs w:val="22"/>
          <w:lang w:val="hy-AM"/>
        </w:rPr>
        <w:t>ստեղծագործական</w:t>
      </w:r>
      <w:r w:rsidRPr="00A83C94">
        <w:rPr>
          <w:b w:val="0"/>
          <w:noProof/>
          <w:szCs w:val="22"/>
          <w:lang w:val="af-ZA"/>
        </w:rPr>
        <w:t xml:space="preserve"> </w:t>
      </w:r>
      <w:r w:rsidRPr="00A83C94">
        <w:rPr>
          <w:b w:val="0"/>
          <w:noProof/>
          <w:szCs w:val="22"/>
          <w:lang w:val="hy-AM"/>
        </w:rPr>
        <w:t>ներուժի</w:t>
      </w:r>
      <w:r w:rsidRPr="00A83C94">
        <w:rPr>
          <w:b w:val="0"/>
          <w:noProof/>
          <w:szCs w:val="22"/>
          <w:lang w:val="af-ZA"/>
        </w:rPr>
        <w:t xml:space="preserve"> </w:t>
      </w:r>
      <w:r w:rsidRPr="00A83C94">
        <w:rPr>
          <w:b w:val="0"/>
          <w:noProof/>
          <w:szCs w:val="22"/>
          <w:lang w:val="hy-AM"/>
        </w:rPr>
        <w:t>խթանման</w:t>
      </w:r>
      <w:r w:rsidRPr="00A83C94">
        <w:rPr>
          <w:b w:val="0"/>
          <w:noProof/>
          <w:szCs w:val="22"/>
          <w:lang w:val="af-ZA"/>
        </w:rPr>
        <w:t xml:space="preserve">, </w:t>
      </w:r>
      <w:r w:rsidRPr="00A83C94">
        <w:rPr>
          <w:b w:val="0"/>
          <w:noProof/>
          <w:szCs w:val="22"/>
          <w:lang w:val="hy-AM"/>
        </w:rPr>
        <w:t>նոր</w:t>
      </w:r>
      <w:r w:rsidRPr="00A83C94">
        <w:rPr>
          <w:b w:val="0"/>
          <w:noProof/>
          <w:szCs w:val="22"/>
          <w:lang w:val="af-ZA"/>
        </w:rPr>
        <w:t xml:space="preserve"> </w:t>
      </w:r>
      <w:r w:rsidRPr="00A83C94">
        <w:rPr>
          <w:b w:val="0"/>
          <w:noProof/>
          <w:szCs w:val="22"/>
          <w:lang w:val="hy-AM"/>
        </w:rPr>
        <w:t>մտահղացումների</w:t>
      </w:r>
      <w:r w:rsidRPr="00A83C94">
        <w:rPr>
          <w:b w:val="0"/>
          <w:noProof/>
          <w:szCs w:val="22"/>
          <w:lang w:val="af-ZA"/>
        </w:rPr>
        <w:t xml:space="preserve"> </w:t>
      </w:r>
      <w:r w:rsidRPr="00A83C94">
        <w:rPr>
          <w:b w:val="0"/>
          <w:noProof/>
          <w:szCs w:val="22"/>
          <w:lang w:val="hy-AM"/>
        </w:rPr>
        <w:t>ու</w:t>
      </w:r>
      <w:r w:rsidRPr="00A83C94">
        <w:rPr>
          <w:b w:val="0"/>
          <w:noProof/>
          <w:szCs w:val="22"/>
          <w:lang w:val="af-ZA"/>
        </w:rPr>
        <w:t xml:space="preserve"> </w:t>
      </w:r>
      <w:r w:rsidRPr="00A83C94">
        <w:rPr>
          <w:b w:val="0"/>
          <w:noProof/>
          <w:szCs w:val="22"/>
          <w:lang w:val="hy-AM"/>
        </w:rPr>
        <w:t>գաղափարների</w:t>
      </w:r>
      <w:r w:rsidRPr="00A83C94">
        <w:rPr>
          <w:b w:val="0"/>
          <w:noProof/>
          <w:szCs w:val="22"/>
          <w:lang w:val="af-ZA"/>
        </w:rPr>
        <w:t xml:space="preserve"> </w:t>
      </w:r>
      <w:r w:rsidRPr="00A83C94">
        <w:rPr>
          <w:b w:val="0"/>
          <w:noProof/>
          <w:szCs w:val="22"/>
          <w:lang w:val="hy-AM"/>
        </w:rPr>
        <w:t>ներդրման</w:t>
      </w:r>
      <w:r w:rsidRPr="00A83C94">
        <w:rPr>
          <w:b w:val="0"/>
          <w:noProof/>
          <w:szCs w:val="22"/>
          <w:lang w:val="af-ZA"/>
        </w:rPr>
        <w:t xml:space="preserve"> </w:t>
      </w:r>
      <w:r w:rsidRPr="00A83C94">
        <w:rPr>
          <w:b w:val="0"/>
          <w:noProof/>
          <w:szCs w:val="22"/>
          <w:lang w:val="hy-AM"/>
        </w:rPr>
        <w:t>անհրաժեշտ</w:t>
      </w:r>
      <w:r w:rsidRPr="00A83C94">
        <w:rPr>
          <w:b w:val="0"/>
          <w:noProof/>
          <w:szCs w:val="22"/>
          <w:lang w:val="af-ZA"/>
        </w:rPr>
        <w:t xml:space="preserve"> </w:t>
      </w:r>
      <w:r w:rsidRPr="00A83C94">
        <w:rPr>
          <w:b w:val="0"/>
          <w:noProof/>
          <w:szCs w:val="22"/>
          <w:lang w:val="hy-AM"/>
        </w:rPr>
        <w:t>պայմանների</w:t>
      </w:r>
      <w:r w:rsidRPr="00A83C94">
        <w:rPr>
          <w:b w:val="0"/>
          <w:noProof/>
          <w:szCs w:val="22"/>
          <w:lang w:val="af-ZA"/>
        </w:rPr>
        <w:t xml:space="preserve"> </w:t>
      </w:r>
      <w:r w:rsidRPr="00A83C94">
        <w:rPr>
          <w:b w:val="0"/>
          <w:noProof/>
          <w:szCs w:val="22"/>
          <w:lang w:val="hy-AM"/>
        </w:rPr>
        <w:t>ապահովման</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մշա</w:t>
      </w:r>
      <w:r w:rsidRPr="00A83C94">
        <w:rPr>
          <w:b w:val="0"/>
          <w:noProof/>
          <w:szCs w:val="22"/>
          <w:lang w:val="af-ZA"/>
        </w:rPr>
        <w:softHyphen/>
      </w:r>
      <w:r w:rsidRPr="00A83C94">
        <w:rPr>
          <w:b w:val="0"/>
          <w:noProof/>
          <w:szCs w:val="22"/>
          <w:lang w:val="hy-AM"/>
        </w:rPr>
        <w:t>կութային</w:t>
      </w:r>
      <w:r w:rsidRPr="00A83C94">
        <w:rPr>
          <w:b w:val="0"/>
          <w:noProof/>
          <w:szCs w:val="22"/>
          <w:lang w:val="af-ZA"/>
        </w:rPr>
        <w:t xml:space="preserve"> </w:t>
      </w:r>
      <w:r w:rsidRPr="00A83C94">
        <w:rPr>
          <w:b w:val="0"/>
          <w:noProof/>
          <w:szCs w:val="22"/>
          <w:lang w:val="hy-AM"/>
        </w:rPr>
        <w:t>մրցունակ</w:t>
      </w:r>
      <w:r w:rsidRPr="00A83C94">
        <w:rPr>
          <w:b w:val="0"/>
          <w:noProof/>
          <w:szCs w:val="22"/>
          <w:lang w:val="af-ZA"/>
        </w:rPr>
        <w:t xml:space="preserve"> </w:t>
      </w:r>
      <w:r w:rsidRPr="00A83C94">
        <w:rPr>
          <w:b w:val="0"/>
          <w:noProof/>
          <w:szCs w:val="22"/>
          <w:lang w:val="hy-AM"/>
        </w:rPr>
        <w:t>արտադրանքի</w:t>
      </w:r>
      <w:r w:rsidRPr="00A83C94">
        <w:rPr>
          <w:b w:val="0"/>
          <w:noProof/>
          <w:szCs w:val="22"/>
          <w:lang w:val="af-ZA"/>
        </w:rPr>
        <w:t xml:space="preserve"> </w:t>
      </w:r>
      <w:r w:rsidRPr="00A83C94">
        <w:rPr>
          <w:b w:val="0"/>
          <w:noProof/>
          <w:szCs w:val="22"/>
          <w:lang w:val="hy-AM"/>
        </w:rPr>
        <w:t>ստեղծման</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միջոցառում</w:t>
      </w:r>
      <w:r w:rsidRPr="00A83C94">
        <w:rPr>
          <w:b w:val="0"/>
          <w:noProof/>
          <w:szCs w:val="22"/>
          <w:lang w:val="af-ZA"/>
        </w:rPr>
        <w:softHyphen/>
      </w:r>
      <w:r w:rsidRPr="00A83C94">
        <w:rPr>
          <w:b w:val="0"/>
          <w:noProof/>
          <w:szCs w:val="22"/>
          <w:lang w:val="hy-AM"/>
        </w:rPr>
        <w:t>ների</w:t>
      </w:r>
      <w:r w:rsidRPr="00A83C94">
        <w:rPr>
          <w:b w:val="0"/>
          <w:noProof/>
          <w:szCs w:val="22"/>
          <w:lang w:val="af-ZA"/>
        </w:rPr>
        <w:t xml:space="preserve"> </w:t>
      </w:r>
      <w:r w:rsidRPr="00A83C94">
        <w:rPr>
          <w:b w:val="0"/>
          <w:noProof/>
          <w:szCs w:val="22"/>
          <w:lang w:val="hy-AM"/>
        </w:rPr>
        <w:t>իրակա</w:t>
      </w:r>
      <w:r w:rsidRPr="00A83C94">
        <w:rPr>
          <w:b w:val="0"/>
          <w:noProof/>
          <w:szCs w:val="22"/>
          <w:lang w:val="af-ZA"/>
        </w:rPr>
        <w:softHyphen/>
      </w:r>
      <w:r w:rsidRPr="00A83C94">
        <w:rPr>
          <w:b w:val="0"/>
          <w:noProof/>
          <w:szCs w:val="22"/>
          <w:lang w:val="hy-AM"/>
        </w:rPr>
        <w:t>նաց</w:t>
      </w:r>
      <w:r w:rsidRPr="00A83C94">
        <w:rPr>
          <w:b w:val="0"/>
          <w:noProof/>
          <w:szCs w:val="22"/>
          <w:lang w:val="af-ZA"/>
        </w:rPr>
        <w:softHyphen/>
      </w:r>
      <w:r w:rsidRPr="00A83C94">
        <w:rPr>
          <w:b w:val="0"/>
          <w:noProof/>
          <w:szCs w:val="22"/>
          <w:lang w:val="hy-AM"/>
        </w:rPr>
        <w:t>ման</w:t>
      </w:r>
      <w:r w:rsidRPr="00A83C94">
        <w:rPr>
          <w:b w:val="0"/>
          <w:noProof/>
          <w:szCs w:val="22"/>
          <w:lang w:val="af-ZA"/>
        </w:rPr>
        <w:t xml:space="preserve"> </w:t>
      </w:r>
      <w:r w:rsidRPr="00A83C94">
        <w:rPr>
          <w:b w:val="0"/>
          <w:noProof/>
          <w:szCs w:val="22"/>
          <w:lang w:val="hy-AM"/>
        </w:rPr>
        <w:t>ծառայություններ</w:t>
      </w:r>
      <w:r w:rsidRPr="00A83C94">
        <w:rPr>
          <w:b w:val="0"/>
          <w:noProof/>
          <w:szCs w:val="22"/>
          <w:lang w:val="af-ZA"/>
        </w:rPr>
        <w:t xml:space="preserve"> (</w:t>
      </w:r>
      <w:r w:rsidRPr="00A83C94">
        <w:rPr>
          <w:b w:val="0"/>
          <w:noProof/>
          <w:szCs w:val="22"/>
          <w:lang w:val="hy-AM"/>
        </w:rPr>
        <w:t>հիմք՝</w:t>
      </w:r>
      <w:r w:rsidRPr="00A83C94">
        <w:rPr>
          <w:b w:val="0"/>
          <w:noProof/>
          <w:szCs w:val="22"/>
          <w:lang w:val="af-ZA"/>
        </w:rPr>
        <w:t xml:space="preserve"> </w:t>
      </w:r>
      <w:r w:rsidRPr="00A83C94">
        <w:rPr>
          <w:b w:val="0"/>
          <w:noProof/>
          <w:szCs w:val="22"/>
          <w:lang w:val="hy-AM"/>
        </w:rPr>
        <w:t>ՀՀ</w:t>
      </w:r>
      <w:r w:rsidRPr="00A83C94">
        <w:rPr>
          <w:b w:val="0"/>
          <w:noProof/>
          <w:szCs w:val="22"/>
          <w:lang w:val="af-ZA"/>
        </w:rPr>
        <w:t xml:space="preserve"> </w:t>
      </w:r>
      <w:r w:rsidRPr="00A83C94">
        <w:rPr>
          <w:b w:val="0"/>
          <w:noProof/>
          <w:szCs w:val="22"/>
          <w:lang w:val="hy-AM"/>
        </w:rPr>
        <w:t>կառավարության</w:t>
      </w:r>
      <w:r w:rsidRPr="00A83C94">
        <w:rPr>
          <w:b w:val="0"/>
          <w:noProof/>
          <w:szCs w:val="22"/>
          <w:lang w:val="af-ZA"/>
        </w:rPr>
        <w:t xml:space="preserve"> </w:t>
      </w:r>
      <w:r w:rsidRPr="00A83C94">
        <w:rPr>
          <w:b w:val="0"/>
          <w:noProof/>
          <w:szCs w:val="22"/>
          <w:lang w:val="hy-AM"/>
        </w:rPr>
        <w:t>ծրագրի</w:t>
      </w:r>
      <w:r w:rsidRPr="00A83C94">
        <w:rPr>
          <w:b w:val="0"/>
          <w:noProof/>
          <w:szCs w:val="22"/>
          <w:lang w:val="af-ZA"/>
        </w:rPr>
        <w:t xml:space="preserve"> «4.9 </w:t>
      </w:r>
      <w:r w:rsidRPr="00A83C94">
        <w:rPr>
          <w:b w:val="0"/>
          <w:noProof/>
          <w:szCs w:val="22"/>
          <w:lang w:val="hy-AM"/>
        </w:rPr>
        <w:t>Մշակույթ</w:t>
      </w:r>
      <w:r w:rsidRPr="00A83C94">
        <w:rPr>
          <w:b w:val="0"/>
          <w:noProof/>
          <w:szCs w:val="22"/>
          <w:lang w:val="af-ZA"/>
        </w:rPr>
        <w:t xml:space="preserve">» </w:t>
      </w:r>
      <w:r w:rsidRPr="00A83C94">
        <w:rPr>
          <w:b w:val="0"/>
          <w:noProof/>
          <w:szCs w:val="22"/>
          <w:lang w:val="hy-AM"/>
        </w:rPr>
        <w:t>բաժին</w:t>
      </w:r>
      <w:r w:rsidRPr="00A83C94">
        <w:rPr>
          <w:b w:val="0"/>
          <w:noProof/>
          <w:szCs w:val="22"/>
          <w:lang w:val="af-ZA"/>
        </w:rPr>
        <w:t>):</w:t>
      </w:r>
    </w:p>
    <w:p w14:paraId="610C354B"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Մշակույթի</w:t>
      </w:r>
      <w:r w:rsidRPr="00A83C94">
        <w:rPr>
          <w:b w:val="0"/>
          <w:noProof/>
          <w:szCs w:val="22"/>
          <w:lang w:val="af-ZA"/>
        </w:rPr>
        <w:t xml:space="preserve"> </w:t>
      </w:r>
      <w:r w:rsidRPr="00A83C94">
        <w:rPr>
          <w:b w:val="0"/>
          <w:noProof/>
          <w:szCs w:val="22"/>
        </w:rPr>
        <w:t>ոլորտի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w:t>
      </w:r>
      <w:r w:rsidRPr="00A83C94">
        <w:rPr>
          <w:b w:val="0"/>
          <w:noProof/>
          <w:szCs w:val="22"/>
        </w:rPr>
        <w:t>թվականի</w:t>
      </w:r>
      <w:r w:rsidRPr="00A83C94">
        <w:rPr>
          <w:b w:val="0"/>
          <w:noProof/>
          <w:szCs w:val="22"/>
          <w:lang w:val="en-US"/>
        </w:rPr>
        <w:t>ն</w:t>
      </w:r>
      <w:r w:rsidRPr="00A83C94">
        <w:rPr>
          <w:b w:val="0"/>
          <w:noProof/>
          <w:szCs w:val="22"/>
          <w:lang w:val="af-ZA"/>
        </w:rPr>
        <w:t xml:space="preserve">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16,546.9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15,403.9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1,143.0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7.4 </w:t>
      </w:r>
      <w:r w:rsidRPr="00A83C94">
        <w:rPr>
          <w:b w:val="0"/>
          <w:noProof/>
          <w:szCs w:val="22"/>
        </w:rPr>
        <w:t>տոկոսով</w:t>
      </w:r>
      <w:r w:rsidRPr="00A83C94">
        <w:rPr>
          <w:b w:val="0"/>
          <w:noProof/>
          <w:szCs w:val="22"/>
          <w:lang w:val="af-ZA"/>
        </w:rPr>
        <w:t xml:space="preserve">: </w:t>
      </w:r>
    </w:p>
    <w:p w14:paraId="2C656B58" w14:textId="6C8D2494"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Մշակութային</w:t>
      </w:r>
      <w:r w:rsidRPr="00A83C94">
        <w:rPr>
          <w:b w:val="0"/>
          <w:noProof/>
          <w:szCs w:val="22"/>
          <w:lang w:val="af-ZA"/>
        </w:rPr>
        <w:t xml:space="preserve"> </w:t>
      </w:r>
      <w:r w:rsidRPr="00A83C94">
        <w:rPr>
          <w:b w:val="0"/>
          <w:noProof/>
          <w:szCs w:val="22"/>
        </w:rPr>
        <w:t>օբյեկտների</w:t>
      </w:r>
      <w:r w:rsidRPr="00A83C94">
        <w:rPr>
          <w:b w:val="0"/>
          <w:noProof/>
          <w:szCs w:val="22"/>
          <w:lang w:val="af-ZA"/>
        </w:rPr>
        <w:t xml:space="preserve"> </w:t>
      </w:r>
      <w:r w:rsidRPr="00A83C94">
        <w:rPr>
          <w:b w:val="0"/>
          <w:noProof/>
          <w:szCs w:val="22"/>
        </w:rPr>
        <w:t>հիմնանորոգման</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ամրակայման</w:t>
      </w:r>
      <w:r w:rsidRPr="00A83C94">
        <w:rPr>
          <w:b w:val="0"/>
          <w:noProof/>
          <w:szCs w:val="22"/>
          <w:lang w:val="af-ZA"/>
        </w:rPr>
        <w:t xml:space="preserve">, </w:t>
      </w:r>
      <w:r w:rsidRPr="00A83C94">
        <w:rPr>
          <w:b w:val="0"/>
          <w:noProof/>
          <w:szCs w:val="22"/>
        </w:rPr>
        <w:t>նորոգման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վերականգնման</w:t>
      </w:r>
      <w:r w:rsidRPr="00A83C94">
        <w:rPr>
          <w:b w:val="0"/>
          <w:noProof/>
          <w:szCs w:val="22"/>
          <w:lang w:val="af-ZA"/>
        </w:rPr>
        <w:t xml:space="preserve"> </w:t>
      </w:r>
      <w:r w:rsidRPr="00A83C94">
        <w:rPr>
          <w:b w:val="0"/>
          <w:noProof/>
          <w:szCs w:val="22"/>
        </w:rPr>
        <w:t>գծով</w:t>
      </w:r>
      <w:r w:rsidRPr="00A83C94">
        <w:rPr>
          <w:b w:val="0"/>
          <w:noProof/>
          <w:szCs w:val="22"/>
          <w:lang w:val="af-ZA"/>
        </w:rPr>
        <w:t xml:space="preserve"> ծ</w:t>
      </w:r>
      <w:r w:rsidRPr="00A83C94">
        <w:rPr>
          <w:b w:val="0"/>
          <w:noProof/>
          <w:szCs w:val="22"/>
        </w:rPr>
        <w:t>ախսերը</w:t>
      </w:r>
      <w:r w:rsidRPr="00A83C94">
        <w:rPr>
          <w:b w:val="0"/>
          <w:noProof/>
          <w:szCs w:val="22"/>
          <w:lang w:val="af-ZA"/>
        </w:rPr>
        <w:t xml:space="preserve"> </w:t>
      </w:r>
      <w:r w:rsidRPr="00A83C94">
        <w:rPr>
          <w:b w:val="0"/>
          <w:noProof/>
          <w:szCs w:val="22"/>
        </w:rPr>
        <w:t>նախատեսվել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324.7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000838D8">
        <w:rPr>
          <w:b w:val="0"/>
          <w:noProof/>
          <w:szCs w:val="22"/>
          <w:lang w:val="af-ZA"/>
        </w:rPr>
        <w:t>հաստատ</w:t>
      </w:r>
      <w:r w:rsidRPr="00A83C94">
        <w:rPr>
          <w:b w:val="0"/>
          <w:noProof/>
          <w:szCs w:val="22"/>
        </w:rPr>
        <w:t>ված</w:t>
      </w:r>
      <w:r w:rsidRPr="00A83C94">
        <w:rPr>
          <w:b w:val="0"/>
          <w:noProof/>
          <w:szCs w:val="22"/>
          <w:lang w:val="af-ZA"/>
        </w:rPr>
        <w:t xml:space="preserve"> 70.0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r w:rsidRPr="00A83C94">
        <w:rPr>
          <w:b w:val="0"/>
          <w:noProof/>
          <w:szCs w:val="22"/>
        </w:rPr>
        <w:t>կամ</w:t>
      </w:r>
      <w:r w:rsidRPr="00A83C94">
        <w:rPr>
          <w:b w:val="0"/>
          <w:noProof/>
          <w:szCs w:val="22"/>
          <w:lang w:val="af-ZA"/>
        </w:rPr>
        <w:t xml:space="preserve"> </w:t>
      </w: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254.7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p>
    <w:p w14:paraId="49D3D46D"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Հիմնանորոգման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շինարարության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նախատեսված</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ժառանգության</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ամրակայում</w:t>
      </w:r>
      <w:r w:rsidRPr="00A83C94">
        <w:rPr>
          <w:b w:val="0"/>
          <w:noProof/>
          <w:szCs w:val="22"/>
          <w:lang w:val="af-ZA"/>
        </w:rPr>
        <w:t xml:space="preserve">, </w:t>
      </w:r>
      <w:r w:rsidRPr="00A83C94">
        <w:rPr>
          <w:b w:val="0"/>
          <w:noProof/>
          <w:szCs w:val="22"/>
        </w:rPr>
        <w:t>նորոգում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վերականգնում</w:t>
      </w:r>
      <w:r w:rsidRPr="00A83C94">
        <w:rPr>
          <w:b w:val="0"/>
          <w:noProof/>
          <w:szCs w:val="22"/>
          <w:lang w:val="af-ZA"/>
        </w:rPr>
        <w:t xml:space="preserve">» </w:t>
      </w:r>
      <w:r w:rsidRPr="00A83C94">
        <w:rPr>
          <w:b w:val="0"/>
          <w:noProof/>
          <w:szCs w:val="22"/>
        </w:rPr>
        <w:t>միջոցառմանը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Արվեստների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Ներդրումներ</w:t>
      </w:r>
      <w:r w:rsidRPr="00A83C94">
        <w:rPr>
          <w:b w:val="0"/>
          <w:noProof/>
          <w:szCs w:val="22"/>
          <w:lang w:val="af-ZA"/>
        </w:rPr>
        <w:t xml:space="preserve"> </w:t>
      </w:r>
      <w:r w:rsidRPr="00A83C94">
        <w:rPr>
          <w:b w:val="0"/>
          <w:noProof/>
          <w:szCs w:val="22"/>
        </w:rPr>
        <w:t>թատրոնների</w:t>
      </w:r>
      <w:r w:rsidRPr="00A83C94">
        <w:rPr>
          <w:b w:val="0"/>
          <w:noProof/>
          <w:szCs w:val="22"/>
          <w:lang w:val="af-ZA"/>
        </w:rPr>
        <w:t xml:space="preserve"> </w:t>
      </w:r>
      <w:r w:rsidRPr="00A83C94">
        <w:rPr>
          <w:b w:val="0"/>
          <w:noProof/>
          <w:szCs w:val="22"/>
        </w:rPr>
        <w:t>շենքերի</w:t>
      </w:r>
      <w:r w:rsidRPr="00A83C94">
        <w:rPr>
          <w:b w:val="0"/>
          <w:noProof/>
          <w:szCs w:val="22"/>
          <w:lang w:val="af-ZA"/>
        </w:rPr>
        <w:t xml:space="preserve"> </w:t>
      </w:r>
      <w:r w:rsidRPr="00A83C94">
        <w:rPr>
          <w:b w:val="0"/>
          <w:noProof/>
          <w:szCs w:val="22"/>
        </w:rPr>
        <w:t>կապիտալ</w:t>
      </w:r>
      <w:r w:rsidRPr="00A83C94">
        <w:rPr>
          <w:b w:val="0"/>
          <w:noProof/>
          <w:szCs w:val="22"/>
          <w:lang w:val="af-ZA"/>
        </w:rPr>
        <w:t xml:space="preserve"> </w:t>
      </w:r>
      <w:r w:rsidRPr="00A83C94">
        <w:rPr>
          <w:b w:val="0"/>
          <w:noProof/>
          <w:szCs w:val="22"/>
        </w:rPr>
        <w:t>վերանորոգման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միջոցառմանը</w:t>
      </w:r>
      <w:r w:rsidRPr="00A83C94">
        <w:rPr>
          <w:b w:val="0"/>
          <w:noProof/>
          <w:szCs w:val="22"/>
          <w:lang w:val="af-ZA"/>
        </w:rPr>
        <w:t xml:space="preserve">, </w:t>
      </w:r>
      <w:r w:rsidRPr="00A83C94">
        <w:rPr>
          <w:b w:val="0"/>
          <w:noProof/>
          <w:szCs w:val="22"/>
        </w:rPr>
        <w:t>համապատասխանաբար</w:t>
      </w:r>
      <w:r w:rsidRPr="00A83C94">
        <w:rPr>
          <w:b w:val="0"/>
          <w:noProof/>
          <w:szCs w:val="22"/>
          <w:lang w:val="af-ZA"/>
        </w:rPr>
        <w:t xml:space="preserve"> 108.1 </w:t>
      </w:r>
      <w:r w:rsidRPr="00A83C94">
        <w:rPr>
          <w:b w:val="0"/>
          <w:noProof/>
          <w:szCs w:val="22"/>
        </w:rPr>
        <w:t>և</w:t>
      </w:r>
      <w:r w:rsidRPr="00A83C94">
        <w:rPr>
          <w:b w:val="0"/>
          <w:noProof/>
          <w:szCs w:val="22"/>
          <w:lang w:val="af-ZA"/>
        </w:rPr>
        <w:t xml:space="preserve"> 216.6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w:t>
      </w:r>
    </w:p>
    <w:p w14:paraId="5E89420C"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Բացի</w:t>
      </w:r>
      <w:r w:rsidRPr="00A83C94">
        <w:rPr>
          <w:b w:val="0"/>
          <w:noProof/>
          <w:szCs w:val="22"/>
          <w:lang w:val="af-ZA"/>
        </w:rPr>
        <w:t xml:space="preserve"> </w:t>
      </w:r>
      <w:r w:rsidRPr="00A83C94">
        <w:rPr>
          <w:b w:val="0"/>
          <w:noProof/>
          <w:szCs w:val="22"/>
        </w:rPr>
        <w:t>այդ</w:t>
      </w:r>
      <w:r w:rsidRPr="00A83C94">
        <w:rPr>
          <w:b w:val="0"/>
          <w:noProof/>
          <w:szCs w:val="22"/>
          <w:lang w:val="af-ZA"/>
        </w:rPr>
        <w:t>, «</w:t>
      </w:r>
      <w:r w:rsidRPr="00A83C94">
        <w:rPr>
          <w:b w:val="0"/>
          <w:noProof/>
          <w:szCs w:val="22"/>
        </w:rPr>
        <w:t>Թատերահամերգային</w:t>
      </w:r>
      <w:r w:rsidRPr="00A83C94">
        <w:rPr>
          <w:b w:val="0"/>
          <w:noProof/>
          <w:szCs w:val="22"/>
          <w:lang w:val="af-ZA"/>
        </w:rPr>
        <w:t xml:space="preserve"> </w:t>
      </w:r>
      <w:r w:rsidRPr="00A83C94">
        <w:rPr>
          <w:b w:val="0"/>
          <w:noProof/>
          <w:szCs w:val="22"/>
        </w:rPr>
        <w:t>կազմակերպությունների</w:t>
      </w:r>
      <w:r w:rsidRPr="00A83C94">
        <w:rPr>
          <w:b w:val="0"/>
          <w:noProof/>
          <w:szCs w:val="22"/>
          <w:lang w:val="af-ZA"/>
        </w:rPr>
        <w:t xml:space="preserve"> </w:t>
      </w:r>
      <w:r w:rsidRPr="00A83C94">
        <w:rPr>
          <w:b w:val="0"/>
          <w:noProof/>
          <w:szCs w:val="22"/>
        </w:rPr>
        <w:t>նյութատեխնիկական</w:t>
      </w:r>
      <w:r w:rsidRPr="00A83C94">
        <w:rPr>
          <w:b w:val="0"/>
          <w:noProof/>
          <w:szCs w:val="22"/>
          <w:lang w:val="af-ZA"/>
        </w:rPr>
        <w:t xml:space="preserve"> </w:t>
      </w:r>
      <w:r w:rsidRPr="00A83C94">
        <w:rPr>
          <w:b w:val="0"/>
          <w:noProof/>
          <w:szCs w:val="22"/>
        </w:rPr>
        <w:t>բազայի</w:t>
      </w:r>
      <w:r w:rsidRPr="00A83C94">
        <w:rPr>
          <w:b w:val="0"/>
          <w:noProof/>
          <w:szCs w:val="22"/>
          <w:lang w:val="af-ZA"/>
        </w:rPr>
        <w:t xml:space="preserve">  </w:t>
      </w:r>
      <w:r w:rsidRPr="00A83C94">
        <w:rPr>
          <w:b w:val="0"/>
          <w:noProof/>
          <w:szCs w:val="22"/>
        </w:rPr>
        <w:t>համալրում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գծով</w:t>
      </w:r>
      <w:r w:rsidRPr="00A83C94">
        <w:rPr>
          <w:b w:val="0"/>
          <w:noProof/>
          <w:szCs w:val="22"/>
          <w:lang w:val="af-ZA"/>
        </w:rPr>
        <w:t xml:space="preserve"> </w:t>
      </w:r>
      <w:r w:rsidRPr="00A83C94">
        <w:rPr>
          <w:b w:val="0"/>
          <w:noProof/>
          <w:szCs w:val="22"/>
        </w:rPr>
        <w:t>նախատեսվել</w:t>
      </w:r>
      <w:r w:rsidRPr="00A83C94">
        <w:rPr>
          <w:b w:val="0"/>
          <w:noProof/>
          <w:szCs w:val="22"/>
          <w:lang w:val="af-ZA"/>
        </w:rPr>
        <w:t xml:space="preserve"> </w:t>
      </w:r>
      <w:r w:rsidRPr="00A83C94">
        <w:rPr>
          <w:b w:val="0"/>
          <w:noProof/>
          <w:szCs w:val="22"/>
        </w:rPr>
        <w:t>է</w:t>
      </w:r>
      <w:r w:rsidRPr="00A83C94">
        <w:rPr>
          <w:b w:val="0"/>
          <w:noProof/>
          <w:szCs w:val="22"/>
          <w:lang w:val="af-ZA"/>
        </w:rPr>
        <w:t xml:space="preserve"> 767.5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w:t>
      </w:r>
    </w:p>
    <w:p w14:paraId="52B7A824"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en-US"/>
        </w:rPr>
        <w:t>Մ</w:t>
      </w:r>
      <w:r w:rsidRPr="00A83C94">
        <w:rPr>
          <w:b w:val="0"/>
          <w:noProof/>
          <w:szCs w:val="22"/>
        </w:rPr>
        <w:t>շակույթի</w:t>
      </w:r>
      <w:r w:rsidRPr="00A83C94">
        <w:rPr>
          <w:b w:val="0"/>
          <w:noProof/>
          <w:szCs w:val="22"/>
          <w:lang w:val="af-ZA"/>
        </w:rPr>
        <w:t xml:space="preserve"> </w:t>
      </w:r>
      <w:r w:rsidRPr="00A83C94">
        <w:rPr>
          <w:b w:val="0"/>
          <w:noProof/>
          <w:szCs w:val="22"/>
        </w:rPr>
        <w:t>ոլորտի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նախատեսված</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7 </w:t>
      </w:r>
      <w:r w:rsidRPr="00A83C94">
        <w:rPr>
          <w:b w:val="0"/>
          <w:noProof/>
          <w:szCs w:val="22"/>
        </w:rPr>
        <w:t>ծրագրերի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p>
    <w:p w14:paraId="6ABA487D" w14:textId="09946F43"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Կինեմատոգրաֆիայի</w:t>
      </w:r>
      <w:r w:rsidRPr="00A83C94">
        <w:rPr>
          <w:noProof/>
          <w:szCs w:val="22"/>
          <w:lang w:val="af-ZA"/>
        </w:rPr>
        <w:t xml:space="preserve"> </w:t>
      </w:r>
      <w:r w:rsidRPr="00A83C94">
        <w:rPr>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աջակցել</w:t>
      </w:r>
      <w:r w:rsidRPr="00A83C94">
        <w:rPr>
          <w:b w:val="0"/>
          <w:noProof/>
          <w:szCs w:val="22"/>
          <w:lang w:val="af-ZA"/>
        </w:rPr>
        <w:t xml:space="preserve"> </w:t>
      </w:r>
      <w:r w:rsidRPr="00A83C94">
        <w:rPr>
          <w:b w:val="0"/>
          <w:noProof/>
          <w:szCs w:val="22"/>
          <w:lang w:val="hy-AM"/>
        </w:rPr>
        <w:t>կինոարվեստի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կինոարտադրության</w:t>
      </w:r>
      <w:r w:rsidRPr="00A83C94">
        <w:rPr>
          <w:b w:val="0"/>
          <w:noProof/>
          <w:szCs w:val="22"/>
          <w:lang w:val="af-ZA"/>
        </w:rPr>
        <w:t xml:space="preserve"> </w:t>
      </w:r>
      <w:r w:rsidRPr="00A83C94">
        <w:rPr>
          <w:b w:val="0"/>
          <w:noProof/>
          <w:szCs w:val="22"/>
          <w:lang w:val="hy-AM"/>
        </w:rPr>
        <w:t>զարգացմանը</w:t>
      </w:r>
      <w:r w:rsidRPr="00A83C94">
        <w:rPr>
          <w:b w:val="0"/>
          <w:noProof/>
          <w:szCs w:val="22"/>
          <w:lang w:val="af-ZA"/>
        </w:rPr>
        <w:t xml:space="preserve">, </w:t>
      </w:r>
      <w:r w:rsidRPr="00A83C94">
        <w:rPr>
          <w:b w:val="0"/>
          <w:noProof/>
          <w:szCs w:val="22"/>
          <w:lang w:val="hy-AM"/>
        </w:rPr>
        <w:t>հայկական</w:t>
      </w:r>
      <w:r w:rsidRPr="00A83C94">
        <w:rPr>
          <w:b w:val="0"/>
          <w:noProof/>
          <w:szCs w:val="22"/>
          <w:lang w:val="af-ZA"/>
        </w:rPr>
        <w:t xml:space="preserve"> </w:t>
      </w:r>
      <w:r w:rsidRPr="00A83C94">
        <w:rPr>
          <w:b w:val="0"/>
          <w:noProof/>
          <w:szCs w:val="22"/>
          <w:lang w:val="hy-AM"/>
        </w:rPr>
        <w:t>ավանդույթների</w:t>
      </w:r>
      <w:r w:rsidRPr="00A83C94">
        <w:rPr>
          <w:b w:val="0"/>
          <w:noProof/>
          <w:szCs w:val="22"/>
          <w:lang w:val="af-ZA"/>
        </w:rPr>
        <w:t xml:space="preserve"> </w:t>
      </w:r>
      <w:r w:rsidRPr="00A83C94">
        <w:rPr>
          <w:b w:val="0"/>
          <w:noProof/>
          <w:szCs w:val="22"/>
          <w:lang w:val="hy-AM"/>
        </w:rPr>
        <w:t>շարունակականության</w:t>
      </w:r>
      <w:r w:rsidRPr="00A83C94">
        <w:rPr>
          <w:b w:val="0"/>
          <w:noProof/>
          <w:szCs w:val="22"/>
          <w:lang w:val="af-ZA"/>
        </w:rPr>
        <w:t xml:space="preserve"> </w:t>
      </w:r>
      <w:r w:rsidRPr="00A83C94">
        <w:rPr>
          <w:b w:val="0"/>
          <w:noProof/>
          <w:szCs w:val="22"/>
          <w:lang w:val="hy-AM"/>
        </w:rPr>
        <w:t>ապահովմանը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կինոարվեստի</w:t>
      </w:r>
      <w:r w:rsidRPr="00A83C94">
        <w:rPr>
          <w:b w:val="0"/>
          <w:noProof/>
          <w:szCs w:val="22"/>
          <w:lang w:val="af-ZA"/>
        </w:rPr>
        <w:t xml:space="preserve"> </w:t>
      </w:r>
      <w:r w:rsidRPr="00A83C94">
        <w:rPr>
          <w:b w:val="0"/>
          <w:noProof/>
          <w:szCs w:val="22"/>
          <w:lang w:val="hy-AM"/>
        </w:rPr>
        <w:t>հանրահռչակմանը</w:t>
      </w:r>
      <w:r w:rsidRPr="00A83C94">
        <w:rPr>
          <w:b w:val="0"/>
          <w:noProof/>
          <w:szCs w:val="22"/>
          <w:lang w:val="af-ZA"/>
        </w:rPr>
        <w:t>:</w:t>
      </w:r>
    </w:p>
    <w:p w14:paraId="077BD455" w14:textId="0B9F3992" w:rsidR="003B2C15" w:rsidRPr="00A22D05"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ֆիլմերի</w:t>
      </w:r>
      <w:r w:rsidRPr="00A83C94">
        <w:rPr>
          <w:b w:val="0"/>
          <w:noProof/>
          <w:szCs w:val="22"/>
          <w:lang w:val="af-ZA"/>
        </w:rPr>
        <w:t xml:space="preserve"> </w:t>
      </w:r>
      <w:r w:rsidRPr="00A83C94">
        <w:rPr>
          <w:b w:val="0"/>
          <w:noProof/>
          <w:szCs w:val="22"/>
        </w:rPr>
        <w:t>արտադրությանը</w:t>
      </w:r>
      <w:r w:rsidRPr="00A83C94">
        <w:rPr>
          <w:b w:val="0"/>
          <w:noProof/>
          <w:szCs w:val="22"/>
          <w:lang w:val="af-ZA"/>
        </w:rPr>
        <w:t xml:space="preserve">, </w:t>
      </w:r>
      <w:r w:rsidRPr="00A83C94">
        <w:rPr>
          <w:b w:val="0"/>
          <w:noProof/>
          <w:szCs w:val="22"/>
        </w:rPr>
        <w:t>կինո</w:t>
      </w:r>
      <w:r w:rsidRPr="00A83C94">
        <w:rPr>
          <w:b w:val="0"/>
          <w:noProof/>
          <w:szCs w:val="22"/>
          <w:lang w:val="af-ZA"/>
        </w:rPr>
        <w:t>-</w:t>
      </w:r>
      <w:r w:rsidRPr="00A83C94">
        <w:rPr>
          <w:b w:val="0"/>
          <w:noProof/>
          <w:szCs w:val="22"/>
        </w:rPr>
        <w:t>ֆոտո</w:t>
      </w:r>
      <w:r w:rsidRPr="00A83C94">
        <w:rPr>
          <w:b w:val="0"/>
          <w:noProof/>
          <w:szCs w:val="22"/>
          <w:lang w:val="af-ZA"/>
        </w:rPr>
        <w:t>-</w:t>
      </w:r>
      <w:r w:rsidRPr="00A83C94">
        <w:rPr>
          <w:b w:val="0"/>
          <w:noProof/>
          <w:szCs w:val="22"/>
        </w:rPr>
        <w:t>ֆոնո</w:t>
      </w:r>
      <w:r w:rsidRPr="00A83C94">
        <w:rPr>
          <w:b w:val="0"/>
          <w:noProof/>
          <w:szCs w:val="22"/>
          <w:lang w:val="af-ZA"/>
        </w:rPr>
        <w:t xml:space="preserve"> </w:t>
      </w:r>
      <w:r w:rsidRPr="00A83C94">
        <w:rPr>
          <w:b w:val="0"/>
          <w:noProof/>
          <w:szCs w:val="22"/>
        </w:rPr>
        <w:t>հավաքածուի</w:t>
      </w:r>
      <w:r w:rsidRPr="00A83C94">
        <w:rPr>
          <w:b w:val="0"/>
          <w:noProof/>
          <w:szCs w:val="22"/>
          <w:lang w:val="af-ZA"/>
        </w:rPr>
        <w:t xml:space="preserve"> </w:t>
      </w:r>
      <w:r w:rsidRPr="00A83C94">
        <w:rPr>
          <w:b w:val="0"/>
          <w:noProof/>
          <w:szCs w:val="22"/>
        </w:rPr>
        <w:t>պահպանմանը</w:t>
      </w:r>
      <w:r w:rsidRPr="00A83C94">
        <w:rPr>
          <w:b w:val="0"/>
          <w:noProof/>
          <w:szCs w:val="22"/>
          <w:lang w:val="af-ZA"/>
        </w:rPr>
        <w:t xml:space="preserve">, </w:t>
      </w:r>
      <w:r w:rsidRPr="00A83C94">
        <w:rPr>
          <w:b w:val="0"/>
          <w:noProof/>
          <w:szCs w:val="22"/>
        </w:rPr>
        <w:t>թվայնացմանը</w:t>
      </w:r>
      <w:r w:rsidRPr="00A83C94">
        <w:rPr>
          <w:b w:val="0"/>
          <w:noProof/>
          <w:szCs w:val="22"/>
          <w:lang w:val="af-ZA"/>
        </w:rPr>
        <w:t xml:space="preserve">, </w:t>
      </w:r>
      <w:r w:rsidRPr="00A83C94">
        <w:rPr>
          <w:b w:val="0"/>
          <w:noProof/>
          <w:szCs w:val="22"/>
        </w:rPr>
        <w:t>Հայաստանում</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կինոփառատոների</w:t>
      </w:r>
      <w:r w:rsidRPr="00A83C94">
        <w:rPr>
          <w:b w:val="0"/>
          <w:noProof/>
          <w:szCs w:val="22"/>
          <w:lang w:val="af-ZA"/>
        </w:rPr>
        <w:t xml:space="preserve"> </w:t>
      </w:r>
      <w:r w:rsidRPr="00A83C94">
        <w:rPr>
          <w:b w:val="0"/>
          <w:noProof/>
          <w:szCs w:val="22"/>
        </w:rPr>
        <w:t>կազմակերպմանը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փառատոներին</w:t>
      </w:r>
      <w:r w:rsidRPr="00A83C94">
        <w:rPr>
          <w:b w:val="0"/>
          <w:noProof/>
          <w:szCs w:val="22"/>
          <w:lang w:val="af-ZA"/>
        </w:rPr>
        <w:t xml:space="preserve"> </w:t>
      </w:r>
      <w:r w:rsidRPr="00A83C94">
        <w:rPr>
          <w:b w:val="0"/>
          <w:noProof/>
          <w:szCs w:val="22"/>
        </w:rPr>
        <w:t>մասնակցությանը</w:t>
      </w:r>
      <w:r w:rsidR="00A22D05" w:rsidRPr="00A22D05">
        <w:rPr>
          <w:b w:val="0"/>
          <w:noProof/>
          <w:szCs w:val="22"/>
          <w:lang w:val="af-ZA"/>
        </w:rPr>
        <w:t xml:space="preserve"> (</w:t>
      </w:r>
      <w:r w:rsidR="00A22D05" w:rsidRPr="00A22D05">
        <w:rPr>
          <w:b w:val="0"/>
          <w:noProof/>
          <w:szCs w:val="22"/>
        </w:rPr>
        <w:t>նոր</w:t>
      </w:r>
      <w:r w:rsidR="00A22D05" w:rsidRPr="00A22D05">
        <w:rPr>
          <w:b w:val="0"/>
          <w:noProof/>
          <w:szCs w:val="22"/>
          <w:lang w:val="af-ZA"/>
        </w:rPr>
        <w:t xml:space="preserve"> </w:t>
      </w:r>
      <w:r w:rsidR="00A22D05" w:rsidRPr="00A22D05">
        <w:rPr>
          <w:b w:val="0"/>
          <w:noProof/>
          <w:szCs w:val="22"/>
        </w:rPr>
        <w:t>արտադրվող</w:t>
      </w:r>
      <w:r w:rsidR="00A22D05" w:rsidRPr="00A22D05">
        <w:rPr>
          <w:b w:val="0"/>
          <w:noProof/>
          <w:szCs w:val="22"/>
          <w:lang w:val="af-ZA"/>
        </w:rPr>
        <w:t xml:space="preserve"> </w:t>
      </w:r>
      <w:r w:rsidR="00A22D05" w:rsidRPr="00A22D05">
        <w:rPr>
          <w:b w:val="0"/>
          <w:noProof/>
          <w:szCs w:val="22"/>
        </w:rPr>
        <w:t>կինոնկարների</w:t>
      </w:r>
      <w:r w:rsidR="00A22D05" w:rsidRPr="00A22D05">
        <w:rPr>
          <w:b w:val="0"/>
          <w:noProof/>
          <w:szCs w:val="22"/>
          <w:lang w:val="af-ZA"/>
        </w:rPr>
        <w:t xml:space="preserve"> </w:t>
      </w:r>
      <w:r w:rsidR="00A22D05" w:rsidRPr="00A22D05">
        <w:rPr>
          <w:b w:val="0"/>
          <w:noProof/>
          <w:szCs w:val="22"/>
        </w:rPr>
        <w:t>թիվը</w:t>
      </w:r>
      <w:r w:rsidR="00A22D05" w:rsidRPr="00A22D05">
        <w:rPr>
          <w:b w:val="0"/>
          <w:noProof/>
          <w:szCs w:val="22"/>
          <w:lang w:val="af-ZA"/>
        </w:rPr>
        <w:t xml:space="preserve"> </w:t>
      </w:r>
      <w:r w:rsidR="00A22D05" w:rsidRPr="00A22D05">
        <w:rPr>
          <w:b w:val="0"/>
          <w:noProof/>
          <w:szCs w:val="22"/>
        </w:rPr>
        <w:t>նախատեսվում</w:t>
      </w:r>
      <w:r w:rsidR="00A22D05" w:rsidRPr="00A22D05">
        <w:rPr>
          <w:b w:val="0"/>
          <w:noProof/>
          <w:szCs w:val="22"/>
          <w:lang w:val="af-ZA"/>
        </w:rPr>
        <w:t xml:space="preserve"> </w:t>
      </w:r>
      <w:r w:rsidR="00A22D05" w:rsidRPr="00A22D05">
        <w:rPr>
          <w:b w:val="0"/>
          <w:noProof/>
          <w:szCs w:val="22"/>
        </w:rPr>
        <w:t>է</w:t>
      </w:r>
      <w:r w:rsidR="00A22D05" w:rsidRPr="00A22D05">
        <w:rPr>
          <w:b w:val="0"/>
          <w:noProof/>
          <w:szCs w:val="22"/>
          <w:lang w:val="af-ZA"/>
        </w:rPr>
        <w:t xml:space="preserve"> 8, </w:t>
      </w:r>
      <w:r w:rsidR="00A22D05" w:rsidRPr="00A22D05">
        <w:rPr>
          <w:b w:val="0"/>
          <w:noProof/>
          <w:szCs w:val="22"/>
        </w:rPr>
        <w:t>միջազգային</w:t>
      </w:r>
      <w:r w:rsidR="00A22D05" w:rsidRPr="00A22D05">
        <w:rPr>
          <w:b w:val="0"/>
          <w:noProof/>
          <w:szCs w:val="22"/>
          <w:lang w:val="af-ZA"/>
        </w:rPr>
        <w:t xml:space="preserve"> </w:t>
      </w:r>
      <w:r w:rsidR="00A22D05" w:rsidRPr="00A22D05">
        <w:rPr>
          <w:b w:val="0"/>
          <w:noProof/>
          <w:szCs w:val="22"/>
        </w:rPr>
        <w:t>կինոփառատոններին</w:t>
      </w:r>
      <w:r w:rsidR="00A22D05" w:rsidRPr="00A22D05">
        <w:rPr>
          <w:b w:val="0"/>
          <w:noProof/>
          <w:szCs w:val="22"/>
          <w:lang w:val="af-ZA"/>
        </w:rPr>
        <w:t xml:space="preserve">, </w:t>
      </w:r>
      <w:r w:rsidR="00A22D05" w:rsidRPr="00A22D05">
        <w:rPr>
          <w:b w:val="0"/>
          <w:noProof/>
          <w:szCs w:val="22"/>
        </w:rPr>
        <w:t>կինոշուկաներին</w:t>
      </w:r>
      <w:r w:rsidR="00A22D05" w:rsidRPr="00A22D05">
        <w:rPr>
          <w:b w:val="0"/>
          <w:noProof/>
          <w:szCs w:val="22"/>
          <w:lang w:val="af-ZA"/>
        </w:rPr>
        <w:t xml:space="preserve">, </w:t>
      </w:r>
      <w:r w:rsidR="00A22D05" w:rsidRPr="00A22D05">
        <w:rPr>
          <w:b w:val="0"/>
          <w:noProof/>
          <w:szCs w:val="22"/>
        </w:rPr>
        <w:t>կինոնախագծերին</w:t>
      </w:r>
      <w:r w:rsidR="00A22D05" w:rsidRPr="00A22D05">
        <w:rPr>
          <w:b w:val="0"/>
          <w:noProof/>
          <w:szCs w:val="22"/>
          <w:lang w:val="af-ZA"/>
        </w:rPr>
        <w:t xml:space="preserve"> </w:t>
      </w:r>
      <w:r w:rsidR="00A22D05" w:rsidRPr="00A22D05">
        <w:rPr>
          <w:b w:val="0"/>
          <w:noProof/>
          <w:szCs w:val="22"/>
        </w:rPr>
        <w:t>մասնակցության</w:t>
      </w:r>
      <w:r w:rsidR="00A22D05" w:rsidRPr="00A22D05">
        <w:rPr>
          <w:b w:val="0"/>
          <w:noProof/>
          <w:szCs w:val="22"/>
          <w:lang w:val="af-ZA"/>
        </w:rPr>
        <w:t xml:space="preserve"> </w:t>
      </w:r>
      <w:r w:rsidR="00A22D05" w:rsidRPr="00A22D05">
        <w:rPr>
          <w:b w:val="0"/>
          <w:noProof/>
          <w:szCs w:val="22"/>
        </w:rPr>
        <w:t>թիվը՝</w:t>
      </w:r>
      <w:r w:rsidR="00A22D05" w:rsidRPr="00A22D05">
        <w:rPr>
          <w:b w:val="0"/>
          <w:noProof/>
          <w:szCs w:val="22"/>
          <w:lang w:val="af-ZA"/>
        </w:rPr>
        <w:t xml:space="preserve"> 6, </w:t>
      </w:r>
      <w:r w:rsidR="00A22D05" w:rsidRPr="00A22D05">
        <w:rPr>
          <w:b w:val="0"/>
          <w:noProof/>
          <w:szCs w:val="22"/>
        </w:rPr>
        <w:t>Հայաստանում</w:t>
      </w:r>
      <w:r w:rsidR="00A22D05" w:rsidRPr="00A22D05">
        <w:rPr>
          <w:b w:val="0"/>
          <w:noProof/>
          <w:szCs w:val="22"/>
          <w:lang w:val="af-ZA"/>
        </w:rPr>
        <w:t xml:space="preserve"> </w:t>
      </w:r>
      <w:r w:rsidR="00A22D05" w:rsidRPr="00A22D05">
        <w:rPr>
          <w:b w:val="0"/>
          <w:noProof/>
          <w:szCs w:val="22"/>
        </w:rPr>
        <w:t>կազմակերպվող</w:t>
      </w:r>
      <w:r w:rsidR="00A22D05" w:rsidRPr="00A22D05">
        <w:rPr>
          <w:b w:val="0"/>
          <w:noProof/>
          <w:szCs w:val="22"/>
          <w:lang w:val="af-ZA"/>
        </w:rPr>
        <w:t xml:space="preserve"> </w:t>
      </w:r>
      <w:r w:rsidR="00A22D05" w:rsidRPr="00A22D05">
        <w:rPr>
          <w:b w:val="0"/>
          <w:noProof/>
          <w:szCs w:val="22"/>
        </w:rPr>
        <w:t>կինոփառատոների</w:t>
      </w:r>
      <w:r w:rsidR="00A22D05" w:rsidRPr="00A22D05">
        <w:rPr>
          <w:b w:val="0"/>
          <w:noProof/>
          <w:szCs w:val="22"/>
          <w:lang w:val="af-ZA"/>
        </w:rPr>
        <w:t xml:space="preserve"> </w:t>
      </w:r>
      <w:r w:rsidR="00A22D05" w:rsidRPr="00A22D05">
        <w:rPr>
          <w:b w:val="0"/>
          <w:noProof/>
          <w:szCs w:val="22"/>
        </w:rPr>
        <w:t>թիվը՝</w:t>
      </w:r>
      <w:r w:rsidR="00A22D05" w:rsidRPr="00A22D05">
        <w:rPr>
          <w:b w:val="0"/>
          <w:noProof/>
          <w:szCs w:val="22"/>
          <w:lang w:val="af-ZA"/>
        </w:rPr>
        <w:t xml:space="preserve"> 3)</w:t>
      </w:r>
      <w:r w:rsidRPr="00A22D05">
        <w:rPr>
          <w:b w:val="0"/>
          <w:noProof/>
          <w:szCs w:val="22"/>
          <w:lang w:val="af-ZA"/>
        </w:rPr>
        <w:t>:</w:t>
      </w:r>
    </w:p>
    <w:p w14:paraId="348D6A1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Կինեմատոգրաֆիայի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483.3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714.0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p>
    <w:p w14:paraId="302BCA73"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230.7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32.3 %-</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1B026C4E" w14:textId="4F56B34F"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noProof/>
          <w:szCs w:val="22"/>
          <w:lang w:val="hy-AM"/>
        </w:rPr>
        <w:t>Մշակութային</w:t>
      </w:r>
      <w:r w:rsidRPr="00A83C94">
        <w:rPr>
          <w:noProof/>
          <w:szCs w:val="22"/>
          <w:lang w:val="af-ZA"/>
        </w:rPr>
        <w:t xml:space="preserve"> </w:t>
      </w:r>
      <w:r w:rsidRPr="00A83C94">
        <w:rPr>
          <w:noProof/>
          <w:szCs w:val="22"/>
          <w:lang w:val="hy-AM"/>
        </w:rPr>
        <w:t>ժառանգության</w:t>
      </w:r>
      <w:r w:rsidRPr="00A83C94">
        <w:rPr>
          <w:noProof/>
          <w:szCs w:val="22"/>
          <w:lang w:val="af-ZA"/>
        </w:rPr>
        <w:t xml:space="preserve"> </w:t>
      </w:r>
      <w:r w:rsidRPr="00A83C94">
        <w:rPr>
          <w:b w:val="0"/>
          <w:noProof/>
          <w:szCs w:val="22"/>
          <w:lang w:val="hy-AM"/>
        </w:rPr>
        <w:t>ծրագրի 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ժառանգության</w:t>
      </w:r>
      <w:r w:rsidRPr="00A83C94">
        <w:rPr>
          <w:b w:val="0"/>
          <w:noProof/>
          <w:szCs w:val="22"/>
          <w:lang w:val="af-ZA"/>
        </w:rPr>
        <w:t xml:space="preserve"> </w:t>
      </w:r>
      <w:r w:rsidRPr="00A83C94">
        <w:rPr>
          <w:b w:val="0"/>
          <w:noProof/>
          <w:szCs w:val="22"/>
          <w:lang w:val="hy-AM"/>
        </w:rPr>
        <w:t>պահպանումը</w:t>
      </w:r>
      <w:r w:rsidRPr="00A83C94">
        <w:rPr>
          <w:b w:val="0"/>
          <w:noProof/>
          <w:szCs w:val="22"/>
          <w:lang w:val="af-ZA"/>
        </w:rPr>
        <w:t xml:space="preserve">, </w:t>
      </w:r>
      <w:r w:rsidRPr="00A83C94">
        <w:rPr>
          <w:b w:val="0"/>
          <w:noProof/>
          <w:szCs w:val="22"/>
          <w:lang w:val="hy-AM"/>
        </w:rPr>
        <w:t>օգտագործումը</w:t>
      </w:r>
      <w:r w:rsidRPr="00A83C94">
        <w:rPr>
          <w:b w:val="0"/>
          <w:noProof/>
          <w:szCs w:val="22"/>
          <w:lang w:val="af-ZA"/>
        </w:rPr>
        <w:t xml:space="preserve">, </w:t>
      </w:r>
      <w:r w:rsidRPr="00A83C94">
        <w:rPr>
          <w:b w:val="0"/>
          <w:noProof/>
          <w:szCs w:val="22"/>
          <w:lang w:val="hy-AM"/>
        </w:rPr>
        <w:t>համալրումը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հանրահռչակումը</w:t>
      </w:r>
      <w:r w:rsidRPr="00A83C94">
        <w:rPr>
          <w:b w:val="0"/>
          <w:noProof/>
          <w:szCs w:val="22"/>
          <w:lang w:val="af-ZA"/>
        </w:rPr>
        <w:t>:</w:t>
      </w:r>
    </w:p>
    <w:p w14:paraId="4701AD99" w14:textId="21CE4D4F"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պատմամշակութային</w:t>
      </w:r>
      <w:r w:rsidRPr="00A83C94">
        <w:rPr>
          <w:b w:val="0"/>
          <w:noProof/>
          <w:szCs w:val="22"/>
          <w:lang w:val="af-ZA"/>
        </w:rPr>
        <w:t xml:space="preserve"> </w:t>
      </w:r>
      <w:r w:rsidRPr="00A83C94">
        <w:rPr>
          <w:b w:val="0"/>
          <w:noProof/>
          <w:szCs w:val="22"/>
        </w:rPr>
        <w:t>ժառանգության</w:t>
      </w:r>
      <w:r w:rsidRPr="00A83C94">
        <w:rPr>
          <w:b w:val="0"/>
          <w:noProof/>
          <w:szCs w:val="22"/>
          <w:lang w:val="af-ZA"/>
        </w:rPr>
        <w:t xml:space="preserve"> </w:t>
      </w:r>
      <w:r w:rsidRPr="00A83C94">
        <w:rPr>
          <w:b w:val="0"/>
          <w:noProof/>
          <w:szCs w:val="22"/>
        </w:rPr>
        <w:t>գիտահետազոտական</w:t>
      </w:r>
      <w:r w:rsidRPr="00A83C94">
        <w:rPr>
          <w:b w:val="0"/>
          <w:noProof/>
          <w:szCs w:val="22"/>
          <w:lang w:val="af-ZA"/>
        </w:rPr>
        <w:t xml:space="preserve"> </w:t>
      </w:r>
      <w:r w:rsidRPr="00A83C94">
        <w:rPr>
          <w:b w:val="0"/>
          <w:noProof/>
          <w:szCs w:val="22"/>
        </w:rPr>
        <w:t>աշխատանքների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արժեքների</w:t>
      </w:r>
      <w:r w:rsidRPr="00A83C94">
        <w:rPr>
          <w:b w:val="0"/>
          <w:noProof/>
          <w:szCs w:val="22"/>
          <w:lang w:val="af-ZA"/>
        </w:rPr>
        <w:t xml:space="preserve"> </w:t>
      </w:r>
      <w:r w:rsidRPr="00A83C94">
        <w:rPr>
          <w:b w:val="0"/>
          <w:noProof/>
          <w:szCs w:val="22"/>
        </w:rPr>
        <w:t>փորձաքննության</w:t>
      </w:r>
      <w:r w:rsidRPr="00A83C94">
        <w:rPr>
          <w:b w:val="0"/>
          <w:noProof/>
          <w:szCs w:val="22"/>
          <w:lang w:val="af-ZA"/>
        </w:rPr>
        <w:t xml:space="preserve">, </w:t>
      </w:r>
      <w:r w:rsidRPr="00A83C94">
        <w:rPr>
          <w:b w:val="0"/>
          <w:noProof/>
          <w:szCs w:val="22"/>
        </w:rPr>
        <w:t>թանգարանային</w:t>
      </w:r>
      <w:r w:rsidRPr="00A83C94">
        <w:rPr>
          <w:b w:val="0"/>
          <w:noProof/>
          <w:szCs w:val="22"/>
          <w:lang w:val="af-ZA"/>
        </w:rPr>
        <w:t xml:space="preserve"> </w:t>
      </w:r>
      <w:r w:rsidRPr="00A83C94">
        <w:rPr>
          <w:b w:val="0"/>
          <w:noProof/>
          <w:szCs w:val="22"/>
        </w:rPr>
        <w:t>ծառայությունների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ՀՀ</w:t>
      </w:r>
      <w:r w:rsidRPr="00A83C94">
        <w:rPr>
          <w:b w:val="0"/>
          <w:noProof/>
          <w:szCs w:val="22"/>
          <w:lang w:val="af-ZA"/>
        </w:rPr>
        <w:t xml:space="preserve"> </w:t>
      </w:r>
      <w:r w:rsidRPr="00A83C94">
        <w:rPr>
          <w:b w:val="0"/>
          <w:noProof/>
          <w:szCs w:val="22"/>
        </w:rPr>
        <w:t>տարածքում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օտարերկրյա</w:t>
      </w:r>
      <w:r w:rsidRPr="00A83C94">
        <w:rPr>
          <w:b w:val="0"/>
          <w:noProof/>
          <w:szCs w:val="22"/>
          <w:lang w:val="af-ZA"/>
        </w:rPr>
        <w:t xml:space="preserve"> </w:t>
      </w:r>
      <w:r w:rsidRPr="00A83C94">
        <w:rPr>
          <w:b w:val="0"/>
          <w:noProof/>
          <w:szCs w:val="22"/>
        </w:rPr>
        <w:t>պետություններում</w:t>
      </w:r>
      <w:r w:rsidRPr="00A83C94">
        <w:rPr>
          <w:b w:val="0"/>
          <w:noProof/>
          <w:szCs w:val="22"/>
          <w:lang w:val="af-ZA"/>
        </w:rPr>
        <w:t xml:space="preserve"> </w:t>
      </w:r>
      <w:r w:rsidRPr="00A83C94">
        <w:rPr>
          <w:b w:val="0"/>
          <w:noProof/>
          <w:szCs w:val="22"/>
        </w:rPr>
        <w:t>գտնվող</w:t>
      </w:r>
      <w:r w:rsidRPr="00A83C94">
        <w:rPr>
          <w:b w:val="0"/>
          <w:noProof/>
          <w:szCs w:val="22"/>
          <w:lang w:val="af-ZA"/>
        </w:rPr>
        <w:t xml:space="preserve"> </w:t>
      </w:r>
      <w:r w:rsidRPr="00A83C94">
        <w:rPr>
          <w:b w:val="0"/>
          <w:noProof/>
          <w:szCs w:val="22"/>
        </w:rPr>
        <w:t>հայ</w:t>
      </w:r>
      <w:r w:rsidRPr="00A83C94">
        <w:rPr>
          <w:b w:val="0"/>
          <w:noProof/>
          <w:szCs w:val="22"/>
          <w:lang w:val="af-ZA"/>
        </w:rPr>
        <w:t xml:space="preserve"> </w:t>
      </w:r>
      <w:r w:rsidRPr="00A83C94">
        <w:rPr>
          <w:b w:val="0"/>
          <w:noProof/>
          <w:szCs w:val="22"/>
        </w:rPr>
        <w:t>ճարտարապետության</w:t>
      </w:r>
      <w:r w:rsidRPr="00A83C94">
        <w:rPr>
          <w:b w:val="0"/>
          <w:noProof/>
          <w:szCs w:val="22"/>
          <w:lang w:val="af-ZA"/>
        </w:rPr>
        <w:t xml:space="preserve">, </w:t>
      </w:r>
      <w:r w:rsidRPr="00A83C94">
        <w:rPr>
          <w:b w:val="0"/>
          <w:noProof/>
          <w:szCs w:val="22"/>
        </w:rPr>
        <w:t>մշակույթին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պատմությանն</w:t>
      </w:r>
      <w:r w:rsidRPr="00A83C94">
        <w:rPr>
          <w:b w:val="0"/>
          <w:noProof/>
          <w:szCs w:val="22"/>
          <w:lang w:val="af-ZA"/>
        </w:rPr>
        <w:t xml:space="preserve"> </w:t>
      </w:r>
      <w:r w:rsidRPr="00A83C94">
        <w:rPr>
          <w:b w:val="0"/>
          <w:noProof/>
          <w:szCs w:val="22"/>
        </w:rPr>
        <w:t>առնչվող</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ուսումնասիրմանը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պահպանմանը</w:t>
      </w:r>
      <w:r w:rsidRPr="00A83C94">
        <w:rPr>
          <w:b w:val="0"/>
          <w:noProof/>
          <w:szCs w:val="22"/>
          <w:lang w:val="af-ZA"/>
        </w:rPr>
        <w:t xml:space="preserve">,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ամրակայմանը</w:t>
      </w:r>
      <w:r w:rsidRPr="00A83C94">
        <w:rPr>
          <w:b w:val="0"/>
          <w:noProof/>
          <w:szCs w:val="22"/>
          <w:lang w:val="af-ZA"/>
        </w:rPr>
        <w:t xml:space="preserve">, </w:t>
      </w:r>
      <w:r w:rsidRPr="00A83C94">
        <w:rPr>
          <w:b w:val="0"/>
          <w:noProof/>
          <w:szCs w:val="22"/>
        </w:rPr>
        <w:t>նորոգմանը</w:t>
      </w:r>
      <w:r w:rsidRPr="00A83C94">
        <w:rPr>
          <w:b w:val="0"/>
          <w:noProof/>
          <w:szCs w:val="22"/>
          <w:lang w:val="af-ZA"/>
        </w:rPr>
        <w:t xml:space="preserve">, </w:t>
      </w:r>
      <w:r w:rsidRPr="00A83C94">
        <w:rPr>
          <w:b w:val="0"/>
          <w:noProof/>
          <w:szCs w:val="22"/>
        </w:rPr>
        <w:t>վերականգնմանը</w:t>
      </w:r>
      <w:r w:rsidR="00A22D05" w:rsidRPr="00A22D05">
        <w:rPr>
          <w:b w:val="0"/>
          <w:noProof/>
          <w:szCs w:val="22"/>
          <w:lang w:val="af-ZA"/>
        </w:rPr>
        <w:t xml:space="preserve"> (</w:t>
      </w:r>
      <w:r w:rsidR="00A22D05" w:rsidRPr="00A22D05">
        <w:rPr>
          <w:b w:val="0"/>
          <w:noProof/>
          <w:szCs w:val="22"/>
        </w:rPr>
        <w:t>ամրակայված</w:t>
      </w:r>
      <w:r w:rsidR="00A22D05" w:rsidRPr="00A22D05">
        <w:rPr>
          <w:b w:val="0"/>
          <w:noProof/>
          <w:szCs w:val="22"/>
          <w:lang w:val="af-ZA"/>
        </w:rPr>
        <w:t xml:space="preserve">, </w:t>
      </w:r>
      <w:r w:rsidR="00A22D05" w:rsidRPr="00A22D05">
        <w:rPr>
          <w:b w:val="0"/>
          <w:noProof/>
          <w:szCs w:val="22"/>
        </w:rPr>
        <w:t>նորոգված</w:t>
      </w:r>
      <w:r w:rsidR="00A22D05" w:rsidRPr="00A22D05">
        <w:rPr>
          <w:b w:val="0"/>
          <w:noProof/>
          <w:szCs w:val="22"/>
          <w:lang w:val="af-ZA"/>
        </w:rPr>
        <w:t xml:space="preserve"> </w:t>
      </w:r>
      <w:r w:rsidR="00A22D05" w:rsidRPr="00A22D05">
        <w:rPr>
          <w:b w:val="0"/>
          <w:noProof/>
          <w:szCs w:val="22"/>
        </w:rPr>
        <w:t>և</w:t>
      </w:r>
      <w:r w:rsidR="00A22D05" w:rsidRPr="00A22D05">
        <w:rPr>
          <w:b w:val="0"/>
          <w:noProof/>
          <w:szCs w:val="22"/>
          <w:lang w:val="af-ZA"/>
        </w:rPr>
        <w:t xml:space="preserve"> </w:t>
      </w:r>
      <w:r w:rsidR="00A22D05" w:rsidRPr="00A22D05">
        <w:rPr>
          <w:b w:val="0"/>
          <w:noProof/>
          <w:szCs w:val="22"/>
        </w:rPr>
        <w:t>վերականգնված</w:t>
      </w:r>
      <w:r w:rsidR="00A22D05" w:rsidRPr="00A22D05">
        <w:rPr>
          <w:b w:val="0"/>
          <w:noProof/>
          <w:szCs w:val="22"/>
          <w:lang w:val="af-ZA"/>
        </w:rPr>
        <w:t xml:space="preserve"> </w:t>
      </w:r>
      <w:r w:rsidR="00A22D05" w:rsidRPr="00A22D05">
        <w:rPr>
          <w:b w:val="0"/>
          <w:noProof/>
          <w:szCs w:val="22"/>
        </w:rPr>
        <w:t>հուշարձանների</w:t>
      </w:r>
      <w:r w:rsidR="00A22D05" w:rsidRPr="00A22D05">
        <w:rPr>
          <w:b w:val="0"/>
          <w:noProof/>
          <w:szCs w:val="22"/>
          <w:lang w:val="af-ZA"/>
        </w:rPr>
        <w:t xml:space="preserve"> </w:t>
      </w:r>
      <w:r w:rsidR="00A22D05" w:rsidRPr="00A22D05">
        <w:rPr>
          <w:b w:val="0"/>
          <w:noProof/>
          <w:szCs w:val="22"/>
          <w:lang w:val="en-US"/>
        </w:rPr>
        <w:t>տոկոսը</w:t>
      </w:r>
      <w:r w:rsidR="00A22D05" w:rsidRPr="00A22D05">
        <w:rPr>
          <w:b w:val="0"/>
          <w:noProof/>
          <w:szCs w:val="22"/>
          <w:lang w:val="af-ZA"/>
        </w:rPr>
        <w:t xml:space="preserve"> </w:t>
      </w:r>
      <w:r w:rsidR="00A22D05" w:rsidRPr="00A22D05">
        <w:rPr>
          <w:b w:val="0"/>
          <w:noProof/>
          <w:szCs w:val="22"/>
        </w:rPr>
        <w:t>ընդամենի</w:t>
      </w:r>
      <w:r w:rsidR="00A22D05" w:rsidRPr="00A22D05">
        <w:rPr>
          <w:b w:val="0"/>
          <w:noProof/>
          <w:szCs w:val="22"/>
          <w:lang w:val="af-ZA"/>
        </w:rPr>
        <w:t xml:space="preserve"> </w:t>
      </w:r>
      <w:r w:rsidR="00A22D05" w:rsidRPr="00A22D05">
        <w:rPr>
          <w:b w:val="0"/>
          <w:noProof/>
          <w:szCs w:val="22"/>
        </w:rPr>
        <w:t>նկատմամբ</w:t>
      </w:r>
      <w:r w:rsidR="00A22D05" w:rsidRPr="00A22D05">
        <w:rPr>
          <w:b w:val="0"/>
          <w:noProof/>
          <w:szCs w:val="22"/>
          <w:lang w:val="af-ZA"/>
        </w:rPr>
        <w:t xml:space="preserve"> </w:t>
      </w:r>
      <w:r w:rsidR="00A22D05" w:rsidRPr="00A22D05">
        <w:rPr>
          <w:b w:val="0"/>
          <w:noProof/>
          <w:szCs w:val="22"/>
        </w:rPr>
        <w:t>նախատեսվում</w:t>
      </w:r>
      <w:r w:rsidR="00A22D05" w:rsidRPr="00A22D05">
        <w:rPr>
          <w:b w:val="0"/>
          <w:noProof/>
          <w:szCs w:val="22"/>
          <w:lang w:val="af-ZA"/>
        </w:rPr>
        <w:t xml:space="preserve"> </w:t>
      </w:r>
      <w:r w:rsidR="00A22D05" w:rsidRPr="00A22D05">
        <w:rPr>
          <w:b w:val="0"/>
          <w:noProof/>
          <w:szCs w:val="22"/>
        </w:rPr>
        <w:t>է</w:t>
      </w:r>
      <w:r w:rsidR="00A22D05" w:rsidRPr="00A22D05">
        <w:rPr>
          <w:b w:val="0"/>
          <w:noProof/>
          <w:szCs w:val="22"/>
          <w:lang w:val="af-ZA"/>
        </w:rPr>
        <w:t xml:space="preserve"> 5%, </w:t>
      </w:r>
      <w:r w:rsidR="00A22D05" w:rsidRPr="00A22D05">
        <w:rPr>
          <w:b w:val="0"/>
          <w:noProof/>
          <w:szCs w:val="22"/>
        </w:rPr>
        <w:t>ուսումնասիրված</w:t>
      </w:r>
      <w:r w:rsidR="00A22D05" w:rsidRPr="00A22D05">
        <w:rPr>
          <w:b w:val="0"/>
          <w:noProof/>
          <w:szCs w:val="22"/>
          <w:lang w:val="af-ZA"/>
        </w:rPr>
        <w:t xml:space="preserve">, </w:t>
      </w:r>
      <w:r w:rsidR="00A22D05" w:rsidRPr="00A22D05">
        <w:rPr>
          <w:b w:val="0"/>
          <w:noProof/>
          <w:szCs w:val="22"/>
        </w:rPr>
        <w:t>նախագծված</w:t>
      </w:r>
      <w:r w:rsidR="00A22D05" w:rsidRPr="00A22D05">
        <w:rPr>
          <w:b w:val="0"/>
          <w:noProof/>
          <w:szCs w:val="22"/>
          <w:lang w:val="af-ZA"/>
        </w:rPr>
        <w:t xml:space="preserve"> </w:t>
      </w:r>
      <w:r w:rsidR="00A22D05" w:rsidRPr="00A22D05">
        <w:rPr>
          <w:b w:val="0"/>
          <w:noProof/>
          <w:szCs w:val="22"/>
        </w:rPr>
        <w:t>հուշարձանների</w:t>
      </w:r>
      <w:r w:rsidR="00A22D05" w:rsidRPr="00A22D05">
        <w:rPr>
          <w:b w:val="0"/>
          <w:noProof/>
          <w:szCs w:val="22"/>
          <w:lang w:val="af-ZA"/>
        </w:rPr>
        <w:t xml:space="preserve"> </w:t>
      </w:r>
      <w:r w:rsidR="00A22D05" w:rsidRPr="00A22D05">
        <w:rPr>
          <w:b w:val="0"/>
          <w:noProof/>
          <w:szCs w:val="22"/>
          <w:lang w:val="en-US"/>
        </w:rPr>
        <w:t>տոկոսը</w:t>
      </w:r>
      <w:r w:rsidR="00A22D05" w:rsidRPr="00A22D05">
        <w:rPr>
          <w:b w:val="0"/>
          <w:noProof/>
          <w:szCs w:val="22"/>
          <w:lang w:val="af-ZA"/>
        </w:rPr>
        <w:t xml:space="preserve"> </w:t>
      </w:r>
      <w:r w:rsidR="00A22D05" w:rsidRPr="00A22D05">
        <w:rPr>
          <w:b w:val="0"/>
          <w:noProof/>
          <w:szCs w:val="22"/>
        </w:rPr>
        <w:t>ընդամենի</w:t>
      </w:r>
      <w:r w:rsidR="00A22D05" w:rsidRPr="00A22D05">
        <w:rPr>
          <w:b w:val="0"/>
          <w:noProof/>
          <w:szCs w:val="22"/>
          <w:lang w:val="af-ZA"/>
        </w:rPr>
        <w:t xml:space="preserve"> </w:t>
      </w:r>
      <w:r w:rsidR="00A22D05" w:rsidRPr="00A22D05">
        <w:rPr>
          <w:b w:val="0"/>
          <w:noProof/>
          <w:szCs w:val="22"/>
        </w:rPr>
        <w:t>մեջ՝</w:t>
      </w:r>
      <w:r w:rsidR="00A22D05" w:rsidRPr="00A22D05">
        <w:rPr>
          <w:b w:val="0"/>
          <w:noProof/>
          <w:szCs w:val="22"/>
          <w:lang w:val="af-ZA"/>
        </w:rPr>
        <w:t xml:space="preserve"> 1%, </w:t>
      </w:r>
      <w:r w:rsidR="00A22D05" w:rsidRPr="00A22D05">
        <w:rPr>
          <w:b w:val="0"/>
          <w:noProof/>
          <w:szCs w:val="22"/>
        </w:rPr>
        <w:t>թանգարանային</w:t>
      </w:r>
      <w:r w:rsidR="00A22D05" w:rsidRPr="00A22D05">
        <w:rPr>
          <w:b w:val="0"/>
          <w:noProof/>
          <w:szCs w:val="22"/>
          <w:lang w:val="af-ZA"/>
        </w:rPr>
        <w:t xml:space="preserve"> </w:t>
      </w:r>
      <w:r w:rsidR="00A22D05" w:rsidRPr="00A22D05">
        <w:rPr>
          <w:b w:val="0"/>
          <w:noProof/>
          <w:szCs w:val="22"/>
        </w:rPr>
        <w:t>հավաքածուների</w:t>
      </w:r>
      <w:r w:rsidR="00A22D05" w:rsidRPr="00A22D05">
        <w:rPr>
          <w:b w:val="0"/>
          <w:noProof/>
          <w:szCs w:val="22"/>
          <w:lang w:val="af-ZA"/>
        </w:rPr>
        <w:t xml:space="preserve"> </w:t>
      </w:r>
      <w:r w:rsidR="00A22D05" w:rsidRPr="00A22D05">
        <w:rPr>
          <w:b w:val="0"/>
          <w:noProof/>
          <w:szCs w:val="22"/>
        </w:rPr>
        <w:t>և</w:t>
      </w:r>
      <w:r w:rsidR="00A22D05" w:rsidRPr="00A22D05">
        <w:rPr>
          <w:b w:val="0"/>
          <w:noProof/>
          <w:szCs w:val="22"/>
          <w:lang w:val="af-ZA"/>
        </w:rPr>
        <w:t xml:space="preserve"> </w:t>
      </w:r>
      <w:r w:rsidR="00A22D05" w:rsidRPr="00A22D05">
        <w:rPr>
          <w:b w:val="0"/>
          <w:noProof/>
          <w:szCs w:val="22"/>
        </w:rPr>
        <w:t>ոչ</w:t>
      </w:r>
      <w:r w:rsidR="00A22D05" w:rsidRPr="00A22D05">
        <w:rPr>
          <w:b w:val="0"/>
          <w:noProof/>
          <w:szCs w:val="22"/>
          <w:lang w:val="af-ZA"/>
        </w:rPr>
        <w:t xml:space="preserve"> </w:t>
      </w:r>
      <w:r w:rsidR="00A22D05" w:rsidRPr="00A22D05">
        <w:rPr>
          <w:b w:val="0"/>
          <w:noProof/>
          <w:szCs w:val="22"/>
        </w:rPr>
        <w:t>նյութական</w:t>
      </w:r>
      <w:r w:rsidR="00A22D05" w:rsidRPr="00A22D05">
        <w:rPr>
          <w:b w:val="0"/>
          <w:noProof/>
          <w:szCs w:val="22"/>
          <w:lang w:val="af-ZA"/>
        </w:rPr>
        <w:t xml:space="preserve"> </w:t>
      </w:r>
      <w:r w:rsidR="00A22D05" w:rsidRPr="00A22D05">
        <w:rPr>
          <w:b w:val="0"/>
          <w:noProof/>
          <w:szCs w:val="22"/>
        </w:rPr>
        <w:t>մշակութային</w:t>
      </w:r>
      <w:r w:rsidR="00A22D05" w:rsidRPr="00A22D05">
        <w:rPr>
          <w:b w:val="0"/>
          <w:noProof/>
          <w:szCs w:val="22"/>
          <w:lang w:val="af-ZA"/>
        </w:rPr>
        <w:t xml:space="preserve"> </w:t>
      </w:r>
      <w:r w:rsidR="00A22D05" w:rsidRPr="00A22D05">
        <w:rPr>
          <w:b w:val="0"/>
          <w:noProof/>
          <w:szCs w:val="22"/>
        </w:rPr>
        <w:t>ժառանգության</w:t>
      </w:r>
      <w:r w:rsidR="00A22D05" w:rsidRPr="00A22D05">
        <w:rPr>
          <w:b w:val="0"/>
          <w:noProof/>
          <w:szCs w:val="22"/>
          <w:lang w:val="af-ZA"/>
        </w:rPr>
        <w:t xml:space="preserve"> </w:t>
      </w:r>
      <w:r w:rsidR="00A22D05" w:rsidRPr="00A22D05">
        <w:rPr>
          <w:b w:val="0"/>
          <w:noProof/>
          <w:szCs w:val="22"/>
        </w:rPr>
        <w:t>միջազգայնացման</w:t>
      </w:r>
      <w:r w:rsidR="00A22D05" w:rsidRPr="00A22D05">
        <w:rPr>
          <w:b w:val="0"/>
          <w:noProof/>
          <w:szCs w:val="22"/>
          <w:lang w:val="af-ZA"/>
        </w:rPr>
        <w:t xml:space="preserve"> </w:t>
      </w:r>
      <w:r w:rsidR="00A22D05" w:rsidRPr="00A22D05">
        <w:rPr>
          <w:b w:val="0"/>
          <w:noProof/>
          <w:szCs w:val="22"/>
        </w:rPr>
        <w:t>նախագծերի</w:t>
      </w:r>
      <w:r w:rsidR="00A22D05" w:rsidRPr="00A22D05">
        <w:rPr>
          <w:b w:val="0"/>
          <w:noProof/>
          <w:szCs w:val="22"/>
          <w:lang w:val="af-ZA"/>
        </w:rPr>
        <w:t xml:space="preserve"> </w:t>
      </w:r>
      <w:r w:rsidR="00A22D05" w:rsidRPr="00A22D05">
        <w:rPr>
          <w:b w:val="0"/>
          <w:noProof/>
          <w:szCs w:val="22"/>
        </w:rPr>
        <w:t>քանակը՝</w:t>
      </w:r>
      <w:r w:rsidR="00A22D05" w:rsidRPr="00A22D05">
        <w:rPr>
          <w:b w:val="0"/>
          <w:noProof/>
          <w:szCs w:val="22"/>
          <w:lang w:val="af-ZA"/>
        </w:rPr>
        <w:t xml:space="preserve"> 8)</w:t>
      </w:r>
      <w:r w:rsidRPr="00A22D05">
        <w:rPr>
          <w:b w:val="0"/>
          <w:noProof/>
          <w:szCs w:val="22"/>
          <w:lang w:val="af-ZA"/>
        </w:rPr>
        <w:t>:</w:t>
      </w:r>
    </w:p>
    <w:p w14:paraId="266DA871"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Մշակութային</w:t>
      </w:r>
      <w:r w:rsidRPr="00A83C94">
        <w:rPr>
          <w:b w:val="0"/>
          <w:noProof/>
          <w:szCs w:val="22"/>
          <w:lang w:val="af-ZA"/>
        </w:rPr>
        <w:t xml:space="preserve"> </w:t>
      </w:r>
      <w:r w:rsidRPr="00A83C94">
        <w:rPr>
          <w:b w:val="0"/>
          <w:noProof/>
          <w:szCs w:val="22"/>
        </w:rPr>
        <w:t>ժառանգության</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3,068.5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2,982.5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w:t>
      </w:r>
      <w:r w:rsidRPr="00A83C94">
        <w:rPr>
          <w:b w:val="0"/>
          <w:noProof/>
          <w:szCs w:val="22"/>
          <w:lang w:val="af-ZA"/>
        </w:rPr>
        <w:tab/>
      </w: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86.0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2.9 %-</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p>
    <w:p w14:paraId="57E3B311"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t>- </w:t>
      </w:r>
      <w:r w:rsidRPr="00A83C94">
        <w:rPr>
          <w:b w:val="0"/>
          <w:noProof/>
          <w:szCs w:val="22"/>
        </w:rPr>
        <w:t>Թանգարանային</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ցուցահանդեսներ</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51.7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հիմնականում</w:t>
      </w:r>
      <w:r w:rsidRPr="00A83C94">
        <w:rPr>
          <w:b w:val="0"/>
          <w:noProof/>
          <w:szCs w:val="22"/>
          <w:lang w:val="af-ZA"/>
        </w:rPr>
        <w:t xml:space="preserve"> </w:t>
      </w:r>
      <w:r w:rsidRPr="00A83C94">
        <w:rPr>
          <w:b w:val="0"/>
          <w:noProof/>
          <w:szCs w:val="22"/>
        </w:rPr>
        <w:t>կապված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ՀՀ</w:t>
      </w:r>
      <w:r w:rsidRPr="00A83C94">
        <w:rPr>
          <w:b w:val="0"/>
          <w:noProof/>
          <w:szCs w:val="22"/>
          <w:lang w:val="af-ZA"/>
        </w:rPr>
        <w:t xml:space="preserve"> </w:t>
      </w:r>
      <w:r w:rsidRPr="00A83C94">
        <w:rPr>
          <w:b w:val="0"/>
          <w:noProof/>
          <w:szCs w:val="22"/>
        </w:rPr>
        <w:t>կրթության</w:t>
      </w:r>
      <w:r w:rsidRPr="00A83C94">
        <w:rPr>
          <w:b w:val="0"/>
          <w:noProof/>
          <w:szCs w:val="22"/>
          <w:lang w:val="af-ZA"/>
        </w:rPr>
        <w:t xml:space="preserve">, </w:t>
      </w:r>
      <w:r w:rsidRPr="00A83C94">
        <w:rPr>
          <w:b w:val="0"/>
          <w:noProof/>
          <w:szCs w:val="22"/>
        </w:rPr>
        <w:t>գիտության</w:t>
      </w:r>
      <w:r w:rsidRPr="00A83C94">
        <w:rPr>
          <w:b w:val="0"/>
          <w:noProof/>
          <w:szCs w:val="22"/>
          <w:lang w:val="af-ZA"/>
        </w:rPr>
        <w:t xml:space="preserve">, </w:t>
      </w:r>
      <w:r w:rsidRPr="00A83C94">
        <w:rPr>
          <w:b w:val="0"/>
          <w:noProof/>
          <w:szCs w:val="22"/>
        </w:rPr>
        <w:t>մշակույթի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սպորտի</w:t>
      </w:r>
      <w:r w:rsidRPr="00A83C94">
        <w:rPr>
          <w:b w:val="0"/>
          <w:noProof/>
          <w:szCs w:val="22"/>
          <w:lang w:val="af-ZA"/>
        </w:rPr>
        <w:t xml:space="preserve"> </w:t>
      </w:r>
      <w:r w:rsidRPr="00A83C94">
        <w:rPr>
          <w:b w:val="0"/>
          <w:noProof/>
          <w:szCs w:val="22"/>
        </w:rPr>
        <w:t>նախարարության</w:t>
      </w:r>
      <w:r w:rsidRPr="00A83C94">
        <w:rPr>
          <w:b w:val="0"/>
          <w:noProof/>
          <w:szCs w:val="22"/>
          <w:lang w:val="af-ZA"/>
        </w:rPr>
        <w:t xml:space="preserve"> 21 </w:t>
      </w:r>
      <w:r w:rsidRPr="00A83C94">
        <w:rPr>
          <w:b w:val="0"/>
          <w:noProof/>
          <w:szCs w:val="22"/>
        </w:rPr>
        <w:t>թանգարանների</w:t>
      </w:r>
      <w:r w:rsidRPr="00A83C94">
        <w:rPr>
          <w:b w:val="0"/>
          <w:noProof/>
          <w:szCs w:val="22"/>
          <w:lang w:val="af-ZA"/>
        </w:rPr>
        <w:t xml:space="preserve"> </w:t>
      </w:r>
      <w:r w:rsidRPr="00A83C94">
        <w:rPr>
          <w:b w:val="0"/>
          <w:noProof/>
          <w:szCs w:val="22"/>
        </w:rPr>
        <w:t>առարկաների</w:t>
      </w:r>
      <w:r w:rsidRPr="00A83C94">
        <w:rPr>
          <w:b w:val="0"/>
          <w:noProof/>
          <w:szCs w:val="22"/>
          <w:lang w:val="af-ZA"/>
        </w:rPr>
        <w:t xml:space="preserve"> </w:t>
      </w:r>
      <w:r w:rsidRPr="00A83C94">
        <w:rPr>
          <w:b w:val="0"/>
          <w:noProof/>
          <w:szCs w:val="22"/>
        </w:rPr>
        <w:t>պահպանության</w:t>
      </w:r>
      <w:r w:rsidRPr="00A83C94">
        <w:rPr>
          <w:b w:val="0"/>
          <w:noProof/>
          <w:szCs w:val="22"/>
          <w:lang w:val="af-ZA"/>
        </w:rPr>
        <w:t xml:space="preserve">, թանգարանային առարկաների համալրման, </w:t>
      </w:r>
      <w:r w:rsidRPr="00A83C94">
        <w:rPr>
          <w:b w:val="0"/>
          <w:noProof/>
          <w:szCs w:val="22"/>
        </w:rPr>
        <w:t>ցուցահանդեսների</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կազմակերպման</w:t>
      </w:r>
      <w:r w:rsidRPr="00A83C94">
        <w:rPr>
          <w:b w:val="0"/>
          <w:noProof/>
          <w:szCs w:val="22"/>
          <w:lang w:val="af-ZA"/>
        </w:rPr>
        <w:t xml:space="preserve">, </w:t>
      </w:r>
      <w:r w:rsidRPr="00A83C94">
        <w:rPr>
          <w:b w:val="0"/>
          <w:noProof/>
          <w:szCs w:val="22"/>
        </w:rPr>
        <w:t>դրամաշնորհային</w:t>
      </w:r>
      <w:r w:rsidRPr="00A83C94">
        <w:rPr>
          <w:b w:val="0"/>
          <w:noProof/>
          <w:szCs w:val="22"/>
          <w:lang w:val="af-ZA"/>
        </w:rPr>
        <w:t xml:space="preserve"> </w:t>
      </w:r>
      <w:r w:rsidRPr="00A83C94">
        <w:rPr>
          <w:b w:val="0"/>
          <w:noProof/>
          <w:szCs w:val="22"/>
        </w:rPr>
        <w:t>մրցույթային</w:t>
      </w:r>
      <w:r w:rsidRPr="00A83C94">
        <w:rPr>
          <w:b w:val="0"/>
          <w:noProof/>
          <w:szCs w:val="22"/>
          <w:lang w:val="af-ZA"/>
        </w:rPr>
        <w:t xml:space="preserve"> </w:t>
      </w:r>
      <w:r w:rsidRPr="00A83C94">
        <w:rPr>
          <w:b w:val="0"/>
          <w:noProof/>
          <w:szCs w:val="22"/>
        </w:rPr>
        <w:t>ծրագրերի</w:t>
      </w:r>
      <w:r w:rsidRPr="00A83C94">
        <w:rPr>
          <w:b w:val="0"/>
          <w:noProof/>
          <w:szCs w:val="22"/>
          <w:lang w:val="af-ZA"/>
        </w:rPr>
        <w:t xml:space="preserve"> </w:t>
      </w:r>
      <w:r w:rsidRPr="00A83C94">
        <w:rPr>
          <w:b w:val="0"/>
          <w:noProof/>
          <w:szCs w:val="22"/>
        </w:rPr>
        <w:t>իրականացման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մարզպետարանների</w:t>
      </w:r>
      <w:r w:rsidRPr="00A83C94">
        <w:rPr>
          <w:b w:val="0"/>
          <w:noProof/>
          <w:szCs w:val="22"/>
          <w:lang w:val="af-ZA"/>
        </w:rPr>
        <w:t xml:space="preserve"> </w:t>
      </w:r>
      <w:r w:rsidRPr="00A83C94">
        <w:rPr>
          <w:b w:val="0"/>
          <w:noProof/>
          <w:szCs w:val="22"/>
        </w:rPr>
        <w:t>ենթակայության</w:t>
      </w:r>
      <w:r w:rsidRPr="00A83C94">
        <w:rPr>
          <w:b w:val="0"/>
          <w:noProof/>
          <w:szCs w:val="22"/>
          <w:lang w:val="af-ZA"/>
        </w:rPr>
        <w:t xml:space="preserve"> </w:t>
      </w:r>
      <w:r w:rsidRPr="00A83C94">
        <w:rPr>
          <w:b w:val="0"/>
          <w:noProof/>
          <w:szCs w:val="22"/>
        </w:rPr>
        <w:t>թանգարանների</w:t>
      </w:r>
      <w:r w:rsidRPr="00A83C94">
        <w:rPr>
          <w:b w:val="0"/>
          <w:noProof/>
          <w:szCs w:val="22"/>
          <w:lang w:val="af-ZA"/>
        </w:rPr>
        <w:t xml:space="preserve"> </w:t>
      </w:r>
      <w:r w:rsidRPr="00A83C94">
        <w:rPr>
          <w:b w:val="0"/>
          <w:noProof/>
          <w:szCs w:val="22"/>
        </w:rPr>
        <w:t>գործունեության</w:t>
      </w:r>
      <w:r w:rsidRPr="00A83C94">
        <w:rPr>
          <w:b w:val="0"/>
          <w:noProof/>
          <w:szCs w:val="22"/>
          <w:lang w:val="af-ZA"/>
        </w:rPr>
        <w:t xml:space="preserve"> </w:t>
      </w:r>
      <w:r w:rsidRPr="00A83C94">
        <w:rPr>
          <w:b w:val="0"/>
          <w:noProof/>
          <w:szCs w:val="22"/>
        </w:rPr>
        <w:t>ապահովման</w:t>
      </w:r>
      <w:r w:rsidRPr="00A83C94">
        <w:rPr>
          <w:b w:val="0"/>
          <w:noProof/>
          <w:szCs w:val="22"/>
          <w:lang w:val="af-ZA"/>
        </w:rPr>
        <w:t xml:space="preserve"> </w:t>
      </w:r>
      <w:r w:rsidRPr="00A83C94">
        <w:rPr>
          <w:b w:val="0"/>
          <w:noProof/>
          <w:szCs w:val="22"/>
        </w:rPr>
        <w:t>հետ</w:t>
      </w:r>
      <w:r w:rsidRPr="00A83C94">
        <w:rPr>
          <w:b w:val="0"/>
          <w:noProof/>
          <w:szCs w:val="22"/>
          <w:lang w:val="af-ZA"/>
        </w:rPr>
        <w:t>:</w:t>
      </w:r>
    </w:p>
    <w:p w14:paraId="55597FF8"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t>- </w:t>
      </w:r>
      <w:r w:rsidRPr="00A83C94">
        <w:rPr>
          <w:b w:val="0"/>
          <w:noProof/>
          <w:szCs w:val="22"/>
        </w:rPr>
        <w:t>Հուշարձանների</w:t>
      </w:r>
      <w:r w:rsidRPr="00A83C94">
        <w:rPr>
          <w:b w:val="0"/>
          <w:noProof/>
          <w:szCs w:val="22"/>
          <w:lang w:val="af-ZA"/>
        </w:rPr>
        <w:t xml:space="preserve"> </w:t>
      </w:r>
      <w:r w:rsidRPr="00A83C94">
        <w:rPr>
          <w:b w:val="0"/>
          <w:noProof/>
          <w:szCs w:val="22"/>
        </w:rPr>
        <w:t>ամրակայում</w:t>
      </w:r>
      <w:r w:rsidRPr="00A83C94">
        <w:rPr>
          <w:b w:val="0"/>
          <w:noProof/>
          <w:szCs w:val="22"/>
          <w:lang w:val="af-ZA"/>
        </w:rPr>
        <w:t xml:space="preserve">, </w:t>
      </w:r>
      <w:r w:rsidRPr="00A83C94">
        <w:rPr>
          <w:b w:val="0"/>
          <w:noProof/>
          <w:szCs w:val="22"/>
        </w:rPr>
        <w:t>նորոգում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վերականգնում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38.1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w:t>
      </w:r>
    </w:p>
    <w:p w14:paraId="658F436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Միաժամանակ</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3.8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 xml:space="preserve">: </w:t>
      </w:r>
    </w:p>
    <w:p w14:paraId="4419BF5A" w14:textId="7DD9DBBC"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noProof/>
          <w:szCs w:val="22"/>
          <w:lang w:val="hy-AM"/>
        </w:rPr>
        <w:t>Գրահրատարակչության</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գրադարանների</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գրականության</w:t>
      </w:r>
      <w:r w:rsidRPr="00A83C94">
        <w:rPr>
          <w:b w:val="0"/>
          <w:noProof/>
          <w:szCs w:val="22"/>
          <w:lang w:val="af-ZA"/>
        </w:rPr>
        <w:t xml:space="preserve"> </w:t>
      </w:r>
      <w:r w:rsidRPr="00A83C94">
        <w:rPr>
          <w:b w:val="0"/>
          <w:noProof/>
          <w:szCs w:val="22"/>
          <w:lang w:val="hy-AM"/>
        </w:rPr>
        <w:t>հրատարակմանը</w:t>
      </w:r>
      <w:r w:rsidRPr="00A83C94">
        <w:rPr>
          <w:b w:val="0"/>
          <w:noProof/>
          <w:szCs w:val="22"/>
          <w:lang w:val="af-ZA"/>
        </w:rPr>
        <w:t xml:space="preserve">, </w:t>
      </w:r>
      <w:r w:rsidRPr="00A83C94">
        <w:rPr>
          <w:b w:val="0"/>
          <w:noProof/>
          <w:szCs w:val="22"/>
          <w:lang w:val="hy-AM"/>
        </w:rPr>
        <w:t>տարածմանը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հանրահռչակմանը</w:t>
      </w:r>
      <w:r w:rsidRPr="00A83C94">
        <w:rPr>
          <w:b w:val="0"/>
          <w:noProof/>
          <w:szCs w:val="22"/>
          <w:lang w:val="af-ZA"/>
        </w:rPr>
        <w:t>:</w:t>
      </w:r>
    </w:p>
    <w:p w14:paraId="2ACEBFFB" w14:textId="7C019455"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ab/>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թարգմանական</w:t>
      </w:r>
      <w:r w:rsidRPr="00A83C94">
        <w:rPr>
          <w:b w:val="0"/>
          <w:noProof/>
          <w:szCs w:val="22"/>
          <w:lang w:val="af-ZA"/>
        </w:rPr>
        <w:t xml:space="preserve"> </w:t>
      </w:r>
      <w:r w:rsidRPr="00A83C94">
        <w:rPr>
          <w:b w:val="0"/>
          <w:noProof/>
          <w:szCs w:val="22"/>
        </w:rPr>
        <w:t>ծրագրերին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ստեղծագործողներին</w:t>
      </w:r>
      <w:r w:rsidRPr="00A83C94">
        <w:rPr>
          <w:b w:val="0"/>
          <w:noProof/>
          <w:szCs w:val="22"/>
          <w:lang w:val="af-ZA"/>
        </w:rPr>
        <w:t xml:space="preserve"> </w:t>
      </w:r>
      <w:r w:rsidRPr="00A83C94">
        <w:rPr>
          <w:b w:val="0"/>
          <w:noProof/>
          <w:szCs w:val="22"/>
        </w:rPr>
        <w:t>աջակցմանը</w:t>
      </w:r>
      <w:r w:rsidRPr="00A83C94">
        <w:rPr>
          <w:b w:val="0"/>
          <w:noProof/>
          <w:szCs w:val="22"/>
          <w:lang w:val="af-ZA"/>
        </w:rPr>
        <w:t xml:space="preserve">, </w:t>
      </w:r>
      <w:r w:rsidRPr="00A83C94">
        <w:rPr>
          <w:b w:val="0"/>
          <w:noProof/>
          <w:szCs w:val="22"/>
        </w:rPr>
        <w:t>գրականության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ոչ</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մամուլի</w:t>
      </w:r>
      <w:r w:rsidRPr="00A83C94">
        <w:rPr>
          <w:b w:val="0"/>
          <w:noProof/>
          <w:szCs w:val="22"/>
          <w:lang w:val="af-ZA"/>
        </w:rPr>
        <w:t xml:space="preserve"> </w:t>
      </w:r>
      <w:r w:rsidRPr="00A83C94">
        <w:rPr>
          <w:b w:val="0"/>
          <w:noProof/>
          <w:szCs w:val="22"/>
        </w:rPr>
        <w:t>հրատարակմանը</w:t>
      </w:r>
      <w:r w:rsidRPr="00A83C94">
        <w:rPr>
          <w:b w:val="0"/>
          <w:noProof/>
          <w:szCs w:val="22"/>
          <w:lang w:val="af-ZA"/>
        </w:rPr>
        <w:t xml:space="preserve">, </w:t>
      </w:r>
      <w:r w:rsidRPr="00A83C94">
        <w:rPr>
          <w:b w:val="0"/>
          <w:noProof/>
          <w:szCs w:val="22"/>
        </w:rPr>
        <w:t>գրադարանային</w:t>
      </w:r>
      <w:r w:rsidRPr="00A83C94">
        <w:rPr>
          <w:b w:val="0"/>
          <w:noProof/>
          <w:szCs w:val="22"/>
          <w:lang w:val="af-ZA"/>
        </w:rPr>
        <w:t xml:space="preserve"> </w:t>
      </w:r>
      <w:r w:rsidRPr="00A83C94">
        <w:rPr>
          <w:b w:val="0"/>
          <w:noProof/>
          <w:szCs w:val="22"/>
        </w:rPr>
        <w:t>ծառայությունների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գրականության</w:t>
      </w:r>
      <w:r w:rsidRPr="00A83C94">
        <w:rPr>
          <w:b w:val="0"/>
          <w:noProof/>
          <w:szCs w:val="22"/>
          <w:lang w:val="af-ZA"/>
        </w:rPr>
        <w:t xml:space="preserve"> </w:t>
      </w:r>
      <w:r w:rsidRPr="00A83C94">
        <w:rPr>
          <w:b w:val="0"/>
          <w:noProof/>
          <w:szCs w:val="22"/>
        </w:rPr>
        <w:t>հանրահռչակմանը</w:t>
      </w:r>
      <w:r w:rsidRPr="00A83C94">
        <w:rPr>
          <w:b w:val="0"/>
          <w:noProof/>
          <w:szCs w:val="22"/>
          <w:lang w:val="af-ZA"/>
        </w:rPr>
        <w:t xml:space="preserve">, </w:t>
      </w:r>
      <w:r w:rsidRPr="00A83C94">
        <w:rPr>
          <w:b w:val="0"/>
          <w:noProof/>
          <w:szCs w:val="22"/>
        </w:rPr>
        <w:t>գրական</w:t>
      </w:r>
      <w:r w:rsidRPr="00A83C94">
        <w:rPr>
          <w:b w:val="0"/>
          <w:noProof/>
          <w:szCs w:val="22"/>
          <w:lang w:val="af-ZA"/>
        </w:rPr>
        <w:t xml:space="preserve"> </w:t>
      </w:r>
      <w:r w:rsidRPr="00A83C94">
        <w:rPr>
          <w:b w:val="0"/>
          <w:noProof/>
          <w:szCs w:val="22"/>
        </w:rPr>
        <w:t>ծրագրերին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գրքերի</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ցուցահանդեսներին</w:t>
      </w:r>
      <w:r w:rsidRPr="00A83C94">
        <w:rPr>
          <w:b w:val="0"/>
          <w:noProof/>
          <w:szCs w:val="22"/>
          <w:lang w:val="af-ZA"/>
        </w:rPr>
        <w:t xml:space="preserve"> </w:t>
      </w:r>
      <w:r w:rsidRPr="00A83C94">
        <w:rPr>
          <w:b w:val="0"/>
          <w:noProof/>
          <w:szCs w:val="22"/>
        </w:rPr>
        <w:t>մասնակցությանը</w:t>
      </w:r>
      <w:r w:rsidR="00BF5F43" w:rsidRPr="00BF5F43">
        <w:rPr>
          <w:b w:val="0"/>
          <w:noProof/>
          <w:szCs w:val="22"/>
          <w:lang w:val="af-ZA"/>
        </w:rPr>
        <w:t xml:space="preserve"> (</w:t>
      </w:r>
      <w:r w:rsidR="00BF5F43" w:rsidRPr="00BF5F43">
        <w:rPr>
          <w:b w:val="0"/>
          <w:noProof/>
          <w:szCs w:val="22"/>
        </w:rPr>
        <w:t>թարգմանական</w:t>
      </w:r>
      <w:r w:rsidR="00BF5F43" w:rsidRPr="00BF5F43">
        <w:rPr>
          <w:b w:val="0"/>
          <w:noProof/>
          <w:szCs w:val="22"/>
          <w:lang w:val="af-ZA"/>
        </w:rPr>
        <w:t xml:space="preserve"> </w:t>
      </w:r>
      <w:r w:rsidR="00BF5F43" w:rsidRPr="00BF5F43">
        <w:rPr>
          <w:b w:val="0"/>
          <w:noProof/>
          <w:szCs w:val="22"/>
        </w:rPr>
        <w:t>ծրագրերի</w:t>
      </w:r>
      <w:r w:rsidR="00BF5F43" w:rsidRPr="00BF5F43">
        <w:rPr>
          <w:b w:val="0"/>
          <w:noProof/>
          <w:szCs w:val="22"/>
          <w:lang w:val="af-ZA"/>
        </w:rPr>
        <w:t xml:space="preserve"> </w:t>
      </w:r>
      <w:r w:rsidR="00BF5F43" w:rsidRPr="00BF5F43">
        <w:rPr>
          <w:b w:val="0"/>
          <w:noProof/>
          <w:szCs w:val="22"/>
        </w:rPr>
        <w:t>և</w:t>
      </w:r>
      <w:r w:rsidR="00BF5F43" w:rsidRPr="00BF5F43">
        <w:rPr>
          <w:b w:val="0"/>
          <w:noProof/>
          <w:szCs w:val="22"/>
          <w:lang w:val="af-ZA"/>
        </w:rPr>
        <w:t xml:space="preserve"> </w:t>
      </w:r>
      <w:r w:rsidR="00BF5F43" w:rsidRPr="00BF5F43">
        <w:rPr>
          <w:b w:val="0"/>
          <w:noProof/>
          <w:szCs w:val="22"/>
        </w:rPr>
        <w:t>աջակցություն</w:t>
      </w:r>
      <w:r w:rsidR="00BF5F43" w:rsidRPr="00BF5F43">
        <w:rPr>
          <w:b w:val="0"/>
          <w:noProof/>
          <w:szCs w:val="22"/>
          <w:lang w:val="af-ZA"/>
        </w:rPr>
        <w:t xml:space="preserve"> </w:t>
      </w:r>
      <w:r w:rsidR="00BF5F43" w:rsidRPr="00BF5F43">
        <w:rPr>
          <w:b w:val="0"/>
          <w:noProof/>
          <w:szCs w:val="22"/>
        </w:rPr>
        <w:t>ստացած</w:t>
      </w:r>
      <w:r w:rsidR="00BF5F43" w:rsidRPr="00BF5F43">
        <w:rPr>
          <w:b w:val="0"/>
          <w:noProof/>
          <w:szCs w:val="22"/>
          <w:lang w:val="af-ZA"/>
        </w:rPr>
        <w:t xml:space="preserve"> </w:t>
      </w:r>
      <w:r w:rsidR="00BF5F43" w:rsidRPr="00BF5F43">
        <w:rPr>
          <w:b w:val="0"/>
          <w:noProof/>
          <w:szCs w:val="22"/>
        </w:rPr>
        <w:t>ստեղծագործողների</w:t>
      </w:r>
      <w:r w:rsidR="00BF5F43" w:rsidRPr="00BF5F43">
        <w:rPr>
          <w:b w:val="0"/>
          <w:noProof/>
          <w:szCs w:val="22"/>
          <w:lang w:val="af-ZA"/>
        </w:rPr>
        <w:t xml:space="preserve"> </w:t>
      </w:r>
      <w:r w:rsidR="00BF5F43" w:rsidRPr="00BF5F43">
        <w:rPr>
          <w:b w:val="0"/>
          <w:noProof/>
          <w:szCs w:val="22"/>
        </w:rPr>
        <w:t>ու</w:t>
      </w:r>
      <w:r w:rsidR="00BF5F43" w:rsidRPr="00BF5F43">
        <w:rPr>
          <w:b w:val="0"/>
          <w:noProof/>
          <w:szCs w:val="22"/>
          <w:lang w:val="af-ZA"/>
        </w:rPr>
        <w:t xml:space="preserve"> </w:t>
      </w:r>
      <w:r w:rsidR="00BF5F43" w:rsidRPr="00BF5F43">
        <w:rPr>
          <w:b w:val="0"/>
          <w:noProof/>
          <w:szCs w:val="22"/>
        </w:rPr>
        <w:t>հետազոտողների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24, </w:t>
      </w:r>
      <w:r w:rsidR="00BF5F43" w:rsidRPr="00BF5F43">
        <w:rPr>
          <w:b w:val="0"/>
          <w:noProof/>
          <w:szCs w:val="22"/>
        </w:rPr>
        <w:t>պետական</w:t>
      </w:r>
      <w:r w:rsidR="00BF5F43" w:rsidRPr="00BF5F43">
        <w:rPr>
          <w:b w:val="0"/>
          <w:noProof/>
          <w:szCs w:val="22"/>
          <w:lang w:val="af-ZA"/>
        </w:rPr>
        <w:t xml:space="preserve"> </w:t>
      </w:r>
      <w:r w:rsidR="00BF5F43" w:rsidRPr="00BF5F43">
        <w:rPr>
          <w:b w:val="0"/>
          <w:noProof/>
          <w:szCs w:val="22"/>
        </w:rPr>
        <w:t>աջակցություն</w:t>
      </w:r>
      <w:r w:rsidR="00BF5F43" w:rsidRPr="00BF5F43">
        <w:rPr>
          <w:b w:val="0"/>
          <w:noProof/>
          <w:szCs w:val="22"/>
          <w:lang w:val="af-ZA"/>
        </w:rPr>
        <w:t xml:space="preserve"> </w:t>
      </w:r>
      <w:r w:rsidR="00BF5F43" w:rsidRPr="00BF5F43">
        <w:rPr>
          <w:b w:val="0"/>
          <w:noProof/>
          <w:szCs w:val="22"/>
        </w:rPr>
        <w:t>ստացող</w:t>
      </w:r>
      <w:r w:rsidR="00BF5F43" w:rsidRPr="00BF5F43">
        <w:rPr>
          <w:b w:val="0"/>
          <w:noProof/>
          <w:szCs w:val="22"/>
          <w:lang w:val="af-ZA"/>
        </w:rPr>
        <w:t xml:space="preserve"> </w:t>
      </w:r>
      <w:r w:rsidR="00BF5F43" w:rsidRPr="00BF5F43">
        <w:rPr>
          <w:b w:val="0"/>
          <w:noProof/>
          <w:szCs w:val="22"/>
        </w:rPr>
        <w:t>ազգային</w:t>
      </w:r>
      <w:r w:rsidR="00BF5F43" w:rsidRPr="00BF5F43">
        <w:rPr>
          <w:b w:val="0"/>
          <w:noProof/>
          <w:szCs w:val="22"/>
          <w:lang w:val="af-ZA"/>
        </w:rPr>
        <w:t xml:space="preserve"> </w:t>
      </w:r>
      <w:r w:rsidR="00BF5F43" w:rsidRPr="00BF5F43">
        <w:rPr>
          <w:b w:val="0"/>
          <w:noProof/>
          <w:szCs w:val="22"/>
        </w:rPr>
        <w:t>փոքրամասնությունների</w:t>
      </w:r>
      <w:r w:rsidR="00BF5F43" w:rsidRPr="00BF5F43">
        <w:rPr>
          <w:b w:val="0"/>
          <w:noProof/>
          <w:szCs w:val="22"/>
          <w:lang w:val="af-ZA"/>
        </w:rPr>
        <w:t xml:space="preserve">, </w:t>
      </w:r>
      <w:r w:rsidR="00BF5F43" w:rsidRPr="00BF5F43">
        <w:rPr>
          <w:b w:val="0"/>
          <w:noProof/>
          <w:szCs w:val="22"/>
        </w:rPr>
        <w:t>գրական</w:t>
      </w:r>
      <w:r w:rsidR="00BF5F43" w:rsidRPr="00BF5F43">
        <w:rPr>
          <w:b w:val="0"/>
          <w:noProof/>
          <w:szCs w:val="22"/>
          <w:lang w:val="af-ZA"/>
        </w:rPr>
        <w:t xml:space="preserve">, </w:t>
      </w:r>
      <w:r w:rsidR="00BF5F43" w:rsidRPr="00BF5F43">
        <w:rPr>
          <w:b w:val="0"/>
          <w:noProof/>
          <w:szCs w:val="22"/>
        </w:rPr>
        <w:t>մշակութային</w:t>
      </w:r>
      <w:r w:rsidR="00BF5F43" w:rsidRPr="00BF5F43">
        <w:rPr>
          <w:b w:val="0"/>
          <w:noProof/>
          <w:szCs w:val="22"/>
          <w:lang w:val="af-ZA"/>
        </w:rPr>
        <w:t xml:space="preserve"> </w:t>
      </w:r>
      <w:r w:rsidR="00BF5F43" w:rsidRPr="00BF5F43">
        <w:rPr>
          <w:b w:val="0"/>
          <w:noProof/>
          <w:szCs w:val="22"/>
        </w:rPr>
        <w:t>ոչ</w:t>
      </w:r>
      <w:r w:rsidR="00BF5F43" w:rsidRPr="00BF5F43">
        <w:rPr>
          <w:b w:val="0"/>
          <w:noProof/>
          <w:szCs w:val="22"/>
          <w:lang w:val="af-ZA"/>
        </w:rPr>
        <w:t xml:space="preserve"> </w:t>
      </w:r>
      <w:r w:rsidR="00BF5F43" w:rsidRPr="00BF5F43">
        <w:rPr>
          <w:b w:val="0"/>
          <w:noProof/>
          <w:szCs w:val="22"/>
        </w:rPr>
        <w:t>պետական</w:t>
      </w:r>
      <w:r w:rsidR="00BF5F43" w:rsidRPr="00BF5F43">
        <w:rPr>
          <w:b w:val="0"/>
          <w:noProof/>
          <w:szCs w:val="22"/>
          <w:lang w:val="af-ZA"/>
        </w:rPr>
        <w:t xml:space="preserve"> </w:t>
      </w:r>
      <w:r w:rsidR="00BF5F43" w:rsidRPr="00BF5F43">
        <w:rPr>
          <w:b w:val="0"/>
          <w:noProof/>
          <w:szCs w:val="22"/>
        </w:rPr>
        <w:t>լրատվամիջոցների</w:t>
      </w:r>
      <w:r w:rsidR="00BF5F43" w:rsidRPr="00BF5F43">
        <w:rPr>
          <w:b w:val="0"/>
          <w:noProof/>
          <w:szCs w:val="22"/>
          <w:lang w:val="af-ZA"/>
        </w:rPr>
        <w:t xml:space="preserve"> </w:t>
      </w:r>
      <w:r w:rsidR="00BF5F43" w:rsidRPr="00BF5F43">
        <w:rPr>
          <w:b w:val="0"/>
          <w:noProof/>
          <w:szCs w:val="22"/>
        </w:rPr>
        <w:t>քանակը՝</w:t>
      </w:r>
      <w:r w:rsidR="00BF5F43" w:rsidRPr="00BF5F43">
        <w:rPr>
          <w:b w:val="0"/>
          <w:noProof/>
          <w:szCs w:val="22"/>
          <w:lang w:val="af-ZA"/>
        </w:rPr>
        <w:t xml:space="preserve"> 29,</w:t>
      </w:r>
      <w:r w:rsidR="00BF5F43" w:rsidRPr="00BF5F43">
        <w:rPr>
          <w:b w:val="0"/>
          <w:lang w:val="af-ZA"/>
        </w:rPr>
        <w:t xml:space="preserve"> </w:t>
      </w:r>
      <w:r w:rsidR="00BF5F43" w:rsidRPr="00BF5F43">
        <w:rPr>
          <w:b w:val="0"/>
        </w:rPr>
        <w:t>Հ</w:t>
      </w:r>
      <w:r w:rsidR="00BF5F43" w:rsidRPr="00BF5F43">
        <w:rPr>
          <w:b w:val="0"/>
          <w:noProof/>
          <w:szCs w:val="22"/>
        </w:rPr>
        <w:t>անրապետությունում</w:t>
      </w:r>
      <w:r w:rsidR="00BF5F43" w:rsidRPr="00BF5F43">
        <w:rPr>
          <w:b w:val="0"/>
          <w:noProof/>
          <w:szCs w:val="22"/>
          <w:lang w:val="af-ZA"/>
        </w:rPr>
        <w:t xml:space="preserve"> </w:t>
      </w:r>
      <w:r w:rsidR="00BF5F43" w:rsidRPr="00BF5F43">
        <w:rPr>
          <w:b w:val="0"/>
          <w:noProof/>
          <w:szCs w:val="22"/>
        </w:rPr>
        <w:t>իրականացվող</w:t>
      </w:r>
      <w:r w:rsidR="00BF5F43" w:rsidRPr="00BF5F43">
        <w:rPr>
          <w:b w:val="0"/>
          <w:noProof/>
          <w:szCs w:val="22"/>
          <w:lang w:val="af-ZA"/>
        </w:rPr>
        <w:t xml:space="preserve"> </w:t>
      </w:r>
      <w:r w:rsidR="00BF5F43" w:rsidRPr="00BF5F43">
        <w:rPr>
          <w:b w:val="0"/>
          <w:noProof/>
          <w:szCs w:val="22"/>
        </w:rPr>
        <w:t>գրական</w:t>
      </w:r>
      <w:r w:rsidR="00BF5F43" w:rsidRPr="00BF5F43">
        <w:rPr>
          <w:b w:val="0"/>
          <w:noProof/>
          <w:szCs w:val="22"/>
          <w:lang w:val="af-ZA"/>
        </w:rPr>
        <w:t xml:space="preserve"> </w:t>
      </w:r>
      <w:r w:rsidR="00BF5F43" w:rsidRPr="00BF5F43">
        <w:rPr>
          <w:b w:val="0"/>
          <w:noProof/>
          <w:szCs w:val="22"/>
        </w:rPr>
        <w:t>ծրագրերի</w:t>
      </w:r>
      <w:r w:rsidR="00BF5F43" w:rsidRPr="00BF5F43">
        <w:rPr>
          <w:b w:val="0"/>
          <w:noProof/>
          <w:szCs w:val="22"/>
          <w:lang w:val="en-US"/>
        </w:rPr>
        <w:t>ն</w:t>
      </w:r>
      <w:r w:rsidR="00BF5F43" w:rsidRPr="00BF5F43">
        <w:rPr>
          <w:b w:val="0"/>
          <w:noProof/>
          <w:szCs w:val="22"/>
          <w:lang w:val="af-ZA"/>
        </w:rPr>
        <w:t xml:space="preserve"> </w:t>
      </w:r>
      <w:r w:rsidR="00BF5F43" w:rsidRPr="00BF5F43">
        <w:rPr>
          <w:b w:val="0"/>
          <w:noProof/>
          <w:szCs w:val="22"/>
        </w:rPr>
        <w:t>և</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ցուցահանդեսներին</w:t>
      </w:r>
      <w:r w:rsidR="00BF5F43" w:rsidRPr="00BF5F43">
        <w:rPr>
          <w:b w:val="0"/>
          <w:noProof/>
          <w:szCs w:val="22"/>
          <w:lang w:val="af-ZA"/>
        </w:rPr>
        <w:t xml:space="preserve"> </w:t>
      </w:r>
      <w:r w:rsidR="00BF5F43" w:rsidRPr="00BF5F43">
        <w:rPr>
          <w:b w:val="0"/>
          <w:noProof/>
          <w:szCs w:val="22"/>
        </w:rPr>
        <w:t>հրատարակչությունների</w:t>
      </w:r>
      <w:r w:rsidR="00BF5F43" w:rsidRPr="00BF5F43">
        <w:rPr>
          <w:b w:val="0"/>
          <w:noProof/>
          <w:szCs w:val="22"/>
          <w:lang w:val="af-ZA"/>
        </w:rPr>
        <w:t xml:space="preserve"> </w:t>
      </w:r>
      <w:r w:rsidR="00BF5F43" w:rsidRPr="00BF5F43">
        <w:rPr>
          <w:b w:val="0"/>
          <w:noProof/>
          <w:szCs w:val="22"/>
        </w:rPr>
        <w:t>մասնակցության</w:t>
      </w:r>
      <w:r w:rsidR="00BF5F43" w:rsidRPr="00BF5F43">
        <w:rPr>
          <w:b w:val="0"/>
          <w:noProof/>
          <w:szCs w:val="22"/>
          <w:lang w:val="af-ZA"/>
        </w:rPr>
        <w:t xml:space="preserve">  </w:t>
      </w:r>
      <w:r w:rsidR="00BF5F43">
        <w:rPr>
          <w:b w:val="0"/>
          <w:noProof/>
          <w:szCs w:val="22"/>
        </w:rPr>
        <w:t>թիվը</w:t>
      </w:r>
      <w:r w:rsidR="00BF5F43" w:rsidRPr="00BF5F43">
        <w:rPr>
          <w:b w:val="0"/>
          <w:noProof/>
          <w:szCs w:val="22"/>
        </w:rPr>
        <w:t>՝</w:t>
      </w:r>
      <w:r w:rsidR="00BF5F43" w:rsidRPr="00BF5F43">
        <w:rPr>
          <w:b w:val="0"/>
          <w:noProof/>
          <w:szCs w:val="22"/>
          <w:lang w:val="af-ZA"/>
        </w:rPr>
        <w:t xml:space="preserve"> 3)</w:t>
      </w:r>
      <w:r w:rsidRPr="00BF5F43">
        <w:rPr>
          <w:b w:val="0"/>
          <w:noProof/>
          <w:szCs w:val="22"/>
          <w:lang w:val="af-ZA"/>
        </w:rPr>
        <w:t>:</w:t>
      </w:r>
    </w:p>
    <w:p w14:paraId="58A7C351"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Գրահրատարակչության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գրադարանների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1,711.4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1,691.1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p>
    <w:p w14:paraId="36FCF10A"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20.3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1.2%-</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rFonts w:eastAsia="MS Mincho" w:cs="MS Mincho"/>
          <w:b w:val="0"/>
          <w:kern w:val="16"/>
          <w:szCs w:val="22"/>
          <w:lang w:val="af-ZA"/>
        </w:rPr>
        <w:t>«</w:t>
      </w:r>
      <w:r w:rsidRPr="00A83C94">
        <w:rPr>
          <w:b w:val="0"/>
          <w:noProof/>
          <w:szCs w:val="22"/>
        </w:rPr>
        <w:t>Գրականության</w:t>
      </w:r>
      <w:r w:rsidRPr="00A83C94">
        <w:rPr>
          <w:b w:val="0"/>
          <w:noProof/>
          <w:szCs w:val="22"/>
          <w:lang w:val="af-ZA"/>
        </w:rPr>
        <w:t xml:space="preserve"> </w:t>
      </w:r>
      <w:r w:rsidRPr="00A83C94">
        <w:rPr>
          <w:b w:val="0"/>
          <w:noProof/>
          <w:szCs w:val="22"/>
        </w:rPr>
        <w:t>հրատարակում</w:t>
      </w:r>
      <w:r w:rsidRPr="00A83C94">
        <w:rPr>
          <w:rFonts w:eastAsia="MS Mincho" w:cs="MS Mincho"/>
          <w:b w:val="0"/>
          <w:kern w:val="16"/>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նախատեսմամբ՝</w:t>
      </w:r>
      <w:r w:rsidRPr="00A83C94">
        <w:rPr>
          <w:b w:val="0"/>
          <w:noProof/>
          <w:szCs w:val="22"/>
          <w:lang w:val="af-ZA"/>
        </w:rPr>
        <w:t xml:space="preserve"> 36.0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lang w:val="en-US"/>
        </w:rPr>
        <w:t>նախատեսվում</w:t>
      </w:r>
      <w:r w:rsidRPr="00A83C94">
        <w:rPr>
          <w:b w:val="0"/>
          <w:noProof/>
          <w:szCs w:val="22"/>
          <w:lang w:val="af-ZA"/>
        </w:rPr>
        <w:t xml:space="preserve"> </w:t>
      </w:r>
      <w:r w:rsidRPr="00A83C94">
        <w:rPr>
          <w:b w:val="0"/>
          <w:noProof/>
          <w:szCs w:val="22"/>
          <w:lang w:val="en-US"/>
        </w:rPr>
        <w:t>է</w:t>
      </w:r>
      <w:r w:rsidRPr="00A83C94">
        <w:rPr>
          <w:b w:val="0"/>
          <w:noProof/>
          <w:szCs w:val="22"/>
          <w:lang w:val="af-ZA"/>
        </w:rPr>
        <w:t xml:space="preserve"> 2-</w:t>
      </w:r>
      <w:r w:rsidRPr="00A83C94">
        <w:rPr>
          <w:b w:val="0"/>
          <w:noProof/>
          <w:szCs w:val="22"/>
          <w:lang w:val="en-US"/>
        </w:rPr>
        <w:t>ական</w:t>
      </w:r>
      <w:r w:rsidRPr="00A83C94">
        <w:rPr>
          <w:b w:val="0"/>
          <w:noProof/>
          <w:szCs w:val="22"/>
          <w:lang w:val="af-ZA"/>
        </w:rPr>
        <w:t xml:space="preserve"> </w:t>
      </w:r>
      <w:r w:rsidRPr="00A83C94">
        <w:rPr>
          <w:b w:val="0"/>
          <w:noProof/>
          <w:szCs w:val="22"/>
          <w:lang w:val="en-US"/>
        </w:rPr>
        <w:t>անուն</w:t>
      </w:r>
      <w:r w:rsidRPr="00A83C94">
        <w:rPr>
          <w:b w:val="0"/>
          <w:noProof/>
          <w:szCs w:val="22"/>
          <w:lang w:val="af-ZA"/>
        </w:rPr>
        <w:t xml:space="preserve"> </w:t>
      </w:r>
      <w:r w:rsidRPr="00A83C94">
        <w:rPr>
          <w:b w:val="0"/>
          <w:noProof/>
          <w:szCs w:val="22"/>
          <w:lang w:val="en-US"/>
        </w:rPr>
        <w:t>մշակույթը</w:t>
      </w:r>
      <w:r w:rsidRPr="00A83C94">
        <w:rPr>
          <w:b w:val="0"/>
          <w:noProof/>
          <w:szCs w:val="22"/>
          <w:lang w:val="af-ZA"/>
        </w:rPr>
        <w:t xml:space="preserve"> </w:t>
      </w:r>
      <w:r w:rsidRPr="00A83C94">
        <w:rPr>
          <w:b w:val="0"/>
          <w:noProof/>
          <w:szCs w:val="22"/>
          <w:lang w:val="en-US"/>
        </w:rPr>
        <w:t>ներկայացնող</w:t>
      </w:r>
      <w:r w:rsidRPr="00A83C94">
        <w:rPr>
          <w:b w:val="0"/>
          <w:noProof/>
          <w:szCs w:val="22"/>
          <w:lang w:val="af-ZA"/>
        </w:rPr>
        <w:t xml:space="preserve"> </w:t>
      </w:r>
      <w:r w:rsidRPr="00A83C94">
        <w:rPr>
          <w:b w:val="0"/>
          <w:noProof/>
          <w:szCs w:val="22"/>
          <w:lang w:val="en-US"/>
        </w:rPr>
        <w:t>հանրամատչելի</w:t>
      </w:r>
      <w:r w:rsidRPr="00A83C94">
        <w:rPr>
          <w:b w:val="0"/>
          <w:noProof/>
          <w:szCs w:val="22"/>
          <w:lang w:val="af-ZA"/>
        </w:rPr>
        <w:t xml:space="preserve"> </w:t>
      </w:r>
      <w:r w:rsidRPr="00A83C94">
        <w:rPr>
          <w:b w:val="0"/>
          <w:noProof/>
          <w:szCs w:val="22"/>
          <w:lang w:val="en-US"/>
        </w:rPr>
        <w:t>և</w:t>
      </w:r>
      <w:r w:rsidRPr="00A83C94">
        <w:rPr>
          <w:b w:val="0"/>
          <w:noProof/>
          <w:szCs w:val="22"/>
          <w:lang w:val="af-ZA"/>
        </w:rPr>
        <w:t xml:space="preserve"> </w:t>
      </w:r>
      <w:r w:rsidRPr="00A83C94">
        <w:rPr>
          <w:b w:val="0"/>
          <w:noProof/>
          <w:szCs w:val="22"/>
          <w:lang w:val="en-US"/>
        </w:rPr>
        <w:t>գիտամշակութային</w:t>
      </w:r>
      <w:r w:rsidRPr="00A83C94">
        <w:rPr>
          <w:b w:val="0"/>
          <w:noProof/>
          <w:szCs w:val="22"/>
          <w:lang w:val="af-ZA"/>
        </w:rPr>
        <w:t>, 2-</w:t>
      </w:r>
      <w:r w:rsidRPr="00A83C94">
        <w:rPr>
          <w:b w:val="0"/>
          <w:noProof/>
          <w:szCs w:val="22"/>
          <w:lang w:val="en-US"/>
        </w:rPr>
        <w:t>ական</w:t>
      </w:r>
      <w:r w:rsidRPr="00A83C94">
        <w:rPr>
          <w:b w:val="0"/>
          <w:noProof/>
          <w:szCs w:val="22"/>
          <w:lang w:val="af-ZA"/>
        </w:rPr>
        <w:t xml:space="preserve"> </w:t>
      </w:r>
      <w:r w:rsidRPr="00A83C94">
        <w:rPr>
          <w:b w:val="0"/>
          <w:noProof/>
          <w:szCs w:val="22"/>
          <w:lang w:val="en-US"/>
        </w:rPr>
        <w:t>անուն</w:t>
      </w:r>
      <w:r w:rsidRPr="00A83C94">
        <w:rPr>
          <w:b w:val="0"/>
          <w:noProof/>
          <w:szCs w:val="22"/>
          <w:lang w:val="af-ZA"/>
        </w:rPr>
        <w:t xml:space="preserve"> </w:t>
      </w:r>
      <w:r w:rsidRPr="00A83C94">
        <w:rPr>
          <w:b w:val="0"/>
          <w:noProof/>
          <w:szCs w:val="22"/>
          <w:lang w:val="en-US"/>
        </w:rPr>
        <w:t>դասական</w:t>
      </w:r>
      <w:r w:rsidRPr="00A83C94">
        <w:rPr>
          <w:b w:val="0"/>
          <w:noProof/>
          <w:szCs w:val="22"/>
          <w:lang w:val="af-ZA"/>
        </w:rPr>
        <w:t xml:space="preserve"> </w:t>
      </w:r>
      <w:r w:rsidRPr="00A83C94">
        <w:rPr>
          <w:b w:val="0"/>
          <w:noProof/>
          <w:szCs w:val="22"/>
          <w:lang w:val="en-US"/>
        </w:rPr>
        <w:t>գրողների</w:t>
      </w:r>
      <w:r w:rsidRPr="00A83C94">
        <w:rPr>
          <w:b w:val="0"/>
          <w:noProof/>
          <w:szCs w:val="22"/>
          <w:lang w:val="af-ZA"/>
        </w:rPr>
        <w:t xml:space="preserve"> </w:t>
      </w:r>
      <w:r w:rsidRPr="00A83C94">
        <w:rPr>
          <w:b w:val="0"/>
          <w:noProof/>
          <w:szCs w:val="22"/>
          <w:lang w:val="en-US"/>
        </w:rPr>
        <w:t>հոբելյանական</w:t>
      </w:r>
      <w:r w:rsidRPr="00A83C94">
        <w:rPr>
          <w:b w:val="0"/>
          <w:noProof/>
          <w:szCs w:val="22"/>
          <w:lang w:val="af-ZA"/>
        </w:rPr>
        <w:t xml:space="preserve">, </w:t>
      </w:r>
      <w:r w:rsidRPr="00A83C94">
        <w:rPr>
          <w:b w:val="0"/>
          <w:noProof/>
          <w:szCs w:val="22"/>
          <w:lang w:val="en-US"/>
        </w:rPr>
        <w:t>հայ</w:t>
      </w:r>
      <w:r w:rsidRPr="00A83C94">
        <w:rPr>
          <w:b w:val="0"/>
          <w:noProof/>
          <w:szCs w:val="22"/>
          <w:lang w:val="af-ZA"/>
        </w:rPr>
        <w:t xml:space="preserve"> </w:t>
      </w:r>
      <w:r w:rsidRPr="00A83C94">
        <w:rPr>
          <w:b w:val="0"/>
          <w:noProof/>
          <w:szCs w:val="22"/>
          <w:lang w:val="en-US"/>
        </w:rPr>
        <w:t>մշակույթը</w:t>
      </w:r>
      <w:r w:rsidRPr="00A83C94">
        <w:rPr>
          <w:b w:val="0"/>
          <w:noProof/>
          <w:szCs w:val="22"/>
          <w:lang w:val="af-ZA"/>
        </w:rPr>
        <w:t xml:space="preserve"> </w:t>
      </w:r>
      <w:r w:rsidRPr="00A83C94">
        <w:rPr>
          <w:b w:val="0"/>
          <w:noProof/>
          <w:szCs w:val="22"/>
          <w:lang w:val="en-US"/>
        </w:rPr>
        <w:t>և</w:t>
      </w:r>
      <w:r w:rsidRPr="00A83C94">
        <w:rPr>
          <w:b w:val="0"/>
          <w:noProof/>
          <w:szCs w:val="22"/>
          <w:lang w:val="af-ZA"/>
        </w:rPr>
        <w:t xml:space="preserve"> </w:t>
      </w:r>
      <w:r w:rsidRPr="00A83C94">
        <w:rPr>
          <w:b w:val="0"/>
          <w:noProof/>
          <w:szCs w:val="22"/>
          <w:lang w:val="en-US"/>
        </w:rPr>
        <w:t>արվեստը</w:t>
      </w:r>
      <w:r w:rsidRPr="00A83C94">
        <w:rPr>
          <w:b w:val="0"/>
          <w:noProof/>
          <w:szCs w:val="22"/>
          <w:lang w:val="af-ZA"/>
        </w:rPr>
        <w:t xml:space="preserve"> </w:t>
      </w:r>
      <w:r w:rsidRPr="00A83C94">
        <w:rPr>
          <w:b w:val="0"/>
          <w:noProof/>
          <w:szCs w:val="22"/>
          <w:lang w:val="en-US"/>
        </w:rPr>
        <w:t>ներկայացնող</w:t>
      </w:r>
      <w:r w:rsidRPr="00A83C94">
        <w:rPr>
          <w:b w:val="0"/>
          <w:noProof/>
          <w:szCs w:val="22"/>
          <w:lang w:val="af-ZA"/>
        </w:rPr>
        <w:t>,</w:t>
      </w:r>
      <w:r w:rsidRPr="00A83C94">
        <w:rPr>
          <w:lang w:val="af-ZA"/>
        </w:rPr>
        <w:t xml:space="preserve"> </w:t>
      </w:r>
      <w:r w:rsidRPr="00A83C94">
        <w:rPr>
          <w:b w:val="0"/>
          <w:lang w:val="en-US"/>
        </w:rPr>
        <w:t>պ</w:t>
      </w:r>
      <w:r w:rsidRPr="00A83C94">
        <w:rPr>
          <w:b w:val="0"/>
          <w:noProof/>
          <w:szCs w:val="22"/>
          <w:lang w:val="en-US"/>
        </w:rPr>
        <w:t>ատմամշակութային</w:t>
      </w:r>
      <w:r w:rsidRPr="00A83C94">
        <w:rPr>
          <w:b w:val="0"/>
          <w:noProof/>
          <w:szCs w:val="22"/>
          <w:lang w:val="af-ZA"/>
        </w:rPr>
        <w:t xml:space="preserve"> </w:t>
      </w:r>
      <w:r w:rsidRPr="00A83C94">
        <w:rPr>
          <w:b w:val="0"/>
          <w:noProof/>
          <w:szCs w:val="22"/>
          <w:lang w:val="en-US"/>
        </w:rPr>
        <w:t>ժառանգությանը</w:t>
      </w:r>
      <w:r w:rsidRPr="00A83C94">
        <w:rPr>
          <w:b w:val="0"/>
          <w:noProof/>
          <w:szCs w:val="22"/>
          <w:lang w:val="af-ZA"/>
        </w:rPr>
        <w:t xml:space="preserve"> </w:t>
      </w:r>
      <w:r w:rsidRPr="00A83C94">
        <w:rPr>
          <w:b w:val="0"/>
          <w:noProof/>
          <w:szCs w:val="22"/>
          <w:lang w:val="en-US"/>
        </w:rPr>
        <w:t>վերաբերող</w:t>
      </w:r>
      <w:r w:rsidRPr="00A83C94">
        <w:rPr>
          <w:b w:val="0"/>
          <w:noProof/>
          <w:szCs w:val="22"/>
          <w:lang w:val="af-ZA"/>
        </w:rPr>
        <w:t xml:space="preserve"> </w:t>
      </w:r>
      <w:r w:rsidRPr="00A83C94">
        <w:rPr>
          <w:b w:val="0"/>
          <w:noProof/>
          <w:szCs w:val="22"/>
          <w:lang w:val="en-US"/>
        </w:rPr>
        <w:t>գրականության</w:t>
      </w:r>
      <w:r w:rsidRPr="00A83C94">
        <w:rPr>
          <w:b w:val="0"/>
          <w:noProof/>
          <w:szCs w:val="22"/>
          <w:lang w:val="af-ZA"/>
        </w:rPr>
        <w:t xml:space="preserve"> </w:t>
      </w:r>
      <w:r w:rsidRPr="00A83C94">
        <w:rPr>
          <w:b w:val="0"/>
          <w:noProof/>
          <w:szCs w:val="22"/>
          <w:lang w:val="en-US"/>
        </w:rPr>
        <w:t>հրատարակում</w:t>
      </w:r>
      <w:r w:rsidRPr="00A83C94">
        <w:rPr>
          <w:b w:val="0"/>
          <w:noProof/>
          <w:szCs w:val="22"/>
          <w:lang w:val="af-ZA"/>
        </w:rPr>
        <w:t xml:space="preserve">, </w:t>
      </w:r>
      <w:r w:rsidRPr="00A83C94">
        <w:rPr>
          <w:b w:val="0"/>
          <w:noProof/>
          <w:szCs w:val="22"/>
          <w:lang w:val="en-US"/>
        </w:rPr>
        <w:t>ընթերցողական</w:t>
      </w:r>
      <w:r w:rsidRPr="00A83C94">
        <w:rPr>
          <w:b w:val="0"/>
          <w:noProof/>
          <w:szCs w:val="22"/>
          <w:lang w:val="af-ZA"/>
        </w:rPr>
        <w:t xml:space="preserve"> </w:t>
      </w:r>
      <w:r w:rsidRPr="00A83C94">
        <w:rPr>
          <w:b w:val="0"/>
          <w:noProof/>
          <w:szCs w:val="22"/>
          <w:lang w:val="en-US"/>
        </w:rPr>
        <w:t>պահանջարկ</w:t>
      </w:r>
      <w:r w:rsidRPr="00A83C94">
        <w:rPr>
          <w:b w:val="0"/>
          <w:noProof/>
          <w:szCs w:val="22"/>
          <w:lang w:val="af-ZA"/>
        </w:rPr>
        <w:t xml:space="preserve"> </w:t>
      </w:r>
      <w:r w:rsidRPr="00A83C94">
        <w:rPr>
          <w:b w:val="0"/>
          <w:noProof/>
          <w:szCs w:val="22"/>
          <w:lang w:val="en-US"/>
        </w:rPr>
        <w:t>ունեցող</w:t>
      </w:r>
      <w:r w:rsidRPr="00A83C94">
        <w:rPr>
          <w:b w:val="0"/>
          <w:noProof/>
          <w:szCs w:val="22"/>
          <w:lang w:val="af-ZA"/>
        </w:rPr>
        <w:t xml:space="preserve"> 10 </w:t>
      </w:r>
      <w:r w:rsidRPr="00A83C94">
        <w:rPr>
          <w:b w:val="0"/>
          <w:noProof/>
          <w:szCs w:val="22"/>
          <w:lang w:val="en-US"/>
        </w:rPr>
        <w:t>անուն</w:t>
      </w:r>
      <w:r w:rsidRPr="00A83C94">
        <w:rPr>
          <w:b w:val="0"/>
          <w:noProof/>
          <w:szCs w:val="22"/>
          <w:lang w:val="af-ZA"/>
        </w:rPr>
        <w:t xml:space="preserve"> </w:t>
      </w:r>
      <w:r w:rsidRPr="00A83C94">
        <w:rPr>
          <w:b w:val="0"/>
          <w:noProof/>
          <w:szCs w:val="22"/>
          <w:lang w:val="en-US"/>
        </w:rPr>
        <w:t>գրքի</w:t>
      </w:r>
      <w:r w:rsidRPr="00A83C94">
        <w:rPr>
          <w:b w:val="0"/>
          <w:noProof/>
          <w:szCs w:val="22"/>
          <w:lang w:val="af-ZA"/>
        </w:rPr>
        <w:t xml:space="preserve"> </w:t>
      </w:r>
      <w:r w:rsidRPr="00A83C94">
        <w:rPr>
          <w:b w:val="0"/>
          <w:noProof/>
          <w:szCs w:val="22"/>
          <w:lang w:val="en-US"/>
        </w:rPr>
        <w:t>վերահրատարակում</w:t>
      </w:r>
      <w:r w:rsidRPr="00A83C94">
        <w:rPr>
          <w:b w:val="0"/>
          <w:noProof/>
          <w:szCs w:val="22"/>
          <w:lang w:val="af-ZA"/>
        </w:rPr>
        <w:t>):</w:t>
      </w:r>
    </w:p>
    <w:p w14:paraId="20B7D4B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Միաժամանակ</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15.7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47684047" w14:textId="2D382808" w:rsidR="003B2C15" w:rsidRPr="00BF5F43"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Ազգային</w:t>
      </w:r>
      <w:r w:rsidRPr="00A83C94">
        <w:rPr>
          <w:noProof/>
          <w:szCs w:val="22"/>
          <w:lang w:val="af-ZA"/>
        </w:rPr>
        <w:t xml:space="preserve"> </w:t>
      </w:r>
      <w:r w:rsidRPr="00A83C94">
        <w:rPr>
          <w:noProof/>
          <w:szCs w:val="22"/>
          <w:lang w:val="hy-AM"/>
        </w:rPr>
        <w:t>արխիվի</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w:t>
      </w:r>
      <w:r w:rsidRPr="00A83C94">
        <w:rPr>
          <w:b w:val="0"/>
          <w:noProof/>
          <w:szCs w:val="22"/>
          <w:lang w:val="af-ZA"/>
        </w:rPr>
        <w:t xml:space="preserve">  </w:t>
      </w:r>
      <w:r w:rsidRPr="00A83C94">
        <w:rPr>
          <w:b w:val="0"/>
          <w:noProof/>
          <w:szCs w:val="22"/>
          <w:lang w:val="hy-AM"/>
        </w:rPr>
        <w:t>ՀՀ</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արխիվային</w:t>
      </w:r>
      <w:r w:rsidRPr="00A83C94">
        <w:rPr>
          <w:b w:val="0"/>
          <w:noProof/>
          <w:szCs w:val="22"/>
          <w:lang w:val="af-ZA"/>
        </w:rPr>
        <w:t xml:space="preserve"> </w:t>
      </w:r>
      <w:r w:rsidRPr="00A83C94">
        <w:rPr>
          <w:b w:val="0"/>
          <w:noProof/>
          <w:szCs w:val="22"/>
          <w:lang w:val="hy-AM"/>
        </w:rPr>
        <w:t>հավաքածուի</w:t>
      </w:r>
      <w:r w:rsidRPr="00A83C94">
        <w:rPr>
          <w:b w:val="0"/>
          <w:noProof/>
          <w:szCs w:val="22"/>
          <w:lang w:val="af-ZA"/>
        </w:rPr>
        <w:t xml:space="preserve"> </w:t>
      </w:r>
      <w:r w:rsidRPr="00A83C94">
        <w:rPr>
          <w:b w:val="0"/>
          <w:noProof/>
          <w:szCs w:val="22"/>
          <w:lang w:val="hy-AM"/>
        </w:rPr>
        <w:t>պահպանությունը</w:t>
      </w:r>
      <w:r w:rsidRPr="00A83C94">
        <w:rPr>
          <w:b w:val="0"/>
          <w:noProof/>
          <w:szCs w:val="22"/>
          <w:lang w:val="af-ZA"/>
        </w:rPr>
        <w:t xml:space="preserve">, </w:t>
      </w:r>
      <w:r w:rsidRPr="00A83C94">
        <w:rPr>
          <w:b w:val="0"/>
          <w:noProof/>
          <w:szCs w:val="22"/>
          <w:lang w:val="hy-AM"/>
        </w:rPr>
        <w:t>համալրումը</w:t>
      </w:r>
      <w:r w:rsidRPr="00A83C94">
        <w:rPr>
          <w:b w:val="0"/>
          <w:noProof/>
          <w:szCs w:val="22"/>
          <w:lang w:val="af-ZA"/>
        </w:rPr>
        <w:t xml:space="preserve">, </w:t>
      </w:r>
      <w:r w:rsidRPr="00A83C94">
        <w:rPr>
          <w:b w:val="0"/>
          <w:noProof/>
          <w:szCs w:val="22"/>
          <w:lang w:val="hy-AM"/>
        </w:rPr>
        <w:t>հաշվառումը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օգտագործումը</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w:t>
      </w:r>
      <w:r w:rsidR="00BF5F43" w:rsidRPr="00BF5F43">
        <w:rPr>
          <w:b w:val="0"/>
          <w:noProof/>
          <w:szCs w:val="22"/>
        </w:rPr>
        <w:t>արխիվային</w:t>
      </w:r>
      <w:r w:rsidR="00BF5F43" w:rsidRPr="00BF5F43">
        <w:rPr>
          <w:b w:val="0"/>
          <w:noProof/>
          <w:szCs w:val="22"/>
          <w:lang w:val="af-ZA"/>
        </w:rPr>
        <w:t xml:space="preserve"> </w:t>
      </w:r>
      <w:r w:rsidR="00BF5F43" w:rsidRPr="00BF5F43">
        <w:rPr>
          <w:b w:val="0"/>
          <w:noProof/>
          <w:szCs w:val="22"/>
        </w:rPr>
        <w:t>հավաքածուի</w:t>
      </w:r>
      <w:r w:rsidR="00BF5F43" w:rsidRPr="00BF5F43">
        <w:rPr>
          <w:b w:val="0"/>
          <w:noProof/>
          <w:szCs w:val="22"/>
          <w:lang w:val="af-ZA"/>
        </w:rPr>
        <w:t xml:space="preserve"> </w:t>
      </w:r>
      <w:r w:rsidR="00BF5F43" w:rsidRPr="00BF5F43">
        <w:rPr>
          <w:b w:val="0"/>
          <w:noProof/>
          <w:szCs w:val="22"/>
        </w:rPr>
        <w:t>համալրում</w:t>
      </w:r>
      <w:r w:rsidR="00BF5F43" w:rsidRPr="00BF5F43">
        <w:rPr>
          <w:b w:val="0"/>
          <w:noProof/>
          <w:szCs w:val="22"/>
          <w:lang w:val="en-US"/>
        </w:rPr>
        <w:t>՝</w:t>
      </w:r>
      <w:r w:rsidR="00BF5F43" w:rsidRPr="00BF5F43">
        <w:rPr>
          <w:b w:val="0"/>
          <w:noProof/>
          <w:szCs w:val="22"/>
          <w:lang w:val="af-ZA"/>
        </w:rPr>
        <w:t xml:space="preserve"> 31000 </w:t>
      </w:r>
      <w:r w:rsidR="00BF5F43" w:rsidRPr="00BF5F43">
        <w:rPr>
          <w:b w:val="0"/>
          <w:noProof/>
          <w:szCs w:val="22"/>
        </w:rPr>
        <w:t>գործով</w:t>
      </w:r>
      <w:r w:rsidR="00BF5F43" w:rsidRPr="00BF5F43">
        <w:rPr>
          <w:b w:val="0"/>
          <w:noProof/>
          <w:szCs w:val="22"/>
          <w:lang w:val="af-ZA"/>
        </w:rPr>
        <w:t xml:space="preserve">, 4200000 </w:t>
      </w:r>
      <w:r w:rsidR="00BF5F43" w:rsidRPr="00BF5F43">
        <w:rPr>
          <w:b w:val="0"/>
          <w:noProof/>
          <w:szCs w:val="22"/>
        </w:rPr>
        <w:t>արխիվային</w:t>
      </w:r>
      <w:r w:rsidR="00BF5F43" w:rsidRPr="00BF5F43">
        <w:rPr>
          <w:b w:val="0"/>
          <w:noProof/>
          <w:szCs w:val="22"/>
          <w:lang w:val="af-ZA"/>
        </w:rPr>
        <w:t xml:space="preserve"> </w:t>
      </w:r>
      <w:r w:rsidR="00BF5F43" w:rsidRPr="00BF5F43">
        <w:rPr>
          <w:b w:val="0"/>
          <w:noProof/>
          <w:szCs w:val="22"/>
        </w:rPr>
        <w:t>գործի</w:t>
      </w:r>
      <w:r w:rsidR="00BF5F43" w:rsidRPr="00BF5F43">
        <w:rPr>
          <w:b w:val="0"/>
          <w:noProof/>
          <w:szCs w:val="22"/>
          <w:lang w:val="af-ZA"/>
        </w:rPr>
        <w:t xml:space="preserve"> </w:t>
      </w:r>
      <w:r w:rsidR="00BF5F43" w:rsidRPr="00BF5F43">
        <w:rPr>
          <w:b w:val="0"/>
          <w:noProof/>
          <w:szCs w:val="22"/>
        </w:rPr>
        <w:t>պահպանության</w:t>
      </w:r>
      <w:r w:rsidR="00BF5F43" w:rsidRPr="00BF5F43">
        <w:rPr>
          <w:b w:val="0"/>
          <w:noProof/>
          <w:szCs w:val="22"/>
          <w:lang w:val="af-ZA"/>
        </w:rPr>
        <w:t xml:space="preserve"> </w:t>
      </w:r>
      <w:r w:rsidR="00BF5F43" w:rsidRPr="00BF5F43">
        <w:rPr>
          <w:b w:val="0"/>
          <w:noProof/>
          <w:szCs w:val="22"/>
        </w:rPr>
        <w:t>ապահովում</w:t>
      </w:r>
      <w:r w:rsidR="00BF5F43" w:rsidRPr="00BF5F43">
        <w:rPr>
          <w:b w:val="0"/>
          <w:noProof/>
          <w:szCs w:val="22"/>
          <w:lang w:val="af-ZA"/>
        </w:rPr>
        <w:t>)</w:t>
      </w:r>
      <w:r w:rsidRPr="00BF5F43">
        <w:rPr>
          <w:b w:val="0"/>
          <w:noProof/>
          <w:szCs w:val="22"/>
          <w:lang w:val="af-ZA"/>
        </w:rPr>
        <w:t>:</w:t>
      </w:r>
    </w:p>
    <w:p w14:paraId="0576CECB"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Ազգային</w:t>
      </w:r>
      <w:r w:rsidRPr="00A83C94">
        <w:rPr>
          <w:b w:val="0"/>
          <w:noProof/>
          <w:szCs w:val="22"/>
          <w:lang w:val="af-ZA"/>
        </w:rPr>
        <w:t xml:space="preserve"> </w:t>
      </w:r>
      <w:r w:rsidRPr="00A83C94">
        <w:rPr>
          <w:b w:val="0"/>
          <w:noProof/>
          <w:szCs w:val="22"/>
        </w:rPr>
        <w:t>արխիվի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590.2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w:t>
      </w:r>
      <w:r w:rsidRPr="00A83C94">
        <w:rPr>
          <w:b w:val="0"/>
          <w:noProof/>
          <w:szCs w:val="22"/>
        </w:rPr>
        <w:t>ծախսերին</w:t>
      </w:r>
      <w:r w:rsidRPr="00A83C94">
        <w:rPr>
          <w:b w:val="0"/>
          <w:noProof/>
          <w:szCs w:val="22"/>
          <w:lang w:val="af-ZA"/>
        </w:rPr>
        <w:t xml:space="preserve"> </w:t>
      </w:r>
      <w:r w:rsidRPr="00A83C94">
        <w:rPr>
          <w:b w:val="0"/>
          <w:noProof/>
          <w:szCs w:val="22"/>
        </w:rPr>
        <w:t>համապատասխան</w:t>
      </w:r>
      <w:r w:rsidRPr="00A83C94">
        <w:rPr>
          <w:b w:val="0"/>
          <w:noProof/>
          <w:szCs w:val="22"/>
          <w:lang w:val="af-ZA"/>
        </w:rPr>
        <w:t>:</w:t>
      </w:r>
    </w:p>
    <w:p w14:paraId="39E803E9" w14:textId="6A6B72BB"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Արվեստների</w:t>
      </w:r>
      <w:r w:rsidRPr="00A83C94">
        <w:rPr>
          <w:noProof/>
          <w:szCs w:val="22"/>
          <w:lang w:val="af-ZA"/>
        </w:rPr>
        <w:t xml:space="preserve"> </w:t>
      </w:r>
      <w:r w:rsidRPr="00A83C94">
        <w:rPr>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հենքի</w:t>
      </w:r>
      <w:r w:rsidRPr="00A83C94">
        <w:rPr>
          <w:b w:val="0"/>
          <w:noProof/>
          <w:szCs w:val="22"/>
          <w:lang w:val="af-ZA"/>
        </w:rPr>
        <w:t xml:space="preserve"> </w:t>
      </w:r>
      <w:r w:rsidRPr="00A83C94">
        <w:rPr>
          <w:b w:val="0"/>
          <w:noProof/>
          <w:szCs w:val="22"/>
          <w:lang w:val="hy-AM"/>
        </w:rPr>
        <w:t>վրա</w:t>
      </w:r>
      <w:r w:rsidRPr="00A83C94">
        <w:rPr>
          <w:b w:val="0"/>
          <w:noProof/>
          <w:szCs w:val="22"/>
          <w:lang w:val="af-ZA"/>
        </w:rPr>
        <w:t xml:space="preserve"> </w:t>
      </w:r>
      <w:r w:rsidRPr="00A83C94">
        <w:rPr>
          <w:b w:val="0"/>
          <w:noProof/>
          <w:szCs w:val="22"/>
          <w:lang w:val="hy-AM"/>
        </w:rPr>
        <w:t>ժամանակակից</w:t>
      </w:r>
      <w:r w:rsidRPr="00A83C94">
        <w:rPr>
          <w:b w:val="0"/>
          <w:noProof/>
          <w:szCs w:val="22"/>
          <w:lang w:val="af-ZA"/>
        </w:rPr>
        <w:t xml:space="preserve"> </w:t>
      </w:r>
      <w:r w:rsidRPr="00A83C94">
        <w:rPr>
          <w:b w:val="0"/>
          <w:noProof/>
          <w:szCs w:val="22"/>
          <w:lang w:val="hy-AM"/>
        </w:rPr>
        <w:t>թատերարվեստի</w:t>
      </w:r>
      <w:r w:rsidRPr="00A83C94">
        <w:rPr>
          <w:b w:val="0"/>
          <w:noProof/>
          <w:szCs w:val="22"/>
          <w:lang w:val="af-ZA"/>
        </w:rPr>
        <w:t xml:space="preserve">, </w:t>
      </w:r>
      <w:r w:rsidRPr="00A83C94">
        <w:rPr>
          <w:b w:val="0"/>
          <w:noProof/>
          <w:szCs w:val="22"/>
          <w:lang w:val="hy-AM"/>
        </w:rPr>
        <w:t>երաժշտարվեստի</w:t>
      </w:r>
      <w:r w:rsidRPr="00A83C94">
        <w:rPr>
          <w:b w:val="0"/>
          <w:noProof/>
          <w:szCs w:val="22"/>
          <w:lang w:val="af-ZA"/>
        </w:rPr>
        <w:t xml:space="preserve">, </w:t>
      </w:r>
      <w:r w:rsidRPr="00A83C94">
        <w:rPr>
          <w:b w:val="0"/>
          <w:noProof/>
          <w:szCs w:val="22"/>
          <w:lang w:val="hy-AM"/>
        </w:rPr>
        <w:t>կերպարվեստի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պարարվեստի</w:t>
      </w:r>
      <w:r w:rsidRPr="00A83C94">
        <w:rPr>
          <w:b w:val="0"/>
          <w:noProof/>
          <w:szCs w:val="22"/>
          <w:lang w:val="af-ZA"/>
        </w:rPr>
        <w:t xml:space="preserve"> </w:t>
      </w:r>
      <w:r w:rsidRPr="00A83C94">
        <w:rPr>
          <w:b w:val="0"/>
          <w:noProof/>
          <w:szCs w:val="22"/>
          <w:lang w:val="hy-AM"/>
        </w:rPr>
        <w:t>զարգացմանը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հանրահռչակմանը</w:t>
      </w:r>
      <w:r w:rsidRPr="00A83C94">
        <w:rPr>
          <w:b w:val="0"/>
          <w:noProof/>
          <w:szCs w:val="22"/>
          <w:lang w:val="af-ZA"/>
        </w:rPr>
        <w:t>:</w:t>
      </w:r>
    </w:p>
    <w:p w14:paraId="14EAC409" w14:textId="02F29B50"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o</w:t>
      </w:r>
      <w:r w:rsidRPr="00A83C94">
        <w:rPr>
          <w:b w:val="0"/>
          <w:noProof/>
          <w:szCs w:val="22"/>
        </w:rPr>
        <w:t>պերային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բալետային</w:t>
      </w:r>
      <w:r w:rsidRPr="00A83C94">
        <w:rPr>
          <w:b w:val="0"/>
          <w:noProof/>
          <w:szCs w:val="22"/>
          <w:lang w:val="af-ZA"/>
        </w:rPr>
        <w:t xml:space="preserve"> </w:t>
      </w:r>
      <w:r w:rsidRPr="00A83C94">
        <w:rPr>
          <w:b w:val="0"/>
          <w:noProof/>
          <w:szCs w:val="22"/>
        </w:rPr>
        <w:t>արվեստի</w:t>
      </w:r>
      <w:r w:rsidRPr="00A83C94">
        <w:rPr>
          <w:b w:val="0"/>
          <w:noProof/>
          <w:szCs w:val="22"/>
          <w:lang w:val="af-ZA"/>
        </w:rPr>
        <w:t xml:space="preserve">, </w:t>
      </w:r>
      <w:r w:rsidRPr="00A83C94">
        <w:rPr>
          <w:b w:val="0"/>
          <w:noProof/>
          <w:szCs w:val="22"/>
        </w:rPr>
        <w:t>թատերական</w:t>
      </w:r>
      <w:r w:rsidRPr="00A83C94">
        <w:rPr>
          <w:b w:val="0"/>
          <w:noProof/>
          <w:szCs w:val="22"/>
          <w:lang w:val="af-ZA"/>
        </w:rPr>
        <w:t xml:space="preserve"> </w:t>
      </w:r>
      <w:r w:rsidRPr="00A83C94">
        <w:rPr>
          <w:rFonts w:eastAsia="MS Mincho" w:cs="MS Mincho"/>
          <w:b w:val="0"/>
          <w:kern w:val="16"/>
          <w:szCs w:val="22"/>
        </w:rPr>
        <w:t>ներկայացումների</w:t>
      </w:r>
      <w:r w:rsidRPr="00A83C94">
        <w:rPr>
          <w:b w:val="0"/>
          <w:noProof/>
          <w:szCs w:val="22"/>
          <w:lang w:val="af-ZA"/>
        </w:rPr>
        <w:t xml:space="preserve">, </w:t>
      </w:r>
      <w:r w:rsidRPr="00A83C94">
        <w:rPr>
          <w:b w:val="0"/>
          <w:noProof/>
          <w:szCs w:val="22"/>
        </w:rPr>
        <w:t>երաժշտարվեստի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պարարվեստի</w:t>
      </w:r>
      <w:r w:rsidRPr="00A83C94">
        <w:rPr>
          <w:b w:val="0"/>
          <w:noProof/>
          <w:szCs w:val="22"/>
          <w:lang w:val="af-ZA"/>
        </w:rPr>
        <w:t xml:space="preserve"> </w:t>
      </w:r>
      <w:r w:rsidRPr="00A83C94">
        <w:rPr>
          <w:b w:val="0"/>
          <w:noProof/>
          <w:szCs w:val="22"/>
        </w:rPr>
        <w:t>համերգների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w:t>
      </w:r>
      <w:r w:rsidRPr="00A83C94">
        <w:rPr>
          <w:b w:val="0"/>
          <w:noProof/>
          <w:szCs w:val="22"/>
        </w:rPr>
        <w:t>Ժողովրդական</w:t>
      </w:r>
      <w:r w:rsidRPr="00A83C94">
        <w:rPr>
          <w:b w:val="0"/>
          <w:noProof/>
          <w:szCs w:val="22"/>
          <w:lang w:val="af-ZA"/>
        </w:rPr>
        <w:t xml:space="preserve">» </w:t>
      </w:r>
      <w:r w:rsidRPr="00A83C94">
        <w:rPr>
          <w:b w:val="0"/>
          <w:noProof/>
          <w:szCs w:val="22"/>
        </w:rPr>
        <w:t>պատվավոր</w:t>
      </w:r>
      <w:r w:rsidRPr="00A83C94">
        <w:rPr>
          <w:b w:val="0"/>
          <w:noProof/>
          <w:szCs w:val="22"/>
          <w:lang w:val="af-ZA"/>
        </w:rPr>
        <w:t xml:space="preserve"> </w:t>
      </w:r>
      <w:r w:rsidRPr="00A83C94">
        <w:rPr>
          <w:b w:val="0"/>
          <w:noProof/>
          <w:szCs w:val="22"/>
        </w:rPr>
        <w:t>կոչման</w:t>
      </w:r>
      <w:r w:rsidRPr="00A83C94">
        <w:rPr>
          <w:b w:val="0"/>
          <w:noProof/>
          <w:szCs w:val="22"/>
          <w:lang w:val="af-ZA"/>
        </w:rPr>
        <w:t xml:space="preserve"> </w:t>
      </w:r>
      <w:r w:rsidRPr="00A83C94">
        <w:rPr>
          <w:b w:val="0"/>
          <w:noProof/>
          <w:szCs w:val="22"/>
        </w:rPr>
        <w:t>արժանացած</w:t>
      </w:r>
      <w:r w:rsidRPr="00A83C94">
        <w:rPr>
          <w:b w:val="0"/>
          <w:noProof/>
          <w:szCs w:val="22"/>
          <w:lang w:val="af-ZA"/>
        </w:rPr>
        <w:t xml:space="preserve"> </w:t>
      </w:r>
      <w:r w:rsidRPr="00A83C94">
        <w:rPr>
          <w:b w:val="0"/>
          <w:noProof/>
          <w:szCs w:val="22"/>
        </w:rPr>
        <w:t>անձանց</w:t>
      </w:r>
      <w:r w:rsidRPr="00A83C94">
        <w:rPr>
          <w:b w:val="0"/>
          <w:noProof/>
          <w:szCs w:val="22"/>
          <w:lang w:val="af-ZA"/>
        </w:rPr>
        <w:t xml:space="preserve"> </w:t>
      </w:r>
      <w:r w:rsidRPr="00A83C94">
        <w:rPr>
          <w:b w:val="0"/>
          <w:noProof/>
          <w:szCs w:val="22"/>
        </w:rPr>
        <w:t>պատվովճարի</w:t>
      </w:r>
      <w:r w:rsidRPr="00A83C94">
        <w:rPr>
          <w:b w:val="0"/>
          <w:noProof/>
          <w:szCs w:val="22"/>
          <w:lang w:val="af-ZA"/>
        </w:rPr>
        <w:t xml:space="preserve"> </w:t>
      </w:r>
      <w:r w:rsidRPr="00A83C94">
        <w:rPr>
          <w:b w:val="0"/>
          <w:noProof/>
          <w:szCs w:val="22"/>
        </w:rPr>
        <w:t>հատկացմանը</w:t>
      </w:r>
      <w:r w:rsidRPr="00A83C94">
        <w:rPr>
          <w:b w:val="0"/>
          <w:noProof/>
          <w:szCs w:val="22"/>
          <w:lang w:val="af-ZA"/>
        </w:rPr>
        <w:t>,</w:t>
      </w:r>
      <w:r w:rsidRPr="00A83C94">
        <w:rPr>
          <w:b w:val="0"/>
          <w:szCs w:val="22"/>
          <w:lang w:val="af-ZA"/>
        </w:rPr>
        <w:t xml:space="preserve"> </w:t>
      </w:r>
      <w:r w:rsidRPr="00A83C94">
        <w:rPr>
          <w:b w:val="0"/>
          <w:szCs w:val="22"/>
        </w:rPr>
        <w:t>թ</w:t>
      </w:r>
      <w:r w:rsidRPr="00A83C94">
        <w:rPr>
          <w:b w:val="0"/>
          <w:noProof/>
          <w:szCs w:val="22"/>
        </w:rPr>
        <w:t>ատերահամերգային</w:t>
      </w:r>
      <w:r w:rsidRPr="00A83C94">
        <w:rPr>
          <w:b w:val="0"/>
          <w:noProof/>
          <w:szCs w:val="22"/>
          <w:lang w:val="af-ZA"/>
        </w:rPr>
        <w:t xml:space="preserve"> </w:t>
      </w:r>
      <w:r w:rsidRPr="00A83C94">
        <w:rPr>
          <w:b w:val="0"/>
          <w:noProof/>
          <w:szCs w:val="22"/>
        </w:rPr>
        <w:t>կազմակերպությունների</w:t>
      </w:r>
      <w:r w:rsidRPr="00A83C94">
        <w:rPr>
          <w:b w:val="0"/>
          <w:noProof/>
          <w:szCs w:val="22"/>
          <w:lang w:val="af-ZA"/>
        </w:rPr>
        <w:t xml:space="preserve"> </w:t>
      </w:r>
      <w:r w:rsidRPr="00A83C94">
        <w:rPr>
          <w:b w:val="0"/>
          <w:noProof/>
          <w:szCs w:val="22"/>
        </w:rPr>
        <w:t>նյութատեխնիկական</w:t>
      </w:r>
      <w:r w:rsidRPr="00A83C94">
        <w:rPr>
          <w:b w:val="0"/>
          <w:noProof/>
          <w:szCs w:val="22"/>
          <w:lang w:val="af-ZA"/>
        </w:rPr>
        <w:t xml:space="preserve"> </w:t>
      </w:r>
      <w:r w:rsidRPr="00A83C94">
        <w:rPr>
          <w:b w:val="0"/>
          <w:noProof/>
          <w:szCs w:val="22"/>
        </w:rPr>
        <w:t>բազայի</w:t>
      </w:r>
      <w:r w:rsidRPr="00A83C94">
        <w:rPr>
          <w:b w:val="0"/>
          <w:noProof/>
          <w:szCs w:val="22"/>
          <w:lang w:val="af-ZA"/>
        </w:rPr>
        <w:t xml:space="preserve">  </w:t>
      </w:r>
      <w:r w:rsidRPr="00A83C94">
        <w:rPr>
          <w:b w:val="0"/>
          <w:noProof/>
          <w:szCs w:val="22"/>
        </w:rPr>
        <w:t>համալրմանը</w:t>
      </w:r>
      <w:r w:rsidRPr="00A83C94">
        <w:rPr>
          <w:b w:val="0"/>
          <w:noProof/>
          <w:szCs w:val="22"/>
          <w:lang w:val="af-ZA"/>
        </w:rPr>
        <w:t xml:space="preserve">, </w:t>
      </w:r>
      <w:r w:rsidRPr="00A83C94">
        <w:rPr>
          <w:b w:val="0"/>
          <w:noProof/>
          <w:szCs w:val="22"/>
        </w:rPr>
        <w:t>թատրոնների</w:t>
      </w:r>
      <w:r w:rsidRPr="00A83C94">
        <w:rPr>
          <w:b w:val="0"/>
          <w:noProof/>
          <w:szCs w:val="22"/>
          <w:lang w:val="af-ZA"/>
        </w:rPr>
        <w:t xml:space="preserve"> </w:t>
      </w:r>
      <w:r w:rsidRPr="00A83C94">
        <w:rPr>
          <w:b w:val="0"/>
          <w:noProof/>
          <w:szCs w:val="22"/>
        </w:rPr>
        <w:t>շենքերի</w:t>
      </w:r>
      <w:r w:rsidRPr="00A83C94">
        <w:rPr>
          <w:b w:val="0"/>
          <w:noProof/>
          <w:szCs w:val="22"/>
          <w:lang w:val="af-ZA"/>
        </w:rPr>
        <w:t xml:space="preserve"> </w:t>
      </w:r>
      <w:r w:rsidRPr="00A83C94">
        <w:rPr>
          <w:b w:val="0"/>
          <w:noProof/>
          <w:szCs w:val="22"/>
        </w:rPr>
        <w:t>կապիտալ</w:t>
      </w:r>
      <w:r w:rsidRPr="00A83C94">
        <w:rPr>
          <w:b w:val="0"/>
          <w:noProof/>
          <w:szCs w:val="22"/>
          <w:lang w:val="af-ZA"/>
        </w:rPr>
        <w:t xml:space="preserve"> </w:t>
      </w:r>
      <w:r w:rsidRPr="00A83C94">
        <w:rPr>
          <w:b w:val="0"/>
          <w:noProof/>
          <w:szCs w:val="22"/>
        </w:rPr>
        <w:t>վերանորոգման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ներդրումների</w:t>
      </w:r>
      <w:r w:rsidRPr="00A83C94">
        <w:rPr>
          <w:b w:val="0"/>
          <w:noProof/>
          <w:szCs w:val="22"/>
          <w:lang w:val="af-ZA"/>
        </w:rPr>
        <w:t xml:space="preserve"> </w:t>
      </w:r>
      <w:r w:rsidRPr="00A83C94">
        <w:rPr>
          <w:b w:val="0"/>
          <w:noProof/>
          <w:szCs w:val="22"/>
        </w:rPr>
        <w:t>իրականացմանը</w:t>
      </w:r>
      <w:r w:rsidR="00BF5F43" w:rsidRPr="00BF5F43">
        <w:rPr>
          <w:b w:val="0"/>
          <w:noProof/>
          <w:szCs w:val="22"/>
          <w:lang w:val="af-ZA"/>
        </w:rPr>
        <w:t xml:space="preserve"> (</w:t>
      </w:r>
      <w:r w:rsidR="00BF5F43" w:rsidRPr="00BF5F43">
        <w:rPr>
          <w:b w:val="0"/>
          <w:noProof/>
          <w:szCs w:val="22"/>
        </w:rPr>
        <w:t>արվեստի</w:t>
      </w:r>
      <w:r w:rsidR="00BF5F43" w:rsidRPr="00BF5F43">
        <w:rPr>
          <w:b w:val="0"/>
          <w:noProof/>
          <w:szCs w:val="22"/>
          <w:lang w:val="af-ZA"/>
        </w:rPr>
        <w:t xml:space="preserve"> </w:t>
      </w:r>
      <w:r w:rsidR="00BF5F43" w:rsidRPr="00BF5F43">
        <w:rPr>
          <w:b w:val="0"/>
          <w:noProof/>
          <w:szCs w:val="22"/>
        </w:rPr>
        <w:t>տարբեր</w:t>
      </w:r>
      <w:r w:rsidR="00BF5F43" w:rsidRPr="00BF5F43">
        <w:rPr>
          <w:b w:val="0"/>
          <w:noProof/>
          <w:szCs w:val="22"/>
          <w:lang w:val="af-ZA"/>
        </w:rPr>
        <w:t xml:space="preserve"> </w:t>
      </w:r>
      <w:r w:rsidR="00BF5F43" w:rsidRPr="00BF5F43">
        <w:rPr>
          <w:b w:val="0"/>
          <w:noProof/>
          <w:szCs w:val="22"/>
        </w:rPr>
        <w:t>ոլորտներում</w:t>
      </w:r>
      <w:r w:rsidR="00BF5F43" w:rsidRPr="00BF5F43">
        <w:rPr>
          <w:b w:val="0"/>
          <w:noProof/>
          <w:szCs w:val="22"/>
          <w:lang w:val="af-ZA"/>
        </w:rPr>
        <w:t xml:space="preserve"> </w:t>
      </w:r>
      <w:r w:rsidR="00BF5F43" w:rsidRPr="00BF5F43">
        <w:rPr>
          <w:b w:val="0"/>
          <w:noProof/>
          <w:szCs w:val="22"/>
        </w:rPr>
        <w:t>նոր</w:t>
      </w:r>
      <w:r w:rsidR="00BF5F43" w:rsidRPr="00BF5F43">
        <w:rPr>
          <w:b w:val="0"/>
          <w:noProof/>
          <w:szCs w:val="22"/>
          <w:lang w:val="af-ZA"/>
        </w:rPr>
        <w:t xml:space="preserve"> </w:t>
      </w:r>
      <w:r w:rsidR="00BF5F43" w:rsidRPr="00BF5F43">
        <w:rPr>
          <w:b w:val="0"/>
          <w:noProof/>
          <w:szCs w:val="22"/>
        </w:rPr>
        <w:t>ստեղծագործական</w:t>
      </w:r>
      <w:r w:rsidR="00BF5F43" w:rsidRPr="00BF5F43">
        <w:rPr>
          <w:b w:val="0"/>
          <w:noProof/>
          <w:szCs w:val="22"/>
          <w:lang w:val="af-ZA"/>
        </w:rPr>
        <w:t xml:space="preserve"> </w:t>
      </w:r>
      <w:r w:rsidR="00BF5F43" w:rsidRPr="00BF5F43">
        <w:rPr>
          <w:b w:val="0"/>
          <w:noProof/>
          <w:szCs w:val="22"/>
        </w:rPr>
        <w:t>նախագծերի</w:t>
      </w:r>
      <w:r w:rsidR="00BF5F43" w:rsidRPr="00BF5F43">
        <w:rPr>
          <w:b w:val="0"/>
          <w:noProof/>
          <w:szCs w:val="22"/>
          <w:lang w:val="af-ZA"/>
        </w:rPr>
        <w:t xml:space="preserve"> </w:t>
      </w:r>
      <w:r w:rsidR="00BF5F43" w:rsidRPr="00BF5F43">
        <w:rPr>
          <w:b w:val="0"/>
          <w:noProof/>
          <w:szCs w:val="22"/>
        </w:rPr>
        <w:t>քանակը</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40, </w:t>
      </w:r>
      <w:r w:rsidR="00BF5F43" w:rsidRPr="00BF5F43">
        <w:rPr>
          <w:b w:val="0"/>
          <w:noProof/>
          <w:szCs w:val="22"/>
        </w:rPr>
        <w:t>արվեստի</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նախագծերին</w:t>
      </w:r>
      <w:r w:rsidR="00BF5F43" w:rsidRPr="00BF5F43">
        <w:rPr>
          <w:b w:val="0"/>
          <w:noProof/>
          <w:szCs w:val="22"/>
          <w:lang w:val="af-ZA"/>
        </w:rPr>
        <w:t xml:space="preserve"> </w:t>
      </w:r>
      <w:r w:rsidR="00BF5F43" w:rsidRPr="00BF5F43">
        <w:rPr>
          <w:b w:val="0"/>
          <w:noProof/>
          <w:szCs w:val="22"/>
        </w:rPr>
        <w:t>մասնակցող</w:t>
      </w:r>
      <w:r w:rsidR="00BF5F43" w:rsidRPr="00BF5F43">
        <w:rPr>
          <w:b w:val="0"/>
          <w:noProof/>
          <w:szCs w:val="22"/>
          <w:lang w:val="af-ZA"/>
        </w:rPr>
        <w:t xml:space="preserve"> </w:t>
      </w:r>
      <w:r w:rsidR="00BF5F43" w:rsidRPr="00BF5F43">
        <w:rPr>
          <w:b w:val="0"/>
          <w:noProof/>
          <w:szCs w:val="22"/>
        </w:rPr>
        <w:t>խմբերի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10, </w:t>
      </w:r>
      <w:r w:rsidR="00BF5F43" w:rsidRPr="00BF5F43">
        <w:rPr>
          <w:b w:val="0"/>
          <w:noProof/>
          <w:szCs w:val="22"/>
        </w:rPr>
        <w:t>իսկ</w:t>
      </w:r>
      <w:r w:rsidR="00BF5F43" w:rsidRPr="00BF5F43">
        <w:rPr>
          <w:b w:val="0"/>
          <w:noProof/>
          <w:szCs w:val="22"/>
          <w:lang w:val="af-ZA"/>
        </w:rPr>
        <w:t xml:space="preserve"> </w:t>
      </w:r>
      <w:r w:rsidR="00BF5F43" w:rsidRPr="00BF5F43">
        <w:rPr>
          <w:b w:val="0"/>
          <w:noProof/>
          <w:szCs w:val="22"/>
        </w:rPr>
        <w:t>մասնակցող</w:t>
      </w:r>
      <w:r w:rsidR="00BF5F43" w:rsidRPr="00BF5F43">
        <w:rPr>
          <w:b w:val="0"/>
          <w:noProof/>
          <w:szCs w:val="22"/>
          <w:lang w:val="af-ZA"/>
        </w:rPr>
        <w:t xml:space="preserve"> </w:t>
      </w:r>
      <w:r w:rsidR="00BF5F43" w:rsidRPr="00BF5F43">
        <w:rPr>
          <w:b w:val="0"/>
          <w:noProof/>
          <w:szCs w:val="22"/>
        </w:rPr>
        <w:t>արվեստագետների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35, </w:t>
      </w:r>
      <w:r w:rsidR="00BF5F43" w:rsidRPr="00BF5F43">
        <w:rPr>
          <w:b w:val="0"/>
          <w:noProof/>
          <w:szCs w:val="22"/>
        </w:rPr>
        <w:t>հանրապետությունում</w:t>
      </w:r>
      <w:r w:rsidR="00BF5F43" w:rsidRPr="00BF5F43">
        <w:rPr>
          <w:b w:val="0"/>
          <w:noProof/>
          <w:szCs w:val="22"/>
          <w:lang w:val="af-ZA"/>
        </w:rPr>
        <w:t xml:space="preserve"> </w:t>
      </w:r>
      <w:r w:rsidR="00BF5F43" w:rsidRPr="00BF5F43">
        <w:rPr>
          <w:b w:val="0"/>
          <w:noProof/>
          <w:szCs w:val="22"/>
        </w:rPr>
        <w:t>իրականացվող</w:t>
      </w:r>
      <w:r w:rsidR="00BF5F43" w:rsidRPr="00BF5F43">
        <w:rPr>
          <w:b w:val="0"/>
          <w:noProof/>
          <w:szCs w:val="22"/>
          <w:lang w:val="af-ZA"/>
        </w:rPr>
        <w:t xml:space="preserve"> </w:t>
      </w:r>
      <w:r w:rsidR="00BF5F43" w:rsidRPr="00BF5F43">
        <w:rPr>
          <w:b w:val="0"/>
          <w:noProof/>
          <w:szCs w:val="22"/>
        </w:rPr>
        <w:t>արվեստի</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նախագծերի</w:t>
      </w:r>
      <w:r w:rsidR="00BF5F43" w:rsidRPr="00BF5F43">
        <w:rPr>
          <w:b w:val="0"/>
          <w:noProof/>
          <w:szCs w:val="22"/>
          <w:lang w:val="af-ZA"/>
        </w:rPr>
        <w:t xml:space="preserve"> </w:t>
      </w:r>
      <w:r w:rsidR="00BF5F43" w:rsidRPr="00BF5F43">
        <w:rPr>
          <w:b w:val="0"/>
          <w:noProof/>
          <w:szCs w:val="22"/>
        </w:rPr>
        <w:t>թիվը՝</w:t>
      </w:r>
      <w:r w:rsidR="00BF5F43" w:rsidRPr="00BF5F43">
        <w:rPr>
          <w:b w:val="0"/>
          <w:noProof/>
          <w:szCs w:val="22"/>
          <w:lang w:val="af-ZA"/>
        </w:rPr>
        <w:t xml:space="preserve"> 16):</w:t>
      </w:r>
    </w:p>
    <w:p w14:paraId="0D6F3E33"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Արվեստների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10,302.8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8,738.1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 xml:space="preserve">: </w:t>
      </w:r>
    </w:p>
    <w:p w14:paraId="7FB1F574"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Ծախսերն</w:t>
      </w:r>
      <w:r w:rsidRPr="00A83C94">
        <w:rPr>
          <w:b w:val="0"/>
          <w:noProof/>
          <w:szCs w:val="22"/>
          <w:lang w:val="af-ZA"/>
        </w:rPr>
        <w:t xml:space="preserve"> </w:t>
      </w:r>
      <w:r w:rsidRPr="00A83C94">
        <w:rPr>
          <w:b w:val="0"/>
          <w:noProof/>
          <w:szCs w:val="22"/>
        </w:rPr>
        <w:t>աճել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1,564.7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17.9%-</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w:t>
      </w:r>
    </w:p>
    <w:p w14:paraId="6922558E"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634.8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հիմնականում</w:t>
      </w:r>
      <w:r w:rsidRPr="00A83C94">
        <w:rPr>
          <w:b w:val="0"/>
          <w:noProof/>
          <w:szCs w:val="22"/>
          <w:lang w:val="af-ZA"/>
        </w:rPr>
        <w:t xml:space="preserve"> </w:t>
      </w:r>
      <w:r w:rsidRPr="00A83C94">
        <w:rPr>
          <w:b w:val="0"/>
          <w:noProof/>
          <w:szCs w:val="22"/>
        </w:rPr>
        <w:t>աճը</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ճանաչողական</w:t>
      </w:r>
      <w:r w:rsidRPr="00A83C94">
        <w:rPr>
          <w:b w:val="0"/>
          <w:noProof/>
          <w:szCs w:val="22"/>
          <w:lang w:val="af-ZA"/>
        </w:rPr>
        <w:t>-</w:t>
      </w:r>
      <w:r w:rsidRPr="00A83C94">
        <w:rPr>
          <w:b w:val="0"/>
          <w:noProof/>
          <w:szCs w:val="22"/>
        </w:rPr>
        <w:t>կրթական</w:t>
      </w:r>
      <w:r w:rsidRPr="00A83C94">
        <w:rPr>
          <w:b w:val="0"/>
          <w:noProof/>
          <w:szCs w:val="22"/>
          <w:lang w:val="af-ZA"/>
        </w:rPr>
        <w:t xml:space="preserve"> </w:t>
      </w:r>
      <w:r w:rsidRPr="00A83C94">
        <w:rPr>
          <w:b w:val="0"/>
          <w:noProof/>
          <w:szCs w:val="22"/>
        </w:rPr>
        <w:t>ծրագրերի</w:t>
      </w:r>
      <w:r w:rsidRPr="00A83C94">
        <w:rPr>
          <w:b w:val="0"/>
          <w:noProof/>
          <w:szCs w:val="22"/>
          <w:lang w:val="af-ZA"/>
        </w:rPr>
        <w:t xml:space="preserve">, </w:t>
      </w:r>
      <w:r w:rsidRPr="00A83C94">
        <w:rPr>
          <w:b w:val="0"/>
          <w:noProof/>
          <w:szCs w:val="22"/>
        </w:rPr>
        <w:t>միջազգային</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թատերարվեստին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երաժշտարվեստին</w:t>
      </w:r>
      <w:r w:rsidRPr="00A83C94">
        <w:rPr>
          <w:b w:val="0"/>
          <w:noProof/>
          <w:szCs w:val="22"/>
          <w:lang w:val="af-ZA"/>
        </w:rPr>
        <w:t xml:space="preserve"> </w:t>
      </w:r>
      <w:r w:rsidRPr="00A83C94">
        <w:rPr>
          <w:b w:val="0"/>
          <w:noProof/>
          <w:szCs w:val="22"/>
        </w:rPr>
        <w:t>աջակցմանը</w:t>
      </w:r>
      <w:r w:rsidRPr="00A83C94">
        <w:rPr>
          <w:b w:val="0"/>
          <w:noProof/>
          <w:szCs w:val="22"/>
          <w:lang w:val="af-ZA"/>
        </w:rPr>
        <w:t>),</w:t>
      </w:r>
    </w:p>
    <w:p w14:paraId="65391082"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 </w:t>
      </w:r>
      <w:r w:rsidRPr="00A83C94">
        <w:rPr>
          <w:b w:val="0"/>
          <w:noProof/>
          <w:szCs w:val="22"/>
        </w:rPr>
        <w:t>Ներդրումներ</w:t>
      </w:r>
      <w:r w:rsidRPr="00A83C94">
        <w:rPr>
          <w:b w:val="0"/>
          <w:noProof/>
          <w:szCs w:val="22"/>
          <w:lang w:val="af-ZA"/>
        </w:rPr>
        <w:t xml:space="preserve"> </w:t>
      </w:r>
      <w:r w:rsidRPr="00A83C94">
        <w:rPr>
          <w:b w:val="0"/>
          <w:noProof/>
          <w:szCs w:val="22"/>
        </w:rPr>
        <w:t>թատրոնների</w:t>
      </w:r>
      <w:r w:rsidRPr="00A83C94">
        <w:rPr>
          <w:b w:val="0"/>
          <w:noProof/>
          <w:szCs w:val="22"/>
          <w:lang w:val="af-ZA"/>
        </w:rPr>
        <w:t xml:space="preserve"> </w:t>
      </w:r>
      <w:r w:rsidRPr="00A83C94">
        <w:rPr>
          <w:b w:val="0"/>
          <w:noProof/>
          <w:szCs w:val="22"/>
        </w:rPr>
        <w:t>շենքերի</w:t>
      </w:r>
      <w:r w:rsidRPr="00A83C94">
        <w:rPr>
          <w:b w:val="0"/>
          <w:noProof/>
          <w:szCs w:val="22"/>
          <w:lang w:val="af-ZA"/>
        </w:rPr>
        <w:t xml:space="preserve"> </w:t>
      </w:r>
      <w:r w:rsidRPr="00A83C94">
        <w:rPr>
          <w:b w:val="0"/>
          <w:noProof/>
          <w:szCs w:val="22"/>
        </w:rPr>
        <w:t>կապիտալ</w:t>
      </w:r>
      <w:r w:rsidRPr="00A83C94">
        <w:rPr>
          <w:b w:val="0"/>
          <w:noProof/>
          <w:szCs w:val="22"/>
          <w:lang w:val="af-ZA"/>
        </w:rPr>
        <w:t xml:space="preserve"> </w:t>
      </w:r>
      <w:r w:rsidRPr="00A83C94">
        <w:rPr>
          <w:b w:val="0"/>
          <w:noProof/>
          <w:szCs w:val="22"/>
        </w:rPr>
        <w:t>վերանորոգման</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216.6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(նախատեսվում է իրականացնել Մնջախաղի թատրոնի և Ա. Սպենդիարյանի անվան օպերայի և բալետի ազգային ակադեմիական թատրոնի շինարարական և նախագծային աշխատանքներ): </w:t>
      </w:r>
    </w:p>
    <w:p w14:paraId="593B48F4"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af-ZA"/>
        </w:rPr>
        <w:t>- </w:t>
      </w:r>
      <w:r w:rsidRPr="00A83C94">
        <w:rPr>
          <w:b w:val="0"/>
          <w:noProof/>
          <w:szCs w:val="22"/>
        </w:rPr>
        <w:t>Թատերահամերգային</w:t>
      </w:r>
      <w:r w:rsidRPr="00A83C94">
        <w:rPr>
          <w:b w:val="0"/>
          <w:noProof/>
          <w:szCs w:val="22"/>
          <w:lang w:val="af-ZA"/>
        </w:rPr>
        <w:t xml:space="preserve"> </w:t>
      </w:r>
      <w:r w:rsidRPr="00A83C94">
        <w:rPr>
          <w:b w:val="0"/>
          <w:noProof/>
          <w:szCs w:val="22"/>
        </w:rPr>
        <w:t>կազմակերպությունների</w:t>
      </w:r>
      <w:r w:rsidRPr="00A83C94">
        <w:rPr>
          <w:b w:val="0"/>
          <w:noProof/>
          <w:szCs w:val="22"/>
          <w:lang w:val="af-ZA"/>
        </w:rPr>
        <w:t xml:space="preserve"> </w:t>
      </w:r>
      <w:r w:rsidRPr="00A83C94">
        <w:rPr>
          <w:b w:val="0"/>
          <w:noProof/>
          <w:szCs w:val="22"/>
        </w:rPr>
        <w:t>նյութատեխնիկական</w:t>
      </w:r>
      <w:r w:rsidRPr="00A83C94">
        <w:rPr>
          <w:b w:val="0"/>
          <w:noProof/>
          <w:szCs w:val="22"/>
          <w:lang w:val="af-ZA"/>
        </w:rPr>
        <w:t xml:space="preserve"> </w:t>
      </w:r>
      <w:r w:rsidRPr="00A83C94">
        <w:rPr>
          <w:b w:val="0"/>
          <w:noProof/>
          <w:szCs w:val="22"/>
        </w:rPr>
        <w:t>բազայի</w:t>
      </w:r>
      <w:r w:rsidRPr="00A83C94">
        <w:rPr>
          <w:b w:val="0"/>
          <w:noProof/>
          <w:szCs w:val="22"/>
          <w:lang w:val="af-ZA"/>
        </w:rPr>
        <w:t xml:space="preserve">  </w:t>
      </w:r>
      <w:r w:rsidRPr="00A83C94">
        <w:rPr>
          <w:b w:val="0"/>
          <w:noProof/>
          <w:szCs w:val="22"/>
        </w:rPr>
        <w:t>համալրում</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767.5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(նախատեսվում է համալրել 5 թատերահամերգային կազմակերպությունների նյութատեխնիկական բազան): </w:t>
      </w:r>
    </w:p>
    <w:p w14:paraId="526AB0E6"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Միաժամանակ</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54.2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621155D9" w14:textId="0FCA9F54"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Մարզերի</w:t>
      </w:r>
      <w:r w:rsidRPr="00A83C94">
        <w:rPr>
          <w:noProof/>
          <w:szCs w:val="22"/>
          <w:lang w:val="af-ZA"/>
        </w:rPr>
        <w:t xml:space="preserve"> </w:t>
      </w:r>
      <w:r w:rsidRPr="00A83C94">
        <w:rPr>
          <w:noProof/>
          <w:szCs w:val="22"/>
          <w:lang w:val="hy-AM"/>
        </w:rPr>
        <w:t>մշակութային</w:t>
      </w:r>
      <w:r w:rsidRPr="00A83C94">
        <w:rPr>
          <w:noProof/>
          <w:szCs w:val="22"/>
          <w:lang w:val="af-ZA"/>
        </w:rPr>
        <w:t xml:space="preserve"> </w:t>
      </w:r>
      <w:r w:rsidRPr="00A83C94">
        <w:rPr>
          <w:noProof/>
          <w:szCs w:val="22"/>
          <w:lang w:val="hy-AM"/>
        </w:rPr>
        <w:t>զարգացման</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մարզերում</w:t>
      </w:r>
      <w:r w:rsidRPr="00A83C94">
        <w:rPr>
          <w:b w:val="0"/>
          <w:noProof/>
          <w:szCs w:val="22"/>
          <w:lang w:val="af-ZA"/>
        </w:rPr>
        <w:t xml:space="preserve"> </w:t>
      </w:r>
      <w:r w:rsidRPr="00A83C94">
        <w:rPr>
          <w:b w:val="0"/>
          <w:noProof/>
          <w:szCs w:val="22"/>
          <w:lang w:val="hy-AM"/>
        </w:rPr>
        <w:t>մշակութային</w:t>
      </w:r>
      <w:r w:rsidRPr="00A83C94">
        <w:rPr>
          <w:b w:val="0"/>
          <w:noProof/>
          <w:szCs w:val="22"/>
          <w:lang w:val="af-ZA"/>
        </w:rPr>
        <w:t xml:space="preserve"> </w:t>
      </w:r>
      <w:r w:rsidRPr="00A83C94">
        <w:rPr>
          <w:b w:val="0"/>
          <w:noProof/>
          <w:szCs w:val="22"/>
          <w:lang w:val="hy-AM"/>
        </w:rPr>
        <w:t>կյանքի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մշակութաստեղծ</w:t>
      </w:r>
      <w:r w:rsidRPr="00A83C94">
        <w:rPr>
          <w:b w:val="0"/>
          <w:noProof/>
          <w:szCs w:val="22"/>
          <w:lang w:val="af-ZA"/>
        </w:rPr>
        <w:t xml:space="preserve"> </w:t>
      </w:r>
      <w:r w:rsidRPr="00A83C94">
        <w:rPr>
          <w:b w:val="0"/>
          <w:noProof/>
          <w:szCs w:val="22"/>
          <w:lang w:val="hy-AM"/>
        </w:rPr>
        <w:t>գործունեության</w:t>
      </w:r>
      <w:r w:rsidRPr="00A83C94">
        <w:rPr>
          <w:b w:val="0"/>
          <w:noProof/>
          <w:szCs w:val="22"/>
          <w:lang w:val="af-ZA"/>
        </w:rPr>
        <w:t xml:space="preserve"> </w:t>
      </w:r>
      <w:r w:rsidRPr="00A83C94">
        <w:rPr>
          <w:b w:val="0"/>
          <w:noProof/>
          <w:szCs w:val="22"/>
          <w:lang w:val="hy-AM"/>
        </w:rPr>
        <w:t>ակտիվացմանը</w:t>
      </w:r>
      <w:r w:rsidRPr="00A83C94">
        <w:rPr>
          <w:b w:val="0"/>
          <w:noProof/>
          <w:szCs w:val="22"/>
          <w:lang w:val="af-ZA"/>
        </w:rPr>
        <w:t>:</w:t>
      </w:r>
    </w:p>
    <w:p w14:paraId="4E174E0F" w14:textId="762CF5AF"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մարզերում</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համայնքային</w:t>
      </w:r>
      <w:r w:rsidRPr="00A83C94">
        <w:rPr>
          <w:b w:val="0"/>
          <w:noProof/>
          <w:szCs w:val="22"/>
          <w:lang w:val="af-ZA"/>
        </w:rPr>
        <w:t xml:space="preserve"> </w:t>
      </w:r>
      <w:r w:rsidRPr="00A83C94">
        <w:rPr>
          <w:b w:val="0"/>
          <w:noProof/>
          <w:szCs w:val="22"/>
        </w:rPr>
        <w:t>մշակույթի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ազատ</w:t>
      </w:r>
      <w:r w:rsidRPr="00A83C94">
        <w:rPr>
          <w:b w:val="0"/>
          <w:noProof/>
          <w:szCs w:val="22"/>
          <w:lang w:val="af-ZA"/>
        </w:rPr>
        <w:t xml:space="preserve"> </w:t>
      </w:r>
      <w:r w:rsidRPr="00A83C94">
        <w:rPr>
          <w:b w:val="0"/>
          <w:noProof/>
          <w:szCs w:val="22"/>
        </w:rPr>
        <w:t>ժամանցի</w:t>
      </w:r>
      <w:r w:rsidRPr="00A83C94">
        <w:rPr>
          <w:b w:val="0"/>
          <w:noProof/>
          <w:szCs w:val="22"/>
          <w:lang w:val="af-ZA"/>
        </w:rPr>
        <w:t xml:space="preserve"> </w:t>
      </w:r>
      <w:r w:rsidRPr="00A83C94">
        <w:rPr>
          <w:b w:val="0"/>
          <w:noProof/>
          <w:szCs w:val="22"/>
        </w:rPr>
        <w:t>կազմակերպմանը</w:t>
      </w:r>
      <w:r w:rsidR="00BF5F43" w:rsidRPr="00BF5F43">
        <w:rPr>
          <w:b w:val="0"/>
          <w:noProof/>
          <w:szCs w:val="22"/>
          <w:lang w:val="af-ZA"/>
        </w:rPr>
        <w:t xml:space="preserve"> (</w:t>
      </w:r>
      <w:r w:rsidR="00BF5F43" w:rsidRPr="00BF5F43">
        <w:rPr>
          <w:b w:val="0"/>
          <w:noProof/>
          <w:szCs w:val="22"/>
        </w:rPr>
        <w:t>մշակութային</w:t>
      </w:r>
      <w:r w:rsidR="00BF5F43" w:rsidRPr="00BF5F43">
        <w:rPr>
          <w:b w:val="0"/>
          <w:noProof/>
          <w:szCs w:val="22"/>
          <w:lang w:val="af-ZA"/>
        </w:rPr>
        <w:t xml:space="preserve"> </w:t>
      </w:r>
      <w:r w:rsidR="00BF5F43" w:rsidRPr="00BF5F43">
        <w:rPr>
          <w:b w:val="0"/>
          <w:noProof/>
          <w:szCs w:val="22"/>
        </w:rPr>
        <w:t>միջոցառումներում</w:t>
      </w:r>
      <w:r w:rsidR="00BF5F43" w:rsidRPr="00BF5F43">
        <w:rPr>
          <w:b w:val="0"/>
          <w:noProof/>
          <w:szCs w:val="22"/>
          <w:lang w:val="af-ZA"/>
        </w:rPr>
        <w:t xml:space="preserve"> </w:t>
      </w:r>
      <w:r w:rsidR="00BF5F43" w:rsidRPr="00BF5F43">
        <w:rPr>
          <w:b w:val="0"/>
          <w:noProof/>
          <w:szCs w:val="22"/>
        </w:rPr>
        <w:t>ընդգրկված</w:t>
      </w:r>
      <w:r w:rsidR="00BF5F43" w:rsidRPr="00BF5F43">
        <w:rPr>
          <w:b w:val="0"/>
          <w:noProof/>
          <w:szCs w:val="22"/>
          <w:lang w:val="af-ZA"/>
        </w:rPr>
        <w:t xml:space="preserve"> </w:t>
      </w:r>
      <w:r w:rsidR="00BF5F43" w:rsidRPr="00BF5F43">
        <w:rPr>
          <w:b w:val="0"/>
          <w:noProof/>
          <w:szCs w:val="22"/>
        </w:rPr>
        <w:t>համայնքների</w:t>
      </w:r>
      <w:r w:rsidR="00BF5F43" w:rsidRPr="00BF5F43">
        <w:rPr>
          <w:b w:val="0"/>
          <w:noProof/>
          <w:szCs w:val="22"/>
          <w:lang w:val="af-ZA"/>
        </w:rPr>
        <w:t xml:space="preserve"> </w:t>
      </w:r>
      <w:r w:rsidR="00BF5F43" w:rsidRPr="00BF5F43">
        <w:rPr>
          <w:b w:val="0"/>
          <w:noProof/>
          <w:szCs w:val="22"/>
        </w:rPr>
        <w:t>մասնաբաժինը</w:t>
      </w:r>
      <w:r w:rsidR="00BF5F43" w:rsidRPr="00BF5F43">
        <w:rPr>
          <w:b w:val="0"/>
          <w:noProof/>
          <w:szCs w:val="22"/>
          <w:lang w:val="af-ZA"/>
        </w:rPr>
        <w:t xml:space="preserve"> </w:t>
      </w:r>
      <w:r w:rsidR="00BF5F43" w:rsidRPr="00BF5F43">
        <w:rPr>
          <w:b w:val="0"/>
          <w:noProof/>
          <w:szCs w:val="22"/>
        </w:rPr>
        <w:t>ընդհանուրի</w:t>
      </w:r>
      <w:r w:rsidR="00BF5F43" w:rsidRPr="00BF5F43">
        <w:rPr>
          <w:b w:val="0"/>
          <w:noProof/>
          <w:szCs w:val="22"/>
          <w:lang w:val="af-ZA"/>
        </w:rPr>
        <w:t xml:space="preserve"> </w:t>
      </w:r>
      <w:r w:rsidR="00BF5F43" w:rsidRPr="00BF5F43">
        <w:rPr>
          <w:b w:val="0"/>
          <w:noProof/>
          <w:szCs w:val="22"/>
        </w:rPr>
        <w:t>մեջ</w:t>
      </w:r>
      <w:r w:rsidR="00BF5F43" w:rsidRPr="00BF5F43">
        <w:rPr>
          <w:b w:val="0"/>
          <w:noProof/>
          <w:szCs w:val="22"/>
          <w:lang w:val="af-ZA"/>
        </w:rPr>
        <w:t xml:space="preserve"> </w:t>
      </w:r>
      <w:r w:rsidR="00BF5F43" w:rsidRPr="00BF5F43">
        <w:rPr>
          <w:b w:val="0"/>
          <w:noProof/>
          <w:szCs w:val="22"/>
        </w:rPr>
        <w:t>կկազմի</w:t>
      </w:r>
      <w:r w:rsidR="00BF5F43" w:rsidRPr="00BF5F43">
        <w:rPr>
          <w:b w:val="0"/>
          <w:noProof/>
          <w:szCs w:val="22"/>
          <w:lang w:val="af-ZA"/>
        </w:rPr>
        <w:t xml:space="preserve"> 30%)</w:t>
      </w:r>
      <w:r w:rsidRPr="00BF5F43">
        <w:rPr>
          <w:b w:val="0"/>
          <w:noProof/>
          <w:szCs w:val="22"/>
          <w:lang w:val="af-ZA"/>
        </w:rPr>
        <w:t>:</w:t>
      </w:r>
    </w:p>
    <w:p w14:paraId="6F1A6253"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Մարզերի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զարգացման</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2022 թվականին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79.9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w:t>
      </w:r>
      <w:r w:rsidRPr="00A83C94">
        <w:rPr>
          <w:b w:val="0"/>
          <w:noProof/>
          <w:szCs w:val="22"/>
        </w:rPr>
        <w:t>ծախսերին</w:t>
      </w:r>
      <w:r w:rsidRPr="00A83C94">
        <w:rPr>
          <w:b w:val="0"/>
          <w:noProof/>
          <w:szCs w:val="22"/>
          <w:lang w:val="af-ZA"/>
        </w:rPr>
        <w:t xml:space="preserve"> </w:t>
      </w:r>
      <w:r w:rsidRPr="00A83C94">
        <w:rPr>
          <w:b w:val="0"/>
          <w:noProof/>
          <w:szCs w:val="22"/>
        </w:rPr>
        <w:t>համապատասխան</w:t>
      </w:r>
      <w:r w:rsidRPr="00A83C94">
        <w:rPr>
          <w:b w:val="0"/>
          <w:noProof/>
          <w:szCs w:val="22"/>
          <w:lang w:val="af-ZA"/>
        </w:rPr>
        <w:t>:</w:t>
      </w:r>
    </w:p>
    <w:p w14:paraId="623AF1ED" w14:textId="37F1EFA8"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noProof/>
          <w:szCs w:val="22"/>
          <w:lang w:val="hy-AM"/>
        </w:rPr>
        <w:t>Մշակութային</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գեղագիտական</w:t>
      </w:r>
      <w:r w:rsidRPr="00A83C94">
        <w:rPr>
          <w:noProof/>
          <w:szCs w:val="22"/>
          <w:lang w:val="af-ZA"/>
        </w:rPr>
        <w:t xml:space="preserve"> </w:t>
      </w:r>
      <w:r w:rsidRPr="00A83C94">
        <w:rPr>
          <w:noProof/>
          <w:szCs w:val="22"/>
          <w:lang w:val="hy-AM"/>
        </w:rPr>
        <w:t>դաստիարակություն</w:t>
      </w:r>
      <w:r w:rsidRPr="00A83C94">
        <w:rPr>
          <w:noProof/>
          <w:szCs w:val="22"/>
          <w:lang w:val="af-ZA"/>
        </w:rPr>
        <w:t xml:space="preserve"> </w:t>
      </w:r>
      <w:r w:rsidRPr="00A83C94">
        <w:rPr>
          <w:b w:val="0"/>
          <w:noProof/>
          <w:szCs w:val="22"/>
          <w:lang w:val="hy-AM"/>
        </w:rPr>
        <w:t>ծրագրի</w:t>
      </w:r>
      <w:r w:rsidRPr="00A83C94">
        <w:rPr>
          <w:b w:val="0"/>
          <w:noProof/>
          <w:szCs w:val="22"/>
          <w:lang w:val="af-ZA"/>
        </w:rPr>
        <w:t xml:space="preserve"> </w:t>
      </w:r>
      <w:r w:rsidRPr="00A83C94">
        <w:rPr>
          <w:b w:val="0"/>
          <w:noProof/>
          <w:szCs w:val="22"/>
          <w:lang w:val="hy-AM"/>
        </w:rPr>
        <w:t>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նպաստել</w:t>
      </w:r>
      <w:r w:rsidRPr="00A83C94">
        <w:rPr>
          <w:b w:val="0"/>
          <w:noProof/>
          <w:szCs w:val="22"/>
          <w:lang w:val="af-ZA"/>
        </w:rPr>
        <w:t xml:space="preserve"> </w:t>
      </w:r>
      <w:r w:rsidRPr="00A83C94">
        <w:rPr>
          <w:b w:val="0"/>
          <w:noProof/>
          <w:szCs w:val="22"/>
          <w:lang w:val="hy-AM"/>
        </w:rPr>
        <w:t>երեխաների</w:t>
      </w:r>
      <w:r w:rsidRPr="00A83C94">
        <w:rPr>
          <w:b w:val="0"/>
          <w:noProof/>
          <w:szCs w:val="22"/>
          <w:lang w:val="af-ZA"/>
        </w:rPr>
        <w:t xml:space="preserve"> </w:t>
      </w:r>
      <w:r w:rsidRPr="00A83C94">
        <w:rPr>
          <w:b w:val="0"/>
          <w:noProof/>
          <w:szCs w:val="22"/>
          <w:lang w:val="hy-AM"/>
        </w:rPr>
        <w:t>հոգևոր</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գեղագիտական</w:t>
      </w:r>
      <w:r w:rsidRPr="00A83C94">
        <w:rPr>
          <w:b w:val="0"/>
          <w:noProof/>
          <w:szCs w:val="22"/>
          <w:lang w:val="af-ZA"/>
        </w:rPr>
        <w:t xml:space="preserve"> </w:t>
      </w:r>
      <w:r w:rsidRPr="00A83C94">
        <w:rPr>
          <w:b w:val="0"/>
          <w:noProof/>
          <w:szCs w:val="22"/>
          <w:lang w:val="hy-AM"/>
        </w:rPr>
        <w:t>ընդունակությունների</w:t>
      </w:r>
      <w:r w:rsidRPr="00A83C94">
        <w:rPr>
          <w:b w:val="0"/>
          <w:noProof/>
          <w:szCs w:val="22"/>
          <w:lang w:val="af-ZA"/>
        </w:rPr>
        <w:t xml:space="preserve"> </w:t>
      </w:r>
      <w:r w:rsidRPr="00A83C94">
        <w:rPr>
          <w:b w:val="0"/>
          <w:noProof/>
          <w:szCs w:val="22"/>
          <w:lang w:val="hy-AM"/>
        </w:rPr>
        <w:t>բացահայտմանը</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զարգացմանը</w:t>
      </w:r>
      <w:r w:rsidR="00BF5F43" w:rsidRPr="00BF5F43">
        <w:rPr>
          <w:b w:val="0"/>
          <w:noProof/>
          <w:szCs w:val="22"/>
          <w:lang w:val="af-ZA"/>
        </w:rPr>
        <w:t xml:space="preserve"> (</w:t>
      </w:r>
      <w:r w:rsidR="00BF5F43" w:rsidRPr="00BF5F43">
        <w:rPr>
          <w:b w:val="0"/>
          <w:noProof/>
          <w:szCs w:val="22"/>
        </w:rPr>
        <w:t>միջազգային</w:t>
      </w:r>
      <w:r w:rsidR="00BF5F43" w:rsidRPr="00BF5F43">
        <w:rPr>
          <w:b w:val="0"/>
          <w:noProof/>
          <w:szCs w:val="22"/>
          <w:lang w:val="af-ZA"/>
        </w:rPr>
        <w:t xml:space="preserve"> </w:t>
      </w:r>
      <w:r w:rsidR="00BF5F43" w:rsidRPr="00BF5F43">
        <w:rPr>
          <w:b w:val="0"/>
          <w:noProof/>
          <w:szCs w:val="22"/>
        </w:rPr>
        <w:t>նախագծերում</w:t>
      </w:r>
      <w:r w:rsidR="00BF5F43" w:rsidRPr="00BF5F43">
        <w:rPr>
          <w:b w:val="0"/>
          <w:noProof/>
          <w:szCs w:val="22"/>
          <w:lang w:val="af-ZA"/>
        </w:rPr>
        <w:t xml:space="preserve"> </w:t>
      </w:r>
      <w:r w:rsidR="00BF5F43" w:rsidRPr="00BF5F43">
        <w:rPr>
          <w:b w:val="0"/>
          <w:noProof/>
          <w:szCs w:val="22"/>
        </w:rPr>
        <w:t>նախատեսվում</w:t>
      </w:r>
      <w:r w:rsidR="00BF5F43" w:rsidRPr="00BF5F43">
        <w:rPr>
          <w:b w:val="0"/>
          <w:noProof/>
          <w:szCs w:val="22"/>
          <w:lang w:val="af-ZA"/>
        </w:rPr>
        <w:t xml:space="preserve"> </w:t>
      </w:r>
      <w:r w:rsidR="00BF5F43" w:rsidRPr="00BF5F43">
        <w:rPr>
          <w:b w:val="0"/>
          <w:noProof/>
          <w:szCs w:val="22"/>
        </w:rPr>
        <w:t>է</w:t>
      </w:r>
      <w:r w:rsidR="00BF5F43" w:rsidRPr="00BF5F43">
        <w:rPr>
          <w:b w:val="0"/>
          <w:noProof/>
          <w:szCs w:val="22"/>
          <w:lang w:val="af-ZA"/>
        </w:rPr>
        <w:t xml:space="preserve"> 26 </w:t>
      </w:r>
      <w:r w:rsidR="00BF5F43" w:rsidRPr="00BF5F43">
        <w:rPr>
          <w:b w:val="0"/>
          <w:noProof/>
          <w:szCs w:val="22"/>
        </w:rPr>
        <w:t>շնորհալի</w:t>
      </w:r>
      <w:r w:rsidR="00BF5F43" w:rsidRPr="00BF5F43">
        <w:rPr>
          <w:b w:val="0"/>
          <w:noProof/>
          <w:szCs w:val="22"/>
          <w:lang w:val="af-ZA"/>
        </w:rPr>
        <w:t xml:space="preserve"> </w:t>
      </w:r>
      <w:r w:rsidR="00BF5F43" w:rsidRPr="00BF5F43">
        <w:rPr>
          <w:b w:val="0"/>
          <w:noProof/>
          <w:szCs w:val="22"/>
        </w:rPr>
        <w:t>երեխաների</w:t>
      </w:r>
      <w:r w:rsidR="00BF5F43" w:rsidRPr="00BF5F43">
        <w:rPr>
          <w:b w:val="0"/>
          <w:noProof/>
          <w:szCs w:val="22"/>
          <w:lang w:val="af-ZA"/>
        </w:rPr>
        <w:t xml:space="preserve"> </w:t>
      </w:r>
      <w:r w:rsidR="00BF5F43" w:rsidRPr="00BF5F43">
        <w:rPr>
          <w:b w:val="0"/>
          <w:noProof/>
          <w:szCs w:val="22"/>
        </w:rPr>
        <w:t>մասնակցություն</w:t>
      </w:r>
      <w:r w:rsidR="00BF5F43" w:rsidRPr="00BF5F43">
        <w:rPr>
          <w:b w:val="0"/>
          <w:noProof/>
          <w:szCs w:val="22"/>
          <w:lang w:val="af-ZA"/>
        </w:rPr>
        <w:t>):</w:t>
      </w:r>
    </w:p>
    <w:p w14:paraId="0A6000F8"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lang w:val="en-US"/>
        </w:rPr>
        <w:t>Ծրագրի</w:t>
      </w:r>
      <w:r w:rsidRPr="00A83C94">
        <w:rPr>
          <w:b w:val="0"/>
          <w:noProof/>
          <w:szCs w:val="22"/>
          <w:lang w:val="af-ZA"/>
        </w:rPr>
        <w:t xml:space="preserve"> </w:t>
      </w:r>
      <w:r w:rsidRPr="00A83C94">
        <w:rPr>
          <w:b w:val="0"/>
          <w:noProof/>
          <w:szCs w:val="22"/>
          <w:lang w:val="en-US"/>
        </w:rPr>
        <w:t>համար</w:t>
      </w:r>
      <w:r w:rsidRPr="00A83C94">
        <w:rPr>
          <w:b w:val="0"/>
          <w:noProof/>
          <w:szCs w:val="22"/>
          <w:lang w:val="af-ZA"/>
        </w:rPr>
        <w:t xml:space="preserve"> 2022 </w:t>
      </w:r>
      <w:r w:rsidRPr="00A83C94">
        <w:rPr>
          <w:b w:val="0"/>
          <w:noProof/>
          <w:szCs w:val="22"/>
          <w:lang w:val="en-US"/>
        </w:rPr>
        <w:t>թվականին</w:t>
      </w:r>
      <w:r w:rsidRPr="00A83C94">
        <w:rPr>
          <w:b w:val="0"/>
          <w:noProof/>
          <w:szCs w:val="22"/>
          <w:lang w:val="af-ZA"/>
        </w:rPr>
        <w:t xml:space="preserve">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310.8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2021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608.1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w:t>
      </w:r>
    </w:p>
    <w:p w14:paraId="2011E4D7" w14:textId="77777777" w:rsidR="003B2C15" w:rsidRPr="00A83C94" w:rsidRDefault="003B2C15" w:rsidP="003B2C15">
      <w:pPr>
        <w:numPr>
          <w:ilvl w:val="12"/>
          <w:numId w:val="0"/>
        </w:numPr>
        <w:tabs>
          <w:tab w:val="left" w:pos="851"/>
        </w:tabs>
        <w:spacing w:line="276" w:lineRule="auto"/>
        <w:ind w:firstLine="540"/>
        <w:rPr>
          <w:b w:val="0"/>
          <w:noProof/>
          <w:szCs w:val="22"/>
          <w:lang w:val="af-ZA"/>
        </w:rPr>
      </w:pPr>
      <w:r w:rsidRPr="00A83C94">
        <w:rPr>
          <w:b w:val="0"/>
          <w:noProof/>
          <w:szCs w:val="22"/>
        </w:rPr>
        <w:t>Ծախսերը</w:t>
      </w:r>
      <w:r w:rsidRPr="00A83C94">
        <w:rPr>
          <w:b w:val="0"/>
          <w:noProof/>
          <w:szCs w:val="22"/>
          <w:lang w:val="af-ZA"/>
        </w:rPr>
        <w:t xml:space="preserve"> </w:t>
      </w:r>
      <w:r w:rsidRPr="00A83C94">
        <w:rPr>
          <w:b w:val="0"/>
          <w:noProof/>
          <w:szCs w:val="22"/>
        </w:rPr>
        <w:t>նվազել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297.3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48.9 %-</w:t>
      </w:r>
      <w:r w:rsidRPr="00A83C94">
        <w:rPr>
          <w:b w:val="0"/>
          <w:noProof/>
          <w:szCs w:val="22"/>
        </w:rPr>
        <w:t>ով</w:t>
      </w:r>
      <w:r w:rsidRPr="00A83C94">
        <w:rPr>
          <w:b w:val="0"/>
          <w:noProof/>
          <w:szCs w:val="22"/>
          <w:lang w:val="af-ZA"/>
        </w:rPr>
        <w:t xml:space="preserve">, </w:t>
      </w:r>
      <w:r w:rsidRPr="00A83C94">
        <w:rPr>
          <w:b w:val="0"/>
          <w:noProof/>
          <w:szCs w:val="22"/>
        </w:rPr>
        <w:t>որը</w:t>
      </w:r>
      <w:r w:rsidRPr="00A83C94">
        <w:rPr>
          <w:b w:val="0"/>
          <w:noProof/>
          <w:szCs w:val="22"/>
          <w:lang w:val="af-ZA"/>
        </w:rPr>
        <w:t xml:space="preserve"> </w:t>
      </w:r>
      <w:r w:rsidRPr="00A83C94">
        <w:rPr>
          <w:b w:val="0"/>
          <w:noProof/>
          <w:szCs w:val="22"/>
        </w:rPr>
        <w:t>պայմանավորված</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ծախսային</w:t>
      </w:r>
      <w:r w:rsidRPr="00A83C94">
        <w:rPr>
          <w:b w:val="0"/>
          <w:noProof/>
          <w:szCs w:val="22"/>
          <w:lang w:val="af-ZA"/>
        </w:rPr>
        <w:t xml:space="preserve"> </w:t>
      </w:r>
      <w:r w:rsidRPr="00A83C94">
        <w:rPr>
          <w:b w:val="0"/>
          <w:noProof/>
          <w:szCs w:val="22"/>
        </w:rPr>
        <w:t>գերակայություններով</w:t>
      </w:r>
      <w:r w:rsidRPr="00A83C94">
        <w:rPr>
          <w:b w:val="0"/>
          <w:noProof/>
          <w:szCs w:val="22"/>
          <w:lang w:val="af-ZA"/>
        </w:rPr>
        <w:t xml:space="preserve">, </w:t>
      </w:r>
      <w:r w:rsidRPr="00A83C94">
        <w:rPr>
          <w:b w:val="0"/>
          <w:noProof/>
          <w:szCs w:val="22"/>
        </w:rPr>
        <w:t>առաջնահերթություններով</w:t>
      </w:r>
      <w:r w:rsidRPr="00A83C94">
        <w:rPr>
          <w:b w:val="0"/>
          <w:noProof/>
          <w:szCs w:val="22"/>
          <w:lang w:val="af-ZA"/>
        </w:rPr>
        <w:t>:</w:t>
      </w:r>
    </w:p>
    <w:p w14:paraId="270C6DE7" w14:textId="4725C8A1" w:rsidR="003B2C15" w:rsidRPr="00A83C94" w:rsidRDefault="003B2C15" w:rsidP="003B2C15">
      <w:pPr>
        <w:numPr>
          <w:ilvl w:val="12"/>
          <w:numId w:val="0"/>
        </w:numPr>
        <w:tabs>
          <w:tab w:val="left" w:pos="851"/>
        </w:tabs>
        <w:spacing w:line="276" w:lineRule="auto"/>
        <w:ind w:firstLine="540"/>
        <w:rPr>
          <w:noProof/>
          <w:szCs w:val="22"/>
          <w:lang w:val="af-ZA"/>
        </w:rPr>
      </w:pPr>
      <w:r w:rsidRPr="00A83C94">
        <w:rPr>
          <w:noProof/>
          <w:szCs w:val="22"/>
        </w:rPr>
        <w:t>Ֆիզիկական</w:t>
      </w:r>
      <w:r w:rsidRPr="00A83C94">
        <w:rPr>
          <w:noProof/>
          <w:szCs w:val="22"/>
          <w:lang w:val="af-ZA"/>
        </w:rPr>
        <w:t xml:space="preserve"> </w:t>
      </w:r>
      <w:r w:rsidRPr="00A83C94">
        <w:rPr>
          <w:noProof/>
          <w:szCs w:val="22"/>
        </w:rPr>
        <w:t>կուլտուրա</w:t>
      </w:r>
      <w:r w:rsidRPr="00A83C94">
        <w:rPr>
          <w:noProof/>
          <w:szCs w:val="22"/>
          <w:lang w:val="af-ZA"/>
        </w:rPr>
        <w:t xml:space="preserve"> </w:t>
      </w:r>
      <w:r w:rsidRPr="00A83C94">
        <w:rPr>
          <w:noProof/>
          <w:szCs w:val="22"/>
        </w:rPr>
        <w:t>և</w:t>
      </w:r>
      <w:r w:rsidRPr="00A83C94">
        <w:rPr>
          <w:noProof/>
          <w:szCs w:val="22"/>
          <w:lang w:val="af-ZA"/>
        </w:rPr>
        <w:t xml:space="preserve"> </w:t>
      </w:r>
      <w:r w:rsidRPr="00A83C94">
        <w:rPr>
          <w:noProof/>
          <w:szCs w:val="22"/>
        </w:rPr>
        <w:t>սպորտ</w:t>
      </w:r>
    </w:p>
    <w:p w14:paraId="22E1031F" w14:textId="77777777" w:rsidR="003B2C15" w:rsidRPr="00A83C94" w:rsidRDefault="003B2C15" w:rsidP="003B2C15">
      <w:pPr>
        <w:spacing w:line="276" w:lineRule="auto"/>
        <w:ind w:left="-142" w:firstLine="682"/>
        <w:rPr>
          <w:b w:val="0"/>
          <w:szCs w:val="22"/>
          <w:lang w:val="hy-AM"/>
        </w:rPr>
      </w:pPr>
      <w:r w:rsidRPr="00A83C94">
        <w:rPr>
          <w:b w:val="0"/>
          <w:szCs w:val="22"/>
          <w:lang w:val="hy-AM"/>
        </w:rPr>
        <w:t xml:space="preserve">Սպորտի ոլորտում պետական քաղաքականությունն ուղղված է առողջ ապրելակերպի խթանմանը՝ մասսայական սպորտային միջոցառումներում բնակչության տարիքային և սոցիալական տարբեր խմբեր ներգրավելու միջոցով, ինչպես նաև սպորտի ոլորտում ՀՀ միջազգային հեղինակության բարձրացմանը՝ միջազգային և տեղական մրցումներին հայ մարզիկների մասնակցության ընդլայնման միջոցով </w:t>
      </w:r>
      <w:r w:rsidRPr="00A83C94">
        <w:rPr>
          <w:b w:val="0"/>
          <w:noProof/>
          <w:szCs w:val="22"/>
          <w:lang w:val="hy-AM"/>
        </w:rPr>
        <w:t>(հիմք՝ ՀՀ կառավարության ծրագրի «4.8 Սպորտ» բաժին)</w:t>
      </w:r>
      <w:r w:rsidRPr="00A83C94">
        <w:rPr>
          <w:b w:val="0"/>
          <w:szCs w:val="22"/>
          <w:lang w:val="hy-AM"/>
        </w:rPr>
        <w:t xml:space="preserve">: </w:t>
      </w:r>
    </w:p>
    <w:p w14:paraId="2D418BB0"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xml:space="preserve">Սպորտի համար 2022 թվականին նախատեսվում է հատկացնել 5,644.4 մլն դրամ՝ ՀՀ 2021 թվականի պետական բյուջեով հաստատված 2,726.5 մլն դրամի դիմաց: Ծախսերն աճել են 2,917.9 մլն դրամով, կամ 107.0 տոկոսով: </w:t>
      </w:r>
    </w:p>
    <w:p w14:paraId="4698A718"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Նախագծով սպորտի համար նախատեսված  հատկացումներն ուղղվելու են 2 ծրագրերի իրականացմանը:</w:t>
      </w:r>
    </w:p>
    <w:p w14:paraId="694F1A7C" w14:textId="0922BCB4"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noProof/>
          <w:szCs w:val="22"/>
          <w:lang w:val="hy-AM"/>
        </w:rPr>
        <w:t xml:space="preserve">Մեծ  նվաճումների սպորտ </w:t>
      </w:r>
      <w:r w:rsidRPr="00A83C94">
        <w:rPr>
          <w:b w:val="0"/>
          <w:noProof/>
          <w:szCs w:val="22"/>
          <w:lang w:val="hy-AM"/>
        </w:rPr>
        <w:t>ծրագրի նպատակն է նպաստել Հայաստանում մեծ սպորտի շարունակական զարգացմանը և միջազգային հարթակներում ՀՀ դիրքի բարելավմանը:</w:t>
      </w:r>
    </w:p>
    <w:p w14:paraId="1AB7EDED" w14:textId="5639D310" w:rsidR="003B2C15" w:rsidRPr="00BF5F43"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Ծրագրի շրջանակներում հատկացումներն ուղղվելու են օլիմպիական խաղերին, միջազգային տարբեր մակարդակի միջոցառումներին, ուսումնամարզական հավաքներին, hանրապետական առաջնություններին Հայաստանի հավաքական թիմերի մասնակցության ապահովմանը, աշխարհի, Եվրոպայի առաջնություններում հաղթողների և մրցանակակիրների պարգևատրման ծախսերի իրականացմանը, ՀՀ հավաքական թիմերի գլխավոր և ավագ մարզիչների վարձատրությանը և աշխարհի չեմպիոններին, օլիմպիական խաղերի և շախմատի համաշխարհային օլիմպիադայի մրցանակակիրներին պատվովճարի,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հատկացմանը, շախմատիստների պատրաստմանը, հաշմանդամային և նավամոդելային սպորտին աջակցմանը, սպորտային բժշկության և հակադոպինգային հսկողության և շախմատի մրցույթների պատրաստման ծառայությունների իրականացմանը</w:t>
      </w:r>
      <w:r w:rsidR="00BF5F43" w:rsidRPr="00BF5F43">
        <w:rPr>
          <w:b w:val="0"/>
          <w:noProof/>
          <w:szCs w:val="22"/>
          <w:lang w:val="hy-AM"/>
        </w:rPr>
        <w:t xml:space="preserve"> (ՀՀ առաջնությունների և միջազգային մարզական միջոցառումների մասնակիցների թիվը նախատեսվում է համապատասխանաբար՝ 9700 և 2250, իսկ միջազգային մարզական միջոցառումներում նվաճաց մեդալների թիվը կանխատեսվում է 180)</w:t>
      </w:r>
      <w:r w:rsidRPr="00BF5F43">
        <w:rPr>
          <w:b w:val="0"/>
          <w:noProof/>
          <w:szCs w:val="22"/>
          <w:lang w:val="hy-AM"/>
        </w:rPr>
        <w:t xml:space="preserve">: </w:t>
      </w:r>
    </w:p>
    <w:p w14:paraId="1D2F5FA3"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Մեծ նվաճումների սպորտ» ծրագրի համար 2022 թվականին նախատեսվում է հատկացնել 2,771.1 մլն դրամ՝ ՀՀ 2021 թվականի պետական բյուջեով հաստատված 2,495.6 մլն դրամի դիմաց:</w:t>
      </w:r>
    </w:p>
    <w:p w14:paraId="3D74AF1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xml:space="preserve"> Ծախսերն աճել են 275.5 մլն դրամով, կամ 11.0 %-ով, որը պայմանավորված է.</w:t>
      </w:r>
    </w:p>
    <w:p w14:paraId="406D7B51"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w:t>
      </w:r>
      <w:r w:rsidRPr="00A83C94">
        <w:rPr>
          <w:b w:val="0"/>
          <w:szCs w:val="22"/>
          <w:lang w:val="hy-AM"/>
        </w:rPr>
        <w:t xml:space="preserve"> </w:t>
      </w:r>
      <w:r w:rsidRPr="00A83C94">
        <w:rPr>
          <w:b w:val="0"/>
          <w:noProof/>
          <w:szCs w:val="22"/>
          <w:lang w:val="hy-AM"/>
        </w:rPr>
        <w:t>ՀՀ հավաքական թիմերի գլխավոր և ավագ մարզիչների վարձատրություն և աշխարհի չեմպիոններին, օլիմպիական խաղերի և շախմատի համաշխարհային օլիմպիադայի մրցանակակիրներին պատվովճարի հատկացում» և Օլիմպիական խաղերում, աշխարհի և Եվրոպայի առաջնություններում բարձր արդյունքների հասած ՀՀ հավաքական թիմերի մարզիկներին և նրանց մարզիչներին անվանական թոշակի հատկացում» միջոցառումների ծախսերի աճով, համապատասխանաբար՝ 19.4 և 467.3 մլն դրամով (ՀՀ կառավարության 16.09.2021թվականի N 1493-Ն և N 1526-Ն որոշումներով ավելացել են օլիմպիական խաղերի մրցանակակիրների պատվովճարի և Օլիմպիական խաղերում, աշխարհի և Եվրոպայի առաջնություններում բարձր արդյունքների հասած ՀՀ հավաքական թիմերի մարզիկների և նրանց մարզիչների անվանական թոշակի չափերը),</w:t>
      </w:r>
    </w:p>
    <w:p w14:paraId="43209F3A"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«ՀՀ հավաքական թիմերի մարզիկների ֆունկցիոնալ վիճակի արդյունավետության բարձրացման նպատակով վիտամինիզացիայի և չարգելված սպորտային հավելյալ սնունդով ապահովում» և «ՀՀ հավաքական թիմերի մարզիկների արդյունավետության բարձրացում» միջոցառումների նախատեսմամբ համապատասխանաբար՝ 40.0 և 4.0 մլն դրամ,</w:t>
      </w:r>
    </w:p>
    <w:p w14:paraId="558954E0"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Ադապտիվ սպորտին առնչվող ծառայությունների ծախսերի աճով՝ 8.5 մլն դրամով, կապված միջոցառումների թվի ավելացման հետ,</w:t>
      </w:r>
    </w:p>
    <w:p w14:paraId="108A094B"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Միաժամանակ ծախսերը նվազել են՝ 263.7 մլն դրամով, որը պայմանավորված է.</w:t>
      </w:r>
    </w:p>
    <w:p w14:paraId="1A9335A6"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սպորտային միջոցառումների անցկացման ժամանակացույցով պայմանավորված ծախսերի նվազմամբ` 253.7 մլն դրամով,</w:t>
      </w:r>
    </w:p>
    <w:p w14:paraId="1C7DEC03"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Ծախսային գերակայություններով, առաջնահերթություններով պայմանավորված՝ 9.9 մլն դրամով:</w:t>
      </w:r>
    </w:p>
    <w:p w14:paraId="25D3E63D" w14:textId="427570E7" w:rsidR="003B2C15" w:rsidRPr="00A83C94" w:rsidRDefault="002D2E24" w:rsidP="003B2C15">
      <w:pPr>
        <w:numPr>
          <w:ilvl w:val="12"/>
          <w:numId w:val="0"/>
        </w:numPr>
        <w:tabs>
          <w:tab w:val="left" w:pos="851"/>
        </w:tabs>
        <w:spacing w:line="276" w:lineRule="auto"/>
        <w:ind w:firstLine="540"/>
        <w:rPr>
          <w:b w:val="0"/>
          <w:noProof/>
          <w:szCs w:val="22"/>
          <w:lang w:val="hy-AM"/>
        </w:rPr>
      </w:pPr>
      <w:r w:rsidRPr="00A83C94">
        <w:rPr>
          <w:noProof/>
          <w:szCs w:val="22"/>
          <w:lang w:val="hy-AM"/>
        </w:rPr>
        <w:t>Մասսայական սպորտ</w:t>
      </w:r>
      <w:r w:rsidR="003B2C15" w:rsidRPr="00A83C94">
        <w:rPr>
          <w:noProof/>
          <w:szCs w:val="22"/>
          <w:lang w:val="hy-AM"/>
        </w:rPr>
        <w:t xml:space="preserve"> </w:t>
      </w:r>
      <w:r w:rsidR="003B2C15" w:rsidRPr="00A83C94">
        <w:rPr>
          <w:b w:val="0"/>
          <w:noProof/>
          <w:szCs w:val="22"/>
          <w:lang w:val="hy-AM"/>
        </w:rPr>
        <w:t>ծրագրի նպատակն է ապահովել բնակչության շրջանում առողջ ապրելակերպի արմատավորումը, անհատի բազմակողմանի ու ներդաշնակ զարգացման գործում ֆիզիկական կուլտուրայի և սպորտի դերի բարձրացումը:</w:t>
      </w:r>
    </w:p>
    <w:p w14:paraId="4D348003" w14:textId="042843E7" w:rsidR="003B2C15" w:rsidRPr="00BF5F43"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Ծրագրի շրջանակներում հատկացումներն ուղղվելու են  մասսայական սպորտի 1 գոյություն ունեցող և 7 նոր միջոցառումների իրականացմանը</w:t>
      </w:r>
      <w:r w:rsidR="00BF5F43" w:rsidRPr="00BF5F43">
        <w:rPr>
          <w:b w:val="0"/>
          <w:noProof/>
          <w:szCs w:val="22"/>
          <w:lang w:val="hy-AM"/>
        </w:rPr>
        <w:t xml:space="preserve"> (մասսայական սպորտային միջոցառումներին նախատեսվում է 70 համայնքների մասնակցություն):</w:t>
      </w:r>
    </w:p>
    <w:p w14:paraId="721FC25C"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Մասսայական սպորտ» ծրագրի համար 2022 թվականին նախատեսվում է հատկացնել 2,873.3 մլն դրամ ՝ ՀՀ 2021 թվականի պետական բյուջեով հաստատված 230.9 մլն դրամի դիմաց:</w:t>
      </w:r>
    </w:p>
    <w:p w14:paraId="47704A5E" w14:textId="5F778608"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Ծախսերն աճել են 2,642.4 մլն դրամով, որը պայմանավորված է.</w:t>
      </w:r>
    </w:p>
    <w:p w14:paraId="39E1D73C" w14:textId="5013F93F"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w:t>
      </w:r>
      <w:r w:rsidR="00E944CA" w:rsidRPr="00E944CA">
        <w:rPr>
          <w:b w:val="0"/>
          <w:noProof/>
          <w:szCs w:val="22"/>
          <w:lang w:val="hy-AM"/>
        </w:rPr>
        <w:t xml:space="preserve"> </w:t>
      </w:r>
      <w:r w:rsidRPr="00A83C94">
        <w:rPr>
          <w:b w:val="0"/>
          <w:noProof/>
          <w:szCs w:val="22"/>
          <w:lang w:val="hy-AM"/>
        </w:rPr>
        <w:t>Աջակցություն համայնքներին մարզական հաստատությունների շենքային պայմանների բարելավման համար» և</w:t>
      </w:r>
      <w:r w:rsidRPr="00A83C94">
        <w:rPr>
          <w:b w:val="0"/>
          <w:szCs w:val="22"/>
          <w:lang w:val="hy-AM"/>
        </w:rPr>
        <w:t xml:space="preserve"> </w:t>
      </w:r>
      <w:r w:rsidRPr="00A83C94">
        <w:rPr>
          <w:b w:val="0"/>
          <w:noProof/>
          <w:szCs w:val="22"/>
          <w:lang w:val="hy-AM"/>
        </w:rPr>
        <w:t xml:space="preserve">Մարզական օբյեկտների շինարարություն» նոր միջոցառումների նախատեսմամբ համապատասխանաբար՝ 1,109.6 և 1,581.6 մլն դրամ (նախատեսվում </w:t>
      </w:r>
      <w:r w:rsidR="0046026E" w:rsidRPr="00163138">
        <w:rPr>
          <w:b w:val="0"/>
          <w:noProof/>
          <w:szCs w:val="22"/>
          <w:lang w:val="hy-AM"/>
        </w:rPr>
        <w:t>են</w:t>
      </w:r>
      <w:r w:rsidRPr="00A83C94">
        <w:rPr>
          <w:b w:val="0"/>
          <w:noProof/>
          <w:szCs w:val="22"/>
          <w:lang w:val="hy-AM"/>
        </w:rPr>
        <w:t xml:space="preserve"> Արթուր Ալեքսանյանի անվան հունահռոմեական ըմբշամարտի մանկապատանեկան դպրոցի և 3 մարզական օբյեկտների շինարարական աշխատանքներ): </w:t>
      </w:r>
    </w:p>
    <w:p w14:paraId="280ADF88"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Միաժամանակ ծախսերը նվազել են 48.8 մլն դրամով, որը պայմանավորված է.</w:t>
      </w:r>
    </w:p>
    <w:p w14:paraId="442E29DD"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Ընթացիկ ծրագրերի գծով 12 գոյություն ունեցող միջոցառումների փոխարեն 5 նոր միջոցառումների նախատեսմամբ, որի արդյունքում  ծախսերը նվազել են՝ 33.8 մլն դրամով,</w:t>
      </w:r>
    </w:p>
    <w:p w14:paraId="3A08EBBC"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 Համաշխարհային ունիվերսիադային Հայաստանի ուսանողական մարզական պատվիրակության մասնակցության ապահովում» միջոցառման ծախսերի նվազմամբ՝ 15.0 մլն դրամով:</w:t>
      </w:r>
    </w:p>
    <w:p w14:paraId="03486D15" w14:textId="77777777" w:rsidR="003B2C15" w:rsidRPr="00A83C94" w:rsidRDefault="003B2C15" w:rsidP="003B2C15">
      <w:pPr>
        <w:spacing w:beforeLines="60" w:before="144" w:afterLines="60" w:after="144" w:line="276" w:lineRule="auto"/>
        <w:ind w:firstLine="708"/>
        <w:rPr>
          <w:b w:val="0"/>
          <w:noProof/>
          <w:szCs w:val="22"/>
          <w:lang w:val="hy-AM"/>
        </w:rPr>
      </w:pPr>
      <w:r w:rsidRPr="00A83C94">
        <w:rPr>
          <w:b w:val="0"/>
          <w:noProof/>
          <w:szCs w:val="22"/>
          <w:lang w:val="hy-AM"/>
        </w:rPr>
        <w:t xml:space="preserve">Ծրագրի շրջանակներում նախատեսվող նոր միջոցառումներն են՝ «Հայաստանի Հանրապետության Վարչապետի գավաթ» սիրողական խճուղային հեծանվավազքի մրցաշարի անցկացում», «Հայաստանի Հանրապետության Վարչապետի գավաթ» սիրողական սեղանի թենիսի մրցաշարի անցկացում», «Հայաստանի Հանրապետության Վարչապետի գավաթ» սիրողական լողի մրցումների անցկացում», «Հայաստանի Հանրապետության Վարչապետի գավաթ» սիրողական լողի մրցումների անցկացում», «Հայաստանի Հանրապետության Վարչապետի գավաթ» կրոսավազքի մրցաշարի անցկացում», նշված միջոցառումների շահառուներն են՝ 18 տարեկան և  բարձր տարիքի տղամարդիկ և կանայք: </w:t>
      </w:r>
    </w:p>
    <w:p w14:paraId="0C8D73AE" w14:textId="77777777" w:rsidR="003B2C15" w:rsidRPr="00A83C94" w:rsidRDefault="003B2C15" w:rsidP="003B2C15">
      <w:pPr>
        <w:spacing w:beforeLines="60" w:before="144" w:afterLines="60" w:after="144" w:line="276" w:lineRule="auto"/>
        <w:ind w:firstLine="708"/>
        <w:rPr>
          <w:b w:val="0"/>
          <w:noProof/>
          <w:szCs w:val="22"/>
          <w:lang w:val="hy-AM"/>
        </w:rPr>
      </w:pPr>
      <w:r w:rsidRPr="00A83C94">
        <w:rPr>
          <w:b w:val="0"/>
          <w:noProof/>
          <w:szCs w:val="22"/>
          <w:lang w:val="hy-AM"/>
        </w:rPr>
        <w:t>Բացի այդ, «Մասսայական սպորտին առնչվող ծառայություններ» միջոցառման շրջանակներում նախատեսվում է իրականացնել 4 միջոցառում:</w:t>
      </w:r>
    </w:p>
    <w:p w14:paraId="299BA4C5" w14:textId="05DCE50F"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noProof/>
          <w:szCs w:val="22"/>
          <w:lang w:val="hy-AM"/>
        </w:rPr>
        <w:t xml:space="preserve">Երիտասարդության </w:t>
      </w:r>
      <w:r w:rsidRPr="00A83C94">
        <w:rPr>
          <w:b w:val="0"/>
          <w:noProof/>
          <w:szCs w:val="22"/>
          <w:lang w:val="hy-AM"/>
        </w:rPr>
        <w:t>ծրագրի նպատակն է նպաստել սոցիալ-տնտեսական, քաղաքական և մշակութային կյանքին երիտասարդների լիարժեք ներգրավմանը և նրանց ստեղծագործական ներուժի ամբողջական դրսևորմանը</w:t>
      </w:r>
      <w:r w:rsidRPr="00A83C94">
        <w:rPr>
          <w:b w:val="0"/>
          <w:szCs w:val="22"/>
          <w:lang w:val="af-ZA"/>
        </w:rPr>
        <w:t xml:space="preserve"> </w:t>
      </w:r>
      <w:r w:rsidRPr="00A83C94">
        <w:rPr>
          <w:b w:val="0"/>
          <w:noProof/>
          <w:szCs w:val="22"/>
          <w:lang w:val="hy-AM"/>
        </w:rPr>
        <w:t>(հիմք՝ ՀՀ կառավարության «4.7 Երիտասարդություն» բաժին):</w:t>
      </w:r>
    </w:p>
    <w:p w14:paraId="530CD9C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Ծրագրի շրջանակներում հատկացումներն ուղղվելու են երիտասարդական պետական քաղաքականությանն ուղղված ծրագրերի և միջոցառումների, «ՀՀ տարվա երիտասարդական մայրաքաղաք» միջոցառման, երիտասարդական ծրագրերի շրջանակներում թրաֆիքինգի դեմ պայքարի միջոցառումների իրականացմանը, երիտասարդ ընտանիքներին աջակցմանը:</w:t>
      </w:r>
    </w:p>
    <w:p w14:paraId="2F0B3EB6"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Երիտասարդության ծրագրի համար 2022 թվականին նախատեսվում է հատկացնել 1,906.1 մլն դրամ՝ ՀՀ 2021 թվականի պետական բյուջեով հաստատված 1,846.5 մլն դրամի դիմաց:</w:t>
      </w:r>
    </w:p>
    <w:p w14:paraId="5D7189B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Ծախսերն աճել են 59.6 մլն դրամով, կամ 3.2 %-ով, որը պայմանավորված է.</w:t>
      </w:r>
    </w:p>
    <w:p w14:paraId="67BCCA6E" w14:textId="6AD3F3B0"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Աջակցություն երիտասարդ ընտանիքներին» միջոցառման ծախսերի աճով՝ 136.6 մլն դրամով (սուբսիդավորվող ընտանիքների թիվ</w:t>
      </w:r>
      <w:r w:rsidR="00A66BA2" w:rsidRPr="00A83C94">
        <w:rPr>
          <w:b w:val="0"/>
          <w:noProof/>
          <w:szCs w:val="22"/>
          <w:lang w:val="hy-AM"/>
        </w:rPr>
        <w:t>ը կկազմի 7335</w:t>
      </w:r>
      <w:r w:rsidRPr="00A83C94">
        <w:rPr>
          <w:b w:val="0"/>
          <w:noProof/>
          <w:szCs w:val="22"/>
          <w:lang w:val="hy-AM"/>
        </w:rPr>
        <w:t>:</w:t>
      </w:r>
    </w:p>
    <w:p w14:paraId="50AECA75" w14:textId="77777777" w:rsidR="003B2C15" w:rsidRPr="00A83C94" w:rsidRDefault="003B2C15" w:rsidP="003B2C15">
      <w:pPr>
        <w:numPr>
          <w:ilvl w:val="12"/>
          <w:numId w:val="0"/>
        </w:numPr>
        <w:tabs>
          <w:tab w:val="left" w:pos="851"/>
        </w:tabs>
        <w:spacing w:line="276" w:lineRule="auto"/>
        <w:ind w:firstLine="540"/>
        <w:rPr>
          <w:b w:val="0"/>
          <w:noProof/>
          <w:szCs w:val="22"/>
          <w:lang w:val="hy-AM"/>
        </w:rPr>
      </w:pPr>
      <w:r w:rsidRPr="00A83C94">
        <w:rPr>
          <w:b w:val="0"/>
          <w:noProof/>
          <w:szCs w:val="22"/>
          <w:lang w:val="hy-AM"/>
        </w:rPr>
        <w:t>Միաժամանակ, ծախսերը նվազել են՝ 77.0 մլն դրամով, որը պայմանավորված է ծախսային գերակայություններով, առաջնահերթություններով:</w:t>
      </w:r>
    </w:p>
    <w:p w14:paraId="39530A32" w14:textId="77777777" w:rsidR="00437B7A" w:rsidRPr="00A83C94" w:rsidRDefault="00437B7A" w:rsidP="007C65A5">
      <w:pPr>
        <w:numPr>
          <w:ilvl w:val="12"/>
          <w:numId w:val="0"/>
        </w:numPr>
        <w:tabs>
          <w:tab w:val="left" w:pos="851"/>
        </w:tabs>
        <w:spacing w:line="276" w:lineRule="auto"/>
        <w:ind w:left="-142" w:firstLine="540"/>
        <w:rPr>
          <w:noProof/>
          <w:szCs w:val="22"/>
          <w:lang w:val="hy-AM"/>
        </w:rPr>
      </w:pPr>
    </w:p>
    <w:p w14:paraId="1CA8292E" w14:textId="71A6A805" w:rsidR="009506DE" w:rsidRPr="00A83C94" w:rsidRDefault="00640206" w:rsidP="002F7255">
      <w:pPr>
        <w:pStyle w:val="Heading3"/>
        <w:rPr>
          <w:noProof/>
        </w:rPr>
      </w:pPr>
      <w:bookmarkStart w:id="306" w:name="_Toc526009805"/>
      <w:bookmarkEnd w:id="304"/>
      <w:r w:rsidRPr="00A83C94">
        <w:rPr>
          <w:noProof/>
        </w:rPr>
        <w:tab/>
      </w:r>
      <w:bookmarkStart w:id="307" w:name="_Toc89428315"/>
      <w:r w:rsidR="009506DE" w:rsidRPr="00A83C94">
        <w:rPr>
          <w:noProof/>
        </w:rPr>
        <w:t>ՀՀ աշխատանքի և սոցիալական հարցերի նախարարություն</w:t>
      </w:r>
      <w:bookmarkEnd w:id="306"/>
      <w:bookmarkEnd w:id="307"/>
      <w:r w:rsidR="009506DE" w:rsidRPr="00A83C94">
        <w:rPr>
          <w:noProof/>
        </w:rPr>
        <w:t xml:space="preserve"> </w:t>
      </w:r>
    </w:p>
    <w:p w14:paraId="206A47E0" w14:textId="35A594AB" w:rsidR="0066585C" w:rsidRPr="00A83C94" w:rsidRDefault="00910AA5" w:rsidP="0066585C">
      <w:pPr>
        <w:spacing w:line="276" w:lineRule="auto"/>
        <w:rPr>
          <w:b w:val="0"/>
          <w:i/>
          <w:color w:val="191919"/>
          <w:szCs w:val="22"/>
          <w:shd w:val="clear" w:color="auto" w:fill="FFFFFF"/>
          <w:lang w:val="hy-AM"/>
        </w:rPr>
      </w:pPr>
      <w:r w:rsidRPr="00A83C94">
        <w:rPr>
          <w:b w:val="0"/>
          <w:color w:val="000000"/>
          <w:szCs w:val="22"/>
          <w:lang w:val="hy-AM" w:eastAsia="en-US"/>
        </w:rPr>
        <w:t xml:space="preserve">ՀՀ </w:t>
      </w:r>
      <w:r w:rsidRPr="00A83C94">
        <w:rPr>
          <w:b w:val="0"/>
          <w:color w:val="191919"/>
          <w:szCs w:val="22"/>
          <w:shd w:val="clear" w:color="auto" w:fill="FFFFFF"/>
          <w:lang w:val="hy-AM"/>
        </w:rPr>
        <w:t>աշխատանքի</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և</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սոցիալական</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հարցերի</w:t>
      </w:r>
      <w:r w:rsidRPr="00A83C94">
        <w:rPr>
          <w:b w:val="0"/>
          <w:color w:val="191919"/>
          <w:szCs w:val="22"/>
          <w:shd w:val="clear" w:color="auto" w:fill="FFFFFF"/>
          <w:lang w:val="fr-FR"/>
        </w:rPr>
        <w:t xml:space="preserve"> </w:t>
      </w:r>
      <w:r w:rsidRPr="00A83C94">
        <w:rPr>
          <w:b w:val="0"/>
          <w:color w:val="191919"/>
          <w:szCs w:val="22"/>
          <w:shd w:val="clear" w:color="auto" w:fill="FFFFFF"/>
          <w:lang w:val="hy-AM"/>
        </w:rPr>
        <w:t xml:space="preserve">նախարարության </w:t>
      </w:r>
      <w:r w:rsidRPr="00A83C94">
        <w:rPr>
          <w:b w:val="0"/>
          <w:color w:val="000000"/>
          <w:szCs w:val="22"/>
          <w:lang w:val="hy-AM" w:eastAsia="en-US"/>
        </w:rPr>
        <w:t xml:space="preserve">գծով ՀՀ 2022 թվականի պետական բյուջեի նախագծով </w:t>
      </w:r>
      <w:r w:rsidR="0066585C" w:rsidRPr="00A83C94">
        <w:rPr>
          <w:b w:val="0"/>
          <w:color w:val="191919"/>
          <w:szCs w:val="22"/>
          <w:shd w:val="clear" w:color="auto" w:fill="FFFFFF"/>
          <w:lang w:val="hy-AM"/>
        </w:rPr>
        <w:t>նախատես</w:t>
      </w:r>
      <w:r w:rsidR="0066585C" w:rsidRPr="00A83C94">
        <w:rPr>
          <w:b w:val="0"/>
          <w:color w:val="191919"/>
          <w:szCs w:val="22"/>
          <w:shd w:val="clear" w:color="auto" w:fill="FFFFFF"/>
          <w:lang w:val="hy-AM"/>
        </w:rPr>
        <w:softHyphen/>
        <w:t xml:space="preserve">վում է </w:t>
      </w:r>
      <w:r w:rsidR="0066585C" w:rsidRPr="00A83C94">
        <w:rPr>
          <w:b w:val="0"/>
          <w:color w:val="191919"/>
          <w:szCs w:val="22"/>
          <w:shd w:val="clear" w:color="auto" w:fill="FFFFFF"/>
          <w:lang w:val="fr-FR"/>
        </w:rPr>
        <w:t>57</w:t>
      </w:r>
      <w:r w:rsidR="009A0F65" w:rsidRPr="00A83C94">
        <w:rPr>
          <w:b w:val="0"/>
          <w:color w:val="191919"/>
          <w:szCs w:val="22"/>
          <w:shd w:val="clear" w:color="auto" w:fill="FFFFFF"/>
          <w:lang w:val="hy-AM"/>
        </w:rPr>
        <w:t>9</w:t>
      </w:r>
      <w:r w:rsidR="0066585C" w:rsidRPr="00A83C94">
        <w:rPr>
          <w:b w:val="0"/>
          <w:color w:val="191919"/>
          <w:szCs w:val="22"/>
          <w:shd w:val="clear" w:color="auto" w:fill="FFFFFF"/>
          <w:lang w:val="fr-FR"/>
        </w:rPr>
        <w:t>,</w:t>
      </w:r>
      <w:r w:rsidR="004E6E00" w:rsidRPr="002526E9">
        <w:rPr>
          <w:b w:val="0"/>
          <w:color w:val="191919"/>
          <w:szCs w:val="22"/>
          <w:shd w:val="clear" w:color="auto" w:fill="FFFFFF"/>
          <w:lang w:val="af-ZA"/>
        </w:rPr>
        <w:t>77</w:t>
      </w:r>
      <w:r w:rsidR="00093B64">
        <w:rPr>
          <w:b w:val="0"/>
          <w:color w:val="191919"/>
          <w:szCs w:val="22"/>
          <w:shd w:val="clear" w:color="auto" w:fill="FFFFFF"/>
          <w:lang w:val="af-ZA"/>
        </w:rPr>
        <w:t>9</w:t>
      </w:r>
      <w:r w:rsidR="004E6E00" w:rsidRPr="002526E9">
        <w:rPr>
          <w:b w:val="0"/>
          <w:color w:val="191919"/>
          <w:szCs w:val="22"/>
          <w:shd w:val="clear" w:color="auto" w:fill="FFFFFF"/>
          <w:lang w:val="af-ZA"/>
        </w:rPr>
        <w:t>.</w:t>
      </w:r>
      <w:r w:rsidR="00093B64">
        <w:rPr>
          <w:b w:val="0"/>
          <w:color w:val="191919"/>
          <w:szCs w:val="22"/>
          <w:shd w:val="clear" w:color="auto" w:fill="FFFFFF"/>
          <w:lang w:val="af-ZA"/>
        </w:rPr>
        <w:t>0</w:t>
      </w:r>
      <w:r w:rsidR="0066585C" w:rsidRPr="00A83C94">
        <w:rPr>
          <w:b w:val="0"/>
          <w:color w:val="191919"/>
          <w:szCs w:val="22"/>
          <w:shd w:val="clear" w:color="auto" w:fill="FFFFFF"/>
          <w:lang w:val="fr-FR"/>
        </w:rPr>
        <w:t xml:space="preserve"> մլն</w:t>
      </w:r>
      <w:r w:rsidR="0066585C" w:rsidRPr="00A83C94">
        <w:rPr>
          <w:b w:val="0"/>
          <w:color w:val="191919"/>
          <w:szCs w:val="22"/>
          <w:shd w:val="clear" w:color="auto" w:fill="FFFFFF"/>
          <w:lang w:val="hy-AM"/>
        </w:rPr>
        <w:t xml:space="preserve"> դրամ</w:t>
      </w:r>
      <w:r w:rsidR="00DA7C3D" w:rsidRPr="00A83C94">
        <w:rPr>
          <w:b w:val="0"/>
          <w:color w:val="191919"/>
          <w:szCs w:val="22"/>
          <w:shd w:val="clear" w:color="auto" w:fill="FFFFFF"/>
          <w:lang w:val="en-US"/>
        </w:rPr>
        <w:t>ի</w:t>
      </w:r>
      <w:r w:rsidR="00DA7C3D" w:rsidRPr="00A83C94">
        <w:rPr>
          <w:b w:val="0"/>
          <w:color w:val="191919"/>
          <w:szCs w:val="22"/>
          <w:shd w:val="clear" w:color="auto" w:fill="FFFFFF"/>
          <w:lang w:val="af-ZA"/>
        </w:rPr>
        <w:t xml:space="preserve"> </w:t>
      </w:r>
      <w:r w:rsidR="00DA7C3D" w:rsidRPr="00A83C94">
        <w:rPr>
          <w:b w:val="0"/>
          <w:color w:val="191919"/>
          <w:szCs w:val="22"/>
          <w:shd w:val="clear" w:color="auto" w:fill="FFFFFF"/>
          <w:lang w:val="en-US"/>
        </w:rPr>
        <w:t>ծախսեր</w:t>
      </w:r>
      <w:r w:rsidR="0066585C" w:rsidRPr="00A83C94">
        <w:rPr>
          <w:b w:val="0"/>
          <w:color w:val="191919"/>
          <w:szCs w:val="22"/>
          <w:shd w:val="clear" w:color="auto" w:fill="FFFFFF"/>
          <w:lang w:val="hy-AM"/>
        </w:rPr>
        <w:t xml:space="preserve"> </w:t>
      </w:r>
      <w:r w:rsidR="005D36B9" w:rsidRPr="00A83C94">
        <w:rPr>
          <w:b w:val="0"/>
          <w:color w:val="000000"/>
          <w:szCs w:val="22"/>
          <w:lang w:val="hy-AM" w:eastAsia="en-US"/>
        </w:rPr>
        <w:t>(ներառյալ կառավարման ապարատի պահպանման ծախսերը)</w:t>
      </w:r>
      <w:r w:rsidR="0066585C" w:rsidRPr="00A83C94">
        <w:rPr>
          <w:b w:val="0"/>
          <w:color w:val="191919"/>
          <w:szCs w:val="22"/>
          <w:shd w:val="clear" w:color="auto" w:fill="FFFFFF"/>
          <w:lang w:val="hy-AM"/>
        </w:rPr>
        <w:t>¸ որի շրջանակներում նախատեսվում է իրականացնել հետևյալ ծրագրերը.</w:t>
      </w:r>
    </w:p>
    <w:p w14:paraId="285419BE" w14:textId="58E6930F" w:rsidR="0066585C" w:rsidRPr="00A83C94" w:rsidRDefault="0066585C" w:rsidP="0066585C">
      <w:pPr>
        <w:spacing w:line="276" w:lineRule="auto"/>
        <w:rPr>
          <w:b w:val="0"/>
          <w:color w:val="191919"/>
          <w:szCs w:val="22"/>
          <w:shd w:val="clear" w:color="auto" w:fill="FFFFFF"/>
          <w:lang w:val="fr-FR"/>
        </w:rPr>
      </w:pPr>
      <w:r w:rsidRPr="00A83C94">
        <w:rPr>
          <w:color w:val="191919"/>
          <w:szCs w:val="22"/>
          <w:shd w:val="clear" w:color="auto" w:fill="FFFFFF"/>
          <w:lang w:val="hy-AM"/>
        </w:rPr>
        <w:t xml:space="preserve">Պարգևավճարներ և պատվովճարներ </w:t>
      </w:r>
      <w:r w:rsidRPr="00A83C94">
        <w:rPr>
          <w:b w:val="0"/>
          <w:color w:val="191919"/>
          <w:szCs w:val="22"/>
          <w:shd w:val="clear" w:color="auto" w:fill="FFFFFF"/>
          <w:lang w:val="hy-AM"/>
        </w:rPr>
        <w:t>ծրագրի վերջնական արդյունքը առանձին կատեգորիայի քաղաքացիների և նրանց ընտանիքի անդամների սոցիալական պաշտպանվածության մակարդակի բարձրացումն է:</w:t>
      </w:r>
    </w:p>
    <w:p w14:paraId="3D6C5ECC" w14:textId="77777777" w:rsidR="0066585C" w:rsidRPr="00A83C94" w:rsidRDefault="0066585C" w:rsidP="0066585C">
      <w:pPr>
        <w:spacing w:line="276" w:lineRule="auto"/>
        <w:rPr>
          <w:b w:val="0"/>
          <w:color w:val="191919"/>
          <w:szCs w:val="22"/>
          <w:shd w:val="clear" w:color="auto" w:fill="FFFFFF"/>
          <w:lang w:val="hy-AM"/>
        </w:rPr>
      </w:pPr>
      <w:r w:rsidRPr="00A83C94">
        <w:rPr>
          <w:b w:val="0"/>
          <w:color w:val="191919"/>
          <w:szCs w:val="22"/>
          <w:shd w:val="clear" w:color="auto" w:fill="FFFFFF"/>
          <w:lang w:val="fr-FR"/>
        </w:rPr>
        <w:t xml:space="preserve">Ծրագրի գծով </w:t>
      </w:r>
      <w:r w:rsidRPr="00A83C94">
        <w:rPr>
          <w:b w:val="0"/>
          <w:color w:val="191919"/>
          <w:szCs w:val="22"/>
          <w:shd w:val="clear" w:color="auto" w:fill="FFFFFF"/>
          <w:lang w:val="hy-AM"/>
        </w:rPr>
        <w:t>ՀՀ 2021թ. պետական բյուջեով այս նպատակով հատկացված է 11,261.2 մլն դրամ, իսկ շահառուների թիվը կանխատեսվել է 36437 անձ:</w:t>
      </w:r>
    </w:p>
    <w:p w14:paraId="017D8A9C"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2022 թվականի համար նախատեսվում է 10.989.3 մլն դրամ` 35430 շահառուի համար։</w:t>
      </w:r>
    </w:p>
    <w:p w14:paraId="483B359F" w14:textId="612141F2"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Անապահով սոցիալական խմբերին աջակցություն</w:t>
      </w:r>
      <w:r w:rsidRPr="00A83C94">
        <w:rPr>
          <w:b w:val="0"/>
          <w:i/>
          <w:color w:val="191919"/>
          <w:szCs w:val="22"/>
          <w:shd w:val="clear" w:color="auto" w:fill="FFFFFF"/>
          <w:lang w:val="hy-AM"/>
        </w:rPr>
        <w:t xml:space="preserve"> </w:t>
      </w:r>
      <w:r w:rsidRPr="00A83C94">
        <w:rPr>
          <w:b w:val="0"/>
          <w:color w:val="191919"/>
          <w:szCs w:val="22"/>
          <w:shd w:val="clear" w:color="auto" w:fill="FFFFFF"/>
          <w:lang w:val="hy-AM"/>
        </w:rPr>
        <w:t>ծրագրի վերջնական արդյունքը՝ օժանդակել անապահով ընտանիքների կենսամակարդակի բարձրացմանը՝ դրանով մեղմելով աղքատությունը և կրճատելով ծայրահեղ աղքատությունը:</w:t>
      </w:r>
    </w:p>
    <w:p w14:paraId="22850263"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37,188.0 մլն դրամ՝ շուրջ 97216 ընտանիքների համար: 2022թ. համար նախատեսվում է 30,921.3 մլն դրամ: Մինչ համակարգի վերանայումը 2022թ. ընտանիքի կենսամակարդակի բարձրացմանն ուղղված նպաստ կտրամադրվի շուրջ 89629 ընտանիքի, իսկ նպաստի միջին ամսական չափը կկազմի շուրջ 31350 դրամ: Հաշվի առնելով երեխաներին սոցիալական աջակցություն տրամադրելու առաջնահերթության սկզբունքը` հաշվարկներում կանխատեսվել է, որ 89629 ընտանիքի մոտ 72%-ը կկազմեն երեխա ունեցող ընտանիքները:</w:t>
      </w:r>
    </w:p>
    <w:p w14:paraId="63B944F0" w14:textId="1369F819"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Սոցիալական փաթեթների ապահովում</w:t>
      </w:r>
      <w:r w:rsidRPr="00A83C94">
        <w:rPr>
          <w:b w:val="0"/>
          <w:color w:val="191919"/>
          <w:szCs w:val="22"/>
          <w:shd w:val="clear" w:color="auto" w:fill="FFFFFF"/>
          <w:lang w:val="hy-AM"/>
        </w:rPr>
        <w:t xml:space="preserve"> ծրագրի վերջնական արդյունքը պետական մարմինների աշխատակիցների կյանքի որակի բարելավումն է՝ սոցիալական երաշխիքների ապահովման և աշխատանքային մոտիվացիայի բարձրացման նպատակով: </w:t>
      </w:r>
    </w:p>
    <w:p w14:paraId="55969523" w14:textId="1B33D72D"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10,619.4 մլն դրամ՝ 147493 շահառուի համար: 2022թ. համար նախատեսվում է 9,949</w:t>
      </w:r>
      <w:r w:rsidR="00685FB6" w:rsidRPr="00081260">
        <w:rPr>
          <w:b w:val="0"/>
          <w:color w:val="191919"/>
          <w:szCs w:val="22"/>
          <w:shd w:val="clear" w:color="auto" w:fill="FFFFFF"/>
          <w:lang w:val="hy-AM"/>
        </w:rPr>
        <w:t>.</w:t>
      </w:r>
      <w:r w:rsidRPr="00A83C94">
        <w:rPr>
          <w:b w:val="0"/>
          <w:color w:val="191919"/>
          <w:szCs w:val="22"/>
          <w:shd w:val="clear" w:color="auto" w:fill="FFFFFF"/>
          <w:lang w:val="hy-AM"/>
        </w:rPr>
        <w:t>8 մլն դրամ` 13</w:t>
      </w:r>
      <w:r w:rsidR="00685FB6" w:rsidRPr="00685FB6">
        <w:rPr>
          <w:b w:val="0"/>
          <w:color w:val="191919"/>
          <w:szCs w:val="22"/>
          <w:shd w:val="clear" w:color="auto" w:fill="FFFFFF"/>
          <w:lang w:val="hy-AM"/>
        </w:rPr>
        <w:t>8192</w:t>
      </w:r>
      <w:r w:rsidRPr="00A83C94">
        <w:rPr>
          <w:b w:val="0"/>
          <w:color w:val="191919"/>
          <w:szCs w:val="22"/>
          <w:shd w:val="clear" w:color="auto" w:fill="FFFFFF"/>
          <w:lang w:val="hy-AM"/>
        </w:rPr>
        <w:t xml:space="preserve"> շահառուի համար։</w:t>
      </w:r>
    </w:p>
    <w:p w14:paraId="0CE4336A" w14:textId="353E1CBA"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Խնամքի ծառայություններ 18 տարեկանից բարձր տարիքի անձանց</w:t>
      </w:r>
      <w:r w:rsidRPr="00A83C94">
        <w:rPr>
          <w:b w:val="0"/>
          <w:color w:val="191919"/>
          <w:szCs w:val="22"/>
          <w:shd w:val="clear" w:color="auto" w:fill="FFFFFF"/>
          <w:lang w:val="hy-AM"/>
        </w:rPr>
        <w:t xml:space="preserve"> ծրագրի վերջնական արդյունքը խնամքի կարիք ունեցող 18 տարեկանից բարձր տարիքի անձանց իրենց գնահատված անհատական սոցիալական կարիքներին համապատասխան խնամքի ծառայությունների տրամադրումն է՝ բնականոն կենսագործունեության ապահովման նպատակով:</w:t>
      </w:r>
    </w:p>
    <w:p w14:paraId="299518DD" w14:textId="6AD95868"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3,104,5 մլն դրամ՝ 4531</w:t>
      </w:r>
      <w:r w:rsidR="00464172" w:rsidRPr="00A83C94">
        <w:rPr>
          <w:b w:val="0"/>
          <w:color w:val="191919"/>
          <w:szCs w:val="22"/>
          <w:shd w:val="clear" w:color="auto" w:fill="FFFFFF"/>
          <w:lang w:val="hy-AM"/>
        </w:rPr>
        <w:t xml:space="preserve"> </w:t>
      </w:r>
      <w:r w:rsidRPr="00A83C94">
        <w:rPr>
          <w:b w:val="0"/>
          <w:color w:val="191919"/>
          <w:szCs w:val="22"/>
          <w:shd w:val="clear" w:color="auto" w:fill="FFFFFF"/>
          <w:lang w:val="hy-AM"/>
        </w:rPr>
        <w:t>շահառուի համար:</w:t>
      </w:r>
    </w:p>
    <w:p w14:paraId="57E7A855"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 xml:space="preserve">2022թ. համար նախատեսվում է 2,975.2 մլն  դրամ՝ ծառայություններ են տրամադրվելու 1215, տնային պայմաններում խնամքի ծառայություններ (այդ թվում՝ հոգեկան առողջության խնդիրներ ունեցող անձանց ևս)՝ 1930, ցերեկային կենտրոններում՝ 1600, անօթևան մարդկանց ժամանակավոր կացարանում՝ 80, հատուկ բնակելի տանը կացարանով ապահովման ծառայություններ՝ 57 և կոմունալ ծառայությունների փոխհատուցում՝ սոցիալական տներում բնակվող 100 շահառուի: </w:t>
      </w:r>
    </w:p>
    <w:p w14:paraId="6D319ABF"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Վերանայվելու են ծառայությունների մատուցման չափորոշիչները, արդյունքում բարելավվելու է մատուցվող ծառայությունների որակն ու մեծանալու է հասցեականությունը, ներդրվող համայնքահեն ծառայություններում կարևորություն է տրվելու համայնքի մասնակցությանը և ավելի մեծ թվով հասարակական կազմակերպությունների ընդգրկվածությանը:</w:t>
      </w:r>
    </w:p>
    <w:p w14:paraId="230A715F" w14:textId="60DE13F7"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Ժողովրդագրական վիճակի բարելավում</w:t>
      </w:r>
      <w:r w:rsidRPr="00A83C94">
        <w:rPr>
          <w:rFonts w:cs="Sylfaen"/>
          <w:b w:val="0"/>
          <w:szCs w:val="22"/>
          <w:lang w:val="hy-AM"/>
        </w:rPr>
        <w:t xml:space="preserve"> </w:t>
      </w:r>
      <w:r w:rsidRPr="00A83C94">
        <w:rPr>
          <w:b w:val="0"/>
          <w:color w:val="191919"/>
          <w:szCs w:val="22"/>
          <w:shd w:val="clear" w:color="auto" w:fill="FFFFFF"/>
          <w:lang w:val="hy-AM"/>
        </w:rPr>
        <w:t>ծրագրի վերջնական արդյունքը ժողովրդագրական վիճակի բարելավումը և բազմազավակության աճն է:</w:t>
      </w:r>
    </w:p>
    <w:p w14:paraId="62AC1736" w14:textId="18D892D0"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w:t>
      </w:r>
      <w:r w:rsidR="008A5268" w:rsidRPr="00A83C94">
        <w:rPr>
          <w:b w:val="0"/>
          <w:color w:val="191919"/>
          <w:szCs w:val="22"/>
          <w:shd w:val="clear" w:color="auto" w:fill="FFFFFF"/>
          <w:lang w:val="hy-AM"/>
        </w:rPr>
        <w:t>ատակով հատկացված է 25,249.6 մլն</w:t>
      </w:r>
      <w:r w:rsidRPr="00A83C94">
        <w:rPr>
          <w:b w:val="0"/>
          <w:color w:val="191919"/>
          <w:szCs w:val="22"/>
          <w:shd w:val="clear" w:color="auto" w:fill="FFFFFF"/>
          <w:lang w:val="hy-AM"/>
        </w:rPr>
        <w:t xml:space="preserve"> դրամ, ըստ որում՝ մինչև 2 տարեկան երեխայի խնամքի նպաստ ստացողների թիվը նախատեսվել է 24721 շահառու, երեխայի ծննդյան միանվագ նպաստ ստացողների թիվը՝</w:t>
      </w:r>
      <w:r w:rsidRPr="00A83C94">
        <w:rPr>
          <w:b w:val="0"/>
          <w:color w:val="191919"/>
          <w:szCs w:val="22"/>
          <w:shd w:val="clear" w:color="auto" w:fill="FFFFFF"/>
          <w:lang w:val="hy-AM"/>
        </w:rPr>
        <w:tab/>
        <w:t>36200 շահառու:</w:t>
      </w:r>
    </w:p>
    <w:p w14:paraId="7F035A5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2022 թ. կբարձրացվի նաև 2021թ. համար սահմանված խնամքի նպաստի (այդ թվում՝ գյուղական բնակավայրում տրվող) չափերը՝ 26500 դրամի փոխարեն 2022 թվականի հունվարի 1-ից կսահմանվի 28600 դրամ: Այս դեպքում կհատկացվի լրացուցիչ շուրջ 700 մլն դրամ և կավելանա ավելի քան 27000 երեխաների խնամքի կապակցությամբ տրվող պետական աջակցության չափը։ 2022թ. պահպանվելու են 2021թ. համար սահմանված երեխայի ծննդյան միանվագ նպաստի չափերը՝ 1-ին կամ 2-րդ երեխայի ծննդյան դեպքում՝ 300 հազար դրամ, 3-րդ կամ 4-րդ երեխայի ծննդյան դեպքում՝ 1 մլն դրամ, 5-րդ և յուրաքանչյուր հաջորդ երեխայի ծննդյան դեպքում 1.5 մլն դրամ:</w:t>
      </w:r>
    </w:p>
    <w:p w14:paraId="3EACBE4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Բազմազավակ և երիտասարդ ընտանիքների բնակարանային ապահովությանը աջակցելու նպատակով իրականացվող միջոցառման շրջանակներում պետական աջակցություն է տրամադրվում նշված ընտանիքներին՝ իրենց հիպոթեքային վարկերի մարման համար։ Այս նպատակով 2022թ. նախատեսվում է հատկացնել նախորդ տարվանից 2.3 անգամ ավելի գումար՝ 1,200.0 մլն դրամ, որից կօգտվի 7450 բազմազավակ ընտանիք և 1214 երիտասարդ և երեխաներ ունեցող անձ:</w:t>
      </w:r>
    </w:p>
    <w:p w14:paraId="040B7B97"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2022թ. կիրականացվի  ժողովրդագրական իրավիճակի բարելավմանն ուղղված նոր միջոցառում։ Ծնելիությունը խթանելու և բազմազավակ ընտանիքներին պետական աջակցություն ցուցաբերելու նպատակով 2022թ. հունվարի 1-ից հետո ընտանիքում 3-րդ և յուրաքանչյուր հաջորդ երեխայի ծնվելու կապակցությամբ նոր ծնված երեխայի ծնողին կնշանակվի և մինչև երեխայի 6 տարեկանը լրանալը կվճարվի դրամական աջակցություն՝ ամսական 50000 դրամի չափով։ Միջոցառման իրականացմանը կուղղվի 2,925.0 մլն դրամ, ինչի հաշվին հնարավոր կլինի պետական աջակցություն տրամադրել միջին ամսական շուրջ 4875 նոր ծնված երեխաների ընտանիքներին: Միջոցառման շարունակականության հարցը կքննարկվի 2026թ.՝ նախորդ ժամանակահատվածի արդյունավետության գնահատականի հիման վրա:</w:t>
      </w:r>
    </w:p>
    <w:p w14:paraId="4790F745" w14:textId="7454D177" w:rsidR="0066585C" w:rsidRPr="00A83C94" w:rsidRDefault="0066585C" w:rsidP="0066585C">
      <w:pPr>
        <w:spacing w:line="276" w:lineRule="auto"/>
        <w:ind w:firstLine="720"/>
        <w:rPr>
          <w:b w:val="0"/>
          <w:color w:val="191919"/>
          <w:szCs w:val="22"/>
          <w:shd w:val="clear" w:color="auto" w:fill="FFFFFF"/>
          <w:lang w:val="hy-AM"/>
        </w:rPr>
      </w:pPr>
      <w:r w:rsidRPr="00A83C94">
        <w:rPr>
          <w:color w:val="191919"/>
          <w:szCs w:val="22"/>
          <w:shd w:val="clear" w:color="auto" w:fill="FFFFFF"/>
          <w:lang w:val="hy-AM"/>
        </w:rPr>
        <w:t>Սոցիալական աջակցություն անաշխատունակության դեպքում</w:t>
      </w:r>
      <w:r w:rsidRPr="00A83C94">
        <w:rPr>
          <w:b w:val="0"/>
          <w:color w:val="191919"/>
          <w:szCs w:val="22"/>
          <w:shd w:val="clear" w:color="auto" w:fill="FFFFFF"/>
          <w:lang w:val="hy-AM"/>
        </w:rPr>
        <w:t xml:space="preserve"> ծրագրի վերջնական արդյունքն անաշխատունակության հետևանքով եկամտի կորստի մասնակի փոխհատուցման ապահովումն է:</w:t>
      </w:r>
    </w:p>
    <w:p w14:paraId="1F6ADA6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14,351.9 մլն դրամ, որի շրջանակում մայրության նպաստ նախատեսվել է 10324 աշխատող անձի և 26873 չաշխատող անձի: 2022թ. ծրագրի համար նախատեսվում է 18,797.5 մլն դրամ, որի շրջանակում նախատեսվել է մայրության նպաստ 13145 աշխատող անձի համար և 24242 չաշխատող անձի համար:</w:t>
      </w:r>
    </w:p>
    <w:p w14:paraId="61485337"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Ժամանակավոր անաշխատունակության նպաստների գծով 2022թ. համար գումարները հատկացվել են՝ հաշվի առնելով 2021թ. հունիս ամսին ուժի մեջ մտած օրենսդրական փոփոխությունները, որոնց համաձայն՝ ժամանակավոր անաշխատունակության նպաստը վճարվելու է նաև 1-ին օրվա համար։ Սահմանվել է նաև ժամանակավոր անաշխատունակության նպաստի հաշվարկելու համար հիմք ընդունվող մեծության՝ նվազագույն չափ՝ նվազագույն ամսական աշխատավարձի 50%:</w:t>
      </w:r>
    </w:p>
    <w:p w14:paraId="2EAD439E"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Վնասի փոխհատուցում է նախատեսվել խեղում, մասնագիտական հիվանդություն և առողջության այլ վնասներ ստացած 278 շահառուի համար:</w:t>
      </w:r>
    </w:p>
    <w:p w14:paraId="4807C7AF" w14:textId="4A0C7A4D" w:rsidR="0066585C" w:rsidRPr="00A83C94" w:rsidRDefault="0066585C" w:rsidP="0066585C">
      <w:pPr>
        <w:spacing w:line="276" w:lineRule="auto"/>
        <w:ind w:firstLine="709"/>
        <w:rPr>
          <w:b w:val="0"/>
          <w:color w:val="191919"/>
          <w:szCs w:val="22"/>
          <w:shd w:val="clear" w:color="auto" w:fill="FFFFFF"/>
          <w:lang w:val="hy-AM"/>
        </w:rPr>
      </w:pPr>
      <w:r w:rsidRPr="00A83C94">
        <w:rPr>
          <w:color w:val="191919"/>
          <w:szCs w:val="22"/>
          <w:shd w:val="clear" w:color="auto" w:fill="FFFFFF"/>
          <w:lang w:val="hy-AM"/>
        </w:rPr>
        <w:t>Զբաղվածության</w:t>
      </w:r>
      <w:r w:rsidRPr="00A83C94">
        <w:rPr>
          <w:i/>
          <w:color w:val="191919"/>
          <w:szCs w:val="22"/>
          <w:shd w:val="clear" w:color="auto" w:fill="FFFFFF"/>
          <w:lang w:val="hy-AM"/>
        </w:rPr>
        <w:t xml:space="preserve"> </w:t>
      </w:r>
      <w:r w:rsidRPr="00A83C94">
        <w:rPr>
          <w:b w:val="0"/>
          <w:color w:val="191919"/>
          <w:szCs w:val="22"/>
          <w:shd w:val="clear" w:color="auto" w:fill="FFFFFF"/>
          <w:lang w:val="hy-AM"/>
        </w:rPr>
        <w:t>ծրագրի վերջնական արդյունքը Կայուն և ժամանակավոր զբաղվածների թվաքանակի աճն է՝ բնակչության կայուն և ժամանակավոր զբաղվածության ապահովմանը միտված պայմանների ստեղծման նպատակով:</w:t>
      </w:r>
    </w:p>
    <w:p w14:paraId="6D8462C2"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Ծրագրի գծով ՀՀ 2021թ. պետական բյուջեով այս նպատակով հատկացված է 2,098.2 մլն դրամ:</w:t>
      </w:r>
    </w:p>
    <w:p w14:paraId="0ACD92AF"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2022թ. նախատեսվել է 1,564.3 մլն դրամ, որի շրջանակում կիրականացվի զբաղվածության պետական թվով 9 ծրագիր: Զբաղվածության պետական ծրագրերում նախատեսվում է ընդգրկել 3520 շահառու (որոնցից` 112-ը հաշմանդամություն ունեցող), ընդ որում 1196–ը` ժամանակավոր բնույթ ունեցող՝ սեզոնային և վարձատրվող հասարակական աշխատանքներում:</w:t>
      </w:r>
    </w:p>
    <w:p w14:paraId="51B18CBC" w14:textId="4EC6347B" w:rsidR="00470CBC" w:rsidRPr="00A83C94" w:rsidRDefault="00470CBC" w:rsidP="00470CBC">
      <w:pPr>
        <w:spacing w:before="0" w:line="276" w:lineRule="auto"/>
        <w:ind w:firstLine="709"/>
        <w:rPr>
          <w:b w:val="0"/>
          <w:lang w:val="hy-AM"/>
        </w:rPr>
      </w:pPr>
      <w:r w:rsidRPr="00A83C94">
        <w:rPr>
          <w:color w:val="191919"/>
          <w:shd w:val="clear" w:color="auto" w:fill="FFFFFF"/>
          <w:lang w:val="hy-AM"/>
        </w:rPr>
        <w:t>Բնակարանային ապահովման</w:t>
      </w:r>
      <w:r w:rsidRPr="00A83C94">
        <w:rPr>
          <w:kern w:val="16"/>
          <w:lang w:val="hy-AM"/>
        </w:rPr>
        <w:t xml:space="preserve"> </w:t>
      </w:r>
      <w:r w:rsidRPr="00A83C94">
        <w:rPr>
          <w:b w:val="0"/>
          <w:color w:val="191919"/>
          <w:shd w:val="clear" w:color="auto" w:fill="FFFFFF"/>
          <w:lang w:val="hy-AM"/>
        </w:rPr>
        <w:t xml:space="preserve">ծրագրի համար 2022 թվականին նախատեսվում է 780.4 մլն դրամ: </w:t>
      </w:r>
      <w:r w:rsidRPr="00A83C94">
        <w:rPr>
          <w:b w:val="0"/>
          <w:lang w:val="hy-AM"/>
        </w:rPr>
        <w:t>Ծրագրի նպատակն է հանրապետությունում մշտական բնակության վայր չունեցող անօթևան անձանց բնակարանային ապահովման բարելավման աջակցությունը: Իրականացվելու է թվ</w:t>
      </w:r>
      <w:r w:rsidR="002038E3" w:rsidRPr="00A83C94">
        <w:rPr>
          <w:b w:val="0"/>
          <w:lang w:val="hy-AM"/>
        </w:rPr>
        <w:t>ով 95 ընտանիքների բնակարանային</w:t>
      </w:r>
      <w:r w:rsidRPr="00A83C94">
        <w:rPr>
          <w:b w:val="0"/>
          <w:lang w:val="hy-AM"/>
        </w:rPr>
        <w:t xml:space="preserve"> ապահովման և բնակարանային պայմանների բարելավմանը աջակցությանն ուղղված աշխատանքներ, այդ թվում՝ զոհված (մահացած) առաջին, երկրորդ և երրորդ կարգի հաշմանդամ զինծառա</w:t>
      </w:r>
      <w:r w:rsidRPr="00A83C94">
        <w:rPr>
          <w:b w:val="0"/>
          <w:lang w:val="hy-AM"/>
        </w:rPr>
        <w:softHyphen/>
        <w:t xml:space="preserve">յողների անօթևան և բնակարանային պայմանների բարելավման կարիք ունեցող թվով 59 և Սպիտակ քաղաքի ոչ հիմնական շինություններում բնակվող, սոցալապես անապահով, բնակարանային պայմանների բարելավման կարիք ունեցող թվով 36 ընտանիքների: </w:t>
      </w:r>
    </w:p>
    <w:p w14:paraId="523EC96D" w14:textId="07C364A9" w:rsidR="0066585C" w:rsidRPr="00A83C94" w:rsidRDefault="0066585C" w:rsidP="0066585C">
      <w:pPr>
        <w:spacing w:line="276" w:lineRule="auto"/>
        <w:ind w:firstLine="709"/>
        <w:rPr>
          <w:b w:val="0"/>
          <w:i/>
          <w:color w:val="191919"/>
          <w:szCs w:val="22"/>
          <w:shd w:val="clear" w:color="auto" w:fill="FFFFFF"/>
          <w:lang w:val="hy-AM"/>
        </w:rPr>
      </w:pPr>
      <w:r w:rsidRPr="00A83C94">
        <w:rPr>
          <w:color w:val="191919"/>
          <w:szCs w:val="22"/>
          <w:shd w:val="clear" w:color="auto" w:fill="FFFFFF"/>
          <w:lang w:val="hy-AM"/>
        </w:rPr>
        <w:t>Կենսաթոշակային ապահովություն և Սոցիալական</w:t>
      </w:r>
      <w:r w:rsidRPr="00A83C94">
        <w:rPr>
          <w:i/>
          <w:color w:val="191919"/>
          <w:szCs w:val="22"/>
          <w:shd w:val="clear" w:color="auto" w:fill="FFFFFF"/>
          <w:lang w:val="hy-AM"/>
        </w:rPr>
        <w:t xml:space="preserve"> ապահովություն</w:t>
      </w:r>
      <w:r w:rsidRPr="00A83C94">
        <w:rPr>
          <w:b w:val="0"/>
          <w:i/>
          <w:color w:val="191919"/>
          <w:szCs w:val="22"/>
          <w:shd w:val="clear" w:color="auto" w:fill="FFFFFF"/>
          <w:lang w:val="hy-AM"/>
        </w:rPr>
        <w:t xml:space="preserve"> </w:t>
      </w:r>
      <w:r w:rsidRPr="00A83C94">
        <w:rPr>
          <w:b w:val="0"/>
          <w:color w:val="191919"/>
          <w:szCs w:val="22"/>
          <w:shd w:val="clear" w:color="auto" w:fill="FFFFFF"/>
          <w:lang w:val="hy-AM"/>
        </w:rPr>
        <w:t>ծրագրերի շրջանակում.</w:t>
      </w:r>
    </w:p>
    <w:p w14:paraId="4DC23988" w14:textId="77777777" w:rsidR="0066585C" w:rsidRPr="00A83C94" w:rsidRDefault="0066585C" w:rsidP="0066585C">
      <w:pPr>
        <w:spacing w:line="276" w:lineRule="auto"/>
        <w:ind w:firstLine="709"/>
        <w:rPr>
          <w:b w:val="0"/>
          <w:color w:val="191919"/>
          <w:szCs w:val="22"/>
          <w:shd w:val="clear" w:color="auto" w:fill="FFFFFF"/>
          <w:lang w:val="hy-AM"/>
        </w:rPr>
      </w:pPr>
      <w:r w:rsidRPr="00A83C94">
        <w:rPr>
          <w:b w:val="0"/>
          <w:color w:val="191919"/>
          <w:szCs w:val="22"/>
          <w:shd w:val="clear" w:color="auto" w:fill="FFFFFF"/>
          <w:lang w:val="hy-AM"/>
        </w:rPr>
        <w:t>2022թ. նախատեսվում է բարձրացնել նվազագույն կենսաթոշակի, սոցիալական նպաստների չափերը, իսկ պետական կենսաթոշակների հաշվարկման համար կիրառվող մյուս հիմնական ցուցանիշների դեպքում՝ պահպանել 2021թ. համար սահմանված չափերը՝</w:t>
      </w:r>
    </w:p>
    <w:p w14:paraId="2F25F591"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աշխատանքային և զինվորական կենսաթոշակը հաշվարկելու համար հիմնական կենսաթոշակի չափը՝ 18000 դրամ,</w:t>
      </w:r>
    </w:p>
    <w:p w14:paraId="5E4A8960"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աշխատանքային ստաժի մեկ տարվա արժեքը` մինչև 10 տարվա ստաժի համար` 950 դրամ, իսկ 10 տարուց ավելի ստաժի համար` 500 դրամ,</w:t>
      </w:r>
    </w:p>
    <w:p w14:paraId="6C850F93"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զինվորական ծառայության մեկ տարվա արժեքը՝ 1600 դրամ ,</w:t>
      </w:r>
    </w:p>
    <w:p w14:paraId="47B3633A" w14:textId="77777777" w:rsidR="0066585C" w:rsidRPr="00A83C94" w:rsidRDefault="0066585C" w:rsidP="00786462">
      <w:pPr>
        <w:numPr>
          <w:ilvl w:val="0"/>
          <w:numId w:val="46"/>
        </w:numPr>
        <w:spacing w:before="0" w:line="276" w:lineRule="auto"/>
        <w:ind w:left="0" w:firstLine="709"/>
        <w:contextualSpacing w:val="0"/>
        <w:rPr>
          <w:b w:val="0"/>
          <w:color w:val="191919"/>
          <w:szCs w:val="22"/>
          <w:shd w:val="clear" w:color="auto" w:fill="FFFFFF"/>
          <w:lang w:val="hy-AM"/>
        </w:rPr>
      </w:pPr>
      <w:r w:rsidRPr="00A83C94">
        <w:rPr>
          <w:b w:val="0"/>
          <w:color w:val="191919"/>
          <w:szCs w:val="22"/>
          <w:shd w:val="clear" w:color="auto" w:fill="FFFFFF"/>
          <w:lang w:val="hy-AM"/>
        </w:rPr>
        <w:t>պարտադիր ժամկետային (շարքային) զինվորական ծառայության շարքային կազմի զինծառայողի հաշմանդամության զինվորական կենսաթոշակի չափերը՝ 1-ին խմբի դեպքում՝ 43000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40000 դրամ), 2-րդ խմբի դեպքում՝ 33000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3000 դրամ), 3-րդ խմբի դեպքում՝ 30000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27000 դրամ),</w:t>
      </w:r>
    </w:p>
    <w:p w14:paraId="47F28668"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 30000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27000 դրամ),</w:t>
      </w:r>
    </w:p>
    <w:p w14:paraId="3E1B118F"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պետական պաշտոն զբաղեցրած անձանց կենսաթոշակի չափը հաշվարկելու համար հիմք ընդունվող հիմնական կենսաթոշակի չափը՝ 14000 դրամ, մասնագիտական ստաժի մեկ տարվա արժեքը՝ 5000 դրամ,</w:t>
      </w:r>
    </w:p>
    <w:p w14:paraId="2F7D6342"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նվազագույն կենսաթոշակի չափը՝ 28600 դրամ (2021թ.՝ 26500 դրամ):</w:t>
      </w:r>
    </w:p>
    <w:p w14:paraId="78559950" w14:textId="77777777" w:rsidR="0066585C" w:rsidRPr="00A83C94" w:rsidRDefault="0066585C" w:rsidP="0066585C">
      <w:pPr>
        <w:spacing w:line="276" w:lineRule="auto"/>
        <w:ind w:firstLine="720"/>
        <w:rPr>
          <w:b w:val="0"/>
          <w:color w:val="191919"/>
          <w:szCs w:val="22"/>
          <w:shd w:val="clear" w:color="auto" w:fill="FFFFFF"/>
          <w:lang w:val="hy-AM"/>
        </w:rPr>
      </w:pPr>
      <w:r w:rsidRPr="00A83C94">
        <w:rPr>
          <w:b w:val="0"/>
          <w:color w:val="191919"/>
          <w:szCs w:val="22"/>
          <w:shd w:val="clear" w:color="auto" w:fill="FFFFFF"/>
          <w:lang w:val="hy-AM"/>
        </w:rPr>
        <w:t>Պետական նպաստների առանձին տեսակների համար չափերը հետևյալն են՝</w:t>
      </w:r>
    </w:p>
    <w:p w14:paraId="06E79710"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Ծերության, հաշմանդամության, կերակրողը կորցնելու դեպքում նպաստներ՝ 28600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26500 դրամ),</w:t>
      </w:r>
    </w:p>
    <w:p w14:paraId="7D9B042B"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հաշմանդամ երեխաների նպաստ՝ 37000 դրամ (2021թ</w:t>
      </w:r>
      <w:r w:rsidRPr="00A83C94">
        <w:rPr>
          <w:rFonts w:ascii="Cambria Math" w:hAnsi="Cambria Math" w:cs="Cambria Math"/>
          <w:b w:val="0"/>
          <w:color w:val="191919"/>
          <w:szCs w:val="22"/>
          <w:shd w:val="clear" w:color="auto" w:fill="FFFFFF"/>
          <w:lang w:val="hy-AM"/>
        </w:rPr>
        <w:t>․</w:t>
      </w:r>
      <w:r w:rsidRPr="00A83C94">
        <w:rPr>
          <w:b w:val="0"/>
          <w:color w:val="191919"/>
          <w:szCs w:val="22"/>
          <w:shd w:val="clear" w:color="auto" w:fill="FFFFFF"/>
          <w:lang w:val="hy-AM"/>
        </w:rPr>
        <w:t>՝ 26500 դրամ),</w:t>
      </w:r>
    </w:p>
    <w:p w14:paraId="3EFBF123"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երկկողմանի ծնողազուրկ երեխայի դեպքում կերակրողը կորցնելու դեպքում նպաստ՝ 90000 դրամ:</w:t>
      </w:r>
    </w:p>
    <w:p w14:paraId="625EADF2" w14:textId="77777777" w:rsidR="0066585C" w:rsidRPr="00A83C94" w:rsidRDefault="0066585C" w:rsidP="00786462">
      <w:pPr>
        <w:numPr>
          <w:ilvl w:val="0"/>
          <w:numId w:val="46"/>
        </w:numPr>
        <w:spacing w:before="0" w:line="276" w:lineRule="auto"/>
        <w:ind w:left="0" w:firstLine="720"/>
        <w:contextualSpacing w:val="0"/>
        <w:rPr>
          <w:b w:val="0"/>
          <w:color w:val="191919"/>
          <w:szCs w:val="22"/>
          <w:shd w:val="clear" w:color="auto" w:fill="FFFFFF"/>
          <w:lang w:val="hy-AM"/>
        </w:rPr>
      </w:pPr>
      <w:r w:rsidRPr="00A83C94">
        <w:rPr>
          <w:b w:val="0"/>
          <w:color w:val="191919"/>
          <w:szCs w:val="22"/>
          <w:shd w:val="clear" w:color="auto" w:fill="FFFFFF"/>
          <w:lang w:val="hy-AM"/>
        </w:rPr>
        <w:t>Նշված ավելացումների հաշվին նախատեսվում է բարձրացնել ավելի քան 12200 աշխատանքային կենսաթոշակառուների, շուրջ 5200 զինվորական կենսաթոշակառուների կենսաթոշակների և 74720 նպաստառուների նպաստների չափերը՝ ապահովելով նշված դրամական վճարների գծով պետական հատկացումների՝ ծայրահեղ աղքատության գծից բարձր մակարդակ, իսկ շուրջ 8000 երեխաների հաշմանդամ երեխաների դեպքում՝ էականորեն կբարձրանա նրանց ընտանիքներին տրամադրվող պետական աջակցության չափը։ Նշված բարձրացումների համար կհատկացվի լրացուցիչ շուրջ 3.1 մլրդ դրամ։</w:t>
      </w:r>
    </w:p>
    <w:p w14:paraId="6543FBC5" w14:textId="77777777" w:rsidR="0066585C" w:rsidRPr="00A83C94" w:rsidRDefault="0066585C" w:rsidP="0066585C">
      <w:pPr>
        <w:spacing w:before="0" w:line="276" w:lineRule="auto"/>
        <w:ind w:firstLine="706"/>
        <w:rPr>
          <w:b w:val="0"/>
          <w:color w:val="191919"/>
          <w:szCs w:val="22"/>
          <w:shd w:val="clear" w:color="auto" w:fill="FFFFFF"/>
          <w:lang w:val="hy-AM"/>
        </w:rPr>
      </w:pPr>
      <w:r w:rsidRPr="00A83C94">
        <w:rPr>
          <w:b w:val="0"/>
          <w:color w:val="191919"/>
          <w:szCs w:val="22"/>
          <w:shd w:val="clear" w:color="auto" w:fill="FFFFFF"/>
          <w:lang w:val="hy-AM"/>
        </w:rPr>
        <w:t xml:space="preserve">Կշարունակվեն «Էլեկտրոնային կենսաթոշակ» տեղեկատվական համակարգի արդիականացման (կատարելագործման) աշխատանքները` որոշումների կայացման գործընթացի ավտոմատացման, այլ տեղեկատվական համակարգերից ինքնաշխատ եղանակով ստացվող և կիրառվող տեղեկատվության (տվյալների) շրջանակի ընդլայնման, կենսաթոշակային ապահովության և պետական նպաստների բնագավառի կառավարման համակարգի արդյունավետության բարելավման նպատակով: </w:t>
      </w:r>
    </w:p>
    <w:p w14:paraId="7C1EB31E" w14:textId="7CCDFD15" w:rsidR="0066585C" w:rsidRPr="00A83C94" w:rsidRDefault="0066585C" w:rsidP="0066585C">
      <w:pPr>
        <w:pStyle w:val="BodyText"/>
        <w:spacing w:before="0" w:line="276" w:lineRule="auto"/>
        <w:ind w:firstLine="706"/>
        <w:jc w:val="both"/>
        <w:rPr>
          <w:rFonts w:ascii="GHEA Grapalat" w:hAnsi="GHEA Grapalat" w:cs="Browallia New"/>
          <w:b w:val="0"/>
          <w:sz w:val="22"/>
          <w:szCs w:val="22"/>
          <w:lang w:val="hy-AM"/>
        </w:rPr>
      </w:pPr>
      <w:r w:rsidRPr="00A83C94">
        <w:rPr>
          <w:rFonts w:ascii="GHEA Grapalat" w:hAnsi="GHEA Grapalat"/>
          <w:color w:val="191919"/>
          <w:sz w:val="22"/>
          <w:szCs w:val="22"/>
          <w:shd w:val="clear" w:color="auto" w:fill="FFFFFF"/>
          <w:lang w:val="hy-AM"/>
        </w:rPr>
        <w:t>Ընտանիքներին, կանանց և երեխաներին աջակցություն</w:t>
      </w:r>
      <w:r w:rsidRPr="00A83C94">
        <w:rPr>
          <w:rFonts w:ascii="GHEA Grapalat" w:hAnsi="GHEA Grapalat" w:cs="Sylfaen"/>
          <w:b w:val="0"/>
          <w:sz w:val="22"/>
          <w:szCs w:val="22"/>
          <w:lang w:val="hy-AM"/>
        </w:rPr>
        <w:t xml:space="preserve"> </w:t>
      </w:r>
      <w:r w:rsidRPr="00A83C94">
        <w:rPr>
          <w:rFonts w:ascii="GHEA Grapalat" w:hAnsi="GHEA Grapalat" w:cs="Browallia New"/>
          <w:b w:val="0"/>
          <w:sz w:val="22"/>
          <w:szCs w:val="22"/>
          <w:lang w:val="hy-AM"/>
        </w:rPr>
        <w:t>ծրագրի վերջնական արդյունքը ընտանիքներին՝ կանանց և երեխաներին մատուցվող սոցիալական ծառայությունների և դրանց հասցեականության բարելավումն է՝ նրանց հասարակություն ինտեգրման նպատակով:</w:t>
      </w:r>
    </w:p>
    <w:p w14:paraId="40CA7E15" w14:textId="73C94D3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Ծրագրի գծով ՀՀ 2021 թ. պետական բյուջեով այս ն</w:t>
      </w:r>
      <w:r w:rsidR="008A5268" w:rsidRPr="00A83C94">
        <w:rPr>
          <w:rFonts w:ascii="GHEA Grapalat" w:hAnsi="GHEA Grapalat" w:cs="Browallia New"/>
          <w:b w:val="0"/>
          <w:sz w:val="22"/>
          <w:szCs w:val="22"/>
          <w:lang w:val="hy-AM"/>
        </w:rPr>
        <w:t>պատակով հատկացված է 3,696.8 մլն</w:t>
      </w:r>
      <w:r w:rsidRPr="00A83C94">
        <w:rPr>
          <w:rFonts w:ascii="GHEA Grapalat" w:hAnsi="GHEA Grapalat" w:cs="Browallia New"/>
          <w:b w:val="0"/>
          <w:sz w:val="22"/>
          <w:szCs w:val="22"/>
          <w:lang w:val="hy-AM"/>
        </w:rPr>
        <w:t xml:space="preserve"> դրամ: 2022թ. համար նախատեսվում է 3,317.9 մլն դրամ։ </w:t>
      </w:r>
    </w:p>
    <w:p w14:paraId="3353D2F5"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 xml:space="preserve">Վերջին տարիներին երեխաների պաշտպանության համակարգի բարեփոխումների արդյունքում կրճատվել է համակարգի մանկատներում խնամվող երեխաների թիվը: 2022թ. նախատեսվում է իրականացնել 585 երեխայի խնամքն ու դաստիարակությունը: </w:t>
      </w:r>
    </w:p>
    <w:p w14:paraId="31D0C6FD"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2022թ. մանկատների 9 շրջանավարտների համար կշարունակվեն միանվագ դրամական օգնության տրամադրումը և 18-23 տարեկան 7 շրջանավարտների համար բնակարանների վարձակալությունը: Կյանքի դժվարին իրավիճակում հայտնված երեխայի ընտանիքում ապրելու իրավունքը ապահովելու, նրանց խնամքի, այլընտրանքային ծառայություններ տրամադրելու նպատակով շարունակվելու է վեց աջակցության կենտրոնում սոցիալ-հոգեբանական ծառայությունների տրամադրումը 600 երեխայի և նրանց ընտանիքներին:</w:t>
      </w:r>
    </w:p>
    <w:p w14:paraId="316EA46A"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Միաժամանակ, կարճաժամկետ խնամք իրականացնելու նպատակով երեք ճգնաժամային կենտրոններում շարունակվելու է 0-18 տարեկան 125 երեխաների կարճաժամկետ շուրջօրյա խնամքի ծառայությունների իրականացումը: Պատվիրակված հասարակական կազմակերպությունների կողմից հանրապետության բոլոր մարզերում կիրականացվի երեխաների խնամքի ցերեկային ծառայությունների տրամադրում 1100 երեխաների և նրանց ծնողներին, 100 ընտանիքի կտրամադրվի աջակցություն բնաիրային փաթեթի տեսքով՝ նպաստելով 500 երեխաների ընտանիքներ վերադառնալուն և վերջիններիս մուտքը այդ հաստատություններ կանխարգելելուն։ 2022թ. կշարունակվի խնամատար ընտանիքում 88 երեխայի խնամքի և դաստիարակության աջակցության տրամադրումը: Կշարունակվի մանկատներում խնամվող 7-18 տարեկան դպրոցահասակ 250 երեխայի համար ընտանեկան միջավայրին մոտ միջավայր ապահովելու և կենցաղային որոշակի հմտությունների ձեռքբերման նպատակով երեխաներին դրամական աջակցության տրամադրումը:</w:t>
      </w:r>
    </w:p>
    <w:p w14:paraId="7CA63B70"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Հանրապետությունում մարդկանց շահագործման երևույթի կանխարգելմանն ուղղված քաղաքականության շարունակականության ապահովման նպատակով 2022 թ. կշարունակվեն նաև թրաֆիքինգի և շահագործման, սեռական բռնության ենթարկված անձանց աջակցության, ինչպես նաև ընտանիքում բռնության ենթարկված անձանց օրենսդրությամբ սահմանված աջակցության տրամադրումը, որից կօգտվեն 1475 շահառու:</w:t>
      </w:r>
    </w:p>
    <w:p w14:paraId="10433C17" w14:textId="495C448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olor w:val="191919"/>
          <w:sz w:val="22"/>
          <w:szCs w:val="22"/>
          <w:shd w:val="clear" w:color="auto" w:fill="FFFFFF"/>
          <w:lang w:val="hy-AM"/>
        </w:rPr>
        <w:t>Հաշմանդամություն ունեցող անձանց աջակցություն</w:t>
      </w:r>
      <w:r w:rsidRPr="00A83C94">
        <w:rPr>
          <w:rFonts w:ascii="GHEA Grapalat" w:hAnsi="GHEA Grapalat" w:cs="Sylfaen"/>
          <w:sz w:val="22"/>
          <w:szCs w:val="22"/>
          <w:lang w:val="hy-AM"/>
        </w:rPr>
        <w:t xml:space="preserve"> </w:t>
      </w:r>
      <w:r w:rsidRPr="00A83C94">
        <w:rPr>
          <w:rFonts w:ascii="GHEA Grapalat" w:hAnsi="GHEA Grapalat" w:cs="Browallia New"/>
          <w:b w:val="0"/>
          <w:sz w:val="22"/>
          <w:szCs w:val="22"/>
          <w:lang w:val="hy-AM"/>
        </w:rPr>
        <w:t>ծրագրի վերջնական արդյունքը հաշմանդամություն ունեցող անձանց մատուցվող սոցիալական ծառայությունների հասցեականության և արդյունավետության բարձրացումն է՝ հասարակություն սոցիալական ներառման նպատակով:</w:t>
      </w:r>
    </w:p>
    <w:p w14:paraId="7E64F054"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Ծրագրի գծով ՀՀ 2021թ. պետական բյուջեով այս նպատակով հատկացված է 1,193.3 մլն դրամ: 2022թ. համար նախատեսվում է 2,259.3 մլն դրամ։</w:t>
      </w:r>
    </w:p>
    <w:p w14:paraId="0164CCA4"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 xml:space="preserve">Պետական նպատակային ծրագրերի շրջանակներում հաշմանդամություն ունեցող անձանց պետական հավաստագրերի հիման վրա տրամադրվելու են աջակցող միջոցներ (այդ թվում՝ պրոթեզներ, օրթեզներ, քայլակներ, անվասայլակներ, լսողական սարքեր և այլն, շուրջ տարեկան 14900 աջակցող միջոց)՝ հասարակական կյանքում նրանց մասնակցությունը խթանելու նպատակով: </w:t>
      </w:r>
    </w:p>
    <w:p w14:paraId="130B6874" w14:textId="77777777"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 xml:space="preserve">Շարունակվելու է պետական աջակցություն ցուցաբերվել հասարակական կազմակերպություններին` ցերեկային կենտրոններում հաշմանդամություն ունեցող անձանց խնամք և սոցիալ-վերականգնողական ծառայություններ մատուցելու նպատակով: </w:t>
      </w:r>
    </w:p>
    <w:p w14:paraId="37B2D873" w14:textId="5C289742"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olor w:val="191919"/>
          <w:sz w:val="22"/>
          <w:szCs w:val="22"/>
          <w:shd w:val="clear" w:color="auto" w:fill="FFFFFF"/>
          <w:lang w:val="hy-AM"/>
        </w:rPr>
        <w:t>Ավանդների փոխհատուցում</w:t>
      </w:r>
      <w:r w:rsidRPr="00A83C94">
        <w:rPr>
          <w:rFonts w:ascii="GHEA Grapalat" w:hAnsi="GHEA Grapalat" w:cs="Browallia New"/>
          <w:b w:val="0"/>
          <w:sz w:val="22"/>
          <w:szCs w:val="22"/>
          <w:lang w:val="hy-AM"/>
        </w:rPr>
        <w:t xml:space="preserve"> ծրագրի շրջանակում «ՎՏԲ-Հայաստան</w:t>
      </w:r>
      <w:r w:rsidRPr="00A83C94">
        <w:rPr>
          <w:rFonts w:ascii="GHEA Grapalat" w:hAnsi="GHEA Grapalat"/>
          <w:b w:val="0"/>
          <w:sz w:val="22"/>
          <w:szCs w:val="22"/>
          <w:lang w:val="af-ZA"/>
        </w:rPr>
        <w:t>»</w:t>
      </w:r>
      <w:r w:rsidRPr="00A83C94">
        <w:rPr>
          <w:rFonts w:ascii="GHEA Grapalat" w:hAnsi="GHEA Grapalat" w:cs="Browallia New"/>
          <w:b w:val="0"/>
          <w:sz w:val="22"/>
          <w:szCs w:val="22"/>
          <w:lang w:val="hy-AM"/>
        </w:rPr>
        <w:t xml:space="preserve"> ՓԲԸ-ում ավանդատու հանդիսացող և նախկին ԽՍՀՄ Խնայբանկի ՀԽՍՀ հանրապետական բանկում մինչև 1993 թվականի հունիսի 10-ը ներդրված դրամական ավանդների փոխհատուցում ն է: </w:t>
      </w:r>
    </w:p>
    <w:p w14:paraId="63267C7E" w14:textId="0BBCC373" w:rsidR="0066585C" w:rsidRPr="00A83C94" w:rsidRDefault="0066585C" w:rsidP="0066585C">
      <w:pPr>
        <w:pStyle w:val="BodyText"/>
        <w:spacing w:line="276" w:lineRule="auto"/>
        <w:ind w:firstLine="709"/>
        <w:jc w:val="both"/>
        <w:rPr>
          <w:rFonts w:ascii="GHEA Grapalat" w:hAnsi="GHEA Grapalat" w:cs="Browallia New"/>
          <w:b w:val="0"/>
          <w:sz w:val="22"/>
          <w:szCs w:val="22"/>
          <w:lang w:val="hy-AM"/>
        </w:rPr>
      </w:pPr>
      <w:r w:rsidRPr="00A83C94">
        <w:rPr>
          <w:rFonts w:ascii="GHEA Grapalat" w:hAnsi="GHEA Grapalat" w:cs="Browallia New"/>
          <w:b w:val="0"/>
          <w:sz w:val="22"/>
          <w:szCs w:val="22"/>
          <w:lang w:val="hy-AM"/>
        </w:rPr>
        <w:t>Ծրագրի գծով ՀՀ 2021թ. պետական բյուջեով այս նպատակով հատկացված է 1,212.0 մլն դրամ՝ 8125 շահառուի համար: 2022թ. համար այս առումով նախատեսվում է 1,515.0 մլն դրամ։ 2022թ. փոխհատուցում կտրամադրվի շուրջ 7900 շահառուի: Ներդրված դրամական ավանդների դիմաց փոխհատուցում ստանալու իրավունք կտրվի նաև մինչև 1939թ. դեկտեմբերի 31-ը ներառյալ ծնված ավանդատուներին:</w:t>
      </w:r>
    </w:p>
    <w:p w14:paraId="641D5917" w14:textId="0D9B0495" w:rsidR="001C3747" w:rsidRPr="00A83C94" w:rsidRDefault="001C3747" w:rsidP="001C3747">
      <w:pPr>
        <w:pStyle w:val="BodyText"/>
        <w:spacing w:line="276" w:lineRule="auto"/>
        <w:ind w:firstLine="709"/>
        <w:jc w:val="both"/>
        <w:rPr>
          <w:rFonts w:ascii="GHEA Grapalat" w:hAnsi="GHEA Grapalat" w:cs="Browallia New"/>
          <w:b w:val="0"/>
          <w:sz w:val="22"/>
          <w:szCs w:val="22"/>
          <w:lang w:val="hy-AM"/>
        </w:rPr>
      </w:pPr>
      <w:r w:rsidRPr="00A83C94">
        <w:rPr>
          <w:rFonts w:ascii="Calibri" w:hAnsi="Calibri" w:cs="Calibri"/>
          <w:sz w:val="22"/>
          <w:szCs w:val="22"/>
          <w:lang w:val="hy-AM"/>
        </w:rPr>
        <w:t> </w:t>
      </w:r>
      <w:r w:rsidRPr="00A83C94">
        <w:rPr>
          <w:rFonts w:ascii="GHEA Grapalat" w:hAnsi="GHEA Grapalat" w:cs="Browallia New"/>
          <w:sz w:val="22"/>
          <w:szCs w:val="22"/>
          <w:lang w:val="hy-AM"/>
        </w:rPr>
        <w:t>Սոցիալական պաշտպանության համակարգի բարեփոխումներ</w:t>
      </w:r>
      <w:r w:rsidRPr="00A83C94">
        <w:rPr>
          <w:rFonts w:ascii="GHEA Grapalat" w:hAnsi="GHEA Grapalat" w:cs="Browallia New"/>
          <w:b w:val="0"/>
          <w:sz w:val="22"/>
          <w:szCs w:val="22"/>
          <w:lang w:val="hy-AM"/>
        </w:rPr>
        <w:t xml:space="preserve"> ծրագրի գծով  2022 թվականին  նախատեսվել է  3,</w:t>
      </w:r>
      <w:r w:rsidR="004E6E00" w:rsidRPr="002526E9">
        <w:rPr>
          <w:rFonts w:ascii="GHEA Grapalat" w:hAnsi="GHEA Grapalat" w:cs="Browallia New"/>
          <w:b w:val="0"/>
          <w:sz w:val="22"/>
          <w:szCs w:val="22"/>
          <w:lang w:val="hy-AM"/>
        </w:rPr>
        <w:t>009.1</w:t>
      </w:r>
      <w:r w:rsidRPr="00A83C94">
        <w:rPr>
          <w:rFonts w:ascii="GHEA Grapalat" w:hAnsi="GHEA Grapalat" w:cs="Browallia New"/>
          <w:b w:val="0"/>
          <w:sz w:val="22"/>
          <w:szCs w:val="22"/>
          <w:lang w:val="hy-AM"/>
        </w:rPr>
        <w:t xml:space="preserve"> մլն դրամ: Ծրագրի նպատակն է բարելավել սոցիալական պաշտպանության ծառայությունների տրամադրումը, աջակցել կենսաթոշակային համակարգի արդիականացմանը և զբաղվածության նոր ռազմավարության իրականացմանը, հզորացնել սոցիալական պաշտպա</w:t>
      </w:r>
      <w:r w:rsidRPr="00A83C94">
        <w:rPr>
          <w:rFonts w:ascii="GHEA Grapalat" w:hAnsi="GHEA Grapalat" w:cs="Browallia New"/>
          <w:b w:val="0"/>
          <w:sz w:val="22"/>
          <w:szCs w:val="22"/>
          <w:lang w:val="hy-AM"/>
        </w:rPr>
        <w:softHyphen/>
        <w:t>նու</w:t>
      </w:r>
      <w:r w:rsidRPr="00A83C94">
        <w:rPr>
          <w:rFonts w:ascii="GHEA Grapalat" w:hAnsi="GHEA Grapalat" w:cs="Browallia New"/>
          <w:b w:val="0"/>
          <w:sz w:val="22"/>
          <w:szCs w:val="22"/>
          <w:lang w:val="hy-AM"/>
        </w:rPr>
        <w:softHyphen/>
        <w:t>թյան նպաստներ վճարող և ծառայություններ տրամադրող մարմինների վերլուծական, մշտադիտարկման և գնահատման գործառույթները:  Ծրագրի շրջանակներում նախատեսվում է՝  ավարտին հասցնել 13 ՄՍԾՏԿ-ների և Միասնական սոցիալական ծառայության կենտրոնական գրասենյակի վերանորոգման աշխատանքները, ինչպես նաև տարածքային կենտրոնների և գրասենյակի կարիքների համար կահավորման միջոցների և սարքավորումների ձեռքբերում, մեկ միասնական էլեկտրոնային տեղեկատվական համակարգի ներդրում:</w:t>
      </w:r>
    </w:p>
    <w:p w14:paraId="63A2D90F" w14:textId="77777777" w:rsidR="001C3747" w:rsidRPr="00A83C94" w:rsidRDefault="001C3747" w:rsidP="0066585C">
      <w:pPr>
        <w:pStyle w:val="BodyText"/>
        <w:spacing w:line="276" w:lineRule="auto"/>
        <w:ind w:firstLine="709"/>
        <w:jc w:val="both"/>
        <w:rPr>
          <w:rFonts w:ascii="GHEA Grapalat" w:hAnsi="GHEA Grapalat" w:cs="Browallia New"/>
          <w:b w:val="0"/>
          <w:sz w:val="22"/>
          <w:szCs w:val="22"/>
          <w:lang w:val="hy-AM"/>
        </w:rPr>
      </w:pPr>
    </w:p>
    <w:p w14:paraId="502FEC6F" w14:textId="77777777" w:rsidR="00264CBE" w:rsidRPr="00A83C94" w:rsidRDefault="00264CBE" w:rsidP="00264CBE">
      <w:pPr>
        <w:pStyle w:val="BodyText"/>
        <w:spacing w:line="276" w:lineRule="auto"/>
        <w:ind w:firstLine="709"/>
        <w:jc w:val="both"/>
        <w:rPr>
          <w:rFonts w:ascii="GHEA Grapalat" w:hAnsi="GHEA Grapalat" w:cs="Browallia New"/>
          <w:sz w:val="22"/>
          <w:szCs w:val="22"/>
          <w:lang w:val="hy-AM"/>
        </w:rPr>
      </w:pPr>
    </w:p>
    <w:p w14:paraId="49F4162F" w14:textId="77777777" w:rsidR="00366B0D" w:rsidRPr="00A83C94" w:rsidRDefault="00366B0D" w:rsidP="002F7255">
      <w:pPr>
        <w:pStyle w:val="Heading3"/>
        <w:rPr>
          <w:noProof/>
        </w:rPr>
      </w:pPr>
      <w:bookmarkStart w:id="308" w:name="_Toc89428316"/>
      <w:r w:rsidRPr="00A83C94">
        <w:rPr>
          <w:noProof/>
        </w:rPr>
        <w:t xml:space="preserve">ՀՀ </w:t>
      </w:r>
      <w:r w:rsidR="004E7CE1" w:rsidRPr="00A83C94">
        <w:rPr>
          <w:noProof/>
        </w:rPr>
        <w:t>տարածքային կառավարման և</w:t>
      </w:r>
      <w:r w:rsidRPr="00A83C94">
        <w:rPr>
          <w:noProof/>
        </w:rPr>
        <w:t xml:space="preserve"> ենթակառուցվածքների նախարարություն</w:t>
      </w:r>
      <w:bookmarkEnd w:id="308"/>
    </w:p>
    <w:p w14:paraId="535A4518" w14:textId="0F2E0FDD"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ՀՀ տարածքային կառավարման և ենթակառուցվածքների նախարարության գծով 2022 թվականի պետական բյուջեով նախատես</w:t>
      </w:r>
      <w:r w:rsidRPr="00A83C94">
        <w:rPr>
          <w:rFonts w:cs="Sylfaen"/>
          <w:b w:val="0"/>
          <w:szCs w:val="22"/>
          <w:lang w:val="hy-AM"/>
        </w:rPr>
        <w:softHyphen/>
        <w:t xml:space="preserve">վում է </w:t>
      </w:r>
      <w:r w:rsidR="00087CB3" w:rsidRPr="002A203C">
        <w:rPr>
          <w:rFonts w:cs="Sylfaen"/>
          <w:b w:val="0"/>
          <w:szCs w:val="22"/>
          <w:lang w:val="af-ZA"/>
        </w:rPr>
        <w:t>27</w:t>
      </w:r>
      <w:r w:rsidR="00E31794">
        <w:rPr>
          <w:rFonts w:cs="Sylfaen"/>
          <w:b w:val="0"/>
          <w:szCs w:val="22"/>
          <w:lang w:val="af-ZA"/>
        </w:rPr>
        <w:t>4</w:t>
      </w:r>
      <w:r w:rsidRPr="00A83C94">
        <w:rPr>
          <w:rFonts w:cs="Sylfaen"/>
          <w:b w:val="0"/>
          <w:szCs w:val="22"/>
          <w:lang w:val="hy-AM"/>
        </w:rPr>
        <w:t>,</w:t>
      </w:r>
      <w:r w:rsidR="00E31794" w:rsidRPr="00186639">
        <w:rPr>
          <w:rFonts w:cs="Sylfaen"/>
          <w:b w:val="0"/>
          <w:szCs w:val="22"/>
          <w:lang w:val="af-ZA"/>
        </w:rPr>
        <w:t>197</w:t>
      </w:r>
      <w:r w:rsidRPr="00A83C94">
        <w:rPr>
          <w:rFonts w:cs="Sylfaen"/>
          <w:b w:val="0"/>
          <w:szCs w:val="22"/>
          <w:lang w:val="hy-AM"/>
        </w:rPr>
        <w:t>.</w:t>
      </w:r>
      <w:r w:rsidR="00E31794" w:rsidRPr="00186639">
        <w:rPr>
          <w:rFonts w:cs="Sylfaen"/>
          <w:b w:val="0"/>
          <w:szCs w:val="22"/>
          <w:lang w:val="af-ZA"/>
        </w:rPr>
        <w:t>4</w:t>
      </w:r>
      <w:r w:rsidRPr="00A83C94">
        <w:rPr>
          <w:rFonts w:cs="Sylfaen"/>
          <w:b w:val="0"/>
          <w:szCs w:val="22"/>
          <w:lang w:val="hy-AM"/>
        </w:rPr>
        <w:t xml:space="preserve"> մլն դրամ</w:t>
      </w:r>
      <w:r w:rsidR="00DA7C3D" w:rsidRPr="00A83C94">
        <w:rPr>
          <w:rFonts w:cs="Sylfaen"/>
          <w:b w:val="0"/>
          <w:szCs w:val="22"/>
          <w:lang w:val="hy-AM"/>
        </w:rPr>
        <w:t>ի ծախսեր</w:t>
      </w:r>
      <w:r w:rsidRPr="00A83C94">
        <w:rPr>
          <w:rFonts w:cs="Sylfaen"/>
          <w:b w:val="0"/>
          <w:szCs w:val="22"/>
          <w:lang w:val="hy-AM"/>
        </w:rPr>
        <w:t xml:space="preserve"> </w:t>
      </w:r>
      <w:r w:rsidR="005D36B9" w:rsidRPr="00A83C94">
        <w:rPr>
          <w:b w:val="0"/>
          <w:color w:val="000000"/>
          <w:szCs w:val="22"/>
          <w:lang w:val="hy-AM" w:eastAsia="en-US"/>
        </w:rPr>
        <w:t>(ներառյալ կառավարման ապարատի պահպանման ծախսերը)</w:t>
      </w:r>
      <w:r w:rsidRPr="00A83C94">
        <w:rPr>
          <w:rFonts w:cs="Sylfaen"/>
          <w:b w:val="0"/>
          <w:szCs w:val="22"/>
          <w:lang w:val="hy-AM"/>
        </w:rPr>
        <w:t>¸ որի շրջանակներում նախատեսվում է իրականացնել հետևյալ ծրագրերը.</w:t>
      </w:r>
    </w:p>
    <w:p w14:paraId="49198069" w14:textId="1995D0D3" w:rsidR="0023176E" w:rsidRPr="00A83C94" w:rsidRDefault="0023176E" w:rsidP="0023176E">
      <w:pPr>
        <w:spacing w:before="0" w:line="276" w:lineRule="auto"/>
        <w:rPr>
          <w:b w:val="0"/>
          <w:bCs/>
          <w:iCs/>
          <w:lang w:val="hy-AM"/>
        </w:rPr>
      </w:pPr>
      <w:r w:rsidRPr="00A83C94">
        <w:rPr>
          <w:bCs/>
          <w:iCs/>
          <w:lang w:val="hy-AM"/>
        </w:rPr>
        <w:t xml:space="preserve">Ոռոգման համակարգի առողջացում </w:t>
      </w:r>
      <w:r w:rsidRPr="00A83C94">
        <w:rPr>
          <w:b w:val="0"/>
          <w:bCs/>
          <w:iCs/>
          <w:lang w:val="hy-AM"/>
        </w:rPr>
        <w:t xml:space="preserve">ծրագրի </w:t>
      </w:r>
      <w:r w:rsidRPr="00A83C94">
        <w:rPr>
          <w:rFonts w:cs="Sylfaen"/>
          <w:b w:val="0"/>
          <w:lang w:val="hy-AM"/>
        </w:rPr>
        <w:t xml:space="preserve">գծով  2022 թվականին  նախատեսվել է  </w:t>
      </w:r>
      <w:r w:rsidR="00846F8E" w:rsidRPr="002526E9">
        <w:rPr>
          <w:rFonts w:cs="GHEA Grapalat"/>
          <w:b w:val="0"/>
          <w:lang w:val="hy-AM"/>
        </w:rPr>
        <w:t>29,780.7</w:t>
      </w:r>
      <w:r w:rsidRPr="00D219C7">
        <w:rPr>
          <w:rFonts w:cs="GHEA Grapalat"/>
          <w:b w:val="0"/>
          <w:lang w:val="hy-AM"/>
        </w:rPr>
        <w:t xml:space="preserve"> մլն </w:t>
      </w:r>
      <w:r w:rsidRPr="00A83C94">
        <w:rPr>
          <w:rFonts w:cs="GHEA Grapalat"/>
          <w:b w:val="0"/>
          <w:lang w:val="hy-AM"/>
        </w:rPr>
        <w:t>դրամ</w:t>
      </w:r>
      <w:r w:rsidRPr="00A83C94">
        <w:rPr>
          <w:b w:val="0"/>
          <w:bCs/>
          <w:iCs/>
          <w:lang w:val="hy-AM"/>
        </w:rPr>
        <w:t>.</w:t>
      </w:r>
    </w:p>
    <w:p w14:paraId="72601C0D" w14:textId="4C109E10" w:rsidR="0023176E" w:rsidRPr="00A83C94" w:rsidRDefault="0023176E" w:rsidP="0023176E">
      <w:pPr>
        <w:spacing w:line="276" w:lineRule="auto"/>
        <w:rPr>
          <w:b w:val="0"/>
          <w:szCs w:val="22"/>
          <w:lang w:val="hy-AM"/>
        </w:rPr>
      </w:pPr>
      <w:r w:rsidRPr="00A83C94">
        <w:rPr>
          <w:b w:val="0"/>
          <w:szCs w:val="22"/>
          <w:lang w:val="hy-AM"/>
        </w:rPr>
        <w:t>Ծրագրի նպատակն է ստեղծել ոռոգման ոլորտի զարգացման և բարեփոխումների շարունակականության, ֆինանսական կայունության համար բավարար հիմքեր, ապահովել ենթակառուցվածքների և ոլորտային կազմակերպությունների ինքնաբավ և տնտեսապես անկախ գործունեությունը, որով ակնկալվում է նվազեցնել ոռոգման ջրի կորուստները, ավելացնել փաստացի ոռոգելի հողատարածքների մակերեսը: Ծրագրի շրջանակներում նախա</w:t>
      </w:r>
      <w:r w:rsidRPr="00A83C94">
        <w:rPr>
          <w:b w:val="0"/>
          <w:szCs w:val="22"/>
          <w:lang w:val="hy-AM"/>
        </w:rPr>
        <w:softHyphen/>
        <w:t>տեսվում է սուբսիդավորել «Ջրառ» ՓԲԸ</w:t>
      </w:r>
      <w:r w:rsidR="00EA5563" w:rsidRPr="00813A99">
        <w:rPr>
          <w:b w:val="0"/>
          <w:szCs w:val="22"/>
          <w:lang w:val="hy-AM"/>
        </w:rPr>
        <w:t xml:space="preserve">-ի </w:t>
      </w:r>
      <w:r w:rsidRPr="00A83C94">
        <w:rPr>
          <w:b w:val="0"/>
          <w:szCs w:val="22"/>
          <w:lang w:val="hy-AM"/>
        </w:rPr>
        <w:t xml:space="preserve">և 15 ջրօգտագործողների ընկերությունների գործունեության արդյունքում առաջացող ֆինանսական ճեղքվածքը, ոռոգման համակարգերի մայր և երկրորդ կարգի ջրանցքների բաժանարար կետերը կահավորել 715 SCADA համակարգով հագեցած ջրաչափական սարքավորումներով, հիմնանորոգել 1910 մ ջրանցք, վերականգնել 73 գծմ դյուկ, 94 ինքնաշատրվանվող և  4 խորքային հորեր, ինչպես նաև տեղադրել պոմպակայանի շուրջ 800 մ մղման խողովակ, իրականացնել Հեր-Հերի ջրամբարից ինքնահոս ջրատար համակարգի շուրջ 3 կմ կառուցման աշխատանքներ, սկսել և ձեռքբերել  15 փոքր և միջին ջրամբարների կառուցման, </w:t>
      </w:r>
      <w:r w:rsidR="006450C3" w:rsidRPr="00A83C94">
        <w:rPr>
          <w:rFonts w:cs="Sylfaen"/>
          <w:b w:val="0"/>
          <w:szCs w:val="22"/>
          <w:lang w:val="af-ZA"/>
        </w:rPr>
        <w:t>1 ջրամբարի վերականգնման</w:t>
      </w:r>
      <w:r w:rsidR="006450C3" w:rsidRPr="00A83C94">
        <w:rPr>
          <w:rFonts w:cs="Sylfaen"/>
          <w:b w:val="0"/>
          <w:szCs w:val="22"/>
          <w:lang w:val="hy-AM"/>
        </w:rPr>
        <w:t>,</w:t>
      </w:r>
      <w:r w:rsidR="006450C3" w:rsidRPr="00A83C94">
        <w:rPr>
          <w:rFonts w:cs="Sylfaen"/>
          <w:b w:val="0"/>
          <w:szCs w:val="22"/>
          <w:lang w:val="af-ZA"/>
        </w:rPr>
        <w:t xml:space="preserve"> </w:t>
      </w:r>
      <w:r w:rsidRPr="00A83C94">
        <w:rPr>
          <w:rFonts w:cs="Sylfaen"/>
          <w:b w:val="0"/>
          <w:szCs w:val="22"/>
          <w:lang w:val="af-ZA"/>
        </w:rPr>
        <w:t xml:space="preserve">31 </w:t>
      </w:r>
      <w:r w:rsidRPr="00A83C94">
        <w:rPr>
          <w:rFonts w:cs="Sylfaen"/>
          <w:b w:val="0"/>
          <w:szCs w:val="22"/>
          <w:lang w:val="hy-AM"/>
        </w:rPr>
        <w:t xml:space="preserve">օրվա կարգավորիչ </w:t>
      </w:r>
      <w:r w:rsidRPr="00A83C94">
        <w:rPr>
          <w:rFonts w:cs="Sylfaen"/>
          <w:b w:val="0"/>
          <w:szCs w:val="22"/>
          <w:lang w:val="af-ZA"/>
        </w:rPr>
        <w:t>ջրավազանների կառուցման</w:t>
      </w:r>
      <w:r w:rsidRPr="00A83C94">
        <w:rPr>
          <w:b w:val="0"/>
          <w:szCs w:val="22"/>
          <w:lang w:val="hy-AM"/>
        </w:rPr>
        <w:t xml:space="preserve"> աշխատանքների նախագծանախահաշվային փաստաթղթեր</w:t>
      </w:r>
      <w:r w:rsidR="006450C3" w:rsidRPr="00A83C94">
        <w:rPr>
          <w:b w:val="0"/>
          <w:szCs w:val="22"/>
          <w:lang w:val="hy-AM"/>
        </w:rPr>
        <w:t xml:space="preserve">, ինչպես նաև իրականացնել </w:t>
      </w:r>
      <w:r w:rsidR="006450C3" w:rsidRPr="00A83C94">
        <w:rPr>
          <w:rFonts w:cs="Sylfaen"/>
          <w:b w:val="0"/>
          <w:szCs w:val="22"/>
          <w:lang w:val="af-ZA"/>
        </w:rPr>
        <w:t>5 ջրամբարների վերականգնման ու վերազինման</w:t>
      </w:r>
      <w:r w:rsidR="006450C3" w:rsidRPr="00A83C94">
        <w:rPr>
          <w:rFonts w:cs="Sylfaen"/>
          <w:b w:val="0"/>
          <w:szCs w:val="22"/>
          <w:lang w:val="hy-AM"/>
        </w:rPr>
        <w:t xml:space="preserve"> աշխատանքներ</w:t>
      </w:r>
      <w:r w:rsidRPr="00A83C94">
        <w:rPr>
          <w:b w:val="0"/>
          <w:szCs w:val="22"/>
          <w:lang w:val="hy-AM"/>
        </w:rPr>
        <w:t>։ Բացի այդ նախատեսվում է իրականացնել հակահեղեղային առաջնահերթ միջոցառումների 10 ծրագիր՝ մաքրելով գետերի և հեղեղատարների հուները, իրականացնելով ափերի ամրացման աշխատանքներ։</w:t>
      </w:r>
    </w:p>
    <w:p w14:paraId="6C210BBE" w14:textId="77777777" w:rsidR="0023176E" w:rsidRPr="00A83C94" w:rsidRDefault="0023176E" w:rsidP="0023176E">
      <w:pPr>
        <w:spacing w:line="276" w:lineRule="auto"/>
        <w:rPr>
          <w:b w:val="0"/>
          <w:szCs w:val="22"/>
          <w:lang w:val="hy-AM"/>
        </w:rPr>
      </w:pPr>
      <w:r w:rsidRPr="00A83C94">
        <w:rPr>
          <w:b w:val="0"/>
          <w:szCs w:val="22"/>
          <w:lang w:val="hy-AM"/>
        </w:rPr>
        <w:t xml:space="preserve">Արտաքին աղբյուրների ֆինանսավորմամբ իրականացվող շարունակական ծրագրերի ներքո նախատեսվում է ավարտին հասցնել Վեդու ջրամբարի կառուցման (կկառուցվի  37մ բարձրությամբ Վեդու ջրամբարի պատվարը, կվերականգնվի Վեդու ջրամբարի ոռոգման ներտնտեսային ցանցի 93,2 կմ հատվածը), ինչպես նաև Կապսի ջրամբարի 7.1 մ բարձրությամբ պատվարի շինարարական աշխատանքները: ՀՀ մարզերում կհիմնանորոգվի ոռոգման ցանցերի շուրջ 92,8 կմ հատվածը, որով կբարելավվի ոռոգման համակարգերի ընդանուր վիճակը։ </w:t>
      </w:r>
    </w:p>
    <w:p w14:paraId="4ACC5CF4" w14:textId="77777777" w:rsidR="0023176E" w:rsidRPr="00A83C94" w:rsidRDefault="0023176E" w:rsidP="0023176E">
      <w:pPr>
        <w:spacing w:line="276" w:lineRule="auto"/>
        <w:rPr>
          <w:b w:val="0"/>
          <w:szCs w:val="22"/>
          <w:lang w:val="hy-AM"/>
        </w:rPr>
      </w:pPr>
      <w:r w:rsidRPr="00A83C94">
        <w:rPr>
          <w:b w:val="0"/>
          <w:szCs w:val="22"/>
          <w:lang w:val="hy-AM"/>
        </w:rPr>
        <w:t xml:space="preserve">Միաժամանակ Եվրոմիության համատեղ ֆինանսավորմամբ նախատեսվում է իրականացնել՝ ոռոգման համակարգի կառուցում, որի շրջանակներում կիրականացվի 17 բնակավայրերում պոմպակայանների, խողովակաշարերի և ջրագծերի կառուցում, 1 նոր ՕԿՋ-ների կառուցում, 4 ջրամբարների վերանորոգում, ջրամբարների  հիմնական ջրատարների (128կմ ինքնահոս ջրատար)  կառուցում: </w:t>
      </w:r>
    </w:p>
    <w:p w14:paraId="1D16C9E5" w14:textId="77777777" w:rsidR="0023176E" w:rsidRPr="00A83C94" w:rsidRDefault="0023176E" w:rsidP="0023176E">
      <w:pPr>
        <w:spacing w:before="0" w:line="276" w:lineRule="auto"/>
        <w:rPr>
          <w:b w:val="0"/>
          <w:bCs/>
          <w:iCs/>
          <w:lang w:val="hy-AM"/>
        </w:rPr>
      </w:pPr>
      <w:r w:rsidRPr="00A83C94">
        <w:rPr>
          <w:szCs w:val="22"/>
          <w:lang w:val="hy-AM"/>
        </w:rPr>
        <w:t>Որոտան</w:t>
      </w:r>
      <w:r w:rsidRPr="00A83C94">
        <w:rPr>
          <w:szCs w:val="22"/>
          <w:lang w:val="af-ZA"/>
        </w:rPr>
        <w:t>-</w:t>
      </w:r>
      <w:r w:rsidRPr="00A83C94">
        <w:rPr>
          <w:szCs w:val="22"/>
          <w:lang w:val="hy-AM"/>
        </w:rPr>
        <w:t>Արփա</w:t>
      </w:r>
      <w:r w:rsidRPr="00A83C94">
        <w:rPr>
          <w:szCs w:val="22"/>
          <w:lang w:val="af-ZA"/>
        </w:rPr>
        <w:t>-</w:t>
      </w:r>
      <w:r w:rsidRPr="00A83C94">
        <w:rPr>
          <w:szCs w:val="22"/>
          <w:lang w:val="hy-AM"/>
        </w:rPr>
        <w:t>Սևան</w:t>
      </w:r>
      <w:r w:rsidRPr="00A83C94">
        <w:rPr>
          <w:szCs w:val="22"/>
          <w:lang w:val="af-ZA"/>
        </w:rPr>
        <w:t xml:space="preserve"> </w:t>
      </w:r>
      <w:r w:rsidRPr="00A83C94">
        <w:rPr>
          <w:szCs w:val="22"/>
          <w:lang w:val="hy-AM"/>
        </w:rPr>
        <w:t>թունելի</w:t>
      </w:r>
      <w:r w:rsidRPr="00A83C94">
        <w:rPr>
          <w:szCs w:val="22"/>
          <w:lang w:val="af-ZA"/>
        </w:rPr>
        <w:t xml:space="preserve"> </w:t>
      </w:r>
      <w:r w:rsidRPr="00A83C94">
        <w:rPr>
          <w:szCs w:val="22"/>
          <w:lang w:val="hy-AM"/>
        </w:rPr>
        <w:t>ջրային</w:t>
      </w:r>
      <w:r w:rsidRPr="00A83C94">
        <w:rPr>
          <w:szCs w:val="22"/>
          <w:lang w:val="af-ZA"/>
        </w:rPr>
        <w:t xml:space="preserve"> </w:t>
      </w:r>
      <w:r w:rsidRPr="00A83C94">
        <w:rPr>
          <w:szCs w:val="22"/>
          <w:lang w:val="hy-AM"/>
        </w:rPr>
        <w:t>համակարգի</w:t>
      </w:r>
      <w:r w:rsidRPr="00A83C94">
        <w:rPr>
          <w:szCs w:val="22"/>
          <w:lang w:val="af-ZA"/>
        </w:rPr>
        <w:t xml:space="preserve"> </w:t>
      </w:r>
      <w:r w:rsidRPr="00A83C94">
        <w:rPr>
          <w:szCs w:val="22"/>
          <w:lang w:val="hy-AM"/>
        </w:rPr>
        <w:t>կառավարում</w:t>
      </w:r>
      <w:r w:rsidRPr="00A83C94">
        <w:rPr>
          <w:szCs w:val="22"/>
          <w:lang w:val="af-ZA"/>
        </w:rPr>
        <w:t xml:space="preserve"> </w:t>
      </w:r>
      <w:r w:rsidRPr="00A83C94">
        <w:rPr>
          <w:b w:val="0"/>
          <w:bCs/>
          <w:iCs/>
          <w:lang w:val="hy-AM"/>
        </w:rPr>
        <w:t>ծրագրի</w:t>
      </w:r>
      <w:r w:rsidRPr="00A83C94">
        <w:rPr>
          <w:b w:val="0"/>
          <w:bCs/>
          <w:iCs/>
          <w:lang w:val="af-ZA"/>
        </w:rPr>
        <w:t xml:space="preserve"> </w:t>
      </w:r>
      <w:r w:rsidRPr="00A83C94">
        <w:rPr>
          <w:rFonts w:cs="Sylfaen"/>
          <w:b w:val="0"/>
          <w:lang w:val="hy-AM"/>
        </w:rPr>
        <w:t>գծով  2022 թվականին  նախատեսվել է  1</w:t>
      </w:r>
      <w:r w:rsidRPr="00A83C94">
        <w:rPr>
          <w:rFonts w:cs="Sylfaen"/>
          <w:b w:val="0"/>
          <w:lang w:val="af-ZA"/>
        </w:rPr>
        <w:t>,</w:t>
      </w:r>
      <w:r w:rsidRPr="00A83C94">
        <w:rPr>
          <w:rFonts w:cs="Sylfaen"/>
          <w:b w:val="0"/>
          <w:lang w:val="hy-AM"/>
        </w:rPr>
        <w:t>715</w:t>
      </w:r>
      <w:r w:rsidRPr="00A83C94">
        <w:rPr>
          <w:rFonts w:ascii="Cambria Math" w:hAnsi="Cambria Math" w:cs="Cambria Math"/>
          <w:b w:val="0"/>
          <w:lang w:val="hy-AM"/>
        </w:rPr>
        <w:t>․1</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0E4C1416" w14:textId="77777777" w:rsidR="0023176E" w:rsidRPr="00A83C94" w:rsidRDefault="0023176E" w:rsidP="0023176E">
      <w:pPr>
        <w:spacing w:line="276" w:lineRule="auto"/>
        <w:rPr>
          <w:b w:val="0"/>
          <w:szCs w:val="22"/>
          <w:lang w:val="af-ZA"/>
        </w:rPr>
      </w:pPr>
      <w:r w:rsidRPr="00A83C94">
        <w:rPr>
          <w:b w:val="0"/>
          <w:szCs w:val="22"/>
          <w:lang w:val="hy-AM"/>
        </w:rPr>
        <w:t>Ծրագրի</w:t>
      </w:r>
      <w:r w:rsidRPr="00A83C94">
        <w:rPr>
          <w:b w:val="0"/>
          <w:szCs w:val="22"/>
          <w:lang w:val="af-ZA"/>
        </w:rPr>
        <w:t xml:space="preserve"> </w:t>
      </w:r>
      <w:r w:rsidRPr="00A83C94">
        <w:rPr>
          <w:b w:val="0"/>
          <w:szCs w:val="22"/>
          <w:lang w:val="hy-AM"/>
        </w:rPr>
        <w:t>նպատակն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վերականգնել</w:t>
      </w:r>
      <w:r w:rsidRPr="00A83C94">
        <w:rPr>
          <w:b w:val="0"/>
          <w:szCs w:val="22"/>
          <w:lang w:val="af-ZA"/>
        </w:rPr>
        <w:t xml:space="preserve"> </w:t>
      </w:r>
      <w:r w:rsidRPr="00A83C94">
        <w:rPr>
          <w:b w:val="0"/>
          <w:szCs w:val="22"/>
          <w:lang w:val="hy-AM"/>
        </w:rPr>
        <w:t>Արփա</w:t>
      </w:r>
      <w:r w:rsidRPr="00A83C94">
        <w:rPr>
          <w:b w:val="0"/>
          <w:szCs w:val="22"/>
          <w:lang w:val="af-ZA"/>
        </w:rPr>
        <w:t>-</w:t>
      </w:r>
      <w:r w:rsidRPr="00A83C94">
        <w:rPr>
          <w:b w:val="0"/>
          <w:szCs w:val="22"/>
          <w:lang w:val="hy-AM"/>
        </w:rPr>
        <w:t>Սևան</w:t>
      </w:r>
      <w:r w:rsidRPr="00A83C94">
        <w:rPr>
          <w:b w:val="0"/>
          <w:szCs w:val="22"/>
          <w:lang w:val="af-ZA"/>
        </w:rPr>
        <w:t xml:space="preserve"> </w:t>
      </w:r>
      <w:r w:rsidRPr="00A83C94">
        <w:rPr>
          <w:b w:val="0"/>
          <w:szCs w:val="22"/>
          <w:lang w:val="hy-AM"/>
        </w:rPr>
        <w:t>թունելի</w:t>
      </w:r>
      <w:r w:rsidRPr="00A83C94">
        <w:rPr>
          <w:b w:val="0"/>
          <w:szCs w:val="22"/>
          <w:lang w:val="af-ZA"/>
        </w:rPr>
        <w:t xml:space="preserve"> </w:t>
      </w:r>
      <w:r w:rsidRPr="00A83C94">
        <w:rPr>
          <w:b w:val="0"/>
          <w:szCs w:val="22"/>
          <w:lang w:val="hy-AM"/>
        </w:rPr>
        <w:t>վթարային</w:t>
      </w:r>
      <w:r w:rsidRPr="00A83C94">
        <w:rPr>
          <w:b w:val="0"/>
          <w:szCs w:val="22"/>
          <w:lang w:val="af-ZA"/>
        </w:rPr>
        <w:t xml:space="preserve"> </w:t>
      </w:r>
      <w:r w:rsidRPr="00A83C94">
        <w:rPr>
          <w:b w:val="0"/>
          <w:szCs w:val="22"/>
          <w:lang w:val="hy-AM"/>
        </w:rPr>
        <w:t>հատվածները</w:t>
      </w:r>
      <w:r w:rsidRPr="00A83C94">
        <w:rPr>
          <w:b w:val="0"/>
          <w:szCs w:val="22"/>
          <w:lang w:val="af-ZA"/>
        </w:rPr>
        <w:t xml:space="preserve"> </w:t>
      </w:r>
      <w:r w:rsidRPr="00A83C94">
        <w:rPr>
          <w:b w:val="0"/>
          <w:szCs w:val="22"/>
          <w:lang w:val="hy-AM"/>
        </w:rPr>
        <w:t>և</w:t>
      </w:r>
      <w:r w:rsidRPr="00A83C94">
        <w:rPr>
          <w:b w:val="0"/>
          <w:szCs w:val="22"/>
          <w:lang w:val="af-ZA"/>
        </w:rPr>
        <w:t xml:space="preserve"> </w:t>
      </w:r>
      <w:r w:rsidRPr="00A83C94">
        <w:rPr>
          <w:b w:val="0"/>
          <w:szCs w:val="22"/>
          <w:lang w:val="hy-AM"/>
        </w:rPr>
        <w:t>պահպանել</w:t>
      </w:r>
      <w:r w:rsidRPr="00A83C94">
        <w:rPr>
          <w:b w:val="0"/>
          <w:szCs w:val="22"/>
          <w:lang w:val="af-ZA"/>
        </w:rPr>
        <w:t xml:space="preserve"> </w:t>
      </w:r>
      <w:r w:rsidRPr="00A83C94">
        <w:rPr>
          <w:b w:val="0"/>
          <w:szCs w:val="22"/>
          <w:lang w:val="hy-AM"/>
        </w:rPr>
        <w:t>այն</w:t>
      </w:r>
      <w:r w:rsidRPr="00A83C94">
        <w:rPr>
          <w:b w:val="0"/>
          <w:szCs w:val="22"/>
          <w:lang w:val="af-ZA"/>
        </w:rPr>
        <w:t xml:space="preserve">, </w:t>
      </w:r>
      <w:r w:rsidRPr="00A83C94">
        <w:rPr>
          <w:b w:val="0"/>
          <w:szCs w:val="22"/>
          <w:lang w:val="hy-AM"/>
        </w:rPr>
        <w:t>որից</w:t>
      </w:r>
      <w:r w:rsidRPr="00A83C94">
        <w:rPr>
          <w:b w:val="0"/>
          <w:szCs w:val="22"/>
          <w:lang w:val="af-ZA"/>
        </w:rPr>
        <w:t xml:space="preserve"> </w:t>
      </w:r>
      <w:r w:rsidRPr="00A83C94">
        <w:rPr>
          <w:b w:val="0"/>
          <w:szCs w:val="22"/>
          <w:lang w:val="hy-AM"/>
        </w:rPr>
        <w:t>ակնկալվող</w:t>
      </w:r>
      <w:r w:rsidRPr="00A83C94">
        <w:rPr>
          <w:b w:val="0"/>
          <w:szCs w:val="22"/>
          <w:lang w:val="af-ZA"/>
        </w:rPr>
        <w:t xml:space="preserve"> </w:t>
      </w:r>
      <w:r w:rsidRPr="00A83C94">
        <w:rPr>
          <w:b w:val="0"/>
          <w:szCs w:val="22"/>
          <w:lang w:val="hy-AM"/>
        </w:rPr>
        <w:t>վերջնական</w:t>
      </w:r>
      <w:r w:rsidRPr="00A83C94">
        <w:rPr>
          <w:b w:val="0"/>
          <w:szCs w:val="22"/>
          <w:lang w:val="af-ZA"/>
        </w:rPr>
        <w:t xml:space="preserve"> </w:t>
      </w:r>
      <w:r w:rsidRPr="00A83C94">
        <w:rPr>
          <w:b w:val="0"/>
          <w:szCs w:val="22"/>
          <w:lang w:val="hy-AM"/>
        </w:rPr>
        <w:t>արդյունքն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առավելագույն</w:t>
      </w:r>
      <w:r w:rsidRPr="00A83C94">
        <w:rPr>
          <w:b w:val="0"/>
          <w:szCs w:val="22"/>
          <w:lang w:val="af-ZA"/>
        </w:rPr>
        <w:t xml:space="preserve"> </w:t>
      </w:r>
      <w:r w:rsidRPr="00A83C94">
        <w:rPr>
          <w:b w:val="0"/>
          <w:szCs w:val="22"/>
          <w:lang w:val="hy-AM"/>
        </w:rPr>
        <w:t>քանակի</w:t>
      </w:r>
      <w:r w:rsidRPr="00A83C94">
        <w:rPr>
          <w:b w:val="0"/>
          <w:szCs w:val="22"/>
          <w:lang w:val="af-ZA"/>
        </w:rPr>
        <w:t xml:space="preserve"> </w:t>
      </w:r>
      <w:r w:rsidRPr="00A83C94">
        <w:rPr>
          <w:b w:val="0"/>
          <w:szCs w:val="22"/>
          <w:lang w:val="hy-AM"/>
        </w:rPr>
        <w:t>ջուր</w:t>
      </w:r>
      <w:r w:rsidRPr="00A83C94">
        <w:rPr>
          <w:b w:val="0"/>
          <w:szCs w:val="22"/>
          <w:lang w:val="af-ZA"/>
        </w:rPr>
        <w:t xml:space="preserve"> </w:t>
      </w:r>
      <w:r w:rsidRPr="00A83C94">
        <w:rPr>
          <w:b w:val="0"/>
          <w:szCs w:val="22"/>
          <w:lang w:val="hy-AM"/>
        </w:rPr>
        <w:t>տեղափոխել</w:t>
      </w:r>
      <w:r w:rsidRPr="00A83C94">
        <w:rPr>
          <w:b w:val="0"/>
          <w:szCs w:val="22"/>
          <w:lang w:val="af-ZA"/>
        </w:rPr>
        <w:t xml:space="preserve"> </w:t>
      </w:r>
      <w:r w:rsidRPr="00A83C94">
        <w:rPr>
          <w:b w:val="0"/>
          <w:szCs w:val="22"/>
          <w:lang w:val="hy-AM"/>
        </w:rPr>
        <w:t>դեպի</w:t>
      </w:r>
      <w:r w:rsidRPr="00A83C94">
        <w:rPr>
          <w:b w:val="0"/>
          <w:szCs w:val="22"/>
          <w:lang w:val="af-ZA"/>
        </w:rPr>
        <w:t xml:space="preserve"> </w:t>
      </w:r>
      <w:r w:rsidRPr="00A83C94">
        <w:rPr>
          <w:b w:val="0"/>
          <w:szCs w:val="22"/>
          <w:lang w:val="hy-AM"/>
        </w:rPr>
        <w:t>Սևանա</w:t>
      </w:r>
      <w:r w:rsidRPr="00A83C94">
        <w:rPr>
          <w:b w:val="0"/>
          <w:szCs w:val="22"/>
          <w:lang w:val="af-ZA"/>
        </w:rPr>
        <w:t xml:space="preserve"> </w:t>
      </w:r>
      <w:r w:rsidRPr="00A83C94">
        <w:rPr>
          <w:b w:val="0"/>
          <w:szCs w:val="22"/>
          <w:lang w:val="hy-AM"/>
        </w:rPr>
        <w:t>լիճ</w:t>
      </w:r>
      <w:r w:rsidRPr="00A83C94">
        <w:rPr>
          <w:b w:val="0"/>
          <w:szCs w:val="22"/>
          <w:lang w:val="af-ZA"/>
        </w:rPr>
        <w:t xml:space="preserve">: </w:t>
      </w:r>
      <w:r w:rsidRPr="00A83C94">
        <w:rPr>
          <w:b w:val="0"/>
          <w:szCs w:val="22"/>
          <w:lang w:val="hy-AM"/>
        </w:rPr>
        <w:t>Ծրագրի</w:t>
      </w:r>
      <w:r w:rsidRPr="00A83C94">
        <w:rPr>
          <w:b w:val="0"/>
          <w:szCs w:val="22"/>
          <w:lang w:val="af-ZA"/>
        </w:rPr>
        <w:t xml:space="preserve"> </w:t>
      </w:r>
      <w:r w:rsidRPr="00A83C94">
        <w:rPr>
          <w:b w:val="0"/>
          <w:szCs w:val="22"/>
          <w:lang w:val="hy-AM"/>
        </w:rPr>
        <w:t>շրջանակներում</w:t>
      </w:r>
      <w:r w:rsidRPr="00A83C94">
        <w:rPr>
          <w:b w:val="0"/>
          <w:szCs w:val="22"/>
          <w:lang w:val="af-ZA"/>
        </w:rPr>
        <w:t xml:space="preserve"> </w:t>
      </w:r>
      <w:r w:rsidRPr="00A83C94">
        <w:rPr>
          <w:b w:val="0"/>
          <w:szCs w:val="22"/>
          <w:lang w:val="hy-AM"/>
        </w:rPr>
        <w:t>նախա</w:t>
      </w:r>
      <w:r w:rsidRPr="00A83C94">
        <w:rPr>
          <w:b w:val="0"/>
          <w:szCs w:val="22"/>
          <w:lang w:val="af-ZA"/>
        </w:rPr>
        <w:softHyphen/>
      </w:r>
      <w:r w:rsidRPr="00A83C94">
        <w:rPr>
          <w:b w:val="0"/>
          <w:szCs w:val="22"/>
          <w:lang w:val="hy-AM"/>
        </w:rPr>
        <w:t>տեսվում</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իրականացնել</w:t>
      </w:r>
      <w:r w:rsidRPr="00A83C94">
        <w:rPr>
          <w:b w:val="0"/>
          <w:szCs w:val="22"/>
          <w:lang w:val="af-ZA"/>
        </w:rPr>
        <w:t xml:space="preserve"> </w:t>
      </w:r>
      <w:r w:rsidRPr="00A83C94">
        <w:rPr>
          <w:b w:val="0"/>
          <w:szCs w:val="22"/>
          <w:lang w:val="hy-AM"/>
        </w:rPr>
        <w:t>Որոտան</w:t>
      </w:r>
      <w:r w:rsidRPr="00A83C94">
        <w:rPr>
          <w:b w:val="0"/>
          <w:szCs w:val="22"/>
          <w:lang w:val="af-ZA"/>
        </w:rPr>
        <w:t>-</w:t>
      </w:r>
      <w:r w:rsidRPr="00A83C94">
        <w:rPr>
          <w:b w:val="0"/>
          <w:szCs w:val="22"/>
          <w:lang w:val="hy-AM"/>
        </w:rPr>
        <w:t>Արփա</w:t>
      </w:r>
      <w:r w:rsidRPr="00A83C94">
        <w:rPr>
          <w:b w:val="0"/>
          <w:szCs w:val="22"/>
          <w:lang w:val="af-ZA"/>
        </w:rPr>
        <w:t>-</w:t>
      </w:r>
      <w:r w:rsidRPr="00A83C94">
        <w:rPr>
          <w:b w:val="0"/>
          <w:szCs w:val="22"/>
          <w:lang w:val="hy-AM"/>
        </w:rPr>
        <w:t>Սևան</w:t>
      </w:r>
      <w:r w:rsidRPr="00A83C94">
        <w:rPr>
          <w:b w:val="0"/>
          <w:szCs w:val="22"/>
          <w:lang w:val="af-ZA"/>
        </w:rPr>
        <w:t xml:space="preserve"> </w:t>
      </w:r>
      <w:r w:rsidRPr="00A83C94">
        <w:rPr>
          <w:b w:val="0"/>
          <w:szCs w:val="22"/>
          <w:lang w:val="hy-AM"/>
        </w:rPr>
        <w:t>թունելի</w:t>
      </w:r>
      <w:r w:rsidRPr="00A83C94">
        <w:rPr>
          <w:b w:val="0"/>
          <w:szCs w:val="22"/>
          <w:lang w:val="af-ZA"/>
        </w:rPr>
        <w:t xml:space="preserve"> 48 </w:t>
      </w:r>
      <w:r w:rsidRPr="00A83C94">
        <w:rPr>
          <w:b w:val="0"/>
          <w:szCs w:val="22"/>
          <w:lang w:val="hy-AM"/>
        </w:rPr>
        <w:t>կմ</w:t>
      </w:r>
      <w:r w:rsidRPr="00A83C94">
        <w:rPr>
          <w:b w:val="0"/>
          <w:szCs w:val="22"/>
          <w:lang w:val="af-ZA"/>
        </w:rPr>
        <w:t xml:space="preserve"> </w:t>
      </w:r>
      <w:r w:rsidRPr="00A83C94">
        <w:rPr>
          <w:b w:val="0"/>
          <w:szCs w:val="22"/>
          <w:lang w:val="hy-AM"/>
        </w:rPr>
        <w:t>երկարությամբ</w:t>
      </w:r>
      <w:r w:rsidRPr="00A83C94">
        <w:rPr>
          <w:b w:val="0"/>
          <w:szCs w:val="22"/>
          <w:lang w:val="af-ZA"/>
        </w:rPr>
        <w:t xml:space="preserve"> </w:t>
      </w:r>
      <w:r w:rsidRPr="00A83C94">
        <w:rPr>
          <w:b w:val="0"/>
          <w:szCs w:val="22"/>
          <w:lang w:val="hy-AM"/>
        </w:rPr>
        <w:t>հատվածի</w:t>
      </w:r>
      <w:r w:rsidRPr="00A83C94">
        <w:rPr>
          <w:b w:val="0"/>
          <w:szCs w:val="22"/>
          <w:lang w:val="af-ZA"/>
        </w:rPr>
        <w:t xml:space="preserve"> </w:t>
      </w:r>
      <w:r w:rsidRPr="00A83C94">
        <w:rPr>
          <w:b w:val="0"/>
          <w:szCs w:val="22"/>
          <w:lang w:val="hy-AM"/>
        </w:rPr>
        <w:t>պահպանման</w:t>
      </w:r>
      <w:r w:rsidRPr="00A83C94">
        <w:rPr>
          <w:b w:val="0"/>
          <w:szCs w:val="22"/>
          <w:lang w:val="af-ZA"/>
        </w:rPr>
        <w:t xml:space="preserve"> </w:t>
      </w:r>
      <w:r w:rsidRPr="00A83C94">
        <w:rPr>
          <w:b w:val="0"/>
          <w:szCs w:val="22"/>
          <w:lang w:val="hy-AM"/>
        </w:rPr>
        <w:t>ու</w:t>
      </w:r>
      <w:r w:rsidRPr="00A83C94">
        <w:rPr>
          <w:b w:val="0"/>
          <w:szCs w:val="22"/>
          <w:lang w:val="af-ZA"/>
        </w:rPr>
        <w:t xml:space="preserve"> </w:t>
      </w:r>
      <w:r w:rsidRPr="00A83C94">
        <w:rPr>
          <w:b w:val="0"/>
          <w:szCs w:val="22"/>
          <w:lang w:val="hy-AM"/>
        </w:rPr>
        <w:t>շահագործման և թունելի</w:t>
      </w:r>
      <w:r w:rsidRPr="00A83C94">
        <w:rPr>
          <w:b w:val="0"/>
          <w:szCs w:val="22"/>
          <w:lang w:val="af-ZA"/>
        </w:rPr>
        <w:t xml:space="preserve"> </w:t>
      </w:r>
      <w:r w:rsidRPr="00A83C94">
        <w:rPr>
          <w:b w:val="0"/>
          <w:szCs w:val="22"/>
          <w:lang w:val="hy-AM"/>
        </w:rPr>
        <w:t>վթարային</w:t>
      </w:r>
      <w:r w:rsidRPr="00A83C94">
        <w:rPr>
          <w:b w:val="0"/>
          <w:szCs w:val="22"/>
          <w:lang w:val="af-ZA"/>
        </w:rPr>
        <w:t xml:space="preserve"> </w:t>
      </w:r>
      <w:r w:rsidRPr="00A83C94">
        <w:rPr>
          <w:b w:val="0"/>
          <w:szCs w:val="22"/>
          <w:lang w:val="hy-AM"/>
        </w:rPr>
        <w:t>առանձին՝</w:t>
      </w:r>
      <w:r w:rsidRPr="00A83C94">
        <w:rPr>
          <w:b w:val="0"/>
          <w:szCs w:val="22"/>
          <w:lang w:val="af-ZA"/>
        </w:rPr>
        <w:t xml:space="preserve"> 220.1 </w:t>
      </w:r>
      <w:r w:rsidRPr="00A83C94">
        <w:rPr>
          <w:b w:val="0"/>
          <w:szCs w:val="22"/>
          <w:lang w:val="hy-AM"/>
        </w:rPr>
        <w:t>գծմ</w:t>
      </w:r>
      <w:r w:rsidRPr="00A83C94">
        <w:rPr>
          <w:b w:val="0"/>
          <w:szCs w:val="22"/>
          <w:lang w:val="af-ZA"/>
        </w:rPr>
        <w:t xml:space="preserve"> </w:t>
      </w:r>
      <w:r w:rsidRPr="00A83C94">
        <w:rPr>
          <w:b w:val="0"/>
          <w:szCs w:val="22"/>
          <w:lang w:val="hy-AM"/>
        </w:rPr>
        <w:t>հատվածների</w:t>
      </w:r>
      <w:r w:rsidRPr="00A83C94">
        <w:rPr>
          <w:b w:val="0"/>
          <w:szCs w:val="22"/>
          <w:lang w:val="af-ZA"/>
        </w:rPr>
        <w:t xml:space="preserve"> </w:t>
      </w:r>
      <w:r w:rsidRPr="00A83C94">
        <w:rPr>
          <w:b w:val="0"/>
          <w:szCs w:val="22"/>
          <w:lang w:val="hy-AM"/>
        </w:rPr>
        <w:t>հիմնանորոգման</w:t>
      </w:r>
      <w:r w:rsidRPr="00A83C94">
        <w:rPr>
          <w:b w:val="0"/>
          <w:szCs w:val="22"/>
          <w:lang w:val="af-ZA"/>
        </w:rPr>
        <w:t xml:space="preserve"> </w:t>
      </w:r>
      <w:r w:rsidRPr="00A83C94">
        <w:rPr>
          <w:b w:val="0"/>
          <w:szCs w:val="22"/>
          <w:lang w:val="hy-AM"/>
        </w:rPr>
        <w:t>աշխատանքներ։</w:t>
      </w:r>
    </w:p>
    <w:p w14:paraId="17AB44D2" w14:textId="563A5E98" w:rsidR="0023176E" w:rsidRPr="00A83C94" w:rsidRDefault="0023176E" w:rsidP="0023176E">
      <w:pPr>
        <w:spacing w:before="0" w:line="276" w:lineRule="auto"/>
        <w:rPr>
          <w:b w:val="0"/>
          <w:bCs/>
          <w:iCs/>
          <w:lang w:val="hy-AM"/>
        </w:rPr>
      </w:pPr>
      <w:r w:rsidRPr="00A83C94">
        <w:rPr>
          <w:szCs w:val="22"/>
          <w:lang w:val="af-ZA"/>
        </w:rPr>
        <w:t xml:space="preserve">Սոցիալական ներդրումների և տեղական զարգացման </w:t>
      </w:r>
      <w:r w:rsidRPr="00A83C94">
        <w:rPr>
          <w:b w:val="0"/>
          <w:szCs w:val="22"/>
          <w:lang w:val="af-ZA"/>
        </w:rPr>
        <w:t>ծրագր</w:t>
      </w:r>
      <w:r w:rsidRPr="00A83C94">
        <w:rPr>
          <w:b w:val="0"/>
          <w:szCs w:val="22"/>
          <w:lang w:val="hy-AM"/>
        </w:rPr>
        <w:t xml:space="preserve">ի </w:t>
      </w:r>
      <w:r w:rsidRPr="00A83C94">
        <w:rPr>
          <w:rFonts w:cs="Sylfaen"/>
          <w:b w:val="0"/>
          <w:lang w:val="hy-AM"/>
        </w:rPr>
        <w:t xml:space="preserve">գծով  2022 թվականին  նախատեսվել է  </w:t>
      </w:r>
      <w:r w:rsidR="00926E4D" w:rsidRPr="002526E9">
        <w:rPr>
          <w:rFonts w:cs="Sylfaen"/>
          <w:b w:val="0"/>
          <w:lang w:val="af-ZA"/>
        </w:rPr>
        <w:t>4,123.2</w:t>
      </w:r>
      <w:r w:rsidRPr="00A83C94">
        <w:rPr>
          <w:rFonts w:cs="Sylfaen"/>
          <w:b w:val="0"/>
          <w:lang w:val="hy-AM"/>
        </w:rPr>
        <w:t xml:space="preserve"> մլն </w:t>
      </w:r>
      <w:r w:rsidRPr="00A83C94">
        <w:rPr>
          <w:rFonts w:cs="GHEA Grapalat"/>
          <w:b w:val="0"/>
          <w:lang w:val="hy-AM"/>
        </w:rPr>
        <w:t>դրամ</w:t>
      </w:r>
      <w:r w:rsidRPr="00A83C94">
        <w:rPr>
          <w:b w:val="0"/>
          <w:bCs/>
          <w:iCs/>
          <w:lang w:val="hy-AM"/>
        </w:rPr>
        <w:t>.</w:t>
      </w:r>
    </w:p>
    <w:p w14:paraId="207BE1F1" w14:textId="77777777" w:rsidR="0023176E" w:rsidRPr="00A83C94" w:rsidRDefault="0023176E" w:rsidP="0023176E">
      <w:pPr>
        <w:spacing w:line="276" w:lineRule="auto"/>
        <w:rPr>
          <w:b w:val="0"/>
          <w:szCs w:val="22"/>
          <w:lang w:val="hy-AM"/>
        </w:rPr>
      </w:pPr>
      <w:r w:rsidRPr="00A83C94">
        <w:rPr>
          <w:b w:val="0"/>
          <w:szCs w:val="22"/>
          <w:lang w:val="hy-AM"/>
        </w:rPr>
        <w:t>Ծրագրի նպատակն է նպաստել բնակչության նյութական և ոչ նյութական բարեկեցության աճին, որով նախատեսվում է համայնքային և միջհամայնքային ենթակառուցվածքների և որակի հասանելիության բարելավում, ինստիտուցիոնալ և ֆինանասական կարողությունների հզորացում: Ծրագրի շրջանակներում նախատեսվում է իրականացնել 20 համայնքներում արևային կայանների տեղադրման,  6  համայնքներում խմելու ջրի ջրամատակարարման և 7 համայնքներում ոռոգման համակարգերի հիմնանորոգման և կառոցման աշխատանքները, ևս 5 համայնքներում նախատեսվում է համայնքային կենտրոններին, դպրոցներին և մանկապարտեզներին գույքի տրամադրում, 18 համայնքներ կօգտվեն հիմնանորոգված և  նոր կառուցված ջրագծերի, առողջապահության, կրթության, մշակույթի, հատուկ խնամքի և  ենթակառուցվածքների ոլորտի օբյեկտներից:</w:t>
      </w:r>
    </w:p>
    <w:p w14:paraId="4B979020" w14:textId="77777777" w:rsidR="0023176E" w:rsidRPr="00A83C94" w:rsidRDefault="0023176E" w:rsidP="0023176E">
      <w:pPr>
        <w:spacing w:line="276" w:lineRule="auto"/>
        <w:rPr>
          <w:b w:val="0"/>
          <w:szCs w:val="22"/>
          <w:lang w:val="af-ZA"/>
        </w:rPr>
      </w:pPr>
      <w:r w:rsidRPr="00A83C94">
        <w:rPr>
          <w:szCs w:val="22"/>
          <w:lang w:val="hy-AM"/>
        </w:rPr>
        <w:t>Կոլեկտորադրենաժային</w:t>
      </w:r>
      <w:r w:rsidRPr="00A83C94">
        <w:rPr>
          <w:szCs w:val="22"/>
          <w:lang w:val="af-ZA"/>
        </w:rPr>
        <w:t xml:space="preserve"> </w:t>
      </w:r>
      <w:r w:rsidRPr="00A83C94">
        <w:rPr>
          <w:szCs w:val="22"/>
          <w:lang w:val="hy-AM"/>
        </w:rPr>
        <w:t>ծառայություններ</w:t>
      </w:r>
      <w:r w:rsidRPr="00A83C94">
        <w:rPr>
          <w:szCs w:val="22"/>
          <w:lang w:val="af-ZA"/>
        </w:rPr>
        <w:t xml:space="preserve"> </w:t>
      </w:r>
      <w:r w:rsidRPr="00A83C94">
        <w:rPr>
          <w:b w:val="0"/>
          <w:bCs/>
          <w:iCs/>
          <w:lang w:val="hy-AM"/>
        </w:rPr>
        <w:t xml:space="preserve">ծրագրի </w:t>
      </w:r>
      <w:r w:rsidRPr="00A83C94">
        <w:rPr>
          <w:rFonts w:cs="Sylfaen"/>
          <w:b w:val="0"/>
          <w:lang w:val="hy-AM"/>
        </w:rPr>
        <w:t>գծով  2022 թվականին  նախատեսվել է  290</w:t>
      </w:r>
      <w:r w:rsidRPr="00A83C94">
        <w:rPr>
          <w:rFonts w:ascii="Cambria Math" w:hAnsi="Cambria Math" w:cs="Cambria Math"/>
          <w:b w:val="0"/>
          <w:lang w:val="hy-AM"/>
        </w:rPr>
        <w:t>․</w:t>
      </w:r>
      <w:r w:rsidRPr="00A83C94">
        <w:rPr>
          <w:rFonts w:cs="Sylfaen"/>
          <w:b w:val="0"/>
          <w:lang w:val="hy-AM"/>
        </w:rPr>
        <w:t>8 մլն դրամ.</w:t>
      </w:r>
    </w:p>
    <w:p w14:paraId="1080F099" w14:textId="20DEAD1B" w:rsidR="0023176E" w:rsidRPr="00A83C94" w:rsidRDefault="0023176E" w:rsidP="0023176E">
      <w:pPr>
        <w:spacing w:line="276" w:lineRule="auto"/>
        <w:rPr>
          <w:b w:val="0"/>
          <w:szCs w:val="22"/>
          <w:lang w:val="af-ZA"/>
        </w:rPr>
      </w:pPr>
      <w:r w:rsidRPr="00A83C94">
        <w:rPr>
          <w:b w:val="0"/>
          <w:szCs w:val="22"/>
          <w:lang w:val="hy-AM"/>
        </w:rPr>
        <w:t>Ծրագրի</w:t>
      </w:r>
      <w:r w:rsidRPr="00A83C94">
        <w:rPr>
          <w:b w:val="0"/>
          <w:szCs w:val="22"/>
          <w:lang w:val="af-ZA"/>
        </w:rPr>
        <w:t xml:space="preserve"> </w:t>
      </w:r>
      <w:r w:rsidRPr="00A83C94">
        <w:rPr>
          <w:b w:val="0"/>
          <w:szCs w:val="22"/>
          <w:lang w:val="hy-AM"/>
        </w:rPr>
        <w:t>նպատակն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բարելավել</w:t>
      </w:r>
      <w:r w:rsidRPr="00A83C94">
        <w:rPr>
          <w:b w:val="0"/>
          <w:szCs w:val="22"/>
          <w:lang w:val="af-ZA"/>
        </w:rPr>
        <w:t xml:space="preserve"> </w:t>
      </w:r>
      <w:r w:rsidRPr="00A83C94">
        <w:rPr>
          <w:b w:val="0"/>
          <w:szCs w:val="22"/>
          <w:lang w:val="hy-AM"/>
        </w:rPr>
        <w:t>ՀՀ</w:t>
      </w:r>
      <w:r w:rsidRPr="00A83C94">
        <w:rPr>
          <w:b w:val="0"/>
          <w:szCs w:val="22"/>
          <w:lang w:val="af-ZA"/>
        </w:rPr>
        <w:t xml:space="preserve"> </w:t>
      </w:r>
      <w:r w:rsidRPr="00A83C94">
        <w:rPr>
          <w:b w:val="0"/>
          <w:szCs w:val="22"/>
          <w:lang w:val="hy-AM"/>
        </w:rPr>
        <w:t>ոռոգելի</w:t>
      </w:r>
      <w:r w:rsidRPr="00A83C94">
        <w:rPr>
          <w:b w:val="0"/>
          <w:szCs w:val="22"/>
          <w:lang w:val="af-ZA"/>
        </w:rPr>
        <w:t xml:space="preserve"> </w:t>
      </w:r>
      <w:r w:rsidRPr="00A83C94">
        <w:rPr>
          <w:b w:val="0"/>
          <w:szCs w:val="22"/>
          <w:lang w:val="hy-AM"/>
        </w:rPr>
        <w:t>հողերի</w:t>
      </w:r>
      <w:r w:rsidRPr="00A83C94">
        <w:rPr>
          <w:b w:val="0"/>
          <w:szCs w:val="22"/>
          <w:lang w:val="af-ZA"/>
        </w:rPr>
        <w:t xml:space="preserve"> </w:t>
      </w:r>
      <w:r w:rsidRPr="00A83C94">
        <w:rPr>
          <w:b w:val="0"/>
          <w:szCs w:val="22"/>
          <w:lang w:val="hy-AM"/>
        </w:rPr>
        <w:t>մելիորատիվ</w:t>
      </w:r>
      <w:r w:rsidRPr="00A83C94">
        <w:rPr>
          <w:b w:val="0"/>
          <w:szCs w:val="22"/>
          <w:lang w:val="af-ZA"/>
        </w:rPr>
        <w:t xml:space="preserve"> </w:t>
      </w:r>
      <w:r w:rsidRPr="00A83C94">
        <w:rPr>
          <w:b w:val="0"/>
          <w:szCs w:val="22"/>
          <w:lang w:val="hy-AM"/>
        </w:rPr>
        <w:t>վիճակը</w:t>
      </w:r>
      <w:r w:rsidRPr="00A83C94">
        <w:rPr>
          <w:b w:val="0"/>
          <w:szCs w:val="22"/>
          <w:lang w:val="af-ZA"/>
        </w:rPr>
        <w:t xml:space="preserve">, </w:t>
      </w:r>
      <w:r w:rsidRPr="00A83C94">
        <w:rPr>
          <w:b w:val="0"/>
          <w:szCs w:val="22"/>
          <w:lang w:val="hy-AM"/>
        </w:rPr>
        <w:t>կարգավորել</w:t>
      </w:r>
      <w:r w:rsidRPr="00A83C94">
        <w:rPr>
          <w:b w:val="0"/>
          <w:szCs w:val="22"/>
          <w:lang w:val="af-ZA"/>
        </w:rPr>
        <w:t xml:space="preserve"> </w:t>
      </w:r>
      <w:r w:rsidRPr="00A83C94">
        <w:rPr>
          <w:b w:val="0"/>
          <w:szCs w:val="22"/>
          <w:lang w:val="hy-AM"/>
        </w:rPr>
        <w:t>գրունտային</w:t>
      </w:r>
      <w:r w:rsidRPr="00A83C94">
        <w:rPr>
          <w:b w:val="0"/>
          <w:szCs w:val="22"/>
          <w:lang w:val="af-ZA"/>
        </w:rPr>
        <w:t xml:space="preserve"> </w:t>
      </w:r>
      <w:r w:rsidRPr="00A83C94">
        <w:rPr>
          <w:b w:val="0"/>
          <w:szCs w:val="22"/>
          <w:lang w:val="hy-AM"/>
        </w:rPr>
        <w:t>ջրերի</w:t>
      </w:r>
      <w:r w:rsidRPr="00A83C94">
        <w:rPr>
          <w:b w:val="0"/>
          <w:szCs w:val="22"/>
          <w:lang w:val="af-ZA"/>
        </w:rPr>
        <w:t xml:space="preserve"> </w:t>
      </w:r>
      <w:r w:rsidRPr="00A83C94">
        <w:rPr>
          <w:b w:val="0"/>
          <w:szCs w:val="22"/>
          <w:lang w:val="hy-AM"/>
        </w:rPr>
        <w:t>մակարդակները</w:t>
      </w:r>
      <w:r w:rsidRPr="00A83C94">
        <w:rPr>
          <w:b w:val="0"/>
          <w:szCs w:val="22"/>
          <w:lang w:val="af-ZA"/>
        </w:rPr>
        <w:t xml:space="preserve">, </w:t>
      </w:r>
      <w:r w:rsidRPr="00A83C94">
        <w:rPr>
          <w:b w:val="0"/>
          <w:szCs w:val="22"/>
          <w:lang w:val="hy-AM"/>
        </w:rPr>
        <w:t>կանխել</w:t>
      </w:r>
      <w:r w:rsidRPr="00A83C94">
        <w:rPr>
          <w:b w:val="0"/>
          <w:szCs w:val="22"/>
          <w:lang w:val="af-ZA"/>
        </w:rPr>
        <w:t xml:space="preserve"> </w:t>
      </w:r>
      <w:r w:rsidRPr="00A83C94">
        <w:rPr>
          <w:b w:val="0"/>
          <w:szCs w:val="22"/>
          <w:lang w:val="hy-AM"/>
        </w:rPr>
        <w:t>հողատեսքերի</w:t>
      </w:r>
      <w:r w:rsidRPr="00A83C94">
        <w:rPr>
          <w:b w:val="0"/>
          <w:szCs w:val="22"/>
          <w:lang w:val="af-ZA"/>
        </w:rPr>
        <w:t xml:space="preserve"> </w:t>
      </w:r>
      <w:r w:rsidRPr="00A83C94">
        <w:rPr>
          <w:b w:val="0"/>
          <w:szCs w:val="22"/>
          <w:lang w:val="hy-AM"/>
        </w:rPr>
        <w:t>աղակալումը</w:t>
      </w:r>
      <w:r w:rsidRPr="00A83C94">
        <w:rPr>
          <w:b w:val="0"/>
          <w:szCs w:val="22"/>
          <w:lang w:val="af-ZA"/>
        </w:rPr>
        <w:t xml:space="preserve">, </w:t>
      </w:r>
      <w:r w:rsidRPr="00A83C94">
        <w:rPr>
          <w:b w:val="0"/>
          <w:szCs w:val="22"/>
          <w:lang w:val="hy-AM"/>
        </w:rPr>
        <w:t>բնակավայրերի</w:t>
      </w:r>
      <w:r w:rsidRPr="00A83C94">
        <w:rPr>
          <w:b w:val="0"/>
          <w:szCs w:val="22"/>
          <w:lang w:val="af-ZA"/>
        </w:rPr>
        <w:t xml:space="preserve"> </w:t>
      </w:r>
      <w:r w:rsidRPr="00A83C94">
        <w:rPr>
          <w:b w:val="0"/>
          <w:szCs w:val="22"/>
          <w:lang w:val="hy-AM"/>
        </w:rPr>
        <w:t>ջրակալումը</w:t>
      </w:r>
      <w:r w:rsidRPr="00A83C94">
        <w:rPr>
          <w:b w:val="0"/>
          <w:szCs w:val="22"/>
          <w:lang w:val="af-ZA"/>
        </w:rPr>
        <w:t xml:space="preserve"> </w:t>
      </w:r>
      <w:r w:rsidRPr="00A83C94">
        <w:rPr>
          <w:b w:val="0"/>
          <w:szCs w:val="22"/>
          <w:lang w:val="hy-AM"/>
        </w:rPr>
        <w:t>և</w:t>
      </w:r>
      <w:r w:rsidRPr="00A83C94">
        <w:rPr>
          <w:b w:val="0"/>
          <w:szCs w:val="22"/>
          <w:lang w:val="af-ZA"/>
        </w:rPr>
        <w:t xml:space="preserve"> </w:t>
      </w:r>
      <w:r w:rsidRPr="00A83C94">
        <w:rPr>
          <w:b w:val="0"/>
          <w:szCs w:val="22"/>
          <w:lang w:val="hy-AM"/>
        </w:rPr>
        <w:t>ապահովել</w:t>
      </w:r>
      <w:r w:rsidRPr="00A83C94">
        <w:rPr>
          <w:b w:val="0"/>
          <w:szCs w:val="22"/>
          <w:lang w:val="af-ZA"/>
        </w:rPr>
        <w:t xml:space="preserve"> </w:t>
      </w:r>
      <w:r w:rsidRPr="00A83C94">
        <w:rPr>
          <w:b w:val="0"/>
          <w:szCs w:val="22"/>
          <w:lang w:val="hy-AM"/>
        </w:rPr>
        <w:t>մշակաբույսերի</w:t>
      </w:r>
      <w:r w:rsidRPr="00A83C94">
        <w:rPr>
          <w:b w:val="0"/>
          <w:szCs w:val="22"/>
          <w:lang w:val="af-ZA"/>
        </w:rPr>
        <w:t xml:space="preserve"> </w:t>
      </w:r>
      <w:r w:rsidRPr="00A83C94">
        <w:rPr>
          <w:b w:val="0"/>
          <w:szCs w:val="22"/>
          <w:lang w:val="hy-AM"/>
        </w:rPr>
        <w:t>բնականոն</w:t>
      </w:r>
      <w:r w:rsidRPr="00A83C94">
        <w:rPr>
          <w:b w:val="0"/>
          <w:szCs w:val="22"/>
          <w:lang w:val="af-ZA"/>
        </w:rPr>
        <w:t xml:space="preserve"> </w:t>
      </w:r>
      <w:r w:rsidRPr="00A83C94">
        <w:rPr>
          <w:b w:val="0"/>
          <w:szCs w:val="22"/>
          <w:lang w:val="hy-AM"/>
        </w:rPr>
        <w:t>աճը</w:t>
      </w:r>
      <w:r w:rsidRPr="00A83C94">
        <w:rPr>
          <w:b w:val="0"/>
          <w:szCs w:val="22"/>
          <w:lang w:val="af-ZA"/>
        </w:rPr>
        <w:t xml:space="preserve">, </w:t>
      </w:r>
      <w:r w:rsidRPr="00A83C94">
        <w:rPr>
          <w:b w:val="0"/>
          <w:szCs w:val="22"/>
          <w:lang w:val="hy-AM"/>
        </w:rPr>
        <w:t>որի</w:t>
      </w:r>
      <w:r w:rsidRPr="00A83C94">
        <w:rPr>
          <w:b w:val="0"/>
          <w:szCs w:val="22"/>
          <w:lang w:val="af-ZA"/>
        </w:rPr>
        <w:t xml:space="preserve"> </w:t>
      </w:r>
      <w:r w:rsidRPr="00A83C94">
        <w:rPr>
          <w:b w:val="0"/>
          <w:szCs w:val="22"/>
          <w:lang w:val="hy-AM"/>
        </w:rPr>
        <w:t>վերջնական</w:t>
      </w:r>
      <w:r w:rsidRPr="00A83C94">
        <w:rPr>
          <w:b w:val="0"/>
          <w:szCs w:val="22"/>
          <w:lang w:val="af-ZA"/>
        </w:rPr>
        <w:t xml:space="preserve"> </w:t>
      </w:r>
      <w:r w:rsidRPr="00A83C94">
        <w:rPr>
          <w:b w:val="0"/>
          <w:szCs w:val="22"/>
          <w:lang w:val="hy-AM"/>
        </w:rPr>
        <w:t>արդյունքն</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ավելացնել</w:t>
      </w:r>
      <w:r w:rsidRPr="00A83C94">
        <w:rPr>
          <w:b w:val="0"/>
          <w:szCs w:val="22"/>
          <w:lang w:val="af-ZA"/>
        </w:rPr>
        <w:t xml:space="preserve"> </w:t>
      </w:r>
      <w:r w:rsidRPr="00A83C94">
        <w:rPr>
          <w:b w:val="0"/>
          <w:szCs w:val="22"/>
          <w:lang w:val="hy-AM"/>
        </w:rPr>
        <w:t>մշակելի</w:t>
      </w:r>
      <w:r w:rsidRPr="00A83C94">
        <w:rPr>
          <w:b w:val="0"/>
          <w:szCs w:val="22"/>
          <w:lang w:val="af-ZA"/>
        </w:rPr>
        <w:t xml:space="preserve"> </w:t>
      </w:r>
      <w:r w:rsidRPr="00A83C94">
        <w:rPr>
          <w:b w:val="0"/>
          <w:szCs w:val="22"/>
          <w:lang w:val="hy-AM"/>
        </w:rPr>
        <w:t>հողատարածքների</w:t>
      </w:r>
      <w:r w:rsidRPr="00A83C94">
        <w:rPr>
          <w:b w:val="0"/>
          <w:szCs w:val="22"/>
          <w:lang w:val="af-ZA"/>
        </w:rPr>
        <w:t xml:space="preserve"> </w:t>
      </w:r>
      <w:r w:rsidRPr="00A83C94">
        <w:rPr>
          <w:b w:val="0"/>
          <w:szCs w:val="22"/>
          <w:lang w:val="hy-AM"/>
        </w:rPr>
        <w:t>մակերեսը</w:t>
      </w:r>
      <w:r w:rsidRPr="00A83C94">
        <w:rPr>
          <w:b w:val="0"/>
          <w:szCs w:val="22"/>
          <w:lang w:val="af-ZA"/>
        </w:rPr>
        <w:t xml:space="preserve">: </w:t>
      </w:r>
      <w:r w:rsidRPr="00A83C94">
        <w:rPr>
          <w:b w:val="0"/>
          <w:szCs w:val="22"/>
          <w:lang w:val="hy-AM"/>
        </w:rPr>
        <w:t>Ծրագրի</w:t>
      </w:r>
      <w:r w:rsidRPr="00A83C94">
        <w:rPr>
          <w:b w:val="0"/>
          <w:szCs w:val="22"/>
          <w:lang w:val="af-ZA"/>
        </w:rPr>
        <w:t xml:space="preserve"> </w:t>
      </w:r>
      <w:r w:rsidRPr="00A83C94">
        <w:rPr>
          <w:b w:val="0"/>
          <w:szCs w:val="22"/>
          <w:lang w:val="hy-AM"/>
        </w:rPr>
        <w:t>շրջանակներում</w:t>
      </w:r>
      <w:r w:rsidRPr="00A83C94">
        <w:rPr>
          <w:b w:val="0"/>
          <w:szCs w:val="22"/>
          <w:lang w:val="af-ZA"/>
        </w:rPr>
        <w:t xml:space="preserve"> </w:t>
      </w:r>
      <w:r w:rsidRPr="00A83C94">
        <w:rPr>
          <w:b w:val="0"/>
          <w:szCs w:val="22"/>
          <w:lang w:val="hy-AM"/>
        </w:rPr>
        <w:t>նախատեսվում</w:t>
      </w:r>
      <w:r w:rsidRPr="00A83C94">
        <w:rPr>
          <w:b w:val="0"/>
          <w:szCs w:val="22"/>
          <w:lang w:val="af-ZA"/>
        </w:rPr>
        <w:t xml:space="preserve"> </w:t>
      </w:r>
      <w:r w:rsidRPr="00A83C94">
        <w:rPr>
          <w:b w:val="0"/>
          <w:szCs w:val="22"/>
          <w:lang w:val="hy-AM"/>
        </w:rPr>
        <w:t>է</w:t>
      </w:r>
      <w:r w:rsidRPr="00A83C94">
        <w:rPr>
          <w:b w:val="0"/>
          <w:szCs w:val="22"/>
          <w:lang w:val="af-ZA"/>
        </w:rPr>
        <w:t xml:space="preserve"> </w:t>
      </w:r>
      <w:r w:rsidRPr="00A83C94">
        <w:rPr>
          <w:b w:val="0"/>
          <w:szCs w:val="22"/>
          <w:lang w:val="hy-AM"/>
        </w:rPr>
        <w:t>մաքրել</w:t>
      </w:r>
      <w:r w:rsidRPr="00A83C94">
        <w:rPr>
          <w:b w:val="0"/>
          <w:szCs w:val="22"/>
          <w:lang w:val="af-ZA"/>
        </w:rPr>
        <w:t xml:space="preserve"> </w:t>
      </w:r>
      <w:r w:rsidRPr="00A83C94">
        <w:rPr>
          <w:b w:val="0"/>
          <w:szCs w:val="22"/>
          <w:lang w:val="hy-AM"/>
        </w:rPr>
        <w:t>և</w:t>
      </w:r>
      <w:r w:rsidRPr="00A83C94">
        <w:rPr>
          <w:b w:val="0"/>
          <w:szCs w:val="22"/>
          <w:lang w:val="af-ZA"/>
        </w:rPr>
        <w:t xml:space="preserve"> </w:t>
      </w:r>
      <w:r w:rsidRPr="00A83C94">
        <w:rPr>
          <w:b w:val="0"/>
          <w:szCs w:val="22"/>
          <w:lang w:val="hy-AM"/>
        </w:rPr>
        <w:t>վերանորոգել</w:t>
      </w:r>
      <w:r w:rsidR="00EE2716">
        <w:rPr>
          <w:b w:val="0"/>
          <w:szCs w:val="22"/>
          <w:lang w:val="af-ZA"/>
        </w:rPr>
        <w:t xml:space="preserve"> 192.6</w:t>
      </w:r>
      <w:r w:rsidRPr="00A83C94">
        <w:rPr>
          <w:b w:val="0"/>
          <w:szCs w:val="22"/>
          <w:lang w:val="af-ZA"/>
        </w:rPr>
        <w:t xml:space="preserve"> </w:t>
      </w:r>
      <w:r w:rsidRPr="00A83C94">
        <w:rPr>
          <w:b w:val="0"/>
          <w:szCs w:val="22"/>
          <w:lang w:val="hy-AM"/>
        </w:rPr>
        <w:t>կմ</w:t>
      </w:r>
      <w:r w:rsidRPr="00A83C94">
        <w:rPr>
          <w:b w:val="0"/>
          <w:szCs w:val="22"/>
          <w:lang w:val="af-ZA"/>
        </w:rPr>
        <w:t xml:space="preserve"> </w:t>
      </w:r>
      <w:r w:rsidRPr="00A83C94">
        <w:rPr>
          <w:b w:val="0"/>
          <w:szCs w:val="22"/>
          <w:lang w:val="hy-AM"/>
        </w:rPr>
        <w:t>երկարությամբ</w:t>
      </w:r>
      <w:r w:rsidRPr="00A83C94">
        <w:rPr>
          <w:b w:val="0"/>
          <w:szCs w:val="22"/>
          <w:lang w:val="af-ZA"/>
        </w:rPr>
        <w:t xml:space="preserve"> </w:t>
      </w:r>
      <w:r w:rsidRPr="00A83C94">
        <w:rPr>
          <w:b w:val="0"/>
          <w:szCs w:val="22"/>
          <w:lang w:val="hy-AM"/>
        </w:rPr>
        <w:t>կոլեկտորադրենաժային</w:t>
      </w:r>
      <w:r w:rsidRPr="00A83C94">
        <w:rPr>
          <w:b w:val="0"/>
          <w:szCs w:val="22"/>
          <w:lang w:val="af-ZA"/>
        </w:rPr>
        <w:t xml:space="preserve"> </w:t>
      </w:r>
      <w:r w:rsidRPr="00A83C94">
        <w:rPr>
          <w:b w:val="0"/>
          <w:szCs w:val="22"/>
          <w:lang w:val="hy-AM"/>
        </w:rPr>
        <w:t>ցանց</w:t>
      </w:r>
      <w:r w:rsidRPr="00A83C94">
        <w:rPr>
          <w:b w:val="0"/>
          <w:szCs w:val="22"/>
          <w:lang w:val="af-ZA"/>
        </w:rPr>
        <w:t>:</w:t>
      </w:r>
    </w:p>
    <w:p w14:paraId="3D9AD04F" w14:textId="77777777" w:rsidR="0023176E" w:rsidRPr="00A83C94" w:rsidRDefault="0023176E" w:rsidP="0023176E">
      <w:pPr>
        <w:widowControl w:val="0"/>
        <w:spacing w:line="276" w:lineRule="auto"/>
        <w:rPr>
          <w:rFonts w:cs="Sylfaen"/>
          <w:b w:val="0"/>
          <w:szCs w:val="22"/>
          <w:lang w:val="af-ZA"/>
        </w:rPr>
      </w:pPr>
      <w:r w:rsidRPr="00A83C94">
        <w:rPr>
          <w:rFonts w:cs="Sylfaen"/>
          <w:szCs w:val="22"/>
          <w:lang w:val="hy-AM"/>
        </w:rPr>
        <w:t>Տարածքային</w:t>
      </w:r>
      <w:r w:rsidRPr="00A83C94">
        <w:rPr>
          <w:rFonts w:cs="Sylfaen"/>
          <w:szCs w:val="22"/>
          <w:lang w:val="af-ZA"/>
        </w:rPr>
        <w:t xml:space="preserve"> </w:t>
      </w:r>
      <w:r w:rsidRPr="00A83C94">
        <w:rPr>
          <w:rFonts w:cs="Sylfaen"/>
          <w:szCs w:val="22"/>
          <w:lang w:val="hy-AM"/>
        </w:rPr>
        <w:t>կառավարման</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տեղական</w:t>
      </w:r>
      <w:r w:rsidRPr="00A83C94">
        <w:rPr>
          <w:rFonts w:cs="Sylfaen"/>
          <w:szCs w:val="22"/>
          <w:lang w:val="af-ZA"/>
        </w:rPr>
        <w:t xml:space="preserve"> </w:t>
      </w:r>
      <w:r w:rsidRPr="00A83C94">
        <w:rPr>
          <w:rFonts w:cs="Sylfaen"/>
          <w:szCs w:val="22"/>
          <w:lang w:val="hy-AM"/>
        </w:rPr>
        <w:t>ինքնակառավարման</w:t>
      </w:r>
      <w:r w:rsidRPr="00A83C94">
        <w:rPr>
          <w:rFonts w:cs="Sylfaen"/>
          <w:szCs w:val="22"/>
          <w:lang w:val="af-ZA"/>
        </w:rPr>
        <w:t xml:space="preserve"> </w:t>
      </w:r>
      <w:r w:rsidRPr="00A83C94">
        <w:rPr>
          <w:rFonts w:cs="Sylfaen"/>
          <w:szCs w:val="22"/>
          <w:lang w:val="hy-AM"/>
        </w:rPr>
        <w:t>մարմինների</w:t>
      </w:r>
      <w:r w:rsidRPr="00A83C94">
        <w:rPr>
          <w:rFonts w:cs="Sylfaen"/>
          <w:szCs w:val="22"/>
          <w:lang w:val="af-ZA"/>
        </w:rPr>
        <w:t xml:space="preserve"> </w:t>
      </w:r>
      <w:r w:rsidRPr="00A83C94">
        <w:rPr>
          <w:rFonts w:cs="Sylfaen"/>
          <w:szCs w:val="22"/>
          <w:lang w:val="hy-AM"/>
        </w:rPr>
        <w:t>ներկայացուցիչների</w:t>
      </w:r>
      <w:r w:rsidRPr="00A83C94">
        <w:rPr>
          <w:rFonts w:cs="Sylfaen"/>
          <w:szCs w:val="22"/>
          <w:lang w:val="af-ZA"/>
        </w:rPr>
        <w:t xml:space="preserve"> </w:t>
      </w:r>
      <w:r w:rsidRPr="00A83C94">
        <w:rPr>
          <w:rFonts w:cs="Sylfaen"/>
          <w:szCs w:val="22"/>
          <w:lang w:val="hy-AM"/>
        </w:rPr>
        <w:t>մասնագիտական</w:t>
      </w:r>
      <w:r w:rsidRPr="00A83C94">
        <w:rPr>
          <w:rFonts w:cs="Sylfaen"/>
          <w:szCs w:val="22"/>
          <w:lang w:val="af-ZA"/>
        </w:rPr>
        <w:t xml:space="preserve"> </w:t>
      </w:r>
      <w:r w:rsidRPr="00A83C94">
        <w:rPr>
          <w:rFonts w:cs="Sylfaen"/>
          <w:szCs w:val="22"/>
          <w:lang w:val="hy-AM"/>
        </w:rPr>
        <w:t>վերապատրաստում</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հատուկ</w:t>
      </w:r>
      <w:r w:rsidRPr="00A83C94">
        <w:rPr>
          <w:rFonts w:cs="Sylfaen"/>
          <w:szCs w:val="22"/>
          <w:lang w:val="af-ZA"/>
        </w:rPr>
        <w:t xml:space="preserve"> </w:t>
      </w:r>
      <w:r w:rsidRPr="00A83C94">
        <w:rPr>
          <w:rFonts w:cs="Sylfaen"/>
          <w:szCs w:val="22"/>
          <w:lang w:val="hy-AM"/>
        </w:rPr>
        <w:t>ուսուցում</w:t>
      </w:r>
      <w:r w:rsidRPr="00A83C94">
        <w:rPr>
          <w:rFonts w:cs="Sylfaen"/>
          <w:szCs w:val="22"/>
          <w:lang w:val="af-ZA"/>
        </w:rPr>
        <w:t xml:space="preserve"> </w:t>
      </w:r>
      <w:r w:rsidRPr="00A83C94">
        <w:rPr>
          <w:b w:val="0"/>
          <w:bCs/>
          <w:iCs/>
          <w:lang w:val="hy-AM"/>
        </w:rPr>
        <w:t xml:space="preserve">ծրագրի </w:t>
      </w:r>
      <w:r w:rsidRPr="00A83C94">
        <w:rPr>
          <w:rFonts w:cs="Sylfaen"/>
          <w:b w:val="0"/>
          <w:lang w:val="hy-AM"/>
        </w:rPr>
        <w:t>գծով  2022 թվականին  նախատեսվել է  1</w:t>
      </w:r>
      <w:r w:rsidRPr="00A83C94">
        <w:rPr>
          <w:rFonts w:cs="Sylfaen"/>
          <w:b w:val="0"/>
          <w:lang w:val="af-ZA"/>
        </w:rPr>
        <w:t>8</w:t>
      </w:r>
      <w:r w:rsidRPr="00A83C94">
        <w:rPr>
          <w:rFonts w:ascii="Cambria Math" w:hAnsi="Cambria Math" w:cs="Cambria Math"/>
          <w:b w:val="0"/>
          <w:lang w:val="hy-AM"/>
        </w:rPr>
        <w:t>․</w:t>
      </w:r>
      <w:r w:rsidRPr="00A83C94">
        <w:rPr>
          <w:rFonts w:ascii="Cambria Math" w:hAnsi="Cambria Math" w:cs="Cambria Math"/>
          <w:b w:val="0"/>
          <w:lang w:val="af-ZA"/>
        </w:rPr>
        <w:t>5</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77363F69"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տարածքային</w:t>
      </w:r>
      <w:r w:rsidRPr="00A83C94">
        <w:rPr>
          <w:rFonts w:cs="Sylfaen"/>
          <w:b w:val="0"/>
          <w:szCs w:val="22"/>
          <w:lang w:val="af-ZA"/>
        </w:rPr>
        <w:t xml:space="preserve"> </w:t>
      </w:r>
      <w:r w:rsidRPr="00A83C94">
        <w:rPr>
          <w:rFonts w:cs="Sylfaen"/>
          <w:b w:val="0"/>
          <w:szCs w:val="22"/>
        </w:rPr>
        <w:t>կառավարման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տեղական</w:t>
      </w:r>
      <w:r w:rsidRPr="00A83C94">
        <w:rPr>
          <w:rFonts w:cs="Sylfaen"/>
          <w:b w:val="0"/>
          <w:szCs w:val="22"/>
          <w:lang w:val="af-ZA"/>
        </w:rPr>
        <w:t xml:space="preserve"> </w:t>
      </w:r>
      <w:r w:rsidRPr="00A83C94">
        <w:rPr>
          <w:rFonts w:cs="Sylfaen"/>
          <w:b w:val="0"/>
          <w:szCs w:val="22"/>
        </w:rPr>
        <w:t>ինքնակառավարման</w:t>
      </w:r>
      <w:r w:rsidRPr="00A83C94">
        <w:rPr>
          <w:rFonts w:cs="Sylfaen"/>
          <w:b w:val="0"/>
          <w:szCs w:val="22"/>
          <w:lang w:val="af-ZA"/>
        </w:rPr>
        <w:t xml:space="preserve"> </w:t>
      </w:r>
      <w:r w:rsidRPr="00A83C94">
        <w:rPr>
          <w:rFonts w:cs="Sylfaen"/>
          <w:b w:val="0"/>
          <w:szCs w:val="22"/>
        </w:rPr>
        <w:t>մարմինների</w:t>
      </w:r>
      <w:r w:rsidRPr="00A83C94">
        <w:rPr>
          <w:rFonts w:cs="Sylfaen"/>
          <w:b w:val="0"/>
          <w:szCs w:val="22"/>
          <w:lang w:val="af-ZA"/>
        </w:rPr>
        <w:t xml:space="preserve"> </w:t>
      </w:r>
      <w:r w:rsidRPr="00A83C94">
        <w:rPr>
          <w:rFonts w:cs="Sylfaen"/>
          <w:b w:val="0"/>
          <w:szCs w:val="22"/>
        </w:rPr>
        <w:t>աշխատակիցների</w:t>
      </w:r>
      <w:r w:rsidRPr="00A83C94">
        <w:rPr>
          <w:rFonts w:cs="Sylfaen"/>
          <w:b w:val="0"/>
          <w:szCs w:val="22"/>
          <w:lang w:val="af-ZA"/>
        </w:rPr>
        <w:t xml:space="preserve"> </w:t>
      </w:r>
      <w:r w:rsidRPr="00A83C94">
        <w:rPr>
          <w:rFonts w:cs="Sylfaen"/>
          <w:b w:val="0"/>
          <w:szCs w:val="22"/>
        </w:rPr>
        <w:t>աշխատանքի</w:t>
      </w:r>
      <w:r w:rsidRPr="00A83C94">
        <w:rPr>
          <w:rFonts w:cs="Sylfaen"/>
          <w:b w:val="0"/>
          <w:szCs w:val="22"/>
          <w:lang w:val="af-ZA"/>
        </w:rPr>
        <w:t xml:space="preserve"> </w:t>
      </w:r>
      <w:r w:rsidRPr="00A83C94">
        <w:rPr>
          <w:rFonts w:cs="Sylfaen"/>
          <w:b w:val="0"/>
          <w:szCs w:val="22"/>
        </w:rPr>
        <w:t>արդյունավետության</w:t>
      </w:r>
      <w:r w:rsidRPr="00A83C94">
        <w:rPr>
          <w:rFonts w:cs="Sylfaen"/>
          <w:b w:val="0"/>
          <w:szCs w:val="22"/>
          <w:lang w:val="af-ZA"/>
        </w:rPr>
        <w:t xml:space="preserve"> </w:t>
      </w:r>
      <w:r w:rsidRPr="00A83C94">
        <w:rPr>
          <w:rFonts w:cs="Sylfaen"/>
          <w:b w:val="0"/>
          <w:szCs w:val="22"/>
        </w:rPr>
        <w:t>բարելավումը</w:t>
      </w:r>
      <w:r w:rsidRPr="00A83C94">
        <w:rPr>
          <w:rFonts w:cs="Sylfaen"/>
          <w:b w:val="0"/>
          <w:szCs w:val="22"/>
          <w:lang w:val="af-ZA"/>
        </w:rPr>
        <w:t>:</w:t>
      </w:r>
    </w:p>
    <w:p w14:paraId="772BA1BE"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rPr>
        <w:t>Միջոցառմամբ</w:t>
      </w:r>
      <w:r w:rsidRPr="00A83C94">
        <w:rPr>
          <w:rFonts w:cs="Sylfaen"/>
          <w:b w:val="0"/>
          <w:szCs w:val="22"/>
          <w:lang w:val="af-ZA"/>
        </w:rPr>
        <w:t xml:space="preserve"> </w:t>
      </w:r>
      <w:r w:rsidRPr="00A83C94">
        <w:rPr>
          <w:rFonts w:cs="Sylfaen"/>
          <w:b w:val="0"/>
          <w:szCs w:val="22"/>
        </w:rPr>
        <w:t>նախատեսվում</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իրականացնել</w:t>
      </w:r>
      <w:r w:rsidRPr="00A83C94">
        <w:rPr>
          <w:rFonts w:cs="Sylfaen"/>
          <w:b w:val="0"/>
          <w:szCs w:val="22"/>
          <w:lang w:val="af-ZA"/>
        </w:rPr>
        <w:t xml:space="preserve"> </w:t>
      </w:r>
      <w:r w:rsidRPr="00A83C94">
        <w:rPr>
          <w:rFonts w:cs="Sylfaen"/>
          <w:b w:val="0"/>
          <w:szCs w:val="22"/>
        </w:rPr>
        <w:t>համայնքային</w:t>
      </w:r>
      <w:r w:rsidRPr="00A83C94">
        <w:rPr>
          <w:rFonts w:cs="Sylfaen"/>
          <w:b w:val="0"/>
          <w:szCs w:val="22"/>
          <w:lang w:val="af-ZA"/>
        </w:rPr>
        <w:t xml:space="preserve"> </w:t>
      </w:r>
      <w:r w:rsidRPr="00A83C94">
        <w:rPr>
          <w:rFonts w:cs="Sylfaen"/>
          <w:b w:val="0"/>
          <w:szCs w:val="22"/>
        </w:rPr>
        <w:t>ծառայողների</w:t>
      </w:r>
      <w:r w:rsidRPr="00A83C94">
        <w:rPr>
          <w:rFonts w:cs="Sylfaen"/>
          <w:b w:val="0"/>
          <w:szCs w:val="22"/>
          <w:lang w:val="af-ZA"/>
        </w:rPr>
        <w:t xml:space="preserve">, </w:t>
      </w:r>
      <w:r w:rsidRPr="00A83C94">
        <w:rPr>
          <w:rFonts w:cs="Sylfaen"/>
          <w:b w:val="0"/>
          <w:szCs w:val="22"/>
        </w:rPr>
        <w:t>տեղական</w:t>
      </w:r>
      <w:r w:rsidRPr="00A83C94">
        <w:rPr>
          <w:rFonts w:cs="Sylfaen"/>
          <w:b w:val="0"/>
          <w:szCs w:val="22"/>
          <w:lang w:val="af-ZA"/>
        </w:rPr>
        <w:t xml:space="preserve"> </w:t>
      </w:r>
      <w:r w:rsidRPr="00A83C94">
        <w:rPr>
          <w:rFonts w:cs="Sylfaen"/>
          <w:b w:val="0"/>
          <w:szCs w:val="22"/>
        </w:rPr>
        <w:t>ինքնակառավարման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տարածքային</w:t>
      </w:r>
      <w:r w:rsidRPr="00A83C94">
        <w:rPr>
          <w:rFonts w:cs="Sylfaen"/>
          <w:b w:val="0"/>
          <w:szCs w:val="22"/>
          <w:lang w:val="af-ZA"/>
        </w:rPr>
        <w:t xml:space="preserve"> </w:t>
      </w:r>
      <w:r w:rsidRPr="00A83C94">
        <w:rPr>
          <w:rFonts w:cs="Sylfaen"/>
          <w:b w:val="0"/>
          <w:szCs w:val="22"/>
        </w:rPr>
        <w:t>կառավարման</w:t>
      </w:r>
      <w:r w:rsidRPr="00A83C94">
        <w:rPr>
          <w:rFonts w:cs="Sylfaen"/>
          <w:b w:val="0"/>
          <w:szCs w:val="22"/>
          <w:lang w:val="af-ZA"/>
        </w:rPr>
        <w:t xml:space="preserve"> </w:t>
      </w:r>
      <w:r w:rsidRPr="00A83C94">
        <w:rPr>
          <w:rFonts w:cs="Sylfaen"/>
          <w:b w:val="0"/>
          <w:szCs w:val="22"/>
        </w:rPr>
        <w:t>մարմիններ</w:t>
      </w:r>
      <w:r w:rsidRPr="00A83C94">
        <w:rPr>
          <w:rFonts w:cs="Sylfaen"/>
          <w:b w:val="0"/>
          <w:szCs w:val="22"/>
          <w:lang w:val="hy-AM"/>
        </w:rPr>
        <w:t xml:space="preserve"> 1400</w:t>
      </w:r>
      <w:r w:rsidRPr="00A83C94">
        <w:rPr>
          <w:rFonts w:cs="Sylfaen"/>
          <w:b w:val="0"/>
          <w:szCs w:val="22"/>
          <w:lang w:val="af-ZA"/>
        </w:rPr>
        <w:t xml:space="preserve"> </w:t>
      </w:r>
      <w:r w:rsidRPr="00A83C94">
        <w:rPr>
          <w:rFonts w:cs="Sylfaen"/>
          <w:b w:val="0"/>
          <w:szCs w:val="22"/>
        </w:rPr>
        <w:t>աշխատակիցների</w:t>
      </w:r>
      <w:r w:rsidRPr="00A83C94">
        <w:rPr>
          <w:rFonts w:cs="Sylfaen"/>
          <w:b w:val="0"/>
          <w:szCs w:val="22"/>
          <w:lang w:val="af-ZA"/>
        </w:rPr>
        <w:t xml:space="preserve"> </w:t>
      </w:r>
      <w:r w:rsidRPr="00A83C94">
        <w:rPr>
          <w:rFonts w:cs="Sylfaen"/>
          <w:b w:val="0"/>
          <w:szCs w:val="22"/>
        </w:rPr>
        <w:t>վերապատրաստում</w:t>
      </w:r>
      <w:r w:rsidRPr="00A83C94">
        <w:rPr>
          <w:rFonts w:cs="Sylfaen"/>
          <w:b w:val="0"/>
          <w:szCs w:val="22"/>
          <w:lang w:val="af-ZA"/>
        </w:rPr>
        <w:t>:</w:t>
      </w:r>
    </w:p>
    <w:p w14:paraId="5FE8E6F0" w14:textId="3D289719" w:rsidR="0023176E" w:rsidRPr="00A83C94" w:rsidRDefault="0023176E" w:rsidP="0023176E">
      <w:pPr>
        <w:widowControl w:val="0"/>
        <w:spacing w:line="276" w:lineRule="auto"/>
        <w:rPr>
          <w:rFonts w:cs="Sylfaen"/>
          <w:b w:val="0"/>
          <w:szCs w:val="22"/>
          <w:lang w:val="af-ZA"/>
        </w:rPr>
      </w:pPr>
      <w:r w:rsidRPr="00A83C94">
        <w:rPr>
          <w:rFonts w:cs="Sylfaen"/>
          <w:szCs w:val="22"/>
          <w:lang w:val="hy-AM"/>
        </w:rPr>
        <w:t xml:space="preserve">Կոշտ թափոնների կառավարում </w:t>
      </w:r>
      <w:r w:rsidRPr="00A83C94">
        <w:rPr>
          <w:b w:val="0"/>
          <w:bCs/>
          <w:iCs/>
          <w:lang w:val="hy-AM"/>
        </w:rPr>
        <w:t xml:space="preserve">ծրագրի </w:t>
      </w:r>
      <w:r w:rsidRPr="00A83C94">
        <w:rPr>
          <w:rFonts w:cs="Sylfaen"/>
          <w:b w:val="0"/>
          <w:lang w:val="hy-AM"/>
        </w:rPr>
        <w:t xml:space="preserve">գծով  2022 թվականին  նախատեսվել է  </w:t>
      </w:r>
      <w:r w:rsidR="005A3F0B" w:rsidRPr="005A3F0B">
        <w:rPr>
          <w:rFonts w:cs="Sylfaen"/>
          <w:b w:val="0"/>
          <w:lang w:val="af-ZA"/>
        </w:rPr>
        <w:t>3</w:t>
      </w:r>
      <w:r w:rsidRPr="00A83C94">
        <w:rPr>
          <w:rFonts w:cs="Sylfaen"/>
          <w:b w:val="0"/>
          <w:lang w:val="hy-AM"/>
        </w:rPr>
        <w:t>,</w:t>
      </w:r>
      <w:r w:rsidR="00846F8E">
        <w:rPr>
          <w:rFonts w:cs="Sylfaen"/>
          <w:b w:val="0"/>
          <w:lang w:val="af-ZA"/>
        </w:rPr>
        <w:t>568.2</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04F07B34" w14:textId="77777777" w:rsidR="0023176E" w:rsidRPr="00A83C94" w:rsidRDefault="0023176E" w:rsidP="0023176E">
      <w:pPr>
        <w:widowControl w:val="0"/>
        <w:spacing w:line="276" w:lineRule="auto"/>
        <w:rPr>
          <w:rFonts w:cs="Sylfaen"/>
          <w:b w:val="0"/>
          <w:color w:val="000000"/>
          <w:lang w:val="hy-AM"/>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կենցաղային</w:t>
      </w:r>
      <w:r w:rsidRPr="00A83C94">
        <w:rPr>
          <w:rFonts w:cs="Sylfaen"/>
          <w:b w:val="0"/>
          <w:szCs w:val="22"/>
          <w:lang w:val="af-ZA"/>
        </w:rPr>
        <w:t xml:space="preserve"> </w:t>
      </w:r>
      <w:r w:rsidRPr="00A83C94">
        <w:rPr>
          <w:rFonts w:cs="Sylfaen"/>
          <w:b w:val="0"/>
          <w:szCs w:val="22"/>
        </w:rPr>
        <w:t>թափոնների</w:t>
      </w:r>
      <w:r w:rsidRPr="00A83C94">
        <w:rPr>
          <w:rFonts w:cs="Sylfaen"/>
          <w:b w:val="0"/>
          <w:szCs w:val="22"/>
          <w:lang w:val="af-ZA"/>
        </w:rPr>
        <w:t xml:space="preserve"> </w:t>
      </w:r>
      <w:r w:rsidRPr="00A83C94">
        <w:rPr>
          <w:rFonts w:cs="Sylfaen"/>
          <w:b w:val="0"/>
          <w:szCs w:val="22"/>
        </w:rPr>
        <w:t>արդյունավետ</w:t>
      </w:r>
      <w:r w:rsidRPr="00A83C94">
        <w:rPr>
          <w:rFonts w:cs="Sylfaen"/>
          <w:b w:val="0"/>
          <w:szCs w:val="22"/>
          <w:lang w:val="af-ZA"/>
        </w:rPr>
        <w:t xml:space="preserve"> </w:t>
      </w:r>
      <w:r w:rsidRPr="00A83C94">
        <w:rPr>
          <w:rFonts w:cs="Sylfaen"/>
          <w:b w:val="0"/>
          <w:szCs w:val="22"/>
        </w:rPr>
        <w:t>կառավարումը</w:t>
      </w:r>
      <w:r w:rsidRPr="00A83C94">
        <w:rPr>
          <w:rFonts w:cs="Sylfaen"/>
          <w:b w:val="0"/>
          <w:szCs w:val="22"/>
          <w:lang w:val="af-ZA"/>
        </w:rPr>
        <w:t xml:space="preserve">, </w:t>
      </w:r>
      <w:r w:rsidRPr="00A83C94">
        <w:rPr>
          <w:rFonts w:cs="Sylfaen"/>
          <w:b w:val="0"/>
          <w:szCs w:val="22"/>
        </w:rPr>
        <w:t>սոցիալական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բնապահպանական</w:t>
      </w:r>
      <w:r w:rsidRPr="00A83C94">
        <w:rPr>
          <w:rFonts w:cs="Sylfaen"/>
          <w:b w:val="0"/>
          <w:szCs w:val="22"/>
          <w:lang w:val="af-ZA"/>
        </w:rPr>
        <w:t xml:space="preserve"> </w:t>
      </w:r>
      <w:r w:rsidRPr="00A83C94">
        <w:rPr>
          <w:rFonts w:cs="Sylfaen"/>
          <w:b w:val="0"/>
          <w:szCs w:val="22"/>
        </w:rPr>
        <w:t>խնդիրների</w:t>
      </w:r>
      <w:r w:rsidRPr="00A83C94">
        <w:rPr>
          <w:rFonts w:cs="Sylfaen"/>
          <w:b w:val="0"/>
          <w:szCs w:val="22"/>
          <w:lang w:val="af-ZA"/>
        </w:rPr>
        <w:t xml:space="preserve"> </w:t>
      </w:r>
      <w:r w:rsidRPr="00A83C94">
        <w:rPr>
          <w:rFonts w:cs="Sylfaen"/>
          <w:b w:val="0"/>
          <w:szCs w:val="22"/>
        </w:rPr>
        <w:t>լուծումը</w:t>
      </w:r>
      <w:r w:rsidRPr="00A83C94">
        <w:rPr>
          <w:rFonts w:cs="Sylfaen"/>
          <w:b w:val="0"/>
          <w:szCs w:val="22"/>
          <w:lang w:val="hy-AM"/>
        </w:rPr>
        <w:t xml:space="preserve">, մասնավորապես </w:t>
      </w:r>
      <w:r w:rsidRPr="00A83C94">
        <w:rPr>
          <w:rFonts w:cs="Sylfaen"/>
          <w:b w:val="0"/>
          <w:color w:val="000000"/>
          <w:lang w:val="hy-AM"/>
        </w:rPr>
        <w:t>բարելավել հանրապետությունում աղբահանության և սանիտարական մաքրման համակարգը,  ինչպես նաև նպաստել հանրապետությունում կոշտ կենցաղային թափոնների արդյունավետ կառավարմանը:</w:t>
      </w:r>
    </w:p>
    <w:p w14:paraId="18B33097" w14:textId="77777777" w:rsidR="0023176E" w:rsidRPr="00A83C94" w:rsidRDefault="0023176E" w:rsidP="0023176E">
      <w:pPr>
        <w:widowControl w:val="0"/>
        <w:spacing w:line="276" w:lineRule="auto"/>
        <w:rPr>
          <w:b w:val="0"/>
          <w:lang w:val="hy-AM"/>
        </w:rPr>
      </w:pPr>
      <w:r w:rsidRPr="00A83C94">
        <w:rPr>
          <w:b w:val="0"/>
          <w:bCs/>
          <w:color w:val="000000"/>
          <w:lang w:val="hy-AM"/>
        </w:rPr>
        <w:t xml:space="preserve">Ծրագրով նախատեսվում է բարելավել 2 մարզերի աղբահանության համակարգը և կառուցել ԵՄ չափանիշներին համապատասխան աղբավայր Հրազդան քաղաքում, ինչպես նաև </w:t>
      </w:r>
      <w:r w:rsidRPr="00A83C94">
        <w:rPr>
          <w:b w:val="0"/>
          <w:lang w:val="hy-AM"/>
        </w:rPr>
        <w:t xml:space="preserve">երկու մարզերում ներդնել ԵՄ չափանիշներին համապատասխան աղբահանության համակարգ, այդ թվում կառուցել 2 փոխաբեռնման կայան՝ Ակունք և Մարտունի համայնքներում, ձեռք բերել անհրաժեշտ տեխնիկա, աղբատար մեքենաներ,  աղբամաններ։ </w:t>
      </w:r>
    </w:p>
    <w:p w14:paraId="2D5BDB43" w14:textId="77777777" w:rsidR="0023176E" w:rsidRPr="00A83C94" w:rsidRDefault="0023176E" w:rsidP="0023176E">
      <w:pPr>
        <w:widowControl w:val="0"/>
        <w:spacing w:line="276" w:lineRule="auto"/>
        <w:rPr>
          <w:rFonts w:ascii="Calibri" w:hAnsi="Calibri" w:cs="Calibri"/>
          <w:b w:val="0"/>
          <w:lang w:val="hy-AM"/>
        </w:rPr>
      </w:pPr>
      <w:r w:rsidRPr="00A83C94">
        <w:rPr>
          <w:b w:val="0"/>
          <w:lang w:val="hy-AM"/>
        </w:rPr>
        <w:t>Միաժամանակ Եվրոմիության աջակցության վարկային ծրագրի շրջանակներում</w:t>
      </w:r>
      <w:r w:rsidRPr="00A83C94">
        <w:rPr>
          <w:b w:val="0"/>
          <w:szCs w:val="22"/>
          <w:lang w:val="hy-AM" w:eastAsia="en-US"/>
        </w:rPr>
        <w:t xml:space="preserve"> </w:t>
      </w:r>
      <w:r w:rsidRPr="00A83C94">
        <w:rPr>
          <w:rFonts w:eastAsia="Calibri"/>
          <w:b w:val="0"/>
          <w:szCs w:val="22"/>
          <w:lang w:val="hy-AM" w:eastAsia="en-US"/>
        </w:rPr>
        <w:t>նախատեսվում է 8 մարզերում ներդնել աղբահանության և կոշտ թափոնների ինտեգրված համակարգ (4 սանիտարական աղբավայր, 16 փոխբեռնման կայան</w:t>
      </w:r>
      <w:r w:rsidRPr="00A83C94">
        <w:rPr>
          <w:rFonts w:ascii="Calibri" w:eastAsia="Calibri" w:hAnsi="Calibri" w:cs="Calibri"/>
          <w:b w:val="0"/>
          <w:szCs w:val="22"/>
          <w:lang w:val="hy-AM" w:eastAsia="en-US"/>
        </w:rPr>
        <w:t>)</w:t>
      </w:r>
    </w:p>
    <w:p w14:paraId="37F75AFA" w14:textId="25853E2B" w:rsidR="0023176E" w:rsidRPr="00A83C94" w:rsidRDefault="0023176E" w:rsidP="0023176E">
      <w:pPr>
        <w:widowControl w:val="0"/>
        <w:spacing w:line="276" w:lineRule="auto"/>
        <w:rPr>
          <w:rFonts w:cs="Sylfaen"/>
          <w:b w:val="0"/>
          <w:szCs w:val="22"/>
          <w:lang w:val="af-ZA"/>
        </w:rPr>
      </w:pPr>
      <w:r w:rsidRPr="00A83C94">
        <w:rPr>
          <w:rFonts w:cs="Sylfaen"/>
          <w:szCs w:val="22"/>
          <w:lang w:val="hy-AM"/>
        </w:rPr>
        <w:t>Ճանապարհային</w:t>
      </w:r>
      <w:r w:rsidRPr="00A83C94">
        <w:rPr>
          <w:rFonts w:cs="Sylfaen"/>
          <w:szCs w:val="22"/>
          <w:lang w:val="af-ZA"/>
        </w:rPr>
        <w:t xml:space="preserve"> </w:t>
      </w:r>
      <w:r w:rsidRPr="00A83C94">
        <w:rPr>
          <w:rFonts w:cs="Sylfaen"/>
          <w:szCs w:val="22"/>
          <w:lang w:val="hy-AM"/>
        </w:rPr>
        <w:t>ցանցի</w:t>
      </w:r>
      <w:r w:rsidRPr="00A83C94">
        <w:rPr>
          <w:rFonts w:cs="Sylfaen"/>
          <w:szCs w:val="22"/>
          <w:lang w:val="af-ZA"/>
        </w:rPr>
        <w:t xml:space="preserve"> </w:t>
      </w:r>
      <w:r w:rsidRPr="00A83C94">
        <w:rPr>
          <w:rFonts w:cs="Sylfaen"/>
          <w:szCs w:val="22"/>
          <w:lang w:val="hy-AM"/>
        </w:rPr>
        <w:t>բարելավում</w:t>
      </w:r>
      <w:r w:rsidRPr="00A83C94">
        <w:rPr>
          <w:rFonts w:cs="Sylfaen"/>
          <w:szCs w:val="22"/>
          <w:lang w:val="af-ZA"/>
        </w:rPr>
        <w:t xml:space="preserve"> </w:t>
      </w:r>
      <w:r w:rsidRPr="00A83C94">
        <w:rPr>
          <w:b w:val="0"/>
          <w:bCs/>
          <w:iCs/>
          <w:lang w:val="hy-AM"/>
        </w:rPr>
        <w:t xml:space="preserve">ծրագրի </w:t>
      </w:r>
      <w:r w:rsidRPr="00A83C94">
        <w:rPr>
          <w:rFonts w:cs="Sylfaen"/>
          <w:b w:val="0"/>
          <w:lang w:val="hy-AM"/>
        </w:rPr>
        <w:t>գծով 2022 թվականին  նախատեսվել է  1</w:t>
      </w:r>
      <w:r w:rsidR="005A3F0B" w:rsidRPr="00F36E04">
        <w:rPr>
          <w:rFonts w:cs="Sylfaen"/>
          <w:b w:val="0"/>
          <w:lang w:val="hy-AM"/>
        </w:rPr>
        <w:t>1</w:t>
      </w:r>
      <w:r w:rsidR="008E37FC" w:rsidRPr="008E37FC">
        <w:rPr>
          <w:rFonts w:cs="Sylfaen"/>
          <w:b w:val="0"/>
          <w:lang w:val="hy-AM"/>
        </w:rPr>
        <w:t>3</w:t>
      </w:r>
      <w:r w:rsidRPr="00A83C94">
        <w:rPr>
          <w:rFonts w:cs="Sylfaen"/>
          <w:b w:val="0"/>
          <w:lang w:val="hy-AM"/>
        </w:rPr>
        <w:t>,</w:t>
      </w:r>
      <w:r w:rsidR="008E37FC" w:rsidRPr="008E37FC">
        <w:rPr>
          <w:rFonts w:cs="Sylfaen"/>
          <w:b w:val="0"/>
          <w:lang w:val="hy-AM"/>
        </w:rPr>
        <w:t>264</w:t>
      </w:r>
      <w:r w:rsidRPr="00A83C94">
        <w:rPr>
          <w:rFonts w:cs="Sylfaen"/>
          <w:b w:val="0"/>
          <w:lang w:val="hy-AM"/>
        </w:rPr>
        <w:t>.</w:t>
      </w:r>
      <w:r w:rsidR="008E37FC" w:rsidRPr="008E37FC">
        <w:rPr>
          <w:rFonts w:cs="Sylfaen"/>
          <w:b w:val="0"/>
          <w:lang w:val="hy-AM"/>
        </w:rPr>
        <w:t>8</w:t>
      </w:r>
      <w:r w:rsidRPr="00A83C94">
        <w:rPr>
          <w:rFonts w:cs="Sylfaen"/>
          <w:b w:val="0"/>
          <w:lang w:val="hy-AM"/>
        </w:rPr>
        <w:t xml:space="preserve"> մլն </w:t>
      </w:r>
      <w:r w:rsidRPr="00A83C94">
        <w:rPr>
          <w:rFonts w:cs="GHEA Grapalat"/>
          <w:b w:val="0"/>
          <w:lang w:val="hy-AM"/>
        </w:rPr>
        <w:t>դրամ</w:t>
      </w:r>
      <w:r w:rsidRPr="00A83C94">
        <w:rPr>
          <w:b w:val="0"/>
          <w:bCs/>
          <w:iCs/>
          <w:lang w:val="hy-AM"/>
        </w:rPr>
        <w:t>.</w:t>
      </w:r>
    </w:p>
    <w:p w14:paraId="276A0728"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lang w:val="hy-AM"/>
        </w:rPr>
        <w:t>Ծրագրի</w:t>
      </w:r>
      <w:r w:rsidRPr="00A83C94">
        <w:rPr>
          <w:rFonts w:cs="Sylfaen"/>
          <w:b w:val="0"/>
          <w:szCs w:val="22"/>
          <w:lang w:val="af-ZA"/>
        </w:rPr>
        <w:t xml:space="preserve"> </w:t>
      </w:r>
      <w:r w:rsidRPr="00A83C94">
        <w:rPr>
          <w:rFonts w:cs="Sylfaen"/>
          <w:b w:val="0"/>
          <w:szCs w:val="22"/>
          <w:lang w:val="hy-AM"/>
        </w:rPr>
        <w:t>նպատակն</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ճանապարհային</w:t>
      </w:r>
      <w:r w:rsidRPr="00A83C94">
        <w:rPr>
          <w:rFonts w:cs="Sylfaen"/>
          <w:b w:val="0"/>
          <w:szCs w:val="22"/>
          <w:lang w:val="af-ZA"/>
        </w:rPr>
        <w:t xml:space="preserve"> </w:t>
      </w:r>
      <w:r w:rsidRPr="00A83C94">
        <w:rPr>
          <w:rFonts w:cs="Sylfaen"/>
          <w:b w:val="0"/>
          <w:szCs w:val="22"/>
          <w:lang w:val="hy-AM"/>
        </w:rPr>
        <w:t>ցանցի</w:t>
      </w:r>
      <w:r w:rsidRPr="00A83C94">
        <w:rPr>
          <w:rFonts w:cs="Sylfaen"/>
          <w:b w:val="0"/>
          <w:szCs w:val="22"/>
          <w:lang w:val="af-ZA"/>
        </w:rPr>
        <w:t xml:space="preserve"> </w:t>
      </w:r>
      <w:r w:rsidRPr="00A83C94">
        <w:rPr>
          <w:rFonts w:cs="Sylfaen"/>
          <w:b w:val="0"/>
          <w:szCs w:val="22"/>
          <w:lang w:val="hy-AM"/>
        </w:rPr>
        <w:t>բարելավումն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անվտանգ</w:t>
      </w:r>
      <w:r w:rsidRPr="00A83C94">
        <w:rPr>
          <w:rFonts w:cs="Sylfaen"/>
          <w:b w:val="0"/>
          <w:szCs w:val="22"/>
          <w:lang w:val="af-ZA"/>
        </w:rPr>
        <w:t xml:space="preserve"> </w:t>
      </w:r>
      <w:r w:rsidRPr="00A83C94">
        <w:rPr>
          <w:rFonts w:cs="Sylfaen"/>
          <w:b w:val="0"/>
          <w:szCs w:val="22"/>
          <w:lang w:val="hy-AM"/>
        </w:rPr>
        <w:t>երթևեկության</w:t>
      </w:r>
      <w:r w:rsidRPr="00A83C94">
        <w:rPr>
          <w:rFonts w:cs="Sylfaen"/>
          <w:b w:val="0"/>
          <w:szCs w:val="22"/>
          <w:lang w:val="af-ZA"/>
        </w:rPr>
        <w:t xml:space="preserve"> </w:t>
      </w:r>
      <w:r w:rsidRPr="00A83C94">
        <w:rPr>
          <w:rFonts w:cs="Sylfaen"/>
          <w:b w:val="0"/>
          <w:szCs w:val="22"/>
          <w:lang w:val="hy-AM"/>
        </w:rPr>
        <w:t>ապահովումը</w:t>
      </w:r>
      <w:r w:rsidRPr="00A83C94">
        <w:rPr>
          <w:rFonts w:cs="Sylfaen"/>
          <w:b w:val="0"/>
          <w:szCs w:val="22"/>
          <w:lang w:val="af-ZA"/>
        </w:rPr>
        <w:t xml:space="preserve">, </w:t>
      </w:r>
      <w:r w:rsidRPr="00A83C94">
        <w:rPr>
          <w:rFonts w:cs="Sylfaen"/>
          <w:b w:val="0"/>
          <w:szCs w:val="22"/>
          <w:lang w:val="hy-AM"/>
        </w:rPr>
        <w:t>որի</w:t>
      </w:r>
      <w:r w:rsidRPr="00A83C94">
        <w:rPr>
          <w:rFonts w:cs="Sylfaen"/>
          <w:b w:val="0"/>
          <w:szCs w:val="22"/>
          <w:lang w:val="af-ZA"/>
        </w:rPr>
        <w:t xml:space="preserve"> </w:t>
      </w:r>
      <w:r w:rsidRPr="00A83C94">
        <w:rPr>
          <w:rFonts w:cs="Sylfaen"/>
          <w:b w:val="0"/>
          <w:szCs w:val="22"/>
          <w:lang w:val="hy-AM"/>
        </w:rPr>
        <w:t>շրջանակներում</w:t>
      </w:r>
      <w:r w:rsidRPr="00A83C94">
        <w:rPr>
          <w:rFonts w:cs="Sylfaen"/>
          <w:b w:val="0"/>
          <w:szCs w:val="22"/>
          <w:lang w:val="af-ZA"/>
        </w:rPr>
        <w:t xml:space="preserve"> 2022 </w:t>
      </w:r>
      <w:r w:rsidRPr="00A83C94">
        <w:rPr>
          <w:rFonts w:cs="Sylfaen"/>
          <w:b w:val="0"/>
          <w:szCs w:val="22"/>
          <w:lang w:val="hy-AM"/>
        </w:rPr>
        <w:t>թվականին</w:t>
      </w:r>
      <w:r w:rsidRPr="00A83C94">
        <w:rPr>
          <w:rFonts w:cs="Sylfaen"/>
          <w:b w:val="0"/>
          <w:szCs w:val="22"/>
          <w:lang w:val="af-ZA"/>
        </w:rPr>
        <w:t xml:space="preserve"> </w:t>
      </w:r>
      <w:r w:rsidRPr="00A83C94">
        <w:rPr>
          <w:rFonts w:cs="Sylfaen"/>
          <w:b w:val="0"/>
          <w:szCs w:val="22"/>
          <w:lang w:val="hy-AM"/>
        </w:rPr>
        <w:t>ակնկալվում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համայնքների</w:t>
      </w:r>
      <w:r w:rsidRPr="00A83C94">
        <w:rPr>
          <w:rFonts w:cs="Sylfaen"/>
          <w:b w:val="0"/>
          <w:szCs w:val="22"/>
          <w:lang w:val="af-ZA"/>
        </w:rPr>
        <w:t xml:space="preserve"> </w:t>
      </w:r>
      <w:r w:rsidRPr="00A83C94">
        <w:rPr>
          <w:rFonts w:cs="Sylfaen"/>
          <w:b w:val="0"/>
          <w:szCs w:val="22"/>
          <w:lang w:val="hy-AM"/>
        </w:rPr>
        <w:t>տրանսպորտային</w:t>
      </w:r>
      <w:r w:rsidRPr="00A83C94">
        <w:rPr>
          <w:rFonts w:cs="Sylfaen"/>
          <w:b w:val="0"/>
          <w:szCs w:val="22"/>
          <w:lang w:val="af-ZA"/>
        </w:rPr>
        <w:t xml:space="preserve"> </w:t>
      </w:r>
      <w:r w:rsidRPr="00A83C94">
        <w:rPr>
          <w:rFonts w:cs="Sylfaen"/>
          <w:b w:val="0"/>
          <w:szCs w:val="22"/>
          <w:lang w:val="hy-AM"/>
        </w:rPr>
        <w:t>կապի</w:t>
      </w:r>
      <w:r w:rsidRPr="00A83C94">
        <w:rPr>
          <w:rFonts w:cs="Sylfaen"/>
          <w:b w:val="0"/>
          <w:szCs w:val="22"/>
          <w:lang w:val="af-ZA"/>
        </w:rPr>
        <w:t xml:space="preserve"> </w:t>
      </w:r>
      <w:r w:rsidRPr="00A83C94">
        <w:rPr>
          <w:rFonts w:cs="Sylfaen"/>
          <w:b w:val="0"/>
          <w:szCs w:val="22"/>
          <w:lang w:val="hy-AM"/>
        </w:rPr>
        <w:t>ցուցանիշի</w:t>
      </w:r>
      <w:r w:rsidRPr="00A83C94">
        <w:rPr>
          <w:rFonts w:cs="Sylfaen"/>
          <w:b w:val="0"/>
          <w:szCs w:val="22"/>
          <w:lang w:val="af-ZA"/>
        </w:rPr>
        <w:t xml:space="preserve"> (</w:t>
      </w:r>
      <w:r w:rsidRPr="00A83C94">
        <w:rPr>
          <w:rFonts w:cs="Sylfaen"/>
          <w:b w:val="0"/>
          <w:szCs w:val="22"/>
          <w:lang w:val="hy-AM"/>
        </w:rPr>
        <w:t>հիմնական</w:t>
      </w:r>
      <w:r w:rsidRPr="00A83C94">
        <w:rPr>
          <w:rFonts w:cs="Sylfaen"/>
          <w:b w:val="0"/>
          <w:szCs w:val="22"/>
          <w:lang w:val="af-ZA"/>
        </w:rPr>
        <w:t xml:space="preserve"> </w:t>
      </w:r>
      <w:r w:rsidRPr="00A83C94">
        <w:rPr>
          <w:rFonts w:cs="Sylfaen"/>
          <w:b w:val="0"/>
          <w:szCs w:val="22"/>
          <w:lang w:val="hy-AM"/>
        </w:rPr>
        <w:t>ճանապարհային</w:t>
      </w:r>
      <w:r w:rsidRPr="00A83C94">
        <w:rPr>
          <w:rFonts w:cs="Sylfaen"/>
          <w:b w:val="0"/>
          <w:szCs w:val="22"/>
          <w:lang w:val="af-ZA"/>
        </w:rPr>
        <w:t xml:space="preserve"> </w:t>
      </w:r>
      <w:r w:rsidRPr="00A83C94">
        <w:rPr>
          <w:rFonts w:cs="Sylfaen"/>
          <w:b w:val="0"/>
          <w:szCs w:val="22"/>
          <w:lang w:val="hy-AM"/>
        </w:rPr>
        <w:t>ցանցի</w:t>
      </w:r>
      <w:r w:rsidRPr="00A83C94">
        <w:rPr>
          <w:rFonts w:cs="Sylfaen"/>
          <w:b w:val="0"/>
          <w:szCs w:val="22"/>
          <w:lang w:val="af-ZA"/>
        </w:rPr>
        <w:t xml:space="preserve"> </w:t>
      </w:r>
      <w:r w:rsidRPr="00A83C94">
        <w:rPr>
          <w:rFonts w:cs="Sylfaen"/>
          <w:b w:val="0"/>
          <w:szCs w:val="22"/>
          <w:lang w:val="hy-AM"/>
        </w:rPr>
        <w:t>կամ</w:t>
      </w:r>
      <w:r w:rsidRPr="00A83C94">
        <w:rPr>
          <w:rFonts w:cs="Sylfaen"/>
          <w:b w:val="0"/>
          <w:szCs w:val="22"/>
          <w:lang w:val="af-ZA"/>
        </w:rPr>
        <w:t xml:space="preserve"> </w:t>
      </w:r>
      <w:r w:rsidRPr="00A83C94">
        <w:rPr>
          <w:rFonts w:cs="Sylfaen"/>
          <w:b w:val="0"/>
          <w:szCs w:val="22"/>
          <w:lang w:val="hy-AM"/>
        </w:rPr>
        <w:t>մարզկենտրոնների</w:t>
      </w:r>
      <w:r w:rsidRPr="00A83C94">
        <w:rPr>
          <w:rFonts w:cs="Sylfaen"/>
          <w:b w:val="0"/>
          <w:szCs w:val="22"/>
          <w:lang w:val="af-ZA"/>
        </w:rPr>
        <w:t xml:space="preserve"> </w:t>
      </w:r>
      <w:r w:rsidRPr="00A83C94">
        <w:rPr>
          <w:rFonts w:cs="Sylfaen"/>
          <w:b w:val="0"/>
          <w:szCs w:val="22"/>
          <w:lang w:val="hy-AM"/>
        </w:rPr>
        <w:t>հետ</w:t>
      </w:r>
      <w:r w:rsidRPr="00A83C94">
        <w:rPr>
          <w:rFonts w:cs="Sylfaen"/>
          <w:b w:val="0"/>
          <w:szCs w:val="22"/>
          <w:lang w:val="af-ZA"/>
        </w:rPr>
        <w:t xml:space="preserve"> </w:t>
      </w:r>
      <w:r w:rsidRPr="00A83C94">
        <w:rPr>
          <w:rFonts w:cs="Sylfaen"/>
          <w:b w:val="0"/>
          <w:szCs w:val="22"/>
          <w:lang w:val="hy-AM"/>
        </w:rPr>
        <w:t>առնվազն</w:t>
      </w:r>
      <w:r w:rsidRPr="00A83C94">
        <w:rPr>
          <w:rFonts w:cs="Sylfaen"/>
          <w:b w:val="0"/>
          <w:szCs w:val="22"/>
          <w:lang w:val="af-ZA"/>
        </w:rPr>
        <w:t xml:space="preserve"> </w:t>
      </w:r>
      <w:r w:rsidRPr="00A83C94">
        <w:rPr>
          <w:rFonts w:cs="Sylfaen"/>
          <w:b w:val="0"/>
          <w:szCs w:val="22"/>
          <w:lang w:val="hy-AM"/>
        </w:rPr>
        <w:t>մեկ</w:t>
      </w:r>
      <w:r w:rsidRPr="00A83C94">
        <w:rPr>
          <w:rFonts w:cs="Sylfaen"/>
          <w:b w:val="0"/>
          <w:szCs w:val="22"/>
          <w:lang w:val="af-ZA"/>
        </w:rPr>
        <w:t xml:space="preserve"> </w:t>
      </w:r>
      <w:r w:rsidRPr="00A83C94">
        <w:rPr>
          <w:rFonts w:cs="Sylfaen"/>
          <w:b w:val="0"/>
          <w:szCs w:val="22"/>
          <w:lang w:val="hy-AM"/>
        </w:rPr>
        <w:t>բավարար</w:t>
      </w:r>
      <w:r w:rsidRPr="00A83C94">
        <w:rPr>
          <w:rFonts w:cs="Sylfaen"/>
          <w:b w:val="0"/>
          <w:szCs w:val="22"/>
          <w:lang w:val="af-ZA"/>
        </w:rPr>
        <w:t xml:space="preserve"> </w:t>
      </w:r>
      <w:r w:rsidRPr="00A83C94">
        <w:rPr>
          <w:rFonts w:cs="Sylfaen"/>
          <w:b w:val="0"/>
          <w:szCs w:val="22"/>
          <w:lang w:val="hy-AM"/>
        </w:rPr>
        <w:t>կամ</w:t>
      </w:r>
      <w:r w:rsidRPr="00A83C94">
        <w:rPr>
          <w:rFonts w:cs="Sylfaen"/>
          <w:b w:val="0"/>
          <w:szCs w:val="22"/>
          <w:lang w:val="af-ZA"/>
        </w:rPr>
        <w:t xml:space="preserve"> </w:t>
      </w:r>
      <w:r w:rsidRPr="00A83C94">
        <w:rPr>
          <w:rFonts w:cs="Sylfaen"/>
          <w:b w:val="0"/>
          <w:szCs w:val="22"/>
          <w:lang w:val="hy-AM"/>
        </w:rPr>
        <w:t>ավելի</w:t>
      </w:r>
      <w:r w:rsidRPr="00A83C94">
        <w:rPr>
          <w:rFonts w:cs="Sylfaen"/>
          <w:b w:val="0"/>
          <w:szCs w:val="22"/>
          <w:lang w:val="af-ZA"/>
        </w:rPr>
        <w:t xml:space="preserve"> </w:t>
      </w:r>
      <w:r w:rsidRPr="00A83C94">
        <w:rPr>
          <w:rFonts w:cs="Sylfaen"/>
          <w:b w:val="0"/>
          <w:szCs w:val="22"/>
          <w:lang w:val="hy-AM"/>
        </w:rPr>
        <w:t>լավ</w:t>
      </w:r>
      <w:r w:rsidRPr="00A83C94">
        <w:rPr>
          <w:rFonts w:cs="Sylfaen"/>
          <w:b w:val="0"/>
          <w:szCs w:val="22"/>
          <w:lang w:val="af-ZA"/>
        </w:rPr>
        <w:t xml:space="preserve"> </w:t>
      </w:r>
      <w:r w:rsidRPr="00A83C94">
        <w:rPr>
          <w:rFonts w:cs="Sylfaen"/>
          <w:b w:val="0"/>
          <w:szCs w:val="22"/>
          <w:lang w:val="hy-AM"/>
        </w:rPr>
        <w:t>վիճակում</w:t>
      </w:r>
      <w:r w:rsidRPr="00A83C94">
        <w:rPr>
          <w:rFonts w:cs="Sylfaen"/>
          <w:b w:val="0"/>
          <w:szCs w:val="22"/>
          <w:lang w:val="af-ZA"/>
        </w:rPr>
        <w:t xml:space="preserve"> </w:t>
      </w:r>
      <w:r w:rsidRPr="00A83C94">
        <w:rPr>
          <w:rFonts w:cs="Sylfaen"/>
          <w:b w:val="0"/>
          <w:szCs w:val="22"/>
          <w:lang w:val="hy-AM"/>
        </w:rPr>
        <w:t>գտնվող</w:t>
      </w:r>
      <w:r w:rsidRPr="00A83C94">
        <w:rPr>
          <w:rFonts w:cs="Sylfaen"/>
          <w:b w:val="0"/>
          <w:szCs w:val="22"/>
          <w:lang w:val="af-ZA"/>
        </w:rPr>
        <w:t xml:space="preserve"> </w:t>
      </w:r>
      <w:r w:rsidRPr="00A83C94">
        <w:rPr>
          <w:rFonts w:cs="Sylfaen"/>
          <w:b w:val="0"/>
          <w:szCs w:val="22"/>
          <w:lang w:val="hy-AM"/>
        </w:rPr>
        <w:t>ճանապարհներ</w:t>
      </w:r>
      <w:r w:rsidRPr="00A83C94">
        <w:rPr>
          <w:rFonts w:cs="Sylfaen"/>
          <w:b w:val="0"/>
          <w:szCs w:val="22"/>
          <w:lang w:val="af-ZA"/>
        </w:rPr>
        <w:t xml:space="preserve"> </w:t>
      </w:r>
      <w:r w:rsidRPr="00A83C94">
        <w:rPr>
          <w:rFonts w:cs="Sylfaen"/>
          <w:b w:val="0"/>
          <w:szCs w:val="22"/>
          <w:lang w:val="hy-AM"/>
        </w:rPr>
        <w:t>ունեցող</w:t>
      </w:r>
      <w:r w:rsidRPr="00A83C94">
        <w:rPr>
          <w:rFonts w:cs="Sylfaen"/>
          <w:b w:val="0"/>
          <w:szCs w:val="22"/>
          <w:lang w:val="af-ZA"/>
        </w:rPr>
        <w:t xml:space="preserve"> </w:t>
      </w:r>
      <w:r w:rsidRPr="00A83C94">
        <w:rPr>
          <w:rFonts w:cs="Sylfaen"/>
          <w:b w:val="0"/>
          <w:szCs w:val="22"/>
          <w:lang w:val="hy-AM"/>
        </w:rPr>
        <w:t>բնակավայրերի</w:t>
      </w:r>
      <w:r w:rsidRPr="00A83C94">
        <w:rPr>
          <w:rFonts w:cs="Sylfaen"/>
          <w:b w:val="0"/>
          <w:szCs w:val="22"/>
          <w:lang w:val="af-ZA"/>
        </w:rPr>
        <w:t xml:space="preserve"> </w:t>
      </w:r>
      <w:r w:rsidRPr="00A83C94">
        <w:rPr>
          <w:rFonts w:cs="Sylfaen"/>
          <w:b w:val="0"/>
          <w:szCs w:val="22"/>
          <w:lang w:val="hy-AM"/>
        </w:rPr>
        <w:t>մասնաբաժինը</w:t>
      </w:r>
      <w:r w:rsidRPr="00A83C94">
        <w:rPr>
          <w:rFonts w:cs="Sylfaen"/>
          <w:b w:val="0"/>
          <w:szCs w:val="22"/>
          <w:lang w:val="af-ZA"/>
        </w:rPr>
        <w:t xml:space="preserve"> </w:t>
      </w:r>
      <w:r w:rsidRPr="00A83C94">
        <w:rPr>
          <w:rFonts w:cs="Sylfaen"/>
          <w:b w:val="0"/>
          <w:szCs w:val="22"/>
          <w:lang w:val="hy-AM"/>
        </w:rPr>
        <w:t>բնակավայրերի</w:t>
      </w:r>
      <w:r w:rsidRPr="00A83C94">
        <w:rPr>
          <w:rFonts w:cs="Sylfaen"/>
          <w:b w:val="0"/>
          <w:szCs w:val="22"/>
          <w:lang w:val="af-ZA"/>
        </w:rPr>
        <w:t xml:space="preserve"> </w:t>
      </w:r>
      <w:r w:rsidRPr="00A83C94">
        <w:rPr>
          <w:rFonts w:cs="Sylfaen"/>
          <w:b w:val="0"/>
          <w:szCs w:val="22"/>
          <w:lang w:val="hy-AM"/>
        </w:rPr>
        <w:t>ընդհանուր</w:t>
      </w:r>
      <w:r w:rsidRPr="00A83C94">
        <w:rPr>
          <w:rFonts w:cs="Sylfaen"/>
          <w:b w:val="0"/>
          <w:szCs w:val="22"/>
          <w:lang w:val="af-ZA"/>
        </w:rPr>
        <w:t xml:space="preserve"> </w:t>
      </w:r>
      <w:r w:rsidRPr="00A83C94">
        <w:rPr>
          <w:rFonts w:cs="Sylfaen"/>
          <w:b w:val="0"/>
          <w:szCs w:val="22"/>
          <w:lang w:val="hy-AM"/>
        </w:rPr>
        <w:t>թվում</w:t>
      </w:r>
      <w:r w:rsidRPr="00A83C94">
        <w:rPr>
          <w:rFonts w:cs="Sylfaen"/>
          <w:b w:val="0"/>
          <w:szCs w:val="22"/>
          <w:lang w:val="af-ZA"/>
        </w:rPr>
        <w:t xml:space="preserve">) </w:t>
      </w:r>
      <w:r w:rsidRPr="00A83C94">
        <w:rPr>
          <w:rFonts w:cs="Sylfaen"/>
          <w:b w:val="0"/>
          <w:szCs w:val="22"/>
          <w:lang w:val="hy-AM"/>
        </w:rPr>
        <w:t>մասով</w:t>
      </w:r>
      <w:r w:rsidRPr="00A83C94">
        <w:rPr>
          <w:rFonts w:cs="Sylfaen"/>
          <w:b w:val="0"/>
          <w:szCs w:val="22"/>
          <w:lang w:val="af-ZA"/>
        </w:rPr>
        <w:t xml:space="preserve"> </w:t>
      </w:r>
      <w:r w:rsidRPr="00A83C94">
        <w:rPr>
          <w:rFonts w:cs="Sylfaen"/>
          <w:b w:val="0"/>
          <w:szCs w:val="22"/>
          <w:lang w:val="hy-AM"/>
        </w:rPr>
        <w:t>բազային</w:t>
      </w:r>
      <w:r w:rsidRPr="00A83C94">
        <w:rPr>
          <w:rFonts w:cs="Sylfaen"/>
          <w:b w:val="0"/>
          <w:szCs w:val="22"/>
          <w:lang w:val="af-ZA"/>
        </w:rPr>
        <w:t xml:space="preserve"> 65.9 </w:t>
      </w:r>
      <w:r w:rsidRPr="00A83C94">
        <w:rPr>
          <w:rFonts w:cs="Sylfaen"/>
          <w:b w:val="0"/>
          <w:szCs w:val="22"/>
          <w:lang w:val="hy-AM"/>
        </w:rPr>
        <w:t>տոկոսի</w:t>
      </w:r>
      <w:r w:rsidRPr="00A83C94">
        <w:rPr>
          <w:rFonts w:cs="Sylfaen"/>
          <w:b w:val="0"/>
          <w:szCs w:val="22"/>
          <w:lang w:val="af-ZA"/>
        </w:rPr>
        <w:t xml:space="preserve"> </w:t>
      </w:r>
      <w:r w:rsidRPr="00A83C94">
        <w:rPr>
          <w:rFonts w:cs="Sylfaen"/>
          <w:b w:val="0"/>
          <w:szCs w:val="22"/>
          <w:lang w:val="hy-AM"/>
        </w:rPr>
        <w:t>դիմաց</w:t>
      </w:r>
      <w:r w:rsidRPr="00A83C94">
        <w:rPr>
          <w:rFonts w:cs="Sylfaen"/>
          <w:b w:val="0"/>
          <w:szCs w:val="22"/>
          <w:lang w:val="af-ZA"/>
        </w:rPr>
        <w:t xml:space="preserve"> </w:t>
      </w:r>
      <w:r w:rsidRPr="00A83C94">
        <w:rPr>
          <w:rFonts w:cs="Sylfaen"/>
          <w:b w:val="0"/>
          <w:szCs w:val="22"/>
          <w:lang w:val="hy-AM"/>
        </w:rPr>
        <w:t>ապահովել</w:t>
      </w:r>
      <w:r w:rsidRPr="00A83C94">
        <w:rPr>
          <w:rFonts w:cs="Sylfaen"/>
          <w:b w:val="0"/>
          <w:szCs w:val="22"/>
          <w:lang w:val="af-ZA"/>
        </w:rPr>
        <w:t xml:space="preserve"> 68 </w:t>
      </w:r>
      <w:r w:rsidRPr="00A83C94">
        <w:rPr>
          <w:rFonts w:cs="Sylfaen"/>
          <w:b w:val="0"/>
          <w:szCs w:val="22"/>
          <w:lang w:val="hy-AM"/>
        </w:rPr>
        <w:t>տոկոս</w:t>
      </w:r>
      <w:r w:rsidRPr="00A83C94">
        <w:rPr>
          <w:rFonts w:cs="Sylfaen"/>
          <w:b w:val="0"/>
          <w:szCs w:val="22"/>
          <w:lang w:val="af-ZA"/>
        </w:rPr>
        <w:t xml:space="preserve"> </w:t>
      </w:r>
      <w:r w:rsidRPr="00A83C94">
        <w:rPr>
          <w:rFonts w:cs="Sylfaen"/>
          <w:b w:val="0"/>
          <w:szCs w:val="22"/>
          <w:lang w:val="hy-AM"/>
        </w:rPr>
        <w:t>թիրախային</w:t>
      </w:r>
      <w:r w:rsidRPr="00A83C94">
        <w:rPr>
          <w:rFonts w:cs="Sylfaen"/>
          <w:b w:val="0"/>
          <w:szCs w:val="22"/>
          <w:lang w:val="af-ZA"/>
        </w:rPr>
        <w:t xml:space="preserve"> </w:t>
      </w:r>
      <w:r w:rsidRPr="00A83C94">
        <w:rPr>
          <w:rFonts w:cs="Sylfaen"/>
          <w:b w:val="0"/>
          <w:szCs w:val="22"/>
          <w:lang w:val="hy-AM"/>
        </w:rPr>
        <w:t>ցուցանիշը</w:t>
      </w:r>
      <w:r w:rsidRPr="00A83C94">
        <w:rPr>
          <w:rFonts w:cs="Sylfaen"/>
          <w:b w:val="0"/>
          <w:szCs w:val="22"/>
          <w:lang w:val="af-ZA"/>
        </w:rPr>
        <w:t xml:space="preserve">, </w:t>
      </w:r>
      <w:r w:rsidRPr="00A83C94">
        <w:rPr>
          <w:rFonts w:cs="Sylfaen"/>
          <w:b w:val="0"/>
          <w:szCs w:val="22"/>
          <w:lang w:val="hy-AM"/>
        </w:rPr>
        <w:t>իսկ</w:t>
      </w:r>
      <w:r w:rsidRPr="00A83C94">
        <w:rPr>
          <w:rFonts w:cs="Sylfaen"/>
          <w:b w:val="0"/>
          <w:szCs w:val="22"/>
          <w:lang w:val="af-ZA"/>
        </w:rPr>
        <w:t xml:space="preserve"> </w:t>
      </w:r>
      <w:r w:rsidRPr="00A83C94">
        <w:rPr>
          <w:rFonts w:cs="GHEA Grapalat"/>
          <w:b w:val="0"/>
          <w:szCs w:val="22"/>
          <w:lang w:val="hy-AM"/>
        </w:rPr>
        <w:t>միջպետական</w:t>
      </w:r>
      <w:r w:rsidRPr="00A83C94">
        <w:rPr>
          <w:rFonts w:cs="Sylfaen"/>
          <w:b w:val="0"/>
          <w:szCs w:val="22"/>
          <w:lang w:val="af-ZA"/>
        </w:rPr>
        <w:t xml:space="preserve"> </w:t>
      </w:r>
      <w:r w:rsidRPr="00A83C94">
        <w:rPr>
          <w:rFonts w:cs="Sylfaen"/>
          <w:b w:val="0"/>
          <w:szCs w:val="22"/>
          <w:lang w:val="hy-AM"/>
        </w:rPr>
        <w:t>նշանակության</w:t>
      </w:r>
      <w:r w:rsidRPr="00A83C94">
        <w:rPr>
          <w:rFonts w:cs="Sylfaen"/>
          <w:b w:val="0"/>
          <w:szCs w:val="22"/>
          <w:lang w:val="af-ZA"/>
        </w:rPr>
        <w:t xml:space="preserve"> </w:t>
      </w:r>
      <w:r w:rsidRPr="00A83C94">
        <w:rPr>
          <w:rFonts w:cs="Sylfaen"/>
          <w:b w:val="0"/>
          <w:szCs w:val="22"/>
          <w:lang w:val="hy-AM"/>
        </w:rPr>
        <w:t>ճանապարհների</w:t>
      </w:r>
      <w:r w:rsidRPr="00A83C94">
        <w:rPr>
          <w:rFonts w:cs="Sylfaen"/>
          <w:b w:val="0"/>
          <w:szCs w:val="22"/>
          <w:lang w:val="af-ZA"/>
        </w:rPr>
        <w:t xml:space="preserve"> </w:t>
      </w:r>
      <w:r w:rsidRPr="00A83C94">
        <w:rPr>
          <w:rFonts w:cs="Sylfaen"/>
          <w:b w:val="0"/>
          <w:szCs w:val="22"/>
          <w:lang w:val="hy-AM"/>
        </w:rPr>
        <w:t>անհարթության</w:t>
      </w:r>
      <w:r w:rsidRPr="00A83C94">
        <w:rPr>
          <w:rFonts w:cs="Sylfaen"/>
          <w:b w:val="0"/>
          <w:szCs w:val="22"/>
          <w:lang w:val="af-ZA"/>
        </w:rPr>
        <w:t xml:space="preserve"> IRI </w:t>
      </w:r>
      <w:r w:rsidRPr="00A83C94">
        <w:rPr>
          <w:rFonts w:cs="Sylfaen"/>
          <w:b w:val="0"/>
          <w:szCs w:val="22"/>
          <w:lang w:val="hy-AM"/>
        </w:rPr>
        <w:t>գործակցի</w:t>
      </w:r>
      <w:r w:rsidRPr="00A83C94">
        <w:rPr>
          <w:rFonts w:cs="Sylfaen"/>
          <w:b w:val="0"/>
          <w:szCs w:val="22"/>
          <w:lang w:val="af-ZA"/>
        </w:rPr>
        <w:t xml:space="preserve"> </w:t>
      </w:r>
      <w:r w:rsidRPr="00A83C94">
        <w:rPr>
          <w:rFonts w:cs="Sylfaen"/>
          <w:b w:val="0"/>
          <w:szCs w:val="22"/>
          <w:lang w:val="hy-AM"/>
        </w:rPr>
        <w:t>միջին</w:t>
      </w:r>
      <w:r w:rsidRPr="00A83C94">
        <w:rPr>
          <w:rFonts w:cs="Sylfaen"/>
          <w:b w:val="0"/>
          <w:szCs w:val="22"/>
          <w:lang w:val="af-ZA"/>
        </w:rPr>
        <w:t xml:space="preserve"> </w:t>
      </w:r>
      <w:r w:rsidRPr="00A83C94">
        <w:rPr>
          <w:rFonts w:cs="Sylfaen"/>
          <w:b w:val="0"/>
          <w:szCs w:val="22"/>
          <w:lang w:val="hy-AM"/>
        </w:rPr>
        <w:t>թվաբանականի</w:t>
      </w:r>
      <w:r w:rsidRPr="00A83C94">
        <w:rPr>
          <w:rFonts w:cs="Sylfaen"/>
          <w:b w:val="0"/>
          <w:szCs w:val="22"/>
          <w:lang w:val="af-ZA"/>
        </w:rPr>
        <w:t xml:space="preserve"> </w:t>
      </w:r>
      <w:r w:rsidRPr="00A83C94">
        <w:rPr>
          <w:rFonts w:cs="Sylfaen"/>
          <w:b w:val="0"/>
          <w:szCs w:val="22"/>
          <w:lang w:val="hy-AM"/>
        </w:rPr>
        <w:t>համար՝</w:t>
      </w:r>
      <w:r w:rsidRPr="00A83C94">
        <w:rPr>
          <w:rFonts w:cs="Sylfaen"/>
          <w:b w:val="0"/>
          <w:szCs w:val="22"/>
          <w:lang w:val="af-ZA"/>
        </w:rPr>
        <w:t xml:space="preserve"> </w:t>
      </w:r>
      <w:r w:rsidRPr="00A83C94">
        <w:rPr>
          <w:rFonts w:cs="Sylfaen"/>
          <w:b w:val="0"/>
          <w:szCs w:val="22"/>
          <w:lang w:val="hy-AM"/>
        </w:rPr>
        <w:t>պահպանել</w:t>
      </w:r>
      <w:r w:rsidRPr="00A83C94">
        <w:rPr>
          <w:rFonts w:cs="Sylfaen"/>
          <w:b w:val="0"/>
          <w:szCs w:val="22"/>
          <w:lang w:val="af-ZA"/>
        </w:rPr>
        <w:t xml:space="preserve"> 6.3 </w:t>
      </w:r>
      <w:r w:rsidRPr="00A83C94">
        <w:rPr>
          <w:rFonts w:cs="Sylfaen"/>
          <w:b w:val="0"/>
          <w:szCs w:val="22"/>
          <w:lang w:val="hy-AM"/>
        </w:rPr>
        <w:t>մ</w:t>
      </w:r>
      <w:r w:rsidRPr="00A83C94">
        <w:rPr>
          <w:rFonts w:cs="Sylfaen"/>
          <w:b w:val="0"/>
          <w:szCs w:val="22"/>
          <w:lang w:val="af-ZA"/>
        </w:rPr>
        <w:t>/</w:t>
      </w:r>
      <w:r w:rsidRPr="00A83C94">
        <w:rPr>
          <w:rFonts w:cs="Sylfaen"/>
          <w:b w:val="0"/>
          <w:szCs w:val="22"/>
          <w:lang w:val="hy-AM"/>
        </w:rPr>
        <w:t>կմ</w:t>
      </w:r>
      <w:r w:rsidRPr="00A83C94">
        <w:rPr>
          <w:rFonts w:ascii="Calibri" w:hAnsi="Calibri" w:cs="Calibri"/>
          <w:b w:val="0"/>
          <w:szCs w:val="22"/>
          <w:lang w:val="af-ZA"/>
        </w:rPr>
        <w:t> </w:t>
      </w:r>
      <w:r w:rsidRPr="00A83C94">
        <w:rPr>
          <w:rFonts w:cs="Sylfaen"/>
          <w:b w:val="0"/>
          <w:szCs w:val="22"/>
          <w:lang w:val="hy-AM"/>
        </w:rPr>
        <w:t>ցուցանիշը</w:t>
      </w:r>
      <w:r w:rsidRPr="00A83C94">
        <w:rPr>
          <w:rFonts w:cs="Sylfaen"/>
          <w:b w:val="0"/>
          <w:szCs w:val="22"/>
          <w:lang w:val="af-ZA"/>
        </w:rPr>
        <w:t>:</w:t>
      </w:r>
    </w:p>
    <w:p w14:paraId="29A1574F" w14:textId="77777777" w:rsidR="0023176E" w:rsidRPr="00A83C94" w:rsidRDefault="0023176E" w:rsidP="0023176E">
      <w:pPr>
        <w:widowControl w:val="0"/>
        <w:spacing w:line="276" w:lineRule="auto"/>
        <w:ind w:left="1" w:firstLine="566"/>
        <w:rPr>
          <w:rFonts w:cs="Sylfaen"/>
          <w:b w:val="0"/>
          <w:szCs w:val="22"/>
          <w:lang w:val="hy-AM"/>
        </w:rPr>
      </w:pPr>
      <w:r w:rsidRPr="00A83C94">
        <w:rPr>
          <w:rFonts w:cs="Sylfaen"/>
          <w:b w:val="0"/>
          <w:szCs w:val="22"/>
          <w:lang w:val="hy-AM"/>
        </w:rPr>
        <w:t>Ծրագրի</w:t>
      </w:r>
      <w:r w:rsidRPr="00A83C94">
        <w:rPr>
          <w:rFonts w:cs="Sylfaen"/>
          <w:b w:val="0"/>
          <w:szCs w:val="22"/>
          <w:lang w:val="af-ZA"/>
        </w:rPr>
        <w:t xml:space="preserve"> </w:t>
      </w:r>
      <w:r w:rsidRPr="00A83C94">
        <w:rPr>
          <w:rFonts w:cs="Sylfaen"/>
          <w:b w:val="0"/>
          <w:szCs w:val="22"/>
          <w:lang w:val="hy-AM"/>
        </w:rPr>
        <w:t>շրջանակներում</w:t>
      </w:r>
      <w:r w:rsidRPr="00A83C94">
        <w:rPr>
          <w:rFonts w:cs="Sylfaen"/>
          <w:b w:val="0"/>
          <w:szCs w:val="22"/>
          <w:lang w:val="af-ZA"/>
        </w:rPr>
        <w:t xml:space="preserve"> </w:t>
      </w:r>
      <w:r w:rsidRPr="00A83C94">
        <w:rPr>
          <w:rFonts w:cs="Sylfaen"/>
          <w:b w:val="0"/>
          <w:szCs w:val="22"/>
          <w:lang w:val="hy-AM"/>
        </w:rPr>
        <w:t>ներքին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արտաքին</w:t>
      </w:r>
      <w:r w:rsidRPr="00A83C94">
        <w:rPr>
          <w:rFonts w:cs="Sylfaen"/>
          <w:b w:val="0"/>
          <w:szCs w:val="22"/>
          <w:lang w:val="af-ZA"/>
        </w:rPr>
        <w:t xml:space="preserve"> </w:t>
      </w:r>
      <w:r w:rsidRPr="00A83C94">
        <w:rPr>
          <w:rFonts w:cs="Sylfaen"/>
          <w:b w:val="0"/>
          <w:szCs w:val="22"/>
          <w:lang w:val="hy-AM"/>
        </w:rPr>
        <w:t>աղբյուրների</w:t>
      </w:r>
      <w:r w:rsidRPr="00A83C94">
        <w:rPr>
          <w:rFonts w:cs="Sylfaen"/>
          <w:b w:val="0"/>
          <w:szCs w:val="22"/>
          <w:lang w:val="af-ZA"/>
        </w:rPr>
        <w:t xml:space="preserve"> </w:t>
      </w:r>
      <w:r w:rsidRPr="00A83C94">
        <w:rPr>
          <w:rFonts w:cs="Sylfaen"/>
          <w:b w:val="0"/>
          <w:szCs w:val="22"/>
          <w:lang w:val="hy-AM"/>
        </w:rPr>
        <w:t>ֆինանսավորմամբ</w:t>
      </w:r>
      <w:r w:rsidRPr="00A83C94">
        <w:rPr>
          <w:rFonts w:cs="Sylfaen"/>
          <w:b w:val="0"/>
          <w:color w:val="FF0000"/>
          <w:szCs w:val="22"/>
          <w:lang w:val="hy-AM"/>
        </w:rPr>
        <w:t xml:space="preserve"> </w:t>
      </w:r>
      <w:r w:rsidRPr="00A83C94">
        <w:rPr>
          <w:rFonts w:cs="Sylfaen"/>
          <w:b w:val="0"/>
          <w:szCs w:val="22"/>
          <w:lang w:val="hy-AM"/>
        </w:rPr>
        <w:t>նախատեսվում</w:t>
      </w:r>
      <w:r w:rsidRPr="00A83C94">
        <w:rPr>
          <w:rFonts w:cs="Sylfaen"/>
          <w:b w:val="0"/>
          <w:szCs w:val="22"/>
          <w:lang w:val="af-ZA"/>
        </w:rPr>
        <w:t xml:space="preserve"> </w:t>
      </w:r>
      <w:r w:rsidRPr="00A83C94">
        <w:rPr>
          <w:rFonts w:cs="Sylfaen"/>
          <w:b w:val="0"/>
          <w:szCs w:val="22"/>
          <w:lang w:val="hy-AM"/>
        </w:rPr>
        <w:t>է իրականացնել միջպետական, հանրապետական և  մարզային նշանակության ավտոմոբիլային ճանապարհների ցանցի նորոգում, հիմնանորոգում և որակի շարունակական բարձրացում, որի շնորհիվ կունենանք շուրջ 500 կմ վերանորոգված ավտոճանապարհներ:</w:t>
      </w:r>
    </w:p>
    <w:p w14:paraId="2D9F3A02" w14:textId="4E3B25CB" w:rsidR="0023176E" w:rsidRPr="00A83C94" w:rsidRDefault="0023176E" w:rsidP="00956324">
      <w:pPr>
        <w:spacing w:before="0" w:line="276" w:lineRule="auto"/>
        <w:ind w:firstLine="720"/>
        <w:rPr>
          <w:rFonts w:cs="Sylfaen"/>
          <w:b w:val="0"/>
          <w:szCs w:val="22"/>
          <w:lang w:val="hy-AM"/>
        </w:rPr>
      </w:pPr>
      <w:r w:rsidRPr="00A83C94">
        <w:rPr>
          <w:rFonts w:cs="Sylfaen"/>
          <w:b w:val="0"/>
          <w:szCs w:val="22"/>
          <w:lang w:val="hy-AM"/>
        </w:rPr>
        <w:t>Մասնավորապես 2022 թվականին ներքին աղբյուրների հաշվին նախատեսվում է իրականացնել շուրջ</w:t>
      </w:r>
      <w:r w:rsidRPr="00A83C94">
        <w:rPr>
          <w:rFonts w:cs="Sylfaen"/>
          <w:b w:val="0"/>
          <w:szCs w:val="22"/>
          <w:lang w:val="af-ZA"/>
        </w:rPr>
        <w:t xml:space="preserve"> 300.0 </w:t>
      </w:r>
      <w:r w:rsidRPr="00A83C94">
        <w:rPr>
          <w:rFonts w:cs="Sylfaen"/>
          <w:b w:val="0"/>
          <w:szCs w:val="22"/>
          <w:lang w:val="hy-AM"/>
        </w:rPr>
        <w:t>կմ</w:t>
      </w:r>
      <w:r w:rsidRPr="00A83C94">
        <w:rPr>
          <w:rFonts w:cs="Sylfaen"/>
          <w:b w:val="0"/>
          <w:szCs w:val="22"/>
          <w:lang w:val="af-ZA"/>
        </w:rPr>
        <w:t xml:space="preserve"> </w:t>
      </w:r>
      <w:r w:rsidRPr="00A83C94">
        <w:rPr>
          <w:rFonts w:cs="Sylfaen"/>
          <w:b w:val="0"/>
          <w:szCs w:val="22"/>
          <w:lang w:val="hy-AM"/>
        </w:rPr>
        <w:t>երկարությամբ</w:t>
      </w:r>
      <w:r w:rsidRPr="00A83C94">
        <w:rPr>
          <w:rFonts w:cs="Sylfaen"/>
          <w:b w:val="0"/>
          <w:szCs w:val="22"/>
          <w:lang w:val="af-ZA"/>
        </w:rPr>
        <w:t xml:space="preserve"> </w:t>
      </w:r>
      <w:r w:rsidRPr="00A83C94">
        <w:rPr>
          <w:rFonts w:cs="Sylfaen"/>
          <w:b w:val="0"/>
          <w:szCs w:val="22"/>
          <w:lang w:val="hy-AM"/>
        </w:rPr>
        <w:t>միջպետական</w:t>
      </w:r>
      <w:r w:rsidRPr="00A83C94">
        <w:rPr>
          <w:rFonts w:cs="Sylfaen"/>
          <w:b w:val="0"/>
          <w:szCs w:val="22"/>
          <w:lang w:val="af-ZA"/>
        </w:rPr>
        <w:t xml:space="preserve"> </w:t>
      </w:r>
      <w:r w:rsidRPr="00A83C94">
        <w:rPr>
          <w:rFonts w:cs="Sylfaen"/>
          <w:b w:val="0"/>
          <w:szCs w:val="22"/>
          <w:lang w:val="hy-AM"/>
        </w:rPr>
        <w:t>հանրապետական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մարզային</w:t>
      </w:r>
      <w:r w:rsidRPr="00A83C94">
        <w:rPr>
          <w:rFonts w:cs="Sylfaen"/>
          <w:b w:val="0"/>
          <w:szCs w:val="22"/>
          <w:lang w:val="af-ZA"/>
        </w:rPr>
        <w:t xml:space="preserve"> </w:t>
      </w:r>
      <w:r w:rsidRPr="00A83C94">
        <w:rPr>
          <w:rFonts w:cs="Sylfaen"/>
          <w:b w:val="0"/>
          <w:szCs w:val="22"/>
          <w:lang w:val="hy-AM"/>
        </w:rPr>
        <w:t>նշանակության</w:t>
      </w:r>
      <w:r w:rsidRPr="00A83C94">
        <w:rPr>
          <w:rFonts w:cs="Sylfaen"/>
          <w:b w:val="0"/>
          <w:szCs w:val="22"/>
          <w:lang w:val="af-ZA"/>
        </w:rPr>
        <w:t xml:space="preserve"> </w:t>
      </w:r>
      <w:r w:rsidRPr="00A83C94">
        <w:rPr>
          <w:rFonts w:cs="Sylfaen"/>
          <w:b w:val="0"/>
          <w:szCs w:val="22"/>
          <w:lang w:val="hy-AM"/>
        </w:rPr>
        <w:t>ավտոմոբիլային</w:t>
      </w:r>
      <w:r w:rsidRPr="00A83C94">
        <w:rPr>
          <w:rFonts w:cs="Sylfaen"/>
          <w:b w:val="0"/>
          <w:szCs w:val="22"/>
          <w:lang w:val="af-ZA"/>
        </w:rPr>
        <w:t xml:space="preserve"> </w:t>
      </w:r>
      <w:r w:rsidRPr="00A83C94">
        <w:rPr>
          <w:rFonts w:cs="Sylfaen"/>
          <w:b w:val="0"/>
          <w:szCs w:val="22"/>
          <w:lang w:val="hy-AM"/>
        </w:rPr>
        <w:t>ճանապարհների և թվով</w:t>
      </w:r>
      <w:r w:rsidRPr="00A83C94">
        <w:rPr>
          <w:rFonts w:cs="Sylfaen"/>
          <w:b w:val="0"/>
          <w:szCs w:val="22"/>
          <w:lang w:val="af-ZA"/>
        </w:rPr>
        <w:t xml:space="preserve"> </w:t>
      </w:r>
      <w:r w:rsidR="00601A83">
        <w:rPr>
          <w:rFonts w:cs="Sylfaen"/>
          <w:b w:val="0"/>
          <w:szCs w:val="22"/>
          <w:lang w:val="af-ZA"/>
        </w:rPr>
        <w:t>22 տրանսպորտային օբյեկտների</w:t>
      </w:r>
      <w:r w:rsidRPr="00A83C94">
        <w:rPr>
          <w:rFonts w:cs="Sylfaen"/>
          <w:b w:val="0"/>
          <w:szCs w:val="22"/>
          <w:lang w:val="hy-AM"/>
        </w:rPr>
        <w:t xml:space="preserve"> հիմնանորոգման, 80 կմ միջին</w:t>
      </w:r>
      <w:r w:rsidRPr="00A83C94">
        <w:rPr>
          <w:rFonts w:cs="Sylfaen"/>
          <w:b w:val="0"/>
          <w:szCs w:val="22"/>
          <w:lang w:val="af-ZA"/>
        </w:rPr>
        <w:t xml:space="preserve"> </w:t>
      </w:r>
      <w:r w:rsidRPr="00A83C94">
        <w:rPr>
          <w:rFonts w:cs="Sylfaen"/>
          <w:b w:val="0"/>
          <w:szCs w:val="22"/>
          <w:lang w:val="hy-AM"/>
        </w:rPr>
        <w:t>նորոգման, 4163</w:t>
      </w:r>
      <w:r w:rsidRPr="00A83C94">
        <w:rPr>
          <w:rFonts w:cs="Sylfaen"/>
          <w:b w:val="0"/>
          <w:szCs w:val="22"/>
          <w:lang w:val="af-ZA"/>
        </w:rPr>
        <w:t xml:space="preserve"> </w:t>
      </w:r>
      <w:r w:rsidRPr="00A83C94">
        <w:rPr>
          <w:rFonts w:cs="Sylfaen"/>
          <w:b w:val="0"/>
          <w:szCs w:val="22"/>
          <w:lang w:val="hy-AM"/>
        </w:rPr>
        <w:t>կմ</w:t>
      </w:r>
      <w:r w:rsidRPr="00A83C94">
        <w:rPr>
          <w:rFonts w:cs="Sylfaen"/>
          <w:b w:val="0"/>
          <w:szCs w:val="22"/>
          <w:lang w:val="af-ZA"/>
        </w:rPr>
        <w:t xml:space="preserve"> </w:t>
      </w:r>
      <w:r w:rsidRPr="00A83C94">
        <w:rPr>
          <w:rFonts w:cs="Sylfaen"/>
          <w:b w:val="0"/>
          <w:szCs w:val="22"/>
          <w:lang w:val="hy-AM"/>
        </w:rPr>
        <w:t>ամառային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5421.5</w:t>
      </w:r>
      <w:r w:rsidRPr="00A83C94">
        <w:rPr>
          <w:rFonts w:cs="Sylfaen"/>
          <w:b w:val="0"/>
          <w:szCs w:val="22"/>
          <w:lang w:val="af-ZA"/>
        </w:rPr>
        <w:t xml:space="preserve"> </w:t>
      </w:r>
      <w:r w:rsidRPr="00A83C94">
        <w:rPr>
          <w:rFonts w:cs="Sylfaen"/>
          <w:b w:val="0"/>
          <w:szCs w:val="22"/>
          <w:lang w:val="hy-AM"/>
        </w:rPr>
        <w:t>կմ ձմեռային պահպանման, ինչպես նաև 3 թունելների և 5 կամուրջների պահպանման ու շահագործման աշխատանքներ:</w:t>
      </w:r>
    </w:p>
    <w:p w14:paraId="50811D11" w14:textId="77777777" w:rsidR="0023176E" w:rsidRPr="00A83C94" w:rsidRDefault="0023176E" w:rsidP="00956324">
      <w:pPr>
        <w:spacing w:before="0" w:line="276" w:lineRule="auto"/>
        <w:ind w:firstLine="720"/>
        <w:rPr>
          <w:rFonts w:cs="Sylfaen"/>
          <w:b w:val="0"/>
          <w:szCs w:val="22"/>
          <w:lang w:val="hy-AM"/>
        </w:rPr>
      </w:pPr>
      <w:r w:rsidRPr="00A83C94">
        <w:rPr>
          <w:rFonts w:cs="Sylfaen"/>
          <w:b w:val="0"/>
          <w:szCs w:val="22"/>
          <w:lang w:val="hy-AM"/>
        </w:rPr>
        <w:t xml:space="preserve">Արտաքին աղբյուրների ֆինանսավորմամբ իրականացվող շարունակական ծրագրերի ներքո նախատեսվում է հիմնանորոգել շուրջ 120 կմ ճանապարհահատված, «Բագրատաշեն» անցման կետի կամրջի վերակառուցումը, ինչպես նաև մեկնարկելու են Քաջարան-Ագարակ, Սիսիան-Քաջարան և Քաջարանի թունել տանող ճանապարհահատվածների հողերի օտարման և վերակառուցման աշխատանքները: </w:t>
      </w:r>
    </w:p>
    <w:p w14:paraId="0444F3D0" w14:textId="77777777" w:rsidR="0023176E" w:rsidRPr="00A83C94" w:rsidRDefault="0023176E" w:rsidP="00956324">
      <w:pPr>
        <w:spacing w:before="0" w:line="276" w:lineRule="auto"/>
        <w:ind w:firstLine="720"/>
        <w:rPr>
          <w:rFonts w:cs="Sylfaen"/>
          <w:b w:val="0"/>
          <w:szCs w:val="22"/>
          <w:lang w:val="hy-AM"/>
        </w:rPr>
      </w:pPr>
      <w:r w:rsidRPr="00A83C94">
        <w:rPr>
          <w:rFonts w:cs="Sylfaen"/>
          <w:b w:val="0"/>
          <w:szCs w:val="22"/>
          <w:lang w:val="hy-AM"/>
        </w:rPr>
        <w:t>Եվրոմիության աջակցության վարկային ծրագրի շրջանակներում նախատեսվում է վերականգնել Սյունիքի մարզի միջհամայնքային բնակավայրերից մայրուղի տանող և ներբնակավայրային ճանապարհները, 4 քաղաքներում կառուցել ավտոկայանների, ձեռք բերել ավտոբուսների և միկրոավտոբուսներ, ինչպես նաև բարելավել դեպի հեռագնա արոտավայրեր տանող ճանապարները:</w:t>
      </w:r>
    </w:p>
    <w:p w14:paraId="644A35D9" w14:textId="77777777" w:rsidR="0023176E" w:rsidRPr="00A83C94" w:rsidRDefault="0023176E" w:rsidP="00956324">
      <w:pPr>
        <w:widowControl w:val="0"/>
        <w:spacing w:line="276" w:lineRule="auto"/>
        <w:ind w:firstLine="720"/>
        <w:rPr>
          <w:rFonts w:cs="Sylfaen"/>
          <w:b w:val="0"/>
          <w:szCs w:val="22"/>
          <w:lang w:val="af-ZA"/>
        </w:rPr>
      </w:pPr>
      <w:r w:rsidRPr="00A83C94">
        <w:rPr>
          <w:rFonts w:cs="Sylfaen"/>
          <w:szCs w:val="22"/>
          <w:lang w:val="hy-AM"/>
        </w:rPr>
        <w:t>Աջակցություն</w:t>
      </w:r>
      <w:r w:rsidRPr="00A83C94">
        <w:rPr>
          <w:rFonts w:cs="Sylfaen"/>
          <w:szCs w:val="22"/>
          <w:lang w:val="af-ZA"/>
        </w:rPr>
        <w:t xml:space="preserve"> </w:t>
      </w:r>
      <w:r w:rsidRPr="00A83C94">
        <w:rPr>
          <w:rFonts w:cs="Sylfaen"/>
          <w:szCs w:val="22"/>
          <w:lang w:val="hy-AM"/>
        </w:rPr>
        <w:t>փախստականների</w:t>
      </w:r>
      <w:r w:rsidRPr="00A83C94">
        <w:rPr>
          <w:rFonts w:cs="Sylfaen"/>
          <w:szCs w:val="22"/>
          <w:lang w:val="af-ZA"/>
        </w:rPr>
        <w:t xml:space="preserve"> </w:t>
      </w:r>
      <w:r w:rsidRPr="00A83C94">
        <w:rPr>
          <w:rFonts w:cs="Sylfaen"/>
          <w:szCs w:val="22"/>
          <w:lang w:val="hy-AM"/>
        </w:rPr>
        <w:t xml:space="preserve">ինտեգրմանը </w:t>
      </w:r>
      <w:r w:rsidRPr="00A83C94">
        <w:rPr>
          <w:b w:val="0"/>
          <w:bCs/>
          <w:iCs/>
          <w:lang w:val="hy-AM"/>
        </w:rPr>
        <w:t>ծրագրի</w:t>
      </w:r>
      <w:r w:rsidRPr="00A83C94">
        <w:rPr>
          <w:b w:val="0"/>
          <w:bCs/>
          <w:iCs/>
          <w:lang w:val="af-ZA"/>
        </w:rPr>
        <w:t xml:space="preserve"> </w:t>
      </w:r>
      <w:r w:rsidRPr="00A83C94">
        <w:rPr>
          <w:rFonts w:cs="Sylfaen"/>
          <w:b w:val="0"/>
          <w:lang w:val="hy-AM"/>
        </w:rPr>
        <w:t>գծով  2022 թվականին  նախատեսվել է  1,</w:t>
      </w:r>
      <w:r w:rsidRPr="00A83C94">
        <w:rPr>
          <w:rFonts w:cs="Sylfaen"/>
          <w:b w:val="0"/>
          <w:lang w:val="af-ZA"/>
        </w:rPr>
        <w:t>606.9</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0E00A405" w14:textId="77777777" w:rsidR="0023176E" w:rsidRPr="00A83C94" w:rsidRDefault="0023176E" w:rsidP="00956324">
      <w:pPr>
        <w:widowControl w:val="0"/>
        <w:spacing w:line="276" w:lineRule="auto"/>
        <w:ind w:firstLine="720"/>
        <w:rPr>
          <w:rFonts w:cs="Sylfaen"/>
          <w:b w:val="0"/>
          <w:szCs w:val="22"/>
          <w:lang w:val="hy-AM"/>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ապահովել</w:t>
      </w:r>
      <w:r w:rsidRPr="00A83C94">
        <w:rPr>
          <w:rFonts w:cs="Sylfaen"/>
          <w:b w:val="0"/>
          <w:szCs w:val="22"/>
          <w:lang w:val="af-ZA"/>
        </w:rPr>
        <w:t xml:space="preserve"> </w:t>
      </w:r>
      <w:r w:rsidRPr="00A83C94">
        <w:rPr>
          <w:rFonts w:cs="Sylfaen"/>
          <w:b w:val="0"/>
          <w:szCs w:val="22"/>
        </w:rPr>
        <w:t>փախստականների</w:t>
      </w:r>
      <w:r w:rsidRPr="00A83C94">
        <w:rPr>
          <w:rFonts w:cs="Sylfaen"/>
          <w:b w:val="0"/>
          <w:szCs w:val="22"/>
          <w:lang w:val="af-ZA"/>
        </w:rPr>
        <w:t xml:space="preserve"> </w:t>
      </w:r>
      <w:r w:rsidRPr="00A83C94">
        <w:rPr>
          <w:rFonts w:cs="Sylfaen"/>
          <w:b w:val="0"/>
          <w:szCs w:val="22"/>
        </w:rPr>
        <w:t>ինտեգրումը</w:t>
      </w:r>
      <w:r w:rsidRPr="00A83C94">
        <w:rPr>
          <w:rFonts w:cs="Sylfaen"/>
          <w:b w:val="0"/>
          <w:szCs w:val="22"/>
          <w:lang w:val="af-ZA"/>
        </w:rPr>
        <w:t xml:space="preserve"> </w:t>
      </w:r>
      <w:r w:rsidRPr="00A83C94">
        <w:rPr>
          <w:rFonts w:cs="Sylfaen"/>
          <w:b w:val="0"/>
          <w:szCs w:val="22"/>
        </w:rPr>
        <w:t>հասարակությանը</w:t>
      </w:r>
      <w:r w:rsidRPr="00A83C94">
        <w:rPr>
          <w:rFonts w:cs="Sylfaen"/>
          <w:b w:val="0"/>
          <w:szCs w:val="22"/>
          <w:lang w:val="af-ZA"/>
        </w:rPr>
        <w:t xml:space="preserve">, </w:t>
      </w:r>
      <w:r w:rsidRPr="00A83C94">
        <w:rPr>
          <w:rFonts w:cs="Sylfaen"/>
          <w:b w:val="0"/>
          <w:szCs w:val="22"/>
        </w:rPr>
        <w:t>որի</w:t>
      </w:r>
      <w:r w:rsidRPr="00A83C94">
        <w:rPr>
          <w:rFonts w:cs="Sylfaen"/>
          <w:b w:val="0"/>
          <w:szCs w:val="22"/>
          <w:lang w:val="af-ZA"/>
        </w:rPr>
        <w:t xml:space="preserve"> </w:t>
      </w:r>
      <w:r w:rsidRPr="00A83C94">
        <w:rPr>
          <w:rFonts w:cs="Sylfaen"/>
          <w:b w:val="0"/>
          <w:szCs w:val="22"/>
        </w:rPr>
        <w:t>շրջանակներում</w:t>
      </w:r>
      <w:r w:rsidRPr="00A83C94">
        <w:rPr>
          <w:rFonts w:cs="Sylfaen"/>
          <w:b w:val="0"/>
          <w:szCs w:val="22"/>
          <w:lang w:val="af-ZA"/>
        </w:rPr>
        <w:t xml:space="preserve"> </w:t>
      </w:r>
      <w:r w:rsidRPr="00A83C94">
        <w:rPr>
          <w:rFonts w:cs="Sylfaen"/>
          <w:b w:val="0"/>
          <w:szCs w:val="22"/>
        </w:rPr>
        <w:t>նախա</w:t>
      </w:r>
      <w:r w:rsidRPr="00A83C94">
        <w:rPr>
          <w:rFonts w:cs="Sylfaen"/>
          <w:b w:val="0"/>
          <w:szCs w:val="22"/>
          <w:lang w:val="af-ZA"/>
        </w:rPr>
        <w:softHyphen/>
      </w:r>
      <w:r w:rsidRPr="00A83C94">
        <w:rPr>
          <w:rFonts w:cs="Sylfaen"/>
          <w:b w:val="0"/>
          <w:szCs w:val="22"/>
        </w:rPr>
        <w:t>տեսվում</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40-45 </w:t>
      </w:r>
      <w:r w:rsidRPr="00A83C94">
        <w:rPr>
          <w:rFonts w:cs="Sylfaen"/>
          <w:b w:val="0"/>
          <w:szCs w:val="22"/>
        </w:rPr>
        <w:t>ապաստան</w:t>
      </w:r>
      <w:r w:rsidRPr="00A83C94">
        <w:rPr>
          <w:rFonts w:cs="Sylfaen"/>
          <w:b w:val="0"/>
          <w:szCs w:val="22"/>
          <w:lang w:val="af-ZA"/>
        </w:rPr>
        <w:t xml:space="preserve"> </w:t>
      </w:r>
      <w:r w:rsidRPr="00A83C94">
        <w:rPr>
          <w:rFonts w:cs="Sylfaen"/>
          <w:b w:val="0"/>
          <w:szCs w:val="22"/>
        </w:rPr>
        <w:t>հայցողի</w:t>
      </w:r>
      <w:r w:rsidRPr="00A83C94">
        <w:rPr>
          <w:rFonts w:cs="Sylfaen"/>
          <w:b w:val="0"/>
          <w:szCs w:val="22"/>
          <w:lang w:val="af-ZA"/>
        </w:rPr>
        <w:t xml:space="preserve"> </w:t>
      </w:r>
      <w:r w:rsidRPr="00A83C94">
        <w:rPr>
          <w:rFonts w:cs="Sylfaen"/>
          <w:b w:val="0"/>
          <w:szCs w:val="22"/>
        </w:rPr>
        <w:t>մուտք</w:t>
      </w:r>
      <w:r w:rsidRPr="00A83C94">
        <w:rPr>
          <w:rFonts w:cs="Sylfaen"/>
          <w:b w:val="0"/>
          <w:szCs w:val="22"/>
          <w:lang w:val="af-ZA"/>
        </w:rPr>
        <w:t xml:space="preserve"> </w:t>
      </w:r>
      <w:r w:rsidRPr="00A83C94">
        <w:rPr>
          <w:rFonts w:cs="Sylfaen"/>
          <w:b w:val="0"/>
          <w:szCs w:val="22"/>
          <w:lang w:val="hy-AM"/>
        </w:rPr>
        <w:t xml:space="preserve">ժամանակավոր </w:t>
      </w:r>
      <w:r w:rsidRPr="00A83C94">
        <w:rPr>
          <w:rFonts w:cs="Sylfaen"/>
          <w:b w:val="0"/>
          <w:szCs w:val="22"/>
        </w:rPr>
        <w:t>կացարան՝</w:t>
      </w:r>
      <w:r w:rsidRPr="00A83C94">
        <w:rPr>
          <w:rFonts w:cs="Sylfaen"/>
          <w:b w:val="0"/>
          <w:szCs w:val="22"/>
          <w:lang w:val="af-ZA"/>
        </w:rPr>
        <w:t xml:space="preserve"> </w:t>
      </w:r>
      <w:r w:rsidRPr="00A83C94">
        <w:rPr>
          <w:rFonts w:cs="Sylfaen"/>
          <w:b w:val="0"/>
          <w:szCs w:val="22"/>
        </w:rPr>
        <w:t>յուրաքանչյուրին</w:t>
      </w:r>
      <w:r w:rsidRPr="00A83C94">
        <w:rPr>
          <w:rFonts w:cs="Sylfaen"/>
          <w:b w:val="0"/>
          <w:szCs w:val="22"/>
          <w:lang w:val="af-ZA"/>
        </w:rPr>
        <w:t xml:space="preserve"> 150 </w:t>
      </w:r>
      <w:r w:rsidRPr="00A83C94">
        <w:rPr>
          <w:rFonts w:cs="Sylfaen"/>
          <w:b w:val="0"/>
          <w:szCs w:val="22"/>
        </w:rPr>
        <w:t>օր</w:t>
      </w:r>
      <w:r w:rsidRPr="00A83C94">
        <w:rPr>
          <w:rFonts w:cs="Sylfaen"/>
          <w:b w:val="0"/>
          <w:szCs w:val="22"/>
          <w:lang w:val="af-ZA"/>
        </w:rPr>
        <w:t xml:space="preserve"> </w:t>
      </w:r>
      <w:r w:rsidRPr="00A83C94">
        <w:rPr>
          <w:rFonts w:cs="Sylfaen"/>
          <w:b w:val="0"/>
          <w:szCs w:val="22"/>
        </w:rPr>
        <w:t>կեցության</w:t>
      </w:r>
      <w:r w:rsidRPr="00A83C94">
        <w:rPr>
          <w:rFonts w:cs="Sylfaen"/>
          <w:b w:val="0"/>
          <w:szCs w:val="22"/>
          <w:lang w:val="af-ZA"/>
        </w:rPr>
        <w:t xml:space="preserve"> </w:t>
      </w:r>
      <w:r w:rsidRPr="00A83C94">
        <w:rPr>
          <w:rFonts w:cs="Sylfaen"/>
          <w:b w:val="0"/>
          <w:szCs w:val="22"/>
        </w:rPr>
        <w:t>ապահովումով</w:t>
      </w:r>
      <w:r w:rsidRPr="00A83C94">
        <w:rPr>
          <w:rFonts w:cs="Sylfaen"/>
          <w:b w:val="0"/>
          <w:szCs w:val="22"/>
          <w:lang w:val="af-ZA"/>
        </w:rPr>
        <w:t xml:space="preserve"> (</w:t>
      </w:r>
      <w:r w:rsidRPr="00A83C94">
        <w:rPr>
          <w:rFonts w:cs="Sylfaen"/>
          <w:b w:val="0"/>
          <w:szCs w:val="22"/>
        </w:rPr>
        <w:t>տարեկան</w:t>
      </w:r>
      <w:r w:rsidRPr="00A83C94">
        <w:rPr>
          <w:rFonts w:cs="Sylfaen"/>
          <w:b w:val="0"/>
          <w:szCs w:val="22"/>
          <w:lang w:val="af-ZA"/>
        </w:rPr>
        <w:t xml:space="preserve"> </w:t>
      </w:r>
      <w:r w:rsidRPr="00A83C94">
        <w:rPr>
          <w:rFonts w:cs="Sylfaen"/>
          <w:b w:val="0"/>
          <w:szCs w:val="22"/>
        </w:rPr>
        <w:t>միջինում</w:t>
      </w:r>
      <w:r w:rsidRPr="00A83C94">
        <w:rPr>
          <w:rFonts w:cs="Sylfaen"/>
          <w:b w:val="0"/>
          <w:szCs w:val="22"/>
          <w:lang w:val="af-ZA"/>
        </w:rPr>
        <w:t xml:space="preserve"> 588 </w:t>
      </w:r>
      <w:r w:rsidRPr="00A83C94">
        <w:rPr>
          <w:rFonts w:cs="Sylfaen"/>
          <w:b w:val="0"/>
          <w:szCs w:val="22"/>
        </w:rPr>
        <w:t>փախստական</w:t>
      </w:r>
      <w:r w:rsidRPr="00A83C94">
        <w:rPr>
          <w:rFonts w:cs="Sylfaen"/>
          <w:b w:val="0"/>
          <w:szCs w:val="22"/>
          <w:lang w:val="af-ZA"/>
        </w:rPr>
        <w:t>),</w:t>
      </w:r>
      <w:r w:rsidRPr="00A83C94">
        <w:rPr>
          <w:rFonts w:cs="Sylfaen"/>
          <w:b w:val="0"/>
          <w:szCs w:val="22"/>
          <w:lang w:val="hy-AM"/>
        </w:rPr>
        <w:t xml:space="preserve"> </w:t>
      </w:r>
      <w:r w:rsidRPr="00A83C94">
        <w:rPr>
          <w:rFonts w:cs="Sylfaen"/>
          <w:b w:val="0"/>
          <w:szCs w:val="22"/>
        </w:rPr>
        <w:t>ապաստան</w:t>
      </w:r>
      <w:r w:rsidRPr="00A83C94">
        <w:rPr>
          <w:rFonts w:cs="Sylfaen"/>
          <w:b w:val="0"/>
          <w:szCs w:val="22"/>
          <w:lang w:val="af-ZA"/>
        </w:rPr>
        <w:t xml:space="preserve"> </w:t>
      </w:r>
      <w:r w:rsidRPr="00A83C94">
        <w:rPr>
          <w:rFonts w:cs="Sylfaen"/>
          <w:b w:val="0"/>
          <w:szCs w:val="22"/>
        </w:rPr>
        <w:t>հայցող</w:t>
      </w:r>
      <w:r w:rsidRPr="00A83C94">
        <w:rPr>
          <w:rFonts w:cs="Sylfaen"/>
          <w:b w:val="0"/>
          <w:szCs w:val="22"/>
          <w:lang w:val="hy-AM"/>
        </w:rPr>
        <w:t>ներ</w:t>
      </w:r>
      <w:r w:rsidRPr="00A83C94">
        <w:rPr>
          <w:rFonts w:cs="Sylfaen"/>
          <w:b w:val="0"/>
          <w:szCs w:val="22"/>
        </w:rPr>
        <w:t>ի</w:t>
      </w:r>
      <w:r w:rsidRPr="00A83C94">
        <w:rPr>
          <w:rFonts w:cs="Sylfaen"/>
          <w:b w:val="0"/>
          <w:szCs w:val="22"/>
          <w:lang w:val="af-ZA"/>
        </w:rPr>
        <w:t xml:space="preserve"> </w:t>
      </w:r>
      <w:r w:rsidRPr="00A83C94">
        <w:rPr>
          <w:rFonts w:cs="Sylfaen"/>
          <w:b w:val="0"/>
          <w:szCs w:val="22"/>
          <w:lang w:val="hy-AM"/>
        </w:rPr>
        <w:t xml:space="preserve">համար թարգմանչական ծառայությունների տրամադրում, </w:t>
      </w:r>
      <w:r w:rsidRPr="00A83C94">
        <w:rPr>
          <w:rFonts w:cs="Sylfaen"/>
          <w:b w:val="0"/>
          <w:szCs w:val="22"/>
        </w:rPr>
        <w:t>փախստական</w:t>
      </w:r>
      <w:r w:rsidRPr="00A83C94">
        <w:rPr>
          <w:rFonts w:cs="Sylfaen"/>
          <w:b w:val="0"/>
          <w:szCs w:val="22"/>
          <w:lang w:val="af-ZA"/>
        </w:rPr>
        <w:t xml:space="preserve"> </w:t>
      </w:r>
      <w:r w:rsidRPr="00A83C94">
        <w:rPr>
          <w:rFonts w:cs="Sylfaen"/>
          <w:b w:val="0"/>
          <w:szCs w:val="22"/>
        </w:rPr>
        <w:t>ճանաչված</w:t>
      </w:r>
      <w:r w:rsidRPr="00A83C94">
        <w:rPr>
          <w:rFonts w:cs="Sylfaen"/>
          <w:b w:val="0"/>
          <w:szCs w:val="22"/>
          <w:lang w:val="af-ZA"/>
        </w:rPr>
        <w:t xml:space="preserve"> 150 </w:t>
      </w:r>
      <w:r w:rsidRPr="00A83C94">
        <w:rPr>
          <w:rFonts w:cs="Sylfaen"/>
          <w:b w:val="0"/>
          <w:szCs w:val="22"/>
        </w:rPr>
        <w:t>անձի</w:t>
      </w:r>
      <w:r w:rsidRPr="00A83C94">
        <w:rPr>
          <w:rFonts w:cs="Sylfaen"/>
          <w:b w:val="0"/>
          <w:szCs w:val="22"/>
          <w:lang w:val="af-ZA"/>
        </w:rPr>
        <w:t xml:space="preserve"> </w:t>
      </w:r>
      <w:r w:rsidRPr="00A83C94">
        <w:rPr>
          <w:rFonts w:cs="Sylfaen"/>
          <w:b w:val="0"/>
          <w:szCs w:val="22"/>
        </w:rPr>
        <w:t>համար</w:t>
      </w:r>
      <w:r w:rsidRPr="00A83C94">
        <w:rPr>
          <w:rFonts w:cs="Sylfaen"/>
          <w:b w:val="0"/>
          <w:szCs w:val="22"/>
          <w:lang w:val="af-ZA"/>
        </w:rPr>
        <w:t xml:space="preserve"> </w:t>
      </w:r>
      <w:r w:rsidRPr="00A83C94">
        <w:rPr>
          <w:rFonts w:cs="Sylfaen"/>
          <w:b w:val="0"/>
          <w:szCs w:val="22"/>
        </w:rPr>
        <w:t>քաղաքացիական</w:t>
      </w:r>
      <w:r w:rsidRPr="00A83C94">
        <w:rPr>
          <w:rFonts w:cs="Sylfaen"/>
          <w:b w:val="0"/>
          <w:szCs w:val="22"/>
          <w:lang w:val="af-ZA"/>
        </w:rPr>
        <w:t xml:space="preserve"> </w:t>
      </w:r>
      <w:r w:rsidRPr="00A83C94">
        <w:rPr>
          <w:rFonts w:cs="Sylfaen"/>
          <w:b w:val="0"/>
          <w:szCs w:val="22"/>
        </w:rPr>
        <w:t>կողմնորոշման</w:t>
      </w:r>
      <w:r w:rsidRPr="00A83C94">
        <w:rPr>
          <w:rFonts w:cs="Sylfaen"/>
          <w:b w:val="0"/>
          <w:szCs w:val="22"/>
          <w:lang w:val="af-ZA"/>
        </w:rPr>
        <w:t xml:space="preserve"> </w:t>
      </w:r>
      <w:r w:rsidRPr="00A83C94">
        <w:rPr>
          <w:rFonts w:cs="Sylfaen"/>
          <w:b w:val="0"/>
          <w:szCs w:val="22"/>
        </w:rPr>
        <w:t>դասընթացների</w:t>
      </w:r>
      <w:r w:rsidRPr="00A83C94">
        <w:rPr>
          <w:rFonts w:cs="Sylfaen"/>
          <w:b w:val="0"/>
          <w:szCs w:val="22"/>
          <w:lang w:val="af-ZA"/>
        </w:rPr>
        <w:t xml:space="preserve"> </w:t>
      </w:r>
      <w:r w:rsidRPr="00A83C94">
        <w:rPr>
          <w:rFonts w:cs="Sylfaen"/>
          <w:b w:val="0"/>
          <w:szCs w:val="22"/>
          <w:lang w:val="hy-AM"/>
        </w:rPr>
        <w:t xml:space="preserve">կազմակերպում, Ժամանակավոր տեղավորման կենտրոնում չտեղավորված ապաստան հայցող 37 ընտանիքների </w:t>
      </w:r>
      <w:r w:rsidRPr="00A83C94">
        <w:rPr>
          <w:rFonts w:cs="Sylfaen"/>
          <w:b w:val="0"/>
          <w:szCs w:val="22"/>
        </w:rPr>
        <w:t>դրամական</w:t>
      </w:r>
      <w:r w:rsidRPr="00A83C94">
        <w:rPr>
          <w:rFonts w:cs="Sylfaen"/>
          <w:b w:val="0"/>
          <w:szCs w:val="22"/>
          <w:lang w:val="af-ZA"/>
        </w:rPr>
        <w:t xml:space="preserve"> </w:t>
      </w:r>
      <w:r w:rsidRPr="00A83C94">
        <w:rPr>
          <w:rFonts w:cs="Sylfaen"/>
          <w:b w:val="0"/>
          <w:szCs w:val="22"/>
        </w:rPr>
        <w:t>օգնության</w:t>
      </w:r>
      <w:r w:rsidRPr="00A83C94">
        <w:rPr>
          <w:rFonts w:cs="Sylfaen"/>
          <w:b w:val="0"/>
          <w:szCs w:val="22"/>
          <w:lang w:val="af-ZA"/>
        </w:rPr>
        <w:t xml:space="preserve"> </w:t>
      </w:r>
      <w:r w:rsidRPr="00A83C94">
        <w:rPr>
          <w:rFonts w:cs="Sylfaen"/>
          <w:b w:val="0"/>
          <w:szCs w:val="22"/>
        </w:rPr>
        <w:t>տրամադրում</w:t>
      </w:r>
      <w:r w:rsidRPr="00A83C94">
        <w:rPr>
          <w:rFonts w:cs="Sylfaen"/>
          <w:b w:val="0"/>
          <w:szCs w:val="22"/>
          <w:lang w:val="af-ZA"/>
        </w:rPr>
        <w:t xml:space="preserve">, </w:t>
      </w:r>
      <w:r w:rsidRPr="00A83C94">
        <w:rPr>
          <w:rFonts w:cs="Sylfaen"/>
          <w:b w:val="0"/>
          <w:szCs w:val="22"/>
        </w:rPr>
        <w:t>ապաստան</w:t>
      </w:r>
      <w:r w:rsidRPr="00A83C94">
        <w:rPr>
          <w:rFonts w:cs="Sylfaen"/>
          <w:b w:val="0"/>
          <w:szCs w:val="22"/>
          <w:lang w:val="af-ZA"/>
        </w:rPr>
        <w:t xml:space="preserve"> </w:t>
      </w:r>
      <w:r w:rsidRPr="00A83C94">
        <w:rPr>
          <w:rFonts w:cs="Sylfaen"/>
          <w:b w:val="0"/>
          <w:szCs w:val="22"/>
        </w:rPr>
        <w:t>ստացած</w:t>
      </w:r>
      <w:r w:rsidRPr="00A83C94">
        <w:rPr>
          <w:rFonts w:cs="Sylfaen"/>
          <w:b w:val="0"/>
          <w:szCs w:val="22"/>
          <w:lang w:val="af-ZA"/>
        </w:rPr>
        <w:t xml:space="preserve"> 25 </w:t>
      </w:r>
      <w:r w:rsidRPr="00A83C94">
        <w:rPr>
          <w:rFonts w:cs="Sylfaen"/>
          <w:b w:val="0"/>
          <w:szCs w:val="22"/>
        </w:rPr>
        <w:t>ընտանիքների</w:t>
      </w:r>
      <w:r w:rsidRPr="00A83C94">
        <w:rPr>
          <w:rFonts w:cs="Sylfaen"/>
          <w:b w:val="0"/>
          <w:szCs w:val="22"/>
          <w:lang w:val="af-ZA"/>
        </w:rPr>
        <w:t xml:space="preserve"> </w:t>
      </w:r>
      <w:r w:rsidRPr="00A83C94">
        <w:rPr>
          <w:rFonts w:cs="Sylfaen"/>
          <w:b w:val="0"/>
          <w:szCs w:val="22"/>
        </w:rPr>
        <w:t>բնակարաններ</w:t>
      </w:r>
      <w:r w:rsidRPr="00A83C94">
        <w:rPr>
          <w:rFonts w:cs="Sylfaen"/>
          <w:b w:val="0"/>
          <w:szCs w:val="22"/>
          <w:lang w:val="af-ZA"/>
        </w:rPr>
        <w:t xml:space="preserve"> </w:t>
      </w:r>
      <w:r w:rsidRPr="00A83C94">
        <w:rPr>
          <w:rFonts w:cs="Sylfaen"/>
          <w:b w:val="0"/>
          <w:szCs w:val="22"/>
        </w:rPr>
        <w:t>վարձակալելու</w:t>
      </w:r>
      <w:r w:rsidRPr="00A83C94">
        <w:rPr>
          <w:rFonts w:cs="Sylfaen"/>
          <w:b w:val="0"/>
          <w:szCs w:val="22"/>
          <w:lang w:val="af-ZA"/>
        </w:rPr>
        <w:t xml:space="preserve"> </w:t>
      </w:r>
      <w:r w:rsidRPr="00A83C94">
        <w:rPr>
          <w:rFonts w:cs="Sylfaen"/>
          <w:b w:val="0"/>
          <w:szCs w:val="22"/>
        </w:rPr>
        <w:t>համար</w:t>
      </w:r>
      <w:r w:rsidRPr="00A83C94">
        <w:rPr>
          <w:rFonts w:cs="Sylfaen"/>
          <w:b w:val="0"/>
          <w:szCs w:val="22"/>
          <w:lang w:val="af-ZA"/>
        </w:rPr>
        <w:t xml:space="preserve"> </w:t>
      </w:r>
      <w:r w:rsidRPr="00A83C94">
        <w:rPr>
          <w:rFonts w:cs="Sylfaen"/>
          <w:b w:val="0"/>
          <w:szCs w:val="22"/>
        </w:rPr>
        <w:t>սուբսիդիաների</w:t>
      </w:r>
      <w:r w:rsidRPr="00A83C94">
        <w:rPr>
          <w:rFonts w:cs="Sylfaen"/>
          <w:b w:val="0"/>
          <w:szCs w:val="22"/>
          <w:lang w:val="af-ZA"/>
        </w:rPr>
        <w:t xml:space="preserve"> </w:t>
      </w:r>
      <w:r w:rsidRPr="00A83C94">
        <w:rPr>
          <w:rFonts w:cs="Sylfaen"/>
          <w:b w:val="0"/>
          <w:szCs w:val="22"/>
        </w:rPr>
        <w:t>տրամադրում</w:t>
      </w:r>
      <w:r w:rsidRPr="00A83C94">
        <w:rPr>
          <w:rFonts w:cs="Sylfaen"/>
          <w:b w:val="0"/>
          <w:szCs w:val="22"/>
          <w:lang w:val="hy-AM"/>
        </w:rPr>
        <w:t xml:space="preserve">, </w:t>
      </w:r>
      <w:r w:rsidRPr="00A83C94">
        <w:rPr>
          <w:b w:val="0"/>
          <w:szCs w:val="22"/>
        </w:rPr>
        <w:t>Հայաստանի</w:t>
      </w:r>
      <w:r w:rsidRPr="00A83C94">
        <w:rPr>
          <w:b w:val="0"/>
          <w:szCs w:val="22"/>
          <w:lang w:val="af-ZA"/>
        </w:rPr>
        <w:t xml:space="preserve"> </w:t>
      </w:r>
      <w:r w:rsidRPr="00A83C94">
        <w:rPr>
          <w:b w:val="0"/>
          <w:szCs w:val="22"/>
        </w:rPr>
        <w:t>Հանրապետությունում</w:t>
      </w:r>
      <w:r w:rsidRPr="00A83C94">
        <w:rPr>
          <w:b w:val="0"/>
          <w:szCs w:val="22"/>
          <w:lang w:val="af-ZA"/>
        </w:rPr>
        <w:t xml:space="preserve"> </w:t>
      </w:r>
      <w:r w:rsidRPr="00A83C94">
        <w:rPr>
          <w:b w:val="0"/>
          <w:szCs w:val="22"/>
        </w:rPr>
        <w:t>բնակության</w:t>
      </w:r>
      <w:r w:rsidRPr="00A83C94">
        <w:rPr>
          <w:b w:val="0"/>
          <w:szCs w:val="22"/>
          <w:lang w:val="af-ZA"/>
        </w:rPr>
        <w:t xml:space="preserve"> </w:t>
      </w:r>
      <w:r w:rsidRPr="00A83C94">
        <w:rPr>
          <w:b w:val="0"/>
          <w:szCs w:val="22"/>
        </w:rPr>
        <w:t>վայր</w:t>
      </w:r>
      <w:r w:rsidRPr="00A83C94">
        <w:rPr>
          <w:b w:val="0"/>
          <w:szCs w:val="22"/>
          <w:lang w:val="af-ZA"/>
        </w:rPr>
        <w:t xml:space="preserve"> </w:t>
      </w:r>
      <w:r w:rsidRPr="00A83C94">
        <w:rPr>
          <w:b w:val="0"/>
          <w:szCs w:val="22"/>
        </w:rPr>
        <w:t>չունեցող</w:t>
      </w:r>
      <w:r w:rsidRPr="00A83C94">
        <w:rPr>
          <w:b w:val="0"/>
          <w:szCs w:val="22"/>
          <w:lang w:val="af-ZA"/>
        </w:rPr>
        <w:t xml:space="preserve"> </w:t>
      </w:r>
      <w:r w:rsidRPr="00A83C94">
        <w:rPr>
          <w:b w:val="0"/>
          <w:szCs w:val="22"/>
        </w:rPr>
        <w:t>թվով</w:t>
      </w:r>
      <w:r w:rsidRPr="00A83C94">
        <w:rPr>
          <w:b w:val="0"/>
          <w:szCs w:val="22"/>
          <w:lang w:val="af-ZA"/>
        </w:rPr>
        <w:t xml:space="preserve"> 254 </w:t>
      </w:r>
      <w:r w:rsidRPr="00A83C94">
        <w:rPr>
          <w:b w:val="0"/>
          <w:szCs w:val="22"/>
        </w:rPr>
        <w:t>փախստա</w:t>
      </w:r>
      <w:r w:rsidRPr="00A83C94">
        <w:rPr>
          <w:b w:val="0"/>
          <w:szCs w:val="22"/>
          <w:lang w:val="af-ZA"/>
        </w:rPr>
        <w:softHyphen/>
      </w:r>
      <w:r w:rsidRPr="00A83C94">
        <w:rPr>
          <w:b w:val="0"/>
          <w:szCs w:val="22"/>
        </w:rPr>
        <w:t>կան</w:t>
      </w:r>
      <w:r w:rsidRPr="00A83C94">
        <w:rPr>
          <w:b w:val="0"/>
          <w:szCs w:val="22"/>
          <w:lang w:val="af-ZA"/>
        </w:rPr>
        <w:t xml:space="preserve"> </w:t>
      </w:r>
      <w:r w:rsidRPr="00A83C94">
        <w:rPr>
          <w:b w:val="0"/>
          <w:szCs w:val="22"/>
        </w:rPr>
        <w:t>ընտանիքների</w:t>
      </w:r>
      <w:r w:rsidRPr="00A83C94">
        <w:rPr>
          <w:b w:val="0"/>
          <w:szCs w:val="22"/>
          <w:lang w:val="af-ZA"/>
        </w:rPr>
        <w:t xml:space="preserve"> </w:t>
      </w:r>
      <w:r w:rsidRPr="00A83C94">
        <w:rPr>
          <w:b w:val="0"/>
          <w:szCs w:val="22"/>
        </w:rPr>
        <w:t>բնակարանային</w:t>
      </w:r>
      <w:r w:rsidRPr="00A83C94">
        <w:rPr>
          <w:b w:val="0"/>
          <w:szCs w:val="22"/>
          <w:lang w:val="af-ZA"/>
        </w:rPr>
        <w:t xml:space="preserve"> </w:t>
      </w:r>
      <w:r w:rsidRPr="00A83C94">
        <w:rPr>
          <w:b w:val="0"/>
          <w:szCs w:val="22"/>
        </w:rPr>
        <w:t>ապահովման</w:t>
      </w:r>
      <w:r w:rsidRPr="00A83C94">
        <w:rPr>
          <w:b w:val="0"/>
          <w:szCs w:val="22"/>
          <w:lang w:val="hy-AM"/>
        </w:rPr>
        <w:t>ն</w:t>
      </w:r>
      <w:r w:rsidRPr="00A83C94">
        <w:rPr>
          <w:b w:val="0"/>
          <w:szCs w:val="22"/>
          <w:lang w:val="af-ZA"/>
        </w:rPr>
        <w:t xml:space="preserve"> </w:t>
      </w:r>
      <w:r w:rsidRPr="00A83C94">
        <w:rPr>
          <w:b w:val="0"/>
          <w:szCs w:val="22"/>
        </w:rPr>
        <w:t>աջակցություն</w:t>
      </w:r>
      <w:r w:rsidRPr="00A83C94">
        <w:rPr>
          <w:b w:val="0"/>
          <w:szCs w:val="22"/>
          <w:lang w:val="hy-AM"/>
        </w:rPr>
        <w:t>։</w:t>
      </w:r>
    </w:p>
    <w:p w14:paraId="49A113A8" w14:textId="5A006053" w:rsidR="0023176E" w:rsidRPr="00A83C94" w:rsidRDefault="0023176E" w:rsidP="0023176E">
      <w:pPr>
        <w:widowControl w:val="0"/>
        <w:spacing w:line="276" w:lineRule="auto"/>
        <w:rPr>
          <w:rFonts w:cs="Sylfaen"/>
          <w:b w:val="0"/>
          <w:szCs w:val="22"/>
          <w:lang w:val="af-ZA"/>
        </w:rPr>
      </w:pPr>
      <w:r w:rsidRPr="00A83C94">
        <w:rPr>
          <w:rFonts w:cs="Sylfaen"/>
          <w:szCs w:val="22"/>
          <w:lang w:val="hy-AM"/>
        </w:rPr>
        <w:t>Ջրամատակարարման</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ջրահեռացման</w:t>
      </w:r>
      <w:r w:rsidRPr="00A83C94">
        <w:rPr>
          <w:rFonts w:cs="Sylfaen"/>
          <w:szCs w:val="22"/>
          <w:lang w:val="af-ZA"/>
        </w:rPr>
        <w:t xml:space="preserve"> </w:t>
      </w:r>
      <w:r w:rsidRPr="00A83C94">
        <w:rPr>
          <w:rFonts w:cs="Sylfaen"/>
          <w:b w:val="0"/>
          <w:szCs w:val="22"/>
          <w:lang w:val="hy-AM"/>
        </w:rPr>
        <w:t xml:space="preserve">ծրագրի </w:t>
      </w:r>
      <w:r w:rsidRPr="00A83C94">
        <w:rPr>
          <w:rFonts w:cs="Sylfaen"/>
          <w:b w:val="0"/>
          <w:lang w:val="hy-AM"/>
        </w:rPr>
        <w:t xml:space="preserve">գծով  2022 թվականին  նախատեսվել է  </w:t>
      </w:r>
      <w:r w:rsidR="00926E4D" w:rsidRPr="002526E9">
        <w:rPr>
          <w:rFonts w:cs="Sylfaen"/>
          <w:b w:val="0"/>
          <w:lang w:val="hy-AM"/>
        </w:rPr>
        <w:t>11,802.4</w:t>
      </w:r>
      <w:r w:rsidRPr="00A83C94">
        <w:rPr>
          <w:rFonts w:cs="Sylfaen"/>
          <w:b w:val="0"/>
          <w:lang w:val="hy-AM"/>
        </w:rPr>
        <w:t xml:space="preserve">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w:t>
      </w:r>
      <w:r w:rsidRPr="00A83C94">
        <w:rPr>
          <w:b w:val="0"/>
          <w:bCs/>
          <w:iCs/>
          <w:lang w:val="hy-AM"/>
        </w:rPr>
        <w:t>.</w:t>
      </w:r>
    </w:p>
    <w:p w14:paraId="437BE494" w14:textId="7C29DAE5" w:rsidR="0023176E" w:rsidRPr="00A83C94" w:rsidRDefault="0023176E" w:rsidP="0023176E">
      <w:pPr>
        <w:widowControl w:val="0"/>
        <w:spacing w:line="276" w:lineRule="auto"/>
        <w:rPr>
          <w:rFonts w:cs="Sylfaen"/>
          <w:b w:val="0"/>
          <w:szCs w:val="22"/>
          <w:lang w:val="af-ZA"/>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նպատակն</w:t>
      </w:r>
      <w:r w:rsidRPr="00A83C94">
        <w:rPr>
          <w:rFonts w:cs="Sylfaen"/>
          <w:b w:val="0"/>
          <w:szCs w:val="22"/>
          <w:lang w:val="af-ZA"/>
        </w:rPr>
        <w:t xml:space="preserve"> </w:t>
      </w:r>
      <w:r w:rsidRPr="00A83C94">
        <w:rPr>
          <w:rFonts w:cs="Sylfaen"/>
          <w:b w:val="0"/>
          <w:szCs w:val="22"/>
        </w:rPr>
        <w:t>է</w:t>
      </w:r>
      <w:r w:rsidRPr="00A83C94">
        <w:rPr>
          <w:rFonts w:cs="Sylfaen"/>
          <w:b w:val="0"/>
          <w:szCs w:val="22"/>
          <w:lang w:val="af-ZA"/>
        </w:rPr>
        <w:t xml:space="preserve"> </w:t>
      </w:r>
      <w:r w:rsidRPr="00A83C94">
        <w:rPr>
          <w:rFonts w:cs="Sylfaen"/>
          <w:b w:val="0"/>
          <w:szCs w:val="22"/>
        </w:rPr>
        <w:t>ջրամատակարարման</w:t>
      </w:r>
      <w:r w:rsidRPr="00A83C94">
        <w:rPr>
          <w:rFonts w:cs="Sylfaen"/>
          <w:b w:val="0"/>
          <w:szCs w:val="22"/>
          <w:lang w:val="af-ZA"/>
        </w:rPr>
        <w:t xml:space="preserve">, </w:t>
      </w:r>
      <w:r w:rsidRPr="00A83C94">
        <w:rPr>
          <w:rFonts w:cs="Sylfaen"/>
          <w:b w:val="0"/>
          <w:szCs w:val="22"/>
        </w:rPr>
        <w:t>ջրահեռացման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կեղտաջրերի</w:t>
      </w:r>
      <w:r w:rsidRPr="00A83C94">
        <w:rPr>
          <w:rFonts w:cs="Sylfaen"/>
          <w:b w:val="0"/>
          <w:szCs w:val="22"/>
          <w:lang w:val="af-ZA"/>
        </w:rPr>
        <w:t xml:space="preserve"> </w:t>
      </w:r>
      <w:r w:rsidRPr="00A83C94">
        <w:rPr>
          <w:rFonts w:cs="Sylfaen"/>
          <w:b w:val="0"/>
          <w:szCs w:val="22"/>
        </w:rPr>
        <w:t>մաքրման</w:t>
      </w:r>
      <w:r w:rsidRPr="00A83C94">
        <w:rPr>
          <w:rFonts w:cs="Sylfaen"/>
          <w:b w:val="0"/>
          <w:szCs w:val="22"/>
          <w:lang w:val="af-ZA"/>
        </w:rPr>
        <w:t xml:space="preserve"> </w:t>
      </w:r>
      <w:r w:rsidRPr="00A83C94">
        <w:rPr>
          <w:rFonts w:cs="Sylfaen"/>
          <w:b w:val="0"/>
          <w:szCs w:val="22"/>
        </w:rPr>
        <w:t>աշխատանքների</w:t>
      </w:r>
      <w:r w:rsidRPr="00A83C94">
        <w:rPr>
          <w:rFonts w:cs="Sylfaen"/>
          <w:b w:val="0"/>
          <w:szCs w:val="22"/>
          <w:lang w:val="af-ZA"/>
        </w:rPr>
        <w:t xml:space="preserve"> </w:t>
      </w:r>
      <w:r w:rsidRPr="00A83C94">
        <w:rPr>
          <w:rFonts w:cs="Sylfaen"/>
          <w:b w:val="0"/>
          <w:szCs w:val="22"/>
        </w:rPr>
        <w:t>արդյունավետության</w:t>
      </w:r>
      <w:r w:rsidRPr="00A83C94">
        <w:rPr>
          <w:rFonts w:cs="Sylfaen"/>
          <w:b w:val="0"/>
          <w:szCs w:val="22"/>
          <w:lang w:val="af-ZA"/>
        </w:rPr>
        <w:t xml:space="preserve"> </w:t>
      </w:r>
      <w:r w:rsidRPr="00A83C94">
        <w:rPr>
          <w:rFonts w:cs="Sylfaen"/>
          <w:b w:val="0"/>
          <w:szCs w:val="22"/>
        </w:rPr>
        <w:t>բարձրացումը</w:t>
      </w:r>
      <w:r w:rsidRPr="00A83C94">
        <w:rPr>
          <w:rFonts w:cs="Sylfaen"/>
          <w:b w:val="0"/>
          <w:szCs w:val="22"/>
          <w:lang w:val="af-ZA"/>
        </w:rPr>
        <w:t xml:space="preserve">, </w:t>
      </w:r>
      <w:r w:rsidRPr="00A83C94">
        <w:rPr>
          <w:rFonts w:cs="Sylfaen"/>
          <w:b w:val="0"/>
          <w:szCs w:val="22"/>
        </w:rPr>
        <w:t>համակարգերում</w:t>
      </w:r>
      <w:r w:rsidRPr="00A83C94">
        <w:rPr>
          <w:rFonts w:cs="Sylfaen"/>
          <w:b w:val="0"/>
          <w:szCs w:val="22"/>
          <w:lang w:val="af-ZA"/>
        </w:rPr>
        <w:t xml:space="preserve"> </w:t>
      </w:r>
      <w:r w:rsidRPr="00A83C94">
        <w:rPr>
          <w:rFonts w:cs="Sylfaen"/>
          <w:b w:val="0"/>
          <w:szCs w:val="22"/>
        </w:rPr>
        <w:t>ջրամատակարարման</w:t>
      </w:r>
      <w:r w:rsidRPr="00A83C94">
        <w:rPr>
          <w:rFonts w:cs="Sylfaen"/>
          <w:b w:val="0"/>
          <w:szCs w:val="22"/>
          <w:lang w:val="af-ZA"/>
        </w:rPr>
        <w:t xml:space="preserve"> </w:t>
      </w:r>
      <w:r w:rsidRPr="00A83C94">
        <w:rPr>
          <w:rFonts w:cs="Sylfaen"/>
          <w:b w:val="0"/>
          <w:szCs w:val="22"/>
        </w:rPr>
        <w:t>շարունակականության</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ջրի</w:t>
      </w:r>
      <w:r w:rsidRPr="00A83C94">
        <w:rPr>
          <w:rFonts w:cs="Sylfaen"/>
          <w:b w:val="0"/>
          <w:szCs w:val="22"/>
          <w:lang w:val="af-ZA"/>
        </w:rPr>
        <w:t xml:space="preserve"> </w:t>
      </w:r>
      <w:r w:rsidRPr="00A83C94">
        <w:rPr>
          <w:rFonts w:cs="Sylfaen"/>
          <w:b w:val="0"/>
          <w:szCs w:val="22"/>
        </w:rPr>
        <w:t>որակի</w:t>
      </w:r>
      <w:r w:rsidRPr="00A83C94">
        <w:rPr>
          <w:rFonts w:cs="Sylfaen"/>
          <w:b w:val="0"/>
          <w:szCs w:val="22"/>
          <w:lang w:val="af-ZA"/>
        </w:rPr>
        <w:t xml:space="preserve"> </w:t>
      </w:r>
      <w:r w:rsidRPr="00A83C94">
        <w:rPr>
          <w:rFonts w:cs="Sylfaen"/>
          <w:b w:val="0"/>
          <w:szCs w:val="22"/>
        </w:rPr>
        <w:t>բարելավման</w:t>
      </w:r>
      <w:r w:rsidRPr="00A83C94">
        <w:rPr>
          <w:rFonts w:cs="Sylfaen"/>
          <w:b w:val="0"/>
          <w:szCs w:val="22"/>
          <w:lang w:val="af-ZA"/>
        </w:rPr>
        <w:t xml:space="preserve"> </w:t>
      </w:r>
      <w:r w:rsidRPr="00A83C94">
        <w:rPr>
          <w:rFonts w:cs="Sylfaen"/>
          <w:b w:val="0"/>
          <w:szCs w:val="22"/>
        </w:rPr>
        <w:t>ապահովումը</w:t>
      </w:r>
      <w:r w:rsidRPr="00A83C94">
        <w:rPr>
          <w:rFonts w:cs="Sylfaen"/>
          <w:b w:val="0"/>
          <w:szCs w:val="22"/>
          <w:lang w:val="af-ZA"/>
        </w:rPr>
        <w:t xml:space="preserve">, </w:t>
      </w:r>
      <w:r w:rsidRPr="00A83C94">
        <w:rPr>
          <w:rFonts w:cs="Sylfaen"/>
          <w:b w:val="0"/>
          <w:szCs w:val="22"/>
        </w:rPr>
        <w:t>կառավարման</w:t>
      </w:r>
      <w:r w:rsidRPr="00A83C94">
        <w:rPr>
          <w:rFonts w:cs="Sylfaen"/>
          <w:b w:val="0"/>
          <w:szCs w:val="22"/>
          <w:lang w:val="af-ZA"/>
        </w:rPr>
        <w:t xml:space="preserve"> </w:t>
      </w:r>
      <w:r w:rsidRPr="00A83C94">
        <w:rPr>
          <w:rFonts w:cs="Sylfaen"/>
          <w:b w:val="0"/>
          <w:szCs w:val="22"/>
        </w:rPr>
        <w:t>բարեփո</w:t>
      </w:r>
      <w:r w:rsidR="00CE1B59" w:rsidRPr="00A83C94">
        <w:rPr>
          <w:rFonts w:cs="Sylfaen"/>
          <w:b w:val="0"/>
          <w:szCs w:val="22"/>
          <w:lang w:val="af-ZA"/>
        </w:rPr>
        <w:softHyphen/>
      </w:r>
      <w:r w:rsidRPr="00A83C94">
        <w:rPr>
          <w:rFonts w:cs="Sylfaen"/>
          <w:b w:val="0"/>
          <w:szCs w:val="22"/>
        </w:rPr>
        <w:t>խումների</w:t>
      </w:r>
      <w:r w:rsidRPr="00A83C94">
        <w:rPr>
          <w:rFonts w:cs="Sylfaen"/>
          <w:b w:val="0"/>
          <w:szCs w:val="22"/>
          <w:lang w:val="af-ZA"/>
        </w:rPr>
        <w:t xml:space="preserve"> </w:t>
      </w:r>
      <w:r w:rsidRPr="00A83C94">
        <w:rPr>
          <w:rFonts w:cs="Sylfaen"/>
          <w:b w:val="0"/>
          <w:szCs w:val="22"/>
        </w:rPr>
        <w:t>խորացումն</w:t>
      </w:r>
      <w:r w:rsidRPr="00A83C94">
        <w:rPr>
          <w:rFonts w:cs="Sylfaen"/>
          <w:b w:val="0"/>
          <w:szCs w:val="22"/>
          <w:lang w:val="af-ZA"/>
        </w:rPr>
        <w:t xml:space="preserve"> </w:t>
      </w:r>
      <w:r w:rsidRPr="00A83C94">
        <w:rPr>
          <w:rFonts w:cs="Sylfaen"/>
          <w:b w:val="0"/>
          <w:szCs w:val="22"/>
        </w:rPr>
        <w:t>ու</w:t>
      </w:r>
      <w:r w:rsidRPr="00A83C94">
        <w:rPr>
          <w:rFonts w:cs="Sylfaen"/>
          <w:b w:val="0"/>
          <w:szCs w:val="22"/>
          <w:lang w:val="af-ZA"/>
        </w:rPr>
        <w:t xml:space="preserve"> </w:t>
      </w:r>
      <w:r w:rsidRPr="00A83C94">
        <w:rPr>
          <w:rFonts w:cs="Sylfaen"/>
          <w:b w:val="0"/>
          <w:szCs w:val="22"/>
        </w:rPr>
        <w:t>ամրապնդումը</w:t>
      </w:r>
      <w:r w:rsidRPr="00A83C94">
        <w:rPr>
          <w:rFonts w:cs="Sylfaen"/>
          <w:b w:val="0"/>
          <w:szCs w:val="22"/>
          <w:lang w:val="af-ZA"/>
        </w:rPr>
        <w:t xml:space="preserve">, </w:t>
      </w:r>
      <w:r w:rsidRPr="00A83C94">
        <w:rPr>
          <w:rFonts w:cs="Sylfaen"/>
          <w:b w:val="0"/>
          <w:szCs w:val="22"/>
        </w:rPr>
        <w:t>կատարելագործումը</w:t>
      </w:r>
      <w:r w:rsidRPr="00A83C94">
        <w:rPr>
          <w:rFonts w:cs="Sylfaen"/>
          <w:b w:val="0"/>
          <w:szCs w:val="22"/>
          <w:lang w:val="af-ZA"/>
        </w:rPr>
        <w:t xml:space="preserve">, </w:t>
      </w:r>
      <w:r w:rsidRPr="00A83C94">
        <w:rPr>
          <w:rFonts w:cs="Sylfaen"/>
          <w:b w:val="0"/>
          <w:szCs w:val="22"/>
        </w:rPr>
        <w:t>ներդրումների</w:t>
      </w:r>
      <w:r w:rsidRPr="00A83C94">
        <w:rPr>
          <w:rFonts w:cs="Sylfaen"/>
          <w:b w:val="0"/>
          <w:szCs w:val="22"/>
          <w:lang w:val="af-ZA"/>
        </w:rPr>
        <w:t xml:space="preserve"> </w:t>
      </w:r>
      <w:r w:rsidRPr="00A83C94">
        <w:rPr>
          <w:rFonts w:cs="Sylfaen"/>
          <w:b w:val="0"/>
          <w:szCs w:val="22"/>
        </w:rPr>
        <w:t>անհրաժեշտ</w:t>
      </w:r>
      <w:r w:rsidRPr="00A83C94">
        <w:rPr>
          <w:rFonts w:cs="Sylfaen"/>
          <w:b w:val="0"/>
          <w:szCs w:val="22"/>
          <w:lang w:val="af-ZA"/>
        </w:rPr>
        <w:t xml:space="preserve"> </w:t>
      </w:r>
      <w:r w:rsidRPr="00A83C94">
        <w:rPr>
          <w:rFonts w:cs="Sylfaen"/>
          <w:b w:val="0"/>
          <w:szCs w:val="22"/>
        </w:rPr>
        <w:t>ծավալների</w:t>
      </w:r>
      <w:r w:rsidRPr="00A83C94">
        <w:rPr>
          <w:rFonts w:cs="Sylfaen"/>
          <w:b w:val="0"/>
          <w:szCs w:val="22"/>
          <w:lang w:val="af-ZA"/>
        </w:rPr>
        <w:t xml:space="preserve"> </w:t>
      </w:r>
      <w:r w:rsidRPr="00A83C94">
        <w:rPr>
          <w:rFonts w:cs="Sylfaen"/>
          <w:b w:val="0"/>
          <w:szCs w:val="22"/>
        </w:rPr>
        <w:t>ներգրավումը</w:t>
      </w:r>
      <w:r w:rsidRPr="00A83C94">
        <w:rPr>
          <w:rFonts w:cs="Sylfaen"/>
          <w:b w:val="0"/>
          <w:szCs w:val="22"/>
          <w:lang w:val="af-ZA"/>
        </w:rPr>
        <w:t xml:space="preserve"> </w:t>
      </w:r>
      <w:r w:rsidRPr="00A83C94">
        <w:rPr>
          <w:rFonts w:cs="Sylfaen"/>
          <w:b w:val="0"/>
          <w:szCs w:val="22"/>
        </w:rPr>
        <w:t>և</w:t>
      </w:r>
      <w:r w:rsidRPr="00A83C94">
        <w:rPr>
          <w:rFonts w:cs="Sylfaen"/>
          <w:b w:val="0"/>
          <w:szCs w:val="22"/>
          <w:lang w:val="af-ZA"/>
        </w:rPr>
        <w:t xml:space="preserve"> </w:t>
      </w:r>
      <w:r w:rsidRPr="00A83C94">
        <w:rPr>
          <w:rFonts w:cs="Sylfaen"/>
          <w:b w:val="0"/>
          <w:szCs w:val="22"/>
        </w:rPr>
        <w:t>իրականացումը</w:t>
      </w:r>
      <w:r w:rsidRPr="00A83C94">
        <w:rPr>
          <w:rFonts w:cs="Sylfaen"/>
          <w:b w:val="0"/>
          <w:szCs w:val="22"/>
          <w:lang w:val="af-ZA"/>
        </w:rPr>
        <w:t xml:space="preserve">: </w:t>
      </w:r>
    </w:p>
    <w:p w14:paraId="02FCE5B9" w14:textId="428E83B1" w:rsidR="0023176E" w:rsidRPr="00A83C94" w:rsidRDefault="0023176E" w:rsidP="0023176E">
      <w:pPr>
        <w:widowControl w:val="0"/>
        <w:spacing w:line="276" w:lineRule="auto"/>
        <w:rPr>
          <w:b w:val="0"/>
          <w:szCs w:val="22"/>
          <w:lang w:val="af-ZA"/>
        </w:rPr>
      </w:pPr>
      <w:r w:rsidRPr="00A83C94">
        <w:rPr>
          <w:rFonts w:cs="Sylfaen"/>
          <w:b w:val="0"/>
          <w:szCs w:val="22"/>
        </w:rPr>
        <w:t>Ծրագրի</w:t>
      </w:r>
      <w:r w:rsidRPr="00A83C94">
        <w:rPr>
          <w:rFonts w:cs="Sylfaen"/>
          <w:b w:val="0"/>
          <w:szCs w:val="22"/>
          <w:lang w:val="af-ZA"/>
        </w:rPr>
        <w:t xml:space="preserve"> </w:t>
      </w:r>
      <w:r w:rsidRPr="00A83C94">
        <w:rPr>
          <w:rFonts w:cs="Sylfaen"/>
          <w:b w:val="0"/>
          <w:szCs w:val="22"/>
        </w:rPr>
        <w:t>շրջանակներում</w:t>
      </w:r>
      <w:r w:rsidRPr="00A83C94">
        <w:rPr>
          <w:rFonts w:cs="Sylfaen"/>
          <w:b w:val="0"/>
          <w:szCs w:val="22"/>
          <w:lang w:val="af-ZA"/>
        </w:rPr>
        <w:t xml:space="preserve"> </w:t>
      </w:r>
      <w:r w:rsidRPr="00A83C94">
        <w:rPr>
          <w:rFonts w:cs="Sylfaen"/>
          <w:b w:val="0"/>
          <w:szCs w:val="22"/>
          <w:lang w:val="hy-AM"/>
        </w:rPr>
        <w:t xml:space="preserve">2022 թվականին ներքին աղբյուրների ֆինանսավորմամբ մեկնարկելու են </w:t>
      </w:r>
      <w:r w:rsidRPr="00A83C94">
        <w:rPr>
          <w:rFonts w:cs="Sylfaen"/>
          <w:b w:val="0"/>
          <w:szCs w:val="22"/>
        </w:rPr>
        <w:t>թվով</w:t>
      </w:r>
      <w:r w:rsidRPr="00A83C94">
        <w:rPr>
          <w:rFonts w:cs="Sylfaen"/>
          <w:b w:val="0"/>
          <w:szCs w:val="22"/>
          <w:lang w:val="af-ZA"/>
        </w:rPr>
        <w:t xml:space="preserve"> 2 </w:t>
      </w:r>
      <w:r w:rsidRPr="00A83C94">
        <w:rPr>
          <w:rFonts w:cs="Sylfaen"/>
          <w:b w:val="0"/>
          <w:szCs w:val="22"/>
        </w:rPr>
        <w:t>քլորակայան</w:t>
      </w:r>
      <w:r w:rsidRPr="00A83C94">
        <w:rPr>
          <w:rFonts w:cs="Sylfaen"/>
          <w:b w:val="0"/>
          <w:szCs w:val="22"/>
          <w:lang w:val="hy-AM"/>
        </w:rPr>
        <w:t>ի</w:t>
      </w:r>
      <w:r w:rsidRPr="00A83C94">
        <w:rPr>
          <w:rFonts w:cs="Sylfaen"/>
          <w:b w:val="0"/>
          <w:szCs w:val="22"/>
          <w:lang w:val="af-ZA"/>
        </w:rPr>
        <w:t xml:space="preserve"> </w:t>
      </w:r>
      <w:r w:rsidRPr="00A83C94">
        <w:rPr>
          <w:rFonts w:cs="Sylfaen"/>
          <w:b w:val="0"/>
          <w:szCs w:val="22"/>
        </w:rPr>
        <w:t>կառուց</w:t>
      </w:r>
      <w:r w:rsidRPr="00A83C94">
        <w:rPr>
          <w:rFonts w:cs="Sylfaen"/>
          <w:b w:val="0"/>
          <w:szCs w:val="22"/>
          <w:lang w:val="hy-AM"/>
        </w:rPr>
        <w:t xml:space="preserve">ման աշխատանքները, ինչպես նաև </w:t>
      </w:r>
      <w:r w:rsidRPr="00A83C94">
        <w:rPr>
          <w:b w:val="0"/>
          <w:szCs w:val="22"/>
          <w:lang w:val="af-ZA"/>
        </w:rPr>
        <w:t></w:t>
      </w:r>
      <w:r w:rsidRPr="00A83C94">
        <w:rPr>
          <w:b w:val="0"/>
          <w:szCs w:val="22"/>
        </w:rPr>
        <w:t>Վեոլիա</w:t>
      </w:r>
      <w:r w:rsidRPr="00A83C94">
        <w:rPr>
          <w:b w:val="0"/>
          <w:szCs w:val="22"/>
          <w:lang w:val="af-ZA"/>
        </w:rPr>
        <w:t xml:space="preserve"> </w:t>
      </w:r>
      <w:r w:rsidRPr="00A83C94">
        <w:rPr>
          <w:b w:val="0"/>
          <w:szCs w:val="22"/>
        </w:rPr>
        <w:t>Ջուր</w:t>
      </w:r>
      <w:r w:rsidRPr="00A83C94">
        <w:rPr>
          <w:b w:val="0"/>
          <w:szCs w:val="22"/>
          <w:lang w:val="af-ZA"/>
        </w:rPr>
        <w:t xml:space="preserve"> </w:t>
      </w:r>
      <w:r w:rsidRPr="00A83C94">
        <w:rPr>
          <w:b w:val="0"/>
          <w:szCs w:val="22"/>
        </w:rPr>
        <w:t>ՓԲԸ</w:t>
      </w:r>
      <w:r w:rsidRPr="00A83C94">
        <w:rPr>
          <w:rFonts w:cs="Sylfaen"/>
          <w:b w:val="0"/>
          <w:szCs w:val="22"/>
          <w:lang w:val="af-ZA"/>
        </w:rPr>
        <w:t>-</w:t>
      </w:r>
      <w:r w:rsidRPr="00A83C94">
        <w:rPr>
          <w:rFonts w:cs="Sylfaen"/>
          <w:b w:val="0"/>
          <w:szCs w:val="22"/>
        </w:rPr>
        <w:t>ի</w:t>
      </w:r>
      <w:r w:rsidRPr="00A83C94">
        <w:rPr>
          <w:rFonts w:cs="Sylfaen"/>
          <w:b w:val="0"/>
          <w:szCs w:val="22"/>
          <w:lang w:val="af-ZA"/>
        </w:rPr>
        <w:t xml:space="preserve"> </w:t>
      </w:r>
      <w:r w:rsidRPr="00A83C94">
        <w:rPr>
          <w:rFonts w:cs="Sylfaen"/>
          <w:b w:val="0"/>
          <w:szCs w:val="22"/>
        </w:rPr>
        <w:t>կողմից</w:t>
      </w:r>
      <w:r w:rsidRPr="00A83C94">
        <w:rPr>
          <w:rFonts w:cs="Sylfaen"/>
          <w:b w:val="0"/>
          <w:szCs w:val="22"/>
          <w:lang w:val="af-ZA"/>
        </w:rPr>
        <w:t xml:space="preserve"> </w:t>
      </w:r>
      <w:r w:rsidRPr="00A83C94">
        <w:rPr>
          <w:rFonts w:cs="Times Armenian"/>
          <w:b w:val="0"/>
          <w:color w:val="000000"/>
          <w:szCs w:val="22"/>
          <w:lang w:val="fr-FR"/>
        </w:rPr>
        <w:t xml:space="preserve">չսպասարկվող </w:t>
      </w:r>
      <w:r w:rsidRPr="00A83C94">
        <w:rPr>
          <w:b w:val="0"/>
          <w:szCs w:val="22"/>
          <w:lang w:val="af-ZA"/>
        </w:rPr>
        <w:t>բնակավայրերում խմելու ջրի մատակարարման և ջրահեռացման ոլորտում առկա խնդիրների կարգավորմ</w:t>
      </w:r>
      <w:r w:rsidR="006450C3" w:rsidRPr="00A83C94">
        <w:rPr>
          <w:b w:val="0"/>
          <w:szCs w:val="22"/>
          <w:lang w:val="af-ZA"/>
        </w:rPr>
        <w:t>ան նպատակով</w:t>
      </w:r>
      <w:r w:rsidR="006450C3" w:rsidRPr="00A83C94">
        <w:rPr>
          <w:b w:val="0"/>
          <w:szCs w:val="22"/>
          <w:lang w:val="hy-AM"/>
        </w:rPr>
        <w:t xml:space="preserve"> որոշ</w:t>
      </w:r>
      <w:r w:rsidRPr="00A83C94">
        <w:rPr>
          <w:b w:val="0"/>
          <w:szCs w:val="22"/>
          <w:lang w:val="af-ZA"/>
        </w:rPr>
        <w:t xml:space="preserve"> բնակավայրերում իրականացնել առաջնահրեթ միջոցառումներ: </w:t>
      </w:r>
    </w:p>
    <w:p w14:paraId="3B05A986" w14:textId="77777777" w:rsidR="0023176E" w:rsidRPr="00A83C94" w:rsidRDefault="0023176E" w:rsidP="0023176E">
      <w:pPr>
        <w:widowControl w:val="0"/>
        <w:spacing w:line="276" w:lineRule="auto"/>
        <w:rPr>
          <w:b w:val="0"/>
          <w:szCs w:val="22"/>
          <w:lang w:val="af-ZA"/>
        </w:rPr>
      </w:pPr>
      <w:r w:rsidRPr="00A83C94">
        <w:rPr>
          <w:b w:val="0"/>
          <w:szCs w:val="22"/>
          <w:lang w:val="af-ZA"/>
        </w:rPr>
        <w:t>Արտաքին աղբյուրների ֆինանսավորմամբ իրականացվող շարունակական ծրագրերի ներքո նախատեսվում է բարելավել Երևանի ջրամատակարարումը Հաղթանակ, Սիլիկյան և Մալաթիա թաղամասերում, ինչպես նաև՝ ՀՀ մարզերում մեկնարկած ջրամատակարարման և ջրահեռացման համակարգերի վերականգնման աշխատանքները։ Երևանում նախատեսվում է նորոգել ընդհանուր առմամբ 21 կմ ջրագիծ, 18 կմ մուտքագիծ և 21</w:t>
      </w:r>
      <w:r w:rsidRPr="00A83C94">
        <w:rPr>
          <w:rFonts w:ascii="Calibri" w:hAnsi="Calibri" w:cs="Calibri"/>
          <w:b w:val="0"/>
          <w:szCs w:val="22"/>
          <w:lang w:val="af-ZA"/>
        </w:rPr>
        <w:t> </w:t>
      </w:r>
      <w:r w:rsidRPr="00A83C94">
        <w:rPr>
          <w:b w:val="0"/>
          <w:szCs w:val="22"/>
          <w:lang w:val="af-ZA"/>
        </w:rPr>
        <w:t>000 հատ տնային միացումներ։ ՀՀ մարզերում ընդհանուր առմամբ նախատեսվում է նորոգել 164 կմ ջրագիծ, 8.5 կմ կոյուղագիծ և 7550 հատ տնային միացումներ։</w:t>
      </w:r>
    </w:p>
    <w:p w14:paraId="63453FD0" w14:textId="77777777" w:rsidR="0023176E" w:rsidRPr="00A83C94" w:rsidRDefault="0023176E" w:rsidP="0023176E">
      <w:pPr>
        <w:widowControl w:val="0"/>
        <w:spacing w:line="276" w:lineRule="auto"/>
        <w:rPr>
          <w:b w:val="0"/>
          <w:szCs w:val="22"/>
          <w:lang w:val="hy-AM"/>
        </w:rPr>
      </w:pPr>
      <w:r w:rsidRPr="00A83C94">
        <w:rPr>
          <w:b w:val="0"/>
          <w:szCs w:val="22"/>
          <w:lang w:val="hy-AM"/>
        </w:rPr>
        <w:t xml:space="preserve">Միաժամանակ Եվրոմիության համատեղ ֆինանսավորմամբ նախատեսվում է իրականացնել </w:t>
      </w:r>
      <w:r w:rsidRPr="00A83C94">
        <w:rPr>
          <w:b w:val="0"/>
          <w:szCs w:val="22"/>
          <w:lang w:val="af-ZA"/>
        </w:rPr>
        <w:t>80 բնակավայրերում խմելու ջրի ջրամատակարարման ներքին ցանց</w:t>
      </w:r>
      <w:r w:rsidRPr="00A83C94">
        <w:rPr>
          <w:b w:val="0"/>
          <w:szCs w:val="22"/>
          <w:lang w:val="hy-AM"/>
        </w:rPr>
        <w:t>ի</w:t>
      </w:r>
      <w:r w:rsidRPr="00A83C94">
        <w:rPr>
          <w:b w:val="0"/>
          <w:szCs w:val="22"/>
          <w:lang w:val="af-ZA"/>
        </w:rPr>
        <w:t>, ջրամաքրման կայաններ</w:t>
      </w:r>
      <w:r w:rsidRPr="00A83C94">
        <w:rPr>
          <w:b w:val="0"/>
          <w:szCs w:val="22"/>
          <w:lang w:val="hy-AM"/>
        </w:rPr>
        <w:t>ի</w:t>
      </w:r>
      <w:r w:rsidRPr="00A83C94">
        <w:rPr>
          <w:b w:val="0"/>
          <w:szCs w:val="22"/>
          <w:lang w:val="af-ZA"/>
        </w:rPr>
        <w:t>, խողովակաշարեր</w:t>
      </w:r>
      <w:r w:rsidRPr="00A83C94">
        <w:rPr>
          <w:b w:val="0"/>
          <w:szCs w:val="22"/>
          <w:lang w:val="hy-AM"/>
        </w:rPr>
        <w:t xml:space="preserve">ի </w:t>
      </w:r>
      <w:r w:rsidRPr="00A83C94">
        <w:rPr>
          <w:b w:val="0"/>
          <w:szCs w:val="22"/>
          <w:lang w:val="af-ZA"/>
        </w:rPr>
        <w:t>բարելավման աշխատանքների իրականացում</w:t>
      </w:r>
      <w:r w:rsidRPr="00A83C94">
        <w:rPr>
          <w:b w:val="0"/>
          <w:szCs w:val="22"/>
          <w:lang w:val="hy-AM"/>
        </w:rPr>
        <w:t>:</w:t>
      </w:r>
    </w:p>
    <w:p w14:paraId="72AE0000" w14:textId="1D27FFEB" w:rsidR="0023176E" w:rsidRPr="00A83C94" w:rsidRDefault="0023176E" w:rsidP="0023176E">
      <w:pPr>
        <w:widowControl w:val="0"/>
        <w:spacing w:line="276" w:lineRule="auto"/>
        <w:rPr>
          <w:b w:val="0"/>
          <w:szCs w:val="22"/>
          <w:lang w:val="af-ZA"/>
        </w:rPr>
      </w:pPr>
      <w:r w:rsidRPr="00A83C94">
        <w:rPr>
          <w:rFonts w:cs="Sylfaen"/>
          <w:szCs w:val="22"/>
          <w:lang w:val="hy-AM"/>
        </w:rPr>
        <w:t>Ընդերքի</w:t>
      </w:r>
      <w:r w:rsidRPr="00A83C94">
        <w:rPr>
          <w:rFonts w:cs="Sylfaen"/>
          <w:szCs w:val="22"/>
          <w:lang w:val="af-ZA"/>
        </w:rPr>
        <w:t xml:space="preserve"> </w:t>
      </w:r>
      <w:r w:rsidRPr="00A83C94">
        <w:rPr>
          <w:rFonts w:cs="Sylfaen"/>
          <w:szCs w:val="22"/>
          <w:lang w:val="hy-AM"/>
        </w:rPr>
        <w:t>ուսումնասիրության</w:t>
      </w:r>
      <w:r w:rsidRPr="00A83C94">
        <w:rPr>
          <w:rFonts w:cs="Sylfaen"/>
          <w:szCs w:val="22"/>
          <w:lang w:val="af-ZA"/>
        </w:rPr>
        <w:t xml:space="preserve">, </w:t>
      </w:r>
      <w:r w:rsidRPr="00A83C94">
        <w:rPr>
          <w:rFonts w:cs="Sylfaen"/>
          <w:szCs w:val="22"/>
          <w:lang w:val="hy-AM"/>
        </w:rPr>
        <w:t>օգտագործման</w:t>
      </w:r>
      <w:r w:rsidRPr="00A83C94">
        <w:rPr>
          <w:rFonts w:cs="Sylfaen"/>
          <w:szCs w:val="22"/>
          <w:lang w:val="af-ZA"/>
        </w:rPr>
        <w:t xml:space="preserve"> </w:t>
      </w:r>
      <w:r w:rsidRPr="00A83C94">
        <w:rPr>
          <w:rFonts w:cs="Sylfaen"/>
          <w:szCs w:val="22"/>
          <w:lang w:val="hy-AM"/>
        </w:rPr>
        <w:t>և</w:t>
      </w:r>
      <w:r w:rsidRPr="00A83C94">
        <w:rPr>
          <w:rFonts w:cs="Sylfaen"/>
          <w:szCs w:val="22"/>
          <w:lang w:val="af-ZA"/>
        </w:rPr>
        <w:t xml:space="preserve"> </w:t>
      </w:r>
      <w:r w:rsidRPr="00A83C94">
        <w:rPr>
          <w:rFonts w:cs="Sylfaen"/>
          <w:szCs w:val="22"/>
          <w:lang w:val="hy-AM"/>
        </w:rPr>
        <w:t>պահպանման</w:t>
      </w:r>
      <w:r w:rsidRPr="00A83C94">
        <w:rPr>
          <w:rFonts w:cs="Sylfaen"/>
          <w:szCs w:val="22"/>
          <w:lang w:val="af-ZA"/>
        </w:rPr>
        <w:t xml:space="preserve"> </w:t>
      </w:r>
      <w:r w:rsidRPr="00A83C94">
        <w:rPr>
          <w:rFonts w:cs="Sylfaen"/>
          <w:szCs w:val="22"/>
          <w:lang w:val="hy-AM"/>
        </w:rPr>
        <w:t xml:space="preserve">ծառայություններ </w:t>
      </w:r>
      <w:r w:rsidRPr="00A83C94">
        <w:rPr>
          <w:b w:val="0"/>
          <w:szCs w:val="22"/>
          <w:lang w:val="hy-AM"/>
        </w:rPr>
        <w:t>ծրագրի</w:t>
      </w:r>
      <w:r w:rsidRPr="00A83C94">
        <w:rPr>
          <w:b w:val="0"/>
          <w:szCs w:val="22"/>
          <w:lang w:val="af-ZA"/>
        </w:rPr>
        <w:t xml:space="preserve"> </w:t>
      </w:r>
      <w:r w:rsidRPr="00A83C94">
        <w:rPr>
          <w:b w:val="0"/>
          <w:szCs w:val="22"/>
          <w:lang w:val="hy-AM"/>
        </w:rPr>
        <w:t>գծով</w:t>
      </w:r>
      <w:r w:rsidRPr="00A83C94">
        <w:rPr>
          <w:b w:val="0"/>
          <w:szCs w:val="22"/>
          <w:lang w:val="af-ZA"/>
        </w:rPr>
        <w:t xml:space="preserve"> 2022 </w:t>
      </w:r>
      <w:r w:rsidRPr="00A83C94">
        <w:rPr>
          <w:b w:val="0"/>
          <w:szCs w:val="22"/>
          <w:lang w:val="hy-AM"/>
        </w:rPr>
        <w:t>թվականին</w:t>
      </w:r>
      <w:r w:rsidRPr="00A83C94">
        <w:rPr>
          <w:b w:val="0"/>
          <w:szCs w:val="22"/>
          <w:lang w:val="af-ZA"/>
        </w:rPr>
        <w:t xml:space="preserve"> </w:t>
      </w:r>
      <w:r w:rsidRPr="00A83C94">
        <w:rPr>
          <w:b w:val="0"/>
          <w:szCs w:val="22"/>
          <w:lang w:val="hy-AM"/>
        </w:rPr>
        <w:t>նախատեսվել</w:t>
      </w:r>
      <w:r w:rsidRPr="00A83C94">
        <w:rPr>
          <w:b w:val="0"/>
          <w:szCs w:val="22"/>
          <w:lang w:val="af-ZA"/>
        </w:rPr>
        <w:t xml:space="preserve"> </w:t>
      </w:r>
      <w:r w:rsidRPr="00A83C94">
        <w:rPr>
          <w:b w:val="0"/>
          <w:szCs w:val="22"/>
          <w:lang w:val="hy-AM"/>
        </w:rPr>
        <w:t>է</w:t>
      </w:r>
      <w:r w:rsidRPr="00A83C94">
        <w:rPr>
          <w:b w:val="0"/>
          <w:szCs w:val="22"/>
          <w:lang w:val="af-ZA"/>
        </w:rPr>
        <w:t xml:space="preserve"> </w:t>
      </w:r>
      <w:r w:rsidR="00926E4D">
        <w:rPr>
          <w:b w:val="0"/>
          <w:szCs w:val="22"/>
          <w:lang w:val="af-ZA"/>
        </w:rPr>
        <w:t>133.4</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lang w:val="hy-AM"/>
        </w:rPr>
        <w:t>դրամ</w:t>
      </w:r>
      <w:r w:rsidRPr="00A83C94">
        <w:rPr>
          <w:b w:val="0"/>
          <w:szCs w:val="22"/>
          <w:lang w:val="af-ZA"/>
        </w:rPr>
        <w:t>.</w:t>
      </w:r>
    </w:p>
    <w:p w14:paraId="1843005B" w14:textId="77777777" w:rsidR="0023176E" w:rsidRPr="00A83C94" w:rsidRDefault="0023176E" w:rsidP="0023176E">
      <w:pPr>
        <w:spacing w:line="276" w:lineRule="auto"/>
        <w:rPr>
          <w:b w:val="0"/>
          <w:lang w:val="hy-AM"/>
        </w:rPr>
      </w:pPr>
      <w:r w:rsidRPr="00A83C94">
        <w:rPr>
          <w:b w:val="0"/>
          <w:lang w:val="hy-AM"/>
        </w:rPr>
        <w:t>Ծրագրի</w:t>
      </w:r>
      <w:r w:rsidRPr="00A83C94">
        <w:rPr>
          <w:b w:val="0"/>
          <w:lang w:val="af-ZA"/>
        </w:rPr>
        <w:t xml:space="preserve"> </w:t>
      </w:r>
      <w:r w:rsidRPr="00A83C94">
        <w:rPr>
          <w:b w:val="0"/>
          <w:lang w:val="hy-AM"/>
        </w:rPr>
        <w:t>նպատակն</w:t>
      </w:r>
      <w:r w:rsidRPr="00A83C94">
        <w:rPr>
          <w:b w:val="0"/>
          <w:lang w:val="af-ZA"/>
        </w:rPr>
        <w:t xml:space="preserve"> </w:t>
      </w:r>
      <w:r w:rsidRPr="00A83C94">
        <w:rPr>
          <w:b w:val="0"/>
          <w:lang w:val="hy-AM"/>
        </w:rPr>
        <w:t>է</w:t>
      </w:r>
      <w:r w:rsidRPr="00A83C94">
        <w:rPr>
          <w:b w:val="0"/>
          <w:lang w:val="af-ZA"/>
        </w:rPr>
        <w:t xml:space="preserve"> </w:t>
      </w:r>
      <w:r w:rsidRPr="00A83C94">
        <w:rPr>
          <w:b w:val="0"/>
          <w:lang w:val="hy-AM"/>
        </w:rPr>
        <w:t>ՀՀ</w:t>
      </w:r>
      <w:r w:rsidRPr="00A83C94">
        <w:rPr>
          <w:b w:val="0"/>
          <w:lang w:val="af-ZA"/>
        </w:rPr>
        <w:t xml:space="preserve"> </w:t>
      </w:r>
      <w:r w:rsidRPr="00A83C94">
        <w:rPr>
          <w:b w:val="0"/>
          <w:lang w:val="hy-AM"/>
        </w:rPr>
        <w:t>ընդերքի</w:t>
      </w:r>
      <w:r w:rsidRPr="00A83C94">
        <w:rPr>
          <w:b w:val="0"/>
          <w:lang w:val="af-ZA"/>
        </w:rPr>
        <w:t xml:space="preserve"> </w:t>
      </w:r>
      <w:r w:rsidRPr="00A83C94">
        <w:rPr>
          <w:b w:val="0"/>
          <w:lang w:val="hy-AM"/>
        </w:rPr>
        <w:t>վերաբերյալ</w:t>
      </w:r>
      <w:r w:rsidRPr="00A83C94">
        <w:rPr>
          <w:b w:val="0"/>
          <w:lang w:val="af-ZA"/>
        </w:rPr>
        <w:t xml:space="preserve"> </w:t>
      </w:r>
      <w:r w:rsidRPr="00A83C94">
        <w:rPr>
          <w:b w:val="0"/>
          <w:lang w:val="hy-AM"/>
        </w:rPr>
        <w:t>տեղեկության</w:t>
      </w:r>
      <w:r w:rsidRPr="00A83C94">
        <w:rPr>
          <w:b w:val="0"/>
          <w:lang w:val="af-ZA"/>
        </w:rPr>
        <w:t xml:space="preserve"> </w:t>
      </w:r>
      <w:r w:rsidRPr="00A83C94">
        <w:rPr>
          <w:b w:val="0"/>
          <w:lang w:val="hy-AM"/>
        </w:rPr>
        <w:t>ընդունումը</w:t>
      </w:r>
      <w:r w:rsidRPr="00A83C94">
        <w:rPr>
          <w:b w:val="0"/>
          <w:lang w:val="af-ZA"/>
        </w:rPr>
        <w:t xml:space="preserve">, </w:t>
      </w:r>
      <w:r w:rsidRPr="00A83C94">
        <w:rPr>
          <w:b w:val="0"/>
          <w:lang w:val="hy-AM"/>
        </w:rPr>
        <w:t>հաշվառումը</w:t>
      </w:r>
      <w:r w:rsidRPr="00A83C94">
        <w:rPr>
          <w:b w:val="0"/>
          <w:lang w:val="af-ZA"/>
        </w:rPr>
        <w:t xml:space="preserve">, </w:t>
      </w:r>
      <w:r w:rsidRPr="00A83C94">
        <w:rPr>
          <w:b w:val="0"/>
          <w:lang w:val="hy-AM"/>
        </w:rPr>
        <w:t>պահպանումը</w:t>
      </w:r>
      <w:r w:rsidRPr="00A83C94">
        <w:rPr>
          <w:b w:val="0"/>
          <w:lang w:val="af-ZA"/>
        </w:rPr>
        <w:t xml:space="preserve">, </w:t>
      </w:r>
      <w:r w:rsidRPr="00A83C94">
        <w:rPr>
          <w:b w:val="0"/>
          <w:lang w:val="hy-AM"/>
        </w:rPr>
        <w:t>պարբերաբար</w:t>
      </w:r>
      <w:r w:rsidRPr="00A83C94">
        <w:rPr>
          <w:b w:val="0"/>
          <w:lang w:val="af-ZA"/>
        </w:rPr>
        <w:t xml:space="preserve"> </w:t>
      </w:r>
      <w:r w:rsidRPr="00A83C94">
        <w:rPr>
          <w:b w:val="0"/>
          <w:lang w:val="hy-AM"/>
        </w:rPr>
        <w:t>թարմացումը</w:t>
      </w:r>
      <w:r w:rsidRPr="00A83C94">
        <w:rPr>
          <w:b w:val="0"/>
          <w:lang w:val="af-ZA"/>
        </w:rPr>
        <w:t xml:space="preserve">, </w:t>
      </w:r>
      <w:r w:rsidRPr="00A83C94">
        <w:rPr>
          <w:b w:val="0"/>
          <w:lang w:val="hy-AM"/>
        </w:rPr>
        <w:t>ամբողջականության</w:t>
      </w:r>
      <w:r w:rsidRPr="00A83C94">
        <w:rPr>
          <w:b w:val="0"/>
          <w:lang w:val="af-ZA"/>
        </w:rPr>
        <w:t xml:space="preserve"> </w:t>
      </w:r>
      <w:r w:rsidRPr="00A83C94">
        <w:rPr>
          <w:b w:val="0"/>
          <w:lang w:val="hy-AM"/>
        </w:rPr>
        <w:t>և</w:t>
      </w:r>
      <w:r w:rsidRPr="00A83C94">
        <w:rPr>
          <w:b w:val="0"/>
          <w:lang w:val="af-ZA"/>
        </w:rPr>
        <w:t xml:space="preserve"> </w:t>
      </w:r>
      <w:r w:rsidRPr="00A83C94">
        <w:rPr>
          <w:b w:val="0"/>
          <w:lang w:val="hy-AM"/>
        </w:rPr>
        <w:t>մատչելիության</w:t>
      </w:r>
      <w:r w:rsidRPr="00A83C94">
        <w:rPr>
          <w:b w:val="0"/>
          <w:lang w:val="af-ZA"/>
        </w:rPr>
        <w:t xml:space="preserve"> </w:t>
      </w:r>
      <w:r w:rsidRPr="00A83C94">
        <w:rPr>
          <w:b w:val="0"/>
          <w:lang w:val="hy-AM"/>
        </w:rPr>
        <w:t>ապահովումը</w:t>
      </w:r>
      <w:r w:rsidRPr="00A83C94">
        <w:rPr>
          <w:b w:val="0"/>
          <w:lang w:val="af-ZA"/>
        </w:rPr>
        <w:t xml:space="preserve">, </w:t>
      </w:r>
      <w:r w:rsidRPr="00A83C94">
        <w:rPr>
          <w:b w:val="0"/>
          <w:lang w:val="hy-AM"/>
        </w:rPr>
        <w:t>ինչպես</w:t>
      </w:r>
      <w:r w:rsidRPr="00A83C94">
        <w:rPr>
          <w:b w:val="0"/>
          <w:lang w:val="af-ZA"/>
        </w:rPr>
        <w:t xml:space="preserve"> </w:t>
      </w:r>
      <w:r w:rsidRPr="00A83C94">
        <w:rPr>
          <w:b w:val="0"/>
          <w:lang w:val="hy-AM"/>
        </w:rPr>
        <w:t>նաև</w:t>
      </w:r>
      <w:r w:rsidRPr="00A83C94">
        <w:rPr>
          <w:b w:val="0"/>
          <w:lang w:val="af-ZA"/>
        </w:rPr>
        <w:t xml:space="preserve"> </w:t>
      </w:r>
      <w:r w:rsidRPr="00A83C94">
        <w:rPr>
          <w:b w:val="0"/>
          <w:lang w:val="hy-AM"/>
        </w:rPr>
        <w:t>պետական</w:t>
      </w:r>
      <w:r w:rsidRPr="00A83C94">
        <w:rPr>
          <w:b w:val="0"/>
          <w:lang w:val="af-ZA"/>
        </w:rPr>
        <w:t xml:space="preserve"> </w:t>
      </w:r>
      <w:r w:rsidRPr="00A83C94">
        <w:rPr>
          <w:b w:val="0"/>
          <w:lang w:val="hy-AM"/>
        </w:rPr>
        <w:t>մարմիններին</w:t>
      </w:r>
      <w:r w:rsidRPr="00A83C94">
        <w:rPr>
          <w:b w:val="0"/>
          <w:lang w:val="af-ZA"/>
        </w:rPr>
        <w:t xml:space="preserve"> </w:t>
      </w:r>
      <w:r w:rsidRPr="00A83C94">
        <w:rPr>
          <w:b w:val="0"/>
          <w:lang w:val="hy-AM"/>
        </w:rPr>
        <w:t>ընդերքի</w:t>
      </w:r>
      <w:r w:rsidRPr="00A83C94">
        <w:rPr>
          <w:b w:val="0"/>
          <w:lang w:val="af-ZA"/>
        </w:rPr>
        <w:t xml:space="preserve"> </w:t>
      </w:r>
      <w:r w:rsidRPr="00A83C94">
        <w:rPr>
          <w:b w:val="0"/>
          <w:lang w:val="hy-AM"/>
        </w:rPr>
        <w:t>մասին</w:t>
      </w:r>
      <w:r w:rsidRPr="00A83C94">
        <w:rPr>
          <w:b w:val="0"/>
          <w:lang w:val="af-ZA"/>
        </w:rPr>
        <w:t xml:space="preserve"> </w:t>
      </w:r>
      <w:r w:rsidRPr="00A83C94">
        <w:rPr>
          <w:b w:val="0"/>
          <w:lang w:val="hy-AM"/>
        </w:rPr>
        <w:t>տեղեկատվության</w:t>
      </w:r>
      <w:r w:rsidRPr="00A83C94">
        <w:rPr>
          <w:b w:val="0"/>
          <w:lang w:val="af-ZA"/>
        </w:rPr>
        <w:t xml:space="preserve"> </w:t>
      </w:r>
      <w:r w:rsidRPr="00A83C94">
        <w:rPr>
          <w:b w:val="0"/>
          <w:lang w:val="hy-AM"/>
        </w:rPr>
        <w:t>տրամադրումը</w:t>
      </w:r>
      <w:r w:rsidRPr="00A83C94">
        <w:rPr>
          <w:b w:val="0"/>
          <w:lang w:val="af-ZA"/>
        </w:rPr>
        <w:t xml:space="preserve">: </w:t>
      </w:r>
      <w:r w:rsidRPr="00A83C94">
        <w:rPr>
          <w:b w:val="0"/>
          <w:lang w:val="hy-AM"/>
        </w:rPr>
        <w:t>Ծրագրի</w:t>
      </w:r>
      <w:r w:rsidRPr="00A83C94">
        <w:rPr>
          <w:b w:val="0"/>
          <w:lang w:val="af-ZA"/>
        </w:rPr>
        <w:t xml:space="preserve"> </w:t>
      </w:r>
      <w:r w:rsidRPr="00A83C94">
        <w:rPr>
          <w:b w:val="0"/>
          <w:lang w:val="hy-AM"/>
        </w:rPr>
        <w:t xml:space="preserve">կատարմամբ ակնկալվում է ընդերքօգտագործման ֆոնդի ամբողջականության ապահովումը: </w:t>
      </w:r>
    </w:p>
    <w:p w14:paraId="5D715C61" w14:textId="77777777" w:rsidR="0023176E" w:rsidRPr="00A83C94" w:rsidRDefault="0023176E" w:rsidP="0023176E">
      <w:pPr>
        <w:spacing w:line="276" w:lineRule="auto"/>
        <w:rPr>
          <w:b w:val="0"/>
          <w:lang w:val="hy-AM"/>
        </w:rPr>
      </w:pPr>
      <w:r w:rsidRPr="00A83C94">
        <w:rPr>
          <w:b w:val="0"/>
          <w:lang w:val="hy-AM"/>
        </w:rPr>
        <w:t>Ծրագրի շրջանակներում նախատեսվում է 1520 հատ երկրաբանական նյութերի ուսումնասիրությունների վերաբերյալ տեղեկությունների ընդունում, թվայնացում և կայքում տեղադրում, 930 հանքավայրերի օգտակար հանածոների պաշարների, 250 ընդերքի տեղամասերի ներկայացված կոորդինատների վերաբերյալ տեղեկությունների և տրամադրված 500 ընդերքօգտագործման իրավունքների հաշվառում:</w:t>
      </w:r>
    </w:p>
    <w:p w14:paraId="60F1CD5A" w14:textId="56DDE432" w:rsidR="0023176E" w:rsidRPr="00A83C94" w:rsidRDefault="0023176E" w:rsidP="0023176E">
      <w:pPr>
        <w:spacing w:line="276" w:lineRule="auto"/>
        <w:rPr>
          <w:b w:val="0"/>
          <w:lang w:val="hy-AM"/>
        </w:rPr>
      </w:pPr>
      <w:r w:rsidRPr="00A83C94">
        <w:rPr>
          <w:b w:val="0"/>
          <w:lang w:val="hy-AM"/>
        </w:rPr>
        <w:t xml:space="preserve">Արտաքին աղբյուրների ֆինանսավորմամբ իրականացվող շարունակական ծրագրերի ներքո նախատեսվում է Հայաստանի հանքարդյունաբերության ոլորտի քաղաքականության </w:t>
      </w:r>
      <w:r w:rsidR="006E0AE4" w:rsidRPr="000F464F">
        <w:rPr>
          <w:b w:val="0"/>
          <w:lang w:val="hy-AM"/>
        </w:rPr>
        <w:t>և</w:t>
      </w:r>
      <w:r w:rsidRPr="00A83C94">
        <w:rPr>
          <w:b w:val="0"/>
          <w:lang w:val="hy-AM"/>
        </w:rPr>
        <w:t xml:space="preserve"> դրանից բխող գործողությունների ծրագրի մշակմանն օժանդակելը, որը կենտրոնանում է կայուն տնտեսական զարգացման մեջ հանքարդյունաբերության ոլորտի միջոցով կատարվող ներդրումն ամրապնդելու վրա:</w:t>
      </w:r>
    </w:p>
    <w:p w14:paraId="375FE6EA" w14:textId="77777777" w:rsidR="0023176E" w:rsidRPr="00A83C94" w:rsidRDefault="0023176E" w:rsidP="0023176E">
      <w:pPr>
        <w:widowControl w:val="0"/>
        <w:spacing w:line="276" w:lineRule="auto"/>
        <w:rPr>
          <w:rFonts w:cs="Sylfaen"/>
          <w:b w:val="0"/>
          <w:szCs w:val="22"/>
          <w:lang w:val="hy-AM"/>
        </w:rPr>
      </w:pPr>
      <w:r w:rsidRPr="00A83C94">
        <w:rPr>
          <w:b w:val="0"/>
          <w:szCs w:val="22"/>
          <w:lang w:val="af-ZA"/>
        </w:rPr>
        <w:t xml:space="preserve"> </w:t>
      </w:r>
      <w:r w:rsidRPr="00A83C94">
        <w:rPr>
          <w:rFonts w:cs="Sylfaen"/>
          <w:szCs w:val="22"/>
          <w:lang w:val="hy-AM"/>
        </w:rPr>
        <w:t>Երկաթուղային</w:t>
      </w:r>
      <w:r w:rsidRPr="00A83C94">
        <w:rPr>
          <w:rFonts w:cs="Sylfaen"/>
          <w:szCs w:val="22"/>
          <w:lang w:val="af-ZA"/>
        </w:rPr>
        <w:t xml:space="preserve"> </w:t>
      </w:r>
      <w:r w:rsidRPr="00A83C94">
        <w:rPr>
          <w:rFonts w:cs="Sylfaen"/>
          <w:szCs w:val="22"/>
          <w:lang w:val="hy-AM"/>
        </w:rPr>
        <w:t>ցանցի</w:t>
      </w:r>
      <w:r w:rsidRPr="00A83C94">
        <w:rPr>
          <w:rFonts w:cs="Sylfaen"/>
          <w:szCs w:val="22"/>
          <w:lang w:val="af-ZA"/>
        </w:rPr>
        <w:t xml:space="preserve"> </w:t>
      </w:r>
      <w:r w:rsidRPr="00A83C94">
        <w:rPr>
          <w:rFonts w:cs="Sylfaen"/>
          <w:szCs w:val="22"/>
          <w:lang w:val="hy-AM"/>
        </w:rPr>
        <w:t>զարգացում</w:t>
      </w:r>
      <w:r w:rsidRPr="00A83C94">
        <w:rPr>
          <w:rFonts w:cs="Sylfaen"/>
          <w:szCs w:val="22"/>
          <w:lang w:val="af-ZA"/>
        </w:rPr>
        <w:t xml:space="preserve"> </w:t>
      </w:r>
      <w:r w:rsidRPr="00A83C94">
        <w:rPr>
          <w:rFonts w:cs="Sylfaen"/>
          <w:b w:val="0"/>
          <w:szCs w:val="22"/>
          <w:lang w:val="hy-AM"/>
        </w:rPr>
        <w:t>ծրագրի գծով ուղևորափոխադրումներից</w:t>
      </w:r>
      <w:r w:rsidRPr="00A83C94">
        <w:rPr>
          <w:rFonts w:cs="Sylfaen"/>
          <w:b w:val="0"/>
          <w:szCs w:val="22"/>
          <w:lang w:val="af-ZA"/>
        </w:rPr>
        <w:t xml:space="preserve"> </w:t>
      </w:r>
      <w:r w:rsidRPr="00A83C94">
        <w:rPr>
          <w:rFonts w:cs="Sylfaen"/>
          <w:b w:val="0"/>
          <w:szCs w:val="22"/>
          <w:lang w:val="hy-AM"/>
        </w:rPr>
        <w:t>ստացված</w:t>
      </w:r>
      <w:r w:rsidRPr="00A83C94">
        <w:rPr>
          <w:rFonts w:cs="Sylfaen"/>
          <w:b w:val="0"/>
          <w:szCs w:val="22"/>
          <w:lang w:val="af-ZA"/>
        </w:rPr>
        <w:t xml:space="preserve"> </w:t>
      </w:r>
      <w:r w:rsidRPr="00A83C94">
        <w:rPr>
          <w:rFonts w:cs="Sylfaen"/>
          <w:b w:val="0"/>
          <w:szCs w:val="22"/>
          <w:lang w:val="hy-AM"/>
        </w:rPr>
        <w:t>վնասի</w:t>
      </w:r>
      <w:r w:rsidRPr="00A83C94">
        <w:rPr>
          <w:rFonts w:cs="Sylfaen"/>
          <w:b w:val="0"/>
          <w:szCs w:val="22"/>
          <w:lang w:val="af-ZA"/>
        </w:rPr>
        <w:t xml:space="preserve"> </w:t>
      </w:r>
      <w:r w:rsidRPr="00A83C94">
        <w:rPr>
          <w:rFonts w:cs="Sylfaen"/>
          <w:b w:val="0"/>
          <w:szCs w:val="22"/>
          <w:lang w:val="hy-AM"/>
        </w:rPr>
        <w:t>դիմաց</w:t>
      </w:r>
      <w:r w:rsidRPr="00A83C94">
        <w:rPr>
          <w:rFonts w:cs="Sylfaen"/>
          <w:b w:val="0"/>
          <w:szCs w:val="22"/>
          <w:lang w:val="af-ZA"/>
        </w:rPr>
        <w:t xml:space="preserve"> «</w:t>
      </w:r>
      <w:r w:rsidRPr="00A83C94">
        <w:rPr>
          <w:rFonts w:cs="Sylfaen"/>
          <w:b w:val="0"/>
          <w:szCs w:val="22"/>
          <w:lang w:val="hy-AM"/>
        </w:rPr>
        <w:t>Հարավկովկասյան</w:t>
      </w:r>
      <w:r w:rsidRPr="00A83C94">
        <w:rPr>
          <w:rFonts w:cs="Sylfaen"/>
          <w:b w:val="0"/>
          <w:szCs w:val="22"/>
          <w:lang w:val="af-ZA"/>
        </w:rPr>
        <w:t xml:space="preserve"> </w:t>
      </w:r>
      <w:r w:rsidRPr="00A83C94">
        <w:rPr>
          <w:rFonts w:cs="Sylfaen"/>
          <w:b w:val="0"/>
          <w:szCs w:val="22"/>
          <w:lang w:val="hy-AM"/>
        </w:rPr>
        <w:t>երկաթուղի</w:t>
      </w:r>
      <w:r w:rsidRPr="00A83C94">
        <w:rPr>
          <w:rFonts w:cs="Sylfaen"/>
          <w:b w:val="0"/>
          <w:szCs w:val="22"/>
          <w:lang w:val="af-ZA"/>
        </w:rPr>
        <w:t xml:space="preserve">» </w:t>
      </w:r>
      <w:r w:rsidRPr="00A83C94">
        <w:rPr>
          <w:rFonts w:cs="Sylfaen"/>
          <w:b w:val="0"/>
          <w:szCs w:val="22"/>
          <w:lang w:val="hy-AM"/>
        </w:rPr>
        <w:t>ՓԲԸ</w:t>
      </w:r>
      <w:r w:rsidRPr="00A83C94">
        <w:rPr>
          <w:rFonts w:cs="Sylfaen"/>
          <w:b w:val="0"/>
          <w:szCs w:val="22"/>
          <w:lang w:val="af-ZA"/>
        </w:rPr>
        <w:t>-</w:t>
      </w:r>
      <w:r w:rsidRPr="00A83C94">
        <w:rPr>
          <w:rFonts w:cs="Sylfaen"/>
          <w:b w:val="0"/>
          <w:szCs w:val="22"/>
          <w:lang w:val="hy-AM"/>
        </w:rPr>
        <w:t>ին</w:t>
      </w:r>
      <w:r w:rsidRPr="00A83C94">
        <w:rPr>
          <w:rFonts w:cs="Sylfaen"/>
          <w:b w:val="0"/>
          <w:szCs w:val="22"/>
          <w:lang w:val="af-ZA"/>
        </w:rPr>
        <w:t xml:space="preserve"> </w:t>
      </w:r>
      <w:r w:rsidRPr="00A83C94">
        <w:rPr>
          <w:rFonts w:cs="Sylfaen"/>
          <w:b w:val="0"/>
          <w:szCs w:val="22"/>
          <w:lang w:val="hy-AM"/>
        </w:rPr>
        <w:t>սուբսիդիայի</w:t>
      </w:r>
      <w:r w:rsidRPr="00A83C94">
        <w:rPr>
          <w:rFonts w:cs="Sylfaen"/>
          <w:b w:val="0"/>
          <w:szCs w:val="22"/>
          <w:lang w:val="af-ZA"/>
        </w:rPr>
        <w:t xml:space="preserve"> </w:t>
      </w:r>
      <w:r w:rsidRPr="00A83C94">
        <w:rPr>
          <w:rFonts w:cs="Sylfaen"/>
          <w:b w:val="0"/>
          <w:szCs w:val="22"/>
          <w:lang w:val="hy-AM"/>
        </w:rPr>
        <w:t>տրամադրման</w:t>
      </w:r>
      <w:r w:rsidRPr="00A83C94">
        <w:rPr>
          <w:rFonts w:cs="Sylfaen"/>
          <w:b w:val="0"/>
          <w:szCs w:val="22"/>
          <w:lang w:val="af-ZA"/>
        </w:rPr>
        <w:t xml:space="preserve"> </w:t>
      </w:r>
      <w:r w:rsidRPr="00A83C94">
        <w:rPr>
          <w:rFonts w:cs="Sylfaen"/>
          <w:b w:val="0"/>
          <w:szCs w:val="22"/>
          <w:lang w:val="hy-AM"/>
        </w:rPr>
        <w:t>համար</w:t>
      </w:r>
      <w:r w:rsidRPr="00A83C94">
        <w:rPr>
          <w:rFonts w:cs="Sylfaen"/>
          <w:b w:val="0"/>
          <w:szCs w:val="22"/>
          <w:lang w:val="af-ZA"/>
        </w:rPr>
        <w:t xml:space="preserve"> </w:t>
      </w:r>
      <w:r w:rsidRPr="00A83C94">
        <w:rPr>
          <w:rFonts w:cs="Sylfaen"/>
          <w:b w:val="0"/>
          <w:szCs w:val="22"/>
          <w:lang w:val="hy-AM"/>
        </w:rPr>
        <w:t>նախատեսվում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2022 </w:t>
      </w:r>
      <w:r w:rsidRPr="00A83C94">
        <w:rPr>
          <w:rFonts w:cs="Sylfaen"/>
          <w:b w:val="0"/>
          <w:szCs w:val="22"/>
          <w:lang w:val="hy-AM"/>
        </w:rPr>
        <w:t>թվականին</w:t>
      </w:r>
      <w:r w:rsidRPr="00A83C94">
        <w:rPr>
          <w:rFonts w:cs="Sylfaen"/>
          <w:b w:val="0"/>
          <w:szCs w:val="22"/>
          <w:lang w:val="af-ZA"/>
        </w:rPr>
        <w:t xml:space="preserve"> </w:t>
      </w:r>
      <w:r w:rsidRPr="00A83C94">
        <w:rPr>
          <w:rFonts w:cs="Sylfaen"/>
          <w:b w:val="0"/>
          <w:szCs w:val="22"/>
          <w:lang w:val="hy-AM"/>
        </w:rPr>
        <w:t>հատկացնել</w:t>
      </w:r>
      <w:r w:rsidRPr="00A83C94">
        <w:rPr>
          <w:rFonts w:cs="Sylfaen"/>
          <w:b w:val="0"/>
          <w:szCs w:val="22"/>
          <w:lang w:val="af-ZA"/>
        </w:rPr>
        <w:t xml:space="preserve"> 423.0 </w:t>
      </w:r>
      <w:r w:rsidRPr="00A83C94">
        <w:rPr>
          <w:rFonts w:cs="Sylfaen"/>
          <w:b w:val="0"/>
          <w:szCs w:val="22"/>
          <w:lang w:val="hy-AM"/>
        </w:rPr>
        <w:t>մլն</w:t>
      </w:r>
      <w:r w:rsidRPr="00A83C94">
        <w:rPr>
          <w:rFonts w:cs="Sylfaen"/>
          <w:b w:val="0"/>
          <w:szCs w:val="22"/>
          <w:lang w:val="af-ZA"/>
        </w:rPr>
        <w:t xml:space="preserve"> </w:t>
      </w:r>
      <w:r w:rsidRPr="00A83C94">
        <w:rPr>
          <w:rFonts w:cs="Sylfaen"/>
          <w:b w:val="0"/>
          <w:szCs w:val="22"/>
          <w:lang w:val="hy-AM"/>
        </w:rPr>
        <w:t>դրամ:</w:t>
      </w:r>
    </w:p>
    <w:p w14:paraId="752A6417" w14:textId="77777777" w:rsidR="0023176E" w:rsidRPr="00A83C94" w:rsidRDefault="0023176E" w:rsidP="0023176E">
      <w:pPr>
        <w:widowControl w:val="0"/>
        <w:spacing w:line="276" w:lineRule="auto"/>
        <w:rPr>
          <w:rFonts w:cs="Sylfaen"/>
          <w:b w:val="0"/>
          <w:szCs w:val="22"/>
          <w:lang w:val="af-ZA"/>
        </w:rPr>
      </w:pPr>
      <w:r w:rsidRPr="00A83C94">
        <w:rPr>
          <w:rFonts w:cs="Sylfaen"/>
          <w:b w:val="0"/>
          <w:szCs w:val="22"/>
          <w:lang w:val="hy-AM"/>
        </w:rPr>
        <w:t>Միջոցառման</w:t>
      </w:r>
      <w:r w:rsidRPr="00A83C94">
        <w:rPr>
          <w:rFonts w:cs="Sylfaen"/>
          <w:b w:val="0"/>
          <w:szCs w:val="22"/>
          <w:lang w:val="af-ZA"/>
        </w:rPr>
        <w:t xml:space="preserve"> </w:t>
      </w:r>
      <w:r w:rsidRPr="00A83C94">
        <w:rPr>
          <w:rFonts w:cs="Sylfaen"/>
          <w:b w:val="0"/>
          <w:szCs w:val="22"/>
          <w:lang w:val="hy-AM"/>
        </w:rPr>
        <w:t>նպատակն</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ՀՀ</w:t>
      </w:r>
      <w:r w:rsidRPr="00A83C94">
        <w:rPr>
          <w:rFonts w:cs="Sylfaen"/>
          <w:b w:val="0"/>
          <w:szCs w:val="22"/>
          <w:lang w:val="af-ZA"/>
        </w:rPr>
        <w:t xml:space="preserve"> </w:t>
      </w:r>
      <w:r w:rsidRPr="00A83C94">
        <w:rPr>
          <w:rFonts w:cs="Sylfaen"/>
          <w:b w:val="0"/>
          <w:szCs w:val="22"/>
          <w:lang w:val="hy-AM"/>
        </w:rPr>
        <w:t>կառավարության</w:t>
      </w:r>
      <w:r w:rsidRPr="00A83C94">
        <w:rPr>
          <w:rFonts w:cs="Sylfaen"/>
          <w:b w:val="0"/>
          <w:szCs w:val="22"/>
          <w:lang w:val="af-ZA"/>
        </w:rPr>
        <w:t xml:space="preserve"> 07.02.2008</w:t>
      </w:r>
      <w:r w:rsidRPr="00A83C94">
        <w:rPr>
          <w:rFonts w:cs="Sylfaen"/>
          <w:b w:val="0"/>
          <w:szCs w:val="22"/>
          <w:lang w:val="hy-AM"/>
        </w:rPr>
        <w:t>թ</w:t>
      </w:r>
      <w:r w:rsidRPr="00A83C94">
        <w:rPr>
          <w:rFonts w:cs="Sylfaen"/>
          <w:b w:val="0"/>
          <w:szCs w:val="22"/>
          <w:lang w:val="af-ZA"/>
        </w:rPr>
        <w:t>. N 83-</w:t>
      </w:r>
      <w:r w:rsidRPr="00A83C94">
        <w:rPr>
          <w:rFonts w:cs="Sylfaen"/>
          <w:b w:val="0"/>
          <w:szCs w:val="22"/>
          <w:lang w:val="hy-AM"/>
        </w:rPr>
        <w:t>Ա</w:t>
      </w:r>
      <w:r w:rsidRPr="00A83C94">
        <w:rPr>
          <w:rFonts w:cs="Sylfaen"/>
          <w:b w:val="0"/>
          <w:szCs w:val="22"/>
          <w:lang w:val="af-ZA"/>
        </w:rPr>
        <w:t xml:space="preserve"> </w:t>
      </w:r>
      <w:r w:rsidRPr="00A83C94">
        <w:rPr>
          <w:rFonts w:cs="Sylfaen"/>
          <w:b w:val="0"/>
          <w:szCs w:val="22"/>
          <w:lang w:val="hy-AM"/>
        </w:rPr>
        <w:t>որոշմամբ</w:t>
      </w:r>
      <w:r w:rsidRPr="00A83C94">
        <w:rPr>
          <w:rFonts w:cs="Sylfaen"/>
          <w:b w:val="0"/>
          <w:szCs w:val="22"/>
          <w:lang w:val="af-ZA"/>
        </w:rPr>
        <w:t xml:space="preserve"> </w:t>
      </w:r>
      <w:r w:rsidRPr="00A83C94">
        <w:rPr>
          <w:rFonts w:cs="Sylfaen"/>
          <w:b w:val="0"/>
          <w:szCs w:val="22"/>
          <w:lang w:val="hy-AM"/>
        </w:rPr>
        <w:t>հաս</w:t>
      </w:r>
      <w:r w:rsidRPr="00A83C94">
        <w:rPr>
          <w:rFonts w:cs="Sylfaen"/>
          <w:b w:val="0"/>
          <w:szCs w:val="22"/>
          <w:lang w:val="af-ZA"/>
        </w:rPr>
        <w:softHyphen/>
      </w:r>
      <w:r w:rsidRPr="00A83C94">
        <w:rPr>
          <w:rFonts w:cs="Sylfaen"/>
          <w:b w:val="0"/>
          <w:szCs w:val="22"/>
          <w:lang w:val="hy-AM"/>
        </w:rPr>
        <w:t>տատված</w:t>
      </w:r>
      <w:r w:rsidRPr="00A83C94">
        <w:rPr>
          <w:rFonts w:cs="Sylfaen"/>
          <w:b w:val="0"/>
          <w:szCs w:val="22"/>
          <w:lang w:val="af-ZA"/>
        </w:rPr>
        <w:t xml:space="preserve"> </w:t>
      </w:r>
      <w:r w:rsidRPr="00A83C94">
        <w:rPr>
          <w:rFonts w:cs="Sylfaen"/>
          <w:b w:val="0"/>
          <w:szCs w:val="22"/>
          <w:lang w:val="hy-AM"/>
        </w:rPr>
        <w:t>Կոնցեսիոն</w:t>
      </w:r>
      <w:r w:rsidRPr="00A83C94">
        <w:rPr>
          <w:rFonts w:cs="Sylfaen"/>
          <w:b w:val="0"/>
          <w:szCs w:val="22"/>
          <w:lang w:val="af-ZA"/>
        </w:rPr>
        <w:t xml:space="preserve"> </w:t>
      </w:r>
      <w:r w:rsidRPr="00A83C94">
        <w:rPr>
          <w:rFonts w:cs="Sylfaen"/>
          <w:b w:val="0"/>
          <w:szCs w:val="22"/>
          <w:lang w:val="hy-AM"/>
        </w:rPr>
        <w:t>պայմա</w:t>
      </w:r>
      <w:r w:rsidRPr="00A83C94">
        <w:rPr>
          <w:rFonts w:cs="Sylfaen"/>
          <w:b w:val="0"/>
          <w:szCs w:val="22"/>
          <w:lang w:val="af-ZA"/>
        </w:rPr>
        <w:softHyphen/>
      </w:r>
      <w:r w:rsidRPr="00A83C94">
        <w:rPr>
          <w:rFonts w:cs="Sylfaen"/>
          <w:b w:val="0"/>
          <w:szCs w:val="22"/>
          <w:lang w:val="hy-AM"/>
        </w:rPr>
        <w:t>նագրի</w:t>
      </w:r>
      <w:r w:rsidRPr="00A83C94">
        <w:rPr>
          <w:rFonts w:cs="Sylfaen"/>
          <w:b w:val="0"/>
          <w:szCs w:val="22"/>
          <w:lang w:val="af-ZA"/>
        </w:rPr>
        <w:t xml:space="preserve"> </w:t>
      </w:r>
      <w:r w:rsidRPr="00A83C94">
        <w:rPr>
          <w:rFonts w:cs="Sylfaen"/>
          <w:b w:val="0"/>
          <w:szCs w:val="22"/>
          <w:lang w:val="hy-AM"/>
        </w:rPr>
        <w:t>համաձայն</w:t>
      </w:r>
      <w:r w:rsidRPr="00A83C94">
        <w:rPr>
          <w:rFonts w:cs="Sylfaen"/>
          <w:b w:val="0"/>
          <w:szCs w:val="22"/>
          <w:lang w:val="af-ZA"/>
        </w:rPr>
        <w:t xml:space="preserve"> </w:t>
      </w:r>
      <w:r w:rsidRPr="00A83C94">
        <w:rPr>
          <w:rFonts w:cs="Sylfaen"/>
          <w:b w:val="0"/>
          <w:szCs w:val="22"/>
          <w:lang w:val="hy-AM"/>
        </w:rPr>
        <w:t>մասնակի սուբսիդավորել</w:t>
      </w:r>
      <w:r w:rsidRPr="00A83C94">
        <w:rPr>
          <w:rFonts w:cs="Sylfaen"/>
          <w:b w:val="0"/>
          <w:szCs w:val="22"/>
          <w:lang w:val="af-ZA"/>
        </w:rPr>
        <w:t xml:space="preserve"> (</w:t>
      </w:r>
      <w:r w:rsidRPr="00A83C94">
        <w:rPr>
          <w:rFonts w:cs="Sylfaen"/>
          <w:b w:val="0"/>
          <w:szCs w:val="22"/>
          <w:lang w:val="hy-AM"/>
        </w:rPr>
        <w:t xml:space="preserve">2022 թվականին՝ </w:t>
      </w:r>
      <w:r w:rsidRPr="00A83C94">
        <w:rPr>
          <w:rFonts w:cs="Sylfaen"/>
          <w:b w:val="0"/>
          <w:szCs w:val="22"/>
          <w:lang w:val="af-ZA"/>
        </w:rPr>
        <w:t>30%)</w:t>
      </w:r>
      <w:r w:rsidRPr="00A83C94">
        <w:rPr>
          <w:rFonts w:cs="Sylfaen"/>
          <w:b w:val="0"/>
          <w:szCs w:val="22"/>
          <w:lang w:val="hy-AM"/>
        </w:rPr>
        <w:t xml:space="preserve"> համաձայնեցված</w:t>
      </w:r>
      <w:r w:rsidRPr="00A83C94">
        <w:rPr>
          <w:rFonts w:cs="Sylfaen"/>
          <w:b w:val="0"/>
          <w:szCs w:val="22"/>
          <w:lang w:val="af-ZA"/>
        </w:rPr>
        <w:t xml:space="preserve"> </w:t>
      </w:r>
      <w:r w:rsidRPr="00A83C94">
        <w:rPr>
          <w:rFonts w:cs="Sylfaen"/>
          <w:b w:val="0"/>
          <w:szCs w:val="22"/>
          <w:lang w:val="hy-AM"/>
        </w:rPr>
        <w:t>ծավալներով</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ուղղու</w:t>
      </w:r>
      <w:r w:rsidRPr="00A83C94">
        <w:rPr>
          <w:rFonts w:cs="Sylfaen"/>
          <w:b w:val="0"/>
          <w:szCs w:val="22"/>
          <w:lang w:val="af-ZA"/>
        </w:rPr>
        <w:softHyphen/>
      </w:r>
      <w:r w:rsidRPr="00A83C94">
        <w:rPr>
          <w:rFonts w:cs="Sylfaen"/>
          <w:b w:val="0"/>
          <w:szCs w:val="22"/>
          <w:lang w:val="hy-AM"/>
        </w:rPr>
        <w:t>թյուն</w:t>
      </w:r>
      <w:r w:rsidRPr="00A83C94">
        <w:rPr>
          <w:rFonts w:cs="Sylfaen"/>
          <w:b w:val="0"/>
          <w:szCs w:val="22"/>
          <w:lang w:val="af-ZA"/>
        </w:rPr>
        <w:softHyphen/>
      </w:r>
      <w:r w:rsidRPr="00A83C94">
        <w:rPr>
          <w:rFonts w:cs="Sylfaen"/>
          <w:b w:val="0"/>
          <w:szCs w:val="22"/>
          <w:lang w:val="hy-AM"/>
        </w:rPr>
        <w:t>ներով</w:t>
      </w:r>
      <w:r w:rsidRPr="00A83C94">
        <w:rPr>
          <w:rFonts w:cs="Sylfaen"/>
          <w:b w:val="0"/>
          <w:szCs w:val="22"/>
          <w:lang w:val="af-ZA"/>
        </w:rPr>
        <w:t xml:space="preserve"> </w:t>
      </w:r>
      <w:r w:rsidRPr="00A83C94">
        <w:rPr>
          <w:rFonts w:cs="Sylfaen"/>
          <w:b w:val="0"/>
          <w:szCs w:val="22"/>
          <w:lang w:val="hy-AM"/>
        </w:rPr>
        <w:t>ուղևորափոխադրումներից</w:t>
      </w:r>
      <w:r w:rsidRPr="00A83C94">
        <w:rPr>
          <w:rFonts w:cs="Sylfaen"/>
          <w:b w:val="0"/>
          <w:szCs w:val="22"/>
          <w:lang w:val="af-ZA"/>
        </w:rPr>
        <w:t xml:space="preserve"> «</w:t>
      </w:r>
      <w:r w:rsidRPr="00A83C94">
        <w:rPr>
          <w:rFonts w:cs="Sylfaen"/>
          <w:b w:val="0"/>
          <w:szCs w:val="22"/>
          <w:lang w:val="hy-AM"/>
        </w:rPr>
        <w:t>Հարավկով</w:t>
      </w:r>
      <w:r w:rsidRPr="00A83C94">
        <w:rPr>
          <w:rFonts w:cs="Sylfaen"/>
          <w:b w:val="0"/>
          <w:szCs w:val="22"/>
          <w:lang w:val="af-ZA"/>
        </w:rPr>
        <w:softHyphen/>
      </w:r>
      <w:r w:rsidRPr="00A83C94">
        <w:rPr>
          <w:rFonts w:cs="Sylfaen"/>
          <w:b w:val="0"/>
          <w:szCs w:val="22"/>
          <w:lang w:val="hy-AM"/>
        </w:rPr>
        <w:t>կասյան</w:t>
      </w:r>
      <w:r w:rsidRPr="00A83C94">
        <w:rPr>
          <w:rFonts w:cs="Sylfaen"/>
          <w:b w:val="0"/>
          <w:szCs w:val="22"/>
          <w:lang w:val="af-ZA"/>
        </w:rPr>
        <w:t xml:space="preserve"> </w:t>
      </w:r>
      <w:r w:rsidRPr="00A83C94">
        <w:rPr>
          <w:rFonts w:cs="Sylfaen"/>
          <w:b w:val="0"/>
          <w:szCs w:val="22"/>
          <w:lang w:val="hy-AM"/>
        </w:rPr>
        <w:t>երկաթուղի</w:t>
      </w:r>
      <w:r w:rsidRPr="00A83C94">
        <w:rPr>
          <w:rFonts w:cs="Sylfaen"/>
          <w:b w:val="0"/>
          <w:szCs w:val="22"/>
          <w:lang w:val="af-ZA"/>
        </w:rPr>
        <w:t xml:space="preserve">» </w:t>
      </w:r>
      <w:r w:rsidRPr="00A83C94">
        <w:rPr>
          <w:rFonts w:cs="Sylfaen"/>
          <w:b w:val="0"/>
          <w:szCs w:val="22"/>
          <w:lang w:val="hy-AM"/>
        </w:rPr>
        <w:t>ՓԲԸ</w:t>
      </w:r>
      <w:r w:rsidRPr="00A83C94">
        <w:rPr>
          <w:rFonts w:cs="Sylfaen"/>
          <w:b w:val="0"/>
          <w:szCs w:val="22"/>
          <w:lang w:val="af-ZA"/>
        </w:rPr>
        <w:t>-</w:t>
      </w:r>
      <w:r w:rsidRPr="00A83C94">
        <w:rPr>
          <w:rFonts w:cs="Sylfaen"/>
          <w:b w:val="0"/>
          <w:szCs w:val="22"/>
          <w:lang w:val="hy-AM"/>
        </w:rPr>
        <w:t>ի</w:t>
      </w:r>
      <w:r w:rsidRPr="00A83C94">
        <w:rPr>
          <w:rFonts w:cs="Sylfaen"/>
          <w:b w:val="0"/>
          <w:szCs w:val="22"/>
          <w:lang w:val="af-ZA"/>
        </w:rPr>
        <w:t xml:space="preserve"> </w:t>
      </w:r>
      <w:r w:rsidRPr="00A83C94">
        <w:rPr>
          <w:rFonts w:cs="Sylfaen"/>
          <w:b w:val="0"/>
          <w:szCs w:val="22"/>
          <w:lang w:val="hy-AM"/>
        </w:rPr>
        <w:t>նախորդ</w:t>
      </w:r>
      <w:r w:rsidRPr="00A83C94">
        <w:rPr>
          <w:rFonts w:cs="Sylfaen"/>
          <w:b w:val="0"/>
          <w:szCs w:val="22"/>
          <w:lang w:val="af-ZA"/>
        </w:rPr>
        <w:t xml:space="preserve"> </w:t>
      </w:r>
      <w:r w:rsidRPr="00A83C94">
        <w:rPr>
          <w:rFonts w:cs="Sylfaen"/>
          <w:b w:val="0"/>
          <w:szCs w:val="22"/>
          <w:lang w:val="hy-AM"/>
        </w:rPr>
        <w:t>տարվա</w:t>
      </w:r>
      <w:r w:rsidRPr="00A83C94">
        <w:rPr>
          <w:rFonts w:cs="Sylfaen"/>
          <w:b w:val="0"/>
          <w:szCs w:val="22"/>
          <w:lang w:val="af-ZA"/>
        </w:rPr>
        <w:t xml:space="preserve"> </w:t>
      </w:r>
      <w:r w:rsidRPr="00A83C94">
        <w:rPr>
          <w:rFonts w:cs="Sylfaen"/>
          <w:b w:val="0"/>
          <w:szCs w:val="22"/>
          <w:lang w:val="hy-AM"/>
        </w:rPr>
        <w:t>արդյունքներով</w:t>
      </w:r>
      <w:r w:rsidRPr="00A83C94">
        <w:rPr>
          <w:rFonts w:cs="Sylfaen"/>
          <w:b w:val="0"/>
          <w:szCs w:val="22"/>
          <w:lang w:val="af-ZA"/>
        </w:rPr>
        <w:t xml:space="preserve"> </w:t>
      </w:r>
      <w:r w:rsidRPr="00A83C94">
        <w:rPr>
          <w:rFonts w:cs="Sylfaen"/>
          <w:b w:val="0"/>
          <w:szCs w:val="22"/>
          <w:lang w:val="hy-AM"/>
        </w:rPr>
        <w:t>առաջացած</w:t>
      </w:r>
      <w:r w:rsidRPr="00A83C94">
        <w:rPr>
          <w:rFonts w:cs="Sylfaen"/>
          <w:b w:val="0"/>
          <w:szCs w:val="22"/>
          <w:lang w:val="af-ZA"/>
        </w:rPr>
        <w:t xml:space="preserve"> </w:t>
      </w:r>
      <w:r w:rsidRPr="00A83C94">
        <w:rPr>
          <w:rFonts w:cs="Sylfaen"/>
          <w:b w:val="0"/>
          <w:szCs w:val="22"/>
          <w:lang w:val="hy-AM"/>
        </w:rPr>
        <w:t>տարեկան</w:t>
      </w:r>
      <w:r w:rsidRPr="00A83C94">
        <w:rPr>
          <w:rFonts w:cs="Sylfaen"/>
          <w:b w:val="0"/>
          <w:szCs w:val="22"/>
          <w:lang w:val="af-ZA"/>
        </w:rPr>
        <w:t xml:space="preserve"> </w:t>
      </w:r>
      <w:r w:rsidRPr="00A83C94">
        <w:rPr>
          <w:rFonts w:cs="Sylfaen"/>
          <w:b w:val="0"/>
          <w:szCs w:val="22"/>
          <w:lang w:val="hy-AM"/>
        </w:rPr>
        <w:t>վնասը (ՀՀ</w:t>
      </w:r>
      <w:r w:rsidRPr="00A83C94">
        <w:rPr>
          <w:rFonts w:cs="Sylfaen"/>
          <w:b w:val="0"/>
          <w:szCs w:val="22"/>
          <w:lang w:val="af-ZA"/>
        </w:rPr>
        <w:t xml:space="preserve"> </w:t>
      </w:r>
      <w:r w:rsidRPr="00A83C94">
        <w:rPr>
          <w:rFonts w:cs="Sylfaen"/>
          <w:b w:val="0"/>
          <w:szCs w:val="22"/>
          <w:lang w:val="hy-AM"/>
        </w:rPr>
        <w:t>կառավարության</w:t>
      </w:r>
      <w:r w:rsidRPr="00A83C94">
        <w:rPr>
          <w:rFonts w:cs="Sylfaen"/>
          <w:b w:val="0"/>
          <w:szCs w:val="22"/>
          <w:lang w:val="af-ZA"/>
        </w:rPr>
        <w:t xml:space="preserve"> 07.02.2008</w:t>
      </w:r>
      <w:r w:rsidRPr="00A83C94">
        <w:rPr>
          <w:rFonts w:cs="Sylfaen"/>
          <w:b w:val="0"/>
          <w:szCs w:val="22"/>
          <w:lang w:val="hy-AM"/>
        </w:rPr>
        <w:t>թ</w:t>
      </w:r>
      <w:r w:rsidRPr="00A83C94">
        <w:rPr>
          <w:rFonts w:cs="Sylfaen"/>
          <w:b w:val="0"/>
          <w:szCs w:val="22"/>
          <w:lang w:val="af-ZA"/>
        </w:rPr>
        <w:t xml:space="preserve"> N 83-</w:t>
      </w:r>
      <w:r w:rsidRPr="00A83C94">
        <w:rPr>
          <w:rFonts w:cs="Sylfaen"/>
          <w:b w:val="0"/>
          <w:szCs w:val="22"/>
          <w:lang w:val="hy-AM"/>
        </w:rPr>
        <w:t>Ա</w:t>
      </w:r>
      <w:r w:rsidRPr="00A83C94">
        <w:rPr>
          <w:rFonts w:cs="Sylfaen"/>
          <w:b w:val="0"/>
          <w:szCs w:val="22"/>
          <w:lang w:val="af-ZA"/>
        </w:rPr>
        <w:t xml:space="preserve"> </w:t>
      </w:r>
      <w:r w:rsidRPr="00A83C94">
        <w:rPr>
          <w:rFonts w:cs="Sylfaen"/>
          <w:b w:val="0"/>
          <w:szCs w:val="22"/>
          <w:lang w:val="hy-AM"/>
        </w:rPr>
        <w:t>որոշումից բխող՝</w:t>
      </w:r>
      <w:r w:rsidRPr="00A83C94">
        <w:rPr>
          <w:rFonts w:cs="Sylfaen"/>
          <w:b w:val="0"/>
          <w:szCs w:val="22"/>
          <w:lang w:val="af-ZA"/>
        </w:rPr>
        <w:t xml:space="preserve"> </w:t>
      </w:r>
      <w:r w:rsidRPr="00A83C94">
        <w:rPr>
          <w:rFonts w:cs="Sylfaen"/>
          <w:b w:val="0"/>
          <w:szCs w:val="22"/>
          <w:lang w:val="hy-AM"/>
        </w:rPr>
        <w:t>կոնցեսիոների</w:t>
      </w:r>
      <w:r w:rsidRPr="00A83C94">
        <w:rPr>
          <w:rFonts w:cs="Sylfaen"/>
          <w:b w:val="0"/>
          <w:szCs w:val="22"/>
          <w:lang w:val="af-ZA"/>
        </w:rPr>
        <w:t xml:space="preserve"> </w:t>
      </w:r>
      <w:r w:rsidRPr="00A83C94">
        <w:rPr>
          <w:rFonts w:cs="Sylfaen"/>
          <w:b w:val="0"/>
          <w:szCs w:val="22"/>
          <w:lang w:val="hy-AM"/>
        </w:rPr>
        <w:t>կողմից</w:t>
      </w:r>
      <w:r w:rsidRPr="00A83C94">
        <w:rPr>
          <w:rFonts w:cs="Sylfaen"/>
          <w:b w:val="0"/>
          <w:szCs w:val="22"/>
          <w:lang w:val="af-ZA"/>
        </w:rPr>
        <w:t xml:space="preserve"> </w:t>
      </w:r>
      <w:r w:rsidRPr="00A83C94">
        <w:rPr>
          <w:rFonts w:cs="Sylfaen"/>
          <w:b w:val="0"/>
          <w:szCs w:val="22"/>
          <w:lang w:val="hy-AM"/>
        </w:rPr>
        <w:t>կանխատեսվող</w:t>
      </w:r>
      <w:r w:rsidRPr="00A83C94">
        <w:rPr>
          <w:rFonts w:cs="Sylfaen"/>
          <w:b w:val="0"/>
          <w:szCs w:val="22"/>
          <w:lang w:val="af-ZA"/>
        </w:rPr>
        <w:t xml:space="preserve"> </w:t>
      </w:r>
      <w:r w:rsidRPr="00A83C94">
        <w:rPr>
          <w:rFonts w:cs="Sylfaen"/>
          <w:b w:val="0"/>
          <w:szCs w:val="22"/>
          <w:lang w:val="hy-AM"/>
        </w:rPr>
        <w:t>կոնցեսիոն</w:t>
      </w:r>
      <w:r w:rsidRPr="00A83C94">
        <w:rPr>
          <w:rFonts w:cs="Sylfaen"/>
          <w:b w:val="0"/>
          <w:szCs w:val="22"/>
          <w:lang w:val="af-ZA"/>
        </w:rPr>
        <w:t xml:space="preserve"> </w:t>
      </w:r>
      <w:r w:rsidRPr="00A83C94">
        <w:rPr>
          <w:rFonts w:cs="Sylfaen"/>
          <w:b w:val="0"/>
          <w:szCs w:val="22"/>
          <w:lang w:val="hy-AM"/>
        </w:rPr>
        <w:t>տարեկան</w:t>
      </w:r>
      <w:r w:rsidRPr="00A83C94">
        <w:rPr>
          <w:rFonts w:cs="Sylfaen"/>
          <w:b w:val="0"/>
          <w:szCs w:val="22"/>
          <w:lang w:val="af-ZA"/>
        </w:rPr>
        <w:t xml:space="preserve"> </w:t>
      </w:r>
      <w:r w:rsidRPr="00A83C94">
        <w:rPr>
          <w:rFonts w:cs="Sylfaen"/>
          <w:b w:val="0"/>
          <w:szCs w:val="22"/>
          <w:lang w:val="hy-AM"/>
        </w:rPr>
        <w:t>վճարի</w:t>
      </w:r>
      <w:r w:rsidRPr="00A83C94">
        <w:rPr>
          <w:rFonts w:cs="Sylfaen"/>
          <w:b w:val="0"/>
          <w:szCs w:val="22"/>
          <w:lang w:val="af-ZA"/>
        </w:rPr>
        <w:t xml:space="preserve"> </w:t>
      </w:r>
      <w:r w:rsidRPr="00A83C94">
        <w:rPr>
          <w:rFonts w:cs="Sylfaen"/>
          <w:b w:val="0"/>
          <w:szCs w:val="22"/>
          <w:lang w:val="hy-AM"/>
        </w:rPr>
        <w:t>չափով)</w:t>
      </w:r>
      <w:r w:rsidRPr="00A83C94">
        <w:rPr>
          <w:rFonts w:cs="Sylfaen"/>
          <w:b w:val="0"/>
          <w:szCs w:val="22"/>
          <w:lang w:val="af-ZA"/>
        </w:rPr>
        <w:t xml:space="preserve">: </w:t>
      </w:r>
    </w:p>
    <w:p w14:paraId="764EB253" w14:textId="77777777" w:rsidR="0023176E" w:rsidRPr="00A83C94" w:rsidRDefault="0023176E" w:rsidP="0023176E">
      <w:pPr>
        <w:widowControl w:val="0"/>
        <w:spacing w:line="276" w:lineRule="auto"/>
        <w:rPr>
          <w:rFonts w:cs="Sylfaen"/>
          <w:b w:val="0"/>
          <w:lang w:val="hy-AM"/>
        </w:rPr>
      </w:pPr>
      <w:r w:rsidRPr="00A83C94">
        <w:rPr>
          <w:rFonts w:cs="Sylfaen"/>
          <w:szCs w:val="22"/>
        </w:rPr>
        <w:t>Պետական</w:t>
      </w:r>
      <w:r w:rsidRPr="00A83C94">
        <w:rPr>
          <w:rFonts w:cs="Sylfaen"/>
          <w:szCs w:val="22"/>
          <w:lang w:val="af-ZA"/>
        </w:rPr>
        <w:t xml:space="preserve"> </w:t>
      </w:r>
      <w:r w:rsidRPr="00A83C94">
        <w:rPr>
          <w:rFonts w:cs="Sylfaen"/>
          <w:szCs w:val="22"/>
        </w:rPr>
        <w:t>գույքի</w:t>
      </w:r>
      <w:r w:rsidRPr="00A83C94">
        <w:rPr>
          <w:rFonts w:cs="Sylfaen"/>
          <w:szCs w:val="22"/>
          <w:lang w:val="af-ZA"/>
        </w:rPr>
        <w:t xml:space="preserve"> </w:t>
      </w:r>
      <w:r w:rsidRPr="00A83C94">
        <w:rPr>
          <w:rFonts w:cs="Sylfaen"/>
          <w:szCs w:val="22"/>
        </w:rPr>
        <w:t>կառավարում</w:t>
      </w:r>
      <w:r w:rsidRPr="00A83C94">
        <w:rPr>
          <w:rFonts w:cs="Sylfaen"/>
          <w:szCs w:val="22"/>
          <w:lang w:val="af-ZA"/>
        </w:rPr>
        <w:t xml:space="preserve"> </w:t>
      </w:r>
      <w:r w:rsidRPr="00A83C94">
        <w:rPr>
          <w:rFonts w:cs="Sylfaen"/>
          <w:b w:val="0"/>
          <w:szCs w:val="22"/>
        </w:rPr>
        <w:t>ծրագրի</w:t>
      </w:r>
      <w:r w:rsidRPr="00A83C94">
        <w:rPr>
          <w:rFonts w:cs="Sylfaen"/>
          <w:b w:val="0"/>
          <w:szCs w:val="22"/>
          <w:lang w:val="af-ZA"/>
        </w:rPr>
        <w:t xml:space="preserve"> </w:t>
      </w:r>
      <w:r w:rsidRPr="00A83C94">
        <w:rPr>
          <w:rFonts w:cs="Sylfaen"/>
          <w:b w:val="0"/>
          <w:lang w:val="hy-AM"/>
        </w:rPr>
        <w:t>գծով  2022 թվականին  նախատեսվել է.</w:t>
      </w:r>
    </w:p>
    <w:p w14:paraId="441C109D" w14:textId="77777777" w:rsidR="0023176E" w:rsidRPr="00A83C94" w:rsidRDefault="0023176E" w:rsidP="0023176E">
      <w:pPr>
        <w:widowControl w:val="0"/>
        <w:spacing w:line="276" w:lineRule="auto"/>
        <w:rPr>
          <w:rFonts w:cs="Sylfaen"/>
          <w:b w:val="0"/>
          <w:szCs w:val="22"/>
          <w:lang w:val="af-ZA"/>
        </w:rPr>
      </w:pPr>
      <w:r w:rsidRPr="00A83C94">
        <w:rPr>
          <w:rFonts w:cs="Sylfaen"/>
          <w:b w:val="0"/>
          <w:lang w:val="hy-AM"/>
        </w:rPr>
        <w:t xml:space="preserve">440.5 </w:t>
      </w:r>
      <w:r w:rsidRPr="00A83C94">
        <w:rPr>
          <w:rFonts w:cs="GHEA Grapalat"/>
          <w:b w:val="0"/>
          <w:lang w:val="hy-AM"/>
        </w:rPr>
        <w:t>մլն</w:t>
      </w:r>
      <w:r w:rsidRPr="00A83C94">
        <w:rPr>
          <w:rFonts w:cs="Sylfaen"/>
          <w:b w:val="0"/>
          <w:lang w:val="hy-AM"/>
        </w:rPr>
        <w:t xml:space="preserve"> </w:t>
      </w:r>
      <w:r w:rsidRPr="00A83C94">
        <w:rPr>
          <w:rFonts w:cs="GHEA Grapalat"/>
          <w:b w:val="0"/>
          <w:lang w:val="hy-AM"/>
        </w:rPr>
        <w:t>դրամ՝ պ</w:t>
      </w:r>
      <w:r w:rsidRPr="00A83C94">
        <w:rPr>
          <w:rFonts w:cs="Sylfaen"/>
          <w:b w:val="0"/>
          <w:szCs w:val="22"/>
          <w:lang w:val="hy-AM"/>
        </w:rPr>
        <w:t>ետական</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հաշվառման</w:t>
      </w:r>
      <w:r w:rsidRPr="00A83C94">
        <w:rPr>
          <w:rFonts w:cs="Sylfaen"/>
          <w:b w:val="0"/>
          <w:szCs w:val="22"/>
          <w:lang w:val="af-ZA"/>
        </w:rPr>
        <w:t xml:space="preserve">, </w:t>
      </w:r>
      <w:r w:rsidRPr="00A83C94">
        <w:rPr>
          <w:rFonts w:cs="Sylfaen"/>
          <w:b w:val="0"/>
          <w:szCs w:val="22"/>
          <w:lang w:val="hy-AM"/>
        </w:rPr>
        <w:t>գույքագրման</w:t>
      </w:r>
      <w:r w:rsidRPr="00A83C94">
        <w:rPr>
          <w:rFonts w:cs="Sylfaen"/>
          <w:b w:val="0"/>
          <w:szCs w:val="22"/>
          <w:lang w:val="af-ZA"/>
        </w:rPr>
        <w:t xml:space="preserve">, </w:t>
      </w:r>
      <w:r w:rsidRPr="00A83C94">
        <w:rPr>
          <w:rFonts w:cs="Sylfaen"/>
          <w:b w:val="0"/>
          <w:szCs w:val="22"/>
          <w:lang w:val="hy-AM"/>
        </w:rPr>
        <w:t>գնահատման</w:t>
      </w:r>
      <w:r w:rsidRPr="00A83C94">
        <w:rPr>
          <w:rFonts w:cs="Sylfaen"/>
          <w:b w:val="0"/>
          <w:szCs w:val="22"/>
          <w:lang w:val="af-ZA"/>
        </w:rPr>
        <w:t xml:space="preserve">, </w:t>
      </w:r>
      <w:r w:rsidRPr="00A83C94">
        <w:rPr>
          <w:rFonts w:cs="Sylfaen"/>
          <w:b w:val="0"/>
          <w:szCs w:val="22"/>
          <w:lang w:val="hy-AM"/>
        </w:rPr>
        <w:t>անշարժ</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պահառության</w:t>
      </w:r>
      <w:r w:rsidRPr="00A83C94">
        <w:rPr>
          <w:rFonts w:cs="Sylfaen"/>
          <w:b w:val="0"/>
          <w:szCs w:val="22"/>
          <w:lang w:val="af-ZA"/>
        </w:rPr>
        <w:t xml:space="preserve">, </w:t>
      </w:r>
      <w:r w:rsidRPr="00A83C94">
        <w:rPr>
          <w:rFonts w:cs="Sylfaen"/>
          <w:b w:val="0"/>
          <w:szCs w:val="22"/>
          <w:lang w:val="hy-AM"/>
        </w:rPr>
        <w:t>սպասարկման</w:t>
      </w:r>
      <w:r w:rsidRPr="00A83C94">
        <w:rPr>
          <w:rFonts w:cs="Sylfaen"/>
          <w:b w:val="0"/>
          <w:szCs w:val="22"/>
          <w:lang w:val="af-ZA"/>
        </w:rPr>
        <w:t xml:space="preserve"> </w:t>
      </w:r>
      <w:r w:rsidRPr="00A83C94">
        <w:rPr>
          <w:rFonts w:cs="Sylfaen"/>
          <w:b w:val="0"/>
          <w:szCs w:val="22"/>
          <w:lang w:val="hy-AM"/>
        </w:rPr>
        <w:t>աշխատանքների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աճուրդների</w:t>
      </w:r>
      <w:r w:rsidRPr="00A83C94">
        <w:rPr>
          <w:rFonts w:cs="Sylfaen"/>
          <w:b w:val="0"/>
          <w:szCs w:val="22"/>
          <w:lang w:val="af-ZA"/>
        </w:rPr>
        <w:t xml:space="preserve"> </w:t>
      </w:r>
      <w:r w:rsidRPr="00A83C94">
        <w:rPr>
          <w:rFonts w:cs="Sylfaen"/>
          <w:b w:val="0"/>
          <w:szCs w:val="22"/>
          <w:lang w:val="hy-AM"/>
        </w:rPr>
        <w:t>իրականացման</w:t>
      </w:r>
      <w:r w:rsidRPr="00A83C94">
        <w:rPr>
          <w:rFonts w:cs="Sylfaen"/>
          <w:b w:val="0"/>
          <w:szCs w:val="22"/>
          <w:lang w:val="af-ZA"/>
        </w:rPr>
        <w:t xml:space="preserve"> </w:t>
      </w:r>
      <w:r w:rsidRPr="00A83C94">
        <w:rPr>
          <w:rFonts w:cs="Sylfaen"/>
          <w:b w:val="0"/>
          <w:szCs w:val="22"/>
          <w:lang w:val="hy-AM"/>
        </w:rPr>
        <w:t>ծառայությունների և պետական</w:t>
      </w:r>
      <w:r w:rsidRPr="00A83C94">
        <w:rPr>
          <w:rFonts w:cs="Sylfaen"/>
          <w:b w:val="0"/>
          <w:szCs w:val="22"/>
          <w:lang w:val="af-ZA"/>
        </w:rPr>
        <w:t xml:space="preserve"> </w:t>
      </w:r>
      <w:r w:rsidRPr="00A83C94">
        <w:rPr>
          <w:rFonts w:cs="Sylfaen"/>
          <w:b w:val="0"/>
          <w:szCs w:val="22"/>
          <w:lang w:val="hy-AM"/>
        </w:rPr>
        <w:t>մարմիններին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կազմակերպություններին</w:t>
      </w:r>
      <w:r w:rsidRPr="00A83C94">
        <w:rPr>
          <w:rFonts w:cs="Sylfaen"/>
          <w:b w:val="0"/>
          <w:szCs w:val="22"/>
          <w:lang w:val="af-ZA"/>
        </w:rPr>
        <w:t xml:space="preserve"> </w:t>
      </w:r>
      <w:r w:rsidRPr="00A83C94">
        <w:rPr>
          <w:rFonts w:cs="Sylfaen"/>
          <w:b w:val="0"/>
          <w:szCs w:val="22"/>
          <w:lang w:val="hy-AM"/>
        </w:rPr>
        <w:t>ամրացված՝</w:t>
      </w:r>
      <w:r w:rsidRPr="00A83C94">
        <w:rPr>
          <w:rFonts w:cs="Sylfaen"/>
          <w:b w:val="0"/>
          <w:szCs w:val="22"/>
          <w:lang w:val="af-ZA"/>
        </w:rPr>
        <w:t xml:space="preserve"> </w:t>
      </w:r>
      <w:r w:rsidRPr="00A83C94">
        <w:rPr>
          <w:rFonts w:cs="Sylfaen"/>
          <w:b w:val="0"/>
          <w:szCs w:val="22"/>
          <w:lang w:val="hy-AM"/>
        </w:rPr>
        <w:t>յուրաքանչյուր</w:t>
      </w:r>
      <w:r w:rsidRPr="00A83C94">
        <w:rPr>
          <w:rFonts w:cs="Sylfaen"/>
          <w:b w:val="0"/>
          <w:szCs w:val="22"/>
          <w:lang w:val="af-ZA"/>
        </w:rPr>
        <w:t xml:space="preserve"> </w:t>
      </w:r>
      <w:r w:rsidRPr="00A83C94">
        <w:rPr>
          <w:rFonts w:cs="Sylfaen"/>
          <w:b w:val="0"/>
          <w:szCs w:val="22"/>
          <w:lang w:val="hy-AM"/>
        </w:rPr>
        <w:t>միավոր</w:t>
      </w:r>
      <w:r w:rsidRPr="00A83C94">
        <w:rPr>
          <w:rFonts w:cs="Sylfaen"/>
          <w:b w:val="0"/>
          <w:szCs w:val="22"/>
          <w:lang w:val="af-ZA"/>
        </w:rPr>
        <w:t xml:space="preserve"> </w:t>
      </w:r>
      <w:r w:rsidRPr="00A83C94">
        <w:rPr>
          <w:rFonts w:cs="Sylfaen"/>
          <w:b w:val="0"/>
          <w:szCs w:val="22"/>
          <w:lang w:val="hy-AM"/>
        </w:rPr>
        <w:t>մինչև</w:t>
      </w:r>
      <w:r w:rsidRPr="00A83C94">
        <w:rPr>
          <w:rFonts w:cs="Sylfaen"/>
          <w:b w:val="0"/>
          <w:szCs w:val="22"/>
          <w:lang w:val="af-ZA"/>
        </w:rPr>
        <w:t xml:space="preserve"> 5 </w:t>
      </w:r>
      <w:r w:rsidRPr="00A83C94">
        <w:rPr>
          <w:rFonts w:cs="Sylfaen"/>
          <w:b w:val="0"/>
          <w:szCs w:val="22"/>
          <w:lang w:val="hy-AM"/>
        </w:rPr>
        <w:t>մլն</w:t>
      </w:r>
      <w:r w:rsidRPr="00A83C94">
        <w:rPr>
          <w:rFonts w:cs="Sylfaen"/>
          <w:b w:val="0"/>
          <w:szCs w:val="22"/>
          <w:lang w:val="af-ZA"/>
        </w:rPr>
        <w:t xml:space="preserve"> </w:t>
      </w:r>
      <w:r w:rsidRPr="00A83C94">
        <w:rPr>
          <w:rFonts w:cs="Sylfaen"/>
          <w:b w:val="0"/>
          <w:szCs w:val="22"/>
          <w:lang w:val="hy-AM"/>
        </w:rPr>
        <w:t>դրամ</w:t>
      </w:r>
      <w:r w:rsidRPr="00A83C94">
        <w:rPr>
          <w:rFonts w:cs="Sylfaen"/>
          <w:b w:val="0"/>
          <w:szCs w:val="22"/>
          <w:lang w:val="af-ZA"/>
        </w:rPr>
        <w:t xml:space="preserve"> </w:t>
      </w:r>
      <w:r w:rsidRPr="00A83C94">
        <w:rPr>
          <w:rFonts w:cs="Sylfaen"/>
          <w:b w:val="0"/>
          <w:szCs w:val="22"/>
          <w:lang w:val="hy-AM"/>
        </w:rPr>
        <w:t>գնահատված</w:t>
      </w:r>
      <w:r w:rsidRPr="00A83C94">
        <w:rPr>
          <w:rFonts w:cs="Sylfaen"/>
          <w:b w:val="0"/>
          <w:szCs w:val="22"/>
          <w:lang w:val="af-ZA"/>
        </w:rPr>
        <w:t xml:space="preserve"> </w:t>
      </w:r>
      <w:r w:rsidRPr="00A83C94">
        <w:rPr>
          <w:rFonts w:cs="Sylfaen"/>
          <w:b w:val="0"/>
          <w:szCs w:val="22"/>
          <w:lang w:val="hy-AM"/>
        </w:rPr>
        <w:t>արժեքով</w:t>
      </w:r>
      <w:r w:rsidRPr="00A83C94">
        <w:rPr>
          <w:rFonts w:cs="Sylfaen"/>
          <w:b w:val="0"/>
          <w:szCs w:val="22"/>
          <w:lang w:val="af-ZA"/>
        </w:rPr>
        <w:t xml:space="preserve"> </w:t>
      </w:r>
      <w:r w:rsidRPr="00A83C94">
        <w:rPr>
          <w:rFonts w:cs="Sylfaen"/>
          <w:b w:val="0"/>
          <w:szCs w:val="22"/>
          <w:lang w:val="hy-AM"/>
        </w:rPr>
        <w:t>շարժական</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օտարման</w:t>
      </w:r>
      <w:r w:rsidRPr="00A83C94">
        <w:rPr>
          <w:rFonts w:cs="Sylfaen"/>
          <w:b w:val="0"/>
          <w:szCs w:val="22"/>
          <w:lang w:val="af-ZA"/>
        </w:rPr>
        <w:t xml:space="preserve"> </w:t>
      </w:r>
      <w:r w:rsidRPr="00A83C94">
        <w:rPr>
          <w:rFonts w:cs="Sylfaen"/>
          <w:b w:val="0"/>
          <w:szCs w:val="22"/>
          <w:lang w:val="hy-AM"/>
        </w:rPr>
        <w:t>գործընթացում</w:t>
      </w:r>
      <w:r w:rsidRPr="00A83C94">
        <w:rPr>
          <w:rFonts w:cs="Sylfaen"/>
          <w:b w:val="0"/>
          <w:szCs w:val="22"/>
          <w:lang w:val="af-ZA"/>
        </w:rPr>
        <w:t xml:space="preserve"> </w:t>
      </w:r>
      <w:r w:rsidRPr="00A83C94">
        <w:rPr>
          <w:rFonts w:cs="Sylfaen"/>
          <w:b w:val="0"/>
          <w:szCs w:val="22"/>
          <w:lang w:val="hy-AM"/>
        </w:rPr>
        <w:t>գտնվելու</w:t>
      </w:r>
      <w:r w:rsidRPr="00A83C94">
        <w:rPr>
          <w:rFonts w:cs="Sylfaen"/>
          <w:b w:val="0"/>
          <w:szCs w:val="22"/>
          <w:lang w:val="af-ZA"/>
        </w:rPr>
        <w:t xml:space="preserve"> </w:t>
      </w:r>
      <w:r w:rsidRPr="00A83C94">
        <w:rPr>
          <w:rFonts w:cs="Sylfaen"/>
          <w:b w:val="0"/>
          <w:szCs w:val="22"/>
          <w:lang w:val="hy-AM"/>
        </w:rPr>
        <w:t>ժամանակահատվածում</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պահառության</w:t>
      </w:r>
      <w:r w:rsidRPr="00A83C94">
        <w:rPr>
          <w:rFonts w:cs="Sylfaen"/>
          <w:b w:val="0"/>
          <w:szCs w:val="22"/>
          <w:lang w:val="af-ZA"/>
        </w:rPr>
        <w:t xml:space="preserve"> </w:t>
      </w:r>
      <w:r w:rsidRPr="00A83C94">
        <w:rPr>
          <w:rFonts w:cs="Sylfaen"/>
          <w:b w:val="0"/>
          <w:szCs w:val="22"/>
          <w:lang w:val="hy-AM"/>
        </w:rPr>
        <w:t>կազմակերպման համար</w:t>
      </w:r>
      <w:r w:rsidRPr="00A83C94">
        <w:rPr>
          <w:rFonts w:cs="Sylfaen"/>
          <w:b w:val="0"/>
          <w:szCs w:val="22"/>
          <w:lang w:val="af-ZA"/>
        </w:rPr>
        <w:t>:</w:t>
      </w:r>
    </w:p>
    <w:p w14:paraId="03B6379F" w14:textId="77777777"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Նշվածի շրջանակներում նախատեսվում է ապահովել</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սեփականություն</w:t>
      </w:r>
      <w:r w:rsidRPr="00A83C94">
        <w:rPr>
          <w:rFonts w:cs="Sylfaen"/>
          <w:b w:val="0"/>
          <w:szCs w:val="22"/>
          <w:lang w:val="af-ZA"/>
        </w:rPr>
        <w:t xml:space="preserve"> </w:t>
      </w:r>
      <w:r w:rsidRPr="00A83C94">
        <w:rPr>
          <w:rFonts w:cs="Sylfaen"/>
          <w:b w:val="0"/>
          <w:szCs w:val="22"/>
          <w:lang w:val="hy-AM"/>
        </w:rPr>
        <w:t>հանդիսացող</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գույքագրման</w:t>
      </w:r>
      <w:r w:rsidRPr="00A83C94">
        <w:rPr>
          <w:rFonts w:cs="Sylfaen"/>
          <w:b w:val="0"/>
          <w:szCs w:val="22"/>
          <w:lang w:val="af-ZA"/>
        </w:rPr>
        <w:t xml:space="preserve">, </w:t>
      </w:r>
      <w:r w:rsidRPr="00A83C94">
        <w:rPr>
          <w:rFonts w:cs="Sylfaen"/>
          <w:b w:val="0"/>
          <w:szCs w:val="22"/>
          <w:lang w:val="hy-AM"/>
        </w:rPr>
        <w:t>գնահատման</w:t>
      </w:r>
      <w:r w:rsidRPr="00A83C94">
        <w:rPr>
          <w:rFonts w:cs="Sylfaen"/>
          <w:b w:val="0"/>
          <w:szCs w:val="22"/>
          <w:lang w:val="af-ZA"/>
        </w:rPr>
        <w:t xml:space="preserve">, </w:t>
      </w:r>
      <w:r w:rsidRPr="00A83C94">
        <w:rPr>
          <w:rFonts w:cs="Sylfaen"/>
          <w:b w:val="0"/>
          <w:szCs w:val="22"/>
          <w:lang w:val="hy-AM"/>
        </w:rPr>
        <w:t>հաշվառման</w:t>
      </w:r>
      <w:r w:rsidRPr="00A83C94">
        <w:rPr>
          <w:rFonts w:cs="Sylfaen"/>
          <w:b w:val="0"/>
          <w:szCs w:val="22"/>
          <w:lang w:val="af-ZA"/>
        </w:rPr>
        <w:t xml:space="preserve">, </w:t>
      </w:r>
      <w:r w:rsidRPr="00A83C94">
        <w:rPr>
          <w:rFonts w:cs="Sylfaen"/>
          <w:b w:val="0"/>
          <w:szCs w:val="22"/>
          <w:lang w:val="hy-AM"/>
        </w:rPr>
        <w:t>հաշվառված</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տվյալների</w:t>
      </w:r>
      <w:r w:rsidRPr="00A83C94">
        <w:rPr>
          <w:rFonts w:cs="Sylfaen"/>
          <w:b w:val="0"/>
          <w:szCs w:val="22"/>
          <w:lang w:val="af-ZA"/>
        </w:rPr>
        <w:t xml:space="preserve"> </w:t>
      </w:r>
      <w:r w:rsidRPr="00A83C94">
        <w:rPr>
          <w:rFonts w:cs="Sylfaen"/>
          <w:b w:val="0"/>
          <w:szCs w:val="22"/>
          <w:lang w:val="hy-AM"/>
        </w:rPr>
        <w:t>մշակման</w:t>
      </w:r>
      <w:r w:rsidRPr="00A83C94">
        <w:rPr>
          <w:rFonts w:cs="Sylfaen"/>
          <w:b w:val="0"/>
          <w:szCs w:val="22"/>
          <w:lang w:val="af-ZA"/>
        </w:rPr>
        <w:t xml:space="preserve">, </w:t>
      </w:r>
      <w:r w:rsidRPr="00A83C94">
        <w:rPr>
          <w:rFonts w:cs="Sylfaen"/>
          <w:b w:val="0"/>
          <w:szCs w:val="22"/>
          <w:lang w:val="hy-AM"/>
        </w:rPr>
        <w:t>փոփոխությունների</w:t>
      </w:r>
      <w:r w:rsidRPr="00A83C94">
        <w:rPr>
          <w:rFonts w:cs="Sylfaen"/>
          <w:b w:val="0"/>
          <w:szCs w:val="22"/>
          <w:lang w:val="af-ZA"/>
        </w:rPr>
        <w:t xml:space="preserve"> </w:t>
      </w:r>
      <w:r w:rsidRPr="00A83C94">
        <w:rPr>
          <w:rFonts w:cs="Sylfaen"/>
          <w:b w:val="0"/>
          <w:szCs w:val="22"/>
          <w:lang w:val="hy-AM"/>
        </w:rPr>
        <w:t>գրանցման</w:t>
      </w:r>
      <w:r w:rsidRPr="00A83C94">
        <w:rPr>
          <w:rFonts w:cs="Sylfaen"/>
          <w:b w:val="0"/>
          <w:szCs w:val="22"/>
          <w:lang w:val="af-ZA"/>
        </w:rPr>
        <w:t xml:space="preserve">, </w:t>
      </w:r>
      <w:r w:rsidRPr="00A83C94">
        <w:rPr>
          <w:rFonts w:cs="Sylfaen"/>
          <w:b w:val="0"/>
          <w:szCs w:val="22"/>
          <w:lang w:val="hy-AM"/>
        </w:rPr>
        <w:t>տեղեկատվության</w:t>
      </w:r>
      <w:r w:rsidRPr="00A83C94">
        <w:rPr>
          <w:rFonts w:cs="Sylfaen"/>
          <w:b w:val="0"/>
          <w:szCs w:val="22"/>
          <w:lang w:val="af-ZA"/>
        </w:rPr>
        <w:t xml:space="preserve"> </w:t>
      </w:r>
      <w:r w:rsidRPr="00A83C94">
        <w:rPr>
          <w:rFonts w:cs="Sylfaen"/>
          <w:b w:val="0"/>
          <w:szCs w:val="22"/>
          <w:lang w:val="hy-AM"/>
        </w:rPr>
        <w:t>տրամադրման</w:t>
      </w:r>
      <w:r w:rsidRPr="00A83C94">
        <w:rPr>
          <w:rFonts w:cs="Sylfaen"/>
          <w:b w:val="0"/>
          <w:szCs w:val="22"/>
          <w:lang w:val="af-ZA"/>
        </w:rPr>
        <w:t xml:space="preserve"> </w:t>
      </w:r>
      <w:r w:rsidRPr="00A83C94">
        <w:rPr>
          <w:rFonts w:cs="Sylfaen"/>
          <w:b w:val="0"/>
          <w:szCs w:val="22"/>
          <w:lang w:val="hy-AM"/>
        </w:rPr>
        <w:t>աշխատանքների</w:t>
      </w:r>
      <w:r w:rsidRPr="00A83C94">
        <w:rPr>
          <w:rFonts w:cs="Sylfaen"/>
          <w:b w:val="0"/>
          <w:szCs w:val="22"/>
          <w:lang w:val="af-ZA"/>
        </w:rPr>
        <w:t xml:space="preserve">, </w:t>
      </w:r>
      <w:r w:rsidRPr="00A83C94">
        <w:rPr>
          <w:rFonts w:cs="Sylfaen"/>
          <w:b w:val="0"/>
          <w:szCs w:val="22"/>
          <w:lang w:val="hy-AM"/>
        </w:rPr>
        <w:t>թվով</w:t>
      </w:r>
      <w:r w:rsidRPr="00A83C94">
        <w:rPr>
          <w:rFonts w:cs="Sylfaen"/>
          <w:b w:val="0"/>
          <w:szCs w:val="22"/>
          <w:lang w:val="af-ZA"/>
        </w:rPr>
        <w:t xml:space="preserve"> 2 </w:t>
      </w:r>
      <w:r w:rsidRPr="00A83C94">
        <w:rPr>
          <w:rFonts w:cs="Sylfaen"/>
          <w:b w:val="0"/>
          <w:szCs w:val="22"/>
          <w:lang w:val="hy-AM"/>
        </w:rPr>
        <w:t>անշարժ</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պահառության</w:t>
      </w:r>
      <w:r w:rsidRPr="00A83C94">
        <w:rPr>
          <w:rFonts w:cs="Sylfaen"/>
          <w:b w:val="0"/>
          <w:szCs w:val="22"/>
          <w:lang w:val="af-ZA"/>
        </w:rPr>
        <w:t xml:space="preserve">, </w:t>
      </w:r>
      <w:r w:rsidRPr="00A83C94">
        <w:rPr>
          <w:rFonts w:cs="Sylfaen"/>
          <w:b w:val="0"/>
          <w:szCs w:val="22"/>
          <w:lang w:val="hy-AM"/>
        </w:rPr>
        <w:t>աճուրդների</w:t>
      </w:r>
      <w:r w:rsidRPr="00A83C94">
        <w:rPr>
          <w:rFonts w:cs="Sylfaen"/>
          <w:b w:val="0"/>
          <w:szCs w:val="22"/>
          <w:lang w:val="af-ZA"/>
        </w:rPr>
        <w:t xml:space="preserve"> </w:t>
      </w:r>
      <w:r w:rsidRPr="00A83C94">
        <w:rPr>
          <w:rFonts w:cs="Sylfaen"/>
          <w:b w:val="0"/>
          <w:szCs w:val="22"/>
          <w:lang w:val="hy-AM"/>
        </w:rPr>
        <w:t>կազմակերպման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անցկացման</w:t>
      </w:r>
      <w:r w:rsidRPr="00A83C94">
        <w:rPr>
          <w:rFonts w:cs="Sylfaen"/>
          <w:b w:val="0"/>
          <w:szCs w:val="22"/>
          <w:lang w:val="af-ZA"/>
        </w:rPr>
        <w:t xml:space="preserve"> </w:t>
      </w:r>
      <w:r w:rsidRPr="00A83C94">
        <w:rPr>
          <w:rFonts w:cs="Sylfaen"/>
          <w:b w:val="0"/>
          <w:szCs w:val="22"/>
          <w:lang w:val="hy-AM"/>
        </w:rPr>
        <w:t>ծառայությունների</w:t>
      </w:r>
      <w:r w:rsidRPr="00A83C94">
        <w:rPr>
          <w:rFonts w:cs="Sylfaen"/>
          <w:b w:val="0"/>
          <w:szCs w:val="22"/>
          <w:lang w:val="af-ZA"/>
        </w:rPr>
        <w:t xml:space="preserve"> </w:t>
      </w:r>
      <w:r w:rsidRPr="00A83C94">
        <w:rPr>
          <w:rFonts w:cs="Sylfaen"/>
          <w:b w:val="0"/>
          <w:szCs w:val="22"/>
          <w:lang w:val="hy-AM"/>
        </w:rPr>
        <w:t>իրականացումը</w:t>
      </w:r>
      <w:r w:rsidRPr="00A83C94">
        <w:rPr>
          <w:rFonts w:cs="Sylfaen"/>
          <w:b w:val="0"/>
          <w:szCs w:val="22"/>
          <w:lang w:val="af-ZA"/>
        </w:rPr>
        <w:t xml:space="preserve">, </w:t>
      </w:r>
      <w:r w:rsidRPr="00A83C94">
        <w:rPr>
          <w:rFonts w:cs="Sylfaen"/>
          <w:b w:val="0"/>
          <w:szCs w:val="22"/>
          <w:lang w:val="hy-AM"/>
        </w:rPr>
        <w:t>ինչպես</w:t>
      </w:r>
      <w:r w:rsidRPr="00A83C94">
        <w:rPr>
          <w:rFonts w:cs="Sylfaen"/>
          <w:b w:val="0"/>
          <w:szCs w:val="22"/>
          <w:lang w:val="af-ZA"/>
        </w:rPr>
        <w:t xml:space="preserve"> </w:t>
      </w:r>
      <w:r w:rsidRPr="00A83C94">
        <w:rPr>
          <w:rFonts w:cs="Sylfaen"/>
          <w:b w:val="0"/>
          <w:szCs w:val="22"/>
          <w:lang w:val="hy-AM"/>
        </w:rPr>
        <w:t>նաև</w:t>
      </w:r>
      <w:r w:rsidRPr="00A83C94">
        <w:rPr>
          <w:rFonts w:cs="Sylfaen"/>
          <w:b w:val="0"/>
          <w:szCs w:val="22"/>
          <w:lang w:val="af-ZA"/>
        </w:rPr>
        <w:t xml:space="preserve"> </w:t>
      </w:r>
      <w:r w:rsidRPr="00A83C94">
        <w:rPr>
          <w:rFonts w:cs="Sylfaen"/>
          <w:b w:val="0"/>
          <w:szCs w:val="22"/>
          <w:lang w:val="hy-AM"/>
        </w:rPr>
        <w:t>պետական</w:t>
      </w:r>
      <w:r w:rsidRPr="00A83C94">
        <w:rPr>
          <w:rFonts w:cs="Sylfaen"/>
          <w:b w:val="0"/>
          <w:szCs w:val="22"/>
          <w:lang w:val="af-ZA"/>
        </w:rPr>
        <w:t xml:space="preserve"> </w:t>
      </w:r>
      <w:r w:rsidRPr="00A83C94">
        <w:rPr>
          <w:rFonts w:cs="Sylfaen"/>
          <w:b w:val="0"/>
          <w:szCs w:val="22"/>
          <w:lang w:val="hy-AM"/>
        </w:rPr>
        <w:t>գույքի</w:t>
      </w:r>
      <w:r w:rsidRPr="00A83C94">
        <w:rPr>
          <w:rFonts w:cs="Sylfaen"/>
          <w:b w:val="0"/>
          <w:szCs w:val="22"/>
          <w:lang w:val="af-ZA"/>
        </w:rPr>
        <w:t xml:space="preserve"> </w:t>
      </w:r>
      <w:r w:rsidRPr="00A83C94">
        <w:rPr>
          <w:rFonts w:cs="Sylfaen"/>
          <w:b w:val="0"/>
          <w:szCs w:val="22"/>
          <w:lang w:val="hy-AM"/>
        </w:rPr>
        <w:t>հաշվառման</w:t>
      </w:r>
      <w:r w:rsidRPr="00A83C94">
        <w:rPr>
          <w:rFonts w:cs="Sylfaen"/>
          <w:b w:val="0"/>
          <w:szCs w:val="22"/>
          <w:lang w:val="af-ZA"/>
        </w:rPr>
        <w:t xml:space="preserve"> </w:t>
      </w:r>
      <w:r w:rsidRPr="00A83C94">
        <w:rPr>
          <w:rFonts w:cs="Sylfaen"/>
          <w:b w:val="0"/>
          <w:szCs w:val="22"/>
          <w:lang w:val="hy-AM"/>
        </w:rPr>
        <w:t>նոր</w:t>
      </w:r>
      <w:r w:rsidRPr="00A83C94">
        <w:rPr>
          <w:rFonts w:cs="Sylfaen"/>
          <w:b w:val="0"/>
          <w:szCs w:val="22"/>
          <w:lang w:val="af-ZA"/>
        </w:rPr>
        <w:t xml:space="preserve"> </w:t>
      </w:r>
      <w:r w:rsidRPr="00A83C94">
        <w:rPr>
          <w:rFonts w:cs="Sylfaen"/>
          <w:b w:val="0"/>
          <w:szCs w:val="22"/>
          <w:lang w:val="hy-AM"/>
        </w:rPr>
        <w:t>ավտոմատացված</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ամբողջական</w:t>
      </w:r>
      <w:r w:rsidRPr="00A83C94">
        <w:rPr>
          <w:rFonts w:cs="Sylfaen"/>
          <w:b w:val="0"/>
          <w:szCs w:val="22"/>
          <w:lang w:val="af-ZA"/>
        </w:rPr>
        <w:t xml:space="preserve"> </w:t>
      </w:r>
      <w:r w:rsidRPr="00A83C94">
        <w:rPr>
          <w:rFonts w:cs="Sylfaen"/>
          <w:b w:val="0"/>
          <w:szCs w:val="22"/>
          <w:lang w:val="hy-AM"/>
        </w:rPr>
        <w:t>համակարգի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էլեկտրոնային</w:t>
      </w:r>
      <w:r w:rsidRPr="00A83C94">
        <w:rPr>
          <w:rFonts w:cs="Sylfaen"/>
          <w:b w:val="0"/>
          <w:szCs w:val="22"/>
          <w:lang w:val="af-ZA"/>
        </w:rPr>
        <w:t xml:space="preserve"> </w:t>
      </w:r>
      <w:r w:rsidRPr="00A83C94">
        <w:rPr>
          <w:rFonts w:cs="Sylfaen"/>
          <w:b w:val="0"/>
          <w:szCs w:val="22"/>
          <w:lang w:val="hy-AM"/>
        </w:rPr>
        <w:t>աճուրդների</w:t>
      </w:r>
      <w:r w:rsidRPr="00A83C94">
        <w:rPr>
          <w:rFonts w:cs="Sylfaen"/>
          <w:b w:val="0"/>
          <w:szCs w:val="22"/>
          <w:lang w:val="af-ZA"/>
        </w:rPr>
        <w:t xml:space="preserve"> </w:t>
      </w:r>
      <w:r w:rsidRPr="00A83C94">
        <w:rPr>
          <w:rFonts w:cs="Sylfaen"/>
          <w:b w:val="0"/>
          <w:szCs w:val="22"/>
          <w:lang w:val="hy-AM"/>
        </w:rPr>
        <w:t>կազմակերպման</w:t>
      </w:r>
      <w:r w:rsidRPr="00A83C94">
        <w:rPr>
          <w:rFonts w:cs="Sylfaen"/>
          <w:b w:val="0"/>
          <w:szCs w:val="22"/>
          <w:lang w:val="af-ZA"/>
        </w:rPr>
        <w:t xml:space="preserve"> </w:t>
      </w:r>
      <w:r w:rsidRPr="00A83C94">
        <w:rPr>
          <w:rFonts w:cs="Sylfaen"/>
          <w:b w:val="0"/>
          <w:szCs w:val="22"/>
          <w:lang w:val="hy-AM"/>
        </w:rPr>
        <w:t>ծրագրերի</w:t>
      </w:r>
      <w:r w:rsidRPr="00A83C94">
        <w:rPr>
          <w:rFonts w:cs="Sylfaen"/>
          <w:b w:val="0"/>
          <w:szCs w:val="22"/>
          <w:lang w:val="af-ZA"/>
        </w:rPr>
        <w:t xml:space="preserve"> </w:t>
      </w:r>
      <w:r w:rsidRPr="00A83C94">
        <w:rPr>
          <w:rFonts w:cs="Sylfaen"/>
          <w:b w:val="0"/>
          <w:szCs w:val="22"/>
          <w:lang w:val="hy-AM"/>
        </w:rPr>
        <w:t>սպասարկում</w:t>
      </w:r>
      <w:r w:rsidRPr="00A83C94">
        <w:rPr>
          <w:rFonts w:cs="Sylfaen"/>
          <w:b w:val="0"/>
          <w:szCs w:val="22"/>
          <w:lang w:val="af-ZA"/>
        </w:rPr>
        <w:t xml:space="preserve">, </w:t>
      </w:r>
      <w:r w:rsidRPr="00A83C94">
        <w:rPr>
          <w:rFonts w:cs="Sylfaen"/>
          <w:b w:val="0"/>
          <w:szCs w:val="22"/>
          <w:lang w:val="hy-AM"/>
        </w:rPr>
        <w:t>բացի</w:t>
      </w:r>
      <w:r w:rsidRPr="00A83C94">
        <w:rPr>
          <w:rFonts w:cs="Sylfaen"/>
          <w:b w:val="0"/>
          <w:szCs w:val="22"/>
          <w:lang w:val="af-ZA"/>
        </w:rPr>
        <w:t xml:space="preserve"> </w:t>
      </w:r>
      <w:r w:rsidRPr="00A83C94">
        <w:rPr>
          <w:rFonts w:cs="Sylfaen"/>
          <w:b w:val="0"/>
          <w:szCs w:val="22"/>
          <w:lang w:val="hy-AM"/>
        </w:rPr>
        <w:t>այդ</w:t>
      </w:r>
      <w:r w:rsidRPr="00A83C94">
        <w:rPr>
          <w:rFonts w:cs="Sylfaen"/>
          <w:b w:val="0"/>
          <w:szCs w:val="22"/>
          <w:lang w:val="af-ZA"/>
        </w:rPr>
        <w:t xml:space="preserve"> </w:t>
      </w:r>
      <w:r w:rsidRPr="00A83C94">
        <w:rPr>
          <w:rFonts w:cs="Sylfaen"/>
          <w:b w:val="0"/>
          <w:szCs w:val="22"/>
          <w:lang w:val="hy-AM"/>
        </w:rPr>
        <w:t>Կառավարական</w:t>
      </w:r>
      <w:r w:rsidRPr="00A83C94">
        <w:rPr>
          <w:rFonts w:cs="Sylfaen"/>
          <w:b w:val="0"/>
          <w:szCs w:val="22"/>
          <w:lang w:val="af-ZA"/>
        </w:rPr>
        <w:t xml:space="preserve"> N 2 (</w:t>
      </w:r>
      <w:r w:rsidRPr="00A83C94">
        <w:rPr>
          <w:rFonts w:cs="Sylfaen"/>
          <w:b w:val="0"/>
          <w:szCs w:val="22"/>
          <w:lang w:val="hy-AM"/>
        </w:rPr>
        <w:t>հասցե</w:t>
      </w:r>
      <w:r w:rsidRPr="00A83C94">
        <w:rPr>
          <w:rFonts w:cs="Sylfaen"/>
          <w:b w:val="0"/>
          <w:szCs w:val="22"/>
          <w:lang w:val="af-ZA"/>
        </w:rPr>
        <w:t xml:space="preserve">` </w:t>
      </w:r>
      <w:r w:rsidRPr="00A83C94">
        <w:rPr>
          <w:rFonts w:cs="Sylfaen"/>
          <w:b w:val="0"/>
          <w:szCs w:val="22"/>
          <w:lang w:val="hy-AM"/>
        </w:rPr>
        <w:t>ք</w:t>
      </w:r>
      <w:r w:rsidRPr="00A83C94">
        <w:rPr>
          <w:rFonts w:cs="Sylfaen"/>
          <w:b w:val="0"/>
          <w:szCs w:val="22"/>
          <w:lang w:val="af-ZA"/>
        </w:rPr>
        <w:t>.</w:t>
      </w:r>
      <w:r w:rsidRPr="00A83C94">
        <w:rPr>
          <w:rFonts w:cs="Sylfaen"/>
          <w:b w:val="0"/>
          <w:szCs w:val="22"/>
          <w:lang w:val="hy-AM"/>
        </w:rPr>
        <w:t>Երևան</w:t>
      </w:r>
      <w:r w:rsidRPr="00A83C94">
        <w:rPr>
          <w:rFonts w:cs="Sylfaen"/>
          <w:b w:val="0"/>
          <w:szCs w:val="22"/>
          <w:lang w:val="af-ZA"/>
        </w:rPr>
        <w:t xml:space="preserve">, </w:t>
      </w:r>
      <w:r w:rsidRPr="00A83C94">
        <w:rPr>
          <w:rFonts w:cs="Sylfaen"/>
          <w:b w:val="0"/>
          <w:szCs w:val="22"/>
          <w:lang w:val="hy-AM"/>
        </w:rPr>
        <w:t>Վ</w:t>
      </w:r>
      <w:r w:rsidRPr="00A83C94">
        <w:rPr>
          <w:rFonts w:cs="Sylfaen"/>
          <w:b w:val="0"/>
          <w:szCs w:val="22"/>
          <w:lang w:val="af-ZA"/>
        </w:rPr>
        <w:t>.</w:t>
      </w:r>
      <w:r w:rsidRPr="00A83C94">
        <w:rPr>
          <w:rFonts w:cs="Sylfaen"/>
          <w:b w:val="0"/>
          <w:szCs w:val="22"/>
          <w:lang w:val="hy-AM"/>
        </w:rPr>
        <w:t>Սարգսյան</w:t>
      </w:r>
      <w:r w:rsidRPr="00A83C94">
        <w:rPr>
          <w:rFonts w:cs="Sylfaen"/>
          <w:b w:val="0"/>
          <w:szCs w:val="22"/>
          <w:lang w:val="af-ZA"/>
        </w:rPr>
        <w:t xml:space="preserve"> 3, </w:t>
      </w:r>
      <w:r w:rsidRPr="00A83C94">
        <w:rPr>
          <w:rFonts w:cs="Sylfaen"/>
          <w:b w:val="0"/>
          <w:szCs w:val="22"/>
          <w:lang w:val="hy-AM"/>
        </w:rPr>
        <w:t>Վ</w:t>
      </w:r>
      <w:r w:rsidRPr="00A83C94">
        <w:rPr>
          <w:rFonts w:cs="Sylfaen"/>
          <w:b w:val="0"/>
          <w:szCs w:val="22"/>
          <w:lang w:val="af-ZA"/>
        </w:rPr>
        <w:t>.</w:t>
      </w:r>
      <w:r w:rsidRPr="00A83C94">
        <w:rPr>
          <w:rFonts w:cs="Sylfaen"/>
          <w:b w:val="0"/>
          <w:szCs w:val="22"/>
          <w:lang w:val="hy-AM"/>
        </w:rPr>
        <w:t>Սարգսյան</w:t>
      </w:r>
      <w:r w:rsidRPr="00A83C94">
        <w:rPr>
          <w:rFonts w:cs="Sylfaen"/>
          <w:b w:val="0"/>
          <w:szCs w:val="22"/>
          <w:lang w:val="af-ZA"/>
        </w:rPr>
        <w:t xml:space="preserve"> 3/8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Վ</w:t>
      </w:r>
      <w:r w:rsidRPr="00A83C94">
        <w:rPr>
          <w:rFonts w:cs="Sylfaen"/>
          <w:b w:val="0"/>
          <w:szCs w:val="22"/>
          <w:lang w:val="af-ZA"/>
        </w:rPr>
        <w:t xml:space="preserve">. </w:t>
      </w:r>
      <w:r w:rsidRPr="00A83C94">
        <w:rPr>
          <w:rFonts w:cs="Sylfaen"/>
          <w:b w:val="0"/>
          <w:szCs w:val="22"/>
          <w:lang w:val="hy-AM"/>
        </w:rPr>
        <w:t>Սարգսյան</w:t>
      </w:r>
      <w:r w:rsidRPr="00A83C94">
        <w:rPr>
          <w:rFonts w:cs="Sylfaen"/>
          <w:b w:val="0"/>
          <w:szCs w:val="22"/>
          <w:lang w:val="af-ZA"/>
        </w:rPr>
        <w:t xml:space="preserve"> 3/3), </w:t>
      </w:r>
      <w:r w:rsidRPr="00A83C94">
        <w:rPr>
          <w:rFonts w:cs="Sylfaen"/>
          <w:b w:val="0"/>
          <w:szCs w:val="22"/>
          <w:lang w:val="hy-AM"/>
        </w:rPr>
        <w:t>Կառավարական</w:t>
      </w:r>
      <w:r w:rsidRPr="00A83C94">
        <w:rPr>
          <w:rFonts w:cs="Sylfaen"/>
          <w:b w:val="0"/>
          <w:szCs w:val="22"/>
          <w:lang w:val="af-ZA"/>
        </w:rPr>
        <w:t xml:space="preserve"> N 3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Նալբանդյան</w:t>
      </w:r>
      <w:r w:rsidRPr="00A83C94">
        <w:rPr>
          <w:rFonts w:cs="Sylfaen"/>
          <w:b w:val="0"/>
          <w:szCs w:val="22"/>
          <w:lang w:val="af-ZA"/>
        </w:rPr>
        <w:t xml:space="preserve"> 28 </w:t>
      </w:r>
      <w:r w:rsidRPr="00A83C94">
        <w:rPr>
          <w:rFonts w:cs="Sylfaen"/>
          <w:b w:val="0"/>
          <w:szCs w:val="22"/>
          <w:lang w:val="hy-AM"/>
        </w:rPr>
        <w:t>շենքերի</w:t>
      </w:r>
      <w:r w:rsidRPr="00A83C94">
        <w:rPr>
          <w:rFonts w:cs="Sylfaen"/>
          <w:b w:val="0"/>
          <w:szCs w:val="22"/>
          <w:lang w:val="af-ZA"/>
        </w:rPr>
        <w:t xml:space="preserve"> </w:t>
      </w:r>
      <w:r w:rsidRPr="00A83C94">
        <w:rPr>
          <w:rFonts w:cs="Sylfaen"/>
          <w:b w:val="0"/>
          <w:szCs w:val="22"/>
          <w:lang w:val="hy-AM"/>
        </w:rPr>
        <w:t>սպասարկման</w:t>
      </w:r>
      <w:r w:rsidRPr="00A83C94">
        <w:rPr>
          <w:rFonts w:cs="Sylfaen"/>
          <w:b w:val="0"/>
          <w:szCs w:val="22"/>
          <w:lang w:val="af-ZA"/>
        </w:rPr>
        <w:t xml:space="preserve"> </w:t>
      </w:r>
      <w:r w:rsidRPr="00A83C94">
        <w:rPr>
          <w:rFonts w:cs="Sylfaen"/>
          <w:b w:val="0"/>
          <w:szCs w:val="22"/>
          <w:lang w:val="hy-AM"/>
        </w:rPr>
        <w:t>ծառայությունների</w:t>
      </w:r>
      <w:r w:rsidRPr="00A83C94">
        <w:rPr>
          <w:rFonts w:cs="Sylfaen"/>
          <w:b w:val="0"/>
          <w:szCs w:val="22"/>
          <w:lang w:val="af-ZA"/>
        </w:rPr>
        <w:t xml:space="preserve"> </w:t>
      </w:r>
      <w:r w:rsidRPr="00A83C94">
        <w:rPr>
          <w:rFonts w:cs="Sylfaen"/>
          <w:b w:val="0"/>
          <w:szCs w:val="22"/>
          <w:lang w:val="hy-AM"/>
        </w:rPr>
        <w:t>իրականացումը</w:t>
      </w:r>
      <w:r w:rsidRPr="00A83C94">
        <w:rPr>
          <w:rFonts w:cs="Sylfaen"/>
          <w:b w:val="0"/>
          <w:szCs w:val="22"/>
          <w:lang w:val="af-ZA"/>
        </w:rPr>
        <w:t xml:space="preserve">, </w:t>
      </w:r>
      <w:r w:rsidRPr="00A83C94">
        <w:rPr>
          <w:rFonts w:cs="Sylfaen"/>
          <w:b w:val="0"/>
          <w:szCs w:val="22"/>
          <w:lang w:val="hy-AM"/>
        </w:rPr>
        <w:t>որի</w:t>
      </w:r>
      <w:r w:rsidRPr="00A83C94">
        <w:rPr>
          <w:rFonts w:cs="Sylfaen"/>
          <w:b w:val="0"/>
          <w:szCs w:val="22"/>
          <w:lang w:val="af-ZA"/>
        </w:rPr>
        <w:t xml:space="preserve"> </w:t>
      </w:r>
      <w:r w:rsidRPr="00A83C94">
        <w:rPr>
          <w:rFonts w:cs="Sylfaen"/>
          <w:b w:val="0"/>
          <w:szCs w:val="22"/>
          <w:lang w:val="hy-AM"/>
        </w:rPr>
        <w:t>մեջ</w:t>
      </w:r>
      <w:r w:rsidRPr="00A83C94">
        <w:rPr>
          <w:rFonts w:cs="Sylfaen"/>
          <w:b w:val="0"/>
          <w:szCs w:val="22"/>
          <w:lang w:val="af-ZA"/>
        </w:rPr>
        <w:t xml:space="preserve"> </w:t>
      </w:r>
      <w:r w:rsidRPr="00A83C94">
        <w:rPr>
          <w:rFonts w:cs="Sylfaen"/>
          <w:b w:val="0"/>
          <w:szCs w:val="22"/>
          <w:lang w:val="hy-AM"/>
        </w:rPr>
        <w:t>ներառվում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նաև</w:t>
      </w:r>
      <w:r w:rsidRPr="00A83C94">
        <w:rPr>
          <w:rFonts w:cs="Sylfaen"/>
          <w:b w:val="0"/>
          <w:szCs w:val="22"/>
          <w:lang w:val="af-ZA"/>
        </w:rPr>
        <w:t xml:space="preserve"> </w:t>
      </w:r>
      <w:r w:rsidRPr="00A83C94">
        <w:rPr>
          <w:rFonts w:cs="Sylfaen"/>
          <w:b w:val="0"/>
          <w:szCs w:val="22"/>
          <w:lang w:val="hy-AM"/>
        </w:rPr>
        <w:t>վերոնշյալ շենքերի</w:t>
      </w:r>
      <w:r w:rsidRPr="00A83C94">
        <w:rPr>
          <w:rFonts w:cs="Sylfaen"/>
          <w:b w:val="0"/>
          <w:szCs w:val="22"/>
          <w:lang w:val="af-ZA"/>
        </w:rPr>
        <w:t xml:space="preserve"> </w:t>
      </w:r>
      <w:r w:rsidRPr="00A83C94">
        <w:rPr>
          <w:rFonts w:cs="Sylfaen"/>
          <w:b w:val="0"/>
          <w:szCs w:val="22"/>
          <w:lang w:val="hy-AM"/>
        </w:rPr>
        <w:t>թվով</w:t>
      </w:r>
      <w:r w:rsidRPr="00A83C94">
        <w:rPr>
          <w:rFonts w:cs="Sylfaen"/>
          <w:b w:val="0"/>
          <w:szCs w:val="22"/>
          <w:lang w:val="af-ZA"/>
        </w:rPr>
        <w:t xml:space="preserve"> </w:t>
      </w:r>
      <w:r w:rsidRPr="00A83C94">
        <w:rPr>
          <w:rFonts w:cs="Sylfaen"/>
          <w:b w:val="0"/>
          <w:szCs w:val="22"/>
          <w:lang w:val="hy-AM"/>
        </w:rPr>
        <w:t>18</w:t>
      </w:r>
      <w:r w:rsidRPr="00A83C94">
        <w:rPr>
          <w:rFonts w:cs="Sylfaen"/>
          <w:b w:val="0"/>
          <w:szCs w:val="22"/>
          <w:lang w:val="af-ZA"/>
        </w:rPr>
        <w:t xml:space="preserve"> </w:t>
      </w:r>
      <w:r w:rsidRPr="00A83C94">
        <w:rPr>
          <w:rFonts w:cs="Sylfaen"/>
          <w:b w:val="0"/>
          <w:szCs w:val="22"/>
          <w:lang w:val="hy-AM"/>
        </w:rPr>
        <w:t>վերելակների</w:t>
      </w:r>
      <w:r w:rsidRPr="00A83C94">
        <w:rPr>
          <w:rFonts w:cs="Sylfaen"/>
          <w:b w:val="0"/>
          <w:szCs w:val="22"/>
          <w:lang w:val="af-ZA"/>
        </w:rPr>
        <w:t xml:space="preserve">, </w:t>
      </w:r>
      <w:r w:rsidRPr="00A83C94">
        <w:rPr>
          <w:rFonts w:cs="Sylfaen"/>
          <w:b w:val="0"/>
          <w:szCs w:val="22"/>
          <w:lang w:val="hy-AM"/>
        </w:rPr>
        <w:t>օդորակման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օդափոխության</w:t>
      </w:r>
      <w:r w:rsidRPr="00A83C94">
        <w:rPr>
          <w:rFonts w:cs="Sylfaen"/>
          <w:b w:val="0"/>
          <w:szCs w:val="22"/>
          <w:lang w:val="af-ZA"/>
        </w:rPr>
        <w:t xml:space="preserve"> </w:t>
      </w:r>
      <w:r w:rsidRPr="00A83C94">
        <w:rPr>
          <w:rFonts w:cs="Sylfaen"/>
          <w:b w:val="0"/>
          <w:szCs w:val="22"/>
          <w:lang w:val="hy-AM"/>
        </w:rPr>
        <w:t>համակարգերի</w:t>
      </w:r>
      <w:r w:rsidRPr="00A83C94">
        <w:rPr>
          <w:rFonts w:cs="Sylfaen"/>
          <w:b w:val="0"/>
          <w:szCs w:val="22"/>
          <w:lang w:val="af-ZA"/>
        </w:rPr>
        <w:t xml:space="preserve">, </w:t>
      </w:r>
      <w:r w:rsidRPr="00A83C94">
        <w:rPr>
          <w:rFonts w:cs="Sylfaen"/>
          <w:b w:val="0"/>
          <w:szCs w:val="22"/>
          <w:lang w:val="hy-AM"/>
        </w:rPr>
        <w:t>հաստիքային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վթարային</w:t>
      </w:r>
      <w:r w:rsidRPr="00A83C94">
        <w:rPr>
          <w:rFonts w:cs="Sylfaen"/>
          <w:b w:val="0"/>
          <w:szCs w:val="22"/>
          <w:lang w:val="af-ZA"/>
        </w:rPr>
        <w:t xml:space="preserve"> </w:t>
      </w:r>
      <w:r w:rsidRPr="00A83C94">
        <w:rPr>
          <w:rFonts w:cs="Sylfaen"/>
          <w:b w:val="0"/>
          <w:szCs w:val="22"/>
          <w:lang w:val="hy-AM"/>
        </w:rPr>
        <w:t>էլեկտրասնուցման</w:t>
      </w:r>
      <w:r w:rsidRPr="00A83C94">
        <w:rPr>
          <w:rFonts w:cs="Sylfaen"/>
          <w:b w:val="0"/>
          <w:szCs w:val="22"/>
          <w:lang w:val="af-ZA"/>
        </w:rPr>
        <w:t xml:space="preserve"> </w:t>
      </w:r>
      <w:r w:rsidRPr="00A83C94">
        <w:rPr>
          <w:rFonts w:cs="Sylfaen"/>
          <w:b w:val="0"/>
          <w:szCs w:val="22"/>
          <w:lang w:val="hy-AM"/>
        </w:rPr>
        <w:t>համակարգերի</w:t>
      </w:r>
      <w:r w:rsidRPr="00A83C94">
        <w:rPr>
          <w:rFonts w:cs="Sylfaen"/>
          <w:b w:val="0"/>
          <w:szCs w:val="22"/>
          <w:lang w:val="af-ZA"/>
        </w:rPr>
        <w:t xml:space="preserve">, </w:t>
      </w:r>
      <w:r w:rsidRPr="00A83C94">
        <w:rPr>
          <w:rFonts w:cs="Sylfaen"/>
          <w:b w:val="0"/>
          <w:szCs w:val="22"/>
          <w:lang w:val="hy-AM"/>
        </w:rPr>
        <w:t>ներքին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արտաքին</w:t>
      </w:r>
      <w:r w:rsidRPr="00A83C94">
        <w:rPr>
          <w:rFonts w:cs="Sylfaen"/>
          <w:b w:val="0"/>
          <w:szCs w:val="22"/>
          <w:lang w:val="af-ZA"/>
        </w:rPr>
        <w:t xml:space="preserve"> </w:t>
      </w:r>
      <w:r w:rsidRPr="00A83C94">
        <w:rPr>
          <w:rFonts w:cs="Sylfaen"/>
          <w:b w:val="0"/>
          <w:szCs w:val="22"/>
          <w:lang w:val="hy-AM"/>
        </w:rPr>
        <w:t>լուսավորության</w:t>
      </w:r>
      <w:r w:rsidRPr="00A83C94">
        <w:rPr>
          <w:rFonts w:cs="Sylfaen"/>
          <w:b w:val="0"/>
          <w:szCs w:val="22"/>
          <w:lang w:val="af-ZA"/>
        </w:rPr>
        <w:t xml:space="preserve"> </w:t>
      </w:r>
      <w:r w:rsidRPr="00A83C94">
        <w:rPr>
          <w:rFonts w:cs="Sylfaen"/>
          <w:b w:val="0"/>
          <w:szCs w:val="22"/>
          <w:lang w:val="hy-AM"/>
        </w:rPr>
        <w:t>համակարգերի</w:t>
      </w:r>
      <w:r w:rsidRPr="00A83C94">
        <w:rPr>
          <w:rFonts w:cs="Sylfaen"/>
          <w:b w:val="0"/>
          <w:szCs w:val="22"/>
          <w:lang w:val="af-ZA"/>
        </w:rPr>
        <w:t xml:space="preserve">, </w:t>
      </w:r>
      <w:r w:rsidRPr="00A83C94">
        <w:rPr>
          <w:rFonts w:cs="Sylfaen"/>
          <w:b w:val="0"/>
          <w:szCs w:val="22"/>
          <w:lang w:val="hy-AM"/>
        </w:rPr>
        <w:t>ջրամատակարարման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կոյուղուհամակարգի</w:t>
      </w:r>
      <w:r w:rsidRPr="00A83C94">
        <w:rPr>
          <w:rFonts w:cs="Sylfaen"/>
          <w:b w:val="0"/>
          <w:szCs w:val="22"/>
          <w:lang w:val="af-ZA"/>
        </w:rPr>
        <w:t xml:space="preserve">, </w:t>
      </w:r>
      <w:r w:rsidRPr="00A83C94">
        <w:rPr>
          <w:rFonts w:cs="Sylfaen"/>
          <w:b w:val="0"/>
          <w:szCs w:val="22"/>
          <w:lang w:val="hy-AM"/>
        </w:rPr>
        <w:t>հակահրդեհային</w:t>
      </w:r>
      <w:r w:rsidRPr="00A83C94">
        <w:rPr>
          <w:rFonts w:cs="Sylfaen"/>
          <w:b w:val="0"/>
          <w:szCs w:val="22"/>
          <w:lang w:val="af-ZA"/>
        </w:rPr>
        <w:t xml:space="preserve"> </w:t>
      </w:r>
      <w:r w:rsidRPr="00A83C94">
        <w:rPr>
          <w:rFonts w:cs="Sylfaen"/>
          <w:b w:val="0"/>
          <w:szCs w:val="22"/>
          <w:lang w:val="hy-AM"/>
        </w:rPr>
        <w:t>անվտանգության</w:t>
      </w:r>
      <w:r w:rsidRPr="00A83C94">
        <w:rPr>
          <w:rFonts w:cs="Sylfaen"/>
          <w:b w:val="0"/>
          <w:szCs w:val="22"/>
          <w:lang w:val="af-ZA"/>
        </w:rPr>
        <w:t xml:space="preserve"> </w:t>
      </w:r>
      <w:r w:rsidRPr="00A83C94">
        <w:rPr>
          <w:rFonts w:cs="Sylfaen"/>
          <w:b w:val="0"/>
          <w:szCs w:val="22"/>
          <w:lang w:val="hy-AM"/>
        </w:rPr>
        <w:t>ու</w:t>
      </w:r>
      <w:r w:rsidRPr="00A83C94">
        <w:rPr>
          <w:rFonts w:cs="Sylfaen"/>
          <w:b w:val="0"/>
          <w:szCs w:val="22"/>
          <w:lang w:val="af-ZA"/>
        </w:rPr>
        <w:t xml:space="preserve"> </w:t>
      </w:r>
      <w:r w:rsidRPr="00A83C94">
        <w:rPr>
          <w:rFonts w:cs="Sylfaen"/>
          <w:b w:val="0"/>
          <w:szCs w:val="22"/>
          <w:lang w:val="hy-AM"/>
        </w:rPr>
        <w:t>ծխահեռացման</w:t>
      </w:r>
      <w:r w:rsidRPr="00A83C94">
        <w:rPr>
          <w:rFonts w:cs="Sylfaen"/>
          <w:b w:val="0"/>
          <w:szCs w:val="22"/>
          <w:lang w:val="af-ZA"/>
        </w:rPr>
        <w:t xml:space="preserve"> </w:t>
      </w:r>
      <w:r w:rsidRPr="00A83C94">
        <w:rPr>
          <w:rFonts w:cs="Sylfaen"/>
          <w:b w:val="0"/>
          <w:szCs w:val="22"/>
          <w:lang w:val="hy-AM"/>
        </w:rPr>
        <w:t>համակարգի</w:t>
      </w:r>
      <w:r w:rsidRPr="00A83C94">
        <w:rPr>
          <w:rFonts w:cs="Sylfaen"/>
          <w:b w:val="0"/>
          <w:szCs w:val="22"/>
          <w:lang w:val="af-ZA"/>
        </w:rPr>
        <w:t xml:space="preserve">, </w:t>
      </w:r>
      <w:r w:rsidRPr="00A83C94">
        <w:rPr>
          <w:rFonts w:cs="Sylfaen"/>
          <w:b w:val="0"/>
          <w:szCs w:val="22"/>
          <w:lang w:val="hy-AM"/>
        </w:rPr>
        <w:t>անցակետային</w:t>
      </w:r>
      <w:r w:rsidRPr="00A83C94">
        <w:rPr>
          <w:rFonts w:cs="Sylfaen"/>
          <w:b w:val="0"/>
          <w:szCs w:val="22"/>
          <w:lang w:val="af-ZA"/>
        </w:rPr>
        <w:t xml:space="preserve">, </w:t>
      </w:r>
      <w:r w:rsidRPr="00A83C94">
        <w:rPr>
          <w:rFonts w:cs="Sylfaen"/>
          <w:b w:val="0"/>
          <w:szCs w:val="22"/>
          <w:lang w:val="hy-AM"/>
        </w:rPr>
        <w:t>անվտանգության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տեսահսկման</w:t>
      </w:r>
      <w:r w:rsidRPr="00A83C94">
        <w:rPr>
          <w:rFonts w:cs="Sylfaen"/>
          <w:b w:val="0"/>
          <w:szCs w:val="22"/>
          <w:lang w:val="af-ZA"/>
        </w:rPr>
        <w:t xml:space="preserve"> </w:t>
      </w:r>
      <w:r w:rsidRPr="00A83C94">
        <w:rPr>
          <w:rFonts w:cs="Sylfaen"/>
          <w:b w:val="0"/>
          <w:szCs w:val="22"/>
          <w:lang w:val="hy-AM"/>
        </w:rPr>
        <w:t>համակարգի</w:t>
      </w:r>
      <w:r w:rsidRPr="00A83C94">
        <w:rPr>
          <w:rFonts w:cs="Sylfaen"/>
          <w:b w:val="0"/>
          <w:szCs w:val="22"/>
          <w:lang w:val="af-ZA"/>
        </w:rPr>
        <w:t xml:space="preserve">, </w:t>
      </w:r>
      <w:r w:rsidRPr="00A83C94">
        <w:rPr>
          <w:rFonts w:cs="Sylfaen"/>
          <w:b w:val="0"/>
          <w:szCs w:val="22"/>
          <w:lang w:val="hy-AM"/>
        </w:rPr>
        <w:t>հեռախոսային</w:t>
      </w:r>
      <w:r w:rsidRPr="00A83C94">
        <w:rPr>
          <w:rFonts w:cs="Sylfaen"/>
          <w:b w:val="0"/>
          <w:szCs w:val="22"/>
          <w:lang w:val="af-ZA"/>
        </w:rPr>
        <w:t xml:space="preserve"> </w:t>
      </w:r>
      <w:r w:rsidRPr="00A83C94">
        <w:rPr>
          <w:rFonts w:cs="Sylfaen"/>
          <w:b w:val="0"/>
          <w:szCs w:val="22"/>
          <w:lang w:val="hy-AM"/>
        </w:rPr>
        <w:t>կապի</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ինտերնետի ներքին ցանցերի, հետերաշխիքային սպասարկումը։</w:t>
      </w:r>
    </w:p>
    <w:p w14:paraId="00808769" w14:textId="77777777"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Բացի այդ պետական մարմինների կողմից օգտագործվող ոչ ֆինանսական ակտիվների ակտիվների օտարումից նախատեսվում է (10,059.3 մլն դրամի) մուտքեր:</w:t>
      </w:r>
    </w:p>
    <w:p w14:paraId="5DD786E8" w14:textId="6DFF82C0" w:rsidR="0023176E" w:rsidRPr="00A83C94" w:rsidRDefault="0023176E" w:rsidP="0023176E">
      <w:pPr>
        <w:widowControl w:val="0"/>
        <w:spacing w:line="276" w:lineRule="auto"/>
        <w:rPr>
          <w:rFonts w:cs="Sylfaen"/>
          <w:b w:val="0"/>
          <w:lang w:val="hy-AM"/>
        </w:rPr>
      </w:pPr>
      <w:r w:rsidRPr="00A83C94">
        <w:rPr>
          <w:rFonts w:cs="Sylfaen"/>
          <w:szCs w:val="22"/>
          <w:lang w:val="hy-AM"/>
        </w:rPr>
        <w:t>Այլընտրանքային</w:t>
      </w:r>
      <w:r w:rsidRPr="00A83C94">
        <w:rPr>
          <w:rFonts w:cs="Sylfaen"/>
          <w:szCs w:val="22"/>
          <w:lang w:val="af-ZA"/>
        </w:rPr>
        <w:t xml:space="preserve"> </w:t>
      </w:r>
      <w:r w:rsidRPr="00A83C94">
        <w:rPr>
          <w:rFonts w:cs="Sylfaen"/>
          <w:szCs w:val="22"/>
          <w:lang w:val="hy-AM"/>
        </w:rPr>
        <w:t>աշխատանքային</w:t>
      </w:r>
      <w:r w:rsidRPr="00A83C94">
        <w:rPr>
          <w:rFonts w:cs="Sylfaen"/>
          <w:szCs w:val="22"/>
          <w:lang w:val="af-ZA"/>
        </w:rPr>
        <w:t xml:space="preserve"> </w:t>
      </w:r>
      <w:r w:rsidRPr="00A83C94">
        <w:rPr>
          <w:rFonts w:cs="Sylfaen"/>
          <w:szCs w:val="22"/>
          <w:lang w:val="hy-AM"/>
        </w:rPr>
        <w:t xml:space="preserve">ծառայություն </w:t>
      </w:r>
      <w:r w:rsidRPr="00A83C94">
        <w:rPr>
          <w:rFonts w:cs="Sylfaen"/>
          <w:b w:val="0"/>
          <w:szCs w:val="22"/>
          <w:lang w:val="hy-AM"/>
        </w:rPr>
        <w:t>ծրագրի</w:t>
      </w:r>
      <w:r w:rsidRPr="00A83C94">
        <w:rPr>
          <w:rFonts w:cs="Sylfaen"/>
          <w:b w:val="0"/>
          <w:szCs w:val="22"/>
          <w:lang w:val="af-ZA"/>
        </w:rPr>
        <w:t xml:space="preserve"> </w:t>
      </w:r>
      <w:r w:rsidRPr="00A83C94">
        <w:rPr>
          <w:rFonts w:cs="Sylfaen"/>
          <w:b w:val="0"/>
          <w:lang w:val="hy-AM"/>
        </w:rPr>
        <w:t>գծով 2022 թվականին  նախատեսվել է</w:t>
      </w:r>
      <w:r w:rsidRPr="00A83C94">
        <w:rPr>
          <w:b w:val="0"/>
          <w:szCs w:val="22"/>
          <w:lang w:val="it-IT"/>
        </w:rPr>
        <w:t xml:space="preserve"> 33.0 </w:t>
      </w:r>
      <w:r w:rsidRPr="00A83C94">
        <w:rPr>
          <w:b w:val="0"/>
          <w:szCs w:val="22"/>
          <w:lang w:val="hy-AM"/>
        </w:rPr>
        <w:t>մլն</w:t>
      </w:r>
      <w:r w:rsidRPr="00A83C94">
        <w:rPr>
          <w:b w:val="0"/>
          <w:szCs w:val="22"/>
          <w:lang w:val="it-IT"/>
        </w:rPr>
        <w:t xml:space="preserve"> </w:t>
      </w:r>
      <w:r w:rsidRPr="00A83C94">
        <w:rPr>
          <w:b w:val="0"/>
          <w:szCs w:val="22"/>
          <w:lang w:val="hy-AM"/>
        </w:rPr>
        <w:t>դրամ:</w:t>
      </w:r>
    </w:p>
    <w:p w14:paraId="305F623A" w14:textId="0FCE04CC" w:rsidR="0023176E" w:rsidRPr="00A83C94" w:rsidRDefault="0023176E" w:rsidP="0023176E">
      <w:pPr>
        <w:widowControl w:val="0"/>
        <w:spacing w:line="276" w:lineRule="auto"/>
        <w:rPr>
          <w:rFonts w:cs="Arial"/>
          <w:b w:val="0"/>
          <w:noProof/>
          <w:szCs w:val="22"/>
          <w:lang w:val="hy-AM"/>
        </w:rPr>
      </w:pPr>
      <w:r w:rsidRPr="00A83C94">
        <w:rPr>
          <w:rFonts w:cs="Sylfaen"/>
          <w:b w:val="0"/>
          <w:noProof/>
          <w:szCs w:val="22"/>
          <w:lang w:val="hy-AM"/>
        </w:rPr>
        <w:t>Ծրագրի նպատակն է քաղաքացիական պարտքի կատարման այլընտրանքային տարբերակների ապահովում</w:t>
      </w:r>
      <w:r w:rsidR="00BF5AED" w:rsidRPr="00BF5AED">
        <w:rPr>
          <w:rFonts w:cs="Sylfaen"/>
          <w:b w:val="0"/>
          <w:noProof/>
          <w:szCs w:val="22"/>
          <w:lang w:val="hy-AM"/>
        </w:rPr>
        <w:t>ը</w:t>
      </w:r>
      <w:r w:rsidRPr="00A83C94">
        <w:rPr>
          <w:rFonts w:cs="Times Armenian"/>
          <w:b w:val="0"/>
          <w:kern w:val="16"/>
          <w:szCs w:val="22"/>
          <w:lang w:val="hy-AM"/>
        </w:rPr>
        <w:t>,</w:t>
      </w:r>
      <w:r w:rsidRPr="00A83C94">
        <w:rPr>
          <w:b w:val="0"/>
          <w:szCs w:val="22"/>
          <w:lang w:val="it-IT"/>
        </w:rPr>
        <w:t xml:space="preserve"> </w:t>
      </w:r>
      <w:r w:rsidRPr="00A83C94">
        <w:rPr>
          <w:rFonts w:cs="Arial"/>
          <w:b w:val="0"/>
          <w:noProof/>
          <w:szCs w:val="22"/>
          <w:lang w:val="hy-AM"/>
        </w:rPr>
        <w:t xml:space="preserve">որի շրջանակում թվով </w:t>
      </w:r>
      <w:r w:rsidR="00BF5AED" w:rsidRPr="00BF5AED">
        <w:rPr>
          <w:rFonts w:cs="Arial"/>
          <w:b w:val="0"/>
          <w:noProof/>
          <w:szCs w:val="22"/>
          <w:lang w:val="hy-AM"/>
        </w:rPr>
        <w:t>126</w:t>
      </w:r>
      <w:r w:rsidRPr="00A83C94">
        <w:rPr>
          <w:rFonts w:cs="Arial"/>
          <w:b w:val="0"/>
          <w:noProof/>
          <w:szCs w:val="22"/>
          <w:lang w:val="hy-AM"/>
        </w:rPr>
        <w:t xml:space="preserve"> այլընտրանքային աշխատանքային ծառայողների կտրամադրվի դրամական բավարար</w:t>
      </w:r>
      <w:r w:rsidR="00BF5AED" w:rsidRPr="00BF5AED">
        <w:rPr>
          <w:rFonts w:cs="Arial"/>
          <w:b w:val="0"/>
          <w:noProof/>
          <w:szCs w:val="22"/>
          <w:lang w:val="hy-AM"/>
        </w:rPr>
        <w:t xml:space="preserve">ում և </w:t>
      </w:r>
      <w:r w:rsidRPr="00A83C94">
        <w:rPr>
          <w:rFonts w:cs="Arial"/>
          <w:b w:val="0"/>
          <w:noProof/>
          <w:szCs w:val="22"/>
          <w:lang w:val="hy-AM"/>
        </w:rPr>
        <w:t>փոխհատուց</w:t>
      </w:r>
      <w:r w:rsidR="00BF5AED" w:rsidRPr="00BF5AED">
        <w:rPr>
          <w:rFonts w:cs="Arial"/>
          <w:b w:val="0"/>
          <w:noProof/>
          <w:szCs w:val="22"/>
          <w:lang w:val="hy-AM"/>
        </w:rPr>
        <w:t>ու</w:t>
      </w:r>
      <w:r w:rsidRPr="00A83C94">
        <w:rPr>
          <w:rFonts w:cs="Arial"/>
          <w:b w:val="0"/>
          <w:noProof/>
          <w:szCs w:val="22"/>
          <w:lang w:val="hy-AM"/>
        </w:rPr>
        <w:t>մ:</w:t>
      </w:r>
    </w:p>
    <w:p w14:paraId="5648183F" w14:textId="040CF629" w:rsidR="0023176E" w:rsidRPr="00A83C94" w:rsidRDefault="0023176E" w:rsidP="0023176E">
      <w:pPr>
        <w:spacing w:before="0" w:line="240" w:lineRule="auto"/>
        <w:ind w:left="2" w:firstLine="565"/>
        <w:contextualSpacing w:val="0"/>
        <w:rPr>
          <w:rFonts w:cs="Sylfaen"/>
          <w:b w:val="0"/>
          <w:lang w:val="hy-AM"/>
        </w:rPr>
      </w:pPr>
      <w:r w:rsidRPr="00A83C94">
        <w:rPr>
          <w:rFonts w:cs="Sylfaen"/>
          <w:szCs w:val="22"/>
          <w:lang w:val="hy-AM"/>
        </w:rPr>
        <w:t xml:space="preserve">Քաղաքային զարգացում </w:t>
      </w:r>
      <w:r w:rsidRPr="00A83C94">
        <w:rPr>
          <w:rFonts w:cs="Sylfaen"/>
          <w:b w:val="0"/>
          <w:szCs w:val="22"/>
          <w:lang w:val="hy-AM"/>
        </w:rPr>
        <w:t>ծրագրի</w:t>
      </w:r>
      <w:r w:rsidRPr="00A83C94">
        <w:rPr>
          <w:rFonts w:cs="Sylfaen"/>
          <w:b w:val="0"/>
          <w:szCs w:val="22"/>
          <w:lang w:val="af-ZA"/>
        </w:rPr>
        <w:t xml:space="preserve"> </w:t>
      </w:r>
      <w:r w:rsidRPr="00A83C94">
        <w:rPr>
          <w:rFonts w:cs="Sylfaen"/>
          <w:b w:val="0"/>
          <w:lang w:val="hy-AM"/>
        </w:rPr>
        <w:t>գծով  2022 թվականին  նախատեսվել է 2</w:t>
      </w:r>
      <w:r w:rsidR="00890730" w:rsidRPr="005A3F0B">
        <w:rPr>
          <w:rFonts w:cs="Sylfaen"/>
          <w:b w:val="0"/>
          <w:lang w:val="hy-AM"/>
        </w:rPr>
        <w:t>3</w:t>
      </w:r>
      <w:r w:rsidRPr="00A83C94">
        <w:rPr>
          <w:rFonts w:cs="Sylfaen"/>
          <w:b w:val="0"/>
          <w:lang w:val="hy-AM"/>
        </w:rPr>
        <w:t>,</w:t>
      </w:r>
      <w:r w:rsidR="008E37FC" w:rsidRPr="008E37FC">
        <w:rPr>
          <w:rFonts w:cs="Sylfaen"/>
          <w:b w:val="0"/>
          <w:lang w:val="hy-AM"/>
        </w:rPr>
        <w:t>375</w:t>
      </w:r>
      <w:r w:rsidRPr="00A83C94">
        <w:rPr>
          <w:rFonts w:cs="Sylfaen"/>
          <w:b w:val="0"/>
          <w:lang w:val="hy-AM"/>
        </w:rPr>
        <w:t>.</w:t>
      </w:r>
      <w:r w:rsidR="008E37FC" w:rsidRPr="008E37FC">
        <w:rPr>
          <w:rFonts w:cs="Sylfaen"/>
          <w:b w:val="0"/>
          <w:lang w:val="hy-AM"/>
        </w:rPr>
        <w:t>6</w:t>
      </w:r>
      <w:r w:rsidRPr="00A83C94">
        <w:rPr>
          <w:rFonts w:cs="Sylfaen"/>
          <w:b w:val="0"/>
          <w:lang w:val="hy-AM"/>
        </w:rPr>
        <w:t xml:space="preserve"> մլն դրամ:</w:t>
      </w:r>
    </w:p>
    <w:p w14:paraId="26D7062D" w14:textId="77777777" w:rsidR="0023176E" w:rsidRPr="00A83C94" w:rsidRDefault="0023176E" w:rsidP="0023176E">
      <w:pPr>
        <w:widowControl w:val="0"/>
        <w:spacing w:line="276" w:lineRule="auto"/>
        <w:rPr>
          <w:rFonts w:cs="Sylfaen"/>
          <w:b w:val="0"/>
          <w:szCs w:val="22"/>
          <w:lang w:val="hy-AM"/>
        </w:rPr>
      </w:pPr>
      <w:r w:rsidRPr="00A83C94">
        <w:rPr>
          <w:rFonts w:cs="Sylfaen"/>
          <w:b w:val="0"/>
          <w:szCs w:val="22"/>
          <w:lang w:val="hy-AM"/>
        </w:rPr>
        <w:t>Ծրագրի նպատակն է քաղաքային ենթակառուցվածքների զարգացումը, որի շրջանակներում ներքին</w:t>
      </w:r>
      <w:r w:rsidRPr="00A83C94">
        <w:rPr>
          <w:rFonts w:cs="Sylfaen"/>
          <w:b w:val="0"/>
          <w:szCs w:val="22"/>
          <w:lang w:val="af-ZA"/>
        </w:rPr>
        <w:t xml:space="preserve"> </w:t>
      </w:r>
      <w:r w:rsidRPr="00A83C94">
        <w:rPr>
          <w:rFonts w:cs="Sylfaen"/>
          <w:b w:val="0"/>
          <w:szCs w:val="22"/>
          <w:lang w:val="hy-AM"/>
        </w:rPr>
        <w:t>և</w:t>
      </w:r>
      <w:r w:rsidRPr="00A83C94">
        <w:rPr>
          <w:rFonts w:cs="Sylfaen"/>
          <w:b w:val="0"/>
          <w:szCs w:val="22"/>
          <w:lang w:val="af-ZA"/>
        </w:rPr>
        <w:t xml:space="preserve"> </w:t>
      </w:r>
      <w:r w:rsidRPr="00A83C94">
        <w:rPr>
          <w:rFonts w:cs="Sylfaen"/>
          <w:b w:val="0"/>
          <w:szCs w:val="22"/>
          <w:lang w:val="hy-AM"/>
        </w:rPr>
        <w:t>արտաքին</w:t>
      </w:r>
      <w:r w:rsidRPr="00A83C94">
        <w:rPr>
          <w:rFonts w:cs="Sylfaen"/>
          <w:b w:val="0"/>
          <w:szCs w:val="22"/>
          <w:lang w:val="af-ZA"/>
        </w:rPr>
        <w:t xml:space="preserve"> </w:t>
      </w:r>
      <w:r w:rsidRPr="00A83C94">
        <w:rPr>
          <w:rFonts w:cs="Sylfaen"/>
          <w:b w:val="0"/>
          <w:szCs w:val="22"/>
          <w:lang w:val="hy-AM"/>
        </w:rPr>
        <w:t>աղբյուրների</w:t>
      </w:r>
      <w:r w:rsidRPr="00A83C94">
        <w:rPr>
          <w:rFonts w:cs="Sylfaen"/>
          <w:b w:val="0"/>
          <w:szCs w:val="22"/>
          <w:lang w:val="af-ZA"/>
        </w:rPr>
        <w:t xml:space="preserve"> </w:t>
      </w:r>
      <w:r w:rsidRPr="00A83C94">
        <w:rPr>
          <w:rFonts w:cs="Sylfaen"/>
          <w:b w:val="0"/>
          <w:szCs w:val="22"/>
          <w:lang w:val="hy-AM"/>
        </w:rPr>
        <w:t>ֆինանսավորմամբ</w:t>
      </w:r>
      <w:r w:rsidRPr="00A83C94">
        <w:rPr>
          <w:rFonts w:cs="Sylfaen"/>
          <w:b w:val="0"/>
          <w:color w:val="FF0000"/>
          <w:szCs w:val="22"/>
          <w:lang w:val="hy-AM"/>
        </w:rPr>
        <w:t xml:space="preserve"> </w:t>
      </w:r>
      <w:r w:rsidRPr="00A83C94">
        <w:rPr>
          <w:rFonts w:cs="Sylfaen"/>
          <w:b w:val="0"/>
          <w:szCs w:val="22"/>
          <w:lang w:val="hy-AM"/>
        </w:rPr>
        <w:t>նախատեսվում</w:t>
      </w:r>
      <w:r w:rsidRPr="00A83C94">
        <w:rPr>
          <w:rFonts w:cs="Sylfaen"/>
          <w:b w:val="0"/>
          <w:szCs w:val="22"/>
          <w:lang w:val="af-ZA"/>
        </w:rPr>
        <w:t xml:space="preserve"> </w:t>
      </w:r>
      <w:r w:rsidRPr="00A83C94">
        <w:rPr>
          <w:rFonts w:cs="Sylfaen"/>
          <w:b w:val="0"/>
          <w:szCs w:val="22"/>
          <w:lang w:val="hy-AM"/>
        </w:rPr>
        <w:t>է իրականացնել Երևանի մետրոպոլիտենով ուղևորափոխադրման ծառայությունների և Երևանի տարածքում ճանապարհային երթևեկության կարգավորման գծով պետության կողմից համայնքի ղեկավարին պատվիրակված լիազորությունների իրականացման, ինչպես նաև Երևանի էլեկտրատրանսպորտով ուղևորափոխադրումների սպա</w:t>
      </w:r>
      <w:r w:rsidRPr="00A83C94">
        <w:rPr>
          <w:rFonts w:cs="Sylfaen"/>
          <w:b w:val="0"/>
          <w:szCs w:val="22"/>
          <w:lang w:val="hy-AM"/>
        </w:rPr>
        <w:softHyphen/>
        <w:t>սարկ</w:t>
      </w:r>
      <w:r w:rsidRPr="00A83C94">
        <w:rPr>
          <w:rFonts w:cs="Sylfaen"/>
          <w:b w:val="0"/>
          <w:szCs w:val="22"/>
          <w:lang w:val="hy-AM"/>
        </w:rPr>
        <w:softHyphen/>
        <w:t>ման որակի և երթևե</w:t>
      </w:r>
      <w:r w:rsidRPr="00A83C94">
        <w:rPr>
          <w:rFonts w:cs="Sylfaen"/>
          <w:b w:val="0"/>
          <w:szCs w:val="22"/>
          <w:lang w:val="hy-AM"/>
        </w:rPr>
        <w:softHyphen/>
        <w:t xml:space="preserve">կության անվտանգության բարելավման, Երևան և Գյումրի քաղաքների փողոցների և արտաքին լուսավորության ցանցի հիմանորոգման, շահագործման ու պահպանման աշխատանքների իրականացում </w:t>
      </w:r>
    </w:p>
    <w:p w14:paraId="2214A54C" w14:textId="77777777" w:rsidR="0023176E" w:rsidRPr="00A83C94" w:rsidRDefault="0023176E" w:rsidP="0023176E">
      <w:pPr>
        <w:spacing w:before="0" w:line="276" w:lineRule="auto"/>
        <w:ind w:firstLine="720"/>
        <w:rPr>
          <w:rFonts w:cs="Sylfaen"/>
          <w:b w:val="0"/>
          <w:szCs w:val="22"/>
          <w:lang w:val="hy-AM"/>
        </w:rPr>
      </w:pPr>
      <w:r w:rsidRPr="00A83C94">
        <w:rPr>
          <w:rFonts w:cs="Sylfaen"/>
          <w:b w:val="0"/>
          <w:szCs w:val="22"/>
          <w:lang w:val="hy-AM"/>
        </w:rPr>
        <w:t>Մասնավորապես 2022 թվականին ներքին աղբյուրների հաշվին նախատեսվում է իրականացնել Երևան քաղաքի շուրջ</w:t>
      </w:r>
      <w:r w:rsidRPr="00A83C94">
        <w:rPr>
          <w:rFonts w:cs="Sylfaen"/>
          <w:b w:val="0"/>
          <w:szCs w:val="22"/>
          <w:lang w:val="af-ZA"/>
        </w:rPr>
        <w:t xml:space="preserve"> </w:t>
      </w:r>
      <w:r w:rsidRPr="00A83C94">
        <w:rPr>
          <w:rFonts w:cs="Sylfaen"/>
          <w:b w:val="0"/>
          <w:szCs w:val="22"/>
          <w:lang w:val="hy-AM"/>
        </w:rPr>
        <w:t>1691.3</w:t>
      </w:r>
      <w:r w:rsidRPr="00A83C94">
        <w:rPr>
          <w:rFonts w:cs="Sylfaen"/>
          <w:b w:val="0"/>
          <w:szCs w:val="22"/>
          <w:lang w:val="af-ZA"/>
        </w:rPr>
        <w:t xml:space="preserve"> </w:t>
      </w:r>
      <w:r w:rsidRPr="00A83C94">
        <w:rPr>
          <w:rFonts w:cs="Sylfaen"/>
          <w:b w:val="0"/>
          <w:szCs w:val="22"/>
          <w:lang w:val="hy-AM"/>
        </w:rPr>
        <w:t>կմ</w:t>
      </w:r>
      <w:r w:rsidRPr="00A83C94">
        <w:rPr>
          <w:rFonts w:cs="Sylfaen"/>
          <w:b w:val="0"/>
          <w:szCs w:val="22"/>
          <w:lang w:val="af-ZA"/>
        </w:rPr>
        <w:t xml:space="preserve"> </w:t>
      </w:r>
      <w:r w:rsidRPr="00A83C94">
        <w:rPr>
          <w:rFonts w:cs="Sylfaen"/>
          <w:b w:val="0"/>
          <w:szCs w:val="22"/>
          <w:lang w:val="hy-AM"/>
        </w:rPr>
        <w:t>երկարությամբ</w:t>
      </w:r>
      <w:r w:rsidRPr="00A83C94">
        <w:rPr>
          <w:rFonts w:cs="Sylfaen"/>
          <w:b w:val="0"/>
          <w:szCs w:val="22"/>
          <w:lang w:val="af-ZA"/>
        </w:rPr>
        <w:t xml:space="preserve"> </w:t>
      </w:r>
      <w:r w:rsidRPr="00A83C94">
        <w:rPr>
          <w:rFonts w:cs="Sylfaen"/>
          <w:b w:val="0"/>
          <w:szCs w:val="22"/>
          <w:lang w:val="hy-AM"/>
        </w:rPr>
        <w:t>արտաքին լուսավորության ցանցի շահագործում և պահպանում, 450 փողոցների, 30 մայթերի, բակային և միջբակային տարածքների նորոգում, մետրոպոլիտենով 18.7 մլն և էլեկտրատրանսպորտով 4.2 մլն ուղևորների անվտանգ ուղևորափոխադրում:</w:t>
      </w:r>
    </w:p>
    <w:p w14:paraId="0D1609E3" w14:textId="77777777" w:rsidR="0023176E" w:rsidRPr="00A83C94" w:rsidRDefault="0023176E" w:rsidP="0023176E">
      <w:pPr>
        <w:spacing w:before="0" w:line="276" w:lineRule="auto"/>
        <w:ind w:firstLine="720"/>
        <w:rPr>
          <w:b w:val="0"/>
          <w:bCs/>
          <w:iCs/>
          <w:lang w:val="fr-FR"/>
        </w:rPr>
      </w:pPr>
      <w:r w:rsidRPr="00A83C94">
        <w:rPr>
          <w:rFonts w:cs="Sylfaen"/>
          <w:b w:val="0"/>
          <w:szCs w:val="22"/>
          <w:lang w:val="hy-AM"/>
        </w:rPr>
        <w:t>Արտաքին աղբյուրների ֆինանսավորմամբ իրականացվող շարունակական ծրագրերի ներքո նախատեսվում</w:t>
      </w:r>
      <w:r w:rsidRPr="00A83C94">
        <w:rPr>
          <w:rFonts w:cs="Sylfaen"/>
          <w:b w:val="0"/>
          <w:szCs w:val="22"/>
          <w:lang w:val="af-ZA"/>
        </w:rPr>
        <w:t xml:space="preserve"> </w:t>
      </w:r>
      <w:r w:rsidRPr="00A83C94">
        <w:rPr>
          <w:rFonts w:cs="Sylfaen"/>
          <w:b w:val="0"/>
          <w:szCs w:val="22"/>
          <w:lang w:val="hy-AM"/>
        </w:rPr>
        <w:t>է</w:t>
      </w:r>
      <w:r w:rsidRPr="00A83C94">
        <w:rPr>
          <w:rFonts w:cs="Sylfaen"/>
          <w:b w:val="0"/>
          <w:szCs w:val="22"/>
          <w:lang w:val="af-ZA"/>
        </w:rPr>
        <w:t xml:space="preserve"> </w:t>
      </w:r>
      <w:r w:rsidRPr="00A83C94">
        <w:rPr>
          <w:rFonts w:cs="Sylfaen"/>
          <w:b w:val="0"/>
          <w:szCs w:val="22"/>
          <w:lang w:val="hy-AM"/>
        </w:rPr>
        <w:t xml:space="preserve">Երևանք քաղաքում՝ </w:t>
      </w:r>
      <w:r w:rsidRPr="00A83C94">
        <w:rPr>
          <w:b w:val="0"/>
          <w:bCs/>
          <w:iCs/>
          <w:lang w:val="fr-FR"/>
        </w:rPr>
        <w:t>մետորոպոլիտենի դրենաժային թունելի կառուցում, 28 փողոցների արտաքին լուսավորության ցանց</w:t>
      </w:r>
      <w:r w:rsidRPr="00A83C94">
        <w:rPr>
          <w:b w:val="0"/>
          <w:bCs/>
          <w:iCs/>
          <w:lang w:val="hy-AM"/>
        </w:rPr>
        <w:t>ի</w:t>
      </w:r>
      <w:r w:rsidRPr="00A83C94">
        <w:rPr>
          <w:b w:val="0"/>
          <w:bCs/>
          <w:iCs/>
          <w:lang w:val="fr-FR"/>
        </w:rPr>
        <w:t xml:space="preserve"> արդիականաց</w:t>
      </w:r>
      <w:r w:rsidRPr="00A83C94">
        <w:rPr>
          <w:b w:val="0"/>
          <w:bCs/>
          <w:iCs/>
          <w:lang w:val="hy-AM"/>
        </w:rPr>
        <w:t>ում,</w:t>
      </w:r>
      <w:r w:rsidRPr="00A83C94">
        <w:rPr>
          <w:b w:val="0"/>
          <w:bCs/>
          <w:iCs/>
          <w:lang w:val="fr-FR"/>
        </w:rPr>
        <w:t xml:space="preserve"> ավարտել  Բաբաջանյան-Աշտարակի խճուղի 9.4 կմ երկարությամբ և 24 մ միջին լայնությամբ և Արգավանդ -Շիրակ ճանապարհահատվածի 2.7 կմ երկարությամբ  ճանապարհահատվածների կառուցումը, իսկ Գյումրի քաղաքում՝ ընտրված փողոցների վերանորոգում և լուավորության ցանցի արդիականացում: </w:t>
      </w:r>
    </w:p>
    <w:p w14:paraId="21860290" w14:textId="04A4D5CD" w:rsidR="0023176E" w:rsidRPr="00A83C94" w:rsidRDefault="0023176E" w:rsidP="0023176E">
      <w:pPr>
        <w:spacing w:before="0" w:line="276" w:lineRule="auto"/>
        <w:ind w:firstLine="720"/>
        <w:rPr>
          <w:b w:val="0"/>
          <w:bCs/>
          <w:iCs/>
          <w:lang w:val="hy-AM"/>
        </w:rPr>
      </w:pPr>
      <w:r w:rsidRPr="00A83C94">
        <w:rPr>
          <w:b w:val="0"/>
          <w:bCs/>
          <w:iCs/>
          <w:lang w:val="fr-FR"/>
        </w:rPr>
        <w:t>Եվրոմիության աջակցության վարկային ծրագրի շրջանակներում Էներգախնայողության նպատակով Սյունիքի մարզի բազմաբնակարան շենքերում նախատեսվում</w:t>
      </w:r>
      <w:r w:rsidRPr="00A83C94">
        <w:rPr>
          <w:b w:val="0"/>
          <w:bCs/>
          <w:iCs/>
          <w:lang w:val="hy-AM"/>
        </w:rPr>
        <w:t xml:space="preserve"> է իրականացնել էներգախնայողության (ջերմամեկուսացման) միջոցառումներ՝ Կապանի 151 շենքերում:</w:t>
      </w:r>
      <w:r w:rsidR="004D241C" w:rsidRPr="00A83C94">
        <w:rPr>
          <w:b w:val="0"/>
          <w:bCs/>
          <w:iCs/>
          <w:lang w:val="hy-AM"/>
        </w:rPr>
        <w:t>ս</w:t>
      </w:r>
    </w:p>
    <w:p w14:paraId="2D1D1186" w14:textId="63FEA8D4" w:rsidR="0023176E" w:rsidRPr="00A83C94" w:rsidRDefault="0023176E" w:rsidP="0023176E">
      <w:pPr>
        <w:spacing w:before="0" w:line="276" w:lineRule="auto"/>
        <w:ind w:firstLine="720"/>
        <w:rPr>
          <w:b w:val="0"/>
          <w:bCs/>
          <w:iCs/>
          <w:lang w:val="hy-AM"/>
        </w:rPr>
      </w:pPr>
      <w:r w:rsidRPr="00A83C94">
        <w:rPr>
          <w:szCs w:val="22"/>
          <w:lang w:val="hy-AM"/>
        </w:rPr>
        <w:t xml:space="preserve">Էլեկտրաէներգետիկ համակարգի զարգացման </w:t>
      </w:r>
      <w:r w:rsidRPr="00A83C94">
        <w:rPr>
          <w:b w:val="0"/>
          <w:bCs/>
          <w:iCs/>
          <w:lang w:val="hy-AM"/>
        </w:rPr>
        <w:t>ծրագրի գծով 2022 թվականին նախա</w:t>
      </w:r>
      <w:r w:rsidRPr="00A83C94">
        <w:rPr>
          <w:b w:val="0"/>
          <w:bCs/>
          <w:iCs/>
          <w:lang w:val="hy-AM"/>
        </w:rPr>
        <w:softHyphen/>
        <w:t xml:space="preserve">տեսվում է հատկացնել </w:t>
      </w:r>
      <w:r w:rsidR="00926E4D" w:rsidRPr="002526E9">
        <w:rPr>
          <w:b w:val="0"/>
          <w:bCs/>
          <w:iCs/>
          <w:lang w:val="hy-AM"/>
        </w:rPr>
        <w:t>444.1</w:t>
      </w:r>
      <w:r w:rsidRPr="00A83C94">
        <w:rPr>
          <w:b w:val="0"/>
          <w:bCs/>
          <w:iCs/>
          <w:lang w:val="hy-AM"/>
        </w:rPr>
        <w:t xml:space="preserve"> մլն դրամ:</w:t>
      </w:r>
    </w:p>
    <w:p w14:paraId="4F3618E5" w14:textId="77777777" w:rsidR="0023176E" w:rsidRPr="00A83C94" w:rsidRDefault="0023176E" w:rsidP="0023176E">
      <w:pPr>
        <w:spacing w:before="0" w:line="276" w:lineRule="auto"/>
        <w:ind w:firstLine="720"/>
        <w:rPr>
          <w:b w:val="0"/>
          <w:bCs/>
          <w:iCs/>
          <w:lang w:val="hy-AM"/>
        </w:rPr>
      </w:pPr>
      <w:r w:rsidRPr="00A83C94">
        <w:rPr>
          <w:b w:val="0"/>
          <w:bCs/>
          <w:iCs/>
          <w:lang w:val="hy-AM"/>
        </w:rPr>
        <w:t>Ծրագրի նպատակն է նպաստել էլեկտրաէներգետիկ համակարգի հուսալիության բարձրացմանը և էլեկտրաէներգիայի անխափան մատակարարման ապահովմանը:</w:t>
      </w:r>
    </w:p>
    <w:p w14:paraId="6965F383" w14:textId="77777777" w:rsidR="0023176E" w:rsidRPr="00A83C94" w:rsidRDefault="0023176E" w:rsidP="0023176E">
      <w:pPr>
        <w:spacing w:before="0" w:line="276" w:lineRule="auto"/>
        <w:ind w:firstLine="720"/>
        <w:rPr>
          <w:b w:val="0"/>
          <w:bCs/>
          <w:iCs/>
          <w:szCs w:val="22"/>
          <w:lang w:val="hy-AM"/>
        </w:rPr>
      </w:pPr>
      <w:r w:rsidRPr="00A83C94">
        <w:rPr>
          <w:b w:val="0"/>
          <w:bCs/>
          <w:iCs/>
          <w:lang w:val="hy-AM"/>
        </w:rPr>
        <w:t xml:space="preserve">Դրամաշնորհային ծրագրերի շրջանակներում կիրականացվեն Հայաստան-Վրաստան 400 կՎ լարման էլեկտրահաղորդման օդային գծերի և համապատասխան ենթակայանների կառուցման գլխավոր կապալառուների ընտրության և գլխավոր կապալառուների հետ համապատասխան պայմանագրերի կնքման </w:t>
      </w:r>
      <w:r w:rsidRPr="00A83C94">
        <w:rPr>
          <w:b w:val="0"/>
          <w:bCs/>
          <w:iCs/>
          <w:szCs w:val="22"/>
          <w:lang w:val="hy-AM"/>
        </w:rPr>
        <w:t>աշխատանքները, որը կապված է համանուն վարկային ծրագրի հետ:</w:t>
      </w:r>
    </w:p>
    <w:p w14:paraId="073BDF21" w14:textId="77777777" w:rsidR="0023176E" w:rsidRPr="00A83C94" w:rsidRDefault="0023176E" w:rsidP="0023176E">
      <w:pPr>
        <w:spacing w:line="276" w:lineRule="auto"/>
        <w:rPr>
          <w:b w:val="0"/>
          <w:bCs/>
          <w:iCs/>
          <w:szCs w:val="22"/>
          <w:lang w:val="hy-AM"/>
        </w:rPr>
      </w:pPr>
      <w:r w:rsidRPr="00A83C94">
        <w:rPr>
          <w:b w:val="0"/>
          <w:bCs/>
          <w:iCs/>
          <w:szCs w:val="22"/>
          <w:lang w:val="hy-AM"/>
        </w:rPr>
        <w:t>Արդյունքում՝ հայկական և վրացական էներգահամակարգերի միացման հետևանքով Հայաստան-Վրաստան էլեկտրաէներգիայի փոխանակման հզորությունը ներկայիս 200 մՎտ-ից առաջին փուլում կհասցվի 350 մՎտ-ի, հետագայում՝ ելնելով տարածաշրջանային շուկայի պահանջարկից մինչև 1050 մՎտ-ի:</w:t>
      </w:r>
    </w:p>
    <w:p w14:paraId="1EEBB61A" w14:textId="77777777" w:rsidR="0023176E" w:rsidRPr="00A83C94" w:rsidRDefault="0023176E" w:rsidP="0023176E">
      <w:pPr>
        <w:spacing w:line="276" w:lineRule="auto"/>
        <w:rPr>
          <w:b w:val="0"/>
          <w:szCs w:val="22"/>
          <w:lang w:val="hy-AM"/>
        </w:rPr>
      </w:pPr>
      <w:r w:rsidRPr="00A83C94">
        <w:rPr>
          <w:szCs w:val="22"/>
          <w:lang w:val="hy-AM"/>
        </w:rPr>
        <w:t xml:space="preserve">Ռադիոակտիվ թափոնների կառավարում </w:t>
      </w:r>
      <w:r w:rsidRPr="00A83C94">
        <w:rPr>
          <w:b w:val="0"/>
          <w:szCs w:val="22"/>
          <w:lang w:val="hy-AM"/>
        </w:rPr>
        <w:t>ծրագրի գծով 2022 թվականին նախա</w:t>
      </w:r>
      <w:r w:rsidRPr="00A83C94">
        <w:rPr>
          <w:b w:val="0"/>
          <w:szCs w:val="22"/>
          <w:lang w:val="hy-AM"/>
        </w:rPr>
        <w:softHyphen/>
        <w:t>տեսվում է հատկացնել 37.0 մլն դրամ:</w:t>
      </w:r>
    </w:p>
    <w:p w14:paraId="53B5D75D" w14:textId="77777777" w:rsidR="0023176E" w:rsidRPr="00A83C94" w:rsidRDefault="0023176E" w:rsidP="0023176E">
      <w:pPr>
        <w:spacing w:line="276" w:lineRule="auto"/>
        <w:rPr>
          <w:b w:val="0"/>
          <w:szCs w:val="22"/>
          <w:lang w:val="hy-AM"/>
        </w:rPr>
      </w:pPr>
      <w:r w:rsidRPr="00A83C94">
        <w:rPr>
          <w:b w:val="0"/>
          <w:szCs w:val="22"/>
          <w:lang w:val="hy-AM"/>
        </w:rPr>
        <w:t xml:space="preserve">Ծրագրի նպատակն է միջուկային և ճառագայթային անվտանգության նորմերի ու կանոնների պահպանմամբ ռադիոակտիվ թափոնների կենտրոնացված փոխադրման, ուսումնասիրման, պահպանման, վնասազերծման և թաղման ապահովումը` մարդկանց և շրջակա միջավայրի իոնացնող ճառագայթման վնասակար ազդեցությունից պաշտպանելու համար: Ծրագրի կատարումից ակնկալվում է հայտնաբերված ռադիոակտիվ թափոնների 100% վնասազերծում: Ծրագրի շրջանակներում նախատեսվում է 150 ռադիոակտիվ թափոնների միջուկային և ճառագայթային անվտանգության նորմերի ու կանոնների պահպանմամբ կենտրոնացված փոխադրման, ուսումնասիրման, պահպանման և վնասազերծման աշխատանքներ: </w:t>
      </w:r>
    </w:p>
    <w:p w14:paraId="0213F56A" w14:textId="77777777" w:rsidR="0023176E" w:rsidRPr="00A83C94" w:rsidRDefault="0023176E" w:rsidP="0023176E">
      <w:pPr>
        <w:spacing w:line="276" w:lineRule="auto"/>
        <w:rPr>
          <w:b w:val="0"/>
          <w:szCs w:val="22"/>
          <w:lang w:val="hy-AM"/>
        </w:rPr>
      </w:pPr>
      <w:r w:rsidRPr="00A83C94">
        <w:rPr>
          <w:rFonts w:cs="Sylfaen"/>
          <w:szCs w:val="22"/>
          <w:lang w:val="hy-AM"/>
        </w:rPr>
        <w:t xml:space="preserve">Ավիացիայի բնագավառում վերահսկողության, կանոնակարգման և զարգացման ապահովում </w:t>
      </w:r>
      <w:r w:rsidRPr="00A83C94">
        <w:rPr>
          <w:b w:val="0"/>
          <w:szCs w:val="22"/>
          <w:lang w:val="hy-AM"/>
        </w:rPr>
        <w:t>ծրագրի գծով 2022 թվականին նախա</w:t>
      </w:r>
      <w:r w:rsidRPr="00A83C94">
        <w:rPr>
          <w:b w:val="0"/>
          <w:szCs w:val="22"/>
          <w:lang w:val="hy-AM"/>
        </w:rPr>
        <w:softHyphen/>
        <w:t>տեսվել է 1,042.6 մլն դրամ (որից 1,006.0 մլն դրամը ապարատի պահպանմանն ուղղվող գումարներն են):</w:t>
      </w:r>
    </w:p>
    <w:p w14:paraId="52BA82D4" w14:textId="77777777" w:rsidR="0023176E" w:rsidRPr="00A83C94" w:rsidRDefault="0023176E" w:rsidP="0023176E">
      <w:pPr>
        <w:widowControl w:val="0"/>
        <w:spacing w:line="276" w:lineRule="auto"/>
        <w:rPr>
          <w:b w:val="0"/>
          <w:szCs w:val="22"/>
          <w:lang w:val="hy-AM"/>
        </w:rPr>
      </w:pPr>
      <w:r w:rsidRPr="00A83C94">
        <w:rPr>
          <w:rFonts w:cs="Sylfaen"/>
          <w:b w:val="0"/>
          <w:szCs w:val="22"/>
          <w:lang w:val="hy-AM"/>
        </w:rPr>
        <w:t>Նշված ծրագրի շրջանակներում կ</w:t>
      </w:r>
      <w:r w:rsidRPr="00A83C94">
        <w:rPr>
          <w:b w:val="0"/>
          <w:szCs w:val="22"/>
          <w:lang w:val="hy-AM"/>
        </w:rPr>
        <w:t>վերապատրաստվեն ՀՀ տարածքային կառավարման և ենթակառուցվածքների նախարարության քաղաքացիական ավիացիայի կոմիտեի 59 աշխատակիցներ (</w:t>
      </w:r>
      <w:r w:rsidRPr="00A83C94">
        <w:rPr>
          <w:rFonts w:cs="Sylfaen"/>
          <w:b w:val="0"/>
          <w:szCs w:val="22"/>
          <w:lang w:val="hy-AM"/>
        </w:rPr>
        <w:t xml:space="preserve">36.5 </w:t>
      </w:r>
      <w:r w:rsidRPr="00A83C94">
        <w:rPr>
          <w:b w:val="0"/>
          <w:szCs w:val="22"/>
          <w:lang w:val="hy-AM"/>
        </w:rPr>
        <w:t>մլն դրամ):</w:t>
      </w:r>
    </w:p>
    <w:p w14:paraId="5839D602" w14:textId="79D138A8" w:rsidR="0023176E" w:rsidRPr="00A83C94" w:rsidRDefault="0023176E" w:rsidP="0023176E">
      <w:pPr>
        <w:widowControl w:val="0"/>
        <w:spacing w:line="276" w:lineRule="auto"/>
        <w:rPr>
          <w:b w:val="0"/>
          <w:szCs w:val="22"/>
          <w:lang w:val="hy-AM"/>
        </w:rPr>
      </w:pPr>
      <w:r w:rsidRPr="00A83C94">
        <w:rPr>
          <w:rFonts w:cs="Sylfaen"/>
          <w:szCs w:val="22"/>
          <w:lang w:val="hy-AM"/>
        </w:rPr>
        <w:t xml:space="preserve">Դպրոցների սեյսմիկ անվտանգության մակարդակի բարձրացման </w:t>
      </w:r>
      <w:r w:rsidRPr="00A83C94">
        <w:rPr>
          <w:b w:val="0"/>
          <w:szCs w:val="22"/>
          <w:lang w:val="hy-AM"/>
        </w:rPr>
        <w:t>ծրագրի գծով 2022 թվական</w:t>
      </w:r>
      <w:r w:rsidR="00F36E04">
        <w:rPr>
          <w:b w:val="0"/>
          <w:szCs w:val="22"/>
          <w:lang w:val="hy-AM"/>
        </w:rPr>
        <w:t xml:space="preserve">ին նախատեսվել է </w:t>
      </w:r>
      <w:r w:rsidR="00926E4D" w:rsidRPr="002526E9">
        <w:rPr>
          <w:b w:val="0"/>
          <w:szCs w:val="22"/>
          <w:lang w:val="hy-AM"/>
        </w:rPr>
        <w:t>5,990.1</w:t>
      </w:r>
      <w:r w:rsidRPr="00A83C94">
        <w:rPr>
          <w:b w:val="0"/>
          <w:szCs w:val="22"/>
          <w:lang w:val="hy-AM"/>
        </w:rPr>
        <w:t xml:space="preserve"> մլն դրամ:</w:t>
      </w:r>
    </w:p>
    <w:p w14:paraId="3DD3F726" w14:textId="77777777" w:rsidR="0023176E" w:rsidRPr="0089541F" w:rsidRDefault="0023176E" w:rsidP="0023176E">
      <w:pPr>
        <w:spacing w:line="276" w:lineRule="auto"/>
        <w:rPr>
          <w:b w:val="0"/>
          <w:szCs w:val="22"/>
          <w:lang w:val="hy-AM"/>
        </w:rPr>
      </w:pPr>
      <w:r w:rsidRPr="00A83C94">
        <w:rPr>
          <w:b w:val="0"/>
          <w:szCs w:val="22"/>
          <w:lang w:val="hy-AM"/>
        </w:rPr>
        <w:t>Ծրագրի նպատակն է նպաստել երկրի սեյսմակայունության ապահովմանը, անհատական և հասարակական անվտանգության մակարդակի բարձրացմանը, որի գծով արտաքին ա</w:t>
      </w:r>
      <w:r w:rsidRPr="0089541F">
        <w:rPr>
          <w:b w:val="0"/>
          <w:szCs w:val="22"/>
          <w:lang w:val="hy-AM"/>
        </w:rPr>
        <w:t xml:space="preserve">ղբյուրների ֆինանսավորմամբ իրականացվող շարունակական ծրագրերի ներքո նախատեսվում է 26 դպրոցներում շինարարության և վերակառուցման աշխատանքներ,  շահագործման կհանձնվեն 7 դպրոցներ, 3216 աշակերտներ կհաճախեն սեյսմիկ անվտանգության չափանիշներին համապատասխան վերակառուցված կամ  նոր կառուցված դպրոցներ: </w:t>
      </w:r>
    </w:p>
    <w:p w14:paraId="07BD4047" w14:textId="77777777" w:rsidR="0023176E" w:rsidRPr="0089541F" w:rsidRDefault="0023176E" w:rsidP="0023176E">
      <w:pPr>
        <w:spacing w:line="276" w:lineRule="auto"/>
        <w:rPr>
          <w:b w:val="0"/>
          <w:szCs w:val="22"/>
          <w:lang w:val="hy-AM"/>
        </w:rPr>
      </w:pPr>
      <w:r w:rsidRPr="0089541F">
        <w:rPr>
          <w:szCs w:val="22"/>
          <w:lang w:val="hy-AM"/>
        </w:rPr>
        <w:t xml:space="preserve">Տարածքային զարգացում </w:t>
      </w:r>
      <w:r w:rsidRPr="0089541F">
        <w:rPr>
          <w:b w:val="0"/>
          <w:szCs w:val="22"/>
          <w:lang w:val="hy-AM"/>
        </w:rPr>
        <w:t>ծրագրի գծով 2022 թվականին նախա</w:t>
      </w:r>
      <w:r w:rsidRPr="0089541F">
        <w:rPr>
          <w:b w:val="0"/>
          <w:szCs w:val="22"/>
          <w:lang w:val="hy-AM"/>
        </w:rPr>
        <w:softHyphen/>
        <w:t>տեսվում է հատկացնել 83</w:t>
      </w:r>
      <w:r w:rsidRPr="0089541F">
        <w:rPr>
          <w:rFonts w:cs="Sylfaen"/>
          <w:b w:val="0"/>
          <w:szCs w:val="22"/>
          <w:lang w:val="hy-AM"/>
        </w:rPr>
        <w:t xml:space="preserve">.509.2 </w:t>
      </w:r>
      <w:r w:rsidRPr="0089541F">
        <w:rPr>
          <w:b w:val="0"/>
          <w:szCs w:val="22"/>
          <w:lang w:val="hy-AM"/>
        </w:rPr>
        <w:t xml:space="preserve">մլն դրամ: </w:t>
      </w:r>
    </w:p>
    <w:p w14:paraId="0257A49C" w14:textId="3C416C59" w:rsidR="0023176E" w:rsidRPr="0089541F" w:rsidRDefault="0023176E" w:rsidP="0023176E">
      <w:pPr>
        <w:spacing w:line="276" w:lineRule="auto"/>
        <w:rPr>
          <w:b w:val="0"/>
          <w:szCs w:val="22"/>
          <w:lang w:val="hy-AM"/>
        </w:rPr>
      </w:pPr>
      <w:r w:rsidRPr="0089541F">
        <w:rPr>
          <w:b w:val="0"/>
          <w:szCs w:val="22"/>
          <w:lang w:val="hy-AM"/>
        </w:rPr>
        <w:t>Ծրագրի նպատակ</w:t>
      </w:r>
      <w:r w:rsidR="00832A79" w:rsidRPr="0089541F">
        <w:rPr>
          <w:b w:val="0"/>
          <w:szCs w:val="22"/>
          <w:lang w:val="hy-AM"/>
        </w:rPr>
        <w:t>ն է</w:t>
      </w:r>
      <w:r w:rsidRPr="0089541F">
        <w:rPr>
          <w:b w:val="0"/>
          <w:szCs w:val="22"/>
          <w:lang w:val="hy-AM"/>
        </w:rPr>
        <w:t xml:space="preserve"> տարածքային համաչափ զարգացման խթանումը (մասնավորապես ՀՀ համայնքների կառավարման արդյունավետության բարձրացումն ու տնտեսական գործունեության խթանումը (ներառյալ </w:t>
      </w:r>
      <w:r w:rsidRPr="0089541F">
        <w:rPr>
          <w:rFonts w:cs="Sylfaen"/>
          <w:b w:val="0"/>
          <w:szCs w:val="22"/>
          <w:lang w:val="hy-AM"/>
        </w:rPr>
        <w:t>ՀՀ</w:t>
      </w:r>
      <w:r w:rsidRPr="0089541F">
        <w:rPr>
          <w:rFonts w:cs="Sylfaen"/>
          <w:b w:val="0"/>
          <w:szCs w:val="22"/>
          <w:lang w:val="fr-FR"/>
        </w:rPr>
        <w:t xml:space="preserve"> </w:t>
      </w:r>
      <w:r w:rsidRPr="0089541F">
        <w:rPr>
          <w:rFonts w:cs="Sylfaen"/>
          <w:b w:val="0"/>
          <w:szCs w:val="22"/>
          <w:lang w:val="hy-AM"/>
        </w:rPr>
        <w:t>Գեղարքունիքի</w:t>
      </w:r>
      <w:r w:rsidRPr="0089541F">
        <w:rPr>
          <w:rFonts w:cs="Sylfaen"/>
          <w:b w:val="0"/>
          <w:szCs w:val="22"/>
          <w:lang w:val="fr-FR"/>
        </w:rPr>
        <w:t xml:space="preserve"> </w:t>
      </w:r>
      <w:r w:rsidRPr="0089541F">
        <w:rPr>
          <w:rFonts w:cs="Sylfaen"/>
          <w:b w:val="0"/>
          <w:szCs w:val="22"/>
          <w:lang w:val="hy-AM"/>
        </w:rPr>
        <w:t>մարզի</w:t>
      </w:r>
      <w:r w:rsidRPr="0089541F">
        <w:rPr>
          <w:rFonts w:cs="Sylfaen"/>
          <w:b w:val="0"/>
          <w:szCs w:val="22"/>
          <w:lang w:val="fr-FR"/>
        </w:rPr>
        <w:t xml:space="preserve"> </w:t>
      </w:r>
      <w:r w:rsidRPr="0089541F">
        <w:rPr>
          <w:rFonts w:cs="Sylfaen"/>
          <w:b w:val="0"/>
          <w:szCs w:val="22"/>
          <w:lang w:val="hy-AM"/>
        </w:rPr>
        <w:t>Արծվաշեն</w:t>
      </w:r>
      <w:r w:rsidRPr="0089541F">
        <w:rPr>
          <w:rFonts w:cs="Sylfaen"/>
          <w:b w:val="0"/>
          <w:szCs w:val="22"/>
          <w:lang w:val="fr-FR"/>
        </w:rPr>
        <w:t xml:space="preserve"> </w:t>
      </w:r>
      <w:r w:rsidRPr="0089541F">
        <w:rPr>
          <w:rFonts w:cs="Sylfaen"/>
          <w:b w:val="0"/>
          <w:szCs w:val="22"/>
          <w:lang w:val="hy-AM"/>
        </w:rPr>
        <w:t>բնակավայրի), սահմանամերձ համայնքների սոցիալական</w:t>
      </w:r>
      <w:r w:rsidRPr="0089541F">
        <w:rPr>
          <w:rFonts w:cs="Sylfaen"/>
          <w:b w:val="0"/>
          <w:szCs w:val="22"/>
          <w:lang w:val="fr-FR"/>
        </w:rPr>
        <w:t xml:space="preserve"> </w:t>
      </w:r>
      <w:r w:rsidRPr="0089541F">
        <w:rPr>
          <w:rFonts w:cs="Sylfaen"/>
          <w:b w:val="0"/>
          <w:szCs w:val="22"/>
          <w:lang w:val="hy-AM"/>
        </w:rPr>
        <w:t>աջակցությունը և ՀՀ կառավարության կողմից համաֆինանսավորման սկզբունքով համայնքներում սուբվենցիոն ծրագրերի իրականացումը</w:t>
      </w:r>
      <w:r w:rsidR="006E0113" w:rsidRPr="006E0113">
        <w:rPr>
          <w:rFonts w:cs="Sylfaen"/>
          <w:b w:val="0"/>
          <w:szCs w:val="22"/>
          <w:lang w:val="hy-AM"/>
        </w:rPr>
        <w:t>, ինչպես նաև համայնքներին ֆինանսական համահարթեցման դոտացիաների տրամադրումը</w:t>
      </w:r>
      <w:r w:rsidRPr="0089541F">
        <w:rPr>
          <w:rFonts w:cs="Sylfaen"/>
          <w:b w:val="0"/>
          <w:szCs w:val="22"/>
          <w:lang w:val="hy-AM"/>
        </w:rPr>
        <w:t>:</w:t>
      </w:r>
    </w:p>
    <w:p w14:paraId="7752ACB7" w14:textId="10DB262A" w:rsidR="0023176E" w:rsidRPr="0089541F" w:rsidRDefault="0023176E" w:rsidP="0023176E">
      <w:pPr>
        <w:widowControl w:val="0"/>
        <w:spacing w:line="276" w:lineRule="auto"/>
        <w:rPr>
          <w:rFonts w:cs="Sylfaen"/>
          <w:b w:val="0"/>
          <w:szCs w:val="22"/>
          <w:lang w:val="fr-FR"/>
        </w:rPr>
      </w:pPr>
      <w:r w:rsidRPr="0089541F">
        <w:rPr>
          <w:b w:val="0"/>
          <w:szCs w:val="22"/>
          <w:lang w:val="hy-AM"/>
        </w:rPr>
        <w:t xml:space="preserve">Նշված ծրագրերի շրջանակներում նախատեսվում է </w:t>
      </w:r>
      <w:r w:rsidRPr="0089541F">
        <w:rPr>
          <w:rFonts w:cs="Sylfaen"/>
          <w:b w:val="0"/>
          <w:szCs w:val="22"/>
          <w:lang w:val="hy-AM"/>
        </w:rPr>
        <w:t>փոխհատուցել սոցիալական</w:t>
      </w:r>
      <w:r w:rsidRPr="0089541F">
        <w:rPr>
          <w:rFonts w:cs="Sylfaen"/>
          <w:b w:val="0"/>
          <w:szCs w:val="22"/>
          <w:lang w:val="fr-FR"/>
        </w:rPr>
        <w:t xml:space="preserve"> </w:t>
      </w:r>
      <w:r w:rsidRPr="0089541F">
        <w:rPr>
          <w:rFonts w:cs="Sylfaen"/>
          <w:b w:val="0"/>
          <w:szCs w:val="22"/>
          <w:lang w:val="hy-AM"/>
        </w:rPr>
        <w:t>աջակցություն</w:t>
      </w:r>
      <w:r w:rsidRPr="0089541F">
        <w:rPr>
          <w:rFonts w:cs="Sylfaen"/>
          <w:b w:val="0"/>
          <w:szCs w:val="22"/>
          <w:lang w:val="fr-FR"/>
        </w:rPr>
        <w:t xml:space="preserve"> </w:t>
      </w:r>
      <w:r w:rsidRPr="0089541F">
        <w:rPr>
          <w:rFonts w:cs="Sylfaen"/>
          <w:b w:val="0"/>
          <w:szCs w:val="22"/>
          <w:lang w:val="hy-AM"/>
        </w:rPr>
        <w:t>ստացող</w:t>
      </w:r>
      <w:r w:rsidRPr="0089541F">
        <w:rPr>
          <w:rFonts w:cs="Sylfaen"/>
          <w:b w:val="0"/>
          <w:szCs w:val="22"/>
          <w:lang w:val="fr-FR"/>
        </w:rPr>
        <w:t xml:space="preserve"> </w:t>
      </w:r>
      <w:r w:rsidRPr="0089541F">
        <w:rPr>
          <w:rFonts w:cs="Sylfaen"/>
          <w:b w:val="0"/>
          <w:szCs w:val="22"/>
          <w:lang w:val="hy-AM"/>
        </w:rPr>
        <w:t>սահմանամերձ</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w:t>
      </w:r>
      <w:r w:rsidR="006E0113" w:rsidRPr="006E0113">
        <w:rPr>
          <w:rFonts w:cs="Sylfaen"/>
          <w:b w:val="0"/>
          <w:szCs w:val="22"/>
          <w:lang w:val="hy-AM"/>
        </w:rPr>
        <w:t>23</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8</w:t>
      </w:r>
      <w:r w:rsidR="006E0113" w:rsidRPr="006E0113">
        <w:rPr>
          <w:rFonts w:cs="Sylfaen"/>
          <w:b w:val="0"/>
          <w:szCs w:val="22"/>
          <w:lang w:val="hy-AM"/>
        </w:rPr>
        <w:t>1</w:t>
      </w:r>
      <w:r w:rsidRPr="0089541F">
        <w:rPr>
          <w:rFonts w:cs="Sylfaen"/>
          <w:b w:val="0"/>
          <w:szCs w:val="22"/>
          <w:lang w:val="fr-FR"/>
        </w:rPr>
        <w:t xml:space="preserve"> </w:t>
      </w:r>
      <w:r w:rsidRPr="0089541F">
        <w:rPr>
          <w:rFonts w:cs="Sylfaen"/>
          <w:b w:val="0"/>
          <w:szCs w:val="22"/>
          <w:lang w:val="hy-AM"/>
        </w:rPr>
        <w:t>բնակավայրեր) կողմից</w:t>
      </w:r>
      <w:r w:rsidRPr="0089541F">
        <w:rPr>
          <w:rFonts w:cs="Sylfaen"/>
          <w:b w:val="0"/>
          <w:szCs w:val="22"/>
          <w:lang w:val="fr-FR"/>
        </w:rPr>
        <w:t xml:space="preserve"> </w:t>
      </w:r>
      <w:r w:rsidRPr="0089541F">
        <w:rPr>
          <w:rFonts w:cs="Sylfaen"/>
          <w:b w:val="0"/>
          <w:szCs w:val="22"/>
          <w:lang w:val="hy-AM"/>
        </w:rPr>
        <w:t>ծախսված</w:t>
      </w:r>
      <w:r w:rsidRPr="0089541F">
        <w:rPr>
          <w:rFonts w:cs="Sylfaen"/>
          <w:b w:val="0"/>
          <w:szCs w:val="22"/>
          <w:lang w:val="fr-FR"/>
        </w:rPr>
        <w:t xml:space="preserve"> </w:t>
      </w:r>
      <w:r w:rsidRPr="0089541F">
        <w:rPr>
          <w:rFonts w:cs="Sylfaen"/>
          <w:b w:val="0"/>
          <w:szCs w:val="22"/>
          <w:lang w:val="hy-AM"/>
        </w:rPr>
        <w:t>բնական</w:t>
      </w:r>
      <w:r w:rsidRPr="0089541F">
        <w:rPr>
          <w:rFonts w:cs="Sylfaen"/>
          <w:b w:val="0"/>
          <w:szCs w:val="22"/>
          <w:lang w:val="fr-FR"/>
        </w:rPr>
        <w:t xml:space="preserve"> </w:t>
      </w:r>
      <w:r w:rsidRPr="0089541F">
        <w:rPr>
          <w:rFonts w:cs="Sylfaen"/>
          <w:b w:val="0"/>
          <w:szCs w:val="22"/>
          <w:lang w:val="hy-AM"/>
        </w:rPr>
        <w:t>գազի</w:t>
      </w:r>
      <w:r w:rsidRPr="0089541F">
        <w:rPr>
          <w:rFonts w:cs="Sylfaen"/>
          <w:b w:val="0"/>
          <w:szCs w:val="22"/>
          <w:lang w:val="fr-FR"/>
        </w:rPr>
        <w:t xml:space="preserve">, </w:t>
      </w:r>
      <w:r w:rsidRPr="0089541F">
        <w:rPr>
          <w:rFonts w:cs="Sylfaen"/>
          <w:b w:val="0"/>
          <w:szCs w:val="22"/>
          <w:lang w:val="hy-AM"/>
        </w:rPr>
        <w:t>էլեկտրաէներգիայի</w:t>
      </w:r>
      <w:r w:rsidRPr="0089541F">
        <w:rPr>
          <w:rFonts w:cs="Sylfaen"/>
          <w:b w:val="0"/>
          <w:szCs w:val="22"/>
          <w:lang w:val="fr-FR"/>
        </w:rPr>
        <w:t xml:space="preserve">, </w:t>
      </w:r>
      <w:r w:rsidRPr="0089541F">
        <w:rPr>
          <w:rFonts w:cs="Sylfaen"/>
          <w:b w:val="0"/>
          <w:szCs w:val="22"/>
          <w:lang w:val="hy-AM"/>
        </w:rPr>
        <w:t>ոռոգման</w:t>
      </w:r>
      <w:r w:rsidRPr="0089541F">
        <w:rPr>
          <w:rFonts w:cs="Sylfaen"/>
          <w:b w:val="0"/>
          <w:szCs w:val="22"/>
          <w:lang w:val="fr-FR"/>
        </w:rPr>
        <w:t xml:space="preserve"> </w:t>
      </w:r>
      <w:r w:rsidRPr="0089541F">
        <w:rPr>
          <w:rFonts w:cs="Sylfaen"/>
          <w:b w:val="0"/>
          <w:szCs w:val="22"/>
          <w:lang w:val="hy-AM"/>
        </w:rPr>
        <w:t>ջրի</w:t>
      </w:r>
      <w:r w:rsidRPr="0089541F">
        <w:rPr>
          <w:rFonts w:cs="Sylfaen"/>
          <w:b w:val="0"/>
          <w:szCs w:val="22"/>
          <w:lang w:val="fr-FR"/>
        </w:rPr>
        <w:t xml:space="preserve">, </w:t>
      </w:r>
      <w:r w:rsidRPr="0089541F">
        <w:rPr>
          <w:rFonts w:cs="Sylfaen"/>
          <w:b w:val="0"/>
          <w:szCs w:val="22"/>
          <w:lang w:val="hy-AM"/>
        </w:rPr>
        <w:t>սահմանամերձ</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վարչական</w:t>
      </w:r>
      <w:r w:rsidRPr="0089541F">
        <w:rPr>
          <w:rFonts w:cs="Sylfaen"/>
          <w:b w:val="0"/>
          <w:szCs w:val="22"/>
          <w:lang w:val="fr-FR"/>
        </w:rPr>
        <w:t xml:space="preserve"> </w:t>
      </w:r>
      <w:r w:rsidRPr="0089541F">
        <w:rPr>
          <w:rFonts w:cs="Sylfaen"/>
          <w:b w:val="0"/>
          <w:szCs w:val="22"/>
          <w:lang w:val="hy-AM"/>
        </w:rPr>
        <w:t>տարածքում</w:t>
      </w:r>
      <w:r w:rsidRPr="0089541F">
        <w:rPr>
          <w:rFonts w:cs="Sylfaen"/>
          <w:b w:val="0"/>
          <w:szCs w:val="22"/>
          <w:lang w:val="fr-FR"/>
        </w:rPr>
        <w:t xml:space="preserve"> </w:t>
      </w:r>
      <w:r w:rsidRPr="0089541F">
        <w:rPr>
          <w:rFonts w:cs="Sylfaen"/>
          <w:b w:val="0"/>
          <w:szCs w:val="22"/>
          <w:lang w:val="hy-AM"/>
        </w:rPr>
        <w:t>գտնվող</w:t>
      </w:r>
      <w:r w:rsidRPr="0089541F">
        <w:rPr>
          <w:rFonts w:cs="Sylfaen"/>
          <w:b w:val="0"/>
          <w:szCs w:val="22"/>
          <w:lang w:val="fr-FR"/>
        </w:rPr>
        <w:t xml:space="preserve"> </w:t>
      </w:r>
      <w:r w:rsidRPr="0089541F">
        <w:rPr>
          <w:rFonts w:cs="Sylfaen"/>
          <w:b w:val="0"/>
          <w:szCs w:val="22"/>
          <w:lang w:val="hy-AM"/>
        </w:rPr>
        <w:t>մարտական</w:t>
      </w:r>
      <w:r w:rsidRPr="0089541F">
        <w:rPr>
          <w:rFonts w:cs="Sylfaen"/>
          <w:b w:val="0"/>
          <w:szCs w:val="22"/>
          <w:lang w:val="fr-FR"/>
        </w:rPr>
        <w:t xml:space="preserve"> </w:t>
      </w:r>
      <w:r w:rsidRPr="0089541F">
        <w:rPr>
          <w:rFonts w:cs="Sylfaen"/>
          <w:b w:val="0"/>
          <w:szCs w:val="22"/>
          <w:lang w:val="hy-AM"/>
        </w:rPr>
        <w:t>գործողությունների</w:t>
      </w:r>
      <w:r w:rsidRPr="0089541F">
        <w:rPr>
          <w:rFonts w:cs="Sylfaen"/>
          <w:b w:val="0"/>
          <w:szCs w:val="22"/>
          <w:lang w:val="fr-FR"/>
        </w:rPr>
        <w:t xml:space="preserve"> </w:t>
      </w:r>
      <w:r w:rsidRPr="0089541F">
        <w:rPr>
          <w:rFonts w:cs="Sylfaen"/>
          <w:b w:val="0"/>
          <w:szCs w:val="22"/>
          <w:lang w:val="hy-AM"/>
        </w:rPr>
        <w:t>հետևանքով</w:t>
      </w:r>
      <w:r w:rsidRPr="0089541F">
        <w:rPr>
          <w:rFonts w:cs="Sylfaen"/>
          <w:b w:val="0"/>
          <w:szCs w:val="22"/>
          <w:lang w:val="fr-FR"/>
        </w:rPr>
        <w:t xml:space="preserve"> </w:t>
      </w:r>
      <w:r w:rsidRPr="0089541F">
        <w:rPr>
          <w:rFonts w:cs="Sylfaen"/>
          <w:b w:val="0"/>
          <w:szCs w:val="22"/>
          <w:lang w:val="hy-AM"/>
        </w:rPr>
        <w:t>չօգտագործվող</w:t>
      </w:r>
      <w:r w:rsidRPr="0089541F">
        <w:rPr>
          <w:rFonts w:cs="Sylfaen"/>
          <w:b w:val="0"/>
          <w:szCs w:val="22"/>
          <w:lang w:val="fr-FR"/>
        </w:rPr>
        <w:t xml:space="preserve"> </w:t>
      </w:r>
      <w:r w:rsidRPr="0089541F">
        <w:rPr>
          <w:rFonts w:cs="Sylfaen"/>
          <w:b w:val="0"/>
          <w:szCs w:val="22"/>
          <w:lang w:val="hy-AM"/>
        </w:rPr>
        <w:t>և</w:t>
      </w:r>
      <w:r w:rsidRPr="0089541F">
        <w:rPr>
          <w:rFonts w:cs="Sylfaen"/>
          <w:b w:val="0"/>
          <w:szCs w:val="22"/>
          <w:lang w:val="fr-FR"/>
        </w:rPr>
        <w:t xml:space="preserve"> </w:t>
      </w:r>
      <w:r w:rsidRPr="0089541F">
        <w:rPr>
          <w:rFonts w:cs="Sylfaen"/>
          <w:b w:val="0"/>
          <w:szCs w:val="22"/>
          <w:lang w:val="hy-AM"/>
        </w:rPr>
        <w:t>հակառակորդի</w:t>
      </w:r>
      <w:r w:rsidRPr="0089541F">
        <w:rPr>
          <w:rFonts w:cs="Sylfaen"/>
          <w:b w:val="0"/>
          <w:szCs w:val="22"/>
          <w:lang w:val="fr-FR"/>
        </w:rPr>
        <w:t xml:space="preserve"> </w:t>
      </w:r>
      <w:r w:rsidRPr="0089541F">
        <w:rPr>
          <w:rFonts w:cs="Sylfaen"/>
          <w:b w:val="0"/>
          <w:szCs w:val="22"/>
          <w:lang w:val="hy-AM"/>
        </w:rPr>
        <w:t>կողմից</w:t>
      </w:r>
      <w:r w:rsidRPr="0089541F">
        <w:rPr>
          <w:rFonts w:cs="Sylfaen"/>
          <w:b w:val="0"/>
          <w:szCs w:val="22"/>
          <w:lang w:val="fr-FR"/>
        </w:rPr>
        <w:t xml:space="preserve"> </w:t>
      </w:r>
      <w:r w:rsidRPr="0089541F">
        <w:rPr>
          <w:rFonts w:cs="Sylfaen"/>
          <w:b w:val="0"/>
          <w:szCs w:val="22"/>
          <w:lang w:val="hy-AM"/>
        </w:rPr>
        <w:t>հողատարածքների</w:t>
      </w:r>
      <w:r w:rsidRPr="0089541F">
        <w:rPr>
          <w:rFonts w:cs="Sylfaen"/>
          <w:b w:val="0"/>
          <w:szCs w:val="22"/>
          <w:lang w:val="fr-FR"/>
        </w:rPr>
        <w:t xml:space="preserve"> </w:t>
      </w:r>
      <w:r w:rsidRPr="0089541F">
        <w:rPr>
          <w:rFonts w:cs="Sylfaen"/>
          <w:b w:val="0"/>
          <w:szCs w:val="22"/>
          <w:lang w:val="hy-AM"/>
        </w:rPr>
        <w:t>գնդակոծման</w:t>
      </w:r>
      <w:r w:rsidRPr="0089541F">
        <w:rPr>
          <w:rFonts w:cs="Sylfaen"/>
          <w:b w:val="0"/>
          <w:szCs w:val="22"/>
          <w:lang w:val="fr-FR"/>
        </w:rPr>
        <w:t xml:space="preserve"> </w:t>
      </w:r>
      <w:r w:rsidRPr="0089541F">
        <w:rPr>
          <w:rFonts w:cs="Sylfaen"/>
          <w:b w:val="0"/>
          <w:szCs w:val="22"/>
          <w:lang w:val="hy-AM"/>
        </w:rPr>
        <w:t>դեպքեր</w:t>
      </w:r>
      <w:r w:rsidRPr="0089541F">
        <w:rPr>
          <w:rFonts w:cs="Sylfaen"/>
          <w:b w:val="0"/>
          <w:szCs w:val="22"/>
          <w:lang w:val="fr-FR"/>
        </w:rPr>
        <w:t xml:space="preserve"> </w:t>
      </w:r>
      <w:r w:rsidRPr="0089541F">
        <w:rPr>
          <w:rFonts w:cs="Sylfaen"/>
          <w:b w:val="0"/>
          <w:szCs w:val="22"/>
          <w:lang w:val="hy-AM"/>
        </w:rPr>
        <w:t>ունեցող</w:t>
      </w:r>
      <w:r w:rsidRPr="0089541F">
        <w:rPr>
          <w:rFonts w:cs="Sylfaen"/>
          <w:b w:val="0"/>
          <w:szCs w:val="22"/>
          <w:lang w:val="fr-FR"/>
        </w:rPr>
        <w:t xml:space="preserve"> </w:t>
      </w:r>
      <w:r w:rsidRPr="0089541F">
        <w:rPr>
          <w:rFonts w:cs="Sylfaen"/>
          <w:b w:val="0"/>
          <w:szCs w:val="22"/>
          <w:lang w:val="hy-AM"/>
        </w:rPr>
        <w:t>գյուղատնտեսական</w:t>
      </w:r>
      <w:r w:rsidRPr="0089541F">
        <w:rPr>
          <w:rFonts w:cs="Sylfaen"/>
          <w:b w:val="0"/>
          <w:szCs w:val="22"/>
          <w:lang w:val="fr-FR"/>
        </w:rPr>
        <w:t xml:space="preserve"> </w:t>
      </w:r>
      <w:r w:rsidRPr="0089541F">
        <w:rPr>
          <w:rFonts w:cs="Sylfaen"/>
          <w:b w:val="0"/>
          <w:szCs w:val="22"/>
          <w:lang w:val="hy-AM"/>
        </w:rPr>
        <w:t>նշանակության</w:t>
      </w:r>
      <w:r w:rsidRPr="0089541F">
        <w:rPr>
          <w:rFonts w:cs="Sylfaen"/>
          <w:b w:val="0"/>
          <w:szCs w:val="22"/>
          <w:lang w:val="fr-FR"/>
        </w:rPr>
        <w:t xml:space="preserve"> </w:t>
      </w:r>
      <w:r w:rsidRPr="0089541F">
        <w:rPr>
          <w:rFonts w:cs="Sylfaen"/>
          <w:b w:val="0"/>
          <w:szCs w:val="22"/>
          <w:lang w:val="hy-AM"/>
        </w:rPr>
        <w:t>և</w:t>
      </w:r>
      <w:r w:rsidRPr="0089541F">
        <w:rPr>
          <w:rFonts w:cs="Sylfaen"/>
          <w:b w:val="0"/>
          <w:szCs w:val="22"/>
          <w:lang w:val="fr-FR"/>
        </w:rPr>
        <w:t xml:space="preserve"> </w:t>
      </w:r>
      <w:r w:rsidRPr="0089541F">
        <w:rPr>
          <w:rFonts w:cs="Sylfaen"/>
          <w:b w:val="0"/>
          <w:szCs w:val="22"/>
          <w:lang w:val="hy-AM"/>
        </w:rPr>
        <w:t>բնակավայրերի</w:t>
      </w:r>
      <w:r w:rsidRPr="0089541F">
        <w:rPr>
          <w:rFonts w:cs="Sylfaen"/>
          <w:b w:val="0"/>
          <w:szCs w:val="22"/>
          <w:lang w:val="fr-FR"/>
        </w:rPr>
        <w:t xml:space="preserve"> </w:t>
      </w:r>
      <w:r w:rsidRPr="0089541F">
        <w:rPr>
          <w:rFonts w:cs="Sylfaen"/>
          <w:b w:val="0"/>
          <w:szCs w:val="22"/>
          <w:lang w:val="hy-AM"/>
        </w:rPr>
        <w:t>բնակելի</w:t>
      </w:r>
      <w:r w:rsidRPr="0089541F">
        <w:rPr>
          <w:rFonts w:cs="Sylfaen"/>
          <w:b w:val="0"/>
          <w:szCs w:val="22"/>
          <w:lang w:val="fr-FR"/>
        </w:rPr>
        <w:t xml:space="preserve"> </w:t>
      </w:r>
      <w:r w:rsidRPr="0089541F">
        <w:rPr>
          <w:rFonts w:cs="Sylfaen"/>
          <w:b w:val="0"/>
          <w:szCs w:val="22"/>
          <w:lang w:val="hy-AM"/>
        </w:rPr>
        <w:t>կառուցապատման</w:t>
      </w:r>
      <w:r w:rsidRPr="0089541F">
        <w:rPr>
          <w:rFonts w:cs="Sylfaen"/>
          <w:b w:val="0"/>
          <w:szCs w:val="22"/>
          <w:lang w:val="fr-FR"/>
        </w:rPr>
        <w:t xml:space="preserve"> </w:t>
      </w:r>
      <w:r w:rsidRPr="0089541F">
        <w:rPr>
          <w:rFonts w:cs="Sylfaen"/>
          <w:b w:val="0"/>
          <w:szCs w:val="22"/>
          <w:lang w:val="hy-AM"/>
        </w:rPr>
        <w:t>հողատարածքների</w:t>
      </w:r>
      <w:r w:rsidRPr="0089541F">
        <w:rPr>
          <w:rFonts w:cs="Sylfaen"/>
          <w:b w:val="0"/>
          <w:szCs w:val="22"/>
          <w:lang w:val="fr-FR"/>
        </w:rPr>
        <w:t xml:space="preserve"> </w:t>
      </w:r>
      <w:r w:rsidRPr="0089541F">
        <w:rPr>
          <w:rFonts w:cs="Sylfaen"/>
          <w:b w:val="0"/>
          <w:szCs w:val="22"/>
          <w:lang w:val="hy-AM"/>
        </w:rPr>
        <w:t>և</w:t>
      </w:r>
      <w:r w:rsidRPr="0089541F">
        <w:rPr>
          <w:rFonts w:cs="Sylfaen"/>
          <w:b w:val="0"/>
          <w:szCs w:val="22"/>
          <w:lang w:val="fr-FR"/>
        </w:rPr>
        <w:t xml:space="preserve"> (</w:t>
      </w:r>
      <w:r w:rsidRPr="0089541F">
        <w:rPr>
          <w:rFonts w:cs="Sylfaen"/>
          <w:b w:val="0"/>
          <w:szCs w:val="22"/>
          <w:lang w:val="hy-AM"/>
        </w:rPr>
        <w:t>կամ</w:t>
      </w:r>
      <w:r w:rsidRPr="0089541F">
        <w:rPr>
          <w:rFonts w:cs="Sylfaen"/>
          <w:b w:val="0"/>
          <w:szCs w:val="22"/>
          <w:lang w:val="fr-FR"/>
        </w:rPr>
        <w:t xml:space="preserve">) </w:t>
      </w:r>
      <w:r w:rsidRPr="0089541F">
        <w:rPr>
          <w:rFonts w:cs="Sylfaen"/>
          <w:b w:val="0"/>
          <w:szCs w:val="22"/>
          <w:lang w:val="hy-AM"/>
        </w:rPr>
        <w:t>դրանց</w:t>
      </w:r>
      <w:r w:rsidRPr="0089541F">
        <w:rPr>
          <w:rFonts w:cs="Sylfaen"/>
          <w:b w:val="0"/>
          <w:szCs w:val="22"/>
          <w:lang w:val="fr-FR"/>
        </w:rPr>
        <w:t xml:space="preserve"> </w:t>
      </w:r>
      <w:r w:rsidRPr="0089541F">
        <w:rPr>
          <w:rFonts w:cs="Sylfaen"/>
          <w:b w:val="0"/>
          <w:szCs w:val="22"/>
          <w:lang w:val="hy-AM"/>
        </w:rPr>
        <w:t>բարելավումների</w:t>
      </w:r>
      <w:r w:rsidRPr="0089541F">
        <w:rPr>
          <w:rFonts w:cs="Sylfaen"/>
          <w:b w:val="0"/>
          <w:szCs w:val="22"/>
          <w:lang w:val="fr-FR"/>
        </w:rPr>
        <w:t xml:space="preserve"> </w:t>
      </w:r>
      <w:r w:rsidRPr="0089541F">
        <w:rPr>
          <w:rFonts w:cs="Sylfaen"/>
          <w:b w:val="0"/>
          <w:szCs w:val="22"/>
          <w:lang w:val="hy-AM"/>
        </w:rPr>
        <w:t>անշարժ</w:t>
      </w:r>
      <w:r w:rsidRPr="0089541F">
        <w:rPr>
          <w:rFonts w:cs="Sylfaen"/>
          <w:b w:val="0"/>
          <w:szCs w:val="22"/>
          <w:lang w:val="fr-FR"/>
        </w:rPr>
        <w:t xml:space="preserve"> </w:t>
      </w:r>
      <w:r w:rsidRPr="0089541F">
        <w:rPr>
          <w:rFonts w:cs="Sylfaen"/>
          <w:b w:val="0"/>
          <w:szCs w:val="22"/>
          <w:lang w:val="hy-AM"/>
        </w:rPr>
        <w:t>գույքի</w:t>
      </w:r>
      <w:r w:rsidRPr="0089541F">
        <w:rPr>
          <w:rFonts w:cs="Sylfaen"/>
          <w:b w:val="0"/>
          <w:szCs w:val="22"/>
          <w:lang w:val="fr-FR"/>
        </w:rPr>
        <w:t xml:space="preserve"> </w:t>
      </w:r>
      <w:r w:rsidRPr="0089541F">
        <w:rPr>
          <w:rFonts w:cs="Sylfaen"/>
          <w:b w:val="0"/>
          <w:szCs w:val="22"/>
          <w:lang w:val="hy-AM"/>
        </w:rPr>
        <w:t>հարկի</w:t>
      </w:r>
      <w:r w:rsidRPr="0089541F">
        <w:rPr>
          <w:rFonts w:cs="Sylfaen"/>
          <w:b w:val="0"/>
          <w:szCs w:val="22"/>
          <w:lang w:val="fr-FR"/>
        </w:rPr>
        <w:t xml:space="preserve"> </w:t>
      </w:r>
      <w:r w:rsidRPr="0089541F">
        <w:rPr>
          <w:rFonts w:cs="Sylfaen"/>
          <w:b w:val="0"/>
          <w:szCs w:val="22"/>
          <w:lang w:val="hy-AM"/>
        </w:rPr>
        <w:t>ծախսերը (Ադրբեջանի</w:t>
      </w:r>
      <w:r w:rsidRPr="0089541F">
        <w:rPr>
          <w:rFonts w:cs="Sylfaen"/>
          <w:b w:val="0"/>
          <w:szCs w:val="22"/>
          <w:lang w:val="fr-FR"/>
        </w:rPr>
        <w:t xml:space="preserve"> </w:t>
      </w:r>
      <w:r w:rsidRPr="0089541F">
        <w:rPr>
          <w:rFonts w:cs="Sylfaen"/>
          <w:b w:val="0"/>
          <w:szCs w:val="22"/>
          <w:lang w:val="hy-AM"/>
        </w:rPr>
        <w:t>կողմից</w:t>
      </w:r>
      <w:r w:rsidRPr="0089541F">
        <w:rPr>
          <w:rFonts w:cs="Sylfaen"/>
          <w:b w:val="0"/>
          <w:szCs w:val="22"/>
          <w:lang w:val="fr-FR"/>
        </w:rPr>
        <w:t xml:space="preserve"> 2020 </w:t>
      </w:r>
      <w:r w:rsidRPr="0089541F">
        <w:rPr>
          <w:rFonts w:cs="Sylfaen"/>
          <w:b w:val="0"/>
          <w:szCs w:val="22"/>
          <w:lang w:val="hy-AM"/>
        </w:rPr>
        <w:t>թվականի</w:t>
      </w:r>
      <w:r w:rsidRPr="0089541F">
        <w:rPr>
          <w:rFonts w:cs="Sylfaen"/>
          <w:b w:val="0"/>
          <w:szCs w:val="22"/>
          <w:lang w:val="fr-FR"/>
        </w:rPr>
        <w:t xml:space="preserve"> </w:t>
      </w:r>
      <w:r w:rsidRPr="0089541F">
        <w:rPr>
          <w:rFonts w:cs="Sylfaen"/>
          <w:b w:val="0"/>
          <w:szCs w:val="22"/>
          <w:lang w:val="hy-AM"/>
        </w:rPr>
        <w:t>սեպտեմբերի</w:t>
      </w:r>
      <w:r w:rsidRPr="0089541F">
        <w:rPr>
          <w:rFonts w:cs="Sylfaen"/>
          <w:b w:val="0"/>
          <w:szCs w:val="22"/>
          <w:lang w:val="fr-FR"/>
        </w:rPr>
        <w:t xml:space="preserve"> 27-</w:t>
      </w:r>
      <w:r w:rsidRPr="0089541F">
        <w:rPr>
          <w:rFonts w:cs="Sylfaen"/>
          <w:b w:val="0"/>
          <w:szCs w:val="22"/>
          <w:lang w:val="hy-AM"/>
        </w:rPr>
        <w:t>ին</w:t>
      </w:r>
      <w:r w:rsidRPr="0089541F">
        <w:rPr>
          <w:rFonts w:cs="Sylfaen"/>
          <w:b w:val="0"/>
          <w:szCs w:val="22"/>
          <w:lang w:val="fr-FR"/>
        </w:rPr>
        <w:t xml:space="preserve"> </w:t>
      </w:r>
      <w:r w:rsidRPr="0089541F">
        <w:rPr>
          <w:rFonts w:cs="Sylfaen"/>
          <w:b w:val="0"/>
          <w:szCs w:val="22"/>
          <w:lang w:val="hy-AM"/>
        </w:rPr>
        <w:t>Արցախի</w:t>
      </w:r>
      <w:r w:rsidRPr="0089541F">
        <w:rPr>
          <w:rFonts w:cs="Sylfaen"/>
          <w:b w:val="0"/>
          <w:szCs w:val="22"/>
          <w:lang w:val="fr-FR"/>
        </w:rPr>
        <w:t xml:space="preserve"> </w:t>
      </w:r>
      <w:r w:rsidRPr="0089541F">
        <w:rPr>
          <w:rFonts w:cs="Sylfaen"/>
          <w:b w:val="0"/>
          <w:szCs w:val="22"/>
          <w:lang w:val="hy-AM"/>
        </w:rPr>
        <w:t>Հանրապետության</w:t>
      </w:r>
      <w:r w:rsidRPr="0089541F">
        <w:rPr>
          <w:rFonts w:cs="Sylfaen"/>
          <w:b w:val="0"/>
          <w:szCs w:val="22"/>
          <w:lang w:val="fr-FR"/>
        </w:rPr>
        <w:t xml:space="preserve"> </w:t>
      </w:r>
      <w:r w:rsidRPr="0089541F">
        <w:rPr>
          <w:rFonts w:cs="Sylfaen"/>
          <w:b w:val="0"/>
          <w:szCs w:val="22"/>
          <w:lang w:val="hy-AM"/>
        </w:rPr>
        <w:t>դեմ</w:t>
      </w:r>
      <w:r w:rsidRPr="0089541F">
        <w:rPr>
          <w:rFonts w:cs="Sylfaen"/>
          <w:b w:val="0"/>
          <w:szCs w:val="22"/>
          <w:lang w:val="fr-FR"/>
        </w:rPr>
        <w:t xml:space="preserve"> </w:t>
      </w:r>
      <w:r w:rsidRPr="0089541F">
        <w:rPr>
          <w:rFonts w:cs="Sylfaen"/>
          <w:b w:val="0"/>
          <w:szCs w:val="22"/>
          <w:lang w:val="hy-AM"/>
        </w:rPr>
        <w:t>սկսված</w:t>
      </w:r>
      <w:r w:rsidRPr="0089541F">
        <w:rPr>
          <w:rFonts w:cs="Sylfaen"/>
          <w:b w:val="0"/>
          <w:szCs w:val="22"/>
          <w:lang w:val="fr-FR"/>
        </w:rPr>
        <w:t xml:space="preserve"> </w:t>
      </w:r>
      <w:r w:rsidRPr="0089541F">
        <w:rPr>
          <w:rFonts w:cs="Sylfaen"/>
          <w:b w:val="0"/>
          <w:szCs w:val="22"/>
          <w:lang w:val="hy-AM"/>
        </w:rPr>
        <w:t>պատերազմական</w:t>
      </w:r>
      <w:r w:rsidRPr="0089541F">
        <w:rPr>
          <w:rFonts w:cs="Sylfaen"/>
          <w:b w:val="0"/>
          <w:szCs w:val="22"/>
          <w:lang w:val="fr-FR"/>
        </w:rPr>
        <w:t xml:space="preserve"> </w:t>
      </w:r>
      <w:r w:rsidRPr="0089541F">
        <w:rPr>
          <w:rFonts w:cs="Sylfaen"/>
          <w:b w:val="0"/>
          <w:szCs w:val="22"/>
          <w:lang w:val="hy-AM"/>
        </w:rPr>
        <w:t>գործողությունների</w:t>
      </w:r>
      <w:r w:rsidRPr="0089541F">
        <w:rPr>
          <w:rFonts w:cs="Sylfaen"/>
          <w:b w:val="0"/>
          <w:szCs w:val="22"/>
          <w:lang w:val="fr-FR"/>
        </w:rPr>
        <w:t xml:space="preserve"> </w:t>
      </w:r>
      <w:r w:rsidRPr="0089541F">
        <w:rPr>
          <w:rFonts w:cs="Sylfaen"/>
          <w:b w:val="0"/>
          <w:szCs w:val="22"/>
          <w:lang w:val="hy-AM"/>
        </w:rPr>
        <w:t>հետևանքով</w:t>
      </w:r>
      <w:r w:rsidRPr="0089541F">
        <w:rPr>
          <w:rFonts w:cs="Sylfaen"/>
          <w:b w:val="0"/>
          <w:szCs w:val="22"/>
          <w:lang w:val="fr-FR"/>
        </w:rPr>
        <w:t xml:space="preserve"> </w:t>
      </w:r>
      <w:r w:rsidRPr="0089541F">
        <w:rPr>
          <w:rFonts w:cs="Sylfaen"/>
          <w:b w:val="0"/>
          <w:szCs w:val="22"/>
          <w:lang w:val="hy-AM"/>
        </w:rPr>
        <w:t>սահմանամերձ</w:t>
      </w:r>
      <w:r w:rsidRPr="0089541F">
        <w:rPr>
          <w:rFonts w:cs="Sylfaen"/>
          <w:b w:val="0"/>
          <w:szCs w:val="22"/>
          <w:lang w:val="fr-FR"/>
        </w:rPr>
        <w:t xml:space="preserve"> </w:t>
      </w:r>
      <w:r w:rsidRPr="0089541F">
        <w:rPr>
          <w:rFonts w:cs="Sylfaen"/>
          <w:b w:val="0"/>
          <w:szCs w:val="22"/>
          <w:lang w:val="hy-AM"/>
        </w:rPr>
        <w:t>են դարձել ևս 7</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4</w:t>
      </w:r>
      <w:r w:rsidRPr="0089541F">
        <w:rPr>
          <w:rFonts w:cs="Sylfaen"/>
          <w:b w:val="0"/>
          <w:szCs w:val="22"/>
          <w:lang w:val="fr-FR"/>
        </w:rPr>
        <w:t xml:space="preserve">3 </w:t>
      </w:r>
      <w:r w:rsidRPr="0089541F">
        <w:rPr>
          <w:rFonts w:cs="Sylfaen"/>
          <w:b w:val="0"/>
          <w:szCs w:val="22"/>
          <w:lang w:val="hy-AM"/>
        </w:rPr>
        <w:t>բնակավայրեր</w:t>
      </w:r>
      <w:r w:rsidRPr="0089541F">
        <w:rPr>
          <w:rFonts w:cs="Sylfaen"/>
          <w:b w:val="0"/>
          <w:szCs w:val="22"/>
          <w:lang w:val="fr-FR"/>
        </w:rPr>
        <w:t>):</w:t>
      </w:r>
      <w:r w:rsidRPr="0089541F">
        <w:rPr>
          <w:rFonts w:cs="Sylfaen"/>
          <w:b w:val="0"/>
          <w:szCs w:val="22"/>
          <w:lang w:val="hy-AM"/>
        </w:rPr>
        <w:t xml:space="preserve"> Կիրականացվեն նաև շուրջ</w:t>
      </w:r>
      <w:r w:rsidRPr="0089541F">
        <w:rPr>
          <w:rFonts w:cs="Sylfaen"/>
          <w:b w:val="0"/>
          <w:szCs w:val="22"/>
          <w:lang w:val="fr-FR"/>
        </w:rPr>
        <w:t xml:space="preserve"> 750 </w:t>
      </w:r>
      <w:r w:rsidRPr="0089541F">
        <w:rPr>
          <w:rFonts w:cs="Sylfaen"/>
          <w:b w:val="0"/>
          <w:szCs w:val="22"/>
          <w:lang w:val="hy-AM"/>
        </w:rPr>
        <w:t>սուբվենցիոն</w:t>
      </w:r>
      <w:r w:rsidRPr="0089541F">
        <w:rPr>
          <w:rFonts w:cs="Sylfaen"/>
          <w:b w:val="0"/>
          <w:szCs w:val="22"/>
          <w:lang w:val="fr-FR"/>
        </w:rPr>
        <w:t xml:space="preserve"> </w:t>
      </w:r>
      <w:r w:rsidRPr="0089541F">
        <w:rPr>
          <w:rFonts w:cs="Sylfaen"/>
          <w:b w:val="0"/>
          <w:szCs w:val="22"/>
          <w:lang w:val="hy-AM"/>
        </w:rPr>
        <w:t>ծրագիր՝</w:t>
      </w:r>
      <w:r w:rsidRPr="0089541F">
        <w:rPr>
          <w:rFonts w:cs="Sylfaen"/>
          <w:b w:val="0"/>
          <w:szCs w:val="22"/>
          <w:lang w:val="fr-FR"/>
        </w:rPr>
        <w:t xml:space="preserve"> </w:t>
      </w:r>
      <w:r w:rsidRPr="0089541F">
        <w:rPr>
          <w:rFonts w:cs="Sylfaen"/>
          <w:b w:val="0"/>
          <w:szCs w:val="22"/>
          <w:lang w:val="hy-AM"/>
        </w:rPr>
        <w:t>ՀՀ</w:t>
      </w:r>
      <w:r w:rsidRPr="0089541F">
        <w:rPr>
          <w:rFonts w:cs="Sylfaen"/>
          <w:b w:val="0"/>
          <w:szCs w:val="22"/>
          <w:lang w:val="fr-FR"/>
        </w:rPr>
        <w:t xml:space="preserve"> </w:t>
      </w:r>
      <w:r w:rsidRPr="0089541F">
        <w:rPr>
          <w:rFonts w:cs="Sylfaen"/>
          <w:b w:val="0"/>
          <w:szCs w:val="22"/>
          <w:lang w:val="hy-AM"/>
        </w:rPr>
        <w:t>համայնքների</w:t>
      </w:r>
      <w:r w:rsidRPr="0089541F">
        <w:rPr>
          <w:rFonts w:cs="Sylfaen"/>
          <w:b w:val="0"/>
          <w:szCs w:val="22"/>
          <w:lang w:val="fr-FR"/>
        </w:rPr>
        <w:t xml:space="preserve"> </w:t>
      </w:r>
      <w:r w:rsidRPr="0089541F">
        <w:rPr>
          <w:rFonts w:cs="Sylfaen"/>
          <w:b w:val="0"/>
          <w:szCs w:val="22"/>
          <w:lang w:val="hy-AM"/>
        </w:rPr>
        <w:t>գծով։</w:t>
      </w:r>
      <w:r w:rsidRPr="0089541F">
        <w:rPr>
          <w:rFonts w:cs="Sylfaen"/>
          <w:b w:val="0"/>
          <w:szCs w:val="22"/>
          <w:lang w:val="fr-FR"/>
        </w:rPr>
        <w:t xml:space="preserve"> </w:t>
      </w:r>
    </w:p>
    <w:p w14:paraId="5CFBC00A" w14:textId="3A1036FB" w:rsidR="00C20A3E" w:rsidRPr="00A83C94" w:rsidRDefault="0084619E" w:rsidP="0023176E">
      <w:pPr>
        <w:spacing w:line="276" w:lineRule="auto"/>
        <w:rPr>
          <w:b w:val="0"/>
          <w:szCs w:val="22"/>
          <w:lang w:val="hy-AM"/>
        </w:rPr>
      </w:pPr>
      <w:r w:rsidRPr="006E0113">
        <w:rPr>
          <w:b w:val="0"/>
          <w:szCs w:val="22"/>
          <w:lang w:val="hy-AM"/>
        </w:rPr>
        <w:t>Հ</w:t>
      </w:r>
      <w:r w:rsidR="0023176E" w:rsidRPr="0089541F">
        <w:rPr>
          <w:b w:val="0"/>
          <w:szCs w:val="22"/>
          <w:lang w:val="hy-AM"/>
        </w:rPr>
        <w:t>ամայնքների ներդաշնակ</w:t>
      </w:r>
      <w:r w:rsidR="0023176E" w:rsidRPr="00A83C94">
        <w:rPr>
          <w:b w:val="0"/>
          <w:szCs w:val="22"/>
          <w:lang w:val="hy-AM"/>
        </w:rPr>
        <w:t xml:space="preserve"> զարգացումն ապահովելու նպատակով </w:t>
      </w:r>
      <w:r w:rsidR="006E0113" w:rsidRPr="006E0113">
        <w:rPr>
          <w:b w:val="0"/>
          <w:szCs w:val="22"/>
          <w:lang w:val="hy-AM"/>
        </w:rPr>
        <w:t xml:space="preserve">Տարածքային զարգացում </w:t>
      </w:r>
      <w:r w:rsidR="006E0113" w:rsidRPr="0089541F">
        <w:rPr>
          <w:b w:val="0"/>
          <w:szCs w:val="22"/>
          <w:lang w:val="hy-AM"/>
        </w:rPr>
        <w:t>ծրագրի</w:t>
      </w:r>
      <w:r w:rsidRPr="00A83C94">
        <w:rPr>
          <w:b w:val="0"/>
          <w:szCs w:val="22"/>
          <w:lang w:val="hy-AM"/>
        </w:rPr>
        <w:t xml:space="preserve"> շրջանակում </w:t>
      </w:r>
      <w:r w:rsidR="0023176E" w:rsidRPr="00A83C94">
        <w:rPr>
          <w:b w:val="0"/>
          <w:szCs w:val="22"/>
          <w:lang w:val="hy-AM"/>
        </w:rPr>
        <w:t>նախատեսվում են</w:t>
      </w:r>
      <w:r w:rsidR="006E0113" w:rsidRPr="006E0113">
        <w:rPr>
          <w:b w:val="0"/>
          <w:szCs w:val="22"/>
          <w:lang w:val="fr-FR"/>
        </w:rPr>
        <w:t xml:space="preserve"> </w:t>
      </w:r>
      <w:r w:rsidR="0023176E" w:rsidRPr="00A83C94">
        <w:rPr>
          <w:b w:val="0"/>
          <w:szCs w:val="22"/>
          <w:lang w:val="hy-AM"/>
        </w:rPr>
        <w:t xml:space="preserve">համայնքների բյուջեներին ֆինանսական համահարթեցման սկզբունքով` համայնքների ընթացիկ ծախսերի ծածկման համար անհատույց և անվերադարձ կարգով տրվող դրամական միջոցներ` ֆինանսական համահարթեցման դոտացիաներ: </w:t>
      </w:r>
    </w:p>
    <w:p w14:paraId="39B8E397" w14:textId="04544918" w:rsidR="0023176E" w:rsidRPr="00A83C94" w:rsidRDefault="0084619E" w:rsidP="0023176E">
      <w:pPr>
        <w:spacing w:line="276" w:lineRule="auto"/>
        <w:rPr>
          <w:b w:val="0"/>
          <w:szCs w:val="22"/>
          <w:lang w:val="fr-FR"/>
        </w:rPr>
      </w:pPr>
      <w:r w:rsidRPr="00A83C94">
        <w:rPr>
          <w:b w:val="0"/>
          <w:szCs w:val="22"/>
          <w:lang w:val="hy-AM"/>
        </w:rPr>
        <w:t>Հիմք ընդունելով «Տեղական ինքնակառավարման մասին» և «Հա</w:t>
      </w:r>
      <w:r w:rsidRPr="00A83C94">
        <w:rPr>
          <w:b w:val="0"/>
          <w:szCs w:val="22"/>
          <w:lang w:val="hy-AM"/>
        </w:rPr>
        <w:softHyphen/>
        <w:t>յաս</w:t>
      </w:r>
      <w:r w:rsidRPr="00A83C94">
        <w:rPr>
          <w:b w:val="0"/>
          <w:szCs w:val="22"/>
          <w:lang w:val="hy-AM"/>
        </w:rPr>
        <w:softHyphen/>
        <w:t>տա</w:t>
      </w:r>
      <w:r w:rsidRPr="00A83C94">
        <w:rPr>
          <w:b w:val="0"/>
          <w:szCs w:val="22"/>
          <w:lang w:val="hy-AM"/>
        </w:rPr>
        <w:softHyphen/>
        <w:t xml:space="preserve">նի Հանրապետության բյուջետային համակարգի մասին» օրենքներով սահմանված համապատասխան դրույթները՝ </w:t>
      </w:r>
      <w:r w:rsidR="0023176E" w:rsidRPr="00A83C94">
        <w:rPr>
          <w:b w:val="0"/>
          <w:szCs w:val="22"/>
          <w:lang w:val="hy-AM"/>
        </w:rPr>
        <w:t>2022 թվականին հա</w:t>
      </w:r>
      <w:r w:rsidR="0023176E" w:rsidRPr="00A83C94">
        <w:rPr>
          <w:b w:val="0"/>
          <w:szCs w:val="22"/>
          <w:lang w:val="hy-AM"/>
        </w:rPr>
        <w:softHyphen/>
        <w:t>մայնք</w:t>
      </w:r>
      <w:r w:rsidR="0023176E" w:rsidRPr="00A83C94">
        <w:rPr>
          <w:b w:val="0"/>
          <w:szCs w:val="22"/>
          <w:lang w:val="hy-AM"/>
        </w:rPr>
        <w:softHyphen/>
        <w:t>նե</w:t>
      </w:r>
      <w:r w:rsidR="0023176E" w:rsidRPr="00A83C94">
        <w:rPr>
          <w:b w:val="0"/>
          <w:szCs w:val="22"/>
          <w:lang w:val="hy-AM"/>
        </w:rPr>
        <w:softHyphen/>
        <w:t>րին տրա</w:t>
      </w:r>
      <w:r w:rsidR="0023176E" w:rsidRPr="00A83C94">
        <w:rPr>
          <w:b w:val="0"/>
          <w:szCs w:val="22"/>
          <w:lang w:val="hy-AM"/>
        </w:rPr>
        <w:softHyphen/>
      </w:r>
      <w:r w:rsidR="0023176E" w:rsidRPr="00A83C94">
        <w:rPr>
          <w:b w:val="0"/>
          <w:szCs w:val="22"/>
          <w:lang w:val="hy-AM"/>
        </w:rPr>
        <w:softHyphen/>
        <w:t>մադրվող ֆինան</w:t>
      </w:r>
      <w:r w:rsidR="0023176E" w:rsidRPr="00A83C94">
        <w:rPr>
          <w:b w:val="0"/>
          <w:szCs w:val="22"/>
          <w:lang w:val="hy-AM"/>
        </w:rPr>
        <w:softHyphen/>
        <w:t>սական համա</w:t>
      </w:r>
      <w:r w:rsidR="0023176E" w:rsidRPr="00A83C94">
        <w:rPr>
          <w:b w:val="0"/>
          <w:szCs w:val="22"/>
          <w:lang w:val="hy-AM"/>
        </w:rPr>
        <w:softHyphen/>
        <w:t>հարթեցման դոտա</w:t>
      </w:r>
      <w:r w:rsidR="0023176E" w:rsidRPr="00A83C94">
        <w:rPr>
          <w:b w:val="0"/>
          <w:szCs w:val="22"/>
          <w:lang w:val="hy-AM"/>
        </w:rPr>
        <w:softHyphen/>
        <w:t>ցիա</w:t>
      </w:r>
      <w:r w:rsidR="0023176E" w:rsidRPr="00A83C94">
        <w:rPr>
          <w:b w:val="0"/>
          <w:szCs w:val="22"/>
          <w:lang w:val="hy-AM"/>
        </w:rPr>
        <w:softHyphen/>
        <w:t>ների ընդհա</w:t>
      </w:r>
      <w:r w:rsidR="0023176E" w:rsidRPr="00A83C94">
        <w:rPr>
          <w:b w:val="0"/>
          <w:szCs w:val="22"/>
          <w:lang w:val="hy-AM"/>
        </w:rPr>
        <w:softHyphen/>
        <w:t>նուր գումարը (ներ</w:t>
      </w:r>
      <w:r w:rsidR="0023176E" w:rsidRPr="00A83C94">
        <w:rPr>
          <w:b w:val="0"/>
          <w:szCs w:val="22"/>
          <w:lang w:val="hy-AM"/>
        </w:rPr>
        <w:softHyphen/>
        <w:t>առ</w:t>
      </w:r>
      <w:r w:rsidR="0023176E" w:rsidRPr="00A83C94">
        <w:rPr>
          <w:b w:val="0"/>
          <w:szCs w:val="22"/>
          <w:lang w:val="hy-AM"/>
        </w:rPr>
        <w:softHyphen/>
        <w:t>յալ պե</w:t>
      </w:r>
      <w:r w:rsidR="0023176E" w:rsidRPr="00A83C94">
        <w:rPr>
          <w:b w:val="0"/>
          <w:szCs w:val="22"/>
          <w:lang w:val="hy-AM"/>
        </w:rPr>
        <w:softHyphen/>
        <w:t>տու</w:t>
      </w:r>
      <w:r w:rsidR="0023176E" w:rsidRPr="00A83C94">
        <w:rPr>
          <w:b w:val="0"/>
          <w:szCs w:val="22"/>
          <w:lang w:val="hy-AM"/>
        </w:rPr>
        <w:softHyphen/>
        <w:t>թյան կողմից հա</w:t>
      </w:r>
      <w:r w:rsidR="0023176E" w:rsidRPr="00A83C94">
        <w:rPr>
          <w:b w:val="0"/>
          <w:szCs w:val="22"/>
          <w:lang w:val="hy-AM"/>
        </w:rPr>
        <w:softHyphen/>
      </w:r>
      <w:r w:rsidR="0023176E" w:rsidRPr="00A83C94">
        <w:rPr>
          <w:b w:val="0"/>
          <w:szCs w:val="22"/>
          <w:lang w:val="hy-AM"/>
        </w:rPr>
        <w:softHyphen/>
        <w:t>մայնք</w:t>
      </w:r>
      <w:r w:rsidR="0023176E" w:rsidRPr="00A83C94">
        <w:rPr>
          <w:b w:val="0"/>
          <w:szCs w:val="22"/>
          <w:lang w:val="hy-AM"/>
        </w:rPr>
        <w:softHyphen/>
        <w:t>ներին տվյալ տարում տրվող փոխհա</w:t>
      </w:r>
      <w:r w:rsidR="0023176E" w:rsidRPr="00A83C94">
        <w:rPr>
          <w:b w:val="0"/>
          <w:szCs w:val="22"/>
          <w:lang w:val="hy-AM"/>
        </w:rPr>
        <w:softHyphen/>
        <w:t>տուց</w:t>
      </w:r>
      <w:r w:rsidR="0023176E" w:rsidRPr="00A83C94">
        <w:rPr>
          <w:b w:val="0"/>
          <w:szCs w:val="22"/>
          <w:lang w:val="hy-AM"/>
        </w:rPr>
        <w:softHyphen/>
        <w:t>ման գումարները) չպետք է պա</w:t>
      </w:r>
      <w:r w:rsidR="0023176E" w:rsidRPr="00A83C94">
        <w:rPr>
          <w:b w:val="0"/>
          <w:szCs w:val="22"/>
          <w:lang w:val="hy-AM"/>
        </w:rPr>
        <w:softHyphen/>
        <w:t>կաս լինի ՀՀ 2020 թվա</w:t>
      </w:r>
      <w:r w:rsidR="0023176E" w:rsidRPr="00A83C94">
        <w:rPr>
          <w:b w:val="0"/>
          <w:szCs w:val="22"/>
          <w:lang w:val="hy-AM"/>
        </w:rPr>
        <w:softHyphen/>
        <w:t>կանի հա</w:t>
      </w:r>
      <w:r w:rsidR="0023176E" w:rsidRPr="00A83C94">
        <w:rPr>
          <w:b w:val="0"/>
          <w:szCs w:val="22"/>
          <w:lang w:val="hy-AM"/>
        </w:rPr>
        <w:softHyphen/>
        <w:t>մախմբված բյուջեի փաս</w:t>
      </w:r>
      <w:r w:rsidR="0023176E" w:rsidRPr="00A83C94">
        <w:rPr>
          <w:b w:val="0"/>
          <w:szCs w:val="22"/>
          <w:lang w:val="hy-AM"/>
        </w:rPr>
        <w:softHyphen/>
        <w:t>տա</w:t>
      </w:r>
      <w:r w:rsidR="0023176E" w:rsidRPr="00A83C94">
        <w:rPr>
          <w:b w:val="0"/>
          <w:szCs w:val="22"/>
          <w:lang w:val="hy-AM"/>
        </w:rPr>
        <w:softHyphen/>
        <w:t>ցի եկամուտների ընդ</w:t>
      </w:r>
      <w:r w:rsidR="0023176E" w:rsidRPr="00A83C94">
        <w:rPr>
          <w:b w:val="0"/>
          <w:szCs w:val="22"/>
          <w:lang w:val="hy-AM"/>
        </w:rPr>
        <w:softHyphen/>
        <w:t>հանուր գու</w:t>
      </w:r>
      <w:r w:rsidR="0023176E" w:rsidRPr="00A83C94">
        <w:rPr>
          <w:b w:val="0"/>
          <w:szCs w:val="22"/>
          <w:lang w:val="hy-AM"/>
        </w:rPr>
        <w:softHyphen/>
        <w:t>մարի` 1,608.7 մլրդ դրամի 4%-ը կազ</w:t>
      </w:r>
      <w:r w:rsidR="0023176E" w:rsidRPr="00A83C94">
        <w:rPr>
          <w:b w:val="0"/>
          <w:szCs w:val="22"/>
          <w:lang w:val="hy-AM"/>
        </w:rPr>
        <w:softHyphen/>
        <w:t>մող 64,349.1 մլն դրամից: ՀՀ 2022 թվականի պետական բյուջեի նախագծով նախատեսվում է ֆինանսական համա</w:t>
      </w:r>
      <w:r w:rsidR="0023176E" w:rsidRPr="00A83C94">
        <w:rPr>
          <w:b w:val="0"/>
          <w:szCs w:val="22"/>
          <w:lang w:val="hy-AM"/>
        </w:rPr>
        <w:softHyphen/>
        <w:t>հար</w:t>
      </w:r>
      <w:r w:rsidR="0023176E" w:rsidRPr="00A83C94">
        <w:rPr>
          <w:b w:val="0"/>
          <w:szCs w:val="22"/>
          <w:lang w:val="hy-AM"/>
        </w:rPr>
        <w:softHyphen/>
        <w:t>թեց</w:t>
      </w:r>
      <w:r w:rsidR="0023176E" w:rsidRPr="00A83C94">
        <w:rPr>
          <w:b w:val="0"/>
          <w:szCs w:val="22"/>
          <w:lang w:val="hy-AM"/>
        </w:rPr>
        <w:softHyphen/>
        <w:t>ման սկզբունքով ՀՀ համայնքներին (502 համայնքներին) տրամադրել ընդհանուր գումարով 64,349.1 մլն դրա</w:t>
      </w:r>
      <w:r w:rsidR="0023176E" w:rsidRPr="00A83C94">
        <w:rPr>
          <w:b w:val="0"/>
          <w:szCs w:val="22"/>
          <w:lang w:val="hy-AM"/>
        </w:rPr>
        <w:softHyphen/>
      </w:r>
      <w:r w:rsidR="0023176E" w:rsidRPr="00A83C94">
        <w:rPr>
          <w:b w:val="0"/>
          <w:szCs w:val="22"/>
          <w:lang w:val="hy-AM"/>
        </w:rPr>
        <w:softHyphen/>
        <w:t>մի դո</w:t>
      </w:r>
      <w:r w:rsidR="0023176E" w:rsidRPr="00A83C94">
        <w:rPr>
          <w:b w:val="0"/>
          <w:szCs w:val="22"/>
          <w:lang w:val="hy-AM"/>
        </w:rPr>
        <w:softHyphen/>
        <w:t>տա</w:t>
      </w:r>
      <w:r w:rsidR="0023176E" w:rsidRPr="00A83C94">
        <w:rPr>
          <w:b w:val="0"/>
          <w:szCs w:val="22"/>
          <w:lang w:val="hy-AM"/>
        </w:rPr>
        <w:softHyphen/>
        <w:t>ցիա</w:t>
      </w:r>
      <w:r w:rsidR="0023176E" w:rsidRPr="00A83C94">
        <w:rPr>
          <w:b w:val="0"/>
          <w:szCs w:val="22"/>
          <w:lang w:val="hy-AM"/>
        </w:rPr>
        <w:softHyphen/>
        <w:t>ներ: ՀՀ 2022 թվականի պետական բյուջեի նախագծով նախատեսված ֆինան</w:t>
      </w:r>
      <w:r w:rsidR="0023176E" w:rsidRPr="00A83C94">
        <w:rPr>
          <w:b w:val="0"/>
          <w:szCs w:val="22"/>
          <w:lang w:val="hy-AM"/>
        </w:rPr>
        <w:softHyphen/>
        <w:t>սական համա</w:t>
      </w:r>
      <w:r w:rsidR="0023176E" w:rsidRPr="00A83C94">
        <w:rPr>
          <w:b w:val="0"/>
          <w:szCs w:val="22"/>
          <w:lang w:val="hy-AM"/>
        </w:rPr>
        <w:softHyphen/>
        <w:t>հար</w:t>
      </w:r>
      <w:r w:rsidR="0023176E" w:rsidRPr="00A83C94">
        <w:rPr>
          <w:b w:val="0"/>
          <w:szCs w:val="22"/>
          <w:lang w:val="hy-AM"/>
        </w:rPr>
        <w:softHyphen/>
        <w:t>թեց</w:t>
      </w:r>
      <w:r w:rsidR="0023176E" w:rsidRPr="00A83C94">
        <w:rPr>
          <w:b w:val="0"/>
          <w:szCs w:val="22"/>
          <w:lang w:val="hy-AM"/>
        </w:rPr>
        <w:softHyphen/>
        <w:t>ման սկզբունքով համայնքներին տրամադրվող դոտացիաների բաշխումն ըստ առանձին համայնք</w:t>
      </w:r>
      <w:r w:rsidR="0023176E" w:rsidRPr="00A83C94">
        <w:rPr>
          <w:b w:val="0"/>
          <w:szCs w:val="22"/>
          <w:lang w:val="hy-AM"/>
        </w:rPr>
        <w:softHyphen/>
        <w:t>ների իրականացվել է «Ֆինանսական համահարթեցման մասին» ՀՀ օրենքի դրույթներին հա</w:t>
      </w:r>
      <w:r w:rsidR="0023176E" w:rsidRPr="00A83C94">
        <w:rPr>
          <w:b w:val="0"/>
          <w:szCs w:val="22"/>
          <w:lang w:val="hy-AM"/>
        </w:rPr>
        <w:softHyphen/>
        <w:t>մա</w:t>
      </w:r>
      <w:r w:rsidR="0023176E" w:rsidRPr="00A83C94">
        <w:rPr>
          <w:b w:val="0"/>
          <w:szCs w:val="22"/>
          <w:lang w:val="hy-AM"/>
        </w:rPr>
        <w:softHyphen/>
        <w:t>պա</w:t>
      </w:r>
      <w:r w:rsidR="0023176E" w:rsidRPr="00A83C94">
        <w:rPr>
          <w:b w:val="0"/>
          <w:szCs w:val="22"/>
          <w:lang w:val="hy-AM"/>
        </w:rPr>
        <w:softHyphen/>
        <w:t>տասխան:</w:t>
      </w:r>
    </w:p>
    <w:p w14:paraId="5676C945" w14:textId="77777777" w:rsidR="002F5005" w:rsidRPr="00A83C94" w:rsidRDefault="002F5005" w:rsidP="0023176E">
      <w:pPr>
        <w:spacing w:line="276" w:lineRule="auto"/>
        <w:rPr>
          <w:b w:val="0"/>
          <w:szCs w:val="22"/>
          <w:lang w:val="fr-FR"/>
        </w:rPr>
      </w:pPr>
    </w:p>
    <w:p w14:paraId="6A1BC901" w14:textId="77777777" w:rsidR="0023176E" w:rsidRPr="00A83C94" w:rsidRDefault="0023176E" w:rsidP="002F7255">
      <w:pPr>
        <w:pStyle w:val="Heading3"/>
        <w:rPr>
          <w:noProof/>
        </w:rPr>
      </w:pPr>
      <w:bookmarkStart w:id="309" w:name="_Toc83575904"/>
      <w:bookmarkStart w:id="310" w:name="_Toc89428317"/>
      <w:r w:rsidRPr="00A83C94">
        <w:rPr>
          <w:noProof/>
        </w:rPr>
        <w:t>ՀՀ բարձր տեխնոլոգիական արդյունաբերության նախարարություն</w:t>
      </w:r>
      <w:bookmarkEnd w:id="309"/>
      <w:bookmarkEnd w:id="310"/>
    </w:p>
    <w:p w14:paraId="46FB2DAA" w14:textId="77777777" w:rsidR="0023176E" w:rsidRPr="00A83C94" w:rsidRDefault="0023176E" w:rsidP="0023176E">
      <w:pPr>
        <w:suppressAutoHyphens/>
        <w:spacing w:before="0" w:line="276" w:lineRule="auto"/>
        <w:rPr>
          <w:b w:val="0"/>
          <w:szCs w:val="22"/>
          <w:lang w:val="hy-AM" w:eastAsia="en-US"/>
        </w:rPr>
      </w:pPr>
      <w:r w:rsidRPr="00A83C94">
        <w:rPr>
          <w:b w:val="0"/>
          <w:color w:val="000000"/>
          <w:szCs w:val="22"/>
          <w:lang w:val="hy-AM" w:eastAsia="en-US"/>
        </w:rPr>
        <w:t>ՀՀ Կառավարությունը նպատակադրվել է Հայաստանը դարձնել բարձր տեխնոլոգիական, արդյունաբերական երկիր, որին հասնելու ուղիներից է բարձր տեխնոլոգիաների, կապի, թվայնացման և ռազմարդյունաբերական համալիրի զարգացումը` զինված ուժերի մարտունակության ու պաշտպանունակության բարձրացումը, տնտեսական աճը, գիտական և տեխնոլոգիական առաջընթացը։</w:t>
      </w:r>
    </w:p>
    <w:p w14:paraId="2D13A7BA" w14:textId="26A34184" w:rsidR="0023176E" w:rsidRPr="00A83C94" w:rsidRDefault="0023176E" w:rsidP="0023176E">
      <w:pPr>
        <w:spacing w:before="0" w:line="276" w:lineRule="auto"/>
        <w:ind w:firstLine="450"/>
        <w:rPr>
          <w:rFonts w:eastAsia="Calibri"/>
          <w:b w:val="0"/>
          <w:szCs w:val="22"/>
          <w:lang w:val="hy-AM" w:eastAsia="en-US"/>
        </w:rPr>
      </w:pPr>
      <w:r w:rsidRPr="00A83C94">
        <w:rPr>
          <w:b w:val="0"/>
          <w:color w:val="000000"/>
          <w:szCs w:val="22"/>
          <w:lang w:val="hy-AM" w:eastAsia="en-US"/>
        </w:rPr>
        <w:t xml:space="preserve">2022թ. ՀՀ պետական բյուջեով ՀՀ </w:t>
      </w:r>
      <w:r w:rsidRPr="00A83C94">
        <w:rPr>
          <w:rFonts w:eastAsia="Calibri" w:cs="Sylfaen"/>
          <w:b w:val="0"/>
          <w:szCs w:val="22"/>
          <w:lang w:val="hy-AM" w:eastAsia="en-US"/>
        </w:rPr>
        <w:t>բարձր տեխնոլոգիական արդյունաբերության նախարարությանը նախատեսվում է հատկացնել շուրջ 17,</w:t>
      </w:r>
      <w:r w:rsidR="004349F3">
        <w:rPr>
          <w:rFonts w:eastAsia="Calibri" w:cs="Sylfaen"/>
          <w:b w:val="0"/>
          <w:szCs w:val="22"/>
          <w:lang w:val="hy-AM" w:eastAsia="en-US"/>
        </w:rPr>
        <w:t>143</w:t>
      </w:r>
      <w:r w:rsidRPr="00A83C94">
        <w:rPr>
          <w:rFonts w:eastAsia="Calibri" w:cs="Sylfaen"/>
          <w:b w:val="0"/>
          <w:szCs w:val="22"/>
          <w:lang w:val="hy-AM" w:eastAsia="en-US"/>
        </w:rPr>
        <w:t>.</w:t>
      </w:r>
      <w:r w:rsidR="00E31794" w:rsidRPr="00E31794">
        <w:rPr>
          <w:rFonts w:eastAsia="Calibri" w:cs="Sylfaen"/>
          <w:b w:val="0"/>
          <w:szCs w:val="22"/>
          <w:lang w:val="hy-AM" w:eastAsia="en-US"/>
        </w:rPr>
        <w:t>2</w:t>
      </w:r>
      <w:r w:rsidRPr="00A83C94">
        <w:rPr>
          <w:rFonts w:eastAsia="Calibri" w:cs="Sylfaen"/>
          <w:b w:val="0"/>
          <w:szCs w:val="22"/>
          <w:lang w:val="hy-AM" w:eastAsia="en-US"/>
        </w:rPr>
        <w:t xml:space="preserve"> մլն դրամ </w:t>
      </w:r>
      <w:r w:rsidR="005D36B9" w:rsidRPr="00A83C94">
        <w:rPr>
          <w:b w:val="0"/>
          <w:color w:val="000000"/>
          <w:szCs w:val="22"/>
          <w:lang w:val="hy-AM" w:eastAsia="en-US"/>
        </w:rPr>
        <w:t>(ներառյալ կառավարման ապարատի պահպանման ծախսերը)</w:t>
      </w:r>
      <w:r w:rsidRPr="00A83C94">
        <w:rPr>
          <w:rFonts w:eastAsia="Calibri" w:cs="Sylfaen"/>
          <w:b w:val="0"/>
          <w:szCs w:val="22"/>
          <w:lang w:val="hy-AM" w:eastAsia="en-US"/>
        </w:rPr>
        <w:t>:</w:t>
      </w:r>
    </w:p>
    <w:p w14:paraId="661663A8" w14:textId="77777777" w:rsidR="0023176E" w:rsidRPr="00A83C94" w:rsidRDefault="0023176E" w:rsidP="0023176E">
      <w:pPr>
        <w:spacing w:before="0" w:line="276" w:lineRule="auto"/>
        <w:ind w:firstLine="450"/>
        <w:rPr>
          <w:rFonts w:eastAsia="Calibri"/>
          <w:b w:val="0"/>
          <w:szCs w:val="22"/>
          <w:lang w:val="hy-AM" w:eastAsia="en-US"/>
        </w:rPr>
      </w:pPr>
      <w:r w:rsidRPr="00A83C94">
        <w:rPr>
          <w:rFonts w:eastAsia="Calibri" w:cs="Sylfaen"/>
          <w:b w:val="0"/>
          <w:szCs w:val="22"/>
          <w:lang w:val="hy-AM" w:eastAsia="en-US"/>
        </w:rPr>
        <w:t>Նշված հատկացումների սահմաններում նախարարությունը 2022թ. նախատեսում է իրականացնել հետևյալ ծրագրերն ու միջոցառումները:</w:t>
      </w:r>
      <w:r w:rsidRPr="00A83C94">
        <w:rPr>
          <w:b w:val="0"/>
          <w:szCs w:val="22"/>
          <w:lang w:val="hy-AM" w:eastAsia="en-US"/>
        </w:rPr>
        <w:t xml:space="preserve">: </w:t>
      </w:r>
    </w:p>
    <w:p w14:paraId="03FA231D" w14:textId="0BC85E3B" w:rsidR="0023176E" w:rsidRPr="00A83C94" w:rsidRDefault="0023176E" w:rsidP="0023176E">
      <w:pPr>
        <w:spacing w:before="0" w:line="276" w:lineRule="auto"/>
        <w:rPr>
          <w:rFonts w:eastAsia="Calibri"/>
          <w:b w:val="0"/>
          <w:szCs w:val="22"/>
          <w:lang w:val="hy-AM" w:eastAsia="en-US"/>
        </w:rPr>
      </w:pPr>
      <w:r w:rsidRPr="00A83C94">
        <w:rPr>
          <w:rFonts w:eastAsia="Calibri"/>
          <w:szCs w:val="22"/>
          <w:lang w:val="hy-AM"/>
        </w:rPr>
        <w:t xml:space="preserve">Բարձր տեխնոլոգիական արդյունաբերության էկոհամակարգի, թվայնացման և շուկայի զարգացման </w:t>
      </w:r>
      <w:r w:rsidRPr="00A83C94">
        <w:rPr>
          <w:rFonts w:eastAsia="Calibri"/>
          <w:b w:val="0"/>
          <w:szCs w:val="22"/>
          <w:lang w:val="hy-AM"/>
        </w:rPr>
        <w:t xml:space="preserve">ծրագրի գծով </w:t>
      </w:r>
      <w:r w:rsidRPr="00A83C94">
        <w:rPr>
          <w:rFonts w:eastAsia="Calibri"/>
          <w:b w:val="0"/>
          <w:szCs w:val="22"/>
          <w:lang w:val="hy-AM" w:eastAsia="en-US"/>
        </w:rPr>
        <w:t>202</w:t>
      </w:r>
      <w:r w:rsidRPr="00A83C94">
        <w:rPr>
          <w:b w:val="0"/>
          <w:szCs w:val="22"/>
          <w:lang w:val="hy-AM" w:eastAsia="en-US"/>
        </w:rPr>
        <w:t>2</w:t>
      </w:r>
      <w:r w:rsidRPr="00A83C94">
        <w:rPr>
          <w:rFonts w:eastAsia="Calibri"/>
          <w:b w:val="0"/>
          <w:szCs w:val="22"/>
          <w:lang w:val="hy-AM" w:eastAsia="en-US"/>
        </w:rPr>
        <w:t>թ նախատեսվել է 8,</w:t>
      </w:r>
      <w:r w:rsidR="008E37FC" w:rsidRPr="008E37FC">
        <w:rPr>
          <w:rFonts w:eastAsia="Calibri"/>
          <w:b w:val="0"/>
          <w:szCs w:val="22"/>
          <w:lang w:val="hy-AM" w:eastAsia="en-US"/>
        </w:rPr>
        <w:t>340</w:t>
      </w:r>
      <w:r w:rsidRPr="00A83C94">
        <w:rPr>
          <w:rFonts w:eastAsia="Calibri"/>
          <w:b w:val="0"/>
          <w:szCs w:val="22"/>
          <w:lang w:val="hy-AM" w:eastAsia="en-US"/>
        </w:rPr>
        <w:t>.</w:t>
      </w:r>
      <w:r w:rsidR="008E37FC" w:rsidRPr="008E37FC">
        <w:rPr>
          <w:rFonts w:eastAsia="Calibri"/>
          <w:b w:val="0"/>
          <w:szCs w:val="22"/>
          <w:lang w:val="hy-AM" w:eastAsia="en-US"/>
        </w:rPr>
        <w:t>0</w:t>
      </w:r>
      <w:r w:rsidRPr="00A83C94">
        <w:rPr>
          <w:b w:val="0"/>
          <w:szCs w:val="22"/>
          <w:lang w:val="hy-AM" w:eastAsia="en-US"/>
        </w:rPr>
        <w:t xml:space="preserve"> </w:t>
      </w:r>
      <w:r w:rsidRPr="00A83C94">
        <w:rPr>
          <w:rFonts w:eastAsia="Calibri"/>
          <w:b w:val="0"/>
          <w:szCs w:val="22"/>
          <w:lang w:val="hy-AM" w:eastAsia="en-US"/>
        </w:rPr>
        <w:t>մլն դրամ:</w:t>
      </w:r>
    </w:p>
    <w:p w14:paraId="2E21C569" w14:textId="77777777" w:rsidR="0023176E" w:rsidRPr="00A83C94" w:rsidRDefault="0023176E" w:rsidP="0023176E">
      <w:pPr>
        <w:spacing w:before="0" w:line="276" w:lineRule="auto"/>
        <w:rPr>
          <w:rFonts w:eastAsia="Calibri"/>
          <w:b w:val="0"/>
          <w:szCs w:val="22"/>
          <w:lang w:val="hy-AM" w:eastAsia="en-US"/>
        </w:rPr>
      </w:pPr>
      <w:r w:rsidRPr="00A83C94">
        <w:rPr>
          <w:rFonts w:eastAsia="Calibri"/>
          <w:b w:val="0"/>
          <w:szCs w:val="22"/>
          <w:lang w:val="hy-AM" w:eastAsia="en-US"/>
        </w:rPr>
        <w:t>Ծրագրի նպատակն է բարձր տեխնոլոգիաների ենթակառուցվածքների բարելավում, մասնավորապես.</w:t>
      </w:r>
    </w:p>
    <w:p w14:paraId="609F179F"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szCs w:val="22"/>
          <w:lang w:val="hy-AM" w:eastAsia="en-US"/>
        </w:rPr>
        <w:t xml:space="preserve">Իրականացնել կադրերի թիրախավորված պատրաստում և վերապատրաստում, հաշվի առնելով շուկայի </w:t>
      </w:r>
      <w:r w:rsidRPr="00A83C94">
        <w:rPr>
          <w:b w:val="0"/>
          <w:color w:val="000000"/>
          <w:szCs w:val="22"/>
          <w:lang w:val="hy-AM" w:eastAsia="en-US"/>
        </w:rPr>
        <w:t>կտրուկ զարգացումն ու կադրերի նկատմամբ շուկայի պահանջարկի կտրուկ աճը,</w:t>
      </w:r>
    </w:p>
    <w:p w14:paraId="525A1DBB"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color w:val="000000"/>
          <w:szCs w:val="22"/>
          <w:lang w:val="hy-AM" w:eastAsia="en-US"/>
        </w:rPr>
        <w:t>Զարգացնել բարձր տեխնոլոգիական ոլորտի համար անհրաժեշտ էկոհամակարգը` ներառյալ թիրախավորված գիտահետազոտական աշխատանքների, ստեղծագործական խմբերի, նորաստեղծ ընկերությունների ֆինանսավորումը և այլն,</w:t>
      </w:r>
    </w:p>
    <w:p w14:paraId="66336925"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color w:val="000000"/>
          <w:szCs w:val="22"/>
          <w:lang w:val="hy-AM" w:eastAsia="en-US"/>
        </w:rPr>
        <w:t>Հայկական Սփյուռքի ներգրավվածությունն ապահովելու նպատակով նախատեսվում է տարբեր ձևաչափերով շարունակական համագործակցության հարթակ ստեղծել հայկական ընկերությունների, կազմակերպությունների և անհատների հետ,</w:t>
      </w:r>
    </w:p>
    <w:p w14:paraId="5D55A4F4" w14:textId="77777777" w:rsidR="0023176E" w:rsidRPr="00A83C94" w:rsidRDefault="0023176E" w:rsidP="0023176E">
      <w:pPr>
        <w:numPr>
          <w:ilvl w:val="0"/>
          <w:numId w:val="42"/>
        </w:numPr>
        <w:suppressAutoHyphens/>
        <w:spacing w:before="0" w:line="276" w:lineRule="auto"/>
        <w:ind w:left="567" w:hanging="425"/>
        <w:contextualSpacing w:val="0"/>
        <w:rPr>
          <w:b w:val="0"/>
          <w:szCs w:val="22"/>
          <w:lang w:val="hy-AM" w:eastAsia="en-US"/>
        </w:rPr>
      </w:pPr>
      <w:r w:rsidRPr="00A83C94">
        <w:rPr>
          <w:b w:val="0"/>
          <w:color w:val="000000"/>
          <w:szCs w:val="22"/>
          <w:lang w:val="hy-AM" w:eastAsia="en-US"/>
        </w:rPr>
        <w:t>Զանգվածաբար կիրառել և զարգացնել թվային տեխնոլոգիաներ, զուգահեռաբար բարձրացնելով կիբեռանվտանգության և Հայաստանում ինտերնետ հասանելիության մակարդակը։</w:t>
      </w:r>
    </w:p>
    <w:p w14:paraId="39A60FCA" w14:textId="77777777" w:rsidR="0023176E" w:rsidRPr="00A83C94" w:rsidRDefault="0023176E" w:rsidP="0023176E">
      <w:pPr>
        <w:suppressAutoHyphens/>
        <w:spacing w:before="0" w:line="276" w:lineRule="auto"/>
        <w:ind w:firstLine="0"/>
        <w:rPr>
          <w:rFonts w:eastAsia="Calibri"/>
          <w:b w:val="0"/>
          <w:szCs w:val="22"/>
          <w:lang w:val="hy-AM" w:eastAsia="en-US"/>
        </w:rPr>
      </w:pPr>
      <w:r w:rsidRPr="00A83C94">
        <w:rPr>
          <w:b w:val="0"/>
          <w:color w:val="000000"/>
          <w:szCs w:val="22"/>
          <w:lang w:val="hy-AM" w:eastAsia="en-US"/>
        </w:rPr>
        <w:t>Նշվածի շրջանակներում կապահովվի հետևյալ արդյունքային ցուցանիշները՝ դ</w:t>
      </w:r>
      <w:r w:rsidRPr="00A83C94">
        <w:rPr>
          <w:b w:val="0"/>
          <w:iCs/>
          <w:color w:val="000000"/>
          <w:szCs w:val="22"/>
          <w:lang w:val="hy-AM" w:eastAsia="en-US"/>
        </w:rPr>
        <w:t xml:space="preserve">րամաշնորհային ծրագրի շրջանակներում կտրամադրվեն դրամաշնորհներ 50 կազմակերպությունների, </w:t>
      </w:r>
      <w:r w:rsidRPr="00A83C94">
        <w:rPr>
          <w:b w:val="0"/>
          <w:color w:val="000000"/>
          <w:szCs w:val="22"/>
          <w:lang w:val="hy-AM" w:eastAsia="en-US"/>
        </w:rPr>
        <w:t xml:space="preserve"> կիրականացվի մեկ աքսելերացիոն ծրագիր՝ 30 շահառու թիմերի և 150 մասնակիցների համար, 15</w:t>
      </w:r>
      <w:r w:rsidRPr="00A83C94">
        <w:rPr>
          <w:b w:val="0"/>
          <w:iCs/>
          <w:color w:val="000000"/>
          <w:szCs w:val="22"/>
          <w:lang w:val="hy-AM" w:eastAsia="en-US"/>
        </w:rPr>
        <w:t xml:space="preserve"> ուսանողներ կմասնակցեն Բարձր տեխնոլոգիական ոլորտում գործող ձեռներեցների համար արտասահմանում անցկացվելիք աքսելերացիոն վերապատրաստման միջոցառումներին</w:t>
      </w:r>
      <w:r w:rsidRPr="00A83C94">
        <w:rPr>
          <w:b w:val="0"/>
          <w:color w:val="000000"/>
          <w:szCs w:val="22"/>
          <w:lang w:val="hy-AM" w:eastAsia="en-US"/>
        </w:rPr>
        <w:t xml:space="preserve">, ոլորտի բարձրակարգ մասնագետների և ընտրված լավագույն ծրագրերի միջոցով կվերապատրաստվեն  շուրջ 2500 շահառուներ, </w:t>
      </w:r>
      <w:r w:rsidRPr="00A83C94">
        <w:rPr>
          <w:rFonts w:eastAsia="Calibri" w:cs="Sylfaen"/>
          <w:b w:val="0"/>
          <w:color w:val="000000"/>
          <w:szCs w:val="22"/>
          <w:lang w:val="hy-AM" w:eastAsia="en-US"/>
        </w:rPr>
        <w:t>գ</w:t>
      </w:r>
      <w:r w:rsidRPr="00A83C94">
        <w:rPr>
          <w:rFonts w:eastAsia="Calibri"/>
          <w:b w:val="0"/>
          <w:color w:val="000000"/>
          <w:szCs w:val="22"/>
          <w:lang w:val="hy-AM" w:eastAsia="en-US"/>
        </w:rPr>
        <w:t xml:space="preserve">լոբալ տաղանդի ներգրավման համար կիրականացվի 1 միջոցառում, </w:t>
      </w:r>
      <w:r w:rsidRPr="00A83C94">
        <w:rPr>
          <w:rFonts w:eastAsia="Calibri"/>
          <w:b w:val="0"/>
          <w:szCs w:val="22"/>
          <w:lang w:val="hy-AM" w:eastAsia="en-US"/>
        </w:rPr>
        <w:t>Թվայնացման ռազմավարությամբ նախատեսված թվայնացման ստանդարտների, ձևաչափերի և ընթացակարգերի մշակում:</w:t>
      </w:r>
    </w:p>
    <w:p w14:paraId="32B8887B" w14:textId="77777777" w:rsidR="0023176E" w:rsidRPr="00A83C94" w:rsidRDefault="0023176E" w:rsidP="0023176E">
      <w:pPr>
        <w:spacing w:before="0" w:line="276" w:lineRule="auto"/>
        <w:ind w:firstLine="720"/>
        <w:rPr>
          <w:rFonts w:eastAsia="Calibri"/>
          <w:b w:val="0"/>
          <w:szCs w:val="22"/>
          <w:lang w:val="hy-AM" w:eastAsia="en-US"/>
        </w:rPr>
      </w:pPr>
      <w:r w:rsidRPr="00A83C94">
        <w:rPr>
          <w:rFonts w:eastAsia="Calibri"/>
          <w:b w:val="0"/>
          <w:szCs w:val="22"/>
          <w:lang w:val="hy-AM" w:eastAsia="en-US"/>
        </w:rPr>
        <w:t xml:space="preserve">Միաժամանակ </w:t>
      </w:r>
      <w:r w:rsidRPr="00A83C94">
        <w:rPr>
          <w:b w:val="0"/>
          <w:bCs/>
          <w:iCs/>
          <w:lang w:val="fr-FR"/>
        </w:rPr>
        <w:t xml:space="preserve">Եվրոմիության աջակցության </w:t>
      </w:r>
      <w:r w:rsidRPr="00A83C94">
        <w:rPr>
          <w:b w:val="0"/>
          <w:bCs/>
          <w:iCs/>
          <w:lang w:val="hy-AM"/>
        </w:rPr>
        <w:t>դրամաշնորհային</w:t>
      </w:r>
      <w:r w:rsidRPr="00A83C94">
        <w:rPr>
          <w:b w:val="0"/>
          <w:bCs/>
          <w:iCs/>
          <w:lang w:val="fr-FR"/>
        </w:rPr>
        <w:t xml:space="preserve"> ծրագրի շրջանակներում </w:t>
      </w:r>
      <w:r w:rsidRPr="00A83C94">
        <w:rPr>
          <w:rFonts w:eastAsia="Calibri"/>
          <w:b w:val="0"/>
          <w:szCs w:val="22"/>
          <w:lang w:val="hy-AM" w:eastAsia="en-US"/>
        </w:rPr>
        <w:t>նախատեսվում է իրականացնել Թվայնացման ռազմավարության ևս 5 միջոցառումներ, որոնց նպատակն է՝ Էլեկտրոնային ծառայությունների օգտագործելիության մակարդակի բարձրացումը և պետական թվային ծառայությունների օգտվելու գործընթացի առավել արդյունավետ կազմակերպումը: Էլեկտրոնային ստորագրության անխափան աշխատանք և քաղաքացիների շրջանում օգտագործելիության աճ: Պետական և մասնավոր հատվածի պայմանագրերի կեղծման բացառում:</w:t>
      </w:r>
    </w:p>
    <w:p w14:paraId="6C58B730" w14:textId="77777777" w:rsidR="0023176E" w:rsidRPr="00A83C94" w:rsidRDefault="0023176E" w:rsidP="0023176E">
      <w:pPr>
        <w:suppressAutoHyphens/>
        <w:spacing w:before="0" w:line="276" w:lineRule="auto"/>
        <w:ind w:firstLine="360"/>
        <w:rPr>
          <w:rFonts w:eastAsia="Calibri"/>
          <w:b w:val="0"/>
          <w:szCs w:val="22"/>
          <w:lang w:val="hy-AM" w:eastAsia="en-US"/>
        </w:rPr>
      </w:pPr>
      <w:r w:rsidRPr="00A83C94">
        <w:rPr>
          <w:rFonts w:eastAsia="Calibri"/>
          <w:b w:val="0"/>
          <w:szCs w:val="22"/>
          <w:lang w:val="hy-AM" w:eastAsia="en-US"/>
        </w:rPr>
        <w:t>2022 թվականից նախատեսվում է Համաշխարհային բանկի աջակցությամբ իրականացվող առևտրի և ենթակառուց</w:t>
      </w:r>
      <w:r w:rsidRPr="00A83C94">
        <w:rPr>
          <w:rFonts w:eastAsia="Calibri"/>
          <w:b w:val="0"/>
          <w:szCs w:val="22"/>
          <w:lang w:val="hy-AM" w:eastAsia="en-US"/>
        </w:rPr>
        <w:softHyphen/>
        <w:t xml:space="preserve">վածքների զարգացման վարկային ծրագրի համակարգումն իրականացնել ՀՀ բարձր տեխնոլոգիական արդյունաբերության նախարարության կողմից, որի նպատակն է հզորացնել արտահանման խթանման, ներդրումների ներգրավման և ձեռնակություններին տրամադրվող որակի կառավարման ծառայությունների կարողությունները: </w:t>
      </w:r>
    </w:p>
    <w:p w14:paraId="2278AAD8" w14:textId="77777777" w:rsidR="0023176E" w:rsidRPr="00A83C94" w:rsidRDefault="0023176E" w:rsidP="0023176E">
      <w:pPr>
        <w:suppressAutoHyphens/>
        <w:spacing w:before="0" w:line="276" w:lineRule="auto"/>
        <w:ind w:firstLine="450"/>
        <w:rPr>
          <w:b w:val="0"/>
          <w:color w:val="000000"/>
          <w:szCs w:val="22"/>
          <w:lang w:val="hy-AM" w:eastAsia="en-US"/>
        </w:rPr>
      </w:pPr>
      <w:r w:rsidRPr="00A83C94">
        <w:rPr>
          <w:color w:val="000000"/>
          <w:szCs w:val="22"/>
          <w:lang w:val="hy-AM" w:eastAsia="en-US"/>
        </w:rPr>
        <w:t xml:space="preserve">Պաշտպանության բնագավառում գիտական և գիտատեխնիկական նպատակային հետազոտություններ </w:t>
      </w:r>
      <w:r w:rsidRPr="00A83C94">
        <w:rPr>
          <w:rFonts w:eastAsia="Calibri"/>
          <w:b w:val="0"/>
          <w:szCs w:val="22"/>
          <w:lang w:val="hy-AM"/>
        </w:rPr>
        <w:t xml:space="preserve">ծրագրի գծով </w:t>
      </w:r>
      <w:r w:rsidRPr="00A83C94">
        <w:rPr>
          <w:rFonts w:eastAsia="Calibri"/>
          <w:b w:val="0"/>
          <w:szCs w:val="22"/>
          <w:lang w:val="hy-AM" w:eastAsia="en-US"/>
        </w:rPr>
        <w:t>202</w:t>
      </w:r>
      <w:r w:rsidRPr="00A83C94">
        <w:rPr>
          <w:b w:val="0"/>
          <w:szCs w:val="22"/>
          <w:lang w:val="hy-AM" w:eastAsia="en-US"/>
        </w:rPr>
        <w:t>2</w:t>
      </w:r>
      <w:r w:rsidRPr="00A83C94">
        <w:rPr>
          <w:rFonts w:eastAsia="Calibri"/>
          <w:b w:val="0"/>
          <w:szCs w:val="22"/>
          <w:lang w:val="hy-AM" w:eastAsia="en-US"/>
        </w:rPr>
        <w:t xml:space="preserve">թ նախատեսվել է </w:t>
      </w:r>
      <w:r w:rsidRPr="00A83C94">
        <w:rPr>
          <w:b w:val="0"/>
          <w:color w:val="000000"/>
          <w:szCs w:val="22"/>
          <w:lang w:val="hy-AM" w:eastAsia="en-US"/>
        </w:rPr>
        <w:t>5,233.9 մլն դրամ:</w:t>
      </w:r>
    </w:p>
    <w:p w14:paraId="0A3EE46F" w14:textId="77777777" w:rsidR="0023176E" w:rsidRPr="00A83C94" w:rsidRDefault="0023176E" w:rsidP="0023176E">
      <w:pPr>
        <w:suppressAutoHyphens/>
        <w:spacing w:before="0" w:line="276" w:lineRule="auto"/>
        <w:ind w:firstLine="450"/>
        <w:rPr>
          <w:b w:val="0"/>
          <w:color w:val="000000"/>
          <w:szCs w:val="22"/>
          <w:lang w:val="hy-AM" w:eastAsia="en-US"/>
        </w:rPr>
      </w:pPr>
      <w:r w:rsidRPr="00A83C94">
        <w:rPr>
          <w:b w:val="0"/>
          <w:color w:val="000000"/>
          <w:szCs w:val="22"/>
          <w:lang w:val="hy-AM" w:eastAsia="en-US"/>
        </w:rPr>
        <w:t>Ծրագրի նպատակն է նպաստել ՀՀ պաշտպանության և անվտանգության համակարգերի զարգացմանը, մասնավորապես իրականացնել գիտահետազոտական և փորձակոնստրուկտորական աշխատանքների իրականացում պաշտպանության համակարգի ապահովման համար:</w:t>
      </w:r>
    </w:p>
    <w:p w14:paraId="29CE2023" w14:textId="789A5A0D" w:rsidR="0023176E" w:rsidRPr="00A83C94" w:rsidRDefault="0023176E" w:rsidP="0023176E">
      <w:pPr>
        <w:suppressAutoHyphens/>
        <w:spacing w:before="0" w:line="276" w:lineRule="auto"/>
        <w:rPr>
          <w:b w:val="0"/>
          <w:color w:val="000000"/>
          <w:szCs w:val="22"/>
          <w:lang w:val="hy-AM" w:eastAsia="en-US"/>
        </w:rPr>
      </w:pPr>
      <w:r w:rsidRPr="00A83C94">
        <w:rPr>
          <w:rFonts w:eastAsia="Calibri" w:cs="Sylfaen"/>
          <w:szCs w:val="22"/>
          <w:lang w:val="hy-AM" w:eastAsia="en-US"/>
        </w:rPr>
        <w:t xml:space="preserve">Հեռահաղորդակցության ապահովում </w:t>
      </w:r>
      <w:r w:rsidRPr="00A83C94">
        <w:rPr>
          <w:rFonts w:eastAsia="Calibri"/>
          <w:b w:val="0"/>
          <w:szCs w:val="22"/>
          <w:lang w:val="hy-AM"/>
        </w:rPr>
        <w:t xml:space="preserve">ծրագրի գծով </w:t>
      </w:r>
      <w:r w:rsidRPr="00A83C94">
        <w:rPr>
          <w:rFonts w:eastAsia="Calibri"/>
          <w:b w:val="0"/>
          <w:szCs w:val="22"/>
          <w:lang w:val="hy-AM" w:eastAsia="en-US"/>
        </w:rPr>
        <w:t>202</w:t>
      </w:r>
      <w:r w:rsidRPr="00A83C94">
        <w:rPr>
          <w:b w:val="0"/>
          <w:szCs w:val="22"/>
          <w:lang w:val="hy-AM" w:eastAsia="en-US"/>
        </w:rPr>
        <w:t>2</w:t>
      </w:r>
      <w:r w:rsidRPr="00A83C94">
        <w:rPr>
          <w:rFonts w:eastAsia="Calibri"/>
          <w:b w:val="0"/>
          <w:szCs w:val="22"/>
          <w:lang w:val="hy-AM" w:eastAsia="en-US"/>
        </w:rPr>
        <w:t xml:space="preserve">թ նախատեսվել է </w:t>
      </w:r>
      <w:r w:rsidRPr="00A83C94">
        <w:rPr>
          <w:rFonts w:eastAsia="Calibri" w:cs="Sylfaen"/>
          <w:b w:val="0"/>
          <w:szCs w:val="22"/>
          <w:lang w:val="hy-AM" w:eastAsia="en-US"/>
        </w:rPr>
        <w:t>2,</w:t>
      </w:r>
      <w:r w:rsidR="008E37FC" w:rsidRPr="008E37FC">
        <w:rPr>
          <w:rFonts w:eastAsia="Calibri" w:cs="Sylfaen"/>
          <w:b w:val="0"/>
          <w:szCs w:val="22"/>
          <w:lang w:val="hy-AM" w:eastAsia="en-US"/>
        </w:rPr>
        <w:t>4</w:t>
      </w:r>
      <w:r w:rsidRPr="00A83C94">
        <w:rPr>
          <w:rFonts w:eastAsia="Calibri" w:cs="Sylfaen"/>
          <w:b w:val="0"/>
          <w:szCs w:val="22"/>
          <w:lang w:val="hy-AM" w:eastAsia="en-US"/>
        </w:rPr>
        <w:t>6</w:t>
      </w:r>
      <w:r w:rsidR="008E37FC" w:rsidRPr="008E37FC">
        <w:rPr>
          <w:rFonts w:eastAsia="Calibri" w:cs="Sylfaen"/>
          <w:b w:val="0"/>
          <w:szCs w:val="22"/>
          <w:lang w:val="hy-AM" w:eastAsia="en-US"/>
        </w:rPr>
        <w:t>1</w:t>
      </w:r>
      <w:r w:rsidRPr="00A83C94">
        <w:rPr>
          <w:rFonts w:eastAsia="Calibri" w:cs="Sylfaen"/>
          <w:b w:val="0"/>
          <w:szCs w:val="22"/>
          <w:lang w:val="hy-AM" w:eastAsia="en-US"/>
        </w:rPr>
        <w:t>.</w:t>
      </w:r>
      <w:r w:rsidR="008E37FC" w:rsidRPr="00E31794">
        <w:rPr>
          <w:rFonts w:eastAsia="Calibri" w:cs="Sylfaen"/>
          <w:b w:val="0"/>
          <w:szCs w:val="22"/>
          <w:lang w:val="hy-AM" w:eastAsia="en-US"/>
        </w:rPr>
        <w:t>9</w:t>
      </w:r>
      <w:r w:rsidRPr="00A83C94">
        <w:rPr>
          <w:rFonts w:eastAsia="Calibri" w:cs="Sylfaen"/>
          <w:b w:val="0"/>
          <w:szCs w:val="22"/>
          <w:lang w:val="hy-AM" w:eastAsia="en-US"/>
        </w:rPr>
        <w:t xml:space="preserve"> մլն դրամ</w:t>
      </w:r>
      <w:r w:rsidRPr="00A83C94">
        <w:rPr>
          <w:b w:val="0"/>
          <w:color w:val="000000"/>
          <w:szCs w:val="22"/>
          <w:lang w:val="hy-AM" w:eastAsia="en-US"/>
        </w:rPr>
        <w:t>:</w:t>
      </w:r>
    </w:p>
    <w:p w14:paraId="63B39FD3" w14:textId="77777777" w:rsidR="0023176E" w:rsidRPr="00A83C94" w:rsidRDefault="0023176E" w:rsidP="0023176E">
      <w:pPr>
        <w:spacing w:before="0" w:line="276" w:lineRule="auto"/>
        <w:ind w:firstLine="448"/>
        <w:contextualSpacing w:val="0"/>
        <w:rPr>
          <w:rFonts w:eastAsia="Calibri" w:cs="Sylfaen"/>
          <w:b w:val="0"/>
          <w:szCs w:val="22"/>
          <w:lang w:val="hy-AM" w:eastAsia="en-US"/>
        </w:rPr>
      </w:pPr>
      <w:r w:rsidRPr="00A83C94">
        <w:rPr>
          <w:rFonts w:eastAsia="Calibri" w:cs="Sylfaen"/>
          <w:b w:val="0"/>
          <w:szCs w:val="22"/>
          <w:lang w:val="hy-AM" w:eastAsia="en-US"/>
        </w:rPr>
        <w:t>Ծրագրի նպատակն է ապահովել Հայաստանի Հանրապե</w:t>
      </w:r>
      <w:r w:rsidRPr="00A83C94">
        <w:rPr>
          <w:rFonts w:eastAsia="Calibri" w:cs="Sylfaen"/>
          <w:b w:val="0"/>
          <w:szCs w:val="22"/>
          <w:lang w:val="hy-AM" w:eastAsia="en-US"/>
        </w:rPr>
        <w:softHyphen/>
        <w:t>տու</w:t>
      </w:r>
      <w:r w:rsidRPr="00A83C94">
        <w:rPr>
          <w:rFonts w:eastAsia="Calibri" w:cs="Sylfaen"/>
          <w:b w:val="0"/>
          <w:szCs w:val="22"/>
          <w:lang w:val="hy-AM" w:eastAsia="en-US"/>
        </w:rPr>
        <w:softHyphen/>
        <w:t>թյունում հեռահաղորդակցության և կապի ծառայությունների որակի կանոնակարգումն ու բարելավումը:</w:t>
      </w:r>
    </w:p>
    <w:p w14:paraId="7D075BEF" w14:textId="77777777" w:rsidR="0023176E" w:rsidRPr="00A83C94" w:rsidRDefault="0023176E" w:rsidP="0023176E">
      <w:pPr>
        <w:spacing w:before="0" w:line="276" w:lineRule="auto"/>
        <w:ind w:firstLine="448"/>
        <w:contextualSpacing w:val="0"/>
        <w:rPr>
          <w:rFonts w:eastAsia="Calibri" w:cs="Sylfaen"/>
          <w:b w:val="0"/>
          <w:szCs w:val="22"/>
          <w:lang w:val="hy-AM" w:eastAsia="en-US"/>
        </w:rPr>
      </w:pPr>
      <w:r w:rsidRPr="00A83C94">
        <w:rPr>
          <w:rFonts w:eastAsia="Calibri" w:cs="Sylfaen"/>
          <w:b w:val="0"/>
          <w:szCs w:val="22"/>
          <w:lang w:val="hy-AM" w:eastAsia="en-US"/>
        </w:rPr>
        <w:t xml:space="preserve">Ծրագրի շրջանակներում նախատեսվում է </w:t>
      </w:r>
      <w:r w:rsidRPr="00A83C94">
        <w:rPr>
          <w:rFonts w:eastAsia="Calibri"/>
          <w:b w:val="0"/>
          <w:szCs w:val="22"/>
          <w:lang w:val="hy-AM" w:eastAsia="en-US"/>
        </w:rPr>
        <w:t xml:space="preserve">ռադիոհաճախականային տիրույթի 92 տոկոս մաքրության ապահովում, </w:t>
      </w:r>
      <w:r w:rsidRPr="00A83C94">
        <w:rPr>
          <w:rFonts w:eastAsia="Calibri" w:cs="Sylfaen"/>
          <w:b w:val="0"/>
          <w:szCs w:val="22"/>
          <w:lang w:val="hy-AM" w:eastAsia="en-US"/>
        </w:rPr>
        <w:t>հեռահաղորդակ</w:t>
      </w:r>
      <w:r w:rsidRPr="00A83C94">
        <w:rPr>
          <w:rFonts w:eastAsia="Calibri" w:cs="Sylfaen"/>
          <w:b w:val="0"/>
          <w:szCs w:val="22"/>
          <w:lang w:val="hy-AM" w:eastAsia="en-US"/>
        </w:rPr>
        <w:softHyphen/>
        <w:t xml:space="preserve">ցության և կապի ծառայությունների որակի կանոնակարգում ու բարելավում, ռադիոեթերի մոնիթորինգի և ազդանշանների տեխնիկական պարամետրերի չափումների անցկացում, Հանրապետական սփռման մուլտիպլեքսի արբանյակային   տարածման համար արբանյակային ունակության վարձակալում, ՀՀ-ում պետական մարմինների և ուսումնական հաստատությունների տվյալների փոխանակման կապի ապահովում և սպասարկում, ՀՀ տարածքում բազային և շարժական ռադիոմոնիտորինգի համակարգի ներդրում։ </w:t>
      </w:r>
    </w:p>
    <w:p w14:paraId="1E5ECA73" w14:textId="77777777" w:rsidR="0023176E" w:rsidRPr="00A83C94" w:rsidRDefault="0023176E" w:rsidP="0023176E">
      <w:pPr>
        <w:spacing w:before="0" w:line="276" w:lineRule="auto"/>
        <w:ind w:firstLine="720"/>
        <w:rPr>
          <w:rFonts w:eastAsia="Calibri"/>
          <w:b w:val="0"/>
          <w:color w:val="00000A"/>
          <w:szCs w:val="22"/>
          <w:lang w:val="hy-AM" w:eastAsia="en-US"/>
        </w:rPr>
      </w:pPr>
      <w:r w:rsidRPr="00A83C94">
        <w:rPr>
          <w:rFonts w:eastAsia="Calibri"/>
          <w:b w:val="0"/>
          <w:szCs w:val="22"/>
          <w:lang w:val="hy-AM" w:eastAsia="en-US"/>
        </w:rPr>
        <w:t xml:space="preserve">Միաժամանակ </w:t>
      </w:r>
      <w:r w:rsidRPr="00A83C94">
        <w:rPr>
          <w:b w:val="0"/>
          <w:bCs/>
          <w:iCs/>
          <w:lang w:val="fr-FR"/>
        </w:rPr>
        <w:t xml:space="preserve">Եվրոմիության աջակցության </w:t>
      </w:r>
      <w:r w:rsidRPr="00A83C94">
        <w:rPr>
          <w:b w:val="0"/>
          <w:bCs/>
          <w:iCs/>
          <w:lang w:val="hy-AM"/>
        </w:rPr>
        <w:t>դրամաշնորհային</w:t>
      </w:r>
      <w:r w:rsidRPr="00A83C94">
        <w:rPr>
          <w:b w:val="0"/>
          <w:bCs/>
          <w:iCs/>
          <w:lang w:val="fr-FR"/>
        </w:rPr>
        <w:t xml:space="preserve"> ծրագրի շրջանակներում </w:t>
      </w:r>
      <w:r w:rsidRPr="00A83C94">
        <w:rPr>
          <w:rFonts w:eastAsia="Calibri"/>
          <w:b w:val="0"/>
          <w:szCs w:val="22"/>
          <w:lang w:val="hy-AM" w:eastAsia="en-US"/>
        </w:rPr>
        <w:t xml:space="preserve">նախատեսվում է իրականացնել </w:t>
      </w:r>
      <w:r w:rsidRPr="00A83C94">
        <w:rPr>
          <w:rFonts w:eastAsia="Calibri"/>
          <w:b w:val="0"/>
          <w:color w:val="00000A"/>
          <w:szCs w:val="22"/>
          <w:lang w:val="hy-AM" w:eastAsia="en-US"/>
        </w:rPr>
        <w:t xml:space="preserve">Հայաստանի ներքին և արտաքին լայնաշերտ (օպտիկամանրաթելային) ցանցի (օպտիկամանրաթելային կապուղիներ, կապի հանգույցներ, փոխանակման կետեր, տվյալների կենրոններ, արտաքին ցանց՝ Բուլղարիա-Վրաստան Անդրծովյան, Վրաստան-Հայաստան վերգետնյա) կառուցում։ </w:t>
      </w:r>
    </w:p>
    <w:p w14:paraId="2A79536F" w14:textId="77777777" w:rsidR="007C51C0" w:rsidRPr="00A83C94" w:rsidRDefault="007C51C0" w:rsidP="007C65A5">
      <w:pPr>
        <w:suppressAutoHyphens/>
        <w:spacing w:before="0" w:line="276" w:lineRule="auto"/>
        <w:ind w:left="2160" w:firstLine="0"/>
        <w:rPr>
          <w:rFonts w:eastAsia="Calibri"/>
          <w:b w:val="0"/>
          <w:szCs w:val="22"/>
          <w:lang w:val="hy-AM" w:eastAsia="en-US"/>
        </w:rPr>
      </w:pPr>
    </w:p>
    <w:p w14:paraId="74A52908" w14:textId="11EFFD3B" w:rsidR="003C0C2C" w:rsidRPr="00A83C94" w:rsidRDefault="00885B84" w:rsidP="00832373">
      <w:pPr>
        <w:keepNext/>
        <w:spacing w:before="0" w:line="276" w:lineRule="auto"/>
        <w:ind w:firstLine="0"/>
        <w:contextualSpacing w:val="0"/>
        <w:jc w:val="center"/>
        <w:outlineLvl w:val="2"/>
        <w:rPr>
          <w:rFonts w:cs="Arial"/>
          <w:sz w:val="24"/>
          <w:lang w:val="hy-AM" w:eastAsia="en-US"/>
        </w:rPr>
      </w:pPr>
      <w:bookmarkStart w:id="311" w:name="_Toc89428318"/>
      <w:r w:rsidRPr="00A83C94">
        <w:rPr>
          <w:rFonts w:cs="Arial"/>
          <w:sz w:val="24"/>
          <w:lang w:val="hy-AM" w:eastAsia="en-US"/>
        </w:rPr>
        <w:t>ՀՀ շրջակա միջավայրի նախարարություն</w:t>
      </w:r>
      <w:bookmarkEnd w:id="311"/>
    </w:p>
    <w:p w14:paraId="462A4B34" w14:textId="5F47A0AB" w:rsidR="009C0AA0" w:rsidRPr="00A83C94" w:rsidRDefault="009C0AA0" w:rsidP="009C0AA0">
      <w:pPr>
        <w:tabs>
          <w:tab w:val="left" w:pos="851"/>
        </w:tabs>
        <w:spacing w:line="276" w:lineRule="auto"/>
        <w:ind w:firstLine="720"/>
        <w:rPr>
          <w:b w:val="0"/>
          <w:lang w:val="hy-AM"/>
        </w:rPr>
      </w:pPr>
      <w:r w:rsidRPr="00A83C94">
        <w:rPr>
          <w:b w:val="0"/>
          <w:lang w:val="hy-AM"/>
        </w:rPr>
        <w:t xml:space="preserve">ՀՀ շրջակա միջավայրի նախարարության գծով </w:t>
      </w:r>
      <w:r w:rsidR="00640ECA" w:rsidRPr="00A83C94">
        <w:rPr>
          <w:b w:val="0"/>
          <w:lang w:val="hy-AM"/>
        </w:rPr>
        <w:t>Ն</w:t>
      </w:r>
      <w:r w:rsidRPr="00A83C94">
        <w:rPr>
          <w:b w:val="0"/>
          <w:lang w:val="hy-AM"/>
        </w:rPr>
        <w:t>ա</w:t>
      </w:r>
      <w:r w:rsidRPr="00A83C94">
        <w:rPr>
          <w:b w:val="0"/>
          <w:lang w:val="hy-AM"/>
        </w:rPr>
        <w:softHyphen/>
        <w:t xml:space="preserve">խագծով նախատեսվում է </w:t>
      </w:r>
      <w:r w:rsidR="00B92394" w:rsidRPr="00A83C94">
        <w:rPr>
          <w:b w:val="0"/>
          <w:lang w:val="hy-AM"/>
        </w:rPr>
        <w:t xml:space="preserve">հատկացնել </w:t>
      </w:r>
      <w:r w:rsidR="00B92394" w:rsidRPr="00A83C94">
        <w:rPr>
          <w:rFonts w:cs="Sylfaen"/>
          <w:b w:val="0"/>
          <w:lang w:val="af-ZA"/>
        </w:rPr>
        <w:t>6</w:t>
      </w:r>
      <w:r w:rsidRPr="00A83C94">
        <w:rPr>
          <w:rFonts w:cs="Sylfaen"/>
          <w:b w:val="0"/>
          <w:lang w:val="af-ZA"/>
        </w:rPr>
        <w:t>,</w:t>
      </w:r>
      <w:r w:rsidR="00B92394" w:rsidRPr="00A83C94">
        <w:rPr>
          <w:rFonts w:cs="Sylfaen"/>
          <w:b w:val="0"/>
          <w:lang w:val="af-ZA"/>
        </w:rPr>
        <w:t>771.7</w:t>
      </w:r>
      <w:r w:rsidRPr="00A83C94">
        <w:rPr>
          <w:rFonts w:cs="Sylfaen"/>
          <w:b w:val="0"/>
          <w:lang w:val="af-ZA"/>
        </w:rPr>
        <w:t xml:space="preserve"> մլն դրամ</w:t>
      </w:r>
      <w:r w:rsidR="00B92394" w:rsidRPr="00A83C94">
        <w:rPr>
          <w:rFonts w:cs="Sylfaen"/>
          <w:b w:val="0"/>
          <w:lang w:val="af-ZA"/>
        </w:rPr>
        <w:t xml:space="preserve"> </w:t>
      </w:r>
      <w:r w:rsidR="00B92394" w:rsidRPr="00A83C94">
        <w:rPr>
          <w:b w:val="0"/>
          <w:color w:val="000000"/>
          <w:szCs w:val="22"/>
          <w:lang w:val="hy-AM" w:eastAsia="en-US"/>
        </w:rPr>
        <w:t>(ներառյալ կառավարման ապարատի պահպանման ծախսերը)</w:t>
      </w:r>
      <w:r w:rsidRPr="00A83C94">
        <w:rPr>
          <w:b w:val="0"/>
          <w:lang w:val="hy-AM"/>
        </w:rPr>
        <w:t xml:space="preserve">, որի շրջանակներում նախատեսվում է իրականացնել հետևյալ ծրագրերը. </w:t>
      </w:r>
    </w:p>
    <w:p w14:paraId="5F93D425" w14:textId="05FB57CE" w:rsidR="009C0AA0" w:rsidRPr="00A83C94" w:rsidRDefault="009C0AA0" w:rsidP="009C0AA0">
      <w:pPr>
        <w:tabs>
          <w:tab w:val="left" w:pos="851"/>
        </w:tabs>
        <w:autoSpaceDE w:val="0"/>
        <w:autoSpaceDN w:val="0"/>
        <w:adjustRightInd w:val="0"/>
        <w:spacing w:line="276" w:lineRule="auto"/>
        <w:ind w:firstLine="720"/>
        <w:rPr>
          <w:rFonts w:cs="Sylfaen"/>
          <w:b w:val="0"/>
          <w:lang w:val="fr-FR"/>
        </w:rPr>
      </w:pPr>
      <w:r w:rsidRPr="00A83C94">
        <w:rPr>
          <w:rFonts w:cs="IRTEK Courier"/>
          <w:lang w:val="hy-AM"/>
        </w:rPr>
        <w:t xml:space="preserve">Շրջակա միջավայրի վրա ազդեցության գնահատում և մոնիթորինգ </w:t>
      </w:r>
      <w:r w:rsidRPr="00A83C94">
        <w:rPr>
          <w:rFonts w:cs="IRTEK Courier"/>
          <w:b w:val="0"/>
          <w:lang w:val="hy-AM"/>
        </w:rPr>
        <w:t>ծ</w:t>
      </w:r>
      <w:r w:rsidRPr="00A83C94">
        <w:rPr>
          <w:rFonts w:cs="IRTEK Courier"/>
          <w:b w:val="0"/>
          <w:iCs/>
          <w:lang w:val="hy-AM"/>
        </w:rPr>
        <w:t xml:space="preserve">րագրի գծով </w:t>
      </w:r>
      <w:r w:rsidRPr="00A83C94">
        <w:rPr>
          <w:rFonts w:cs="Sylfaen"/>
          <w:b w:val="0"/>
          <w:lang w:val="fr-FR"/>
        </w:rPr>
        <w:t>2022 թվականին նախատեսվել է 1,687.0 մլն դրամ</w:t>
      </w:r>
      <w:r w:rsidR="00B92394" w:rsidRPr="00A83C94">
        <w:rPr>
          <w:rFonts w:cs="Sylfaen"/>
          <w:b w:val="0"/>
          <w:lang w:val="fr-FR"/>
        </w:rPr>
        <w:t>(ներառյալ կառավարման ապարատի պահպանման ծախսերը)</w:t>
      </w:r>
      <w:r w:rsidRPr="00A83C94">
        <w:rPr>
          <w:rFonts w:cs="Sylfaen"/>
          <w:b w:val="0"/>
          <w:lang w:val="fr-FR"/>
        </w:rPr>
        <w:t>:</w:t>
      </w:r>
    </w:p>
    <w:p w14:paraId="453E6981" w14:textId="77777777" w:rsidR="009C0AA0" w:rsidRPr="00A83C94" w:rsidRDefault="009C0AA0" w:rsidP="009C0AA0">
      <w:pPr>
        <w:tabs>
          <w:tab w:val="left" w:pos="851"/>
        </w:tabs>
        <w:autoSpaceDE w:val="0"/>
        <w:autoSpaceDN w:val="0"/>
        <w:adjustRightInd w:val="0"/>
        <w:spacing w:line="276" w:lineRule="auto"/>
        <w:ind w:firstLine="720"/>
        <w:rPr>
          <w:b w:val="0"/>
          <w:lang w:val="fr-FR"/>
        </w:rPr>
      </w:pPr>
      <w:r w:rsidRPr="00A83C94">
        <w:rPr>
          <w:rFonts w:cs="Sylfaen"/>
          <w:b w:val="0"/>
          <w:lang w:val="fr-FR"/>
        </w:rPr>
        <w:t>Ծրագրի</w:t>
      </w:r>
      <w:r w:rsidRPr="00A83C94">
        <w:rPr>
          <w:rFonts w:cs="IRTEK Courier"/>
          <w:b w:val="0"/>
          <w:iCs/>
          <w:lang w:val="hy-AM"/>
        </w:rPr>
        <w:t xml:space="preserve"> նպատակն է</w:t>
      </w:r>
      <w:r w:rsidRPr="00A83C94">
        <w:rPr>
          <w:rFonts w:cs="IRTEK Courier"/>
          <w:b w:val="0"/>
          <w:lang w:val="hy-AM"/>
        </w:rPr>
        <w:t xml:space="preserve"> </w:t>
      </w:r>
      <w:r w:rsidRPr="00A83C94">
        <w:rPr>
          <w:rFonts w:cs="IRTEK Courier"/>
          <w:b w:val="0"/>
          <w:iCs/>
          <w:lang w:val="hy-AM"/>
        </w:rPr>
        <w:t xml:space="preserve">նպաստել շրջակա միջավայրի և բնական ռեսուրսների (բացառությամբ օգտակար հանածոների) պահպանությանը՝ </w:t>
      </w:r>
      <w:r w:rsidRPr="00A83C94">
        <w:rPr>
          <w:rFonts w:cs="IRTEK Courier"/>
          <w:b w:val="0"/>
          <w:iCs/>
        </w:rPr>
        <w:t>վերջինիս</w:t>
      </w:r>
      <w:r w:rsidRPr="00A83C94">
        <w:rPr>
          <w:rFonts w:cs="IRTEK Courier"/>
          <w:b w:val="0"/>
          <w:iCs/>
          <w:lang w:val="hy-AM"/>
        </w:rPr>
        <w:t xml:space="preserve"> վերաբերյալ տեղեկատվության հրապարակմամբ:</w:t>
      </w:r>
      <w:r w:rsidRPr="00A83C94">
        <w:rPr>
          <w:rFonts w:cs="IRTEK Courier"/>
          <w:b w:val="0"/>
          <w:iCs/>
          <w:lang w:val="fr-FR"/>
        </w:rPr>
        <w:t xml:space="preserve">  </w:t>
      </w:r>
      <w:r w:rsidRPr="00A83C94">
        <w:rPr>
          <w:b w:val="0"/>
        </w:rPr>
        <w:t>Ծրագրի</w:t>
      </w:r>
      <w:r w:rsidRPr="00A83C94">
        <w:rPr>
          <w:b w:val="0"/>
          <w:lang w:val="fr-FR"/>
        </w:rPr>
        <w:t xml:space="preserve"> </w:t>
      </w:r>
      <w:r w:rsidRPr="00A83C94">
        <w:rPr>
          <w:b w:val="0"/>
          <w:lang w:val="hy-AM"/>
        </w:rPr>
        <w:t xml:space="preserve">շրջանակներում </w:t>
      </w:r>
      <w:r w:rsidRPr="00A83C94">
        <w:rPr>
          <w:b w:val="0"/>
        </w:rPr>
        <w:t>նախատեսվում</w:t>
      </w:r>
      <w:r w:rsidRPr="00A83C94">
        <w:rPr>
          <w:b w:val="0"/>
          <w:lang w:val="fr-FR"/>
        </w:rPr>
        <w:t xml:space="preserve"> </w:t>
      </w:r>
      <w:r w:rsidRPr="00A83C94">
        <w:rPr>
          <w:b w:val="0"/>
        </w:rPr>
        <w:t>է</w:t>
      </w:r>
      <w:r w:rsidRPr="00A83C94">
        <w:rPr>
          <w:b w:val="0"/>
          <w:lang w:val="fr-FR"/>
        </w:rPr>
        <w:t xml:space="preserve"> </w:t>
      </w:r>
      <w:r w:rsidRPr="00A83C94">
        <w:rPr>
          <w:b w:val="0"/>
        </w:rPr>
        <w:t>իրականացնել</w:t>
      </w:r>
      <w:r w:rsidRPr="00A83C94">
        <w:rPr>
          <w:b w:val="0"/>
          <w:lang w:val="fr-FR"/>
        </w:rPr>
        <w:t xml:space="preserve"> </w:t>
      </w:r>
      <w:r w:rsidRPr="00A83C94">
        <w:rPr>
          <w:b w:val="0"/>
        </w:rPr>
        <w:t>շ</w:t>
      </w:r>
      <w:r w:rsidRPr="00A83C94">
        <w:rPr>
          <w:rFonts w:cs="IRTEK Courier"/>
          <w:b w:val="0"/>
          <w:lang w:val="hy-AM"/>
        </w:rPr>
        <w:t>րջակա միջավայրի վրա ազդեցության գնահատ</w:t>
      </w:r>
      <w:r w:rsidRPr="00A83C94">
        <w:rPr>
          <w:rFonts w:cs="IRTEK Courier"/>
          <w:b w:val="0"/>
        </w:rPr>
        <w:t>ման</w:t>
      </w:r>
      <w:r w:rsidRPr="00A83C94">
        <w:rPr>
          <w:rFonts w:cs="IRTEK Courier"/>
          <w:b w:val="0"/>
          <w:lang w:val="fr-FR"/>
        </w:rPr>
        <w:t xml:space="preserve"> </w:t>
      </w:r>
      <w:r w:rsidRPr="00A83C94">
        <w:rPr>
          <w:rFonts w:cs="IRTEK Courier"/>
          <w:b w:val="0"/>
        </w:rPr>
        <w:t>նպատակով</w:t>
      </w:r>
      <w:r w:rsidRPr="00A83C94">
        <w:rPr>
          <w:rFonts w:cs="IRTEK Courier"/>
          <w:b w:val="0"/>
          <w:lang w:val="fr-FR"/>
        </w:rPr>
        <w:t xml:space="preserve"> 238 </w:t>
      </w:r>
      <w:r w:rsidRPr="00A83C94">
        <w:rPr>
          <w:rFonts w:cs="IRTEK Courier"/>
          <w:b w:val="0"/>
        </w:rPr>
        <w:t>հայտերի</w:t>
      </w:r>
      <w:r w:rsidRPr="00A83C94">
        <w:rPr>
          <w:rFonts w:cs="IRTEK Courier"/>
          <w:b w:val="0"/>
          <w:lang w:val="fr-FR"/>
        </w:rPr>
        <w:t xml:space="preserve"> </w:t>
      </w:r>
      <w:r w:rsidRPr="00A83C94">
        <w:rPr>
          <w:rFonts w:cs="IRTEK Courier"/>
          <w:b w:val="0"/>
        </w:rPr>
        <w:t>գնահատման</w:t>
      </w:r>
      <w:r w:rsidRPr="00A83C94">
        <w:rPr>
          <w:rFonts w:cs="IRTEK Courier"/>
          <w:b w:val="0"/>
          <w:lang w:val="fr-FR"/>
        </w:rPr>
        <w:t>,</w:t>
      </w:r>
      <w:r w:rsidRPr="00A83C94">
        <w:rPr>
          <w:b w:val="0"/>
          <w:lang w:val="hy-AM"/>
        </w:rPr>
        <w:t xml:space="preserve"> փորձաքննության </w:t>
      </w:r>
      <w:r w:rsidRPr="00A83C94">
        <w:rPr>
          <w:rFonts w:cs="IRTEK Courier"/>
          <w:b w:val="0"/>
        </w:rPr>
        <w:t>և</w:t>
      </w:r>
      <w:r w:rsidRPr="00A83C94">
        <w:rPr>
          <w:rFonts w:cs="IRTEK Courier"/>
          <w:b w:val="0"/>
          <w:lang w:val="fr-FR"/>
        </w:rPr>
        <w:t xml:space="preserve"> </w:t>
      </w:r>
      <w:r w:rsidRPr="00A83C94">
        <w:rPr>
          <w:rFonts w:cs="IRTEK Courier"/>
          <w:b w:val="0"/>
        </w:rPr>
        <w:t>եզրակացությունների</w:t>
      </w:r>
      <w:r w:rsidRPr="00A83C94">
        <w:rPr>
          <w:rFonts w:cs="IRTEK Courier"/>
          <w:b w:val="0"/>
          <w:lang w:val="fr-FR"/>
        </w:rPr>
        <w:t xml:space="preserve"> </w:t>
      </w:r>
      <w:r w:rsidRPr="00A83C94">
        <w:rPr>
          <w:rFonts w:cs="IRTEK Courier"/>
          <w:b w:val="0"/>
        </w:rPr>
        <w:t>տրամադրման</w:t>
      </w:r>
      <w:r w:rsidRPr="00A83C94">
        <w:rPr>
          <w:b w:val="0"/>
          <w:lang w:val="fr-FR"/>
        </w:rPr>
        <w:t>,</w:t>
      </w:r>
      <w:r w:rsidRPr="00A83C94">
        <w:rPr>
          <w:rFonts w:cs="IRTEK Courier"/>
          <w:b w:val="0"/>
          <w:lang w:val="fr-FR"/>
        </w:rPr>
        <w:t xml:space="preserve"> 145 </w:t>
      </w:r>
      <w:r w:rsidRPr="00A83C94">
        <w:rPr>
          <w:rFonts w:cs="IRTEK Courier"/>
          <w:b w:val="0"/>
        </w:rPr>
        <w:t>հայտերի</w:t>
      </w:r>
      <w:r w:rsidRPr="00A83C94">
        <w:rPr>
          <w:rFonts w:cs="IRTEK Courier"/>
          <w:b w:val="0"/>
          <w:lang w:val="fr-FR"/>
        </w:rPr>
        <w:t xml:space="preserve"> </w:t>
      </w:r>
      <w:r w:rsidRPr="00A83C94">
        <w:rPr>
          <w:rFonts w:cs="IRTEK Courier"/>
          <w:b w:val="0"/>
        </w:rPr>
        <w:t>տեխնիկական</w:t>
      </w:r>
      <w:r w:rsidRPr="00A83C94">
        <w:rPr>
          <w:rFonts w:cs="IRTEK Courier"/>
          <w:b w:val="0"/>
          <w:lang w:val="fr-FR"/>
        </w:rPr>
        <w:t xml:space="preserve"> </w:t>
      </w:r>
      <w:r w:rsidRPr="00A83C94">
        <w:rPr>
          <w:rFonts w:cs="IRTEK Courier"/>
          <w:b w:val="0"/>
        </w:rPr>
        <w:t>առաջադրանքների</w:t>
      </w:r>
      <w:r w:rsidRPr="00A83C94">
        <w:rPr>
          <w:rFonts w:cs="IRTEK Courier"/>
          <w:b w:val="0"/>
          <w:lang w:val="fr-FR"/>
        </w:rPr>
        <w:t xml:space="preserve"> </w:t>
      </w:r>
      <w:r w:rsidRPr="00A83C94">
        <w:rPr>
          <w:rFonts w:cs="IRTEK Courier"/>
          <w:b w:val="0"/>
        </w:rPr>
        <w:t>կազմման</w:t>
      </w:r>
      <w:r w:rsidRPr="00A83C94">
        <w:rPr>
          <w:rFonts w:cs="IRTEK Courier"/>
          <w:b w:val="0"/>
          <w:lang w:val="fr-FR"/>
        </w:rPr>
        <w:t xml:space="preserve"> </w:t>
      </w:r>
      <w:r w:rsidRPr="00A83C94">
        <w:rPr>
          <w:rFonts w:cs="IRTEK Courier"/>
          <w:b w:val="0"/>
        </w:rPr>
        <w:t>աշխատանքներ</w:t>
      </w:r>
      <w:r w:rsidRPr="00A83C94">
        <w:rPr>
          <w:rFonts w:cs="IRTEK Courier"/>
          <w:b w:val="0"/>
          <w:lang w:val="fr-FR"/>
        </w:rPr>
        <w:t xml:space="preserve">, </w:t>
      </w:r>
      <w:r w:rsidRPr="00A83C94">
        <w:rPr>
          <w:b w:val="0"/>
          <w:lang w:val="hy-AM"/>
        </w:rPr>
        <w:t>հիդրոօդերևու</w:t>
      </w:r>
      <w:r w:rsidRPr="00A83C94">
        <w:rPr>
          <w:b w:val="0"/>
          <w:lang w:val="hy-AM"/>
        </w:rPr>
        <w:softHyphen/>
        <w:t>թաբանական աշխատանքներ` մթնոլորտի և ջրոլորտի ուսումնա</w:t>
      </w:r>
      <w:r w:rsidRPr="00A83C94">
        <w:rPr>
          <w:b w:val="0"/>
          <w:lang w:val="hy-AM"/>
        </w:rPr>
        <w:softHyphen/>
        <w:t>սիրու</w:t>
      </w:r>
      <w:r w:rsidRPr="00A83C94">
        <w:rPr>
          <w:b w:val="0"/>
          <w:lang w:val="hy-AM"/>
        </w:rPr>
        <w:softHyphen/>
        <w:t>թյունների ձևով`</w:t>
      </w:r>
      <w:r w:rsidRPr="00A83C94">
        <w:rPr>
          <w:b w:val="0"/>
          <w:lang w:val="fr-FR"/>
        </w:rPr>
        <w:t xml:space="preserve"> </w:t>
      </w:r>
      <w:r w:rsidRPr="00A83C94">
        <w:rPr>
          <w:rFonts w:cs="IRTEK Courier"/>
          <w:b w:val="0"/>
        </w:rPr>
        <w:t>շուրջ</w:t>
      </w:r>
      <w:r w:rsidRPr="00A83C94">
        <w:rPr>
          <w:rFonts w:cs="IRTEK Courier"/>
          <w:b w:val="0"/>
          <w:lang w:val="fr-FR"/>
        </w:rPr>
        <w:t xml:space="preserve"> 212,006 </w:t>
      </w:r>
      <w:r w:rsidRPr="00A83C94">
        <w:rPr>
          <w:rFonts w:cs="IRTEK Courier"/>
          <w:b w:val="0"/>
        </w:rPr>
        <w:t>հիդրոօդերևութաբանական</w:t>
      </w:r>
      <w:r w:rsidRPr="00A83C94">
        <w:rPr>
          <w:rFonts w:cs="IRTEK Courier"/>
          <w:b w:val="0"/>
          <w:lang w:val="fr-FR"/>
        </w:rPr>
        <w:t xml:space="preserve"> </w:t>
      </w:r>
      <w:r w:rsidRPr="00A83C94">
        <w:rPr>
          <w:rFonts w:cs="IRTEK Courier"/>
          <w:b w:val="0"/>
        </w:rPr>
        <w:t>և</w:t>
      </w:r>
      <w:r w:rsidRPr="00A83C94">
        <w:rPr>
          <w:rFonts w:cs="IRTEK Courier"/>
          <w:b w:val="0"/>
          <w:lang w:val="fr-FR"/>
        </w:rPr>
        <w:t xml:space="preserve"> 15,700 </w:t>
      </w:r>
      <w:r w:rsidRPr="00A83C94">
        <w:rPr>
          <w:rFonts w:cs="IRTEK Courier"/>
          <w:b w:val="0"/>
        </w:rPr>
        <w:t>օզոնոմետրիական</w:t>
      </w:r>
      <w:r w:rsidRPr="00A83C94">
        <w:rPr>
          <w:rFonts w:cs="IRTEK Courier"/>
          <w:b w:val="0"/>
          <w:lang w:val="fr-FR"/>
        </w:rPr>
        <w:t xml:space="preserve">, </w:t>
      </w:r>
      <w:r w:rsidRPr="00A83C94">
        <w:rPr>
          <w:rFonts w:cs="IRTEK Courier"/>
          <w:b w:val="0"/>
        </w:rPr>
        <w:t>ռադիոլոգիական</w:t>
      </w:r>
      <w:r w:rsidRPr="00A83C94">
        <w:rPr>
          <w:rFonts w:cs="IRTEK Courier"/>
          <w:b w:val="0"/>
          <w:lang w:val="fr-FR"/>
        </w:rPr>
        <w:t xml:space="preserve"> </w:t>
      </w:r>
      <w:r w:rsidRPr="00A83C94">
        <w:rPr>
          <w:rFonts w:cs="IRTEK Courier"/>
          <w:b w:val="0"/>
        </w:rPr>
        <w:t>դիտարկումների</w:t>
      </w:r>
      <w:r w:rsidRPr="00A83C94">
        <w:rPr>
          <w:rFonts w:cs="IRTEK Courier"/>
          <w:b w:val="0"/>
          <w:lang w:val="fr-FR"/>
        </w:rPr>
        <w:t xml:space="preserve"> </w:t>
      </w:r>
      <w:r w:rsidRPr="00A83C94">
        <w:rPr>
          <w:rFonts w:cs="IRTEK Courier"/>
          <w:b w:val="0"/>
        </w:rPr>
        <w:t>իրականացում</w:t>
      </w:r>
      <w:r w:rsidRPr="00A83C94">
        <w:rPr>
          <w:rFonts w:cs="IRTEK Courier"/>
          <w:b w:val="0"/>
          <w:lang w:val="fr-FR"/>
        </w:rPr>
        <w:t xml:space="preserve">, </w:t>
      </w:r>
      <w:r w:rsidRPr="00A83C94">
        <w:rPr>
          <w:b w:val="0"/>
          <w:lang w:val="hy-AM"/>
        </w:rPr>
        <w:t>փաստացի և սպաս</w:t>
      </w:r>
      <w:r w:rsidRPr="00A83C94">
        <w:rPr>
          <w:b w:val="0"/>
          <w:lang w:val="hy-AM"/>
        </w:rPr>
        <w:softHyphen/>
        <w:t>վող փոփոխությունների, ինչպես նաև դրանց հնարավոր հետևանքների մասին անհրա</w:t>
      </w:r>
      <w:r w:rsidRPr="00A83C94">
        <w:rPr>
          <w:b w:val="0"/>
          <w:lang w:val="hy-AM"/>
        </w:rPr>
        <w:softHyphen/>
        <w:t>ժեշտ տեղե</w:t>
      </w:r>
      <w:r w:rsidRPr="00A83C94">
        <w:rPr>
          <w:b w:val="0"/>
          <w:lang w:val="hy-AM"/>
        </w:rPr>
        <w:softHyphen/>
        <w:t>կատվության ապահովում և մթնոլորտային երևույթների կառավարում</w:t>
      </w:r>
      <w:r w:rsidRPr="00A83C94">
        <w:rPr>
          <w:b w:val="0"/>
          <w:lang w:val="fr-FR"/>
        </w:rPr>
        <w:t>:</w:t>
      </w:r>
    </w:p>
    <w:p w14:paraId="06626072" w14:textId="77777777" w:rsidR="009C0AA0" w:rsidRPr="00A83C94" w:rsidRDefault="009C0AA0" w:rsidP="009C0AA0">
      <w:pPr>
        <w:tabs>
          <w:tab w:val="left" w:pos="851"/>
        </w:tabs>
        <w:autoSpaceDE w:val="0"/>
        <w:autoSpaceDN w:val="0"/>
        <w:adjustRightInd w:val="0"/>
        <w:spacing w:line="276" w:lineRule="auto"/>
        <w:ind w:firstLine="720"/>
        <w:rPr>
          <w:rFonts w:cs="Sylfaen"/>
          <w:b w:val="0"/>
          <w:lang w:val="fr-FR"/>
        </w:rPr>
      </w:pPr>
      <w:r w:rsidRPr="00A83C94">
        <w:rPr>
          <w:rFonts w:cs="IRTEK Courier"/>
          <w:lang w:val="hy-AM"/>
        </w:rPr>
        <w:t>Բնապահպանական ծրագրերի իրականացում համայնքներում</w:t>
      </w:r>
      <w:r w:rsidRPr="00A83C94">
        <w:rPr>
          <w:rFonts w:cs="IRTEK Courier"/>
          <w:b w:val="0"/>
          <w:lang w:val="hy-AM"/>
        </w:rPr>
        <w:t xml:space="preserve"> ծրագրի </w:t>
      </w:r>
      <w:r w:rsidRPr="00A83C94">
        <w:rPr>
          <w:rFonts w:cs="IRTEK Courier"/>
          <w:b w:val="0"/>
          <w:iCs/>
        </w:rPr>
        <w:t>գծով</w:t>
      </w:r>
      <w:r w:rsidRPr="00A83C94">
        <w:rPr>
          <w:rFonts w:cs="IRTEK Courier"/>
          <w:b w:val="0"/>
          <w:iCs/>
          <w:lang w:val="fr-FR"/>
        </w:rPr>
        <w:t xml:space="preserve"> </w:t>
      </w:r>
      <w:r w:rsidRPr="00A83C94">
        <w:rPr>
          <w:rFonts w:cs="Sylfaen"/>
          <w:b w:val="0"/>
          <w:lang w:val="fr-FR"/>
        </w:rPr>
        <w:t>2022 թվականին նախատեսվել է 108.2 մլն դրամ</w:t>
      </w:r>
      <w:r w:rsidRPr="00A83C94">
        <w:rPr>
          <w:rFonts w:cs="Calibri"/>
          <w:b w:val="0"/>
          <w:lang w:val="fr-FR"/>
        </w:rPr>
        <w:t>:</w:t>
      </w:r>
    </w:p>
    <w:p w14:paraId="071A9C15" w14:textId="77777777" w:rsidR="009C0AA0" w:rsidRPr="00A83C94" w:rsidRDefault="009C0AA0" w:rsidP="009C0AA0">
      <w:pPr>
        <w:tabs>
          <w:tab w:val="left" w:pos="851"/>
        </w:tabs>
        <w:autoSpaceDE w:val="0"/>
        <w:autoSpaceDN w:val="0"/>
        <w:adjustRightInd w:val="0"/>
        <w:spacing w:line="276" w:lineRule="auto"/>
        <w:ind w:firstLine="720"/>
        <w:rPr>
          <w:rFonts w:cs="Sylfaen"/>
          <w:b w:val="0"/>
          <w:lang w:val="hy-AM"/>
        </w:rPr>
      </w:pPr>
      <w:r w:rsidRPr="00A83C94">
        <w:rPr>
          <w:rFonts w:cs="Sylfaen"/>
          <w:b w:val="0"/>
          <w:lang w:val="fr-FR"/>
        </w:rPr>
        <w:t>Ծրագրի նպատակն է մեղմել հանքարդյունաբերության ոլորտում տնտեսական գործունեության հետևանքով շրջակա միջավայրին և բնակչության առողջությանը պատճառված վնասները</w:t>
      </w:r>
      <w:r w:rsidRPr="00A83C94">
        <w:rPr>
          <w:rFonts w:ascii="Calibri" w:hAnsi="Calibri" w:cs="Calibri"/>
          <w:b w:val="0"/>
          <w:lang w:val="fr-FR"/>
        </w:rPr>
        <w:t> </w:t>
      </w:r>
      <w:r w:rsidRPr="00A83C94">
        <w:rPr>
          <w:rFonts w:cs="Sylfaen"/>
          <w:b w:val="0"/>
          <w:lang w:val="fr-FR"/>
        </w:rPr>
        <w:t>: Ն</w:t>
      </w:r>
      <w:r w:rsidRPr="00A83C94">
        <w:rPr>
          <w:rFonts w:cs="Sylfaen"/>
          <w:b w:val="0"/>
        </w:rPr>
        <w:t>ախատեսվում</w:t>
      </w:r>
      <w:r w:rsidRPr="00A83C94">
        <w:rPr>
          <w:rFonts w:cs="Sylfaen"/>
          <w:b w:val="0"/>
          <w:lang w:val="fr-FR"/>
        </w:rPr>
        <w:t xml:space="preserve"> </w:t>
      </w:r>
      <w:r w:rsidRPr="00A83C94">
        <w:rPr>
          <w:rFonts w:cs="Sylfaen"/>
          <w:b w:val="0"/>
        </w:rPr>
        <w:t>է</w:t>
      </w:r>
      <w:r w:rsidRPr="00A83C94">
        <w:rPr>
          <w:rFonts w:cs="Sylfaen"/>
          <w:b w:val="0"/>
          <w:lang w:val="fr-FR"/>
        </w:rPr>
        <w:t xml:space="preserve"> </w:t>
      </w:r>
      <w:r w:rsidRPr="00A83C94">
        <w:rPr>
          <w:rFonts w:cs="Sylfaen"/>
          <w:b w:val="0"/>
          <w:lang w:val="hy-AM"/>
        </w:rPr>
        <w:t>«Ընկերությունների կողմից վճարվող բնապահպանական հարկի նպատակային օգտագործման մասին» ՀՀ օրենքի համաձայն ՀՀ թվով 7 համայնքների տրամադրե</w:t>
      </w:r>
      <w:r w:rsidRPr="00A83C94">
        <w:rPr>
          <w:rFonts w:cs="Sylfaen"/>
          <w:b w:val="0"/>
        </w:rPr>
        <w:t>լ</w:t>
      </w:r>
      <w:r w:rsidRPr="00A83C94">
        <w:rPr>
          <w:rFonts w:cs="Sylfaen"/>
          <w:b w:val="0"/>
          <w:lang w:val="hy-AM"/>
        </w:rPr>
        <w:t xml:space="preserve"> սուբվենցիաներ</w:t>
      </w:r>
      <w:r w:rsidRPr="00A83C94">
        <w:rPr>
          <w:rFonts w:cs="Sylfaen"/>
          <w:b w:val="0"/>
        </w:rPr>
        <w:t>՝</w:t>
      </w:r>
      <w:r w:rsidRPr="00A83C94">
        <w:rPr>
          <w:rFonts w:cs="Sylfaen"/>
          <w:b w:val="0"/>
          <w:lang w:val="hy-AM"/>
        </w:rPr>
        <w:t xml:space="preserve"> բնապահպանական ծրագրերի իրականացման համար:</w:t>
      </w:r>
    </w:p>
    <w:p w14:paraId="22E27A9E" w14:textId="77777777" w:rsidR="009C0AA0" w:rsidRPr="00A83C94" w:rsidRDefault="009C0AA0" w:rsidP="009C0AA0">
      <w:pPr>
        <w:spacing w:line="276" w:lineRule="auto"/>
        <w:rPr>
          <w:rFonts w:cs="Sylfaen"/>
          <w:b w:val="0"/>
          <w:lang w:val="hy-AM"/>
        </w:rPr>
      </w:pPr>
      <w:r w:rsidRPr="00A83C94">
        <w:rPr>
          <w:rFonts w:cs="Sylfaen"/>
          <w:lang w:val="hy-AM"/>
        </w:rPr>
        <w:t>Բնական պաշարների և բնության հատուկ պահպանվող տարածքների կառավարում և պահպանում</w:t>
      </w:r>
      <w:r w:rsidRPr="00A83C94">
        <w:rPr>
          <w:rFonts w:cs="Sylfaen"/>
          <w:b w:val="0"/>
          <w:lang w:val="hy-AM"/>
        </w:rPr>
        <w:t xml:space="preserve"> ծրագրի գծով 2022 թվականին նախատեսվել է 1,292,2</w:t>
      </w:r>
      <w:r w:rsidRPr="00A83C94">
        <w:rPr>
          <w:rFonts w:cs="Sylfaen"/>
          <w:b w:val="0"/>
          <w:lang w:val="af-ZA"/>
        </w:rPr>
        <w:t xml:space="preserve"> </w:t>
      </w:r>
      <w:r w:rsidRPr="00A83C94">
        <w:rPr>
          <w:rFonts w:cs="Sylfaen"/>
          <w:b w:val="0"/>
          <w:lang w:val="hy-AM"/>
        </w:rPr>
        <w:t>մլն</w:t>
      </w:r>
      <w:r w:rsidRPr="00A83C94">
        <w:rPr>
          <w:rFonts w:cs="Sylfaen"/>
          <w:b w:val="0"/>
          <w:lang w:val="af-ZA"/>
        </w:rPr>
        <w:t xml:space="preserve"> </w:t>
      </w:r>
      <w:r w:rsidRPr="00A83C94">
        <w:rPr>
          <w:rFonts w:cs="Sylfaen"/>
          <w:b w:val="0"/>
          <w:lang w:val="hy-AM"/>
        </w:rPr>
        <w:t>դրամ:</w:t>
      </w:r>
    </w:p>
    <w:p w14:paraId="6586C096" w14:textId="77777777" w:rsidR="009C0AA0" w:rsidRPr="00A83C94" w:rsidRDefault="009C0AA0" w:rsidP="009C0AA0">
      <w:pPr>
        <w:spacing w:line="276" w:lineRule="auto"/>
        <w:rPr>
          <w:rFonts w:cs="Sylfaen"/>
          <w:b w:val="0"/>
          <w:lang w:val="hy-AM"/>
        </w:rPr>
      </w:pPr>
      <w:r w:rsidRPr="00A83C94">
        <w:rPr>
          <w:rFonts w:cs="Sylfaen"/>
          <w:b w:val="0"/>
          <w:lang w:val="hy-AM"/>
        </w:rPr>
        <w:t>Ծրագրի նպատակն է ապահովել բնական պաշարների և կենսաբազմազանության արդյունավետ կառավարումն ու պահպանությունը՝ ակնկալելով ապահովել բնական պաշարների և կենսաբազմազանության վերարտադրության աճը: Ծրագրի շրջանակներում նախատեսվում է մաքրել</w:t>
      </w:r>
      <w:r w:rsidRPr="00A83C94">
        <w:rPr>
          <w:rFonts w:cs="Sylfaen"/>
          <w:b w:val="0"/>
          <w:lang w:val="af-ZA"/>
        </w:rPr>
        <w:t xml:space="preserve"> </w:t>
      </w:r>
      <w:r w:rsidRPr="00A83C94">
        <w:rPr>
          <w:rFonts w:cs="Sylfaen"/>
          <w:b w:val="0"/>
          <w:lang w:val="hy-AM"/>
        </w:rPr>
        <w:t>Սևանա</w:t>
      </w:r>
      <w:r w:rsidRPr="00A83C94">
        <w:rPr>
          <w:rFonts w:cs="Sylfaen"/>
          <w:b w:val="0"/>
          <w:lang w:val="af-ZA"/>
        </w:rPr>
        <w:t xml:space="preserve"> </w:t>
      </w:r>
      <w:r w:rsidRPr="00A83C94">
        <w:rPr>
          <w:rFonts w:cs="Sylfaen"/>
          <w:b w:val="0"/>
          <w:lang w:val="hy-AM"/>
        </w:rPr>
        <w:t>լճի</w:t>
      </w:r>
      <w:r w:rsidRPr="00A83C94">
        <w:rPr>
          <w:rFonts w:cs="Sylfaen"/>
          <w:b w:val="0"/>
          <w:lang w:val="af-ZA"/>
        </w:rPr>
        <w:t xml:space="preserve"> </w:t>
      </w:r>
      <w:r w:rsidRPr="00A83C94">
        <w:rPr>
          <w:rFonts w:cs="Sylfaen"/>
          <w:b w:val="0"/>
          <w:lang w:val="hy-AM"/>
        </w:rPr>
        <w:t>շրջակայքի</w:t>
      </w:r>
      <w:r w:rsidRPr="00A83C94">
        <w:rPr>
          <w:rFonts w:cs="Sylfaen"/>
          <w:b w:val="0"/>
          <w:lang w:val="af-ZA"/>
        </w:rPr>
        <w:t xml:space="preserve"> </w:t>
      </w:r>
      <w:r w:rsidRPr="00A83C94">
        <w:rPr>
          <w:rFonts w:cs="Sylfaen"/>
          <w:b w:val="0"/>
          <w:lang w:val="hy-AM"/>
        </w:rPr>
        <w:t>244</w:t>
      </w:r>
      <w:r w:rsidRPr="00A83C94">
        <w:rPr>
          <w:rFonts w:cs="Sylfaen"/>
          <w:b w:val="0"/>
          <w:lang w:val="af-ZA"/>
        </w:rPr>
        <w:t xml:space="preserve"> </w:t>
      </w:r>
      <w:r w:rsidRPr="00A83C94">
        <w:rPr>
          <w:rFonts w:cs="Sylfaen"/>
          <w:b w:val="0"/>
          <w:lang w:val="hy-AM"/>
        </w:rPr>
        <w:t>հա</w:t>
      </w:r>
      <w:r w:rsidRPr="00A83C94">
        <w:rPr>
          <w:rFonts w:cs="Sylfaen"/>
          <w:b w:val="0"/>
          <w:lang w:val="af-ZA"/>
        </w:rPr>
        <w:t xml:space="preserve"> </w:t>
      </w:r>
      <w:r w:rsidRPr="00A83C94">
        <w:rPr>
          <w:rFonts w:cs="Sylfaen"/>
          <w:b w:val="0"/>
          <w:lang w:val="hy-AM"/>
        </w:rPr>
        <w:t>ջրածածկ</w:t>
      </w:r>
      <w:r w:rsidRPr="00A83C94">
        <w:rPr>
          <w:rFonts w:cs="Sylfaen"/>
          <w:b w:val="0"/>
          <w:lang w:val="af-ZA"/>
        </w:rPr>
        <w:t xml:space="preserve"> </w:t>
      </w:r>
      <w:r w:rsidRPr="00A83C94">
        <w:rPr>
          <w:rFonts w:cs="Sylfaen"/>
          <w:b w:val="0"/>
          <w:lang w:val="hy-AM"/>
        </w:rPr>
        <w:t xml:space="preserve">անտառտնկարկներ, </w:t>
      </w:r>
      <w:r w:rsidRPr="00A83C94">
        <w:rPr>
          <w:b w:val="0"/>
          <w:lang w:val="hy-AM"/>
        </w:rPr>
        <w:t xml:space="preserve">իրականացնել Uևանա լճի ջրահավաք ավազանի կենդանական ռեuուրuների (ձկան և խեցգետնի) պաշարների հաշվառման, </w:t>
      </w:r>
      <w:r w:rsidRPr="00A83C94">
        <w:rPr>
          <w:rFonts w:cs="IRTEK Courier"/>
          <w:b w:val="0"/>
          <w:lang w:val="pt-BR"/>
        </w:rPr>
        <w:t>«Սևան»,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328.1 հազ. հա տարածքների պահպանման, Սևանա լճի տարածքում գտնվող 3 հանրային լողափերի սպասարկման և պահպանման աշխատանքներ:</w:t>
      </w:r>
    </w:p>
    <w:p w14:paraId="7D971560" w14:textId="77777777" w:rsidR="009C0AA0" w:rsidRPr="00A83C94" w:rsidRDefault="009C0AA0" w:rsidP="009C0AA0">
      <w:pPr>
        <w:spacing w:line="276" w:lineRule="auto"/>
        <w:rPr>
          <w:rFonts w:cs="Sylfaen"/>
          <w:b w:val="0"/>
          <w:lang w:val="hy-AM"/>
        </w:rPr>
      </w:pPr>
      <w:r w:rsidRPr="00A83C94">
        <w:rPr>
          <w:rFonts w:cs="Sylfaen"/>
          <w:lang w:val="hy-AM"/>
        </w:rPr>
        <w:t>Անտառների կառավարում</w:t>
      </w:r>
      <w:r w:rsidRPr="00A83C94">
        <w:rPr>
          <w:rFonts w:cs="Sylfaen"/>
          <w:b w:val="0"/>
          <w:lang w:val="hy-AM"/>
        </w:rPr>
        <w:t xml:space="preserve"> ծրագրի գծով 2022 թվականին նախատեսվել է 1,980.7 մլն դրամ: </w:t>
      </w:r>
    </w:p>
    <w:p w14:paraId="281C10BE" w14:textId="77777777" w:rsidR="009C0AA0" w:rsidRPr="00A83C94" w:rsidRDefault="009C0AA0" w:rsidP="009C0AA0">
      <w:pPr>
        <w:spacing w:line="276" w:lineRule="auto"/>
        <w:rPr>
          <w:rFonts w:cs="Sylfaen"/>
          <w:b w:val="0"/>
          <w:lang w:val="hy-AM"/>
        </w:rPr>
      </w:pPr>
      <w:r w:rsidRPr="00A83C94">
        <w:rPr>
          <w:rFonts w:cs="Sylfaen"/>
          <w:b w:val="0"/>
          <w:lang w:val="hy-AM"/>
        </w:rPr>
        <w:t>Ծրագրի նպատակն է ապահովել անտառային տարածքների կայուն կառավարումը՝ նպաստելով կայուն կառավարվող անտառային տարածքների աճին: Ծրագրի շրջանակներում նախատեսվում է իրականացնել «</w:t>
      </w:r>
      <w:r w:rsidRPr="00A83C94">
        <w:rPr>
          <w:b w:val="0"/>
          <w:lang w:val="hy-AM"/>
        </w:rPr>
        <w:t>Հայանտառ</w:t>
      </w:r>
      <w:r w:rsidRPr="00A83C94">
        <w:rPr>
          <w:b w:val="0"/>
          <w:lang w:val="af-ZA"/>
        </w:rPr>
        <w:t xml:space="preserve">» </w:t>
      </w:r>
      <w:r w:rsidRPr="00A83C94">
        <w:rPr>
          <w:b w:val="0"/>
          <w:lang w:val="hy-AM"/>
        </w:rPr>
        <w:t>ՊՈԱԿ</w:t>
      </w:r>
      <w:r w:rsidRPr="00A83C94">
        <w:rPr>
          <w:b w:val="0"/>
          <w:lang w:val="af-ZA"/>
        </w:rPr>
        <w:t>-</w:t>
      </w:r>
      <w:r w:rsidRPr="00A83C94">
        <w:rPr>
          <w:b w:val="0"/>
          <w:lang w:val="hy-AM"/>
        </w:rPr>
        <w:t>ի</w:t>
      </w:r>
      <w:r w:rsidRPr="00A83C94">
        <w:rPr>
          <w:b w:val="0"/>
          <w:lang w:val="af-ZA"/>
        </w:rPr>
        <w:t xml:space="preserve"> </w:t>
      </w:r>
      <w:r w:rsidRPr="00A83C94">
        <w:rPr>
          <w:b w:val="0"/>
          <w:lang w:val="hy-AM"/>
        </w:rPr>
        <w:t>իրավասության</w:t>
      </w:r>
      <w:r w:rsidRPr="00A83C94">
        <w:rPr>
          <w:b w:val="0"/>
          <w:lang w:val="af-ZA"/>
        </w:rPr>
        <w:t xml:space="preserve"> </w:t>
      </w:r>
      <w:r w:rsidRPr="00A83C94">
        <w:rPr>
          <w:b w:val="0"/>
          <w:lang w:val="hy-AM"/>
        </w:rPr>
        <w:t>ներքո</w:t>
      </w:r>
      <w:r w:rsidRPr="00A83C94">
        <w:rPr>
          <w:b w:val="0"/>
          <w:lang w:val="af-ZA"/>
        </w:rPr>
        <w:t xml:space="preserve"> </w:t>
      </w:r>
      <w:r w:rsidRPr="00A83C94">
        <w:rPr>
          <w:b w:val="0"/>
          <w:lang w:val="hy-AM"/>
        </w:rPr>
        <w:t>գտնվող</w:t>
      </w:r>
      <w:r w:rsidRPr="00A83C94">
        <w:rPr>
          <w:b w:val="0"/>
          <w:lang w:val="af-ZA"/>
        </w:rPr>
        <w:t xml:space="preserve"> </w:t>
      </w:r>
      <w:r w:rsidRPr="00A83C94">
        <w:rPr>
          <w:b w:val="0"/>
          <w:lang w:val="hy-AM"/>
        </w:rPr>
        <w:t>անտառային</w:t>
      </w:r>
      <w:r w:rsidRPr="00A83C94">
        <w:rPr>
          <w:b w:val="0"/>
          <w:lang w:val="af-ZA"/>
        </w:rPr>
        <w:t xml:space="preserve"> 342,400 </w:t>
      </w:r>
      <w:r w:rsidRPr="00A83C94">
        <w:rPr>
          <w:b w:val="0"/>
          <w:lang w:val="hy-AM"/>
        </w:rPr>
        <w:t>հա</w:t>
      </w:r>
      <w:r w:rsidRPr="00A83C94">
        <w:rPr>
          <w:b w:val="0"/>
          <w:lang w:val="af-ZA"/>
        </w:rPr>
        <w:t xml:space="preserve"> </w:t>
      </w:r>
      <w:r w:rsidRPr="00A83C94">
        <w:rPr>
          <w:b w:val="0"/>
          <w:lang w:val="hy-AM"/>
        </w:rPr>
        <w:t>տարածքների</w:t>
      </w:r>
      <w:r w:rsidRPr="00A83C94">
        <w:rPr>
          <w:b w:val="0"/>
          <w:lang w:val="af-ZA"/>
        </w:rPr>
        <w:t xml:space="preserve"> </w:t>
      </w:r>
      <w:r w:rsidRPr="00A83C94">
        <w:rPr>
          <w:b w:val="0"/>
          <w:lang w:val="hy-AM"/>
        </w:rPr>
        <w:t xml:space="preserve">պահպանում, </w:t>
      </w:r>
      <w:r w:rsidRPr="00A83C94">
        <w:rPr>
          <w:b w:val="0"/>
          <w:lang w:val="af-ZA"/>
        </w:rPr>
        <w:t>«</w:t>
      </w:r>
      <w:r w:rsidRPr="00A83C94">
        <w:rPr>
          <w:b w:val="0"/>
          <w:lang w:val="hy-AM"/>
        </w:rPr>
        <w:t>Հայանտառ</w:t>
      </w:r>
      <w:r w:rsidRPr="00A83C94">
        <w:rPr>
          <w:b w:val="0"/>
          <w:lang w:val="af-ZA"/>
        </w:rPr>
        <w:t xml:space="preserve">» </w:t>
      </w:r>
      <w:r w:rsidRPr="00A83C94">
        <w:rPr>
          <w:b w:val="0"/>
          <w:lang w:val="hy-AM"/>
        </w:rPr>
        <w:t>ՊՈԱԿ</w:t>
      </w:r>
      <w:r w:rsidRPr="00A83C94">
        <w:rPr>
          <w:b w:val="0"/>
          <w:lang w:val="af-ZA"/>
        </w:rPr>
        <w:t>-</w:t>
      </w:r>
      <w:r w:rsidRPr="00A83C94">
        <w:rPr>
          <w:b w:val="0"/>
          <w:lang w:val="hy-AM"/>
        </w:rPr>
        <w:t>ի</w:t>
      </w:r>
      <w:r w:rsidRPr="00A83C94">
        <w:rPr>
          <w:b w:val="0"/>
          <w:lang w:val="af-ZA"/>
        </w:rPr>
        <w:t xml:space="preserve"> </w:t>
      </w:r>
      <w:r w:rsidRPr="00A83C94">
        <w:rPr>
          <w:b w:val="0"/>
          <w:lang w:val="hy-AM"/>
        </w:rPr>
        <w:t>մասնաճյուղերի</w:t>
      </w:r>
      <w:r w:rsidRPr="00A83C94">
        <w:rPr>
          <w:b w:val="0"/>
          <w:lang w:val="af-ZA"/>
        </w:rPr>
        <w:t xml:space="preserve"> </w:t>
      </w:r>
      <w:r w:rsidRPr="00A83C94">
        <w:rPr>
          <w:b w:val="0"/>
          <w:lang w:val="hy-AM"/>
        </w:rPr>
        <w:t>անտառածածկ</w:t>
      </w:r>
      <w:r w:rsidRPr="00A83C94">
        <w:rPr>
          <w:b w:val="0"/>
          <w:lang w:val="af-ZA"/>
        </w:rPr>
        <w:t xml:space="preserve"> 4440 </w:t>
      </w:r>
      <w:r w:rsidRPr="00A83C94">
        <w:rPr>
          <w:b w:val="0"/>
          <w:lang w:val="hy-AM"/>
        </w:rPr>
        <w:t>հա</w:t>
      </w:r>
      <w:r w:rsidRPr="00A83C94">
        <w:rPr>
          <w:b w:val="0"/>
          <w:lang w:val="af-ZA"/>
        </w:rPr>
        <w:t xml:space="preserve"> </w:t>
      </w:r>
      <w:r w:rsidRPr="00A83C94">
        <w:rPr>
          <w:b w:val="0"/>
          <w:lang w:val="hy-AM"/>
        </w:rPr>
        <w:t>տարածքում վնասատուների</w:t>
      </w:r>
      <w:r w:rsidRPr="00A83C94">
        <w:rPr>
          <w:b w:val="0"/>
          <w:lang w:val="af-ZA"/>
        </w:rPr>
        <w:t xml:space="preserve"> </w:t>
      </w:r>
      <w:r w:rsidRPr="00A83C94">
        <w:rPr>
          <w:b w:val="0"/>
          <w:lang w:val="hy-AM"/>
        </w:rPr>
        <w:t>դեմ ավիացիոն</w:t>
      </w:r>
      <w:r w:rsidRPr="00A83C94">
        <w:rPr>
          <w:b w:val="0"/>
          <w:lang w:val="af-ZA"/>
        </w:rPr>
        <w:t xml:space="preserve"> </w:t>
      </w:r>
      <w:r w:rsidRPr="00A83C94">
        <w:rPr>
          <w:b w:val="0"/>
          <w:lang w:val="hy-AM"/>
        </w:rPr>
        <w:t>պայքարի միջոցառումներ, 52.4 հազ. հա-ի մասով</w:t>
      </w:r>
      <w:r w:rsidRPr="00A83C94">
        <w:rPr>
          <w:rFonts w:cs="IRTEK Courier"/>
          <w:b w:val="0"/>
          <w:lang w:val="pt-BR"/>
        </w:rPr>
        <w:t xml:space="preserve"> թվով 4 հատ անտառկառավարման պլանների կազմման, 130 հա տարածքում անտառվերականգնման և անտառապատման աշխատանքներ:</w:t>
      </w:r>
    </w:p>
    <w:p w14:paraId="57BB0F15" w14:textId="77777777" w:rsidR="009C0AA0" w:rsidRPr="00A83C94" w:rsidRDefault="009C0AA0" w:rsidP="009C0AA0">
      <w:pPr>
        <w:spacing w:line="276" w:lineRule="auto"/>
        <w:rPr>
          <w:rFonts w:cs="Sylfaen"/>
          <w:b w:val="0"/>
          <w:lang w:val="hy-AM"/>
        </w:rPr>
      </w:pPr>
      <w:r w:rsidRPr="00A83C94">
        <w:rPr>
          <w:lang w:val="ro-RO"/>
        </w:rPr>
        <w:t>Բնապահպանական նմուշների պահպանություն և ցուցադրություն</w:t>
      </w:r>
      <w:r w:rsidRPr="00A83C94">
        <w:rPr>
          <w:b w:val="0"/>
          <w:lang w:val="ro-RO"/>
        </w:rPr>
        <w:t xml:space="preserve"> </w:t>
      </w:r>
      <w:r w:rsidRPr="00A83C94">
        <w:rPr>
          <w:rFonts w:cs="IRTEK Courier"/>
          <w:b w:val="0"/>
          <w:lang w:val="hy-AM"/>
        </w:rPr>
        <w:t>ծրագրի</w:t>
      </w:r>
      <w:r w:rsidRPr="00A83C94">
        <w:rPr>
          <w:rFonts w:cs="IRTEK Courier"/>
          <w:b w:val="0"/>
          <w:iCs/>
          <w:lang w:val="hy-AM"/>
        </w:rPr>
        <w:t xml:space="preserve"> </w:t>
      </w:r>
      <w:r w:rsidRPr="00A83C94">
        <w:rPr>
          <w:rFonts w:cs="Sylfaen"/>
          <w:b w:val="0"/>
          <w:lang w:val="hy-AM"/>
        </w:rPr>
        <w:t>գծով 2022 թվականին նախատեսվել է 344.9</w:t>
      </w:r>
      <w:r w:rsidRPr="00A83C94">
        <w:rPr>
          <w:rFonts w:cs="Sylfaen"/>
          <w:b w:val="0"/>
          <w:lang w:val="af-ZA"/>
        </w:rPr>
        <w:t xml:space="preserve"> </w:t>
      </w:r>
      <w:r w:rsidRPr="00A83C94">
        <w:rPr>
          <w:rFonts w:cs="Sylfaen"/>
          <w:b w:val="0"/>
          <w:lang w:val="hy-AM"/>
        </w:rPr>
        <w:t>մլն</w:t>
      </w:r>
      <w:r w:rsidRPr="00A83C94">
        <w:rPr>
          <w:rFonts w:cs="Sylfaen"/>
          <w:b w:val="0"/>
          <w:lang w:val="af-ZA"/>
        </w:rPr>
        <w:t xml:space="preserve"> </w:t>
      </w:r>
      <w:r w:rsidRPr="00A83C94">
        <w:rPr>
          <w:rFonts w:cs="Sylfaen"/>
          <w:b w:val="0"/>
          <w:lang w:val="hy-AM"/>
        </w:rPr>
        <w:t xml:space="preserve">դրամ: </w:t>
      </w:r>
    </w:p>
    <w:p w14:paraId="3E3E6C19" w14:textId="77777777" w:rsidR="009C0AA0" w:rsidRPr="00A83C94" w:rsidRDefault="009C0AA0" w:rsidP="009C0AA0">
      <w:pPr>
        <w:spacing w:line="276" w:lineRule="auto"/>
        <w:rPr>
          <w:rFonts w:eastAsia="GHEAGrapalat"/>
          <w:b w:val="0"/>
          <w:lang w:val="hy-AM"/>
        </w:rPr>
      </w:pPr>
      <w:r w:rsidRPr="00A83C94">
        <w:rPr>
          <w:rFonts w:cs="Sylfaen"/>
          <w:b w:val="0"/>
          <w:lang w:val="hy-AM"/>
        </w:rPr>
        <w:t>Ծրագրի</w:t>
      </w:r>
      <w:r w:rsidRPr="00A83C94">
        <w:rPr>
          <w:b w:val="0"/>
          <w:lang w:val="ro-RO"/>
        </w:rPr>
        <w:t xml:space="preserve"> նպատակն է </w:t>
      </w:r>
      <w:r w:rsidRPr="00A83C94">
        <w:rPr>
          <w:rFonts w:cs="Sylfaen"/>
          <w:b w:val="0"/>
          <w:lang w:val="hy-AM"/>
        </w:rPr>
        <w:t>մշտական և ժամանակավոր ցուցահանդեսների միջոցով հավաքածուները ներկայացնել հանրությանը և իրականացնել բնապահպանական քարոզչություն՝</w:t>
      </w:r>
      <w:r w:rsidRPr="00A83C94">
        <w:rPr>
          <w:b w:val="0"/>
          <w:lang w:val="ro-RO"/>
        </w:rPr>
        <w:t xml:space="preserve"> նպաստելով բնապահպանական աշխարհայացքի ձևավորմանը, բնակչության էկոլոգիական</w:t>
      </w:r>
      <w:r w:rsidRPr="00A83C94">
        <w:rPr>
          <w:rFonts w:cs="Sylfaen"/>
          <w:b w:val="0"/>
          <w:lang w:val="hy-AM"/>
        </w:rPr>
        <w:t xml:space="preserve"> դաստիարակությանը: Ծրագրի շրջանակներում նախատեսվում է իրականացնել </w:t>
      </w:r>
      <w:r w:rsidRPr="00A83C94">
        <w:rPr>
          <w:b w:val="0"/>
          <w:lang w:val="af-ZA"/>
        </w:rPr>
        <w:t>«</w:t>
      </w:r>
      <w:r w:rsidRPr="00A83C94">
        <w:rPr>
          <w:b w:val="0"/>
          <w:lang w:val="hy-AM"/>
        </w:rPr>
        <w:t>Հայաստանի բնության պետական թանգարան</w:t>
      </w:r>
      <w:r w:rsidRPr="00A83C94">
        <w:rPr>
          <w:b w:val="0"/>
          <w:lang w:val="af-ZA"/>
        </w:rPr>
        <w:t xml:space="preserve">» </w:t>
      </w:r>
      <w:r w:rsidRPr="00A83C94">
        <w:rPr>
          <w:b w:val="0"/>
          <w:lang w:val="hy-AM"/>
        </w:rPr>
        <w:t>ՊՈԱԿ</w:t>
      </w:r>
      <w:r w:rsidRPr="00A83C94">
        <w:rPr>
          <w:b w:val="0"/>
          <w:lang w:val="af-ZA"/>
        </w:rPr>
        <w:t>-</w:t>
      </w:r>
      <w:r w:rsidRPr="00A83C94">
        <w:rPr>
          <w:b w:val="0"/>
          <w:lang w:val="hy-AM"/>
        </w:rPr>
        <w:t>ի</w:t>
      </w:r>
      <w:r w:rsidRPr="00A83C94">
        <w:rPr>
          <w:b w:val="0"/>
          <w:lang w:val="af-ZA"/>
        </w:rPr>
        <w:t xml:space="preserve"> </w:t>
      </w:r>
      <w:r w:rsidRPr="00A83C94">
        <w:rPr>
          <w:b w:val="0"/>
          <w:lang w:val="hy-AM"/>
        </w:rPr>
        <w:t>իրավասության</w:t>
      </w:r>
      <w:r w:rsidRPr="00A83C94">
        <w:rPr>
          <w:b w:val="0"/>
          <w:lang w:val="af-ZA"/>
        </w:rPr>
        <w:t xml:space="preserve"> </w:t>
      </w:r>
      <w:r w:rsidRPr="00A83C94">
        <w:rPr>
          <w:b w:val="0"/>
          <w:lang w:val="hy-AM"/>
        </w:rPr>
        <w:t>ներքո</w:t>
      </w:r>
      <w:r w:rsidRPr="00A83C94">
        <w:rPr>
          <w:b w:val="0"/>
          <w:lang w:val="af-ZA"/>
        </w:rPr>
        <w:t xml:space="preserve"> </w:t>
      </w:r>
      <w:r w:rsidRPr="00A83C94">
        <w:rPr>
          <w:b w:val="0"/>
          <w:lang w:val="hy-AM"/>
        </w:rPr>
        <w:t>գտնվող</w:t>
      </w:r>
      <w:r w:rsidRPr="00A83C94">
        <w:rPr>
          <w:b w:val="0"/>
          <w:lang w:val="af-ZA"/>
        </w:rPr>
        <w:t xml:space="preserve"> Հայաստանին բնորոշ 6730 բնության օբյեկտների թանգարանային ցուցանմուշների պահպանության և ցուցադրության միջոցառումներ, </w:t>
      </w:r>
      <w:r w:rsidRPr="00A83C94">
        <w:rPr>
          <w:rFonts w:eastAsia="GHEAGrapalat"/>
          <w:b w:val="0"/>
          <w:lang w:val="hy-AM"/>
        </w:rPr>
        <w:t>«Երևանի կենդանաբանական այգի» ՀՈԱԿ-ի միջոցով 159 տեսակի 772 գլուխ կենդանիների ցուցադրություննների միջոցառումներ:</w:t>
      </w:r>
    </w:p>
    <w:p w14:paraId="1C940D7C" w14:textId="77777777" w:rsidR="00F81F14" w:rsidRPr="00A83C94" w:rsidRDefault="00F81F14" w:rsidP="007C65A5">
      <w:pPr>
        <w:autoSpaceDE w:val="0"/>
        <w:autoSpaceDN w:val="0"/>
        <w:adjustRightInd w:val="0"/>
        <w:spacing w:before="0" w:line="276" w:lineRule="auto"/>
        <w:ind w:firstLine="720"/>
        <w:rPr>
          <w:b w:val="0"/>
          <w:szCs w:val="22"/>
          <w:lang w:val="hy-AM"/>
        </w:rPr>
      </w:pPr>
    </w:p>
    <w:p w14:paraId="04BA9822" w14:textId="77777777" w:rsidR="00AE497C" w:rsidRPr="00A83C94" w:rsidRDefault="00AE497C" w:rsidP="00832373">
      <w:pPr>
        <w:keepNext/>
        <w:spacing w:before="0" w:line="276" w:lineRule="auto"/>
        <w:ind w:firstLine="0"/>
        <w:contextualSpacing w:val="0"/>
        <w:jc w:val="center"/>
        <w:outlineLvl w:val="2"/>
        <w:rPr>
          <w:sz w:val="24"/>
          <w:lang w:val="hy-AM"/>
        </w:rPr>
      </w:pPr>
      <w:bookmarkStart w:id="312" w:name="_Toc530663277"/>
      <w:bookmarkStart w:id="313" w:name="_Toc57655480"/>
      <w:bookmarkStart w:id="314" w:name="_Toc89428319"/>
      <w:r w:rsidRPr="00A83C94">
        <w:rPr>
          <w:rFonts w:cs="Arial"/>
          <w:sz w:val="24"/>
          <w:lang w:val="hy-AM" w:eastAsia="en-US"/>
        </w:rPr>
        <w:t>ՀՀ էկոնոմիկայի նախա</w:t>
      </w:r>
      <w:r w:rsidRPr="00A83C94">
        <w:rPr>
          <w:rFonts w:cs="Arial"/>
          <w:sz w:val="24"/>
          <w:lang w:val="hy-AM" w:eastAsia="en-US"/>
        </w:rPr>
        <w:softHyphen/>
        <w:t>րարու</w:t>
      </w:r>
      <w:r w:rsidRPr="00A83C94">
        <w:rPr>
          <w:rFonts w:cs="Arial"/>
          <w:sz w:val="24"/>
          <w:lang w:val="hy-AM" w:eastAsia="en-US"/>
        </w:rPr>
        <w:softHyphen/>
        <w:t>թյուն</w:t>
      </w:r>
      <w:bookmarkEnd w:id="312"/>
      <w:bookmarkEnd w:id="313"/>
      <w:bookmarkEnd w:id="314"/>
    </w:p>
    <w:p w14:paraId="729C03BE" w14:textId="324EC31A" w:rsidR="00574F8B" w:rsidRPr="00A83C94" w:rsidRDefault="00574F8B" w:rsidP="00574F8B">
      <w:pPr>
        <w:spacing w:before="0" w:line="276" w:lineRule="auto"/>
        <w:rPr>
          <w:b w:val="0"/>
          <w:lang w:val="hy-AM"/>
        </w:rPr>
      </w:pPr>
      <w:r w:rsidRPr="00A83C94">
        <w:rPr>
          <w:b w:val="0"/>
          <w:lang w:val="hy-AM"/>
        </w:rPr>
        <w:t>ՀՀ էկոնոմիկայի նախա</w:t>
      </w:r>
      <w:r w:rsidRPr="00A83C94">
        <w:rPr>
          <w:b w:val="0"/>
          <w:lang w:val="hy-AM"/>
        </w:rPr>
        <w:softHyphen/>
        <w:t>րարու</w:t>
      </w:r>
      <w:r w:rsidRPr="00A83C94">
        <w:rPr>
          <w:b w:val="0"/>
          <w:lang w:val="hy-AM"/>
        </w:rPr>
        <w:softHyphen/>
        <w:t xml:space="preserve">թյան գծով Նախագծով նախատեսվում է հատկացնել </w:t>
      </w:r>
      <w:r w:rsidR="00926E4D" w:rsidRPr="002526E9">
        <w:rPr>
          <w:b w:val="0"/>
          <w:lang w:val="hy-AM"/>
        </w:rPr>
        <w:t>4</w:t>
      </w:r>
      <w:r w:rsidR="00912049">
        <w:rPr>
          <w:b w:val="0"/>
          <w:lang w:val="hy-AM"/>
        </w:rPr>
        <w:t>2</w:t>
      </w:r>
      <w:r w:rsidR="00926E4D" w:rsidRPr="002526E9">
        <w:rPr>
          <w:b w:val="0"/>
          <w:lang w:val="hy-AM"/>
        </w:rPr>
        <w:t>,</w:t>
      </w:r>
      <w:r w:rsidR="00912049">
        <w:rPr>
          <w:b w:val="0"/>
          <w:lang w:val="hy-AM"/>
        </w:rPr>
        <w:t>209</w:t>
      </w:r>
      <w:r w:rsidR="00926E4D" w:rsidRPr="002526E9">
        <w:rPr>
          <w:b w:val="0"/>
          <w:lang w:val="hy-AM"/>
        </w:rPr>
        <w:t>.</w:t>
      </w:r>
      <w:r w:rsidR="00093B64" w:rsidRPr="00093B64">
        <w:rPr>
          <w:b w:val="0"/>
          <w:lang w:val="hy-AM"/>
        </w:rPr>
        <w:t>8</w:t>
      </w:r>
      <w:r w:rsidRPr="00A83C94">
        <w:rPr>
          <w:b w:val="0"/>
          <w:lang w:val="hy-AM"/>
        </w:rPr>
        <w:t xml:space="preserve"> մլն դրամ</w:t>
      </w:r>
      <w:r w:rsidR="00B92394" w:rsidRPr="00A83C94">
        <w:rPr>
          <w:b w:val="0"/>
          <w:lang w:val="hy-AM"/>
        </w:rPr>
        <w:t xml:space="preserve"> </w:t>
      </w:r>
      <w:r w:rsidR="00B92394" w:rsidRPr="00A83C94">
        <w:rPr>
          <w:b w:val="0"/>
          <w:color w:val="000000"/>
          <w:szCs w:val="22"/>
          <w:lang w:val="hy-AM" w:eastAsia="en-US"/>
        </w:rPr>
        <w:t>(ներառյալ կառավարման ապարատի պահպանման ծախսերը)</w:t>
      </w:r>
      <w:r w:rsidRPr="00A83C94">
        <w:rPr>
          <w:b w:val="0"/>
          <w:lang w:val="hy-AM"/>
        </w:rPr>
        <w:t>: Հատկացվելիք միջոցներն ուղղվելու են հետևյալ ծրագրերի իրականացմանը.</w:t>
      </w:r>
    </w:p>
    <w:p w14:paraId="66487A58" w14:textId="77777777" w:rsidR="00574F8B" w:rsidRPr="00A83C94" w:rsidRDefault="00574F8B" w:rsidP="00574F8B">
      <w:pPr>
        <w:pStyle w:val="ListParagraph"/>
        <w:spacing w:before="0" w:line="276" w:lineRule="auto"/>
        <w:ind w:left="0"/>
        <w:rPr>
          <w:b w:val="0"/>
          <w:lang w:val="hy-AM"/>
        </w:rPr>
      </w:pPr>
      <w:r w:rsidRPr="00A83C94">
        <w:rPr>
          <w:lang w:val="hy-AM"/>
        </w:rPr>
        <w:t xml:space="preserve">Ստանդարտների մշակում և հավատարմագրման համակարգի զարգացում </w:t>
      </w:r>
      <w:r w:rsidRPr="00A83C94">
        <w:rPr>
          <w:b w:val="0"/>
          <w:lang w:val="hy-AM"/>
        </w:rPr>
        <w:t>ծրագրի գծով 2022 թվականին նախատեսվել է հատկացնել 1,030.8 մլն դրամ:</w:t>
      </w:r>
    </w:p>
    <w:p w14:paraId="058A7896" w14:textId="77777777" w:rsidR="00574F8B" w:rsidRPr="00A83C94" w:rsidRDefault="00574F8B" w:rsidP="00574F8B">
      <w:pPr>
        <w:spacing w:before="0" w:line="276" w:lineRule="auto"/>
        <w:rPr>
          <w:b w:val="0"/>
          <w:lang w:val="hy-AM"/>
        </w:rPr>
      </w:pPr>
      <w:r w:rsidRPr="00A83C94">
        <w:rPr>
          <w:b w:val="0"/>
          <w:lang w:val="hy-AM"/>
        </w:rPr>
        <w:t>Ծրագրի նպատակն է աջակցել հայրենական արտադրանքի արտանահման ծավալների ավելացմանը, հայրենական արտադրողներին հնարավորություն տալ ապահովել տեխնիկական կանոնակարգերով սահմանված պահանջները, արտադրել միջազգային շուկայում մրցունակ արտադրանք: Ինչպես նաև համապատասխանության գնահատման մարմինների հավատարմագրումը, հավատարմագրված համապատասխանության գնահատման մարմինների կողմից մատուցվող ծառայությունների նկատմամբ սպառողների վստահության բարձրացումը, ՀՀ և ԵԱՏՄ տեխնիկական կանոնակարգերի համաձայն տրված համապատասխանության սերտիֆիկատների և գրանցված համապատասխանության հայտարարագրերի, հավատարմագրված  համապատասխանության գնահատման մարմինների ռեեստրների ձևավորումը, վարումը և արդիականացումը:</w:t>
      </w:r>
    </w:p>
    <w:p w14:paraId="2C40B436" w14:textId="77777777" w:rsidR="00574F8B" w:rsidRPr="00A83C94" w:rsidRDefault="00574F8B" w:rsidP="00574F8B">
      <w:pPr>
        <w:spacing w:before="0" w:line="276" w:lineRule="auto"/>
        <w:rPr>
          <w:b w:val="0"/>
          <w:lang w:val="hy-AM"/>
        </w:rPr>
      </w:pPr>
      <w:r w:rsidRPr="00A83C94">
        <w:rPr>
          <w:b w:val="0"/>
          <w:lang w:val="hy-AM"/>
        </w:rPr>
        <w:t xml:space="preserve">Ծրագրի շրջանակներում նախատեսվում է արտադրանքի  և ծառայությունների գծով մշակել 30 ազգային ստանդարտներ, հավատարմագրված համապատասխանության գնահատման մարմինների ազգային, արտադրանքի սերտիֆիկացման մարմինների, լաբորատորիաների ԵԱՏՄ, համապատասխանության սերտիֆիկատների, հայտարարագրերի ՀՀ և ԵԱՏՄ միասնական ռեեստրների և հավատարմագրման փորձագետների, գնահատողների, տեխնիկական փորձագետների ռեեստրների վարում՝ 5 հատ: </w:t>
      </w:r>
    </w:p>
    <w:p w14:paraId="494E4B6A" w14:textId="77777777" w:rsidR="00574F8B" w:rsidRPr="00A83C94" w:rsidRDefault="00574F8B" w:rsidP="00574F8B">
      <w:pPr>
        <w:spacing w:before="0" w:line="276" w:lineRule="auto"/>
        <w:rPr>
          <w:b w:val="0"/>
          <w:lang w:val="hy-AM"/>
        </w:rPr>
      </w:pPr>
      <w:r w:rsidRPr="00A83C94">
        <w:rPr>
          <w:b w:val="0"/>
          <w:lang w:val="hy-AM"/>
        </w:rPr>
        <w:t>ԵՄ աջակցությամբ իրականացվող որակի ենթակառուցվածքի համակարգի արդիականացում դրամաշնորհային ծրագիրի նպատակն է ՍՉԱՄ ՓԲԸ-ում տրամաչափարկման կարողությունների հիմնում, փորձարկման կարողությունների  ընդլայնում՝ նոր լաբորատոր սարքավորումների ձեռքբերում, լաբորատորիաների վերազինում և ստեղծում:</w:t>
      </w:r>
    </w:p>
    <w:p w14:paraId="5BB00C81" w14:textId="77777777" w:rsidR="00574F8B" w:rsidRPr="00A83C94" w:rsidRDefault="00574F8B" w:rsidP="00574F8B">
      <w:pPr>
        <w:pStyle w:val="ListParagraph"/>
        <w:spacing w:before="0" w:line="276" w:lineRule="auto"/>
        <w:ind w:left="0"/>
        <w:rPr>
          <w:b w:val="0"/>
          <w:lang w:val="hy-AM"/>
        </w:rPr>
      </w:pPr>
      <w:r w:rsidRPr="00A83C94">
        <w:rPr>
          <w:lang w:val="hy-AM"/>
        </w:rPr>
        <w:t xml:space="preserve">Աջակցություն փոքր և միջին ձեռնարկատիրությանը </w:t>
      </w:r>
      <w:r w:rsidRPr="00A83C94">
        <w:rPr>
          <w:b w:val="0"/>
          <w:lang w:val="hy-AM"/>
        </w:rPr>
        <w:t>ծրագրի գծով 2022 թվականին նախատեսվել է հատկացնել 160.1 մլն դրամ:</w:t>
      </w:r>
    </w:p>
    <w:p w14:paraId="0BDC9964" w14:textId="77777777" w:rsidR="00574F8B" w:rsidRPr="00A83C94" w:rsidRDefault="00574F8B" w:rsidP="00574F8B">
      <w:pPr>
        <w:spacing w:before="0" w:line="276" w:lineRule="auto"/>
        <w:rPr>
          <w:b w:val="0"/>
          <w:lang w:val="hy-AM"/>
        </w:rPr>
      </w:pPr>
      <w:r w:rsidRPr="00A83C94">
        <w:rPr>
          <w:b w:val="0"/>
          <w:lang w:val="hy-AM"/>
        </w:rPr>
        <w:t>Ծրագրի նպատակն է</w:t>
      </w:r>
    </w:p>
    <w:p w14:paraId="28F553B7" w14:textId="77777777" w:rsidR="00574F8B" w:rsidRPr="00A83C94" w:rsidRDefault="00574F8B" w:rsidP="00574F8B">
      <w:pPr>
        <w:pStyle w:val="ListParagraph"/>
        <w:numPr>
          <w:ilvl w:val="0"/>
          <w:numId w:val="61"/>
        </w:numPr>
        <w:spacing w:before="0" w:line="276" w:lineRule="auto"/>
        <w:ind w:left="0" w:firstLine="567"/>
        <w:rPr>
          <w:b w:val="0"/>
          <w:lang w:val="hy-AM"/>
        </w:rPr>
      </w:pPr>
      <w:r w:rsidRPr="00A83C94">
        <w:rPr>
          <w:b w:val="0"/>
          <w:lang w:val="hy-AM"/>
        </w:rPr>
        <w:t>գործարար միջավայրի բարելավմանը զուգընթաց գործող և սկսնակ ՓՄՁ սուբյեկտների ձեռներեցությամբ զբաղվելու, ինչպես նաև նրանց ֆինանսական և ներդրումային հնարավորությունների ընդլայնում` նախապատվություն տալով Հայաստանի Հանրապե</w:t>
      </w:r>
      <w:r w:rsidRPr="00A83C94">
        <w:rPr>
          <w:b w:val="0"/>
          <w:lang w:val="hy-AM"/>
        </w:rPr>
        <w:softHyphen/>
        <w:t>տու</w:t>
      </w:r>
      <w:r w:rsidRPr="00A83C94">
        <w:rPr>
          <w:b w:val="0"/>
          <w:lang w:val="hy-AM"/>
        </w:rPr>
        <w:softHyphen/>
        <w:t>թյան մարզերին, ՓՄՁ սուբյեկտներին պետական աջակցության առկա գործիքների (ֆինանսական, տեղեկատվական, խորհրդատվական, ուսուցողական և այլն) կիրառման շարունակականության և արդիականացման ապահովում:</w:t>
      </w:r>
    </w:p>
    <w:p w14:paraId="66996AC5" w14:textId="77777777" w:rsidR="00574F8B" w:rsidRPr="00A83C94" w:rsidRDefault="00574F8B" w:rsidP="00574F8B">
      <w:pPr>
        <w:spacing w:before="0" w:line="276" w:lineRule="auto"/>
        <w:rPr>
          <w:b w:val="0"/>
          <w:lang w:val="hy-AM"/>
        </w:rPr>
      </w:pPr>
      <w:r w:rsidRPr="00A83C94">
        <w:rPr>
          <w:b w:val="0"/>
          <w:lang w:val="hy-AM"/>
        </w:rPr>
        <w:t>Ծրագրի շրջանակներում նախատեսվում է գործող և սկսնակ ՓՄՁ-ի սուբյեկտներին 200 գործարար ուսուցողական, 8000 տեղեկատվական և խորհրդատվական, 30 ֆինանսական և ներդրումային աջակցության տրամադրում:</w:t>
      </w:r>
    </w:p>
    <w:p w14:paraId="26A1F8DC" w14:textId="4EDDFE7E" w:rsidR="00574F8B" w:rsidRPr="00A83C94" w:rsidRDefault="00574F8B" w:rsidP="00574F8B">
      <w:pPr>
        <w:pStyle w:val="ListParagraph"/>
        <w:spacing w:before="0" w:line="276" w:lineRule="auto"/>
        <w:ind w:left="0"/>
        <w:rPr>
          <w:b w:val="0"/>
          <w:lang w:val="hy-AM"/>
        </w:rPr>
      </w:pPr>
      <w:r w:rsidRPr="00A83C94">
        <w:rPr>
          <w:lang w:val="hy-AM"/>
        </w:rPr>
        <w:t xml:space="preserve">Ներդրումների և արտահանման խթանման </w:t>
      </w:r>
      <w:r w:rsidRPr="00A83C94">
        <w:rPr>
          <w:b w:val="0"/>
          <w:lang w:val="hy-AM"/>
        </w:rPr>
        <w:t>ծրագրի գծով 2022 թվականին նախատեսվել է հատկացնել 660 մլն դրամ:</w:t>
      </w:r>
    </w:p>
    <w:p w14:paraId="2ED4DBFA" w14:textId="77777777" w:rsidR="00574F8B" w:rsidRPr="00A83C94" w:rsidRDefault="00574F8B" w:rsidP="00574F8B">
      <w:pPr>
        <w:spacing w:before="0" w:line="276" w:lineRule="auto"/>
        <w:rPr>
          <w:b w:val="0"/>
          <w:lang w:val="hy-AM"/>
        </w:rPr>
      </w:pPr>
      <w:r w:rsidRPr="00A83C94">
        <w:rPr>
          <w:b w:val="0"/>
          <w:lang w:val="hy-AM"/>
        </w:rPr>
        <w:t xml:space="preserve">Ծրագրի հիմնական նպատակն է ՀՀ կառավարության կողմից հաստատված ՀՀ արտահանմանն ուղղված արդյունաբերական քաղաքականության ռազմավարությամբ սահմանված երկարաժամկետ հեռանկարում նպաստել տնտեսական աճի նոր շարժիչ ոլորտների ձևավորումը,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Աջակցել ներդրողների սպասարկմանը, օտարերկրյա ներդրողների ներգրավմանը և հետներդրումային սպասարկամանը:  </w:t>
      </w:r>
    </w:p>
    <w:p w14:paraId="3707C74F" w14:textId="77777777" w:rsidR="00574F8B" w:rsidRPr="00A83C94" w:rsidRDefault="00574F8B" w:rsidP="00574F8B">
      <w:pPr>
        <w:spacing w:before="0" w:line="276" w:lineRule="auto"/>
        <w:rPr>
          <w:b w:val="0"/>
          <w:lang w:val="hy-AM"/>
        </w:rPr>
      </w:pPr>
      <w:r w:rsidRPr="00A83C94">
        <w:rPr>
          <w:b w:val="0"/>
          <w:lang w:val="hy-AM"/>
        </w:rPr>
        <w:t>Ծրագրի շրջանակներում նախատեսվում է արտադրական գործունեության 6 վարկավորման սուբսիդավորում, արտերկրում հայկական արտադրանքի վերաբերյալ գովազդի և հասարակական կարծիքի ձևավորման (PR) 6 միջոցառումների կազմակերպում և իրականացում, միջազգային 7 ցուցահանդեսներին մասնակցության ապահովում, ուսուցման դասընթացի կազմակերպում, գործարար 5 համաժողովների (ֆորումների), ինչպես նաև այլ համանման միջոցառումների մասնակցություն և (կամ) կազմակերպում, գործարար 60 կապերի հաստատում, 50 ներդրումային ծրագրերի ուղեկցում, ՀՀ-ում գործող օտարերկրյա ներդրողների 100 հետներդրումային շարունակական սպասարկում, ներդրումների ներգրավման ու գործարար կապերի հաստատման նպատակով ՀՀ-ում և արտերկրում 5 միջոցառումների կազմակերպում, ներդրողների, գործարարների համար նախատեսված ՀՀ գործարար և ներդրումային դաշտը ներկայացնող, ինչպես նաև ոլորտային 4 ուղեցույցների և շնորհանդեսների նախապատրաստում, ՀՀ ներդրումային միջավայրի, գործարար և արտահանման հնարավորությունների մասին 4 տեսահոլովակների նախապատրաստում, արտաքին 2 գովազդային վահանակների տեղադրում:</w:t>
      </w:r>
    </w:p>
    <w:p w14:paraId="4075F219" w14:textId="6A39CA18" w:rsidR="00574F8B" w:rsidRPr="00A83C94" w:rsidRDefault="00574F8B" w:rsidP="00574F8B">
      <w:pPr>
        <w:spacing w:before="0" w:line="276" w:lineRule="auto"/>
        <w:rPr>
          <w:b w:val="0"/>
          <w:lang w:val="hy-AM"/>
        </w:rPr>
      </w:pPr>
      <w:r w:rsidRPr="00A83C94">
        <w:rPr>
          <w:bCs/>
          <w:lang w:val="hy-AM"/>
        </w:rPr>
        <w:t xml:space="preserve">Գյուղատնտեսության խթանման </w:t>
      </w:r>
      <w:r w:rsidRPr="00A83C94">
        <w:rPr>
          <w:b w:val="0"/>
          <w:bCs/>
          <w:lang w:val="hy-AM"/>
        </w:rPr>
        <w:t>ծրագրի գծով 2022 թվականին նախատեսվել է</w:t>
      </w:r>
      <w:r w:rsidRPr="00A83C94">
        <w:rPr>
          <w:b w:val="0"/>
          <w:lang w:val="hy-AM"/>
        </w:rPr>
        <w:t xml:space="preserve"> հատկացնել </w:t>
      </w:r>
      <w:r w:rsidR="005C686B" w:rsidRPr="002526E9">
        <w:rPr>
          <w:b w:val="0"/>
          <w:bCs/>
          <w:lang w:val="hy-AM"/>
        </w:rPr>
        <w:t>12,</w:t>
      </w:r>
      <w:r w:rsidR="00C95A29" w:rsidRPr="00C95A29">
        <w:rPr>
          <w:b w:val="0"/>
          <w:bCs/>
          <w:lang w:val="hy-AM"/>
        </w:rPr>
        <w:t>916</w:t>
      </w:r>
      <w:r w:rsidR="005C686B" w:rsidRPr="002526E9">
        <w:rPr>
          <w:b w:val="0"/>
          <w:bCs/>
          <w:lang w:val="hy-AM"/>
        </w:rPr>
        <w:t>.</w:t>
      </w:r>
      <w:r w:rsidR="00C95A29" w:rsidRPr="00C95A29">
        <w:rPr>
          <w:b w:val="0"/>
          <w:bCs/>
          <w:lang w:val="hy-AM"/>
        </w:rPr>
        <w:t>1</w:t>
      </w:r>
      <w:r w:rsidRPr="00A83C94">
        <w:rPr>
          <w:b w:val="0"/>
          <w:bCs/>
          <w:lang w:val="hy-AM"/>
        </w:rPr>
        <w:t xml:space="preserve"> մլն</w:t>
      </w:r>
      <w:r w:rsidRPr="00A83C94">
        <w:rPr>
          <w:b w:val="0"/>
          <w:lang w:val="hy-AM"/>
        </w:rPr>
        <w:t xml:space="preserve"> դրամ: </w:t>
      </w:r>
    </w:p>
    <w:p w14:paraId="07D57F1A" w14:textId="1E5286F2" w:rsidR="00574F8B" w:rsidRPr="00A83C94" w:rsidRDefault="00574F8B" w:rsidP="00574F8B">
      <w:pPr>
        <w:spacing w:before="0" w:line="276" w:lineRule="auto"/>
        <w:rPr>
          <w:b w:val="0"/>
          <w:lang w:val="hy-AM"/>
        </w:rPr>
      </w:pPr>
      <w:r w:rsidRPr="00A83C94">
        <w:rPr>
          <w:b w:val="0"/>
          <w:lang w:val="hy-AM"/>
        </w:rPr>
        <w:t xml:space="preserve">Ծրագրի նպատակն է գյուղատնտեսական մթերքի և դրանց վերամշակումից ստացվող սննդամթերքի ծավալների ավելացումը: Ծրագրի շրջանակներում նախատեսվում է </w:t>
      </w:r>
      <w:r w:rsidRPr="000B7FF5">
        <w:rPr>
          <w:b w:val="0"/>
          <w:lang w:val="hy-AM"/>
        </w:rPr>
        <w:t xml:space="preserve">սուբսիդավորել 66704 տնտեսավարող սուբյեկտի՝ 2022թ. տրամադրվելիք և նախորդ տարիներին տրամադրված գյուղատնտեսական վարկերը, 174 տնտեսավարող սուբյեկտի՝ 2022թ. տրամադրվելիք և նախորդ տարիներին տրամադրված գյուղատնտեսական հումքի մթերումների (գնումների) նպատակով վարկերը, </w:t>
      </w:r>
      <w:r w:rsidRPr="000B7FF5">
        <w:rPr>
          <w:b w:val="0"/>
          <w:bCs/>
          <w:lang w:val="hy-AM"/>
        </w:rPr>
        <w:t>սուբսիդավորել 6</w:t>
      </w:r>
      <w:r w:rsidR="00793D3C" w:rsidRPr="00793D3C">
        <w:rPr>
          <w:b w:val="0"/>
          <w:bCs/>
          <w:lang w:val="hy-AM"/>
        </w:rPr>
        <w:t>500</w:t>
      </w:r>
      <w:r w:rsidRPr="00A83C94">
        <w:rPr>
          <w:b w:val="0"/>
          <w:bCs/>
          <w:lang w:val="hy-AM"/>
        </w:rPr>
        <w:t xml:space="preserve"> հա հողատարածքի ապահովագրավճարները, </w:t>
      </w:r>
      <w:r w:rsidRPr="00A83C94">
        <w:rPr>
          <w:b w:val="0"/>
          <w:lang w:val="hy-AM"/>
        </w:rPr>
        <w:t xml:space="preserve">միջազգային բարձր վարկանիշ ունեցող ամսագրերում և տպագիր մամուլում հայկական գինեգործության վերաբերյալ </w:t>
      </w:r>
      <w:r w:rsidRPr="000B7FF5">
        <w:rPr>
          <w:b w:val="0"/>
          <w:lang w:val="hy-AM"/>
        </w:rPr>
        <w:t xml:space="preserve">տպագրել 7 հոդված, </w:t>
      </w:r>
      <w:r w:rsidRPr="00A83C94">
        <w:rPr>
          <w:b w:val="0"/>
          <w:lang w:val="hy-AM"/>
        </w:rPr>
        <w:t xml:space="preserve">իրականացնել </w:t>
      </w:r>
      <w:r w:rsidRPr="00995667">
        <w:rPr>
          <w:b w:val="0"/>
          <w:lang w:val="hy-AM"/>
        </w:rPr>
        <w:t>հայկական գինիների առաջմղմանն ու արտահանման</w:t>
      </w:r>
      <w:r w:rsidR="00834A9C" w:rsidRPr="00995667">
        <w:rPr>
          <w:b w:val="0"/>
          <w:lang w:val="hy-AM"/>
        </w:rPr>
        <w:t xml:space="preserve"> ծավալների ավելացմանն</w:t>
      </w:r>
      <w:r w:rsidRPr="00995667">
        <w:rPr>
          <w:b w:val="0"/>
          <w:lang w:val="hy-AM"/>
        </w:rPr>
        <w:t xml:space="preserve"> ուղղված 1</w:t>
      </w:r>
      <w:r w:rsidR="00834A9C" w:rsidRPr="00995667">
        <w:rPr>
          <w:b w:val="0"/>
          <w:lang w:val="hy-AM"/>
        </w:rPr>
        <w:t>1</w:t>
      </w:r>
      <w:r w:rsidRPr="00995667">
        <w:rPr>
          <w:b w:val="0"/>
          <w:lang w:val="hy-AM"/>
        </w:rPr>
        <w:t xml:space="preserve"> միջոցառում և այլն:</w:t>
      </w:r>
      <w:r w:rsidRPr="00A83C94">
        <w:rPr>
          <w:b w:val="0"/>
          <w:lang w:val="hy-AM"/>
        </w:rPr>
        <w:t xml:space="preserve"> </w:t>
      </w:r>
    </w:p>
    <w:p w14:paraId="2479D001" w14:textId="77777777" w:rsidR="00574F8B" w:rsidRPr="00A83C94" w:rsidRDefault="00574F8B" w:rsidP="00574F8B">
      <w:pPr>
        <w:spacing w:before="0" w:line="276" w:lineRule="auto"/>
        <w:rPr>
          <w:b w:val="0"/>
          <w:lang w:val="hy-AM"/>
        </w:rPr>
      </w:pPr>
      <w:r w:rsidRPr="00A83C94">
        <w:rPr>
          <w:lang w:val="hy-AM"/>
        </w:rPr>
        <w:t xml:space="preserve">Բուսաբուծության խթանում և բույսերի պաշտպանություն </w:t>
      </w:r>
      <w:r w:rsidRPr="00A83C94">
        <w:rPr>
          <w:b w:val="0"/>
          <w:lang w:val="hy-AM"/>
        </w:rPr>
        <w:t xml:space="preserve">ծրագրի գծով 2022 թվականին նախատեսվել է հատկացնել 144.3 մլն դրամ: </w:t>
      </w:r>
    </w:p>
    <w:p w14:paraId="702D7BBF" w14:textId="06654AA6" w:rsidR="00574F8B" w:rsidRPr="000B7FF5" w:rsidRDefault="00574F8B" w:rsidP="00574F8B">
      <w:pPr>
        <w:spacing w:before="0" w:line="276" w:lineRule="auto"/>
        <w:rPr>
          <w:b w:val="0"/>
          <w:lang w:val="hy-AM"/>
        </w:rPr>
      </w:pPr>
      <w:r w:rsidRPr="00A83C94">
        <w:rPr>
          <w:b w:val="0"/>
          <w:lang w:val="hy-AM"/>
        </w:rPr>
        <w:t xml:space="preserve">Ծրագրի </w:t>
      </w:r>
      <w:r w:rsidRPr="000B7FF5">
        <w:rPr>
          <w:b w:val="0"/>
          <w:lang w:val="hy-AM"/>
        </w:rPr>
        <w:t xml:space="preserve">նպատակն է հողագործությունից ստացվող արդյունքի բարելավումը: Ծրագրի շրջանակներում նախատեսվում է վնասակար օրգանիզմների հայտնաբերման նպատակով հետազոտել </w:t>
      </w:r>
      <w:r w:rsidR="003129B4" w:rsidRPr="003129B4">
        <w:rPr>
          <w:b w:val="0"/>
          <w:lang w:val="hy-AM"/>
        </w:rPr>
        <w:t>18</w:t>
      </w:r>
      <w:r w:rsidR="000B7FF5" w:rsidRPr="000B7FF5">
        <w:rPr>
          <w:b w:val="0"/>
          <w:lang w:val="hy-AM"/>
        </w:rPr>
        <w:t>0</w:t>
      </w:r>
      <w:r w:rsidRPr="000B7FF5">
        <w:rPr>
          <w:b w:val="0"/>
          <w:lang w:val="hy-AM"/>
        </w:rPr>
        <w:t xml:space="preserve">000 հեկտար տարածք, </w:t>
      </w:r>
      <w:r w:rsidR="000B7FF5" w:rsidRPr="000B7FF5">
        <w:rPr>
          <w:b w:val="0"/>
          <w:lang w:val="hy-AM"/>
        </w:rPr>
        <w:t>85</w:t>
      </w:r>
      <w:r w:rsidRPr="000B7FF5">
        <w:rPr>
          <w:b w:val="0"/>
          <w:lang w:val="hy-AM"/>
        </w:rPr>
        <w:t xml:space="preserve"> համայնքի տրամադրել գյուղատնտեսական նշանակության հողերի կազմված ագրոքիմիական քարտեզներ, գյուղատնտեսական մշակաբույսերի առավել վնասակար օրգանիզմների դեմ իրականացնել պայքար </w:t>
      </w:r>
      <w:r w:rsidR="000B7FF5" w:rsidRPr="000B7FF5">
        <w:rPr>
          <w:b w:val="0"/>
          <w:lang w:val="hy-AM"/>
        </w:rPr>
        <w:t>44300</w:t>
      </w:r>
      <w:r w:rsidRPr="000B7FF5">
        <w:rPr>
          <w:b w:val="0"/>
          <w:lang w:val="hy-AM"/>
        </w:rPr>
        <w:t xml:space="preserve"> հեկտար տարածքում, իրականացնել բույսերի սերմերի որակի լաբորատոր հետազոտություններ և փաստաթղթավորում՝ 12 հազար տոննա, բույսերի </w:t>
      </w:r>
      <w:r w:rsidR="003129B4" w:rsidRPr="003129B4">
        <w:rPr>
          <w:b w:val="0"/>
          <w:lang w:val="hy-AM"/>
        </w:rPr>
        <w:t xml:space="preserve">նոր </w:t>
      </w:r>
      <w:r w:rsidRPr="000B7FF5">
        <w:rPr>
          <w:b w:val="0"/>
          <w:lang w:val="hy-AM"/>
        </w:rPr>
        <w:t>սորտերի ստուգիչ ցանքերի և դաշտային փորձարկումներ</w:t>
      </w:r>
      <w:r w:rsidR="003129B4" w:rsidRPr="003129B4">
        <w:rPr>
          <w:b w:val="0"/>
          <w:lang w:val="hy-AM"/>
        </w:rPr>
        <w:t>ի իրականացում</w:t>
      </w:r>
      <w:r w:rsidRPr="000B7FF5">
        <w:rPr>
          <w:b w:val="0"/>
          <w:lang w:val="hy-AM"/>
        </w:rPr>
        <w:t xml:space="preserve">՝ 100 հատ և գյուղատնտեսական մշակաբույսերի ու բույսերի պաշտպանության միջոցների 5500 լաբորատոր փորձաքննություններ:  </w:t>
      </w:r>
    </w:p>
    <w:p w14:paraId="1BF12FDF" w14:textId="78299118" w:rsidR="00574F8B" w:rsidRPr="00A83C94" w:rsidRDefault="00574F8B" w:rsidP="00574F8B">
      <w:pPr>
        <w:spacing w:before="0" w:line="276" w:lineRule="auto"/>
        <w:rPr>
          <w:b w:val="0"/>
          <w:lang w:val="hy-AM"/>
        </w:rPr>
      </w:pPr>
      <w:r w:rsidRPr="00A83C94">
        <w:rPr>
          <w:lang w:val="hy-AM"/>
        </w:rPr>
        <w:t>Անասնաբուժական ծառայություններ ծրագրի</w:t>
      </w:r>
      <w:r w:rsidRPr="00A83C94">
        <w:rPr>
          <w:b w:val="0"/>
          <w:lang w:val="hy-AM"/>
        </w:rPr>
        <w:t xml:space="preserve"> գծով 2022 թվականին նախատեսվել է հատկացնել 2,</w:t>
      </w:r>
      <w:r w:rsidR="00E74ECD" w:rsidRPr="00E74ECD">
        <w:rPr>
          <w:b w:val="0"/>
          <w:lang w:val="hy-AM"/>
        </w:rPr>
        <w:t>587.3</w:t>
      </w:r>
      <w:r w:rsidRPr="00A83C94">
        <w:rPr>
          <w:b w:val="0"/>
          <w:lang w:val="hy-AM"/>
        </w:rPr>
        <w:t xml:space="preserve"> մլն դրամ: </w:t>
      </w:r>
    </w:p>
    <w:p w14:paraId="0EC63DA1" w14:textId="3D4C9CD6" w:rsidR="00574F8B" w:rsidRPr="00A83C94" w:rsidRDefault="00574F8B" w:rsidP="00574F8B">
      <w:pPr>
        <w:spacing w:before="0" w:line="276" w:lineRule="auto"/>
        <w:rPr>
          <w:b w:val="0"/>
          <w:lang w:val="hy-AM"/>
        </w:rPr>
      </w:pPr>
      <w:r w:rsidRPr="000B7FF5">
        <w:rPr>
          <w:b w:val="0"/>
          <w:lang w:val="hy-AM"/>
        </w:rPr>
        <w:t>Ծրագրի նպատակն է անասնահամաճարակային կայուն ֆոնի ապահովումը: Ծրագրի շրջանակներում նախատեսվում է իրականացնել 1,0</w:t>
      </w:r>
      <w:r w:rsidR="000B7FF5" w:rsidRPr="000B7FF5">
        <w:rPr>
          <w:b w:val="0"/>
          <w:lang w:val="hy-AM"/>
        </w:rPr>
        <w:t>17</w:t>
      </w:r>
      <w:r w:rsidRPr="000B7FF5">
        <w:rPr>
          <w:b w:val="0"/>
          <w:lang w:val="hy-AM"/>
        </w:rPr>
        <w:t>,</w:t>
      </w:r>
      <w:r w:rsidR="000B7FF5" w:rsidRPr="000B7FF5">
        <w:rPr>
          <w:b w:val="0"/>
          <w:lang w:val="hy-AM"/>
        </w:rPr>
        <w:t>809</w:t>
      </w:r>
      <w:r w:rsidRPr="000B7FF5">
        <w:rPr>
          <w:b w:val="0"/>
          <w:lang w:val="hy-AM"/>
        </w:rPr>
        <w:t xml:space="preserve"> հատ ախտորոշիչ միջոցառումներ, </w:t>
      </w:r>
      <w:r w:rsidR="00C31461" w:rsidRPr="00C31461">
        <w:rPr>
          <w:b w:val="0"/>
          <w:lang w:val="hy-AM"/>
        </w:rPr>
        <w:t>3,326,126</w:t>
      </w:r>
      <w:r w:rsidRPr="000B7FF5">
        <w:rPr>
          <w:b w:val="0"/>
          <w:lang w:val="hy-AM"/>
        </w:rPr>
        <w:t xml:space="preserve"> հատ կանխարգելիչ (պատվաստումներ) միջոցառումներ, 1,051,923 հատ գյուղատնտեսական կենդանիների հիվանդությունների լաբորատոր</w:t>
      </w:r>
      <w:r w:rsidRPr="00A83C94">
        <w:rPr>
          <w:b w:val="0"/>
          <w:lang w:val="hy-AM"/>
        </w:rPr>
        <w:t xml:space="preserve"> ախտորոշման և կենդանական ծագում ունեցող հումքի և նյութի լաբորատոր փորձաքննություններ, 800,000 խոշոր եղջերավոր կենդանու համարակալում, իսկ խոշոր և մանր եղջերավոր կենդանիների շճաբանական հետազոտության ենթակա նմուշների քանակը </w:t>
      </w:r>
      <w:r w:rsidRPr="000B7FF5">
        <w:rPr>
          <w:b w:val="0"/>
          <w:lang w:val="hy-AM"/>
        </w:rPr>
        <w:t>կկազմի 4400 հատ</w:t>
      </w:r>
      <w:r w:rsidRPr="00A83C94">
        <w:rPr>
          <w:b w:val="0"/>
          <w:lang w:val="hy-AM"/>
        </w:rPr>
        <w:t xml:space="preserve">: </w:t>
      </w:r>
    </w:p>
    <w:p w14:paraId="66370521" w14:textId="08D57CD0" w:rsidR="00574F8B" w:rsidRPr="00A83C94" w:rsidRDefault="00574F8B" w:rsidP="00574F8B">
      <w:pPr>
        <w:spacing w:before="0" w:line="276" w:lineRule="auto"/>
        <w:rPr>
          <w:b w:val="0"/>
          <w:lang w:val="hy-AM"/>
        </w:rPr>
      </w:pPr>
      <w:r w:rsidRPr="00A83C94">
        <w:rPr>
          <w:lang w:val="hy-AM"/>
        </w:rPr>
        <w:t xml:space="preserve">Գյուղատնտեսության արդիականացման </w:t>
      </w:r>
      <w:r w:rsidRPr="00A83C94">
        <w:rPr>
          <w:b w:val="0"/>
          <w:lang w:val="hy-AM"/>
        </w:rPr>
        <w:t xml:space="preserve">ծրագրի գծով 2022 թվականին նախատեսվել է հատկացնել </w:t>
      </w:r>
      <w:r w:rsidR="00E02CC2">
        <w:rPr>
          <w:b w:val="0"/>
          <w:lang w:val="hy-AM"/>
        </w:rPr>
        <w:t>6</w:t>
      </w:r>
      <w:r w:rsidRPr="00A83C94">
        <w:rPr>
          <w:b w:val="0"/>
          <w:lang w:val="hy-AM"/>
        </w:rPr>
        <w:t>,</w:t>
      </w:r>
      <w:r w:rsidR="00E02CC2">
        <w:rPr>
          <w:b w:val="0"/>
          <w:lang w:val="hy-AM"/>
        </w:rPr>
        <w:t>093.</w:t>
      </w:r>
      <w:r w:rsidRPr="00A83C94">
        <w:rPr>
          <w:b w:val="0"/>
          <w:lang w:val="hy-AM"/>
        </w:rPr>
        <w:t xml:space="preserve">5 մլն դրամ: </w:t>
      </w:r>
    </w:p>
    <w:p w14:paraId="67CCB34E" w14:textId="3BC0D3F1" w:rsidR="00574F8B" w:rsidRPr="000B7FF5" w:rsidRDefault="00574F8B" w:rsidP="00574F8B">
      <w:pPr>
        <w:spacing w:before="0" w:line="276" w:lineRule="auto"/>
        <w:rPr>
          <w:b w:val="0"/>
          <w:lang w:val="hy-AM"/>
        </w:rPr>
      </w:pPr>
      <w:r w:rsidRPr="000B7FF5">
        <w:rPr>
          <w:b w:val="0"/>
          <w:lang w:val="hy-AM"/>
        </w:rPr>
        <w:t xml:space="preserve">Ծրագրի նպատակն է գյուղատնտեսական տեխնիկական համակարգերի արդիականացումը, ինտենսիվ </w:t>
      </w:r>
      <w:r w:rsidR="00C31461">
        <w:rPr>
          <w:b w:val="0"/>
          <w:lang w:val="hy-AM"/>
        </w:rPr>
        <w:t>այգիների ներդրման և տոհմաբուծու</w:t>
      </w:r>
      <w:r w:rsidRPr="000B7FF5">
        <w:rPr>
          <w:b w:val="0"/>
          <w:lang w:val="hy-AM"/>
        </w:rPr>
        <w:t>թ</w:t>
      </w:r>
      <w:r w:rsidR="00C31461" w:rsidRPr="00C31461">
        <w:rPr>
          <w:b w:val="0"/>
          <w:lang w:val="hy-AM"/>
        </w:rPr>
        <w:t>յ</w:t>
      </w:r>
      <w:r w:rsidRPr="000B7FF5">
        <w:rPr>
          <w:b w:val="0"/>
          <w:lang w:val="hy-AM"/>
        </w:rPr>
        <w:t>ան մեջ նոր ցեղատեսակների բուծման գծով աջակցությունը: Ծրագրի շրջանակներում նախատեսվում է սուբսիդավորել՝</w:t>
      </w:r>
    </w:p>
    <w:p w14:paraId="33079BE4" w14:textId="77777777" w:rsidR="00574F8B" w:rsidRPr="000B7FF5" w:rsidRDefault="00574F8B" w:rsidP="00574F8B">
      <w:pPr>
        <w:spacing w:before="0" w:line="276" w:lineRule="auto"/>
        <w:rPr>
          <w:b w:val="0"/>
          <w:lang w:val="hy-AM"/>
        </w:rPr>
      </w:pPr>
      <w:r w:rsidRPr="000B7FF5">
        <w:rPr>
          <w:b w:val="0"/>
          <w:lang w:val="hy-AM"/>
        </w:rPr>
        <w:t xml:space="preserve">- նախորդ տարիներին հիմնված՝ 986.7 հեկտար նոր ինտենսիվ պտղատու այգիների համար տրամադրված վարկերը, </w:t>
      </w:r>
    </w:p>
    <w:p w14:paraId="45F44A87" w14:textId="77777777" w:rsidR="00574F8B" w:rsidRPr="000B7FF5" w:rsidRDefault="00574F8B" w:rsidP="00574F8B">
      <w:pPr>
        <w:spacing w:before="0" w:line="276" w:lineRule="auto"/>
        <w:rPr>
          <w:b w:val="0"/>
          <w:lang w:val="hy-AM"/>
        </w:rPr>
      </w:pPr>
      <w:r w:rsidRPr="000B7FF5">
        <w:rPr>
          <w:b w:val="0"/>
          <w:lang w:val="hy-AM"/>
        </w:rPr>
        <w:t xml:space="preserve">- 1308 տնտեսավարող սուբյեկտի՝ 2022 թվականին տրամադրվելիք և նախորդ տարիներին տրամադրված՝ գյուղատնտեսական տեխնիկա ձեռքբերելու նպատակով վարկերը, </w:t>
      </w:r>
    </w:p>
    <w:p w14:paraId="47DBE892" w14:textId="77777777" w:rsidR="00574F8B" w:rsidRPr="000B7FF5" w:rsidRDefault="00574F8B" w:rsidP="00574F8B">
      <w:pPr>
        <w:spacing w:before="0" w:line="276" w:lineRule="auto"/>
        <w:rPr>
          <w:b w:val="0"/>
          <w:lang w:val="hy-AM"/>
        </w:rPr>
      </w:pPr>
      <w:r w:rsidRPr="000B7FF5">
        <w:rPr>
          <w:b w:val="0"/>
          <w:lang w:val="hy-AM"/>
        </w:rPr>
        <w:t xml:space="preserve">- 281 տնտեսավարող սուբյեկտի՝ 2022 թվականին տրամադրվելիք և նախորդ տարիներին տրամադրված ագրոպարենային ոլորտի սարքավորումներ ձեռքբերելու նպատակով վարկերը, </w:t>
      </w:r>
    </w:p>
    <w:p w14:paraId="5A760679" w14:textId="2799EEFD" w:rsidR="00574F8B" w:rsidRDefault="00574F8B" w:rsidP="00574F8B">
      <w:pPr>
        <w:spacing w:before="0" w:line="276" w:lineRule="auto"/>
        <w:rPr>
          <w:b w:val="0"/>
          <w:lang w:val="hy-AM"/>
        </w:rPr>
      </w:pPr>
      <w:r w:rsidRPr="000B7FF5">
        <w:rPr>
          <w:b w:val="0"/>
          <w:lang w:val="hy-AM"/>
        </w:rPr>
        <w:t xml:space="preserve">- </w:t>
      </w:r>
      <w:r w:rsidR="00C31461" w:rsidRPr="00C31461">
        <w:rPr>
          <w:b w:val="0"/>
          <w:lang w:val="hy-AM"/>
        </w:rPr>
        <w:t>915.5</w:t>
      </w:r>
      <w:r w:rsidRPr="000B7FF5">
        <w:rPr>
          <w:b w:val="0"/>
          <w:lang w:val="hy-AM"/>
        </w:rPr>
        <w:t xml:space="preserve"> հեկտար տարածքում ոռոգման արդիական համակարգ ներդնելու նպատակով նախորդ տարիներին տրամադրված վարկերը, </w:t>
      </w:r>
    </w:p>
    <w:p w14:paraId="355537D8" w14:textId="77777777" w:rsidR="00E02CC2" w:rsidRPr="000B7FF5" w:rsidRDefault="00E02CC2" w:rsidP="00E02CC2">
      <w:pPr>
        <w:spacing w:before="0" w:line="276" w:lineRule="auto"/>
        <w:rPr>
          <w:b w:val="0"/>
          <w:lang w:val="hy-AM"/>
        </w:rPr>
      </w:pPr>
      <w:r w:rsidRPr="00E02CC2">
        <w:rPr>
          <w:b w:val="0"/>
          <w:lang w:val="hy-AM"/>
        </w:rPr>
        <w:t>- 338 հեկտար տարածքում ինտենսիվ այգիներ հիմնելու նպատակով 2022թ. տրամադրվելիք վարկերը,</w:t>
      </w:r>
      <w:r w:rsidRPr="00EF26A1">
        <w:rPr>
          <w:b w:val="0"/>
          <w:lang w:val="hy-AM"/>
        </w:rPr>
        <w:t xml:space="preserve"> </w:t>
      </w:r>
    </w:p>
    <w:p w14:paraId="7CE33D33" w14:textId="77777777" w:rsidR="00574F8B" w:rsidRPr="000B7FF5" w:rsidRDefault="00574F8B" w:rsidP="00574F8B">
      <w:pPr>
        <w:spacing w:before="0" w:line="276" w:lineRule="auto"/>
        <w:rPr>
          <w:b w:val="0"/>
          <w:lang w:val="hy-AM"/>
        </w:rPr>
      </w:pPr>
      <w:r w:rsidRPr="000B7FF5">
        <w:rPr>
          <w:b w:val="0"/>
          <w:lang w:val="hy-AM"/>
        </w:rPr>
        <w:t xml:space="preserve">- նախորդ տարիներին 102.2 հեկտար տարածքում տեղակայված կարկտապաշտպան ցանցային համակարգերի համար տրամադրված վարկերը, </w:t>
      </w:r>
    </w:p>
    <w:p w14:paraId="34AFC749" w14:textId="39370CDE" w:rsidR="00574F8B" w:rsidRPr="000B7FF5" w:rsidRDefault="00574F8B" w:rsidP="00574F8B">
      <w:pPr>
        <w:spacing w:before="0" w:line="276" w:lineRule="auto"/>
        <w:rPr>
          <w:b w:val="0"/>
          <w:lang w:val="hy-AM"/>
        </w:rPr>
      </w:pPr>
      <w:r w:rsidRPr="000B7FF5">
        <w:rPr>
          <w:b w:val="0"/>
          <w:lang w:val="hy-AM"/>
        </w:rPr>
        <w:t xml:space="preserve">- </w:t>
      </w:r>
      <w:r w:rsidR="00C31461" w:rsidRPr="00C31461">
        <w:rPr>
          <w:b w:val="0"/>
          <w:lang w:val="hy-AM"/>
        </w:rPr>
        <w:t>1262</w:t>
      </w:r>
      <w:r w:rsidRPr="000B7FF5">
        <w:rPr>
          <w:b w:val="0"/>
          <w:lang w:val="hy-AM"/>
        </w:rPr>
        <w:t xml:space="preserve"> գլուխ խոշոր եղջերավոր տոհմային կենդանիների </w:t>
      </w:r>
      <w:r w:rsidR="000B7FF5" w:rsidRPr="000B7FF5">
        <w:rPr>
          <w:b w:val="0"/>
          <w:lang w:val="hy-AM"/>
        </w:rPr>
        <w:t xml:space="preserve">ձեռքբերման համար նախորդ տարիներին տրամադրված վարկերը </w:t>
      </w:r>
      <w:r w:rsidRPr="000B7FF5">
        <w:rPr>
          <w:b w:val="0"/>
          <w:lang w:val="hy-AM"/>
        </w:rPr>
        <w:t xml:space="preserve">և </w:t>
      </w:r>
      <w:r w:rsidR="000B7FF5" w:rsidRPr="000B7FF5">
        <w:rPr>
          <w:b w:val="0"/>
          <w:lang w:val="hy-AM"/>
        </w:rPr>
        <w:t>1</w:t>
      </w:r>
      <w:r w:rsidR="00C31461" w:rsidRPr="00C31461">
        <w:rPr>
          <w:b w:val="0"/>
          <w:lang w:val="hy-AM"/>
        </w:rPr>
        <w:t>5</w:t>
      </w:r>
      <w:r w:rsidR="000B7FF5" w:rsidRPr="000B7FF5">
        <w:rPr>
          <w:b w:val="0"/>
          <w:lang w:val="hy-AM"/>
        </w:rPr>
        <w:t>7</w:t>
      </w:r>
      <w:r w:rsidRPr="000B7FF5">
        <w:rPr>
          <w:b w:val="0"/>
          <w:lang w:val="hy-AM"/>
        </w:rPr>
        <w:t xml:space="preserve">1 մանր եղջերավոր տոհմային կենդանիների ձեռքբերման համար 2022 թվականին տրամադրվելիք և նախորդ տարիներին տրամադրված վարկերը: </w:t>
      </w:r>
    </w:p>
    <w:p w14:paraId="1D931D0E" w14:textId="77777777" w:rsidR="00E02CC2" w:rsidRPr="000B7FF5" w:rsidRDefault="00574F8B" w:rsidP="00E02CC2">
      <w:pPr>
        <w:spacing w:before="0" w:line="276" w:lineRule="auto"/>
        <w:rPr>
          <w:b w:val="0"/>
          <w:lang w:val="hy-AM"/>
        </w:rPr>
      </w:pPr>
      <w:r w:rsidRPr="000B7FF5">
        <w:rPr>
          <w:b w:val="0"/>
          <w:lang w:val="hy-AM"/>
        </w:rPr>
        <w:t xml:space="preserve">Ծրագրի շրջանակներում նախատեսվում է նաև մասնակի փոխհատուցել նախորդ տարիներից կառուցվող կամ վերակառուցվող 25 անասնաշենքի գծով կատարված ծախսերը, 30 հատ ջերմատների կառուցման համար կատարված ծախսերը, 190 գլուխ մանր եղջերավոր տոհմային կենդանիների ձեռքբերման համար կատարված ծախսերը, </w:t>
      </w:r>
      <w:r w:rsidR="000B7FF5" w:rsidRPr="000B7FF5">
        <w:rPr>
          <w:b w:val="0"/>
          <w:lang w:val="hy-AM"/>
        </w:rPr>
        <w:t>35</w:t>
      </w:r>
      <w:r w:rsidRPr="000B7FF5">
        <w:rPr>
          <w:b w:val="0"/>
          <w:lang w:val="hy-AM"/>
        </w:rPr>
        <w:t xml:space="preserve"> հեկտար ոռոգման արդիական համակարգերի </w:t>
      </w:r>
      <w:r w:rsidRPr="00E02CC2">
        <w:rPr>
          <w:b w:val="0"/>
          <w:lang w:val="hy-AM"/>
        </w:rPr>
        <w:t xml:space="preserve">ներդրման </w:t>
      </w:r>
      <w:r w:rsidR="00E02CC2" w:rsidRPr="00E02CC2">
        <w:rPr>
          <w:b w:val="0"/>
          <w:lang w:val="hy-AM"/>
        </w:rPr>
        <w:t>և 85 հեկտար ինտենսիվ պտղատու այգիների հիմնման համար կատարված ծախսերը, ինչպես նաև 2022թ. հիմնվող 25 հեկտար ինտենսիվ պտղատու այգիների հիմնման համար կատարված ծախսերը:</w:t>
      </w:r>
      <w:r w:rsidR="00E02CC2" w:rsidRPr="000B7FF5">
        <w:rPr>
          <w:b w:val="0"/>
          <w:lang w:val="hy-AM"/>
        </w:rPr>
        <w:t xml:space="preserve"> </w:t>
      </w:r>
    </w:p>
    <w:p w14:paraId="18A070F9" w14:textId="77777777" w:rsidR="00574F8B" w:rsidRPr="00A83C94" w:rsidRDefault="00574F8B" w:rsidP="00574F8B">
      <w:pPr>
        <w:spacing w:before="0" w:line="276" w:lineRule="auto"/>
        <w:rPr>
          <w:b w:val="0"/>
          <w:lang w:val="hy-AM"/>
        </w:rPr>
      </w:pPr>
      <w:r w:rsidRPr="000B7FF5">
        <w:rPr>
          <w:b w:val="0"/>
          <w:lang w:val="hy-AM"/>
        </w:rPr>
        <w:t>Ծրագրի շրջանակներում ԵՄ աջակցությամբ նախատեսվում է ձեռք բերել գինեգործական և խաղողագործական արտադրանքի իզոտոպային</w:t>
      </w:r>
      <w:r w:rsidRPr="00A83C94">
        <w:rPr>
          <w:b w:val="0"/>
          <w:lang w:val="hy-AM"/>
        </w:rPr>
        <w:t xml:space="preserve"> բաղադրության փորձաքննության համար անհրաժեշտ մագնիսական ռեզոնատոր «SNIF-NMR» լաբորատոր սարքավորում, ինչպես նաև ստեղծել լոգիստիկ կենտրոն:</w:t>
      </w:r>
    </w:p>
    <w:p w14:paraId="5E1AD0B4" w14:textId="77777777" w:rsidR="00574F8B" w:rsidRPr="00A83C94" w:rsidRDefault="00574F8B" w:rsidP="00574F8B">
      <w:pPr>
        <w:spacing w:before="0" w:line="276" w:lineRule="auto"/>
        <w:rPr>
          <w:b w:val="0"/>
          <w:lang w:val="hy-AM"/>
        </w:rPr>
      </w:pPr>
      <w:r w:rsidRPr="00A83C94">
        <w:rPr>
          <w:lang w:val="hy-AM"/>
        </w:rPr>
        <w:t xml:space="preserve">Սննդամթերքի լաբորատոր փորձաքննություններ </w:t>
      </w:r>
      <w:r w:rsidRPr="00A83C94">
        <w:rPr>
          <w:b w:val="0"/>
          <w:lang w:val="hy-AM"/>
        </w:rPr>
        <w:t>ծրագրի գծով 2022 թվականին նախատեսվել է հատկացնել 70.5 մլն դրամ:</w:t>
      </w:r>
    </w:p>
    <w:p w14:paraId="45C577D6" w14:textId="77777777" w:rsidR="00574F8B" w:rsidRPr="000B7FF5" w:rsidRDefault="00574F8B" w:rsidP="00574F8B">
      <w:pPr>
        <w:spacing w:before="0" w:line="276" w:lineRule="auto"/>
        <w:rPr>
          <w:b w:val="0"/>
          <w:lang w:val="hy-AM"/>
        </w:rPr>
      </w:pPr>
      <w:r w:rsidRPr="00A83C94">
        <w:rPr>
          <w:b w:val="0"/>
          <w:lang w:val="hy-AM"/>
        </w:rPr>
        <w:t xml:space="preserve">Ծրագրի նպատակն է սննդի </w:t>
      </w:r>
      <w:r w:rsidRPr="000B7FF5">
        <w:rPr>
          <w:b w:val="0"/>
          <w:lang w:val="hy-AM"/>
        </w:rPr>
        <w:t xml:space="preserve">անվտանգության և որակի ապահովումը: Ծրագրի շրջանակներում նախատեսվում է իրականացնել սննդամթերքի 255 լաբորատոր փորձաքննություններ, մեղրի մեջ մնացորդային նյութերի լաբորատոր հսկողության նպատակով 863 հետազոտություններ և ձկան մեջ մնացորդային նյութերի լաբորատոր հսկողության նպատակով 792 հետազոտություններ: </w:t>
      </w:r>
    </w:p>
    <w:p w14:paraId="43931C8A" w14:textId="785844C1" w:rsidR="00574F8B" w:rsidRPr="00A83C94" w:rsidRDefault="00574F8B" w:rsidP="00574F8B">
      <w:pPr>
        <w:spacing w:before="0" w:line="276" w:lineRule="auto"/>
        <w:ind w:firstLine="562"/>
        <w:rPr>
          <w:b w:val="0"/>
          <w:lang w:val="hy-AM"/>
        </w:rPr>
      </w:pPr>
      <w:r w:rsidRPr="00A83C94">
        <w:rPr>
          <w:bCs/>
          <w:lang w:val="hy-AM"/>
        </w:rPr>
        <w:t xml:space="preserve">Գյուղական ենթակառուցվածքների վերականգնում և զարգացում </w:t>
      </w:r>
      <w:r w:rsidRPr="00A83C94">
        <w:rPr>
          <w:b w:val="0"/>
          <w:lang w:val="hy-AM"/>
        </w:rPr>
        <w:t xml:space="preserve">ծրագրի գծով 2022 թվականին նախատեսվել է հատկացնել </w:t>
      </w:r>
      <w:r w:rsidR="00F76CD8" w:rsidRPr="002526E9">
        <w:rPr>
          <w:b w:val="0"/>
          <w:lang w:val="hy-AM"/>
        </w:rPr>
        <w:t>2,198.9</w:t>
      </w:r>
      <w:r w:rsidRPr="00A83C94">
        <w:rPr>
          <w:b w:val="0"/>
          <w:lang w:val="hy-AM"/>
        </w:rPr>
        <w:t xml:space="preserve"> մլն դրամ:</w:t>
      </w:r>
    </w:p>
    <w:p w14:paraId="7DBAC521" w14:textId="77777777" w:rsidR="00574F8B" w:rsidRPr="00A83C94" w:rsidRDefault="00574F8B" w:rsidP="00574F8B">
      <w:pPr>
        <w:spacing w:before="0" w:line="276" w:lineRule="auto"/>
        <w:ind w:firstLine="562"/>
        <w:rPr>
          <w:b w:val="0"/>
          <w:lang w:val="hy-AM"/>
        </w:rPr>
      </w:pPr>
      <w:r w:rsidRPr="00A83C94">
        <w:rPr>
          <w:b w:val="0"/>
          <w:lang w:val="hy-AM"/>
        </w:rPr>
        <w:t>Ծրագրի նպատակն է բարձրացնել գյուղատնտեսության ոլորտի  արդյունավետությունը: Ծրագրի շրջանակներում նախատեսվում է մշակել ՀՀ էկոնոմիկային նախարարության գործընթացներում ներառված փաստերի վրա հիմնված քաղաքականության ընթացակարգերը, բարելավել արոտավայրերի և անասնապահական համակարգերի կառավարման արդյունավետությունը, ձեռք բերել 30 գյուղտեխնիկա, կառուցել 7 կմ ջրագիծ, 9 խմոց, 13 փարախներ, 2 անասանբուժական կենտրոններ, 12000 հա ջրարբիացնող արոտավայրեր, ինչպես նաև նախատեսվում է ՀՀ Արմավիրի և Արարատի մարզերում ներդնել ժամանակակից ոռոգման համակարգեր:</w:t>
      </w:r>
    </w:p>
    <w:p w14:paraId="01296B84" w14:textId="706FE8AD" w:rsidR="00574F8B" w:rsidRPr="00A83C94" w:rsidRDefault="00574F8B" w:rsidP="00574F8B">
      <w:pPr>
        <w:spacing w:before="0" w:line="276" w:lineRule="auto"/>
        <w:rPr>
          <w:b w:val="0"/>
          <w:lang w:val="hy-AM"/>
        </w:rPr>
      </w:pPr>
      <w:r w:rsidRPr="00A83C94">
        <w:rPr>
          <w:lang w:val="hy-AM"/>
        </w:rPr>
        <w:t xml:space="preserve">Ենթակառուցվածքների և գյուղական ֆինասավորման աջակցություն </w:t>
      </w:r>
      <w:r w:rsidRPr="00A83C94">
        <w:rPr>
          <w:b w:val="0"/>
          <w:lang w:val="hy-AM"/>
        </w:rPr>
        <w:t xml:space="preserve">ծրագրի գծով 2022 թվականաին նախատեսվել է հատկացնել </w:t>
      </w:r>
      <w:r w:rsidR="00F76CD8" w:rsidRPr="002526E9">
        <w:rPr>
          <w:b w:val="0"/>
          <w:lang w:val="hy-AM"/>
        </w:rPr>
        <w:t>986.1</w:t>
      </w:r>
      <w:r w:rsidRPr="00A83C94">
        <w:rPr>
          <w:b w:val="0"/>
          <w:lang w:val="hy-AM"/>
        </w:rPr>
        <w:t xml:space="preserve"> մլն դրամ:</w:t>
      </w:r>
    </w:p>
    <w:p w14:paraId="2D0E696A" w14:textId="77777777" w:rsidR="00574F8B" w:rsidRPr="00A83C94" w:rsidRDefault="00574F8B" w:rsidP="00574F8B">
      <w:pPr>
        <w:spacing w:before="0" w:line="276" w:lineRule="auto"/>
        <w:rPr>
          <w:rFonts w:cs="Sylfaen"/>
          <w:b w:val="0"/>
          <w:bCs/>
          <w:lang w:val="fr-FR"/>
        </w:rPr>
      </w:pPr>
      <w:r w:rsidRPr="00A83C94">
        <w:rPr>
          <w:b w:val="0"/>
          <w:lang w:val="hy-AM"/>
        </w:rPr>
        <w:t xml:space="preserve">Ծրագրի նպատակն է բարելավել գյուղական ազգաբնակչության տնտեսական ու սոցիալական կարգավիճակը և ստեղծել զբաղվածության </w:t>
      </w:r>
      <w:r w:rsidRPr="00A83C94">
        <w:rPr>
          <w:rFonts w:cs="Arial"/>
          <w:b w:val="0"/>
          <w:lang w:val="hy-AM"/>
        </w:rPr>
        <w:t>ապահովման կայուն</w:t>
      </w:r>
      <w:r w:rsidRPr="00A83C94">
        <w:rPr>
          <w:b w:val="0"/>
          <w:lang w:val="hy-AM"/>
        </w:rPr>
        <w:t xml:space="preserve"> </w:t>
      </w:r>
      <w:r w:rsidRPr="00A83C94">
        <w:rPr>
          <w:rFonts w:cs="Arial"/>
          <w:b w:val="0"/>
          <w:lang w:val="hy-AM"/>
        </w:rPr>
        <w:t>մեխանիզմներ՝ զարգացնելով արտադրական համակարգերը և կապը</w:t>
      </w:r>
      <w:r w:rsidRPr="00A83C94">
        <w:rPr>
          <w:b w:val="0"/>
          <w:lang w:val="hy-AM"/>
        </w:rPr>
        <w:t xml:space="preserve"> </w:t>
      </w:r>
      <w:r w:rsidRPr="00A83C94">
        <w:rPr>
          <w:rFonts w:cs="Arial"/>
          <w:b w:val="0"/>
          <w:lang w:val="hy-AM"/>
        </w:rPr>
        <w:t>ապրանքային մշակաբույսերի արտադրության արժեշղթային օղակների հետ</w:t>
      </w:r>
      <w:r w:rsidRPr="00A83C94">
        <w:rPr>
          <w:b w:val="0"/>
          <w:lang w:val="hy-AM"/>
        </w:rPr>
        <w:t xml:space="preserve">: Ծրագրի շրջանակներում </w:t>
      </w:r>
      <w:r w:rsidRPr="00A83C94">
        <w:rPr>
          <w:rFonts w:cs="Sylfaen"/>
          <w:b w:val="0"/>
          <w:bCs/>
          <w:lang w:val="fr-FR"/>
        </w:rPr>
        <w:t>նախատեսվում է աջակցություն ցուցաբերել 80 գյուղացիական տնտեսվարողների, Գեղարքունիքի մարզի Վարդենիկ և Շիրակի մարզի Հոռոմ համայնքներում կառուցել սառնարանային տնտեսություններ, 4 համայնքներում իրականացնել ներդրումներ կայուն գյուղատնտեսական համակարգերում և տեխնոլոգիաներում, իրականացնել համայնքային հողերի էրոզիայի կանխարգելում:</w:t>
      </w:r>
    </w:p>
    <w:p w14:paraId="1CEEE5C5" w14:textId="76E7B03C" w:rsidR="00574F8B" w:rsidRPr="00A83C94" w:rsidRDefault="00574F8B" w:rsidP="00574F8B">
      <w:pPr>
        <w:spacing w:before="0" w:line="276" w:lineRule="auto"/>
        <w:rPr>
          <w:b w:val="0"/>
          <w:lang w:val="hy-AM"/>
        </w:rPr>
      </w:pPr>
      <w:r w:rsidRPr="00A83C94">
        <w:rPr>
          <w:lang w:val="hy-AM"/>
        </w:rPr>
        <w:t xml:space="preserve">Զբոսաշրջության զարգացման </w:t>
      </w:r>
      <w:r w:rsidRPr="00A83C94">
        <w:rPr>
          <w:b w:val="0"/>
          <w:lang w:val="hy-AM"/>
        </w:rPr>
        <w:t>ծրագրի գծով 2022 թվականին նախատեսվել է հատկացնել 5,</w:t>
      </w:r>
      <w:r w:rsidR="00F76CD8" w:rsidRPr="002526E9">
        <w:rPr>
          <w:b w:val="0"/>
          <w:lang w:val="fr-FR"/>
        </w:rPr>
        <w:t>794.2</w:t>
      </w:r>
      <w:r w:rsidRPr="00A83C94">
        <w:rPr>
          <w:b w:val="0"/>
          <w:lang w:val="hy-AM"/>
        </w:rPr>
        <w:t xml:space="preserve"> մլն դրամ:</w:t>
      </w:r>
    </w:p>
    <w:p w14:paraId="13F188E1" w14:textId="77777777" w:rsidR="00574F8B" w:rsidRPr="00A83C94" w:rsidRDefault="00574F8B" w:rsidP="00574F8B">
      <w:pPr>
        <w:spacing w:before="0" w:line="276" w:lineRule="auto"/>
        <w:rPr>
          <w:b w:val="0"/>
          <w:lang w:val="hy-AM"/>
        </w:rPr>
      </w:pPr>
      <w:r w:rsidRPr="00A83C94">
        <w:rPr>
          <w:b w:val="0"/>
          <w:lang w:val="hy-AM"/>
        </w:rPr>
        <w:t>Ծրագրի նպատակն է նպաստել ապահովել Հայաստան զբոսաշրջային այցելությունների դինամիկ աճին, Հայաստանի  կայուն և համաչափ տարածքային տնտեսական զարգացմանը, պատմամշակութային և բնության ժառանգության պահպանությանը, զարգացմանը և պատշաճ ներկայացմանն ու խթանմանը։</w:t>
      </w:r>
    </w:p>
    <w:p w14:paraId="341CD474" w14:textId="77777777" w:rsidR="00574F8B" w:rsidRPr="00A83C94" w:rsidRDefault="00574F8B" w:rsidP="00574F8B">
      <w:pPr>
        <w:spacing w:before="0" w:line="276" w:lineRule="auto"/>
        <w:rPr>
          <w:b w:val="0"/>
          <w:lang w:val="hy-AM"/>
        </w:rPr>
      </w:pPr>
      <w:r w:rsidRPr="00A83C94">
        <w:rPr>
          <w:b w:val="0"/>
          <w:lang w:val="hy-AM"/>
        </w:rPr>
        <w:t xml:space="preserve"> Ծրագրի շրջանակներում նախատեսվում է նաև զբոսաշրջային վայրերի բարելավված մուտքային 12 կմ ճանապարհահատվածի կառուցման, 3 զբոսայգիների բարելավման և փողոցային լուսավորության թվով 800 սյուների ու լամպերի փոխարինման աշխատանքներ:   Զբոսաշրջության աջակցության հետ կապված գործողությունների միջոցով  կստեղծվեն 1800  ժամանակավոր և մշտական  աշխատատեղեր, միջազգային 3 ցուցահանդեսների մասնակցություն, միջազգային 12 ճանաչողական այցերի կազմակերպում, պետական աջակցություն ՀՀ մարզերում 15 փառատոների  կազմակերպմանը, աջակցություն զբոսաշրջային տեղեկատվական 10 կենտրոնների գործունեությանը, 2 միջազգային միջոցառման կազմակերպում:</w:t>
      </w:r>
    </w:p>
    <w:p w14:paraId="510F2485" w14:textId="77777777" w:rsidR="00574F8B" w:rsidRPr="00A83C94" w:rsidRDefault="00574F8B" w:rsidP="00574F8B">
      <w:pPr>
        <w:spacing w:before="0" w:line="276" w:lineRule="auto"/>
        <w:ind w:firstLine="562"/>
        <w:rPr>
          <w:b w:val="0"/>
          <w:lang w:val="hy-AM"/>
        </w:rPr>
      </w:pPr>
      <w:r w:rsidRPr="00A83C94">
        <w:rPr>
          <w:lang w:val="hy-AM"/>
        </w:rPr>
        <w:t xml:space="preserve">Կորոնավիրուսի (COVID-19) տնտեսական հետևանքների չեզոքացման հետևանքով տրամադրված վարկերի տոկոսադրույքների սուբսիդավորման </w:t>
      </w:r>
      <w:r w:rsidRPr="00A83C94">
        <w:rPr>
          <w:b w:val="0"/>
          <w:lang w:val="hy-AM"/>
        </w:rPr>
        <w:t>ծրագրի գծով 2022 թվականին նախատեսվել է հատկացնել 7,000.0 մլն դրամ:</w:t>
      </w:r>
    </w:p>
    <w:p w14:paraId="4CF8D141" w14:textId="77777777" w:rsidR="00574F8B" w:rsidRPr="00A83C94" w:rsidRDefault="00574F8B" w:rsidP="00574F8B">
      <w:pPr>
        <w:spacing w:before="0" w:line="276" w:lineRule="auto"/>
        <w:rPr>
          <w:b w:val="0"/>
          <w:lang w:val="af-ZA"/>
        </w:rPr>
      </w:pPr>
      <w:r w:rsidRPr="00A83C94">
        <w:rPr>
          <w:b w:val="0"/>
          <w:lang w:val="hy-AM"/>
        </w:rPr>
        <w:t xml:space="preserve">Ծրագրի նպատակն է </w:t>
      </w:r>
      <w:r w:rsidRPr="00A83C94">
        <w:rPr>
          <w:b w:val="0"/>
          <w:lang w:val="af-ZA"/>
        </w:rPr>
        <w:t xml:space="preserve">արտոնյալ պայմաններով վարկերի տրամադրում՝ միտված վարկառուների ներկա իրավիճակով պայմանավորված խնդիրների և ժամանակավոր դժվարությունների լուծմանը: Օժանդակությունը իրականացվում է միջոցառման շրջանակում տրամադրված </w:t>
      </w:r>
      <w:r w:rsidRPr="00A83C94">
        <w:rPr>
          <w:b w:val="0"/>
          <w:lang w:val="hy-AM"/>
        </w:rPr>
        <w:t xml:space="preserve">1500 </w:t>
      </w:r>
      <w:r w:rsidRPr="00A83C94">
        <w:rPr>
          <w:b w:val="0"/>
          <w:lang w:val="af-ZA"/>
        </w:rPr>
        <w:t xml:space="preserve">արտոնյալ վարկերի տոկոսագումարների սուբսիդավորման ձևով։ </w:t>
      </w:r>
    </w:p>
    <w:p w14:paraId="68F87D1E" w14:textId="77777777" w:rsidR="00F54D73" w:rsidRPr="00A83C94" w:rsidRDefault="00F54D73" w:rsidP="00574F8B">
      <w:pPr>
        <w:spacing w:before="0" w:line="276" w:lineRule="auto"/>
        <w:rPr>
          <w:b w:val="0"/>
          <w:lang w:val="af-ZA"/>
        </w:rPr>
      </w:pPr>
    </w:p>
    <w:p w14:paraId="701D9C33" w14:textId="2AE0364C" w:rsidR="00F82D13" w:rsidRPr="00A83C94" w:rsidRDefault="00F82D13" w:rsidP="00F82D13">
      <w:pPr>
        <w:keepNext/>
        <w:spacing w:before="0" w:line="276" w:lineRule="auto"/>
        <w:ind w:firstLine="0"/>
        <w:contextualSpacing w:val="0"/>
        <w:jc w:val="center"/>
        <w:outlineLvl w:val="2"/>
        <w:rPr>
          <w:sz w:val="24"/>
          <w:lang w:val="hy-AM"/>
        </w:rPr>
      </w:pPr>
      <w:bookmarkStart w:id="315" w:name="_Toc89428320"/>
      <w:r w:rsidRPr="00A83C94">
        <w:rPr>
          <w:rFonts w:cs="Arial"/>
          <w:sz w:val="24"/>
          <w:lang w:val="hy-AM" w:eastAsia="en-US"/>
        </w:rPr>
        <w:t xml:space="preserve">ՀՀ </w:t>
      </w:r>
      <w:r w:rsidRPr="00A83C94">
        <w:rPr>
          <w:rFonts w:cs="Arial"/>
          <w:sz w:val="24"/>
          <w:lang w:eastAsia="en-US"/>
        </w:rPr>
        <w:t>ֆինանսների</w:t>
      </w:r>
      <w:r w:rsidRPr="00A83C94">
        <w:rPr>
          <w:rFonts w:cs="Arial"/>
          <w:sz w:val="24"/>
          <w:lang w:val="hy-AM" w:eastAsia="en-US"/>
        </w:rPr>
        <w:t xml:space="preserve"> նախա</w:t>
      </w:r>
      <w:r w:rsidRPr="00A83C94">
        <w:rPr>
          <w:rFonts w:cs="Arial"/>
          <w:sz w:val="24"/>
          <w:lang w:val="hy-AM" w:eastAsia="en-US"/>
        </w:rPr>
        <w:softHyphen/>
        <w:t>րարու</w:t>
      </w:r>
      <w:r w:rsidRPr="00A83C94">
        <w:rPr>
          <w:rFonts w:cs="Arial"/>
          <w:sz w:val="24"/>
          <w:lang w:val="hy-AM" w:eastAsia="en-US"/>
        </w:rPr>
        <w:softHyphen/>
        <w:t>թյուն</w:t>
      </w:r>
      <w:bookmarkEnd w:id="315"/>
    </w:p>
    <w:p w14:paraId="3AFE3E39" w14:textId="60160834" w:rsidR="00F82D13" w:rsidRPr="00A83C94" w:rsidRDefault="00100580" w:rsidP="00F82D13">
      <w:pPr>
        <w:spacing w:before="0" w:line="276" w:lineRule="auto"/>
        <w:rPr>
          <w:b w:val="0"/>
          <w:lang w:val="hy-AM"/>
        </w:rPr>
      </w:pPr>
      <w:r w:rsidRPr="00A83C94">
        <w:rPr>
          <w:b w:val="0"/>
          <w:color w:val="000000"/>
          <w:szCs w:val="22"/>
          <w:lang w:val="hy-AM" w:eastAsia="en-US"/>
        </w:rPr>
        <w:t>ՀՀ ֆինանսերի</w:t>
      </w:r>
      <w:r w:rsidR="00F82D13" w:rsidRPr="00A83C94">
        <w:rPr>
          <w:b w:val="0"/>
          <w:color w:val="000000"/>
          <w:szCs w:val="22"/>
          <w:lang w:val="hy-AM" w:eastAsia="en-US"/>
        </w:rPr>
        <w:t xml:space="preserve"> նախա</w:t>
      </w:r>
      <w:r w:rsidR="00F82D13" w:rsidRPr="00A83C94">
        <w:rPr>
          <w:b w:val="0"/>
          <w:color w:val="000000"/>
          <w:szCs w:val="22"/>
          <w:lang w:val="hy-AM" w:eastAsia="en-US"/>
        </w:rPr>
        <w:softHyphen/>
        <w:t>րարու</w:t>
      </w:r>
      <w:r w:rsidR="00F82D13" w:rsidRPr="00A83C94">
        <w:rPr>
          <w:b w:val="0"/>
          <w:color w:val="000000"/>
          <w:szCs w:val="22"/>
          <w:lang w:val="hy-AM" w:eastAsia="en-US"/>
        </w:rPr>
        <w:softHyphen/>
        <w:t xml:space="preserve">թյան գծով Նախագծով նախատեսվում է հատկացնել </w:t>
      </w:r>
      <w:r w:rsidR="008152DD" w:rsidRPr="002526E9">
        <w:rPr>
          <w:b w:val="0"/>
          <w:color w:val="000000"/>
          <w:szCs w:val="22"/>
          <w:lang w:val="af-ZA" w:eastAsia="en-US"/>
        </w:rPr>
        <w:t>217,945.4</w:t>
      </w:r>
      <w:r w:rsidR="00F82D13" w:rsidRPr="00A83C94">
        <w:rPr>
          <w:b w:val="0"/>
          <w:color w:val="000000"/>
          <w:szCs w:val="22"/>
          <w:lang w:val="hy-AM" w:eastAsia="en-US"/>
        </w:rPr>
        <w:t xml:space="preserve"> մլն դրամ (ներառյալ կառավարման ապարատի պահպանման ծախսերը): Հատկացվելիք միջոցներն</w:t>
      </w:r>
      <w:r w:rsidR="00F82D13" w:rsidRPr="00A83C94">
        <w:rPr>
          <w:b w:val="0"/>
          <w:lang w:val="hy-AM"/>
        </w:rPr>
        <w:t xml:space="preserve"> ուղղվելու են հետևյալ ծրագրերի իրականացմանը.</w:t>
      </w:r>
    </w:p>
    <w:p w14:paraId="51621514" w14:textId="0D2F6877" w:rsidR="00E622DF" w:rsidRPr="00A83C94" w:rsidRDefault="00E622DF" w:rsidP="005C7E87">
      <w:pPr>
        <w:pStyle w:val="ListParagraph"/>
        <w:spacing w:before="0" w:line="276" w:lineRule="auto"/>
        <w:ind w:left="0"/>
        <w:rPr>
          <w:b w:val="0"/>
          <w:lang w:val="hy-AM"/>
        </w:rPr>
      </w:pPr>
      <w:r w:rsidRPr="00A83C94">
        <w:rPr>
          <w:lang w:val="hy-AM"/>
        </w:rPr>
        <w:t>Պետական պարտքի կառավարում</w:t>
      </w:r>
      <w:r w:rsidRPr="00A83C94">
        <w:rPr>
          <w:b w:val="0"/>
          <w:lang w:val="hy-AM"/>
        </w:rPr>
        <w:t xml:space="preserve"> ծրագրի գծով 2022 թվականին նախատեսվել է հատկացնել 214,694.5 մլն դրամ: Ծրագրի նպատակն է Կառավարության ֆինանսական կարիքների բավարարման մշտական հնարավորության ապահովումը` երկարաժամկետ հատվածում նվազեցնելով պարտքի սպասարկման մեծությունը: Ծրագրի շրջանակներում նախատեսվում է </w:t>
      </w:r>
      <w:r w:rsidR="005C7E87" w:rsidRPr="00A83C94">
        <w:rPr>
          <w:b w:val="0"/>
          <w:lang w:val="hy-AM"/>
        </w:rPr>
        <w:t>արտարժութային պետական պարտատոմսերի թողարկում, ՀՀ պետական պարտքի կառավարման գործընթացի հրապարակայնության ապահովում, պարտքի կառավարմանն առնչվող տեղեկատվական համակարգերի և ծրագրերի սպասարկում և կառավարության պարտքի և մուրհակների սպասարկում:</w:t>
      </w:r>
    </w:p>
    <w:p w14:paraId="3F0BE5D2" w14:textId="72C95AE0" w:rsidR="00640ECA" w:rsidRPr="00A83C94" w:rsidRDefault="00640ECA" w:rsidP="0059116C">
      <w:pPr>
        <w:pStyle w:val="ListParagraph"/>
        <w:spacing w:before="0" w:line="276" w:lineRule="auto"/>
        <w:ind w:left="0"/>
        <w:rPr>
          <w:b w:val="0"/>
          <w:lang w:val="hy-AM"/>
        </w:rPr>
      </w:pPr>
      <w:r w:rsidRPr="00A83C94">
        <w:rPr>
          <w:lang w:val="hy-AM"/>
        </w:rPr>
        <w:t>Հանրային հատվածի ֆինանսական ոլորտի մասնագետների վերապատրաստում</w:t>
      </w:r>
      <w:r w:rsidRPr="00A83C94">
        <w:rPr>
          <w:b w:val="0"/>
          <w:lang w:val="hy-AM"/>
        </w:rPr>
        <w:t xml:space="preserve">  ծրագրի գծով նախատեսվել է հատկացնել </w:t>
      </w:r>
      <w:r w:rsidR="005C7E87" w:rsidRPr="00A83C94">
        <w:rPr>
          <w:b w:val="0"/>
          <w:lang w:val="hy-AM"/>
        </w:rPr>
        <w:t xml:space="preserve">22.1 </w:t>
      </w:r>
      <w:r w:rsidRPr="00A83C94">
        <w:rPr>
          <w:b w:val="0"/>
          <w:lang w:val="hy-AM"/>
        </w:rPr>
        <w:t xml:space="preserve">մլն դրամ: Ծրագրի նպատակն է հանրային հատվածի ֆինանսական ոլորտի մասնագետների աշխատանքի արդյունավետության բարելավումը, հանրային ֆինանսների կառավարման նոր գիտելիքների և փորձի յուրացումը: Ծրագրի շրջանակներում նախատեսվում է </w:t>
      </w:r>
      <w:r w:rsidR="003725C2" w:rsidRPr="00A83C94">
        <w:rPr>
          <w:b w:val="0"/>
          <w:lang w:val="hy-AM"/>
        </w:rPr>
        <w:t>իրականացնել հետևյալ միջոցառումը:</w:t>
      </w:r>
    </w:p>
    <w:p w14:paraId="34C54500" w14:textId="72BDA947" w:rsidR="0059116C" w:rsidRPr="00A83C94" w:rsidRDefault="005C7E87" w:rsidP="0059116C">
      <w:pPr>
        <w:spacing w:before="0" w:line="276" w:lineRule="auto"/>
        <w:ind w:firstLine="576"/>
        <w:rPr>
          <w:rFonts w:cs="Sylfaen"/>
          <w:sz w:val="24"/>
          <w:lang w:val="hy-AM"/>
        </w:rPr>
      </w:pPr>
      <w:r w:rsidRPr="00A83C94">
        <w:rPr>
          <w:lang w:val="hy-AM"/>
        </w:rPr>
        <w:t>Հանրային ֆինանսների կառավարման բնագավառում պետական քաղաքականության մշակում, ծրագրերի համակարգում և մոնիտորինգ</w:t>
      </w:r>
      <w:r w:rsidRPr="00A83C94">
        <w:rPr>
          <w:b w:val="0"/>
          <w:lang w:val="hy-AM"/>
        </w:rPr>
        <w:t xml:space="preserve"> ծրագրի գծով 2022 թվականին նախատեսվել է հատկացնել 3,</w:t>
      </w:r>
      <w:r w:rsidR="0052299C" w:rsidRPr="00225E3A">
        <w:rPr>
          <w:b w:val="0"/>
          <w:lang w:val="hy-AM"/>
        </w:rPr>
        <w:t>8</w:t>
      </w:r>
      <w:r w:rsidR="008152DD" w:rsidRPr="002526E9">
        <w:rPr>
          <w:b w:val="0"/>
          <w:lang w:val="hy-AM"/>
        </w:rPr>
        <w:t xml:space="preserve">74.8 </w:t>
      </w:r>
      <w:r w:rsidRPr="00A83C94">
        <w:rPr>
          <w:b w:val="0"/>
          <w:lang w:val="hy-AM"/>
        </w:rPr>
        <w:t>մլն դրամ: Ծրագրի նպատակն է հանրային ֆինանսների կառավարման բնագավառում պետական քաղաքականության մշակումը և դրա կատարման համակարգումը, պետական ծրագրերի պլանավորումը, մշակումը, մոնիտորինգի (վերահսկման) ծառայությունների իրականացումը:</w:t>
      </w:r>
      <w:r w:rsidR="0059116C" w:rsidRPr="00A83C94">
        <w:rPr>
          <w:b w:val="0"/>
          <w:lang w:val="hy-AM"/>
        </w:rPr>
        <w:t xml:space="preserve"> Ծրագրի շրջանակներում նախատեսվում է նաև ֆինանսական կառավարման համակարգի վճարահաշվարկային ծառայությունների մատուցում, ՀՀ համապատասխան վարկանիշի միջազգային հարթակում ապահովման նպատակով՝ ՀՀ սուվերեն վարկանիշի ստացում,  ՀՀ ֆինանսների նախարարության և ՌԴ ֆինանսների նախարարության միջև` Ռուսաստանի Դաշնության կողմից Հայաստանի Հանրապետությանն անհատույց ֆինանսական օգնության դրամաշնորհային ծրագրի շրջանակներում Կառավարության ֆինանսական կառավարման տեղեկատվական համակարգերի ներդրում:</w:t>
      </w:r>
    </w:p>
    <w:p w14:paraId="3FB02A1A" w14:textId="08C97CCC" w:rsidR="003725C2" w:rsidRPr="00A83C94" w:rsidRDefault="003725C2" w:rsidP="003725C2">
      <w:pPr>
        <w:pStyle w:val="ListParagraph"/>
        <w:spacing w:before="0" w:line="276" w:lineRule="auto"/>
        <w:ind w:left="0"/>
        <w:rPr>
          <w:b w:val="0"/>
          <w:lang w:val="hy-AM"/>
        </w:rPr>
      </w:pPr>
      <w:r w:rsidRPr="00A83C94">
        <w:rPr>
          <w:lang w:val="hy-AM"/>
        </w:rPr>
        <w:t>Գնումների գործընթացի կարգավորում և համակարգում</w:t>
      </w:r>
      <w:r w:rsidRPr="00A83C94">
        <w:rPr>
          <w:b w:val="0"/>
          <w:lang w:val="hy-AM"/>
        </w:rPr>
        <w:t xml:space="preserve"> ծրագրի գծով նախատեսվել է հատկացնել </w:t>
      </w:r>
      <w:r w:rsidR="005C7E87" w:rsidRPr="00A83C94">
        <w:rPr>
          <w:b w:val="0"/>
          <w:lang w:val="hy-AM"/>
        </w:rPr>
        <w:t>127</w:t>
      </w:r>
      <w:r w:rsidRPr="00A83C94">
        <w:rPr>
          <w:b w:val="0"/>
          <w:lang w:val="hy-AM"/>
        </w:rPr>
        <w:t>.</w:t>
      </w:r>
      <w:r w:rsidR="005C7E87" w:rsidRPr="00A83C94">
        <w:rPr>
          <w:b w:val="0"/>
          <w:lang w:val="hy-AM"/>
        </w:rPr>
        <w:t>1</w:t>
      </w:r>
      <w:r w:rsidRPr="00A83C94">
        <w:rPr>
          <w:b w:val="0"/>
          <w:lang w:val="hy-AM"/>
        </w:rPr>
        <w:t xml:space="preserve"> մլն դրամ: Ծրագրի նպատակն է հանրային միջոցների ծախսման արդյունավետության բարձրացումը և կոռուպցիոն ռիսկերի նվազեցումը: </w:t>
      </w:r>
      <w:r w:rsidR="005C7E87" w:rsidRPr="00A83C94">
        <w:rPr>
          <w:b w:val="0"/>
          <w:lang w:val="hy-AM"/>
        </w:rPr>
        <w:t xml:space="preserve">Ծրագրի շրջանակներում նախատեսվում է պետական գնումների գործընթացի թափանցիկության՝ հրապարակայնության և մրցակցության աստիճանի բարձրացում՝ </w:t>
      </w:r>
      <w:r w:rsidR="00DD3367" w:rsidRPr="00A83C94">
        <w:rPr>
          <w:b w:val="0"/>
          <w:lang w:val="hy-AM"/>
        </w:rPr>
        <w:t>է</w:t>
      </w:r>
      <w:r w:rsidR="005C7E87" w:rsidRPr="00A83C94">
        <w:rPr>
          <w:b w:val="0"/>
          <w:lang w:val="hy-AM"/>
        </w:rPr>
        <w:t>լեկտրոնային գնումների համակարգի տեխնիկական սպասարկ</w:t>
      </w:r>
      <w:r w:rsidR="00373658" w:rsidRPr="00A83C94">
        <w:rPr>
          <w:b w:val="0"/>
          <w:lang w:val="hy-AM"/>
        </w:rPr>
        <w:t>ում</w:t>
      </w:r>
      <w:r w:rsidR="005C7E87" w:rsidRPr="00A83C94">
        <w:rPr>
          <w:b w:val="0"/>
          <w:lang w:val="hy-AM"/>
        </w:rPr>
        <w:t xml:space="preserve"> և գնումների պլանավոր</w:t>
      </w:r>
      <w:r w:rsidR="00373658" w:rsidRPr="00A83C94">
        <w:rPr>
          <w:b w:val="0"/>
          <w:lang w:val="hy-AM"/>
        </w:rPr>
        <w:t>ում</w:t>
      </w:r>
      <w:r w:rsidR="005C7E87" w:rsidRPr="00A83C94">
        <w:rPr>
          <w:b w:val="0"/>
          <w:lang w:val="hy-AM"/>
        </w:rPr>
        <w:t>, պայմանագրերի կառավարման ու գնումների հաշվետվողականության էլեկտրոնային համակարգի սպասարկ</w:t>
      </w:r>
      <w:r w:rsidR="00373658" w:rsidRPr="00A83C94">
        <w:rPr>
          <w:b w:val="0"/>
          <w:lang w:val="hy-AM"/>
        </w:rPr>
        <w:t>ում, LSFinance (ԳԳՕ) և CLIENT-TREASURY համակարգի անխափան գործունեության ապահովում</w:t>
      </w:r>
      <w:r w:rsidR="00DD3367" w:rsidRPr="00A83C94">
        <w:rPr>
          <w:b w:val="0"/>
          <w:lang w:val="hy-AM"/>
        </w:rPr>
        <w:t>:</w:t>
      </w:r>
    </w:p>
    <w:p w14:paraId="599AA53F" w14:textId="77777777" w:rsidR="003725C2" w:rsidRPr="00A83C94" w:rsidRDefault="003725C2" w:rsidP="00640ECA">
      <w:pPr>
        <w:pStyle w:val="ListParagraph"/>
        <w:spacing w:before="0" w:line="276" w:lineRule="auto"/>
        <w:ind w:left="0"/>
        <w:rPr>
          <w:b w:val="0"/>
          <w:lang w:val="hy-AM"/>
        </w:rPr>
      </w:pPr>
    </w:p>
    <w:p w14:paraId="0DF44F8F" w14:textId="16C63AE4" w:rsidR="00060470" w:rsidRPr="00A83C94" w:rsidRDefault="004D4C68" w:rsidP="00832373">
      <w:pPr>
        <w:keepNext/>
        <w:spacing w:before="0" w:line="276" w:lineRule="auto"/>
        <w:ind w:firstLine="0"/>
        <w:contextualSpacing w:val="0"/>
        <w:jc w:val="center"/>
        <w:outlineLvl w:val="2"/>
        <w:rPr>
          <w:rFonts w:cs="Arial"/>
          <w:sz w:val="24"/>
          <w:lang w:val="hy-AM" w:eastAsia="en-US"/>
        </w:rPr>
      </w:pPr>
      <w:bookmarkStart w:id="316" w:name="_Toc89428321"/>
      <w:r w:rsidRPr="00A83C94">
        <w:rPr>
          <w:rFonts w:cs="Arial"/>
          <w:sz w:val="24"/>
          <w:lang w:val="hy-AM" w:eastAsia="en-US"/>
        </w:rPr>
        <w:t xml:space="preserve">ՀՀ արտակարգ իրավիճակների </w:t>
      </w:r>
      <w:r w:rsidR="008C00B8" w:rsidRPr="00A83C94">
        <w:rPr>
          <w:rFonts w:cs="Arial"/>
          <w:sz w:val="24"/>
          <w:lang w:val="hy-AM" w:eastAsia="en-US"/>
        </w:rPr>
        <w:t>նախարարությու</w:t>
      </w:r>
      <w:r w:rsidRPr="00A83C94">
        <w:rPr>
          <w:rFonts w:cs="Arial"/>
          <w:sz w:val="24"/>
          <w:lang w:val="hy-AM" w:eastAsia="en-US"/>
        </w:rPr>
        <w:t>ն</w:t>
      </w:r>
      <w:bookmarkEnd w:id="316"/>
    </w:p>
    <w:p w14:paraId="4B8D21C8" w14:textId="77777777" w:rsidR="00CE72A5" w:rsidRPr="00A83C94" w:rsidRDefault="000E65CF"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ab/>
      </w:r>
      <w:r w:rsidR="00CE72A5" w:rsidRPr="00A83C94">
        <w:rPr>
          <w:b w:val="0"/>
          <w:szCs w:val="22"/>
          <w:lang w:val="fr-FR" w:eastAsia="en-US"/>
        </w:rPr>
        <w:t>Հայաստանի Հանրապետության ազգային անվտանգության ապահովման կարևորագույն ոլորտներից մեկը՝ արտակարգ իրավիճակների համակարգը, իրականացնում է հանրապետությունում քաղաքացիական պաշտպանության և արտակարգ իրավիճակներում բնակչության պաշտպանության բնագավառներում միաuնական պետական քաղաքականության մշակման, բնական, արհեստական և տեխնածին աղետներ առաջացնող երևույթների ուսումնասիրության, կանխարգելման, հակազդման, հետևանքների վերացման, բնակչության վաղաժամ իրազեկման և ուսուցման գործառույթները:</w:t>
      </w:r>
    </w:p>
    <w:p w14:paraId="78285FBE" w14:textId="77777777" w:rsidR="00CE72A5" w:rsidRPr="00A83C94" w:rsidRDefault="00CE72A5"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Ոլորտի հիմնական թիրախներն են՝ արտակարգ իրավիճակների բնագավառի պետական քաղաքականության մշակում՝ ծրագրերի համակարգում, արտակարգ իրավիճակների արդյունավետ արձագանքում, արտակարգ իրավիճակների կանխում, հնարավոր հետևանքների նվազեցում և վերացում, քաղաքացիական պաշտպանություն, բնակչության և տնտեսության օբյեկտների (տարածքների) պաշտպանություն, փրկարարական, վթարային փրկարարական, անհետաձգելի վթարավերականգնողական, հրդեհաշիջման և այլ աշխատանքների իրականացում, սեյսմիկ ռիսկերի գնահատում և նվազեցում, արտադրական վտանգավոր օբյեկտների շահագործմամբ պայմանավորված տեխնածին վթարների և դրանց հետևանքով հասարակությանը և տնտեսությանը պատճառվող վնասների ռիսկերի նվազեցում, ճգնաժամային կառավարման կարողությունների զարգացում, արտակարգ իրավիճակներում ռազմավարական նշանակության պաշարներով ապահովում և այլն, որոնք ներառված են աղետների ռիսկի կառավարման ազգային ռազմավարության իրականացման գործողությունների ծրագրում:</w:t>
      </w:r>
    </w:p>
    <w:p w14:paraId="21E3EF3E" w14:textId="6EA8309D" w:rsidR="00B92394" w:rsidRPr="00A83C94" w:rsidRDefault="00B92394" w:rsidP="002E424C">
      <w:pPr>
        <w:autoSpaceDE w:val="0"/>
        <w:autoSpaceDN w:val="0"/>
        <w:adjustRightInd w:val="0"/>
        <w:spacing w:before="0" w:line="276" w:lineRule="auto"/>
        <w:ind w:firstLine="720"/>
        <w:contextualSpacing w:val="0"/>
        <w:rPr>
          <w:b w:val="0"/>
          <w:szCs w:val="22"/>
          <w:lang w:val="fr-FR" w:eastAsia="en-US"/>
        </w:rPr>
      </w:pPr>
      <w:r w:rsidRPr="00A83C94">
        <w:rPr>
          <w:b w:val="0"/>
          <w:lang w:val="hy-AM"/>
        </w:rPr>
        <w:t>ՀՀ արտակարգ իրավիճակների նախարարության գծով նա</w:t>
      </w:r>
      <w:r w:rsidRPr="00A83C94">
        <w:rPr>
          <w:b w:val="0"/>
          <w:lang w:val="hy-AM"/>
        </w:rPr>
        <w:softHyphen/>
        <w:t>խագծով նախատեսվում է</w:t>
      </w:r>
      <w:r w:rsidRPr="00A83C94">
        <w:rPr>
          <w:b w:val="0"/>
          <w:lang w:val="fr-FR"/>
        </w:rPr>
        <w:t xml:space="preserve"> </w:t>
      </w:r>
      <w:r w:rsidRPr="00A83C94">
        <w:rPr>
          <w:b w:val="0"/>
          <w:lang w:val="en-US"/>
        </w:rPr>
        <w:t>հատկացնել</w:t>
      </w:r>
      <w:r w:rsidRPr="00A83C94">
        <w:rPr>
          <w:b w:val="0"/>
          <w:lang w:val="hy-AM"/>
        </w:rPr>
        <w:t xml:space="preserve"> </w:t>
      </w:r>
      <w:r w:rsidR="00583D27">
        <w:rPr>
          <w:b w:val="0"/>
          <w:lang w:val="fr-FR"/>
        </w:rPr>
        <w:t>1</w:t>
      </w:r>
      <w:r w:rsidR="00A556C2">
        <w:rPr>
          <w:b w:val="0"/>
          <w:lang w:val="fr-FR"/>
        </w:rPr>
        <w:t>4</w:t>
      </w:r>
      <w:r w:rsidRPr="00A83C94">
        <w:rPr>
          <w:rFonts w:cs="Sylfaen"/>
          <w:b w:val="0"/>
          <w:lang w:val="af-ZA"/>
        </w:rPr>
        <w:t>,</w:t>
      </w:r>
      <w:r w:rsidR="00A556C2">
        <w:rPr>
          <w:rFonts w:cs="Sylfaen"/>
          <w:b w:val="0"/>
          <w:lang w:val="af-ZA"/>
        </w:rPr>
        <w:t>205</w:t>
      </w:r>
      <w:r w:rsidRPr="00A83C94">
        <w:rPr>
          <w:rFonts w:cs="Sylfaen"/>
          <w:b w:val="0"/>
          <w:lang w:val="af-ZA"/>
        </w:rPr>
        <w:t>.</w:t>
      </w:r>
      <w:r w:rsidR="00583D27">
        <w:rPr>
          <w:rFonts w:cs="Sylfaen"/>
          <w:b w:val="0"/>
          <w:lang w:val="af-ZA"/>
        </w:rPr>
        <w:t>8</w:t>
      </w:r>
      <w:r w:rsidRPr="00A83C94">
        <w:rPr>
          <w:rFonts w:cs="Sylfaen"/>
          <w:b w:val="0"/>
          <w:lang w:val="af-ZA"/>
        </w:rPr>
        <w:t xml:space="preserve"> մլն դրամ </w:t>
      </w:r>
      <w:r w:rsidRPr="00A83C94">
        <w:rPr>
          <w:b w:val="0"/>
          <w:color w:val="000000"/>
          <w:szCs w:val="22"/>
          <w:lang w:val="hy-AM" w:eastAsia="en-US"/>
        </w:rPr>
        <w:t>(ներառյալ կառավարման ապարատի պահպանման ծախսերը)</w:t>
      </w:r>
      <w:r w:rsidRPr="00A83C94">
        <w:rPr>
          <w:b w:val="0"/>
          <w:color w:val="000000"/>
          <w:szCs w:val="22"/>
          <w:lang w:val="fr-FR" w:eastAsia="en-US"/>
        </w:rPr>
        <w:t>:</w:t>
      </w:r>
    </w:p>
    <w:p w14:paraId="28BE33F3" w14:textId="77777777" w:rsidR="00CE72A5" w:rsidRPr="00A83C94" w:rsidRDefault="00CE72A5"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Ոլորտային քաղաքականության թիրախների (վերջնական արդյունքների) ապահովման նպատակով ՀՀ արտակարգ իրավիճակների նախարարության կողմից իրականցվող հիմնական ծրագրերն են.</w:t>
      </w:r>
    </w:p>
    <w:p w14:paraId="2936BEEE" w14:textId="6A0C4D71" w:rsidR="002E424C" w:rsidRPr="00A83C94" w:rsidRDefault="002E424C" w:rsidP="002E424C">
      <w:pPr>
        <w:autoSpaceDE w:val="0"/>
        <w:autoSpaceDN w:val="0"/>
        <w:adjustRightInd w:val="0"/>
        <w:spacing w:before="0" w:line="276" w:lineRule="auto"/>
        <w:ind w:firstLine="720"/>
        <w:contextualSpacing w:val="0"/>
        <w:rPr>
          <w:b w:val="0"/>
          <w:szCs w:val="22"/>
          <w:lang w:val="fr-FR" w:eastAsia="en-US"/>
        </w:rPr>
      </w:pPr>
      <w:r w:rsidRPr="00A83C94">
        <w:rPr>
          <w:szCs w:val="22"/>
          <w:lang w:val="fr-FR" w:eastAsia="en-US"/>
        </w:rPr>
        <w:t>Փրկարարական ծառայություններ</w:t>
      </w:r>
      <w:r w:rsidRPr="00A83C94">
        <w:rPr>
          <w:b w:val="0"/>
          <w:szCs w:val="22"/>
          <w:lang w:val="fr-FR" w:eastAsia="en-US"/>
        </w:rPr>
        <w:t xml:space="preserve"> ծրագրի նպատակն է արտակարգ իրավիճակների հնարավոր դեպքերի կանխումը, դրանց ժամանակին արձագանքումը, հետևանքների նվազեցումը և բնակչության պաշտպանությունը, Փրկարար ծառայությունում փրկարարական համակարգի կատարելագործումը և զարգացումը՝ աստիճանաբար համապատասխանեցնելով ժամանակակից ընդունված պահանջներին, զուգահեռաբար պետական փրկարարական կառույցի շուրջ ձևավորելով կամավորական փրկարարական ուժեր, փրկարար ծառայողների մասնագիտական, արագ արձագանքման փրկարար ուժերի պատրաստականության բարձրացումը և տեխնիկական հագեցվածության ապահովումը, քաղաքացիական պաշտպանության ուժերի հավաքական կենտրոնի քաղաքացիական պաշտպանության ուժերի ու ստորաբաժանումների խնդիրների առավել արդյունավետ դերաբաշխման և կառավարելիության բարձրացումը, սահմանամերձ բնակավայրերում փրկարարական և արագ արձագանքման այլ ուժերի ստեղծումը և զարգացումը, ՀՀ-ում և տարածաշրջանում՝ հնարավոր աղետների դեպքում մարդասիրական օգնության  ցուցաբերումը, ճգնաժամային կառավարման ազգային կենտրոնում մարդուն հրատապ օգնության համապետական համակարգի 911 դիսպետչերական ծառայության զարգացումը` ծառայության մատուցումը հնարավորինս մոտեցնելով միջազգային չափանիշներին:</w:t>
      </w:r>
    </w:p>
    <w:p w14:paraId="344785F5" w14:textId="63708AD1" w:rsidR="002E424C" w:rsidRPr="00A83C94" w:rsidRDefault="002E424C" w:rsidP="002E424C">
      <w:pPr>
        <w:autoSpaceDE w:val="0"/>
        <w:autoSpaceDN w:val="0"/>
        <w:adjustRightInd w:val="0"/>
        <w:spacing w:before="0" w:line="276" w:lineRule="auto"/>
        <w:ind w:firstLine="720"/>
        <w:contextualSpacing w:val="0"/>
        <w:rPr>
          <w:b w:val="0"/>
          <w:szCs w:val="22"/>
          <w:lang w:val="fr-FR" w:eastAsia="en-US"/>
        </w:rPr>
      </w:pPr>
      <w:r w:rsidRPr="00A83C94">
        <w:rPr>
          <w:b w:val="0"/>
          <w:szCs w:val="22"/>
          <w:lang w:val="fr-FR" w:eastAsia="en-US"/>
        </w:rPr>
        <w:tab/>
        <w:t>2022թ. նախատեսվում է</w:t>
      </w:r>
      <w:r w:rsidR="00891EF3">
        <w:rPr>
          <w:b w:val="0"/>
          <w:szCs w:val="22"/>
          <w:lang w:val="fr-FR" w:eastAsia="en-US"/>
        </w:rPr>
        <w:t xml:space="preserve"> ծրագրին հատկացնել 11,608</w:t>
      </w:r>
      <w:r w:rsidR="00891EF3">
        <w:rPr>
          <w:b w:val="0"/>
          <w:szCs w:val="22"/>
          <w:lang w:val="hy-AM" w:eastAsia="en-US"/>
        </w:rPr>
        <w:t>.</w:t>
      </w:r>
      <w:r w:rsidR="00891EF3">
        <w:rPr>
          <w:b w:val="0"/>
          <w:szCs w:val="22"/>
          <w:lang w:val="fr-FR" w:eastAsia="en-US"/>
        </w:rPr>
        <w:t>6 մլն</w:t>
      </w:r>
      <w:r w:rsidRPr="00A83C94">
        <w:rPr>
          <w:b w:val="0"/>
          <w:szCs w:val="22"/>
          <w:lang w:val="fr-FR" w:eastAsia="en-US"/>
        </w:rPr>
        <w:t xml:space="preserve"> դրամ կամ 110.7 մլն դրամով (0.9%) պակաս 2021 թվականի հաստատված բյուջեի նկատմամաբ: </w:t>
      </w:r>
    </w:p>
    <w:p w14:paraId="03B986CA" w14:textId="77777777" w:rsidR="00B96733" w:rsidRPr="00A83C94" w:rsidRDefault="00B96733" w:rsidP="00B96733">
      <w:pPr>
        <w:spacing w:before="40" w:after="120" w:line="276" w:lineRule="auto"/>
        <w:ind w:left="1" w:firstLine="707"/>
        <w:rPr>
          <w:rFonts w:eastAsia="GHEA Grapalat" w:cs="GHEA Grapalat"/>
          <w:b w:val="0"/>
          <w:bCs/>
          <w:lang w:val="fr-FR"/>
        </w:rPr>
      </w:pPr>
      <w:r w:rsidRPr="00A83C94">
        <w:rPr>
          <w:rFonts w:eastAsia="GHEA Grapalat" w:cs="GHEA Grapalat"/>
          <w:bCs/>
          <w:lang w:val="hy-AM"/>
        </w:rPr>
        <w:t>Սեյսմիկ պաշտպանություն</w:t>
      </w:r>
      <w:r w:rsidRPr="00A83C94">
        <w:rPr>
          <w:rFonts w:eastAsia="GHEA Grapalat" w:cs="GHEA Grapalat"/>
          <w:b w:val="0"/>
          <w:bCs/>
          <w:lang w:val="hy-AM"/>
        </w:rPr>
        <w:t xml:space="preserve"> </w:t>
      </w:r>
      <w:r w:rsidRPr="00A83C94">
        <w:rPr>
          <w:rFonts w:eastAsia="GHEA Grapalat" w:cs="GHEA Grapalat"/>
          <w:b w:val="0"/>
          <w:bCs/>
        </w:rPr>
        <w:t>ծրագրի</w:t>
      </w:r>
      <w:r w:rsidRPr="00A83C94">
        <w:rPr>
          <w:rFonts w:eastAsia="GHEA Grapalat" w:cs="GHEA Grapalat"/>
          <w:b w:val="0"/>
          <w:bCs/>
          <w:lang w:val="fr-FR"/>
        </w:rPr>
        <w:t xml:space="preserve"> </w:t>
      </w:r>
      <w:r w:rsidRPr="00A83C94">
        <w:rPr>
          <w:rFonts w:eastAsia="GHEA Grapalat" w:cs="GHEA Grapalat"/>
          <w:b w:val="0"/>
          <w:bCs/>
        </w:rPr>
        <w:t>գծով</w:t>
      </w:r>
      <w:r w:rsidRPr="00A83C94">
        <w:rPr>
          <w:rFonts w:eastAsia="GHEA Grapalat" w:cs="GHEA Grapalat"/>
          <w:b w:val="0"/>
          <w:bCs/>
          <w:lang w:val="fr-FR"/>
        </w:rPr>
        <w:t xml:space="preserve"> </w:t>
      </w:r>
      <w:r w:rsidRPr="00A83C94">
        <w:rPr>
          <w:rFonts w:eastAsia="GHEA Grapalat" w:cs="GHEA Grapalat"/>
          <w:b w:val="0"/>
          <w:bCs/>
          <w:iCs/>
          <w:lang w:val="hy-AM"/>
        </w:rPr>
        <w:t>2022 թվականին նախատեսվել է</w:t>
      </w:r>
      <w:r w:rsidRPr="00A83C94">
        <w:rPr>
          <w:rFonts w:eastAsia="GHEA Grapalat" w:cs="GHEA Grapalat"/>
          <w:b w:val="0"/>
          <w:bCs/>
          <w:iCs/>
          <w:lang w:val="fr-FR"/>
        </w:rPr>
        <w:t xml:space="preserve"> </w:t>
      </w:r>
      <w:r w:rsidRPr="00A83C94">
        <w:rPr>
          <w:rFonts w:eastAsia="GHEA Grapalat" w:cs="GHEA Grapalat"/>
          <w:b w:val="0"/>
          <w:bCs/>
          <w:iCs/>
          <w:lang w:val="af-ZA"/>
        </w:rPr>
        <w:t xml:space="preserve">752.9 </w:t>
      </w:r>
      <w:r w:rsidRPr="00A83C94">
        <w:rPr>
          <w:rFonts w:eastAsia="GHEA Grapalat" w:cs="GHEA Grapalat"/>
          <w:b w:val="0"/>
          <w:bCs/>
          <w:iCs/>
        </w:rPr>
        <w:t>մլն</w:t>
      </w:r>
      <w:r w:rsidRPr="00A83C94">
        <w:rPr>
          <w:rFonts w:eastAsia="GHEA Grapalat" w:cs="GHEA Grapalat"/>
          <w:b w:val="0"/>
          <w:bCs/>
          <w:iCs/>
          <w:lang w:val="af-ZA"/>
        </w:rPr>
        <w:t xml:space="preserve"> </w:t>
      </w:r>
      <w:r w:rsidRPr="00A83C94">
        <w:rPr>
          <w:rFonts w:eastAsia="GHEA Grapalat" w:cs="GHEA Grapalat"/>
          <w:b w:val="0"/>
          <w:bCs/>
          <w:iCs/>
          <w:lang w:val="hy-AM"/>
        </w:rPr>
        <w:t>դրամ</w:t>
      </w:r>
      <w:r w:rsidRPr="00A83C94">
        <w:rPr>
          <w:rFonts w:eastAsia="GHEA Grapalat" w:cs="GHEA Grapalat"/>
          <w:b w:val="0"/>
          <w:bCs/>
          <w:iCs/>
          <w:lang w:val="fr-FR"/>
        </w:rPr>
        <w:t xml:space="preserve">: </w:t>
      </w:r>
      <w:r w:rsidRPr="00A83C94">
        <w:rPr>
          <w:rFonts w:eastAsia="GHEA Grapalat" w:cs="GHEA Grapalat"/>
          <w:b w:val="0"/>
          <w:bCs/>
          <w:lang w:val="hy-AM"/>
        </w:rPr>
        <w:t>Ծրագրի</w:t>
      </w:r>
      <w:r w:rsidRPr="00A83C94">
        <w:rPr>
          <w:rFonts w:eastAsia="GHEA Grapalat" w:cs="GHEA Grapalat"/>
          <w:b w:val="0"/>
          <w:bCs/>
          <w:lang w:val="fr-FR"/>
        </w:rPr>
        <w:t xml:space="preserve"> </w:t>
      </w:r>
      <w:r w:rsidRPr="00A83C94">
        <w:rPr>
          <w:rFonts w:eastAsia="GHEA Grapalat" w:cs="GHEA Grapalat"/>
          <w:b w:val="0"/>
          <w:bCs/>
          <w:lang w:val="hy-AM"/>
        </w:rPr>
        <w:t>նպատակն</w:t>
      </w:r>
      <w:r w:rsidRPr="00A83C94">
        <w:rPr>
          <w:rFonts w:eastAsia="GHEA Grapalat" w:cs="GHEA Grapalat"/>
          <w:b w:val="0"/>
          <w:bCs/>
          <w:lang w:val="fr-FR"/>
        </w:rPr>
        <w:t xml:space="preserve"> </w:t>
      </w:r>
      <w:r w:rsidRPr="00A83C94">
        <w:rPr>
          <w:rFonts w:eastAsia="GHEA Grapalat" w:cs="GHEA Grapalat"/>
          <w:b w:val="0"/>
          <w:bCs/>
          <w:lang w:val="hy-AM"/>
        </w:rPr>
        <w:t>է</w:t>
      </w:r>
      <w:r w:rsidRPr="00A83C94">
        <w:rPr>
          <w:rFonts w:eastAsia="GHEA Grapalat" w:cs="GHEA Grapalat"/>
          <w:b w:val="0"/>
          <w:bCs/>
          <w:lang w:val="fr-FR"/>
        </w:rPr>
        <w:t xml:space="preserve"> </w:t>
      </w:r>
      <w:r w:rsidRPr="00A83C94">
        <w:rPr>
          <w:rFonts w:eastAsia="GHEA Grapalat" w:cs="GHEA Grapalat"/>
          <w:b w:val="0"/>
          <w:bCs/>
          <w:lang w:val="hy-AM"/>
        </w:rPr>
        <w:t>Սեյսմիկ</w:t>
      </w:r>
      <w:r w:rsidRPr="00A83C94">
        <w:rPr>
          <w:rFonts w:eastAsia="GHEA Grapalat" w:cs="GHEA Grapalat"/>
          <w:b w:val="0"/>
          <w:bCs/>
          <w:lang w:val="fr-FR"/>
        </w:rPr>
        <w:t xml:space="preserve"> </w:t>
      </w:r>
      <w:r w:rsidRPr="00A83C94">
        <w:rPr>
          <w:rFonts w:eastAsia="GHEA Grapalat" w:cs="GHEA Grapalat"/>
          <w:b w:val="0"/>
          <w:bCs/>
          <w:lang w:val="hy-AM"/>
        </w:rPr>
        <w:t>ռիսկերի</w:t>
      </w:r>
      <w:r w:rsidRPr="00A83C94">
        <w:rPr>
          <w:rFonts w:eastAsia="GHEA Grapalat" w:cs="GHEA Grapalat"/>
          <w:b w:val="0"/>
          <w:bCs/>
          <w:lang w:val="fr-FR"/>
        </w:rPr>
        <w:t xml:space="preserve"> </w:t>
      </w:r>
      <w:r w:rsidRPr="00A83C94">
        <w:rPr>
          <w:rFonts w:eastAsia="GHEA Grapalat" w:cs="GHEA Grapalat"/>
          <w:b w:val="0"/>
          <w:bCs/>
          <w:lang w:val="hy-AM"/>
        </w:rPr>
        <w:t>գնահատումը</w:t>
      </w:r>
      <w:r w:rsidRPr="00A83C94">
        <w:rPr>
          <w:rFonts w:eastAsia="GHEA Grapalat" w:cs="GHEA Grapalat"/>
          <w:b w:val="0"/>
          <w:bCs/>
          <w:lang w:val="fr-FR"/>
        </w:rPr>
        <w:t xml:space="preserve"> </w:t>
      </w:r>
      <w:r w:rsidRPr="00A83C94">
        <w:rPr>
          <w:rFonts w:eastAsia="GHEA Grapalat" w:cs="GHEA Grapalat"/>
          <w:b w:val="0"/>
          <w:bCs/>
          <w:lang w:val="hy-AM"/>
        </w:rPr>
        <w:t>և</w:t>
      </w:r>
      <w:r w:rsidRPr="00A83C94">
        <w:rPr>
          <w:rFonts w:eastAsia="GHEA Grapalat" w:cs="GHEA Grapalat"/>
          <w:b w:val="0"/>
          <w:bCs/>
          <w:lang w:val="fr-FR"/>
        </w:rPr>
        <w:t xml:space="preserve"> </w:t>
      </w:r>
      <w:r w:rsidRPr="00A83C94">
        <w:rPr>
          <w:rFonts w:eastAsia="GHEA Grapalat" w:cs="GHEA Grapalat"/>
          <w:b w:val="0"/>
          <w:bCs/>
          <w:lang w:val="hy-AM"/>
        </w:rPr>
        <w:t>նվազեցումը</w:t>
      </w:r>
      <w:r w:rsidRPr="00A83C94">
        <w:rPr>
          <w:rFonts w:eastAsia="GHEA Grapalat" w:cs="GHEA Grapalat"/>
          <w:b w:val="0"/>
          <w:bCs/>
          <w:lang w:val="fr-FR"/>
        </w:rPr>
        <w:t xml:space="preserve">: </w:t>
      </w:r>
      <w:r w:rsidRPr="00A83C94">
        <w:rPr>
          <w:rFonts w:eastAsia="GHEA Grapalat" w:cs="GHEA Grapalat"/>
          <w:b w:val="0"/>
          <w:bCs/>
          <w:lang w:val="hy-AM"/>
        </w:rPr>
        <w:t>Ծրագրի շրջանակներում</w:t>
      </w:r>
      <w:r w:rsidRPr="00A83C94">
        <w:rPr>
          <w:rFonts w:eastAsia="GHEA Grapalat" w:cs="GHEA Grapalat"/>
          <w:b w:val="0"/>
          <w:bCs/>
          <w:lang w:val="fr-FR"/>
        </w:rPr>
        <w:t xml:space="preserve"> </w:t>
      </w:r>
      <w:r w:rsidRPr="00A83C94">
        <w:rPr>
          <w:rFonts w:eastAsia="GHEA Grapalat" w:cs="GHEA Grapalat"/>
          <w:b w:val="0"/>
          <w:bCs/>
          <w:lang w:val="hy-AM"/>
        </w:rPr>
        <w:t>նախատեսվում</w:t>
      </w:r>
      <w:r w:rsidRPr="00A83C94">
        <w:rPr>
          <w:rFonts w:eastAsia="GHEA Grapalat" w:cs="GHEA Grapalat"/>
          <w:b w:val="0"/>
          <w:bCs/>
          <w:lang w:val="fr-FR"/>
        </w:rPr>
        <w:t xml:space="preserve"> է երկրաֆիզիկական, երկրադինամիկական և այլ դաշտերի մոնիտորինգի, սեյսմիկ վտանգի, այդ թվում ընթացիկ սեյսմիկ վտանգի, գնահատման 510 հազար դիտարկումներ, ընդհանուր նշանակության 90 օբյեկտների վերաբերյալ տվյալների հավաքման, թվային բազաների ստեղծման և դրանց սեյսմիկ խոցելիության գնահատման աշխատանքներ: </w:t>
      </w:r>
    </w:p>
    <w:p w14:paraId="7E526E88" w14:textId="52DA413F" w:rsidR="00B96733" w:rsidRPr="00A83C94" w:rsidRDefault="00B96733" w:rsidP="00B96733">
      <w:pPr>
        <w:spacing w:before="40" w:after="120" w:line="276" w:lineRule="auto"/>
        <w:ind w:left="1" w:firstLine="707"/>
        <w:rPr>
          <w:b w:val="0"/>
          <w:lang w:val="fr-FR"/>
        </w:rPr>
      </w:pPr>
      <w:r w:rsidRPr="00A83C94">
        <w:rPr>
          <w:rFonts w:cs="GHEA Grapalat"/>
          <w:szCs w:val="22"/>
          <w:lang w:val="fr-FR" w:eastAsia="en-US"/>
        </w:rPr>
        <w:t>Տեխնիկական անվտանգության կանոնակարգում</w:t>
      </w:r>
      <w:r w:rsidRPr="00A83C94">
        <w:rPr>
          <w:b w:val="0"/>
          <w:bCs/>
          <w:iCs/>
          <w:lang w:val="hy-AM"/>
        </w:rPr>
        <w:t xml:space="preserve"> ծրագրի գ</w:t>
      </w:r>
      <w:r w:rsidR="00A556C2">
        <w:rPr>
          <w:b w:val="0"/>
          <w:bCs/>
          <w:iCs/>
          <w:lang w:val="hy-AM"/>
        </w:rPr>
        <w:t>ծով 2022 թվականին նախատեսվել է 273</w:t>
      </w:r>
      <w:r w:rsidRPr="00A83C94">
        <w:rPr>
          <w:b w:val="0"/>
          <w:bCs/>
          <w:iCs/>
          <w:lang w:val="hy-AM"/>
        </w:rPr>
        <w:t>.4 մլն դրամ</w:t>
      </w:r>
      <w:r w:rsidRPr="00A83C94">
        <w:rPr>
          <w:b w:val="0"/>
          <w:bCs/>
          <w:iCs/>
          <w:lang w:val="fr-FR"/>
        </w:rPr>
        <w:t xml:space="preserve">: </w:t>
      </w:r>
      <w:r w:rsidRPr="00A83C94">
        <w:rPr>
          <w:b w:val="0"/>
          <w:lang w:val="hy-AM"/>
        </w:rPr>
        <w:t>Ծրագրի</w:t>
      </w:r>
      <w:r w:rsidRPr="00A83C94">
        <w:rPr>
          <w:b w:val="0"/>
          <w:lang w:val="fr-FR"/>
        </w:rPr>
        <w:t xml:space="preserve"> նպատակն է Հայաստանի Հանրապետության տարածքում տեխնածին վթարների կանխարգելումը, դրանց հետևանքների վերացումը, նման վթարների հետևանքով հասարակությանը և տնտեսությանը հասցվող վնասների ռիսկի նվազեցումը, ինչպես նաև բնակչության և շրջակա միջավայրի պաշտպանությունը: </w:t>
      </w:r>
    </w:p>
    <w:p w14:paraId="28A76BA8" w14:textId="03964F33" w:rsidR="00CE72A5" w:rsidRPr="00A83C94" w:rsidRDefault="00CE72A5" w:rsidP="00B96733">
      <w:pPr>
        <w:autoSpaceDE w:val="0"/>
        <w:autoSpaceDN w:val="0"/>
        <w:adjustRightInd w:val="0"/>
        <w:spacing w:before="0" w:line="276" w:lineRule="auto"/>
        <w:ind w:firstLine="720"/>
        <w:contextualSpacing w:val="0"/>
        <w:rPr>
          <w:b w:val="0"/>
          <w:szCs w:val="22"/>
          <w:lang w:val="fr-FR" w:eastAsia="en-US"/>
        </w:rPr>
      </w:pPr>
      <w:r w:rsidRPr="00A83C94">
        <w:rPr>
          <w:rFonts w:cs="GHEA Grapalat"/>
          <w:szCs w:val="22"/>
          <w:lang w:val="fr-FR" w:eastAsia="en-US"/>
        </w:rPr>
        <w:t>Արտակարգ</w:t>
      </w:r>
      <w:r w:rsidRPr="00A83C94">
        <w:rPr>
          <w:szCs w:val="22"/>
          <w:lang w:val="fr-FR" w:eastAsia="en-US"/>
        </w:rPr>
        <w:t xml:space="preserve"> </w:t>
      </w:r>
      <w:r w:rsidRPr="00A83C94">
        <w:rPr>
          <w:rFonts w:cs="GHEA Grapalat"/>
          <w:szCs w:val="22"/>
          <w:lang w:val="fr-FR" w:eastAsia="en-US"/>
        </w:rPr>
        <w:t>իրավիճակների</w:t>
      </w:r>
      <w:r w:rsidRPr="00A83C94">
        <w:rPr>
          <w:szCs w:val="22"/>
          <w:lang w:val="fr-FR" w:eastAsia="en-US"/>
        </w:rPr>
        <w:t xml:space="preserve"> </w:t>
      </w:r>
      <w:r w:rsidRPr="00A83C94">
        <w:rPr>
          <w:rFonts w:cs="GHEA Grapalat"/>
          <w:szCs w:val="22"/>
          <w:lang w:val="fr-FR" w:eastAsia="en-US"/>
        </w:rPr>
        <w:t>արձագանքման</w:t>
      </w:r>
      <w:r w:rsidRPr="00A83C94">
        <w:rPr>
          <w:szCs w:val="22"/>
          <w:lang w:val="fr-FR" w:eastAsia="en-US"/>
        </w:rPr>
        <w:t xml:space="preserve"> </w:t>
      </w:r>
      <w:r w:rsidRPr="00A83C94">
        <w:rPr>
          <w:rFonts w:cs="GHEA Grapalat"/>
          <w:szCs w:val="22"/>
          <w:lang w:val="fr-FR" w:eastAsia="en-US"/>
        </w:rPr>
        <w:t>կարողությունների</w:t>
      </w:r>
      <w:r w:rsidRPr="00A83C94">
        <w:rPr>
          <w:szCs w:val="22"/>
          <w:lang w:val="fr-FR" w:eastAsia="en-US"/>
        </w:rPr>
        <w:t xml:space="preserve"> </w:t>
      </w:r>
      <w:r w:rsidR="008A1520" w:rsidRPr="00A83C94">
        <w:rPr>
          <w:rFonts w:cs="GHEA Grapalat"/>
          <w:szCs w:val="22"/>
          <w:lang w:val="fr-FR" w:eastAsia="en-US"/>
        </w:rPr>
        <w:t>զարգացում</w:t>
      </w:r>
      <w:r w:rsidR="002E424C" w:rsidRPr="00A83C94">
        <w:rPr>
          <w:rFonts w:cs="GHEA Grapalat"/>
          <w:szCs w:val="22"/>
          <w:lang w:val="hy-AM" w:eastAsia="en-US"/>
        </w:rPr>
        <w:t xml:space="preserve"> </w:t>
      </w:r>
      <w:r w:rsidR="008A1520" w:rsidRPr="00A83C94">
        <w:rPr>
          <w:b w:val="0"/>
          <w:szCs w:val="22"/>
          <w:lang w:val="fr-FR" w:eastAsia="en-US"/>
        </w:rPr>
        <w:t xml:space="preserve"> </w:t>
      </w:r>
      <w:r w:rsidR="002E424C" w:rsidRPr="00A83C94">
        <w:rPr>
          <w:b w:val="0"/>
          <w:szCs w:val="22"/>
          <w:lang w:val="fr-FR" w:eastAsia="en-US"/>
        </w:rPr>
        <w:t xml:space="preserve">ծրագրի նպատակն </w:t>
      </w:r>
      <w:r w:rsidRPr="00A83C94">
        <w:rPr>
          <w:rFonts w:cs="GHEA Grapalat"/>
          <w:b w:val="0"/>
          <w:szCs w:val="22"/>
          <w:lang w:val="fr-FR" w:eastAsia="en-US"/>
        </w:rPr>
        <w:t>է</w:t>
      </w:r>
      <w:r w:rsidRPr="00A83C94">
        <w:rPr>
          <w:b w:val="0"/>
          <w:szCs w:val="22"/>
          <w:lang w:val="fr-FR" w:eastAsia="en-US"/>
        </w:rPr>
        <w:t xml:space="preserve"> </w:t>
      </w:r>
      <w:r w:rsidRPr="00A83C94">
        <w:rPr>
          <w:rFonts w:cs="GHEA Grapalat"/>
          <w:b w:val="0"/>
          <w:szCs w:val="22"/>
          <w:lang w:val="fr-FR" w:eastAsia="en-US"/>
        </w:rPr>
        <w:t>արտակարգ</w:t>
      </w:r>
      <w:r w:rsidRPr="00A83C94">
        <w:rPr>
          <w:b w:val="0"/>
          <w:szCs w:val="22"/>
          <w:lang w:val="fr-FR" w:eastAsia="en-US"/>
        </w:rPr>
        <w:t xml:space="preserve"> </w:t>
      </w:r>
      <w:r w:rsidRPr="00A83C94">
        <w:rPr>
          <w:rFonts w:cs="GHEA Grapalat"/>
          <w:b w:val="0"/>
          <w:szCs w:val="22"/>
          <w:lang w:val="fr-FR" w:eastAsia="en-US"/>
        </w:rPr>
        <w:t>իրավիճակների</w:t>
      </w:r>
      <w:r w:rsidRPr="00A83C94">
        <w:rPr>
          <w:b w:val="0"/>
          <w:szCs w:val="22"/>
          <w:lang w:val="fr-FR" w:eastAsia="en-US"/>
        </w:rPr>
        <w:t xml:space="preserve"> </w:t>
      </w:r>
      <w:r w:rsidRPr="00A83C94">
        <w:rPr>
          <w:rFonts w:cs="GHEA Grapalat"/>
          <w:b w:val="0"/>
          <w:szCs w:val="22"/>
          <w:lang w:val="fr-FR" w:eastAsia="en-US"/>
        </w:rPr>
        <w:t>և</w:t>
      </w:r>
      <w:r w:rsidRPr="00A83C94">
        <w:rPr>
          <w:b w:val="0"/>
          <w:szCs w:val="22"/>
          <w:lang w:val="fr-FR" w:eastAsia="en-US"/>
        </w:rPr>
        <w:t xml:space="preserve"> </w:t>
      </w:r>
      <w:r w:rsidRPr="00A83C94">
        <w:rPr>
          <w:rFonts w:cs="GHEA Grapalat"/>
          <w:b w:val="0"/>
          <w:szCs w:val="22"/>
          <w:lang w:val="fr-FR" w:eastAsia="en-US"/>
        </w:rPr>
        <w:t>ճգնաժամային</w:t>
      </w:r>
      <w:r w:rsidRPr="00A83C94">
        <w:rPr>
          <w:b w:val="0"/>
          <w:szCs w:val="22"/>
          <w:lang w:val="fr-FR" w:eastAsia="en-US"/>
        </w:rPr>
        <w:t xml:space="preserve"> </w:t>
      </w:r>
      <w:r w:rsidRPr="00A83C94">
        <w:rPr>
          <w:rFonts w:cs="GHEA Grapalat"/>
          <w:b w:val="0"/>
          <w:szCs w:val="22"/>
          <w:lang w:val="fr-FR" w:eastAsia="en-US"/>
        </w:rPr>
        <w:t>կառավարման</w:t>
      </w:r>
      <w:r w:rsidRPr="00A83C94">
        <w:rPr>
          <w:b w:val="0"/>
          <w:szCs w:val="22"/>
          <w:lang w:val="fr-FR" w:eastAsia="en-US"/>
        </w:rPr>
        <w:t xml:space="preserve"> </w:t>
      </w:r>
      <w:r w:rsidRPr="00A83C94">
        <w:rPr>
          <w:rFonts w:cs="GHEA Grapalat"/>
          <w:b w:val="0"/>
          <w:szCs w:val="22"/>
          <w:lang w:val="fr-FR" w:eastAsia="en-US"/>
        </w:rPr>
        <w:t>կարողությունների</w:t>
      </w:r>
      <w:r w:rsidRPr="00A83C94">
        <w:rPr>
          <w:b w:val="0"/>
          <w:szCs w:val="22"/>
          <w:lang w:val="fr-FR" w:eastAsia="en-US"/>
        </w:rPr>
        <w:t xml:space="preserve"> </w:t>
      </w:r>
      <w:r w:rsidRPr="00A83C94">
        <w:rPr>
          <w:rFonts w:cs="GHEA Grapalat"/>
          <w:b w:val="0"/>
          <w:szCs w:val="22"/>
          <w:lang w:val="fr-FR" w:eastAsia="en-US"/>
        </w:rPr>
        <w:t>զարգացումը</w:t>
      </w:r>
      <w:r w:rsidRPr="00A83C94">
        <w:rPr>
          <w:b w:val="0"/>
          <w:szCs w:val="22"/>
          <w:lang w:val="fr-FR" w:eastAsia="en-US"/>
        </w:rPr>
        <w:t xml:space="preserve"> </w:t>
      </w:r>
      <w:r w:rsidRPr="00A83C94">
        <w:rPr>
          <w:rFonts w:cs="GHEA Grapalat"/>
          <w:b w:val="0"/>
          <w:szCs w:val="22"/>
          <w:lang w:val="fr-FR" w:eastAsia="en-US"/>
        </w:rPr>
        <w:t>պետական</w:t>
      </w:r>
      <w:r w:rsidRPr="00A83C94">
        <w:rPr>
          <w:b w:val="0"/>
          <w:szCs w:val="22"/>
          <w:lang w:val="fr-FR" w:eastAsia="en-US"/>
        </w:rPr>
        <w:t xml:space="preserve"> </w:t>
      </w:r>
      <w:r w:rsidRPr="00A83C94">
        <w:rPr>
          <w:rFonts w:cs="GHEA Grapalat"/>
          <w:b w:val="0"/>
          <w:szCs w:val="22"/>
          <w:lang w:val="fr-FR" w:eastAsia="en-US"/>
        </w:rPr>
        <w:t>կառավարման</w:t>
      </w:r>
      <w:r w:rsidRPr="00A83C94">
        <w:rPr>
          <w:b w:val="0"/>
          <w:szCs w:val="22"/>
          <w:lang w:val="fr-FR" w:eastAsia="en-US"/>
        </w:rPr>
        <w:t xml:space="preserve">, </w:t>
      </w:r>
      <w:r w:rsidRPr="00A83C94">
        <w:rPr>
          <w:rFonts w:cs="GHEA Grapalat"/>
          <w:b w:val="0"/>
          <w:szCs w:val="22"/>
          <w:lang w:val="fr-FR" w:eastAsia="en-US"/>
        </w:rPr>
        <w:t>տեղակա</w:t>
      </w:r>
      <w:r w:rsidRPr="00A83C94">
        <w:rPr>
          <w:b w:val="0"/>
          <w:szCs w:val="22"/>
          <w:lang w:val="fr-FR" w:eastAsia="en-US"/>
        </w:rPr>
        <w:t>ն ինքնակառավարման մարմինների և կազմակերպությունների ղեկավարների, մասնագետների համար ուսուցման կազմակերպումը: Ճգնաժամային կառավարման պետական ակադեմիայի հիմնական խնդիրն է զարգացնել ակադեմիայի հնարավորությունները` դարձնելով այն արտակարգ իրավիճակների և քաղաքացիական պաշտպանության մասնագետների պատրաստման ու վերապատրաստման կենտրոն: 2022թ. նախատեսվում է հատկացնել 114.8մլն դրամ: 2021թ հաստատված բյուջեն կազմել է 122.5 մլն. դրամ:</w:t>
      </w:r>
    </w:p>
    <w:p w14:paraId="4DAF80E6" w14:textId="72D4A0FE" w:rsidR="00420245" w:rsidRPr="00A83C94" w:rsidRDefault="00CE72A5" w:rsidP="002E424C">
      <w:pPr>
        <w:autoSpaceDE w:val="0"/>
        <w:autoSpaceDN w:val="0"/>
        <w:adjustRightInd w:val="0"/>
        <w:spacing w:before="0" w:line="276" w:lineRule="auto"/>
        <w:ind w:firstLine="720"/>
        <w:contextualSpacing w:val="0"/>
        <w:rPr>
          <w:b w:val="0"/>
          <w:szCs w:val="22"/>
          <w:lang w:val="fr-FR" w:eastAsia="en-US"/>
        </w:rPr>
      </w:pPr>
      <w:r w:rsidRPr="00A83C94">
        <w:rPr>
          <w:szCs w:val="22"/>
          <w:lang w:val="fr-FR" w:eastAsia="en-US"/>
        </w:rPr>
        <w:t>Ռազմավարական նշանակությ</w:t>
      </w:r>
      <w:r w:rsidR="008A1520" w:rsidRPr="00A83C94">
        <w:rPr>
          <w:szCs w:val="22"/>
          <w:lang w:val="fr-FR" w:eastAsia="en-US"/>
        </w:rPr>
        <w:t>ան պաշարների կառավարում</w:t>
      </w:r>
      <w:r w:rsidR="008A1520" w:rsidRPr="00A83C94">
        <w:rPr>
          <w:b w:val="0"/>
          <w:szCs w:val="22"/>
          <w:lang w:val="fr-FR" w:eastAsia="en-US"/>
        </w:rPr>
        <w:t xml:space="preserve"> </w:t>
      </w:r>
      <w:r w:rsidR="002E424C" w:rsidRPr="00A83C94">
        <w:rPr>
          <w:b w:val="0"/>
          <w:szCs w:val="22"/>
          <w:lang w:val="fr-FR" w:eastAsia="en-US"/>
        </w:rPr>
        <w:t xml:space="preserve">ծրագրի նպատակն </w:t>
      </w:r>
      <w:r w:rsidRPr="00A83C94">
        <w:rPr>
          <w:b w:val="0"/>
          <w:szCs w:val="22"/>
          <w:lang w:val="fr-FR" w:eastAsia="en-US"/>
        </w:rPr>
        <w:t>է արտակարգ իրավիճակներում ռազմավարական նշանակության պաշարներով ապահովումը: Վերջինիս արդյունավետ իրագործման նպատակով անհրաժեշտ է ներդնել կառավարման ճկուն մեխանիզմներ և ապահովել դրանց պարբերական կատարելագործումը՝ արդի մարտահրավերներին համահունչ: 2022թ. նախատեսվում է հատկացնել 29.9 մլն դրամ` ՀՀ 2021 թվականի հաստատված բյուջեից (31.9 մլն դրամ) 2.0 մլն դրամով պակաս:</w:t>
      </w:r>
    </w:p>
    <w:p w14:paraId="31A26D6A" w14:textId="77777777" w:rsidR="008A1520" w:rsidRPr="00A83C94" w:rsidRDefault="008A1520" w:rsidP="007C65A5">
      <w:pPr>
        <w:autoSpaceDE w:val="0"/>
        <w:autoSpaceDN w:val="0"/>
        <w:adjustRightInd w:val="0"/>
        <w:spacing w:before="0" w:line="276" w:lineRule="auto"/>
        <w:ind w:firstLine="0"/>
        <w:contextualSpacing w:val="0"/>
        <w:rPr>
          <w:b w:val="0"/>
          <w:szCs w:val="22"/>
          <w:lang w:val="fr-FR" w:eastAsia="en-US"/>
        </w:rPr>
      </w:pPr>
    </w:p>
    <w:p w14:paraId="60F0DD28" w14:textId="77777777" w:rsidR="009F4194" w:rsidRPr="00A83C94" w:rsidRDefault="009F4194" w:rsidP="00427D1F">
      <w:pPr>
        <w:keepNext/>
        <w:spacing w:before="0" w:line="276" w:lineRule="auto"/>
        <w:ind w:firstLine="0"/>
        <w:contextualSpacing w:val="0"/>
        <w:jc w:val="center"/>
        <w:outlineLvl w:val="2"/>
        <w:rPr>
          <w:rFonts w:cs="Arial"/>
          <w:sz w:val="24"/>
          <w:lang w:val="hy-AM" w:eastAsia="en-US"/>
        </w:rPr>
      </w:pPr>
      <w:bookmarkStart w:id="317" w:name="_Toc89428322"/>
      <w:r w:rsidRPr="00A83C94">
        <w:rPr>
          <w:rFonts w:cs="Arial"/>
          <w:sz w:val="24"/>
          <w:lang w:val="hy-AM" w:eastAsia="en-US"/>
        </w:rPr>
        <w:t>ՀՀ արդարադատության նախարարությ</w:t>
      </w:r>
      <w:r w:rsidR="00823D17" w:rsidRPr="00A83C94">
        <w:rPr>
          <w:rFonts w:cs="Arial"/>
          <w:sz w:val="24"/>
          <w:lang w:val="hy-AM" w:eastAsia="en-US"/>
        </w:rPr>
        <w:t>ուն</w:t>
      </w:r>
      <w:bookmarkEnd w:id="317"/>
    </w:p>
    <w:p w14:paraId="436AF860" w14:textId="37D8F012" w:rsidR="00DE0457" w:rsidRPr="00A83C94" w:rsidRDefault="00DE0457" w:rsidP="00DE0457">
      <w:pPr>
        <w:spacing w:before="480" w:line="276" w:lineRule="auto"/>
        <w:ind w:firstLine="426"/>
        <w:rPr>
          <w:rFonts w:cs="Sylfaen"/>
          <w:b w:val="0"/>
          <w:szCs w:val="22"/>
          <w:lang w:val="fr-FR"/>
        </w:rPr>
      </w:pPr>
      <w:r w:rsidRPr="00A83C94">
        <w:rPr>
          <w:rFonts w:cs="Sylfaen"/>
          <w:b w:val="0"/>
          <w:szCs w:val="22"/>
          <w:lang w:val="fr-FR"/>
        </w:rPr>
        <w:t xml:space="preserve">Հայաստանի Հանրապետության արդարադատության ոլորտի քաղաքականության իրականացման նպատակով 2022 թվականի պետական բյուջեի նախագծով  նախատեսվել է </w:t>
      </w:r>
      <w:r w:rsidR="00DA7C3D" w:rsidRPr="00A83C94">
        <w:rPr>
          <w:rFonts w:cs="Sylfaen"/>
          <w:b w:val="0"/>
          <w:szCs w:val="22"/>
          <w:lang w:val="fr-FR"/>
        </w:rPr>
        <w:t>23,2</w:t>
      </w:r>
      <w:r w:rsidR="008152DD">
        <w:rPr>
          <w:rFonts w:cs="Sylfaen"/>
          <w:b w:val="0"/>
          <w:szCs w:val="22"/>
          <w:lang w:val="fr-FR"/>
        </w:rPr>
        <w:t>38.2</w:t>
      </w:r>
      <w:r w:rsidRPr="00A83C94">
        <w:rPr>
          <w:rFonts w:cs="Sylfaen"/>
          <w:b w:val="0"/>
          <w:szCs w:val="22"/>
          <w:lang w:val="fr-FR"/>
        </w:rPr>
        <w:t xml:space="preserve"> մլ</w:t>
      </w:r>
      <w:r w:rsidR="00DA7C3D" w:rsidRPr="00A83C94">
        <w:rPr>
          <w:rFonts w:cs="Sylfaen"/>
          <w:b w:val="0"/>
          <w:szCs w:val="22"/>
          <w:lang w:val="fr-FR"/>
        </w:rPr>
        <w:t>ն</w:t>
      </w:r>
      <w:r w:rsidRPr="00A83C94">
        <w:rPr>
          <w:rFonts w:cs="Sylfaen"/>
          <w:b w:val="0"/>
          <w:szCs w:val="22"/>
          <w:lang w:val="fr-FR"/>
        </w:rPr>
        <w:t xml:space="preserve"> դրամ</w:t>
      </w:r>
      <w:r w:rsidR="00DA7C3D" w:rsidRPr="00A83C94">
        <w:rPr>
          <w:rFonts w:cs="Sylfaen"/>
          <w:b w:val="0"/>
          <w:szCs w:val="22"/>
          <w:lang w:val="fr-FR"/>
        </w:rPr>
        <w:t xml:space="preserve"> </w:t>
      </w:r>
      <w:r w:rsidR="00DA7C3D" w:rsidRPr="00A83C94">
        <w:rPr>
          <w:rFonts w:cs="Sylfaen"/>
          <w:b w:val="0"/>
          <w:color w:val="000000" w:themeColor="text1"/>
          <w:lang w:val="af-ZA"/>
        </w:rPr>
        <w:t>(</w:t>
      </w:r>
      <w:r w:rsidR="00DA7C3D" w:rsidRPr="00A83C94">
        <w:rPr>
          <w:rFonts w:cs="Sylfaen"/>
          <w:b w:val="0"/>
          <w:color w:val="000000" w:themeColor="text1"/>
          <w:lang w:val="hy-AM"/>
        </w:rPr>
        <w:t>ներառյալ կառավարման</w:t>
      </w:r>
      <w:r w:rsidR="00DA7C3D" w:rsidRPr="00A83C94">
        <w:rPr>
          <w:rFonts w:cs="Sylfaen"/>
          <w:b w:val="0"/>
          <w:color w:val="000000" w:themeColor="text1"/>
          <w:lang w:val="af-ZA"/>
        </w:rPr>
        <w:t xml:space="preserve"> </w:t>
      </w:r>
      <w:r w:rsidR="00DA7C3D" w:rsidRPr="00A83C94">
        <w:rPr>
          <w:rFonts w:cs="Sylfaen"/>
          <w:b w:val="0"/>
          <w:color w:val="000000" w:themeColor="text1"/>
          <w:lang w:val="hy-AM"/>
        </w:rPr>
        <w:t>ապարատի պահպանման ծախսերը</w:t>
      </w:r>
      <w:r w:rsidR="00DA7C3D" w:rsidRPr="00A83C94">
        <w:rPr>
          <w:rFonts w:cs="Sylfaen"/>
          <w:b w:val="0"/>
          <w:color w:val="000000" w:themeColor="text1"/>
          <w:lang w:val="af-ZA"/>
        </w:rPr>
        <w:t>)</w:t>
      </w:r>
      <w:r w:rsidRPr="00A83C94">
        <w:rPr>
          <w:rFonts w:cs="GHEA Grapalat"/>
          <w:b w:val="0"/>
          <w:szCs w:val="22"/>
          <w:lang w:val="fr-FR"/>
        </w:rPr>
        <w:t>։</w:t>
      </w:r>
    </w:p>
    <w:p w14:paraId="79C74FB1" w14:textId="2A550ACC" w:rsidR="00DE0457" w:rsidRPr="00A83C94" w:rsidRDefault="00DE0457" w:rsidP="00DE0457">
      <w:pPr>
        <w:spacing w:line="276" w:lineRule="auto"/>
        <w:ind w:firstLine="426"/>
        <w:rPr>
          <w:rFonts w:cs="Sylfaen"/>
          <w:b w:val="0"/>
          <w:szCs w:val="22"/>
          <w:lang w:val="hy-AM"/>
        </w:rPr>
      </w:pPr>
      <w:r w:rsidRPr="00A83C94">
        <w:rPr>
          <w:rFonts w:cs="Sylfaen"/>
          <w:b w:val="0"/>
          <w:szCs w:val="22"/>
          <w:lang w:val="fr-FR"/>
        </w:rPr>
        <w:t xml:space="preserve">2022 թվականի ընթացքում նախատեսվում է իրականացնել ՀՀ դատական և իրավական բարեփոխումների 2019-2023 թվականների ռազմավարությունից բխող 2021-2023 թվականների գործողությունների ծրագրով </w:t>
      </w:r>
      <w:r w:rsidRPr="00A83C94">
        <w:rPr>
          <w:rFonts w:cs="Sylfaen"/>
          <w:b w:val="0"/>
          <w:szCs w:val="22"/>
          <w:lang w:val="hy-AM"/>
        </w:rPr>
        <w:t xml:space="preserve">և </w:t>
      </w:r>
      <w:r w:rsidRPr="00A83C94">
        <w:rPr>
          <w:rFonts w:cs="Sylfaen"/>
          <w:b w:val="0"/>
          <w:szCs w:val="22"/>
          <w:lang w:val="fr-FR"/>
        </w:rPr>
        <w:t xml:space="preserve">Հայաստանի Հանրապետության հակակոռուպցիոն ռազմավարության և դրա իրականացման 2019-2022 թվականների սահմանված միջոցառումները: </w:t>
      </w:r>
      <w:r w:rsidRPr="00A83C94">
        <w:rPr>
          <w:rFonts w:cs="Sylfaen"/>
          <w:b w:val="0"/>
          <w:szCs w:val="22"/>
          <w:lang w:val="hy-AM"/>
        </w:rPr>
        <w:t>Մասնավորապես, նախատեսվում է ապահովել ռազմավարություններից բխող 340 իրավական ակտերի նախագծերի մշակում, 4800 պետական փորձագիտական եզրակացությունների, կարծիքների, դիրքորոշումների տրամադրում։ Արդյունքում 2022 թվականին նախատեսվում է իրականացնել դատաիրավական բարեփոխումներին ուղղված միջոցառումների շուրջ 20 և կոռուպցիայի դեմ պայքարի ռազմավարությունից բխող միջոցառումների 70 տոկոսը։</w:t>
      </w:r>
    </w:p>
    <w:p w14:paraId="6E492AD1" w14:textId="77777777" w:rsidR="00DE0457" w:rsidRPr="00A83C94" w:rsidRDefault="00DE0457" w:rsidP="00DE0457">
      <w:pPr>
        <w:spacing w:line="276" w:lineRule="auto"/>
        <w:ind w:firstLine="426"/>
        <w:rPr>
          <w:rFonts w:cs="Sylfaen"/>
          <w:b w:val="0"/>
          <w:szCs w:val="22"/>
          <w:lang w:val="fr-FR"/>
        </w:rPr>
      </w:pPr>
      <w:r w:rsidRPr="00A83C94">
        <w:rPr>
          <w:rFonts w:cs="Sylfaen"/>
          <w:b w:val="0"/>
          <w:szCs w:val="22"/>
          <w:lang w:val="fr-FR"/>
        </w:rPr>
        <w:t>Նախատեսվում է իրավաբանական անձանց պետական գրանցման գործընթացի արդյունավետության բարձրացմանն ուղղված շարունակական աշխատանքների իրականացում</w:t>
      </w:r>
      <w:r w:rsidRPr="00A83C94">
        <w:rPr>
          <w:rFonts w:cs="Sylfaen"/>
          <w:b w:val="0"/>
          <w:szCs w:val="22"/>
          <w:lang w:val="hy-AM"/>
        </w:rPr>
        <w:t xml:space="preserve"> և պետական ռեգիստրում գրանցման ենթակա 45000 սուբյեկտների  և նրանց առանձնացված ստորաբաժանումների պետական գրանցում և հաշվառում։ </w:t>
      </w:r>
    </w:p>
    <w:p w14:paraId="73E3EB73" w14:textId="6FD9545A" w:rsidR="00DE0457" w:rsidRPr="00A83C94" w:rsidRDefault="00DE0457" w:rsidP="00DE0457">
      <w:pPr>
        <w:spacing w:line="276" w:lineRule="auto"/>
        <w:ind w:firstLine="426"/>
        <w:rPr>
          <w:rFonts w:cs="Sylfaen"/>
          <w:b w:val="0"/>
          <w:szCs w:val="22"/>
          <w:lang w:val="fr-FR"/>
        </w:rPr>
      </w:pPr>
      <w:r w:rsidRPr="00A83C94">
        <w:rPr>
          <w:rFonts w:cs="Sylfaen"/>
          <w:b w:val="0"/>
          <w:szCs w:val="22"/>
          <w:lang w:val="fr-FR"/>
        </w:rPr>
        <w:t>Նախատեսվում է ապահովել անձնական տվյալների պաշտպանության ավելի բարձր մակարդակ, մասնավորապես՝ համապատասխանեցնել անձնական տվյալների պաշտպանության լիազոր մարմնի կարգավիճակն օրենքով սահմանված և միջազգային չափանիշներին՝ ապահովելով նաև մարդկային ռեսուրսների, մասնագիտական, նյութական և տեխնիկական կարողությունների զարգացում</w:t>
      </w:r>
      <w:r w:rsidRPr="00A83C94">
        <w:rPr>
          <w:rFonts w:cs="Sylfaen"/>
          <w:b w:val="0"/>
          <w:szCs w:val="22"/>
          <w:lang w:val="hy-AM"/>
        </w:rPr>
        <w:t>։ Ա</w:t>
      </w:r>
      <w:r w:rsidRPr="00A83C94">
        <w:rPr>
          <w:rFonts w:cs="Sylfaen"/>
          <w:b w:val="0"/>
          <w:szCs w:val="22"/>
          <w:lang w:val="fr-FR"/>
        </w:rPr>
        <w:t>նձնական տվյալների պաշտպանության</w:t>
      </w:r>
      <w:r w:rsidR="008A40E7" w:rsidRPr="00A83C94">
        <w:rPr>
          <w:rFonts w:cs="Sylfaen"/>
          <w:b w:val="0"/>
          <w:szCs w:val="22"/>
          <w:lang w:val="hy-AM"/>
        </w:rPr>
        <w:t xml:space="preserve"> </w:t>
      </w:r>
      <w:r w:rsidRPr="00A83C94">
        <w:rPr>
          <w:rFonts w:cs="Sylfaen"/>
          <w:b w:val="0"/>
          <w:szCs w:val="22"/>
          <w:lang w:val="hy-AM"/>
        </w:rPr>
        <w:t>նպատակով հ</w:t>
      </w:r>
      <w:r w:rsidRPr="00A83C94">
        <w:rPr>
          <w:rFonts w:cs="Sylfaen"/>
          <w:b w:val="0"/>
          <w:szCs w:val="22"/>
          <w:lang w:val="fr-FR"/>
        </w:rPr>
        <w:t>ասարակության իրազեկվածությ</w:t>
      </w:r>
      <w:r w:rsidRPr="00A83C94">
        <w:rPr>
          <w:rFonts w:cs="Sylfaen"/>
          <w:b w:val="0"/>
          <w:szCs w:val="22"/>
          <w:lang w:val="hy-AM"/>
        </w:rPr>
        <w:t>ա</w:t>
      </w:r>
      <w:r w:rsidRPr="00A83C94">
        <w:rPr>
          <w:rFonts w:cs="Sylfaen"/>
          <w:b w:val="0"/>
          <w:szCs w:val="22"/>
          <w:lang w:val="fr-FR"/>
        </w:rPr>
        <w:t>ն</w:t>
      </w:r>
      <w:r w:rsidRPr="00A83C94">
        <w:rPr>
          <w:rFonts w:cs="Sylfaen"/>
          <w:b w:val="0"/>
          <w:szCs w:val="22"/>
          <w:lang w:val="hy-AM"/>
        </w:rPr>
        <w:t xml:space="preserve"> նպատակով 2022 թվականին նախատեսվում է տրամադրել 220 խորհրդատվություն։</w:t>
      </w:r>
      <w:r w:rsidRPr="00A83C94">
        <w:rPr>
          <w:rFonts w:cs="Sylfaen"/>
          <w:b w:val="0"/>
          <w:szCs w:val="22"/>
          <w:lang w:val="fr-FR"/>
        </w:rPr>
        <w:tab/>
      </w:r>
    </w:p>
    <w:p w14:paraId="07FC74F6" w14:textId="2BD2CF8E" w:rsidR="00DE0457" w:rsidRPr="00A83C94" w:rsidRDefault="00DE0457" w:rsidP="00DE0457">
      <w:pPr>
        <w:spacing w:line="276" w:lineRule="auto"/>
        <w:ind w:firstLine="426"/>
        <w:rPr>
          <w:rFonts w:cs="Sylfaen"/>
          <w:b w:val="0"/>
          <w:szCs w:val="22"/>
          <w:lang w:val="fr-FR"/>
        </w:rPr>
      </w:pPr>
      <w:r w:rsidRPr="00A83C94">
        <w:rPr>
          <w:rFonts w:cs="Sylfaen"/>
          <w:szCs w:val="22"/>
          <w:lang w:val="fr-FR"/>
        </w:rPr>
        <w:t>Քաղաքացիական կացության ակտերի գրանցում</w:t>
      </w:r>
      <w:r w:rsidRPr="00A83C94">
        <w:rPr>
          <w:rFonts w:cs="Sylfaen"/>
          <w:b w:val="0"/>
          <w:szCs w:val="22"/>
          <w:lang w:val="fr-FR"/>
        </w:rPr>
        <w:t xml:space="preserve"> ծրագրի գծով 2022 թվականին նախատեսվում է շարունակել նվազեցնել ոլորտում առկա վարչարարությունը` </w:t>
      </w:r>
      <w:r w:rsidRPr="00A83C94">
        <w:rPr>
          <w:rFonts w:cs="Sylfaen"/>
          <w:b w:val="0"/>
          <w:szCs w:val="22"/>
          <w:lang w:val="hy-AM"/>
        </w:rPr>
        <w:t xml:space="preserve">ապահովելով շուրջ 117000 գրանցումներ, վկայակնների կրկնօրինակների, տեղեկանքների տրամադրում, մատուցվող ծառայությունների ավտոմատացման 100 տոկոս, մատուցվող ծառայությունների դիմաց ներկայացված բողոքների կրճատում՝ մինչև 5 տոկոս։ </w:t>
      </w:r>
      <w:r w:rsidRPr="00A83C94">
        <w:rPr>
          <w:rFonts w:cs="Sylfaen"/>
          <w:b w:val="0"/>
          <w:szCs w:val="22"/>
          <w:lang w:val="fr-FR"/>
        </w:rPr>
        <w:t>Մինչև 2023 թվականը նախատեսվում է հիմնադրել ևս 3 միասնական գրսենյակներ Վանաձոր, Արմավիր, Աբովյան քաղաքաներում՝ հիմք ընդունելով արդեն իսկ ձևավորված փորձը և գործող միասնական գրասենյակների կողմից մատուցվող ծառայությունների կապակցությամբ հավաքագրված դրական կարծիքները:</w:t>
      </w:r>
    </w:p>
    <w:p w14:paraId="7B1FBD88" w14:textId="2C01F87B" w:rsidR="00DE0457" w:rsidRPr="00A83C94" w:rsidRDefault="00DE0457" w:rsidP="00DE0457">
      <w:pPr>
        <w:spacing w:line="276" w:lineRule="auto"/>
        <w:ind w:firstLine="426"/>
        <w:rPr>
          <w:rFonts w:cs="Sylfaen"/>
          <w:b w:val="0"/>
          <w:szCs w:val="22"/>
          <w:lang w:val="hy-AM"/>
        </w:rPr>
      </w:pPr>
      <w:r w:rsidRPr="00A83C94">
        <w:rPr>
          <w:rFonts w:cs="Sylfaen"/>
          <w:szCs w:val="22"/>
          <w:lang w:val="fr-FR"/>
        </w:rPr>
        <w:t>Դատական և հանրային պաշտպանություն</w:t>
      </w:r>
      <w:r w:rsidRPr="00A83C94">
        <w:rPr>
          <w:rFonts w:cs="Sylfaen"/>
          <w:i/>
          <w:szCs w:val="22"/>
          <w:lang w:val="fr-FR"/>
        </w:rPr>
        <w:t xml:space="preserve"> </w:t>
      </w:r>
      <w:r w:rsidRPr="00A83C94">
        <w:rPr>
          <w:rFonts w:cs="Sylfaen"/>
          <w:b w:val="0"/>
          <w:szCs w:val="22"/>
          <w:lang w:val="fr-FR"/>
        </w:rPr>
        <w:t xml:space="preserve">ծրագրի գծով միջոցներն, ինչպես և նախկինում, ուղղվելու են իրավունքի պաշտպանության հասանելիության և օբյեկտիվության ապահովմանը: Ծրագրի գծով 2022 թվականին </w:t>
      </w:r>
      <w:r w:rsidRPr="00B52402">
        <w:rPr>
          <w:rFonts w:cs="Sylfaen"/>
          <w:b w:val="0"/>
          <w:szCs w:val="22"/>
          <w:lang w:val="hy-AM"/>
        </w:rPr>
        <w:t xml:space="preserve">նախատեսվել է </w:t>
      </w:r>
      <w:r w:rsidR="00B52402" w:rsidRPr="00B52402">
        <w:rPr>
          <w:rFonts w:cs="Sylfaen"/>
          <w:b w:val="0"/>
          <w:szCs w:val="22"/>
          <w:lang w:val="hy-AM"/>
        </w:rPr>
        <w:t>1,02</w:t>
      </w:r>
      <w:r w:rsidR="0080249D">
        <w:rPr>
          <w:rFonts w:cs="Sylfaen"/>
          <w:b w:val="0"/>
          <w:szCs w:val="22"/>
          <w:lang w:val="hy-AM"/>
        </w:rPr>
        <w:t>9.0</w:t>
      </w:r>
      <w:r w:rsidR="00B52402" w:rsidRPr="00B52402">
        <w:rPr>
          <w:rFonts w:cs="Sylfaen"/>
          <w:b w:val="0"/>
          <w:szCs w:val="22"/>
          <w:lang w:val="hy-AM"/>
        </w:rPr>
        <w:t xml:space="preserve"> մլն դրամ,</w:t>
      </w:r>
      <w:r w:rsidRPr="00B52402">
        <w:rPr>
          <w:rFonts w:cs="Sylfaen"/>
          <w:b w:val="0"/>
          <w:szCs w:val="22"/>
          <w:lang w:val="hy-AM"/>
        </w:rPr>
        <w:t xml:space="preserve"> ինչը գերազանցում է 2021 թվականի ծախսերին 356</w:t>
      </w:r>
      <w:r w:rsidR="00427D1F" w:rsidRPr="00B52402">
        <w:rPr>
          <w:rFonts w:cs="Sylfaen"/>
          <w:b w:val="0"/>
          <w:szCs w:val="22"/>
          <w:lang w:val="hy-AM"/>
        </w:rPr>
        <w:t>.</w:t>
      </w:r>
      <w:r w:rsidRPr="00B52402">
        <w:rPr>
          <w:rFonts w:cs="Sylfaen"/>
          <w:b w:val="0"/>
          <w:szCs w:val="22"/>
          <w:lang w:val="hy-AM"/>
        </w:rPr>
        <w:t xml:space="preserve">8 մլն դրամով։ Լրացուցիչ գումար է նախատեսվել  փորձաքննությունների ծառայությունների </w:t>
      </w:r>
      <w:r w:rsidRPr="00A83C94">
        <w:rPr>
          <w:rFonts w:cs="Sylfaen"/>
          <w:b w:val="0"/>
          <w:szCs w:val="22"/>
          <w:lang w:val="hy-AM"/>
        </w:rPr>
        <w:t>ձ</w:t>
      </w:r>
      <w:r w:rsidRPr="00B52402">
        <w:rPr>
          <w:rFonts w:cs="Sylfaen"/>
          <w:b w:val="0"/>
          <w:szCs w:val="22"/>
          <w:lang w:val="hy-AM"/>
        </w:rPr>
        <w:t>եռքբերման նպատակով</w:t>
      </w:r>
      <w:r w:rsidRPr="00A83C94">
        <w:rPr>
          <w:rFonts w:cs="Sylfaen"/>
          <w:b w:val="0"/>
          <w:szCs w:val="22"/>
          <w:lang w:val="hy-AM"/>
        </w:rPr>
        <w:t>, միաժամանակ ապահովելով առաջադրված հարցերի ընդհանուր քանակի մեջ փորձաքննությամբ լուծված հարցերի 90 տոկոս տեսակարար կշիռ և  նույն հարցի վերաբերյալ կրկնակի փորձաքննությունների կրճատում՝  մինչև 8 տոկոս</w:t>
      </w:r>
      <w:r w:rsidRPr="00A83C94">
        <w:rPr>
          <w:rFonts w:cs="Sylfaen"/>
          <w:b w:val="0"/>
          <w:szCs w:val="22"/>
          <w:lang w:val="fr-FR"/>
        </w:rPr>
        <w:t>։</w:t>
      </w:r>
    </w:p>
    <w:p w14:paraId="0BB70524" w14:textId="77777777" w:rsidR="00DE0457" w:rsidRPr="00A83C94" w:rsidRDefault="00DE0457" w:rsidP="00DE0457">
      <w:pPr>
        <w:spacing w:line="276" w:lineRule="auto"/>
        <w:ind w:firstLine="426"/>
        <w:rPr>
          <w:rFonts w:cs="Sylfaen"/>
          <w:b w:val="0"/>
          <w:szCs w:val="22"/>
          <w:lang w:val="hy-AM"/>
        </w:rPr>
      </w:pPr>
      <w:r w:rsidRPr="00A83C94">
        <w:rPr>
          <w:rFonts w:cs="Sylfaen"/>
          <w:b w:val="0"/>
          <w:szCs w:val="22"/>
          <w:lang w:val="hy-AM"/>
        </w:rPr>
        <w:t>Ծրագրի շրջանակներում նախատեսվում է ապահովել օրենսդրությամբ սահմանված դեպքերում քաղաքացիներին անվճար իրավաբանական ծառայությունների տրամադրումը վարույթ ընդունած 16854 գործերի գծով,</w:t>
      </w:r>
      <w:r w:rsidRPr="00A83C94">
        <w:rPr>
          <w:b w:val="0"/>
          <w:szCs w:val="22"/>
          <w:lang w:val="hy-AM"/>
        </w:rPr>
        <w:t xml:space="preserve"> </w:t>
      </w:r>
      <w:r w:rsidRPr="00A83C94">
        <w:rPr>
          <w:rFonts w:cs="Sylfaen"/>
          <w:b w:val="0"/>
          <w:szCs w:val="22"/>
          <w:lang w:val="hy-AM"/>
        </w:rPr>
        <w:t xml:space="preserve">hանրային պաշտպանների դեմ բողոքների քանակի հարաբերակցությունը վարած գործերի նկատմամբ սահմանելով 94 տոկոս: </w:t>
      </w:r>
    </w:p>
    <w:p w14:paraId="074CFDF0" w14:textId="227BEB02" w:rsidR="00DE0457" w:rsidRPr="00A83C94" w:rsidRDefault="00DE0457" w:rsidP="00DE0457">
      <w:pPr>
        <w:spacing w:line="276" w:lineRule="auto"/>
        <w:ind w:firstLine="426"/>
        <w:rPr>
          <w:rFonts w:cs="Sylfaen"/>
          <w:b w:val="0"/>
          <w:szCs w:val="22"/>
          <w:lang w:val="hy-AM"/>
        </w:rPr>
      </w:pPr>
      <w:r w:rsidRPr="00A83C94">
        <w:rPr>
          <w:rFonts w:cs="Sylfaen"/>
          <w:szCs w:val="22"/>
          <w:lang w:val="fr-FR"/>
        </w:rPr>
        <w:t>Քրեակատարողական ծառայություններ</w:t>
      </w:r>
      <w:r w:rsidRPr="00A83C94">
        <w:rPr>
          <w:rFonts w:cs="Sylfaen"/>
          <w:b w:val="0"/>
          <w:szCs w:val="22"/>
          <w:lang w:val="fr-FR"/>
        </w:rPr>
        <w:t xml:space="preserve"> ծրագրի միջոցներ</w:t>
      </w:r>
      <w:r w:rsidRPr="00A83C94">
        <w:rPr>
          <w:rFonts w:cs="Sylfaen"/>
          <w:b w:val="0"/>
          <w:szCs w:val="22"/>
          <w:lang w:val="hy-AM"/>
        </w:rPr>
        <w:t>ը</w:t>
      </w:r>
      <w:r w:rsidRPr="00A83C94">
        <w:rPr>
          <w:rFonts w:cs="Sylfaen"/>
          <w:b w:val="0"/>
          <w:szCs w:val="22"/>
          <w:lang w:val="fr-FR"/>
        </w:rPr>
        <w:t xml:space="preserve"> 2022 թվականին նախատեսվում է ուղղել քրեակատարողական հիմնարկների օպտիմալացման և արդիականացման </w:t>
      </w:r>
      <w:r w:rsidRPr="00A83C94">
        <w:rPr>
          <w:rFonts w:cs="Sylfaen"/>
          <w:b w:val="0"/>
          <w:szCs w:val="22"/>
          <w:lang w:val="hy-AM"/>
        </w:rPr>
        <w:t>ռազմավարական պլանները կյանքի կոչելուն</w:t>
      </w:r>
      <w:r w:rsidRPr="00A83C94">
        <w:rPr>
          <w:rFonts w:cs="Sylfaen"/>
          <w:b w:val="0"/>
          <w:szCs w:val="22"/>
          <w:lang w:val="fr-FR"/>
        </w:rPr>
        <w:t xml:space="preserve">, </w:t>
      </w:r>
      <w:r w:rsidRPr="00A83C94">
        <w:rPr>
          <w:rFonts w:cs="Sylfaen"/>
          <w:b w:val="0"/>
          <w:szCs w:val="22"/>
          <w:lang w:val="hy-AM"/>
        </w:rPr>
        <w:t xml:space="preserve"> ազատությունից զրկված անձանց </w:t>
      </w:r>
      <w:r w:rsidRPr="00A83C94">
        <w:rPr>
          <w:rFonts w:cs="Sylfaen"/>
          <w:b w:val="0"/>
          <w:szCs w:val="22"/>
          <w:lang w:val="fr-FR"/>
        </w:rPr>
        <w:t xml:space="preserve">պահման պայմանների բարելավմանը, </w:t>
      </w:r>
      <w:r w:rsidRPr="00A83C94">
        <w:rPr>
          <w:rFonts w:cs="Sylfaen"/>
          <w:b w:val="0"/>
          <w:szCs w:val="22"/>
          <w:lang w:val="hy-AM"/>
        </w:rPr>
        <w:t xml:space="preserve">վերասոցիալականացման միջոցառումների իրականացմանը, </w:t>
      </w:r>
      <w:r w:rsidRPr="00A83C94">
        <w:rPr>
          <w:rFonts w:cs="Sylfaen"/>
          <w:b w:val="0"/>
          <w:szCs w:val="22"/>
          <w:lang w:val="fr-FR"/>
        </w:rPr>
        <w:t xml:space="preserve">տրամադրվող բժշկական օգնության և սպասարկման որակի բարձրացմանը, պրոբացիայի </w:t>
      </w:r>
      <w:r w:rsidRPr="00A83C94">
        <w:rPr>
          <w:rFonts w:cs="Sylfaen"/>
          <w:b w:val="0"/>
          <w:szCs w:val="22"/>
          <w:lang w:val="hy-AM"/>
        </w:rPr>
        <w:t>ինստիտուտի զարգացմանն ու արձանագրված ոլորտային</w:t>
      </w:r>
      <w:r w:rsidRPr="00A83C94">
        <w:rPr>
          <w:rFonts w:cs="Sylfaen"/>
          <w:b w:val="0"/>
          <w:szCs w:val="22"/>
          <w:lang w:val="fr-FR"/>
        </w:rPr>
        <w:t xml:space="preserve"> խնդիրների լուծմանը: Այս ծրագրի գծով  2022 թվականին ն</w:t>
      </w:r>
      <w:r w:rsidR="00891EF3">
        <w:rPr>
          <w:rFonts w:cs="Sylfaen"/>
          <w:b w:val="0"/>
          <w:szCs w:val="22"/>
          <w:lang w:val="fr-FR"/>
        </w:rPr>
        <w:t>ախատեսվել է  1</w:t>
      </w:r>
      <w:r w:rsidR="00A16795">
        <w:rPr>
          <w:rFonts w:cs="Sylfaen"/>
          <w:b w:val="0"/>
          <w:szCs w:val="22"/>
          <w:lang w:val="hy-AM"/>
        </w:rPr>
        <w:t>4</w:t>
      </w:r>
      <w:r w:rsidRPr="00A83C94">
        <w:rPr>
          <w:rFonts w:cs="Sylfaen"/>
          <w:b w:val="0"/>
          <w:szCs w:val="22"/>
          <w:lang w:val="fr-FR"/>
        </w:rPr>
        <w:t>,</w:t>
      </w:r>
      <w:r w:rsidR="00A16795">
        <w:rPr>
          <w:rFonts w:cs="Sylfaen"/>
          <w:b w:val="0"/>
          <w:szCs w:val="22"/>
          <w:lang w:val="hy-AM"/>
        </w:rPr>
        <w:t>883</w:t>
      </w:r>
      <w:r w:rsidRPr="00A83C94">
        <w:rPr>
          <w:rFonts w:cs="Sylfaen"/>
          <w:b w:val="0"/>
          <w:szCs w:val="22"/>
          <w:lang w:val="fr-FR"/>
        </w:rPr>
        <w:t>.</w:t>
      </w:r>
      <w:r w:rsidR="00A16795">
        <w:rPr>
          <w:rFonts w:cs="Sylfaen"/>
          <w:b w:val="0"/>
          <w:szCs w:val="22"/>
          <w:lang w:val="hy-AM"/>
        </w:rPr>
        <w:t>4</w:t>
      </w:r>
      <w:r w:rsidRPr="00A83C94">
        <w:rPr>
          <w:rFonts w:cs="Sylfaen"/>
          <w:b w:val="0"/>
          <w:szCs w:val="22"/>
          <w:lang w:val="fr-FR"/>
        </w:rPr>
        <w:t xml:space="preserve"> մլն դրամ։  </w:t>
      </w:r>
    </w:p>
    <w:p w14:paraId="2FB69B15" w14:textId="77777777" w:rsidR="00DE0457" w:rsidRPr="00A83C94" w:rsidRDefault="00DE0457" w:rsidP="00DE0457">
      <w:pPr>
        <w:spacing w:line="276" w:lineRule="auto"/>
        <w:ind w:firstLine="426"/>
        <w:rPr>
          <w:rFonts w:cs="Sylfaen"/>
          <w:b w:val="0"/>
          <w:szCs w:val="22"/>
          <w:lang w:val="hy-AM"/>
        </w:rPr>
      </w:pPr>
      <w:r w:rsidRPr="00A83C94">
        <w:rPr>
          <w:rFonts w:cs="Sylfaen"/>
          <w:b w:val="0"/>
          <w:szCs w:val="22"/>
          <w:lang w:val="hy-AM"/>
        </w:rPr>
        <w:t xml:space="preserve">Ծրագրի շրջանակում նախատեսվում է դատապարտյալների 15 տոկոսին ապահովել աշխատանքով, աստիճանաբար ավելացնել ՔԿՀ-ում միջին մասնագիտական/տեխնիկական կրթություն ստացող, սոցիալական /սոցիալական վերականգնում և խորհրդատվություն/ աջակցություն ստացած դատապարտյալների և կալանավորվածների թիվը, ՔԿՀ-ում մշակութային կամ  մարզական միջոցառումներին մասնակցած դատապարտյալների  տեսակարար կշիռը ընդհանուր դատապարտյալների մեջ: </w:t>
      </w:r>
    </w:p>
    <w:p w14:paraId="0B6845A1" w14:textId="77777777"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2022 թվականին շարունակվելու են քրեակատարողական հիմնարկներում բժշկական օգնության և սպասարկման ոլորտի կատարելագործմանն ուղղված աշխատանքները: Ծրագրի շրջանակներում նախատեսվում է առաջնային և մասնագիտացված բնույթի մոտ 85000 բուժօգնություն ցույց տալ  դատապարտյալներին և կալանավորված անձանց՝</w:t>
      </w:r>
      <w:r w:rsidRPr="00A83C94">
        <w:rPr>
          <w:b w:val="0"/>
          <w:szCs w:val="22"/>
          <w:lang w:val="hy-AM"/>
        </w:rPr>
        <w:t xml:space="preserve"> </w:t>
      </w:r>
      <w:r w:rsidRPr="00A83C94">
        <w:rPr>
          <w:rFonts w:cs="Sylfaen"/>
          <w:b w:val="0"/>
          <w:spacing w:val="4"/>
          <w:szCs w:val="22"/>
          <w:lang w:val="hy-AM"/>
        </w:rPr>
        <w:t>ապահովելով բուժօգնության կազմակերպման ձգձգումների բացառումը</w:t>
      </w:r>
    </w:p>
    <w:p w14:paraId="3A43F287" w14:textId="77777777"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Շարունակվելու է քրեակատարողական հիմնարկներում գտնվող,  իրավախախտում կատարած անձանց գեղագիտական դաստիարակության և կրթության ծրագրերի իրականացումը: Տարեկան հաստատված ծրագրերին մասնակցած և հավաստագրեր ստացած ունկնդիրների տեսակարար կշիռը մասնակիցների ընդհանուր թվաքանակի մեջ նախատեսվում է 80 տոկոս:</w:t>
      </w:r>
    </w:p>
    <w:p w14:paraId="5BBBF1FE" w14:textId="6CBE88BF"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 xml:space="preserve">2022 թվականին նախատեսվում է օպտիմալացնել քրեակատարողական հիմնարկները և դրա արդյունքներով տնտեսված միջոցներն արդյունավետ բաշխել և ուղղորդել համակարգային այլ կարիքների բավարարմանը: Շենքային պայմանների բարելավման նպատակով նախատեսվել է մոտ </w:t>
      </w:r>
      <w:r w:rsidR="002F1AF4" w:rsidRPr="002F1AF4">
        <w:rPr>
          <w:rFonts w:cs="Sylfaen"/>
          <w:b w:val="0"/>
          <w:spacing w:val="4"/>
          <w:szCs w:val="22"/>
          <w:lang w:val="hy-AM"/>
        </w:rPr>
        <w:t>1,8</w:t>
      </w:r>
      <w:r w:rsidR="0099003B" w:rsidRPr="0099003B">
        <w:rPr>
          <w:rFonts w:cs="Sylfaen"/>
          <w:b w:val="0"/>
          <w:spacing w:val="4"/>
          <w:szCs w:val="22"/>
          <w:lang w:val="hy-AM"/>
        </w:rPr>
        <w:t>49</w:t>
      </w:r>
      <w:r w:rsidR="002F1AF4" w:rsidRPr="002F1AF4">
        <w:rPr>
          <w:rFonts w:cs="Sylfaen"/>
          <w:b w:val="0"/>
          <w:spacing w:val="4"/>
          <w:szCs w:val="22"/>
          <w:lang w:val="hy-AM"/>
        </w:rPr>
        <w:t>.</w:t>
      </w:r>
      <w:r w:rsidR="0099003B" w:rsidRPr="0099003B">
        <w:rPr>
          <w:rFonts w:cs="Sylfaen"/>
          <w:b w:val="0"/>
          <w:spacing w:val="4"/>
          <w:szCs w:val="22"/>
          <w:lang w:val="hy-AM"/>
        </w:rPr>
        <w:t>4</w:t>
      </w:r>
      <w:r w:rsidR="002F1AF4" w:rsidRPr="002F1AF4">
        <w:rPr>
          <w:rFonts w:cs="Sylfaen"/>
          <w:b w:val="0"/>
          <w:spacing w:val="4"/>
          <w:szCs w:val="22"/>
          <w:lang w:val="hy-AM"/>
        </w:rPr>
        <w:t xml:space="preserve"> մլն դրամ:</w:t>
      </w:r>
      <w:r w:rsidR="002F1AF4" w:rsidRPr="00A83C94">
        <w:rPr>
          <w:rFonts w:cs="Sylfaen"/>
          <w:b w:val="0"/>
          <w:spacing w:val="4"/>
          <w:szCs w:val="22"/>
          <w:lang w:val="hy-AM"/>
        </w:rPr>
        <w:t xml:space="preserve"> </w:t>
      </w:r>
      <w:r w:rsidRPr="00A83C94">
        <w:rPr>
          <w:rFonts w:cs="Sylfaen"/>
          <w:b w:val="0"/>
          <w:spacing w:val="4"/>
          <w:szCs w:val="22"/>
          <w:lang w:val="hy-AM"/>
        </w:rPr>
        <w:t xml:space="preserve">Հատկանշական է, որ նախատեսվում է  քրեակատարողական հիմնարկներում պահվող հաշմանդամություն ունեցող անձանց համար մատչելի պայմանների և համապատասխան հարմարանքների ապահովում, հաշմանդամություն ունեցող անձանց համար տեղեկատվության ստացման և հաղորդման հնարավորությունն ապահովող տեխնիկական և աշխատակարգային լուծումների ապահովում, ՀՀ արդարադատության նախարարության </w:t>
      </w:r>
      <w:r w:rsidRPr="00A83C94">
        <w:rPr>
          <w:rFonts w:cs="Sylfaen"/>
          <w:b w:val="0"/>
          <w:szCs w:val="22"/>
          <w:lang w:val="fr-FR"/>
        </w:rPr>
        <w:t>«</w:t>
      </w:r>
      <w:r w:rsidRPr="00A83C94">
        <w:rPr>
          <w:rFonts w:cs="Sylfaen"/>
          <w:b w:val="0"/>
          <w:spacing w:val="4"/>
          <w:szCs w:val="22"/>
          <w:lang w:val="hy-AM"/>
        </w:rPr>
        <w:t>Արմավիր» քրեակատարողական հիմնարկի օդափոխության և օդորակմանհամակարգերի ներդնում:</w:t>
      </w:r>
    </w:p>
    <w:p w14:paraId="543F8C04" w14:textId="77DAA876" w:rsidR="00DE0457" w:rsidRPr="00A83C94" w:rsidRDefault="00DE0457" w:rsidP="00DE0457">
      <w:pPr>
        <w:spacing w:line="276" w:lineRule="auto"/>
        <w:ind w:firstLine="426"/>
        <w:rPr>
          <w:rFonts w:cs="Sylfaen"/>
          <w:b w:val="0"/>
          <w:spacing w:val="4"/>
          <w:szCs w:val="22"/>
          <w:lang w:val="hy-AM"/>
        </w:rPr>
      </w:pPr>
      <w:r w:rsidRPr="00A83C94">
        <w:rPr>
          <w:rFonts w:cs="Sylfaen"/>
          <w:b w:val="0"/>
          <w:spacing w:val="4"/>
          <w:szCs w:val="22"/>
          <w:lang w:val="hy-AM"/>
        </w:rPr>
        <w:t>Կառավարությունը շարունակելու է վճռական մնալ վերականգնողական արդարադատության սկզբունքների արմատավորման հարցում: Այս համատեքստում հիմնական թիրախային ուղղությունները լինելու են զարգացնել Պրոբացիայի ծառայության կարողությունները և հզորացնել կադրային ներուժը: Այս նպատակով 2022 թվականին պրոբացիայի ծառայությանը 2021 թվականի համեմատ լրացուցիչ հատկացվել է 243</w:t>
      </w:r>
      <w:r w:rsidR="002F1AF4" w:rsidRPr="002F1AF4">
        <w:rPr>
          <w:rFonts w:cs="Sylfaen"/>
          <w:b w:val="0"/>
          <w:spacing w:val="4"/>
          <w:szCs w:val="22"/>
          <w:lang w:val="hy-AM"/>
        </w:rPr>
        <w:t>.1</w:t>
      </w:r>
      <w:r w:rsidRPr="00A83C94">
        <w:rPr>
          <w:rFonts w:cs="Sylfaen"/>
          <w:b w:val="0"/>
          <w:spacing w:val="4"/>
          <w:szCs w:val="22"/>
          <w:lang w:val="hy-AM"/>
        </w:rPr>
        <w:t xml:space="preserve"> մլն դրամ: Պրոբացիայի ծառայությունում հաշվառված    շահառուների համար նախատեսվում է իրականացնել 55 մշակութային միջոցառումներ, ավելացնել հոգեբանական օգնություն ստացող, հանրային աշխատանքներ պատժատեսակում ներգրավված շահառուների թիվը,  արդյունքում ապահովելով կրկնահանցագործություն կատարած շահառուների թվի կրճատում: </w:t>
      </w:r>
    </w:p>
    <w:p w14:paraId="24EB6121" w14:textId="77777777" w:rsidR="00DE0457" w:rsidRPr="00A83C94" w:rsidRDefault="00DE0457" w:rsidP="00DE0457">
      <w:pPr>
        <w:spacing w:line="276" w:lineRule="auto"/>
        <w:ind w:firstLine="426"/>
        <w:rPr>
          <w:rFonts w:cs="Sylfaen"/>
          <w:b w:val="0"/>
          <w:szCs w:val="22"/>
          <w:lang w:val="hy-AM"/>
        </w:rPr>
      </w:pPr>
      <w:r w:rsidRPr="00A83C94">
        <w:rPr>
          <w:rFonts w:cs="Sylfaen"/>
          <w:b w:val="0"/>
          <w:szCs w:val="22"/>
          <w:lang w:val="hy-AM"/>
        </w:rPr>
        <w:t>Ա</w:t>
      </w:r>
      <w:r w:rsidRPr="00A83C94">
        <w:rPr>
          <w:rFonts w:cs="Sylfaen"/>
          <w:b w:val="0"/>
          <w:szCs w:val="22"/>
          <w:lang w:val="fr-FR"/>
        </w:rPr>
        <w:t>զատությունից զրկելուն այլընտրանք հանդիսացող նոր պատժատեսակների և խափանման միջոցների արդյունավետ կիրառման նպատակով Պրոբացիայի ծառայությանը</w:t>
      </w:r>
      <w:r w:rsidRPr="00A83C94">
        <w:rPr>
          <w:rFonts w:cs="Sylfaen"/>
          <w:b w:val="0"/>
          <w:szCs w:val="22"/>
          <w:lang w:val="hy-AM"/>
        </w:rPr>
        <w:t xml:space="preserve"> 2022 թվականին նախատեսվում է վերա</w:t>
      </w:r>
      <w:r w:rsidRPr="00A83C94">
        <w:rPr>
          <w:rFonts w:cs="Sylfaen"/>
          <w:b w:val="0"/>
          <w:szCs w:val="22"/>
          <w:lang w:val="fr-FR"/>
        </w:rPr>
        <w:t xml:space="preserve">զինել էլեկտրոնային հսկողության համար անհրաժեշտ միջոցներով ու ենթակառուցվածքներով և, ըստ այդմ, ապահովել իրավակիրառ պրակտիկայում էլեկտրոնային հսկողության փաստացի </w:t>
      </w:r>
      <w:r w:rsidRPr="00A83C94">
        <w:rPr>
          <w:rFonts w:cs="Sylfaen"/>
          <w:b w:val="0"/>
          <w:szCs w:val="22"/>
          <w:lang w:val="hy-AM"/>
        </w:rPr>
        <w:t xml:space="preserve">և պատշաճ </w:t>
      </w:r>
      <w:r w:rsidRPr="00A83C94">
        <w:rPr>
          <w:rFonts w:cs="Sylfaen"/>
          <w:b w:val="0"/>
          <w:szCs w:val="22"/>
          <w:lang w:val="fr-FR"/>
        </w:rPr>
        <w:t>կիրառումը</w:t>
      </w:r>
      <w:r w:rsidRPr="00A83C94">
        <w:rPr>
          <w:rFonts w:cs="Sylfaen"/>
          <w:b w:val="0"/>
          <w:szCs w:val="22"/>
          <w:lang w:val="hy-AM"/>
        </w:rPr>
        <w:t xml:space="preserve">: Այս նպատակով  բյուջեից նախատեսվում է 110 մլն դրամ: </w:t>
      </w:r>
    </w:p>
    <w:p w14:paraId="74F9E323" w14:textId="755636B1" w:rsidR="00DE0457" w:rsidRPr="00A83C94" w:rsidRDefault="00DE0457" w:rsidP="00DE0457">
      <w:pPr>
        <w:spacing w:line="276" w:lineRule="auto"/>
        <w:ind w:firstLine="426"/>
        <w:rPr>
          <w:rFonts w:cs="Sylfaen"/>
          <w:b w:val="0"/>
          <w:szCs w:val="22"/>
          <w:lang w:val="hy-AM"/>
        </w:rPr>
      </w:pPr>
      <w:r w:rsidRPr="00A83C94">
        <w:rPr>
          <w:rFonts w:cs="Sylfaen"/>
          <w:szCs w:val="22"/>
          <w:lang w:val="fr-FR"/>
        </w:rPr>
        <w:tab/>
        <w:t>Իրավական իրազեկում և տեղեկատվության ապահովում</w:t>
      </w:r>
      <w:r w:rsidRPr="00A83C94">
        <w:rPr>
          <w:rFonts w:cs="Sylfaen"/>
          <w:b w:val="0"/>
          <w:i/>
          <w:szCs w:val="22"/>
          <w:lang w:val="hy-AM"/>
        </w:rPr>
        <w:t xml:space="preserve"> </w:t>
      </w:r>
      <w:r w:rsidRPr="00A83C94">
        <w:rPr>
          <w:rFonts w:cs="Sylfaen"/>
          <w:b w:val="0"/>
          <w:i/>
          <w:szCs w:val="22"/>
          <w:lang w:val="fr-FR"/>
        </w:rPr>
        <w:t xml:space="preserve">ծրագրի գծով </w:t>
      </w:r>
      <w:r w:rsidRPr="00A83C94">
        <w:rPr>
          <w:rFonts w:cs="Sylfaen"/>
          <w:b w:val="0"/>
          <w:szCs w:val="22"/>
          <w:lang w:val="fr-FR"/>
        </w:rPr>
        <w:t xml:space="preserve"> 2022 թվականին  նախատեսվել է  635</w:t>
      </w:r>
      <w:r w:rsidRPr="00A83C94">
        <w:rPr>
          <w:rFonts w:ascii="Cambria Math" w:hAnsi="Cambria Math" w:cs="Cambria Math"/>
          <w:b w:val="0"/>
          <w:szCs w:val="22"/>
          <w:lang w:val="fr-FR"/>
        </w:rPr>
        <w:t>․</w:t>
      </w:r>
      <w:r w:rsidRPr="00A83C94">
        <w:rPr>
          <w:rFonts w:cs="Sylfaen"/>
          <w:b w:val="0"/>
          <w:szCs w:val="22"/>
          <w:lang w:val="fr-FR"/>
        </w:rPr>
        <w:t xml:space="preserve">6 </w:t>
      </w:r>
      <w:r w:rsidRPr="00A83C94">
        <w:rPr>
          <w:rFonts w:cs="GHEA Grapalat"/>
          <w:b w:val="0"/>
          <w:szCs w:val="22"/>
          <w:lang w:val="fr-FR"/>
        </w:rPr>
        <w:t>մլն</w:t>
      </w:r>
      <w:r w:rsidRPr="00A83C94">
        <w:rPr>
          <w:rFonts w:cs="Sylfaen"/>
          <w:b w:val="0"/>
          <w:szCs w:val="22"/>
          <w:lang w:val="fr-FR"/>
        </w:rPr>
        <w:t xml:space="preserve"> </w:t>
      </w:r>
      <w:r w:rsidRPr="00A83C94">
        <w:rPr>
          <w:rFonts w:cs="GHEA Grapalat"/>
          <w:b w:val="0"/>
          <w:szCs w:val="22"/>
          <w:lang w:val="fr-FR"/>
        </w:rPr>
        <w:t>դրամ</w:t>
      </w:r>
      <w:r w:rsidRPr="00A83C94">
        <w:rPr>
          <w:rFonts w:cs="GHEA Grapalat"/>
          <w:b w:val="0"/>
          <w:szCs w:val="22"/>
          <w:lang w:val="hy-AM"/>
        </w:rPr>
        <w:t>:</w:t>
      </w:r>
      <w:r w:rsidRPr="00A83C94">
        <w:rPr>
          <w:rFonts w:cs="Sylfaen"/>
          <w:b w:val="0"/>
          <w:szCs w:val="22"/>
          <w:lang w:val="fr-FR"/>
        </w:rPr>
        <w:t xml:space="preserve"> Այս ծրագրի շրջանակներում նախատեսվում է ապահովել Հայաստանի իրավական տեղեկատվության համակարգ</w:t>
      </w:r>
      <w:r w:rsidRPr="00A83C94">
        <w:rPr>
          <w:rFonts w:cs="Sylfaen"/>
          <w:b w:val="0"/>
          <w:szCs w:val="22"/>
          <w:lang w:val="hy-AM"/>
        </w:rPr>
        <w:t>ում</w:t>
      </w:r>
      <w:r w:rsidRPr="00A83C94">
        <w:rPr>
          <w:rFonts w:cs="Sylfaen"/>
          <w:b w:val="0"/>
          <w:szCs w:val="22"/>
          <w:lang w:val="fr-FR"/>
        </w:rPr>
        <w:t>` «ԱՐԼԻՍ»</w:t>
      </w:r>
      <w:r w:rsidRPr="00A83C94">
        <w:rPr>
          <w:rFonts w:cs="Sylfaen"/>
          <w:b w:val="0"/>
          <w:szCs w:val="22"/>
          <w:lang w:val="hy-AM"/>
        </w:rPr>
        <w:t xml:space="preserve">  կայքում մոտ 78000 էլեկտրոնային էջերի հրատարակում,</w:t>
      </w:r>
      <w:r w:rsidRPr="00A83C94">
        <w:rPr>
          <w:rFonts w:cs="Sylfaen"/>
          <w:b w:val="0"/>
          <w:szCs w:val="22"/>
          <w:lang w:val="fr-FR"/>
        </w:rPr>
        <w:t xml:space="preserve"> տեղեկատվական համակարգի ամենշաբաթյա թարմացում</w:t>
      </w:r>
      <w:r w:rsidRPr="00A83C94">
        <w:rPr>
          <w:rFonts w:cs="Sylfaen"/>
          <w:b w:val="0"/>
          <w:szCs w:val="22"/>
          <w:lang w:val="hy-AM"/>
        </w:rPr>
        <w:t>,</w:t>
      </w:r>
      <w:r w:rsidRPr="00A83C94">
        <w:rPr>
          <w:rFonts w:cs="Sylfaen"/>
          <w:b w:val="0"/>
          <w:szCs w:val="22"/>
          <w:lang w:val="fr-FR"/>
        </w:rPr>
        <w:t xml:space="preserve"> իրավական ակտերի էլեկտրոնային ժողովածուի պարբերական համալրում</w:t>
      </w:r>
      <w:r w:rsidRPr="00A83C94">
        <w:rPr>
          <w:rFonts w:cs="Sylfaen"/>
          <w:b w:val="0"/>
          <w:szCs w:val="22"/>
          <w:lang w:val="hy-AM"/>
        </w:rPr>
        <w:t xml:space="preserve"> և </w:t>
      </w:r>
      <w:r w:rsidRPr="00A83C94">
        <w:rPr>
          <w:rFonts w:cs="Sylfaen"/>
          <w:b w:val="0"/>
          <w:szCs w:val="22"/>
          <w:lang w:val="fr-FR"/>
        </w:rPr>
        <w:t xml:space="preserve">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և հանձնարարվող այլ առանցքային փաստաթղթերի թարգմանությունների կատարումը:</w:t>
      </w:r>
      <w:r w:rsidRPr="00A83C94">
        <w:rPr>
          <w:rFonts w:cs="Sylfaen"/>
          <w:b w:val="0"/>
          <w:szCs w:val="22"/>
          <w:lang w:val="hy-AM"/>
        </w:rPr>
        <w:t xml:space="preserve"> Ծրագրի նպատակն է ապահովել մոտ 25 տոկոս հանրային իրազեկվածության բարձրացում:  </w:t>
      </w:r>
    </w:p>
    <w:p w14:paraId="318B9FBD" w14:textId="7A7A89AB" w:rsidR="00DE0457" w:rsidRPr="00A83C94" w:rsidRDefault="004617A0" w:rsidP="00DE0457">
      <w:pPr>
        <w:spacing w:line="276" w:lineRule="auto"/>
        <w:ind w:firstLine="426"/>
        <w:rPr>
          <w:rFonts w:cs="Sylfaen"/>
          <w:b w:val="0"/>
          <w:szCs w:val="22"/>
          <w:lang w:val="hy-AM"/>
        </w:rPr>
      </w:pPr>
      <w:r w:rsidRPr="00A83C94">
        <w:rPr>
          <w:rFonts w:cs="Sylfaen"/>
          <w:i/>
          <w:szCs w:val="22"/>
          <w:lang w:val="hy-AM"/>
        </w:rPr>
        <w:t xml:space="preserve"> </w:t>
      </w:r>
      <w:r w:rsidR="00DE0457" w:rsidRPr="00A83C94">
        <w:rPr>
          <w:rFonts w:cs="Sylfaen"/>
          <w:szCs w:val="22"/>
          <w:lang w:val="hy-AM"/>
        </w:rPr>
        <w:t>Արդարադատության համակարգի աշխատակիցների վերապատրաստում և հատուկ ուսուցում</w:t>
      </w:r>
      <w:r w:rsidR="00DE0457" w:rsidRPr="00A83C94">
        <w:rPr>
          <w:rFonts w:cs="Sylfaen"/>
          <w:b w:val="0"/>
          <w:i/>
          <w:szCs w:val="22"/>
          <w:lang w:val="hy-AM"/>
        </w:rPr>
        <w:t xml:space="preserve"> </w:t>
      </w:r>
      <w:r w:rsidR="00DE0457" w:rsidRPr="00A83C94">
        <w:rPr>
          <w:rFonts w:cs="Sylfaen"/>
          <w:b w:val="0"/>
          <w:szCs w:val="22"/>
          <w:lang w:val="hy-AM"/>
        </w:rPr>
        <w:t>ծրագրի գծով  2022 թվականին  նախատեսվել է  479</w:t>
      </w:r>
      <w:r w:rsidR="00DE0457" w:rsidRPr="00A83C94">
        <w:rPr>
          <w:rFonts w:ascii="Cambria Math" w:hAnsi="Cambria Math" w:cs="Cambria Math"/>
          <w:b w:val="0"/>
          <w:szCs w:val="22"/>
          <w:lang w:val="hy-AM"/>
        </w:rPr>
        <w:t>․</w:t>
      </w:r>
      <w:r w:rsidR="00DE0457" w:rsidRPr="00A83C94">
        <w:rPr>
          <w:rFonts w:cs="Sylfaen"/>
          <w:b w:val="0"/>
          <w:szCs w:val="22"/>
          <w:lang w:val="hy-AM"/>
        </w:rPr>
        <w:t xml:space="preserve">6 </w:t>
      </w:r>
      <w:r w:rsidR="00DE0457" w:rsidRPr="00A83C94">
        <w:rPr>
          <w:rFonts w:cs="GHEA Grapalat"/>
          <w:b w:val="0"/>
          <w:szCs w:val="22"/>
          <w:lang w:val="hy-AM"/>
        </w:rPr>
        <w:t>մլն</w:t>
      </w:r>
      <w:r w:rsidR="00DE0457" w:rsidRPr="00A83C94">
        <w:rPr>
          <w:rFonts w:cs="Sylfaen"/>
          <w:b w:val="0"/>
          <w:szCs w:val="22"/>
          <w:lang w:val="hy-AM"/>
        </w:rPr>
        <w:t xml:space="preserve"> </w:t>
      </w:r>
      <w:r w:rsidR="00DE0457" w:rsidRPr="00A83C94">
        <w:rPr>
          <w:rFonts w:cs="GHEA Grapalat"/>
          <w:b w:val="0"/>
          <w:szCs w:val="22"/>
          <w:lang w:val="hy-AM"/>
        </w:rPr>
        <w:t>դրամ։</w:t>
      </w:r>
      <w:r w:rsidR="00DE0457" w:rsidRPr="00A83C94">
        <w:rPr>
          <w:rFonts w:cs="Sylfaen"/>
          <w:b w:val="0"/>
          <w:szCs w:val="22"/>
          <w:lang w:val="hy-AM"/>
        </w:rPr>
        <w:t xml:space="preserve"> </w:t>
      </w:r>
      <w:r w:rsidR="00DE0457" w:rsidRPr="00A83C94">
        <w:rPr>
          <w:rFonts w:cs="GHEA Grapalat"/>
          <w:b w:val="0"/>
          <w:szCs w:val="22"/>
          <w:lang w:val="hy-AM"/>
        </w:rPr>
        <w:t>Այս</w:t>
      </w:r>
      <w:r w:rsidR="00DE0457" w:rsidRPr="00A83C94">
        <w:rPr>
          <w:rFonts w:cs="Sylfaen"/>
          <w:b w:val="0"/>
          <w:szCs w:val="22"/>
          <w:lang w:val="hy-AM"/>
        </w:rPr>
        <w:t xml:space="preserve"> </w:t>
      </w:r>
      <w:r w:rsidR="00DE0457" w:rsidRPr="00A83C94">
        <w:rPr>
          <w:rFonts w:cs="GHEA Grapalat"/>
          <w:b w:val="0"/>
          <w:szCs w:val="22"/>
          <w:lang w:val="hy-AM"/>
        </w:rPr>
        <w:t>ծրագրով</w:t>
      </w:r>
      <w:r w:rsidR="00DE0457" w:rsidRPr="00A83C94">
        <w:rPr>
          <w:rFonts w:cs="Sylfaen"/>
          <w:b w:val="0"/>
          <w:szCs w:val="22"/>
          <w:lang w:val="hy-AM"/>
        </w:rPr>
        <w:t xml:space="preserve"> </w:t>
      </w:r>
      <w:r w:rsidR="00DE0457" w:rsidRPr="00A83C94">
        <w:rPr>
          <w:rFonts w:cs="GHEA Grapalat"/>
          <w:b w:val="0"/>
          <w:szCs w:val="22"/>
          <w:lang w:val="hy-AM"/>
        </w:rPr>
        <w:t>նախատեսվում</w:t>
      </w:r>
      <w:r w:rsidR="00DE0457" w:rsidRPr="00A83C94">
        <w:rPr>
          <w:rFonts w:cs="Sylfaen"/>
          <w:b w:val="0"/>
          <w:szCs w:val="22"/>
          <w:lang w:val="hy-AM"/>
        </w:rPr>
        <w:t xml:space="preserve"> </w:t>
      </w:r>
      <w:r w:rsidR="00DE0457" w:rsidRPr="00A83C94">
        <w:rPr>
          <w:rFonts w:cs="GHEA Grapalat"/>
          <w:b w:val="0"/>
          <w:szCs w:val="22"/>
          <w:lang w:val="hy-AM"/>
        </w:rPr>
        <w:t>է</w:t>
      </w:r>
      <w:r w:rsidR="00DE0457" w:rsidRPr="00A83C94">
        <w:rPr>
          <w:rFonts w:cs="Sylfaen"/>
          <w:b w:val="0"/>
          <w:szCs w:val="22"/>
          <w:lang w:val="hy-AM"/>
        </w:rPr>
        <w:t xml:space="preserve"> </w:t>
      </w:r>
      <w:r w:rsidR="00DE0457" w:rsidRPr="00A83C94">
        <w:rPr>
          <w:rFonts w:cs="GHEA Grapalat"/>
          <w:b w:val="0"/>
          <w:szCs w:val="22"/>
          <w:lang w:val="hy-AM"/>
        </w:rPr>
        <w:t>ապահովել</w:t>
      </w:r>
      <w:r w:rsidR="00DE0457" w:rsidRPr="00A83C94">
        <w:rPr>
          <w:rFonts w:cs="Sylfaen"/>
          <w:b w:val="0"/>
          <w:szCs w:val="22"/>
          <w:lang w:val="hy-AM"/>
        </w:rPr>
        <w:t xml:space="preserve"> 2250 հատուկ ծառայողների, 315 դատավորների, 176 դատախազների, 150 դատական կարգադրիչների վերապատրաստումն ու  հատուկ ուսուցումը, ապահովելով վերապատրաստման հավաստագիր ստացած ունկնդիրների 90 տոկոս տեսակար կշիռ: </w:t>
      </w:r>
    </w:p>
    <w:p w14:paraId="7BB756F4" w14:textId="77777777" w:rsidR="001A577F" w:rsidRPr="001A577F" w:rsidRDefault="001A577F" w:rsidP="001A577F">
      <w:pPr>
        <w:spacing w:line="276" w:lineRule="auto"/>
        <w:ind w:firstLine="426"/>
        <w:rPr>
          <w:rFonts w:cs="Sylfaen"/>
          <w:b w:val="0"/>
          <w:szCs w:val="22"/>
          <w:lang w:val="hy-AM"/>
        </w:rPr>
      </w:pPr>
      <w:r w:rsidRPr="001A577F">
        <w:rPr>
          <w:rFonts w:cs="Sylfaen"/>
          <w:szCs w:val="22"/>
          <w:lang w:val="hy-AM"/>
        </w:rPr>
        <w:t>Հարկադիր կատարման ծառայություններ</w:t>
      </w:r>
      <w:r w:rsidRPr="001A577F">
        <w:rPr>
          <w:rFonts w:cs="Sylfaen"/>
          <w:b w:val="0"/>
          <w:szCs w:val="22"/>
          <w:lang w:val="hy-AM"/>
        </w:rPr>
        <w:t xml:space="preserve"> ծրագրի գծով 2022 թվականին Դատաիրավական բարեփոխումների շրջանակում իրականացվելու է հարկադիր կատարման ոլորտի համընդհանուր բարեփոխումներ: 2022 թվականին նախատեսվում է ավարտել ընթացքի մեջ գտնվող կատարողական վարույթների 60 տոկոսը, բռնագանձման ենթակա գումարի նկատմամբ բռնագանձված գումարի և աճուրդով վերականգնված գումարի տեսակարար կշիռը նախատեսվել է յուրաքանչյուրը մոտ 11 տոկոս:  </w:t>
      </w:r>
    </w:p>
    <w:p w14:paraId="5DC8AB88" w14:textId="4FC2F519" w:rsidR="00DE0457" w:rsidRPr="00A83C94" w:rsidRDefault="008A40E7" w:rsidP="00DE0457">
      <w:pPr>
        <w:spacing w:line="276" w:lineRule="auto"/>
        <w:ind w:firstLine="426"/>
        <w:rPr>
          <w:b w:val="0"/>
          <w:szCs w:val="22"/>
          <w:lang w:val="hy-AM"/>
        </w:rPr>
      </w:pPr>
      <w:r w:rsidRPr="00A83C94">
        <w:rPr>
          <w:rFonts w:cs="Sylfaen"/>
          <w:i/>
          <w:szCs w:val="22"/>
          <w:lang w:val="hy-AM"/>
        </w:rPr>
        <w:t xml:space="preserve"> </w:t>
      </w:r>
      <w:r w:rsidR="00DE0457" w:rsidRPr="00A83C94">
        <w:rPr>
          <w:rFonts w:cs="Sylfaen"/>
          <w:spacing w:val="4"/>
          <w:szCs w:val="22"/>
          <w:lang w:val="it-IT" w:eastAsia="en-US" w:bidi="he-IL"/>
        </w:rPr>
        <w:t>Հակակոռուպցիոն քաղաքականության մշակում,</w:t>
      </w:r>
      <w:r w:rsidR="0071195B" w:rsidRPr="00A83C94">
        <w:rPr>
          <w:rFonts w:cs="Sylfaen"/>
          <w:spacing w:val="4"/>
          <w:szCs w:val="22"/>
          <w:lang w:val="it-IT" w:eastAsia="en-US" w:bidi="he-IL"/>
        </w:rPr>
        <w:t xml:space="preserve"> </w:t>
      </w:r>
      <w:r w:rsidR="00DE0457" w:rsidRPr="00A83C94">
        <w:rPr>
          <w:rFonts w:cs="Sylfaen"/>
          <w:spacing w:val="4"/>
          <w:szCs w:val="22"/>
          <w:lang w:val="it-IT" w:eastAsia="en-US" w:bidi="he-IL"/>
        </w:rPr>
        <w:t>ծրագրերի համակարգում և մոնիտորինգի իրականացում</w:t>
      </w:r>
      <w:r w:rsidR="00DE0457" w:rsidRPr="00A83C94">
        <w:rPr>
          <w:rFonts w:cs="Sylfaen"/>
          <w:b w:val="0"/>
          <w:spacing w:val="4"/>
          <w:szCs w:val="22"/>
          <w:lang w:val="hy-AM"/>
        </w:rPr>
        <w:t xml:space="preserve"> ծրագրի գծով միջոցներն ուղղվել են հակակոռուպցիոն ռազմավարության միջոցառումների իրականացմանը, մասնավորապես՝ </w:t>
      </w:r>
      <w:r w:rsidR="00DE0457" w:rsidRPr="00A83C94">
        <w:rPr>
          <w:b w:val="0"/>
          <w:szCs w:val="22"/>
          <w:lang w:val="hy-AM"/>
        </w:rPr>
        <w:t>Հակակոռուպցիոն կոմիտեի և դատարանների շենքերի կառուցմանը։ Այս նպատակով 2022 թվականին նախատեսվել է 1,500</w:t>
      </w:r>
      <w:r w:rsidR="00DE0457" w:rsidRPr="00A83C94">
        <w:rPr>
          <w:rFonts w:ascii="Cambria Math" w:hAnsi="Cambria Math" w:cs="Cambria Math"/>
          <w:b w:val="0"/>
          <w:szCs w:val="22"/>
          <w:lang w:val="hy-AM"/>
        </w:rPr>
        <w:t>․</w:t>
      </w:r>
      <w:r w:rsidR="00DE0457" w:rsidRPr="00A83C94">
        <w:rPr>
          <w:b w:val="0"/>
          <w:szCs w:val="22"/>
          <w:lang w:val="hy-AM"/>
        </w:rPr>
        <w:t xml:space="preserve">0 </w:t>
      </w:r>
      <w:r w:rsidR="00DE0457" w:rsidRPr="00A83C94">
        <w:rPr>
          <w:rFonts w:cs="GHEA Grapalat"/>
          <w:b w:val="0"/>
          <w:szCs w:val="22"/>
          <w:lang w:val="hy-AM"/>
        </w:rPr>
        <w:t>մլն</w:t>
      </w:r>
      <w:r w:rsidR="00DE0457" w:rsidRPr="00A83C94">
        <w:rPr>
          <w:b w:val="0"/>
          <w:szCs w:val="22"/>
          <w:lang w:val="hy-AM"/>
        </w:rPr>
        <w:t xml:space="preserve"> </w:t>
      </w:r>
      <w:r w:rsidR="00DE0457" w:rsidRPr="00A83C94">
        <w:rPr>
          <w:rFonts w:cs="GHEA Grapalat"/>
          <w:b w:val="0"/>
          <w:szCs w:val="22"/>
          <w:lang w:val="hy-AM"/>
        </w:rPr>
        <w:t>դրամ։</w:t>
      </w:r>
      <w:r w:rsidR="00DE0457" w:rsidRPr="00A83C94">
        <w:rPr>
          <w:b w:val="0"/>
          <w:szCs w:val="22"/>
          <w:lang w:val="hy-AM"/>
        </w:rPr>
        <w:t xml:space="preserve"> Ծրագրի շրջանակներում նախատեսվում է ապահով</w:t>
      </w:r>
      <w:r w:rsidR="0071195B" w:rsidRPr="00A83C94">
        <w:rPr>
          <w:b w:val="0"/>
          <w:szCs w:val="22"/>
          <w:lang w:val="hy-AM"/>
        </w:rPr>
        <w:t>ե</w:t>
      </w:r>
      <w:r w:rsidR="00DE0457" w:rsidRPr="00A83C94">
        <w:rPr>
          <w:b w:val="0"/>
          <w:szCs w:val="22"/>
          <w:lang w:val="hy-AM"/>
        </w:rPr>
        <w:t>լ նաև Հակակոռուպցիոն կոմիտեի բնականոն գործունեության ապահովումը և գործիքակազմի (ներառյալ մարդկային ռեսուրսների) կատարելագործումը:</w:t>
      </w:r>
    </w:p>
    <w:p w14:paraId="05419488" w14:textId="77777777" w:rsidR="008C694F" w:rsidRPr="00A83C94" w:rsidRDefault="008C694F" w:rsidP="00DE0457">
      <w:pPr>
        <w:spacing w:line="276" w:lineRule="auto"/>
        <w:ind w:firstLine="426"/>
        <w:rPr>
          <w:b w:val="0"/>
          <w:szCs w:val="22"/>
          <w:lang w:val="hy-AM"/>
        </w:rPr>
      </w:pPr>
    </w:p>
    <w:p w14:paraId="288C2A22" w14:textId="63D7436C" w:rsidR="008C694F" w:rsidRPr="00A83C94" w:rsidRDefault="008C694F" w:rsidP="008C694F">
      <w:pPr>
        <w:keepNext/>
        <w:spacing w:before="0" w:line="276" w:lineRule="auto"/>
        <w:ind w:firstLine="0"/>
        <w:contextualSpacing w:val="0"/>
        <w:jc w:val="center"/>
        <w:outlineLvl w:val="2"/>
        <w:rPr>
          <w:sz w:val="24"/>
          <w:lang w:val="hy-AM"/>
        </w:rPr>
      </w:pPr>
      <w:bookmarkStart w:id="318" w:name="_Toc89428323"/>
      <w:r w:rsidRPr="00A83C94">
        <w:rPr>
          <w:rFonts w:cs="Arial"/>
          <w:sz w:val="24"/>
          <w:lang w:val="hy-AM" w:eastAsia="en-US"/>
        </w:rPr>
        <w:t>ՀՀ արտաքին գործերի նախա</w:t>
      </w:r>
      <w:r w:rsidRPr="00A83C94">
        <w:rPr>
          <w:rFonts w:cs="Arial"/>
          <w:sz w:val="24"/>
          <w:lang w:val="hy-AM" w:eastAsia="en-US"/>
        </w:rPr>
        <w:softHyphen/>
        <w:t>րարու</w:t>
      </w:r>
      <w:r w:rsidRPr="00A83C94">
        <w:rPr>
          <w:rFonts w:cs="Arial"/>
          <w:sz w:val="24"/>
          <w:lang w:val="hy-AM" w:eastAsia="en-US"/>
        </w:rPr>
        <w:softHyphen/>
        <w:t>թյուն</w:t>
      </w:r>
      <w:bookmarkEnd w:id="318"/>
    </w:p>
    <w:p w14:paraId="7FDAA1E1" w14:textId="77777777" w:rsidR="00610E1E" w:rsidRPr="00AC141F" w:rsidRDefault="00610E1E" w:rsidP="00262201">
      <w:pPr>
        <w:spacing w:before="0" w:line="276" w:lineRule="auto"/>
        <w:rPr>
          <w:b w:val="0"/>
          <w:szCs w:val="22"/>
          <w:lang w:val="hy-AM"/>
        </w:rPr>
      </w:pPr>
      <w:r w:rsidRPr="00AC141F">
        <w:rPr>
          <w:rFonts w:cs="Sylfaen"/>
          <w:b w:val="0"/>
          <w:szCs w:val="22"/>
          <w:lang w:val="hy-AM"/>
        </w:rPr>
        <w:t>ՀՀ</w:t>
      </w:r>
      <w:r w:rsidRPr="00AC141F">
        <w:rPr>
          <w:b w:val="0"/>
          <w:szCs w:val="22"/>
          <w:lang w:val="hy-AM"/>
        </w:rPr>
        <w:t xml:space="preserve"> </w:t>
      </w:r>
      <w:r w:rsidRPr="00AC141F">
        <w:rPr>
          <w:rFonts w:cs="Sylfaen"/>
          <w:b w:val="0"/>
          <w:szCs w:val="22"/>
          <w:lang w:val="hy-AM"/>
        </w:rPr>
        <w:t>արտաքին</w:t>
      </w:r>
      <w:r w:rsidRPr="00AC141F">
        <w:rPr>
          <w:b w:val="0"/>
          <w:szCs w:val="22"/>
          <w:lang w:val="hy-AM"/>
        </w:rPr>
        <w:t xml:space="preserve"> </w:t>
      </w:r>
      <w:r w:rsidRPr="00AC141F">
        <w:rPr>
          <w:rFonts w:cs="Sylfaen"/>
          <w:b w:val="0"/>
          <w:szCs w:val="22"/>
          <w:lang w:val="hy-AM"/>
        </w:rPr>
        <w:t>գործերի</w:t>
      </w:r>
      <w:r w:rsidRPr="00AC141F">
        <w:rPr>
          <w:b w:val="0"/>
          <w:szCs w:val="22"/>
          <w:lang w:val="hy-AM"/>
        </w:rPr>
        <w:t xml:space="preserve"> </w:t>
      </w:r>
      <w:r w:rsidRPr="00AC141F">
        <w:rPr>
          <w:rFonts w:cs="Sylfaen"/>
          <w:b w:val="0"/>
          <w:szCs w:val="22"/>
          <w:lang w:val="hy-AM"/>
        </w:rPr>
        <w:t>նախարարությունը իրեն</w:t>
      </w:r>
      <w:r w:rsidRPr="00AC141F">
        <w:rPr>
          <w:b w:val="0"/>
          <w:szCs w:val="22"/>
          <w:lang w:val="hy-AM"/>
        </w:rPr>
        <w:t xml:space="preserve"> </w:t>
      </w:r>
      <w:r w:rsidRPr="00AC141F">
        <w:rPr>
          <w:rFonts w:cs="Sylfaen"/>
          <w:b w:val="0"/>
          <w:szCs w:val="22"/>
          <w:lang w:val="hy-AM"/>
        </w:rPr>
        <w:t>վերապահված</w:t>
      </w:r>
      <w:r w:rsidRPr="00AC141F">
        <w:rPr>
          <w:b w:val="0"/>
          <w:szCs w:val="22"/>
          <w:lang w:val="hy-AM"/>
        </w:rPr>
        <w:t xml:space="preserve"> </w:t>
      </w:r>
      <w:r w:rsidRPr="00AC141F">
        <w:rPr>
          <w:rFonts w:cs="Sylfaen"/>
          <w:b w:val="0"/>
          <w:szCs w:val="22"/>
          <w:lang w:val="hy-AM"/>
        </w:rPr>
        <w:t>լիազորությունների</w:t>
      </w:r>
      <w:r w:rsidRPr="00AC141F">
        <w:rPr>
          <w:b w:val="0"/>
          <w:szCs w:val="22"/>
          <w:lang w:val="hy-AM"/>
        </w:rPr>
        <w:t xml:space="preserve"> </w:t>
      </w:r>
      <w:r w:rsidRPr="00AC141F">
        <w:rPr>
          <w:rFonts w:cs="Sylfaen"/>
          <w:b w:val="0"/>
          <w:szCs w:val="22"/>
          <w:lang w:val="hy-AM"/>
        </w:rPr>
        <w:t xml:space="preserve">շրջանակներում </w:t>
      </w:r>
      <w:r w:rsidRPr="00AC141F">
        <w:rPr>
          <w:b w:val="0"/>
          <w:szCs w:val="22"/>
          <w:lang w:val="hy-AM"/>
        </w:rPr>
        <w:t>ՀՀ Կառավարության ծրագրի հիման վրա մշ</w:t>
      </w:r>
      <w:r w:rsidRPr="00AC141F">
        <w:rPr>
          <w:rFonts w:cs="Sylfaen"/>
          <w:b w:val="0"/>
          <w:szCs w:val="22"/>
          <w:lang w:val="hy-AM"/>
        </w:rPr>
        <w:t>ակում</w:t>
      </w:r>
      <w:r w:rsidRPr="00AC141F">
        <w:rPr>
          <w:b w:val="0"/>
          <w:szCs w:val="22"/>
          <w:lang w:val="hy-AM"/>
        </w:rPr>
        <w:t xml:space="preserve">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իրականացնում</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w:t>
      </w:r>
      <w:r w:rsidRPr="00AC141F">
        <w:rPr>
          <w:rFonts w:cs="Sylfaen"/>
          <w:b w:val="0"/>
          <w:szCs w:val="22"/>
          <w:lang w:val="hy-AM"/>
        </w:rPr>
        <w:t>Հայաստանի Հանրապետության</w:t>
      </w:r>
      <w:r w:rsidRPr="00AC141F">
        <w:rPr>
          <w:b w:val="0"/>
          <w:szCs w:val="22"/>
          <w:lang w:val="hy-AM"/>
        </w:rPr>
        <w:t xml:space="preserve"> </w:t>
      </w:r>
      <w:r w:rsidRPr="00AC141F">
        <w:rPr>
          <w:rFonts w:cs="Sylfaen"/>
          <w:b w:val="0"/>
          <w:szCs w:val="22"/>
          <w:lang w:val="hy-AM"/>
        </w:rPr>
        <w:t>արտաքին</w:t>
      </w:r>
      <w:r w:rsidRPr="00AC141F">
        <w:rPr>
          <w:b w:val="0"/>
          <w:szCs w:val="22"/>
          <w:lang w:val="hy-AM"/>
        </w:rPr>
        <w:t xml:space="preserve"> </w:t>
      </w:r>
      <w:r w:rsidRPr="00AC141F">
        <w:rPr>
          <w:rFonts w:cs="Sylfaen"/>
          <w:b w:val="0"/>
          <w:szCs w:val="22"/>
          <w:lang w:val="hy-AM"/>
        </w:rPr>
        <w:t>քաղաքականությունը,</w:t>
      </w:r>
      <w:r w:rsidRPr="00AC141F">
        <w:rPr>
          <w:b w:val="0"/>
          <w:szCs w:val="22"/>
          <w:lang w:val="hy-AM"/>
        </w:rPr>
        <w:t xml:space="preserve"> </w:t>
      </w:r>
      <w:r w:rsidRPr="00AC141F">
        <w:rPr>
          <w:rFonts w:cs="Sylfaen"/>
          <w:b w:val="0"/>
          <w:szCs w:val="22"/>
          <w:lang w:val="hy-AM"/>
        </w:rPr>
        <w:t>ինչպե</w:t>
      </w:r>
      <w:r w:rsidRPr="00AC141F">
        <w:rPr>
          <w:b w:val="0"/>
          <w:szCs w:val="22"/>
          <w:lang w:val="hy-AM"/>
        </w:rPr>
        <w:t xml:space="preserve">u </w:t>
      </w:r>
      <w:r w:rsidRPr="00AC141F">
        <w:rPr>
          <w:rFonts w:cs="Sylfaen"/>
          <w:b w:val="0"/>
          <w:szCs w:val="22"/>
          <w:lang w:val="hy-AM"/>
        </w:rPr>
        <w:t>նաև</w:t>
      </w:r>
      <w:r w:rsidRPr="00AC141F">
        <w:rPr>
          <w:b w:val="0"/>
          <w:szCs w:val="22"/>
          <w:lang w:val="hy-AM"/>
        </w:rPr>
        <w:t xml:space="preserve"> </w:t>
      </w:r>
      <w:r w:rsidRPr="00AC141F">
        <w:rPr>
          <w:rFonts w:cs="Sylfaen"/>
          <w:b w:val="0"/>
          <w:szCs w:val="22"/>
          <w:lang w:val="hy-AM"/>
        </w:rPr>
        <w:t>կազմակերպում</w:t>
      </w:r>
      <w:r w:rsidRPr="00AC141F">
        <w:rPr>
          <w:b w:val="0"/>
          <w:szCs w:val="22"/>
          <w:lang w:val="hy-AM"/>
        </w:rPr>
        <w:t xml:space="preserve">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ղեկավարում</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w:t>
      </w:r>
      <w:r w:rsidRPr="00AC141F">
        <w:rPr>
          <w:rFonts w:cs="Sylfaen"/>
          <w:b w:val="0"/>
          <w:szCs w:val="22"/>
          <w:lang w:val="hy-AM"/>
        </w:rPr>
        <w:t>դիվանագիտական</w:t>
      </w:r>
      <w:r w:rsidRPr="00AC141F">
        <w:rPr>
          <w:b w:val="0"/>
          <w:szCs w:val="22"/>
          <w:lang w:val="hy-AM"/>
        </w:rPr>
        <w:t xml:space="preserve"> </w:t>
      </w:r>
      <w:r w:rsidRPr="00AC141F">
        <w:rPr>
          <w:rFonts w:cs="Sylfaen"/>
          <w:b w:val="0"/>
          <w:szCs w:val="22"/>
          <w:lang w:val="hy-AM"/>
        </w:rPr>
        <w:t>ծառայությունն</w:t>
      </w:r>
      <w:r w:rsidRPr="00AC141F">
        <w:rPr>
          <w:b w:val="0"/>
          <w:szCs w:val="22"/>
          <w:lang w:val="hy-AM"/>
        </w:rPr>
        <w:t xml:space="preserve"> </w:t>
      </w:r>
      <w:r w:rsidRPr="00AC141F">
        <w:rPr>
          <w:rFonts w:cs="Sylfaen"/>
          <w:b w:val="0"/>
          <w:szCs w:val="22"/>
          <w:lang w:val="hy-AM"/>
        </w:rPr>
        <w:t>օտարերկրյա  պետություններում</w:t>
      </w:r>
      <w:r w:rsidRPr="00AC141F">
        <w:rPr>
          <w:b w:val="0"/>
          <w:szCs w:val="22"/>
          <w:lang w:val="hy-AM"/>
        </w:rPr>
        <w:t xml:space="preserve">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միջազգային</w:t>
      </w:r>
      <w:r w:rsidRPr="00AC141F">
        <w:rPr>
          <w:b w:val="0"/>
          <w:szCs w:val="22"/>
          <w:lang w:val="hy-AM"/>
        </w:rPr>
        <w:t xml:space="preserve"> </w:t>
      </w:r>
      <w:r w:rsidRPr="00AC141F">
        <w:rPr>
          <w:rFonts w:cs="Sylfaen"/>
          <w:b w:val="0"/>
          <w:szCs w:val="22"/>
          <w:lang w:val="hy-AM"/>
        </w:rPr>
        <w:t>կառույցներում</w:t>
      </w:r>
      <w:r w:rsidRPr="00AC141F">
        <w:rPr>
          <w:b w:val="0"/>
          <w:szCs w:val="22"/>
          <w:lang w:val="hy-AM"/>
        </w:rPr>
        <w:t xml:space="preserve">: </w:t>
      </w:r>
    </w:p>
    <w:p w14:paraId="018121EA" w14:textId="2A451916" w:rsidR="00610E1E" w:rsidRPr="00AC141F" w:rsidRDefault="00610E1E" w:rsidP="00262201">
      <w:pPr>
        <w:spacing w:before="0" w:line="276" w:lineRule="auto"/>
        <w:rPr>
          <w:b w:val="0"/>
          <w:szCs w:val="22"/>
          <w:lang w:val="hy-AM"/>
        </w:rPr>
      </w:pPr>
      <w:r w:rsidRPr="00AC141F">
        <w:rPr>
          <w:rFonts w:cs="Sylfaen"/>
          <w:b w:val="0"/>
          <w:szCs w:val="22"/>
          <w:lang w:val="hy-AM"/>
        </w:rPr>
        <w:t>Հայաստանի</w:t>
      </w:r>
      <w:r w:rsidRPr="00AC141F">
        <w:rPr>
          <w:b w:val="0"/>
          <w:szCs w:val="22"/>
          <w:lang w:val="hy-AM"/>
        </w:rPr>
        <w:t xml:space="preserve"> </w:t>
      </w:r>
      <w:r w:rsidRPr="00AC141F">
        <w:rPr>
          <w:rFonts w:cs="Sylfaen"/>
          <w:b w:val="0"/>
          <w:szCs w:val="22"/>
          <w:lang w:val="hy-AM"/>
        </w:rPr>
        <w:t>Հանրապետությունը</w:t>
      </w:r>
      <w:r w:rsidRPr="00AC141F">
        <w:rPr>
          <w:b w:val="0"/>
          <w:szCs w:val="22"/>
          <w:lang w:val="hy-AM"/>
        </w:rPr>
        <w:t xml:space="preserve"> </w:t>
      </w:r>
      <w:r w:rsidRPr="00AC141F">
        <w:rPr>
          <w:rFonts w:cs="Sylfaen"/>
          <w:b w:val="0"/>
          <w:szCs w:val="22"/>
          <w:lang w:val="hy-AM"/>
        </w:rPr>
        <w:t>դիվանագիտական</w:t>
      </w:r>
      <w:r w:rsidRPr="00AC141F">
        <w:rPr>
          <w:b w:val="0"/>
          <w:szCs w:val="22"/>
          <w:lang w:val="hy-AM"/>
        </w:rPr>
        <w:t xml:space="preserve"> </w:t>
      </w:r>
      <w:r w:rsidRPr="00AC141F">
        <w:rPr>
          <w:rFonts w:cs="Sylfaen"/>
          <w:b w:val="0"/>
          <w:szCs w:val="22"/>
          <w:lang w:val="hy-AM"/>
        </w:rPr>
        <w:t>հարաբերություններ</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w:t>
      </w:r>
      <w:r w:rsidRPr="00AC141F">
        <w:rPr>
          <w:rFonts w:cs="Sylfaen"/>
          <w:b w:val="0"/>
          <w:szCs w:val="22"/>
          <w:lang w:val="hy-AM"/>
        </w:rPr>
        <w:t>հաստատել աշխարհի</w:t>
      </w:r>
      <w:r w:rsidRPr="00AC141F">
        <w:rPr>
          <w:b w:val="0"/>
          <w:szCs w:val="22"/>
          <w:lang w:val="hy-AM"/>
        </w:rPr>
        <w:t xml:space="preserve"> 178 </w:t>
      </w:r>
      <w:r w:rsidRPr="00AC141F">
        <w:rPr>
          <w:rFonts w:cs="Sylfaen"/>
          <w:b w:val="0"/>
          <w:szCs w:val="22"/>
          <w:lang w:val="hy-AM"/>
        </w:rPr>
        <w:t>երկրի</w:t>
      </w:r>
      <w:r w:rsidRPr="00AC141F">
        <w:rPr>
          <w:b w:val="0"/>
          <w:szCs w:val="22"/>
          <w:lang w:val="hy-AM"/>
        </w:rPr>
        <w:t xml:space="preserve"> </w:t>
      </w:r>
      <w:r w:rsidRPr="00AC141F">
        <w:rPr>
          <w:rFonts w:cs="Sylfaen"/>
          <w:b w:val="0"/>
          <w:szCs w:val="22"/>
          <w:lang w:val="hy-AM"/>
        </w:rPr>
        <w:t>հետ</w:t>
      </w:r>
      <w:r w:rsidRPr="00AC141F">
        <w:rPr>
          <w:b w:val="0"/>
          <w:szCs w:val="22"/>
          <w:lang w:val="hy-AM"/>
        </w:rPr>
        <w:t xml:space="preserve">, </w:t>
      </w:r>
      <w:r w:rsidRPr="00AC141F">
        <w:rPr>
          <w:rFonts w:cs="Sylfaen"/>
          <w:b w:val="0"/>
          <w:szCs w:val="22"/>
          <w:lang w:val="hy-AM"/>
        </w:rPr>
        <w:t>անդամակցում</w:t>
      </w:r>
      <w:r w:rsidRPr="00AC141F">
        <w:rPr>
          <w:b w:val="0"/>
          <w:szCs w:val="22"/>
          <w:lang w:val="hy-AM"/>
        </w:rPr>
        <w:t xml:space="preserve"> </w:t>
      </w:r>
      <w:r w:rsidRPr="00AC141F">
        <w:rPr>
          <w:rFonts w:cs="Sylfaen"/>
          <w:b w:val="0"/>
          <w:szCs w:val="22"/>
          <w:lang w:val="hy-AM"/>
        </w:rPr>
        <w:t>է</w:t>
      </w:r>
      <w:r w:rsidRPr="00AC141F">
        <w:rPr>
          <w:b w:val="0"/>
          <w:szCs w:val="22"/>
          <w:lang w:val="hy-AM"/>
        </w:rPr>
        <w:t xml:space="preserve"> 106 </w:t>
      </w:r>
      <w:r w:rsidRPr="00AC141F">
        <w:rPr>
          <w:rFonts w:cs="Sylfaen"/>
          <w:b w:val="0"/>
          <w:szCs w:val="22"/>
          <w:lang w:val="hy-AM"/>
        </w:rPr>
        <w:t>միջազգային</w:t>
      </w:r>
      <w:r w:rsidRPr="00AC141F">
        <w:rPr>
          <w:b w:val="0"/>
          <w:szCs w:val="22"/>
          <w:lang w:val="hy-AM"/>
        </w:rPr>
        <w:t xml:space="preserve"> </w:t>
      </w:r>
      <w:r w:rsidRPr="00AC141F">
        <w:rPr>
          <w:rFonts w:cs="Sylfaen"/>
          <w:b w:val="0"/>
          <w:szCs w:val="22"/>
          <w:lang w:val="hy-AM"/>
        </w:rPr>
        <w:t>կազմակերպության</w:t>
      </w:r>
      <w:r w:rsidRPr="00AC141F">
        <w:rPr>
          <w:b w:val="0"/>
          <w:szCs w:val="22"/>
          <w:lang w:val="hy-AM"/>
        </w:rPr>
        <w:t xml:space="preserve">, այդ թվում՝ մասնագիտացված մարմինների, ծրագրերի, կոնվենցիաների </w:t>
      </w:r>
      <w:r w:rsidRPr="00AC141F">
        <w:rPr>
          <w:rFonts w:cs="Sylfaen"/>
          <w:b w:val="0"/>
          <w:szCs w:val="22"/>
          <w:lang w:val="hy-AM"/>
        </w:rPr>
        <w:t>և</w:t>
      </w:r>
      <w:r w:rsidRPr="00AC141F">
        <w:rPr>
          <w:b w:val="0"/>
          <w:szCs w:val="22"/>
          <w:lang w:val="hy-AM"/>
        </w:rPr>
        <w:t xml:space="preserve"> </w:t>
      </w:r>
      <w:r w:rsidRPr="00AC141F">
        <w:rPr>
          <w:rFonts w:cs="Sylfaen"/>
          <w:b w:val="0"/>
          <w:szCs w:val="22"/>
          <w:lang w:val="hy-AM"/>
        </w:rPr>
        <w:t>համաշխարհային</w:t>
      </w:r>
      <w:r w:rsidRPr="00AC141F">
        <w:rPr>
          <w:b w:val="0"/>
          <w:szCs w:val="22"/>
          <w:lang w:val="hy-AM"/>
        </w:rPr>
        <w:t xml:space="preserve"> </w:t>
      </w:r>
      <w:r w:rsidRPr="00AC141F">
        <w:rPr>
          <w:rFonts w:cs="Sylfaen"/>
          <w:b w:val="0"/>
          <w:szCs w:val="22"/>
          <w:lang w:val="hy-AM"/>
        </w:rPr>
        <w:t>հանրության կողմից ընկալվում է որպես</w:t>
      </w:r>
      <w:r w:rsidRPr="00AC141F">
        <w:rPr>
          <w:b w:val="0"/>
          <w:szCs w:val="22"/>
          <w:lang w:val="hy-AM"/>
        </w:rPr>
        <w:t xml:space="preserve"> </w:t>
      </w:r>
      <w:r w:rsidRPr="00AC141F">
        <w:rPr>
          <w:rFonts w:cs="Sylfaen"/>
          <w:b w:val="0"/>
          <w:szCs w:val="22"/>
          <w:lang w:val="hy-AM"/>
        </w:rPr>
        <w:t>կանխատեսելի</w:t>
      </w:r>
      <w:r w:rsidRPr="00AC141F">
        <w:rPr>
          <w:b w:val="0"/>
          <w:szCs w:val="22"/>
          <w:lang w:val="hy-AM"/>
        </w:rPr>
        <w:t xml:space="preserve"> </w:t>
      </w:r>
      <w:r w:rsidRPr="00AC141F">
        <w:rPr>
          <w:rFonts w:cs="Sylfaen"/>
          <w:b w:val="0"/>
          <w:szCs w:val="22"/>
          <w:lang w:val="hy-AM"/>
        </w:rPr>
        <w:t>ու</w:t>
      </w:r>
      <w:r w:rsidRPr="00AC141F">
        <w:rPr>
          <w:b w:val="0"/>
          <w:szCs w:val="22"/>
          <w:lang w:val="hy-AM"/>
        </w:rPr>
        <w:t xml:space="preserve"> </w:t>
      </w:r>
      <w:r w:rsidRPr="00AC141F">
        <w:rPr>
          <w:rFonts w:cs="Sylfaen"/>
          <w:b w:val="0"/>
          <w:szCs w:val="22"/>
          <w:lang w:val="hy-AM"/>
        </w:rPr>
        <w:t>հուսալի</w:t>
      </w:r>
      <w:r w:rsidRPr="00AC141F">
        <w:rPr>
          <w:b w:val="0"/>
          <w:szCs w:val="22"/>
          <w:lang w:val="hy-AM"/>
        </w:rPr>
        <w:t xml:space="preserve"> </w:t>
      </w:r>
      <w:r w:rsidRPr="00AC141F">
        <w:rPr>
          <w:rFonts w:cs="Sylfaen"/>
          <w:b w:val="0"/>
          <w:szCs w:val="22"/>
          <w:lang w:val="hy-AM"/>
        </w:rPr>
        <w:t>գործընկեր</w:t>
      </w:r>
      <w:r w:rsidRPr="00AC141F">
        <w:rPr>
          <w:b w:val="0"/>
          <w:szCs w:val="22"/>
          <w:lang w:val="hy-AM"/>
        </w:rPr>
        <w:t xml:space="preserve">: </w:t>
      </w:r>
      <w:r w:rsidRPr="00AC141F">
        <w:rPr>
          <w:rFonts w:cs="Arial Armenian"/>
          <w:b w:val="0"/>
          <w:szCs w:val="22"/>
          <w:lang w:val="hy-AM"/>
        </w:rPr>
        <w:t xml:space="preserve">Արտերկրում </w:t>
      </w:r>
      <w:r w:rsidR="00B771AD" w:rsidRPr="00AC141F">
        <w:rPr>
          <w:rFonts w:cs="Sylfaen"/>
          <w:b w:val="0"/>
          <w:szCs w:val="22"/>
          <w:lang w:val="hy-AM"/>
        </w:rPr>
        <w:t>Հայաստանի</w:t>
      </w:r>
      <w:r w:rsidR="00B771AD" w:rsidRPr="00AC141F">
        <w:rPr>
          <w:b w:val="0"/>
          <w:szCs w:val="22"/>
          <w:lang w:val="hy-AM"/>
        </w:rPr>
        <w:t xml:space="preserve"> </w:t>
      </w:r>
      <w:r w:rsidR="00B771AD" w:rsidRPr="00AC141F">
        <w:rPr>
          <w:rFonts w:cs="Sylfaen"/>
          <w:b w:val="0"/>
          <w:szCs w:val="22"/>
          <w:lang w:val="hy-AM"/>
        </w:rPr>
        <w:t>Հանրապետություն</w:t>
      </w:r>
      <w:r w:rsidR="00B771AD">
        <w:rPr>
          <w:rFonts w:cs="Sylfaen"/>
          <w:b w:val="0"/>
          <w:szCs w:val="22"/>
          <w:lang w:val="hy-AM"/>
        </w:rPr>
        <w:t>ն</w:t>
      </w:r>
      <w:r w:rsidR="00B771AD" w:rsidRPr="00AC141F">
        <w:rPr>
          <w:b w:val="0"/>
          <w:szCs w:val="22"/>
          <w:lang w:val="hy-AM"/>
        </w:rPr>
        <w:t xml:space="preserve"> </w:t>
      </w:r>
      <w:r w:rsidRPr="00AC141F">
        <w:rPr>
          <w:rFonts w:cs="Arial Armenian"/>
          <w:b w:val="0"/>
          <w:szCs w:val="22"/>
          <w:lang w:val="hy-AM"/>
        </w:rPr>
        <w:t xml:space="preserve">ունի 49 ռեզիդենտ դեսպան, ովքեր հավատարմագրված են շուրջ 80 երկրում։ ՀՀ մշտական ներկայացուցիչներ են նշանակված 11 միջազգային կազմակերպություններում, արտերկրում գործում է ՀՀ 10 գլխավոր հյուպատոսություն և 50 պատվավոր հյուպատոսի գրասենյակ: </w:t>
      </w:r>
    </w:p>
    <w:p w14:paraId="243930BF" w14:textId="02D38A33" w:rsidR="008C694F" w:rsidRPr="00A83C94" w:rsidRDefault="008C694F" w:rsidP="00262201">
      <w:pPr>
        <w:spacing w:before="0" w:line="276" w:lineRule="auto"/>
        <w:rPr>
          <w:b w:val="0"/>
          <w:lang w:val="hy-AM"/>
        </w:rPr>
      </w:pPr>
      <w:r w:rsidRPr="00A83C94">
        <w:rPr>
          <w:b w:val="0"/>
          <w:color w:val="000000"/>
          <w:szCs w:val="22"/>
          <w:lang w:val="hy-AM" w:eastAsia="en-US"/>
        </w:rPr>
        <w:t xml:space="preserve">ՀՀ </w:t>
      </w:r>
      <w:r w:rsidR="0042040A" w:rsidRPr="00A83C94">
        <w:rPr>
          <w:b w:val="0"/>
          <w:color w:val="000000"/>
          <w:szCs w:val="22"/>
          <w:lang w:val="hy-AM" w:eastAsia="en-US"/>
        </w:rPr>
        <w:t>արտաքին գործերի</w:t>
      </w:r>
      <w:r w:rsidRPr="00A83C94">
        <w:rPr>
          <w:b w:val="0"/>
          <w:color w:val="000000"/>
          <w:szCs w:val="22"/>
          <w:lang w:val="hy-AM" w:eastAsia="en-US"/>
        </w:rPr>
        <w:t xml:space="preserve"> նախա</w:t>
      </w:r>
      <w:r w:rsidRPr="00A83C94">
        <w:rPr>
          <w:b w:val="0"/>
          <w:color w:val="000000"/>
          <w:szCs w:val="22"/>
          <w:lang w:val="hy-AM" w:eastAsia="en-US"/>
        </w:rPr>
        <w:softHyphen/>
        <w:t>րարու</w:t>
      </w:r>
      <w:r w:rsidRPr="00A83C94">
        <w:rPr>
          <w:b w:val="0"/>
          <w:color w:val="000000"/>
          <w:szCs w:val="22"/>
          <w:lang w:val="hy-AM" w:eastAsia="en-US"/>
        </w:rPr>
        <w:softHyphen/>
        <w:t xml:space="preserve">թյան գծով Նախագծով նախատեսվում է հատկացնել </w:t>
      </w:r>
      <w:r w:rsidR="005A3169">
        <w:rPr>
          <w:b w:val="0"/>
          <w:color w:val="000000"/>
          <w:szCs w:val="22"/>
          <w:lang w:val="hy-AM" w:eastAsia="en-US"/>
        </w:rPr>
        <w:t>18</w:t>
      </w:r>
      <w:r w:rsidRPr="00A83C94">
        <w:rPr>
          <w:b w:val="0"/>
          <w:color w:val="000000"/>
          <w:szCs w:val="22"/>
          <w:lang w:val="hy-AM" w:eastAsia="en-US"/>
        </w:rPr>
        <w:t>,</w:t>
      </w:r>
      <w:r w:rsidR="00093B64" w:rsidRPr="00093B64">
        <w:rPr>
          <w:b w:val="0"/>
          <w:color w:val="000000"/>
          <w:szCs w:val="22"/>
          <w:lang w:val="hy-AM" w:eastAsia="en-US"/>
        </w:rPr>
        <w:t>0</w:t>
      </w:r>
      <w:r w:rsidR="0080249D">
        <w:rPr>
          <w:b w:val="0"/>
          <w:color w:val="000000"/>
          <w:szCs w:val="22"/>
          <w:lang w:val="hy-AM" w:eastAsia="en-US"/>
        </w:rPr>
        <w:t>86.3</w:t>
      </w:r>
      <w:r w:rsidRPr="00A83C94">
        <w:rPr>
          <w:b w:val="0"/>
          <w:color w:val="000000"/>
          <w:szCs w:val="22"/>
          <w:lang w:val="hy-AM" w:eastAsia="en-US"/>
        </w:rPr>
        <w:t xml:space="preserve"> մլն դրամ (ներառյալ կառավարման ապարատի պահպանման ծախսերը): Հատկացվելիք միջոցներն</w:t>
      </w:r>
      <w:r w:rsidRPr="00A83C94">
        <w:rPr>
          <w:b w:val="0"/>
          <w:lang w:val="hy-AM"/>
        </w:rPr>
        <w:t xml:space="preserve"> ուղղվելու են հետևյալ ծրագրերի իրականացմանը.</w:t>
      </w:r>
    </w:p>
    <w:p w14:paraId="62062D5F" w14:textId="618B0FAC" w:rsidR="005A3169" w:rsidRDefault="005A3169" w:rsidP="00262201">
      <w:pPr>
        <w:spacing w:line="276" w:lineRule="auto"/>
        <w:rPr>
          <w:rFonts w:eastAsia="Calibri"/>
          <w:b w:val="0"/>
          <w:spacing w:val="-6"/>
          <w:szCs w:val="22"/>
          <w:lang w:val="hy-AM" w:eastAsia="en-US"/>
        </w:rPr>
      </w:pPr>
      <w:r w:rsidRPr="005A3169">
        <w:rPr>
          <w:rFonts w:eastAsia="Calibri" w:cs="GHEA Grapalat"/>
          <w:spacing w:val="-6"/>
          <w:lang w:val="hy-AM"/>
        </w:rPr>
        <w:t>Արտաքին</w:t>
      </w:r>
      <w:r w:rsidRPr="005A3169">
        <w:rPr>
          <w:rFonts w:eastAsia="Calibri"/>
          <w:spacing w:val="-6"/>
          <w:lang w:val="hy-AM"/>
        </w:rPr>
        <w:t xml:space="preserve"> </w:t>
      </w:r>
      <w:r w:rsidRPr="005A3169">
        <w:rPr>
          <w:rFonts w:eastAsia="Calibri" w:cs="GHEA Grapalat"/>
          <w:spacing w:val="-6"/>
          <w:lang w:val="hy-AM"/>
        </w:rPr>
        <w:t>գործերի</w:t>
      </w:r>
      <w:r w:rsidRPr="005A3169">
        <w:rPr>
          <w:rFonts w:eastAsia="Calibri"/>
          <w:spacing w:val="-6"/>
          <w:lang w:val="hy-AM"/>
        </w:rPr>
        <w:t xml:space="preserve"> </w:t>
      </w:r>
      <w:r w:rsidRPr="005A3169">
        <w:rPr>
          <w:rFonts w:eastAsia="Calibri" w:cs="GHEA Grapalat"/>
          <w:spacing w:val="-6"/>
          <w:lang w:val="hy-AM"/>
        </w:rPr>
        <w:t>ոլորտում</w:t>
      </w:r>
      <w:r w:rsidRPr="005A3169">
        <w:rPr>
          <w:rFonts w:eastAsia="Calibri"/>
          <w:spacing w:val="-6"/>
          <w:lang w:val="hy-AM"/>
        </w:rPr>
        <w:t xml:space="preserve"> </w:t>
      </w:r>
      <w:r w:rsidRPr="005A3169">
        <w:rPr>
          <w:rFonts w:eastAsia="Calibri" w:cs="GHEA Grapalat"/>
          <w:spacing w:val="-6"/>
          <w:lang w:val="hy-AM"/>
        </w:rPr>
        <w:t>Կառավարության</w:t>
      </w:r>
      <w:r w:rsidRPr="005A3169">
        <w:rPr>
          <w:rFonts w:eastAsia="Calibri"/>
          <w:spacing w:val="-6"/>
          <w:lang w:val="hy-AM"/>
        </w:rPr>
        <w:t xml:space="preserve"> </w:t>
      </w:r>
      <w:r w:rsidRPr="005A3169">
        <w:rPr>
          <w:rFonts w:eastAsia="Calibri" w:cs="GHEA Grapalat"/>
          <w:spacing w:val="-6"/>
          <w:lang w:val="hy-AM"/>
        </w:rPr>
        <w:t>քաղաքականության</w:t>
      </w:r>
      <w:r w:rsidRPr="005A3169">
        <w:rPr>
          <w:rFonts w:eastAsia="Calibri"/>
          <w:spacing w:val="-6"/>
          <w:lang w:val="hy-AM"/>
        </w:rPr>
        <w:t xml:space="preserve"> </w:t>
      </w:r>
      <w:r w:rsidRPr="005A3169">
        <w:rPr>
          <w:rFonts w:eastAsia="Calibri" w:cs="GHEA Grapalat"/>
          <w:spacing w:val="-6"/>
          <w:lang w:val="hy-AM"/>
        </w:rPr>
        <w:t>մշակում</w:t>
      </w:r>
      <w:r w:rsidRPr="005A3169">
        <w:rPr>
          <w:rFonts w:eastAsia="Calibri"/>
          <w:spacing w:val="-6"/>
          <w:lang w:val="hy-AM"/>
        </w:rPr>
        <w:t xml:space="preserve"> </w:t>
      </w:r>
      <w:r w:rsidRPr="005A3169">
        <w:rPr>
          <w:rFonts w:eastAsia="Calibri" w:cs="GHEA Grapalat"/>
          <w:spacing w:val="-6"/>
          <w:lang w:val="hy-AM"/>
        </w:rPr>
        <w:t>և</w:t>
      </w:r>
      <w:r w:rsidRPr="005A3169">
        <w:rPr>
          <w:rFonts w:eastAsia="Calibri"/>
          <w:spacing w:val="-6"/>
          <w:lang w:val="hy-AM"/>
        </w:rPr>
        <w:t xml:space="preserve"> </w:t>
      </w:r>
      <w:r w:rsidRPr="005A3169">
        <w:rPr>
          <w:rFonts w:eastAsia="Calibri" w:cs="GHEA Grapalat"/>
          <w:spacing w:val="-6"/>
          <w:lang w:val="hy-AM"/>
        </w:rPr>
        <w:t>իրականացում</w:t>
      </w:r>
      <w:r w:rsidRPr="005A3169">
        <w:rPr>
          <w:b w:val="0"/>
          <w:lang w:val="hy-AM"/>
        </w:rPr>
        <w:t xml:space="preserve"> </w:t>
      </w:r>
      <w:r w:rsidRPr="00A83C94">
        <w:rPr>
          <w:b w:val="0"/>
          <w:lang w:val="hy-AM"/>
        </w:rPr>
        <w:t xml:space="preserve">ծրագրի գծով 2022 թվականին նախատեսվել է հատկացնել </w:t>
      </w:r>
      <w:r>
        <w:rPr>
          <w:b w:val="0"/>
          <w:lang w:val="hy-AM"/>
        </w:rPr>
        <w:t>1</w:t>
      </w:r>
      <w:r w:rsidRPr="00A83C94">
        <w:rPr>
          <w:b w:val="0"/>
          <w:lang w:val="hy-AM"/>
        </w:rPr>
        <w:t>,</w:t>
      </w:r>
      <w:r>
        <w:rPr>
          <w:b w:val="0"/>
          <w:lang w:val="hy-AM"/>
        </w:rPr>
        <w:t>9</w:t>
      </w:r>
      <w:r w:rsidR="00BA061B" w:rsidRPr="00BA061B">
        <w:rPr>
          <w:b w:val="0"/>
          <w:lang w:val="hy-AM"/>
        </w:rPr>
        <w:t>9</w:t>
      </w:r>
      <w:r w:rsidR="0080249D">
        <w:rPr>
          <w:b w:val="0"/>
          <w:lang w:val="hy-AM"/>
        </w:rPr>
        <w:t>2.3</w:t>
      </w:r>
      <w:r w:rsidRPr="00A83C94">
        <w:rPr>
          <w:b w:val="0"/>
          <w:lang w:val="hy-AM"/>
        </w:rPr>
        <w:t xml:space="preserve"> մլն դրամ: </w:t>
      </w:r>
    </w:p>
    <w:p w14:paraId="22076E61" w14:textId="7C1E2411" w:rsidR="005A3169" w:rsidRDefault="005A3169" w:rsidP="00262201">
      <w:pPr>
        <w:spacing w:line="276" w:lineRule="auto"/>
        <w:rPr>
          <w:rFonts w:eastAsia="GHEA Grapalat" w:cs="GHEA Grapalat"/>
          <w:b w:val="0"/>
          <w:color w:val="1D2228"/>
          <w:lang w:val="hy-AM"/>
        </w:rPr>
      </w:pPr>
      <w:r w:rsidRPr="005A3169">
        <w:rPr>
          <w:rFonts w:eastAsia="GHEA Grapalat" w:cs="GHEA Grapalat"/>
          <w:b w:val="0"/>
          <w:color w:val="1D2228"/>
          <w:lang w:val="hy-AM"/>
        </w:rPr>
        <w:t xml:space="preserve">Ծրագրի նպատակն </w:t>
      </w:r>
      <w:r>
        <w:rPr>
          <w:rFonts w:eastAsia="GHEA Grapalat" w:cs="GHEA Grapalat"/>
          <w:b w:val="0"/>
          <w:color w:val="1D2228"/>
          <w:lang w:val="hy-AM"/>
        </w:rPr>
        <w:t>է</w:t>
      </w:r>
      <w:r w:rsidRPr="005A3169">
        <w:rPr>
          <w:rFonts w:eastAsia="GHEA Grapalat" w:cs="GHEA Grapalat"/>
          <w:b w:val="0"/>
          <w:color w:val="1D2228"/>
          <w:lang w:val="hy-AM"/>
        </w:rPr>
        <w:t xml:space="preserve"> ՀՀ ինքնիշխանության պաշտպանությունը, Հայաստանի և Արցախի անվտանգության ապահովումը, ՀՀ միջազգային հեղինակության բարձրացումը, ՀՀ կայուն զարգացմանն ուղղված միջազգային և տարածաշրջանային համագործակցության ապահովումը, ինչպես նաև միջազգային իրավունքի հիման վրա՝ բոլոր պետությունների հետ բարիդրացիական, փոխշահավետ հարաբերությունների հաստատումն ու զարգացումը, միջազգային հարաբերություններում Հայաստանի Հանրապետության շահերի և իրավունքների ներկայացումը: </w:t>
      </w:r>
    </w:p>
    <w:p w14:paraId="6BCCED0F" w14:textId="61C9B11A" w:rsidR="00AC141F" w:rsidRPr="00AC141F" w:rsidRDefault="00AC141F" w:rsidP="00262201">
      <w:pPr>
        <w:spacing w:line="276" w:lineRule="auto"/>
        <w:rPr>
          <w:rFonts w:eastAsia="Calibri"/>
          <w:b w:val="0"/>
          <w:spacing w:val="-6"/>
          <w:szCs w:val="22"/>
          <w:lang w:val="hy-AM"/>
        </w:rPr>
      </w:pPr>
      <w:r w:rsidRPr="00AC141F">
        <w:rPr>
          <w:rFonts w:eastAsia="Calibri"/>
          <w:spacing w:val="-6"/>
          <w:szCs w:val="22"/>
          <w:lang w:val="hy-AM"/>
        </w:rPr>
        <w:t xml:space="preserve">Համագործակցություն </w:t>
      </w:r>
      <w:r w:rsidRPr="00AC141F">
        <w:rPr>
          <w:rFonts w:eastAsia="Calibri" w:cs="GHEA Grapalat"/>
          <w:spacing w:val="-6"/>
          <w:szCs w:val="22"/>
          <w:lang w:val="hy-AM"/>
        </w:rPr>
        <w:t>միջազգային</w:t>
      </w:r>
      <w:r w:rsidRPr="00AC141F">
        <w:rPr>
          <w:rFonts w:eastAsia="Calibri"/>
          <w:spacing w:val="-6"/>
          <w:szCs w:val="22"/>
          <w:lang w:val="hy-AM"/>
        </w:rPr>
        <w:t xml:space="preserve"> </w:t>
      </w:r>
      <w:r w:rsidRPr="00AC141F">
        <w:rPr>
          <w:rFonts w:eastAsia="Calibri" w:cs="GHEA Grapalat"/>
          <w:spacing w:val="-6"/>
          <w:szCs w:val="22"/>
          <w:lang w:val="hy-AM"/>
        </w:rPr>
        <w:t>կազմակերպությունների</w:t>
      </w:r>
      <w:r w:rsidRPr="00AC141F">
        <w:rPr>
          <w:rFonts w:eastAsia="Calibri"/>
          <w:spacing w:val="-6"/>
          <w:szCs w:val="22"/>
          <w:lang w:val="hy-AM"/>
        </w:rPr>
        <w:t xml:space="preserve"> </w:t>
      </w:r>
      <w:r w:rsidRPr="00AC141F">
        <w:rPr>
          <w:rFonts w:eastAsia="Calibri" w:cs="GHEA Grapalat"/>
          <w:spacing w:val="-6"/>
          <w:szCs w:val="22"/>
          <w:lang w:val="hy-AM"/>
        </w:rPr>
        <w:t>հետ</w:t>
      </w:r>
      <w:r w:rsidRPr="00AC141F">
        <w:rPr>
          <w:rFonts w:eastAsia="Calibri"/>
          <w:b w:val="0"/>
          <w:spacing w:val="-6"/>
          <w:szCs w:val="22"/>
          <w:lang w:val="hy-AM"/>
        </w:rPr>
        <w:t xml:space="preserve"> </w:t>
      </w:r>
      <w:r w:rsidRPr="00AC141F">
        <w:rPr>
          <w:rFonts w:eastAsia="Calibri" w:cs="GHEA Grapalat"/>
          <w:b w:val="0"/>
          <w:spacing w:val="-6"/>
          <w:szCs w:val="22"/>
          <w:lang w:val="hy-AM"/>
        </w:rPr>
        <w:t xml:space="preserve">ծրագրի </w:t>
      </w:r>
      <w:r w:rsidRPr="00A83C94">
        <w:rPr>
          <w:b w:val="0"/>
          <w:lang w:val="hy-AM"/>
        </w:rPr>
        <w:t xml:space="preserve">գծով նախատեսվել է հատկացնել </w:t>
      </w:r>
      <w:r>
        <w:rPr>
          <w:b w:val="0"/>
          <w:lang w:val="hy-AM"/>
        </w:rPr>
        <w:t>2</w:t>
      </w:r>
      <w:r w:rsidRPr="00A83C94">
        <w:rPr>
          <w:b w:val="0"/>
          <w:lang w:val="hy-AM"/>
        </w:rPr>
        <w:t>,</w:t>
      </w:r>
      <w:r>
        <w:rPr>
          <w:b w:val="0"/>
          <w:lang w:val="hy-AM"/>
        </w:rPr>
        <w:t>2</w:t>
      </w:r>
      <w:r w:rsidR="00BA061B" w:rsidRPr="00BA061B">
        <w:rPr>
          <w:b w:val="0"/>
          <w:lang w:val="hy-AM"/>
        </w:rPr>
        <w:t>16</w:t>
      </w:r>
      <w:r w:rsidRPr="00A83C94">
        <w:rPr>
          <w:b w:val="0"/>
          <w:lang w:val="hy-AM"/>
        </w:rPr>
        <w:t>.</w:t>
      </w:r>
      <w:r w:rsidR="00BA061B" w:rsidRPr="00BA061B">
        <w:rPr>
          <w:b w:val="0"/>
          <w:lang w:val="hy-AM"/>
        </w:rPr>
        <w:t>4</w:t>
      </w:r>
      <w:r w:rsidRPr="00A83C94">
        <w:rPr>
          <w:b w:val="0"/>
          <w:lang w:val="hy-AM"/>
        </w:rPr>
        <w:t xml:space="preserve"> մլն դրամ: </w:t>
      </w:r>
      <w:r w:rsidR="00610E1E">
        <w:rPr>
          <w:b w:val="0"/>
          <w:lang w:val="hy-AM"/>
        </w:rPr>
        <w:t xml:space="preserve">Ծրագրի </w:t>
      </w:r>
      <w:r w:rsidRPr="00AC141F">
        <w:rPr>
          <w:rFonts w:eastAsia="Calibri"/>
          <w:b w:val="0"/>
          <w:spacing w:val="-6"/>
          <w:szCs w:val="22"/>
          <w:lang w:val="hy-AM"/>
        </w:rPr>
        <w:t xml:space="preserve">նպատակն </w:t>
      </w:r>
      <w:r w:rsidR="00610E1E">
        <w:rPr>
          <w:rFonts w:eastAsia="Calibri"/>
          <w:b w:val="0"/>
          <w:spacing w:val="-6"/>
          <w:szCs w:val="22"/>
          <w:lang w:val="hy-AM"/>
        </w:rPr>
        <w:t>է</w:t>
      </w:r>
      <w:r w:rsidRPr="00AC141F">
        <w:rPr>
          <w:rFonts w:eastAsia="Calibri"/>
          <w:b w:val="0"/>
          <w:spacing w:val="-6"/>
          <w:szCs w:val="22"/>
          <w:lang w:val="hy-AM"/>
        </w:rPr>
        <w:t xml:space="preserve"> միջազգային համագործակցության բազմակողմ ձևաչափերում ՀՀ ակտիվ ներգրավվածության միջոցով ՀՀ արտաքին քաղաքականության գերակայությունների իրագործումը, ինչպես նաև միջազգային կազմակերպությունների հետ և դրանց շրջանակներում բնականոն փոխհարաբերությունների ու արդյունավետ համագործակցության ապահովումն ու ընդլայնումը:</w:t>
      </w:r>
    </w:p>
    <w:p w14:paraId="2FAF549B" w14:textId="2C3089B4" w:rsidR="00AC141F" w:rsidRPr="00AC141F" w:rsidRDefault="00AC141F" w:rsidP="00262201">
      <w:pPr>
        <w:spacing w:line="276" w:lineRule="auto"/>
        <w:rPr>
          <w:rFonts w:eastAsia="Calibri"/>
          <w:b w:val="0"/>
          <w:spacing w:val="-6"/>
          <w:szCs w:val="22"/>
          <w:lang w:val="hy-AM"/>
        </w:rPr>
      </w:pPr>
      <w:r w:rsidRPr="00610E1E">
        <w:rPr>
          <w:rFonts w:eastAsia="Calibri" w:cs="GHEA Grapalat"/>
          <w:spacing w:val="-6"/>
          <w:szCs w:val="22"/>
          <w:lang w:val="hy-AM"/>
        </w:rPr>
        <w:t>Օտարերկրյա</w:t>
      </w:r>
      <w:r w:rsidRPr="00610E1E">
        <w:rPr>
          <w:rFonts w:eastAsia="Calibri"/>
          <w:spacing w:val="-6"/>
          <w:szCs w:val="22"/>
          <w:lang w:val="hy-AM"/>
        </w:rPr>
        <w:t xml:space="preserve"> </w:t>
      </w:r>
      <w:r w:rsidRPr="00610E1E">
        <w:rPr>
          <w:rFonts w:eastAsia="Calibri" w:cs="GHEA Grapalat"/>
          <w:spacing w:val="-6"/>
          <w:szCs w:val="22"/>
          <w:lang w:val="hy-AM"/>
        </w:rPr>
        <w:t>պետություններում</w:t>
      </w:r>
      <w:r w:rsidRPr="00610E1E">
        <w:rPr>
          <w:rFonts w:eastAsia="Calibri"/>
          <w:spacing w:val="-6"/>
          <w:szCs w:val="22"/>
          <w:lang w:val="hy-AM"/>
        </w:rPr>
        <w:t xml:space="preserve"> </w:t>
      </w:r>
      <w:r w:rsidRPr="00610E1E">
        <w:rPr>
          <w:rFonts w:eastAsia="Calibri" w:cs="GHEA Grapalat"/>
          <w:spacing w:val="-6"/>
          <w:szCs w:val="22"/>
          <w:lang w:val="hy-AM"/>
        </w:rPr>
        <w:t>ՀՀ</w:t>
      </w:r>
      <w:r w:rsidRPr="00610E1E">
        <w:rPr>
          <w:rFonts w:eastAsia="Calibri"/>
          <w:spacing w:val="-6"/>
          <w:szCs w:val="22"/>
          <w:lang w:val="hy-AM"/>
        </w:rPr>
        <w:t xml:space="preserve"> </w:t>
      </w:r>
      <w:r w:rsidRPr="00610E1E">
        <w:rPr>
          <w:rFonts w:eastAsia="Calibri" w:cs="GHEA Grapalat"/>
          <w:spacing w:val="-6"/>
          <w:szCs w:val="22"/>
          <w:lang w:val="hy-AM"/>
        </w:rPr>
        <w:t>դիվանագիտական</w:t>
      </w:r>
      <w:r w:rsidRPr="00610E1E">
        <w:rPr>
          <w:rFonts w:eastAsia="Calibri"/>
          <w:spacing w:val="-6"/>
          <w:szCs w:val="22"/>
          <w:lang w:val="hy-AM"/>
        </w:rPr>
        <w:t xml:space="preserve"> </w:t>
      </w:r>
      <w:r w:rsidRPr="00610E1E">
        <w:rPr>
          <w:rFonts w:eastAsia="Calibri" w:cs="GHEA Grapalat"/>
          <w:spacing w:val="-6"/>
          <w:szCs w:val="22"/>
          <w:lang w:val="hy-AM"/>
        </w:rPr>
        <w:t>ծառայության</w:t>
      </w:r>
      <w:r w:rsidRPr="00610E1E">
        <w:rPr>
          <w:rFonts w:eastAsia="Calibri"/>
          <w:spacing w:val="-6"/>
          <w:szCs w:val="22"/>
          <w:lang w:val="hy-AM"/>
        </w:rPr>
        <w:t xml:space="preserve"> </w:t>
      </w:r>
      <w:r w:rsidRPr="00610E1E">
        <w:rPr>
          <w:rFonts w:eastAsia="Calibri" w:cs="GHEA Grapalat"/>
          <w:spacing w:val="-6"/>
          <w:szCs w:val="22"/>
          <w:lang w:val="hy-AM"/>
        </w:rPr>
        <w:t>մարմինների</w:t>
      </w:r>
      <w:r w:rsidRPr="00610E1E">
        <w:rPr>
          <w:rFonts w:eastAsia="Calibri"/>
          <w:spacing w:val="-6"/>
          <w:szCs w:val="22"/>
          <w:lang w:val="hy-AM"/>
        </w:rPr>
        <w:t xml:space="preserve"> </w:t>
      </w:r>
      <w:r w:rsidRPr="00610E1E">
        <w:rPr>
          <w:rFonts w:eastAsia="Calibri" w:cs="GHEA Grapalat"/>
          <w:spacing w:val="-6"/>
          <w:szCs w:val="22"/>
          <w:lang w:val="hy-AM"/>
        </w:rPr>
        <w:t>գործունեության</w:t>
      </w:r>
      <w:r w:rsidRPr="00610E1E">
        <w:rPr>
          <w:rFonts w:eastAsia="Calibri"/>
          <w:spacing w:val="-6"/>
          <w:szCs w:val="22"/>
          <w:lang w:val="hy-AM"/>
        </w:rPr>
        <w:t xml:space="preserve"> </w:t>
      </w:r>
      <w:r w:rsidRPr="00610E1E">
        <w:rPr>
          <w:rFonts w:eastAsia="Calibri" w:cs="GHEA Grapalat"/>
          <w:spacing w:val="-6"/>
          <w:szCs w:val="22"/>
          <w:lang w:val="hy-AM"/>
        </w:rPr>
        <w:t>կազմակերպում</w:t>
      </w:r>
      <w:r w:rsidRPr="00610E1E">
        <w:rPr>
          <w:rFonts w:eastAsia="Calibri"/>
          <w:spacing w:val="-6"/>
          <w:szCs w:val="22"/>
          <w:lang w:val="hy-AM"/>
        </w:rPr>
        <w:t xml:space="preserve"> </w:t>
      </w:r>
      <w:r w:rsidRPr="00610E1E">
        <w:rPr>
          <w:rFonts w:eastAsia="Calibri" w:cs="GHEA Grapalat"/>
          <w:spacing w:val="-6"/>
          <w:szCs w:val="22"/>
          <w:lang w:val="hy-AM"/>
        </w:rPr>
        <w:t>և</w:t>
      </w:r>
      <w:r w:rsidRPr="00610E1E">
        <w:rPr>
          <w:rFonts w:eastAsia="Calibri"/>
          <w:spacing w:val="-6"/>
          <w:szCs w:val="22"/>
          <w:lang w:val="hy-AM"/>
        </w:rPr>
        <w:t xml:space="preserve"> </w:t>
      </w:r>
      <w:r w:rsidRPr="00610E1E">
        <w:rPr>
          <w:rFonts w:eastAsia="Calibri" w:cs="GHEA Grapalat"/>
          <w:spacing w:val="-6"/>
          <w:szCs w:val="22"/>
          <w:lang w:val="hy-AM"/>
        </w:rPr>
        <w:t xml:space="preserve">իրականացում </w:t>
      </w:r>
      <w:r w:rsidR="00610E1E" w:rsidRPr="00AC141F">
        <w:rPr>
          <w:rFonts w:eastAsia="Calibri" w:cs="GHEA Grapalat"/>
          <w:b w:val="0"/>
          <w:spacing w:val="-6"/>
          <w:szCs w:val="22"/>
          <w:lang w:val="hy-AM"/>
        </w:rPr>
        <w:t xml:space="preserve">ծրագրի </w:t>
      </w:r>
      <w:r w:rsidR="00610E1E" w:rsidRPr="00A83C94">
        <w:rPr>
          <w:b w:val="0"/>
          <w:lang w:val="hy-AM"/>
        </w:rPr>
        <w:t xml:space="preserve">գծով նախատեսվել է հատկացնել </w:t>
      </w:r>
      <w:r w:rsidR="00610E1E">
        <w:rPr>
          <w:b w:val="0"/>
          <w:lang w:val="hy-AM"/>
        </w:rPr>
        <w:t>13</w:t>
      </w:r>
      <w:r w:rsidR="00610E1E" w:rsidRPr="00A83C94">
        <w:rPr>
          <w:b w:val="0"/>
          <w:lang w:val="hy-AM"/>
        </w:rPr>
        <w:t>,</w:t>
      </w:r>
      <w:r w:rsidR="00BA061B" w:rsidRPr="00197E16">
        <w:rPr>
          <w:b w:val="0"/>
          <w:lang w:val="hy-AM"/>
        </w:rPr>
        <w:t>4</w:t>
      </w:r>
      <w:r w:rsidR="0080249D">
        <w:rPr>
          <w:b w:val="0"/>
          <w:lang w:val="hy-AM"/>
        </w:rPr>
        <w:t xml:space="preserve">69.5 </w:t>
      </w:r>
      <w:r w:rsidR="00610E1E" w:rsidRPr="00A83C94">
        <w:rPr>
          <w:b w:val="0"/>
          <w:lang w:val="hy-AM"/>
        </w:rPr>
        <w:t>մլն դրամ:</w:t>
      </w:r>
      <w:r w:rsidR="00610E1E" w:rsidRPr="00610E1E">
        <w:rPr>
          <w:b w:val="0"/>
          <w:lang w:val="hy-AM"/>
        </w:rPr>
        <w:t xml:space="preserve"> </w:t>
      </w:r>
      <w:r w:rsidR="00610E1E">
        <w:rPr>
          <w:b w:val="0"/>
          <w:lang w:val="hy-AM"/>
        </w:rPr>
        <w:t xml:space="preserve">Ծրագրի </w:t>
      </w:r>
      <w:r w:rsidR="00610E1E" w:rsidRPr="00AC141F">
        <w:rPr>
          <w:rFonts w:eastAsia="Calibri"/>
          <w:b w:val="0"/>
          <w:spacing w:val="-6"/>
          <w:szCs w:val="22"/>
          <w:lang w:val="hy-AM"/>
        </w:rPr>
        <w:t xml:space="preserve">նպատակն </w:t>
      </w:r>
      <w:r w:rsidR="00610E1E">
        <w:rPr>
          <w:rFonts w:eastAsia="Calibri"/>
          <w:b w:val="0"/>
          <w:spacing w:val="-6"/>
          <w:szCs w:val="22"/>
          <w:lang w:val="hy-AM"/>
        </w:rPr>
        <w:t>է</w:t>
      </w:r>
      <w:r w:rsidR="00610E1E" w:rsidRPr="00AC141F">
        <w:rPr>
          <w:rFonts w:eastAsia="Calibri"/>
          <w:b w:val="0"/>
          <w:spacing w:val="-6"/>
          <w:szCs w:val="22"/>
          <w:lang w:val="hy-AM"/>
        </w:rPr>
        <w:t xml:space="preserve"> </w:t>
      </w:r>
      <w:r w:rsidRPr="00AC141F">
        <w:rPr>
          <w:rFonts w:eastAsia="GHEA Grapalat" w:cs="GHEA Grapalat"/>
          <w:b w:val="0"/>
          <w:color w:val="1D2228"/>
          <w:szCs w:val="22"/>
          <w:lang w:val="hy-AM"/>
        </w:rPr>
        <w:t>ապահովել ՀՀ պաշտոնական ներկայությունն արտերկրում՝ նպաստելով ՀՀ ինքնիշխանության և շահերի պաշտպանությանը, Հայաստանի և Արցախի անվտանգության ապահովմանը, հակահայկական քարոզչության հակազդմանը, միջազգային և տարածաշրջանային գործընթացներին ՀՀ ներգրավվածության ավելացմանը, ՀՀ կայուն զարգացման և տնտեսական արդիականացման համար նպաստավոր պայմանների ձևավորմանը, արտերկրում ՀՀ քաղաքացիների և իրավաբանական անձանց շահերի պաշտպանությանը:</w:t>
      </w:r>
      <w:r w:rsidRPr="00AC141F">
        <w:rPr>
          <w:rFonts w:eastAsia="Calibri"/>
          <w:b w:val="0"/>
          <w:spacing w:val="-6"/>
          <w:szCs w:val="22"/>
          <w:lang w:val="hy-AM"/>
        </w:rPr>
        <w:t xml:space="preserve"> </w:t>
      </w:r>
    </w:p>
    <w:p w14:paraId="744D9765" w14:textId="6810578C" w:rsidR="00AC141F" w:rsidRPr="00AC141F" w:rsidRDefault="00AC141F" w:rsidP="00262201">
      <w:pPr>
        <w:spacing w:line="276" w:lineRule="auto"/>
        <w:rPr>
          <w:rFonts w:eastAsia="Calibri"/>
          <w:b w:val="0"/>
          <w:spacing w:val="-6"/>
          <w:szCs w:val="22"/>
          <w:lang w:val="hy-AM"/>
        </w:rPr>
      </w:pPr>
      <w:r w:rsidRPr="00610E1E">
        <w:rPr>
          <w:rFonts w:eastAsia="Calibri" w:cs="GHEA Grapalat"/>
          <w:spacing w:val="-6"/>
          <w:szCs w:val="22"/>
          <w:lang w:val="hy-AM"/>
        </w:rPr>
        <w:t>Միջազգային</w:t>
      </w:r>
      <w:r w:rsidRPr="00610E1E">
        <w:rPr>
          <w:rFonts w:eastAsia="Calibri"/>
          <w:spacing w:val="-6"/>
          <w:szCs w:val="22"/>
          <w:lang w:val="hy-AM"/>
        </w:rPr>
        <w:t xml:space="preserve"> </w:t>
      </w:r>
      <w:r w:rsidRPr="00610E1E">
        <w:rPr>
          <w:rFonts w:eastAsia="Calibri" w:cs="GHEA Grapalat"/>
          <w:spacing w:val="-6"/>
          <w:szCs w:val="22"/>
          <w:lang w:val="hy-AM"/>
        </w:rPr>
        <w:t>հարաբերությունների</w:t>
      </w:r>
      <w:r w:rsidRPr="00610E1E">
        <w:rPr>
          <w:rFonts w:eastAsia="Calibri"/>
          <w:spacing w:val="-6"/>
          <w:szCs w:val="22"/>
          <w:lang w:val="hy-AM"/>
        </w:rPr>
        <w:t xml:space="preserve"> </w:t>
      </w:r>
      <w:r w:rsidRPr="00610E1E">
        <w:rPr>
          <w:rFonts w:eastAsia="Calibri" w:cs="GHEA Grapalat"/>
          <w:spacing w:val="-6"/>
          <w:szCs w:val="22"/>
          <w:lang w:val="hy-AM"/>
        </w:rPr>
        <w:t>և</w:t>
      </w:r>
      <w:r w:rsidRPr="00610E1E">
        <w:rPr>
          <w:rFonts w:eastAsia="Calibri"/>
          <w:spacing w:val="-6"/>
          <w:szCs w:val="22"/>
          <w:lang w:val="hy-AM"/>
        </w:rPr>
        <w:t xml:space="preserve"> </w:t>
      </w:r>
      <w:r w:rsidRPr="00610E1E">
        <w:rPr>
          <w:rFonts w:eastAsia="Calibri" w:cs="GHEA Grapalat"/>
          <w:spacing w:val="-6"/>
          <w:szCs w:val="22"/>
          <w:lang w:val="hy-AM"/>
        </w:rPr>
        <w:t>դիվանագիտության</w:t>
      </w:r>
      <w:r w:rsidRPr="00610E1E">
        <w:rPr>
          <w:rFonts w:eastAsia="Calibri"/>
          <w:spacing w:val="-6"/>
          <w:szCs w:val="22"/>
          <w:lang w:val="hy-AM"/>
        </w:rPr>
        <w:t xml:space="preserve"> </w:t>
      </w:r>
      <w:r w:rsidRPr="00610E1E">
        <w:rPr>
          <w:rFonts w:eastAsia="Calibri" w:cs="GHEA Grapalat"/>
          <w:spacing w:val="-6"/>
          <w:szCs w:val="22"/>
          <w:lang w:val="hy-AM"/>
        </w:rPr>
        <w:t>ո</w:t>
      </w:r>
      <w:r w:rsidRPr="00610E1E">
        <w:rPr>
          <w:rFonts w:eastAsia="Calibri"/>
          <w:spacing w:val="-6"/>
          <w:szCs w:val="22"/>
          <w:lang w:val="hy-AM"/>
        </w:rPr>
        <w:t>լորտում մասնագետների պատրաստում և վերապատրաստում</w:t>
      </w:r>
      <w:r w:rsidRPr="00AC141F">
        <w:rPr>
          <w:rFonts w:eastAsia="Calibri"/>
          <w:b w:val="0"/>
          <w:spacing w:val="-6"/>
          <w:szCs w:val="22"/>
          <w:lang w:val="hy-AM"/>
        </w:rPr>
        <w:t xml:space="preserve"> </w:t>
      </w:r>
      <w:r w:rsidR="00610E1E" w:rsidRPr="00AC141F">
        <w:rPr>
          <w:rFonts w:eastAsia="Calibri" w:cs="GHEA Grapalat"/>
          <w:b w:val="0"/>
          <w:spacing w:val="-6"/>
          <w:szCs w:val="22"/>
          <w:lang w:val="hy-AM"/>
        </w:rPr>
        <w:t xml:space="preserve">ծրագրի </w:t>
      </w:r>
      <w:r w:rsidR="00610E1E" w:rsidRPr="00A83C94">
        <w:rPr>
          <w:b w:val="0"/>
          <w:lang w:val="hy-AM"/>
        </w:rPr>
        <w:t xml:space="preserve">գծով նախատեսվել է հատկացնել </w:t>
      </w:r>
      <w:r w:rsidR="00610E1E">
        <w:rPr>
          <w:b w:val="0"/>
          <w:lang w:val="hy-AM"/>
        </w:rPr>
        <w:t>224</w:t>
      </w:r>
      <w:r w:rsidR="00610E1E" w:rsidRPr="00A83C94">
        <w:rPr>
          <w:b w:val="0"/>
          <w:lang w:val="hy-AM"/>
        </w:rPr>
        <w:t>.</w:t>
      </w:r>
      <w:r w:rsidR="00610E1E">
        <w:rPr>
          <w:b w:val="0"/>
          <w:lang w:val="hy-AM"/>
        </w:rPr>
        <w:t>5</w:t>
      </w:r>
      <w:r w:rsidR="00610E1E" w:rsidRPr="00A83C94">
        <w:rPr>
          <w:b w:val="0"/>
          <w:lang w:val="hy-AM"/>
        </w:rPr>
        <w:t xml:space="preserve"> մլն դրամ:</w:t>
      </w:r>
      <w:r w:rsidR="00610E1E" w:rsidRPr="00610E1E">
        <w:rPr>
          <w:b w:val="0"/>
          <w:lang w:val="hy-AM"/>
        </w:rPr>
        <w:t xml:space="preserve"> </w:t>
      </w:r>
      <w:r w:rsidR="00610E1E">
        <w:rPr>
          <w:b w:val="0"/>
          <w:lang w:val="hy-AM"/>
        </w:rPr>
        <w:t xml:space="preserve">Ծրագրի </w:t>
      </w:r>
      <w:r w:rsidR="00610E1E" w:rsidRPr="00AC141F">
        <w:rPr>
          <w:rFonts w:eastAsia="Calibri"/>
          <w:b w:val="0"/>
          <w:spacing w:val="-6"/>
          <w:szCs w:val="22"/>
          <w:lang w:val="hy-AM"/>
        </w:rPr>
        <w:t xml:space="preserve">նպատակն </w:t>
      </w:r>
      <w:r w:rsidR="00610E1E">
        <w:rPr>
          <w:rFonts w:eastAsia="Calibri"/>
          <w:b w:val="0"/>
          <w:spacing w:val="-6"/>
          <w:szCs w:val="22"/>
          <w:lang w:val="hy-AM"/>
        </w:rPr>
        <w:t>է</w:t>
      </w:r>
      <w:r w:rsidR="00610E1E" w:rsidRPr="00AC141F">
        <w:rPr>
          <w:rFonts w:eastAsia="Calibri"/>
          <w:b w:val="0"/>
          <w:spacing w:val="-6"/>
          <w:szCs w:val="22"/>
          <w:lang w:val="hy-AM"/>
        </w:rPr>
        <w:t xml:space="preserve"> </w:t>
      </w:r>
      <w:r w:rsidRPr="00AC141F">
        <w:rPr>
          <w:rFonts w:eastAsia="GHEA Grapalat" w:cs="GHEA Grapalat"/>
          <w:b w:val="0"/>
          <w:color w:val="1D2228"/>
          <w:szCs w:val="22"/>
          <w:lang w:val="hy-AM"/>
        </w:rPr>
        <w:t xml:space="preserve">դիվանագիտական և պետական ծառայության արդյունավետության բարձրացումը, դիվանագիտական ծառայության համալրումը նոր և որակյալ մասնագետներով, պետական ծառայողների, այդ թվում` դիվանագիտական ծառայողների վերապատրաստումը: </w:t>
      </w:r>
    </w:p>
    <w:p w14:paraId="5FB5FCC5" w14:textId="4D241402" w:rsidR="00AC141F" w:rsidRPr="00AC141F" w:rsidRDefault="00AC141F" w:rsidP="00262201">
      <w:pPr>
        <w:spacing w:line="276" w:lineRule="auto"/>
        <w:rPr>
          <w:rFonts w:eastAsia="Calibri"/>
          <w:b w:val="0"/>
          <w:spacing w:val="-6"/>
          <w:szCs w:val="22"/>
          <w:lang w:val="hy-AM"/>
        </w:rPr>
      </w:pPr>
      <w:r w:rsidRPr="00610E1E">
        <w:rPr>
          <w:rFonts w:eastAsia="Calibri" w:cs="GHEA Grapalat"/>
          <w:spacing w:val="-6"/>
          <w:szCs w:val="22"/>
          <w:lang w:val="hy-AM"/>
        </w:rPr>
        <w:t>Հայաստանի</w:t>
      </w:r>
      <w:r w:rsidRPr="00610E1E">
        <w:rPr>
          <w:rFonts w:eastAsia="Calibri"/>
          <w:spacing w:val="-6"/>
          <w:szCs w:val="22"/>
          <w:lang w:val="hy-AM"/>
        </w:rPr>
        <w:t xml:space="preserve"> </w:t>
      </w:r>
      <w:r w:rsidRPr="00610E1E">
        <w:rPr>
          <w:rFonts w:eastAsia="Calibri" w:cs="GHEA Grapalat"/>
          <w:spacing w:val="-6"/>
          <w:szCs w:val="22"/>
          <w:lang w:val="hy-AM"/>
        </w:rPr>
        <w:t>Հանրապետությունում</w:t>
      </w:r>
      <w:r w:rsidRPr="00610E1E">
        <w:rPr>
          <w:rFonts w:eastAsia="Calibri"/>
          <w:spacing w:val="-6"/>
          <w:szCs w:val="22"/>
          <w:lang w:val="hy-AM"/>
        </w:rPr>
        <w:t xml:space="preserve"> </w:t>
      </w:r>
      <w:r w:rsidRPr="00610E1E">
        <w:rPr>
          <w:rFonts w:eastAsia="Calibri" w:cs="GHEA Grapalat"/>
          <w:spacing w:val="-6"/>
          <w:szCs w:val="22"/>
          <w:lang w:val="hy-AM"/>
        </w:rPr>
        <w:t>և</w:t>
      </w:r>
      <w:r w:rsidRPr="00610E1E">
        <w:rPr>
          <w:rFonts w:eastAsia="Calibri"/>
          <w:spacing w:val="-6"/>
          <w:szCs w:val="22"/>
          <w:lang w:val="hy-AM"/>
        </w:rPr>
        <w:t xml:space="preserve"> </w:t>
      </w:r>
      <w:r w:rsidRPr="00610E1E">
        <w:rPr>
          <w:rFonts w:eastAsia="Calibri" w:cs="GHEA Grapalat"/>
          <w:spacing w:val="-6"/>
          <w:szCs w:val="22"/>
          <w:lang w:val="hy-AM"/>
        </w:rPr>
        <w:t>օտարերկրյա</w:t>
      </w:r>
      <w:r w:rsidRPr="00610E1E">
        <w:rPr>
          <w:rFonts w:eastAsia="Calibri"/>
          <w:spacing w:val="-6"/>
          <w:szCs w:val="22"/>
          <w:lang w:val="hy-AM"/>
        </w:rPr>
        <w:t xml:space="preserve"> </w:t>
      </w:r>
      <w:r w:rsidRPr="00610E1E">
        <w:rPr>
          <w:rFonts w:eastAsia="Calibri" w:cs="GHEA Grapalat"/>
          <w:spacing w:val="-6"/>
          <w:szCs w:val="22"/>
          <w:lang w:val="hy-AM"/>
        </w:rPr>
        <w:t>պետություններում</w:t>
      </w:r>
      <w:r w:rsidRPr="00610E1E">
        <w:rPr>
          <w:rFonts w:eastAsia="Calibri"/>
          <w:spacing w:val="-6"/>
          <w:szCs w:val="22"/>
          <w:lang w:val="hy-AM"/>
        </w:rPr>
        <w:t xml:space="preserve"> </w:t>
      </w:r>
      <w:r w:rsidRPr="00610E1E">
        <w:rPr>
          <w:rFonts w:eastAsia="Calibri" w:cs="GHEA Grapalat"/>
          <w:spacing w:val="-6"/>
          <w:szCs w:val="22"/>
          <w:lang w:val="hy-AM"/>
        </w:rPr>
        <w:t>արարողակարգային</w:t>
      </w:r>
      <w:r w:rsidRPr="00610E1E">
        <w:rPr>
          <w:rFonts w:eastAsia="Calibri"/>
          <w:spacing w:val="-6"/>
          <w:szCs w:val="22"/>
          <w:lang w:val="hy-AM"/>
        </w:rPr>
        <w:t xml:space="preserve"> </w:t>
      </w:r>
      <w:r w:rsidRPr="00610E1E">
        <w:rPr>
          <w:rFonts w:eastAsia="Calibri" w:cs="GHEA Grapalat"/>
          <w:spacing w:val="-6"/>
          <w:szCs w:val="22"/>
          <w:lang w:val="hy-AM"/>
        </w:rPr>
        <w:t>միջոցառումների</w:t>
      </w:r>
      <w:r w:rsidRPr="00610E1E">
        <w:rPr>
          <w:rFonts w:eastAsia="Calibri"/>
          <w:spacing w:val="-6"/>
          <w:szCs w:val="22"/>
          <w:lang w:val="hy-AM"/>
        </w:rPr>
        <w:t xml:space="preserve"> </w:t>
      </w:r>
      <w:r w:rsidRPr="00610E1E">
        <w:rPr>
          <w:rFonts w:eastAsia="Calibri" w:cs="GHEA Grapalat"/>
          <w:spacing w:val="-6"/>
          <w:szCs w:val="22"/>
          <w:lang w:val="hy-AM"/>
        </w:rPr>
        <w:t>իրականացում</w:t>
      </w:r>
      <w:r w:rsidRPr="00AC141F">
        <w:rPr>
          <w:rFonts w:eastAsia="Calibri" w:cs="GHEA Grapalat"/>
          <w:b w:val="0"/>
          <w:spacing w:val="-6"/>
          <w:szCs w:val="22"/>
          <w:lang w:val="hy-AM"/>
        </w:rPr>
        <w:t xml:space="preserve"> </w:t>
      </w:r>
      <w:r w:rsidR="00610E1E" w:rsidRPr="00AC141F">
        <w:rPr>
          <w:rFonts w:eastAsia="Calibri" w:cs="GHEA Grapalat"/>
          <w:b w:val="0"/>
          <w:spacing w:val="-6"/>
          <w:szCs w:val="22"/>
          <w:lang w:val="hy-AM"/>
        </w:rPr>
        <w:t xml:space="preserve">ծրագրի </w:t>
      </w:r>
      <w:r w:rsidR="00610E1E" w:rsidRPr="00A83C94">
        <w:rPr>
          <w:b w:val="0"/>
          <w:lang w:val="hy-AM"/>
        </w:rPr>
        <w:t xml:space="preserve">գծով նախատեսվել է հատկացնել </w:t>
      </w:r>
      <w:r w:rsidR="00610E1E">
        <w:rPr>
          <w:b w:val="0"/>
          <w:lang w:val="hy-AM"/>
        </w:rPr>
        <w:t>183</w:t>
      </w:r>
      <w:r w:rsidR="00610E1E" w:rsidRPr="00A83C94">
        <w:rPr>
          <w:b w:val="0"/>
          <w:lang w:val="hy-AM"/>
        </w:rPr>
        <w:t>.</w:t>
      </w:r>
      <w:r w:rsidR="00610E1E">
        <w:rPr>
          <w:b w:val="0"/>
          <w:lang w:val="hy-AM"/>
        </w:rPr>
        <w:t>6</w:t>
      </w:r>
      <w:r w:rsidR="00610E1E" w:rsidRPr="00A83C94">
        <w:rPr>
          <w:b w:val="0"/>
          <w:lang w:val="hy-AM"/>
        </w:rPr>
        <w:t xml:space="preserve"> մլն դրամ:</w:t>
      </w:r>
      <w:r w:rsidR="00610E1E" w:rsidRPr="00610E1E">
        <w:rPr>
          <w:b w:val="0"/>
          <w:lang w:val="hy-AM"/>
        </w:rPr>
        <w:t xml:space="preserve"> </w:t>
      </w:r>
      <w:r w:rsidR="00610E1E">
        <w:rPr>
          <w:b w:val="0"/>
          <w:lang w:val="hy-AM"/>
        </w:rPr>
        <w:t xml:space="preserve">Ծրագրի </w:t>
      </w:r>
      <w:r w:rsidR="00610E1E" w:rsidRPr="00AC141F">
        <w:rPr>
          <w:rFonts w:eastAsia="Calibri"/>
          <w:b w:val="0"/>
          <w:spacing w:val="-6"/>
          <w:szCs w:val="22"/>
          <w:lang w:val="hy-AM"/>
        </w:rPr>
        <w:t xml:space="preserve">նպատակն </w:t>
      </w:r>
      <w:r w:rsidR="00610E1E">
        <w:rPr>
          <w:rFonts w:eastAsia="Calibri"/>
          <w:b w:val="0"/>
          <w:spacing w:val="-6"/>
          <w:szCs w:val="22"/>
          <w:lang w:val="hy-AM"/>
        </w:rPr>
        <w:t>է</w:t>
      </w:r>
      <w:r w:rsidR="00610E1E" w:rsidRPr="00AC141F">
        <w:rPr>
          <w:rFonts w:eastAsia="Calibri"/>
          <w:b w:val="0"/>
          <w:spacing w:val="-6"/>
          <w:szCs w:val="22"/>
          <w:lang w:val="hy-AM"/>
        </w:rPr>
        <w:t xml:space="preserve"> </w:t>
      </w:r>
      <w:r w:rsidRPr="00AC141F">
        <w:rPr>
          <w:rFonts w:eastAsia="Calibri"/>
          <w:b w:val="0"/>
          <w:spacing w:val="-6"/>
          <w:szCs w:val="22"/>
          <w:lang w:val="hy-AM"/>
        </w:rPr>
        <w:t>Հայաստանի Հանրապետությունում և ՀՀ միջազգային հարաբերություններում պետական արարողակարգային կանոնների միասնական կիրառումն ու ապահովումը, ինչպես նաև միջազգային արարողակարգային չափանիշներին համապատասխան միջոցառումների կազմակերպումն ու իրականացումը:</w:t>
      </w:r>
    </w:p>
    <w:p w14:paraId="61FB5B65" w14:textId="77777777" w:rsidR="008C694F" w:rsidRPr="00A83C94" w:rsidRDefault="008C694F" w:rsidP="008C694F">
      <w:pPr>
        <w:spacing w:line="276" w:lineRule="auto"/>
        <w:ind w:firstLine="426"/>
        <w:rPr>
          <w:b w:val="0"/>
          <w:szCs w:val="22"/>
          <w:lang w:val="hy-AM"/>
        </w:rPr>
      </w:pPr>
    </w:p>
    <w:p w14:paraId="5D2F0783" w14:textId="5AD3CF5B" w:rsidR="00787739" w:rsidRPr="00A83C94" w:rsidRDefault="00787739" w:rsidP="00427D1F">
      <w:pPr>
        <w:keepNext/>
        <w:spacing w:before="0" w:line="276" w:lineRule="auto"/>
        <w:ind w:firstLine="0"/>
        <w:contextualSpacing w:val="0"/>
        <w:jc w:val="center"/>
        <w:outlineLvl w:val="2"/>
        <w:rPr>
          <w:rFonts w:cs="Arial"/>
          <w:sz w:val="24"/>
          <w:lang w:val="af-ZA" w:eastAsia="en-US"/>
        </w:rPr>
      </w:pPr>
      <w:bookmarkStart w:id="319" w:name="_Toc89428324"/>
      <w:r w:rsidRPr="00A83C94">
        <w:rPr>
          <w:rFonts w:cs="Arial"/>
          <w:sz w:val="24"/>
          <w:lang w:val="hy-AM" w:eastAsia="en-US"/>
        </w:rPr>
        <w:t>ՀՀ պաշտպանության նախարարություն</w:t>
      </w:r>
      <w:bookmarkEnd w:id="319"/>
      <w:r w:rsidR="00AC3502" w:rsidRPr="00A83C94">
        <w:rPr>
          <w:rFonts w:cs="Arial"/>
          <w:sz w:val="24"/>
          <w:lang w:val="af-ZA" w:eastAsia="en-US"/>
        </w:rPr>
        <w:t xml:space="preserve"> </w:t>
      </w:r>
    </w:p>
    <w:p w14:paraId="5C2AA688" w14:textId="4EA9AB67" w:rsidR="00D22749" w:rsidRPr="00A83C94" w:rsidRDefault="00D22749" w:rsidP="00D22749">
      <w:pPr>
        <w:tabs>
          <w:tab w:val="left" w:pos="1080"/>
        </w:tabs>
        <w:spacing w:line="276" w:lineRule="auto"/>
        <w:ind w:firstLine="720"/>
        <w:rPr>
          <w:b w:val="0"/>
          <w:szCs w:val="22"/>
          <w:lang w:val="hy-AM"/>
        </w:rPr>
      </w:pPr>
      <w:r w:rsidRPr="00A83C94">
        <w:rPr>
          <w:b w:val="0"/>
          <w:szCs w:val="22"/>
          <w:lang w:val="hy-AM"/>
        </w:rPr>
        <w:t>2022 թվականին ՀՀ պաշտպանության նախարարության կողմից ծախսերը կիրականացվեն թվով հինգ ծրագրերով, որոնց գծով պետական բյուջեի նախագծով նախատեսվում է ընդամենը 345,4</w:t>
      </w:r>
      <w:r w:rsidR="00197E16" w:rsidRPr="00197E16">
        <w:rPr>
          <w:b w:val="0"/>
          <w:szCs w:val="22"/>
          <w:lang w:val="af-ZA"/>
        </w:rPr>
        <w:t>95</w:t>
      </w:r>
      <w:r w:rsidRPr="00A83C94">
        <w:rPr>
          <w:b w:val="0"/>
          <w:szCs w:val="22"/>
          <w:lang w:val="hy-AM"/>
        </w:rPr>
        <w:t>.</w:t>
      </w:r>
      <w:r w:rsidR="00197E16" w:rsidRPr="00197E16">
        <w:rPr>
          <w:b w:val="0"/>
          <w:szCs w:val="22"/>
          <w:lang w:val="af-ZA"/>
        </w:rPr>
        <w:t>5</w:t>
      </w:r>
      <w:r w:rsidRPr="00A83C94">
        <w:rPr>
          <w:b w:val="0"/>
          <w:szCs w:val="22"/>
          <w:lang w:val="hy-AM"/>
        </w:rPr>
        <w:t xml:space="preserve"> մլն.դրամ, ընդ որում ընթացիկ ծախսերի </w:t>
      </w:r>
      <w:r w:rsidRPr="00336692">
        <w:rPr>
          <w:b w:val="0"/>
          <w:szCs w:val="22"/>
          <w:lang w:val="hy-AM"/>
        </w:rPr>
        <w:t>գծով` 222,</w:t>
      </w:r>
      <w:r w:rsidR="00336692" w:rsidRPr="00336692">
        <w:rPr>
          <w:b w:val="0"/>
          <w:szCs w:val="22"/>
          <w:lang w:val="hy-AM"/>
        </w:rPr>
        <w:t>959</w:t>
      </w:r>
      <w:r w:rsidRPr="00336692">
        <w:rPr>
          <w:b w:val="0"/>
          <w:szCs w:val="22"/>
          <w:lang w:val="hy-AM"/>
        </w:rPr>
        <w:t>.</w:t>
      </w:r>
      <w:r w:rsidR="00336692" w:rsidRPr="00336692">
        <w:rPr>
          <w:b w:val="0"/>
          <w:szCs w:val="22"/>
          <w:lang w:val="af-ZA"/>
        </w:rPr>
        <w:t>6</w:t>
      </w:r>
      <w:r w:rsidRPr="00336692">
        <w:rPr>
          <w:b w:val="0"/>
          <w:szCs w:val="22"/>
          <w:lang w:val="hy-AM"/>
        </w:rPr>
        <w:t xml:space="preserve"> մլն.դրամ. կամ 64.5%-ը, իսկ ոչ ֆինանսական ակտիվների գծով` 122,535.9 մլն.դրամ կամ 35.5%-ը: Ծախսերի աճը </w:t>
      </w:r>
      <w:r w:rsidRPr="00336692">
        <w:rPr>
          <w:rFonts w:cs="Times Armenian"/>
          <w:b w:val="0"/>
          <w:szCs w:val="22"/>
          <w:lang w:val="hy-AM"/>
        </w:rPr>
        <w:t>ՀՀ 2021 թվականի պետական բյուջեով հաստատվածի նկատմամբ կկազմի 33,</w:t>
      </w:r>
      <w:r w:rsidR="00336692" w:rsidRPr="00336692">
        <w:rPr>
          <w:rFonts w:cs="Times Armenian"/>
          <w:b w:val="0"/>
          <w:szCs w:val="22"/>
          <w:lang w:val="af-ZA"/>
        </w:rPr>
        <w:t>801</w:t>
      </w:r>
      <w:r w:rsidRPr="00336692">
        <w:rPr>
          <w:rFonts w:cs="Times Armenian"/>
          <w:b w:val="0"/>
          <w:szCs w:val="22"/>
          <w:lang w:val="hy-AM"/>
        </w:rPr>
        <w:t>.</w:t>
      </w:r>
      <w:r w:rsidR="00336692" w:rsidRPr="00336692">
        <w:rPr>
          <w:rFonts w:cs="Times Armenian"/>
          <w:b w:val="0"/>
          <w:szCs w:val="22"/>
          <w:lang w:val="af-ZA"/>
        </w:rPr>
        <w:t>4</w:t>
      </w:r>
      <w:r w:rsidRPr="00336692">
        <w:rPr>
          <w:rFonts w:cs="Times Armenian"/>
          <w:b w:val="0"/>
          <w:szCs w:val="22"/>
          <w:lang w:val="hy-AM"/>
        </w:rPr>
        <w:t xml:space="preserve"> </w:t>
      </w:r>
      <w:r w:rsidRPr="00336692">
        <w:rPr>
          <w:b w:val="0"/>
          <w:szCs w:val="22"/>
          <w:lang w:val="hy-AM"/>
        </w:rPr>
        <w:t>մլն.դրամ</w:t>
      </w:r>
      <w:r w:rsidRPr="00336692">
        <w:rPr>
          <w:rFonts w:cs="Times Armenian"/>
          <w:b w:val="0"/>
          <w:szCs w:val="22"/>
          <w:lang w:val="hy-AM"/>
        </w:rPr>
        <w:t xml:space="preserve"> կամ 10.8%, որն ուղղվել է ոչ ֆինանսական ակտիվների գծով ծախսերի</w:t>
      </w:r>
      <w:r w:rsidRPr="00A83C94">
        <w:rPr>
          <w:rFonts w:cs="Times Armenian"/>
          <w:b w:val="0"/>
          <w:szCs w:val="22"/>
          <w:lang w:val="hy-AM"/>
        </w:rPr>
        <w:t xml:space="preserve"> ֆինանսավորմանը:</w:t>
      </w:r>
    </w:p>
    <w:p w14:paraId="6B43A87D" w14:textId="2C93781C" w:rsidR="00D22749" w:rsidRPr="00A83C94" w:rsidRDefault="00D22749" w:rsidP="00D22749">
      <w:pPr>
        <w:tabs>
          <w:tab w:val="left" w:pos="1080"/>
        </w:tabs>
        <w:spacing w:line="276" w:lineRule="auto"/>
        <w:ind w:firstLine="720"/>
        <w:rPr>
          <w:rFonts w:cs="Sylfaen"/>
          <w:b w:val="0"/>
          <w:szCs w:val="22"/>
          <w:lang w:val="hy-AM"/>
        </w:rPr>
      </w:pPr>
      <w:r w:rsidRPr="00A83C94">
        <w:rPr>
          <w:spacing w:val="-4"/>
          <w:szCs w:val="22"/>
          <w:lang w:val="hy-AM"/>
        </w:rPr>
        <w:t>ՀՀ պաշտպանության ապահովում</w:t>
      </w:r>
      <w:r w:rsidRPr="00A83C94">
        <w:rPr>
          <w:b w:val="0"/>
          <w:spacing w:val="-4"/>
          <w:szCs w:val="22"/>
          <w:lang w:val="hy-AM"/>
        </w:rPr>
        <w:t xml:space="preserve"> ծրագիրը հ</w:t>
      </w:r>
      <w:r w:rsidRPr="00A83C94">
        <w:rPr>
          <w:b w:val="0"/>
          <w:szCs w:val="22"/>
          <w:lang w:val="hy-AM"/>
        </w:rPr>
        <w:t xml:space="preserve">անդիսանում է պաշտպանության նախարարության համակարգի գործունեությունն ապահովող հիմնական ծրագիրը, որի շրջանակներում  նախատեսված են </w:t>
      </w:r>
      <w:r w:rsidRPr="00A83C94">
        <w:rPr>
          <w:rFonts w:cs="Sylfaen"/>
          <w:b w:val="0"/>
          <w:szCs w:val="22"/>
          <w:lang w:val="hy-AM"/>
        </w:rPr>
        <w:t>ՀՀ զինված</w:t>
      </w:r>
      <w:r w:rsidRPr="00A83C94">
        <w:rPr>
          <w:rFonts w:cs="Times Armenian"/>
          <w:b w:val="0"/>
          <w:szCs w:val="22"/>
          <w:lang w:val="hy-AM"/>
        </w:rPr>
        <w:t xml:space="preserve"> </w:t>
      </w:r>
      <w:r w:rsidRPr="00A83C94">
        <w:rPr>
          <w:rFonts w:cs="Sylfaen"/>
          <w:b w:val="0"/>
          <w:szCs w:val="22"/>
          <w:lang w:val="hy-AM"/>
        </w:rPr>
        <w:t>ուժերի</w:t>
      </w:r>
      <w:r w:rsidRPr="00A83C94">
        <w:rPr>
          <w:rFonts w:cs="Times Armenian"/>
          <w:b w:val="0"/>
          <w:szCs w:val="22"/>
          <w:lang w:val="hy-AM"/>
        </w:rPr>
        <w:t xml:space="preserve"> </w:t>
      </w:r>
      <w:r w:rsidRPr="00A83C94">
        <w:rPr>
          <w:rFonts w:cs="Sylfaen"/>
          <w:b w:val="0"/>
          <w:szCs w:val="22"/>
          <w:lang w:val="hy-AM"/>
        </w:rPr>
        <w:t>պահպանման</w:t>
      </w:r>
      <w:r w:rsidRPr="00A83C94">
        <w:rPr>
          <w:rFonts w:cs="Times Armenian"/>
          <w:b w:val="0"/>
          <w:szCs w:val="22"/>
          <w:lang w:val="hy-AM"/>
        </w:rPr>
        <w:t>, ռ</w:t>
      </w:r>
      <w:r w:rsidRPr="00A83C94">
        <w:rPr>
          <w:rFonts w:cs="Sylfaen"/>
          <w:b w:val="0"/>
          <w:szCs w:val="22"/>
          <w:lang w:val="hy-AM"/>
        </w:rPr>
        <w:t>ազմական</w:t>
      </w:r>
      <w:r w:rsidRPr="00A83C94">
        <w:rPr>
          <w:rFonts w:cs="Times Armenian"/>
          <w:b w:val="0"/>
          <w:szCs w:val="22"/>
          <w:lang w:val="hy-AM"/>
        </w:rPr>
        <w:t xml:space="preserve">, </w:t>
      </w:r>
      <w:r w:rsidRPr="00A83C94">
        <w:rPr>
          <w:rFonts w:cs="Sylfaen"/>
          <w:b w:val="0"/>
          <w:szCs w:val="22"/>
          <w:lang w:val="hy-AM"/>
        </w:rPr>
        <w:t>մարտական</w:t>
      </w:r>
      <w:r w:rsidRPr="00A83C94">
        <w:rPr>
          <w:rFonts w:cs="Times Armenian"/>
          <w:b w:val="0"/>
          <w:szCs w:val="22"/>
          <w:lang w:val="hy-AM"/>
        </w:rPr>
        <w:t xml:space="preserve"> </w:t>
      </w:r>
      <w:r w:rsidRPr="00A83C94">
        <w:rPr>
          <w:rFonts w:cs="Sylfaen"/>
          <w:b w:val="0"/>
          <w:szCs w:val="22"/>
          <w:lang w:val="hy-AM"/>
        </w:rPr>
        <w:t>տեխնիկայի</w:t>
      </w:r>
      <w:r w:rsidRPr="00A83C94">
        <w:rPr>
          <w:rFonts w:cs="Times Armenian"/>
          <w:b w:val="0"/>
          <w:szCs w:val="22"/>
          <w:lang w:val="hy-AM"/>
        </w:rPr>
        <w:t xml:space="preserve">, </w:t>
      </w:r>
      <w:r w:rsidRPr="00A83C94">
        <w:rPr>
          <w:rFonts w:cs="Sylfaen"/>
          <w:b w:val="0"/>
          <w:szCs w:val="22"/>
          <w:lang w:val="hy-AM"/>
        </w:rPr>
        <w:t>տրանսպորտային</w:t>
      </w:r>
      <w:r w:rsidRPr="00A83C94">
        <w:rPr>
          <w:rFonts w:cs="Times Armenian"/>
          <w:b w:val="0"/>
          <w:szCs w:val="22"/>
          <w:lang w:val="hy-AM"/>
        </w:rPr>
        <w:t xml:space="preserve"> </w:t>
      </w:r>
      <w:r w:rsidRPr="00A83C94">
        <w:rPr>
          <w:rFonts w:cs="Sylfaen"/>
          <w:b w:val="0"/>
          <w:szCs w:val="22"/>
          <w:lang w:val="hy-AM"/>
        </w:rPr>
        <w:t>միջոցների</w:t>
      </w:r>
      <w:r w:rsidRPr="00A83C94">
        <w:rPr>
          <w:rFonts w:cs="Times Armenian"/>
          <w:b w:val="0"/>
          <w:szCs w:val="22"/>
          <w:lang w:val="hy-AM"/>
        </w:rPr>
        <w:t xml:space="preserve">, </w:t>
      </w:r>
      <w:r w:rsidRPr="00A83C94">
        <w:rPr>
          <w:rFonts w:cs="Sylfaen"/>
          <w:b w:val="0"/>
          <w:szCs w:val="22"/>
          <w:lang w:val="hy-AM"/>
        </w:rPr>
        <w:t>կապի</w:t>
      </w:r>
      <w:r w:rsidRPr="00A83C94">
        <w:rPr>
          <w:rFonts w:cs="Times Armenian"/>
          <w:b w:val="0"/>
          <w:szCs w:val="22"/>
          <w:lang w:val="hy-AM"/>
        </w:rPr>
        <w:t xml:space="preserve"> </w:t>
      </w:r>
      <w:r w:rsidRPr="00A83C94">
        <w:rPr>
          <w:rFonts w:cs="Sylfaen"/>
          <w:b w:val="0"/>
          <w:szCs w:val="22"/>
          <w:lang w:val="hy-AM"/>
        </w:rPr>
        <w:t>համակարգի</w:t>
      </w:r>
      <w:r w:rsidRPr="00A83C94">
        <w:rPr>
          <w:rFonts w:cs="Times Armenian"/>
          <w:b w:val="0"/>
          <w:szCs w:val="22"/>
          <w:lang w:val="hy-AM"/>
        </w:rPr>
        <w:t xml:space="preserve"> </w:t>
      </w:r>
      <w:r w:rsidRPr="00A83C94">
        <w:rPr>
          <w:rFonts w:cs="Sylfaen"/>
          <w:b w:val="0"/>
          <w:szCs w:val="22"/>
          <w:lang w:val="hy-AM"/>
        </w:rPr>
        <w:t>սարքավորումների</w:t>
      </w:r>
      <w:r w:rsidRPr="00A83C94">
        <w:rPr>
          <w:rFonts w:cs="Times Armenian"/>
          <w:b w:val="0"/>
          <w:szCs w:val="22"/>
          <w:lang w:val="hy-AM"/>
        </w:rPr>
        <w:t xml:space="preserve">, </w:t>
      </w:r>
      <w:r w:rsidRPr="00A83C94">
        <w:rPr>
          <w:rFonts w:cs="Sylfaen"/>
          <w:b w:val="0"/>
          <w:szCs w:val="22"/>
          <w:lang w:val="hy-AM"/>
        </w:rPr>
        <w:t>զորանոցային</w:t>
      </w:r>
      <w:r w:rsidRPr="00A83C94">
        <w:rPr>
          <w:rFonts w:cs="Times Armenian"/>
          <w:b w:val="0"/>
          <w:szCs w:val="22"/>
          <w:lang w:val="hy-AM"/>
        </w:rPr>
        <w:t xml:space="preserve"> </w:t>
      </w:r>
      <w:r w:rsidRPr="00A83C94">
        <w:rPr>
          <w:rFonts w:cs="Sylfaen"/>
          <w:b w:val="0"/>
          <w:szCs w:val="22"/>
          <w:lang w:val="hy-AM"/>
        </w:rPr>
        <w:t>և</w:t>
      </w:r>
      <w:r w:rsidRPr="00A83C94">
        <w:rPr>
          <w:rFonts w:cs="Times Armenian"/>
          <w:b w:val="0"/>
          <w:szCs w:val="22"/>
          <w:lang w:val="hy-AM"/>
        </w:rPr>
        <w:t xml:space="preserve"> </w:t>
      </w:r>
      <w:r w:rsidRPr="00A83C94">
        <w:rPr>
          <w:rFonts w:cs="Sylfaen"/>
          <w:b w:val="0"/>
          <w:szCs w:val="22"/>
          <w:lang w:val="hy-AM"/>
        </w:rPr>
        <w:t>տեխնիկական</w:t>
      </w:r>
      <w:r w:rsidRPr="00A83C94">
        <w:rPr>
          <w:rFonts w:cs="Times Armenian"/>
          <w:b w:val="0"/>
          <w:szCs w:val="22"/>
          <w:lang w:val="hy-AM"/>
        </w:rPr>
        <w:t xml:space="preserve"> գ</w:t>
      </w:r>
      <w:r w:rsidRPr="00A83C94">
        <w:rPr>
          <w:rFonts w:cs="Sylfaen"/>
          <w:b w:val="0"/>
          <w:szCs w:val="22"/>
          <w:lang w:val="hy-AM"/>
        </w:rPr>
        <w:t>ույքի</w:t>
      </w:r>
      <w:r w:rsidRPr="00A83C94">
        <w:rPr>
          <w:rFonts w:cs="Times Armenian"/>
          <w:b w:val="0"/>
          <w:szCs w:val="22"/>
          <w:lang w:val="hy-AM"/>
        </w:rPr>
        <w:t xml:space="preserve">, </w:t>
      </w:r>
      <w:r w:rsidRPr="00A83C94">
        <w:rPr>
          <w:rFonts w:cs="Sylfaen"/>
          <w:b w:val="0"/>
          <w:szCs w:val="22"/>
          <w:lang w:val="hy-AM"/>
        </w:rPr>
        <w:t>պարենի</w:t>
      </w:r>
      <w:r w:rsidRPr="00A83C94">
        <w:rPr>
          <w:rFonts w:cs="Times Armenian"/>
          <w:b w:val="0"/>
          <w:szCs w:val="22"/>
          <w:lang w:val="hy-AM"/>
        </w:rPr>
        <w:t xml:space="preserve">, </w:t>
      </w:r>
      <w:r w:rsidRPr="00A83C94">
        <w:rPr>
          <w:rFonts w:cs="Sylfaen"/>
          <w:b w:val="0"/>
          <w:szCs w:val="22"/>
          <w:lang w:val="hy-AM"/>
        </w:rPr>
        <w:t>հանդերձանքի</w:t>
      </w:r>
      <w:r w:rsidRPr="00A83C94">
        <w:rPr>
          <w:rFonts w:cs="Times Armenian"/>
          <w:b w:val="0"/>
          <w:szCs w:val="22"/>
          <w:lang w:val="hy-AM"/>
        </w:rPr>
        <w:t xml:space="preserve">, </w:t>
      </w:r>
      <w:r w:rsidRPr="00A83C94">
        <w:rPr>
          <w:rFonts w:cs="Sylfaen"/>
          <w:b w:val="0"/>
          <w:szCs w:val="22"/>
          <w:lang w:val="hy-AM"/>
        </w:rPr>
        <w:t>վառելիքա</w:t>
      </w:r>
      <w:r w:rsidRPr="00A83C94">
        <w:rPr>
          <w:rFonts w:cs="Times Armenian"/>
          <w:b w:val="0"/>
          <w:szCs w:val="22"/>
          <w:lang w:val="hy-AM"/>
        </w:rPr>
        <w:t>-</w:t>
      </w:r>
      <w:r w:rsidRPr="00A83C94">
        <w:rPr>
          <w:rFonts w:cs="Sylfaen"/>
          <w:b w:val="0"/>
          <w:szCs w:val="22"/>
          <w:lang w:val="hy-AM"/>
        </w:rPr>
        <w:t>քսուքային</w:t>
      </w:r>
      <w:r w:rsidRPr="00A83C94">
        <w:rPr>
          <w:rFonts w:cs="Times Armenian"/>
          <w:b w:val="0"/>
          <w:szCs w:val="22"/>
          <w:lang w:val="hy-AM"/>
        </w:rPr>
        <w:t xml:space="preserve"> </w:t>
      </w:r>
      <w:r w:rsidRPr="00A83C94">
        <w:rPr>
          <w:rFonts w:cs="Sylfaen"/>
          <w:b w:val="0"/>
          <w:szCs w:val="22"/>
          <w:lang w:val="hy-AM"/>
        </w:rPr>
        <w:t>նյութերի</w:t>
      </w:r>
      <w:r w:rsidRPr="00A83C94">
        <w:rPr>
          <w:rFonts w:cs="Times Armenian"/>
          <w:b w:val="0"/>
          <w:szCs w:val="22"/>
          <w:lang w:val="hy-AM"/>
        </w:rPr>
        <w:t xml:space="preserve"> </w:t>
      </w:r>
      <w:r w:rsidRPr="00A83C94">
        <w:rPr>
          <w:rFonts w:cs="Sylfaen"/>
          <w:b w:val="0"/>
          <w:szCs w:val="22"/>
          <w:lang w:val="hy-AM"/>
        </w:rPr>
        <w:t>սահմանված</w:t>
      </w:r>
      <w:r w:rsidRPr="00A83C94">
        <w:rPr>
          <w:rFonts w:cs="Times Armenian"/>
          <w:b w:val="0"/>
          <w:szCs w:val="22"/>
          <w:lang w:val="hy-AM"/>
        </w:rPr>
        <w:t xml:space="preserve"> </w:t>
      </w:r>
      <w:r w:rsidRPr="00A83C94">
        <w:rPr>
          <w:rFonts w:cs="Sylfaen"/>
          <w:b w:val="0"/>
          <w:szCs w:val="22"/>
          <w:lang w:val="hy-AM"/>
        </w:rPr>
        <w:t>պաշարների</w:t>
      </w:r>
      <w:r w:rsidRPr="00A83C94">
        <w:rPr>
          <w:rFonts w:cs="Times Armenian"/>
          <w:b w:val="0"/>
          <w:szCs w:val="22"/>
          <w:lang w:val="hy-AM"/>
        </w:rPr>
        <w:t xml:space="preserve"> </w:t>
      </w:r>
      <w:r w:rsidRPr="00A83C94">
        <w:rPr>
          <w:rFonts w:cs="Sylfaen"/>
          <w:b w:val="0"/>
          <w:szCs w:val="22"/>
          <w:lang w:val="hy-AM"/>
        </w:rPr>
        <w:t>մակարդակի</w:t>
      </w:r>
      <w:r w:rsidRPr="00A83C94">
        <w:rPr>
          <w:rFonts w:cs="Times Armenian"/>
          <w:b w:val="0"/>
          <w:szCs w:val="22"/>
          <w:lang w:val="hy-AM"/>
        </w:rPr>
        <w:t xml:space="preserve">, </w:t>
      </w:r>
      <w:r w:rsidRPr="00A83C94">
        <w:rPr>
          <w:rFonts w:cs="Sylfaen"/>
          <w:b w:val="0"/>
          <w:szCs w:val="22"/>
          <w:lang w:val="hy-AM"/>
        </w:rPr>
        <w:t>զենքի</w:t>
      </w:r>
      <w:r w:rsidRPr="00A83C94">
        <w:rPr>
          <w:rFonts w:cs="Times Armenian"/>
          <w:b w:val="0"/>
          <w:szCs w:val="22"/>
          <w:lang w:val="hy-AM"/>
        </w:rPr>
        <w:t xml:space="preserve"> </w:t>
      </w:r>
      <w:r w:rsidRPr="00A83C94">
        <w:rPr>
          <w:rFonts w:cs="Sylfaen"/>
          <w:b w:val="0"/>
          <w:szCs w:val="22"/>
          <w:lang w:val="hy-AM"/>
        </w:rPr>
        <w:t>և</w:t>
      </w:r>
      <w:r w:rsidRPr="00A83C94">
        <w:rPr>
          <w:rFonts w:cs="Times Armenian"/>
          <w:b w:val="0"/>
          <w:szCs w:val="22"/>
          <w:lang w:val="hy-AM"/>
        </w:rPr>
        <w:t xml:space="preserve"> </w:t>
      </w:r>
      <w:r w:rsidRPr="00A83C94">
        <w:rPr>
          <w:rFonts w:cs="Sylfaen"/>
          <w:b w:val="0"/>
          <w:szCs w:val="22"/>
          <w:lang w:val="hy-AM"/>
        </w:rPr>
        <w:t>զինամթերքի</w:t>
      </w:r>
      <w:r w:rsidRPr="00A83C94">
        <w:rPr>
          <w:rFonts w:cs="Times Armenian"/>
          <w:b w:val="0"/>
          <w:szCs w:val="22"/>
          <w:lang w:val="hy-AM"/>
        </w:rPr>
        <w:t xml:space="preserve"> </w:t>
      </w:r>
      <w:r w:rsidRPr="00A83C94">
        <w:rPr>
          <w:rFonts w:cs="Sylfaen"/>
          <w:b w:val="0"/>
          <w:szCs w:val="22"/>
          <w:lang w:val="hy-AM"/>
        </w:rPr>
        <w:t>հնարավոր</w:t>
      </w:r>
      <w:r w:rsidRPr="00A83C94">
        <w:rPr>
          <w:rFonts w:cs="Times Armenian"/>
          <w:b w:val="0"/>
          <w:szCs w:val="22"/>
          <w:lang w:val="hy-AM"/>
        </w:rPr>
        <w:t xml:space="preserve"> </w:t>
      </w:r>
      <w:r w:rsidRPr="00A83C94">
        <w:rPr>
          <w:rFonts w:cs="Sylfaen"/>
          <w:b w:val="0"/>
          <w:szCs w:val="22"/>
          <w:lang w:val="hy-AM"/>
        </w:rPr>
        <w:t>ներհանրապետական</w:t>
      </w:r>
      <w:r w:rsidRPr="00A83C94">
        <w:rPr>
          <w:rFonts w:cs="Times Armenian"/>
          <w:b w:val="0"/>
          <w:szCs w:val="22"/>
          <w:lang w:val="hy-AM"/>
        </w:rPr>
        <w:t xml:space="preserve"> գ</w:t>
      </w:r>
      <w:r w:rsidRPr="00A83C94">
        <w:rPr>
          <w:rFonts w:cs="Sylfaen"/>
          <w:b w:val="0"/>
          <w:szCs w:val="22"/>
          <w:lang w:val="hy-AM"/>
        </w:rPr>
        <w:t>նումների</w:t>
      </w:r>
      <w:r w:rsidRPr="00A83C94">
        <w:rPr>
          <w:rFonts w:cs="Times Armenian"/>
          <w:b w:val="0"/>
          <w:szCs w:val="22"/>
          <w:lang w:val="hy-AM"/>
        </w:rPr>
        <w:t xml:space="preserve">, </w:t>
      </w:r>
      <w:r w:rsidRPr="00A83C94">
        <w:rPr>
          <w:rFonts w:cs="Sylfaen"/>
          <w:b w:val="0"/>
          <w:szCs w:val="22"/>
          <w:lang w:val="hy-AM"/>
        </w:rPr>
        <w:t>բանակի</w:t>
      </w:r>
      <w:r w:rsidRPr="00A83C94">
        <w:rPr>
          <w:rFonts w:cs="Times Armenian"/>
          <w:b w:val="0"/>
          <w:szCs w:val="22"/>
          <w:lang w:val="hy-AM"/>
        </w:rPr>
        <w:t xml:space="preserve"> </w:t>
      </w:r>
      <w:r w:rsidRPr="00A83C94">
        <w:rPr>
          <w:rFonts w:cs="Sylfaen"/>
          <w:b w:val="0"/>
          <w:szCs w:val="22"/>
          <w:lang w:val="hy-AM"/>
        </w:rPr>
        <w:t>մարտունակության</w:t>
      </w:r>
      <w:r w:rsidRPr="00A83C94">
        <w:rPr>
          <w:rFonts w:cs="Times Armenian"/>
          <w:b w:val="0"/>
          <w:szCs w:val="22"/>
          <w:lang w:val="hy-AM"/>
        </w:rPr>
        <w:t xml:space="preserve"> </w:t>
      </w:r>
      <w:r w:rsidRPr="00A83C94">
        <w:rPr>
          <w:rFonts w:cs="Sylfaen"/>
          <w:b w:val="0"/>
          <w:szCs w:val="22"/>
          <w:lang w:val="hy-AM"/>
        </w:rPr>
        <w:t>և</w:t>
      </w:r>
      <w:r w:rsidRPr="00A83C94">
        <w:rPr>
          <w:rFonts w:cs="Times Armenian"/>
          <w:b w:val="0"/>
          <w:szCs w:val="22"/>
          <w:lang w:val="hy-AM"/>
        </w:rPr>
        <w:t xml:space="preserve"> </w:t>
      </w:r>
      <w:r w:rsidRPr="00A83C94">
        <w:rPr>
          <w:rFonts w:cs="Sylfaen"/>
          <w:b w:val="0"/>
          <w:szCs w:val="22"/>
          <w:lang w:val="hy-AM"/>
        </w:rPr>
        <w:t>կենսապահովման</w:t>
      </w:r>
      <w:r w:rsidRPr="00A83C94">
        <w:rPr>
          <w:rFonts w:cs="Times Armenian"/>
          <w:b w:val="0"/>
          <w:szCs w:val="22"/>
          <w:lang w:val="hy-AM"/>
        </w:rPr>
        <w:t xml:space="preserve"> </w:t>
      </w:r>
      <w:r w:rsidRPr="00A83C94">
        <w:rPr>
          <w:rFonts w:cs="Sylfaen"/>
          <w:b w:val="0"/>
          <w:szCs w:val="22"/>
          <w:lang w:val="hy-AM"/>
        </w:rPr>
        <w:t>պահանջների</w:t>
      </w:r>
      <w:r w:rsidRPr="00A83C94">
        <w:rPr>
          <w:rFonts w:cs="Times Armenian"/>
          <w:b w:val="0"/>
          <w:szCs w:val="22"/>
          <w:lang w:val="hy-AM"/>
        </w:rPr>
        <w:t xml:space="preserve"> </w:t>
      </w:r>
      <w:r w:rsidRPr="00A83C94">
        <w:rPr>
          <w:rFonts w:cs="Sylfaen"/>
          <w:b w:val="0"/>
          <w:szCs w:val="22"/>
          <w:lang w:val="hy-AM"/>
        </w:rPr>
        <w:t>բավարարման ծախսերը:</w:t>
      </w:r>
    </w:p>
    <w:p w14:paraId="1DA3B1A2" w14:textId="77777777" w:rsidR="00D22749" w:rsidRPr="00A83C94" w:rsidRDefault="00D22749" w:rsidP="00D22749">
      <w:pPr>
        <w:tabs>
          <w:tab w:val="left" w:pos="1080"/>
        </w:tabs>
        <w:spacing w:line="276" w:lineRule="auto"/>
        <w:ind w:firstLine="720"/>
        <w:rPr>
          <w:rFonts w:cs="Sylfaen"/>
          <w:b w:val="0"/>
          <w:szCs w:val="22"/>
          <w:lang w:val="hy-AM"/>
        </w:rPr>
      </w:pPr>
      <w:r w:rsidRPr="00A83C94">
        <w:rPr>
          <w:rFonts w:cs="Times Armenian"/>
          <w:b w:val="0"/>
          <w:szCs w:val="22"/>
          <w:lang w:val="hy-AM"/>
        </w:rPr>
        <w:t xml:space="preserve">Ծրագրի գծով ՀՀ 2022 թվականի պետական բյուջեի նախագծով նախատեսվել է 340,569.3 </w:t>
      </w:r>
      <w:r w:rsidRPr="00A83C94">
        <w:rPr>
          <w:b w:val="0"/>
          <w:szCs w:val="22"/>
          <w:lang w:val="hy-AM"/>
        </w:rPr>
        <w:t>մլն.դրամ</w:t>
      </w:r>
      <w:r w:rsidRPr="00A83C94">
        <w:rPr>
          <w:rFonts w:cs="Times Armenian"/>
          <w:b w:val="0"/>
          <w:szCs w:val="22"/>
          <w:lang w:val="hy-AM"/>
        </w:rPr>
        <w:t xml:space="preserve">` ՀՀ 2021 թվականի պետական բյուջեով հաստատված գումարից 34,087.8 </w:t>
      </w:r>
      <w:r w:rsidRPr="00A83C94">
        <w:rPr>
          <w:b w:val="0"/>
          <w:szCs w:val="22"/>
          <w:lang w:val="hy-AM"/>
        </w:rPr>
        <w:t>մլն.</w:t>
      </w:r>
      <w:r w:rsidRPr="00A83C94">
        <w:rPr>
          <w:rFonts w:cs="Times Armenian"/>
          <w:b w:val="0"/>
          <w:szCs w:val="22"/>
          <w:lang w:val="hy-AM"/>
        </w:rPr>
        <w:t>դրամով կամ 11.1%-ով ավել, ընդ որում.</w:t>
      </w:r>
    </w:p>
    <w:p w14:paraId="2BE24ED2" w14:textId="03F025EF" w:rsidR="00D22749" w:rsidRPr="00A83C94" w:rsidRDefault="00D22749" w:rsidP="00D22749">
      <w:pPr>
        <w:tabs>
          <w:tab w:val="left" w:pos="1080"/>
        </w:tabs>
        <w:spacing w:line="276" w:lineRule="auto"/>
        <w:ind w:firstLine="720"/>
        <w:rPr>
          <w:b w:val="0"/>
          <w:szCs w:val="22"/>
          <w:lang w:val="fr-FR"/>
        </w:rPr>
      </w:pPr>
      <w:r w:rsidRPr="00A83C94">
        <w:rPr>
          <w:b w:val="0"/>
          <w:spacing w:val="-4"/>
          <w:szCs w:val="22"/>
          <w:lang w:val="fr-FR"/>
        </w:rPr>
        <w:t xml:space="preserve"> </w:t>
      </w:r>
      <w:r w:rsidRPr="00A83C94">
        <w:rPr>
          <w:spacing w:val="-4"/>
          <w:szCs w:val="22"/>
          <w:lang w:val="hy-AM"/>
        </w:rPr>
        <w:t>Ռազմաբժշկական սպասարկում և առողջապահական ծառայություններ</w:t>
      </w:r>
      <w:r w:rsidRPr="00A83C94">
        <w:rPr>
          <w:b w:val="0"/>
          <w:spacing w:val="-4"/>
          <w:szCs w:val="22"/>
          <w:lang w:val="hy-AM"/>
        </w:rPr>
        <w:t xml:space="preserve"> ծրագրի</w:t>
      </w:r>
      <w:r w:rsidRPr="00A83C94">
        <w:rPr>
          <w:b w:val="0"/>
          <w:spacing w:val="-4"/>
          <w:szCs w:val="22"/>
          <w:lang w:val="fr-FR"/>
        </w:rPr>
        <w:t xml:space="preserve"> </w:t>
      </w:r>
      <w:r w:rsidRPr="00A83C94">
        <w:rPr>
          <w:b w:val="0"/>
          <w:spacing w:val="-4"/>
          <w:szCs w:val="22"/>
          <w:lang w:val="hy-AM"/>
        </w:rPr>
        <w:t xml:space="preserve">գծով </w:t>
      </w:r>
      <w:r w:rsidRPr="00A83C94">
        <w:rPr>
          <w:rFonts w:cs="Times Armenian"/>
          <w:b w:val="0"/>
          <w:szCs w:val="22"/>
          <w:lang w:val="hy-AM"/>
        </w:rPr>
        <w:t xml:space="preserve">ՀՀ 2022 թվականի պետական բյուջեի նախագծով նախատեսվել է </w:t>
      </w:r>
      <w:r w:rsidRPr="00A83C94">
        <w:rPr>
          <w:rFonts w:cs="Times Armenian"/>
          <w:b w:val="0"/>
          <w:szCs w:val="22"/>
          <w:lang w:val="fr-FR"/>
        </w:rPr>
        <w:t>2,635</w:t>
      </w:r>
      <w:r w:rsidRPr="00A83C94">
        <w:rPr>
          <w:rFonts w:cs="Times Armenian"/>
          <w:b w:val="0"/>
          <w:szCs w:val="22"/>
          <w:lang w:val="hy-AM"/>
        </w:rPr>
        <w:t xml:space="preserve">.4 </w:t>
      </w:r>
      <w:r w:rsidRPr="00A83C94">
        <w:rPr>
          <w:b w:val="0"/>
          <w:szCs w:val="22"/>
          <w:lang w:val="hy-AM"/>
        </w:rPr>
        <w:t>մլն.դրամ</w:t>
      </w:r>
      <w:r w:rsidRPr="00A83C94">
        <w:rPr>
          <w:rFonts w:cs="Times Armenian"/>
          <w:b w:val="0"/>
          <w:szCs w:val="22"/>
          <w:lang w:val="hy-AM"/>
        </w:rPr>
        <w:t xml:space="preserve">` ՀՀ 2021 թվականի պետական բյուջեով հաստատված գումարից </w:t>
      </w:r>
      <w:r w:rsidRPr="00A83C94">
        <w:rPr>
          <w:rFonts w:cs="Times Armenian"/>
          <w:b w:val="0"/>
          <w:szCs w:val="22"/>
          <w:lang w:val="fr-FR"/>
        </w:rPr>
        <w:t>199</w:t>
      </w:r>
      <w:r w:rsidRPr="00A83C94">
        <w:rPr>
          <w:rFonts w:cs="Times Armenian"/>
          <w:b w:val="0"/>
          <w:szCs w:val="22"/>
          <w:lang w:val="hy-AM"/>
        </w:rPr>
        <w:t xml:space="preserve">.8 </w:t>
      </w:r>
      <w:r w:rsidRPr="00A83C94">
        <w:rPr>
          <w:b w:val="0"/>
          <w:szCs w:val="22"/>
          <w:lang w:val="hy-AM"/>
        </w:rPr>
        <w:t>մլն.</w:t>
      </w:r>
      <w:r w:rsidRPr="00A83C94">
        <w:rPr>
          <w:rFonts w:cs="Times Armenian"/>
          <w:b w:val="0"/>
          <w:szCs w:val="22"/>
          <w:lang w:val="hy-AM"/>
        </w:rPr>
        <w:t>դրամով պակաս,</w:t>
      </w:r>
      <w:r w:rsidRPr="00A83C94">
        <w:rPr>
          <w:rFonts w:cs="Times Armenian"/>
          <w:b w:val="0"/>
          <w:szCs w:val="22"/>
          <w:lang w:val="fr-FR"/>
        </w:rPr>
        <w:t xml:space="preserve"> </w:t>
      </w:r>
      <w:r w:rsidRPr="00A83C94">
        <w:rPr>
          <w:rFonts w:cs="Times Armenian"/>
          <w:b w:val="0"/>
          <w:szCs w:val="22"/>
          <w:lang w:val="hy-AM"/>
        </w:rPr>
        <w:t>որի</w:t>
      </w:r>
      <w:r w:rsidRPr="00A83C94">
        <w:rPr>
          <w:rFonts w:cs="Times Armenian"/>
          <w:b w:val="0"/>
          <w:szCs w:val="22"/>
          <w:lang w:val="fr-FR"/>
        </w:rPr>
        <w:t xml:space="preserve"> </w:t>
      </w:r>
      <w:r w:rsidRPr="00A83C94">
        <w:rPr>
          <w:rFonts w:cs="Times Armenian"/>
          <w:b w:val="0"/>
          <w:szCs w:val="22"/>
          <w:lang w:val="hy-AM"/>
        </w:rPr>
        <w:t>շրջանակներում</w:t>
      </w:r>
      <w:r w:rsidRPr="00A83C94">
        <w:rPr>
          <w:rFonts w:cs="Times Armenian"/>
          <w:b w:val="0"/>
          <w:szCs w:val="22"/>
          <w:lang w:val="fr-FR"/>
        </w:rPr>
        <w:t xml:space="preserve"> </w:t>
      </w:r>
      <w:r w:rsidRPr="00A83C94">
        <w:rPr>
          <w:b w:val="0"/>
          <w:szCs w:val="22"/>
          <w:lang w:val="fr-FR"/>
        </w:rPr>
        <w:t xml:space="preserve">թվով 12 ռազմաբժշկական հաստատություններում (որից 2 կենտրոնական հոսպիտալներ, 6 կայազորային հոսպիտալներ և 3 առանձին բժշկական ջոկատներ, 1 կենտրոնական պոլիկլինիկա), 2 մասնագիտացված,  60 գնդային, 31 առանձին գումարտակային և գնդերի շուրջ 75 գումարտակային բուժկետերում կազմակերպվում է զինծառայողների և նրանց ընտանիքների անդամների առաջնային և մասնագիտացված բուժօգության ծառայությունները, նախատեսվում է 300 զինծառայողների վերականգնողական բուժումը կազմակերպել այդ ոլորտում մասնագիտացած հաստատությունում՝ ապահովելով բուժման նվազագույնը 30 օրյա կուրս, զինված ուժերում համաճարակային անվտանգությունը ապահովելու և վարակիչ հիվանդությունների ներթափանցումը կանխելու նպատակով պարբերական հետազոտությունների են ենթարկվելու խմելու և կենցաղի համար օգտագործվող ջուրը, մատակարարվող սննդամթերը, սնունդը և պատրաստի սննդատեսակները, նախատեսվում է ընթացիկ սպասարկան ենթարկել 12 շարժական ֆլյուորոգրաֆիկ սարքավորումներ, 15 արհեստական շնչառության սարքերը և 15 ընդհանուր անզգայացման սարքերը, 5 թվային ռենտգեն սարքավորումները, զինվորական հոսպիտալի համակարգչային տոմոգրաֆը, 5 լաբորատոր սարքեր, 2 ցածր ջերմաստիճանային պլազմային ախտահանիչ սարք: </w:t>
      </w:r>
    </w:p>
    <w:p w14:paraId="23F6A642" w14:textId="77777777" w:rsidR="00D22749" w:rsidRPr="00A83C94" w:rsidRDefault="00D22749" w:rsidP="00D22749">
      <w:pPr>
        <w:tabs>
          <w:tab w:val="left" w:pos="1080"/>
        </w:tabs>
        <w:spacing w:line="276" w:lineRule="auto"/>
        <w:ind w:firstLine="720"/>
        <w:rPr>
          <w:b w:val="0"/>
          <w:szCs w:val="22"/>
          <w:lang w:val="fr-FR"/>
        </w:rPr>
      </w:pPr>
      <w:r w:rsidRPr="00A83C94">
        <w:rPr>
          <w:b w:val="0"/>
          <w:szCs w:val="22"/>
          <w:lang w:val="fr-FR"/>
        </w:rPr>
        <w:t>«Հոսպիտալների և բուժկետերի բժշկական սարքավորումներով համալրում» միջոցառման շրջանակներում 1</w:t>
      </w:r>
      <w:r w:rsidRPr="00A83C94">
        <w:rPr>
          <w:b w:val="0"/>
          <w:szCs w:val="22"/>
          <w:lang w:val="hy-AM"/>
        </w:rPr>
        <w:t>,</w:t>
      </w:r>
      <w:r w:rsidRPr="00A83C94">
        <w:rPr>
          <w:b w:val="0"/>
          <w:szCs w:val="22"/>
          <w:lang w:val="fr-FR"/>
        </w:rPr>
        <w:t xml:space="preserve">129.8 </w:t>
      </w:r>
      <w:r w:rsidRPr="00A83C94">
        <w:rPr>
          <w:b w:val="0"/>
          <w:szCs w:val="22"/>
          <w:lang w:val="hy-AM"/>
        </w:rPr>
        <w:t>մլն.դրամ</w:t>
      </w:r>
      <w:r w:rsidRPr="00A83C94">
        <w:rPr>
          <w:b w:val="0"/>
          <w:szCs w:val="22"/>
          <w:lang w:val="fr-FR"/>
        </w:rPr>
        <w:t xml:space="preserve"> միջոցները կուղղվեն կենտրոնական և կայազորային զինվորական հոսպիտալները ՄՌՏ սարքի, նարկոզի, արհեստական շնչառության, ԷԷԳ, նյարդավիրաբուժության համար նախատեսված բարձր արագությամբ էլեկտրական ուժային ունիվերսալ արդիական բժշկական սարքավորումներով համալրման`</w:t>
      </w:r>
      <w:r w:rsidRPr="00A83C94">
        <w:rPr>
          <w:b w:val="0"/>
          <w:spacing w:val="-4"/>
          <w:szCs w:val="22"/>
          <w:lang w:val="hy-AM"/>
        </w:rPr>
        <w:t xml:space="preserve"> ՀՀ 2021 թվականի պետական բյուջեով հաստատված գումարի չափով</w:t>
      </w:r>
      <w:r w:rsidRPr="00A83C94">
        <w:rPr>
          <w:b w:val="0"/>
          <w:szCs w:val="22"/>
          <w:lang w:val="fr-FR"/>
        </w:rPr>
        <w:t>:</w:t>
      </w:r>
    </w:p>
    <w:p w14:paraId="4854EEE5" w14:textId="7258442A" w:rsidR="00D22749" w:rsidRPr="00A83C94" w:rsidRDefault="00D22749" w:rsidP="00D22749">
      <w:pPr>
        <w:tabs>
          <w:tab w:val="left" w:pos="1080"/>
        </w:tabs>
        <w:spacing w:line="276" w:lineRule="auto"/>
        <w:ind w:firstLine="720"/>
        <w:rPr>
          <w:b w:val="0"/>
          <w:szCs w:val="22"/>
          <w:lang w:val="fr-FR"/>
        </w:rPr>
      </w:pPr>
      <w:r w:rsidRPr="00A83C94">
        <w:rPr>
          <w:spacing w:val="-4"/>
          <w:szCs w:val="22"/>
          <w:lang w:val="hy-AM"/>
        </w:rPr>
        <w:t>Ռազմական ուսուցում և վերապատրաստում</w:t>
      </w:r>
      <w:r w:rsidRPr="00A83C94">
        <w:rPr>
          <w:b w:val="0"/>
          <w:spacing w:val="-4"/>
          <w:szCs w:val="22"/>
          <w:lang w:val="hy-AM"/>
        </w:rPr>
        <w:t xml:space="preserve"> </w:t>
      </w:r>
      <w:r w:rsidRPr="00A83C94">
        <w:rPr>
          <w:b w:val="0"/>
          <w:spacing w:val="-4"/>
          <w:szCs w:val="22"/>
        </w:rPr>
        <w:t>ծրագրի</w:t>
      </w:r>
      <w:r w:rsidRPr="00A83C94">
        <w:rPr>
          <w:b w:val="0"/>
          <w:spacing w:val="-4"/>
          <w:szCs w:val="22"/>
          <w:lang w:val="fr-FR"/>
        </w:rPr>
        <w:t xml:space="preserve"> </w:t>
      </w:r>
      <w:r w:rsidRPr="00A83C94">
        <w:rPr>
          <w:b w:val="0"/>
          <w:spacing w:val="-4"/>
          <w:szCs w:val="22"/>
        </w:rPr>
        <w:t>շրջանակներում</w:t>
      </w:r>
      <w:r w:rsidRPr="00A83C94">
        <w:rPr>
          <w:b w:val="0"/>
          <w:spacing w:val="-4"/>
          <w:szCs w:val="22"/>
          <w:lang w:val="fr-FR"/>
        </w:rPr>
        <w:t xml:space="preserve"> </w:t>
      </w:r>
      <w:r w:rsidRPr="00A83C94">
        <w:rPr>
          <w:b w:val="0"/>
          <w:spacing w:val="-4"/>
          <w:szCs w:val="22"/>
          <w:lang w:val="hy-AM"/>
        </w:rPr>
        <w:t xml:space="preserve">նախատեսվող 1,029.1 </w:t>
      </w:r>
      <w:r w:rsidRPr="00A83C94">
        <w:rPr>
          <w:b w:val="0"/>
          <w:szCs w:val="22"/>
          <w:lang w:val="hy-AM"/>
        </w:rPr>
        <w:t>մլն.դրամ</w:t>
      </w:r>
      <w:r w:rsidRPr="00A83C94">
        <w:rPr>
          <w:b w:val="0"/>
          <w:spacing w:val="-4"/>
          <w:szCs w:val="22"/>
          <w:lang w:val="hy-AM"/>
        </w:rPr>
        <w:t xml:space="preserve"> հատկացումների պայման</w:t>
      </w:r>
      <w:r w:rsidRPr="00A83C94">
        <w:rPr>
          <w:b w:val="0"/>
          <w:spacing w:val="-4"/>
          <w:szCs w:val="22"/>
          <w:lang w:val="hy-AM"/>
        </w:rPr>
        <w:softHyphen/>
        <w:t>նե</w:t>
      </w:r>
      <w:r w:rsidRPr="00A83C94">
        <w:rPr>
          <w:b w:val="0"/>
          <w:spacing w:val="-4"/>
          <w:szCs w:val="22"/>
          <w:lang w:val="hy-AM"/>
        </w:rPr>
        <w:softHyphen/>
        <w:t>րում ՀՀ զինված ուժերը համապատասխան մասնագետներով ապահովելու նպատակով ՌԴ և այլ օտարերկրյա պետություններում ռազմական ակադեմիական կրթություն ստացողների տարեկան միջին թվաքանակները կկազմեն 342 մարդ, որից կուրսանտներ` 205  (ՌԴ-185, այլ երկրներ-20), սպա-ունկնդիրներ` 115 (ՌԴ-95, այլ երկրներ-20) և Վ.Սարգսյանի անվան  ռազմական համալսարանի հրամանատարաշտաբային ֆակուլտետում կարճաժամկետ դասընթացներում ներգրավվածներ` 22 մարդ:</w:t>
      </w:r>
    </w:p>
    <w:p w14:paraId="7D5D9484" w14:textId="0E0791DA" w:rsidR="00D22749" w:rsidRPr="00A83C94" w:rsidRDefault="00D22749" w:rsidP="00D22749">
      <w:pPr>
        <w:tabs>
          <w:tab w:val="left" w:pos="1080"/>
        </w:tabs>
        <w:spacing w:line="276" w:lineRule="auto"/>
        <w:ind w:firstLine="720"/>
        <w:rPr>
          <w:b w:val="0"/>
          <w:szCs w:val="22"/>
          <w:lang w:val="fr-FR"/>
        </w:rPr>
      </w:pPr>
      <w:r w:rsidRPr="00A83C94">
        <w:rPr>
          <w:spacing w:val="-4"/>
          <w:szCs w:val="22"/>
          <w:lang w:val="hy-AM"/>
        </w:rPr>
        <w:t>Միջազգային ռազմական համագործակցություն</w:t>
      </w:r>
      <w:r w:rsidRPr="00A83C94">
        <w:rPr>
          <w:b w:val="0"/>
          <w:spacing w:val="-4"/>
          <w:szCs w:val="22"/>
          <w:lang w:val="hy-AM"/>
        </w:rPr>
        <w:t xml:space="preserve"> ծրագրով </w:t>
      </w:r>
      <w:r w:rsidRPr="00A83C94">
        <w:rPr>
          <w:rFonts w:cs="Times Armenian"/>
          <w:b w:val="0"/>
          <w:szCs w:val="22"/>
          <w:lang w:val="hy-AM"/>
        </w:rPr>
        <w:t xml:space="preserve">ՀՀ 2022 թվականի պետական բյուջեի նախագծով նախատեսվել է </w:t>
      </w:r>
      <w:r w:rsidR="00197E16">
        <w:rPr>
          <w:rFonts w:cs="Times Armenian"/>
          <w:b w:val="0"/>
          <w:szCs w:val="22"/>
          <w:lang w:val="fr-FR"/>
        </w:rPr>
        <w:t>944</w:t>
      </w:r>
      <w:r w:rsidRPr="00A83C94">
        <w:rPr>
          <w:rFonts w:cs="Times Armenian"/>
          <w:b w:val="0"/>
          <w:szCs w:val="22"/>
          <w:lang w:val="hy-AM"/>
        </w:rPr>
        <w:t>.</w:t>
      </w:r>
      <w:r w:rsidR="00197E16" w:rsidRPr="00197E16">
        <w:rPr>
          <w:rFonts w:cs="Times Armenian"/>
          <w:b w:val="0"/>
          <w:szCs w:val="22"/>
          <w:lang w:val="fr-FR"/>
        </w:rPr>
        <w:t>1</w:t>
      </w:r>
      <w:r w:rsidRPr="00A83C94">
        <w:rPr>
          <w:rFonts w:cs="Times Armenian"/>
          <w:b w:val="0"/>
          <w:szCs w:val="22"/>
          <w:lang w:val="hy-AM"/>
        </w:rPr>
        <w:t xml:space="preserve"> </w:t>
      </w:r>
      <w:r w:rsidRPr="00A83C94">
        <w:rPr>
          <w:b w:val="0"/>
          <w:szCs w:val="22"/>
          <w:lang w:val="hy-AM"/>
        </w:rPr>
        <w:t>մլն.դրամ</w:t>
      </w:r>
      <w:r w:rsidRPr="00A83C94">
        <w:rPr>
          <w:rFonts w:cs="Times Armenian"/>
          <w:b w:val="0"/>
          <w:szCs w:val="22"/>
          <w:lang w:val="fr-FR"/>
        </w:rPr>
        <w:t xml:space="preserve">, </w:t>
      </w:r>
      <w:r w:rsidRPr="00A83C94">
        <w:rPr>
          <w:rFonts w:cs="Times Armenian"/>
          <w:b w:val="0"/>
          <w:szCs w:val="22"/>
        </w:rPr>
        <w:t>որի</w:t>
      </w:r>
      <w:r w:rsidRPr="00A83C94">
        <w:rPr>
          <w:rFonts w:cs="Times Armenian"/>
          <w:b w:val="0"/>
          <w:szCs w:val="22"/>
          <w:lang w:val="fr-FR"/>
        </w:rPr>
        <w:t xml:space="preserve"> </w:t>
      </w:r>
      <w:r w:rsidRPr="00A83C94">
        <w:rPr>
          <w:rFonts w:cs="Times Armenian"/>
          <w:b w:val="0"/>
          <w:szCs w:val="22"/>
        </w:rPr>
        <w:t>շրջանակներում</w:t>
      </w:r>
      <w:r w:rsidRPr="00A83C94">
        <w:rPr>
          <w:b w:val="0"/>
          <w:spacing w:val="-4"/>
          <w:szCs w:val="22"/>
          <w:lang w:val="hy-AM"/>
        </w:rPr>
        <w:t xml:space="preserve"> </w:t>
      </w:r>
      <w:r w:rsidRPr="00A83C94">
        <w:rPr>
          <w:b w:val="0"/>
          <w:spacing w:val="-4"/>
          <w:szCs w:val="22"/>
        </w:rPr>
        <w:t>կ</w:t>
      </w:r>
      <w:r w:rsidRPr="00A83C94">
        <w:rPr>
          <w:b w:val="0"/>
          <w:spacing w:val="-4"/>
          <w:szCs w:val="22"/>
          <w:lang w:val="hy-AM"/>
        </w:rPr>
        <w:t>իրականացվեն արտասահմանյան երկրների դեսպանություններում և միջազգային կազմակերպություններում թվով 18 ռազմական կցորդների ու  ՀՀ ԶՈւ ներկայացուցիչների պահպանման ծախսերի ֆինանսավորումը:</w:t>
      </w:r>
      <w:r w:rsidRPr="00A83C94">
        <w:rPr>
          <w:b w:val="0"/>
          <w:spacing w:val="-4"/>
          <w:szCs w:val="22"/>
          <w:lang w:val="fr-FR"/>
        </w:rPr>
        <w:t xml:space="preserve"> Ծախսերը </w:t>
      </w:r>
      <w:r w:rsidRPr="00A83C94">
        <w:rPr>
          <w:rFonts w:cs="Times Armenian"/>
          <w:b w:val="0"/>
          <w:szCs w:val="22"/>
          <w:lang w:val="hy-AM"/>
        </w:rPr>
        <w:t>ՀՀ 2021 թվականի պետական բյուջեով հաստատված</w:t>
      </w:r>
      <w:r w:rsidRPr="00A83C94">
        <w:rPr>
          <w:rFonts w:cs="Times Armenian"/>
          <w:b w:val="0"/>
          <w:szCs w:val="22"/>
        </w:rPr>
        <w:t>ին</w:t>
      </w:r>
      <w:r w:rsidRPr="00A83C94">
        <w:rPr>
          <w:rFonts w:cs="Times Armenian"/>
          <w:b w:val="0"/>
          <w:szCs w:val="22"/>
          <w:lang w:val="fr-FR"/>
        </w:rPr>
        <w:t xml:space="preserve"> </w:t>
      </w:r>
      <w:r w:rsidRPr="00A83C94">
        <w:rPr>
          <w:rFonts w:cs="Times Armenian"/>
          <w:b w:val="0"/>
          <w:szCs w:val="22"/>
        </w:rPr>
        <w:t>կգերազանցեն</w:t>
      </w:r>
      <w:r w:rsidRPr="00A83C94">
        <w:rPr>
          <w:rFonts w:cs="Times Armenian"/>
          <w:b w:val="0"/>
          <w:szCs w:val="22"/>
          <w:lang w:val="hy-AM"/>
        </w:rPr>
        <w:t xml:space="preserve"> </w:t>
      </w:r>
      <w:r w:rsidR="0080249D">
        <w:rPr>
          <w:rFonts w:cs="Times Armenian"/>
          <w:b w:val="0"/>
          <w:szCs w:val="22"/>
          <w:lang w:val="hy-AM"/>
        </w:rPr>
        <w:t>80.2</w:t>
      </w:r>
      <w:r w:rsidRPr="00A83C94">
        <w:rPr>
          <w:rFonts w:cs="Times Armenian"/>
          <w:b w:val="0"/>
          <w:szCs w:val="22"/>
          <w:lang w:val="hy-AM"/>
        </w:rPr>
        <w:t xml:space="preserve"> </w:t>
      </w:r>
      <w:r w:rsidRPr="00A83C94">
        <w:rPr>
          <w:b w:val="0"/>
          <w:szCs w:val="22"/>
          <w:lang w:val="hy-AM"/>
        </w:rPr>
        <w:t>մլն.դրամ</w:t>
      </w:r>
      <w:r w:rsidR="00171833">
        <w:rPr>
          <w:b w:val="0"/>
          <w:szCs w:val="22"/>
          <w:lang w:val="hy-AM"/>
        </w:rPr>
        <w:t>ով</w:t>
      </w:r>
      <w:r w:rsidRPr="00A83C94">
        <w:rPr>
          <w:rFonts w:cs="Times Armenian"/>
          <w:b w:val="0"/>
          <w:szCs w:val="22"/>
          <w:lang w:val="fr-FR"/>
        </w:rPr>
        <w:t>:</w:t>
      </w:r>
    </w:p>
    <w:p w14:paraId="0A17772E" w14:textId="7839857C" w:rsidR="00D22749" w:rsidRPr="00A83C94" w:rsidRDefault="00D22749" w:rsidP="00D22749">
      <w:pPr>
        <w:tabs>
          <w:tab w:val="left" w:pos="1080"/>
        </w:tabs>
        <w:spacing w:line="276" w:lineRule="auto"/>
        <w:ind w:firstLine="720"/>
        <w:rPr>
          <w:rFonts w:cs="Times Armenian"/>
          <w:b w:val="0"/>
          <w:szCs w:val="22"/>
          <w:lang w:val="hy-AM"/>
        </w:rPr>
      </w:pPr>
      <w:r w:rsidRPr="00A83C94">
        <w:rPr>
          <w:rFonts w:cs="Times Armenian"/>
          <w:szCs w:val="22"/>
          <w:lang w:val="hy-AM"/>
        </w:rPr>
        <w:t>Հումանիտար ականազերծման և փորձագիտական ծառայություններ</w:t>
      </w:r>
      <w:r w:rsidRPr="00A83C94">
        <w:rPr>
          <w:rFonts w:cs="Times Armenian"/>
          <w:b w:val="0"/>
          <w:szCs w:val="22"/>
          <w:lang w:val="hy-AM"/>
        </w:rPr>
        <w:t xml:space="preserve"> ծրագրի շրջանակներում նախատեսվում է իրականացնել</w:t>
      </w:r>
      <w:r w:rsidRPr="00A83C94">
        <w:rPr>
          <w:rFonts w:cs="Times Armenian"/>
          <w:b w:val="0"/>
          <w:szCs w:val="22"/>
          <w:lang w:val="fr-FR"/>
        </w:rPr>
        <w:t xml:space="preserve"> </w:t>
      </w:r>
      <w:r w:rsidRPr="00A83C94">
        <w:rPr>
          <w:b w:val="0"/>
          <w:szCs w:val="22"/>
          <w:lang w:val="fr-FR"/>
        </w:rPr>
        <w:t xml:space="preserve">հաստատված վտանգավոր և կասկածելի վտանգավոր տարածքների կրճատում 60.000 քառ. մետրով, </w:t>
      </w:r>
      <w:r w:rsidRPr="00A83C94">
        <w:rPr>
          <w:b w:val="0"/>
          <w:szCs w:val="22"/>
          <w:lang w:val="it-IT"/>
        </w:rPr>
        <w:t xml:space="preserve">ականազերծել </w:t>
      </w:r>
      <w:r w:rsidRPr="00A83C94">
        <w:rPr>
          <w:b w:val="0"/>
          <w:szCs w:val="22"/>
          <w:lang w:val="fr-FR"/>
        </w:rPr>
        <w:t>50.000 քառ. մետր</w:t>
      </w:r>
      <w:r w:rsidRPr="00A83C94">
        <w:rPr>
          <w:b w:val="0"/>
          <w:szCs w:val="22"/>
          <w:lang w:val="it-IT"/>
        </w:rPr>
        <w:t xml:space="preserve"> տարածքներ, ինչպես նաև իրազեկել չափահաս բնակիչներին և երեխաներին</w:t>
      </w:r>
      <w:r w:rsidRPr="00A83C94">
        <w:rPr>
          <w:rFonts w:cs="Times Armenian"/>
          <w:b w:val="0"/>
          <w:szCs w:val="22"/>
          <w:lang w:val="hy-AM"/>
        </w:rPr>
        <w:t>: ՀՀ 202</w:t>
      </w:r>
      <w:r w:rsidRPr="00A83C94">
        <w:rPr>
          <w:rFonts w:cs="Times Armenian"/>
          <w:b w:val="0"/>
          <w:szCs w:val="22"/>
          <w:lang w:val="fr-FR"/>
        </w:rPr>
        <w:t>2</w:t>
      </w:r>
      <w:r w:rsidRPr="00A83C94">
        <w:rPr>
          <w:rFonts w:cs="Times Armenian"/>
          <w:b w:val="0"/>
          <w:szCs w:val="22"/>
          <w:lang w:val="hy-AM"/>
        </w:rPr>
        <w:t xml:space="preserve"> թվականի պետական բյուջեի նախագծով նախատեսվել է </w:t>
      </w:r>
      <w:r w:rsidRPr="00A83C94">
        <w:rPr>
          <w:rFonts w:cs="Times Armenian"/>
          <w:b w:val="0"/>
          <w:szCs w:val="22"/>
          <w:lang w:val="fr-FR"/>
        </w:rPr>
        <w:t>317,</w:t>
      </w:r>
      <w:r w:rsidRPr="00A83C94">
        <w:rPr>
          <w:rFonts w:cs="Times Armenian"/>
          <w:b w:val="0"/>
          <w:szCs w:val="22"/>
          <w:lang w:val="hy-AM"/>
        </w:rPr>
        <w:t xml:space="preserve">.6 </w:t>
      </w:r>
      <w:r w:rsidRPr="00A83C94">
        <w:rPr>
          <w:b w:val="0"/>
          <w:szCs w:val="22"/>
          <w:lang w:val="hy-AM"/>
        </w:rPr>
        <w:t>մլն.դրամ</w:t>
      </w:r>
      <w:r w:rsidRPr="00A83C94">
        <w:rPr>
          <w:rFonts w:cs="Times Armenian"/>
          <w:b w:val="0"/>
          <w:szCs w:val="22"/>
          <w:lang w:val="hy-AM"/>
        </w:rPr>
        <w:t>` ՀՀ 202</w:t>
      </w:r>
      <w:r w:rsidRPr="00A83C94">
        <w:rPr>
          <w:rFonts w:cs="Times Armenian"/>
          <w:b w:val="0"/>
          <w:szCs w:val="22"/>
          <w:lang w:val="fr-FR"/>
        </w:rPr>
        <w:t>1</w:t>
      </w:r>
      <w:r w:rsidRPr="00A83C94">
        <w:rPr>
          <w:rFonts w:cs="Times Armenian"/>
          <w:b w:val="0"/>
          <w:szCs w:val="22"/>
          <w:lang w:val="hy-AM"/>
        </w:rPr>
        <w:t xml:space="preserve"> թվականի պետական բյուջեով հաստատվածից </w:t>
      </w:r>
      <w:r w:rsidRPr="00A83C94">
        <w:rPr>
          <w:rFonts w:cs="Times Armenian"/>
          <w:b w:val="0"/>
          <w:szCs w:val="22"/>
          <w:lang w:val="fr-FR"/>
        </w:rPr>
        <w:t>21.</w:t>
      </w:r>
      <w:r w:rsidRPr="00A83C94">
        <w:rPr>
          <w:rFonts w:cs="Times Armenian"/>
          <w:b w:val="0"/>
          <w:szCs w:val="22"/>
          <w:lang w:val="hy-AM"/>
        </w:rPr>
        <w:t>4</w:t>
      </w:r>
      <w:r w:rsidRPr="00A83C94">
        <w:rPr>
          <w:rFonts w:cs="Times Armenian"/>
          <w:b w:val="0"/>
          <w:szCs w:val="22"/>
          <w:lang w:val="fr-FR"/>
        </w:rPr>
        <w:t xml:space="preserve"> </w:t>
      </w:r>
      <w:r w:rsidRPr="00A83C94">
        <w:rPr>
          <w:b w:val="0"/>
          <w:szCs w:val="22"/>
          <w:lang w:val="hy-AM"/>
        </w:rPr>
        <w:t>մլն.</w:t>
      </w:r>
      <w:r w:rsidRPr="00A83C94">
        <w:rPr>
          <w:rFonts w:cs="Times Armenian"/>
          <w:b w:val="0"/>
          <w:szCs w:val="22"/>
          <w:lang w:val="fr-FR"/>
        </w:rPr>
        <w:t>դրամով պակաս</w:t>
      </w:r>
      <w:r w:rsidRPr="00A83C94">
        <w:rPr>
          <w:rFonts w:cs="Times Armenian"/>
          <w:b w:val="0"/>
          <w:szCs w:val="22"/>
          <w:lang w:val="hy-AM"/>
        </w:rPr>
        <w:t>:</w:t>
      </w:r>
    </w:p>
    <w:p w14:paraId="708C32BC" w14:textId="77777777" w:rsidR="00AA2ADD" w:rsidRPr="00A83C94" w:rsidRDefault="00AA2ADD" w:rsidP="007C65A5">
      <w:pPr>
        <w:tabs>
          <w:tab w:val="left" w:pos="1080"/>
        </w:tabs>
        <w:spacing w:line="276" w:lineRule="auto"/>
        <w:ind w:firstLine="720"/>
        <w:rPr>
          <w:szCs w:val="22"/>
          <w:lang w:val="hy-AM"/>
        </w:rPr>
      </w:pPr>
    </w:p>
    <w:p w14:paraId="172C71B3" w14:textId="79684A0C" w:rsidR="00D83CD7" w:rsidRPr="00A83C94" w:rsidRDefault="00787739" w:rsidP="00427D1F">
      <w:pPr>
        <w:keepNext/>
        <w:spacing w:before="0" w:line="276" w:lineRule="auto"/>
        <w:ind w:firstLine="0"/>
        <w:contextualSpacing w:val="0"/>
        <w:jc w:val="center"/>
        <w:outlineLvl w:val="2"/>
        <w:rPr>
          <w:rFonts w:cs="Arial"/>
          <w:sz w:val="24"/>
          <w:lang w:val="hy-AM" w:eastAsia="en-US"/>
        </w:rPr>
      </w:pPr>
      <w:bookmarkStart w:id="320" w:name="_Toc89428325"/>
      <w:r w:rsidRPr="00A83C94">
        <w:rPr>
          <w:rFonts w:cs="Arial"/>
          <w:sz w:val="24"/>
          <w:lang w:val="hy-AM" w:eastAsia="en-US"/>
        </w:rPr>
        <w:t>ՀՀ Ոստիկանություն</w:t>
      </w:r>
      <w:bookmarkEnd w:id="320"/>
    </w:p>
    <w:p w14:paraId="244B7352" w14:textId="13DDBCF6" w:rsidR="00A42F71" w:rsidRPr="00A83C94" w:rsidRDefault="00A42F71" w:rsidP="00A42F71">
      <w:pPr>
        <w:spacing w:line="276" w:lineRule="auto"/>
        <w:rPr>
          <w:b w:val="0"/>
          <w:bCs/>
          <w:szCs w:val="22"/>
          <w:lang w:val="hy-AM"/>
        </w:rPr>
      </w:pPr>
      <w:r w:rsidRPr="00A83C94">
        <w:rPr>
          <w:b w:val="0"/>
          <w:bCs/>
          <w:szCs w:val="22"/>
          <w:lang w:val="hy-AM"/>
        </w:rPr>
        <w:t>Հայաստանի Հանրապետության 2022 թվականի պետական բյուջեի նախագծով ՀՀ ոստիկանության ընդհանուր հատկացումները կազմում են 66,585.</w:t>
      </w:r>
      <w:r w:rsidR="00DC5C4D" w:rsidRPr="00124E5B">
        <w:rPr>
          <w:b w:val="0"/>
          <w:bCs/>
          <w:szCs w:val="22"/>
          <w:lang w:val="hy-AM"/>
        </w:rPr>
        <w:t>7</w:t>
      </w:r>
      <w:r w:rsidRPr="00A83C94">
        <w:rPr>
          <w:b w:val="0"/>
          <w:bCs/>
          <w:szCs w:val="22"/>
          <w:lang w:val="hy-AM"/>
        </w:rPr>
        <w:t xml:space="preserve"> </w:t>
      </w:r>
      <w:r w:rsidRPr="00A83C94">
        <w:rPr>
          <w:b w:val="0"/>
          <w:szCs w:val="22"/>
          <w:lang w:val="hy-AM"/>
        </w:rPr>
        <w:t>մլն.դրամ</w:t>
      </w:r>
      <w:r w:rsidRPr="00A83C94">
        <w:rPr>
          <w:b w:val="0"/>
          <w:bCs/>
          <w:szCs w:val="22"/>
          <w:lang w:val="hy-AM"/>
        </w:rPr>
        <w:t xml:space="preserve">, որը 2021 թվականի՝ 64,652.5 </w:t>
      </w:r>
      <w:r w:rsidRPr="00A83C94">
        <w:rPr>
          <w:b w:val="0"/>
          <w:szCs w:val="22"/>
          <w:lang w:val="hy-AM"/>
        </w:rPr>
        <w:t>մլն.</w:t>
      </w:r>
      <w:r w:rsidRPr="00A83C94">
        <w:rPr>
          <w:b w:val="0"/>
          <w:bCs/>
          <w:szCs w:val="22"/>
          <w:lang w:val="hy-AM"/>
        </w:rPr>
        <w:t xml:space="preserve">դրամի համեմատությամբ աճել է 1,933.2 </w:t>
      </w:r>
      <w:r w:rsidRPr="00A83C94">
        <w:rPr>
          <w:b w:val="0"/>
          <w:szCs w:val="22"/>
          <w:lang w:val="hy-AM"/>
        </w:rPr>
        <w:t>մլն.</w:t>
      </w:r>
      <w:r w:rsidRPr="00A83C94">
        <w:rPr>
          <w:b w:val="0"/>
          <w:bCs/>
          <w:szCs w:val="22"/>
          <w:lang w:val="hy-AM"/>
        </w:rPr>
        <w:t xml:space="preserve">դրամով, կամ 2.99 %-ով: </w:t>
      </w:r>
    </w:p>
    <w:p w14:paraId="7D93D259" w14:textId="77777777" w:rsidR="00A42F71" w:rsidRPr="00A83C94" w:rsidRDefault="00A42F71" w:rsidP="00A42F71">
      <w:pPr>
        <w:spacing w:line="276" w:lineRule="auto"/>
        <w:rPr>
          <w:rFonts w:cs="Arial Armenian"/>
          <w:b w:val="0"/>
          <w:szCs w:val="22"/>
          <w:lang w:val="hy-AM" w:bidi="he-IL"/>
        </w:rPr>
      </w:pPr>
      <w:r w:rsidRPr="00A83C94">
        <w:rPr>
          <w:rFonts w:cs="Arial Armenian"/>
          <w:b w:val="0"/>
          <w:szCs w:val="22"/>
          <w:lang w:val="hy-AM" w:bidi="he-IL"/>
        </w:rPr>
        <w:t xml:space="preserve">Նախագծով նախատեսվող հատկացումները հիմնականում վերագրվում են  ընթացիկ ծախսերին՝ </w:t>
      </w:r>
      <w:r w:rsidRPr="00A83C94">
        <w:rPr>
          <w:b w:val="0"/>
          <w:bCs/>
          <w:szCs w:val="22"/>
          <w:lang w:val="hy-AM"/>
        </w:rPr>
        <w:t xml:space="preserve">62,099.9 </w:t>
      </w:r>
      <w:r w:rsidRPr="00A83C94">
        <w:rPr>
          <w:b w:val="0"/>
          <w:szCs w:val="22"/>
          <w:lang w:val="hy-AM"/>
        </w:rPr>
        <w:t>մլն.դրամ</w:t>
      </w:r>
      <w:r w:rsidRPr="00A83C94">
        <w:rPr>
          <w:rFonts w:cs="Arial Armenian"/>
          <w:b w:val="0"/>
          <w:szCs w:val="22"/>
          <w:lang w:val="hy-AM" w:bidi="he-IL"/>
        </w:rPr>
        <w:t xml:space="preserve">, որը 2021 թվականի՝ 64,339.4 </w:t>
      </w:r>
      <w:r w:rsidRPr="00A83C94">
        <w:rPr>
          <w:b w:val="0"/>
          <w:szCs w:val="22"/>
          <w:lang w:val="hy-AM"/>
        </w:rPr>
        <w:t>մլն.</w:t>
      </w:r>
      <w:r w:rsidRPr="00A83C94">
        <w:rPr>
          <w:rFonts w:cs="Arial Armenian"/>
          <w:b w:val="0"/>
          <w:szCs w:val="22"/>
          <w:lang w:val="hy-AM" w:bidi="he-IL"/>
        </w:rPr>
        <w:t xml:space="preserve">դրամի նկատմամբ նվազել է 2,239.6 </w:t>
      </w:r>
      <w:r w:rsidRPr="00A83C94">
        <w:rPr>
          <w:b w:val="0"/>
          <w:szCs w:val="22"/>
          <w:lang w:val="hy-AM"/>
        </w:rPr>
        <w:t>մլն.</w:t>
      </w:r>
      <w:r w:rsidRPr="00A83C94">
        <w:rPr>
          <w:rFonts w:cs="Arial Armenian"/>
          <w:b w:val="0"/>
          <w:szCs w:val="22"/>
          <w:lang w:val="hy-AM" w:bidi="he-IL"/>
        </w:rPr>
        <w:t xml:space="preserve">դրամի չափով, կամ 3,48 %-ով,  իսկ կապիտալ ծախսերը կազմել են </w:t>
      </w:r>
      <w:r w:rsidRPr="00A83C94">
        <w:rPr>
          <w:b w:val="0"/>
          <w:bCs/>
          <w:szCs w:val="22"/>
          <w:lang w:val="hy-AM"/>
        </w:rPr>
        <w:t xml:space="preserve">4,485.,8 </w:t>
      </w:r>
      <w:r w:rsidRPr="00A83C94">
        <w:rPr>
          <w:b w:val="0"/>
          <w:szCs w:val="22"/>
          <w:lang w:val="hy-AM"/>
        </w:rPr>
        <w:t>մլն.դրամ</w:t>
      </w:r>
      <w:r w:rsidRPr="00A83C94">
        <w:rPr>
          <w:b w:val="0"/>
          <w:bCs/>
          <w:szCs w:val="22"/>
          <w:lang w:val="hy-AM"/>
        </w:rPr>
        <w:t>,</w:t>
      </w:r>
      <w:r w:rsidRPr="00A83C94">
        <w:rPr>
          <w:rFonts w:cs="Arial Armenian"/>
          <w:b w:val="0"/>
          <w:szCs w:val="22"/>
          <w:lang w:val="hy-AM" w:bidi="he-IL"/>
        </w:rPr>
        <w:t xml:space="preserve"> որը 2021 թվականի՝ 313.0 </w:t>
      </w:r>
      <w:r w:rsidRPr="00A83C94">
        <w:rPr>
          <w:b w:val="0"/>
          <w:szCs w:val="22"/>
          <w:lang w:val="hy-AM"/>
        </w:rPr>
        <w:t>մլն.</w:t>
      </w:r>
      <w:r w:rsidRPr="00A83C94">
        <w:rPr>
          <w:rFonts w:cs="Arial Armenian"/>
          <w:b w:val="0"/>
          <w:szCs w:val="22"/>
          <w:lang w:val="hy-AM" w:bidi="he-IL"/>
        </w:rPr>
        <w:t xml:space="preserve">դրամի նկատմամբ աճել է 4,172.8 </w:t>
      </w:r>
      <w:r w:rsidRPr="00A83C94">
        <w:rPr>
          <w:b w:val="0"/>
          <w:szCs w:val="22"/>
          <w:lang w:val="hy-AM"/>
        </w:rPr>
        <w:t>մլն.</w:t>
      </w:r>
      <w:r w:rsidRPr="00A83C94">
        <w:rPr>
          <w:rFonts w:cs="Arial Armenian"/>
          <w:b w:val="0"/>
          <w:szCs w:val="22"/>
          <w:lang w:val="hy-AM" w:bidi="he-IL"/>
        </w:rPr>
        <w:t xml:space="preserve">դրամի չափով։ </w:t>
      </w:r>
    </w:p>
    <w:p w14:paraId="2AF99E10" w14:textId="068A8C06" w:rsidR="00A42F71" w:rsidRPr="00A83C94" w:rsidRDefault="00A42F71" w:rsidP="00A42F71">
      <w:pPr>
        <w:spacing w:before="0" w:line="276" w:lineRule="auto"/>
        <w:rPr>
          <w:b w:val="0"/>
          <w:bCs/>
          <w:szCs w:val="22"/>
          <w:lang w:val="hy-AM"/>
        </w:rPr>
      </w:pPr>
      <w:r w:rsidRPr="00A83C94">
        <w:rPr>
          <w:rFonts w:cs="Arian AMU"/>
          <w:szCs w:val="22"/>
          <w:lang w:val="hy-AM"/>
        </w:rPr>
        <w:t>Ոստիկանության ոլորտների` կազմակերպաիրավական գործունեության, ծառայությունների մատուցման, հասարակական անվտանգության ապահովման և իրավախախտումների դեմ պայքարի քաղաքականության մշակում, մոնիտորինգ և կառավարում</w:t>
      </w:r>
      <w:r w:rsidRPr="00A83C94">
        <w:rPr>
          <w:rFonts w:cs="Arian AMU"/>
          <w:b w:val="0"/>
          <w:szCs w:val="22"/>
          <w:lang w:val="hy-AM"/>
        </w:rPr>
        <w:t xml:space="preserve"> ծրագրի գծով</w:t>
      </w:r>
      <w:r w:rsidRPr="00A83C94">
        <w:rPr>
          <w:b w:val="0"/>
          <w:bCs/>
          <w:szCs w:val="22"/>
          <w:lang w:val="hy-AM"/>
        </w:rPr>
        <w:t xml:space="preserve"> հատկացումները կազմում են 65,019.8 </w:t>
      </w:r>
      <w:r w:rsidRPr="00A83C94">
        <w:rPr>
          <w:b w:val="0"/>
          <w:szCs w:val="22"/>
          <w:lang w:val="hy-AM"/>
        </w:rPr>
        <w:t>մլն.դրամ</w:t>
      </w:r>
      <w:r w:rsidRPr="00A83C94">
        <w:rPr>
          <w:b w:val="0"/>
          <w:bCs/>
          <w:szCs w:val="22"/>
          <w:lang w:val="hy-AM"/>
        </w:rPr>
        <w:t xml:space="preserve">, որը 2021 թվականի՝ 63,086.6 </w:t>
      </w:r>
      <w:r w:rsidRPr="00A83C94">
        <w:rPr>
          <w:b w:val="0"/>
          <w:szCs w:val="22"/>
          <w:lang w:val="hy-AM"/>
        </w:rPr>
        <w:t>մլն.</w:t>
      </w:r>
      <w:r w:rsidRPr="00A83C94">
        <w:rPr>
          <w:b w:val="0"/>
          <w:bCs/>
          <w:szCs w:val="22"/>
          <w:lang w:val="hy-AM"/>
        </w:rPr>
        <w:t xml:space="preserve">դրամի համեմատությամբ աճել է 1,933.2 </w:t>
      </w:r>
      <w:r w:rsidRPr="00A83C94">
        <w:rPr>
          <w:b w:val="0"/>
          <w:szCs w:val="22"/>
          <w:lang w:val="hy-AM"/>
        </w:rPr>
        <w:t>մլն.</w:t>
      </w:r>
      <w:r w:rsidRPr="00A83C94">
        <w:rPr>
          <w:b w:val="0"/>
          <w:bCs/>
          <w:szCs w:val="22"/>
          <w:lang w:val="hy-AM"/>
        </w:rPr>
        <w:t xml:space="preserve">դրամով, կամ 3.06 %-ով: Ընթացիկ ծախսերի գծով հատկացումները կազմում են 60,533.9 </w:t>
      </w:r>
      <w:r w:rsidRPr="00A83C94">
        <w:rPr>
          <w:b w:val="0"/>
          <w:szCs w:val="22"/>
          <w:lang w:val="hy-AM"/>
        </w:rPr>
        <w:t>մլն.</w:t>
      </w:r>
      <w:r w:rsidRPr="00A83C94">
        <w:rPr>
          <w:b w:val="0"/>
          <w:bCs/>
          <w:szCs w:val="22"/>
          <w:lang w:val="hy-AM"/>
        </w:rPr>
        <w:t xml:space="preserve">դրամ, 2021 </w:t>
      </w:r>
      <w:r w:rsidRPr="00A83C94">
        <w:rPr>
          <w:rFonts w:cs="Arial Armenian"/>
          <w:b w:val="0"/>
          <w:szCs w:val="22"/>
          <w:lang w:val="hy-AM" w:bidi="he-IL"/>
        </w:rPr>
        <w:t xml:space="preserve">թվականի՝ 62,773.5 </w:t>
      </w:r>
      <w:r w:rsidRPr="00A83C94">
        <w:rPr>
          <w:b w:val="0"/>
          <w:szCs w:val="22"/>
          <w:lang w:val="hy-AM"/>
        </w:rPr>
        <w:t>մլն.</w:t>
      </w:r>
      <w:r w:rsidRPr="00A83C94">
        <w:rPr>
          <w:rFonts w:cs="Arial Armenian"/>
          <w:b w:val="0"/>
          <w:szCs w:val="22"/>
          <w:lang w:val="hy-AM" w:bidi="he-IL"/>
        </w:rPr>
        <w:t xml:space="preserve">դրամի նկատմամբ նվազել է 2,239.6 </w:t>
      </w:r>
      <w:r w:rsidRPr="00A83C94">
        <w:rPr>
          <w:b w:val="0"/>
          <w:szCs w:val="22"/>
          <w:lang w:val="hy-AM"/>
        </w:rPr>
        <w:t>մլն.</w:t>
      </w:r>
      <w:r w:rsidRPr="00A83C94">
        <w:rPr>
          <w:rFonts w:cs="Arial Armenian"/>
          <w:b w:val="0"/>
          <w:szCs w:val="22"/>
          <w:lang w:val="hy-AM" w:bidi="he-IL"/>
        </w:rPr>
        <w:t xml:space="preserve"> դրամի չափով, կամ 3,57 %-ով, իսկ կապիտալ ծախսերը կազմել են </w:t>
      </w:r>
      <w:r w:rsidRPr="00A83C94">
        <w:rPr>
          <w:b w:val="0"/>
          <w:bCs/>
          <w:szCs w:val="22"/>
          <w:lang w:val="hy-AM"/>
        </w:rPr>
        <w:t xml:space="preserve">4,485.8 </w:t>
      </w:r>
      <w:r w:rsidRPr="00A83C94">
        <w:rPr>
          <w:b w:val="0"/>
          <w:szCs w:val="22"/>
          <w:lang w:val="hy-AM"/>
        </w:rPr>
        <w:t>մլն.</w:t>
      </w:r>
      <w:r w:rsidRPr="00A83C94">
        <w:rPr>
          <w:b w:val="0"/>
          <w:bCs/>
          <w:szCs w:val="22"/>
          <w:lang w:val="hy-AM"/>
        </w:rPr>
        <w:t xml:space="preserve"> դրամ,</w:t>
      </w:r>
      <w:r w:rsidRPr="00A83C94">
        <w:rPr>
          <w:rFonts w:cs="Arial Armenian"/>
          <w:b w:val="0"/>
          <w:szCs w:val="22"/>
          <w:lang w:val="hy-AM" w:bidi="he-IL"/>
        </w:rPr>
        <w:t xml:space="preserve"> որը 2021 թվականի՝ 313.0 </w:t>
      </w:r>
      <w:r w:rsidRPr="00A83C94">
        <w:rPr>
          <w:b w:val="0"/>
          <w:szCs w:val="22"/>
          <w:lang w:val="hy-AM"/>
        </w:rPr>
        <w:t>մլն.</w:t>
      </w:r>
      <w:r w:rsidRPr="00A83C94">
        <w:rPr>
          <w:rFonts w:cs="Arial Armenian"/>
          <w:b w:val="0"/>
          <w:szCs w:val="22"/>
          <w:lang w:val="hy-AM" w:bidi="he-IL"/>
        </w:rPr>
        <w:t xml:space="preserve"> դրամի նկատմամբ աճել է 4,172.8 </w:t>
      </w:r>
      <w:r w:rsidRPr="00A83C94">
        <w:rPr>
          <w:b w:val="0"/>
          <w:szCs w:val="22"/>
          <w:lang w:val="hy-AM"/>
        </w:rPr>
        <w:t>մլն.</w:t>
      </w:r>
      <w:r w:rsidRPr="00A83C94">
        <w:rPr>
          <w:rFonts w:cs="Arial Armenian"/>
          <w:b w:val="0"/>
          <w:szCs w:val="22"/>
          <w:lang w:val="hy-AM" w:bidi="he-IL"/>
        </w:rPr>
        <w:t xml:space="preserve"> դրամի չափով:</w:t>
      </w:r>
      <w:r w:rsidRPr="00A83C94">
        <w:rPr>
          <w:b w:val="0"/>
          <w:bCs/>
          <w:szCs w:val="22"/>
          <w:lang w:val="hy-AM"/>
        </w:rPr>
        <w:t xml:space="preserve"> Ծրագրով իրականացվող ոստիկանության գործունեության հիմնական նպատակներ են.</w:t>
      </w:r>
    </w:p>
    <w:p w14:paraId="45319DDC" w14:textId="77777777" w:rsidR="00A42F71" w:rsidRPr="00A83C94" w:rsidRDefault="00A42F71" w:rsidP="00A42F71">
      <w:pPr>
        <w:spacing w:before="0" w:line="276" w:lineRule="auto"/>
        <w:rPr>
          <w:b w:val="0"/>
          <w:szCs w:val="22"/>
          <w:lang w:val="hy-AM"/>
        </w:rPr>
      </w:pPr>
      <w:r w:rsidRPr="00A83C94">
        <w:rPr>
          <w:rFonts w:cs="Sylfaen"/>
          <w:b w:val="0"/>
          <w:szCs w:val="22"/>
          <w:lang w:val="hy-AM"/>
        </w:rPr>
        <w:t>ա) մարդու</w:t>
      </w:r>
      <w:r w:rsidRPr="00A83C94">
        <w:rPr>
          <w:b w:val="0"/>
          <w:szCs w:val="22"/>
          <w:lang w:val="hy-AM"/>
        </w:rPr>
        <w:t xml:space="preserve"> </w:t>
      </w:r>
      <w:r w:rsidRPr="00A83C94">
        <w:rPr>
          <w:rFonts w:cs="Sylfaen"/>
          <w:b w:val="0"/>
          <w:szCs w:val="22"/>
          <w:lang w:val="hy-AM"/>
        </w:rPr>
        <w:t>կյանքի</w:t>
      </w:r>
      <w:r w:rsidRPr="00A83C94">
        <w:rPr>
          <w:b w:val="0"/>
          <w:szCs w:val="22"/>
          <w:lang w:val="hy-AM"/>
        </w:rPr>
        <w:t xml:space="preserve">, </w:t>
      </w:r>
      <w:r w:rsidRPr="00A83C94">
        <w:rPr>
          <w:rFonts w:cs="Sylfaen"/>
          <w:b w:val="0"/>
          <w:szCs w:val="22"/>
          <w:lang w:val="hy-AM"/>
        </w:rPr>
        <w:t>առողջության</w:t>
      </w:r>
      <w:r w:rsidRPr="00A83C94">
        <w:rPr>
          <w:b w:val="0"/>
          <w:szCs w:val="22"/>
          <w:lang w:val="hy-AM"/>
        </w:rPr>
        <w:t xml:space="preserve">, </w:t>
      </w:r>
      <w:r w:rsidRPr="00A83C94">
        <w:rPr>
          <w:rFonts w:cs="Sylfaen"/>
          <w:b w:val="0"/>
          <w:szCs w:val="22"/>
          <w:lang w:val="hy-AM"/>
        </w:rPr>
        <w:t>պատվի</w:t>
      </w:r>
      <w:r w:rsidRPr="00A83C94">
        <w:rPr>
          <w:b w:val="0"/>
          <w:szCs w:val="22"/>
          <w:lang w:val="hy-AM"/>
        </w:rPr>
        <w:t xml:space="preserve">, </w:t>
      </w:r>
      <w:r w:rsidRPr="00A83C94">
        <w:rPr>
          <w:rFonts w:cs="Sylfaen"/>
          <w:b w:val="0"/>
          <w:szCs w:val="22"/>
          <w:lang w:val="hy-AM"/>
        </w:rPr>
        <w:t>արժանապատվության</w:t>
      </w:r>
      <w:r w:rsidRPr="00A83C94">
        <w:rPr>
          <w:b w:val="0"/>
          <w:szCs w:val="22"/>
          <w:lang w:val="hy-AM"/>
        </w:rPr>
        <w:t xml:space="preserve">, </w:t>
      </w:r>
      <w:r w:rsidRPr="00A83C94">
        <w:rPr>
          <w:rFonts w:cs="Sylfaen"/>
          <w:b w:val="0"/>
          <w:szCs w:val="22"/>
          <w:lang w:val="hy-AM"/>
        </w:rPr>
        <w:t>իրավունքների</w:t>
      </w:r>
      <w:r w:rsidRPr="00A83C94">
        <w:rPr>
          <w:b w:val="0"/>
          <w:szCs w:val="22"/>
          <w:lang w:val="hy-AM"/>
        </w:rPr>
        <w:t xml:space="preserve">, </w:t>
      </w:r>
      <w:r w:rsidRPr="00A83C94">
        <w:rPr>
          <w:rFonts w:cs="Sylfaen"/>
          <w:b w:val="0"/>
          <w:szCs w:val="22"/>
          <w:lang w:val="hy-AM"/>
        </w:rPr>
        <w:t>ազատությունների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օրինական</w:t>
      </w:r>
      <w:r w:rsidRPr="00A83C94">
        <w:rPr>
          <w:b w:val="0"/>
          <w:szCs w:val="22"/>
          <w:lang w:val="hy-AM"/>
        </w:rPr>
        <w:t xml:space="preserve"> </w:t>
      </w:r>
      <w:r w:rsidRPr="00A83C94">
        <w:rPr>
          <w:rFonts w:cs="Sylfaen"/>
          <w:b w:val="0"/>
          <w:szCs w:val="22"/>
          <w:lang w:val="hy-AM"/>
        </w:rPr>
        <w:t>շահերի պաշտպանությունը</w:t>
      </w:r>
      <w:r w:rsidRPr="00A83C94">
        <w:rPr>
          <w:b w:val="0"/>
          <w:szCs w:val="22"/>
          <w:lang w:val="hy-AM"/>
        </w:rPr>
        <w:t xml:space="preserve"> </w:t>
      </w:r>
      <w:r w:rsidRPr="00A83C94">
        <w:rPr>
          <w:rFonts w:cs="Sylfaen"/>
          <w:b w:val="0"/>
          <w:szCs w:val="22"/>
          <w:lang w:val="hy-AM"/>
        </w:rPr>
        <w:t>հանցավոր</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այլ</w:t>
      </w:r>
      <w:r w:rsidRPr="00A83C94">
        <w:rPr>
          <w:b w:val="0"/>
          <w:szCs w:val="22"/>
          <w:lang w:val="hy-AM"/>
        </w:rPr>
        <w:t xml:space="preserve"> </w:t>
      </w:r>
      <w:r w:rsidRPr="00A83C94">
        <w:rPr>
          <w:rFonts w:cs="Sylfaen"/>
          <w:b w:val="0"/>
          <w:szCs w:val="22"/>
          <w:lang w:val="hy-AM"/>
        </w:rPr>
        <w:t>ոտնձգություններից</w:t>
      </w:r>
      <w:r w:rsidRPr="00A83C94">
        <w:rPr>
          <w:b w:val="0"/>
          <w:szCs w:val="22"/>
          <w:lang w:val="hy-AM"/>
        </w:rPr>
        <w:t>,</w:t>
      </w:r>
    </w:p>
    <w:p w14:paraId="1B81D6CB" w14:textId="77777777" w:rsidR="00A42F71" w:rsidRPr="00A83C94" w:rsidRDefault="00A42F71" w:rsidP="00A42F71">
      <w:pPr>
        <w:spacing w:before="0" w:line="276" w:lineRule="auto"/>
        <w:rPr>
          <w:b w:val="0"/>
          <w:szCs w:val="22"/>
          <w:lang w:val="hy-AM"/>
        </w:rPr>
      </w:pPr>
      <w:r w:rsidRPr="00A83C94">
        <w:rPr>
          <w:rFonts w:cs="Sylfaen"/>
          <w:b w:val="0"/>
          <w:szCs w:val="22"/>
          <w:lang w:val="hy-AM"/>
        </w:rPr>
        <w:t>բ) հասարակության ու պետության անվտանգության ապահովումը</w:t>
      </w:r>
      <w:r w:rsidRPr="00A83C94">
        <w:rPr>
          <w:b w:val="0"/>
          <w:szCs w:val="22"/>
          <w:lang w:val="hy-AM"/>
        </w:rPr>
        <w:t>,</w:t>
      </w:r>
    </w:p>
    <w:p w14:paraId="5F19E35D" w14:textId="77777777" w:rsidR="00A42F71" w:rsidRPr="00A83C94" w:rsidRDefault="00A42F71" w:rsidP="00A42F71">
      <w:pPr>
        <w:spacing w:before="0" w:line="276" w:lineRule="auto"/>
        <w:rPr>
          <w:b w:val="0"/>
          <w:szCs w:val="22"/>
          <w:lang w:val="hy-AM"/>
        </w:rPr>
      </w:pPr>
      <w:r w:rsidRPr="00A83C94">
        <w:rPr>
          <w:rFonts w:cs="Sylfaen"/>
          <w:b w:val="0"/>
          <w:szCs w:val="22"/>
          <w:lang w:val="hy-AM"/>
        </w:rPr>
        <w:t>գ) հանցագործությունների</w:t>
      </w:r>
      <w:r w:rsidRPr="00A83C94">
        <w:rPr>
          <w:b w:val="0"/>
          <w:szCs w:val="22"/>
          <w:lang w:val="hy-AM"/>
        </w:rPr>
        <w:t xml:space="preserve"> </w:t>
      </w:r>
      <w:r w:rsidRPr="00A83C94">
        <w:rPr>
          <w:rFonts w:cs="Sylfaen"/>
          <w:b w:val="0"/>
          <w:szCs w:val="22"/>
          <w:lang w:val="hy-AM"/>
        </w:rPr>
        <w:t>ու</w:t>
      </w:r>
      <w:r w:rsidRPr="00A83C94">
        <w:rPr>
          <w:b w:val="0"/>
          <w:szCs w:val="22"/>
          <w:lang w:val="hy-AM"/>
        </w:rPr>
        <w:t xml:space="preserve"> </w:t>
      </w:r>
      <w:r w:rsidRPr="00A83C94">
        <w:rPr>
          <w:rFonts w:cs="Sylfaen"/>
          <w:b w:val="0"/>
          <w:szCs w:val="22"/>
          <w:lang w:val="hy-AM"/>
        </w:rPr>
        <w:t>վարչական</w:t>
      </w:r>
      <w:r w:rsidRPr="00A83C94">
        <w:rPr>
          <w:b w:val="0"/>
          <w:szCs w:val="22"/>
          <w:lang w:val="hy-AM"/>
        </w:rPr>
        <w:t xml:space="preserve"> </w:t>
      </w:r>
      <w:r w:rsidRPr="00A83C94">
        <w:rPr>
          <w:rFonts w:cs="Sylfaen"/>
          <w:b w:val="0"/>
          <w:szCs w:val="22"/>
          <w:lang w:val="hy-AM"/>
        </w:rPr>
        <w:t>իրավախախտումների հայտնաբերումը, բացահայտումը,</w:t>
      </w:r>
      <w:r w:rsidRPr="00A83C94">
        <w:rPr>
          <w:b w:val="0"/>
          <w:szCs w:val="22"/>
          <w:lang w:val="hy-AM"/>
        </w:rPr>
        <w:t xml:space="preserve"> </w:t>
      </w:r>
      <w:r w:rsidRPr="00A83C94">
        <w:rPr>
          <w:rFonts w:cs="Sylfaen"/>
          <w:b w:val="0"/>
          <w:szCs w:val="22"/>
          <w:lang w:val="hy-AM"/>
        </w:rPr>
        <w:t>նախականխումը</w:t>
      </w:r>
      <w:r w:rsidRPr="00A83C94">
        <w:rPr>
          <w:b w:val="0"/>
          <w:szCs w:val="22"/>
          <w:lang w:val="hy-AM"/>
        </w:rPr>
        <w:t xml:space="preserve">, </w:t>
      </w:r>
      <w:r w:rsidRPr="00A83C94">
        <w:rPr>
          <w:rFonts w:cs="Sylfaen"/>
          <w:b w:val="0"/>
          <w:szCs w:val="22"/>
          <w:lang w:val="hy-AM"/>
        </w:rPr>
        <w:t>կանխումը</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խափանումը</w:t>
      </w:r>
      <w:r w:rsidRPr="00A83C94">
        <w:rPr>
          <w:b w:val="0"/>
          <w:szCs w:val="22"/>
          <w:lang w:val="hy-AM"/>
        </w:rPr>
        <w:t>,</w:t>
      </w:r>
    </w:p>
    <w:p w14:paraId="7F345AC5" w14:textId="77777777" w:rsidR="00A42F71" w:rsidRPr="00A83C94" w:rsidRDefault="00A42F71" w:rsidP="00A42F71">
      <w:pPr>
        <w:spacing w:before="0" w:line="276" w:lineRule="auto"/>
        <w:rPr>
          <w:b w:val="0"/>
          <w:szCs w:val="22"/>
          <w:lang w:val="hy-AM"/>
        </w:rPr>
      </w:pPr>
      <w:r w:rsidRPr="00A83C94">
        <w:rPr>
          <w:rFonts w:cs="Sylfaen"/>
          <w:b w:val="0"/>
          <w:szCs w:val="22"/>
          <w:lang w:val="hy-AM"/>
        </w:rPr>
        <w:t>դ) հանցա</w:t>
      </w:r>
      <w:r w:rsidRPr="00A83C94">
        <w:rPr>
          <w:b w:val="0"/>
          <w:szCs w:val="22"/>
          <w:lang w:val="hy-AM"/>
        </w:rPr>
        <w:t>գ</w:t>
      </w:r>
      <w:r w:rsidRPr="00A83C94">
        <w:rPr>
          <w:rFonts w:cs="Sylfaen"/>
          <w:b w:val="0"/>
          <w:szCs w:val="22"/>
          <w:lang w:val="hy-AM"/>
        </w:rPr>
        <w:t>ործությունների և վարչական իրավախախտումների</w:t>
      </w:r>
      <w:r w:rsidRPr="00A83C94">
        <w:rPr>
          <w:b w:val="0"/>
          <w:szCs w:val="22"/>
          <w:lang w:val="hy-AM"/>
        </w:rPr>
        <w:t xml:space="preserve"> </w:t>
      </w:r>
      <w:r w:rsidRPr="00A83C94">
        <w:rPr>
          <w:rFonts w:cs="Sylfaen"/>
          <w:b w:val="0"/>
          <w:szCs w:val="22"/>
          <w:lang w:val="hy-AM"/>
        </w:rPr>
        <w:t>կանխար</w:t>
      </w:r>
      <w:r w:rsidRPr="00A83C94">
        <w:rPr>
          <w:b w:val="0"/>
          <w:szCs w:val="22"/>
          <w:lang w:val="hy-AM"/>
        </w:rPr>
        <w:t>գ</w:t>
      </w:r>
      <w:r w:rsidRPr="00A83C94">
        <w:rPr>
          <w:rFonts w:cs="Sylfaen"/>
          <w:b w:val="0"/>
          <w:szCs w:val="22"/>
          <w:lang w:val="hy-AM"/>
        </w:rPr>
        <w:t>ելմանը</w:t>
      </w:r>
      <w:r w:rsidRPr="00A83C94">
        <w:rPr>
          <w:b w:val="0"/>
          <w:szCs w:val="22"/>
          <w:lang w:val="hy-AM"/>
        </w:rPr>
        <w:t xml:space="preserve">, հասարակական կարգի պահպանությանը և հասարակական անվտանգության </w:t>
      </w:r>
      <w:r w:rsidRPr="00A83C94">
        <w:rPr>
          <w:rFonts w:cs="Sylfaen"/>
          <w:b w:val="0"/>
          <w:szCs w:val="22"/>
          <w:lang w:val="hy-AM"/>
        </w:rPr>
        <w:t>ապահովմանն</w:t>
      </w:r>
      <w:r w:rsidRPr="00A83C94">
        <w:rPr>
          <w:b w:val="0"/>
          <w:szCs w:val="22"/>
          <w:lang w:val="hy-AM"/>
        </w:rPr>
        <w:t xml:space="preserve"> </w:t>
      </w:r>
      <w:r w:rsidRPr="00A83C94">
        <w:rPr>
          <w:rFonts w:cs="Sylfaen"/>
          <w:b w:val="0"/>
          <w:szCs w:val="22"/>
          <w:lang w:val="hy-AM"/>
        </w:rPr>
        <w:t>ուղղված</w:t>
      </w:r>
      <w:r w:rsidRPr="00A83C94">
        <w:rPr>
          <w:b w:val="0"/>
          <w:szCs w:val="22"/>
          <w:lang w:val="hy-AM"/>
        </w:rPr>
        <w:t xml:space="preserve"> </w:t>
      </w:r>
      <w:r w:rsidRPr="00A83C94">
        <w:rPr>
          <w:rFonts w:cs="Sylfaen"/>
          <w:b w:val="0"/>
          <w:szCs w:val="22"/>
          <w:lang w:val="hy-AM"/>
        </w:rPr>
        <w:t>միջոցառումների</w:t>
      </w:r>
      <w:r w:rsidRPr="00A83C94">
        <w:rPr>
          <w:b w:val="0"/>
          <w:szCs w:val="22"/>
          <w:lang w:val="hy-AM"/>
        </w:rPr>
        <w:t xml:space="preserve"> </w:t>
      </w:r>
      <w:r w:rsidRPr="00A83C94">
        <w:rPr>
          <w:rFonts w:cs="Sylfaen"/>
          <w:b w:val="0"/>
          <w:szCs w:val="22"/>
          <w:lang w:val="hy-AM"/>
        </w:rPr>
        <w:t>արդյունավետության</w:t>
      </w:r>
      <w:r w:rsidRPr="00A83C94">
        <w:rPr>
          <w:b w:val="0"/>
          <w:szCs w:val="22"/>
          <w:lang w:val="hy-AM"/>
        </w:rPr>
        <w:t xml:space="preserve"> </w:t>
      </w:r>
      <w:r w:rsidRPr="00A83C94">
        <w:rPr>
          <w:rFonts w:cs="Sylfaen"/>
          <w:b w:val="0"/>
          <w:szCs w:val="22"/>
          <w:lang w:val="hy-AM"/>
        </w:rPr>
        <w:t>բարձրացումը</w:t>
      </w:r>
      <w:r w:rsidRPr="00A83C94">
        <w:rPr>
          <w:b w:val="0"/>
          <w:szCs w:val="22"/>
          <w:lang w:val="hy-AM"/>
        </w:rPr>
        <w:t>,</w:t>
      </w:r>
    </w:p>
    <w:p w14:paraId="168B3EAA" w14:textId="77777777" w:rsidR="00A42F71" w:rsidRPr="00A83C94" w:rsidRDefault="00A42F71" w:rsidP="00A42F71">
      <w:pPr>
        <w:spacing w:before="0" w:line="276" w:lineRule="auto"/>
        <w:rPr>
          <w:b w:val="0"/>
          <w:szCs w:val="22"/>
          <w:lang w:val="hy-AM"/>
        </w:rPr>
      </w:pPr>
      <w:r w:rsidRPr="00A83C94">
        <w:rPr>
          <w:rFonts w:cs="Sylfaen"/>
          <w:b w:val="0"/>
          <w:szCs w:val="22"/>
          <w:lang w:val="hy-AM"/>
        </w:rPr>
        <w:t>ե) անչափահասների</w:t>
      </w:r>
      <w:r w:rsidRPr="00A83C94">
        <w:rPr>
          <w:b w:val="0"/>
          <w:szCs w:val="22"/>
          <w:lang w:val="hy-AM"/>
        </w:rPr>
        <w:t xml:space="preserve"> նկատմամբ և անչափահասների կողմից կատարվող </w:t>
      </w:r>
      <w:r w:rsidRPr="00A83C94">
        <w:rPr>
          <w:rFonts w:cs="Sylfaen"/>
          <w:b w:val="0"/>
          <w:szCs w:val="22"/>
          <w:lang w:val="hy-AM"/>
        </w:rPr>
        <w:t>հանցագործություններին</w:t>
      </w:r>
      <w:r w:rsidRPr="00A83C94">
        <w:rPr>
          <w:b w:val="0"/>
          <w:szCs w:val="22"/>
          <w:lang w:val="hy-AM"/>
        </w:rPr>
        <w:t xml:space="preserve"> </w:t>
      </w:r>
      <w:r w:rsidRPr="00A83C94">
        <w:rPr>
          <w:rFonts w:cs="Sylfaen"/>
          <w:b w:val="0"/>
          <w:szCs w:val="22"/>
          <w:lang w:val="hy-AM"/>
        </w:rPr>
        <w:t>հակազդելու</w:t>
      </w:r>
      <w:r w:rsidRPr="00A83C94">
        <w:rPr>
          <w:b w:val="0"/>
          <w:szCs w:val="22"/>
          <w:lang w:val="hy-AM"/>
        </w:rPr>
        <w:t xml:space="preserve">, </w:t>
      </w:r>
      <w:r w:rsidRPr="00A83C94">
        <w:rPr>
          <w:rFonts w:cs="Sylfaen"/>
          <w:b w:val="0"/>
          <w:szCs w:val="22"/>
          <w:lang w:val="hy-AM"/>
        </w:rPr>
        <w:t>ոստիկանության</w:t>
      </w:r>
      <w:r w:rsidRPr="00A83C94">
        <w:rPr>
          <w:b w:val="0"/>
          <w:szCs w:val="22"/>
          <w:lang w:val="hy-AM"/>
        </w:rPr>
        <w:t xml:space="preserve"> </w:t>
      </w:r>
      <w:r w:rsidRPr="00A83C94">
        <w:rPr>
          <w:rFonts w:cs="Sylfaen"/>
          <w:b w:val="0"/>
          <w:szCs w:val="22"/>
          <w:lang w:val="hy-AM"/>
        </w:rPr>
        <w:t>տեսադաշտում</w:t>
      </w:r>
      <w:r w:rsidRPr="00A83C94">
        <w:rPr>
          <w:b w:val="0"/>
          <w:szCs w:val="22"/>
          <w:lang w:val="hy-AM"/>
        </w:rPr>
        <w:t xml:space="preserve"> գ</w:t>
      </w:r>
      <w:r w:rsidRPr="00A83C94">
        <w:rPr>
          <w:rFonts w:cs="Sylfaen"/>
          <w:b w:val="0"/>
          <w:szCs w:val="22"/>
          <w:lang w:val="hy-AM"/>
        </w:rPr>
        <w:t>տնվող</w:t>
      </w:r>
      <w:r w:rsidRPr="00A83C94">
        <w:rPr>
          <w:b w:val="0"/>
          <w:szCs w:val="22"/>
          <w:lang w:val="hy-AM"/>
        </w:rPr>
        <w:t xml:space="preserve"> </w:t>
      </w:r>
      <w:r w:rsidRPr="00A83C94">
        <w:rPr>
          <w:rFonts w:cs="Sylfaen"/>
          <w:b w:val="0"/>
          <w:szCs w:val="22"/>
          <w:lang w:val="hy-AM"/>
        </w:rPr>
        <w:t>անչափահասների</w:t>
      </w:r>
      <w:r w:rsidRPr="00A83C94">
        <w:rPr>
          <w:b w:val="0"/>
          <w:szCs w:val="22"/>
          <w:lang w:val="hy-AM"/>
        </w:rPr>
        <w:t xml:space="preserve"> </w:t>
      </w:r>
      <w:r w:rsidRPr="00A83C94">
        <w:rPr>
          <w:rFonts w:cs="Sylfaen"/>
          <w:b w:val="0"/>
          <w:szCs w:val="22"/>
          <w:lang w:val="hy-AM"/>
        </w:rPr>
        <w:t>հետ</w:t>
      </w:r>
      <w:r w:rsidRPr="00A83C94">
        <w:rPr>
          <w:b w:val="0"/>
          <w:szCs w:val="22"/>
          <w:lang w:val="hy-AM"/>
        </w:rPr>
        <w:t xml:space="preserve"> </w:t>
      </w:r>
      <w:r w:rsidRPr="00A83C94">
        <w:rPr>
          <w:rFonts w:cs="Sylfaen"/>
          <w:b w:val="0"/>
          <w:szCs w:val="22"/>
          <w:lang w:val="hy-AM"/>
        </w:rPr>
        <w:t>տարվող</w:t>
      </w:r>
      <w:r w:rsidRPr="00A83C94">
        <w:rPr>
          <w:b w:val="0"/>
          <w:szCs w:val="22"/>
          <w:lang w:val="hy-AM"/>
        </w:rPr>
        <w:t xml:space="preserve"> </w:t>
      </w:r>
      <w:r w:rsidRPr="00A83C94">
        <w:rPr>
          <w:rFonts w:cs="Sylfaen"/>
          <w:b w:val="0"/>
          <w:szCs w:val="22"/>
          <w:lang w:val="hy-AM"/>
        </w:rPr>
        <w:t>կանխար</w:t>
      </w:r>
      <w:r w:rsidRPr="00A83C94">
        <w:rPr>
          <w:b w:val="0"/>
          <w:szCs w:val="22"/>
          <w:lang w:val="hy-AM"/>
        </w:rPr>
        <w:t>գ</w:t>
      </w:r>
      <w:r w:rsidRPr="00A83C94">
        <w:rPr>
          <w:rFonts w:cs="Sylfaen"/>
          <w:b w:val="0"/>
          <w:szCs w:val="22"/>
          <w:lang w:val="hy-AM"/>
        </w:rPr>
        <w:t>ելիչ</w:t>
      </w:r>
      <w:r w:rsidRPr="00A83C94">
        <w:rPr>
          <w:b w:val="0"/>
          <w:szCs w:val="22"/>
          <w:lang w:val="hy-AM"/>
        </w:rPr>
        <w:t xml:space="preserve"> </w:t>
      </w:r>
      <w:r w:rsidRPr="00A83C94">
        <w:rPr>
          <w:rFonts w:cs="Sylfaen"/>
          <w:b w:val="0"/>
          <w:szCs w:val="22"/>
          <w:lang w:val="hy-AM"/>
        </w:rPr>
        <w:t>դաստիարակչական</w:t>
      </w:r>
      <w:r w:rsidRPr="00A83C94">
        <w:rPr>
          <w:b w:val="0"/>
          <w:szCs w:val="22"/>
          <w:lang w:val="hy-AM"/>
        </w:rPr>
        <w:t xml:space="preserve"> </w:t>
      </w:r>
      <w:r w:rsidRPr="00A83C94">
        <w:rPr>
          <w:rFonts w:cs="Sylfaen"/>
          <w:b w:val="0"/>
          <w:szCs w:val="22"/>
          <w:lang w:val="hy-AM"/>
        </w:rPr>
        <w:t>աշխատանքների</w:t>
      </w:r>
      <w:r w:rsidRPr="00A83C94">
        <w:rPr>
          <w:b w:val="0"/>
          <w:szCs w:val="22"/>
          <w:lang w:val="hy-AM"/>
        </w:rPr>
        <w:t xml:space="preserve"> </w:t>
      </w:r>
      <w:r w:rsidRPr="00A83C94">
        <w:rPr>
          <w:rFonts w:cs="Sylfaen"/>
          <w:b w:val="0"/>
          <w:szCs w:val="22"/>
          <w:lang w:val="hy-AM"/>
        </w:rPr>
        <w:t>բարելավումը</w:t>
      </w:r>
      <w:r w:rsidRPr="00A83C94">
        <w:rPr>
          <w:b w:val="0"/>
          <w:szCs w:val="22"/>
          <w:lang w:val="hy-AM"/>
        </w:rPr>
        <w:t>,</w:t>
      </w:r>
    </w:p>
    <w:p w14:paraId="76EFC66A" w14:textId="77777777" w:rsidR="00A42F71" w:rsidRPr="00A83C94" w:rsidRDefault="00A42F71" w:rsidP="00A42F71">
      <w:pPr>
        <w:spacing w:before="0" w:line="276" w:lineRule="auto"/>
        <w:rPr>
          <w:b w:val="0"/>
          <w:szCs w:val="22"/>
          <w:lang w:val="hy-AM"/>
        </w:rPr>
      </w:pPr>
      <w:r w:rsidRPr="00A83C94">
        <w:rPr>
          <w:rFonts w:cs="Sylfaen"/>
          <w:b w:val="0"/>
          <w:szCs w:val="22"/>
          <w:lang w:val="hy-AM"/>
        </w:rPr>
        <w:t>զ) ՀՀ քաղաքացիների, օտարերկրացիների և քաղաքացիություն չունեցող անձանց անձը հաստատող և (կամ) կարգավիճակը հավաստող փաստաթղթերի</w:t>
      </w:r>
      <w:r w:rsidRPr="00A83C94">
        <w:rPr>
          <w:b w:val="0"/>
          <w:szCs w:val="22"/>
          <w:lang w:val="hy-AM"/>
        </w:rPr>
        <w:t xml:space="preserve"> </w:t>
      </w:r>
      <w:r w:rsidRPr="00A83C94">
        <w:rPr>
          <w:rFonts w:cs="Sylfaen"/>
          <w:b w:val="0"/>
          <w:szCs w:val="22"/>
          <w:lang w:val="hy-AM"/>
        </w:rPr>
        <w:t>տրամադրման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բնակչության պետական ռեգիստրի վարման աշխատանքների անխափան և արդյունավետ իրականացումը,</w:t>
      </w:r>
    </w:p>
    <w:p w14:paraId="679BB55C" w14:textId="77777777" w:rsidR="00A42F71" w:rsidRPr="00A83C94" w:rsidRDefault="00A42F71" w:rsidP="00A42F71">
      <w:pPr>
        <w:spacing w:before="0" w:line="276" w:lineRule="auto"/>
        <w:rPr>
          <w:b w:val="0"/>
          <w:szCs w:val="22"/>
          <w:lang w:val="hy-AM"/>
        </w:rPr>
      </w:pPr>
      <w:r w:rsidRPr="00A83C94">
        <w:rPr>
          <w:rFonts w:cs="Sylfaen"/>
          <w:b w:val="0"/>
          <w:szCs w:val="22"/>
          <w:lang w:val="hy-AM"/>
        </w:rPr>
        <w:t>է) Ճանապարհային</w:t>
      </w:r>
      <w:r w:rsidRPr="00A83C94">
        <w:rPr>
          <w:b w:val="0"/>
          <w:szCs w:val="22"/>
          <w:lang w:val="hy-AM"/>
        </w:rPr>
        <w:t xml:space="preserve"> </w:t>
      </w:r>
      <w:r w:rsidRPr="00A83C94">
        <w:rPr>
          <w:rFonts w:cs="Sylfaen"/>
          <w:b w:val="0"/>
          <w:szCs w:val="22"/>
          <w:lang w:val="hy-AM"/>
        </w:rPr>
        <w:t>երթևեկության</w:t>
      </w:r>
      <w:r w:rsidRPr="00A83C94">
        <w:rPr>
          <w:b w:val="0"/>
          <w:szCs w:val="22"/>
          <w:lang w:val="hy-AM"/>
        </w:rPr>
        <w:t xml:space="preserve"> </w:t>
      </w:r>
      <w:r w:rsidRPr="00A83C94">
        <w:rPr>
          <w:rFonts w:cs="Sylfaen"/>
          <w:b w:val="0"/>
          <w:szCs w:val="22"/>
          <w:lang w:val="hy-AM"/>
        </w:rPr>
        <w:t>անվտանգության ապահովմանն ուղղված միջոցառումների</w:t>
      </w:r>
      <w:r w:rsidRPr="00A83C94">
        <w:rPr>
          <w:b w:val="0"/>
          <w:szCs w:val="22"/>
          <w:lang w:val="hy-AM"/>
        </w:rPr>
        <w:t xml:space="preserve"> </w:t>
      </w:r>
      <w:r w:rsidRPr="00A83C94">
        <w:rPr>
          <w:rFonts w:cs="Sylfaen"/>
          <w:b w:val="0"/>
          <w:szCs w:val="22"/>
          <w:lang w:val="hy-AM"/>
        </w:rPr>
        <w:t>արդյունավետության</w:t>
      </w:r>
      <w:r w:rsidRPr="00A83C94">
        <w:rPr>
          <w:b w:val="0"/>
          <w:szCs w:val="22"/>
          <w:lang w:val="hy-AM"/>
        </w:rPr>
        <w:t xml:space="preserve"> </w:t>
      </w:r>
      <w:r w:rsidRPr="00A83C94">
        <w:rPr>
          <w:rFonts w:cs="Sylfaen"/>
          <w:b w:val="0"/>
          <w:szCs w:val="22"/>
          <w:lang w:val="hy-AM"/>
        </w:rPr>
        <w:t>բարձրացումը, ճանապարհատրանսպորտային պատահարների և վթարների նվազեցումը</w:t>
      </w:r>
      <w:r w:rsidRPr="00A83C94">
        <w:rPr>
          <w:b w:val="0"/>
          <w:szCs w:val="22"/>
          <w:lang w:val="hy-AM"/>
        </w:rPr>
        <w:t>,</w:t>
      </w:r>
    </w:p>
    <w:p w14:paraId="5B897724" w14:textId="77777777" w:rsidR="00A42F71" w:rsidRPr="00A83C94" w:rsidRDefault="00A42F71" w:rsidP="00A42F71">
      <w:pPr>
        <w:spacing w:before="0" w:line="276" w:lineRule="auto"/>
        <w:rPr>
          <w:b w:val="0"/>
          <w:szCs w:val="22"/>
          <w:lang w:val="hy-AM"/>
        </w:rPr>
      </w:pPr>
      <w:r w:rsidRPr="00A83C94">
        <w:rPr>
          <w:rFonts w:cs="Sylfaen"/>
          <w:b w:val="0"/>
          <w:szCs w:val="22"/>
          <w:lang w:val="hy-AM"/>
        </w:rPr>
        <w:t>ը) ոստիկանական</w:t>
      </w:r>
      <w:r w:rsidRPr="00A83C94">
        <w:rPr>
          <w:b w:val="0"/>
          <w:szCs w:val="22"/>
          <w:lang w:val="hy-AM"/>
        </w:rPr>
        <w:t xml:space="preserve"> գ</w:t>
      </w:r>
      <w:r w:rsidRPr="00A83C94">
        <w:rPr>
          <w:rFonts w:cs="Sylfaen"/>
          <w:b w:val="0"/>
          <w:szCs w:val="22"/>
          <w:lang w:val="hy-AM"/>
        </w:rPr>
        <w:t>ործունեության ոլորտը կանոնակարգող օրենսդրության բարելավումը</w:t>
      </w:r>
      <w:r w:rsidRPr="00A83C94">
        <w:rPr>
          <w:b w:val="0"/>
          <w:szCs w:val="22"/>
          <w:lang w:val="hy-AM"/>
        </w:rPr>
        <w:t>,</w:t>
      </w:r>
    </w:p>
    <w:p w14:paraId="43AC8F6C" w14:textId="77777777" w:rsidR="00A42F71" w:rsidRPr="00A83C94" w:rsidRDefault="00A42F71" w:rsidP="00A42F71">
      <w:pPr>
        <w:spacing w:before="0" w:line="276" w:lineRule="auto"/>
        <w:rPr>
          <w:b w:val="0"/>
          <w:szCs w:val="22"/>
          <w:lang w:val="hy-AM"/>
        </w:rPr>
      </w:pPr>
      <w:r w:rsidRPr="00A83C94">
        <w:rPr>
          <w:rFonts w:cs="Sylfaen"/>
          <w:b w:val="0"/>
          <w:szCs w:val="22"/>
          <w:lang w:val="hy-AM"/>
        </w:rPr>
        <w:t>թ) հանցավորության</w:t>
      </w:r>
      <w:r w:rsidRPr="00A83C94">
        <w:rPr>
          <w:b w:val="0"/>
          <w:szCs w:val="22"/>
          <w:lang w:val="hy-AM"/>
        </w:rPr>
        <w:t xml:space="preserve"> </w:t>
      </w:r>
      <w:r w:rsidRPr="00A83C94">
        <w:rPr>
          <w:rFonts w:cs="Sylfaen"/>
          <w:b w:val="0"/>
          <w:szCs w:val="22"/>
          <w:lang w:val="hy-AM"/>
        </w:rPr>
        <w:t>դեմ</w:t>
      </w:r>
      <w:r w:rsidRPr="00A83C94">
        <w:rPr>
          <w:b w:val="0"/>
          <w:szCs w:val="22"/>
          <w:lang w:val="hy-AM"/>
        </w:rPr>
        <w:t xml:space="preserve"> </w:t>
      </w:r>
      <w:r w:rsidRPr="00A83C94">
        <w:rPr>
          <w:rFonts w:cs="Sylfaen"/>
          <w:b w:val="0"/>
          <w:szCs w:val="22"/>
          <w:lang w:val="hy-AM"/>
        </w:rPr>
        <w:t>պայքարի</w:t>
      </w:r>
      <w:r w:rsidRPr="00A83C94">
        <w:rPr>
          <w:b w:val="0"/>
          <w:szCs w:val="22"/>
          <w:lang w:val="hy-AM"/>
        </w:rPr>
        <w:t xml:space="preserve"> </w:t>
      </w:r>
      <w:r w:rsidRPr="00A83C94">
        <w:rPr>
          <w:rFonts w:cs="Sylfaen"/>
          <w:b w:val="0"/>
          <w:szCs w:val="22"/>
          <w:lang w:val="hy-AM"/>
        </w:rPr>
        <w:t>ոլորտում</w:t>
      </w:r>
      <w:r w:rsidRPr="00A83C94">
        <w:rPr>
          <w:b w:val="0"/>
          <w:szCs w:val="22"/>
          <w:lang w:val="hy-AM"/>
        </w:rPr>
        <w:t xml:space="preserve"> </w:t>
      </w:r>
      <w:r w:rsidRPr="00A83C94">
        <w:rPr>
          <w:rFonts w:cs="Sylfaen"/>
          <w:b w:val="0"/>
          <w:szCs w:val="22"/>
          <w:lang w:val="hy-AM"/>
        </w:rPr>
        <w:t>միջազ</w:t>
      </w:r>
      <w:r w:rsidRPr="00A83C94">
        <w:rPr>
          <w:b w:val="0"/>
          <w:szCs w:val="22"/>
          <w:lang w:val="hy-AM"/>
        </w:rPr>
        <w:t>գ</w:t>
      </w:r>
      <w:r w:rsidRPr="00A83C94">
        <w:rPr>
          <w:rFonts w:cs="Sylfaen"/>
          <w:b w:val="0"/>
          <w:szCs w:val="22"/>
          <w:lang w:val="hy-AM"/>
        </w:rPr>
        <w:t>ային</w:t>
      </w:r>
      <w:r w:rsidRPr="00A83C94">
        <w:rPr>
          <w:b w:val="0"/>
          <w:szCs w:val="22"/>
          <w:lang w:val="hy-AM"/>
        </w:rPr>
        <w:t xml:space="preserve"> </w:t>
      </w:r>
      <w:r w:rsidRPr="00A83C94">
        <w:rPr>
          <w:rFonts w:cs="Sylfaen"/>
          <w:b w:val="0"/>
          <w:szCs w:val="22"/>
          <w:lang w:val="hy-AM"/>
        </w:rPr>
        <w:t>ոստիկանական</w:t>
      </w:r>
      <w:r w:rsidRPr="00A83C94">
        <w:rPr>
          <w:b w:val="0"/>
          <w:szCs w:val="22"/>
          <w:lang w:val="hy-AM"/>
        </w:rPr>
        <w:t xml:space="preserve"> </w:t>
      </w:r>
      <w:r w:rsidRPr="00A83C94">
        <w:rPr>
          <w:rFonts w:cs="Sylfaen"/>
          <w:b w:val="0"/>
          <w:szCs w:val="22"/>
          <w:lang w:val="hy-AM"/>
        </w:rPr>
        <w:t>և</w:t>
      </w:r>
      <w:r w:rsidRPr="00A83C94">
        <w:rPr>
          <w:b w:val="0"/>
          <w:szCs w:val="22"/>
          <w:lang w:val="hy-AM"/>
        </w:rPr>
        <w:t xml:space="preserve"> </w:t>
      </w:r>
      <w:r w:rsidRPr="00A83C94">
        <w:rPr>
          <w:rFonts w:cs="Sylfaen"/>
          <w:b w:val="0"/>
          <w:szCs w:val="22"/>
          <w:lang w:val="hy-AM"/>
        </w:rPr>
        <w:t>այլ</w:t>
      </w:r>
      <w:r w:rsidRPr="00A83C94">
        <w:rPr>
          <w:b w:val="0"/>
          <w:szCs w:val="22"/>
          <w:lang w:val="hy-AM"/>
        </w:rPr>
        <w:t xml:space="preserve"> </w:t>
      </w:r>
      <w:r w:rsidRPr="00A83C94">
        <w:rPr>
          <w:rFonts w:cs="Sylfaen"/>
          <w:b w:val="0"/>
          <w:szCs w:val="22"/>
          <w:lang w:val="hy-AM"/>
        </w:rPr>
        <w:t>կառույցների</w:t>
      </w:r>
      <w:r w:rsidRPr="00A83C94">
        <w:rPr>
          <w:b w:val="0"/>
          <w:szCs w:val="22"/>
          <w:lang w:val="hy-AM"/>
        </w:rPr>
        <w:t xml:space="preserve"> </w:t>
      </w:r>
      <w:r w:rsidRPr="00A83C94">
        <w:rPr>
          <w:rFonts w:cs="Sylfaen"/>
          <w:b w:val="0"/>
          <w:szCs w:val="22"/>
          <w:lang w:val="hy-AM"/>
        </w:rPr>
        <w:t>հետ</w:t>
      </w:r>
      <w:r w:rsidRPr="00A83C94">
        <w:rPr>
          <w:b w:val="0"/>
          <w:szCs w:val="22"/>
          <w:lang w:val="hy-AM"/>
        </w:rPr>
        <w:t xml:space="preserve"> </w:t>
      </w:r>
      <w:r w:rsidRPr="00A83C94">
        <w:rPr>
          <w:rFonts w:cs="Sylfaen"/>
          <w:b w:val="0"/>
          <w:szCs w:val="22"/>
          <w:lang w:val="hy-AM"/>
        </w:rPr>
        <w:t>փոխհամա</w:t>
      </w:r>
      <w:r w:rsidRPr="00A83C94">
        <w:rPr>
          <w:b w:val="0"/>
          <w:szCs w:val="22"/>
          <w:lang w:val="hy-AM"/>
        </w:rPr>
        <w:t>գ</w:t>
      </w:r>
      <w:r w:rsidRPr="00A83C94">
        <w:rPr>
          <w:rFonts w:cs="Sylfaen"/>
          <w:b w:val="0"/>
          <w:szCs w:val="22"/>
          <w:lang w:val="hy-AM"/>
        </w:rPr>
        <w:t>ործակցության</w:t>
      </w:r>
      <w:r w:rsidRPr="00A83C94">
        <w:rPr>
          <w:b w:val="0"/>
          <w:szCs w:val="22"/>
          <w:lang w:val="hy-AM"/>
        </w:rPr>
        <w:t xml:space="preserve"> </w:t>
      </w:r>
      <w:r w:rsidRPr="00A83C94">
        <w:rPr>
          <w:rFonts w:cs="Sylfaen"/>
          <w:b w:val="0"/>
          <w:szCs w:val="22"/>
          <w:lang w:val="hy-AM"/>
        </w:rPr>
        <w:t>ակտիվացումը</w:t>
      </w:r>
      <w:r w:rsidRPr="00A83C94">
        <w:rPr>
          <w:b w:val="0"/>
          <w:szCs w:val="22"/>
          <w:lang w:val="hy-AM"/>
        </w:rPr>
        <w:t>,</w:t>
      </w:r>
    </w:p>
    <w:p w14:paraId="4E06F8ED" w14:textId="77777777" w:rsidR="00A42F71" w:rsidRPr="00A83C94" w:rsidRDefault="00A42F71" w:rsidP="00A42F71">
      <w:pPr>
        <w:spacing w:before="0" w:line="276" w:lineRule="auto"/>
        <w:rPr>
          <w:b w:val="0"/>
          <w:szCs w:val="22"/>
          <w:lang w:val="hy-AM"/>
        </w:rPr>
      </w:pPr>
      <w:r w:rsidRPr="00A83C94">
        <w:rPr>
          <w:rFonts w:cs="Sylfaen"/>
          <w:b w:val="0"/>
          <w:szCs w:val="22"/>
          <w:lang w:val="hy-AM"/>
        </w:rPr>
        <w:t>ժ) Ոստիկանությունում Քաղաքացիական</w:t>
      </w:r>
      <w:r w:rsidRPr="00A83C94">
        <w:rPr>
          <w:b w:val="0"/>
          <w:szCs w:val="22"/>
          <w:lang w:val="hy-AM"/>
        </w:rPr>
        <w:t xml:space="preserve"> </w:t>
      </w:r>
      <w:r w:rsidRPr="00A83C94">
        <w:rPr>
          <w:rFonts w:cs="Sylfaen"/>
          <w:b w:val="0"/>
          <w:szCs w:val="22"/>
          <w:lang w:val="hy-AM"/>
        </w:rPr>
        <w:t>ծառայության</w:t>
      </w:r>
      <w:r w:rsidRPr="00A83C94">
        <w:rPr>
          <w:b w:val="0"/>
          <w:szCs w:val="22"/>
          <w:lang w:val="hy-AM"/>
        </w:rPr>
        <w:t xml:space="preserve"> </w:t>
      </w:r>
      <w:r w:rsidRPr="00A83C94">
        <w:rPr>
          <w:rFonts w:cs="Sylfaen"/>
          <w:b w:val="0"/>
          <w:szCs w:val="22"/>
          <w:lang w:val="hy-AM"/>
        </w:rPr>
        <w:t>համակար</w:t>
      </w:r>
      <w:r w:rsidRPr="00A83C94">
        <w:rPr>
          <w:b w:val="0"/>
          <w:szCs w:val="22"/>
          <w:lang w:val="hy-AM"/>
        </w:rPr>
        <w:t>գ</w:t>
      </w:r>
      <w:r w:rsidRPr="00A83C94">
        <w:rPr>
          <w:rFonts w:cs="Sylfaen"/>
          <w:b w:val="0"/>
          <w:szCs w:val="22"/>
          <w:lang w:val="hy-AM"/>
        </w:rPr>
        <w:t>ի ներդրման արդյունավետությանն ուղղված իրավական և կազմակերպչական աշխատանքների իրականացում</w:t>
      </w:r>
      <w:r w:rsidRPr="00A83C94">
        <w:rPr>
          <w:b w:val="0"/>
          <w:szCs w:val="22"/>
          <w:lang w:val="hy-AM"/>
        </w:rPr>
        <w:t>:</w:t>
      </w:r>
    </w:p>
    <w:p w14:paraId="7C887C01" w14:textId="7DA4B183" w:rsidR="00A42F71" w:rsidRPr="00A83C94" w:rsidRDefault="00A42F71" w:rsidP="00A42F71">
      <w:pPr>
        <w:spacing w:before="0" w:line="276" w:lineRule="auto"/>
        <w:rPr>
          <w:b w:val="0"/>
          <w:szCs w:val="22"/>
          <w:lang w:val="hy-AM"/>
        </w:rPr>
      </w:pPr>
      <w:r w:rsidRPr="00A83C94">
        <w:rPr>
          <w:rFonts w:cs="Arian AMU"/>
          <w:szCs w:val="22"/>
          <w:lang w:val="hy-AM"/>
        </w:rPr>
        <w:t>Ոստիկանության կրթական ծառայություններ</w:t>
      </w:r>
      <w:r w:rsidRPr="00A83C94">
        <w:rPr>
          <w:rFonts w:cs="Arian AMU"/>
          <w:b w:val="0"/>
          <w:szCs w:val="22"/>
          <w:lang w:val="hy-AM"/>
        </w:rPr>
        <w:t xml:space="preserve"> ծրագրի գծով</w:t>
      </w:r>
      <w:r w:rsidRPr="00A83C94">
        <w:rPr>
          <w:b w:val="0"/>
          <w:bCs/>
          <w:szCs w:val="22"/>
          <w:lang w:val="hy-AM"/>
        </w:rPr>
        <w:t xml:space="preserve"> հատկացումները կազմում են 1,565.9 </w:t>
      </w:r>
      <w:r w:rsidRPr="00A83C94">
        <w:rPr>
          <w:b w:val="0"/>
          <w:szCs w:val="22"/>
          <w:lang w:val="hy-AM"/>
        </w:rPr>
        <w:t>մլն.</w:t>
      </w:r>
      <w:r w:rsidRPr="00A83C94">
        <w:rPr>
          <w:b w:val="0"/>
          <w:bCs/>
          <w:szCs w:val="22"/>
          <w:lang w:val="hy-AM"/>
        </w:rPr>
        <w:t xml:space="preserve"> դրամ, որը պահպանել է 2021 թվականի հատկացումների մակարդակը: </w:t>
      </w:r>
      <w:r w:rsidRPr="00A83C94">
        <w:rPr>
          <w:b w:val="0"/>
          <w:szCs w:val="22"/>
          <w:lang w:val="hy-AM"/>
        </w:rPr>
        <w:t>Տվյալ ծախսային ծարագրի իրականացումը, ինչպես ընթացիկ, այնպես էլ 2022 թվականի ընթացքում նախատեսվում է ապահովել հետևյալ միջոցառումներով կատարվող հատկացումների հաշվին.</w:t>
      </w:r>
    </w:p>
    <w:p w14:paraId="1B0A1F63" w14:textId="77777777" w:rsidR="00A42F71" w:rsidRPr="00A83C94" w:rsidRDefault="00A42F71" w:rsidP="00A42F71">
      <w:pPr>
        <w:spacing w:before="0" w:line="276" w:lineRule="auto"/>
        <w:rPr>
          <w:b w:val="0"/>
          <w:szCs w:val="22"/>
          <w:lang w:val="af-ZA"/>
        </w:rPr>
      </w:pPr>
      <w:r w:rsidRPr="00A83C94">
        <w:rPr>
          <w:rFonts w:cs="Sylfaen"/>
          <w:b w:val="0"/>
          <w:szCs w:val="22"/>
          <w:lang w:val="hy-AM"/>
        </w:rPr>
        <w:t xml:space="preserve">ա) </w:t>
      </w:r>
      <w:r w:rsidRPr="00A83C94">
        <w:rPr>
          <w:b w:val="0"/>
          <w:szCs w:val="22"/>
          <w:lang w:val="af-ZA"/>
        </w:rPr>
        <w:t>«</w:t>
      </w:r>
      <w:r w:rsidRPr="00A83C94">
        <w:rPr>
          <w:b w:val="0"/>
          <w:szCs w:val="22"/>
          <w:lang w:val="hy-AM"/>
        </w:rPr>
        <w:t>Բարձրագույն</w:t>
      </w:r>
      <w:r w:rsidRPr="00A83C94">
        <w:rPr>
          <w:b w:val="0"/>
          <w:szCs w:val="22"/>
          <w:lang w:val="af-ZA"/>
        </w:rPr>
        <w:t xml:space="preserve"> </w:t>
      </w:r>
      <w:r w:rsidRPr="00A83C94">
        <w:rPr>
          <w:b w:val="0"/>
          <w:szCs w:val="22"/>
          <w:lang w:val="hy-AM"/>
        </w:rPr>
        <w:t>մասնագիտական</w:t>
      </w:r>
      <w:r w:rsidRPr="00A83C94">
        <w:rPr>
          <w:b w:val="0"/>
          <w:szCs w:val="22"/>
          <w:lang w:val="af-ZA"/>
        </w:rPr>
        <w:t xml:space="preserve"> </w:t>
      </w:r>
      <w:r w:rsidRPr="00A83C94">
        <w:rPr>
          <w:b w:val="0"/>
          <w:szCs w:val="22"/>
          <w:lang w:val="hy-AM"/>
        </w:rPr>
        <w:t>կրթության</w:t>
      </w:r>
      <w:r w:rsidRPr="00A83C94">
        <w:rPr>
          <w:b w:val="0"/>
          <w:szCs w:val="22"/>
          <w:lang w:val="af-ZA"/>
        </w:rPr>
        <w:t xml:space="preserve"> </w:t>
      </w:r>
      <w:r w:rsidRPr="00A83C94">
        <w:rPr>
          <w:b w:val="0"/>
          <w:szCs w:val="22"/>
          <w:lang w:val="hy-AM"/>
        </w:rPr>
        <w:t>ծառայություն</w:t>
      </w:r>
      <w:r w:rsidRPr="00A83C94">
        <w:rPr>
          <w:b w:val="0"/>
          <w:szCs w:val="22"/>
          <w:lang w:val="af-ZA"/>
        </w:rPr>
        <w:t xml:space="preserve">» </w:t>
      </w:r>
      <w:r w:rsidRPr="00A83C94">
        <w:rPr>
          <w:b w:val="0"/>
          <w:szCs w:val="22"/>
          <w:lang w:val="hy-AM"/>
        </w:rPr>
        <w:t>միջոցառման</w:t>
      </w:r>
      <w:r w:rsidRPr="00A83C94">
        <w:rPr>
          <w:b w:val="0"/>
          <w:szCs w:val="22"/>
          <w:lang w:val="af-ZA"/>
        </w:rPr>
        <w:t xml:space="preserve"> </w:t>
      </w:r>
      <w:r w:rsidRPr="00A83C94">
        <w:rPr>
          <w:b w:val="0"/>
          <w:szCs w:val="22"/>
          <w:lang w:val="hy-AM"/>
        </w:rPr>
        <w:t>գծով՝</w:t>
      </w:r>
      <w:r w:rsidRPr="00A83C94">
        <w:rPr>
          <w:b w:val="0"/>
          <w:szCs w:val="22"/>
          <w:lang w:val="af-ZA"/>
        </w:rPr>
        <w:t xml:space="preserve"> </w:t>
      </w:r>
      <w:r w:rsidRPr="00A83C94">
        <w:rPr>
          <w:b w:val="0"/>
          <w:szCs w:val="22"/>
          <w:lang w:val="hy-AM"/>
        </w:rPr>
        <w:t xml:space="preserve">տարեկան </w:t>
      </w:r>
      <w:r w:rsidRPr="00A83C94">
        <w:rPr>
          <w:b w:val="0"/>
          <w:szCs w:val="22"/>
          <w:lang w:val="af-ZA"/>
        </w:rPr>
        <w:t>920</w:t>
      </w:r>
      <w:r w:rsidRPr="00A83C94">
        <w:rPr>
          <w:b w:val="0"/>
          <w:szCs w:val="22"/>
          <w:lang w:val="hy-AM"/>
        </w:rPr>
        <w:t>0.7</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lang w:val="hy-AM"/>
        </w:rPr>
        <w:t>դրամ</w:t>
      </w:r>
      <w:r w:rsidRPr="00A83C94">
        <w:rPr>
          <w:b w:val="0"/>
          <w:szCs w:val="22"/>
          <w:lang w:val="af-ZA"/>
        </w:rPr>
        <w:t xml:space="preserve"> (</w:t>
      </w:r>
      <w:r w:rsidRPr="00A83C94">
        <w:rPr>
          <w:b w:val="0"/>
          <w:szCs w:val="22"/>
          <w:lang w:val="hy-AM"/>
        </w:rPr>
        <w:t>տվյալ</w:t>
      </w:r>
      <w:r w:rsidRPr="00A83C94">
        <w:rPr>
          <w:b w:val="0"/>
          <w:szCs w:val="22"/>
          <w:lang w:val="af-ZA"/>
        </w:rPr>
        <w:t xml:space="preserve"> </w:t>
      </w:r>
      <w:r w:rsidRPr="00A83C94">
        <w:rPr>
          <w:b w:val="0"/>
          <w:szCs w:val="22"/>
          <w:lang w:val="hy-AM"/>
        </w:rPr>
        <w:t>ծրագրի՝</w:t>
      </w:r>
      <w:r w:rsidRPr="00A83C94">
        <w:rPr>
          <w:b w:val="0"/>
          <w:szCs w:val="22"/>
          <w:lang w:val="af-ZA"/>
        </w:rPr>
        <w:t xml:space="preserve"> 58,8 %-</w:t>
      </w:r>
      <w:r w:rsidRPr="00A83C94">
        <w:rPr>
          <w:b w:val="0"/>
          <w:szCs w:val="22"/>
          <w:lang w:val="hy-AM"/>
        </w:rPr>
        <w:t>ը</w:t>
      </w:r>
      <w:r w:rsidRPr="00A83C94">
        <w:rPr>
          <w:b w:val="0"/>
          <w:szCs w:val="22"/>
          <w:lang w:val="af-ZA"/>
        </w:rPr>
        <w:t xml:space="preserve">, պահպանվելով </w:t>
      </w:r>
      <w:r w:rsidRPr="00A83C94">
        <w:rPr>
          <w:b w:val="0"/>
          <w:szCs w:val="22"/>
          <w:lang w:val="hy-AM"/>
        </w:rPr>
        <w:t xml:space="preserve">2021 </w:t>
      </w:r>
      <w:r w:rsidRPr="00A83C94">
        <w:rPr>
          <w:b w:val="0"/>
          <w:szCs w:val="22"/>
          <w:lang w:val="af-ZA"/>
        </w:rPr>
        <w:t>թ</w:t>
      </w:r>
      <w:r w:rsidRPr="00A83C94">
        <w:rPr>
          <w:b w:val="0"/>
          <w:szCs w:val="22"/>
          <w:lang w:val="hy-AM"/>
        </w:rPr>
        <w:t>վականի</w:t>
      </w:r>
      <w:r w:rsidRPr="00A83C94">
        <w:rPr>
          <w:b w:val="0"/>
          <w:szCs w:val="22"/>
          <w:lang w:val="af-ZA"/>
        </w:rPr>
        <w:t xml:space="preserve"> մակարդակը),</w:t>
      </w:r>
    </w:p>
    <w:p w14:paraId="6E62D787" w14:textId="77777777" w:rsidR="00A42F71" w:rsidRPr="00A83C94" w:rsidRDefault="00A42F71" w:rsidP="00A42F71">
      <w:pPr>
        <w:spacing w:before="0" w:line="276" w:lineRule="auto"/>
        <w:rPr>
          <w:b w:val="0"/>
          <w:szCs w:val="22"/>
          <w:lang w:val="af-ZA"/>
        </w:rPr>
      </w:pPr>
      <w:r w:rsidRPr="00A83C94">
        <w:rPr>
          <w:rFonts w:cs="Sylfaen"/>
          <w:b w:val="0"/>
          <w:szCs w:val="22"/>
          <w:lang w:val="af-ZA"/>
        </w:rPr>
        <w:t xml:space="preserve">բ) </w:t>
      </w:r>
      <w:r w:rsidRPr="00A83C94">
        <w:rPr>
          <w:b w:val="0"/>
          <w:szCs w:val="22"/>
          <w:lang w:val="af-ZA"/>
        </w:rPr>
        <w:t>«</w:t>
      </w:r>
      <w:r w:rsidRPr="00A83C94">
        <w:rPr>
          <w:b w:val="0"/>
          <w:szCs w:val="22"/>
        </w:rPr>
        <w:t>Միջին</w:t>
      </w:r>
      <w:r w:rsidRPr="00A83C94">
        <w:rPr>
          <w:b w:val="0"/>
          <w:szCs w:val="22"/>
          <w:lang w:val="af-ZA"/>
        </w:rPr>
        <w:t xml:space="preserve"> </w:t>
      </w:r>
      <w:r w:rsidRPr="00A83C94">
        <w:rPr>
          <w:b w:val="0"/>
          <w:szCs w:val="22"/>
        </w:rPr>
        <w:t>մասնագիտական</w:t>
      </w:r>
      <w:r w:rsidRPr="00A83C94">
        <w:rPr>
          <w:b w:val="0"/>
          <w:szCs w:val="22"/>
          <w:lang w:val="af-ZA"/>
        </w:rPr>
        <w:t xml:space="preserve"> </w:t>
      </w:r>
      <w:r w:rsidRPr="00A83C94">
        <w:rPr>
          <w:b w:val="0"/>
          <w:szCs w:val="22"/>
        </w:rPr>
        <w:t>կրթության</w:t>
      </w:r>
      <w:r w:rsidRPr="00A83C94">
        <w:rPr>
          <w:b w:val="0"/>
          <w:szCs w:val="22"/>
          <w:lang w:val="af-ZA"/>
        </w:rPr>
        <w:t xml:space="preserve"> </w:t>
      </w:r>
      <w:r w:rsidRPr="00A83C94">
        <w:rPr>
          <w:b w:val="0"/>
          <w:szCs w:val="22"/>
        </w:rPr>
        <w:t>ծառայություն</w:t>
      </w:r>
      <w:r w:rsidRPr="00A83C94">
        <w:rPr>
          <w:b w:val="0"/>
          <w:szCs w:val="22"/>
          <w:lang w:val="af-ZA"/>
        </w:rPr>
        <w:t xml:space="preserve">» </w:t>
      </w:r>
      <w:r w:rsidRPr="00A83C94">
        <w:rPr>
          <w:b w:val="0"/>
          <w:szCs w:val="22"/>
        </w:rPr>
        <w:t>միջոցառման</w:t>
      </w:r>
      <w:r w:rsidRPr="00A83C94">
        <w:rPr>
          <w:b w:val="0"/>
          <w:szCs w:val="22"/>
          <w:lang w:val="af-ZA"/>
        </w:rPr>
        <w:t xml:space="preserve"> </w:t>
      </w:r>
      <w:r w:rsidRPr="00A83C94">
        <w:rPr>
          <w:b w:val="0"/>
          <w:szCs w:val="22"/>
        </w:rPr>
        <w:t>գծով՝</w:t>
      </w:r>
      <w:r w:rsidRPr="00A83C94">
        <w:rPr>
          <w:b w:val="0"/>
          <w:szCs w:val="22"/>
          <w:lang w:val="af-ZA"/>
        </w:rPr>
        <w:t xml:space="preserve"> 387</w:t>
      </w:r>
      <w:r w:rsidRPr="00A83C94">
        <w:rPr>
          <w:b w:val="0"/>
          <w:szCs w:val="22"/>
          <w:lang w:val="hy-AM"/>
        </w:rPr>
        <w:t>.5</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rPr>
        <w:t>դրամ</w:t>
      </w:r>
      <w:r w:rsidRPr="00A83C94">
        <w:rPr>
          <w:b w:val="0"/>
          <w:szCs w:val="22"/>
          <w:lang w:val="af-ZA"/>
        </w:rPr>
        <w:t xml:space="preserve"> (</w:t>
      </w:r>
      <w:r w:rsidRPr="00A83C94">
        <w:rPr>
          <w:b w:val="0"/>
          <w:szCs w:val="22"/>
        </w:rPr>
        <w:t>տվյալ</w:t>
      </w:r>
      <w:r w:rsidRPr="00A83C94">
        <w:rPr>
          <w:b w:val="0"/>
          <w:szCs w:val="22"/>
          <w:lang w:val="af-ZA"/>
        </w:rPr>
        <w:t xml:space="preserve"> </w:t>
      </w:r>
      <w:r w:rsidRPr="00A83C94">
        <w:rPr>
          <w:b w:val="0"/>
          <w:szCs w:val="22"/>
        </w:rPr>
        <w:t>ծրագրի՝</w:t>
      </w:r>
      <w:r w:rsidRPr="00A83C94">
        <w:rPr>
          <w:b w:val="0"/>
          <w:szCs w:val="22"/>
          <w:lang w:val="af-ZA"/>
        </w:rPr>
        <w:t xml:space="preserve"> 24,7 %-</w:t>
      </w:r>
      <w:r w:rsidRPr="00A83C94">
        <w:rPr>
          <w:b w:val="0"/>
          <w:szCs w:val="22"/>
        </w:rPr>
        <w:t>ը</w:t>
      </w:r>
      <w:r w:rsidRPr="00A83C94">
        <w:rPr>
          <w:b w:val="0"/>
          <w:szCs w:val="22"/>
          <w:lang w:val="af-ZA"/>
        </w:rPr>
        <w:t xml:space="preserve">, պահպանվելով </w:t>
      </w:r>
      <w:r w:rsidRPr="00A83C94">
        <w:rPr>
          <w:b w:val="0"/>
          <w:szCs w:val="22"/>
          <w:lang w:val="hy-AM"/>
        </w:rPr>
        <w:t>202</w:t>
      </w:r>
      <w:r w:rsidRPr="00A83C94">
        <w:rPr>
          <w:b w:val="0"/>
          <w:szCs w:val="22"/>
          <w:lang w:val="af-ZA"/>
        </w:rPr>
        <w:t>1</w:t>
      </w:r>
      <w:r w:rsidRPr="00A83C94">
        <w:rPr>
          <w:b w:val="0"/>
          <w:szCs w:val="22"/>
          <w:lang w:val="hy-AM"/>
        </w:rPr>
        <w:t xml:space="preserve"> </w:t>
      </w:r>
      <w:r w:rsidRPr="00A83C94">
        <w:rPr>
          <w:b w:val="0"/>
          <w:szCs w:val="22"/>
          <w:lang w:val="af-ZA"/>
        </w:rPr>
        <w:t>թ</w:t>
      </w:r>
      <w:r w:rsidRPr="00A83C94">
        <w:rPr>
          <w:b w:val="0"/>
          <w:szCs w:val="22"/>
          <w:lang w:val="hy-AM"/>
        </w:rPr>
        <w:t>վականի</w:t>
      </w:r>
      <w:r w:rsidRPr="00A83C94">
        <w:rPr>
          <w:b w:val="0"/>
          <w:szCs w:val="22"/>
          <w:lang w:val="af-ZA"/>
        </w:rPr>
        <w:t xml:space="preserve"> մակարդակը)</w:t>
      </w:r>
    </w:p>
    <w:p w14:paraId="60F34995" w14:textId="77777777" w:rsidR="00A42F71" w:rsidRPr="00A83C94" w:rsidRDefault="00A42F71" w:rsidP="00A42F71">
      <w:pPr>
        <w:spacing w:before="0" w:line="276" w:lineRule="auto"/>
        <w:rPr>
          <w:rFonts w:cs="Sylfaen"/>
          <w:b w:val="0"/>
          <w:szCs w:val="22"/>
          <w:lang w:val="hy-AM"/>
        </w:rPr>
      </w:pPr>
      <w:r w:rsidRPr="00A83C94">
        <w:rPr>
          <w:rFonts w:cs="Sylfaen"/>
          <w:b w:val="0"/>
          <w:szCs w:val="22"/>
          <w:lang w:val="af-ZA"/>
        </w:rPr>
        <w:t xml:space="preserve">գ) </w:t>
      </w:r>
      <w:r w:rsidRPr="00A83C94">
        <w:rPr>
          <w:b w:val="0"/>
          <w:szCs w:val="22"/>
          <w:lang w:val="af-ZA"/>
        </w:rPr>
        <w:t xml:space="preserve">«Նախնական </w:t>
      </w:r>
      <w:r w:rsidRPr="00A83C94">
        <w:rPr>
          <w:b w:val="0"/>
          <w:szCs w:val="22"/>
        </w:rPr>
        <w:t>մասնագիտական</w:t>
      </w:r>
      <w:r w:rsidRPr="00A83C94">
        <w:rPr>
          <w:b w:val="0"/>
          <w:szCs w:val="22"/>
          <w:lang w:val="af-ZA"/>
        </w:rPr>
        <w:t xml:space="preserve"> </w:t>
      </w:r>
      <w:r w:rsidRPr="00A83C94">
        <w:rPr>
          <w:b w:val="0"/>
          <w:szCs w:val="22"/>
        </w:rPr>
        <w:t>կրթության</w:t>
      </w:r>
      <w:r w:rsidRPr="00A83C94">
        <w:rPr>
          <w:b w:val="0"/>
          <w:szCs w:val="22"/>
          <w:lang w:val="af-ZA"/>
        </w:rPr>
        <w:t xml:space="preserve"> </w:t>
      </w:r>
      <w:r w:rsidRPr="00A83C94">
        <w:rPr>
          <w:b w:val="0"/>
          <w:szCs w:val="22"/>
        </w:rPr>
        <w:t>ծառայություն</w:t>
      </w:r>
      <w:r w:rsidRPr="00A83C94">
        <w:rPr>
          <w:b w:val="0"/>
          <w:szCs w:val="22"/>
          <w:lang w:val="af-ZA"/>
        </w:rPr>
        <w:t xml:space="preserve">» </w:t>
      </w:r>
      <w:r w:rsidRPr="00A83C94">
        <w:rPr>
          <w:b w:val="0"/>
          <w:szCs w:val="22"/>
        </w:rPr>
        <w:t>միջոցառման</w:t>
      </w:r>
      <w:r w:rsidRPr="00A83C94">
        <w:rPr>
          <w:b w:val="0"/>
          <w:szCs w:val="22"/>
          <w:lang w:val="af-ZA"/>
        </w:rPr>
        <w:t xml:space="preserve"> </w:t>
      </w:r>
      <w:r w:rsidRPr="00A83C94">
        <w:rPr>
          <w:b w:val="0"/>
          <w:szCs w:val="22"/>
        </w:rPr>
        <w:t>գծով՝</w:t>
      </w:r>
      <w:r w:rsidRPr="00A83C94">
        <w:rPr>
          <w:b w:val="0"/>
          <w:szCs w:val="22"/>
          <w:lang w:val="af-ZA"/>
        </w:rPr>
        <w:t xml:space="preserve"> 257.</w:t>
      </w:r>
      <w:r w:rsidRPr="00A83C94">
        <w:rPr>
          <w:b w:val="0"/>
          <w:szCs w:val="22"/>
          <w:lang w:val="hy-AM"/>
        </w:rPr>
        <w:t>8</w:t>
      </w:r>
      <w:r w:rsidRPr="00A83C94">
        <w:rPr>
          <w:b w:val="0"/>
          <w:szCs w:val="22"/>
          <w:lang w:val="af-ZA"/>
        </w:rPr>
        <w:t xml:space="preserve"> </w:t>
      </w:r>
      <w:r w:rsidRPr="00A83C94">
        <w:rPr>
          <w:b w:val="0"/>
          <w:szCs w:val="22"/>
          <w:lang w:val="hy-AM"/>
        </w:rPr>
        <w:t>մլն.</w:t>
      </w:r>
      <w:r w:rsidRPr="00A83C94">
        <w:rPr>
          <w:b w:val="0"/>
          <w:szCs w:val="22"/>
          <w:lang w:val="af-ZA"/>
        </w:rPr>
        <w:t xml:space="preserve"> </w:t>
      </w:r>
      <w:r w:rsidRPr="00A83C94">
        <w:rPr>
          <w:b w:val="0"/>
          <w:szCs w:val="22"/>
        </w:rPr>
        <w:t>դրամ</w:t>
      </w:r>
      <w:r w:rsidRPr="00A83C94">
        <w:rPr>
          <w:b w:val="0"/>
          <w:szCs w:val="22"/>
          <w:lang w:val="af-ZA"/>
        </w:rPr>
        <w:t xml:space="preserve"> (</w:t>
      </w:r>
      <w:r w:rsidRPr="00A83C94">
        <w:rPr>
          <w:b w:val="0"/>
          <w:szCs w:val="22"/>
        </w:rPr>
        <w:t>տվյալ</w:t>
      </w:r>
      <w:r w:rsidRPr="00A83C94">
        <w:rPr>
          <w:b w:val="0"/>
          <w:szCs w:val="22"/>
          <w:lang w:val="af-ZA"/>
        </w:rPr>
        <w:t xml:space="preserve"> </w:t>
      </w:r>
      <w:r w:rsidRPr="00A83C94">
        <w:rPr>
          <w:b w:val="0"/>
          <w:szCs w:val="22"/>
        </w:rPr>
        <w:t>ծրագրի</w:t>
      </w:r>
      <w:r w:rsidRPr="00A83C94">
        <w:rPr>
          <w:b w:val="0"/>
          <w:szCs w:val="22"/>
          <w:lang w:val="af-ZA"/>
        </w:rPr>
        <w:t xml:space="preserve"> 16,5 %-</w:t>
      </w:r>
      <w:r w:rsidRPr="00A83C94">
        <w:rPr>
          <w:b w:val="0"/>
          <w:szCs w:val="22"/>
        </w:rPr>
        <w:t>ը</w:t>
      </w:r>
      <w:r w:rsidRPr="00A83C94">
        <w:rPr>
          <w:b w:val="0"/>
          <w:szCs w:val="22"/>
          <w:lang w:val="af-ZA"/>
        </w:rPr>
        <w:t xml:space="preserve">, պահպանվելով </w:t>
      </w:r>
      <w:r w:rsidRPr="00A83C94">
        <w:rPr>
          <w:b w:val="0"/>
          <w:szCs w:val="22"/>
          <w:lang w:val="hy-AM"/>
        </w:rPr>
        <w:t>202</w:t>
      </w:r>
      <w:r w:rsidRPr="00A83C94">
        <w:rPr>
          <w:b w:val="0"/>
          <w:szCs w:val="22"/>
          <w:lang w:val="af-ZA"/>
        </w:rPr>
        <w:t>1</w:t>
      </w:r>
      <w:r w:rsidRPr="00A83C94">
        <w:rPr>
          <w:b w:val="0"/>
          <w:szCs w:val="22"/>
          <w:lang w:val="hy-AM"/>
        </w:rPr>
        <w:t xml:space="preserve"> </w:t>
      </w:r>
      <w:r w:rsidRPr="00A83C94">
        <w:rPr>
          <w:b w:val="0"/>
          <w:szCs w:val="22"/>
          <w:lang w:val="af-ZA"/>
        </w:rPr>
        <w:t>թ</w:t>
      </w:r>
      <w:r w:rsidRPr="00A83C94">
        <w:rPr>
          <w:b w:val="0"/>
          <w:szCs w:val="22"/>
          <w:lang w:val="hy-AM"/>
        </w:rPr>
        <w:t>վական</w:t>
      </w:r>
      <w:r w:rsidRPr="00A83C94">
        <w:rPr>
          <w:b w:val="0"/>
          <w:szCs w:val="22"/>
          <w:lang w:val="af-ZA"/>
        </w:rPr>
        <w:t>ի մակարդակը):</w:t>
      </w:r>
      <w:r w:rsidRPr="00A83C94">
        <w:rPr>
          <w:rFonts w:cs="Sylfaen"/>
          <w:b w:val="0"/>
          <w:szCs w:val="22"/>
          <w:lang w:val="hy-AM"/>
        </w:rPr>
        <w:tab/>
      </w:r>
      <w:r w:rsidRPr="00A83C94">
        <w:rPr>
          <w:rFonts w:cs="Sylfaen"/>
          <w:b w:val="0"/>
          <w:szCs w:val="22"/>
          <w:lang w:val="hy-AM"/>
        </w:rPr>
        <w:tab/>
      </w:r>
    </w:p>
    <w:p w14:paraId="3865D7FC" w14:textId="77777777" w:rsidR="00D83CD7" w:rsidRPr="00A83C94" w:rsidRDefault="00D83CD7" w:rsidP="007C65A5">
      <w:pPr>
        <w:spacing w:line="276" w:lineRule="auto"/>
        <w:ind w:left="-284"/>
        <w:rPr>
          <w:rFonts w:cs="Sylfaen"/>
          <w:szCs w:val="22"/>
          <w:lang w:val="hy-AM"/>
        </w:rPr>
      </w:pPr>
      <w:r w:rsidRPr="00A83C94">
        <w:rPr>
          <w:rFonts w:cs="Sylfaen"/>
          <w:szCs w:val="22"/>
          <w:lang w:val="hy-AM"/>
        </w:rPr>
        <w:tab/>
      </w:r>
      <w:r w:rsidRPr="00A83C94">
        <w:rPr>
          <w:rFonts w:cs="Sylfaen"/>
          <w:szCs w:val="22"/>
          <w:lang w:val="hy-AM"/>
        </w:rPr>
        <w:tab/>
      </w:r>
    </w:p>
    <w:p w14:paraId="02B6D9B5" w14:textId="77777777" w:rsidR="00787739" w:rsidRPr="00A83C94" w:rsidRDefault="00787739" w:rsidP="00427D1F">
      <w:pPr>
        <w:keepNext/>
        <w:spacing w:before="0" w:line="276" w:lineRule="auto"/>
        <w:ind w:firstLine="0"/>
        <w:contextualSpacing w:val="0"/>
        <w:jc w:val="center"/>
        <w:outlineLvl w:val="2"/>
        <w:rPr>
          <w:sz w:val="24"/>
          <w:lang w:val="hy-AM"/>
        </w:rPr>
      </w:pPr>
      <w:bookmarkStart w:id="321" w:name="_Toc89428326"/>
      <w:r w:rsidRPr="00A83C94">
        <w:rPr>
          <w:rFonts w:cs="Arial"/>
          <w:sz w:val="24"/>
          <w:lang w:val="hy-AM" w:eastAsia="en-US"/>
        </w:rPr>
        <w:t>ՀՀ ազգային անվտանգության ծառայություն</w:t>
      </w:r>
      <w:bookmarkEnd w:id="321"/>
    </w:p>
    <w:p w14:paraId="2481D470" w14:textId="77777777" w:rsidR="007D1591" w:rsidRPr="00A83C94" w:rsidRDefault="007D1591" w:rsidP="007D1591">
      <w:pPr>
        <w:spacing w:line="276" w:lineRule="auto"/>
        <w:ind w:firstLine="562"/>
        <w:rPr>
          <w:rFonts w:cs="Tahoma"/>
          <w:b w:val="0"/>
          <w:iCs/>
          <w:noProof/>
          <w:lang w:val="it-IT"/>
        </w:rPr>
      </w:pPr>
      <w:r w:rsidRPr="00A83C94">
        <w:rPr>
          <w:rFonts w:cs="Tahoma"/>
          <w:b w:val="0"/>
          <w:iCs/>
          <w:noProof/>
          <w:lang w:val="it-IT"/>
        </w:rPr>
        <w:t xml:space="preserve">Հայաստանի Հանրապետության ազգային անվտանգությունը պետության և հասարակության այնպիսի կացություն է, երբ ապահովված է անձի, հասարակության և պետության անվտանգությունը, երկրի տարածքային ամբողջականությունը, ինքնիշխանությունը, սահմանադրական կարգը, տնտեսության բնականոն զարգացումը, հասարակության նյութական և հոգևոր արժեքների, քաղաքացիների իրավունքների և ազատությունների, շրջակա միջավայրի պաշտպանությունը ներքին և արտաքին սպառնալիքներից: </w:t>
      </w:r>
    </w:p>
    <w:p w14:paraId="23BF8F13" w14:textId="77777777" w:rsidR="007D1591" w:rsidRPr="00A83C94" w:rsidRDefault="007D1591" w:rsidP="007D1591">
      <w:pPr>
        <w:spacing w:line="276" w:lineRule="auto"/>
        <w:ind w:firstLine="562"/>
        <w:rPr>
          <w:rFonts w:cs="Tahoma"/>
          <w:b w:val="0"/>
          <w:iCs/>
          <w:noProof/>
          <w:lang w:val="it-IT"/>
        </w:rPr>
      </w:pPr>
      <w:r w:rsidRPr="00A83C94">
        <w:rPr>
          <w:rFonts w:cs="Tahoma"/>
          <w:b w:val="0"/>
          <w:iCs/>
          <w:noProof/>
          <w:lang w:val="it-IT"/>
        </w:rPr>
        <w:t>Պետական պահպանության ծառայությունն իրականացնում է պետական պահպանության ենթակա օբյեկտների անվտանգության ապահովման և պետական օբյեկտների պաշտպանության ոլորտի գործառույթ, իրավական, կազմակերպական, պահպանական, ռեժիմային, օպերատիվ-հետախուզական, տեխնիկական և այլ միջոցառումների համակցմամբ:</w:t>
      </w:r>
    </w:p>
    <w:p w14:paraId="06E0A333"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Հայաստանի Հանրապետության արտաքին և ներքին անվտանգության ապահովման կարևորագույն նախապայմանն անվտանգության միջավայրի համակողմանի գնահատման հիման վրա արտաքին, ներքին և պաշտպանական քաղաքականության ճկուն գործիքակազմի ձևավորումն է, ինչը հնարավորություն կտա Կառավարության քաղաքական առաջնահերթությունները կյանքի կոչելու համար ստեղծել կայուն և կանխատեսելի մթնոլորտ, իսկ արտաքին անվտանգության ապահովման երաշխիքների համար՝ բավարար կարողություններ: Կառավարության առաջնահերթությունների թվում են Հայաստանի Հանրապետության ռազմավարական նշանակության օբյեկտների և ենթակառուցվածքների անվտանգության ապահովումը, անվտանգության մակարդակի բարձրացմանն ուղղված խնդիրների և դրանցից բխող միջոցառումների իրականացումը:</w:t>
      </w:r>
    </w:p>
    <w:p w14:paraId="72E18017"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Ազգային անվտանգության ծառայության նպատակներն են հետախուզական գործունեությունը, հակահետախուզական գործունեությունը, ռազմական հակահետախուզական գործունեությունը, պետական սահմանի պահպանությունը և պայքարը հանցագործությունների դեմ: Այս առումով վերջնական արդյունքներն են ՀՀ ազգային անվտանգության սպառնալիքների մասին տեղեկությունների ստացումը և կանխարգելիչ միջոցառումների անցկացումը, օտարերկրյա պետությունների հատուկ ծառայությունների և այլ կազմակերպությունների, ինչպես նաև առանձին անձանց հետախուզական գործունեության բացահայտումը, կանխումը և խափանումը, օպերատիվ-հետախուզական միջոցառումների շնորհիվ հանցագործությունների բացահայտումը, կանխումը և խափանումը,</w:t>
      </w:r>
      <w:r w:rsidRPr="00A83C94">
        <w:rPr>
          <w:b w:val="0"/>
          <w:iCs/>
          <w:lang w:val="it-IT"/>
        </w:rPr>
        <w:t xml:space="preserve"> </w:t>
      </w:r>
      <w:r w:rsidRPr="00A83C94">
        <w:rPr>
          <w:rFonts w:cs="Sylfaen"/>
          <w:b w:val="0"/>
          <w:iCs/>
          <w:kern w:val="16"/>
          <w:lang w:val="it-IT"/>
        </w:rPr>
        <w:t>ՀՀ պետական սահմանի անձեռնմխելիության ապահովումը, սահմանափակումների կանխումը և խափանումը:</w:t>
      </w:r>
    </w:p>
    <w:p w14:paraId="4FFBE4C5"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Պետական պահպանության ծառայության նպատակներն են` իր իրավասության սահմաններում կազմակերպել պետական պահպանության ենթակա օբյեկտների անվտանգությունը, կանխատեսել և բացահայտել այդ օբյեկտներին սպառնացող վտանգը և նրանց կանխարգելման համար իրականացնել համալիր միջոցառումներ, պետական պահպանության օբյեկտների անվտանգությունն ապահովել նրանց մշտական կամ ժամանակավոր գտնվելու վայրում, իր իրավասության շրջանակներում մասնակցել ահաբեկչության դեմ պայքարին, պաշտպանել պահպանվող օբյեկտները, կանխել և խափանել պահպանվող օբյեկտներում հանցագործությունները և այլ իրավախախտումները, ապահովել սահմանված անցագրային ռեժիմն ու կարգը:</w:t>
      </w:r>
    </w:p>
    <w:p w14:paraId="0D84417F" w14:textId="77777777" w:rsidR="007D1591" w:rsidRPr="00A83C94" w:rsidRDefault="007D1591" w:rsidP="007D1591">
      <w:pPr>
        <w:spacing w:line="276" w:lineRule="auto"/>
        <w:ind w:firstLine="562"/>
        <w:rPr>
          <w:rFonts w:cs="Tahoma"/>
          <w:b w:val="0"/>
          <w:iCs/>
          <w:noProof/>
          <w:lang w:val="it-IT"/>
        </w:rPr>
      </w:pPr>
      <w:r w:rsidRPr="00A83C94">
        <w:rPr>
          <w:rFonts w:cs="Sylfaen"/>
          <w:b w:val="0"/>
          <w:iCs/>
          <w:kern w:val="16"/>
          <w:lang w:val="it-IT"/>
        </w:rPr>
        <w:t>Ազգային անվտանգության գերակա վերջնական արդյունքն է ազգային անվտանգության ապահովումը, իսկ պետական պահպանության ծառայության գերակա վերջնական արդյունքն է հատուկ պետական պաշտպանության ենթակա օբյեկտների անվտանգության ապահովումը:</w:t>
      </w:r>
    </w:p>
    <w:p w14:paraId="11908E99" w14:textId="77777777" w:rsidR="007D1591" w:rsidRPr="00A83C94" w:rsidRDefault="007D1591" w:rsidP="007D1591">
      <w:pPr>
        <w:spacing w:before="0" w:line="276" w:lineRule="auto"/>
        <w:ind w:firstLine="562"/>
        <w:rPr>
          <w:b w:val="0"/>
          <w:lang w:val="hy-AM"/>
        </w:rPr>
      </w:pPr>
      <w:r w:rsidRPr="00A83C94">
        <w:rPr>
          <w:rFonts w:cs="Arial"/>
          <w:b w:val="0"/>
          <w:lang w:val="hy-AM"/>
        </w:rPr>
        <w:t>Ազգային</w:t>
      </w:r>
      <w:r w:rsidRPr="00A83C94">
        <w:rPr>
          <w:b w:val="0"/>
          <w:lang w:val="hy-AM"/>
        </w:rPr>
        <w:t xml:space="preserve"> անվտանգության համակարգի զարգացման հիմնական միտումները</w:t>
      </w:r>
      <w:r w:rsidRPr="00A83C94">
        <w:rPr>
          <w:b w:val="0"/>
          <w:lang w:val="it-IT"/>
        </w:rPr>
        <w:t xml:space="preserve"> նպատակաուղղված են </w:t>
      </w:r>
      <w:r w:rsidRPr="00A83C94">
        <w:rPr>
          <w:b w:val="0"/>
          <w:lang w:val="hy-AM"/>
        </w:rPr>
        <w:t>ներքին և արտաքին սպառնալիքներից անձի, հասարակության ու պետության անվտանգության ապահովման</w:t>
      </w:r>
      <w:r w:rsidRPr="00A83C94">
        <w:rPr>
          <w:b w:val="0"/>
          <w:lang w:val="it-IT"/>
        </w:rPr>
        <w:t xml:space="preserve"> բարձրացմանը,</w:t>
      </w:r>
      <w:r w:rsidRPr="00A83C94">
        <w:rPr>
          <w:b w:val="0"/>
          <w:lang w:val="hy-AM"/>
        </w:rPr>
        <w:t xml:space="preserve"> տնտեսության ոլորտում կատարվող հանցագործությունների, այդ թվում՝ կոռուպցիայի տարբեր դրսևորումների և տնտեսության զարգացմանը խոչընդոտող այլ երևույթների ժամանակին հայտնաբերման ու բացահայտման աշխատանքների ակտիվացմանը</w:t>
      </w:r>
      <w:r w:rsidRPr="00A83C94">
        <w:rPr>
          <w:b w:val="0"/>
          <w:lang w:val="it-IT"/>
        </w:rPr>
        <w:t xml:space="preserve">, </w:t>
      </w:r>
      <w:r w:rsidRPr="00A83C94">
        <w:rPr>
          <w:b w:val="0"/>
          <w:lang w:val="hy-AM"/>
        </w:rPr>
        <w:t>օպերատիվ</w:t>
      </w:r>
      <w:r w:rsidRPr="00A83C94">
        <w:rPr>
          <w:b w:val="0"/>
          <w:lang w:val="it-IT"/>
        </w:rPr>
        <w:t xml:space="preserve"> </w:t>
      </w:r>
      <w:r w:rsidRPr="00A83C94">
        <w:rPr>
          <w:b w:val="0"/>
          <w:lang w:val="hy-AM"/>
        </w:rPr>
        <w:t>գործունեության</w:t>
      </w:r>
      <w:r w:rsidRPr="00A83C94">
        <w:rPr>
          <w:b w:val="0"/>
          <w:lang w:val="it-IT"/>
        </w:rPr>
        <w:t xml:space="preserve"> </w:t>
      </w:r>
      <w:r w:rsidRPr="00A83C94">
        <w:rPr>
          <w:b w:val="0"/>
          <w:lang w:val="hy-AM"/>
        </w:rPr>
        <w:t>արդյունավետության</w:t>
      </w:r>
      <w:r w:rsidRPr="00A83C94">
        <w:rPr>
          <w:b w:val="0"/>
          <w:lang w:val="it-IT"/>
        </w:rPr>
        <w:t xml:space="preserve"> </w:t>
      </w:r>
      <w:r w:rsidRPr="00A83C94">
        <w:rPr>
          <w:b w:val="0"/>
          <w:lang w:val="hy-AM"/>
        </w:rPr>
        <w:t>բարձրացմանը</w:t>
      </w:r>
      <w:r w:rsidRPr="00A83C94">
        <w:rPr>
          <w:b w:val="0"/>
          <w:lang w:val="it-IT"/>
        </w:rPr>
        <w:t xml:space="preserve">, </w:t>
      </w:r>
      <w:r w:rsidRPr="00A83C94">
        <w:rPr>
          <w:b w:val="0"/>
          <w:lang w:val="hy-AM"/>
        </w:rPr>
        <w:t>պետական սահմանի շուրջօրյա հսկման և պահպանման</w:t>
      </w:r>
      <w:r w:rsidRPr="00A83C94">
        <w:rPr>
          <w:b w:val="0"/>
          <w:lang w:val="it-IT"/>
        </w:rPr>
        <w:t xml:space="preserve"> բարելավմանը</w:t>
      </w:r>
      <w:r w:rsidRPr="00A83C94">
        <w:rPr>
          <w:b w:val="0"/>
          <w:lang w:val="hy-AM"/>
        </w:rPr>
        <w:t>, այդ թվում նաև էլեկտրոնային համակարգերով և ծառայողական կենդանիներով (շներ, ձիեր և այլն)</w:t>
      </w:r>
      <w:r w:rsidRPr="00A83C94">
        <w:rPr>
          <w:b w:val="0"/>
          <w:lang w:val="it-IT"/>
        </w:rPr>
        <w:t>, հետախուզության, հակահետախուզության ոլորտի ընդլայնմանը, օտարերկրյա հատուկ ծառայությունների կողմից օգտագործվող գործակալական ցանցի բացահայտման հետ կապված աշխատանքների զարգացմանը, գաղտնի տեղեկատվության անվտանգություն մակարդակի բարելավմանը, նոր համակարգի ներդրման ապահովմանը:</w:t>
      </w:r>
    </w:p>
    <w:p w14:paraId="71BB3A5A" w14:textId="77777777" w:rsidR="007D1591" w:rsidRPr="00A83C94" w:rsidRDefault="007D1591" w:rsidP="007D1591">
      <w:pPr>
        <w:spacing w:before="0" w:line="276" w:lineRule="auto"/>
        <w:ind w:firstLine="562"/>
        <w:rPr>
          <w:rFonts w:cs="Sylfaen"/>
          <w:b w:val="0"/>
          <w:kern w:val="16"/>
          <w:lang w:val="it-IT"/>
        </w:rPr>
      </w:pPr>
      <w:r w:rsidRPr="00A83C94">
        <w:rPr>
          <w:rFonts w:cs="Sylfaen"/>
          <w:b w:val="0"/>
          <w:kern w:val="16"/>
          <w:lang w:val="it-IT"/>
        </w:rPr>
        <w:t>Պետական պահպանության ծառայության զարգացման հիմնական միտումները նպատակաուղղված են պետական պահպանության ծառայության հատուկ պետական պաշտպանության ենթակա անձանց, ինչպես նաև մշտական և ժամանակավոր պահպանվող օբյեկտների անվտանգության ապահովման բարձրացմանը, պետական պահպանության ապահովման համար տեխնիկա-տնտեսական բազայի ամրապնդմանը, զենք զինամթերքի արդիականացմանը և ավելացմանը, անհրաժեշտ նյութական ռեսուրսներով ապահովմանը, զինծառայողների և զինվորական կոչում չունեցող աշխատակիցների ֆինանսական և սոցիալական վիճակի բարելավմանը, սեփական ուսումնական կենտրոնի և նրան կից անհրաժեշտ շինություններով, լրացուցիչ պահեստներով ապահովմանը, ինչպես նաև անձնակազմի մասնագիտական պատրաստականության բարձրացմանը:</w:t>
      </w:r>
    </w:p>
    <w:p w14:paraId="36BA866E" w14:textId="77777777" w:rsidR="007D1591" w:rsidRPr="00A83C94" w:rsidRDefault="007D1591" w:rsidP="007D1591">
      <w:pPr>
        <w:spacing w:before="0" w:line="276" w:lineRule="auto"/>
        <w:ind w:firstLine="562"/>
        <w:rPr>
          <w:rFonts w:eastAsia="GHEA Grapalat" w:cs="GHEA Grapalat"/>
          <w:b w:val="0"/>
          <w:bCs/>
          <w:lang w:val="hy-AM"/>
        </w:rPr>
      </w:pPr>
      <w:r w:rsidRPr="00A83C94">
        <w:rPr>
          <w:rFonts w:eastAsia="GHEA Grapalat" w:cs="GHEA Grapalat"/>
          <w:b w:val="0"/>
          <w:bCs/>
          <w:lang w:val="hy-AM"/>
        </w:rPr>
        <w:t xml:space="preserve">Ոլորտային քաղաքականության թիրախների (վերջնական արդյունքների) ապահովման նպատակով ՀՀ </w:t>
      </w:r>
      <w:r w:rsidRPr="00A83C94">
        <w:rPr>
          <w:rFonts w:eastAsia="GHEA Grapalat" w:cs="GHEA Grapalat"/>
          <w:b w:val="0"/>
          <w:bCs/>
        </w:rPr>
        <w:t>ազգային</w:t>
      </w:r>
      <w:r w:rsidRPr="00A83C94">
        <w:rPr>
          <w:rFonts w:eastAsia="GHEA Grapalat" w:cs="GHEA Grapalat"/>
          <w:b w:val="0"/>
          <w:bCs/>
          <w:lang w:val="it-IT"/>
        </w:rPr>
        <w:t xml:space="preserve"> </w:t>
      </w:r>
      <w:r w:rsidRPr="00A83C94">
        <w:rPr>
          <w:rFonts w:eastAsia="GHEA Grapalat" w:cs="GHEA Grapalat"/>
          <w:b w:val="0"/>
          <w:bCs/>
        </w:rPr>
        <w:t>անվտանգության</w:t>
      </w:r>
      <w:r w:rsidRPr="00A83C94">
        <w:rPr>
          <w:rFonts w:eastAsia="GHEA Grapalat" w:cs="GHEA Grapalat"/>
          <w:b w:val="0"/>
          <w:bCs/>
          <w:lang w:val="it-IT"/>
        </w:rPr>
        <w:t xml:space="preserve"> </w:t>
      </w:r>
      <w:r w:rsidRPr="00A83C94">
        <w:rPr>
          <w:rFonts w:eastAsia="GHEA Grapalat" w:cs="GHEA Grapalat"/>
          <w:b w:val="0"/>
          <w:bCs/>
        </w:rPr>
        <w:t>ծառայության</w:t>
      </w:r>
      <w:r w:rsidRPr="00A83C94">
        <w:rPr>
          <w:rFonts w:eastAsia="GHEA Grapalat" w:cs="GHEA Grapalat"/>
          <w:b w:val="0"/>
          <w:bCs/>
          <w:lang w:val="hy-AM"/>
        </w:rPr>
        <w:t xml:space="preserve"> կողմից իրականցվում են հետևյալ ծրագրերը.</w:t>
      </w:r>
    </w:p>
    <w:p w14:paraId="2CC40DFE" w14:textId="00A2C53D" w:rsidR="007D1591" w:rsidRPr="00A83C94" w:rsidRDefault="007D1591" w:rsidP="007D1591">
      <w:pPr>
        <w:spacing w:before="0" w:line="276" w:lineRule="auto"/>
        <w:ind w:firstLine="562"/>
        <w:rPr>
          <w:rFonts w:cs="Times LatArm"/>
          <w:b w:val="0"/>
          <w:lang w:val="it-IT"/>
        </w:rPr>
      </w:pPr>
      <w:r w:rsidRPr="00A83C94">
        <w:rPr>
          <w:rFonts w:cs="Times LatArm"/>
          <w:lang w:val="hy-AM"/>
        </w:rPr>
        <w:t>Ազգային</w:t>
      </w:r>
      <w:r w:rsidRPr="00A83C94">
        <w:rPr>
          <w:rFonts w:cs="Times LatArm"/>
          <w:lang w:val="it-IT"/>
        </w:rPr>
        <w:t xml:space="preserve"> </w:t>
      </w:r>
      <w:r w:rsidRPr="00A83C94">
        <w:rPr>
          <w:rFonts w:cs="Times LatArm"/>
          <w:lang w:val="hy-AM"/>
        </w:rPr>
        <w:t>անվտանգություն</w:t>
      </w:r>
      <w:r w:rsidRPr="00A83C94">
        <w:rPr>
          <w:rFonts w:cs="Times LatArm"/>
          <w:b w:val="0"/>
          <w:lang w:val="it-IT"/>
        </w:rPr>
        <w:t xml:space="preserve"> </w:t>
      </w:r>
      <w:r w:rsidRPr="00A83C94">
        <w:rPr>
          <w:rFonts w:cs="Times LatArm"/>
          <w:b w:val="0"/>
          <w:lang w:val="hy-AM"/>
        </w:rPr>
        <w:t>ծրագիր</w:t>
      </w:r>
      <w:r w:rsidRPr="00A83C94">
        <w:rPr>
          <w:rFonts w:cs="Times LatArm"/>
          <w:b w:val="0"/>
          <w:lang w:val="it-IT"/>
        </w:rPr>
        <w:t>, որի</w:t>
      </w:r>
      <w:r w:rsidRPr="00A83C94">
        <w:rPr>
          <w:rFonts w:eastAsia="Calibri" w:cs="Sylfaen"/>
          <w:b w:val="0"/>
          <w:szCs w:val="20"/>
          <w:lang w:val="af-ZA"/>
        </w:rPr>
        <w:t xml:space="preserve"> շրջանակներում նախատեսվում է</w:t>
      </w:r>
      <w:r w:rsidRPr="00A83C94">
        <w:rPr>
          <w:rFonts w:eastAsia="Calibri" w:cs="Sylfaen"/>
          <w:b w:val="0"/>
          <w:szCs w:val="20"/>
          <w:lang w:val="hy-AM"/>
        </w:rPr>
        <w:t xml:space="preserve"> </w:t>
      </w:r>
      <w:r w:rsidRPr="00A83C94">
        <w:rPr>
          <w:b w:val="0"/>
          <w:szCs w:val="20"/>
          <w:lang w:val="hy-AM"/>
        </w:rPr>
        <w:t>ՀՀ</w:t>
      </w:r>
      <w:r w:rsidRPr="00A83C94">
        <w:rPr>
          <w:b w:val="0"/>
          <w:szCs w:val="20"/>
          <w:lang w:val="it-IT"/>
        </w:rPr>
        <w:t xml:space="preserve"> 2022 </w:t>
      </w:r>
      <w:r w:rsidRPr="00A83C94">
        <w:rPr>
          <w:b w:val="0"/>
          <w:szCs w:val="20"/>
          <w:lang w:val="hy-AM"/>
        </w:rPr>
        <w:t>թվականի</w:t>
      </w:r>
      <w:r w:rsidRPr="00A83C94">
        <w:rPr>
          <w:b w:val="0"/>
          <w:szCs w:val="20"/>
          <w:lang w:val="it-IT"/>
        </w:rPr>
        <w:t xml:space="preserve"> </w:t>
      </w:r>
      <w:r w:rsidRPr="00A83C94">
        <w:rPr>
          <w:b w:val="0"/>
          <w:szCs w:val="20"/>
          <w:lang w:val="hy-AM"/>
        </w:rPr>
        <w:t>պետական</w:t>
      </w:r>
      <w:r w:rsidRPr="00A83C94">
        <w:rPr>
          <w:b w:val="0"/>
          <w:szCs w:val="20"/>
          <w:lang w:val="it-IT"/>
        </w:rPr>
        <w:t xml:space="preserve"> </w:t>
      </w:r>
      <w:r w:rsidRPr="00A83C94">
        <w:rPr>
          <w:b w:val="0"/>
          <w:szCs w:val="20"/>
          <w:lang w:val="hy-AM"/>
        </w:rPr>
        <w:t>բյուջեի</w:t>
      </w:r>
      <w:r w:rsidRPr="00A83C94">
        <w:rPr>
          <w:b w:val="0"/>
          <w:szCs w:val="20"/>
          <w:lang w:val="it-IT"/>
        </w:rPr>
        <w:t xml:space="preserve"> </w:t>
      </w:r>
      <w:r w:rsidRPr="00A83C94">
        <w:rPr>
          <w:b w:val="0"/>
          <w:szCs w:val="20"/>
          <w:lang w:val="hy-AM"/>
        </w:rPr>
        <w:t>նախագծով</w:t>
      </w:r>
      <w:r w:rsidRPr="00A83C94">
        <w:rPr>
          <w:rFonts w:eastAsia="Calibri" w:cs="Sylfaen"/>
          <w:b w:val="0"/>
          <w:szCs w:val="20"/>
          <w:lang w:val="hy-AM"/>
        </w:rPr>
        <w:t xml:space="preserve"> հատկացնել 38,630.9 մլն դրամ կամ 7,604.9 մլն դրամով ավել ՀՀ 2021 թվականի պետական բյուջեի նկատմամբ՝</w:t>
      </w:r>
      <w:r w:rsidRPr="00A83C94">
        <w:rPr>
          <w:b w:val="0"/>
          <w:szCs w:val="20"/>
          <w:lang w:val="hy-AM"/>
        </w:rPr>
        <w:t xml:space="preserve"> պայմանավորված</w:t>
      </w:r>
      <w:r w:rsidRPr="00A83C94">
        <w:rPr>
          <w:b w:val="0"/>
          <w:szCs w:val="20"/>
          <w:lang w:val="it-IT"/>
        </w:rPr>
        <w:t xml:space="preserve"> </w:t>
      </w:r>
      <w:r w:rsidRPr="00A83C94">
        <w:rPr>
          <w:b w:val="0"/>
          <w:szCs w:val="20"/>
          <w:lang w:val="hy-AM"/>
        </w:rPr>
        <w:t>ծառայության</w:t>
      </w:r>
      <w:r w:rsidRPr="00A83C94">
        <w:rPr>
          <w:b w:val="0"/>
          <w:szCs w:val="20"/>
          <w:lang w:val="it-IT"/>
        </w:rPr>
        <w:t xml:space="preserve"> </w:t>
      </w:r>
      <w:r w:rsidRPr="00A83C94">
        <w:rPr>
          <w:b w:val="0"/>
          <w:szCs w:val="20"/>
          <w:lang w:val="hy-AM"/>
        </w:rPr>
        <w:t>բնականոն</w:t>
      </w:r>
      <w:r w:rsidRPr="00A83C94">
        <w:rPr>
          <w:b w:val="0"/>
          <w:szCs w:val="20"/>
          <w:lang w:val="it-IT"/>
        </w:rPr>
        <w:t xml:space="preserve"> </w:t>
      </w:r>
      <w:r w:rsidRPr="00A83C94">
        <w:rPr>
          <w:b w:val="0"/>
          <w:szCs w:val="20"/>
          <w:lang w:val="hy-AM"/>
        </w:rPr>
        <w:t>գործունեության</w:t>
      </w:r>
      <w:r w:rsidRPr="00A83C94">
        <w:rPr>
          <w:b w:val="0"/>
          <w:szCs w:val="20"/>
          <w:lang w:val="it-IT"/>
        </w:rPr>
        <w:t xml:space="preserve"> </w:t>
      </w:r>
      <w:r w:rsidRPr="00A83C94">
        <w:rPr>
          <w:b w:val="0"/>
          <w:szCs w:val="20"/>
          <w:lang w:val="hy-AM"/>
        </w:rPr>
        <w:t>ապահովման</w:t>
      </w:r>
      <w:r w:rsidRPr="00A83C94">
        <w:rPr>
          <w:b w:val="0"/>
          <w:szCs w:val="20"/>
          <w:lang w:val="it-IT"/>
        </w:rPr>
        <w:t xml:space="preserve"> </w:t>
      </w:r>
      <w:r w:rsidRPr="00A83C94">
        <w:rPr>
          <w:b w:val="0"/>
          <w:szCs w:val="20"/>
          <w:lang w:val="hy-AM"/>
        </w:rPr>
        <w:t>անհրաժեշտությամբ</w:t>
      </w:r>
      <w:r w:rsidRPr="00A83C94">
        <w:rPr>
          <w:b w:val="0"/>
          <w:szCs w:val="20"/>
          <w:lang w:val="it-IT"/>
        </w:rPr>
        <w:t>:</w:t>
      </w:r>
    </w:p>
    <w:p w14:paraId="78598F8E" w14:textId="488A0BE0" w:rsidR="007D1591" w:rsidRPr="00A83C94" w:rsidRDefault="007D1591" w:rsidP="007D1591">
      <w:pPr>
        <w:spacing w:before="0" w:line="276" w:lineRule="auto"/>
        <w:ind w:firstLine="562"/>
        <w:rPr>
          <w:b w:val="0"/>
          <w:szCs w:val="20"/>
          <w:lang w:val="hy-AM"/>
        </w:rPr>
      </w:pPr>
      <w:r w:rsidRPr="00A83C94">
        <w:rPr>
          <w:rFonts w:cs="Times LatArm"/>
        </w:rPr>
        <w:t>Պետական</w:t>
      </w:r>
      <w:r w:rsidRPr="00A83C94">
        <w:rPr>
          <w:rFonts w:cs="Times LatArm"/>
          <w:lang w:val="af-ZA"/>
        </w:rPr>
        <w:t xml:space="preserve"> </w:t>
      </w:r>
      <w:r w:rsidRPr="00A83C94">
        <w:rPr>
          <w:rFonts w:cs="Times LatArm"/>
        </w:rPr>
        <w:t>պահպ</w:t>
      </w:r>
      <w:r w:rsidRPr="00A83C94">
        <w:rPr>
          <w:rFonts w:cs="Times LatArm"/>
          <w:lang w:val="hy-AM"/>
        </w:rPr>
        <w:t>ա</w:t>
      </w:r>
      <w:r w:rsidRPr="00A83C94">
        <w:rPr>
          <w:rFonts w:cs="Times LatArm"/>
        </w:rPr>
        <w:t>նության</w:t>
      </w:r>
      <w:r w:rsidRPr="00A83C94">
        <w:rPr>
          <w:rFonts w:cs="Times LatArm"/>
          <w:lang w:val="af-ZA"/>
        </w:rPr>
        <w:t xml:space="preserve"> </w:t>
      </w:r>
      <w:r w:rsidRPr="00A83C94">
        <w:rPr>
          <w:rFonts w:cs="Times LatArm"/>
        </w:rPr>
        <w:t>ապահովում</w:t>
      </w:r>
      <w:r w:rsidRPr="00A83C94">
        <w:rPr>
          <w:rFonts w:cs="Times LatArm"/>
          <w:b w:val="0"/>
          <w:lang w:val="af-ZA"/>
        </w:rPr>
        <w:t xml:space="preserve"> </w:t>
      </w:r>
      <w:r w:rsidRPr="00A83C94">
        <w:rPr>
          <w:rFonts w:cs="Times LatArm"/>
          <w:b w:val="0"/>
          <w:lang w:val="hy-AM"/>
        </w:rPr>
        <w:t>ծրագիր</w:t>
      </w:r>
      <w:r w:rsidRPr="00A83C94">
        <w:rPr>
          <w:rFonts w:cs="Times LatArm"/>
          <w:b w:val="0"/>
          <w:lang w:val="af-ZA"/>
        </w:rPr>
        <w:t>,</w:t>
      </w:r>
      <w:r w:rsidRPr="00A83C94">
        <w:rPr>
          <w:rFonts w:cs="Times LatArm"/>
          <w:b w:val="0"/>
          <w:lang w:val="it-IT"/>
        </w:rPr>
        <w:t xml:space="preserve"> որի</w:t>
      </w:r>
      <w:r w:rsidRPr="00A83C94">
        <w:rPr>
          <w:rFonts w:eastAsia="Calibri" w:cs="Sylfaen"/>
          <w:b w:val="0"/>
          <w:szCs w:val="20"/>
          <w:lang w:val="af-ZA"/>
        </w:rPr>
        <w:t xml:space="preserve"> շրջանակներում նախատեսվում է</w:t>
      </w:r>
      <w:r w:rsidRPr="00A83C94">
        <w:rPr>
          <w:rFonts w:eastAsia="Calibri" w:cs="Sylfaen"/>
          <w:b w:val="0"/>
          <w:szCs w:val="20"/>
          <w:lang w:val="hy-AM"/>
        </w:rPr>
        <w:t xml:space="preserve"> </w:t>
      </w:r>
      <w:r w:rsidRPr="00A83C94">
        <w:rPr>
          <w:b w:val="0"/>
          <w:szCs w:val="20"/>
          <w:lang w:val="hy-AM"/>
        </w:rPr>
        <w:t>ՀՀ</w:t>
      </w:r>
      <w:r w:rsidRPr="00A83C94">
        <w:rPr>
          <w:b w:val="0"/>
          <w:szCs w:val="20"/>
          <w:lang w:val="it-IT"/>
        </w:rPr>
        <w:t xml:space="preserve"> 2022 </w:t>
      </w:r>
      <w:r w:rsidRPr="00A83C94">
        <w:rPr>
          <w:b w:val="0"/>
          <w:szCs w:val="20"/>
          <w:lang w:val="hy-AM"/>
        </w:rPr>
        <w:t>թվականի</w:t>
      </w:r>
      <w:r w:rsidRPr="00A83C94">
        <w:rPr>
          <w:b w:val="0"/>
          <w:szCs w:val="20"/>
          <w:lang w:val="it-IT"/>
        </w:rPr>
        <w:t xml:space="preserve"> </w:t>
      </w:r>
      <w:r w:rsidRPr="00A83C94">
        <w:rPr>
          <w:b w:val="0"/>
          <w:szCs w:val="20"/>
          <w:lang w:val="hy-AM"/>
        </w:rPr>
        <w:t>պետական</w:t>
      </w:r>
      <w:r w:rsidRPr="00A83C94">
        <w:rPr>
          <w:b w:val="0"/>
          <w:szCs w:val="20"/>
          <w:lang w:val="it-IT"/>
        </w:rPr>
        <w:t xml:space="preserve"> </w:t>
      </w:r>
      <w:r w:rsidRPr="00A83C94">
        <w:rPr>
          <w:b w:val="0"/>
          <w:szCs w:val="20"/>
          <w:lang w:val="hy-AM"/>
        </w:rPr>
        <w:t>բյուջեի</w:t>
      </w:r>
      <w:r w:rsidRPr="00A83C94">
        <w:rPr>
          <w:b w:val="0"/>
          <w:szCs w:val="20"/>
          <w:lang w:val="it-IT"/>
        </w:rPr>
        <w:t xml:space="preserve"> </w:t>
      </w:r>
      <w:r w:rsidRPr="00A83C94">
        <w:rPr>
          <w:b w:val="0"/>
          <w:szCs w:val="20"/>
          <w:lang w:val="hy-AM"/>
        </w:rPr>
        <w:t>նախագծով</w:t>
      </w:r>
      <w:r w:rsidRPr="00A83C94">
        <w:rPr>
          <w:rFonts w:eastAsia="Calibri" w:cs="Sylfaen"/>
          <w:b w:val="0"/>
          <w:szCs w:val="20"/>
          <w:lang w:val="hy-AM"/>
        </w:rPr>
        <w:t xml:space="preserve"> հատկացնել 4,038.1 մլն դրամ կամ 331.2 մլն դրամով ավել ՀՀ 2021 թվականի պետական բյուջեի նկատմամբ՝</w:t>
      </w:r>
      <w:r w:rsidRPr="00A83C94">
        <w:rPr>
          <w:b w:val="0"/>
          <w:szCs w:val="20"/>
          <w:lang w:val="hy-AM"/>
        </w:rPr>
        <w:t xml:space="preserve"> պայմանավորված</w:t>
      </w:r>
      <w:r w:rsidRPr="00A83C94">
        <w:rPr>
          <w:b w:val="0"/>
          <w:szCs w:val="20"/>
          <w:lang w:val="it-IT"/>
        </w:rPr>
        <w:t xml:space="preserve"> </w:t>
      </w:r>
      <w:r w:rsidRPr="00A83C94">
        <w:rPr>
          <w:b w:val="0"/>
          <w:szCs w:val="20"/>
          <w:lang w:val="hy-AM"/>
        </w:rPr>
        <w:t>թափուր</w:t>
      </w:r>
      <w:r w:rsidRPr="00A83C94">
        <w:rPr>
          <w:b w:val="0"/>
          <w:szCs w:val="20"/>
          <w:lang w:val="af-ZA"/>
        </w:rPr>
        <w:t xml:space="preserve"> </w:t>
      </w:r>
      <w:r w:rsidRPr="00A83C94">
        <w:rPr>
          <w:b w:val="0"/>
          <w:szCs w:val="20"/>
          <w:lang w:val="hy-AM"/>
        </w:rPr>
        <w:t>հաստիքների</w:t>
      </w:r>
      <w:r w:rsidRPr="00A83C94">
        <w:rPr>
          <w:b w:val="0"/>
          <w:szCs w:val="20"/>
          <w:lang w:val="af-ZA"/>
        </w:rPr>
        <w:t xml:space="preserve"> </w:t>
      </w:r>
      <w:r w:rsidRPr="00A83C94">
        <w:rPr>
          <w:b w:val="0"/>
          <w:szCs w:val="20"/>
          <w:lang w:val="hy-AM"/>
        </w:rPr>
        <w:t>համալրմամբ և կապիտալ ծախսերի ավելացմամբ</w:t>
      </w:r>
      <w:r w:rsidRPr="00A83C94">
        <w:rPr>
          <w:b w:val="0"/>
          <w:szCs w:val="20"/>
          <w:lang w:val="it-IT"/>
        </w:rPr>
        <w:t>:</w:t>
      </w:r>
    </w:p>
    <w:p w14:paraId="1EE522F7" w14:textId="77777777" w:rsidR="007D1591" w:rsidRPr="00A83C94" w:rsidRDefault="007D1591" w:rsidP="007D1591">
      <w:pPr>
        <w:spacing w:line="276" w:lineRule="auto"/>
        <w:ind w:firstLine="562"/>
        <w:rPr>
          <w:rFonts w:cs="Times LatArm"/>
          <w:b w:val="0"/>
          <w:sz w:val="24"/>
          <w:lang w:val="hy-AM"/>
        </w:rPr>
      </w:pPr>
    </w:p>
    <w:p w14:paraId="24478803" w14:textId="77777777" w:rsidR="00FC7885" w:rsidRPr="00A83C94" w:rsidRDefault="00FC7885" w:rsidP="00427D1F">
      <w:pPr>
        <w:keepNext/>
        <w:spacing w:before="0" w:line="276" w:lineRule="auto"/>
        <w:ind w:firstLine="0"/>
        <w:contextualSpacing w:val="0"/>
        <w:jc w:val="center"/>
        <w:outlineLvl w:val="2"/>
        <w:rPr>
          <w:rFonts w:cs="Arial"/>
          <w:sz w:val="24"/>
          <w:lang w:val="hy-AM" w:eastAsia="en-US"/>
        </w:rPr>
      </w:pPr>
      <w:bookmarkStart w:id="322" w:name="_Toc89428327"/>
      <w:r w:rsidRPr="00A83C94">
        <w:rPr>
          <w:rFonts w:cs="Arial"/>
          <w:sz w:val="24"/>
          <w:lang w:val="hy-AM" w:eastAsia="en-US"/>
        </w:rPr>
        <w:t>ՀՀ վարչապետի աշխատակազմ</w:t>
      </w:r>
      <w:bookmarkEnd w:id="322"/>
    </w:p>
    <w:p w14:paraId="050C6278" w14:textId="072944FF" w:rsidR="00836619" w:rsidRPr="0089541F" w:rsidRDefault="00836619" w:rsidP="00836619">
      <w:pPr>
        <w:numPr>
          <w:ilvl w:val="12"/>
          <w:numId w:val="0"/>
        </w:numPr>
        <w:tabs>
          <w:tab w:val="left" w:pos="851"/>
          <w:tab w:val="left" w:pos="9214"/>
        </w:tabs>
        <w:spacing w:before="0" w:line="276" w:lineRule="auto"/>
        <w:ind w:firstLine="720"/>
        <w:contextualSpacing w:val="0"/>
        <w:rPr>
          <w:b w:val="0"/>
          <w:color w:val="000000"/>
          <w:szCs w:val="22"/>
          <w:lang w:val="hy-AM" w:eastAsia="en-US"/>
        </w:rPr>
      </w:pPr>
      <w:r w:rsidRPr="0089541F">
        <w:rPr>
          <w:rFonts w:cs="Sylfaen"/>
          <w:b w:val="0"/>
          <w:color w:val="000000"/>
          <w:szCs w:val="22"/>
          <w:lang w:val="fr-FR"/>
        </w:rPr>
        <w:t xml:space="preserve">ՀՀ վարչապետի աշխատակազմի գծով </w:t>
      </w:r>
      <w:r w:rsidRPr="0089541F">
        <w:rPr>
          <w:b w:val="0"/>
          <w:color w:val="000000"/>
          <w:szCs w:val="22"/>
          <w:lang w:val="hy-AM" w:eastAsia="en-US"/>
        </w:rPr>
        <w:t xml:space="preserve">ՀՀ 2022 թվականի պետական բյուջեի նախագծով նախատեսվում է </w:t>
      </w:r>
      <w:r w:rsidR="0050059A" w:rsidRPr="0089541F">
        <w:rPr>
          <w:b w:val="0"/>
          <w:color w:val="000000"/>
          <w:szCs w:val="22"/>
          <w:lang w:val="hy-AM" w:eastAsia="en-US"/>
        </w:rPr>
        <w:t>19</w:t>
      </w:r>
      <w:r w:rsidRPr="0089541F">
        <w:rPr>
          <w:b w:val="0"/>
          <w:color w:val="000000"/>
          <w:szCs w:val="22"/>
          <w:lang w:val="hy-AM" w:eastAsia="en-US"/>
        </w:rPr>
        <w:t>,</w:t>
      </w:r>
      <w:r w:rsidR="008152DD" w:rsidRPr="00B3076E">
        <w:rPr>
          <w:b w:val="0"/>
          <w:color w:val="000000"/>
          <w:szCs w:val="22"/>
          <w:lang w:val="hy-AM" w:eastAsia="en-US"/>
        </w:rPr>
        <w:t>539.6</w:t>
      </w:r>
      <w:r w:rsidRPr="0089541F">
        <w:rPr>
          <w:b w:val="0"/>
          <w:color w:val="000000"/>
          <w:szCs w:val="22"/>
          <w:lang w:val="hy-AM" w:eastAsia="en-US"/>
        </w:rPr>
        <w:t xml:space="preserve"> մլն դրամի ծախսեր </w:t>
      </w:r>
      <w:r w:rsidR="00427D1F" w:rsidRPr="0089541F">
        <w:rPr>
          <w:b w:val="0"/>
          <w:color w:val="000000"/>
          <w:szCs w:val="22"/>
          <w:lang w:val="hy-AM" w:eastAsia="en-US"/>
        </w:rPr>
        <w:t>(ներառյալ կառավարման ապարատի պահպանման ծախսերը)</w:t>
      </w:r>
      <w:r w:rsidRPr="0089541F">
        <w:rPr>
          <w:b w:val="0"/>
          <w:color w:val="000000"/>
          <w:szCs w:val="22"/>
          <w:lang w:val="hy-AM" w:eastAsia="en-US"/>
        </w:rPr>
        <w:t>:</w:t>
      </w:r>
      <w:r w:rsidRPr="0089541F">
        <w:rPr>
          <w:rFonts w:cs="Sylfaen"/>
          <w:b w:val="0"/>
          <w:szCs w:val="22"/>
          <w:lang w:val="hy-AM"/>
        </w:rPr>
        <w:t xml:space="preserve"> Հ</w:t>
      </w:r>
      <w:r w:rsidRPr="0089541F">
        <w:rPr>
          <w:rFonts w:cs="Sylfaen"/>
          <w:b w:val="0"/>
          <w:szCs w:val="22"/>
          <w:lang w:val="af-ZA"/>
        </w:rPr>
        <w:t>ատկացվելիք միջոցներն ուղղվելու են հետևյալ ծրագրերի իրականացմանը.</w:t>
      </w:r>
    </w:p>
    <w:p w14:paraId="02D97A30" w14:textId="3B87A516" w:rsidR="00FC690A" w:rsidRPr="0089541F" w:rsidRDefault="00FC7885" w:rsidP="00FC690A">
      <w:pPr>
        <w:pStyle w:val="ListParagraph"/>
        <w:spacing w:before="0" w:line="276" w:lineRule="auto"/>
        <w:ind w:left="0"/>
        <w:rPr>
          <w:b w:val="0"/>
          <w:lang w:val="hy-AM"/>
        </w:rPr>
      </w:pPr>
      <w:r w:rsidRPr="0089541F">
        <w:rPr>
          <w:rFonts w:cs="Sylfaen"/>
          <w:bCs/>
          <w:szCs w:val="22"/>
          <w:lang w:val="af-ZA"/>
        </w:rPr>
        <w:t>ՀՀ Վարչապետի լիազորությունների իրականացման ապահովում</w:t>
      </w:r>
      <w:r w:rsidRPr="0089541F">
        <w:rPr>
          <w:rFonts w:cs="Sylfaen"/>
          <w:b w:val="0"/>
          <w:bCs/>
          <w:szCs w:val="22"/>
          <w:lang w:val="af-ZA"/>
        </w:rPr>
        <w:t xml:space="preserve"> </w:t>
      </w:r>
      <w:r w:rsidR="00FC690A" w:rsidRPr="0089541F">
        <w:rPr>
          <w:b w:val="0"/>
          <w:lang w:val="hy-AM"/>
        </w:rPr>
        <w:t>ծրագրի գծով 2022 թվականին նախատեսվել է հատկացնել 1,</w:t>
      </w:r>
      <w:r w:rsidR="00832A79" w:rsidRPr="0089541F">
        <w:rPr>
          <w:b w:val="0"/>
          <w:lang w:val="hy-AM"/>
        </w:rPr>
        <w:t>915</w:t>
      </w:r>
      <w:r w:rsidR="00FC690A" w:rsidRPr="0089541F">
        <w:rPr>
          <w:b w:val="0"/>
          <w:lang w:val="hy-AM"/>
        </w:rPr>
        <w:t>.</w:t>
      </w:r>
      <w:r w:rsidR="00832A79" w:rsidRPr="0089541F">
        <w:rPr>
          <w:b w:val="0"/>
          <w:lang w:val="hy-AM"/>
        </w:rPr>
        <w:t>7</w:t>
      </w:r>
      <w:r w:rsidR="00FC690A" w:rsidRPr="0089541F">
        <w:rPr>
          <w:b w:val="0"/>
          <w:lang w:val="hy-AM"/>
        </w:rPr>
        <w:t xml:space="preserve"> մլն դրամ (առանց </w:t>
      </w:r>
      <w:r w:rsidR="00FC690A" w:rsidRPr="0089541F">
        <w:rPr>
          <w:b w:val="0"/>
          <w:color w:val="000000"/>
          <w:szCs w:val="22"/>
          <w:lang w:val="hy-AM" w:eastAsia="en-US"/>
        </w:rPr>
        <w:t>կառավարման ապարատի պահպանման ծախսերի</w:t>
      </w:r>
      <w:r w:rsidR="00FC690A" w:rsidRPr="0089541F">
        <w:rPr>
          <w:b w:val="0"/>
          <w:lang w:val="hy-AM"/>
        </w:rPr>
        <w:t>):</w:t>
      </w:r>
    </w:p>
    <w:p w14:paraId="3DB2AA3D" w14:textId="7282112A" w:rsidR="000B4927" w:rsidRPr="0089541F" w:rsidRDefault="000B4927" w:rsidP="00FC690A">
      <w:pPr>
        <w:tabs>
          <w:tab w:val="left" w:pos="851"/>
        </w:tabs>
        <w:spacing w:before="0" w:line="276" w:lineRule="auto"/>
        <w:ind w:firstLine="720"/>
        <w:rPr>
          <w:rFonts w:cs="Sylfaen"/>
          <w:b w:val="0"/>
          <w:bCs/>
          <w:szCs w:val="22"/>
          <w:lang w:val="fr-FR"/>
        </w:rPr>
      </w:pPr>
      <w:r w:rsidRPr="0089541F">
        <w:rPr>
          <w:rFonts w:cs="Sylfaen"/>
          <w:b w:val="0"/>
          <w:bCs/>
          <w:szCs w:val="22"/>
          <w:lang w:val="fr-FR"/>
        </w:rPr>
        <w:t>Ծրագրի նպատակն</w:t>
      </w:r>
      <w:r w:rsidR="00EE7134" w:rsidRPr="0089541F">
        <w:rPr>
          <w:rFonts w:cs="Sylfaen"/>
          <w:b w:val="0"/>
          <w:bCs/>
          <w:szCs w:val="22"/>
          <w:lang w:val="fr-FR"/>
        </w:rPr>
        <w:t>երից</w:t>
      </w:r>
      <w:r w:rsidRPr="0089541F">
        <w:rPr>
          <w:rFonts w:cs="Sylfaen"/>
          <w:b w:val="0"/>
          <w:bCs/>
          <w:szCs w:val="22"/>
          <w:lang w:val="fr-FR"/>
        </w:rPr>
        <w:t xml:space="preserve"> է աջակցել օտարերկրյա ուղղակի ներդրումների ներգրավման</w:t>
      </w:r>
      <w:r w:rsidR="00EE7134" w:rsidRPr="0089541F">
        <w:rPr>
          <w:rFonts w:cs="Sylfaen"/>
          <w:b w:val="0"/>
          <w:bCs/>
          <w:szCs w:val="22"/>
          <w:lang w:val="fr-FR"/>
        </w:rPr>
        <w:t>ը</w:t>
      </w:r>
      <w:r w:rsidRPr="0089541F">
        <w:rPr>
          <w:rFonts w:cs="Sylfaen"/>
          <w:b w:val="0"/>
          <w:bCs/>
          <w:szCs w:val="22"/>
          <w:lang w:val="fr-FR"/>
        </w:rPr>
        <w:t>, ներդրողներին խորհրդատվության և աջակցության տրամադրման</w:t>
      </w:r>
      <w:r w:rsidR="00EE7134" w:rsidRPr="0089541F">
        <w:rPr>
          <w:rFonts w:cs="Sylfaen"/>
          <w:b w:val="0"/>
          <w:bCs/>
          <w:szCs w:val="22"/>
          <w:lang w:val="fr-FR"/>
        </w:rPr>
        <w:t>ը</w:t>
      </w:r>
      <w:r w:rsidRPr="0089541F">
        <w:rPr>
          <w:rFonts w:cs="Sylfaen"/>
          <w:b w:val="0"/>
          <w:bCs/>
          <w:szCs w:val="22"/>
          <w:lang w:val="fr-FR"/>
        </w:rPr>
        <w:t>, օտարերկրյա ներդրումային ծրագրերին բաժնեմասնակցության</w:t>
      </w:r>
      <w:r w:rsidR="00EE7134" w:rsidRPr="0089541F">
        <w:rPr>
          <w:rFonts w:cs="Sylfaen"/>
          <w:b w:val="0"/>
          <w:bCs/>
          <w:szCs w:val="22"/>
          <w:lang w:val="fr-FR"/>
        </w:rPr>
        <w:t>ը</w:t>
      </w:r>
      <w:r w:rsidRPr="0089541F">
        <w:rPr>
          <w:rFonts w:cs="Sylfaen"/>
          <w:b w:val="0"/>
          <w:bCs/>
          <w:szCs w:val="22"/>
          <w:lang w:val="fr-FR"/>
        </w:rPr>
        <w:t>, ՊՄԳ ոլորտի զարգացման խթանման</w:t>
      </w:r>
      <w:r w:rsidR="00EE7134" w:rsidRPr="0089541F">
        <w:rPr>
          <w:rFonts w:cs="Sylfaen"/>
          <w:b w:val="0"/>
          <w:bCs/>
          <w:szCs w:val="22"/>
          <w:lang w:val="fr-FR"/>
        </w:rPr>
        <w:t>ը</w:t>
      </w:r>
      <w:r w:rsidRPr="0089541F">
        <w:rPr>
          <w:rFonts w:cs="Sylfaen"/>
          <w:b w:val="0"/>
          <w:bCs/>
          <w:szCs w:val="22"/>
          <w:lang w:val="fr-FR"/>
        </w:rPr>
        <w:t>, ՊՄԳ ծրագրերի զարգացման աջակցության</w:t>
      </w:r>
      <w:r w:rsidR="00EE7134" w:rsidRPr="0089541F">
        <w:rPr>
          <w:rFonts w:cs="Sylfaen"/>
          <w:b w:val="0"/>
          <w:bCs/>
          <w:szCs w:val="22"/>
          <w:lang w:val="fr-FR"/>
        </w:rPr>
        <w:t>ը</w:t>
      </w:r>
      <w:r w:rsidRPr="0089541F">
        <w:rPr>
          <w:rFonts w:cs="Sylfaen"/>
          <w:b w:val="0"/>
          <w:bCs/>
          <w:szCs w:val="22"/>
          <w:lang w:val="fr-FR"/>
        </w:rPr>
        <w:t>:</w:t>
      </w:r>
    </w:p>
    <w:p w14:paraId="1CBBEAE2" w14:textId="497B9F27" w:rsidR="00FC690A" w:rsidRPr="0089541F" w:rsidRDefault="00FC7885" w:rsidP="00FC690A">
      <w:pPr>
        <w:pStyle w:val="ListParagraph"/>
        <w:spacing w:before="0" w:line="276" w:lineRule="auto"/>
        <w:ind w:left="0"/>
        <w:rPr>
          <w:b w:val="0"/>
          <w:lang w:val="hy-AM"/>
        </w:rPr>
      </w:pPr>
      <w:r w:rsidRPr="0089541F">
        <w:rPr>
          <w:rFonts w:cs="Times Armenian"/>
          <w:szCs w:val="22"/>
          <w:lang w:val="af-ZA"/>
        </w:rPr>
        <w:t xml:space="preserve">Տեսչական վերահսկողության </w:t>
      </w:r>
      <w:r w:rsidR="00FC690A" w:rsidRPr="0089541F">
        <w:rPr>
          <w:b w:val="0"/>
          <w:lang w:val="hy-AM"/>
        </w:rPr>
        <w:t>ծրագրի գծով 2022 թվականին նախատեսվել է հատկացնել 46.0 մլն դրամ</w:t>
      </w:r>
      <w:r w:rsidR="00FC690A" w:rsidRPr="0089541F">
        <w:rPr>
          <w:b w:val="0"/>
          <w:lang w:val="fr-FR"/>
        </w:rPr>
        <w:t xml:space="preserve"> </w:t>
      </w:r>
      <w:r w:rsidR="00FC690A" w:rsidRPr="0089541F">
        <w:rPr>
          <w:b w:val="0"/>
          <w:lang w:val="hy-AM"/>
        </w:rPr>
        <w:t xml:space="preserve">(առանց </w:t>
      </w:r>
      <w:r w:rsidR="00FC690A" w:rsidRPr="0089541F">
        <w:rPr>
          <w:b w:val="0"/>
          <w:color w:val="000000"/>
          <w:szCs w:val="22"/>
          <w:lang w:val="hy-AM" w:eastAsia="en-US"/>
        </w:rPr>
        <w:t>կառավարման ապարատի պահպանման ծախսերի</w:t>
      </w:r>
      <w:r w:rsidR="00FC690A" w:rsidRPr="0089541F">
        <w:rPr>
          <w:b w:val="0"/>
          <w:lang w:val="hy-AM"/>
        </w:rPr>
        <w:t>):</w:t>
      </w:r>
    </w:p>
    <w:p w14:paraId="45CAAECF" w14:textId="19611123" w:rsidR="00FC7885" w:rsidRPr="0089541F" w:rsidRDefault="00FC7885" w:rsidP="00FC690A">
      <w:pPr>
        <w:spacing w:before="0" w:line="276" w:lineRule="auto"/>
        <w:ind w:firstLine="720"/>
        <w:rPr>
          <w:b w:val="0"/>
          <w:szCs w:val="22"/>
          <w:lang w:val="af-ZA"/>
        </w:rPr>
      </w:pPr>
      <w:r w:rsidRPr="0089541F">
        <w:rPr>
          <w:rFonts w:cs="Sylfaen"/>
          <w:b w:val="0"/>
          <w:szCs w:val="22"/>
          <w:lang w:val="af-ZA"/>
        </w:rPr>
        <w:t>Ծրագրի շրջանակներում</w:t>
      </w:r>
      <w:r w:rsidRPr="0089541F">
        <w:rPr>
          <w:rFonts w:cs="Times Armenian"/>
          <w:b w:val="0"/>
          <w:szCs w:val="22"/>
          <w:lang w:val="af-ZA"/>
        </w:rPr>
        <w:t xml:space="preserve"> </w:t>
      </w:r>
      <w:r w:rsidRPr="0089541F">
        <w:rPr>
          <w:rFonts w:cs="Sylfaen"/>
          <w:b w:val="0"/>
          <w:szCs w:val="22"/>
          <w:lang w:val="af-ZA"/>
        </w:rPr>
        <w:t>նախատեսվում</w:t>
      </w:r>
      <w:r w:rsidRPr="0089541F">
        <w:rPr>
          <w:rFonts w:cs="Times Armenian"/>
          <w:b w:val="0"/>
          <w:szCs w:val="22"/>
          <w:lang w:val="af-ZA"/>
        </w:rPr>
        <w:t xml:space="preserve"> </w:t>
      </w:r>
      <w:r w:rsidRPr="0089541F">
        <w:rPr>
          <w:rFonts w:cs="Sylfaen"/>
          <w:b w:val="0"/>
          <w:szCs w:val="22"/>
          <w:lang w:val="af-ZA"/>
        </w:rPr>
        <w:t>է</w:t>
      </w:r>
      <w:r w:rsidRPr="0089541F">
        <w:rPr>
          <w:rFonts w:cs="Times Armenian"/>
          <w:b w:val="0"/>
          <w:szCs w:val="22"/>
          <w:lang w:val="af-ZA"/>
        </w:rPr>
        <w:t xml:space="preserve"> </w:t>
      </w:r>
      <w:r w:rsidRPr="0089541F">
        <w:rPr>
          <w:rFonts w:cs="Sylfaen"/>
          <w:b w:val="0"/>
          <w:szCs w:val="22"/>
          <w:lang w:val="af-ZA"/>
        </w:rPr>
        <w:t>իրականացնել</w:t>
      </w:r>
      <w:r w:rsidRPr="0089541F">
        <w:rPr>
          <w:rFonts w:cs="Times Armenian"/>
          <w:b w:val="0"/>
          <w:szCs w:val="22"/>
          <w:lang w:val="af-ZA"/>
        </w:rPr>
        <w:t xml:space="preserve"> </w:t>
      </w:r>
      <w:r w:rsidRPr="0089541F">
        <w:rPr>
          <w:rFonts w:cs="Sylfaen"/>
          <w:b w:val="0"/>
          <w:szCs w:val="22"/>
          <w:lang w:val="af-ZA"/>
        </w:rPr>
        <w:t>հետևյալ միջոցառումները.</w:t>
      </w:r>
    </w:p>
    <w:p w14:paraId="0BA11052" w14:textId="20E9077F" w:rsidR="00FC7885" w:rsidRPr="0089541F" w:rsidRDefault="00E307A1" w:rsidP="00FC7885">
      <w:pPr>
        <w:spacing w:line="276" w:lineRule="auto"/>
        <w:ind w:firstLine="720"/>
        <w:rPr>
          <w:rFonts w:cs="Sylfaen"/>
          <w:b w:val="0"/>
          <w:bCs/>
          <w:szCs w:val="22"/>
          <w:lang w:val="fr-FR"/>
        </w:rPr>
      </w:pPr>
      <w:r>
        <w:rPr>
          <w:rFonts w:cs="Sylfaen"/>
          <w:b w:val="0"/>
          <w:bCs/>
          <w:szCs w:val="22"/>
          <w:lang w:val="fr-FR"/>
        </w:rPr>
        <w:t>- փ</w:t>
      </w:r>
      <w:r w:rsidR="00FC7885" w:rsidRPr="0089541F">
        <w:rPr>
          <w:rFonts w:cs="Sylfaen"/>
          <w:b w:val="0"/>
          <w:bCs/>
          <w:szCs w:val="22"/>
          <w:lang w:val="fr-FR"/>
        </w:rPr>
        <w:t>որձանմուշների ձեռքբերման</w:t>
      </w:r>
      <w:r>
        <w:rPr>
          <w:rFonts w:cs="Sylfaen"/>
          <w:b w:val="0"/>
          <w:bCs/>
          <w:szCs w:val="22"/>
          <w:lang w:val="hy-AM"/>
        </w:rPr>
        <w:t xml:space="preserve"> և</w:t>
      </w:r>
      <w:r w:rsidR="00FC7885" w:rsidRPr="0089541F">
        <w:rPr>
          <w:rFonts w:cs="Sylfaen"/>
          <w:b w:val="0"/>
          <w:bCs/>
          <w:szCs w:val="22"/>
          <w:lang w:val="fr-FR"/>
        </w:rPr>
        <w:t xml:space="preserve"> </w:t>
      </w:r>
      <w:r w:rsidRPr="0089541F">
        <w:rPr>
          <w:rFonts w:cs="Sylfaen"/>
          <w:b w:val="0"/>
          <w:bCs/>
          <w:szCs w:val="22"/>
          <w:lang w:val="fr-FR"/>
        </w:rPr>
        <w:t xml:space="preserve">փորձարկման </w:t>
      </w:r>
      <w:r w:rsidR="00FC7885" w:rsidRPr="0089541F">
        <w:rPr>
          <w:rFonts w:cs="Sylfaen"/>
          <w:b w:val="0"/>
          <w:bCs/>
          <w:szCs w:val="22"/>
          <w:lang w:val="fr-FR"/>
        </w:rPr>
        <w:t>ծախսեր,</w:t>
      </w:r>
    </w:p>
    <w:p w14:paraId="24F8649E" w14:textId="1D4350E9" w:rsidR="00FC7885" w:rsidRPr="0089541F" w:rsidRDefault="00FC7885" w:rsidP="00FC7885">
      <w:pPr>
        <w:spacing w:line="276" w:lineRule="auto"/>
        <w:ind w:firstLine="720"/>
        <w:rPr>
          <w:rFonts w:cs="Sylfaen"/>
          <w:b w:val="0"/>
          <w:bCs/>
          <w:szCs w:val="22"/>
          <w:lang w:val="fr-FR"/>
        </w:rPr>
      </w:pPr>
      <w:r w:rsidRPr="0089541F">
        <w:rPr>
          <w:rFonts w:cs="Sylfaen"/>
          <w:b w:val="0"/>
          <w:bCs/>
          <w:szCs w:val="22"/>
          <w:lang w:val="fr-FR"/>
        </w:rPr>
        <w:t xml:space="preserve">- </w:t>
      </w:r>
      <w:r w:rsidR="00E307A1">
        <w:rPr>
          <w:rFonts w:cs="Times Armenian"/>
          <w:b w:val="0"/>
          <w:szCs w:val="22"/>
          <w:lang w:val="af-ZA"/>
        </w:rPr>
        <w:t>շ</w:t>
      </w:r>
      <w:r w:rsidRPr="0089541F">
        <w:rPr>
          <w:rFonts w:cs="Times Armenian"/>
          <w:b w:val="0"/>
          <w:szCs w:val="22"/>
          <w:lang w:val="af-ZA"/>
        </w:rPr>
        <w:t>արժական լաբորատորիայի համար անհրաժեշտ ծախսեր</w:t>
      </w:r>
      <w:r w:rsidR="00E307A1">
        <w:rPr>
          <w:rFonts w:cs="Sylfaen"/>
          <w:b w:val="0"/>
          <w:bCs/>
          <w:szCs w:val="22"/>
          <w:lang w:val="fr-FR"/>
        </w:rPr>
        <w:t>,</w:t>
      </w:r>
    </w:p>
    <w:p w14:paraId="72915027" w14:textId="14EA4F1C" w:rsidR="00FC7885" w:rsidRPr="0089541F" w:rsidRDefault="00FC7885" w:rsidP="00FC690A">
      <w:pPr>
        <w:spacing w:line="276" w:lineRule="auto"/>
        <w:ind w:firstLine="720"/>
        <w:rPr>
          <w:rFonts w:cs="Sylfaen"/>
          <w:b w:val="0"/>
          <w:bCs/>
          <w:szCs w:val="22"/>
          <w:lang w:val="hy-AM"/>
        </w:rPr>
      </w:pPr>
      <w:r w:rsidRPr="0089541F">
        <w:rPr>
          <w:rFonts w:cs="Sylfaen"/>
          <w:b w:val="0"/>
          <w:bCs/>
          <w:szCs w:val="22"/>
          <w:lang w:val="fr-FR"/>
        </w:rPr>
        <w:t xml:space="preserve">- արտադրական կանեփի նկատմամբ վերահսկողության իրականացման ժամանակ փորձարկումների կատարում: </w:t>
      </w:r>
      <w:r w:rsidRPr="0089541F">
        <w:rPr>
          <w:rFonts w:cs="Sylfaen"/>
          <w:b w:val="0"/>
          <w:bCs/>
          <w:szCs w:val="22"/>
        </w:rPr>
        <w:t>Ծրագրի</w:t>
      </w:r>
      <w:r w:rsidRPr="0089541F">
        <w:rPr>
          <w:rFonts w:cs="Sylfaen"/>
          <w:b w:val="0"/>
          <w:bCs/>
          <w:szCs w:val="22"/>
          <w:lang w:val="fr-FR"/>
        </w:rPr>
        <w:t xml:space="preserve"> </w:t>
      </w:r>
      <w:r w:rsidRPr="0089541F">
        <w:rPr>
          <w:rFonts w:cs="Sylfaen"/>
          <w:b w:val="0"/>
          <w:bCs/>
          <w:szCs w:val="22"/>
        </w:rPr>
        <w:t>նպատակն</w:t>
      </w:r>
      <w:r w:rsidRPr="0089541F">
        <w:rPr>
          <w:rFonts w:cs="Sylfaen"/>
          <w:b w:val="0"/>
          <w:bCs/>
          <w:szCs w:val="22"/>
          <w:lang w:val="fr-FR"/>
        </w:rPr>
        <w:t xml:space="preserve"> </w:t>
      </w:r>
      <w:r w:rsidRPr="0089541F">
        <w:rPr>
          <w:rFonts w:cs="Sylfaen"/>
          <w:b w:val="0"/>
          <w:bCs/>
          <w:szCs w:val="22"/>
        </w:rPr>
        <w:t>է</w:t>
      </w:r>
      <w:r w:rsidRPr="0089541F">
        <w:rPr>
          <w:rFonts w:cs="Sylfaen"/>
          <w:b w:val="0"/>
          <w:bCs/>
          <w:szCs w:val="22"/>
          <w:lang w:val="fr-FR"/>
        </w:rPr>
        <w:t xml:space="preserve"> </w:t>
      </w:r>
      <w:r w:rsidRPr="0089541F">
        <w:rPr>
          <w:rFonts w:cs="Sylfaen"/>
          <w:b w:val="0"/>
          <w:bCs/>
          <w:szCs w:val="22"/>
        </w:rPr>
        <w:t>Հայաստանի</w:t>
      </w:r>
      <w:r w:rsidRPr="0089541F">
        <w:rPr>
          <w:rFonts w:cs="Sylfaen"/>
          <w:b w:val="0"/>
          <w:bCs/>
          <w:szCs w:val="22"/>
          <w:lang w:val="fr-FR"/>
        </w:rPr>
        <w:t xml:space="preserve"> </w:t>
      </w:r>
      <w:r w:rsidRPr="0089541F">
        <w:rPr>
          <w:rFonts w:cs="Sylfaen"/>
          <w:b w:val="0"/>
          <w:bCs/>
          <w:szCs w:val="22"/>
        </w:rPr>
        <w:t>Հանրապետությունում</w:t>
      </w:r>
      <w:r w:rsidRPr="0089541F">
        <w:rPr>
          <w:rFonts w:cs="Sylfaen"/>
          <w:b w:val="0"/>
          <w:bCs/>
          <w:szCs w:val="22"/>
          <w:lang w:val="fr-FR"/>
        </w:rPr>
        <w:t xml:space="preserve"> </w:t>
      </w:r>
      <w:r w:rsidRPr="0089541F">
        <w:rPr>
          <w:rFonts w:cs="Sylfaen"/>
          <w:b w:val="0"/>
          <w:bCs/>
          <w:szCs w:val="22"/>
        </w:rPr>
        <w:t>ապրանք</w:t>
      </w:r>
      <w:r w:rsidRPr="0089541F">
        <w:rPr>
          <w:rFonts w:cs="Sylfaen"/>
          <w:b w:val="0"/>
          <w:bCs/>
          <w:szCs w:val="22"/>
          <w:lang w:val="fr-FR"/>
        </w:rPr>
        <w:t xml:space="preserve"> </w:t>
      </w:r>
      <w:r w:rsidRPr="0089541F">
        <w:rPr>
          <w:rFonts w:cs="Sylfaen"/>
          <w:b w:val="0"/>
          <w:bCs/>
          <w:szCs w:val="22"/>
        </w:rPr>
        <w:t>արտադրողների</w:t>
      </w:r>
      <w:r w:rsidRPr="0089541F">
        <w:rPr>
          <w:rFonts w:cs="Sylfaen"/>
          <w:b w:val="0"/>
          <w:bCs/>
          <w:szCs w:val="22"/>
          <w:lang w:val="fr-FR"/>
        </w:rPr>
        <w:t xml:space="preserve"> </w:t>
      </w:r>
      <w:r w:rsidRPr="0089541F">
        <w:rPr>
          <w:rFonts w:cs="Sylfaen"/>
          <w:b w:val="0"/>
          <w:bCs/>
          <w:szCs w:val="22"/>
        </w:rPr>
        <w:t>և</w:t>
      </w:r>
      <w:r w:rsidRPr="0089541F">
        <w:rPr>
          <w:rFonts w:cs="Sylfaen"/>
          <w:b w:val="0"/>
          <w:bCs/>
          <w:szCs w:val="22"/>
          <w:lang w:val="fr-FR"/>
        </w:rPr>
        <w:t xml:space="preserve"> </w:t>
      </w:r>
      <w:r w:rsidRPr="0089541F">
        <w:rPr>
          <w:rFonts w:cs="Sylfaen"/>
          <w:b w:val="0"/>
          <w:bCs/>
          <w:szCs w:val="22"/>
        </w:rPr>
        <w:t>ծառայություն</w:t>
      </w:r>
      <w:r w:rsidRPr="0089541F">
        <w:rPr>
          <w:rFonts w:cs="Sylfaen"/>
          <w:b w:val="0"/>
          <w:bCs/>
          <w:szCs w:val="22"/>
          <w:lang w:val="fr-FR"/>
        </w:rPr>
        <w:t xml:space="preserve"> </w:t>
      </w:r>
      <w:r w:rsidRPr="0089541F">
        <w:rPr>
          <w:rFonts w:cs="Sylfaen"/>
          <w:b w:val="0"/>
          <w:bCs/>
          <w:szCs w:val="22"/>
        </w:rPr>
        <w:t>մատուցող</w:t>
      </w:r>
      <w:r w:rsidRPr="0089541F">
        <w:rPr>
          <w:rFonts w:cs="Sylfaen"/>
          <w:b w:val="0"/>
          <w:bCs/>
          <w:szCs w:val="22"/>
          <w:lang w:val="fr-FR"/>
        </w:rPr>
        <w:softHyphen/>
      </w:r>
      <w:r w:rsidRPr="0089541F">
        <w:rPr>
          <w:rFonts w:cs="Sylfaen"/>
          <w:b w:val="0"/>
          <w:bCs/>
          <w:szCs w:val="22"/>
        </w:rPr>
        <w:t>ների</w:t>
      </w:r>
      <w:r w:rsidRPr="0089541F">
        <w:rPr>
          <w:rFonts w:cs="Sylfaen"/>
          <w:b w:val="0"/>
          <w:bCs/>
          <w:szCs w:val="22"/>
          <w:lang w:val="fr-FR"/>
        </w:rPr>
        <w:t xml:space="preserve"> </w:t>
      </w:r>
      <w:r w:rsidRPr="0089541F">
        <w:rPr>
          <w:rFonts w:cs="Sylfaen"/>
          <w:b w:val="0"/>
          <w:bCs/>
          <w:szCs w:val="22"/>
        </w:rPr>
        <w:t>կողմից</w:t>
      </w:r>
      <w:r w:rsidRPr="0089541F">
        <w:rPr>
          <w:rFonts w:cs="Sylfaen"/>
          <w:b w:val="0"/>
          <w:bCs/>
          <w:szCs w:val="22"/>
          <w:lang w:val="fr-FR"/>
        </w:rPr>
        <w:t xml:space="preserve"> </w:t>
      </w:r>
      <w:r w:rsidRPr="0089541F">
        <w:rPr>
          <w:rFonts w:cs="Sylfaen"/>
          <w:b w:val="0"/>
          <w:bCs/>
          <w:szCs w:val="22"/>
        </w:rPr>
        <w:t>սպառողներին</w:t>
      </w:r>
      <w:r w:rsidRPr="0089541F">
        <w:rPr>
          <w:rFonts w:cs="Sylfaen"/>
          <w:b w:val="0"/>
          <w:bCs/>
          <w:szCs w:val="22"/>
          <w:lang w:val="fr-FR"/>
        </w:rPr>
        <w:t xml:space="preserve"> </w:t>
      </w:r>
      <w:r w:rsidRPr="0089541F">
        <w:rPr>
          <w:rFonts w:cs="Sylfaen"/>
          <w:b w:val="0"/>
          <w:bCs/>
          <w:szCs w:val="22"/>
        </w:rPr>
        <w:t>իրացվող</w:t>
      </w:r>
      <w:r w:rsidRPr="0089541F">
        <w:rPr>
          <w:rFonts w:cs="Sylfaen"/>
          <w:b w:val="0"/>
          <w:bCs/>
          <w:szCs w:val="22"/>
          <w:lang w:val="fr-FR"/>
        </w:rPr>
        <w:t xml:space="preserve"> </w:t>
      </w:r>
      <w:r w:rsidRPr="0089541F">
        <w:rPr>
          <w:rFonts w:cs="Sylfaen"/>
          <w:b w:val="0"/>
          <w:bCs/>
          <w:szCs w:val="22"/>
        </w:rPr>
        <w:t>արտադրանքի</w:t>
      </w:r>
      <w:r w:rsidRPr="0089541F">
        <w:rPr>
          <w:rFonts w:cs="Sylfaen"/>
          <w:b w:val="0"/>
          <w:bCs/>
          <w:szCs w:val="22"/>
          <w:lang w:val="fr-FR"/>
        </w:rPr>
        <w:t xml:space="preserve"> </w:t>
      </w:r>
      <w:r w:rsidRPr="0089541F">
        <w:rPr>
          <w:rFonts w:cs="Sylfaen"/>
          <w:b w:val="0"/>
          <w:bCs/>
          <w:szCs w:val="22"/>
        </w:rPr>
        <w:t>նկատմամբ</w:t>
      </w:r>
      <w:r w:rsidRPr="0089541F">
        <w:rPr>
          <w:rFonts w:cs="Sylfaen"/>
          <w:b w:val="0"/>
          <w:bCs/>
          <w:szCs w:val="22"/>
          <w:lang w:val="fr-FR"/>
        </w:rPr>
        <w:t xml:space="preserve"> </w:t>
      </w:r>
      <w:r w:rsidRPr="0089541F">
        <w:rPr>
          <w:rFonts w:cs="Sylfaen"/>
          <w:b w:val="0"/>
          <w:bCs/>
          <w:szCs w:val="22"/>
        </w:rPr>
        <w:t>պետական</w:t>
      </w:r>
      <w:r w:rsidRPr="0089541F">
        <w:rPr>
          <w:rFonts w:cs="Sylfaen"/>
          <w:b w:val="0"/>
          <w:bCs/>
          <w:szCs w:val="22"/>
          <w:lang w:val="fr-FR"/>
        </w:rPr>
        <w:t xml:space="preserve"> </w:t>
      </w:r>
      <w:r w:rsidRPr="0089541F">
        <w:rPr>
          <w:rFonts w:cs="Sylfaen"/>
          <w:b w:val="0"/>
          <w:bCs/>
          <w:szCs w:val="22"/>
        </w:rPr>
        <w:t>վերահսկողության</w:t>
      </w:r>
      <w:r w:rsidRPr="0089541F">
        <w:rPr>
          <w:rFonts w:cs="Sylfaen"/>
          <w:b w:val="0"/>
          <w:bCs/>
          <w:szCs w:val="22"/>
          <w:lang w:val="fr-FR"/>
        </w:rPr>
        <w:t xml:space="preserve"> </w:t>
      </w:r>
      <w:r w:rsidRPr="0089541F">
        <w:rPr>
          <w:rFonts w:cs="Sylfaen"/>
          <w:b w:val="0"/>
          <w:bCs/>
          <w:szCs w:val="22"/>
        </w:rPr>
        <w:t>իրականացումը</w:t>
      </w:r>
      <w:r w:rsidRPr="0089541F">
        <w:rPr>
          <w:rFonts w:cs="Sylfaen"/>
          <w:b w:val="0"/>
          <w:bCs/>
          <w:szCs w:val="22"/>
          <w:lang w:val="fr-FR"/>
        </w:rPr>
        <w:t xml:space="preserve">` </w:t>
      </w:r>
      <w:r w:rsidRPr="0089541F">
        <w:rPr>
          <w:rFonts w:cs="Sylfaen"/>
          <w:b w:val="0"/>
          <w:bCs/>
          <w:szCs w:val="22"/>
        </w:rPr>
        <w:t>ստանդարտացման</w:t>
      </w:r>
      <w:r w:rsidRPr="0089541F">
        <w:rPr>
          <w:rFonts w:cs="Sylfaen"/>
          <w:b w:val="0"/>
          <w:bCs/>
          <w:szCs w:val="22"/>
          <w:lang w:val="fr-FR"/>
        </w:rPr>
        <w:t xml:space="preserve"> </w:t>
      </w:r>
      <w:r w:rsidRPr="0089541F">
        <w:rPr>
          <w:rFonts w:cs="Sylfaen"/>
          <w:b w:val="0"/>
          <w:bCs/>
          <w:szCs w:val="22"/>
        </w:rPr>
        <w:t>և</w:t>
      </w:r>
      <w:r w:rsidRPr="0089541F">
        <w:rPr>
          <w:rFonts w:cs="Sylfaen"/>
          <w:b w:val="0"/>
          <w:bCs/>
          <w:szCs w:val="22"/>
          <w:lang w:val="fr-FR"/>
        </w:rPr>
        <w:t xml:space="preserve"> </w:t>
      </w:r>
      <w:r w:rsidRPr="0089541F">
        <w:rPr>
          <w:rFonts w:cs="Sylfaen"/>
          <w:b w:val="0"/>
          <w:bCs/>
          <w:szCs w:val="22"/>
        </w:rPr>
        <w:t>չափագիտական</w:t>
      </w:r>
      <w:r w:rsidRPr="0089541F">
        <w:rPr>
          <w:rFonts w:cs="Sylfaen"/>
          <w:b w:val="0"/>
          <w:bCs/>
          <w:szCs w:val="22"/>
          <w:lang w:val="fr-FR"/>
        </w:rPr>
        <w:t xml:space="preserve"> </w:t>
      </w:r>
      <w:r w:rsidRPr="0089541F">
        <w:rPr>
          <w:rFonts w:cs="Sylfaen"/>
          <w:b w:val="0"/>
          <w:bCs/>
          <w:szCs w:val="22"/>
        </w:rPr>
        <w:t>նորմերի</w:t>
      </w:r>
      <w:r w:rsidRPr="0089541F">
        <w:rPr>
          <w:rFonts w:cs="Sylfaen"/>
          <w:b w:val="0"/>
          <w:bCs/>
          <w:szCs w:val="22"/>
          <w:lang w:val="fr-FR"/>
        </w:rPr>
        <w:t xml:space="preserve"> </w:t>
      </w:r>
      <w:r w:rsidRPr="0089541F">
        <w:rPr>
          <w:rFonts w:cs="Sylfaen"/>
          <w:b w:val="0"/>
          <w:bCs/>
          <w:szCs w:val="22"/>
        </w:rPr>
        <w:t>ապահովման</w:t>
      </w:r>
      <w:r w:rsidRPr="0089541F">
        <w:rPr>
          <w:rFonts w:cs="Sylfaen"/>
          <w:b w:val="0"/>
          <w:bCs/>
          <w:szCs w:val="22"/>
          <w:lang w:val="fr-FR"/>
        </w:rPr>
        <w:t xml:space="preserve"> </w:t>
      </w:r>
      <w:r w:rsidRPr="0089541F">
        <w:rPr>
          <w:rFonts w:cs="Sylfaen"/>
          <w:b w:val="0"/>
          <w:bCs/>
          <w:szCs w:val="22"/>
        </w:rPr>
        <w:t>միջոցով</w:t>
      </w:r>
      <w:r w:rsidR="00FC690A" w:rsidRPr="0089541F">
        <w:rPr>
          <w:rFonts w:cs="Sylfaen"/>
          <w:b w:val="0"/>
          <w:bCs/>
          <w:szCs w:val="22"/>
          <w:lang w:val="hy-AM"/>
        </w:rPr>
        <w:t xml:space="preserve">, ինչպես նաև </w:t>
      </w:r>
      <w:r w:rsidRPr="0089541F">
        <w:rPr>
          <w:rFonts w:cs="Sylfaen"/>
          <w:b w:val="0"/>
          <w:bCs/>
          <w:szCs w:val="22"/>
          <w:lang w:val="fr-FR"/>
        </w:rPr>
        <w:t xml:space="preserve">սննդամթերքի անվտանգության և որակի ապահովման  բնագավառներում միջազգային չափորոշիչների պահանջներին համապատասխան իրականացնել լաբորատոր փորձաքննություններ:                                                                                                                                                                    </w:t>
      </w:r>
    </w:p>
    <w:p w14:paraId="7AE014C8" w14:textId="01C412EE" w:rsidR="00D647CE" w:rsidRPr="0089541F" w:rsidRDefault="00D647CE" w:rsidP="00832A79">
      <w:pPr>
        <w:pStyle w:val="ListParagraph"/>
        <w:spacing w:before="0" w:line="276" w:lineRule="auto"/>
        <w:ind w:left="0"/>
        <w:rPr>
          <w:b w:val="0"/>
          <w:noProof/>
          <w:szCs w:val="22"/>
          <w:lang w:val="hy-AM"/>
        </w:rPr>
      </w:pPr>
      <w:r w:rsidRPr="0089541F">
        <w:rPr>
          <w:noProof/>
          <w:szCs w:val="22"/>
          <w:lang w:val="hy-AM"/>
        </w:rPr>
        <w:t xml:space="preserve">Աջակցություն քաղաքական կուսակցություններին, հասարակական կազմակերպություններին և արհմիություններին </w:t>
      </w:r>
      <w:r w:rsidRPr="0089541F">
        <w:rPr>
          <w:b w:val="0"/>
          <w:noProof/>
          <w:szCs w:val="22"/>
          <w:lang w:val="hy-AM"/>
        </w:rPr>
        <w:t>ծրագրի նպատակն է</w:t>
      </w:r>
      <w:r w:rsidRPr="0089541F">
        <w:rPr>
          <w:b w:val="0"/>
          <w:noProof/>
          <w:szCs w:val="22"/>
          <w:lang w:val="af-ZA"/>
        </w:rPr>
        <w:t xml:space="preserve"> </w:t>
      </w:r>
      <w:r w:rsidRPr="0089541F">
        <w:rPr>
          <w:b w:val="0"/>
          <w:noProof/>
          <w:szCs w:val="22"/>
          <w:lang w:val="hy-AM"/>
        </w:rPr>
        <w:t>նպաստել քաղաքացիական հասարակության զարգացմանը</w:t>
      </w:r>
      <w:r w:rsidRPr="0089541F">
        <w:rPr>
          <w:b w:val="0"/>
          <w:noProof/>
          <w:szCs w:val="22"/>
          <w:lang w:val="af-ZA"/>
        </w:rPr>
        <w:t>:</w:t>
      </w:r>
      <w:r w:rsidRPr="0089541F">
        <w:rPr>
          <w:b w:val="0"/>
          <w:noProof/>
          <w:szCs w:val="22"/>
          <w:lang w:val="hy-AM"/>
        </w:rPr>
        <w:t xml:space="preserve"> Ծրագրի</w:t>
      </w:r>
      <w:r w:rsidRPr="0089541F">
        <w:rPr>
          <w:b w:val="0"/>
          <w:noProof/>
          <w:szCs w:val="22"/>
          <w:lang w:val="af-ZA"/>
        </w:rPr>
        <w:t xml:space="preserve"> </w:t>
      </w:r>
      <w:r w:rsidRPr="0089541F">
        <w:rPr>
          <w:b w:val="0"/>
          <w:noProof/>
          <w:szCs w:val="22"/>
          <w:lang w:val="hy-AM"/>
        </w:rPr>
        <w:t>շրջանակներում</w:t>
      </w:r>
      <w:r w:rsidRPr="0089541F">
        <w:rPr>
          <w:b w:val="0"/>
          <w:noProof/>
          <w:szCs w:val="22"/>
          <w:lang w:val="af-ZA"/>
        </w:rPr>
        <w:t xml:space="preserve"> </w:t>
      </w:r>
      <w:r w:rsidRPr="0089541F">
        <w:rPr>
          <w:b w:val="0"/>
          <w:noProof/>
          <w:szCs w:val="22"/>
          <w:lang w:val="hy-AM"/>
        </w:rPr>
        <w:t>հատկացումներն</w:t>
      </w:r>
      <w:r w:rsidRPr="0089541F">
        <w:rPr>
          <w:b w:val="0"/>
          <w:noProof/>
          <w:szCs w:val="22"/>
          <w:lang w:val="af-ZA"/>
        </w:rPr>
        <w:t xml:space="preserve"> </w:t>
      </w:r>
      <w:r w:rsidRPr="0089541F">
        <w:rPr>
          <w:b w:val="0"/>
          <w:noProof/>
          <w:szCs w:val="22"/>
          <w:lang w:val="hy-AM"/>
        </w:rPr>
        <w:t>ուղղվելու</w:t>
      </w:r>
      <w:r w:rsidRPr="0089541F">
        <w:rPr>
          <w:b w:val="0"/>
          <w:noProof/>
          <w:szCs w:val="22"/>
          <w:lang w:val="af-ZA"/>
        </w:rPr>
        <w:t xml:space="preserve"> </w:t>
      </w:r>
      <w:r w:rsidRPr="0089541F">
        <w:rPr>
          <w:b w:val="0"/>
          <w:noProof/>
          <w:szCs w:val="22"/>
          <w:lang w:val="hy-AM"/>
        </w:rPr>
        <w:t>են</w:t>
      </w:r>
      <w:r w:rsidRPr="0089541F">
        <w:rPr>
          <w:b w:val="0"/>
          <w:noProof/>
          <w:szCs w:val="22"/>
          <w:lang w:val="af-ZA"/>
        </w:rPr>
        <w:t xml:space="preserve"> </w:t>
      </w:r>
      <w:r w:rsidRPr="0089541F">
        <w:rPr>
          <w:b w:val="0"/>
          <w:noProof/>
          <w:szCs w:val="22"/>
          <w:lang w:val="hy-AM"/>
        </w:rPr>
        <w:t>պ</w:t>
      </w:r>
      <w:r w:rsidRPr="0089541F">
        <w:rPr>
          <w:b w:val="0"/>
          <w:noProof/>
          <w:szCs w:val="22"/>
          <w:lang w:val="af-ZA"/>
        </w:rPr>
        <w:t>ետական կառավարման գործընթացներին քաղաքացիական հասարակության մասնակցության ապահով</w:t>
      </w:r>
      <w:r w:rsidRPr="0089541F">
        <w:rPr>
          <w:b w:val="0"/>
          <w:noProof/>
          <w:szCs w:val="22"/>
          <w:lang w:val="hy-AM"/>
        </w:rPr>
        <w:t>մանը, հասարակական կազմակերպություններին աջակցմանը</w:t>
      </w:r>
      <w:r w:rsidRPr="0089541F">
        <w:rPr>
          <w:b w:val="0"/>
          <w:noProof/>
          <w:szCs w:val="22"/>
          <w:lang w:val="af-ZA"/>
        </w:rPr>
        <w:t>:</w:t>
      </w:r>
      <w:r w:rsidRPr="0089541F">
        <w:rPr>
          <w:b w:val="0"/>
          <w:noProof/>
          <w:szCs w:val="22"/>
          <w:lang w:val="hy-AM"/>
        </w:rPr>
        <w:t xml:space="preserve"> </w:t>
      </w:r>
      <w:r w:rsidRPr="0089541F">
        <w:rPr>
          <w:b w:val="0"/>
          <w:noProof/>
          <w:szCs w:val="22"/>
          <w:lang w:val="af-ZA"/>
        </w:rPr>
        <w:t></w:t>
      </w:r>
      <w:r w:rsidRPr="0089541F">
        <w:rPr>
          <w:b w:val="0"/>
          <w:noProof/>
          <w:szCs w:val="22"/>
          <w:lang w:val="hy-AM"/>
        </w:rPr>
        <w:t>Աջակցություն</w:t>
      </w:r>
      <w:r w:rsidRPr="0089541F">
        <w:rPr>
          <w:b w:val="0"/>
          <w:noProof/>
          <w:szCs w:val="22"/>
          <w:lang w:val="af-ZA"/>
        </w:rPr>
        <w:t xml:space="preserve"> </w:t>
      </w:r>
      <w:r w:rsidRPr="0089541F">
        <w:rPr>
          <w:b w:val="0"/>
          <w:noProof/>
          <w:szCs w:val="22"/>
          <w:lang w:val="hy-AM"/>
        </w:rPr>
        <w:t>քաղաքական</w:t>
      </w:r>
      <w:r w:rsidRPr="0089541F">
        <w:rPr>
          <w:b w:val="0"/>
          <w:noProof/>
          <w:szCs w:val="22"/>
          <w:lang w:val="af-ZA"/>
        </w:rPr>
        <w:t xml:space="preserve"> </w:t>
      </w:r>
      <w:r w:rsidRPr="0089541F">
        <w:rPr>
          <w:b w:val="0"/>
          <w:noProof/>
          <w:szCs w:val="22"/>
          <w:lang w:val="hy-AM"/>
        </w:rPr>
        <w:t>կուսակցություններին</w:t>
      </w:r>
      <w:r w:rsidRPr="0089541F">
        <w:rPr>
          <w:b w:val="0"/>
          <w:noProof/>
          <w:szCs w:val="22"/>
          <w:lang w:val="af-ZA"/>
        </w:rPr>
        <w:t xml:space="preserve">, </w:t>
      </w:r>
      <w:r w:rsidRPr="0089541F">
        <w:rPr>
          <w:b w:val="0"/>
          <w:noProof/>
          <w:szCs w:val="22"/>
          <w:lang w:val="hy-AM"/>
        </w:rPr>
        <w:t>հասարակական</w:t>
      </w:r>
      <w:r w:rsidRPr="0089541F">
        <w:rPr>
          <w:b w:val="0"/>
          <w:noProof/>
          <w:szCs w:val="22"/>
          <w:lang w:val="af-ZA"/>
        </w:rPr>
        <w:t xml:space="preserve"> </w:t>
      </w:r>
      <w:r w:rsidRPr="0089541F">
        <w:rPr>
          <w:b w:val="0"/>
          <w:noProof/>
          <w:szCs w:val="22"/>
          <w:lang w:val="hy-AM"/>
        </w:rPr>
        <w:t>կազմակերպություններին</w:t>
      </w:r>
      <w:r w:rsidRPr="0089541F">
        <w:rPr>
          <w:b w:val="0"/>
          <w:noProof/>
          <w:szCs w:val="22"/>
          <w:lang w:val="af-ZA"/>
        </w:rPr>
        <w:t xml:space="preserve"> </w:t>
      </w:r>
      <w:r w:rsidRPr="0089541F">
        <w:rPr>
          <w:b w:val="0"/>
          <w:noProof/>
          <w:szCs w:val="22"/>
          <w:lang w:val="hy-AM"/>
        </w:rPr>
        <w:t>և</w:t>
      </w:r>
      <w:r w:rsidRPr="0089541F">
        <w:rPr>
          <w:b w:val="0"/>
          <w:noProof/>
          <w:szCs w:val="22"/>
          <w:lang w:val="af-ZA"/>
        </w:rPr>
        <w:t xml:space="preserve"> </w:t>
      </w:r>
      <w:r w:rsidRPr="0089541F">
        <w:rPr>
          <w:b w:val="0"/>
          <w:noProof/>
          <w:szCs w:val="22"/>
          <w:lang w:val="hy-AM"/>
        </w:rPr>
        <w:t>արհմիություններին</w:t>
      </w:r>
      <w:r w:rsidRPr="0089541F">
        <w:rPr>
          <w:b w:val="0"/>
          <w:noProof/>
          <w:szCs w:val="22"/>
          <w:lang w:val="af-ZA"/>
        </w:rPr>
        <w:t xml:space="preserve">» </w:t>
      </w:r>
      <w:r w:rsidRPr="0089541F">
        <w:rPr>
          <w:b w:val="0"/>
          <w:noProof/>
          <w:szCs w:val="22"/>
          <w:lang w:val="hy-AM"/>
        </w:rPr>
        <w:t>ծրագրի</w:t>
      </w:r>
      <w:r w:rsidRPr="0089541F">
        <w:rPr>
          <w:b w:val="0"/>
          <w:noProof/>
          <w:szCs w:val="22"/>
          <w:lang w:val="af-ZA"/>
        </w:rPr>
        <w:t xml:space="preserve"> </w:t>
      </w:r>
      <w:r w:rsidRPr="0089541F">
        <w:rPr>
          <w:b w:val="0"/>
          <w:noProof/>
          <w:szCs w:val="22"/>
          <w:lang w:val="hy-AM"/>
        </w:rPr>
        <w:t>համար</w:t>
      </w:r>
      <w:r w:rsidRPr="0089541F">
        <w:rPr>
          <w:b w:val="0"/>
          <w:noProof/>
          <w:szCs w:val="22"/>
          <w:lang w:val="af-ZA"/>
        </w:rPr>
        <w:t xml:space="preserve"> </w:t>
      </w:r>
      <w:r w:rsidRPr="0089541F">
        <w:rPr>
          <w:b w:val="0"/>
          <w:noProof/>
          <w:szCs w:val="22"/>
          <w:lang w:val="hy-AM"/>
        </w:rPr>
        <w:t>Նախագծով</w:t>
      </w:r>
      <w:r w:rsidRPr="0089541F">
        <w:rPr>
          <w:b w:val="0"/>
          <w:noProof/>
          <w:szCs w:val="22"/>
          <w:lang w:val="af-ZA"/>
        </w:rPr>
        <w:t xml:space="preserve"> </w:t>
      </w:r>
      <w:r w:rsidRPr="0089541F">
        <w:rPr>
          <w:b w:val="0"/>
          <w:noProof/>
          <w:szCs w:val="22"/>
          <w:lang w:val="hy-AM"/>
        </w:rPr>
        <w:t>նախատեսվում</w:t>
      </w:r>
      <w:r w:rsidRPr="0089541F">
        <w:rPr>
          <w:b w:val="0"/>
          <w:noProof/>
          <w:szCs w:val="22"/>
          <w:lang w:val="af-ZA"/>
        </w:rPr>
        <w:t xml:space="preserve"> </w:t>
      </w:r>
      <w:r w:rsidRPr="0089541F">
        <w:rPr>
          <w:b w:val="0"/>
          <w:noProof/>
          <w:szCs w:val="22"/>
          <w:lang w:val="hy-AM"/>
        </w:rPr>
        <w:t>է</w:t>
      </w:r>
      <w:r w:rsidRPr="0089541F">
        <w:rPr>
          <w:b w:val="0"/>
          <w:noProof/>
          <w:szCs w:val="22"/>
          <w:lang w:val="af-ZA"/>
        </w:rPr>
        <w:t xml:space="preserve"> </w:t>
      </w:r>
      <w:r w:rsidRPr="0089541F">
        <w:rPr>
          <w:b w:val="0"/>
          <w:noProof/>
          <w:szCs w:val="22"/>
          <w:lang w:val="hy-AM"/>
        </w:rPr>
        <w:t>հատկացնել</w:t>
      </w:r>
      <w:r w:rsidRPr="0089541F">
        <w:rPr>
          <w:b w:val="0"/>
          <w:noProof/>
          <w:szCs w:val="22"/>
          <w:lang w:val="af-ZA"/>
        </w:rPr>
        <w:t xml:space="preserve"> </w:t>
      </w:r>
      <w:r w:rsidR="00832A79" w:rsidRPr="0089541F">
        <w:rPr>
          <w:b w:val="0"/>
          <w:noProof/>
          <w:szCs w:val="22"/>
          <w:lang w:val="hy-AM"/>
        </w:rPr>
        <w:t>61</w:t>
      </w:r>
      <w:r w:rsidRPr="0089541F">
        <w:rPr>
          <w:b w:val="0"/>
          <w:noProof/>
          <w:szCs w:val="22"/>
          <w:lang w:val="af-ZA"/>
        </w:rPr>
        <w:t xml:space="preserve">.8 </w:t>
      </w:r>
      <w:r w:rsidRPr="0089541F">
        <w:rPr>
          <w:b w:val="0"/>
          <w:noProof/>
          <w:szCs w:val="22"/>
          <w:lang w:val="hy-AM"/>
        </w:rPr>
        <w:t>մլն</w:t>
      </w:r>
      <w:r w:rsidRPr="0089541F">
        <w:rPr>
          <w:b w:val="0"/>
          <w:noProof/>
          <w:szCs w:val="22"/>
          <w:lang w:val="af-ZA"/>
        </w:rPr>
        <w:t xml:space="preserve"> </w:t>
      </w:r>
      <w:r w:rsidRPr="0089541F">
        <w:rPr>
          <w:b w:val="0"/>
          <w:noProof/>
          <w:szCs w:val="22"/>
          <w:lang w:val="hy-AM"/>
        </w:rPr>
        <w:t>դրամ</w:t>
      </w:r>
      <w:r w:rsidR="00832A79" w:rsidRPr="0089541F">
        <w:rPr>
          <w:b w:val="0"/>
          <w:noProof/>
          <w:szCs w:val="22"/>
          <w:lang w:val="hy-AM"/>
        </w:rPr>
        <w:t xml:space="preserve"> </w:t>
      </w:r>
      <w:r w:rsidR="00832A79" w:rsidRPr="0089541F">
        <w:rPr>
          <w:b w:val="0"/>
          <w:lang w:val="hy-AM"/>
        </w:rPr>
        <w:t xml:space="preserve">առանց </w:t>
      </w:r>
      <w:r w:rsidR="00832A79" w:rsidRPr="0089541F">
        <w:rPr>
          <w:b w:val="0"/>
          <w:color w:val="000000"/>
          <w:szCs w:val="22"/>
          <w:lang w:val="hy-AM" w:eastAsia="en-US"/>
        </w:rPr>
        <w:t>կառավարման ապարատի պահպանման ծախսերի</w:t>
      </w:r>
      <w:r w:rsidR="00832A79" w:rsidRPr="0089541F">
        <w:rPr>
          <w:b w:val="0"/>
          <w:lang w:val="hy-AM"/>
        </w:rPr>
        <w:t>)</w:t>
      </w:r>
      <w:r w:rsidRPr="0089541F">
        <w:rPr>
          <w:b w:val="0"/>
          <w:noProof/>
          <w:szCs w:val="22"/>
          <w:lang w:val="hy-AM"/>
        </w:rPr>
        <w:t>՝</w:t>
      </w:r>
      <w:r w:rsidRPr="0089541F">
        <w:rPr>
          <w:b w:val="0"/>
          <w:noProof/>
          <w:szCs w:val="22"/>
          <w:lang w:val="af-ZA"/>
        </w:rPr>
        <w:t xml:space="preserve"> </w:t>
      </w:r>
      <w:r w:rsidRPr="0089541F">
        <w:rPr>
          <w:b w:val="0"/>
          <w:noProof/>
          <w:szCs w:val="22"/>
          <w:lang w:val="hy-AM"/>
        </w:rPr>
        <w:t>ՀՀ</w:t>
      </w:r>
      <w:r w:rsidRPr="0089541F">
        <w:rPr>
          <w:b w:val="0"/>
          <w:noProof/>
          <w:szCs w:val="22"/>
          <w:lang w:val="af-ZA"/>
        </w:rPr>
        <w:t xml:space="preserve"> 20</w:t>
      </w:r>
      <w:r w:rsidRPr="0089541F">
        <w:rPr>
          <w:b w:val="0"/>
          <w:noProof/>
          <w:szCs w:val="22"/>
          <w:lang w:val="hy-AM"/>
        </w:rPr>
        <w:t>2</w:t>
      </w:r>
      <w:r w:rsidRPr="0089541F">
        <w:rPr>
          <w:b w:val="0"/>
          <w:noProof/>
          <w:szCs w:val="22"/>
          <w:lang w:val="af-ZA"/>
        </w:rPr>
        <w:t xml:space="preserve">1 </w:t>
      </w:r>
      <w:r w:rsidRPr="0089541F">
        <w:rPr>
          <w:b w:val="0"/>
          <w:noProof/>
          <w:szCs w:val="22"/>
          <w:lang w:val="hy-AM"/>
        </w:rPr>
        <w:t>թվականի</w:t>
      </w:r>
      <w:r w:rsidRPr="0089541F">
        <w:rPr>
          <w:b w:val="0"/>
          <w:noProof/>
          <w:szCs w:val="22"/>
          <w:lang w:val="af-ZA"/>
        </w:rPr>
        <w:t xml:space="preserve"> </w:t>
      </w:r>
      <w:r w:rsidRPr="0089541F">
        <w:rPr>
          <w:b w:val="0"/>
          <w:noProof/>
          <w:szCs w:val="22"/>
          <w:lang w:val="hy-AM"/>
        </w:rPr>
        <w:t>պետական</w:t>
      </w:r>
      <w:r w:rsidRPr="0089541F">
        <w:rPr>
          <w:b w:val="0"/>
          <w:noProof/>
          <w:szCs w:val="22"/>
          <w:lang w:val="af-ZA"/>
        </w:rPr>
        <w:t xml:space="preserve"> </w:t>
      </w:r>
      <w:r w:rsidRPr="0089541F">
        <w:rPr>
          <w:b w:val="0"/>
          <w:noProof/>
          <w:szCs w:val="22"/>
          <w:lang w:val="hy-AM"/>
        </w:rPr>
        <w:t>բյուջեով</w:t>
      </w:r>
      <w:r w:rsidRPr="0089541F">
        <w:rPr>
          <w:b w:val="0"/>
          <w:noProof/>
          <w:szCs w:val="22"/>
          <w:lang w:val="af-ZA"/>
        </w:rPr>
        <w:t xml:space="preserve"> </w:t>
      </w:r>
      <w:r w:rsidRPr="0089541F">
        <w:rPr>
          <w:b w:val="0"/>
          <w:noProof/>
          <w:szCs w:val="22"/>
          <w:lang w:val="hy-AM"/>
        </w:rPr>
        <w:t>հաստատված</w:t>
      </w:r>
      <w:r w:rsidR="004C00D9" w:rsidRPr="0089541F">
        <w:rPr>
          <w:b w:val="0"/>
          <w:noProof/>
          <w:szCs w:val="22"/>
          <w:lang w:val="af-ZA"/>
        </w:rPr>
        <w:t xml:space="preserve"> 1</w:t>
      </w:r>
      <w:r w:rsidR="00832A79" w:rsidRPr="0089541F">
        <w:rPr>
          <w:b w:val="0"/>
          <w:noProof/>
          <w:szCs w:val="22"/>
          <w:lang w:val="hy-AM"/>
        </w:rPr>
        <w:t>62</w:t>
      </w:r>
      <w:r w:rsidRPr="0089541F">
        <w:rPr>
          <w:b w:val="0"/>
          <w:noProof/>
          <w:szCs w:val="22"/>
          <w:lang w:val="af-ZA"/>
        </w:rPr>
        <w:t>.</w:t>
      </w:r>
      <w:r w:rsidRPr="0089541F">
        <w:rPr>
          <w:b w:val="0"/>
          <w:noProof/>
          <w:szCs w:val="22"/>
          <w:lang w:val="hy-AM"/>
        </w:rPr>
        <w:t>7</w:t>
      </w:r>
      <w:r w:rsidRPr="0089541F">
        <w:rPr>
          <w:b w:val="0"/>
          <w:noProof/>
          <w:szCs w:val="22"/>
          <w:lang w:val="af-ZA"/>
        </w:rPr>
        <w:t xml:space="preserve"> </w:t>
      </w:r>
      <w:r w:rsidRPr="0089541F">
        <w:rPr>
          <w:b w:val="0"/>
          <w:noProof/>
          <w:szCs w:val="22"/>
          <w:lang w:val="hy-AM"/>
        </w:rPr>
        <w:t>մլն</w:t>
      </w:r>
      <w:r w:rsidRPr="0089541F">
        <w:rPr>
          <w:b w:val="0"/>
          <w:noProof/>
          <w:szCs w:val="22"/>
          <w:lang w:val="af-ZA"/>
        </w:rPr>
        <w:t xml:space="preserve"> </w:t>
      </w:r>
      <w:r w:rsidRPr="0089541F">
        <w:rPr>
          <w:b w:val="0"/>
          <w:noProof/>
          <w:szCs w:val="22"/>
          <w:lang w:val="hy-AM"/>
        </w:rPr>
        <w:t>դրամի</w:t>
      </w:r>
      <w:r w:rsidRPr="0089541F">
        <w:rPr>
          <w:b w:val="0"/>
          <w:noProof/>
          <w:szCs w:val="22"/>
          <w:lang w:val="af-ZA"/>
        </w:rPr>
        <w:t xml:space="preserve"> </w:t>
      </w:r>
      <w:r w:rsidRPr="0089541F">
        <w:rPr>
          <w:b w:val="0"/>
          <w:noProof/>
          <w:szCs w:val="22"/>
          <w:lang w:val="hy-AM"/>
        </w:rPr>
        <w:t>դիմաց</w:t>
      </w:r>
      <w:r w:rsidRPr="0089541F">
        <w:rPr>
          <w:b w:val="0"/>
          <w:noProof/>
          <w:szCs w:val="22"/>
          <w:lang w:val="af-ZA"/>
        </w:rPr>
        <w:t>:</w:t>
      </w:r>
      <w:r w:rsidRPr="0089541F">
        <w:rPr>
          <w:b w:val="0"/>
          <w:noProof/>
          <w:szCs w:val="22"/>
          <w:lang w:val="hy-AM"/>
        </w:rPr>
        <w:t xml:space="preserve"> Ծախսերը նվազել</w:t>
      </w:r>
      <w:r w:rsidRPr="0089541F">
        <w:rPr>
          <w:b w:val="0"/>
          <w:noProof/>
          <w:szCs w:val="22"/>
          <w:lang w:val="af-ZA"/>
        </w:rPr>
        <w:t xml:space="preserve"> </w:t>
      </w:r>
      <w:r w:rsidRPr="0089541F">
        <w:rPr>
          <w:b w:val="0"/>
          <w:noProof/>
          <w:szCs w:val="22"/>
          <w:lang w:val="hy-AM"/>
        </w:rPr>
        <w:t>են՝</w:t>
      </w:r>
      <w:r w:rsidRPr="0089541F">
        <w:rPr>
          <w:b w:val="0"/>
          <w:noProof/>
          <w:szCs w:val="22"/>
          <w:lang w:val="af-ZA"/>
        </w:rPr>
        <w:t xml:space="preserve"> 1</w:t>
      </w:r>
      <w:r w:rsidR="004C00D9" w:rsidRPr="0089541F">
        <w:rPr>
          <w:b w:val="0"/>
          <w:noProof/>
          <w:szCs w:val="22"/>
          <w:lang w:val="af-ZA"/>
        </w:rPr>
        <w:t>00</w:t>
      </w:r>
      <w:r w:rsidRPr="0089541F">
        <w:rPr>
          <w:b w:val="0"/>
          <w:noProof/>
          <w:szCs w:val="22"/>
          <w:lang w:val="af-ZA"/>
        </w:rPr>
        <w:t xml:space="preserve">.9 </w:t>
      </w:r>
      <w:r w:rsidRPr="0089541F">
        <w:rPr>
          <w:b w:val="0"/>
          <w:noProof/>
          <w:szCs w:val="22"/>
          <w:lang w:val="hy-AM"/>
        </w:rPr>
        <w:t>մլն</w:t>
      </w:r>
      <w:r w:rsidRPr="0089541F">
        <w:rPr>
          <w:b w:val="0"/>
          <w:noProof/>
          <w:szCs w:val="22"/>
          <w:lang w:val="af-ZA"/>
        </w:rPr>
        <w:t xml:space="preserve"> </w:t>
      </w:r>
      <w:r w:rsidRPr="0089541F">
        <w:rPr>
          <w:b w:val="0"/>
          <w:noProof/>
          <w:szCs w:val="22"/>
          <w:lang w:val="hy-AM"/>
        </w:rPr>
        <w:t>դրամով</w:t>
      </w:r>
      <w:r w:rsidRPr="0089541F">
        <w:rPr>
          <w:b w:val="0"/>
          <w:noProof/>
          <w:szCs w:val="22"/>
          <w:lang w:val="af-ZA"/>
        </w:rPr>
        <w:t xml:space="preserve">, </w:t>
      </w:r>
      <w:r w:rsidRPr="0089541F">
        <w:rPr>
          <w:b w:val="0"/>
          <w:noProof/>
          <w:szCs w:val="22"/>
          <w:lang w:val="hy-AM"/>
        </w:rPr>
        <w:t>կամ</w:t>
      </w:r>
      <w:r w:rsidRPr="0089541F">
        <w:rPr>
          <w:b w:val="0"/>
          <w:noProof/>
          <w:szCs w:val="22"/>
          <w:lang w:val="af-ZA"/>
        </w:rPr>
        <w:t xml:space="preserve"> </w:t>
      </w:r>
      <w:r w:rsidR="00832A79" w:rsidRPr="0089541F">
        <w:rPr>
          <w:b w:val="0"/>
          <w:noProof/>
          <w:szCs w:val="22"/>
          <w:lang w:val="hy-AM"/>
        </w:rPr>
        <w:t>62</w:t>
      </w:r>
      <w:r w:rsidRPr="0089541F">
        <w:rPr>
          <w:b w:val="0"/>
          <w:noProof/>
          <w:szCs w:val="22"/>
          <w:lang w:val="af-ZA"/>
        </w:rPr>
        <w:t>.</w:t>
      </w:r>
      <w:r w:rsidR="00832A79" w:rsidRPr="0089541F">
        <w:rPr>
          <w:b w:val="0"/>
          <w:noProof/>
          <w:szCs w:val="22"/>
          <w:lang w:val="hy-AM"/>
        </w:rPr>
        <w:t>0</w:t>
      </w:r>
      <w:r w:rsidRPr="0089541F">
        <w:rPr>
          <w:b w:val="0"/>
          <w:noProof/>
          <w:szCs w:val="22"/>
          <w:lang w:val="af-ZA"/>
        </w:rPr>
        <w:t xml:space="preserve"> %-</w:t>
      </w:r>
      <w:r w:rsidRPr="0089541F">
        <w:rPr>
          <w:b w:val="0"/>
          <w:noProof/>
          <w:szCs w:val="22"/>
          <w:lang w:val="hy-AM"/>
        </w:rPr>
        <w:t>ով:</w:t>
      </w:r>
    </w:p>
    <w:p w14:paraId="018A25DC" w14:textId="77777777" w:rsidR="00D647CE" w:rsidRPr="00A83C94" w:rsidRDefault="00D647CE" w:rsidP="00D647CE">
      <w:pPr>
        <w:spacing w:before="0" w:line="276" w:lineRule="auto"/>
        <w:ind w:firstLine="270"/>
        <w:contextualSpacing w:val="0"/>
        <w:rPr>
          <w:b w:val="0"/>
          <w:noProof/>
          <w:szCs w:val="22"/>
          <w:lang w:val="af-ZA"/>
        </w:rPr>
      </w:pPr>
      <w:r w:rsidRPr="0089541F">
        <w:rPr>
          <w:b w:val="0"/>
          <w:noProof/>
          <w:szCs w:val="22"/>
          <w:lang w:val="af-ZA"/>
        </w:rPr>
        <w:t>Ծրագրի իրականացման արդյունքում կբարձրացվի քաղաքացիական հասարակության կառույցների և նրանց</w:t>
      </w:r>
      <w:r w:rsidRPr="00A83C94">
        <w:rPr>
          <w:b w:val="0"/>
          <w:noProof/>
          <w:szCs w:val="22"/>
          <w:lang w:val="af-ZA"/>
        </w:rPr>
        <w:t xml:space="preserve"> կարողությունների զարգացումը՝ կապահովվի տնտեսական և քաղաքական կյանքում ՔՀԿ-ների ընդգրկվածության և մասնակցության աճ:</w:t>
      </w:r>
    </w:p>
    <w:p w14:paraId="0FFFC52E" w14:textId="77777777" w:rsidR="00D647CE" w:rsidRPr="00A83C94" w:rsidRDefault="00D647CE" w:rsidP="00D647CE">
      <w:pPr>
        <w:numPr>
          <w:ilvl w:val="12"/>
          <w:numId w:val="0"/>
        </w:numPr>
        <w:tabs>
          <w:tab w:val="left" w:pos="851"/>
        </w:tabs>
        <w:spacing w:before="0" w:line="276" w:lineRule="auto"/>
        <w:ind w:firstLine="720"/>
        <w:rPr>
          <w:b w:val="0"/>
          <w:noProof/>
          <w:szCs w:val="22"/>
          <w:lang w:val="af-ZA"/>
        </w:rPr>
      </w:pPr>
      <w:r w:rsidRPr="00A83C94">
        <w:rPr>
          <w:noProof/>
          <w:szCs w:val="22"/>
        </w:rPr>
        <w:t>Հանրային</w:t>
      </w:r>
      <w:r w:rsidRPr="00A83C94">
        <w:rPr>
          <w:noProof/>
          <w:szCs w:val="22"/>
          <w:lang w:val="af-ZA"/>
        </w:rPr>
        <w:t xml:space="preserve"> </w:t>
      </w:r>
      <w:r w:rsidRPr="00A83C94">
        <w:rPr>
          <w:noProof/>
          <w:szCs w:val="22"/>
        </w:rPr>
        <w:t>իրազեկում</w:t>
      </w:r>
      <w:r w:rsidRPr="00A83C94">
        <w:rPr>
          <w:noProof/>
          <w:szCs w:val="22"/>
          <w:lang w:val="af-ZA"/>
        </w:rPr>
        <w:t xml:space="preserve"> </w:t>
      </w:r>
      <w:r w:rsidRPr="00A83C94">
        <w:rPr>
          <w:b w:val="0"/>
          <w:noProof/>
          <w:szCs w:val="22"/>
          <w:lang w:val="hy-AM"/>
        </w:rPr>
        <w:t xml:space="preserve">ծրագրի </w:t>
      </w:r>
      <w:r w:rsidRPr="00A83C94">
        <w:rPr>
          <w:b w:val="0"/>
          <w:noProof/>
          <w:szCs w:val="22"/>
        </w:rPr>
        <w:t>նպատակ</w:t>
      </w:r>
      <w:r w:rsidRPr="00A83C94">
        <w:rPr>
          <w:b w:val="0"/>
          <w:noProof/>
          <w:szCs w:val="22"/>
          <w:lang w:val="hy-AM"/>
        </w:rPr>
        <w:t>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 հանրային կապերի՝ պետական մարմինների թափանցիկությունը, տեղեկատվության մատչելիությունը</w:t>
      </w:r>
      <w:r w:rsidRPr="00A83C94">
        <w:rPr>
          <w:b w:val="0"/>
          <w:noProof/>
          <w:szCs w:val="22"/>
          <w:lang w:val="af-ZA"/>
        </w:rPr>
        <w:t>:</w:t>
      </w:r>
    </w:p>
    <w:p w14:paraId="623C2926" w14:textId="77777777" w:rsidR="00D647CE" w:rsidRPr="00A83C94" w:rsidRDefault="00D647CE" w:rsidP="00D647CE">
      <w:pPr>
        <w:numPr>
          <w:ilvl w:val="12"/>
          <w:numId w:val="0"/>
        </w:numPr>
        <w:tabs>
          <w:tab w:val="left" w:pos="851"/>
        </w:tabs>
        <w:spacing w:before="0" w:line="276" w:lineRule="auto"/>
        <w:ind w:firstLine="720"/>
        <w:rPr>
          <w:b w:val="0"/>
          <w:noProof/>
          <w:szCs w:val="22"/>
          <w:lang w:val="af-ZA"/>
        </w:rPr>
      </w:pPr>
      <w:r w:rsidRPr="00A83C94">
        <w:rPr>
          <w:b w:val="0"/>
          <w:noProof/>
          <w:szCs w:val="22"/>
          <w:lang w:val="hy-AM"/>
        </w:rPr>
        <w:t>Ծ</w:t>
      </w:r>
      <w:r w:rsidRPr="00A83C94">
        <w:rPr>
          <w:b w:val="0"/>
          <w:noProof/>
          <w:szCs w:val="22"/>
        </w:rPr>
        <w:t>րագրով</w:t>
      </w:r>
      <w:r w:rsidRPr="00A83C94">
        <w:rPr>
          <w:b w:val="0"/>
          <w:noProof/>
          <w:szCs w:val="22"/>
          <w:lang w:val="af-ZA"/>
        </w:rPr>
        <w:t xml:space="preserve"> </w:t>
      </w:r>
      <w:r w:rsidRPr="00A83C94">
        <w:rPr>
          <w:b w:val="0"/>
          <w:noProof/>
          <w:szCs w:val="22"/>
        </w:rPr>
        <w:t>նախատեսված</w:t>
      </w:r>
      <w:r w:rsidRPr="00A83C94">
        <w:rPr>
          <w:b w:val="0"/>
          <w:noProof/>
          <w:szCs w:val="22"/>
          <w:lang w:val="af-ZA"/>
        </w:rPr>
        <w:t xml:space="preserve"> </w:t>
      </w:r>
      <w:r w:rsidRPr="00A83C94">
        <w:rPr>
          <w:b w:val="0"/>
          <w:noProof/>
          <w:szCs w:val="22"/>
        </w:rPr>
        <w:t>հատկացումներն</w:t>
      </w:r>
      <w:r w:rsidRPr="00A83C94">
        <w:rPr>
          <w:b w:val="0"/>
          <w:noProof/>
          <w:szCs w:val="22"/>
          <w:lang w:val="af-ZA"/>
        </w:rPr>
        <w:t xml:space="preserve"> </w:t>
      </w:r>
      <w:r w:rsidRPr="00A83C94">
        <w:rPr>
          <w:b w:val="0"/>
          <w:noProof/>
          <w:szCs w:val="22"/>
        </w:rPr>
        <w:t>ուղղվելու</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իրազեկման</w:t>
      </w:r>
      <w:r w:rsidRPr="00A83C94">
        <w:rPr>
          <w:b w:val="0"/>
          <w:noProof/>
          <w:szCs w:val="22"/>
          <w:lang w:val="af-ZA"/>
        </w:rPr>
        <w:t xml:space="preserve"> </w:t>
      </w:r>
      <w:r w:rsidRPr="00A83C94">
        <w:rPr>
          <w:b w:val="0"/>
          <w:noProof/>
          <w:szCs w:val="22"/>
        </w:rPr>
        <w:t>ապահովմանը</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մամուլի</w:t>
      </w:r>
      <w:r w:rsidRPr="00A83C94">
        <w:rPr>
          <w:b w:val="0"/>
          <w:noProof/>
          <w:szCs w:val="22"/>
          <w:lang w:val="af-ZA"/>
        </w:rPr>
        <w:t xml:space="preserve"> </w:t>
      </w:r>
      <w:r w:rsidRPr="00A83C94">
        <w:rPr>
          <w:b w:val="0"/>
          <w:noProof/>
          <w:szCs w:val="22"/>
        </w:rPr>
        <w:t>հրատարակմանը</w:t>
      </w:r>
      <w:r w:rsidRPr="00A83C94">
        <w:rPr>
          <w:b w:val="0"/>
          <w:noProof/>
          <w:szCs w:val="22"/>
          <w:lang w:val="af-ZA"/>
        </w:rPr>
        <w:t>, «Միր» միջպետական հեռուստառադիոընկերության ՀՀ մասնաբաժնի վճար</w:t>
      </w:r>
      <w:r w:rsidRPr="00A83C94">
        <w:rPr>
          <w:b w:val="0"/>
          <w:noProof/>
          <w:szCs w:val="22"/>
          <w:lang w:val="hy-AM"/>
        </w:rPr>
        <w:t xml:space="preserve">մանը, </w:t>
      </w:r>
      <w:r w:rsidRPr="00A83C94">
        <w:rPr>
          <w:b w:val="0"/>
          <w:noProof/>
          <w:szCs w:val="22"/>
        </w:rPr>
        <w:t>տեղեկատվության</w:t>
      </w:r>
      <w:r w:rsidRPr="00A83C94">
        <w:rPr>
          <w:b w:val="0"/>
          <w:noProof/>
          <w:szCs w:val="22"/>
          <w:lang w:val="af-ZA"/>
        </w:rPr>
        <w:t xml:space="preserve"> </w:t>
      </w:r>
      <w:r w:rsidRPr="00A83C94">
        <w:rPr>
          <w:b w:val="0"/>
          <w:noProof/>
          <w:szCs w:val="22"/>
        </w:rPr>
        <w:t>ձեռքբերման</w:t>
      </w:r>
      <w:r w:rsidRPr="00A83C94">
        <w:rPr>
          <w:b w:val="0"/>
          <w:noProof/>
          <w:szCs w:val="22"/>
          <w:lang w:val="af-ZA"/>
        </w:rPr>
        <w:t xml:space="preserve">, </w:t>
      </w:r>
      <w:r w:rsidRPr="00A83C94">
        <w:rPr>
          <w:b w:val="0"/>
          <w:noProof/>
          <w:szCs w:val="22"/>
        </w:rPr>
        <w:t>պահպանման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արխիվացման</w:t>
      </w:r>
      <w:r w:rsidRPr="00A83C94">
        <w:rPr>
          <w:b w:val="0"/>
          <w:noProof/>
          <w:szCs w:val="22"/>
          <w:lang w:val="af-ZA"/>
        </w:rPr>
        <w:t xml:space="preserve"> </w:t>
      </w:r>
      <w:r w:rsidRPr="00A83C94">
        <w:rPr>
          <w:b w:val="0"/>
          <w:noProof/>
          <w:szCs w:val="22"/>
        </w:rPr>
        <w:t>ծառայությունների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p>
    <w:p w14:paraId="3903782D" w14:textId="77777777" w:rsidR="00D647CE" w:rsidRPr="00A83C94" w:rsidRDefault="00D647CE" w:rsidP="00D647CE">
      <w:pPr>
        <w:spacing w:before="0" w:line="276" w:lineRule="auto"/>
        <w:ind w:firstLine="360"/>
        <w:rPr>
          <w:rFonts w:cs="Sylfaen"/>
          <w:b w:val="0"/>
          <w:bCs/>
          <w:iCs/>
          <w:color w:val="000000"/>
          <w:sz w:val="20"/>
          <w:szCs w:val="20"/>
          <w:lang w:val="hy-AM" w:eastAsia="en-US"/>
        </w:rPr>
      </w:pPr>
      <w:r w:rsidRPr="00A83C94">
        <w:rPr>
          <w:b w:val="0"/>
          <w:noProof/>
          <w:szCs w:val="22"/>
        </w:rPr>
        <w:t>Հանրային</w:t>
      </w:r>
      <w:r w:rsidRPr="00A83C94">
        <w:rPr>
          <w:b w:val="0"/>
          <w:noProof/>
          <w:szCs w:val="22"/>
          <w:lang w:val="af-ZA"/>
        </w:rPr>
        <w:t xml:space="preserve"> </w:t>
      </w:r>
      <w:r w:rsidRPr="00A83C94">
        <w:rPr>
          <w:b w:val="0"/>
          <w:noProof/>
          <w:szCs w:val="22"/>
        </w:rPr>
        <w:t>իրազեկում</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համար</w:t>
      </w:r>
      <w:r w:rsidRPr="00A83C94">
        <w:rPr>
          <w:b w:val="0"/>
          <w:noProof/>
          <w:szCs w:val="22"/>
          <w:lang w:val="af-ZA"/>
        </w:rPr>
        <w:t xml:space="preserve"> </w:t>
      </w:r>
      <w:r w:rsidRPr="00A83C94">
        <w:rPr>
          <w:b w:val="0"/>
          <w:noProof/>
          <w:szCs w:val="22"/>
        </w:rPr>
        <w:t>Նախագծով</w:t>
      </w:r>
      <w:r w:rsidRPr="00A83C94">
        <w:rPr>
          <w:b w:val="0"/>
          <w:noProof/>
          <w:szCs w:val="22"/>
          <w:lang w:val="af-ZA"/>
        </w:rPr>
        <w:t xml:space="preserve"> </w:t>
      </w:r>
      <w:r w:rsidRPr="00A83C94">
        <w:rPr>
          <w:b w:val="0"/>
          <w:noProof/>
          <w:szCs w:val="22"/>
        </w:rPr>
        <w:t>նախատեսվում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հատկացնել</w:t>
      </w:r>
      <w:r w:rsidRPr="00A83C94">
        <w:rPr>
          <w:b w:val="0"/>
          <w:noProof/>
          <w:szCs w:val="22"/>
          <w:lang w:val="af-ZA"/>
        </w:rPr>
        <w:t xml:space="preserve"> 860.6 </w:t>
      </w:r>
      <w:r w:rsidRPr="00A83C94">
        <w:rPr>
          <w:b w:val="0"/>
          <w:noProof/>
          <w:szCs w:val="22"/>
        </w:rPr>
        <w:t>մլն</w:t>
      </w:r>
      <w:r w:rsidRPr="00A83C94">
        <w:rPr>
          <w:b w:val="0"/>
          <w:noProof/>
          <w:szCs w:val="22"/>
          <w:lang w:val="af-ZA"/>
        </w:rPr>
        <w:t xml:space="preserve"> </w:t>
      </w:r>
      <w:r w:rsidRPr="00A83C94">
        <w:rPr>
          <w:b w:val="0"/>
          <w:noProof/>
          <w:szCs w:val="22"/>
        </w:rPr>
        <w:t>դրամ՝</w:t>
      </w:r>
      <w:r w:rsidRPr="00A83C94">
        <w:rPr>
          <w:b w:val="0"/>
          <w:noProof/>
          <w:szCs w:val="22"/>
          <w:lang w:val="af-ZA"/>
        </w:rPr>
        <w:t xml:space="preserve"> </w:t>
      </w:r>
      <w:r w:rsidRPr="00A83C94">
        <w:rPr>
          <w:b w:val="0"/>
          <w:noProof/>
          <w:szCs w:val="22"/>
        </w:rPr>
        <w:t>ՀՀ</w:t>
      </w:r>
      <w:r w:rsidRPr="00A83C94">
        <w:rPr>
          <w:b w:val="0"/>
          <w:noProof/>
          <w:szCs w:val="22"/>
          <w:lang w:val="af-ZA"/>
        </w:rPr>
        <w:t xml:space="preserve"> 20</w:t>
      </w:r>
      <w:r w:rsidRPr="00A83C94">
        <w:rPr>
          <w:b w:val="0"/>
          <w:noProof/>
          <w:szCs w:val="22"/>
          <w:lang w:val="hy-AM"/>
        </w:rPr>
        <w:t>2</w:t>
      </w:r>
      <w:r w:rsidRPr="00A83C94">
        <w:rPr>
          <w:b w:val="0"/>
          <w:noProof/>
          <w:szCs w:val="22"/>
          <w:lang w:val="af-ZA"/>
        </w:rPr>
        <w:t xml:space="preserve">1 </w:t>
      </w:r>
      <w:r w:rsidRPr="00A83C94">
        <w:rPr>
          <w:b w:val="0"/>
          <w:noProof/>
          <w:szCs w:val="22"/>
        </w:rPr>
        <w:t>թվականի</w:t>
      </w:r>
      <w:r w:rsidRPr="00A83C94">
        <w:rPr>
          <w:b w:val="0"/>
          <w:noProof/>
          <w:szCs w:val="22"/>
          <w:lang w:val="af-ZA"/>
        </w:rPr>
        <w:t xml:space="preserve"> </w:t>
      </w:r>
      <w:r w:rsidRPr="00A83C94">
        <w:rPr>
          <w:b w:val="0"/>
          <w:noProof/>
          <w:szCs w:val="22"/>
        </w:rPr>
        <w:t>պետական</w:t>
      </w:r>
      <w:r w:rsidRPr="00A83C94">
        <w:rPr>
          <w:b w:val="0"/>
          <w:noProof/>
          <w:szCs w:val="22"/>
          <w:lang w:val="af-ZA"/>
        </w:rPr>
        <w:t xml:space="preserve"> </w:t>
      </w:r>
      <w:r w:rsidRPr="00A83C94">
        <w:rPr>
          <w:b w:val="0"/>
          <w:noProof/>
          <w:szCs w:val="22"/>
        </w:rPr>
        <w:t>բյուջեով</w:t>
      </w:r>
      <w:r w:rsidRPr="00A83C94">
        <w:rPr>
          <w:b w:val="0"/>
          <w:noProof/>
          <w:szCs w:val="22"/>
          <w:lang w:val="af-ZA"/>
        </w:rPr>
        <w:t xml:space="preserve"> </w:t>
      </w:r>
      <w:r w:rsidRPr="00A83C94">
        <w:rPr>
          <w:b w:val="0"/>
          <w:noProof/>
          <w:szCs w:val="22"/>
        </w:rPr>
        <w:t>հաստատված</w:t>
      </w:r>
      <w:r w:rsidRPr="00A83C94">
        <w:rPr>
          <w:b w:val="0"/>
          <w:noProof/>
          <w:szCs w:val="22"/>
          <w:lang w:val="af-ZA"/>
        </w:rPr>
        <w:t xml:space="preserve"> </w:t>
      </w:r>
      <w:r w:rsidRPr="00A83C94">
        <w:rPr>
          <w:b w:val="0"/>
          <w:noProof/>
          <w:szCs w:val="22"/>
          <w:lang w:val="hy-AM"/>
        </w:rPr>
        <w:t>1,1</w:t>
      </w:r>
      <w:r w:rsidRPr="00A83C94">
        <w:rPr>
          <w:b w:val="0"/>
          <w:noProof/>
          <w:szCs w:val="22"/>
          <w:lang w:val="af-ZA"/>
        </w:rPr>
        <w:t>45.</w:t>
      </w:r>
      <w:r w:rsidRPr="00A83C94">
        <w:rPr>
          <w:b w:val="0"/>
          <w:noProof/>
          <w:szCs w:val="22"/>
          <w:lang w:val="hy-AM"/>
        </w:rPr>
        <w:t>9</w:t>
      </w:r>
      <w:r w:rsidRPr="00A83C94">
        <w:rPr>
          <w:b w:val="0"/>
          <w:noProof/>
          <w:szCs w:val="22"/>
          <w:lang w:val="af-ZA"/>
        </w:rPr>
        <w:t xml:space="preserve">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դիմաց</w:t>
      </w:r>
      <w:r w:rsidRPr="00A83C94">
        <w:rPr>
          <w:b w:val="0"/>
          <w:noProof/>
          <w:szCs w:val="22"/>
          <w:lang w:val="af-ZA"/>
        </w:rPr>
        <w:t>:</w:t>
      </w:r>
      <w:r w:rsidRPr="00A83C94" w:rsidDel="00F93BFB">
        <w:rPr>
          <w:b w:val="0"/>
          <w:noProof/>
          <w:szCs w:val="22"/>
          <w:lang w:val="af-ZA"/>
        </w:rPr>
        <w:t xml:space="preserve"> </w:t>
      </w:r>
      <w:r w:rsidRPr="00A83C94">
        <w:rPr>
          <w:b w:val="0"/>
          <w:noProof/>
          <w:szCs w:val="22"/>
          <w:lang w:val="en-US"/>
        </w:rPr>
        <w:t>Ծ</w:t>
      </w:r>
      <w:r w:rsidRPr="00A83C94">
        <w:rPr>
          <w:b w:val="0"/>
          <w:noProof/>
          <w:szCs w:val="22"/>
        </w:rPr>
        <w:t>ախսերը</w:t>
      </w:r>
      <w:r w:rsidRPr="00A83C94">
        <w:rPr>
          <w:b w:val="0"/>
          <w:noProof/>
          <w:szCs w:val="22"/>
          <w:lang w:val="af-ZA"/>
        </w:rPr>
        <w:t xml:space="preserve"> նվազել </w:t>
      </w:r>
      <w:r w:rsidRPr="00A83C94">
        <w:rPr>
          <w:b w:val="0"/>
          <w:noProof/>
          <w:szCs w:val="22"/>
        </w:rPr>
        <w:t>են՝</w:t>
      </w:r>
      <w:r w:rsidRPr="00A83C94">
        <w:rPr>
          <w:b w:val="0"/>
          <w:noProof/>
          <w:szCs w:val="22"/>
          <w:lang w:val="af-ZA"/>
        </w:rPr>
        <w:t xml:space="preserve"> 285.3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կամ</w:t>
      </w:r>
      <w:r w:rsidRPr="00A83C94">
        <w:rPr>
          <w:b w:val="0"/>
          <w:noProof/>
          <w:szCs w:val="22"/>
          <w:lang w:val="af-ZA"/>
        </w:rPr>
        <w:t xml:space="preserve"> 24.9 %-</w:t>
      </w:r>
      <w:r w:rsidRPr="00A83C94">
        <w:rPr>
          <w:b w:val="0"/>
          <w:noProof/>
          <w:szCs w:val="22"/>
        </w:rPr>
        <w:t>ով</w:t>
      </w:r>
      <w:r w:rsidRPr="00A83C94">
        <w:rPr>
          <w:b w:val="0"/>
          <w:noProof/>
          <w:szCs w:val="22"/>
          <w:lang w:val="af-ZA"/>
        </w:rPr>
        <w:t>::</w:t>
      </w:r>
      <w:r w:rsidRPr="00A83C94">
        <w:rPr>
          <w:rFonts w:cs="Sylfaen"/>
          <w:b w:val="0"/>
          <w:bCs/>
          <w:iCs/>
          <w:color w:val="000000"/>
          <w:sz w:val="20"/>
          <w:szCs w:val="20"/>
          <w:lang w:val="hy-AM" w:eastAsia="en-US"/>
        </w:rPr>
        <w:t xml:space="preserve"> </w:t>
      </w:r>
    </w:p>
    <w:p w14:paraId="55261E94" w14:textId="77777777" w:rsidR="00D647CE" w:rsidRPr="00A83C94" w:rsidRDefault="00D647CE" w:rsidP="00D647CE">
      <w:pPr>
        <w:numPr>
          <w:ilvl w:val="12"/>
          <w:numId w:val="0"/>
        </w:numPr>
        <w:tabs>
          <w:tab w:val="left" w:pos="851"/>
        </w:tabs>
        <w:spacing w:before="0" w:line="276" w:lineRule="auto"/>
        <w:ind w:firstLine="720"/>
        <w:rPr>
          <w:b w:val="0"/>
          <w:noProof/>
          <w:szCs w:val="22"/>
          <w:lang w:val="hy-AM"/>
        </w:rPr>
      </w:pPr>
      <w:r w:rsidRPr="00A83C94">
        <w:rPr>
          <w:b w:val="0"/>
          <w:noProof/>
          <w:szCs w:val="22"/>
          <w:lang w:val="hy-AM"/>
        </w:rPr>
        <w:t>Ծրագրի իրականացման արդյունքում կբարելավվի հանրության իրազեկվածության մակարդակը, ինչպես նաև կլուսաբանվեն ՀՀ համար կարևոր նշանակություն ունեցող քաղաքական և հասարակական կյանքին առնչվող իրադարձությունները:</w:t>
      </w:r>
    </w:p>
    <w:p w14:paraId="0B909E42" w14:textId="77777777" w:rsidR="00D647CE" w:rsidRPr="00A83C94" w:rsidRDefault="00D647CE" w:rsidP="00D647CE">
      <w:pPr>
        <w:numPr>
          <w:ilvl w:val="12"/>
          <w:numId w:val="0"/>
        </w:numPr>
        <w:tabs>
          <w:tab w:val="left" w:pos="851"/>
        </w:tabs>
        <w:spacing w:before="0" w:line="276" w:lineRule="auto"/>
        <w:ind w:firstLine="720"/>
        <w:rPr>
          <w:b w:val="0"/>
          <w:noProof/>
          <w:szCs w:val="22"/>
          <w:lang w:val="af-ZA"/>
        </w:rPr>
      </w:pPr>
      <w:r w:rsidRPr="00A83C94">
        <w:rPr>
          <w:noProof/>
          <w:szCs w:val="22"/>
          <w:lang w:val="hy-AM"/>
        </w:rPr>
        <w:t>Տոների</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հիշատակի</w:t>
      </w:r>
      <w:r w:rsidRPr="00A83C94">
        <w:rPr>
          <w:noProof/>
          <w:szCs w:val="22"/>
          <w:lang w:val="af-ZA"/>
        </w:rPr>
        <w:t xml:space="preserve"> </w:t>
      </w:r>
      <w:r w:rsidRPr="00A83C94">
        <w:rPr>
          <w:noProof/>
          <w:szCs w:val="22"/>
          <w:lang w:val="hy-AM"/>
        </w:rPr>
        <w:t>օրերի</w:t>
      </w:r>
      <w:r w:rsidRPr="00A83C94">
        <w:rPr>
          <w:noProof/>
          <w:szCs w:val="22"/>
          <w:lang w:val="af-ZA"/>
        </w:rPr>
        <w:t xml:space="preserve"> </w:t>
      </w:r>
      <w:r w:rsidRPr="00A83C94">
        <w:rPr>
          <w:b w:val="0"/>
          <w:noProof/>
          <w:szCs w:val="22"/>
          <w:lang w:val="hy-AM"/>
        </w:rPr>
        <w:t>ծրագրի 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տոների</w:t>
      </w:r>
      <w:r w:rsidRPr="00A83C94">
        <w:rPr>
          <w:b w:val="0"/>
          <w:noProof/>
          <w:szCs w:val="22"/>
          <w:lang w:val="af-ZA"/>
        </w:rPr>
        <w:t xml:space="preserve"> </w:t>
      </w:r>
      <w:r w:rsidRPr="00A83C94">
        <w:rPr>
          <w:b w:val="0"/>
          <w:noProof/>
          <w:szCs w:val="22"/>
          <w:lang w:val="hy-AM"/>
        </w:rPr>
        <w:t>և</w:t>
      </w:r>
      <w:r w:rsidRPr="00A83C94">
        <w:rPr>
          <w:b w:val="0"/>
          <w:noProof/>
          <w:szCs w:val="22"/>
          <w:lang w:val="af-ZA"/>
        </w:rPr>
        <w:t xml:space="preserve"> </w:t>
      </w:r>
      <w:r w:rsidRPr="00A83C94">
        <w:rPr>
          <w:b w:val="0"/>
          <w:noProof/>
          <w:szCs w:val="22"/>
          <w:lang w:val="hy-AM"/>
        </w:rPr>
        <w:t>հիշատակի</w:t>
      </w:r>
      <w:r w:rsidRPr="00A83C94">
        <w:rPr>
          <w:b w:val="0"/>
          <w:noProof/>
          <w:szCs w:val="22"/>
          <w:lang w:val="af-ZA"/>
        </w:rPr>
        <w:t xml:space="preserve"> </w:t>
      </w:r>
      <w:r w:rsidRPr="00A83C94">
        <w:rPr>
          <w:b w:val="0"/>
          <w:noProof/>
          <w:szCs w:val="22"/>
          <w:lang w:val="hy-AM"/>
        </w:rPr>
        <w:t>օրերին</w:t>
      </w:r>
      <w:r w:rsidRPr="00A83C94">
        <w:rPr>
          <w:b w:val="0"/>
          <w:noProof/>
          <w:szCs w:val="22"/>
          <w:lang w:val="af-ZA"/>
        </w:rPr>
        <w:t xml:space="preserve"> </w:t>
      </w:r>
      <w:r w:rsidRPr="00A83C94">
        <w:rPr>
          <w:b w:val="0"/>
          <w:noProof/>
          <w:szCs w:val="22"/>
          <w:lang w:val="hy-AM"/>
        </w:rPr>
        <w:t>նվիրված</w:t>
      </w:r>
      <w:r w:rsidRPr="00A83C94">
        <w:rPr>
          <w:b w:val="0"/>
          <w:noProof/>
          <w:szCs w:val="22"/>
          <w:lang w:val="af-ZA"/>
        </w:rPr>
        <w:t xml:space="preserve"> </w:t>
      </w:r>
      <w:r w:rsidRPr="00A83C94">
        <w:rPr>
          <w:b w:val="0"/>
          <w:noProof/>
          <w:szCs w:val="22"/>
          <w:lang w:val="hy-AM"/>
        </w:rPr>
        <w:t>միջոցառումների</w:t>
      </w:r>
      <w:r w:rsidRPr="00A83C94">
        <w:rPr>
          <w:b w:val="0"/>
          <w:noProof/>
          <w:szCs w:val="22"/>
          <w:lang w:val="af-ZA"/>
        </w:rPr>
        <w:t xml:space="preserve"> </w:t>
      </w:r>
      <w:r w:rsidRPr="00A83C94">
        <w:rPr>
          <w:b w:val="0"/>
          <w:noProof/>
          <w:szCs w:val="22"/>
          <w:lang w:val="hy-AM"/>
        </w:rPr>
        <w:t>անցկացումը՝</w:t>
      </w:r>
      <w:r w:rsidRPr="00A83C94">
        <w:rPr>
          <w:b w:val="0"/>
          <w:noProof/>
          <w:szCs w:val="22"/>
          <w:lang w:val="af-ZA"/>
        </w:rPr>
        <w:t xml:space="preserve"> </w:t>
      </w:r>
      <w:r w:rsidRPr="00A83C94">
        <w:rPr>
          <w:b w:val="0"/>
          <w:noProof/>
          <w:szCs w:val="22"/>
          <w:lang w:val="hy-AM"/>
        </w:rPr>
        <w:t>ի</w:t>
      </w:r>
      <w:r w:rsidRPr="00A83C94">
        <w:rPr>
          <w:b w:val="0"/>
          <w:noProof/>
          <w:szCs w:val="22"/>
          <w:lang w:val="af-ZA"/>
        </w:rPr>
        <w:t xml:space="preserve"> </w:t>
      </w:r>
      <w:r w:rsidRPr="00A83C94">
        <w:rPr>
          <w:b w:val="0"/>
          <w:noProof/>
          <w:szCs w:val="22"/>
          <w:lang w:val="hy-AM"/>
        </w:rPr>
        <w:t>նպաստ</w:t>
      </w:r>
      <w:r w:rsidRPr="00A83C94">
        <w:rPr>
          <w:b w:val="0"/>
          <w:noProof/>
          <w:szCs w:val="22"/>
          <w:lang w:val="af-ZA"/>
        </w:rPr>
        <w:t xml:space="preserve"> </w:t>
      </w:r>
      <w:r w:rsidRPr="00A83C94">
        <w:rPr>
          <w:b w:val="0"/>
          <w:noProof/>
          <w:szCs w:val="22"/>
          <w:lang w:val="hy-AM"/>
        </w:rPr>
        <w:t>Ազգային</w:t>
      </w:r>
      <w:r w:rsidRPr="00A83C94">
        <w:rPr>
          <w:b w:val="0"/>
          <w:noProof/>
          <w:szCs w:val="22"/>
          <w:lang w:val="af-ZA"/>
        </w:rPr>
        <w:t xml:space="preserve"> </w:t>
      </w:r>
      <w:r w:rsidRPr="00A83C94">
        <w:rPr>
          <w:b w:val="0"/>
          <w:noProof/>
          <w:szCs w:val="22"/>
          <w:lang w:val="hy-AM"/>
        </w:rPr>
        <w:t>ինքնության</w:t>
      </w:r>
      <w:r w:rsidRPr="00A83C94">
        <w:rPr>
          <w:b w:val="0"/>
          <w:noProof/>
          <w:szCs w:val="22"/>
          <w:lang w:val="af-ZA"/>
        </w:rPr>
        <w:t xml:space="preserve"> </w:t>
      </w:r>
      <w:r w:rsidRPr="00A83C94">
        <w:rPr>
          <w:b w:val="0"/>
          <w:noProof/>
          <w:szCs w:val="22"/>
          <w:lang w:val="hy-AM"/>
        </w:rPr>
        <w:t>պահպանմանը</w:t>
      </w:r>
      <w:r w:rsidRPr="00A83C94">
        <w:rPr>
          <w:b w:val="0"/>
          <w:noProof/>
          <w:szCs w:val="22"/>
          <w:lang w:val="af-ZA"/>
        </w:rPr>
        <w:t xml:space="preserve">:  </w:t>
      </w:r>
    </w:p>
    <w:p w14:paraId="46140CE3" w14:textId="77777777" w:rsidR="00D647CE" w:rsidRPr="00A83C94" w:rsidRDefault="00D647CE" w:rsidP="00D647CE">
      <w:pPr>
        <w:numPr>
          <w:ilvl w:val="12"/>
          <w:numId w:val="0"/>
        </w:numPr>
        <w:tabs>
          <w:tab w:val="left" w:pos="851"/>
        </w:tabs>
        <w:spacing w:before="0" w:line="276" w:lineRule="auto"/>
        <w:ind w:firstLine="720"/>
        <w:rPr>
          <w:b w:val="0"/>
          <w:noProof/>
          <w:szCs w:val="22"/>
          <w:lang w:val="hy-AM"/>
        </w:rPr>
      </w:pPr>
      <w:r w:rsidRPr="00A83C94">
        <w:rPr>
          <w:b w:val="0"/>
          <w:noProof/>
          <w:szCs w:val="22"/>
        </w:rPr>
        <w:t>Տոների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հիշատակի</w:t>
      </w:r>
      <w:r w:rsidRPr="00A83C94">
        <w:rPr>
          <w:b w:val="0"/>
          <w:noProof/>
          <w:szCs w:val="22"/>
          <w:lang w:val="af-ZA"/>
        </w:rPr>
        <w:t xml:space="preserve"> </w:t>
      </w:r>
      <w:r w:rsidRPr="00A83C94">
        <w:rPr>
          <w:b w:val="0"/>
          <w:noProof/>
          <w:szCs w:val="22"/>
        </w:rPr>
        <w:t>օրերի</w:t>
      </w:r>
      <w:r w:rsidRPr="00A83C94">
        <w:rPr>
          <w:b w:val="0"/>
          <w:noProof/>
          <w:szCs w:val="22"/>
          <w:lang w:val="af-ZA"/>
        </w:rPr>
        <w:t xml:space="preserve"> </w:t>
      </w:r>
      <w:r w:rsidRPr="00A83C94">
        <w:rPr>
          <w:b w:val="0"/>
          <w:noProof/>
          <w:szCs w:val="22"/>
        </w:rPr>
        <w:t>ծրագրի</w:t>
      </w:r>
      <w:r w:rsidRPr="00A83C94">
        <w:rPr>
          <w:b w:val="0"/>
          <w:noProof/>
          <w:szCs w:val="22"/>
          <w:lang w:val="af-ZA"/>
        </w:rPr>
        <w:t xml:space="preserve"> </w:t>
      </w:r>
      <w:r w:rsidRPr="00A83C94">
        <w:rPr>
          <w:b w:val="0"/>
          <w:noProof/>
          <w:szCs w:val="22"/>
        </w:rPr>
        <w:t>շրջանակներում</w:t>
      </w:r>
      <w:r w:rsidRPr="00A83C94">
        <w:rPr>
          <w:b w:val="0"/>
          <w:noProof/>
          <w:szCs w:val="22"/>
          <w:lang w:val="af-ZA"/>
        </w:rPr>
        <w:t xml:space="preserve"> </w:t>
      </w:r>
      <w:r w:rsidRPr="00A83C94">
        <w:rPr>
          <w:b w:val="0"/>
          <w:noProof/>
          <w:szCs w:val="22"/>
        </w:rPr>
        <w:t>հատկացումները</w:t>
      </w:r>
      <w:r w:rsidRPr="00A83C94">
        <w:rPr>
          <w:b w:val="0"/>
          <w:noProof/>
          <w:szCs w:val="22"/>
          <w:lang w:val="af-ZA"/>
        </w:rPr>
        <w:t xml:space="preserve"> </w:t>
      </w:r>
      <w:r w:rsidRPr="00A83C94">
        <w:rPr>
          <w:b w:val="0"/>
          <w:noProof/>
          <w:szCs w:val="22"/>
        </w:rPr>
        <w:t>կուղղվեն</w:t>
      </w:r>
      <w:r w:rsidRPr="00A83C94">
        <w:rPr>
          <w:b w:val="0"/>
          <w:noProof/>
          <w:szCs w:val="22"/>
          <w:lang w:val="af-ZA"/>
        </w:rPr>
        <w:t xml:space="preserve"> երկու </w:t>
      </w:r>
      <w:r w:rsidRPr="00A83C94">
        <w:rPr>
          <w:b w:val="0"/>
          <w:noProof/>
          <w:szCs w:val="22"/>
        </w:rPr>
        <w:t>միջոցառումների</w:t>
      </w:r>
      <w:r w:rsidRPr="00A83C94">
        <w:rPr>
          <w:b w:val="0"/>
          <w:noProof/>
          <w:szCs w:val="22"/>
          <w:lang w:val="af-ZA"/>
        </w:rPr>
        <w:t xml:space="preserve"> </w:t>
      </w:r>
      <w:r w:rsidRPr="00A83C94">
        <w:rPr>
          <w:b w:val="0"/>
          <w:noProof/>
          <w:szCs w:val="22"/>
        </w:rPr>
        <w:t>իրականացմանը՝</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Հանրապետության</w:t>
      </w:r>
      <w:r w:rsidRPr="00A83C94">
        <w:rPr>
          <w:b w:val="0"/>
          <w:noProof/>
          <w:szCs w:val="22"/>
          <w:lang w:val="af-ZA"/>
        </w:rPr>
        <w:t xml:space="preserve"> </w:t>
      </w:r>
      <w:r w:rsidRPr="00A83C94">
        <w:rPr>
          <w:b w:val="0"/>
          <w:noProof/>
          <w:szCs w:val="22"/>
        </w:rPr>
        <w:t>անկախության</w:t>
      </w:r>
      <w:r w:rsidRPr="00A83C94">
        <w:rPr>
          <w:b w:val="0"/>
          <w:noProof/>
          <w:szCs w:val="22"/>
          <w:lang w:val="af-ZA"/>
        </w:rPr>
        <w:t xml:space="preserve"> </w:t>
      </w:r>
      <w:r w:rsidRPr="00A83C94">
        <w:rPr>
          <w:b w:val="0"/>
          <w:noProof/>
          <w:szCs w:val="22"/>
        </w:rPr>
        <w:t>հռչակման</w:t>
      </w:r>
      <w:r w:rsidRPr="00A83C94">
        <w:rPr>
          <w:b w:val="0"/>
          <w:noProof/>
          <w:szCs w:val="22"/>
          <w:lang w:val="af-ZA"/>
        </w:rPr>
        <w:t xml:space="preserve"> </w:t>
      </w:r>
      <w:r w:rsidRPr="00A83C94">
        <w:rPr>
          <w:b w:val="0"/>
          <w:noProof/>
          <w:szCs w:val="22"/>
        </w:rPr>
        <w:t>տարեդարձին</w:t>
      </w:r>
      <w:r w:rsidRPr="00A83C94">
        <w:rPr>
          <w:b w:val="0"/>
          <w:noProof/>
          <w:szCs w:val="22"/>
          <w:lang w:val="af-ZA"/>
        </w:rPr>
        <w:t xml:space="preserve"> </w:t>
      </w:r>
      <w:r w:rsidRPr="00A83C94">
        <w:rPr>
          <w:b w:val="0"/>
          <w:noProof/>
          <w:szCs w:val="22"/>
        </w:rPr>
        <w:t>նվիրված</w:t>
      </w:r>
      <w:r w:rsidRPr="00A83C94">
        <w:rPr>
          <w:b w:val="0"/>
          <w:noProof/>
          <w:szCs w:val="22"/>
          <w:lang w:val="af-ZA"/>
        </w:rPr>
        <w:t xml:space="preserve"> </w:t>
      </w:r>
      <w:r w:rsidRPr="00A83C94">
        <w:rPr>
          <w:b w:val="0"/>
          <w:noProof/>
          <w:szCs w:val="22"/>
        </w:rPr>
        <w:t>միջոցառումներ</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Քաղաքացու</w:t>
      </w:r>
      <w:r w:rsidRPr="00A83C94">
        <w:rPr>
          <w:b w:val="0"/>
          <w:noProof/>
          <w:szCs w:val="22"/>
          <w:lang w:val="af-ZA"/>
        </w:rPr>
        <w:t xml:space="preserve"> </w:t>
      </w:r>
      <w:r w:rsidRPr="00A83C94">
        <w:rPr>
          <w:b w:val="0"/>
          <w:noProof/>
          <w:szCs w:val="22"/>
        </w:rPr>
        <w:t>օրվան</w:t>
      </w:r>
      <w:r w:rsidRPr="00A83C94">
        <w:rPr>
          <w:b w:val="0"/>
          <w:noProof/>
          <w:szCs w:val="22"/>
          <w:lang w:val="af-ZA"/>
        </w:rPr>
        <w:t xml:space="preserve"> </w:t>
      </w:r>
      <w:r w:rsidRPr="00A83C94">
        <w:rPr>
          <w:b w:val="0"/>
          <w:noProof/>
          <w:szCs w:val="22"/>
        </w:rPr>
        <w:t>նվիրված</w:t>
      </w:r>
      <w:r w:rsidRPr="00A83C94">
        <w:rPr>
          <w:b w:val="0"/>
          <w:noProof/>
          <w:szCs w:val="22"/>
          <w:lang w:val="af-ZA"/>
        </w:rPr>
        <w:t xml:space="preserve"> </w:t>
      </w:r>
      <w:r w:rsidRPr="00A83C94">
        <w:rPr>
          <w:b w:val="0"/>
          <w:noProof/>
          <w:szCs w:val="22"/>
        </w:rPr>
        <w:t>միջոցառումներ</w:t>
      </w:r>
      <w:r w:rsidRPr="00A83C94">
        <w:rPr>
          <w:b w:val="0"/>
          <w:noProof/>
          <w:szCs w:val="22"/>
          <w:lang w:val="af-ZA"/>
        </w:rPr>
        <w:t xml:space="preserve">» </w:t>
      </w:r>
      <w:r w:rsidRPr="00A83C94">
        <w:rPr>
          <w:b w:val="0"/>
          <w:noProof/>
          <w:szCs w:val="22"/>
        </w:rPr>
        <w:t>համապատասխանաբար՝</w:t>
      </w:r>
      <w:r w:rsidRPr="00A83C94">
        <w:rPr>
          <w:b w:val="0"/>
          <w:noProof/>
          <w:szCs w:val="22"/>
          <w:lang w:val="af-ZA"/>
        </w:rPr>
        <w:t xml:space="preserve"> 150.0 </w:t>
      </w:r>
      <w:r w:rsidRPr="00A83C94">
        <w:rPr>
          <w:b w:val="0"/>
          <w:noProof/>
          <w:szCs w:val="22"/>
        </w:rPr>
        <w:t>և</w:t>
      </w:r>
      <w:r w:rsidRPr="00A83C94">
        <w:rPr>
          <w:b w:val="0"/>
          <w:noProof/>
          <w:szCs w:val="22"/>
          <w:lang w:val="af-ZA"/>
        </w:rPr>
        <w:t xml:space="preserve"> 40.0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չափով</w:t>
      </w:r>
      <w:r w:rsidRPr="00A83C94">
        <w:rPr>
          <w:b w:val="0"/>
          <w:noProof/>
          <w:szCs w:val="22"/>
          <w:lang w:val="af-ZA"/>
        </w:rPr>
        <w:t>:</w:t>
      </w:r>
    </w:p>
    <w:p w14:paraId="475C1995" w14:textId="77777777" w:rsidR="007D0F12" w:rsidRPr="007D0F12" w:rsidRDefault="007D0F12" w:rsidP="007D0F12">
      <w:pPr>
        <w:numPr>
          <w:ilvl w:val="12"/>
          <w:numId w:val="0"/>
        </w:numPr>
        <w:tabs>
          <w:tab w:val="left" w:pos="851"/>
        </w:tabs>
        <w:spacing w:line="276" w:lineRule="auto"/>
        <w:ind w:firstLine="720"/>
        <w:rPr>
          <w:b w:val="0"/>
          <w:noProof/>
          <w:szCs w:val="22"/>
          <w:lang w:val="hy-AM"/>
        </w:rPr>
      </w:pPr>
      <w:r w:rsidRPr="007D0F12">
        <w:rPr>
          <w:noProof/>
          <w:szCs w:val="22"/>
          <w:lang w:val="hy-AM"/>
        </w:rPr>
        <w:t xml:space="preserve">Սփյուռքի գծով </w:t>
      </w:r>
      <w:r w:rsidRPr="007D0F12">
        <w:rPr>
          <w:b w:val="0"/>
          <w:noProof/>
          <w:szCs w:val="22"/>
          <w:lang w:val="hy-AM"/>
        </w:rPr>
        <w:t>իրականացվում է 2 ծրագիր, որից.</w:t>
      </w:r>
    </w:p>
    <w:p w14:paraId="334E4E22" w14:textId="77777777" w:rsidR="007D0F12" w:rsidRPr="007D0F12" w:rsidRDefault="007D0F12" w:rsidP="007D0F12">
      <w:pPr>
        <w:numPr>
          <w:ilvl w:val="12"/>
          <w:numId w:val="0"/>
        </w:numPr>
        <w:tabs>
          <w:tab w:val="left" w:pos="851"/>
        </w:tabs>
        <w:spacing w:line="276" w:lineRule="auto"/>
        <w:ind w:firstLine="720"/>
        <w:rPr>
          <w:b w:val="0"/>
          <w:noProof/>
          <w:szCs w:val="22"/>
          <w:lang w:val="hy-AM"/>
        </w:rPr>
      </w:pPr>
      <w:r w:rsidRPr="007D0F12">
        <w:rPr>
          <w:noProof/>
          <w:szCs w:val="22"/>
          <w:lang w:val="hy-AM"/>
        </w:rPr>
        <w:t xml:space="preserve">Հայաստան-Սփյուռք գործակցության </w:t>
      </w:r>
      <w:r w:rsidRPr="007D0F12">
        <w:rPr>
          <w:b w:val="0"/>
          <w:noProof/>
          <w:szCs w:val="22"/>
          <w:lang w:val="hy-AM"/>
        </w:rPr>
        <w:t>ծրագրի նպատակն է</w:t>
      </w:r>
      <w:r w:rsidRPr="007D0F12">
        <w:rPr>
          <w:b w:val="0"/>
          <w:noProof/>
          <w:szCs w:val="22"/>
          <w:lang w:val="af-ZA"/>
        </w:rPr>
        <w:t xml:space="preserve"> </w:t>
      </w:r>
      <w:r w:rsidRPr="007D0F12">
        <w:rPr>
          <w:b w:val="0"/>
          <w:noProof/>
          <w:szCs w:val="22"/>
          <w:lang w:val="hy-AM"/>
        </w:rPr>
        <w:t xml:space="preserve">նպաստել </w:t>
      </w:r>
      <w:r w:rsidRPr="007D0F12">
        <w:rPr>
          <w:rFonts w:cs="Sylfaen"/>
          <w:b w:val="0"/>
          <w:bCs/>
          <w:noProof/>
          <w:szCs w:val="22"/>
          <w:lang w:val="hy-AM" w:eastAsia="en-US"/>
        </w:rPr>
        <w:t>Հայաստան-Սփյուռք գործակցության զարգացմանը, հայապահպանությանն ու ազգային ինքնության պահպանմանը:</w:t>
      </w:r>
      <w:r w:rsidRPr="007D0F12">
        <w:rPr>
          <w:b w:val="0"/>
          <w:noProof/>
          <w:szCs w:val="22"/>
          <w:lang w:val="hy-AM"/>
        </w:rPr>
        <w:t xml:space="preserve"> </w:t>
      </w:r>
    </w:p>
    <w:p w14:paraId="5E18427F" w14:textId="77777777" w:rsidR="007D0F12" w:rsidRPr="007D0F12" w:rsidRDefault="007D0F12" w:rsidP="007D0F12">
      <w:pPr>
        <w:numPr>
          <w:ilvl w:val="12"/>
          <w:numId w:val="0"/>
        </w:numPr>
        <w:tabs>
          <w:tab w:val="left" w:pos="851"/>
        </w:tabs>
        <w:spacing w:line="276" w:lineRule="auto"/>
        <w:ind w:firstLine="720"/>
        <w:rPr>
          <w:b w:val="0"/>
          <w:noProof/>
          <w:szCs w:val="22"/>
          <w:lang w:val="af-ZA"/>
        </w:rPr>
      </w:pPr>
      <w:r w:rsidRPr="007D0F12">
        <w:rPr>
          <w:b w:val="0"/>
          <w:noProof/>
          <w:szCs w:val="22"/>
          <w:lang w:val="hy-AM"/>
        </w:rPr>
        <w:t>Ծրագրի</w:t>
      </w:r>
      <w:r w:rsidRPr="007D0F12">
        <w:rPr>
          <w:b w:val="0"/>
          <w:noProof/>
          <w:szCs w:val="22"/>
          <w:lang w:val="af-ZA"/>
        </w:rPr>
        <w:t xml:space="preserve"> </w:t>
      </w:r>
      <w:r w:rsidRPr="007D0F12">
        <w:rPr>
          <w:b w:val="0"/>
          <w:noProof/>
          <w:szCs w:val="22"/>
          <w:lang w:val="hy-AM"/>
        </w:rPr>
        <w:t>գծով</w:t>
      </w:r>
      <w:r w:rsidRPr="007D0F12">
        <w:rPr>
          <w:b w:val="0"/>
          <w:noProof/>
          <w:szCs w:val="22"/>
          <w:lang w:val="af-ZA"/>
        </w:rPr>
        <w:t xml:space="preserve"> </w:t>
      </w:r>
      <w:r w:rsidRPr="007D0F12">
        <w:rPr>
          <w:b w:val="0"/>
          <w:noProof/>
          <w:szCs w:val="22"/>
          <w:lang w:val="hy-AM"/>
        </w:rPr>
        <w:t>հատկացումներն</w:t>
      </w:r>
      <w:r w:rsidRPr="007D0F12">
        <w:rPr>
          <w:b w:val="0"/>
          <w:noProof/>
          <w:szCs w:val="22"/>
          <w:lang w:val="af-ZA"/>
        </w:rPr>
        <w:t xml:space="preserve"> 374.6 </w:t>
      </w:r>
      <w:r w:rsidRPr="007D0F12">
        <w:rPr>
          <w:b w:val="0"/>
          <w:noProof/>
          <w:szCs w:val="22"/>
          <w:lang w:val="hy-AM"/>
        </w:rPr>
        <w:t>մլն</w:t>
      </w:r>
      <w:r w:rsidRPr="007D0F12">
        <w:rPr>
          <w:b w:val="0"/>
          <w:noProof/>
          <w:szCs w:val="22"/>
          <w:lang w:val="af-ZA"/>
        </w:rPr>
        <w:t xml:space="preserve"> </w:t>
      </w:r>
      <w:r w:rsidRPr="007D0F12">
        <w:rPr>
          <w:b w:val="0"/>
          <w:noProof/>
          <w:szCs w:val="22"/>
          <w:lang w:val="hy-AM"/>
        </w:rPr>
        <w:t>դրամի չափով ուղղվելու</w:t>
      </w:r>
      <w:r w:rsidRPr="007D0F12">
        <w:rPr>
          <w:b w:val="0"/>
          <w:noProof/>
          <w:szCs w:val="22"/>
          <w:lang w:val="af-ZA"/>
        </w:rPr>
        <w:t xml:space="preserve"> </w:t>
      </w:r>
      <w:r w:rsidRPr="007D0F12">
        <w:rPr>
          <w:b w:val="0"/>
          <w:noProof/>
          <w:szCs w:val="22"/>
          <w:lang w:val="hy-AM"/>
        </w:rPr>
        <w:t>են</w:t>
      </w:r>
      <w:r w:rsidRPr="007D0F12">
        <w:rPr>
          <w:b w:val="0"/>
          <w:noProof/>
          <w:szCs w:val="22"/>
          <w:lang w:val="af-ZA"/>
        </w:rPr>
        <w:t xml:space="preserve"> 7 </w:t>
      </w:r>
      <w:r w:rsidRPr="007D0F12">
        <w:rPr>
          <w:b w:val="0"/>
          <w:noProof/>
          <w:szCs w:val="22"/>
          <w:lang w:val="hy-AM"/>
        </w:rPr>
        <w:t>միջոցառումների</w:t>
      </w:r>
      <w:r w:rsidRPr="007D0F12">
        <w:rPr>
          <w:b w:val="0"/>
          <w:noProof/>
          <w:szCs w:val="22"/>
          <w:lang w:val="af-ZA"/>
        </w:rPr>
        <w:t xml:space="preserve"> </w:t>
      </w:r>
      <w:r w:rsidRPr="007D0F12">
        <w:rPr>
          <w:b w:val="0"/>
          <w:noProof/>
          <w:szCs w:val="22"/>
          <w:lang w:val="hy-AM"/>
        </w:rPr>
        <w:t>իրականացմանը:</w:t>
      </w:r>
      <w:r w:rsidRPr="007D0F12">
        <w:rPr>
          <w:b w:val="0"/>
          <w:noProof/>
          <w:szCs w:val="22"/>
          <w:lang w:val="af-ZA"/>
        </w:rPr>
        <w:t xml:space="preserve"> </w:t>
      </w:r>
    </w:p>
    <w:p w14:paraId="63BBDB4D" w14:textId="6FBE899C" w:rsidR="007D0F12" w:rsidRPr="007D0F12" w:rsidRDefault="007D0F12" w:rsidP="007D0F12">
      <w:pPr>
        <w:pStyle w:val="ListParagraph"/>
        <w:spacing w:after="120" w:line="276" w:lineRule="auto"/>
        <w:ind w:left="0"/>
        <w:contextualSpacing w:val="0"/>
        <w:rPr>
          <w:b w:val="0"/>
          <w:szCs w:val="22"/>
          <w:lang w:val="af-ZA"/>
        </w:rPr>
      </w:pPr>
      <w:r w:rsidRPr="007D0F12">
        <w:rPr>
          <w:b w:val="0"/>
          <w:szCs w:val="22"/>
          <w:lang w:val="af-ZA"/>
        </w:rPr>
        <w:t xml:space="preserve">  </w:t>
      </w:r>
      <w:r w:rsidRPr="007D0F12">
        <w:rPr>
          <w:b w:val="0"/>
          <w:szCs w:val="22"/>
        </w:rPr>
        <w:t>Ծրագրի</w:t>
      </w:r>
      <w:r w:rsidRPr="007D0F12">
        <w:rPr>
          <w:b w:val="0"/>
          <w:szCs w:val="22"/>
          <w:lang w:val="fr-FR"/>
        </w:rPr>
        <w:t xml:space="preserve"> </w:t>
      </w:r>
      <w:r w:rsidRPr="007D0F12">
        <w:rPr>
          <w:b w:val="0"/>
          <w:szCs w:val="22"/>
          <w:lang w:val="hy-AM"/>
        </w:rPr>
        <w:t xml:space="preserve">շրջանակներում </w:t>
      </w:r>
      <w:r w:rsidRPr="007D0F12">
        <w:rPr>
          <w:b w:val="0"/>
          <w:szCs w:val="22"/>
        </w:rPr>
        <w:t>նախատեսվում</w:t>
      </w:r>
      <w:r w:rsidRPr="007D0F12">
        <w:rPr>
          <w:b w:val="0"/>
          <w:szCs w:val="22"/>
          <w:lang w:val="fr-FR"/>
        </w:rPr>
        <w:t xml:space="preserve"> </w:t>
      </w:r>
      <w:r w:rsidRPr="007D0F12">
        <w:rPr>
          <w:b w:val="0"/>
          <w:szCs w:val="22"/>
          <w:lang w:val="hy-AM"/>
        </w:rPr>
        <w:t>է</w:t>
      </w:r>
      <w:r w:rsidRPr="007D0F12">
        <w:rPr>
          <w:b w:val="0"/>
          <w:szCs w:val="22"/>
          <w:lang w:val="fr-FR"/>
        </w:rPr>
        <w:t xml:space="preserve"> </w:t>
      </w:r>
      <w:r w:rsidRPr="007D0F12">
        <w:rPr>
          <w:b w:val="0"/>
          <w:szCs w:val="22"/>
        </w:rPr>
        <w:t>իրականացնել</w:t>
      </w:r>
      <w:r w:rsidRPr="007D0F12">
        <w:rPr>
          <w:szCs w:val="22"/>
          <w:lang w:val="fr-FR"/>
        </w:rPr>
        <w:t xml:space="preserve"> </w:t>
      </w:r>
      <w:r w:rsidRPr="007D0F12">
        <w:rPr>
          <w:b w:val="0"/>
          <w:szCs w:val="22"/>
          <w:lang w:val="af-ZA"/>
        </w:rPr>
        <w:t xml:space="preserve">Սփյուռքի հայ երիտասարդության և պատանիների </w:t>
      </w:r>
      <w:r w:rsidRPr="007D0F12">
        <w:rPr>
          <w:b w:val="0"/>
          <w:szCs w:val="22"/>
          <w:lang w:val="hy-AM"/>
        </w:rPr>
        <w:t>ուսումնա</w:t>
      </w:r>
      <w:r w:rsidRPr="007D0F12">
        <w:rPr>
          <w:b w:val="0"/>
          <w:szCs w:val="22"/>
          <w:lang w:val="af-ZA"/>
        </w:rPr>
        <w:t>ճանաչողական այցելություններ, հայերենի ուսուցման և հայրենագիտության դասընթացներ</w:t>
      </w:r>
      <w:r w:rsidRPr="007D0F12">
        <w:rPr>
          <w:b w:val="0"/>
          <w:szCs w:val="22"/>
          <w:lang w:val="hy-AM"/>
        </w:rPr>
        <w:t>,</w:t>
      </w:r>
      <w:r w:rsidRPr="007D0F12">
        <w:rPr>
          <w:b w:val="0"/>
          <w:noProof/>
          <w:szCs w:val="22"/>
          <w:lang w:val="hy-AM"/>
        </w:rPr>
        <w:t xml:space="preserve"> </w:t>
      </w:r>
      <w:r w:rsidRPr="007D0F12">
        <w:rPr>
          <w:b w:val="0"/>
          <w:noProof/>
          <w:szCs w:val="22"/>
        </w:rPr>
        <w:t>ընդգրկել</w:t>
      </w:r>
      <w:r w:rsidRPr="007D0F12">
        <w:rPr>
          <w:b w:val="0"/>
          <w:noProof/>
          <w:szCs w:val="22"/>
          <w:lang w:val="hy-AM"/>
        </w:rPr>
        <w:t>ով</w:t>
      </w:r>
      <w:r w:rsidRPr="007D0F12">
        <w:rPr>
          <w:b w:val="0"/>
          <w:noProof/>
          <w:szCs w:val="22"/>
          <w:lang w:val="af-ZA"/>
        </w:rPr>
        <w:t xml:space="preserve"> </w:t>
      </w:r>
      <w:r w:rsidRPr="007D0F12">
        <w:rPr>
          <w:b w:val="0"/>
          <w:noProof/>
          <w:szCs w:val="22"/>
          <w:lang w:val="hy-AM"/>
        </w:rPr>
        <w:t>շուրջ 4</w:t>
      </w:r>
      <w:r w:rsidRPr="007D0F12">
        <w:rPr>
          <w:b w:val="0"/>
          <w:noProof/>
          <w:szCs w:val="22"/>
          <w:lang w:val="af-ZA"/>
        </w:rPr>
        <w:t xml:space="preserve">00 </w:t>
      </w:r>
      <w:r w:rsidRPr="007D0F12">
        <w:rPr>
          <w:b w:val="0"/>
          <w:noProof/>
          <w:szCs w:val="22"/>
          <w:lang w:val="hy-AM"/>
        </w:rPr>
        <w:t xml:space="preserve">մասնակցի, </w:t>
      </w:r>
      <w:r w:rsidRPr="007D0F12">
        <w:rPr>
          <w:b w:val="0"/>
          <w:szCs w:val="22"/>
        </w:rPr>
        <w:t>հնարավորություն</w:t>
      </w:r>
      <w:r w:rsidRPr="007D0F12">
        <w:rPr>
          <w:b w:val="0"/>
          <w:szCs w:val="22"/>
          <w:lang w:val="af-ZA"/>
        </w:rPr>
        <w:t xml:space="preserve"> </w:t>
      </w:r>
      <w:r w:rsidRPr="007D0F12">
        <w:rPr>
          <w:b w:val="0"/>
          <w:szCs w:val="22"/>
        </w:rPr>
        <w:t>է</w:t>
      </w:r>
      <w:r w:rsidRPr="007D0F12">
        <w:rPr>
          <w:b w:val="0"/>
          <w:szCs w:val="22"/>
          <w:lang w:val="af-ZA"/>
        </w:rPr>
        <w:t xml:space="preserve"> </w:t>
      </w:r>
      <w:r w:rsidRPr="007D0F12">
        <w:rPr>
          <w:b w:val="0"/>
          <w:szCs w:val="22"/>
        </w:rPr>
        <w:t>ընձեռնվում</w:t>
      </w:r>
      <w:r w:rsidRPr="007D0F12">
        <w:rPr>
          <w:b w:val="0"/>
          <w:szCs w:val="22"/>
          <w:lang w:val="af-ZA"/>
        </w:rPr>
        <w:t xml:space="preserve"> </w:t>
      </w:r>
      <w:r w:rsidRPr="007D0F12">
        <w:rPr>
          <w:b w:val="0"/>
          <w:szCs w:val="22"/>
        </w:rPr>
        <w:t>սփյուռքահայ</w:t>
      </w:r>
      <w:r w:rsidRPr="007D0F12">
        <w:rPr>
          <w:b w:val="0"/>
          <w:szCs w:val="22"/>
          <w:lang w:val="af-ZA"/>
        </w:rPr>
        <w:t xml:space="preserve"> </w:t>
      </w:r>
      <w:r w:rsidRPr="007D0F12">
        <w:rPr>
          <w:b w:val="0"/>
          <w:szCs w:val="22"/>
        </w:rPr>
        <w:t>լավագույն</w:t>
      </w:r>
      <w:r w:rsidRPr="007D0F12">
        <w:rPr>
          <w:b w:val="0"/>
          <w:szCs w:val="22"/>
          <w:lang w:val="af-ZA"/>
        </w:rPr>
        <w:t xml:space="preserve"> </w:t>
      </w:r>
      <w:r w:rsidRPr="007D0F12">
        <w:rPr>
          <w:b w:val="0"/>
          <w:szCs w:val="22"/>
        </w:rPr>
        <w:t>որակավորում</w:t>
      </w:r>
      <w:r w:rsidRPr="007D0F12">
        <w:rPr>
          <w:b w:val="0"/>
          <w:szCs w:val="22"/>
          <w:lang w:val="af-ZA"/>
        </w:rPr>
        <w:t xml:space="preserve"> </w:t>
      </w:r>
      <w:r w:rsidRPr="007D0F12">
        <w:rPr>
          <w:b w:val="0"/>
          <w:szCs w:val="22"/>
        </w:rPr>
        <w:t>ունեցող</w:t>
      </w:r>
      <w:r w:rsidRPr="007D0F12">
        <w:rPr>
          <w:b w:val="0"/>
          <w:szCs w:val="22"/>
          <w:lang w:val="af-ZA"/>
        </w:rPr>
        <w:t xml:space="preserve"> 50 </w:t>
      </w:r>
      <w:r w:rsidRPr="007D0F12">
        <w:rPr>
          <w:b w:val="0"/>
          <w:szCs w:val="22"/>
        </w:rPr>
        <w:t>մասնագետներին</w:t>
      </w:r>
      <w:r w:rsidRPr="007D0F12">
        <w:rPr>
          <w:b w:val="0"/>
          <w:szCs w:val="22"/>
          <w:lang w:val="af-ZA"/>
        </w:rPr>
        <w:t xml:space="preserve"> </w:t>
      </w:r>
      <w:r w:rsidRPr="007D0F12">
        <w:rPr>
          <w:b w:val="0"/>
          <w:szCs w:val="22"/>
        </w:rPr>
        <w:t>իրենց</w:t>
      </w:r>
      <w:r w:rsidRPr="007D0F12">
        <w:rPr>
          <w:b w:val="0"/>
          <w:szCs w:val="22"/>
          <w:lang w:val="af-ZA"/>
        </w:rPr>
        <w:t xml:space="preserve"> </w:t>
      </w:r>
      <w:r w:rsidRPr="007D0F12">
        <w:rPr>
          <w:b w:val="0"/>
          <w:szCs w:val="22"/>
        </w:rPr>
        <w:t>մասնագիտական</w:t>
      </w:r>
      <w:r w:rsidRPr="007D0F12">
        <w:rPr>
          <w:b w:val="0"/>
          <w:szCs w:val="22"/>
          <w:lang w:val="af-ZA"/>
        </w:rPr>
        <w:t xml:space="preserve"> </w:t>
      </w:r>
      <w:r w:rsidRPr="007D0F12">
        <w:rPr>
          <w:b w:val="0"/>
          <w:szCs w:val="22"/>
        </w:rPr>
        <w:t>և</w:t>
      </w:r>
      <w:r w:rsidRPr="007D0F12">
        <w:rPr>
          <w:b w:val="0"/>
          <w:szCs w:val="22"/>
          <w:lang w:val="af-ZA"/>
        </w:rPr>
        <w:t xml:space="preserve"> փորձագիտական հմտություններով ներգրավվելու ՀՀ պետական կառավարման համակարգում, պատրաստվելու և </w:t>
      </w:r>
      <w:r w:rsidRPr="007D0F12">
        <w:rPr>
          <w:b w:val="0"/>
          <w:szCs w:val="22"/>
          <w:lang w:val="hy-AM"/>
        </w:rPr>
        <w:t>հեռարձակվելու</w:t>
      </w:r>
      <w:r w:rsidRPr="007D0F12">
        <w:rPr>
          <w:b w:val="0"/>
          <w:szCs w:val="22"/>
          <w:lang w:val="af-ZA"/>
        </w:rPr>
        <w:t xml:space="preserve"> են հայրենադարձության քարոզչության վերաբերյալ 110 հեռուստահաղորդումներ</w:t>
      </w:r>
      <w:r w:rsidRPr="007D0F12">
        <w:rPr>
          <w:b w:val="0"/>
          <w:szCs w:val="22"/>
          <w:lang w:val="hy-AM"/>
        </w:rPr>
        <w:t>,</w:t>
      </w:r>
      <w:r w:rsidRPr="007D0F12">
        <w:rPr>
          <w:b w:val="0"/>
          <w:szCs w:val="22"/>
          <w:lang w:val="af-ZA"/>
        </w:rPr>
        <w:t xml:space="preserve"> տեսահոլովակներ և գովազդային նյութեր` ապահովելով սփյուռքահայերի իրազեկվածությ</w:t>
      </w:r>
      <w:r>
        <w:rPr>
          <w:b w:val="0"/>
          <w:szCs w:val="22"/>
        </w:rPr>
        <w:t>ունը</w:t>
      </w:r>
      <w:r w:rsidRPr="007D0F12">
        <w:rPr>
          <w:b w:val="0"/>
          <w:szCs w:val="22"/>
          <w:lang w:val="af-ZA"/>
        </w:rPr>
        <w:t xml:space="preserve">: </w:t>
      </w:r>
    </w:p>
    <w:p w14:paraId="38D8F8A8" w14:textId="77777777" w:rsidR="007D0F12" w:rsidRPr="007D0F12" w:rsidRDefault="007D0F12" w:rsidP="007D0F12">
      <w:pPr>
        <w:numPr>
          <w:ilvl w:val="12"/>
          <w:numId w:val="0"/>
        </w:numPr>
        <w:tabs>
          <w:tab w:val="left" w:pos="851"/>
        </w:tabs>
        <w:spacing w:line="276" w:lineRule="auto"/>
        <w:ind w:firstLine="720"/>
        <w:rPr>
          <w:b w:val="0"/>
          <w:szCs w:val="22"/>
          <w:lang w:val="af-ZA"/>
        </w:rPr>
      </w:pPr>
      <w:r w:rsidRPr="007D0F12">
        <w:rPr>
          <w:b w:val="0"/>
          <w:szCs w:val="22"/>
        </w:rPr>
        <w:t>Ծրագրի</w:t>
      </w:r>
      <w:r w:rsidRPr="007D0F12">
        <w:rPr>
          <w:b w:val="0"/>
          <w:szCs w:val="22"/>
          <w:lang w:val="fr-FR"/>
        </w:rPr>
        <w:t xml:space="preserve"> </w:t>
      </w:r>
      <w:r w:rsidRPr="007D0F12">
        <w:rPr>
          <w:b w:val="0"/>
          <w:szCs w:val="22"/>
          <w:lang w:val="hy-AM"/>
        </w:rPr>
        <w:t xml:space="preserve">շրջանակներում </w:t>
      </w:r>
      <w:r w:rsidRPr="007D0F12">
        <w:rPr>
          <w:b w:val="0"/>
          <w:szCs w:val="22"/>
        </w:rPr>
        <w:t>նախատեսվում</w:t>
      </w:r>
      <w:r w:rsidRPr="007D0F12">
        <w:rPr>
          <w:b w:val="0"/>
          <w:szCs w:val="22"/>
          <w:lang w:val="af-ZA"/>
        </w:rPr>
        <w:t xml:space="preserve"> </w:t>
      </w:r>
      <w:r w:rsidRPr="007D0F12">
        <w:rPr>
          <w:b w:val="0"/>
          <w:szCs w:val="22"/>
          <w:lang w:val="hy-AM"/>
        </w:rPr>
        <w:t>է իրականացնել</w:t>
      </w:r>
      <w:r w:rsidRPr="007D0F12">
        <w:rPr>
          <w:b w:val="0"/>
          <w:szCs w:val="22"/>
          <w:lang w:val="af-ZA"/>
        </w:rPr>
        <w:t xml:space="preserve"> Հ</w:t>
      </w:r>
      <w:r w:rsidRPr="007D0F12">
        <w:rPr>
          <w:b w:val="0"/>
          <w:szCs w:val="22"/>
          <w:lang w:val="hy-AM"/>
        </w:rPr>
        <w:t xml:space="preserve">այաստանի </w:t>
      </w:r>
      <w:r w:rsidRPr="007D0F12">
        <w:rPr>
          <w:b w:val="0"/>
          <w:szCs w:val="22"/>
          <w:lang w:val="af-ZA"/>
        </w:rPr>
        <w:t>Հ</w:t>
      </w:r>
      <w:r w:rsidRPr="007D0F12">
        <w:rPr>
          <w:b w:val="0"/>
          <w:szCs w:val="22"/>
          <w:lang w:val="hy-AM"/>
        </w:rPr>
        <w:t>անրապետության</w:t>
      </w:r>
      <w:r w:rsidRPr="007D0F12">
        <w:rPr>
          <w:b w:val="0"/>
          <w:szCs w:val="22"/>
          <w:lang w:val="af-ZA"/>
        </w:rPr>
        <w:t xml:space="preserve"> մասին </w:t>
      </w:r>
      <w:r w:rsidRPr="007D0F12">
        <w:rPr>
          <w:b w:val="0"/>
          <w:szCs w:val="22"/>
          <w:lang w:val="hy-AM"/>
        </w:rPr>
        <w:t xml:space="preserve">սփյուռքի </w:t>
      </w:r>
      <w:r w:rsidRPr="007D0F12">
        <w:rPr>
          <w:b w:val="0"/>
          <w:szCs w:val="22"/>
          <w:lang w:val="af-ZA"/>
        </w:rPr>
        <w:t xml:space="preserve">երիտասարդ առաջնորդների ճանաչողական և վերապատրաստման դասընթացների կազմակերպում շուրջ 20 մասնակցի համար, ինչպես նաև 27 այցելություններ սփյուռքի համայնքներ՝ խնդիրներին ծանոթանալու, դրանց լուծման ուղիների քննարկման, համայնքներում կազմակերպված միջոցառումներին մասնակցության և այլ նպատակներով:  </w:t>
      </w:r>
    </w:p>
    <w:p w14:paraId="76C81D25" w14:textId="77777777" w:rsidR="007D0F12" w:rsidRPr="007D0F12" w:rsidRDefault="007D0F12" w:rsidP="007D0F12">
      <w:pPr>
        <w:spacing w:after="120" w:line="276" w:lineRule="auto"/>
        <w:rPr>
          <w:b w:val="0"/>
          <w:szCs w:val="22"/>
          <w:lang w:val="af-ZA"/>
        </w:rPr>
      </w:pPr>
      <w:r w:rsidRPr="007D0F12">
        <w:rPr>
          <w:b w:val="0"/>
          <w:szCs w:val="22"/>
          <w:lang w:val="af-ZA"/>
        </w:rPr>
        <w:t>Ծրագրի շրջանակներում նախատեսվում է նաև Հայրենադարձության և ինտեգրման կենտրոնի ստեղծում, որը հնարավորություն կընձեռի կարգավորել հայրենադարձության հետ կապված տարատեսակ հարցեր, սպասարկելով շուրջ 2500 անձանց և կնպաստի Հայաստանի Հանրապետությունում հայրենադարձների արագ և արդյունավետ ինտեգրմանը:</w:t>
      </w:r>
    </w:p>
    <w:p w14:paraId="761305A8" w14:textId="77777777" w:rsidR="007D0F12" w:rsidRPr="007D0F12" w:rsidRDefault="007D0F12" w:rsidP="007D0F12">
      <w:pPr>
        <w:numPr>
          <w:ilvl w:val="12"/>
          <w:numId w:val="0"/>
        </w:numPr>
        <w:tabs>
          <w:tab w:val="left" w:pos="851"/>
        </w:tabs>
        <w:spacing w:line="276" w:lineRule="auto"/>
        <w:ind w:firstLine="720"/>
        <w:rPr>
          <w:b w:val="0"/>
          <w:noProof/>
          <w:szCs w:val="22"/>
          <w:lang w:val="hy-AM"/>
        </w:rPr>
      </w:pPr>
      <w:r w:rsidRPr="007D0F12">
        <w:rPr>
          <w:rFonts w:eastAsia="Calibri"/>
          <w:b w:val="0"/>
          <w:szCs w:val="22"/>
          <w:lang w:val="hy-AM" w:eastAsia="en-US"/>
        </w:rPr>
        <w:t>Միաժամանակ</w:t>
      </w:r>
      <w:r w:rsidRPr="007D0F12">
        <w:rPr>
          <w:rFonts w:eastAsia="Calibri"/>
          <w:b w:val="0"/>
          <w:szCs w:val="22"/>
          <w:lang w:val="af-ZA" w:eastAsia="en-US"/>
        </w:rPr>
        <w:t>,</w:t>
      </w:r>
      <w:r w:rsidRPr="007D0F12">
        <w:rPr>
          <w:rFonts w:eastAsia="Calibri"/>
          <w:b w:val="0"/>
          <w:szCs w:val="22"/>
          <w:lang w:val="fr-FR" w:eastAsia="en-US"/>
        </w:rPr>
        <w:t xml:space="preserve"> </w:t>
      </w:r>
      <w:r w:rsidRPr="007D0F12">
        <w:rPr>
          <w:rFonts w:eastAsia="Calibri"/>
          <w:b w:val="0"/>
          <w:szCs w:val="22"/>
          <w:lang w:val="hy-AM" w:eastAsia="en-US"/>
        </w:rPr>
        <w:t>ծրագրի</w:t>
      </w:r>
      <w:r w:rsidRPr="007D0F12">
        <w:rPr>
          <w:rFonts w:eastAsia="Calibri"/>
          <w:b w:val="0"/>
          <w:szCs w:val="22"/>
          <w:lang w:val="fr-FR" w:eastAsia="en-US"/>
        </w:rPr>
        <w:t xml:space="preserve"> </w:t>
      </w:r>
      <w:r w:rsidRPr="007D0F12">
        <w:rPr>
          <w:rFonts w:eastAsia="Calibri"/>
          <w:b w:val="0"/>
          <w:szCs w:val="22"/>
          <w:lang w:val="hy-AM" w:eastAsia="en-US"/>
        </w:rPr>
        <w:t>գծով</w:t>
      </w:r>
      <w:r w:rsidRPr="007D0F12">
        <w:rPr>
          <w:rFonts w:eastAsia="Calibri"/>
          <w:b w:val="0"/>
          <w:szCs w:val="22"/>
          <w:lang w:val="fr-FR" w:eastAsia="en-US"/>
        </w:rPr>
        <w:t xml:space="preserve"> </w:t>
      </w:r>
      <w:r w:rsidRPr="007D0F12">
        <w:rPr>
          <w:rFonts w:eastAsia="Calibri" w:cs="Sylfaen"/>
          <w:b w:val="0"/>
          <w:szCs w:val="22"/>
          <w:lang w:val="fr-FR" w:eastAsia="en-US"/>
        </w:rPr>
        <w:t xml:space="preserve">2021 թվականի համեմատ ծախսերը նվազել են </w:t>
      </w:r>
      <w:r w:rsidRPr="007D0F12">
        <w:rPr>
          <w:b w:val="0"/>
          <w:noProof/>
          <w:szCs w:val="22"/>
          <w:lang w:val="af-ZA"/>
        </w:rPr>
        <w:t xml:space="preserve">441.3 </w:t>
      </w:r>
      <w:r w:rsidRPr="007D0F12">
        <w:rPr>
          <w:b w:val="0"/>
          <w:noProof/>
          <w:szCs w:val="22"/>
          <w:lang w:val="hy-AM"/>
        </w:rPr>
        <w:t>մլն</w:t>
      </w:r>
      <w:r w:rsidRPr="007D0F12">
        <w:rPr>
          <w:b w:val="0"/>
          <w:noProof/>
          <w:szCs w:val="22"/>
          <w:lang w:val="af-ZA"/>
        </w:rPr>
        <w:t xml:space="preserve"> </w:t>
      </w:r>
      <w:r w:rsidRPr="007D0F12">
        <w:rPr>
          <w:b w:val="0"/>
          <w:noProof/>
          <w:szCs w:val="22"/>
          <w:lang w:val="hy-AM"/>
        </w:rPr>
        <w:t>դրամով</w:t>
      </w:r>
      <w:r w:rsidRPr="007D0F12">
        <w:rPr>
          <w:b w:val="0"/>
          <w:noProof/>
          <w:szCs w:val="22"/>
          <w:lang w:val="af-ZA"/>
        </w:rPr>
        <w:t xml:space="preserve">, </w:t>
      </w:r>
      <w:r w:rsidRPr="007D0F12">
        <w:rPr>
          <w:b w:val="0"/>
          <w:noProof/>
          <w:szCs w:val="22"/>
          <w:lang w:val="hy-AM"/>
        </w:rPr>
        <w:t xml:space="preserve">պայմանավորված կանխատեսվող մասնակիցների քանակի կրճատմամբ </w:t>
      </w:r>
      <w:r w:rsidRPr="007D0F12">
        <w:rPr>
          <w:b w:val="0"/>
          <w:noProof/>
          <w:szCs w:val="22"/>
          <w:lang w:val="af-ZA"/>
        </w:rPr>
        <w:t>(</w:t>
      </w:r>
      <w:r w:rsidRPr="007D0F12">
        <w:rPr>
          <w:b w:val="0"/>
          <w:noProof/>
          <w:szCs w:val="22"/>
          <w:lang w:val="hy-AM"/>
        </w:rPr>
        <w:t>հաշվի է առնվել որոշ միջոցառումների գծով փաստացի ծախսերը</w:t>
      </w:r>
      <w:r w:rsidRPr="007D0F12">
        <w:rPr>
          <w:b w:val="0"/>
          <w:noProof/>
          <w:szCs w:val="22"/>
          <w:lang w:val="af-ZA"/>
        </w:rPr>
        <w:t>)</w:t>
      </w:r>
      <w:r w:rsidRPr="007D0F12">
        <w:rPr>
          <w:b w:val="0"/>
          <w:noProof/>
          <w:szCs w:val="22"/>
          <w:lang w:val="hy-AM"/>
        </w:rPr>
        <w:t xml:space="preserve">: </w:t>
      </w:r>
    </w:p>
    <w:p w14:paraId="52CCE98D" w14:textId="77777777" w:rsidR="007D0F12" w:rsidRPr="007D0F12" w:rsidRDefault="007D0F12" w:rsidP="007D0F12">
      <w:pPr>
        <w:numPr>
          <w:ilvl w:val="12"/>
          <w:numId w:val="0"/>
        </w:numPr>
        <w:tabs>
          <w:tab w:val="left" w:pos="851"/>
        </w:tabs>
        <w:spacing w:line="276" w:lineRule="auto"/>
        <w:ind w:firstLine="720"/>
        <w:rPr>
          <w:rFonts w:cs="Sylfaen"/>
          <w:b w:val="0"/>
          <w:kern w:val="16"/>
          <w:szCs w:val="22"/>
          <w:lang w:val="pt-BR"/>
        </w:rPr>
      </w:pPr>
      <w:r w:rsidRPr="007D0F12">
        <w:rPr>
          <w:noProof/>
          <w:szCs w:val="22"/>
          <w:lang w:val="hy-AM"/>
        </w:rPr>
        <w:t>ՀՀ զարգացման գործընթացներում Սփյուռքի ներուժի ներգրավում ծրագրի</w:t>
      </w:r>
      <w:r w:rsidRPr="007D0F12">
        <w:rPr>
          <w:b w:val="0"/>
          <w:noProof/>
          <w:szCs w:val="22"/>
          <w:lang w:val="hy-AM"/>
        </w:rPr>
        <w:t xml:space="preserve"> նպատակն է ապահովել </w:t>
      </w:r>
      <w:r w:rsidRPr="007D0F12">
        <w:rPr>
          <w:rFonts w:cs="Sylfaen"/>
          <w:b w:val="0"/>
          <w:bCs/>
          <w:szCs w:val="22"/>
          <w:lang w:val="hy-AM"/>
        </w:rPr>
        <w:t xml:space="preserve">սփյուռքի ներուժի բացահայտումը, տեղեկատվական համակարգերի ստեղծումը, կատարելագործումը և համալրումը, համատեղ ծրագրերի իրականացումը, համահայկական մասնագիտական ցանցերի ստեղծումը, </w:t>
      </w:r>
      <w:r w:rsidRPr="007D0F12">
        <w:rPr>
          <w:rFonts w:cs="Sylfaen"/>
          <w:b w:val="0"/>
          <w:color w:val="000000"/>
          <w:szCs w:val="22"/>
          <w:shd w:val="clear" w:color="auto" w:fill="FFFFFF"/>
          <w:lang w:val="hy-AM"/>
        </w:rPr>
        <w:t>որի արդյունքում հնարավոր կլինի համախմբել Հայաստանի և</w:t>
      </w:r>
      <w:r w:rsidRPr="007D0F12">
        <w:rPr>
          <w:rFonts w:cs="Sylfaen"/>
          <w:b w:val="0"/>
          <w:color w:val="000000"/>
          <w:szCs w:val="22"/>
          <w:shd w:val="clear" w:color="auto" w:fill="FFFFFF"/>
          <w:lang w:val="pt-BR"/>
        </w:rPr>
        <w:t xml:space="preserve"> </w:t>
      </w:r>
      <w:r w:rsidRPr="007D0F12">
        <w:rPr>
          <w:rFonts w:cs="Sylfaen"/>
          <w:b w:val="0"/>
          <w:color w:val="000000"/>
          <w:szCs w:val="22"/>
          <w:shd w:val="clear" w:color="auto" w:fill="FFFFFF"/>
          <w:lang w:val="hy-AM"/>
        </w:rPr>
        <w:t>Սփյուռքի</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գիտական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կրթական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տնտեսական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մշակութային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և</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այլ</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ոլորտներում</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առկա</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ներուժը</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 xml:space="preserve">և այն </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արդյունավետ</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կիրառել առաջադրված</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խնդիրների</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լուծման</w:t>
      </w:r>
      <w:r w:rsidRPr="007D0F12">
        <w:rPr>
          <w:b w:val="0"/>
          <w:color w:val="000000"/>
          <w:szCs w:val="22"/>
          <w:shd w:val="clear" w:color="auto" w:fill="FFFFFF"/>
          <w:lang w:val="pt-BR"/>
        </w:rPr>
        <w:t xml:space="preserve"> </w:t>
      </w:r>
      <w:r w:rsidRPr="007D0F12">
        <w:rPr>
          <w:rFonts w:cs="Sylfaen"/>
          <w:b w:val="0"/>
          <w:color w:val="000000"/>
          <w:szCs w:val="22"/>
          <w:shd w:val="clear" w:color="auto" w:fill="FFFFFF"/>
          <w:lang w:val="hy-AM"/>
        </w:rPr>
        <w:t>համար</w:t>
      </w:r>
      <w:r w:rsidRPr="007D0F12">
        <w:rPr>
          <w:b w:val="0"/>
          <w:color w:val="000000"/>
          <w:szCs w:val="22"/>
          <w:shd w:val="clear" w:color="auto" w:fill="FFFFFF"/>
          <w:lang w:val="pt-BR"/>
        </w:rPr>
        <w:t>:</w:t>
      </w:r>
    </w:p>
    <w:p w14:paraId="1A28B93D" w14:textId="77777777" w:rsidR="007D0F12" w:rsidRPr="007D0F12" w:rsidRDefault="007D0F12" w:rsidP="007D0F12">
      <w:pPr>
        <w:numPr>
          <w:ilvl w:val="12"/>
          <w:numId w:val="0"/>
        </w:numPr>
        <w:tabs>
          <w:tab w:val="left" w:pos="851"/>
        </w:tabs>
        <w:spacing w:line="276" w:lineRule="auto"/>
        <w:rPr>
          <w:b w:val="0"/>
          <w:noProof/>
          <w:szCs w:val="22"/>
          <w:lang w:val="hy-AM"/>
        </w:rPr>
      </w:pPr>
      <w:r w:rsidRPr="007D0F12">
        <w:rPr>
          <w:b w:val="0"/>
          <w:noProof/>
          <w:szCs w:val="22"/>
          <w:lang w:val="pt-BR"/>
        </w:rPr>
        <w:t xml:space="preserve">         </w:t>
      </w:r>
      <w:r w:rsidRPr="007D0F12">
        <w:rPr>
          <w:b w:val="0"/>
          <w:noProof/>
          <w:szCs w:val="22"/>
        </w:rPr>
        <w:t>Ծրագրի</w:t>
      </w:r>
      <w:r w:rsidRPr="007D0F12">
        <w:rPr>
          <w:b w:val="0"/>
          <w:noProof/>
          <w:szCs w:val="22"/>
          <w:lang w:val="pt-BR"/>
        </w:rPr>
        <w:t xml:space="preserve"> </w:t>
      </w:r>
      <w:r w:rsidRPr="007D0F12">
        <w:rPr>
          <w:b w:val="0"/>
          <w:noProof/>
          <w:szCs w:val="22"/>
          <w:lang w:val="hy-AM"/>
        </w:rPr>
        <w:t>գծով</w:t>
      </w:r>
      <w:r w:rsidRPr="007D0F12">
        <w:rPr>
          <w:b w:val="0"/>
          <w:noProof/>
          <w:szCs w:val="22"/>
          <w:lang w:val="pt-BR"/>
        </w:rPr>
        <w:t xml:space="preserve"> </w:t>
      </w:r>
      <w:r w:rsidRPr="007D0F12">
        <w:rPr>
          <w:b w:val="0"/>
          <w:noProof/>
          <w:szCs w:val="22"/>
        </w:rPr>
        <w:t>հատկացումներն</w:t>
      </w:r>
      <w:r w:rsidRPr="007D0F12">
        <w:rPr>
          <w:b w:val="0"/>
          <w:noProof/>
          <w:szCs w:val="22"/>
          <w:lang w:val="pt-BR"/>
        </w:rPr>
        <w:t xml:space="preserve"> </w:t>
      </w:r>
      <w:r w:rsidRPr="007D0F12">
        <w:rPr>
          <w:b w:val="0"/>
          <w:noProof/>
          <w:szCs w:val="22"/>
          <w:lang w:val="hy-AM"/>
        </w:rPr>
        <w:t>204</w:t>
      </w:r>
      <w:r w:rsidRPr="007D0F12">
        <w:rPr>
          <w:b w:val="0"/>
          <w:noProof/>
          <w:szCs w:val="22"/>
          <w:lang w:val="af-ZA"/>
        </w:rPr>
        <w:t>.</w:t>
      </w:r>
      <w:r w:rsidRPr="007D0F12">
        <w:rPr>
          <w:b w:val="0"/>
          <w:noProof/>
          <w:szCs w:val="22"/>
          <w:lang w:val="hy-AM"/>
        </w:rPr>
        <w:t>3</w:t>
      </w:r>
      <w:r w:rsidRPr="007D0F12">
        <w:rPr>
          <w:b w:val="0"/>
          <w:noProof/>
          <w:szCs w:val="22"/>
          <w:lang w:val="af-ZA"/>
        </w:rPr>
        <w:t xml:space="preserve"> </w:t>
      </w:r>
      <w:r w:rsidRPr="007D0F12">
        <w:rPr>
          <w:b w:val="0"/>
          <w:noProof/>
          <w:szCs w:val="22"/>
          <w:lang w:val="hy-AM"/>
        </w:rPr>
        <w:t>մլն</w:t>
      </w:r>
      <w:r w:rsidRPr="007D0F12">
        <w:rPr>
          <w:b w:val="0"/>
          <w:noProof/>
          <w:szCs w:val="22"/>
          <w:lang w:val="af-ZA"/>
        </w:rPr>
        <w:t xml:space="preserve"> </w:t>
      </w:r>
      <w:r w:rsidRPr="007D0F12">
        <w:rPr>
          <w:b w:val="0"/>
          <w:noProof/>
          <w:szCs w:val="22"/>
          <w:lang w:val="hy-AM"/>
        </w:rPr>
        <w:t>դրամի չափով</w:t>
      </w:r>
      <w:r w:rsidRPr="007D0F12">
        <w:rPr>
          <w:b w:val="0"/>
          <w:noProof/>
          <w:szCs w:val="22"/>
          <w:lang w:val="pt-BR"/>
        </w:rPr>
        <w:t xml:space="preserve"> </w:t>
      </w:r>
      <w:r w:rsidRPr="007D0F12">
        <w:rPr>
          <w:b w:val="0"/>
          <w:noProof/>
          <w:szCs w:val="22"/>
        </w:rPr>
        <w:t>ուղղվելու</w:t>
      </w:r>
      <w:r w:rsidRPr="007D0F12">
        <w:rPr>
          <w:b w:val="0"/>
          <w:noProof/>
          <w:szCs w:val="22"/>
          <w:lang w:val="pt-BR"/>
        </w:rPr>
        <w:t xml:space="preserve"> </w:t>
      </w:r>
      <w:r w:rsidRPr="007D0F12">
        <w:rPr>
          <w:b w:val="0"/>
          <w:noProof/>
          <w:szCs w:val="22"/>
        </w:rPr>
        <w:t>են</w:t>
      </w:r>
      <w:r w:rsidRPr="007D0F12">
        <w:rPr>
          <w:b w:val="0"/>
          <w:noProof/>
          <w:szCs w:val="22"/>
          <w:lang w:val="pt-BR"/>
        </w:rPr>
        <w:t xml:space="preserve"> </w:t>
      </w:r>
      <w:r w:rsidRPr="007D0F12">
        <w:rPr>
          <w:b w:val="0"/>
          <w:noProof/>
          <w:szCs w:val="22"/>
          <w:lang w:val="hy-AM"/>
        </w:rPr>
        <w:t>2</w:t>
      </w:r>
      <w:r w:rsidRPr="007D0F12">
        <w:rPr>
          <w:b w:val="0"/>
          <w:noProof/>
          <w:szCs w:val="22"/>
          <w:lang w:val="af-ZA"/>
        </w:rPr>
        <w:t xml:space="preserve"> </w:t>
      </w:r>
      <w:r w:rsidRPr="007D0F12">
        <w:rPr>
          <w:b w:val="0"/>
          <w:noProof/>
          <w:szCs w:val="22"/>
        </w:rPr>
        <w:t>միջոցառումների</w:t>
      </w:r>
      <w:r w:rsidRPr="007D0F12">
        <w:rPr>
          <w:b w:val="0"/>
          <w:noProof/>
          <w:szCs w:val="22"/>
          <w:lang w:val="af-ZA"/>
        </w:rPr>
        <w:t xml:space="preserve"> </w:t>
      </w:r>
      <w:r w:rsidRPr="007D0F12">
        <w:rPr>
          <w:b w:val="0"/>
          <w:noProof/>
          <w:szCs w:val="22"/>
        </w:rPr>
        <w:t>իրականացմանը</w:t>
      </w:r>
      <w:r w:rsidRPr="007D0F12">
        <w:rPr>
          <w:b w:val="0"/>
          <w:noProof/>
          <w:szCs w:val="22"/>
          <w:lang w:val="hy-AM"/>
        </w:rPr>
        <w:t>:</w:t>
      </w:r>
    </w:p>
    <w:p w14:paraId="27572C08" w14:textId="77777777" w:rsidR="007D0F12" w:rsidRPr="007D0F12" w:rsidRDefault="007D0F12" w:rsidP="007D0F12">
      <w:pPr>
        <w:numPr>
          <w:ilvl w:val="12"/>
          <w:numId w:val="0"/>
        </w:numPr>
        <w:tabs>
          <w:tab w:val="left" w:pos="851"/>
        </w:tabs>
        <w:spacing w:line="276" w:lineRule="auto"/>
        <w:rPr>
          <w:b w:val="0"/>
          <w:noProof/>
          <w:szCs w:val="22"/>
          <w:lang w:val="hy-AM"/>
        </w:rPr>
      </w:pPr>
      <w:r w:rsidRPr="007D0F12">
        <w:rPr>
          <w:b w:val="0"/>
          <w:i/>
          <w:noProof/>
          <w:szCs w:val="22"/>
          <w:lang w:val="hy-AM"/>
        </w:rPr>
        <w:t xml:space="preserve">        </w:t>
      </w:r>
      <w:r w:rsidRPr="007D0F12">
        <w:rPr>
          <w:b w:val="0"/>
          <w:i/>
          <w:noProof/>
          <w:szCs w:val="22"/>
          <w:lang w:val="pt-BR"/>
        </w:rPr>
        <w:t xml:space="preserve"> </w:t>
      </w:r>
      <w:r w:rsidRPr="007D0F12">
        <w:rPr>
          <w:b w:val="0"/>
          <w:szCs w:val="22"/>
          <w:lang w:val="hy-AM"/>
        </w:rPr>
        <w:t>Ծրագրի</w:t>
      </w:r>
      <w:r w:rsidRPr="007D0F12">
        <w:rPr>
          <w:b w:val="0"/>
          <w:szCs w:val="22"/>
          <w:lang w:val="fr-FR"/>
        </w:rPr>
        <w:t xml:space="preserve"> </w:t>
      </w:r>
      <w:r w:rsidRPr="007D0F12">
        <w:rPr>
          <w:b w:val="0"/>
          <w:szCs w:val="22"/>
          <w:lang w:val="hy-AM"/>
        </w:rPr>
        <w:t>շրջանակներում նախատեսվում</w:t>
      </w:r>
      <w:r w:rsidRPr="007D0F12">
        <w:rPr>
          <w:b w:val="0"/>
          <w:szCs w:val="22"/>
          <w:lang w:val="fr-FR"/>
        </w:rPr>
        <w:t xml:space="preserve"> </w:t>
      </w:r>
      <w:r w:rsidRPr="007D0F12">
        <w:rPr>
          <w:b w:val="0"/>
          <w:szCs w:val="22"/>
          <w:lang w:val="hy-AM"/>
        </w:rPr>
        <w:t>է</w:t>
      </w:r>
      <w:r w:rsidRPr="007D0F12">
        <w:rPr>
          <w:b w:val="0"/>
          <w:szCs w:val="22"/>
          <w:lang w:val="fr-FR"/>
        </w:rPr>
        <w:t xml:space="preserve"> </w:t>
      </w:r>
      <w:r w:rsidRPr="007D0F12">
        <w:rPr>
          <w:b w:val="0"/>
          <w:szCs w:val="22"/>
          <w:lang w:val="hy-AM"/>
        </w:rPr>
        <w:t>իրականացնել</w:t>
      </w:r>
      <w:r w:rsidRPr="007D0F12">
        <w:rPr>
          <w:b w:val="0"/>
          <w:szCs w:val="22"/>
          <w:lang w:val="fr-FR"/>
        </w:rPr>
        <w:t xml:space="preserve"> </w:t>
      </w:r>
      <w:r w:rsidRPr="007D0F12">
        <w:rPr>
          <w:b w:val="0"/>
          <w:szCs w:val="22"/>
          <w:lang w:val="hy-AM"/>
        </w:rPr>
        <w:t xml:space="preserve">3 </w:t>
      </w:r>
      <w:r w:rsidRPr="007D0F12">
        <w:rPr>
          <w:b w:val="0"/>
          <w:noProof/>
          <w:szCs w:val="22"/>
          <w:lang w:val="hy-AM"/>
        </w:rPr>
        <w:t>Համահայկական համաժողով (</w:t>
      </w:r>
      <w:r w:rsidRPr="007D0F12">
        <w:rPr>
          <w:rFonts w:eastAsia="Calibri"/>
          <w:b w:val="0"/>
          <w:color w:val="000000"/>
          <w:szCs w:val="22"/>
          <w:lang w:val="pt-BR"/>
        </w:rPr>
        <w:t xml:space="preserve">Սփյուռքահայ քաղաքական գործիչների, Հայաստան-Սփյուռք համահայկական, Սփյուռքի ներդրումների և բարեգործության </w:t>
      </w:r>
      <w:r w:rsidRPr="007D0F12">
        <w:rPr>
          <w:rFonts w:eastAsia="Calibri"/>
          <w:b w:val="0"/>
          <w:color w:val="000000"/>
          <w:szCs w:val="22"/>
          <w:lang w:val="hy-AM"/>
        </w:rPr>
        <w:t>համաժողովներ</w:t>
      </w:r>
      <w:r w:rsidRPr="007D0F12">
        <w:rPr>
          <w:rFonts w:eastAsia="Calibri"/>
          <w:b w:val="0"/>
          <w:color w:val="000000"/>
          <w:szCs w:val="22"/>
          <w:lang w:val="pt-BR"/>
        </w:rPr>
        <w:t>)</w:t>
      </w:r>
      <w:r w:rsidRPr="007D0F12">
        <w:rPr>
          <w:rFonts w:eastAsia="Calibri"/>
          <w:b w:val="0"/>
          <w:color w:val="000000"/>
          <w:szCs w:val="22"/>
          <w:lang w:val="hy-AM"/>
        </w:rPr>
        <w:t>, որը իրականացվում է երկու տարին մեկ անգամ՝ ներգրավելով</w:t>
      </w:r>
      <w:r w:rsidRPr="007D0F12">
        <w:rPr>
          <w:b w:val="0"/>
          <w:noProof/>
          <w:szCs w:val="22"/>
          <w:lang w:val="hy-AM"/>
        </w:rPr>
        <w:t xml:space="preserve"> շուրջ 2550 մասնակիցների, ինչպես նաև «</w:t>
      </w:r>
      <w:r w:rsidRPr="007D0F12">
        <w:rPr>
          <w:b w:val="0"/>
          <w:noProof/>
          <w:szCs w:val="22"/>
          <w:lang w:val="pt-BR"/>
        </w:rPr>
        <w:t>Սփյուռքի մարդկային ներուժի վերհանում, դրա քարտեզագրում և տեղեկատվական բազայի ստեղծում»</w:t>
      </w:r>
      <w:r w:rsidRPr="007D0F12">
        <w:rPr>
          <w:b w:val="0"/>
          <w:noProof/>
          <w:szCs w:val="22"/>
          <w:lang w:val="hy-AM"/>
        </w:rPr>
        <w:t xml:space="preserve"> միջոցառման գծով հավաքագրել սփյուռքի մարդկային ներուժի 50 000 տվյալ: </w:t>
      </w:r>
    </w:p>
    <w:p w14:paraId="564104B3" w14:textId="77777777" w:rsidR="007D0F12" w:rsidRPr="00855EC2" w:rsidRDefault="007D0F12" w:rsidP="007D0F12">
      <w:pPr>
        <w:numPr>
          <w:ilvl w:val="12"/>
          <w:numId w:val="0"/>
        </w:numPr>
        <w:tabs>
          <w:tab w:val="left" w:pos="851"/>
        </w:tabs>
        <w:spacing w:line="276" w:lineRule="auto"/>
        <w:rPr>
          <w:b w:val="0"/>
          <w:noProof/>
          <w:szCs w:val="22"/>
          <w:lang w:val="af-ZA"/>
        </w:rPr>
      </w:pPr>
      <w:r w:rsidRPr="007D0F12">
        <w:rPr>
          <w:rFonts w:eastAsia="Calibri" w:cs="Sylfaen"/>
          <w:b w:val="0"/>
          <w:szCs w:val="22"/>
          <w:lang w:val="hy-AM" w:eastAsia="en-US"/>
        </w:rPr>
        <w:t xml:space="preserve">         Ծրագրի գծով </w:t>
      </w:r>
      <w:r w:rsidRPr="007D0F12">
        <w:rPr>
          <w:rFonts w:eastAsia="Calibri" w:cs="Sylfaen"/>
          <w:b w:val="0"/>
          <w:szCs w:val="22"/>
          <w:lang w:val="fr-FR" w:eastAsia="en-US"/>
        </w:rPr>
        <w:t xml:space="preserve">2021 թվականի համեմատ ծախսերը </w:t>
      </w:r>
      <w:r w:rsidRPr="007D0F12">
        <w:rPr>
          <w:rFonts w:eastAsia="Calibri" w:cs="Sylfaen"/>
          <w:b w:val="0"/>
          <w:szCs w:val="22"/>
          <w:lang w:val="hy-AM" w:eastAsia="en-US"/>
        </w:rPr>
        <w:t>աճել են 129.3 մլն դրամով:</w:t>
      </w:r>
    </w:p>
    <w:p w14:paraId="7A526A83" w14:textId="666987D1" w:rsidR="00FC7885" w:rsidRPr="00A83C94" w:rsidRDefault="00FC7885" w:rsidP="007D0F12">
      <w:pPr>
        <w:numPr>
          <w:ilvl w:val="12"/>
          <w:numId w:val="0"/>
        </w:numPr>
        <w:tabs>
          <w:tab w:val="left" w:pos="851"/>
        </w:tabs>
        <w:spacing w:line="276" w:lineRule="auto"/>
        <w:ind w:firstLine="720"/>
        <w:rPr>
          <w:rFonts w:cs="Times LatArm"/>
          <w:b w:val="0"/>
          <w:szCs w:val="22"/>
          <w:lang w:val="hy-AM"/>
        </w:rPr>
      </w:pPr>
      <w:r w:rsidRPr="00A83C94">
        <w:rPr>
          <w:rFonts w:cs="Times LatArm"/>
          <w:szCs w:val="22"/>
          <w:lang w:val="hy-AM"/>
        </w:rPr>
        <w:t>Քաղաքացիական ծառայողների վերապատրաստում</w:t>
      </w:r>
      <w:r w:rsidR="00B8385D" w:rsidRPr="00A83C94">
        <w:rPr>
          <w:rFonts w:cs="Times LatArm"/>
          <w:szCs w:val="22"/>
          <w:lang w:val="hy-AM"/>
        </w:rPr>
        <w:t xml:space="preserve"> </w:t>
      </w:r>
      <w:r w:rsidRPr="00A83C94">
        <w:rPr>
          <w:rFonts w:cs="Times LatArm"/>
          <w:b w:val="0"/>
          <w:szCs w:val="22"/>
          <w:lang w:val="hy-AM"/>
        </w:rPr>
        <w:t>ծրագրի գծով 2022 թվականին նախատեսվում է հատկացնել 16.2 մլն դրամ՝ քաղաքացիական ծառայողների մասնագիտական գիտելիքների, աշխատանքային ունակությունների հետևողական վերապատրաստման և ուսուցման նպատակով</w:t>
      </w:r>
      <w:r w:rsidRPr="00A83C94">
        <w:rPr>
          <w:b w:val="0"/>
          <w:noProof/>
          <w:szCs w:val="22"/>
          <w:lang w:val="hy-AM"/>
        </w:rPr>
        <w:t xml:space="preserve">՝ ՀՀ 2021 թվականի պետական բյուջեով հաստատված 19.8 մլն դրամի դիմաց: </w:t>
      </w:r>
      <w:r w:rsidR="00A26A26" w:rsidRPr="00A83C94">
        <w:rPr>
          <w:b w:val="0"/>
          <w:noProof/>
          <w:szCs w:val="22"/>
          <w:lang w:val="hy-AM"/>
        </w:rPr>
        <w:t>2022 թվականին նախատեսվում է վերապատրաստել 4500 քաղաքացիական ծառայողներ</w:t>
      </w:r>
      <w:r w:rsidR="00A26A26" w:rsidRPr="00A83C94">
        <w:rPr>
          <w:rFonts w:cs="Times LatArm"/>
          <w:b w:val="0"/>
          <w:szCs w:val="22"/>
          <w:lang w:val="hy-AM"/>
        </w:rPr>
        <w:t>ի:</w:t>
      </w:r>
    </w:p>
    <w:p w14:paraId="08FF8746" w14:textId="72E576FF" w:rsidR="001C3747" w:rsidRPr="00A83C94" w:rsidRDefault="001C3747" w:rsidP="001C3747">
      <w:pPr>
        <w:numPr>
          <w:ilvl w:val="12"/>
          <w:numId w:val="0"/>
        </w:numPr>
        <w:tabs>
          <w:tab w:val="left" w:pos="851"/>
        </w:tabs>
        <w:spacing w:line="276" w:lineRule="auto"/>
        <w:ind w:firstLine="720"/>
        <w:rPr>
          <w:rFonts w:cs="Times LatArm"/>
          <w:b w:val="0"/>
          <w:szCs w:val="22"/>
          <w:lang w:val="hy-AM"/>
        </w:rPr>
      </w:pPr>
      <w:r w:rsidRPr="00A83C94">
        <w:rPr>
          <w:rFonts w:cs="Times LatArm"/>
          <w:szCs w:val="22"/>
          <w:lang w:val="hy-AM"/>
        </w:rPr>
        <w:t xml:space="preserve">Պետական հատվածի արդիականացման </w:t>
      </w:r>
      <w:r w:rsidRPr="00A83C94">
        <w:rPr>
          <w:rFonts w:cs="Times LatArm"/>
          <w:b w:val="0"/>
          <w:szCs w:val="22"/>
          <w:lang w:val="hy-AM"/>
        </w:rPr>
        <w:t xml:space="preserve">ծրագրի գծով  2022 թվականին  նախատեսվել է  </w:t>
      </w:r>
      <w:r w:rsidR="008152DD" w:rsidRPr="002526E9">
        <w:rPr>
          <w:rFonts w:cs="Times LatArm"/>
          <w:b w:val="0"/>
          <w:szCs w:val="22"/>
          <w:lang w:val="hy-AM"/>
        </w:rPr>
        <w:t xml:space="preserve">2,954.8 </w:t>
      </w:r>
      <w:r w:rsidRPr="00A83C94">
        <w:rPr>
          <w:rFonts w:cs="Times LatArm"/>
          <w:b w:val="0"/>
          <w:szCs w:val="22"/>
          <w:lang w:val="hy-AM"/>
        </w:rPr>
        <w:t>մլն դրամ: Ծրագրի նպատակն է Հանրային ֆինանսական հաշվետվությունների որակի և ընտրված էլեկտրոնային կառավարման կատարելագործված ծառայությունների հասանելիության բարելավում: Ծրագրի շրջանակներում նախատեսվում է՝ ՀՀ պետական և համայնքային ծառայությունների (ծառայությունների, լիցենզիաների և թույլտվությունների) միասնական էլեկտրոնային համակարգի ստեղծում և ինտեգրում e-gov.am հարթակին, Էլ.հյուպատոսության համակարգի նոր՝ տեսամոդուլի ձեռքբերում և ինտեգրում Էլեկտրոնային նոտարական (AENIS) համակարգին, միասնական էլեկտրոնային հարթակ ծանուցումների համար, վիճակագրական տվյալների վահանակ (dashboard) որոշում կայացնողների համար:</w:t>
      </w:r>
    </w:p>
    <w:p w14:paraId="7E5D2C09" w14:textId="5A19C149" w:rsidR="001C3747" w:rsidRPr="00A83C94" w:rsidRDefault="001C3747" w:rsidP="001C3747">
      <w:pPr>
        <w:numPr>
          <w:ilvl w:val="12"/>
          <w:numId w:val="0"/>
        </w:numPr>
        <w:tabs>
          <w:tab w:val="left" w:pos="851"/>
        </w:tabs>
        <w:spacing w:line="276" w:lineRule="auto"/>
        <w:ind w:firstLine="720"/>
        <w:rPr>
          <w:rFonts w:cs="Times LatArm"/>
          <w:b w:val="0"/>
          <w:szCs w:val="22"/>
          <w:lang w:val="hy-AM"/>
        </w:rPr>
      </w:pPr>
      <w:r w:rsidRPr="00A83C94">
        <w:rPr>
          <w:rFonts w:cs="Times LatArm"/>
          <w:szCs w:val="22"/>
          <w:lang w:val="hy-AM"/>
        </w:rPr>
        <w:t>Արդյունահանող ճյուղերի զարգացման</w:t>
      </w:r>
      <w:r w:rsidRPr="00A83C94">
        <w:rPr>
          <w:rFonts w:cs="Times LatArm"/>
          <w:b w:val="0"/>
          <w:szCs w:val="22"/>
          <w:lang w:val="hy-AM"/>
        </w:rPr>
        <w:t xml:space="preserve"> ծրագրի գծով  2022 թվականին  նախատեսվել է  </w:t>
      </w:r>
      <w:r w:rsidR="008152DD" w:rsidRPr="002526E9">
        <w:rPr>
          <w:rFonts w:cs="Times LatArm"/>
          <w:b w:val="0"/>
          <w:szCs w:val="22"/>
          <w:lang w:val="hy-AM"/>
        </w:rPr>
        <w:t>117.9</w:t>
      </w:r>
      <w:r w:rsidRPr="00A83C94">
        <w:rPr>
          <w:rFonts w:cs="Times LatArm"/>
          <w:b w:val="0"/>
          <w:szCs w:val="22"/>
          <w:lang w:val="hy-AM"/>
        </w:rPr>
        <w:t xml:space="preserve"> մլն դրամ: Ծրագրի նպատակն է Հայաստանում տնտեսական աճին հանքարդյունաբերության ոլորտի նպաստի ամրապնդումը: Ծրագրի շրջանակներում նախատեսվում է՝ Համաշխարհային բանկի աջակցությամբ իրականացվող «Հայաստանի արդյունահանող ճյուղերի թափանցիկության նախաձեռնությանն աջակցություն. Լրացուցիչ ֆինանսավորում» դրամաշնոր</w:t>
      </w:r>
      <w:r w:rsidRPr="00A83C94">
        <w:rPr>
          <w:rFonts w:cs="Times LatArm"/>
          <w:b w:val="0"/>
          <w:szCs w:val="22"/>
          <w:lang w:val="hy-AM"/>
        </w:rPr>
        <w:softHyphen/>
        <w:t>հային ծրագիր, որի նպատակն է ԱՃԹՆ-ի միջազգային ստանդարտին համապատասխան՝ հանքաարդյունաբերության ոլորտի թափանցիկության և հաշվետվողականության բարձրացմանն աջակցություն, տվյալների համակարգված բացահայտումների համակարգի ներդնում:</w:t>
      </w:r>
    </w:p>
    <w:p w14:paraId="4F332F6B" w14:textId="77777777" w:rsidR="001C3747" w:rsidRPr="00A83C94" w:rsidRDefault="001C3747" w:rsidP="001B5347">
      <w:pPr>
        <w:numPr>
          <w:ilvl w:val="12"/>
          <w:numId w:val="0"/>
        </w:numPr>
        <w:tabs>
          <w:tab w:val="left" w:pos="851"/>
        </w:tabs>
        <w:spacing w:line="276" w:lineRule="auto"/>
        <w:ind w:firstLine="720"/>
        <w:rPr>
          <w:b w:val="0"/>
          <w:noProof/>
          <w:sz w:val="24"/>
          <w:lang w:val="hy-AM"/>
        </w:rPr>
      </w:pPr>
    </w:p>
    <w:p w14:paraId="0C035874" w14:textId="77777777" w:rsidR="00FC7885" w:rsidRPr="00A83C94" w:rsidRDefault="00FC7885" w:rsidP="00427D1F">
      <w:pPr>
        <w:keepNext/>
        <w:spacing w:before="0" w:line="276" w:lineRule="auto"/>
        <w:ind w:firstLine="0"/>
        <w:contextualSpacing w:val="0"/>
        <w:jc w:val="center"/>
        <w:outlineLvl w:val="2"/>
        <w:rPr>
          <w:rFonts w:cs="Arial"/>
          <w:sz w:val="24"/>
          <w:lang w:val="hy-AM" w:eastAsia="en-US"/>
        </w:rPr>
      </w:pPr>
      <w:bookmarkStart w:id="323" w:name="_Toc526009822"/>
      <w:bookmarkStart w:id="324" w:name="_Toc89428328"/>
      <w:r w:rsidRPr="00A83C94">
        <w:rPr>
          <w:rFonts w:cs="Arial"/>
          <w:sz w:val="24"/>
          <w:lang w:val="hy-AM" w:eastAsia="en-US"/>
        </w:rPr>
        <w:t>ՀՀ պետական եկամուտների կոմիտե</w:t>
      </w:r>
      <w:bookmarkEnd w:id="324"/>
    </w:p>
    <w:p w14:paraId="793699CF" w14:textId="5C757F17" w:rsidR="00F515CB" w:rsidRPr="00A83C94" w:rsidRDefault="00F515CB" w:rsidP="00F515CB">
      <w:pPr>
        <w:pStyle w:val="Bullet2"/>
      </w:pPr>
      <w:r w:rsidRPr="00A83C94">
        <w:rPr>
          <w:b/>
          <w:lang w:val="hy-AM"/>
        </w:rPr>
        <w:t>Հարկային</w:t>
      </w:r>
      <w:r w:rsidRPr="00A83C94">
        <w:rPr>
          <w:b/>
        </w:rPr>
        <w:t xml:space="preserve"> </w:t>
      </w:r>
      <w:r w:rsidRPr="00A83C94">
        <w:rPr>
          <w:b/>
          <w:lang w:val="hy-AM"/>
        </w:rPr>
        <w:t>և</w:t>
      </w:r>
      <w:r w:rsidRPr="00A83C94">
        <w:rPr>
          <w:b/>
        </w:rPr>
        <w:t xml:space="preserve"> </w:t>
      </w:r>
      <w:r w:rsidRPr="00A83C94">
        <w:rPr>
          <w:b/>
          <w:lang w:val="hy-AM"/>
        </w:rPr>
        <w:t>մաքսային</w:t>
      </w:r>
      <w:r w:rsidRPr="00A83C94">
        <w:rPr>
          <w:b/>
        </w:rPr>
        <w:t xml:space="preserve"> </w:t>
      </w:r>
      <w:r w:rsidRPr="00A83C94">
        <w:rPr>
          <w:b/>
          <w:lang w:val="hy-AM"/>
        </w:rPr>
        <w:t>ծառայություններ</w:t>
      </w:r>
      <w:r w:rsidRPr="00A83C94">
        <w:t xml:space="preserve"> </w:t>
      </w:r>
      <w:r w:rsidRPr="00A83C94">
        <w:rPr>
          <w:lang w:val="hy-AM"/>
        </w:rPr>
        <w:t>ծրագրի</w:t>
      </w:r>
      <w:r w:rsidRPr="00A83C94">
        <w:t xml:space="preserve"> </w:t>
      </w:r>
      <w:r w:rsidR="00427D1F" w:rsidRPr="00A83C94">
        <w:t>գծով</w:t>
      </w:r>
      <w:r w:rsidRPr="00A83C94">
        <w:t xml:space="preserve"> </w:t>
      </w:r>
      <w:r w:rsidR="00427D1F" w:rsidRPr="00A83C94">
        <w:t xml:space="preserve">ՀՀ 2022 թվականի պետական բյուջեի նախագծով, </w:t>
      </w:r>
      <w:r w:rsidR="00427D1F" w:rsidRPr="00A83C94">
        <w:rPr>
          <w:color w:val="000000"/>
          <w:lang w:val="hy-AM" w:eastAsia="en-US"/>
        </w:rPr>
        <w:t>ներառյալ կառավարման ապարատի պահպանման ծախսերը,</w:t>
      </w:r>
      <w:r w:rsidR="00427D1F" w:rsidRPr="00A83C94">
        <w:rPr>
          <w:lang w:val="hy-AM"/>
        </w:rPr>
        <w:t xml:space="preserve"> </w:t>
      </w:r>
      <w:r w:rsidRPr="00A83C94">
        <w:rPr>
          <w:lang w:val="hy-AM"/>
        </w:rPr>
        <w:t>նախատեսվել</w:t>
      </w:r>
      <w:r w:rsidRPr="00A83C94">
        <w:t xml:space="preserve"> </w:t>
      </w:r>
      <w:r w:rsidRPr="00A83C94">
        <w:rPr>
          <w:lang w:val="hy-AM"/>
        </w:rPr>
        <w:t>է</w:t>
      </w:r>
      <w:r w:rsidRPr="00A83C94">
        <w:t xml:space="preserve"> </w:t>
      </w:r>
      <w:r w:rsidRPr="00A83C94">
        <w:rPr>
          <w:lang w:val="hy-AM"/>
        </w:rPr>
        <w:t>հատկացնել</w:t>
      </w:r>
      <w:r w:rsidRPr="00A83C94">
        <w:t xml:space="preserve"> </w:t>
      </w:r>
      <w:r w:rsidR="009A59AC" w:rsidRPr="00A83C94">
        <w:t>33</w:t>
      </w:r>
      <w:r w:rsidRPr="00A83C94">
        <w:t>,</w:t>
      </w:r>
      <w:r w:rsidR="006A092A">
        <w:t>600</w:t>
      </w:r>
      <w:r w:rsidR="008152DD">
        <w:t>.</w:t>
      </w:r>
      <w:r w:rsidR="006A092A">
        <w:t>5</w:t>
      </w:r>
      <w:r w:rsidRPr="00A83C94">
        <w:t xml:space="preserve"> մլն դրամ</w:t>
      </w:r>
      <w:r w:rsidR="00427D1F" w:rsidRPr="00A83C94">
        <w:t xml:space="preserve">, </w:t>
      </w:r>
      <w:r w:rsidRPr="00A83C94">
        <w:t>(</w:t>
      </w:r>
      <w:r w:rsidR="002C51C0" w:rsidRPr="00A83C94">
        <w:t>այդ թվում՝</w:t>
      </w:r>
      <w:r w:rsidR="009A59AC" w:rsidRPr="00A83C94">
        <w:t xml:space="preserve"> </w:t>
      </w:r>
      <w:r w:rsidRPr="00A83C94">
        <w:t>վարկային միջոցներ՝ 1.</w:t>
      </w:r>
      <w:r w:rsidR="008B10CB">
        <w:t>526</w:t>
      </w:r>
      <w:r w:rsidRPr="00A83C94">
        <w:t>.</w:t>
      </w:r>
      <w:r w:rsidR="008B10CB">
        <w:t>3</w:t>
      </w:r>
      <w:r w:rsidRPr="00A83C94">
        <w:t xml:space="preserve"> մլն</w:t>
      </w:r>
      <w:r w:rsidR="009A59AC" w:rsidRPr="00A83C94">
        <w:t xml:space="preserve"> դրամ</w:t>
      </w:r>
      <w:r w:rsidRPr="00A83C94">
        <w:t xml:space="preserve">, դրամաշնորհային միջոցներ՝ </w:t>
      </w:r>
      <w:r w:rsidR="008B10CB">
        <w:t>1,500</w:t>
      </w:r>
      <w:r w:rsidRPr="00A83C94">
        <w:t>.</w:t>
      </w:r>
      <w:r w:rsidR="008B10CB">
        <w:t>0</w:t>
      </w:r>
      <w:r w:rsidRPr="00A83C94">
        <w:t xml:space="preserve"> մլն դրամ, ՀՀ համաֆինանսավորում՝ ընդհանուր</w:t>
      </w:r>
      <w:r w:rsidR="008B10CB">
        <w:t xml:space="preserve"> 756</w:t>
      </w:r>
      <w:r w:rsidRPr="00A83C94">
        <w:t>.</w:t>
      </w:r>
      <w:r w:rsidR="008B10CB">
        <w:t>6</w:t>
      </w:r>
      <w:r w:rsidRPr="00A83C94">
        <w:t xml:space="preserve"> մլն դրամ): </w:t>
      </w:r>
    </w:p>
    <w:p w14:paraId="3EB7A138" w14:textId="77777777" w:rsidR="00F515CB" w:rsidRPr="00A83C94" w:rsidRDefault="00F515CB" w:rsidP="00F515CB">
      <w:pPr>
        <w:pStyle w:val="Bullet2"/>
        <w:rPr>
          <w:lang w:val="hy-AM"/>
        </w:rPr>
      </w:pPr>
      <w:r w:rsidRPr="00A83C94">
        <w:rPr>
          <w:lang w:val="hy-AM"/>
        </w:rPr>
        <w:t>Ծրագրի նպատակը հարկային և մաքսային միասնական պետական քաղաքա</w:t>
      </w:r>
      <w:r w:rsidRPr="00A83C94">
        <w:rPr>
          <w:lang w:val="hy-AM"/>
        </w:rPr>
        <w:softHyphen/>
        <w:t>կանության իրականացումն է, հարկային և մաքսային օրենսդրության ամբողջական և համահավասար կիրառում</w:t>
      </w:r>
      <w:r w:rsidRPr="00A83C94">
        <w:rPr>
          <w:lang w:val="en-US"/>
        </w:rPr>
        <w:t>ը</w:t>
      </w:r>
      <w:r w:rsidRPr="00A83C94">
        <w:rPr>
          <w:lang w:val="hy-AM"/>
        </w:rPr>
        <w:t xml:space="preserve"> ՀՀ տարածքում: Ծրագրի վերջնական արդյունքը` արդյունավետ հարկային և մաքսային հսկողության իրականացումն է և պետական բյուջեի եկամուտների ապահովումը: </w:t>
      </w:r>
    </w:p>
    <w:p w14:paraId="09E1368A" w14:textId="65C58575" w:rsidR="00F515CB" w:rsidRPr="00A83C94" w:rsidRDefault="00F515CB" w:rsidP="00F515CB">
      <w:pPr>
        <w:pStyle w:val="Bullet2"/>
      </w:pPr>
      <w:r w:rsidRPr="00A83C94">
        <w:rPr>
          <w:lang w:val="hy-AM"/>
        </w:rPr>
        <w:t>Նշված ծրագրի շրջանակներում նախատեսվել է թվով 9 միջոցառում, որից 4-ը՝ կապիտալ բնույթի</w:t>
      </w:r>
      <w:r w:rsidRPr="00A83C94">
        <w:t xml:space="preserve"> (այդ թվում` մեկական վարկային և դրամաշնորհային միջոցների հաշվին իրականացվող): Մասնավորապես. նախատեսվում է ձեռք բերել </w:t>
      </w:r>
      <w:r w:rsidRPr="00A83C94">
        <w:rPr>
          <w:lang w:val="hy-AM"/>
        </w:rPr>
        <w:t>Հայաստանի</w:t>
      </w:r>
      <w:r w:rsidRPr="00A83C94">
        <w:t xml:space="preserve"> </w:t>
      </w:r>
      <w:r w:rsidRPr="00A83C94">
        <w:rPr>
          <w:lang w:val="hy-AM"/>
        </w:rPr>
        <w:t>Հանրա</w:t>
      </w:r>
      <w:r w:rsidRPr="00A83C94">
        <w:rPr>
          <w:lang w:val="hy-AM"/>
        </w:rPr>
        <w:softHyphen/>
        <w:t>պետությունում արտադրվող և ներմուծվող ալկոհոլային խմիչքների</w:t>
      </w:r>
      <w:r w:rsidRPr="00A83C94">
        <w:t xml:space="preserve"> </w:t>
      </w:r>
      <w:r w:rsidRPr="00A83C94">
        <w:rPr>
          <w:lang w:val="hy-AM"/>
        </w:rPr>
        <w:t>դրոշմավորման</w:t>
      </w:r>
      <w:r w:rsidRPr="00A83C94">
        <w:t xml:space="preserve"> </w:t>
      </w:r>
      <w:r w:rsidRPr="00A83C94">
        <w:rPr>
          <w:lang w:val="hy-AM"/>
        </w:rPr>
        <w:t>համար</w:t>
      </w:r>
      <w:r w:rsidRPr="00A83C94">
        <w:t xml:space="preserve"> 37.0 մլն հատ և </w:t>
      </w:r>
      <w:r w:rsidRPr="00A83C94">
        <w:rPr>
          <w:lang w:val="hy-AM"/>
        </w:rPr>
        <w:t>ծխախոտի արտադրանքի դրոշմավորման համար</w:t>
      </w:r>
      <w:r w:rsidRPr="00A83C94">
        <w:t xml:space="preserve"> 410.0 մլն հատ </w:t>
      </w:r>
      <w:r w:rsidRPr="00A83C94">
        <w:rPr>
          <w:lang w:val="hy-AM"/>
        </w:rPr>
        <w:t>ակցիզային դրոշմանիշեր</w:t>
      </w:r>
      <w:r w:rsidRPr="00A83C94">
        <w:t xml:space="preserve">, </w:t>
      </w:r>
      <w:r w:rsidRPr="00A83C94">
        <w:rPr>
          <w:lang w:val="hy-AM"/>
        </w:rPr>
        <w:t>Հայաստանի Հանրապետությունում արտադրվող և ներմուծվող որոշակի ապրանքների համար 980.0 մլն հատ դրոշմապիտակներ,</w:t>
      </w:r>
      <w:r w:rsidRPr="00A83C94">
        <w:t xml:space="preserve"> </w:t>
      </w:r>
      <w:r w:rsidRPr="00A83C94">
        <w:rPr>
          <w:lang w:val="hy-AM"/>
        </w:rPr>
        <w:t>Հայաստանի Հանրապետությունում վիճակախաղի կազմակերպչի կողմից վիճակախաղի տոմսի վրա փակ</w:t>
      </w:r>
      <w:r w:rsidRPr="00A83C94">
        <w:rPr>
          <w:lang w:val="hy-AM"/>
        </w:rPr>
        <w:softHyphen/>
        <w:t xml:space="preserve">ցնելու նպատակով </w:t>
      </w:r>
      <w:r w:rsidRPr="00A83C94">
        <w:t xml:space="preserve">3.5 </w:t>
      </w:r>
      <w:r w:rsidRPr="00A83C94">
        <w:rPr>
          <w:lang w:val="hy-AM"/>
        </w:rPr>
        <w:t>մլն</w:t>
      </w:r>
      <w:r w:rsidRPr="00A83C94">
        <w:t xml:space="preserve"> </w:t>
      </w:r>
      <w:r w:rsidRPr="00A83C94">
        <w:rPr>
          <w:lang w:val="hy-AM"/>
        </w:rPr>
        <w:t>հսկիչ նշաններ:</w:t>
      </w:r>
      <w:r w:rsidRPr="00A83C94">
        <w:t xml:space="preserve"> Նախատեսվում է շարունակել </w:t>
      </w:r>
      <w:r w:rsidRPr="00A83C94">
        <w:rPr>
          <w:lang w:val="hy-AM"/>
        </w:rPr>
        <w:t>Կոմիտեի</w:t>
      </w:r>
      <w:r w:rsidRPr="00A83C94">
        <w:t xml:space="preserve"> </w:t>
      </w:r>
      <w:r w:rsidRPr="00A83C94">
        <w:rPr>
          <w:lang w:val="hy-AM"/>
        </w:rPr>
        <w:t>կարիքների</w:t>
      </w:r>
      <w:r w:rsidRPr="00A83C94">
        <w:t xml:space="preserve"> </w:t>
      </w:r>
      <w:r w:rsidRPr="00A83C94">
        <w:rPr>
          <w:lang w:val="hy-AM"/>
        </w:rPr>
        <w:t>համար</w:t>
      </w:r>
      <w:r w:rsidRPr="00A83C94">
        <w:t xml:space="preserve"> </w:t>
      </w:r>
      <w:r w:rsidRPr="00A83C94">
        <w:rPr>
          <w:lang w:val="hy-AM"/>
        </w:rPr>
        <w:t>անհրաժեշտ</w:t>
      </w:r>
      <w:r w:rsidRPr="00A83C94">
        <w:t xml:space="preserve"> </w:t>
      </w:r>
      <w:r w:rsidRPr="00A83C94">
        <w:rPr>
          <w:lang w:val="hy-AM"/>
        </w:rPr>
        <w:t>փորձաքննությունների</w:t>
      </w:r>
      <w:r w:rsidRPr="00A83C94">
        <w:t xml:space="preserve"> </w:t>
      </w:r>
      <w:r w:rsidRPr="00A83C94">
        <w:rPr>
          <w:lang w:val="hy-AM"/>
        </w:rPr>
        <w:t>կատարումը</w:t>
      </w:r>
      <w:r w:rsidRPr="00A83C94">
        <w:t xml:space="preserve">, </w:t>
      </w:r>
      <w:r w:rsidRPr="00A83C94">
        <w:rPr>
          <w:lang w:val="hy-AM"/>
        </w:rPr>
        <w:t>եզրակացությունների</w:t>
      </w:r>
      <w:r w:rsidRPr="00A83C94">
        <w:t xml:space="preserve"> </w:t>
      </w:r>
      <w:r w:rsidRPr="00A83C94">
        <w:rPr>
          <w:lang w:val="hy-AM"/>
        </w:rPr>
        <w:t>տրամադրումը</w:t>
      </w:r>
      <w:r w:rsidRPr="00A83C94">
        <w:t xml:space="preserve"> </w:t>
      </w:r>
      <w:r w:rsidRPr="00A83C94">
        <w:rPr>
          <w:lang w:val="hy-AM"/>
        </w:rPr>
        <w:t>և</w:t>
      </w:r>
      <w:r w:rsidRPr="00A83C94">
        <w:t xml:space="preserve"> </w:t>
      </w:r>
      <w:r w:rsidRPr="00A83C94">
        <w:rPr>
          <w:lang w:val="hy-AM"/>
        </w:rPr>
        <w:t>անվճարու</w:t>
      </w:r>
      <w:r w:rsidRPr="00A83C94">
        <w:softHyphen/>
      </w:r>
      <w:r w:rsidRPr="00A83C94">
        <w:rPr>
          <w:lang w:val="hy-AM"/>
        </w:rPr>
        <w:t>նակ</w:t>
      </w:r>
      <w:r w:rsidRPr="00A83C94">
        <w:t xml:space="preserve"> </w:t>
      </w:r>
      <w:r w:rsidRPr="00A83C94">
        <w:rPr>
          <w:lang w:val="hy-AM"/>
        </w:rPr>
        <w:t>քաղաքացիներին</w:t>
      </w:r>
      <w:r w:rsidRPr="00A83C94">
        <w:t xml:space="preserve"> </w:t>
      </w:r>
      <w:r w:rsidRPr="00A83C94">
        <w:rPr>
          <w:lang w:val="hy-AM"/>
        </w:rPr>
        <w:t>իրավական</w:t>
      </w:r>
      <w:r w:rsidRPr="00A83C94">
        <w:t xml:space="preserve"> </w:t>
      </w:r>
      <w:r w:rsidRPr="00A83C94">
        <w:rPr>
          <w:lang w:val="hy-AM"/>
        </w:rPr>
        <w:t>ծառայու</w:t>
      </w:r>
      <w:r w:rsidRPr="00A83C94">
        <w:rPr>
          <w:lang w:val="hy-AM"/>
        </w:rPr>
        <w:softHyphen/>
        <w:t>թյունների</w:t>
      </w:r>
      <w:r w:rsidRPr="00A83C94">
        <w:t xml:space="preserve"> </w:t>
      </w:r>
      <w:r w:rsidRPr="00A83C94">
        <w:rPr>
          <w:lang w:val="hy-AM"/>
        </w:rPr>
        <w:t>տրամա</w:t>
      </w:r>
      <w:r w:rsidRPr="00A83C94">
        <w:softHyphen/>
      </w:r>
      <w:r w:rsidRPr="00A83C94">
        <w:rPr>
          <w:lang w:val="hy-AM"/>
        </w:rPr>
        <w:t>դրումը</w:t>
      </w:r>
      <w:r w:rsidRPr="00A83C94">
        <w:t xml:space="preserve">: </w:t>
      </w:r>
      <w:r w:rsidRPr="00A83C94">
        <w:rPr>
          <w:lang w:val="hy-AM"/>
        </w:rPr>
        <w:t>Միաժամանակ, նախատեսվում է իրականացնել հարկային և մաքսային ծառայողների վերապատրաստման մեթոդիկայի մշակումը, պլանավորումը, ծրագրերի իրակա</w:t>
      </w:r>
      <w:r w:rsidRPr="00A83C94">
        <w:rPr>
          <w:lang w:val="hy-AM"/>
        </w:rPr>
        <w:softHyphen/>
        <w:t>նացումը և աջակցության ծառայությունների մատուցումը, 1600 ծառայողների վերապատրաստումը</w:t>
      </w:r>
      <w:r w:rsidRPr="00A83C94">
        <w:t>:</w:t>
      </w:r>
    </w:p>
    <w:p w14:paraId="1FF60DD9" w14:textId="4BE13322" w:rsidR="00F515CB" w:rsidRPr="00A83C94" w:rsidRDefault="00F515CB" w:rsidP="00F515CB">
      <w:pPr>
        <w:pStyle w:val="Bullet2"/>
      </w:pPr>
      <w:r w:rsidRPr="00A83C94">
        <w:rPr>
          <w:lang w:val="hy-AM"/>
        </w:rPr>
        <w:t>Բացի վերը նշվածից, նախատեսվում է նաև ՀՀ</w:t>
      </w:r>
      <w:r w:rsidRPr="00A83C94">
        <w:t xml:space="preserve"> </w:t>
      </w:r>
      <w:r w:rsidRPr="00A83C94">
        <w:rPr>
          <w:lang w:val="hy-AM"/>
        </w:rPr>
        <w:t>պետական</w:t>
      </w:r>
      <w:r w:rsidRPr="00A83C94">
        <w:t xml:space="preserve"> </w:t>
      </w:r>
      <w:r w:rsidRPr="00A83C94">
        <w:rPr>
          <w:lang w:val="hy-AM"/>
        </w:rPr>
        <w:t>եկամուտների</w:t>
      </w:r>
      <w:r w:rsidRPr="00A83C94">
        <w:t xml:space="preserve"> </w:t>
      </w:r>
      <w:r w:rsidRPr="00A83C94">
        <w:rPr>
          <w:lang w:val="hy-AM"/>
        </w:rPr>
        <w:t>կոմիտեի</w:t>
      </w:r>
      <w:r w:rsidRPr="00A83C94">
        <w:t xml:space="preserve"> </w:t>
      </w:r>
      <w:r w:rsidRPr="00A83C94">
        <w:rPr>
          <w:lang w:val="hy-AM"/>
        </w:rPr>
        <w:t>շենքային</w:t>
      </w:r>
      <w:r w:rsidRPr="00A83C94">
        <w:t xml:space="preserve"> </w:t>
      </w:r>
      <w:r w:rsidRPr="00A83C94">
        <w:rPr>
          <w:lang w:val="hy-AM"/>
        </w:rPr>
        <w:t>ապահովվածության</w:t>
      </w:r>
      <w:r w:rsidRPr="00A83C94">
        <w:t xml:space="preserve"> և պայմանների </w:t>
      </w:r>
      <w:r w:rsidRPr="00A83C94">
        <w:rPr>
          <w:lang w:val="hy-AM"/>
        </w:rPr>
        <w:t>բարելավմանն ուղղված միջոցառումներ</w:t>
      </w:r>
      <w:r w:rsidRPr="00A83C94">
        <w:t xml:space="preserve">, որոնց  </w:t>
      </w:r>
      <w:r w:rsidRPr="00A83C94">
        <w:rPr>
          <w:lang w:val="hy-AM"/>
        </w:rPr>
        <w:t>նպատակն է Կոմիտեի կարիքնե</w:t>
      </w:r>
      <w:r w:rsidRPr="00A83C94">
        <w:rPr>
          <w:lang w:val="hy-AM"/>
        </w:rPr>
        <w:softHyphen/>
        <w:t>րի համար նոր շենքերի կառուցումը, շինու</w:t>
      </w:r>
      <w:r w:rsidRPr="00A83C94">
        <w:rPr>
          <w:lang w:val="hy-AM"/>
        </w:rPr>
        <w:softHyphen/>
        <w:t xml:space="preserve">թյունների և նախագծային աշխատանքների ձեռքբերումը: </w:t>
      </w:r>
      <w:r w:rsidRPr="00A83C94">
        <w:rPr>
          <w:lang w:val="en-US"/>
        </w:rPr>
        <w:t>Մասնավորապես</w:t>
      </w:r>
      <w:r w:rsidRPr="00A83C94">
        <w:t>.</w:t>
      </w:r>
      <w:r w:rsidRPr="00A83C94">
        <w:rPr>
          <w:lang w:val="hy-AM"/>
        </w:rPr>
        <w:t xml:space="preserve"> նախատ</w:t>
      </w:r>
      <w:r w:rsidRPr="00A83C94">
        <w:t xml:space="preserve">եսվում է </w:t>
      </w:r>
      <w:r w:rsidRPr="00A83C94">
        <w:rPr>
          <w:lang w:val="en-US"/>
        </w:rPr>
        <w:t>սկսել</w:t>
      </w:r>
      <w:r w:rsidRPr="00A83C94">
        <w:t xml:space="preserve"> Գյումրի քաղաքում նոր արտաքին տնտեսական գործունեության կենտրոնի կառուցման</w:t>
      </w:r>
      <w:r w:rsidRPr="00A83C94">
        <w:rPr>
          <w:lang w:val="hy-AM"/>
        </w:rPr>
        <w:t xml:space="preserve"> աշխատանքներ</w:t>
      </w:r>
      <w:r w:rsidRPr="00A83C94">
        <w:rPr>
          <w:lang w:val="en-US"/>
        </w:rPr>
        <w:t>ը</w:t>
      </w:r>
      <w:r w:rsidRPr="00A83C94">
        <w:rPr>
          <w:lang w:val="hy-AM"/>
        </w:rPr>
        <w:t xml:space="preserve"> (</w:t>
      </w:r>
      <w:r w:rsidRPr="00A83C94">
        <w:rPr>
          <w:lang w:val="en-US"/>
        </w:rPr>
        <w:t>աշխատանքների</w:t>
      </w:r>
      <w:r w:rsidRPr="00A83C94">
        <w:t xml:space="preserve"> </w:t>
      </w:r>
      <w:r w:rsidRPr="00A83C94">
        <w:rPr>
          <w:lang w:val="hy-AM"/>
        </w:rPr>
        <w:t>շուրջ 30%-ը,</w:t>
      </w:r>
      <w:r w:rsidRPr="00A83C94">
        <w:t xml:space="preserve"> </w:t>
      </w:r>
      <w:r w:rsidRPr="00A83C94">
        <w:rPr>
          <w:lang w:val="hy-AM"/>
        </w:rPr>
        <w:t xml:space="preserve">2,880.0 քառ. մետր), </w:t>
      </w:r>
      <w:r w:rsidRPr="00A83C94">
        <w:t>ձեռք բերել Կոմիտեի աշխատակիցների համար ծառայողական բնակելի շենքի կառուցման նախագծա</w:t>
      </w:r>
      <w:r w:rsidRPr="00A83C94">
        <w:softHyphen/>
        <w:t>նախահաշվային փաստաթղթերը, ինչպես նաև իրականացնել թվով 2 վարչական շենքերի վերանորոգման աշխատանքները:</w:t>
      </w:r>
    </w:p>
    <w:p w14:paraId="3D7DFCC6" w14:textId="77777777" w:rsidR="00F515CB" w:rsidRPr="00A83C94" w:rsidRDefault="00F515CB" w:rsidP="00F515CB">
      <w:pPr>
        <w:pStyle w:val="Bullet2"/>
        <w:rPr>
          <w:b/>
        </w:rPr>
      </w:pPr>
      <w:r w:rsidRPr="00A83C94">
        <w:t>Ծրագրի շրջանակներում նախատեսվում է նաև Վերակառուցման և զարգացման եվրոպական բանկի աջակցությամբ իրակա</w:t>
      </w:r>
      <w:r w:rsidRPr="00A83C94">
        <w:softHyphen/>
        <w:t>նացվող «Մեղրիի սահմանային անցակետի ծրագիր» դրամաշնորհային և վարկային ծրագրերով ՀՀ պետական եկամուտների կոմիտեի նոր շենքային պայմանների ապահովումը, ինչի նպատակն է ՎԶԵԲ-ի կողմից տրամադրվող դրամաշնորհային ծրագրի շրջա</w:t>
      </w:r>
      <w:r w:rsidRPr="00A83C94">
        <w:softHyphen/>
        <w:t>նակներում Կոմիտեի Մեղրիի սահմանային անցակետում միջազգային չափորոշիչներին համա</w:t>
      </w:r>
      <w:r w:rsidRPr="00A83C94">
        <w:softHyphen/>
        <w:t xml:space="preserve">պատասխան նոր մաքսակետի կառուցումը: </w:t>
      </w:r>
    </w:p>
    <w:p w14:paraId="01D8F8CE" w14:textId="77777777" w:rsidR="00FC7885" w:rsidRPr="00A83C94" w:rsidRDefault="00FC7885" w:rsidP="00FC7885">
      <w:pPr>
        <w:tabs>
          <w:tab w:val="left" w:pos="993"/>
        </w:tabs>
        <w:spacing w:before="0" w:line="276" w:lineRule="auto"/>
        <w:rPr>
          <w:b w:val="0"/>
          <w:szCs w:val="22"/>
          <w:lang w:val="af-ZA"/>
        </w:rPr>
      </w:pPr>
    </w:p>
    <w:p w14:paraId="37BC6D3F" w14:textId="77777777" w:rsidR="00FC7885" w:rsidRPr="00A83C94" w:rsidRDefault="00FC7885" w:rsidP="00427D1F">
      <w:pPr>
        <w:keepNext/>
        <w:spacing w:before="0" w:line="276" w:lineRule="auto"/>
        <w:ind w:firstLine="0"/>
        <w:contextualSpacing w:val="0"/>
        <w:jc w:val="center"/>
        <w:outlineLvl w:val="2"/>
        <w:rPr>
          <w:rFonts w:cs="Arial"/>
          <w:sz w:val="24"/>
          <w:lang w:val="hy-AM" w:eastAsia="en-US"/>
        </w:rPr>
      </w:pPr>
      <w:bookmarkStart w:id="325" w:name="_Toc89428329"/>
      <w:r w:rsidRPr="00A83C94">
        <w:rPr>
          <w:rFonts w:cs="Arial"/>
          <w:sz w:val="24"/>
          <w:lang w:val="hy-AM" w:eastAsia="en-US"/>
        </w:rPr>
        <w:t>ՀՀ կադաստրի կոմիտե</w:t>
      </w:r>
      <w:bookmarkEnd w:id="325"/>
      <w:r w:rsidRPr="00A83C94">
        <w:rPr>
          <w:rFonts w:cs="Arial"/>
          <w:sz w:val="24"/>
          <w:lang w:val="hy-AM" w:eastAsia="en-US"/>
        </w:rPr>
        <w:t xml:space="preserve"> </w:t>
      </w:r>
    </w:p>
    <w:p w14:paraId="517C9632" w14:textId="5CB4FBC2" w:rsidR="0081133C" w:rsidRPr="00A83C94" w:rsidRDefault="0081133C" w:rsidP="0081133C">
      <w:pPr>
        <w:widowControl w:val="0"/>
        <w:spacing w:before="0" w:line="276" w:lineRule="auto"/>
        <w:rPr>
          <w:rFonts w:eastAsia="Calibri" w:cs="Sylfaen"/>
          <w:b w:val="0"/>
          <w:szCs w:val="22"/>
          <w:lang w:val="af-ZA"/>
        </w:rPr>
      </w:pPr>
      <w:r w:rsidRPr="00A83C94">
        <w:rPr>
          <w:rFonts w:eastAsia="Calibri" w:cs="Sylfaen"/>
          <w:b w:val="0"/>
          <w:szCs w:val="22"/>
          <w:lang w:val="af-ZA"/>
        </w:rPr>
        <w:t xml:space="preserve">   Անշարժ գույքի պետական ռեգիստրի համակարգի գծով ՀՀ 2022 թվականի պետական բյուջեի նախագծով նախատեսվում է </w:t>
      </w:r>
      <w:r w:rsidRPr="00A83C94">
        <w:rPr>
          <w:rFonts w:eastAsia="Calibri" w:cs="Sylfaen"/>
          <w:b w:val="0"/>
          <w:color w:val="000000" w:themeColor="text1"/>
          <w:szCs w:val="22"/>
          <w:lang w:val="af-ZA"/>
        </w:rPr>
        <w:t>4,</w:t>
      </w:r>
      <w:r w:rsidR="00186639">
        <w:rPr>
          <w:rFonts w:eastAsia="Calibri" w:cs="Sylfaen"/>
          <w:b w:val="0"/>
          <w:color w:val="000000" w:themeColor="text1"/>
          <w:szCs w:val="22"/>
          <w:lang w:val="hy-AM"/>
        </w:rPr>
        <w:t>399.5</w:t>
      </w:r>
      <w:r w:rsidRPr="00A83C94">
        <w:rPr>
          <w:rFonts w:eastAsia="Calibri" w:cs="Sylfaen"/>
          <w:b w:val="0"/>
          <w:color w:val="000000" w:themeColor="text1"/>
          <w:szCs w:val="22"/>
          <w:lang w:val="af-ZA"/>
        </w:rPr>
        <w:t xml:space="preserve"> մլն դրամի ծախսեր</w:t>
      </w:r>
      <w:r w:rsidRPr="00A83C94">
        <w:rPr>
          <w:rFonts w:eastAsia="Calibri" w:cs="Sylfaen"/>
          <w:b w:val="0"/>
          <w:color w:val="000000" w:themeColor="text1"/>
          <w:szCs w:val="22"/>
          <w:lang w:val="hy-AM"/>
        </w:rPr>
        <w:t xml:space="preserve"> </w:t>
      </w:r>
      <w:r w:rsidR="00427D1F" w:rsidRPr="00A83C94">
        <w:rPr>
          <w:b w:val="0"/>
          <w:color w:val="000000"/>
          <w:szCs w:val="22"/>
          <w:lang w:val="hy-AM" w:eastAsia="en-US"/>
        </w:rPr>
        <w:t>(ներառյալ կառավարման ապարատի պահպանման ծախսերը)</w:t>
      </w:r>
      <w:r w:rsidRPr="00A83C94">
        <w:rPr>
          <w:rFonts w:eastAsia="Calibri" w:cs="Sylfaen"/>
          <w:b w:val="0"/>
          <w:color w:val="000000" w:themeColor="text1"/>
          <w:szCs w:val="22"/>
          <w:lang w:val="hy-AM"/>
        </w:rPr>
        <w:t xml:space="preserve">։ Նշված գումարի շրջանակներում նախատեսվում է իրականացնել </w:t>
      </w:r>
      <w:r w:rsidRPr="00A83C94">
        <w:rPr>
          <w:rFonts w:eastAsia="Calibri" w:cs="Sylfaen"/>
          <w:szCs w:val="22"/>
          <w:lang w:val="af-ZA"/>
        </w:rPr>
        <w:t>Անշարժ գույքի կադաստրի վարման բնագավառում պետական քաղաքականության իրականացում</w:t>
      </w:r>
      <w:r w:rsidRPr="00A83C94">
        <w:rPr>
          <w:rFonts w:eastAsia="Calibri" w:cs="Sylfaen"/>
          <w:b w:val="0"/>
          <w:szCs w:val="22"/>
          <w:lang w:val="af-ZA"/>
        </w:rPr>
        <w:t xml:space="preserve"> ծրագիրը։ Ծրագրի նպատակն է անշարժ գույքի պետական միասնական կադաստրի համակարգի զարգացումը, պետության կողմից անշարժ գույքի նկատմամբ իրավունքների ճանաչումը, երաշխավորումը և պաշտպանությունը։ </w:t>
      </w:r>
    </w:p>
    <w:p w14:paraId="339AED02" w14:textId="531C04E8" w:rsidR="0081133C" w:rsidRPr="00A83C94" w:rsidRDefault="0081133C" w:rsidP="0081133C">
      <w:pPr>
        <w:widowControl w:val="0"/>
        <w:spacing w:before="0" w:line="276" w:lineRule="auto"/>
        <w:rPr>
          <w:rFonts w:eastAsia="Calibri" w:cs="Sylfaen"/>
          <w:b w:val="0"/>
          <w:szCs w:val="22"/>
          <w:lang w:val="af-ZA"/>
        </w:rPr>
      </w:pPr>
      <w:r w:rsidRPr="00A83C94">
        <w:rPr>
          <w:rFonts w:eastAsia="Calibri" w:cs="Sylfaen"/>
          <w:b w:val="0"/>
          <w:szCs w:val="22"/>
          <w:lang w:val="af-ZA"/>
        </w:rPr>
        <w:t>Ծրագրի շրջանակներում նախատեսվում է իրականացնել ՀՀ թվային տեղագրական քարտեզների երկրատեղեկատվական համակարգի միջավայրում ստեղծման աշխատանքներ՝ Հայաստանի Հանրապետության Արարատի մարզի Լուսառատ</w:t>
      </w:r>
      <w:r w:rsidR="00186639" w:rsidRPr="00186639">
        <w:rPr>
          <w:rFonts w:eastAsia="Calibri" w:cs="Sylfaen"/>
          <w:b w:val="0"/>
          <w:szCs w:val="22"/>
          <w:lang w:val="af-ZA"/>
        </w:rPr>
        <w:t xml:space="preserve"> </w:t>
      </w:r>
      <w:r w:rsidR="00186639" w:rsidRPr="00A83C94">
        <w:rPr>
          <w:rFonts w:eastAsia="Calibri" w:cs="Sylfaen"/>
          <w:b w:val="0"/>
          <w:szCs w:val="22"/>
          <w:lang w:val="af-ZA"/>
        </w:rPr>
        <w:t>և</w:t>
      </w:r>
      <w:r w:rsidR="00186639">
        <w:rPr>
          <w:rFonts w:eastAsia="Calibri" w:cs="Sylfaen"/>
          <w:b w:val="0"/>
          <w:szCs w:val="22"/>
          <w:lang w:val="af-ZA"/>
        </w:rPr>
        <w:t xml:space="preserve"> </w:t>
      </w:r>
      <w:r w:rsidRPr="00A83C94">
        <w:rPr>
          <w:rFonts w:eastAsia="Calibri" w:cs="Sylfaen"/>
          <w:b w:val="0"/>
          <w:szCs w:val="22"/>
          <w:lang w:val="af-ZA"/>
        </w:rPr>
        <w:t xml:space="preserve">Փոքր Վեդի  համայնքների՝ շուրջ </w:t>
      </w:r>
      <w:r w:rsidR="00186639">
        <w:rPr>
          <w:rFonts w:eastAsia="Calibri" w:cs="Sylfaen"/>
          <w:b w:val="0"/>
          <w:szCs w:val="22"/>
          <w:lang w:val="hy-AM"/>
        </w:rPr>
        <w:t>264</w:t>
      </w:r>
      <w:r w:rsidRPr="00A83C94">
        <w:rPr>
          <w:rFonts w:eastAsia="Calibri" w:cs="Sylfaen"/>
          <w:b w:val="0"/>
          <w:szCs w:val="22"/>
          <w:lang w:val="af-ZA"/>
        </w:rPr>
        <w:t xml:space="preserve">0 հա տարածքի,  ժամանակակից պահանջներին բավարարող բազային ԱՏՀ-ի ստեղծման մասով։ </w:t>
      </w:r>
    </w:p>
    <w:p w14:paraId="18954D18" w14:textId="674A0A45" w:rsidR="0081133C" w:rsidRPr="00A83C94" w:rsidRDefault="0081133C" w:rsidP="0081133C">
      <w:pPr>
        <w:widowControl w:val="0"/>
        <w:spacing w:before="0" w:line="276" w:lineRule="auto"/>
        <w:rPr>
          <w:rFonts w:eastAsia="Calibri" w:cs="Sylfaen"/>
          <w:b w:val="0"/>
          <w:szCs w:val="22"/>
          <w:lang w:val="af-ZA"/>
        </w:rPr>
      </w:pPr>
      <w:r w:rsidRPr="00A83C94">
        <w:rPr>
          <w:rFonts w:eastAsia="Calibri" w:cs="Sylfaen"/>
          <w:b w:val="0"/>
          <w:szCs w:val="22"/>
          <w:lang w:val="hy-AM"/>
        </w:rPr>
        <w:t>Նախատեսվում են նաև ռ</w:t>
      </w:r>
      <w:r w:rsidRPr="00A83C94">
        <w:rPr>
          <w:rFonts w:eastAsia="Calibri" w:cs="Sylfaen"/>
          <w:b w:val="0"/>
          <w:szCs w:val="22"/>
          <w:lang w:val="af-ZA"/>
        </w:rPr>
        <w:t xml:space="preserve">եֆերենց կայանների կառուցման, դիտարկման և կայանների ցանցի հավասարակշռման աշխատանքներ, որի շրջանակներում </w:t>
      </w:r>
      <w:r w:rsidRPr="00A83C94">
        <w:rPr>
          <w:rFonts w:eastAsia="Calibri" w:cs="Sylfaen"/>
          <w:b w:val="0"/>
          <w:szCs w:val="22"/>
          <w:lang w:val="hy-AM"/>
        </w:rPr>
        <w:t>կ</w:t>
      </w:r>
      <w:r w:rsidRPr="00A83C94">
        <w:rPr>
          <w:rFonts w:eastAsia="Calibri" w:cs="Sylfaen"/>
          <w:b w:val="0"/>
          <w:szCs w:val="22"/>
          <w:lang w:val="af-ZA"/>
        </w:rPr>
        <w:t>իրականաց</w:t>
      </w:r>
      <w:r w:rsidRPr="00A83C94">
        <w:rPr>
          <w:rFonts w:eastAsia="Calibri" w:cs="Sylfaen"/>
          <w:b w:val="0"/>
          <w:szCs w:val="22"/>
          <w:lang w:val="hy-AM"/>
        </w:rPr>
        <w:t>վեն</w:t>
      </w:r>
      <w:r w:rsidRPr="00A83C94">
        <w:rPr>
          <w:rFonts w:eastAsia="Calibri" w:cs="Sylfaen"/>
          <w:b w:val="0"/>
          <w:szCs w:val="22"/>
          <w:lang w:val="af-ZA"/>
        </w:rPr>
        <w:t xml:space="preserve"> իրական ժամանակում մշտական գործող ռեֆերենց կայանների արդիականացման, տեխնիկապես վերազինման, վերանորոգման, նոր կոորդինատների որոշման` հավասարակշռման, ստացված կոորդինատների միջազգային ստանդարտ ռեֆերենց շրջանակում կապակցման և շահագործման աշխատանքներ։</w:t>
      </w:r>
    </w:p>
    <w:p w14:paraId="1A8CC8FD" w14:textId="77777777" w:rsidR="00427D1F" w:rsidRPr="00A83C94" w:rsidRDefault="00427D1F" w:rsidP="0081133C">
      <w:pPr>
        <w:widowControl w:val="0"/>
        <w:spacing w:before="0" w:line="276" w:lineRule="auto"/>
        <w:rPr>
          <w:rFonts w:eastAsia="Calibri" w:cs="Sylfaen"/>
          <w:b w:val="0"/>
          <w:szCs w:val="22"/>
          <w:lang w:val="af-ZA"/>
        </w:rPr>
      </w:pPr>
    </w:p>
    <w:p w14:paraId="7A9BB8AA" w14:textId="755EED89" w:rsidR="00243DE8" w:rsidRPr="00A83C94" w:rsidRDefault="00243DE8" w:rsidP="00427D1F">
      <w:pPr>
        <w:keepNext/>
        <w:spacing w:before="0" w:line="276" w:lineRule="auto"/>
        <w:ind w:firstLine="0"/>
        <w:contextualSpacing w:val="0"/>
        <w:jc w:val="center"/>
        <w:outlineLvl w:val="2"/>
        <w:rPr>
          <w:rFonts w:cs="Arial"/>
          <w:sz w:val="24"/>
          <w:lang w:val="hy-AM" w:eastAsia="en-US"/>
        </w:rPr>
      </w:pPr>
      <w:bookmarkStart w:id="326" w:name="_Toc89428330"/>
      <w:r w:rsidRPr="00A83C94">
        <w:rPr>
          <w:rFonts w:cs="Arial"/>
          <w:sz w:val="24"/>
          <w:lang w:val="hy-AM" w:eastAsia="en-US"/>
        </w:rPr>
        <w:t>ՀՀ վիճակագրական կոմիտե</w:t>
      </w:r>
      <w:bookmarkEnd w:id="326"/>
    </w:p>
    <w:p w14:paraId="3270AE5A"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Վիճակագրական կոմիտեն ՀՀ կառավարությանը ենթակա պետական մարմին է, որն իր լիազորություններն իրականացնելիս անկախ է, ղեկավարվում է ՀՀ Սահմանադրությամբ, ՀՀ միջազգային պայմանագրերով, «Պաշտոնական վիճակագրության մասին» օրենքով և այլ իրավական ակտերով:</w:t>
      </w:r>
    </w:p>
    <w:p w14:paraId="27DD8711"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Պաշտոնական վիճակագրության մշակման, արտադրության և տարածման գործառույթների մասով ազգային վիճակագրական համակարգի, այդ թվում՝ ՀՀ վիճակագրական կոմիտեի կառավարման բարձրագույն մարմինը, բացառությամբ ՀՀ կենտրոնական բանկի, ՀՀ վիճակագրության պետական խորհուրդն է:</w:t>
      </w:r>
    </w:p>
    <w:p w14:paraId="78935EE1"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Վիճակագրական կոմիտեն ՀՀ պաշտոնական վիճակագրության գլխավոր արտադրողն է և համակարգում է ազգային վիճակագրական համակարգում պաշտոնական վիճակագրության մշակմանը, արտադրությանը և տարածմանն ուղղված ողջ գործունեությունը, բացառությամբ  ՀՀ կենտրոնական բանկի:</w:t>
      </w:r>
    </w:p>
    <w:p w14:paraId="48ABD76C" w14:textId="0A7D9CCB"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Վիճակագրական կոմիտեի գծով ՀՀ 2022 թվականի պետական բյուջեով նախատեսվում է հատկացնել 3,</w:t>
      </w:r>
      <w:r w:rsidR="008152DD">
        <w:rPr>
          <w:b w:val="0"/>
          <w:szCs w:val="22"/>
          <w:lang w:val="af-ZA" w:eastAsia="en-US"/>
        </w:rPr>
        <w:t>424.7</w:t>
      </w:r>
      <w:r w:rsidRPr="00A83C94">
        <w:rPr>
          <w:b w:val="0"/>
          <w:szCs w:val="22"/>
          <w:lang w:val="af-ZA" w:eastAsia="en-US"/>
        </w:rPr>
        <w:t xml:space="preserve"> մլն դրամ</w:t>
      </w:r>
      <w:r w:rsidR="00427D1F" w:rsidRPr="00A83C94">
        <w:rPr>
          <w:b w:val="0"/>
          <w:szCs w:val="22"/>
          <w:lang w:val="af-ZA" w:eastAsia="en-US"/>
        </w:rPr>
        <w:t xml:space="preserve"> </w:t>
      </w:r>
      <w:r w:rsidR="00427D1F" w:rsidRPr="00A83C94">
        <w:rPr>
          <w:b w:val="0"/>
          <w:color w:val="000000"/>
          <w:szCs w:val="22"/>
          <w:lang w:val="hy-AM" w:eastAsia="en-US"/>
        </w:rPr>
        <w:t>(ներառյալ կառավարման ապարատի պահպանման ծախսերը)</w:t>
      </w:r>
      <w:r w:rsidRPr="00A83C94">
        <w:rPr>
          <w:b w:val="0"/>
          <w:szCs w:val="22"/>
          <w:lang w:val="af-ZA" w:eastAsia="en-US"/>
        </w:rPr>
        <w:t>, որը ուղղվելու է հետևյալ ծրագրերի իրականացմանը.</w:t>
      </w:r>
    </w:p>
    <w:p w14:paraId="0374237A" w14:textId="77777777" w:rsidR="00243DE8" w:rsidRPr="00A83C94" w:rsidRDefault="00243DE8" w:rsidP="00243DE8">
      <w:pPr>
        <w:spacing w:before="0" w:line="276" w:lineRule="auto"/>
        <w:contextualSpacing w:val="0"/>
        <w:rPr>
          <w:szCs w:val="22"/>
          <w:lang w:val="af-ZA" w:eastAsia="en-US"/>
        </w:rPr>
      </w:pPr>
      <w:r w:rsidRPr="00A83C94">
        <w:rPr>
          <w:szCs w:val="22"/>
          <w:lang w:val="af-ZA" w:eastAsia="en-US"/>
        </w:rPr>
        <w:t xml:space="preserve">Ազգային պաշտոնական վիճակագրության արտադրություն և տարածում ծրագիր </w:t>
      </w:r>
    </w:p>
    <w:p w14:paraId="1981BF9D" w14:textId="77777777"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 xml:space="preserve"> Ծրագրի նպատակն է տնտեսական և հասարակական գործընթացների վերաբերյալ պաշտոնական վիճակագրության մշակումը, արտադրումն ու տարածումը: Որպես վերջնական արդյունք, նախատեսվում է սույն ծրագրով նախատեսված ժամկետներով և պարբերականությամբ ամբողջական, համադրելի, արդիական և օգտատերերին հավասար մատչելիությամբ հասանելի պաշտոնական վիճա</w:t>
      </w:r>
      <w:r w:rsidRPr="00A83C94">
        <w:rPr>
          <w:b w:val="0"/>
          <w:szCs w:val="22"/>
          <w:lang w:val="af-ZA" w:eastAsia="en-US"/>
        </w:rPr>
        <w:softHyphen/>
        <w:t>կա</w:t>
      </w:r>
      <w:r w:rsidRPr="00A83C94">
        <w:rPr>
          <w:b w:val="0"/>
          <w:szCs w:val="22"/>
          <w:lang w:val="af-ZA" w:eastAsia="en-US"/>
        </w:rPr>
        <w:softHyphen/>
        <w:t xml:space="preserve">գրության ապահովում: Ծրագրի գծով 2022 թվականին նախատեսվում է հատկացնել 2,900.0 մլն դրամ: </w:t>
      </w:r>
    </w:p>
    <w:p w14:paraId="2D3C2DDD" w14:textId="7DF3DC9C" w:rsidR="00243DE8" w:rsidRPr="00A83C94" w:rsidRDefault="00243DE8" w:rsidP="00243DE8">
      <w:pPr>
        <w:spacing w:before="0" w:line="276" w:lineRule="auto"/>
        <w:contextualSpacing w:val="0"/>
        <w:rPr>
          <w:szCs w:val="22"/>
          <w:lang w:val="af-ZA" w:eastAsia="en-US"/>
        </w:rPr>
      </w:pPr>
      <w:r w:rsidRPr="00A83C94">
        <w:rPr>
          <w:szCs w:val="22"/>
          <w:lang w:val="af-ZA" w:eastAsia="en-US"/>
        </w:rPr>
        <w:t xml:space="preserve">Վիճակագրական համակարգի ամրապնդման ազգային ռազմավարական ծրագիր </w:t>
      </w:r>
    </w:p>
    <w:p w14:paraId="78B8400A" w14:textId="552A6DC0" w:rsidR="00243DE8" w:rsidRPr="00A83C94" w:rsidRDefault="00243DE8" w:rsidP="00243DE8">
      <w:pPr>
        <w:spacing w:before="0" w:line="276" w:lineRule="auto"/>
        <w:contextualSpacing w:val="0"/>
        <w:rPr>
          <w:b w:val="0"/>
          <w:szCs w:val="22"/>
          <w:lang w:val="af-ZA" w:eastAsia="en-US"/>
        </w:rPr>
      </w:pPr>
      <w:r w:rsidRPr="00A83C94">
        <w:rPr>
          <w:b w:val="0"/>
          <w:szCs w:val="22"/>
          <w:lang w:val="af-ZA" w:eastAsia="en-US"/>
        </w:rPr>
        <w:t>Ծրագրի նպատակն է միջազգային չափանիշներին համապատասխան Հայաստանի վիճակագրական համակարգի զարգացումը: Որպես վերջնական արդյունք, նախատեսվում է Հայաստանի վիճակա</w:t>
      </w:r>
      <w:r w:rsidRPr="00A83C94">
        <w:rPr>
          <w:b w:val="0"/>
          <w:szCs w:val="22"/>
          <w:lang w:val="af-ZA" w:eastAsia="en-US"/>
        </w:rPr>
        <w:softHyphen/>
        <w:t>գրական համակարգի կարողությունների և Կոմիտեի անձնակազմի մասնագիտական կարո</w:t>
      </w:r>
      <w:r w:rsidRPr="00A83C94">
        <w:rPr>
          <w:b w:val="0"/>
          <w:szCs w:val="22"/>
          <w:lang w:val="af-ZA" w:eastAsia="en-US"/>
        </w:rPr>
        <w:softHyphen/>
        <w:t>ղու</w:t>
      </w:r>
      <w:r w:rsidRPr="00A83C94">
        <w:rPr>
          <w:b w:val="0"/>
          <w:szCs w:val="22"/>
          <w:lang w:val="af-ZA" w:eastAsia="en-US"/>
        </w:rPr>
        <w:softHyphen/>
        <w:t>թյունների զարգացումը: Ծրագրի գծով 2022 թվականին նախատեսվում է հատկացնել 5</w:t>
      </w:r>
      <w:r w:rsidR="008152DD">
        <w:rPr>
          <w:b w:val="0"/>
          <w:szCs w:val="22"/>
          <w:lang w:val="af-ZA" w:eastAsia="en-US"/>
        </w:rPr>
        <w:t>24.8</w:t>
      </w:r>
      <w:r w:rsidRPr="00A83C94">
        <w:rPr>
          <w:b w:val="0"/>
          <w:szCs w:val="22"/>
          <w:lang w:val="af-ZA" w:eastAsia="en-US"/>
        </w:rPr>
        <w:t xml:space="preserve"> մլն դրամ: </w:t>
      </w:r>
    </w:p>
    <w:p w14:paraId="1E78E125" w14:textId="77777777" w:rsidR="0081133C" w:rsidRPr="00A83C94" w:rsidRDefault="0081133C" w:rsidP="0081133C">
      <w:pPr>
        <w:widowControl w:val="0"/>
        <w:spacing w:before="0" w:line="276" w:lineRule="auto"/>
        <w:rPr>
          <w:rFonts w:eastAsia="Calibri" w:cs="Sylfaen"/>
          <w:b w:val="0"/>
          <w:color w:val="FF0000"/>
          <w:szCs w:val="22"/>
          <w:lang w:val="hy-AM"/>
        </w:rPr>
      </w:pPr>
    </w:p>
    <w:p w14:paraId="1D043A9C" w14:textId="72E74A7F" w:rsidR="00FC7885" w:rsidRPr="00A83C94" w:rsidRDefault="00FC7885" w:rsidP="00832373">
      <w:pPr>
        <w:keepNext/>
        <w:spacing w:before="0" w:line="276" w:lineRule="auto"/>
        <w:ind w:firstLine="0"/>
        <w:contextualSpacing w:val="0"/>
        <w:jc w:val="center"/>
        <w:outlineLvl w:val="2"/>
        <w:rPr>
          <w:rFonts w:cs="Arial"/>
          <w:sz w:val="24"/>
          <w:lang w:val="hy-AM" w:eastAsia="en-US"/>
        </w:rPr>
      </w:pPr>
      <w:bookmarkStart w:id="327" w:name="_Toc89428331"/>
      <w:r w:rsidRPr="00A83C94">
        <w:rPr>
          <w:rFonts w:cs="Arial"/>
          <w:sz w:val="24"/>
          <w:lang w:val="hy-AM" w:eastAsia="en-US"/>
        </w:rPr>
        <w:t>ՀՀ քաղաքաշինության կոմիտե</w:t>
      </w:r>
      <w:bookmarkEnd w:id="323"/>
      <w:bookmarkEnd w:id="327"/>
    </w:p>
    <w:p w14:paraId="7EAAE9E8" w14:textId="0ADCF373" w:rsidR="006D24C5" w:rsidRPr="00A83C94" w:rsidRDefault="00FE5BF1" w:rsidP="00FE5BF1">
      <w:pPr>
        <w:spacing w:line="276" w:lineRule="auto"/>
        <w:rPr>
          <w:rFonts w:cs="Calibri"/>
          <w:b w:val="0"/>
          <w:iCs/>
          <w:szCs w:val="22"/>
          <w:lang w:val="hy-AM" w:eastAsia="en-GB"/>
        </w:rPr>
      </w:pPr>
      <w:r w:rsidRPr="00A83C94">
        <w:rPr>
          <w:rFonts w:cs="Calibri"/>
          <w:iCs/>
          <w:szCs w:val="22"/>
          <w:lang w:val="hy-AM" w:eastAsia="en-GB"/>
        </w:rPr>
        <w:t>Քաղաքաշինության և ճարտարապետության բնագավառում պետական քաղաքականության իրականացում և կանոնակարգում</w:t>
      </w:r>
      <w:r w:rsidRPr="00A83C94">
        <w:rPr>
          <w:rFonts w:cs="Calibri"/>
          <w:b w:val="0"/>
          <w:iCs/>
          <w:szCs w:val="22"/>
          <w:lang w:val="hy-AM" w:eastAsia="en-GB"/>
        </w:rPr>
        <w:t xml:space="preserve"> ծրագրի շրջանակներում 2022 թվականի համար նախատեսվել է շուրջ 1,585.</w:t>
      </w:r>
      <w:r w:rsidR="00FE2EED" w:rsidRPr="00A83C94">
        <w:rPr>
          <w:rFonts w:cs="Calibri"/>
          <w:b w:val="0"/>
          <w:iCs/>
          <w:szCs w:val="22"/>
          <w:lang w:val="hy-AM" w:eastAsia="en-GB"/>
        </w:rPr>
        <w:t>1</w:t>
      </w:r>
      <w:r w:rsidRPr="00A83C94">
        <w:rPr>
          <w:rFonts w:cs="Calibri"/>
          <w:b w:val="0"/>
          <w:iCs/>
          <w:szCs w:val="22"/>
          <w:lang w:val="hy-AM" w:eastAsia="en-GB"/>
        </w:rPr>
        <w:t xml:space="preserve"> մլն դրամ </w:t>
      </w:r>
      <w:r w:rsidR="00427D1F" w:rsidRPr="00A83C94">
        <w:rPr>
          <w:rFonts w:cs="Calibri"/>
          <w:b w:val="0"/>
          <w:iCs/>
          <w:szCs w:val="22"/>
          <w:lang w:val="hy-AM" w:eastAsia="en-GB"/>
        </w:rPr>
        <w:t>(ներառյալ կառավարման ապարատի պահպանման ծախսերը</w:t>
      </w:r>
      <w:r w:rsidR="006D24C5" w:rsidRPr="00A83C94">
        <w:rPr>
          <w:rFonts w:cs="Calibri"/>
          <w:b w:val="0"/>
          <w:iCs/>
          <w:szCs w:val="22"/>
          <w:lang w:val="hy-AM" w:eastAsia="en-GB"/>
        </w:rPr>
        <w:t>՝ 589,3 մլն դրամ</w:t>
      </w:r>
      <w:r w:rsidR="00427D1F" w:rsidRPr="00A83C94">
        <w:rPr>
          <w:rFonts w:cs="Calibri"/>
          <w:b w:val="0"/>
          <w:iCs/>
          <w:szCs w:val="22"/>
          <w:lang w:val="hy-AM" w:eastAsia="en-GB"/>
        </w:rPr>
        <w:t>)</w:t>
      </w:r>
      <w:r w:rsidRPr="00A83C94">
        <w:rPr>
          <w:rFonts w:cs="Calibri"/>
          <w:b w:val="0"/>
          <w:iCs/>
          <w:szCs w:val="22"/>
          <w:lang w:val="hy-AM" w:eastAsia="en-GB"/>
        </w:rPr>
        <w:t>։ Ծրագրի նպատակն է շարունակել քաղաքաշինական գործունեության պետական կարգավորման միջոց հանդիսացող նորմատիվ փաստաթղթերի մշակումն ու շարունա</w:t>
      </w:r>
      <w:r w:rsidRPr="00A83C94">
        <w:rPr>
          <w:rFonts w:cs="Calibri"/>
          <w:b w:val="0"/>
          <w:iCs/>
          <w:szCs w:val="22"/>
          <w:lang w:val="hy-AM" w:eastAsia="en-GB"/>
        </w:rPr>
        <w:softHyphen/>
        <w:t>կական արդիականացումը, դրանց ներդաշնակեցումը միջազգային նորմերին, տարածք</w:t>
      </w:r>
      <w:r w:rsidRPr="00A83C94">
        <w:rPr>
          <w:rFonts w:cs="Calibri"/>
          <w:b w:val="0"/>
          <w:iCs/>
          <w:szCs w:val="22"/>
          <w:lang w:val="hy-AM" w:eastAsia="en-GB"/>
        </w:rPr>
        <w:softHyphen/>
        <w:t>ների և բնակավայրերի կայուն քաղաքաշինական զարգացումն ու դրան նպաստող համայնքների համակցված տարածական պլանավորման փաստաթղթերի մշակումը: Նշված նպատակին հասնելու համար իրականացվելու են միկրոռեգիոնալ մակարդակի համակցված տարածական պլանավորման թվով 25 փաստաթղթերի</w:t>
      </w:r>
      <w:r w:rsidR="00E913F4" w:rsidRPr="00E913F4">
        <w:rPr>
          <w:rFonts w:cs="Calibri"/>
          <w:b w:val="0"/>
          <w:iCs/>
          <w:szCs w:val="22"/>
          <w:lang w:val="hy-AM" w:eastAsia="en-GB"/>
        </w:rPr>
        <w:t xml:space="preserve"> մշակման աշխատանքներ</w:t>
      </w:r>
      <w:r w:rsidRPr="00A83C94">
        <w:rPr>
          <w:rFonts w:cs="Calibri"/>
          <w:b w:val="0"/>
          <w:iCs/>
          <w:szCs w:val="22"/>
          <w:lang w:val="hy-AM" w:eastAsia="en-GB"/>
        </w:rPr>
        <w:t>, այդ թվում</w:t>
      </w:r>
      <w:r w:rsidR="001873ED" w:rsidRPr="00E913F4">
        <w:rPr>
          <w:rFonts w:cs="Calibri"/>
          <w:b w:val="0"/>
          <w:iCs/>
          <w:szCs w:val="22"/>
          <w:lang w:val="hy-AM" w:eastAsia="en-GB"/>
        </w:rPr>
        <w:t>՝</w:t>
      </w:r>
      <w:r w:rsidRPr="00A83C94">
        <w:rPr>
          <w:rFonts w:cs="Calibri"/>
          <w:b w:val="0"/>
          <w:iCs/>
          <w:szCs w:val="22"/>
          <w:lang w:val="hy-AM" w:eastAsia="en-GB"/>
        </w:rPr>
        <w:t xml:space="preserve"> ՀՀ Արագածոտնի մարզի թվով 7, Գեղարքունիքի մարզ (մասնակի) թվով 8</w:t>
      </w:r>
      <w:r w:rsidR="00E913F4" w:rsidRPr="00E913F4">
        <w:rPr>
          <w:rFonts w:cs="Calibri"/>
          <w:b w:val="0"/>
          <w:iCs/>
          <w:szCs w:val="22"/>
          <w:lang w:val="hy-AM" w:eastAsia="en-GB"/>
        </w:rPr>
        <w:t>,</w:t>
      </w:r>
      <w:r w:rsidRPr="00A83C94">
        <w:rPr>
          <w:rFonts w:cs="Calibri"/>
          <w:b w:val="0"/>
          <w:iCs/>
          <w:szCs w:val="22"/>
          <w:lang w:val="hy-AM" w:eastAsia="en-GB"/>
        </w:rPr>
        <w:t xml:space="preserve"> Շիրակի մարզ (մասնակի)</w:t>
      </w:r>
      <w:r w:rsidR="00E913F4" w:rsidRPr="00E913F4">
        <w:rPr>
          <w:rFonts w:cs="Calibri"/>
          <w:b w:val="0"/>
          <w:iCs/>
          <w:szCs w:val="22"/>
          <w:lang w:val="hy-AM" w:eastAsia="en-GB"/>
        </w:rPr>
        <w:t xml:space="preserve"> թվով</w:t>
      </w:r>
      <w:r w:rsidRPr="00A83C94">
        <w:rPr>
          <w:rFonts w:cs="Calibri"/>
          <w:b w:val="0"/>
          <w:iCs/>
          <w:szCs w:val="22"/>
          <w:lang w:val="hy-AM" w:eastAsia="en-GB"/>
        </w:rPr>
        <w:t xml:space="preserve"> 10 փաստաթղթեր</w:t>
      </w:r>
      <w:r w:rsidR="00E913F4" w:rsidRPr="00E913F4">
        <w:rPr>
          <w:rFonts w:cs="Calibri"/>
          <w:b w:val="0"/>
          <w:iCs/>
          <w:szCs w:val="22"/>
          <w:lang w:val="hy-AM" w:eastAsia="en-GB"/>
        </w:rPr>
        <w:t>:</w:t>
      </w:r>
      <w:r w:rsidRPr="00A83C94">
        <w:rPr>
          <w:rFonts w:cs="Calibri"/>
          <w:b w:val="0"/>
          <w:iCs/>
          <w:szCs w:val="22"/>
          <w:lang w:val="hy-AM" w:eastAsia="en-GB"/>
        </w:rPr>
        <w:t xml:space="preserve"> </w:t>
      </w:r>
      <w:r w:rsidR="00E913F4" w:rsidRPr="00E913F4">
        <w:rPr>
          <w:rFonts w:cs="Calibri"/>
          <w:b w:val="0"/>
          <w:iCs/>
          <w:szCs w:val="22"/>
          <w:lang w:val="hy-AM" w:eastAsia="en-GB"/>
        </w:rPr>
        <w:t>Մ</w:t>
      </w:r>
      <w:r w:rsidRPr="00A83C94">
        <w:rPr>
          <w:rFonts w:cs="Calibri"/>
          <w:b w:val="0"/>
          <w:iCs/>
          <w:szCs w:val="22"/>
          <w:lang w:val="hy-AM" w:eastAsia="en-GB"/>
        </w:rPr>
        <w:t>շակվելու և տեղայնացվելու են թվով 19 նորմատիվատեխնիկական փաստաթղթեր</w:t>
      </w:r>
      <w:r w:rsidR="006D24C5" w:rsidRPr="00A83C94">
        <w:rPr>
          <w:rFonts w:cs="Calibri"/>
          <w:b w:val="0"/>
          <w:iCs/>
          <w:szCs w:val="22"/>
          <w:lang w:val="hy-AM" w:eastAsia="en-GB"/>
        </w:rPr>
        <w:t>:</w:t>
      </w:r>
    </w:p>
    <w:p w14:paraId="799AD47B" w14:textId="78FDF104" w:rsidR="00FE5BF1" w:rsidRPr="00A83C94" w:rsidRDefault="006D24C5" w:rsidP="00FE5BF1">
      <w:pPr>
        <w:spacing w:line="276" w:lineRule="auto"/>
        <w:rPr>
          <w:rFonts w:cs="Calibri"/>
          <w:b w:val="0"/>
          <w:iCs/>
          <w:szCs w:val="22"/>
          <w:lang w:val="hy-AM" w:eastAsia="en-GB"/>
        </w:rPr>
      </w:pPr>
      <w:r w:rsidRPr="00A83C94">
        <w:rPr>
          <w:rFonts w:cs="Calibri"/>
          <w:b w:val="0"/>
          <w:iCs/>
          <w:szCs w:val="22"/>
          <w:lang w:val="hy-AM" w:eastAsia="en-GB"/>
        </w:rPr>
        <w:t>Բացի այդ կ</w:t>
      </w:r>
      <w:r w:rsidR="00FE5BF1" w:rsidRPr="00A83C94">
        <w:rPr>
          <w:rFonts w:cs="Calibri"/>
          <w:b w:val="0"/>
          <w:iCs/>
          <w:szCs w:val="22"/>
          <w:lang w:val="hy-AM" w:eastAsia="en-GB"/>
        </w:rPr>
        <w:t>շարունակ</w:t>
      </w:r>
      <w:r w:rsidRPr="00A83C94">
        <w:rPr>
          <w:rFonts w:cs="Calibri"/>
          <w:b w:val="0"/>
          <w:iCs/>
          <w:szCs w:val="22"/>
          <w:lang w:val="hy-AM" w:eastAsia="en-GB"/>
        </w:rPr>
        <w:t>վի</w:t>
      </w:r>
      <w:r w:rsidR="00FE5BF1" w:rsidRPr="00A83C94">
        <w:rPr>
          <w:rFonts w:cs="Calibri"/>
          <w:b w:val="0"/>
          <w:iCs/>
          <w:szCs w:val="22"/>
          <w:lang w:val="hy-AM" w:eastAsia="en-GB"/>
        </w:rPr>
        <w:t xml:space="preserve"> ՀՀ Սյունիքի մարզի սահմանամերձ Գորիս համայնքի Շուռնուխ բնակավայրում բնակելի թաղամասի կառուցման աշխատանքները: Այն իր մեջ ընդգրկում է թաղամասի (թվով 13 բնակելի տների) արտաքին ինժեներական ցանցերի (ջրամատա</w:t>
      </w:r>
      <w:r w:rsidR="00FE5BF1" w:rsidRPr="00A83C94">
        <w:rPr>
          <w:rFonts w:cs="Calibri"/>
          <w:b w:val="0"/>
          <w:iCs/>
          <w:szCs w:val="22"/>
          <w:lang w:val="hy-AM" w:eastAsia="en-GB"/>
        </w:rPr>
        <w:softHyphen/>
        <w:t>կարարման-ջրահեռացման), մաքրման կայանների, տարածքի ինժեներական նախապատ</w:t>
      </w:r>
      <w:r w:rsidR="00FE5BF1" w:rsidRPr="00A83C94">
        <w:rPr>
          <w:rFonts w:cs="Calibri"/>
          <w:b w:val="0"/>
          <w:iCs/>
          <w:szCs w:val="22"/>
          <w:lang w:val="hy-AM" w:eastAsia="en-GB"/>
        </w:rPr>
        <w:softHyphen/>
        <w:t xml:space="preserve">րաստման, արտաքին լուսավորության աշխատանքները։ </w:t>
      </w:r>
    </w:p>
    <w:p w14:paraId="43D65BF5" w14:textId="77777777" w:rsidR="00FE5BF1" w:rsidRPr="00A83C94" w:rsidRDefault="00FE5BF1" w:rsidP="00FE5BF1">
      <w:pPr>
        <w:spacing w:line="276" w:lineRule="auto"/>
        <w:rPr>
          <w:rFonts w:cs="Calibri"/>
          <w:iCs/>
          <w:szCs w:val="22"/>
          <w:lang w:val="hy-AM" w:eastAsia="en-GB"/>
        </w:rPr>
      </w:pPr>
    </w:p>
    <w:p w14:paraId="380FA691" w14:textId="22C88C98" w:rsidR="00EA7341" w:rsidRPr="00A83C94" w:rsidRDefault="00EA7341" w:rsidP="00427D1F">
      <w:pPr>
        <w:keepNext/>
        <w:spacing w:before="0" w:line="276" w:lineRule="auto"/>
        <w:ind w:firstLine="0"/>
        <w:contextualSpacing w:val="0"/>
        <w:jc w:val="center"/>
        <w:outlineLvl w:val="2"/>
        <w:rPr>
          <w:rFonts w:cs="Arial"/>
          <w:sz w:val="24"/>
          <w:lang w:val="af-ZA" w:eastAsia="en-US"/>
        </w:rPr>
      </w:pPr>
      <w:bookmarkStart w:id="328" w:name="_Toc89428332"/>
      <w:r w:rsidRPr="00A83C94">
        <w:rPr>
          <w:rFonts w:cs="Arial"/>
          <w:sz w:val="24"/>
          <w:lang w:val="hy-AM" w:eastAsia="en-US"/>
        </w:rPr>
        <w:t>Բարձրագույն դատական խորհուրդ</w:t>
      </w:r>
      <w:bookmarkEnd w:id="328"/>
    </w:p>
    <w:p w14:paraId="180B590D" w14:textId="1E26B6B8" w:rsidR="00EA7341" w:rsidRPr="00A83C94" w:rsidRDefault="00EA7341" w:rsidP="00EA7341">
      <w:pPr>
        <w:spacing w:before="0" w:line="276" w:lineRule="auto"/>
        <w:contextualSpacing w:val="0"/>
        <w:rPr>
          <w:b w:val="0"/>
          <w:szCs w:val="22"/>
          <w:lang w:val="af-ZA" w:eastAsia="en-US"/>
        </w:rPr>
      </w:pPr>
      <w:r w:rsidRPr="00A83C94">
        <w:rPr>
          <w:b w:val="0"/>
          <w:szCs w:val="22"/>
          <w:lang w:val="af-ZA" w:eastAsia="en-US"/>
        </w:rPr>
        <w:t xml:space="preserve">Անկախ, անաչառ, մատչելի, արդյունավետ ու հաշվետու արդարադատություն ունենալու համար Բարձրագույն դատական խորհրդի և դատարանների </w:t>
      </w:r>
      <w:r w:rsidRPr="00A83C94">
        <w:rPr>
          <w:szCs w:val="22"/>
          <w:lang w:val="af-ZA" w:eastAsia="en-US"/>
        </w:rPr>
        <w:t>Դատական իշխանության գործունեության ապահովում և իրականացում</w:t>
      </w:r>
      <w:r w:rsidRPr="00A83C94">
        <w:rPr>
          <w:b w:val="0"/>
          <w:szCs w:val="22"/>
          <w:lang w:val="af-ZA" w:eastAsia="en-US"/>
        </w:rPr>
        <w:t xml:space="preserve"> ծրագրի համար վերջնական արդյունքի ցուցանիշ է սահմանվել World Economic Forum-ի 2018 թվականի հաշվետվության մեջ ներառված «դատական համակարգի անկախությունը իշխանության այլ ճյուղերի, անհատների կամ ընկերությունների ազդեցությունից» ցուցանիշը: WEF վերոնշյալ ցուցանիշը տատանվում է 1-ից 7 միավորի սանդղակում (1=ընդհանրապես անկախ չէ, 7=լիովին անկախ է): Հայաստանի Հանրապետության «դատական համակարգի անկախությունը իշխանության այլ ճյուղերի, անհատների կամ ընկերությունների ազդեցությունից» ցուցանիշը 2018 թվականին եղել է 3.3: Որպես վերջնական արդյունքի թիրախի ցուցանիշ սահմանվել է 6.3, ժամկետ՝ 2024թ.:</w:t>
      </w:r>
    </w:p>
    <w:p w14:paraId="0664052B" w14:textId="70778ECE" w:rsidR="00EA7341" w:rsidRPr="00A83C94" w:rsidRDefault="00EA7341" w:rsidP="00EA7341">
      <w:pPr>
        <w:spacing w:before="0" w:line="276" w:lineRule="auto"/>
        <w:contextualSpacing w:val="0"/>
        <w:rPr>
          <w:b w:val="0"/>
          <w:szCs w:val="22"/>
          <w:lang w:val="af-ZA" w:eastAsia="en-US"/>
        </w:rPr>
      </w:pPr>
      <w:r w:rsidRPr="00A83C94">
        <w:rPr>
          <w:b w:val="0"/>
          <w:szCs w:val="22"/>
          <w:lang w:val="af-ZA" w:eastAsia="en-US"/>
        </w:rPr>
        <w:t>Ծրագրի միջոցառումների համար սահմանվել են նաև քանակական, որակական, գենդերազգայուն ոչ ֆինանսական արդյունքային ցուցանիշներ: Այսպես, ոչ ֆինանսական արդյունքային ցուցանիշներն են՝ ավարտված գործերի թիվը ստացված գործերի թվում (տոկոս), բեկանված դատական ակտերի թիվը կայացված դատական ակտերի թվում (տոկոս):</w:t>
      </w:r>
    </w:p>
    <w:p w14:paraId="64FC2050" w14:textId="4626F400" w:rsidR="00EA7341" w:rsidRPr="00A83C94" w:rsidRDefault="00EA7341" w:rsidP="00EA7341">
      <w:pPr>
        <w:spacing w:before="0" w:line="276" w:lineRule="auto"/>
        <w:contextualSpacing w:val="0"/>
        <w:rPr>
          <w:b w:val="0"/>
          <w:szCs w:val="22"/>
          <w:lang w:val="af-ZA" w:eastAsia="en-US"/>
        </w:rPr>
      </w:pPr>
      <w:r w:rsidRPr="00A83C94">
        <w:rPr>
          <w:b w:val="0"/>
          <w:szCs w:val="22"/>
          <w:lang w:val="af-ZA" w:eastAsia="en-US"/>
        </w:rPr>
        <w:t>Ավարտված գործերի թիվը ստացված գործերի թվում որակական ցուցանիշի սահմանումը նպատակ է հետապնդում ցույց տալ հանրությանը, որ այն տարեցտարի դրական դինամիկա պետք է ապահովի և տարեվերջյան անավարտ գործերի թիվը պետք է նվազի, իսկ բեկանված դատական ակտերի թիվը կայացված դատական ակտերի թվում ցուցանիշն ընդհակառակը՝ տարեցտարի պետք է նվազի:</w:t>
      </w:r>
    </w:p>
    <w:p w14:paraId="37534CD7" w14:textId="77777777" w:rsidR="00CF61FB" w:rsidRPr="00A83C94" w:rsidRDefault="00CF61FB" w:rsidP="007C65A5">
      <w:pPr>
        <w:spacing w:before="0" w:line="276" w:lineRule="auto"/>
        <w:contextualSpacing w:val="0"/>
        <w:rPr>
          <w:b w:val="0"/>
          <w:szCs w:val="22"/>
          <w:lang w:val="af-ZA" w:eastAsia="en-US"/>
        </w:rPr>
      </w:pPr>
    </w:p>
    <w:p w14:paraId="29DC2F0C" w14:textId="236CE35F" w:rsidR="00CF61FB" w:rsidRPr="00A83C94" w:rsidRDefault="00CF61FB" w:rsidP="00427D1F">
      <w:pPr>
        <w:keepNext/>
        <w:spacing w:before="0" w:line="276" w:lineRule="auto"/>
        <w:ind w:firstLine="0"/>
        <w:contextualSpacing w:val="0"/>
        <w:jc w:val="center"/>
        <w:outlineLvl w:val="2"/>
        <w:rPr>
          <w:rFonts w:cs="Arial"/>
          <w:sz w:val="24"/>
          <w:lang w:val="af-ZA" w:eastAsia="en-US"/>
        </w:rPr>
      </w:pPr>
      <w:bookmarkStart w:id="329" w:name="_Toc89428333"/>
      <w:r w:rsidRPr="00A83C94">
        <w:rPr>
          <w:rFonts w:cs="Arial"/>
          <w:sz w:val="24"/>
          <w:lang w:val="hy-AM" w:eastAsia="en-US"/>
        </w:rPr>
        <w:t>ՀՀ դատախազությ</w:t>
      </w:r>
      <w:r w:rsidRPr="00A83C94">
        <w:rPr>
          <w:rFonts w:cs="Arial"/>
          <w:sz w:val="24"/>
          <w:lang w:val="en-US" w:eastAsia="en-US"/>
        </w:rPr>
        <w:t>ուն</w:t>
      </w:r>
      <w:bookmarkEnd w:id="329"/>
    </w:p>
    <w:p w14:paraId="07F2E3D1" w14:textId="77777777"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«Դատավարական ղեկավարում և դատախազական հսկողություն» ծրագրի նպատակն է՝ ՀՀ-ում հանցավորության դեմ պայքարը, հանցագործության դեպքերի կանխարգելումը և կրճատումը, հանցագործության բոլոր դեպքերի առնչությամբ բազմակողմանի, լրիվ և օբյեկտիվ քննության ապահովումը:</w:t>
      </w:r>
    </w:p>
    <w:p w14:paraId="0C1A7271" w14:textId="77777777"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ՀՀ դատախազության գործունեության հիմնական ոլորտներն են՝</w:t>
      </w:r>
    </w:p>
    <w:p w14:paraId="6DA51548" w14:textId="6FDB39F6"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1)</w:t>
      </w:r>
      <w:r w:rsidRPr="00A83C94">
        <w:rPr>
          <w:b w:val="0"/>
          <w:szCs w:val="22"/>
          <w:lang w:val="af-ZA" w:eastAsia="en-US"/>
        </w:rPr>
        <w:tab/>
        <w:t xml:space="preserve"> Կոռուպցիայի և կազմակերպված հանցավորության դեմ պայքարի ոլորտ</w:t>
      </w:r>
    </w:p>
    <w:p w14:paraId="712E5D99" w14:textId="4AA32550"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2)</w:t>
      </w:r>
      <w:r w:rsidRPr="00A83C94">
        <w:rPr>
          <w:b w:val="0"/>
          <w:szCs w:val="22"/>
          <w:lang w:val="af-ZA" w:eastAsia="en-US"/>
        </w:rPr>
        <w:tab/>
        <w:t xml:space="preserve"> Քրեական հետապնդում հարուցելու ոլորտ</w:t>
      </w:r>
    </w:p>
    <w:p w14:paraId="1AC9A5DA" w14:textId="46B937EC"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3)</w:t>
      </w:r>
      <w:r w:rsidRPr="00A83C94">
        <w:rPr>
          <w:b w:val="0"/>
          <w:szCs w:val="22"/>
          <w:lang w:val="af-ZA" w:eastAsia="en-US"/>
        </w:rPr>
        <w:tab/>
        <w:t xml:space="preserve"> Հետաքննության և նախաքննության օրինականության նկատմամբ հսկողության իրականացման ոլորտ</w:t>
      </w:r>
    </w:p>
    <w:p w14:paraId="44EC6BFE" w14:textId="417F2B9F"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4)</w:t>
      </w:r>
      <w:r w:rsidRPr="00A83C94">
        <w:rPr>
          <w:b w:val="0"/>
          <w:szCs w:val="22"/>
          <w:lang w:val="af-ZA" w:eastAsia="en-US"/>
        </w:rPr>
        <w:tab/>
        <w:t xml:space="preserve"> Պատիժների և հարկադրանքի այլ միջոցների կիրառման օրինականության նկատմամբ հսկողության իրականացման ոլորտ</w:t>
      </w:r>
    </w:p>
    <w:p w14:paraId="3CF7DA46" w14:textId="446DC083"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5)</w:t>
      </w:r>
      <w:r w:rsidRPr="00A83C94">
        <w:rPr>
          <w:b w:val="0"/>
          <w:szCs w:val="22"/>
          <w:lang w:val="af-ZA" w:eastAsia="en-US"/>
        </w:rPr>
        <w:tab/>
        <w:t xml:space="preserve"> Դատարանում մեղադրանքի պաշտպանության և վճիռների, դատավճիռների և որոշումների բողոքարկման ոլորտներ</w:t>
      </w:r>
    </w:p>
    <w:p w14:paraId="0B7D7198" w14:textId="3F553F64"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6)</w:t>
      </w:r>
      <w:r w:rsidRPr="00A83C94">
        <w:rPr>
          <w:b w:val="0"/>
          <w:szCs w:val="22"/>
          <w:lang w:val="af-ZA" w:eastAsia="en-US"/>
        </w:rPr>
        <w:tab/>
        <w:t xml:space="preserve"> Պետական շահերի պաշտպանության ոլորտ</w:t>
      </w:r>
    </w:p>
    <w:p w14:paraId="667B969A" w14:textId="1FCABA2E"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7)</w:t>
      </w:r>
      <w:r w:rsidRPr="00A83C94">
        <w:rPr>
          <w:b w:val="0"/>
          <w:szCs w:val="22"/>
          <w:lang w:val="af-ZA" w:eastAsia="en-US"/>
        </w:rPr>
        <w:tab/>
        <w:t xml:space="preserve"> Ապօրինի ծագում ունեցող գույքի բռնագանձման ոլորտ:</w:t>
      </w:r>
    </w:p>
    <w:p w14:paraId="2E4D8F9A" w14:textId="77777777"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ab/>
        <w:t xml:space="preserve">«Փորձաքննության ծառայությունների տրամադրում» ծրագրի նպատակն է  քրեական հետապնդում և արդարադատություն իրականացնող մարմինների կողմից նշանակվող դատական փորձաքննությունների պատշաճ իրականացմամբ համապատասխան պատշաճ որակի և դատավարական ու մեթոդական ընթացակարգերի պահպանմամբ ապացույցների ձեռք բերման միջոցով օժանդակել մինչդատական և դատական քրեական վարույթի իրականացմանը, ինչպես նաև անձի, հասարակության և պետության պաշտպանությանը հանցագործություններից: </w:t>
      </w:r>
    </w:p>
    <w:p w14:paraId="4E960EB7" w14:textId="5A30DE3D" w:rsidR="00CF61FB" w:rsidRPr="00A83C94" w:rsidRDefault="00CF61FB" w:rsidP="00CF61FB">
      <w:pPr>
        <w:spacing w:before="0" w:line="276" w:lineRule="auto"/>
        <w:contextualSpacing w:val="0"/>
        <w:rPr>
          <w:b w:val="0"/>
          <w:szCs w:val="22"/>
          <w:lang w:val="af-ZA" w:eastAsia="en-US"/>
        </w:rPr>
      </w:pPr>
      <w:r w:rsidRPr="00A83C94">
        <w:rPr>
          <w:b w:val="0"/>
          <w:szCs w:val="22"/>
          <w:lang w:val="af-ZA" w:eastAsia="en-US"/>
        </w:rPr>
        <w:t xml:space="preserve"> «Մասնագիտական ուսուցման և որակավորման բարձրացման» կազմակերպում» ծրագրի շրջանակներում նախատեսվում է իրականացնել փորձաքննությունների համար ելակետային տվյալներ ձեռք բերելու պարտականություններ և փորձաքննություններ նշանակելու լիազորություն ունեցող իրավասու մարմինների աշխատողների /նախաքննության, հետաքննության և այլ մարմինների աշխատակիցների/ ուսուցման, վերապատրաստման և որակավորման բարձրացման դասընթացների առավել որակյալ կազմակերպումը և իրականացումը:</w:t>
      </w:r>
    </w:p>
    <w:p w14:paraId="6104AA54" w14:textId="77777777" w:rsidR="002456B8" w:rsidRPr="00A83C94" w:rsidRDefault="002456B8" w:rsidP="002456B8">
      <w:pPr>
        <w:spacing w:before="0" w:line="276" w:lineRule="auto"/>
        <w:contextualSpacing w:val="0"/>
        <w:rPr>
          <w:b w:val="0"/>
          <w:szCs w:val="22"/>
          <w:lang w:val="af-ZA" w:eastAsia="en-US"/>
        </w:rPr>
      </w:pPr>
    </w:p>
    <w:p w14:paraId="2B05BD79" w14:textId="694BD143" w:rsidR="002456B8" w:rsidRPr="00A83C94" w:rsidRDefault="002456B8" w:rsidP="00832373">
      <w:pPr>
        <w:keepNext/>
        <w:spacing w:before="0" w:line="276" w:lineRule="auto"/>
        <w:ind w:firstLine="0"/>
        <w:contextualSpacing w:val="0"/>
        <w:jc w:val="center"/>
        <w:outlineLvl w:val="2"/>
        <w:rPr>
          <w:rFonts w:cs="Arial"/>
          <w:sz w:val="24"/>
          <w:lang w:val="af-ZA" w:eastAsia="en-US"/>
        </w:rPr>
      </w:pPr>
      <w:bookmarkStart w:id="330" w:name="_Toc89428334"/>
      <w:r w:rsidRPr="00A83C94">
        <w:rPr>
          <w:rFonts w:cs="Arial"/>
          <w:sz w:val="24"/>
          <w:lang w:val="hy-AM" w:eastAsia="en-US"/>
        </w:rPr>
        <w:t>ՀՀ քննչական կոմիտե</w:t>
      </w:r>
      <w:bookmarkEnd w:id="330"/>
    </w:p>
    <w:p w14:paraId="266D9424"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քննչական</w:t>
      </w:r>
      <w:r w:rsidRPr="00A83C94">
        <w:rPr>
          <w:b w:val="0"/>
          <w:szCs w:val="22"/>
          <w:lang w:val="af-ZA" w:eastAsia="en-US"/>
        </w:rPr>
        <w:t xml:space="preserve"> </w:t>
      </w:r>
      <w:r w:rsidRPr="00A83C94">
        <w:rPr>
          <w:b w:val="0"/>
          <w:szCs w:val="22"/>
          <w:lang w:val="en-US" w:eastAsia="en-US"/>
        </w:rPr>
        <w:t>կոմիտեի</w:t>
      </w:r>
      <w:r w:rsidRPr="00A83C94">
        <w:rPr>
          <w:b w:val="0"/>
          <w:szCs w:val="22"/>
          <w:lang w:val="af-ZA" w:eastAsia="en-US"/>
        </w:rPr>
        <w:t xml:space="preserve"> </w:t>
      </w:r>
      <w:r w:rsidRPr="00A83C94">
        <w:rPr>
          <w:b w:val="0"/>
          <w:szCs w:val="22"/>
          <w:lang w:val="en-US" w:eastAsia="en-US"/>
        </w:rPr>
        <w:t>հիմնական</w:t>
      </w:r>
      <w:r w:rsidRPr="00A83C94">
        <w:rPr>
          <w:b w:val="0"/>
          <w:szCs w:val="22"/>
          <w:lang w:val="af-ZA" w:eastAsia="en-US"/>
        </w:rPr>
        <w:t xml:space="preserve"> </w:t>
      </w:r>
      <w:r w:rsidRPr="00A83C94">
        <w:rPr>
          <w:b w:val="0"/>
          <w:szCs w:val="22"/>
          <w:lang w:val="en-US" w:eastAsia="en-US"/>
        </w:rPr>
        <w:t>նպատակը</w:t>
      </w:r>
      <w:r w:rsidRPr="00A83C94">
        <w:rPr>
          <w:b w:val="0"/>
          <w:szCs w:val="22"/>
          <w:lang w:val="af-ZA" w:eastAsia="en-US"/>
        </w:rPr>
        <w:t xml:space="preserve"> </w:t>
      </w: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օրենսդրությամբ</w:t>
      </w:r>
      <w:r w:rsidRPr="00A83C94">
        <w:rPr>
          <w:b w:val="0"/>
          <w:szCs w:val="22"/>
          <w:lang w:val="af-ZA" w:eastAsia="en-US"/>
        </w:rPr>
        <w:t xml:space="preserve"> </w:t>
      </w:r>
      <w:r w:rsidRPr="00A83C94">
        <w:rPr>
          <w:b w:val="0"/>
          <w:szCs w:val="22"/>
          <w:lang w:val="en-US" w:eastAsia="en-US"/>
        </w:rPr>
        <w:t>սահմանված</w:t>
      </w:r>
      <w:r w:rsidRPr="00A83C94">
        <w:rPr>
          <w:b w:val="0"/>
          <w:szCs w:val="22"/>
          <w:lang w:val="af-ZA" w:eastAsia="en-US"/>
        </w:rPr>
        <w:t xml:space="preserve">  </w:t>
      </w:r>
      <w:r w:rsidRPr="00A83C94">
        <w:rPr>
          <w:b w:val="0"/>
          <w:szCs w:val="22"/>
          <w:lang w:val="en-US" w:eastAsia="en-US"/>
        </w:rPr>
        <w:t>կարգով</w:t>
      </w:r>
      <w:r w:rsidRPr="00A83C94">
        <w:rPr>
          <w:b w:val="0"/>
          <w:szCs w:val="22"/>
          <w:lang w:val="af-ZA" w:eastAsia="en-US"/>
        </w:rPr>
        <w:t xml:space="preserve"> </w:t>
      </w:r>
      <w:r w:rsidRPr="00A83C94">
        <w:rPr>
          <w:b w:val="0"/>
          <w:szCs w:val="22"/>
          <w:lang w:val="en-US" w:eastAsia="en-US"/>
        </w:rPr>
        <w:t>հանցագործությունների</w:t>
      </w:r>
      <w:r w:rsidRPr="00A83C94">
        <w:rPr>
          <w:b w:val="0"/>
          <w:szCs w:val="22"/>
          <w:lang w:val="af-ZA" w:eastAsia="en-US"/>
        </w:rPr>
        <w:t xml:space="preserve"> </w:t>
      </w:r>
      <w:r w:rsidRPr="00A83C94">
        <w:rPr>
          <w:b w:val="0"/>
          <w:szCs w:val="22"/>
          <w:lang w:val="en-US" w:eastAsia="en-US"/>
        </w:rPr>
        <w:t>վերաբերյալ</w:t>
      </w:r>
      <w:r w:rsidRPr="00A83C94">
        <w:rPr>
          <w:b w:val="0"/>
          <w:szCs w:val="22"/>
          <w:lang w:val="af-ZA" w:eastAsia="en-US"/>
        </w:rPr>
        <w:t xml:space="preserve"> </w:t>
      </w:r>
      <w:r w:rsidRPr="00A83C94">
        <w:rPr>
          <w:b w:val="0"/>
          <w:szCs w:val="22"/>
          <w:lang w:val="en-US" w:eastAsia="en-US"/>
        </w:rPr>
        <w:t>օբյեկտիվ</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արդյունավետ</w:t>
      </w:r>
      <w:r w:rsidRPr="00A83C94">
        <w:rPr>
          <w:b w:val="0"/>
          <w:szCs w:val="22"/>
          <w:lang w:val="af-ZA" w:eastAsia="en-US"/>
        </w:rPr>
        <w:t xml:space="preserve"> </w:t>
      </w:r>
      <w:r w:rsidRPr="00A83C94">
        <w:rPr>
          <w:b w:val="0"/>
          <w:szCs w:val="22"/>
          <w:lang w:val="en-US" w:eastAsia="en-US"/>
        </w:rPr>
        <w:t>նախաքննության</w:t>
      </w:r>
      <w:r w:rsidRPr="00A83C94">
        <w:rPr>
          <w:b w:val="0"/>
          <w:szCs w:val="22"/>
          <w:lang w:val="af-ZA" w:eastAsia="en-US"/>
        </w:rPr>
        <w:t xml:space="preserve"> </w:t>
      </w:r>
      <w:r w:rsidRPr="00A83C94">
        <w:rPr>
          <w:b w:val="0"/>
          <w:szCs w:val="22"/>
          <w:lang w:val="en-US" w:eastAsia="en-US"/>
        </w:rPr>
        <w:t>իրականացումն</w:t>
      </w:r>
      <w:r w:rsidRPr="00A83C94">
        <w:rPr>
          <w:b w:val="0"/>
          <w:szCs w:val="22"/>
          <w:lang w:val="af-ZA" w:eastAsia="en-US"/>
        </w:rPr>
        <w:t xml:space="preserve"> </w:t>
      </w:r>
      <w:r w:rsidRPr="00A83C94">
        <w:rPr>
          <w:b w:val="0"/>
          <w:szCs w:val="22"/>
          <w:lang w:val="en-US" w:eastAsia="en-US"/>
        </w:rPr>
        <w:t>է</w:t>
      </w:r>
      <w:r w:rsidRPr="00A83C94">
        <w:rPr>
          <w:b w:val="0"/>
          <w:szCs w:val="22"/>
          <w:lang w:val="af-ZA" w:eastAsia="en-US"/>
        </w:rPr>
        <w:t xml:space="preserve">, </w:t>
      </w:r>
      <w:r w:rsidRPr="00A83C94">
        <w:rPr>
          <w:b w:val="0"/>
          <w:szCs w:val="22"/>
          <w:lang w:val="en-US" w:eastAsia="en-US"/>
        </w:rPr>
        <w:t>որի</w:t>
      </w:r>
      <w:r w:rsidRPr="00A83C94">
        <w:rPr>
          <w:b w:val="0"/>
          <w:szCs w:val="22"/>
          <w:lang w:val="af-ZA" w:eastAsia="en-US"/>
        </w:rPr>
        <w:t xml:space="preserve"> </w:t>
      </w:r>
      <w:r w:rsidRPr="00A83C94">
        <w:rPr>
          <w:b w:val="0"/>
          <w:szCs w:val="22"/>
          <w:lang w:val="en-US" w:eastAsia="en-US"/>
        </w:rPr>
        <w:t>իրագործման</w:t>
      </w:r>
      <w:r w:rsidRPr="00A83C94">
        <w:rPr>
          <w:b w:val="0"/>
          <w:szCs w:val="22"/>
          <w:lang w:val="af-ZA" w:eastAsia="en-US"/>
        </w:rPr>
        <w:t xml:space="preserve"> </w:t>
      </w:r>
      <w:r w:rsidRPr="00A83C94">
        <w:rPr>
          <w:b w:val="0"/>
          <w:szCs w:val="22"/>
          <w:lang w:val="en-US" w:eastAsia="en-US"/>
        </w:rPr>
        <w:t>համար</w:t>
      </w:r>
      <w:r w:rsidRPr="00A83C94">
        <w:rPr>
          <w:b w:val="0"/>
          <w:szCs w:val="22"/>
          <w:lang w:val="af-ZA" w:eastAsia="en-US"/>
        </w:rPr>
        <w:t xml:space="preserve"> </w:t>
      </w:r>
      <w:r w:rsidRPr="00A83C94">
        <w:rPr>
          <w:b w:val="0"/>
          <w:szCs w:val="22"/>
          <w:lang w:val="en-US" w:eastAsia="en-US"/>
        </w:rPr>
        <w:t>ակնկալվում</w:t>
      </w:r>
      <w:r w:rsidRPr="00A83C94">
        <w:rPr>
          <w:b w:val="0"/>
          <w:szCs w:val="22"/>
          <w:lang w:val="af-ZA" w:eastAsia="en-US"/>
        </w:rPr>
        <w:t xml:space="preserve"> </w:t>
      </w:r>
      <w:r w:rsidRPr="00A83C94">
        <w:rPr>
          <w:b w:val="0"/>
          <w:szCs w:val="22"/>
          <w:lang w:val="en-US" w:eastAsia="en-US"/>
        </w:rPr>
        <w:t>է</w:t>
      </w:r>
      <w:r w:rsidRPr="00A83C94">
        <w:rPr>
          <w:b w:val="0"/>
          <w:szCs w:val="22"/>
          <w:lang w:val="af-ZA" w:eastAsia="en-US"/>
        </w:rPr>
        <w:t>.</w:t>
      </w:r>
    </w:p>
    <w:p w14:paraId="54D8FA13"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1. </w:t>
      </w: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քրեական</w:t>
      </w:r>
      <w:r w:rsidRPr="00A83C94">
        <w:rPr>
          <w:b w:val="0"/>
          <w:szCs w:val="22"/>
          <w:lang w:val="af-ZA" w:eastAsia="en-US"/>
        </w:rPr>
        <w:t xml:space="preserve"> </w:t>
      </w:r>
      <w:r w:rsidRPr="00A83C94">
        <w:rPr>
          <w:b w:val="0"/>
          <w:szCs w:val="22"/>
          <w:lang w:val="en-US" w:eastAsia="en-US"/>
        </w:rPr>
        <w:t>դատավարության</w:t>
      </w:r>
      <w:r w:rsidRPr="00A83C94">
        <w:rPr>
          <w:b w:val="0"/>
          <w:szCs w:val="22"/>
          <w:lang w:val="af-ZA" w:eastAsia="en-US"/>
        </w:rPr>
        <w:t xml:space="preserve"> </w:t>
      </w:r>
      <w:r w:rsidRPr="00A83C94">
        <w:rPr>
          <w:b w:val="0"/>
          <w:szCs w:val="22"/>
          <w:lang w:val="en-US" w:eastAsia="en-US"/>
        </w:rPr>
        <w:t>օրենսգրքով</w:t>
      </w:r>
      <w:r w:rsidRPr="00A83C94">
        <w:rPr>
          <w:b w:val="0"/>
          <w:szCs w:val="22"/>
          <w:lang w:val="af-ZA" w:eastAsia="en-US"/>
        </w:rPr>
        <w:t xml:space="preserve"> </w:t>
      </w:r>
      <w:r w:rsidRPr="00A83C94">
        <w:rPr>
          <w:b w:val="0"/>
          <w:szCs w:val="22"/>
          <w:lang w:val="en-US" w:eastAsia="en-US"/>
        </w:rPr>
        <w:t>իր</w:t>
      </w:r>
      <w:r w:rsidRPr="00A83C94">
        <w:rPr>
          <w:b w:val="0"/>
          <w:szCs w:val="22"/>
          <w:lang w:val="af-ZA" w:eastAsia="en-US"/>
        </w:rPr>
        <w:t xml:space="preserve"> </w:t>
      </w:r>
      <w:r w:rsidRPr="00A83C94">
        <w:rPr>
          <w:b w:val="0"/>
          <w:szCs w:val="22"/>
          <w:lang w:val="en-US" w:eastAsia="en-US"/>
        </w:rPr>
        <w:t>իրավասությանը</w:t>
      </w:r>
      <w:r w:rsidRPr="00A83C94">
        <w:rPr>
          <w:b w:val="0"/>
          <w:szCs w:val="22"/>
          <w:lang w:val="af-ZA" w:eastAsia="en-US"/>
        </w:rPr>
        <w:t xml:space="preserve"> </w:t>
      </w:r>
      <w:r w:rsidRPr="00A83C94">
        <w:rPr>
          <w:b w:val="0"/>
          <w:szCs w:val="22"/>
          <w:lang w:val="en-US" w:eastAsia="en-US"/>
        </w:rPr>
        <w:t>վերապահված՝</w:t>
      </w:r>
      <w:r w:rsidRPr="00A83C94">
        <w:rPr>
          <w:b w:val="0"/>
          <w:szCs w:val="22"/>
          <w:lang w:val="af-ZA" w:eastAsia="en-US"/>
        </w:rPr>
        <w:t xml:space="preserve"> </w:t>
      </w:r>
      <w:r w:rsidRPr="00A83C94">
        <w:rPr>
          <w:b w:val="0"/>
          <w:szCs w:val="22"/>
          <w:lang w:val="en-US" w:eastAsia="en-US"/>
        </w:rPr>
        <w:t>ենթադրյալ</w:t>
      </w:r>
      <w:r w:rsidRPr="00A83C94">
        <w:rPr>
          <w:b w:val="0"/>
          <w:szCs w:val="22"/>
          <w:lang w:val="af-ZA" w:eastAsia="en-US"/>
        </w:rPr>
        <w:t xml:space="preserve"> </w:t>
      </w:r>
      <w:r w:rsidRPr="00A83C94">
        <w:rPr>
          <w:b w:val="0"/>
          <w:szCs w:val="22"/>
          <w:lang w:val="en-US" w:eastAsia="en-US"/>
        </w:rPr>
        <w:t>հանցագործությունների</w:t>
      </w:r>
      <w:r w:rsidRPr="00A83C94">
        <w:rPr>
          <w:b w:val="0"/>
          <w:szCs w:val="22"/>
          <w:lang w:val="af-ZA" w:eastAsia="en-US"/>
        </w:rPr>
        <w:t xml:space="preserve"> </w:t>
      </w:r>
      <w:r w:rsidRPr="00A83C94">
        <w:rPr>
          <w:b w:val="0"/>
          <w:szCs w:val="22"/>
          <w:lang w:val="en-US" w:eastAsia="en-US"/>
        </w:rPr>
        <w:t>կապակցությամբ</w:t>
      </w:r>
      <w:r w:rsidRPr="00A83C94">
        <w:rPr>
          <w:b w:val="0"/>
          <w:szCs w:val="22"/>
          <w:lang w:val="af-ZA" w:eastAsia="en-US"/>
        </w:rPr>
        <w:t xml:space="preserve"> </w:t>
      </w:r>
      <w:r w:rsidRPr="00A83C94">
        <w:rPr>
          <w:b w:val="0"/>
          <w:szCs w:val="22"/>
          <w:lang w:val="en-US" w:eastAsia="en-US"/>
        </w:rPr>
        <w:t>նախաքննության</w:t>
      </w:r>
      <w:r w:rsidRPr="00A83C94">
        <w:rPr>
          <w:b w:val="0"/>
          <w:szCs w:val="22"/>
          <w:lang w:val="af-ZA" w:eastAsia="en-US"/>
        </w:rPr>
        <w:t xml:space="preserve"> </w:t>
      </w:r>
      <w:r w:rsidRPr="00A83C94">
        <w:rPr>
          <w:b w:val="0"/>
          <w:szCs w:val="22"/>
          <w:lang w:val="en-US" w:eastAsia="en-US"/>
        </w:rPr>
        <w:t>կազմակերպումը</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իրականացումը</w:t>
      </w:r>
      <w:r w:rsidRPr="00A83C94">
        <w:rPr>
          <w:b w:val="0"/>
          <w:szCs w:val="22"/>
          <w:lang w:val="af-ZA" w:eastAsia="en-US"/>
        </w:rPr>
        <w:t>.</w:t>
      </w:r>
    </w:p>
    <w:p w14:paraId="22FE924E"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2. </w:t>
      </w:r>
      <w:r w:rsidRPr="00A83C94">
        <w:rPr>
          <w:b w:val="0"/>
          <w:szCs w:val="22"/>
          <w:lang w:val="en-US" w:eastAsia="en-US"/>
        </w:rPr>
        <w:t>ապահովել</w:t>
      </w:r>
      <w:r w:rsidRPr="00A83C94">
        <w:rPr>
          <w:b w:val="0"/>
          <w:szCs w:val="22"/>
          <w:lang w:val="af-ZA" w:eastAsia="en-US"/>
        </w:rPr>
        <w:t xml:space="preserve"> </w:t>
      </w:r>
      <w:r w:rsidRPr="00A83C94">
        <w:rPr>
          <w:b w:val="0"/>
          <w:szCs w:val="22"/>
          <w:lang w:val="en-US" w:eastAsia="en-US"/>
        </w:rPr>
        <w:t>առերևույթ</w:t>
      </w:r>
      <w:r w:rsidRPr="00A83C94">
        <w:rPr>
          <w:b w:val="0"/>
          <w:szCs w:val="22"/>
          <w:lang w:val="af-ZA" w:eastAsia="en-US"/>
        </w:rPr>
        <w:t xml:space="preserve"> </w:t>
      </w:r>
      <w:r w:rsidRPr="00A83C94">
        <w:rPr>
          <w:b w:val="0"/>
          <w:szCs w:val="22"/>
          <w:lang w:val="en-US" w:eastAsia="en-US"/>
        </w:rPr>
        <w:t>հանցանք</w:t>
      </w:r>
      <w:r w:rsidRPr="00A83C94">
        <w:rPr>
          <w:b w:val="0"/>
          <w:szCs w:val="22"/>
          <w:lang w:val="af-ZA" w:eastAsia="en-US"/>
        </w:rPr>
        <w:t xml:space="preserve"> </w:t>
      </w:r>
      <w:r w:rsidRPr="00A83C94">
        <w:rPr>
          <w:b w:val="0"/>
          <w:szCs w:val="22"/>
          <w:lang w:val="en-US" w:eastAsia="en-US"/>
        </w:rPr>
        <w:t>կատարած</w:t>
      </w:r>
      <w:r w:rsidRPr="00A83C94">
        <w:rPr>
          <w:b w:val="0"/>
          <w:szCs w:val="22"/>
          <w:lang w:val="af-ZA" w:eastAsia="en-US"/>
        </w:rPr>
        <w:t xml:space="preserve"> </w:t>
      </w:r>
      <w:r w:rsidRPr="00A83C94">
        <w:rPr>
          <w:b w:val="0"/>
          <w:szCs w:val="22"/>
          <w:lang w:val="en-US" w:eastAsia="en-US"/>
        </w:rPr>
        <w:t>յուրաքանչյուր</w:t>
      </w:r>
      <w:r w:rsidRPr="00A83C94">
        <w:rPr>
          <w:b w:val="0"/>
          <w:szCs w:val="22"/>
          <w:lang w:val="af-ZA" w:eastAsia="en-US"/>
        </w:rPr>
        <w:t xml:space="preserve"> </w:t>
      </w:r>
      <w:r w:rsidRPr="00A83C94">
        <w:rPr>
          <w:b w:val="0"/>
          <w:szCs w:val="22"/>
          <w:lang w:val="en-US" w:eastAsia="en-US"/>
        </w:rPr>
        <w:t>անձի</w:t>
      </w:r>
      <w:r w:rsidRPr="00A83C94">
        <w:rPr>
          <w:b w:val="0"/>
          <w:szCs w:val="22"/>
          <w:lang w:val="af-ZA" w:eastAsia="en-US"/>
        </w:rPr>
        <w:t xml:space="preserve"> </w:t>
      </w:r>
      <w:r w:rsidRPr="00A83C94">
        <w:rPr>
          <w:b w:val="0"/>
          <w:szCs w:val="22"/>
          <w:lang w:val="en-US" w:eastAsia="en-US"/>
        </w:rPr>
        <w:t>նկատմամբ</w:t>
      </w:r>
      <w:r w:rsidRPr="00A83C94">
        <w:rPr>
          <w:b w:val="0"/>
          <w:szCs w:val="22"/>
          <w:lang w:val="af-ZA" w:eastAsia="en-US"/>
        </w:rPr>
        <w:t xml:space="preserve"> </w:t>
      </w:r>
      <w:r w:rsidRPr="00A83C94">
        <w:rPr>
          <w:b w:val="0"/>
          <w:szCs w:val="22"/>
          <w:lang w:val="en-US" w:eastAsia="en-US"/>
        </w:rPr>
        <w:t>օրենքով</w:t>
      </w:r>
      <w:r w:rsidRPr="00A83C94">
        <w:rPr>
          <w:b w:val="0"/>
          <w:szCs w:val="22"/>
          <w:lang w:val="af-ZA" w:eastAsia="en-US"/>
        </w:rPr>
        <w:t xml:space="preserve"> </w:t>
      </w:r>
      <w:r w:rsidRPr="00A83C94">
        <w:rPr>
          <w:b w:val="0"/>
          <w:szCs w:val="22"/>
          <w:lang w:val="en-US" w:eastAsia="en-US"/>
        </w:rPr>
        <w:t>սահմանված</w:t>
      </w:r>
      <w:r w:rsidRPr="00A83C94">
        <w:rPr>
          <w:b w:val="0"/>
          <w:szCs w:val="22"/>
          <w:lang w:val="af-ZA" w:eastAsia="en-US"/>
        </w:rPr>
        <w:t xml:space="preserve"> </w:t>
      </w:r>
      <w:r w:rsidRPr="00A83C94">
        <w:rPr>
          <w:b w:val="0"/>
          <w:szCs w:val="22"/>
          <w:lang w:val="en-US" w:eastAsia="en-US"/>
        </w:rPr>
        <w:t>դեպքերում</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կարգով</w:t>
      </w:r>
      <w:r w:rsidRPr="00A83C94">
        <w:rPr>
          <w:b w:val="0"/>
          <w:szCs w:val="22"/>
          <w:lang w:val="af-ZA" w:eastAsia="en-US"/>
        </w:rPr>
        <w:t xml:space="preserve"> </w:t>
      </w:r>
      <w:r w:rsidRPr="00A83C94">
        <w:rPr>
          <w:b w:val="0"/>
          <w:szCs w:val="22"/>
          <w:lang w:val="en-US" w:eastAsia="en-US"/>
        </w:rPr>
        <w:t>քրեական</w:t>
      </w:r>
      <w:r w:rsidRPr="00A83C94">
        <w:rPr>
          <w:b w:val="0"/>
          <w:szCs w:val="22"/>
          <w:lang w:val="af-ZA" w:eastAsia="en-US"/>
        </w:rPr>
        <w:t xml:space="preserve"> </w:t>
      </w:r>
      <w:r w:rsidRPr="00A83C94">
        <w:rPr>
          <w:b w:val="0"/>
          <w:szCs w:val="22"/>
          <w:lang w:val="en-US" w:eastAsia="en-US"/>
        </w:rPr>
        <w:t>հետապնդման</w:t>
      </w:r>
      <w:r w:rsidRPr="00A83C94">
        <w:rPr>
          <w:b w:val="0"/>
          <w:szCs w:val="22"/>
          <w:lang w:val="af-ZA" w:eastAsia="en-US"/>
        </w:rPr>
        <w:t xml:space="preserve"> </w:t>
      </w:r>
      <w:r w:rsidRPr="00A83C94">
        <w:rPr>
          <w:b w:val="0"/>
          <w:szCs w:val="22"/>
          <w:lang w:val="en-US" w:eastAsia="en-US"/>
        </w:rPr>
        <w:t>հարուցումը</w:t>
      </w:r>
      <w:r w:rsidRPr="00A83C94">
        <w:rPr>
          <w:b w:val="0"/>
          <w:szCs w:val="22"/>
          <w:lang w:val="af-ZA" w:eastAsia="en-US"/>
        </w:rPr>
        <w:t>.</w:t>
      </w:r>
    </w:p>
    <w:p w14:paraId="1B3F874A"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3. </w:t>
      </w:r>
      <w:r w:rsidRPr="00A83C94">
        <w:rPr>
          <w:b w:val="0"/>
          <w:szCs w:val="22"/>
          <w:lang w:val="en-US" w:eastAsia="en-US"/>
        </w:rPr>
        <w:t>միջոցներ</w:t>
      </w:r>
      <w:r w:rsidRPr="00A83C94">
        <w:rPr>
          <w:b w:val="0"/>
          <w:szCs w:val="22"/>
          <w:lang w:val="af-ZA" w:eastAsia="en-US"/>
        </w:rPr>
        <w:t xml:space="preserve"> </w:t>
      </w:r>
      <w:r w:rsidRPr="00A83C94">
        <w:rPr>
          <w:b w:val="0"/>
          <w:szCs w:val="22"/>
          <w:lang w:val="en-US" w:eastAsia="en-US"/>
        </w:rPr>
        <w:t>ձեռնարկել</w:t>
      </w:r>
      <w:r w:rsidRPr="00A83C94">
        <w:rPr>
          <w:b w:val="0"/>
          <w:szCs w:val="22"/>
          <w:lang w:val="af-ZA" w:eastAsia="en-US"/>
        </w:rPr>
        <w:t xml:space="preserve"> </w:t>
      </w:r>
      <w:r w:rsidRPr="00A83C94">
        <w:rPr>
          <w:b w:val="0"/>
          <w:szCs w:val="22"/>
          <w:lang w:val="en-US" w:eastAsia="en-US"/>
        </w:rPr>
        <w:t>նախաքննության</w:t>
      </w:r>
      <w:r w:rsidRPr="00A83C94">
        <w:rPr>
          <w:b w:val="0"/>
          <w:szCs w:val="22"/>
          <w:lang w:val="af-ZA" w:eastAsia="en-US"/>
        </w:rPr>
        <w:t xml:space="preserve"> </w:t>
      </w:r>
      <w:r w:rsidRPr="00A83C94">
        <w:rPr>
          <w:b w:val="0"/>
          <w:szCs w:val="22"/>
          <w:lang w:val="en-US" w:eastAsia="en-US"/>
        </w:rPr>
        <w:t>ժամկետների</w:t>
      </w:r>
      <w:r w:rsidRPr="00A83C94">
        <w:rPr>
          <w:b w:val="0"/>
          <w:szCs w:val="22"/>
          <w:lang w:val="af-ZA" w:eastAsia="en-US"/>
        </w:rPr>
        <w:t xml:space="preserve"> </w:t>
      </w:r>
      <w:r w:rsidRPr="00A83C94">
        <w:rPr>
          <w:b w:val="0"/>
          <w:szCs w:val="22"/>
          <w:lang w:val="en-US" w:eastAsia="en-US"/>
        </w:rPr>
        <w:t>անհարկի</w:t>
      </w:r>
      <w:r w:rsidRPr="00A83C94">
        <w:rPr>
          <w:b w:val="0"/>
          <w:szCs w:val="22"/>
          <w:lang w:val="af-ZA" w:eastAsia="en-US"/>
        </w:rPr>
        <w:t xml:space="preserve"> </w:t>
      </w:r>
      <w:r w:rsidRPr="00A83C94">
        <w:rPr>
          <w:b w:val="0"/>
          <w:szCs w:val="22"/>
          <w:lang w:val="en-US" w:eastAsia="en-US"/>
        </w:rPr>
        <w:t>ձգձգումները</w:t>
      </w:r>
      <w:r w:rsidRPr="00A83C94">
        <w:rPr>
          <w:b w:val="0"/>
          <w:szCs w:val="22"/>
          <w:lang w:val="af-ZA" w:eastAsia="en-US"/>
        </w:rPr>
        <w:t xml:space="preserve"> </w:t>
      </w:r>
      <w:r w:rsidRPr="00A83C94">
        <w:rPr>
          <w:b w:val="0"/>
          <w:szCs w:val="22"/>
          <w:lang w:val="en-US" w:eastAsia="en-US"/>
        </w:rPr>
        <w:t>բացառելու</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w:t>
      </w:r>
    </w:p>
    <w:p w14:paraId="6F35EA43"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4. </w:t>
      </w:r>
      <w:r w:rsidRPr="00A83C94">
        <w:rPr>
          <w:b w:val="0"/>
          <w:szCs w:val="22"/>
          <w:lang w:val="en-US" w:eastAsia="en-US"/>
        </w:rPr>
        <w:t>միջոցներ</w:t>
      </w:r>
      <w:r w:rsidRPr="00A83C94">
        <w:rPr>
          <w:b w:val="0"/>
          <w:szCs w:val="22"/>
          <w:lang w:val="af-ZA" w:eastAsia="en-US"/>
        </w:rPr>
        <w:t xml:space="preserve"> </w:t>
      </w:r>
      <w:r w:rsidRPr="00A83C94">
        <w:rPr>
          <w:b w:val="0"/>
          <w:szCs w:val="22"/>
          <w:lang w:val="en-US" w:eastAsia="en-US"/>
        </w:rPr>
        <w:t>ձեռնարկել</w:t>
      </w:r>
      <w:r w:rsidRPr="00A83C94">
        <w:rPr>
          <w:b w:val="0"/>
          <w:szCs w:val="22"/>
          <w:lang w:val="af-ZA" w:eastAsia="en-US"/>
        </w:rPr>
        <w:t xml:space="preserve"> </w:t>
      </w:r>
      <w:r w:rsidRPr="00A83C94">
        <w:rPr>
          <w:b w:val="0"/>
          <w:szCs w:val="22"/>
          <w:lang w:val="en-US" w:eastAsia="en-US"/>
        </w:rPr>
        <w:t>պետությանը</w:t>
      </w:r>
      <w:r w:rsidRPr="00A83C94">
        <w:rPr>
          <w:b w:val="0"/>
          <w:szCs w:val="22"/>
          <w:lang w:val="af-ZA" w:eastAsia="en-US"/>
        </w:rPr>
        <w:t xml:space="preserve">, </w:t>
      </w:r>
      <w:r w:rsidRPr="00A83C94">
        <w:rPr>
          <w:b w:val="0"/>
          <w:szCs w:val="22"/>
          <w:lang w:val="en-US" w:eastAsia="en-US"/>
        </w:rPr>
        <w:t>ֆիզիկական</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իրավաբանական</w:t>
      </w:r>
      <w:r w:rsidRPr="00A83C94">
        <w:rPr>
          <w:b w:val="0"/>
          <w:szCs w:val="22"/>
          <w:lang w:val="af-ZA" w:eastAsia="en-US"/>
        </w:rPr>
        <w:t xml:space="preserve"> </w:t>
      </w:r>
      <w:r w:rsidRPr="00A83C94">
        <w:rPr>
          <w:b w:val="0"/>
          <w:szCs w:val="22"/>
          <w:lang w:val="en-US" w:eastAsia="en-US"/>
        </w:rPr>
        <w:t>անձանց</w:t>
      </w:r>
      <w:r w:rsidRPr="00A83C94">
        <w:rPr>
          <w:b w:val="0"/>
          <w:szCs w:val="22"/>
          <w:lang w:val="af-ZA" w:eastAsia="en-US"/>
        </w:rPr>
        <w:t xml:space="preserve"> </w:t>
      </w:r>
      <w:r w:rsidRPr="00A83C94">
        <w:rPr>
          <w:b w:val="0"/>
          <w:szCs w:val="22"/>
          <w:lang w:val="en-US" w:eastAsia="en-US"/>
        </w:rPr>
        <w:t>պատճառված</w:t>
      </w:r>
      <w:r w:rsidRPr="00A83C94">
        <w:rPr>
          <w:b w:val="0"/>
          <w:szCs w:val="22"/>
          <w:lang w:val="af-ZA" w:eastAsia="en-US"/>
        </w:rPr>
        <w:t xml:space="preserve"> </w:t>
      </w:r>
      <w:r w:rsidRPr="00A83C94">
        <w:rPr>
          <w:b w:val="0"/>
          <w:szCs w:val="22"/>
          <w:lang w:val="en-US" w:eastAsia="en-US"/>
        </w:rPr>
        <w:t>վնասի</w:t>
      </w:r>
      <w:r w:rsidRPr="00A83C94">
        <w:rPr>
          <w:b w:val="0"/>
          <w:szCs w:val="22"/>
          <w:lang w:val="af-ZA" w:eastAsia="en-US"/>
        </w:rPr>
        <w:t xml:space="preserve"> </w:t>
      </w:r>
      <w:r w:rsidRPr="00A83C94">
        <w:rPr>
          <w:b w:val="0"/>
          <w:szCs w:val="22"/>
          <w:lang w:val="en-US" w:eastAsia="en-US"/>
        </w:rPr>
        <w:t>վերականգնման</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w:t>
      </w:r>
    </w:p>
    <w:p w14:paraId="0268F804"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en-US" w:eastAsia="en-US"/>
        </w:rPr>
        <w:t>ՀՀ</w:t>
      </w:r>
      <w:r w:rsidRPr="00A83C94">
        <w:rPr>
          <w:b w:val="0"/>
          <w:szCs w:val="22"/>
          <w:lang w:val="af-ZA" w:eastAsia="en-US"/>
        </w:rPr>
        <w:t xml:space="preserve"> </w:t>
      </w:r>
      <w:r w:rsidRPr="00A83C94">
        <w:rPr>
          <w:b w:val="0"/>
          <w:szCs w:val="22"/>
          <w:lang w:val="en-US" w:eastAsia="en-US"/>
        </w:rPr>
        <w:t>քննչական</w:t>
      </w:r>
      <w:r w:rsidRPr="00A83C94">
        <w:rPr>
          <w:b w:val="0"/>
          <w:szCs w:val="22"/>
          <w:lang w:val="af-ZA" w:eastAsia="en-US"/>
        </w:rPr>
        <w:t xml:space="preserve"> </w:t>
      </w:r>
      <w:r w:rsidRPr="00A83C94">
        <w:rPr>
          <w:b w:val="0"/>
          <w:szCs w:val="22"/>
          <w:lang w:val="en-US" w:eastAsia="en-US"/>
        </w:rPr>
        <w:t>կոմիտեի</w:t>
      </w:r>
      <w:r w:rsidRPr="00A83C94">
        <w:rPr>
          <w:b w:val="0"/>
          <w:szCs w:val="22"/>
          <w:lang w:val="af-ZA" w:eastAsia="en-US"/>
        </w:rPr>
        <w:t xml:space="preserve"> </w:t>
      </w:r>
      <w:r w:rsidRPr="00A83C94">
        <w:rPr>
          <w:b w:val="0"/>
          <w:szCs w:val="22"/>
          <w:lang w:val="en-US" w:eastAsia="en-US"/>
        </w:rPr>
        <w:t>նպատակների</w:t>
      </w:r>
      <w:r w:rsidRPr="00A83C94">
        <w:rPr>
          <w:b w:val="0"/>
          <w:szCs w:val="22"/>
          <w:lang w:val="af-ZA" w:eastAsia="en-US"/>
        </w:rPr>
        <w:t xml:space="preserve"> </w:t>
      </w:r>
      <w:r w:rsidRPr="00A83C94">
        <w:rPr>
          <w:b w:val="0"/>
          <w:szCs w:val="22"/>
          <w:lang w:val="en-US" w:eastAsia="en-US"/>
        </w:rPr>
        <w:t>իրականացման</w:t>
      </w:r>
      <w:r w:rsidRPr="00A83C94">
        <w:rPr>
          <w:b w:val="0"/>
          <w:szCs w:val="22"/>
          <w:lang w:val="af-ZA" w:eastAsia="en-US"/>
        </w:rPr>
        <w:t xml:space="preserve"> </w:t>
      </w:r>
      <w:r w:rsidRPr="00A83C94">
        <w:rPr>
          <w:b w:val="0"/>
          <w:szCs w:val="22"/>
          <w:lang w:val="en-US" w:eastAsia="en-US"/>
        </w:rPr>
        <w:t>շրջանակներում</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դեմ</w:t>
      </w:r>
      <w:r w:rsidRPr="00A83C94">
        <w:rPr>
          <w:b w:val="0"/>
          <w:szCs w:val="22"/>
          <w:lang w:val="af-ZA" w:eastAsia="en-US"/>
        </w:rPr>
        <w:t xml:space="preserve"> </w:t>
      </w:r>
      <w:r w:rsidRPr="00A83C94">
        <w:rPr>
          <w:b w:val="0"/>
          <w:szCs w:val="22"/>
          <w:lang w:val="en-US" w:eastAsia="en-US"/>
        </w:rPr>
        <w:t>պայքարի</w:t>
      </w:r>
      <w:r w:rsidRPr="00A83C94">
        <w:rPr>
          <w:b w:val="0"/>
          <w:szCs w:val="22"/>
          <w:lang w:val="af-ZA" w:eastAsia="en-US"/>
        </w:rPr>
        <w:t xml:space="preserve"> </w:t>
      </w:r>
      <w:r w:rsidRPr="00A83C94">
        <w:rPr>
          <w:b w:val="0"/>
          <w:szCs w:val="22"/>
          <w:lang w:val="en-US" w:eastAsia="en-US"/>
        </w:rPr>
        <w:t>ոլորտում</w:t>
      </w:r>
      <w:r w:rsidRPr="00A83C94">
        <w:rPr>
          <w:b w:val="0"/>
          <w:szCs w:val="22"/>
          <w:lang w:val="af-ZA" w:eastAsia="en-US"/>
        </w:rPr>
        <w:t xml:space="preserve"> </w:t>
      </w:r>
      <w:r w:rsidRPr="00A83C94">
        <w:rPr>
          <w:b w:val="0"/>
          <w:szCs w:val="22"/>
          <w:lang w:val="en-US" w:eastAsia="en-US"/>
        </w:rPr>
        <w:t>ակնկալվում</w:t>
      </w:r>
      <w:r w:rsidRPr="00A83C94">
        <w:rPr>
          <w:b w:val="0"/>
          <w:szCs w:val="22"/>
          <w:lang w:val="af-ZA" w:eastAsia="en-US"/>
        </w:rPr>
        <w:t xml:space="preserve"> </w:t>
      </w:r>
      <w:r w:rsidRPr="00A83C94">
        <w:rPr>
          <w:b w:val="0"/>
          <w:szCs w:val="22"/>
          <w:lang w:val="en-US" w:eastAsia="en-US"/>
        </w:rPr>
        <w:t>է</w:t>
      </w:r>
      <w:r w:rsidRPr="00A83C94">
        <w:rPr>
          <w:b w:val="0"/>
          <w:szCs w:val="22"/>
          <w:lang w:val="af-ZA" w:eastAsia="en-US"/>
        </w:rPr>
        <w:t>.</w:t>
      </w:r>
    </w:p>
    <w:p w14:paraId="0FFF65AE" w14:textId="7777777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1. </w:t>
      </w:r>
      <w:r w:rsidRPr="00A83C94">
        <w:rPr>
          <w:b w:val="0"/>
          <w:szCs w:val="22"/>
          <w:lang w:val="en-US" w:eastAsia="en-US"/>
        </w:rPr>
        <w:t>իրականացնել</w:t>
      </w:r>
      <w:r w:rsidRPr="00A83C94">
        <w:rPr>
          <w:b w:val="0"/>
          <w:szCs w:val="22"/>
          <w:lang w:val="af-ZA" w:eastAsia="en-US"/>
        </w:rPr>
        <w:t xml:space="preserve"> </w:t>
      </w:r>
      <w:r w:rsidRPr="00A83C94">
        <w:rPr>
          <w:b w:val="0"/>
          <w:szCs w:val="22"/>
          <w:lang w:val="en-US" w:eastAsia="en-US"/>
        </w:rPr>
        <w:t>քննիչների</w:t>
      </w:r>
      <w:r w:rsidRPr="00A83C94">
        <w:rPr>
          <w:b w:val="0"/>
          <w:szCs w:val="22"/>
          <w:lang w:val="af-ZA" w:eastAsia="en-US"/>
        </w:rPr>
        <w:t xml:space="preserve"> </w:t>
      </w:r>
      <w:r w:rsidRPr="00A83C94">
        <w:rPr>
          <w:b w:val="0"/>
          <w:szCs w:val="22"/>
          <w:lang w:val="en-US" w:eastAsia="en-US"/>
        </w:rPr>
        <w:t>վերապատրաստումներ</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քննության</w:t>
      </w:r>
      <w:r w:rsidRPr="00A83C94">
        <w:rPr>
          <w:b w:val="0"/>
          <w:szCs w:val="22"/>
          <w:lang w:val="af-ZA" w:eastAsia="en-US"/>
        </w:rPr>
        <w:t xml:space="preserve"> </w:t>
      </w:r>
      <w:r w:rsidRPr="00A83C94">
        <w:rPr>
          <w:b w:val="0"/>
          <w:szCs w:val="22"/>
          <w:lang w:val="en-US" w:eastAsia="en-US"/>
        </w:rPr>
        <w:t>առանձնահատկությունների</w:t>
      </w:r>
      <w:r w:rsidRPr="00A83C94">
        <w:rPr>
          <w:b w:val="0"/>
          <w:szCs w:val="22"/>
          <w:lang w:val="af-ZA" w:eastAsia="en-US"/>
        </w:rPr>
        <w:t xml:space="preserve">, </w:t>
      </w:r>
      <w:r w:rsidRPr="00A83C94">
        <w:rPr>
          <w:b w:val="0"/>
          <w:szCs w:val="22"/>
          <w:lang w:val="en-US" w:eastAsia="en-US"/>
        </w:rPr>
        <w:t>բարձր</w:t>
      </w:r>
      <w:r w:rsidRPr="00A83C94">
        <w:rPr>
          <w:b w:val="0"/>
          <w:szCs w:val="22"/>
          <w:lang w:val="af-ZA" w:eastAsia="en-US"/>
        </w:rPr>
        <w:t xml:space="preserve"> </w:t>
      </w:r>
      <w:r w:rsidRPr="00A83C94">
        <w:rPr>
          <w:b w:val="0"/>
          <w:szCs w:val="22"/>
          <w:lang w:val="en-US" w:eastAsia="en-US"/>
        </w:rPr>
        <w:t>տեխնոլոգիաների</w:t>
      </w:r>
      <w:r w:rsidRPr="00A83C94">
        <w:rPr>
          <w:b w:val="0"/>
          <w:szCs w:val="22"/>
          <w:lang w:val="af-ZA" w:eastAsia="en-US"/>
        </w:rPr>
        <w:t xml:space="preserve"> </w:t>
      </w:r>
      <w:r w:rsidRPr="00A83C94">
        <w:rPr>
          <w:b w:val="0"/>
          <w:szCs w:val="22"/>
          <w:lang w:val="en-US" w:eastAsia="en-US"/>
        </w:rPr>
        <w:t>ոլորտում</w:t>
      </w:r>
      <w:r w:rsidRPr="00A83C94">
        <w:rPr>
          <w:b w:val="0"/>
          <w:szCs w:val="22"/>
          <w:lang w:val="af-ZA" w:eastAsia="en-US"/>
        </w:rPr>
        <w:t xml:space="preserve"> </w:t>
      </w:r>
      <w:r w:rsidRPr="00A83C94">
        <w:rPr>
          <w:b w:val="0"/>
          <w:szCs w:val="22"/>
          <w:lang w:val="en-US" w:eastAsia="en-US"/>
        </w:rPr>
        <w:t>հմտությունների</w:t>
      </w:r>
      <w:r w:rsidRPr="00A83C94">
        <w:rPr>
          <w:b w:val="0"/>
          <w:szCs w:val="22"/>
          <w:lang w:val="af-ZA" w:eastAsia="en-US"/>
        </w:rPr>
        <w:t xml:space="preserve"> </w:t>
      </w:r>
      <w:r w:rsidRPr="00A83C94">
        <w:rPr>
          <w:b w:val="0"/>
          <w:szCs w:val="22"/>
          <w:lang w:val="en-US" w:eastAsia="en-US"/>
        </w:rPr>
        <w:t>զարգացման</w:t>
      </w:r>
      <w:r w:rsidRPr="00A83C94">
        <w:rPr>
          <w:b w:val="0"/>
          <w:szCs w:val="22"/>
          <w:lang w:val="af-ZA" w:eastAsia="en-US"/>
        </w:rPr>
        <w:t xml:space="preserve">, </w:t>
      </w:r>
      <w:r w:rsidRPr="00A83C94">
        <w:rPr>
          <w:b w:val="0"/>
          <w:szCs w:val="22"/>
          <w:lang w:val="en-US" w:eastAsia="en-US"/>
        </w:rPr>
        <w:t>տեղեկատվության</w:t>
      </w:r>
      <w:r w:rsidRPr="00A83C94">
        <w:rPr>
          <w:b w:val="0"/>
          <w:szCs w:val="22"/>
          <w:lang w:val="af-ZA" w:eastAsia="en-US"/>
        </w:rPr>
        <w:t xml:space="preserve"> </w:t>
      </w:r>
      <w:r w:rsidRPr="00A83C94">
        <w:rPr>
          <w:b w:val="0"/>
          <w:szCs w:val="22"/>
          <w:lang w:val="en-US" w:eastAsia="en-US"/>
        </w:rPr>
        <w:t>անվտանգության</w:t>
      </w:r>
      <w:r w:rsidRPr="00A83C94">
        <w:rPr>
          <w:b w:val="0"/>
          <w:szCs w:val="22"/>
          <w:lang w:val="af-ZA" w:eastAsia="en-US"/>
        </w:rPr>
        <w:t xml:space="preserve">, </w:t>
      </w:r>
      <w:r w:rsidRPr="00A83C94">
        <w:rPr>
          <w:b w:val="0"/>
          <w:szCs w:val="22"/>
          <w:lang w:val="en-US" w:eastAsia="en-US"/>
        </w:rPr>
        <w:t>համակարգչային</w:t>
      </w:r>
      <w:r w:rsidRPr="00A83C94">
        <w:rPr>
          <w:b w:val="0"/>
          <w:szCs w:val="22"/>
          <w:lang w:val="af-ZA" w:eastAsia="en-US"/>
        </w:rPr>
        <w:t xml:space="preserve"> </w:t>
      </w:r>
      <w:r w:rsidRPr="00A83C94">
        <w:rPr>
          <w:b w:val="0"/>
          <w:szCs w:val="22"/>
          <w:lang w:val="en-US" w:eastAsia="en-US"/>
        </w:rPr>
        <w:t>համակարգերում</w:t>
      </w:r>
      <w:r w:rsidRPr="00A83C94">
        <w:rPr>
          <w:b w:val="0"/>
          <w:szCs w:val="22"/>
          <w:lang w:val="af-ZA" w:eastAsia="en-US"/>
        </w:rPr>
        <w:t xml:space="preserve"> </w:t>
      </w:r>
      <w:r w:rsidRPr="00A83C94">
        <w:rPr>
          <w:b w:val="0"/>
          <w:szCs w:val="22"/>
          <w:lang w:val="en-US" w:eastAsia="en-US"/>
        </w:rPr>
        <w:t>առկա</w:t>
      </w:r>
      <w:r w:rsidRPr="00A83C94">
        <w:rPr>
          <w:b w:val="0"/>
          <w:szCs w:val="22"/>
          <w:lang w:val="af-ZA" w:eastAsia="en-US"/>
        </w:rPr>
        <w:t xml:space="preserve"> </w:t>
      </w:r>
      <w:r w:rsidRPr="00A83C94">
        <w:rPr>
          <w:b w:val="0"/>
          <w:szCs w:val="22"/>
          <w:lang w:val="en-US" w:eastAsia="en-US"/>
        </w:rPr>
        <w:t>տեղեկատվության</w:t>
      </w:r>
      <w:r w:rsidRPr="00A83C94">
        <w:rPr>
          <w:b w:val="0"/>
          <w:szCs w:val="22"/>
          <w:lang w:val="af-ZA" w:eastAsia="en-US"/>
        </w:rPr>
        <w:t xml:space="preserve"> </w:t>
      </w:r>
      <w:r w:rsidRPr="00A83C94">
        <w:rPr>
          <w:b w:val="0"/>
          <w:szCs w:val="22"/>
          <w:lang w:val="en-US" w:eastAsia="en-US"/>
        </w:rPr>
        <w:t>հետազոտման</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 xml:space="preserve">, </w:t>
      </w:r>
      <w:r w:rsidRPr="00A83C94">
        <w:rPr>
          <w:b w:val="0"/>
          <w:szCs w:val="22"/>
          <w:lang w:val="en-US" w:eastAsia="en-US"/>
        </w:rPr>
        <w:t>էլեկտրոնային</w:t>
      </w:r>
      <w:r w:rsidRPr="00A83C94">
        <w:rPr>
          <w:b w:val="0"/>
          <w:szCs w:val="22"/>
          <w:lang w:val="af-ZA" w:eastAsia="en-US"/>
        </w:rPr>
        <w:t xml:space="preserve"> </w:t>
      </w:r>
      <w:r w:rsidRPr="00A83C94">
        <w:rPr>
          <w:b w:val="0"/>
          <w:szCs w:val="22"/>
          <w:lang w:val="en-US" w:eastAsia="en-US"/>
        </w:rPr>
        <w:t>ապացույցների</w:t>
      </w:r>
      <w:r w:rsidRPr="00A83C94">
        <w:rPr>
          <w:b w:val="0"/>
          <w:szCs w:val="22"/>
          <w:lang w:val="af-ZA" w:eastAsia="en-US"/>
        </w:rPr>
        <w:t xml:space="preserve"> </w:t>
      </w:r>
      <w:r w:rsidRPr="00A83C94">
        <w:rPr>
          <w:b w:val="0"/>
          <w:szCs w:val="22"/>
          <w:lang w:val="en-US" w:eastAsia="en-US"/>
        </w:rPr>
        <w:t>ձեռքբերման</w:t>
      </w:r>
      <w:r w:rsidRPr="00A83C94">
        <w:rPr>
          <w:b w:val="0"/>
          <w:szCs w:val="22"/>
          <w:lang w:val="af-ZA" w:eastAsia="en-US"/>
        </w:rPr>
        <w:t xml:space="preserve">, </w:t>
      </w:r>
      <w:r w:rsidRPr="00A83C94">
        <w:rPr>
          <w:b w:val="0"/>
          <w:szCs w:val="22"/>
          <w:lang w:val="en-US" w:eastAsia="en-US"/>
        </w:rPr>
        <w:t>ոլորտի</w:t>
      </w:r>
      <w:r w:rsidRPr="00A83C94">
        <w:rPr>
          <w:b w:val="0"/>
          <w:szCs w:val="22"/>
          <w:lang w:val="af-ZA" w:eastAsia="en-US"/>
        </w:rPr>
        <w:t xml:space="preserve"> </w:t>
      </w:r>
      <w:r w:rsidRPr="00A83C94">
        <w:rPr>
          <w:b w:val="0"/>
          <w:szCs w:val="22"/>
          <w:lang w:val="en-US" w:eastAsia="en-US"/>
        </w:rPr>
        <w:t>միջազգային</w:t>
      </w:r>
      <w:r w:rsidRPr="00A83C94">
        <w:rPr>
          <w:b w:val="0"/>
          <w:szCs w:val="22"/>
          <w:lang w:val="af-ZA" w:eastAsia="en-US"/>
        </w:rPr>
        <w:t xml:space="preserve"> </w:t>
      </w:r>
      <w:r w:rsidRPr="00A83C94">
        <w:rPr>
          <w:b w:val="0"/>
          <w:szCs w:val="22"/>
          <w:lang w:val="en-US" w:eastAsia="en-US"/>
        </w:rPr>
        <w:t>կարգավորումներին</w:t>
      </w:r>
      <w:r w:rsidRPr="00A83C94">
        <w:rPr>
          <w:b w:val="0"/>
          <w:szCs w:val="22"/>
          <w:lang w:val="af-ZA" w:eastAsia="en-US"/>
        </w:rPr>
        <w:t xml:space="preserve">, </w:t>
      </w:r>
      <w:r w:rsidRPr="00A83C94">
        <w:rPr>
          <w:b w:val="0"/>
          <w:szCs w:val="22"/>
          <w:lang w:val="en-US" w:eastAsia="en-US"/>
        </w:rPr>
        <w:t>չափանիշներին</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առաջատար</w:t>
      </w:r>
      <w:r w:rsidRPr="00A83C94">
        <w:rPr>
          <w:b w:val="0"/>
          <w:szCs w:val="22"/>
          <w:lang w:val="af-ZA" w:eastAsia="en-US"/>
        </w:rPr>
        <w:t xml:space="preserve"> </w:t>
      </w:r>
      <w:r w:rsidRPr="00A83C94">
        <w:rPr>
          <w:b w:val="0"/>
          <w:szCs w:val="22"/>
          <w:lang w:val="en-US" w:eastAsia="en-US"/>
        </w:rPr>
        <w:t>փորձին</w:t>
      </w:r>
      <w:r w:rsidRPr="00A83C94">
        <w:rPr>
          <w:b w:val="0"/>
          <w:szCs w:val="22"/>
          <w:lang w:val="af-ZA" w:eastAsia="en-US"/>
        </w:rPr>
        <w:t xml:space="preserve"> </w:t>
      </w:r>
      <w:r w:rsidRPr="00A83C94">
        <w:rPr>
          <w:b w:val="0"/>
          <w:szCs w:val="22"/>
          <w:lang w:val="en-US" w:eastAsia="en-US"/>
        </w:rPr>
        <w:t>ծանոթանալու</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հետաքրքրություն</w:t>
      </w:r>
      <w:r w:rsidRPr="00A83C94">
        <w:rPr>
          <w:b w:val="0"/>
          <w:szCs w:val="22"/>
          <w:lang w:val="af-ZA" w:eastAsia="en-US"/>
        </w:rPr>
        <w:t xml:space="preserve"> </w:t>
      </w:r>
      <w:r w:rsidRPr="00A83C94">
        <w:rPr>
          <w:b w:val="0"/>
          <w:szCs w:val="22"/>
          <w:lang w:val="en-US" w:eastAsia="en-US"/>
        </w:rPr>
        <w:t>ու</w:t>
      </w:r>
      <w:r w:rsidRPr="00A83C94">
        <w:rPr>
          <w:b w:val="0"/>
          <w:szCs w:val="22"/>
          <w:lang w:val="af-ZA" w:eastAsia="en-US"/>
        </w:rPr>
        <w:t xml:space="preserve"> </w:t>
      </w:r>
      <w:r w:rsidRPr="00A83C94">
        <w:rPr>
          <w:b w:val="0"/>
          <w:szCs w:val="22"/>
          <w:lang w:val="en-US" w:eastAsia="en-US"/>
        </w:rPr>
        <w:t>կարևորություն</w:t>
      </w:r>
      <w:r w:rsidRPr="00A83C94">
        <w:rPr>
          <w:b w:val="0"/>
          <w:szCs w:val="22"/>
          <w:lang w:val="af-ZA" w:eastAsia="en-US"/>
        </w:rPr>
        <w:t xml:space="preserve"> </w:t>
      </w:r>
      <w:r w:rsidRPr="00A83C94">
        <w:rPr>
          <w:b w:val="0"/>
          <w:szCs w:val="22"/>
          <w:lang w:val="en-US" w:eastAsia="en-US"/>
        </w:rPr>
        <w:t>ներկայացնող</w:t>
      </w:r>
      <w:r w:rsidRPr="00A83C94">
        <w:rPr>
          <w:b w:val="0"/>
          <w:szCs w:val="22"/>
          <w:lang w:val="af-ZA" w:eastAsia="en-US"/>
        </w:rPr>
        <w:t xml:space="preserve"> </w:t>
      </w:r>
      <w:r w:rsidRPr="00A83C94">
        <w:rPr>
          <w:b w:val="0"/>
          <w:szCs w:val="22"/>
          <w:lang w:val="en-US" w:eastAsia="en-US"/>
        </w:rPr>
        <w:t>այլ</w:t>
      </w:r>
      <w:r w:rsidRPr="00A83C94">
        <w:rPr>
          <w:b w:val="0"/>
          <w:szCs w:val="22"/>
          <w:lang w:val="af-ZA" w:eastAsia="en-US"/>
        </w:rPr>
        <w:t xml:space="preserve"> </w:t>
      </w:r>
      <w:r w:rsidRPr="00A83C94">
        <w:rPr>
          <w:b w:val="0"/>
          <w:szCs w:val="22"/>
          <w:lang w:val="en-US" w:eastAsia="en-US"/>
        </w:rPr>
        <w:t>թեմաներով</w:t>
      </w:r>
      <w:r w:rsidRPr="00A83C94">
        <w:rPr>
          <w:b w:val="0"/>
          <w:szCs w:val="22"/>
          <w:lang w:val="af-ZA" w:eastAsia="en-US"/>
        </w:rPr>
        <w:t>.</w:t>
      </w:r>
    </w:p>
    <w:p w14:paraId="2318C4B8" w14:textId="53EC8ED7" w:rsidR="00F212AC" w:rsidRPr="00A83C94" w:rsidRDefault="00F212AC" w:rsidP="00F212AC">
      <w:pPr>
        <w:spacing w:before="0" w:line="276" w:lineRule="auto"/>
        <w:contextualSpacing w:val="0"/>
        <w:rPr>
          <w:b w:val="0"/>
          <w:szCs w:val="22"/>
          <w:lang w:val="af-ZA" w:eastAsia="en-US"/>
        </w:rPr>
      </w:pPr>
      <w:r w:rsidRPr="00A83C94">
        <w:rPr>
          <w:b w:val="0"/>
          <w:szCs w:val="22"/>
          <w:lang w:val="af-ZA" w:eastAsia="en-US"/>
        </w:rPr>
        <w:t xml:space="preserve">2. </w:t>
      </w:r>
      <w:r w:rsidRPr="00A83C94">
        <w:rPr>
          <w:b w:val="0"/>
          <w:szCs w:val="22"/>
          <w:lang w:val="en-US" w:eastAsia="en-US"/>
        </w:rPr>
        <w:t>իրականացնել</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վերաբերյալ</w:t>
      </w:r>
      <w:r w:rsidRPr="00A83C94">
        <w:rPr>
          <w:b w:val="0"/>
          <w:szCs w:val="22"/>
          <w:lang w:val="af-ZA" w:eastAsia="en-US"/>
        </w:rPr>
        <w:t xml:space="preserve"> </w:t>
      </w:r>
      <w:r w:rsidRPr="00A83C94">
        <w:rPr>
          <w:b w:val="0"/>
          <w:szCs w:val="22"/>
          <w:lang w:val="en-US" w:eastAsia="en-US"/>
        </w:rPr>
        <w:t>բոլոր</w:t>
      </w:r>
      <w:r w:rsidRPr="00A83C94">
        <w:rPr>
          <w:b w:val="0"/>
          <w:szCs w:val="22"/>
          <w:lang w:val="af-ZA" w:eastAsia="en-US"/>
        </w:rPr>
        <w:t xml:space="preserve"> </w:t>
      </w:r>
      <w:r w:rsidRPr="00A83C94">
        <w:rPr>
          <w:b w:val="0"/>
          <w:szCs w:val="22"/>
          <w:lang w:val="en-US" w:eastAsia="en-US"/>
        </w:rPr>
        <w:t>քրեական</w:t>
      </w:r>
      <w:r w:rsidRPr="00A83C94">
        <w:rPr>
          <w:b w:val="0"/>
          <w:szCs w:val="22"/>
          <w:lang w:val="af-ZA" w:eastAsia="en-US"/>
        </w:rPr>
        <w:t xml:space="preserve"> </w:t>
      </w:r>
      <w:r w:rsidRPr="00A83C94">
        <w:rPr>
          <w:b w:val="0"/>
          <w:szCs w:val="22"/>
          <w:lang w:val="en-US" w:eastAsia="en-US"/>
        </w:rPr>
        <w:t>գործերի</w:t>
      </w:r>
      <w:r w:rsidRPr="00A83C94">
        <w:rPr>
          <w:b w:val="0"/>
          <w:szCs w:val="22"/>
          <w:lang w:val="af-ZA" w:eastAsia="en-US"/>
        </w:rPr>
        <w:t xml:space="preserve"> </w:t>
      </w:r>
      <w:r w:rsidRPr="00A83C94">
        <w:rPr>
          <w:b w:val="0"/>
          <w:szCs w:val="22"/>
          <w:lang w:val="en-US" w:eastAsia="en-US"/>
        </w:rPr>
        <w:t>հաշվառում</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համակարգում</w:t>
      </w:r>
      <w:r w:rsidRPr="00A83C94">
        <w:rPr>
          <w:b w:val="0"/>
          <w:szCs w:val="22"/>
          <w:lang w:val="af-ZA" w:eastAsia="en-US"/>
        </w:rPr>
        <w:t xml:space="preserve"> (</w:t>
      </w:r>
      <w:r w:rsidRPr="00A83C94">
        <w:rPr>
          <w:b w:val="0"/>
          <w:szCs w:val="22"/>
          <w:lang w:val="en-US" w:eastAsia="en-US"/>
        </w:rPr>
        <w:t>կիբեռհանցագործությունների</w:t>
      </w:r>
      <w:r w:rsidRPr="00A83C94">
        <w:rPr>
          <w:b w:val="0"/>
          <w:szCs w:val="22"/>
          <w:lang w:val="af-ZA" w:eastAsia="en-US"/>
        </w:rPr>
        <w:t xml:space="preserve"> </w:t>
      </w:r>
      <w:r w:rsidRPr="00A83C94">
        <w:rPr>
          <w:b w:val="0"/>
          <w:szCs w:val="22"/>
          <w:lang w:val="en-US" w:eastAsia="en-US"/>
        </w:rPr>
        <w:t>քրեագիտական</w:t>
      </w:r>
      <w:r w:rsidRPr="00A83C94">
        <w:rPr>
          <w:b w:val="0"/>
          <w:szCs w:val="22"/>
          <w:lang w:val="af-ZA" w:eastAsia="en-US"/>
        </w:rPr>
        <w:t xml:space="preserve"> </w:t>
      </w:r>
      <w:r w:rsidRPr="00A83C94">
        <w:rPr>
          <w:b w:val="0"/>
          <w:szCs w:val="22"/>
          <w:lang w:val="en-US" w:eastAsia="en-US"/>
        </w:rPr>
        <w:t>շտեմարան</w:t>
      </w:r>
      <w:r w:rsidRPr="00A83C94">
        <w:rPr>
          <w:b w:val="0"/>
          <w:szCs w:val="22"/>
          <w:lang w:val="af-ZA" w:eastAsia="en-US"/>
        </w:rPr>
        <w:t>),</w:t>
      </w:r>
      <w:r w:rsidRPr="00A83C94">
        <w:rPr>
          <w:b w:val="0"/>
          <w:szCs w:val="22"/>
          <w:lang w:val="en-US" w:eastAsia="en-US"/>
        </w:rPr>
        <w:t>որը</w:t>
      </w:r>
      <w:r w:rsidRPr="00A83C94">
        <w:rPr>
          <w:b w:val="0"/>
          <w:szCs w:val="22"/>
          <w:lang w:val="af-ZA" w:eastAsia="en-US"/>
        </w:rPr>
        <w:t xml:space="preserve"> </w:t>
      </w:r>
      <w:r w:rsidRPr="00A83C94">
        <w:rPr>
          <w:b w:val="0"/>
          <w:szCs w:val="22"/>
          <w:lang w:val="en-US" w:eastAsia="en-US"/>
        </w:rPr>
        <w:t>օգտակար</w:t>
      </w:r>
      <w:r w:rsidRPr="00A83C94">
        <w:rPr>
          <w:b w:val="0"/>
          <w:szCs w:val="22"/>
          <w:lang w:val="af-ZA" w:eastAsia="en-US"/>
        </w:rPr>
        <w:t xml:space="preserve"> </w:t>
      </w:r>
      <w:r w:rsidRPr="00A83C94">
        <w:rPr>
          <w:b w:val="0"/>
          <w:szCs w:val="22"/>
          <w:lang w:val="en-US" w:eastAsia="en-US"/>
        </w:rPr>
        <w:t>դերակատարում</w:t>
      </w:r>
      <w:r w:rsidRPr="00A83C94">
        <w:rPr>
          <w:b w:val="0"/>
          <w:szCs w:val="22"/>
          <w:lang w:val="af-ZA" w:eastAsia="en-US"/>
        </w:rPr>
        <w:t xml:space="preserve"> </w:t>
      </w:r>
      <w:r w:rsidRPr="00A83C94">
        <w:rPr>
          <w:b w:val="0"/>
          <w:szCs w:val="22"/>
          <w:lang w:val="en-US" w:eastAsia="en-US"/>
        </w:rPr>
        <w:t>կունենա</w:t>
      </w:r>
      <w:r w:rsidRPr="00A83C94">
        <w:rPr>
          <w:b w:val="0"/>
          <w:szCs w:val="22"/>
          <w:lang w:val="af-ZA" w:eastAsia="en-US"/>
        </w:rPr>
        <w:t xml:space="preserve"> </w:t>
      </w:r>
      <w:r w:rsidRPr="00A83C94">
        <w:rPr>
          <w:b w:val="0"/>
          <w:szCs w:val="22"/>
          <w:lang w:val="en-US" w:eastAsia="en-US"/>
        </w:rPr>
        <w:t>հանցագործությունների</w:t>
      </w:r>
      <w:r w:rsidRPr="00A83C94">
        <w:rPr>
          <w:b w:val="0"/>
          <w:szCs w:val="22"/>
          <w:lang w:val="af-ZA" w:eastAsia="en-US"/>
        </w:rPr>
        <w:t xml:space="preserve"> </w:t>
      </w:r>
      <w:r w:rsidRPr="00A83C94">
        <w:rPr>
          <w:b w:val="0"/>
          <w:szCs w:val="22"/>
          <w:lang w:val="en-US" w:eastAsia="en-US"/>
        </w:rPr>
        <w:t>բացահայտման</w:t>
      </w:r>
      <w:r w:rsidRPr="00A83C94">
        <w:rPr>
          <w:b w:val="0"/>
          <w:szCs w:val="22"/>
          <w:lang w:val="af-ZA" w:eastAsia="en-US"/>
        </w:rPr>
        <w:t xml:space="preserve"> </w:t>
      </w:r>
      <w:r w:rsidRPr="00A83C94">
        <w:rPr>
          <w:b w:val="0"/>
          <w:szCs w:val="22"/>
          <w:lang w:val="en-US" w:eastAsia="en-US"/>
        </w:rPr>
        <w:t>համար</w:t>
      </w:r>
      <w:r w:rsidRPr="00A83C94">
        <w:rPr>
          <w:b w:val="0"/>
          <w:szCs w:val="22"/>
          <w:lang w:val="af-ZA" w:eastAsia="en-US"/>
        </w:rPr>
        <w:t xml:space="preserve"> </w:t>
      </w:r>
      <w:r w:rsidRPr="00A83C94">
        <w:rPr>
          <w:b w:val="0"/>
          <w:szCs w:val="22"/>
          <w:lang w:val="en-US" w:eastAsia="en-US"/>
        </w:rPr>
        <w:t>և</w:t>
      </w:r>
      <w:r w:rsidRPr="00A83C94">
        <w:rPr>
          <w:b w:val="0"/>
          <w:szCs w:val="22"/>
          <w:lang w:val="af-ZA" w:eastAsia="en-US"/>
        </w:rPr>
        <w:t xml:space="preserve"> </w:t>
      </w:r>
      <w:r w:rsidRPr="00A83C94">
        <w:rPr>
          <w:b w:val="0"/>
          <w:szCs w:val="22"/>
          <w:lang w:val="en-US" w:eastAsia="en-US"/>
        </w:rPr>
        <w:t>կգործի</w:t>
      </w:r>
      <w:r w:rsidRPr="00A83C94">
        <w:rPr>
          <w:b w:val="0"/>
          <w:szCs w:val="22"/>
          <w:lang w:val="af-ZA" w:eastAsia="en-US"/>
        </w:rPr>
        <w:t xml:space="preserve"> </w:t>
      </w:r>
      <w:r w:rsidRPr="00A83C94">
        <w:rPr>
          <w:b w:val="0"/>
          <w:szCs w:val="22"/>
          <w:lang w:val="en-US" w:eastAsia="en-US"/>
        </w:rPr>
        <w:t>համապատասխան</w:t>
      </w:r>
      <w:r w:rsidRPr="00A83C94">
        <w:rPr>
          <w:b w:val="0"/>
          <w:szCs w:val="22"/>
          <w:lang w:val="af-ZA" w:eastAsia="en-US"/>
        </w:rPr>
        <w:t xml:space="preserve"> </w:t>
      </w:r>
      <w:r w:rsidRPr="00A83C94">
        <w:rPr>
          <w:b w:val="0"/>
          <w:szCs w:val="22"/>
          <w:lang w:val="en-US" w:eastAsia="en-US"/>
        </w:rPr>
        <w:t>ծրագրային</w:t>
      </w:r>
      <w:r w:rsidRPr="00A83C94">
        <w:rPr>
          <w:b w:val="0"/>
          <w:szCs w:val="22"/>
          <w:lang w:val="af-ZA" w:eastAsia="en-US"/>
        </w:rPr>
        <w:t xml:space="preserve"> </w:t>
      </w:r>
      <w:r w:rsidRPr="00A83C94">
        <w:rPr>
          <w:b w:val="0"/>
          <w:szCs w:val="22"/>
          <w:lang w:val="en-US" w:eastAsia="en-US"/>
        </w:rPr>
        <w:t>ապահովման</w:t>
      </w:r>
      <w:r w:rsidRPr="00A83C94">
        <w:rPr>
          <w:b w:val="0"/>
          <w:szCs w:val="22"/>
          <w:lang w:val="af-ZA" w:eastAsia="en-US"/>
        </w:rPr>
        <w:t xml:space="preserve"> </w:t>
      </w:r>
      <w:r w:rsidRPr="00A83C94">
        <w:rPr>
          <w:b w:val="0"/>
          <w:szCs w:val="22"/>
          <w:lang w:val="en-US" w:eastAsia="en-US"/>
        </w:rPr>
        <w:t>միջոցով՝</w:t>
      </w:r>
      <w:r w:rsidRPr="00A83C94">
        <w:rPr>
          <w:b w:val="0"/>
          <w:szCs w:val="22"/>
          <w:lang w:val="af-ZA" w:eastAsia="en-US"/>
        </w:rPr>
        <w:t xml:space="preserve"> </w:t>
      </w:r>
      <w:r w:rsidRPr="00A83C94">
        <w:rPr>
          <w:b w:val="0"/>
          <w:szCs w:val="22"/>
          <w:lang w:val="en-US" w:eastAsia="en-US"/>
        </w:rPr>
        <w:t>բացահայտման</w:t>
      </w:r>
      <w:r w:rsidRPr="00A83C94">
        <w:rPr>
          <w:b w:val="0"/>
          <w:szCs w:val="22"/>
          <w:lang w:val="af-ZA" w:eastAsia="en-US"/>
        </w:rPr>
        <w:t xml:space="preserve"> </w:t>
      </w:r>
      <w:r w:rsidRPr="00A83C94">
        <w:rPr>
          <w:b w:val="0"/>
          <w:szCs w:val="22"/>
          <w:lang w:val="en-US" w:eastAsia="en-US"/>
        </w:rPr>
        <w:t>ուղղությամբ</w:t>
      </w:r>
      <w:r w:rsidRPr="00A83C94">
        <w:rPr>
          <w:b w:val="0"/>
          <w:szCs w:val="22"/>
          <w:lang w:val="af-ZA" w:eastAsia="en-US"/>
        </w:rPr>
        <w:t xml:space="preserve"> </w:t>
      </w:r>
      <w:r w:rsidRPr="00A83C94">
        <w:rPr>
          <w:b w:val="0"/>
          <w:szCs w:val="22"/>
          <w:lang w:val="en-US" w:eastAsia="en-US"/>
        </w:rPr>
        <w:t>աշխատանքներն</w:t>
      </w:r>
      <w:r w:rsidRPr="00A83C94">
        <w:rPr>
          <w:b w:val="0"/>
          <w:szCs w:val="22"/>
          <w:lang w:val="af-ZA" w:eastAsia="en-US"/>
        </w:rPr>
        <w:t xml:space="preserve"> </w:t>
      </w:r>
      <w:r w:rsidRPr="00A83C94">
        <w:rPr>
          <w:b w:val="0"/>
          <w:szCs w:val="22"/>
          <w:lang w:val="en-US" w:eastAsia="en-US"/>
        </w:rPr>
        <w:t>էլ</w:t>
      </w:r>
      <w:r w:rsidRPr="00A83C94">
        <w:rPr>
          <w:b w:val="0"/>
          <w:szCs w:val="22"/>
          <w:lang w:val="af-ZA" w:eastAsia="en-US"/>
        </w:rPr>
        <w:t xml:space="preserve"> </w:t>
      </w:r>
      <w:r w:rsidRPr="00A83C94">
        <w:rPr>
          <w:b w:val="0"/>
          <w:szCs w:val="22"/>
          <w:lang w:val="en-US" w:eastAsia="en-US"/>
        </w:rPr>
        <w:t>ավելի</w:t>
      </w:r>
      <w:r w:rsidRPr="00A83C94">
        <w:rPr>
          <w:b w:val="0"/>
          <w:szCs w:val="22"/>
          <w:lang w:val="af-ZA" w:eastAsia="en-US"/>
        </w:rPr>
        <w:t xml:space="preserve"> </w:t>
      </w:r>
      <w:r w:rsidRPr="00A83C94">
        <w:rPr>
          <w:b w:val="0"/>
          <w:szCs w:val="22"/>
          <w:lang w:val="en-US" w:eastAsia="en-US"/>
        </w:rPr>
        <w:t>արդյունավետ</w:t>
      </w:r>
      <w:r w:rsidRPr="00A83C94">
        <w:rPr>
          <w:b w:val="0"/>
          <w:szCs w:val="22"/>
          <w:lang w:val="af-ZA" w:eastAsia="en-US"/>
        </w:rPr>
        <w:t xml:space="preserve"> </w:t>
      </w:r>
      <w:r w:rsidRPr="00A83C94">
        <w:rPr>
          <w:b w:val="0"/>
          <w:szCs w:val="22"/>
          <w:lang w:val="en-US" w:eastAsia="en-US"/>
        </w:rPr>
        <w:t>ու</w:t>
      </w:r>
      <w:r w:rsidRPr="00A83C94">
        <w:rPr>
          <w:b w:val="0"/>
          <w:szCs w:val="22"/>
          <w:lang w:val="af-ZA" w:eastAsia="en-US"/>
        </w:rPr>
        <w:t xml:space="preserve"> </w:t>
      </w:r>
      <w:r w:rsidRPr="00A83C94">
        <w:rPr>
          <w:b w:val="0"/>
          <w:szCs w:val="22"/>
          <w:lang w:val="en-US" w:eastAsia="en-US"/>
        </w:rPr>
        <w:t>ինստիտուցիոնալ</w:t>
      </w:r>
      <w:r w:rsidRPr="00A83C94">
        <w:rPr>
          <w:b w:val="0"/>
          <w:szCs w:val="22"/>
          <w:lang w:val="af-ZA" w:eastAsia="en-US"/>
        </w:rPr>
        <w:t xml:space="preserve"> </w:t>
      </w:r>
      <w:r w:rsidRPr="00A83C94">
        <w:rPr>
          <w:b w:val="0"/>
          <w:szCs w:val="22"/>
          <w:lang w:val="en-US" w:eastAsia="en-US"/>
        </w:rPr>
        <w:t>առումով</w:t>
      </w:r>
      <w:r w:rsidRPr="00A83C94">
        <w:rPr>
          <w:b w:val="0"/>
          <w:szCs w:val="22"/>
          <w:lang w:val="af-ZA" w:eastAsia="en-US"/>
        </w:rPr>
        <w:t xml:space="preserve"> </w:t>
      </w:r>
      <w:r w:rsidRPr="00A83C94">
        <w:rPr>
          <w:b w:val="0"/>
          <w:szCs w:val="22"/>
          <w:lang w:val="en-US" w:eastAsia="en-US"/>
        </w:rPr>
        <w:t>առավել</w:t>
      </w:r>
      <w:r w:rsidRPr="00A83C94">
        <w:rPr>
          <w:b w:val="0"/>
          <w:szCs w:val="22"/>
          <w:lang w:val="af-ZA" w:eastAsia="en-US"/>
        </w:rPr>
        <w:t xml:space="preserve"> </w:t>
      </w:r>
      <w:r w:rsidRPr="00A83C94">
        <w:rPr>
          <w:b w:val="0"/>
          <w:szCs w:val="22"/>
          <w:lang w:val="en-US" w:eastAsia="en-US"/>
        </w:rPr>
        <w:t>համակարգված</w:t>
      </w:r>
      <w:r w:rsidRPr="00A83C94">
        <w:rPr>
          <w:b w:val="0"/>
          <w:szCs w:val="22"/>
          <w:lang w:val="af-ZA" w:eastAsia="en-US"/>
        </w:rPr>
        <w:t xml:space="preserve"> </w:t>
      </w:r>
      <w:r w:rsidRPr="00A83C94">
        <w:rPr>
          <w:b w:val="0"/>
          <w:szCs w:val="22"/>
          <w:lang w:val="en-US" w:eastAsia="en-US"/>
        </w:rPr>
        <w:t>դարձնելու</w:t>
      </w:r>
      <w:r w:rsidRPr="00A83C94">
        <w:rPr>
          <w:b w:val="0"/>
          <w:szCs w:val="22"/>
          <w:lang w:val="af-ZA" w:eastAsia="en-US"/>
        </w:rPr>
        <w:t xml:space="preserve"> </w:t>
      </w:r>
      <w:r w:rsidRPr="00A83C94">
        <w:rPr>
          <w:b w:val="0"/>
          <w:szCs w:val="22"/>
          <w:lang w:val="en-US" w:eastAsia="en-US"/>
        </w:rPr>
        <w:t>համար</w:t>
      </w:r>
      <w:r w:rsidRPr="00A83C94">
        <w:rPr>
          <w:b w:val="0"/>
          <w:szCs w:val="22"/>
          <w:lang w:val="af-ZA" w:eastAsia="en-US"/>
        </w:rPr>
        <w:t>:</w:t>
      </w:r>
    </w:p>
    <w:p w14:paraId="289CE92C" w14:textId="15DAA207" w:rsidR="002456B8" w:rsidRPr="00A83C94" w:rsidRDefault="002456B8" w:rsidP="002456B8">
      <w:pPr>
        <w:spacing w:before="0" w:line="276" w:lineRule="auto"/>
        <w:contextualSpacing w:val="0"/>
        <w:rPr>
          <w:b w:val="0"/>
          <w:szCs w:val="22"/>
          <w:lang w:val="hy-AM" w:eastAsia="en-US"/>
        </w:rPr>
      </w:pPr>
      <w:r w:rsidRPr="00A83C94">
        <w:rPr>
          <w:b w:val="0"/>
          <w:szCs w:val="22"/>
          <w:lang w:val="hy-AM" w:eastAsia="en-US"/>
        </w:rPr>
        <w:t xml:space="preserve">ՀՀ քննչական կոմիտեն 2022 թվականին իրականացնելու է մեկ ծրագիր՝ ՀՀ քննչական ծառայություններ և հինգ միջոցառում: </w:t>
      </w:r>
    </w:p>
    <w:p w14:paraId="6521C1E1" w14:textId="26A9F40F" w:rsidR="002456B8" w:rsidRPr="00A83C94" w:rsidRDefault="002456B8" w:rsidP="002456B8">
      <w:pPr>
        <w:spacing w:before="0" w:line="276" w:lineRule="auto"/>
        <w:contextualSpacing w:val="0"/>
        <w:rPr>
          <w:b w:val="0"/>
          <w:szCs w:val="22"/>
          <w:lang w:val="hy-AM" w:eastAsia="en-US"/>
        </w:rPr>
      </w:pPr>
      <w:r w:rsidRPr="00A83C94">
        <w:rPr>
          <w:b w:val="0"/>
          <w:szCs w:val="22"/>
          <w:lang w:val="hy-AM" w:eastAsia="en-US"/>
        </w:rPr>
        <w:t>Ծրագրի նպատակն է` ՀՀ քրեական դատավարության օրենսգրքով ՀՀ քննչական կոմիտեի իրավասությանը վերապահված ենթադրյալ հանցագործությունների կապակցությամբ նախաքննության կազմակերպում և իրականացում, ինչպես նաև ՀՀ գլխավոր դատախազի կողմից քննչական այլ մարմինների վարույթից ՀՀ քննչական կոմիտեի վարույթ հանձնված քրեական գործերով նախաքննության իրականացում: Քննված քրեական գործերով հանցագործությունների կատարմանը նպաստող պատճառների ու պայմանների պարզումը և դրանք վերացնելու և կանխելու ուղղված միջոցների ձեռնարկելու նպատակով` համապատասխան մարմիններին միջնորդագրերի ներկայացնելը, հանցագործությունների քննության մեթոդիկայի ուսումնասիրությունը, քննության դրական փորձի ներդրումը քննչական պրակտիկայում, ստացված դիմումների և բողոքների քննարկումն ու լուծումը, ինչը վերջնական արդյունքում ձգտում է՝ քննության որակի, բազմակողմանիության, լրիվության, օբեկտիվության և արդյունավետության ապահովում, մարդու և քաղաքացու իրավունքների, հիմնարար ազատությունների, անձնական անձեռնմխելիության և մյուս իրավունքների պաշտպանության ապահովում, նախաքնության ժամկետների անհարկի ձգձգումների բացառում, պետությանը և քաղաքացիններին պատճառված վնասի վերականգնման ապահովում, ՀՀ միջազգային պայմանագրերով նախատեսված քրեական գործերով իրավական օգնություն ցույց տալու հարցերի լուծում, կոռուպցիոն երևույթների ծագման, դրանց պատճառների և նպաստող պայմանների բացահայտման ու դրանց կանխմանն ուղղված գործուղությունների իրականացում:</w:t>
      </w:r>
    </w:p>
    <w:p w14:paraId="741A433F" w14:textId="77777777" w:rsidR="00DC35CC" w:rsidRPr="00A83C94" w:rsidRDefault="00DC35CC" w:rsidP="00DC35CC">
      <w:pPr>
        <w:spacing w:before="0" w:line="276" w:lineRule="auto"/>
        <w:contextualSpacing w:val="0"/>
        <w:rPr>
          <w:b w:val="0"/>
          <w:szCs w:val="22"/>
          <w:lang w:val="hy-AM" w:eastAsia="en-US"/>
        </w:rPr>
      </w:pPr>
      <w:r w:rsidRPr="00A83C94">
        <w:rPr>
          <w:b w:val="0"/>
          <w:szCs w:val="22"/>
          <w:lang w:val="hy-AM" w:eastAsia="en-US"/>
        </w:rPr>
        <w:t>Ծրագրային վերոնշյալ դրույթներն առավել արդյունավետ իրականացնելուն է միտված աշխատանքային պայմանների բարելավումը: Այդ նպատակով նախատեսվում է սկսել և ավարտին հասցնել Կոմիտեի թվով 2 վարչական շենքերի պայմանների բարելավման աշխատանքները:</w:t>
      </w:r>
    </w:p>
    <w:p w14:paraId="200AC13C" w14:textId="77777777" w:rsidR="00832373" w:rsidRPr="00A83C94" w:rsidRDefault="00832373" w:rsidP="00DC35CC">
      <w:pPr>
        <w:spacing w:before="0" w:line="276" w:lineRule="auto"/>
        <w:contextualSpacing w:val="0"/>
        <w:rPr>
          <w:b w:val="0"/>
          <w:szCs w:val="22"/>
          <w:lang w:val="hy-AM" w:eastAsia="en-US"/>
        </w:rPr>
      </w:pPr>
    </w:p>
    <w:p w14:paraId="2D72EF7E" w14:textId="16A78B0A" w:rsidR="006C76BB" w:rsidRPr="00A83C94" w:rsidRDefault="006C76BB" w:rsidP="00832373">
      <w:pPr>
        <w:keepNext/>
        <w:spacing w:before="0" w:line="276" w:lineRule="auto"/>
        <w:ind w:firstLine="0"/>
        <w:contextualSpacing w:val="0"/>
        <w:jc w:val="center"/>
        <w:outlineLvl w:val="2"/>
        <w:rPr>
          <w:rFonts w:cs="Arial"/>
          <w:sz w:val="24"/>
          <w:lang w:val="hy-AM" w:eastAsia="en-US"/>
        </w:rPr>
      </w:pPr>
      <w:bookmarkStart w:id="331" w:name="_Toc89428335"/>
      <w:r w:rsidRPr="00A83C94">
        <w:rPr>
          <w:rFonts w:cs="Arial"/>
          <w:sz w:val="24"/>
          <w:lang w:val="hy-AM" w:eastAsia="en-US"/>
        </w:rPr>
        <w:t>ՀՀ պետական վերահսկողական ծառայություն</w:t>
      </w:r>
      <w:bookmarkEnd w:id="331"/>
    </w:p>
    <w:p w14:paraId="160A4EA4" w14:textId="7777777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ՀՀ պետական վերահսկողական ծառայությունը (այսուհետ՝ Ծառայություն), համաձայն «Պետական վերահսկողական ծառայության մասին» ՀՀ օրենքի, պետական վերահսկողության ոլորտում գործող վարչապետին ենթակա մարմին է, որն իրականացնում է օրենքով իրեն վերապահված վերահսկողական լիազորություններ: </w:t>
      </w:r>
    </w:p>
    <w:p w14:paraId="2477A9CB" w14:textId="7777777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Ծառայության գործունեության նպատակը Հայաստանի Հանրապետության վարչապետին Հայաստանի Հանրապետության Սահմանադրությամբ և օրենքներով վերապահված վերահսկողական լիազորությունների իրականացումն ապահովելն է: </w:t>
      </w:r>
    </w:p>
    <w:p w14:paraId="1DB99DC6" w14:textId="7777777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2019թ. ընթացքում իրականացվել է շուրջ 90 վերահսկողություն, վերահսկողության ընթացքում ՀՀ վարչապետին է ներկայացվել խախտումների, խնդիրների, դրանց պատճառների և հետևանքների վերաբերյալ թվով 85 վերլուծություն, դրանց վերաբերյալ տեղեկանքներ և զեկույցներ, մշակվել և ներկայացվել են թվով 12 իրավական ակտերի նախագծեր, իսկ դիմումների և բողոքների հիման վրա կատարվող ուսումնասիրությունների թիվը ստացված տեղեկատվության մեջ կազմել է շուրջ 4 տոկոս:</w:t>
      </w:r>
    </w:p>
    <w:p w14:paraId="05043B63" w14:textId="74E68447"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 2020թ. ընթացքում Ծառայությունը կատարված ուսումնասիրությունների և մշտադիտարկումների վերաբերյալ ՀՀ վարչապետին է ներկայացրել շուրջ 80 տեղեկանք, վերջիններիս իրականացման արդյունքում իրավապահ մարմիններին է ուղարկվել 30 տեղեկանք, ուսումնասիրությունների և մշտադիտարկումների արդյունքներով պայմանավորված տվյալ ոլորտի արդյունավետության բարձրացման վերաբերյալ ներկայացվել են թվով 30 առաջարկություններ:</w:t>
      </w:r>
    </w:p>
    <w:p w14:paraId="21BB8415" w14:textId="2F591E88"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 xml:space="preserve">Ծառայությունն իր գործառույթների իրականացման շրջանակներում 2022 թվականի ընթացքում ապահովելու է ՀՀ վարչապետին ՀՀ Սահմանադրությամբ և օրենքներով վերապահված վերահսկողական լիազորությունների իրականացումը։ </w:t>
      </w:r>
    </w:p>
    <w:p w14:paraId="4A6D7F58" w14:textId="31C6E515" w:rsidR="006C76BB" w:rsidRPr="00A83C94" w:rsidRDefault="006C76BB" w:rsidP="006C76BB">
      <w:pPr>
        <w:spacing w:before="0" w:line="276" w:lineRule="auto"/>
        <w:contextualSpacing w:val="0"/>
        <w:rPr>
          <w:b w:val="0"/>
          <w:szCs w:val="22"/>
          <w:lang w:val="hy-AM" w:eastAsia="en-US"/>
        </w:rPr>
      </w:pPr>
      <w:r w:rsidRPr="00A83C94">
        <w:rPr>
          <w:b w:val="0"/>
          <w:szCs w:val="22"/>
          <w:lang w:val="hy-AM" w:eastAsia="en-US"/>
        </w:rPr>
        <w:t>Վերջնական արդյունքը, որին ձգտում է Ծառայությունը՝ ՀՀ պետական միջոցների կառավարման, ձևավորման և օգտագործման արդյունավետության և օրինականության բարձրացումն է:</w:t>
      </w:r>
    </w:p>
    <w:p w14:paraId="1D71CE00" w14:textId="258A4F8B" w:rsidR="00EA7341" w:rsidRPr="00A83C94" w:rsidRDefault="00EA7341" w:rsidP="00832373">
      <w:pPr>
        <w:keepNext/>
        <w:spacing w:before="0" w:line="276" w:lineRule="auto"/>
        <w:ind w:firstLine="0"/>
        <w:contextualSpacing w:val="0"/>
        <w:jc w:val="center"/>
        <w:outlineLvl w:val="2"/>
        <w:rPr>
          <w:rFonts w:cs="Arial"/>
          <w:sz w:val="24"/>
          <w:lang w:val="hy-AM" w:eastAsia="en-US"/>
        </w:rPr>
      </w:pPr>
      <w:bookmarkStart w:id="332" w:name="_Toc89428336"/>
      <w:r w:rsidRPr="00A83C94">
        <w:rPr>
          <w:rFonts w:cs="Arial"/>
          <w:sz w:val="24"/>
          <w:lang w:val="hy-AM" w:eastAsia="en-US"/>
        </w:rPr>
        <w:t>Հեռուստատեսության և ռադիոյի հանձնաժողով</w:t>
      </w:r>
      <w:bookmarkEnd w:id="332"/>
    </w:p>
    <w:p w14:paraId="00AB8AF4" w14:textId="7160EBD0" w:rsidR="00EA7341" w:rsidRPr="00A83C94" w:rsidRDefault="00EA7341" w:rsidP="006C76BB">
      <w:pPr>
        <w:spacing w:before="0" w:line="276" w:lineRule="auto"/>
        <w:contextualSpacing w:val="0"/>
        <w:rPr>
          <w:b w:val="0"/>
          <w:szCs w:val="22"/>
          <w:lang w:val="hy-AM" w:eastAsia="en-US"/>
        </w:rPr>
      </w:pPr>
      <w:r w:rsidRPr="00A83C94">
        <w:rPr>
          <w:b w:val="0"/>
          <w:szCs w:val="22"/>
          <w:lang w:val="hy-AM" w:eastAsia="en-US"/>
        </w:rPr>
        <w:t xml:space="preserve">Հեռուստատեսության և ռադիոյի հանձնաժողովի 2022 թվականի պետական բյուջեի նախագծով նախատեսված ծախսերն ուղղված են Հանձնաժողովի  </w:t>
      </w:r>
      <w:r w:rsidRPr="00A83C94">
        <w:rPr>
          <w:szCs w:val="22"/>
          <w:lang w:val="hy-AM" w:eastAsia="en-US"/>
        </w:rPr>
        <w:t>Տեսալսողական մեդիայի ոլորտի կանոնակարգում</w:t>
      </w:r>
      <w:r w:rsidRPr="00A83C94">
        <w:rPr>
          <w:b w:val="0"/>
          <w:szCs w:val="22"/>
          <w:lang w:val="hy-AM" w:eastAsia="en-US"/>
        </w:rPr>
        <w:t xml:space="preserve"> ծրագրին, որի նպատակն է հեռարձակվող լրատվության միջոցների ազատության, անկախության և բազմազանության ապահովումը, տեսալսողական ոլորտի վերահսկումը և կարգավորումը, և որն էլ ուղղված է վերջնական արդյունքի՝ հեռարձակվող լրատվության միջոցների ազատության, անկախության և բազմազանության բարձր մակարդակի, մրցակցային հավասար պայմանների, տեսալսողական ոլորտում օրինախախտումների նվազեցման, հեղինակային իրավունքի պահպանության, ոլորտի համաչափ զարգացման ապահովմանը։</w:t>
      </w:r>
    </w:p>
    <w:p w14:paraId="08F511F7" w14:textId="77777777" w:rsidR="00F17A4A" w:rsidRPr="00A83C94" w:rsidRDefault="00F17A4A" w:rsidP="006C76BB">
      <w:pPr>
        <w:spacing w:before="0" w:line="276" w:lineRule="auto"/>
        <w:contextualSpacing w:val="0"/>
        <w:rPr>
          <w:b w:val="0"/>
          <w:szCs w:val="22"/>
          <w:lang w:val="hy-AM" w:eastAsia="en-US"/>
        </w:rPr>
      </w:pPr>
    </w:p>
    <w:p w14:paraId="04EA4ECE" w14:textId="02A83B4F" w:rsidR="00AD03E5" w:rsidRPr="00A83C94" w:rsidRDefault="005A7E7A" w:rsidP="00832373">
      <w:pPr>
        <w:keepNext/>
        <w:spacing w:before="0" w:line="276" w:lineRule="auto"/>
        <w:ind w:firstLine="0"/>
        <w:contextualSpacing w:val="0"/>
        <w:jc w:val="center"/>
        <w:outlineLvl w:val="2"/>
        <w:rPr>
          <w:rFonts w:cs="Arial"/>
          <w:sz w:val="24"/>
          <w:lang w:val="hy-AM" w:eastAsia="en-US"/>
        </w:rPr>
      </w:pPr>
      <w:bookmarkStart w:id="333" w:name="_Toc89428337"/>
      <w:r w:rsidRPr="00A83C94">
        <w:rPr>
          <w:rFonts w:cs="Arial"/>
          <w:sz w:val="24"/>
          <w:lang w:val="hy-AM" w:eastAsia="en-US"/>
        </w:rPr>
        <w:t xml:space="preserve">Հանրային </w:t>
      </w:r>
      <w:r w:rsidR="00C6276C" w:rsidRPr="00A83C94">
        <w:rPr>
          <w:rFonts w:cs="Arial"/>
          <w:sz w:val="24"/>
          <w:lang w:val="hy-AM" w:eastAsia="en-US"/>
        </w:rPr>
        <w:t>հեռարձակողի</w:t>
      </w:r>
      <w:r w:rsidR="00AD03E5" w:rsidRPr="00A83C94">
        <w:rPr>
          <w:rFonts w:cs="Arial"/>
          <w:sz w:val="24"/>
          <w:lang w:val="hy-AM" w:eastAsia="en-US"/>
        </w:rPr>
        <w:t xml:space="preserve"> խորհուրդ</w:t>
      </w:r>
      <w:bookmarkEnd w:id="333"/>
    </w:p>
    <w:p w14:paraId="60011B0F" w14:textId="77777777" w:rsidR="001A2353" w:rsidRPr="00A83C94" w:rsidRDefault="00437B7A" w:rsidP="001A2353">
      <w:pPr>
        <w:numPr>
          <w:ilvl w:val="12"/>
          <w:numId w:val="0"/>
        </w:numPr>
        <w:tabs>
          <w:tab w:val="left" w:pos="851"/>
        </w:tabs>
        <w:spacing w:line="276" w:lineRule="auto"/>
        <w:ind w:left="-142" w:firstLine="540"/>
        <w:rPr>
          <w:b w:val="0"/>
          <w:noProof/>
          <w:color w:val="FF0000"/>
          <w:szCs w:val="22"/>
          <w:lang w:val="af-ZA"/>
        </w:rPr>
      </w:pPr>
      <w:r w:rsidRPr="00A83C94">
        <w:rPr>
          <w:noProof/>
          <w:szCs w:val="22"/>
          <w:lang w:val="hy-AM"/>
        </w:rPr>
        <w:t>Ռադիո</w:t>
      </w:r>
      <w:r w:rsidRPr="00A83C94">
        <w:rPr>
          <w:noProof/>
          <w:szCs w:val="22"/>
          <w:lang w:val="af-ZA"/>
        </w:rPr>
        <w:t xml:space="preserve"> </w:t>
      </w:r>
      <w:r w:rsidRPr="00A83C94">
        <w:rPr>
          <w:noProof/>
          <w:szCs w:val="22"/>
          <w:lang w:val="hy-AM"/>
        </w:rPr>
        <w:t>և</w:t>
      </w:r>
      <w:r w:rsidRPr="00A83C94">
        <w:rPr>
          <w:noProof/>
          <w:szCs w:val="22"/>
          <w:lang w:val="af-ZA"/>
        </w:rPr>
        <w:t xml:space="preserve"> </w:t>
      </w:r>
      <w:r w:rsidRPr="00A83C94">
        <w:rPr>
          <w:noProof/>
          <w:szCs w:val="22"/>
          <w:lang w:val="hy-AM"/>
        </w:rPr>
        <w:t>հեռուստահաղորդումների</w:t>
      </w:r>
      <w:r w:rsidRPr="00A83C94">
        <w:rPr>
          <w:noProof/>
          <w:szCs w:val="22"/>
          <w:lang w:val="af-ZA"/>
        </w:rPr>
        <w:t xml:space="preserve"> </w:t>
      </w:r>
      <w:r w:rsidRPr="00A83C94">
        <w:rPr>
          <w:noProof/>
          <w:szCs w:val="22"/>
          <w:lang w:val="hy-AM"/>
        </w:rPr>
        <w:t>հեռարձակում</w:t>
      </w:r>
      <w:r w:rsidRPr="00A83C94">
        <w:rPr>
          <w:noProof/>
          <w:szCs w:val="22"/>
          <w:lang w:val="af-ZA"/>
        </w:rPr>
        <w:t xml:space="preserve"> </w:t>
      </w:r>
      <w:r w:rsidRPr="00A83C94">
        <w:rPr>
          <w:b w:val="0"/>
          <w:noProof/>
          <w:szCs w:val="22"/>
          <w:lang w:val="hy-AM"/>
        </w:rPr>
        <w:t>ծրագրի նպատակն</w:t>
      </w:r>
      <w:r w:rsidRPr="00A83C94">
        <w:rPr>
          <w:b w:val="0"/>
          <w:noProof/>
          <w:szCs w:val="22"/>
          <w:lang w:val="af-ZA"/>
        </w:rPr>
        <w:t xml:space="preserve"> </w:t>
      </w:r>
      <w:r w:rsidRPr="00A83C94">
        <w:rPr>
          <w:b w:val="0"/>
          <w:noProof/>
          <w:szCs w:val="22"/>
          <w:lang w:val="hy-AM"/>
        </w:rPr>
        <w:t>է</w:t>
      </w:r>
      <w:r w:rsidRPr="00A83C94">
        <w:rPr>
          <w:b w:val="0"/>
          <w:noProof/>
          <w:szCs w:val="22"/>
          <w:lang w:val="af-ZA"/>
        </w:rPr>
        <w:t xml:space="preserve"> </w:t>
      </w:r>
      <w:r w:rsidRPr="00A83C94">
        <w:rPr>
          <w:b w:val="0"/>
          <w:noProof/>
          <w:szCs w:val="22"/>
          <w:lang w:val="hy-AM"/>
        </w:rPr>
        <w:t>ապահովել</w:t>
      </w:r>
      <w:r w:rsidRPr="00A83C94">
        <w:rPr>
          <w:b w:val="0"/>
          <w:noProof/>
          <w:szCs w:val="22"/>
          <w:lang w:val="af-ZA"/>
        </w:rPr>
        <w:t xml:space="preserve"> </w:t>
      </w:r>
      <w:r w:rsidRPr="00A83C94">
        <w:rPr>
          <w:b w:val="0"/>
          <w:noProof/>
          <w:szCs w:val="22"/>
          <w:lang w:val="hy-AM"/>
        </w:rPr>
        <w:t>բազմազան</w:t>
      </w:r>
      <w:r w:rsidRPr="00A83C94">
        <w:rPr>
          <w:b w:val="0"/>
          <w:noProof/>
          <w:szCs w:val="22"/>
          <w:lang w:val="af-ZA"/>
        </w:rPr>
        <w:t xml:space="preserve"> </w:t>
      </w:r>
      <w:r w:rsidRPr="00A83C94">
        <w:rPr>
          <w:b w:val="0"/>
          <w:noProof/>
          <w:szCs w:val="22"/>
          <w:lang w:val="hy-AM"/>
        </w:rPr>
        <w:t>տեղեկատվական</w:t>
      </w:r>
      <w:r w:rsidRPr="00A83C94">
        <w:rPr>
          <w:b w:val="0"/>
          <w:noProof/>
          <w:szCs w:val="22"/>
          <w:lang w:val="af-ZA"/>
        </w:rPr>
        <w:t xml:space="preserve">, </w:t>
      </w:r>
      <w:r w:rsidRPr="00A83C94">
        <w:rPr>
          <w:b w:val="0"/>
          <w:noProof/>
          <w:szCs w:val="22"/>
          <w:lang w:val="hy-AM"/>
        </w:rPr>
        <w:t>ճանաչողական</w:t>
      </w:r>
      <w:r w:rsidRPr="00A83C94">
        <w:rPr>
          <w:b w:val="0"/>
          <w:noProof/>
          <w:szCs w:val="22"/>
          <w:lang w:val="af-ZA"/>
        </w:rPr>
        <w:t xml:space="preserve">, </w:t>
      </w:r>
      <w:r w:rsidRPr="00A83C94">
        <w:rPr>
          <w:b w:val="0"/>
          <w:noProof/>
          <w:szCs w:val="22"/>
          <w:lang w:val="hy-AM"/>
        </w:rPr>
        <w:t>կրթական</w:t>
      </w:r>
      <w:r w:rsidRPr="00A83C94">
        <w:rPr>
          <w:b w:val="0"/>
          <w:noProof/>
          <w:szCs w:val="22"/>
          <w:lang w:val="af-ZA"/>
        </w:rPr>
        <w:t xml:space="preserve">, </w:t>
      </w:r>
      <w:r w:rsidRPr="00A83C94">
        <w:rPr>
          <w:b w:val="0"/>
          <w:noProof/>
          <w:szCs w:val="22"/>
          <w:lang w:val="hy-AM"/>
        </w:rPr>
        <w:t>ժամանցային</w:t>
      </w:r>
      <w:r w:rsidRPr="00A83C94">
        <w:rPr>
          <w:b w:val="0"/>
          <w:noProof/>
          <w:szCs w:val="22"/>
          <w:lang w:val="af-ZA"/>
        </w:rPr>
        <w:t xml:space="preserve"> </w:t>
      </w:r>
      <w:r w:rsidRPr="00A83C94">
        <w:rPr>
          <w:b w:val="0"/>
          <w:noProof/>
          <w:szCs w:val="22"/>
          <w:lang w:val="hy-AM"/>
        </w:rPr>
        <w:t>հեռուստատեսային</w:t>
      </w:r>
      <w:r w:rsidR="00F17A4A" w:rsidRPr="00A83C94">
        <w:rPr>
          <w:b w:val="0"/>
          <w:noProof/>
          <w:szCs w:val="22"/>
          <w:lang w:val="hy-AM"/>
        </w:rPr>
        <w:t xml:space="preserve"> </w:t>
      </w:r>
      <w:r w:rsidR="00676164" w:rsidRPr="00A83C94">
        <w:rPr>
          <w:b w:val="0"/>
          <w:noProof/>
          <w:szCs w:val="22"/>
          <w:lang w:val="hy-AM"/>
        </w:rPr>
        <w:t>և ռադիո հաղորդումների արտադրությունը և հեռարձակումը</w:t>
      </w:r>
      <w:r w:rsidR="00676164" w:rsidRPr="00A83C94">
        <w:rPr>
          <w:b w:val="0"/>
          <w:noProof/>
          <w:szCs w:val="22"/>
          <w:lang w:val="af-ZA"/>
        </w:rPr>
        <w:t>:</w:t>
      </w:r>
    </w:p>
    <w:p w14:paraId="657BA716" w14:textId="1CD2FB48" w:rsidR="00437B7A" w:rsidRPr="00A83C94" w:rsidRDefault="001A2353" w:rsidP="007C65A5">
      <w:pPr>
        <w:numPr>
          <w:ilvl w:val="12"/>
          <w:numId w:val="0"/>
        </w:numPr>
        <w:tabs>
          <w:tab w:val="left" w:pos="851"/>
        </w:tabs>
        <w:spacing w:line="276" w:lineRule="auto"/>
        <w:ind w:left="-142" w:firstLine="540"/>
        <w:rPr>
          <w:b w:val="0"/>
          <w:noProof/>
          <w:szCs w:val="22"/>
          <w:lang w:val="af-ZA"/>
        </w:rPr>
      </w:pPr>
      <w:r w:rsidRPr="00A83C94">
        <w:rPr>
          <w:b w:val="0"/>
          <w:color w:val="000000"/>
          <w:szCs w:val="22"/>
          <w:lang w:val="hy-AM" w:eastAsia="en-US"/>
        </w:rPr>
        <w:t xml:space="preserve">ՀՀ 2022 թվականի պետական բյուջեի նախագծով Հանրային հեռարձակողի խորհրդի գծով նախատեսվում է 7,634.7 մլն դրամի ծախսեր </w:t>
      </w:r>
      <w:r w:rsidR="006460D8" w:rsidRPr="00A83C94">
        <w:rPr>
          <w:rFonts w:cs="Calibri"/>
          <w:b w:val="0"/>
          <w:iCs/>
          <w:szCs w:val="22"/>
          <w:lang w:val="hy-AM" w:eastAsia="en-GB"/>
        </w:rPr>
        <w:t>(ներառյալ կառավարման ապարատի պահպանման ծախսերը)</w:t>
      </w:r>
      <w:r w:rsidRPr="00A83C94">
        <w:rPr>
          <w:b w:val="0"/>
          <w:color w:val="000000"/>
          <w:szCs w:val="22"/>
          <w:lang w:val="af-ZA" w:eastAsia="en-US"/>
        </w:rPr>
        <w:t xml:space="preserve">` </w:t>
      </w:r>
      <w:r w:rsidR="00437B7A" w:rsidRPr="00A83C94">
        <w:rPr>
          <w:b w:val="0"/>
          <w:noProof/>
          <w:szCs w:val="22"/>
          <w:lang w:val="hy-AM"/>
        </w:rPr>
        <w:t>ՀՀ</w:t>
      </w:r>
      <w:r w:rsidR="00437B7A" w:rsidRPr="00A83C94">
        <w:rPr>
          <w:b w:val="0"/>
          <w:noProof/>
          <w:szCs w:val="22"/>
          <w:lang w:val="af-ZA"/>
        </w:rPr>
        <w:t xml:space="preserve"> 20</w:t>
      </w:r>
      <w:r w:rsidR="00437B7A" w:rsidRPr="00A83C94">
        <w:rPr>
          <w:b w:val="0"/>
          <w:noProof/>
          <w:szCs w:val="22"/>
          <w:lang w:val="hy-AM"/>
        </w:rPr>
        <w:t>21</w:t>
      </w:r>
      <w:r w:rsidR="00437B7A" w:rsidRPr="00A83C94">
        <w:rPr>
          <w:b w:val="0"/>
          <w:noProof/>
          <w:szCs w:val="22"/>
          <w:lang w:val="af-ZA"/>
        </w:rPr>
        <w:t xml:space="preserve"> </w:t>
      </w:r>
      <w:r w:rsidR="00437B7A" w:rsidRPr="00A83C94">
        <w:rPr>
          <w:b w:val="0"/>
          <w:noProof/>
          <w:szCs w:val="22"/>
          <w:lang w:val="hy-AM"/>
        </w:rPr>
        <w:t>թվականի</w:t>
      </w:r>
      <w:r w:rsidR="00437B7A" w:rsidRPr="00A83C94">
        <w:rPr>
          <w:b w:val="0"/>
          <w:noProof/>
          <w:szCs w:val="22"/>
          <w:lang w:val="af-ZA"/>
        </w:rPr>
        <w:t xml:space="preserve"> </w:t>
      </w:r>
      <w:r w:rsidR="00437B7A" w:rsidRPr="00A83C94">
        <w:rPr>
          <w:b w:val="0"/>
          <w:noProof/>
          <w:szCs w:val="22"/>
          <w:lang w:val="hy-AM"/>
        </w:rPr>
        <w:t>պետական</w:t>
      </w:r>
      <w:r w:rsidR="00437B7A" w:rsidRPr="00A83C94">
        <w:rPr>
          <w:b w:val="0"/>
          <w:noProof/>
          <w:szCs w:val="22"/>
          <w:lang w:val="af-ZA"/>
        </w:rPr>
        <w:t xml:space="preserve"> </w:t>
      </w:r>
      <w:r w:rsidR="00437B7A" w:rsidRPr="00A83C94">
        <w:rPr>
          <w:b w:val="0"/>
          <w:noProof/>
          <w:szCs w:val="22"/>
          <w:lang w:val="hy-AM"/>
        </w:rPr>
        <w:t>բյուջեով</w:t>
      </w:r>
      <w:r w:rsidR="00437B7A" w:rsidRPr="00A83C94">
        <w:rPr>
          <w:b w:val="0"/>
          <w:noProof/>
          <w:szCs w:val="22"/>
          <w:lang w:val="af-ZA"/>
        </w:rPr>
        <w:t xml:space="preserve"> </w:t>
      </w:r>
      <w:r w:rsidR="00437B7A" w:rsidRPr="00A83C94">
        <w:rPr>
          <w:b w:val="0"/>
          <w:noProof/>
          <w:szCs w:val="22"/>
          <w:lang w:val="hy-AM"/>
        </w:rPr>
        <w:t>հաստատված</w:t>
      </w:r>
      <w:r w:rsidR="00437B7A" w:rsidRPr="00A83C94">
        <w:rPr>
          <w:b w:val="0"/>
          <w:noProof/>
          <w:szCs w:val="22"/>
          <w:lang w:val="af-ZA"/>
        </w:rPr>
        <w:t xml:space="preserve"> </w:t>
      </w:r>
      <w:r w:rsidRPr="00A83C94">
        <w:rPr>
          <w:b w:val="0"/>
          <w:noProof/>
          <w:szCs w:val="22"/>
          <w:lang w:val="hy-AM"/>
        </w:rPr>
        <w:t>7</w:t>
      </w:r>
      <w:r w:rsidR="00437B7A" w:rsidRPr="00A83C94">
        <w:rPr>
          <w:b w:val="0"/>
          <w:noProof/>
          <w:szCs w:val="22"/>
          <w:lang w:val="af-ZA"/>
        </w:rPr>
        <w:t>,</w:t>
      </w:r>
      <w:r w:rsidRPr="00A83C94">
        <w:rPr>
          <w:b w:val="0"/>
          <w:noProof/>
          <w:szCs w:val="22"/>
          <w:lang w:val="hy-AM"/>
        </w:rPr>
        <w:t>051</w:t>
      </w:r>
      <w:r w:rsidR="00437B7A" w:rsidRPr="00A83C94">
        <w:rPr>
          <w:b w:val="0"/>
          <w:noProof/>
          <w:szCs w:val="22"/>
          <w:lang w:val="af-ZA"/>
        </w:rPr>
        <w:t>.</w:t>
      </w:r>
      <w:r w:rsidRPr="00A83C94">
        <w:rPr>
          <w:b w:val="0"/>
          <w:noProof/>
          <w:szCs w:val="22"/>
          <w:lang w:val="hy-AM"/>
        </w:rPr>
        <w:t>2</w:t>
      </w:r>
      <w:r w:rsidR="00437B7A" w:rsidRPr="00A83C94">
        <w:rPr>
          <w:b w:val="0"/>
          <w:noProof/>
          <w:szCs w:val="22"/>
          <w:lang w:val="af-ZA"/>
        </w:rPr>
        <w:t xml:space="preserve"> </w:t>
      </w:r>
      <w:r w:rsidR="00437B7A" w:rsidRPr="00A83C94">
        <w:rPr>
          <w:b w:val="0"/>
          <w:noProof/>
          <w:szCs w:val="22"/>
          <w:lang w:val="hy-AM"/>
        </w:rPr>
        <w:t>մլն</w:t>
      </w:r>
      <w:r w:rsidR="00437B7A" w:rsidRPr="00A83C94">
        <w:rPr>
          <w:b w:val="0"/>
          <w:noProof/>
          <w:szCs w:val="22"/>
          <w:lang w:val="af-ZA"/>
        </w:rPr>
        <w:t xml:space="preserve"> </w:t>
      </w:r>
      <w:r w:rsidR="00437B7A" w:rsidRPr="00A83C94">
        <w:rPr>
          <w:b w:val="0"/>
          <w:noProof/>
          <w:szCs w:val="22"/>
          <w:lang w:val="hy-AM"/>
        </w:rPr>
        <w:t>դրամի</w:t>
      </w:r>
      <w:r w:rsidR="00437B7A" w:rsidRPr="00A83C94">
        <w:rPr>
          <w:b w:val="0"/>
          <w:noProof/>
          <w:szCs w:val="22"/>
          <w:lang w:val="af-ZA"/>
        </w:rPr>
        <w:t xml:space="preserve"> </w:t>
      </w:r>
      <w:r w:rsidR="00437B7A" w:rsidRPr="00A83C94">
        <w:rPr>
          <w:b w:val="0"/>
          <w:noProof/>
          <w:szCs w:val="22"/>
          <w:lang w:val="hy-AM"/>
        </w:rPr>
        <w:t>դիմաց</w:t>
      </w:r>
      <w:r w:rsidR="00437B7A" w:rsidRPr="00A83C94">
        <w:rPr>
          <w:b w:val="0"/>
          <w:noProof/>
          <w:szCs w:val="22"/>
          <w:lang w:val="af-ZA"/>
        </w:rPr>
        <w:t xml:space="preserve">: </w:t>
      </w:r>
      <w:r w:rsidR="00437B7A" w:rsidRPr="00A83C94">
        <w:rPr>
          <w:b w:val="0"/>
          <w:noProof/>
          <w:szCs w:val="22"/>
        </w:rPr>
        <w:t>Ծախսերն</w:t>
      </w:r>
      <w:r w:rsidR="00437B7A" w:rsidRPr="00A83C94">
        <w:rPr>
          <w:b w:val="0"/>
          <w:noProof/>
          <w:szCs w:val="22"/>
          <w:lang w:val="af-ZA"/>
        </w:rPr>
        <w:t xml:space="preserve"> </w:t>
      </w:r>
      <w:r w:rsidR="00437B7A" w:rsidRPr="00A83C94">
        <w:rPr>
          <w:b w:val="0"/>
          <w:noProof/>
          <w:szCs w:val="22"/>
        </w:rPr>
        <w:t>աճել</w:t>
      </w:r>
      <w:r w:rsidR="00437B7A" w:rsidRPr="00A83C94">
        <w:rPr>
          <w:b w:val="0"/>
          <w:noProof/>
          <w:szCs w:val="22"/>
          <w:lang w:val="af-ZA"/>
        </w:rPr>
        <w:t xml:space="preserve"> </w:t>
      </w:r>
      <w:r w:rsidR="00437B7A" w:rsidRPr="00A83C94">
        <w:rPr>
          <w:b w:val="0"/>
          <w:noProof/>
          <w:szCs w:val="22"/>
        </w:rPr>
        <w:t>են</w:t>
      </w:r>
      <w:r w:rsidR="00437B7A" w:rsidRPr="00A83C94">
        <w:rPr>
          <w:b w:val="0"/>
          <w:noProof/>
          <w:szCs w:val="22"/>
          <w:lang w:val="af-ZA"/>
        </w:rPr>
        <w:t xml:space="preserve"> 58</w:t>
      </w:r>
      <w:r w:rsidRPr="00A83C94">
        <w:rPr>
          <w:b w:val="0"/>
          <w:noProof/>
          <w:szCs w:val="22"/>
          <w:lang w:val="af-ZA"/>
        </w:rPr>
        <w:t>3</w:t>
      </w:r>
      <w:r w:rsidR="00437B7A" w:rsidRPr="00A83C94">
        <w:rPr>
          <w:b w:val="0"/>
          <w:noProof/>
          <w:szCs w:val="22"/>
          <w:lang w:val="af-ZA"/>
        </w:rPr>
        <w:t>.</w:t>
      </w:r>
      <w:r w:rsidRPr="00A83C94">
        <w:rPr>
          <w:b w:val="0"/>
          <w:noProof/>
          <w:szCs w:val="22"/>
          <w:lang w:val="af-ZA"/>
        </w:rPr>
        <w:t>5</w:t>
      </w:r>
      <w:r w:rsidR="00437B7A" w:rsidRPr="00A83C94">
        <w:rPr>
          <w:b w:val="0"/>
          <w:noProof/>
          <w:szCs w:val="22"/>
          <w:lang w:val="af-ZA"/>
        </w:rPr>
        <w:t xml:space="preserve"> </w:t>
      </w:r>
      <w:r w:rsidR="00437B7A" w:rsidRPr="00A83C94">
        <w:rPr>
          <w:b w:val="0"/>
          <w:noProof/>
          <w:szCs w:val="22"/>
        </w:rPr>
        <w:t>մլն</w:t>
      </w:r>
      <w:r w:rsidR="00437B7A" w:rsidRPr="00A83C94">
        <w:rPr>
          <w:b w:val="0"/>
          <w:noProof/>
          <w:szCs w:val="22"/>
          <w:lang w:val="af-ZA"/>
        </w:rPr>
        <w:t xml:space="preserve"> </w:t>
      </w:r>
      <w:r w:rsidR="00437B7A" w:rsidRPr="00A83C94">
        <w:rPr>
          <w:b w:val="0"/>
          <w:noProof/>
          <w:szCs w:val="22"/>
        </w:rPr>
        <w:t>դրամով</w:t>
      </w:r>
      <w:r w:rsidR="00437B7A" w:rsidRPr="00A83C94">
        <w:rPr>
          <w:b w:val="0"/>
          <w:noProof/>
          <w:szCs w:val="22"/>
          <w:lang w:val="af-ZA"/>
        </w:rPr>
        <w:t xml:space="preserve">, </w:t>
      </w:r>
      <w:r w:rsidR="00437B7A" w:rsidRPr="00A83C94">
        <w:rPr>
          <w:b w:val="0"/>
          <w:noProof/>
          <w:szCs w:val="22"/>
        </w:rPr>
        <w:t>կամ</w:t>
      </w:r>
      <w:r w:rsidR="00437B7A" w:rsidRPr="00A83C94">
        <w:rPr>
          <w:b w:val="0"/>
          <w:noProof/>
          <w:szCs w:val="22"/>
          <w:lang w:val="af-ZA"/>
        </w:rPr>
        <w:t xml:space="preserve"> </w:t>
      </w:r>
      <w:r w:rsidR="002C26F9" w:rsidRPr="00A83C94">
        <w:rPr>
          <w:b w:val="0"/>
          <w:noProof/>
          <w:szCs w:val="22"/>
          <w:lang w:val="af-ZA"/>
        </w:rPr>
        <w:t>8</w:t>
      </w:r>
      <w:r w:rsidR="00437B7A" w:rsidRPr="00A83C94">
        <w:rPr>
          <w:b w:val="0"/>
          <w:noProof/>
          <w:szCs w:val="22"/>
          <w:lang w:val="af-ZA"/>
        </w:rPr>
        <w:t>.</w:t>
      </w:r>
      <w:r w:rsidR="002C26F9" w:rsidRPr="00A83C94">
        <w:rPr>
          <w:b w:val="0"/>
          <w:noProof/>
          <w:szCs w:val="22"/>
          <w:lang w:val="af-ZA"/>
        </w:rPr>
        <w:t>3</w:t>
      </w:r>
      <w:r w:rsidR="00437B7A" w:rsidRPr="00A83C94">
        <w:rPr>
          <w:b w:val="0"/>
          <w:noProof/>
          <w:szCs w:val="22"/>
          <w:lang w:val="af-ZA"/>
        </w:rPr>
        <w:t xml:space="preserve"> </w:t>
      </w:r>
      <w:r w:rsidR="00437B7A" w:rsidRPr="00A83C94">
        <w:rPr>
          <w:b w:val="0"/>
          <w:noProof/>
          <w:szCs w:val="22"/>
        </w:rPr>
        <w:t>տոկոսով</w:t>
      </w:r>
      <w:r w:rsidR="00437B7A" w:rsidRPr="00A83C94">
        <w:rPr>
          <w:b w:val="0"/>
          <w:noProof/>
          <w:szCs w:val="22"/>
          <w:lang w:val="af-ZA"/>
        </w:rPr>
        <w:t xml:space="preserve">, </w:t>
      </w:r>
      <w:r w:rsidR="00437B7A" w:rsidRPr="00A83C94">
        <w:rPr>
          <w:b w:val="0"/>
          <w:noProof/>
          <w:szCs w:val="22"/>
        </w:rPr>
        <w:t>որը</w:t>
      </w:r>
      <w:r w:rsidR="00437B7A" w:rsidRPr="00A83C94">
        <w:rPr>
          <w:b w:val="0"/>
          <w:noProof/>
          <w:szCs w:val="22"/>
          <w:lang w:val="af-ZA"/>
        </w:rPr>
        <w:t xml:space="preserve"> </w:t>
      </w:r>
      <w:r w:rsidR="00437B7A" w:rsidRPr="00A83C94">
        <w:rPr>
          <w:b w:val="0"/>
          <w:noProof/>
          <w:szCs w:val="22"/>
        </w:rPr>
        <w:t>պայմանավորված</w:t>
      </w:r>
      <w:r w:rsidR="00437B7A" w:rsidRPr="00A83C94">
        <w:rPr>
          <w:b w:val="0"/>
          <w:noProof/>
          <w:szCs w:val="22"/>
          <w:lang w:val="af-ZA"/>
        </w:rPr>
        <w:t xml:space="preserve"> </w:t>
      </w:r>
      <w:r w:rsidR="00437B7A" w:rsidRPr="00A83C94">
        <w:rPr>
          <w:b w:val="0"/>
          <w:noProof/>
          <w:szCs w:val="22"/>
        </w:rPr>
        <w:t>է</w:t>
      </w:r>
      <w:r w:rsidR="00437B7A" w:rsidRPr="00A83C94">
        <w:rPr>
          <w:b w:val="0"/>
          <w:noProof/>
          <w:szCs w:val="22"/>
          <w:lang w:val="af-ZA"/>
        </w:rPr>
        <w:t>.</w:t>
      </w:r>
    </w:p>
    <w:p w14:paraId="53C5DA32" w14:textId="77777777" w:rsidR="00437B7A" w:rsidRPr="00A83C94" w:rsidRDefault="00437B7A" w:rsidP="007C65A5">
      <w:pPr>
        <w:numPr>
          <w:ilvl w:val="12"/>
          <w:numId w:val="0"/>
        </w:numPr>
        <w:tabs>
          <w:tab w:val="left" w:pos="851"/>
        </w:tabs>
        <w:spacing w:line="276" w:lineRule="auto"/>
        <w:ind w:left="-142" w:firstLine="540"/>
        <w:rPr>
          <w:b w:val="0"/>
          <w:noProof/>
          <w:szCs w:val="22"/>
          <w:lang w:val="af-ZA"/>
        </w:rPr>
      </w:pPr>
      <w:r w:rsidRPr="00A83C94">
        <w:rPr>
          <w:b w:val="0"/>
          <w:noProof/>
          <w:szCs w:val="22"/>
          <w:lang w:val="af-ZA"/>
        </w:rPr>
        <w:t>- </w:t>
      </w:r>
      <w:r w:rsidRPr="00A83C94">
        <w:rPr>
          <w:b w:val="0"/>
          <w:noProof/>
          <w:szCs w:val="22"/>
        </w:rPr>
        <w:t>Հեռուստատեսային</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ծախսերի</w:t>
      </w:r>
      <w:r w:rsidRPr="00A83C94">
        <w:rPr>
          <w:b w:val="0"/>
          <w:noProof/>
          <w:szCs w:val="22"/>
          <w:lang w:val="af-ZA"/>
        </w:rPr>
        <w:t xml:space="preserve"> </w:t>
      </w:r>
      <w:r w:rsidRPr="00A83C94">
        <w:rPr>
          <w:b w:val="0"/>
          <w:noProof/>
          <w:szCs w:val="22"/>
        </w:rPr>
        <w:t>աճով՝</w:t>
      </w:r>
      <w:r w:rsidRPr="00A83C94">
        <w:rPr>
          <w:b w:val="0"/>
          <w:noProof/>
          <w:szCs w:val="22"/>
          <w:lang w:val="af-ZA"/>
        </w:rPr>
        <w:t xml:space="preserve"> 640.0 </w:t>
      </w:r>
      <w:r w:rsidRPr="00A83C94">
        <w:rPr>
          <w:b w:val="0"/>
          <w:noProof/>
          <w:szCs w:val="22"/>
        </w:rPr>
        <w:t>մլն</w:t>
      </w:r>
      <w:r w:rsidRPr="00A83C94">
        <w:rPr>
          <w:b w:val="0"/>
          <w:noProof/>
          <w:szCs w:val="22"/>
          <w:lang w:val="af-ZA"/>
        </w:rPr>
        <w:t xml:space="preserve"> </w:t>
      </w:r>
      <w:r w:rsidRPr="00A83C94">
        <w:rPr>
          <w:b w:val="0"/>
          <w:noProof/>
          <w:szCs w:val="22"/>
        </w:rPr>
        <w:t>դրամով</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հեռուստաընկերություն</w:t>
      </w:r>
      <w:r w:rsidRPr="00A83C94">
        <w:rPr>
          <w:b w:val="0"/>
          <w:noProof/>
          <w:szCs w:val="22"/>
          <w:lang w:val="af-ZA"/>
        </w:rPr>
        <w:t xml:space="preserve">» </w:t>
      </w:r>
      <w:r w:rsidRPr="00A83C94">
        <w:rPr>
          <w:b w:val="0"/>
          <w:noProof/>
          <w:szCs w:val="22"/>
        </w:rPr>
        <w:t>փակ</w:t>
      </w:r>
      <w:r w:rsidRPr="00A83C94">
        <w:rPr>
          <w:b w:val="0"/>
          <w:noProof/>
          <w:szCs w:val="22"/>
          <w:lang w:val="af-ZA"/>
        </w:rPr>
        <w:t xml:space="preserve"> </w:t>
      </w:r>
      <w:r w:rsidRPr="00A83C94">
        <w:rPr>
          <w:b w:val="0"/>
          <w:noProof/>
          <w:szCs w:val="22"/>
        </w:rPr>
        <w:t>բաժնետիրական</w:t>
      </w:r>
      <w:r w:rsidRPr="00A83C94">
        <w:rPr>
          <w:b w:val="0"/>
          <w:noProof/>
          <w:szCs w:val="22"/>
          <w:lang w:val="af-ZA"/>
        </w:rPr>
        <w:t xml:space="preserve"> </w:t>
      </w:r>
      <w:r w:rsidRPr="00A83C94">
        <w:rPr>
          <w:b w:val="0"/>
          <w:noProof/>
          <w:szCs w:val="22"/>
        </w:rPr>
        <w:t>ընկերության</w:t>
      </w:r>
      <w:r w:rsidRPr="00A83C94">
        <w:rPr>
          <w:b w:val="0"/>
          <w:noProof/>
          <w:szCs w:val="22"/>
          <w:lang w:val="af-ZA"/>
        </w:rPr>
        <w:t xml:space="preserve"> </w:t>
      </w:r>
      <w:r w:rsidRPr="00A83C94">
        <w:rPr>
          <w:b w:val="0"/>
          <w:noProof/>
          <w:szCs w:val="22"/>
        </w:rPr>
        <w:t>մայրաքաղաքային</w:t>
      </w:r>
      <w:r w:rsidRPr="00A83C94">
        <w:rPr>
          <w:b w:val="0"/>
          <w:noProof/>
          <w:szCs w:val="22"/>
          <w:lang w:val="af-ZA"/>
        </w:rPr>
        <w:t xml:space="preserve"> </w:t>
      </w:r>
      <w:r w:rsidRPr="00A83C94">
        <w:rPr>
          <w:b w:val="0"/>
          <w:noProof/>
          <w:szCs w:val="22"/>
        </w:rPr>
        <w:t>սփռման</w:t>
      </w:r>
      <w:r w:rsidRPr="00A83C94">
        <w:rPr>
          <w:b w:val="0"/>
          <w:noProof/>
          <w:szCs w:val="22"/>
          <w:lang w:val="af-ZA"/>
        </w:rPr>
        <w:t xml:space="preserve"> 24-</w:t>
      </w:r>
      <w:r w:rsidRPr="00A83C94">
        <w:rPr>
          <w:b w:val="0"/>
          <w:noProof/>
          <w:szCs w:val="22"/>
        </w:rPr>
        <w:t>ժամյա</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նոր</w:t>
      </w:r>
      <w:r w:rsidRPr="00A83C94">
        <w:rPr>
          <w:b w:val="0"/>
          <w:noProof/>
          <w:szCs w:val="22"/>
          <w:lang w:val="af-ZA"/>
        </w:rPr>
        <w:t xml:space="preserve"> </w:t>
      </w:r>
      <w:r w:rsidRPr="00A83C94">
        <w:rPr>
          <w:b w:val="0"/>
          <w:noProof/>
          <w:szCs w:val="22"/>
        </w:rPr>
        <w:t>հեռուստաալիքի</w:t>
      </w:r>
      <w:r w:rsidRPr="00A83C94">
        <w:rPr>
          <w:b w:val="0"/>
          <w:noProof/>
          <w:szCs w:val="22"/>
          <w:lang w:val="af-ZA"/>
        </w:rPr>
        <w:t xml:space="preserve"> </w:t>
      </w:r>
      <w:r w:rsidRPr="00A83C94">
        <w:rPr>
          <w:b w:val="0"/>
          <w:noProof/>
          <w:szCs w:val="22"/>
        </w:rPr>
        <w:t>գործարկում</w:t>
      </w:r>
      <w:r w:rsidRPr="00A83C94">
        <w:rPr>
          <w:b w:val="0"/>
          <w:noProof/>
          <w:szCs w:val="22"/>
          <w:lang w:val="af-ZA"/>
        </w:rPr>
        <w:t xml:space="preserve">):  </w:t>
      </w:r>
    </w:p>
    <w:p w14:paraId="730D24F0" w14:textId="77777777" w:rsidR="00B62797" w:rsidRPr="00A83C94" w:rsidRDefault="00437B7A" w:rsidP="00553C7A">
      <w:pPr>
        <w:numPr>
          <w:ilvl w:val="12"/>
          <w:numId w:val="0"/>
        </w:numPr>
        <w:tabs>
          <w:tab w:val="left" w:pos="851"/>
        </w:tabs>
        <w:spacing w:line="276" w:lineRule="auto"/>
        <w:ind w:left="-142" w:firstLine="540"/>
        <w:rPr>
          <w:b w:val="0"/>
          <w:noProof/>
          <w:szCs w:val="22"/>
          <w:lang w:val="hy-AM"/>
        </w:rPr>
      </w:pPr>
      <w:r w:rsidRPr="00A83C94">
        <w:rPr>
          <w:b w:val="0"/>
          <w:noProof/>
          <w:szCs w:val="22"/>
        </w:rPr>
        <w:t>Տեղեկատվական</w:t>
      </w:r>
      <w:r w:rsidRPr="00A83C94">
        <w:rPr>
          <w:b w:val="0"/>
          <w:noProof/>
          <w:szCs w:val="22"/>
          <w:lang w:val="af-ZA"/>
        </w:rPr>
        <w:t xml:space="preserve"> </w:t>
      </w:r>
      <w:r w:rsidRPr="00A83C94">
        <w:rPr>
          <w:b w:val="0"/>
          <w:noProof/>
          <w:szCs w:val="22"/>
        </w:rPr>
        <w:t>հոսքերի</w:t>
      </w:r>
      <w:r w:rsidRPr="00A83C94">
        <w:rPr>
          <w:b w:val="0"/>
          <w:noProof/>
          <w:szCs w:val="22"/>
          <w:lang w:val="af-ZA"/>
        </w:rPr>
        <w:t xml:space="preserve"> </w:t>
      </w:r>
      <w:r w:rsidRPr="00A83C94">
        <w:rPr>
          <w:b w:val="0"/>
          <w:noProof/>
          <w:szCs w:val="22"/>
        </w:rPr>
        <w:t>սրընթաց</w:t>
      </w:r>
      <w:r w:rsidRPr="00A83C94">
        <w:rPr>
          <w:b w:val="0"/>
          <w:noProof/>
          <w:szCs w:val="22"/>
          <w:lang w:val="af-ZA"/>
        </w:rPr>
        <w:t xml:space="preserve"> </w:t>
      </w:r>
      <w:r w:rsidRPr="00A83C94">
        <w:rPr>
          <w:b w:val="0"/>
          <w:noProof/>
          <w:szCs w:val="22"/>
        </w:rPr>
        <w:t>զարգացման</w:t>
      </w:r>
      <w:r w:rsidRPr="00A83C94">
        <w:rPr>
          <w:b w:val="0"/>
          <w:noProof/>
          <w:szCs w:val="22"/>
          <w:lang w:val="af-ZA"/>
        </w:rPr>
        <w:t xml:space="preserve"> </w:t>
      </w:r>
      <w:r w:rsidRPr="00A83C94">
        <w:rPr>
          <w:b w:val="0"/>
          <w:noProof/>
          <w:szCs w:val="22"/>
        </w:rPr>
        <w:t>պայմաններում</w:t>
      </w:r>
      <w:r w:rsidRPr="00A83C94">
        <w:rPr>
          <w:b w:val="0"/>
          <w:noProof/>
          <w:szCs w:val="22"/>
          <w:lang w:val="af-ZA"/>
        </w:rPr>
        <w:t xml:space="preserve"> </w:t>
      </w:r>
      <w:r w:rsidRPr="00A83C94">
        <w:rPr>
          <w:b w:val="0"/>
          <w:noProof/>
          <w:szCs w:val="22"/>
        </w:rPr>
        <w:t>Ընկերության</w:t>
      </w:r>
      <w:r w:rsidRPr="00A83C94">
        <w:rPr>
          <w:b w:val="0"/>
          <w:noProof/>
          <w:szCs w:val="22"/>
          <w:lang w:val="af-ZA"/>
        </w:rPr>
        <w:t xml:space="preserve"> </w:t>
      </w:r>
      <w:r w:rsidRPr="00A83C94">
        <w:rPr>
          <w:b w:val="0"/>
          <w:noProof/>
          <w:szCs w:val="22"/>
        </w:rPr>
        <w:t>կողմից</w:t>
      </w:r>
      <w:r w:rsidRPr="00A83C94">
        <w:rPr>
          <w:b w:val="0"/>
          <w:noProof/>
          <w:szCs w:val="22"/>
          <w:lang w:val="af-ZA"/>
        </w:rPr>
        <w:t xml:space="preserve"> </w:t>
      </w:r>
      <w:r w:rsidRPr="00A83C94">
        <w:rPr>
          <w:b w:val="0"/>
          <w:noProof/>
          <w:szCs w:val="22"/>
        </w:rPr>
        <w:t>լրատվության</w:t>
      </w:r>
      <w:r w:rsidRPr="00A83C94">
        <w:rPr>
          <w:b w:val="0"/>
          <w:noProof/>
          <w:szCs w:val="22"/>
          <w:lang w:val="af-ZA"/>
        </w:rPr>
        <w:t xml:space="preserve"> </w:t>
      </w:r>
      <w:r w:rsidRPr="00A83C94">
        <w:rPr>
          <w:b w:val="0"/>
          <w:noProof/>
          <w:szCs w:val="22"/>
        </w:rPr>
        <w:t>մատուցումը</w:t>
      </w:r>
      <w:r w:rsidRPr="00A83C94">
        <w:rPr>
          <w:b w:val="0"/>
          <w:noProof/>
          <w:szCs w:val="22"/>
          <w:lang w:val="af-ZA"/>
        </w:rPr>
        <w:t xml:space="preserve"> </w:t>
      </w:r>
      <w:r w:rsidRPr="00A83C94">
        <w:rPr>
          <w:b w:val="0"/>
          <w:noProof/>
          <w:szCs w:val="22"/>
        </w:rPr>
        <w:t>առանձին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թողարկումների</w:t>
      </w:r>
      <w:r w:rsidRPr="00A83C94">
        <w:rPr>
          <w:b w:val="0"/>
          <w:noProof/>
          <w:szCs w:val="22"/>
          <w:lang w:val="af-ZA"/>
        </w:rPr>
        <w:t xml:space="preserve"> </w:t>
      </w:r>
      <w:r w:rsidRPr="00A83C94">
        <w:rPr>
          <w:b w:val="0"/>
          <w:noProof/>
          <w:szCs w:val="22"/>
        </w:rPr>
        <w:t>տեսքով</w:t>
      </w:r>
      <w:r w:rsidRPr="00A83C94">
        <w:rPr>
          <w:b w:val="0"/>
          <w:noProof/>
          <w:szCs w:val="22"/>
          <w:lang w:val="af-ZA"/>
        </w:rPr>
        <w:t xml:space="preserve"> </w:t>
      </w:r>
      <w:r w:rsidRPr="00A83C94">
        <w:rPr>
          <w:b w:val="0"/>
          <w:noProof/>
          <w:szCs w:val="22"/>
        </w:rPr>
        <w:t>շատ</w:t>
      </w:r>
      <w:r w:rsidRPr="00A83C94">
        <w:rPr>
          <w:b w:val="0"/>
          <w:noProof/>
          <w:szCs w:val="22"/>
          <w:lang w:val="af-ZA"/>
        </w:rPr>
        <w:t xml:space="preserve"> </w:t>
      </w:r>
      <w:r w:rsidRPr="00A83C94">
        <w:rPr>
          <w:b w:val="0"/>
          <w:noProof/>
          <w:szCs w:val="22"/>
        </w:rPr>
        <w:t>հաճախ</w:t>
      </w:r>
      <w:r w:rsidRPr="00A83C94">
        <w:rPr>
          <w:b w:val="0"/>
          <w:noProof/>
          <w:szCs w:val="22"/>
          <w:lang w:val="af-ZA"/>
        </w:rPr>
        <w:t xml:space="preserve"> </w:t>
      </w:r>
      <w:r w:rsidRPr="00A83C94">
        <w:rPr>
          <w:b w:val="0"/>
          <w:noProof/>
          <w:szCs w:val="22"/>
        </w:rPr>
        <w:t>չի</w:t>
      </w:r>
      <w:r w:rsidRPr="00A83C94">
        <w:rPr>
          <w:b w:val="0"/>
          <w:noProof/>
          <w:szCs w:val="22"/>
          <w:lang w:val="af-ZA"/>
        </w:rPr>
        <w:t xml:space="preserve"> </w:t>
      </w:r>
      <w:r w:rsidRPr="00A83C94">
        <w:rPr>
          <w:b w:val="0"/>
          <w:noProof/>
          <w:szCs w:val="22"/>
        </w:rPr>
        <w:t>ապահովում</w:t>
      </w:r>
      <w:r w:rsidRPr="00A83C94">
        <w:rPr>
          <w:b w:val="0"/>
          <w:noProof/>
          <w:szCs w:val="22"/>
          <w:lang w:val="af-ZA"/>
        </w:rPr>
        <w:t xml:space="preserve"> </w:t>
      </w:r>
      <w:r w:rsidRPr="00A83C94">
        <w:rPr>
          <w:b w:val="0"/>
          <w:noProof/>
          <w:szCs w:val="22"/>
        </w:rPr>
        <w:t>լուրերի</w:t>
      </w:r>
      <w:r w:rsidRPr="00A83C94">
        <w:rPr>
          <w:b w:val="0"/>
          <w:noProof/>
          <w:szCs w:val="22"/>
          <w:lang w:val="af-ZA"/>
        </w:rPr>
        <w:t xml:space="preserve"> </w:t>
      </w:r>
      <w:r w:rsidRPr="00A83C94">
        <w:rPr>
          <w:b w:val="0"/>
          <w:noProof/>
          <w:szCs w:val="22"/>
        </w:rPr>
        <w:t>տարածման</w:t>
      </w:r>
      <w:r w:rsidRPr="00A83C94">
        <w:rPr>
          <w:b w:val="0"/>
          <w:noProof/>
          <w:szCs w:val="22"/>
          <w:lang w:val="af-ZA"/>
        </w:rPr>
        <w:t xml:space="preserve"> </w:t>
      </w:r>
      <w:r w:rsidRPr="00A83C94">
        <w:rPr>
          <w:b w:val="0"/>
          <w:noProof/>
          <w:szCs w:val="22"/>
        </w:rPr>
        <w:t>օպերատիվությունը</w:t>
      </w:r>
      <w:r w:rsidRPr="00A83C94">
        <w:rPr>
          <w:b w:val="0"/>
          <w:noProof/>
          <w:szCs w:val="22"/>
          <w:lang w:val="af-ZA"/>
        </w:rPr>
        <w:t xml:space="preserve">, </w:t>
      </w:r>
      <w:r w:rsidRPr="00A83C94">
        <w:rPr>
          <w:b w:val="0"/>
          <w:noProof/>
          <w:szCs w:val="22"/>
        </w:rPr>
        <w:t>քանի</w:t>
      </w:r>
      <w:r w:rsidRPr="00A83C94">
        <w:rPr>
          <w:b w:val="0"/>
          <w:noProof/>
          <w:szCs w:val="22"/>
          <w:lang w:val="af-ZA"/>
        </w:rPr>
        <w:t xml:space="preserve"> </w:t>
      </w:r>
      <w:r w:rsidRPr="00A83C94">
        <w:rPr>
          <w:b w:val="0"/>
          <w:noProof/>
          <w:szCs w:val="22"/>
        </w:rPr>
        <w:t>որ</w:t>
      </w:r>
      <w:r w:rsidRPr="00A83C94">
        <w:rPr>
          <w:b w:val="0"/>
          <w:noProof/>
          <w:szCs w:val="22"/>
          <w:lang w:val="af-ZA"/>
        </w:rPr>
        <w:t xml:space="preserve"> </w:t>
      </w:r>
      <w:r w:rsidRPr="00A83C94">
        <w:rPr>
          <w:b w:val="0"/>
          <w:noProof/>
          <w:szCs w:val="22"/>
        </w:rPr>
        <w:t>տվյալ</w:t>
      </w:r>
      <w:r w:rsidRPr="00A83C94">
        <w:rPr>
          <w:b w:val="0"/>
          <w:noProof/>
          <w:szCs w:val="22"/>
          <w:lang w:val="af-ZA"/>
        </w:rPr>
        <w:t xml:space="preserve"> </w:t>
      </w:r>
      <w:r w:rsidRPr="00A83C94">
        <w:rPr>
          <w:b w:val="0"/>
          <w:noProof/>
          <w:szCs w:val="22"/>
        </w:rPr>
        <w:t>դեպքում</w:t>
      </w:r>
      <w:r w:rsidRPr="00A83C94">
        <w:rPr>
          <w:b w:val="0"/>
          <w:noProof/>
          <w:szCs w:val="22"/>
          <w:lang w:val="af-ZA"/>
        </w:rPr>
        <w:t xml:space="preserve"> </w:t>
      </w:r>
      <w:r w:rsidRPr="00A83C94">
        <w:rPr>
          <w:b w:val="0"/>
          <w:noProof/>
          <w:szCs w:val="22"/>
        </w:rPr>
        <w:t>հեռուստադիտողն</w:t>
      </w:r>
      <w:r w:rsidRPr="00A83C94">
        <w:rPr>
          <w:b w:val="0"/>
          <w:noProof/>
          <w:szCs w:val="22"/>
          <w:lang w:val="af-ZA"/>
        </w:rPr>
        <w:t xml:space="preserve"> </w:t>
      </w:r>
      <w:r w:rsidRPr="00A83C94">
        <w:rPr>
          <w:b w:val="0"/>
          <w:noProof/>
          <w:szCs w:val="22"/>
        </w:rPr>
        <w:t>իր</w:t>
      </w:r>
      <w:r w:rsidRPr="00A83C94">
        <w:rPr>
          <w:b w:val="0"/>
          <w:noProof/>
          <w:szCs w:val="22"/>
          <w:lang w:val="af-ZA"/>
        </w:rPr>
        <w:t xml:space="preserve"> </w:t>
      </w:r>
      <w:r w:rsidRPr="00A83C94">
        <w:rPr>
          <w:b w:val="0"/>
          <w:noProof/>
          <w:szCs w:val="22"/>
        </w:rPr>
        <w:t>պահանջմունքները</w:t>
      </w:r>
      <w:r w:rsidRPr="00A83C94">
        <w:rPr>
          <w:b w:val="0"/>
          <w:noProof/>
          <w:szCs w:val="22"/>
          <w:lang w:val="af-ZA"/>
        </w:rPr>
        <w:t xml:space="preserve"> </w:t>
      </w:r>
      <w:r w:rsidRPr="00A83C94">
        <w:rPr>
          <w:b w:val="0"/>
          <w:noProof/>
          <w:szCs w:val="22"/>
        </w:rPr>
        <w:t>բավարարում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հեռուստաալիքների</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առցանց</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կայքերի</w:t>
      </w:r>
      <w:r w:rsidRPr="00A83C94">
        <w:rPr>
          <w:b w:val="0"/>
          <w:noProof/>
          <w:szCs w:val="22"/>
          <w:lang w:val="af-ZA"/>
        </w:rPr>
        <w:t xml:space="preserve"> </w:t>
      </w:r>
      <w:r w:rsidRPr="00A83C94">
        <w:rPr>
          <w:b w:val="0"/>
          <w:noProof/>
          <w:szCs w:val="22"/>
        </w:rPr>
        <w:t>կողմից</w:t>
      </w:r>
      <w:r w:rsidRPr="00A83C94">
        <w:rPr>
          <w:b w:val="0"/>
          <w:noProof/>
          <w:szCs w:val="22"/>
          <w:lang w:val="af-ZA"/>
        </w:rPr>
        <w:t xml:space="preserve"> </w:t>
      </w:r>
      <w:r w:rsidRPr="00A83C94">
        <w:rPr>
          <w:b w:val="0"/>
          <w:noProof/>
          <w:szCs w:val="22"/>
        </w:rPr>
        <w:t>տարածվող</w:t>
      </w:r>
      <w:r w:rsidRPr="00A83C94">
        <w:rPr>
          <w:b w:val="0"/>
          <w:noProof/>
          <w:szCs w:val="22"/>
          <w:lang w:val="af-ZA"/>
        </w:rPr>
        <w:t xml:space="preserve"> </w:t>
      </w:r>
      <w:r w:rsidRPr="00A83C94">
        <w:rPr>
          <w:b w:val="0"/>
          <w:noProof/>
          <w:szCs w:val="22"/>
        </w:rPr>
        <w:t>շուրջօրյա</w:t>
      </w:r>
      <w:r w:rsidRPr="00A83C94">
        <w:rPr>
          <w:b w:val="0"/>
          <w:noProof/>
          <w:szCs w:val="22"/>
          <w:lang w:val="af-ZA"/>
        </w:rPr>
        <w:t xml:space="preserve"> </w:t>
      </w:r>
      <w:r w:rsidRPr="00A83C94">
        <w:rPr>
          <w:b w:val="0"/>
          <w:noProof/>
          <w:szCs w:val="22"/>
        </w:rPr>
        <w:t>տեղեկատվությամբ։</w:t>
      </w:r>
      <w:r w:rsidRPr="00A83C94">
        <w:rPr>
          <w:b w:val="0"/>
          <w:noProof/>
          <w:szCs w:val="22"/>
          <w:lang w:val="af-ZA"/>
        </w:rPr>
        <w:t xml:space="preserve"> </w:t>
      </w:r>
      <w:r w:rsidRPr="00A83C94">
        <w:rPr>
          <w:b w:val="0"/>
          <w:noProof/>
          <w:szCs w:val="22"/>
        </w:rPr>
        <w:t>Ելնելով</w:t>
      </w:r>
      <w:r w:rsidRPr="00A83C94">
        <w:rPr>
          <w:b w:val="0"/>
          <w:noProof/>
          <w:szCs w:val="22"/>
          <w:lang w:val="af-ZA"/>
        </w:rPr>
        <w:t xml:space="preserve"> </w:t>
      </w:r>
      <w:r w:rsidRPr="00A83C94">
        <w:rPr>
          <w:b w:val="0"/>
          <w:noProof/>
          <w:szCs w:val="22"/>
        </w:rPr>
        <w:t>վերոհիշյալից</w:t>
      </w:r>
      <w:r w:rsidRPr="00A83C94">
        <w:rPr>
          <w:b w:val="0"/>
          <w:noProof/>
          <w:szCs w:val="22"/>
          <w:lang w:val="af-ZA"/>
        </w:rPr>
        <w:t xml:space="preserve">, </w:t>
      </w:r>
      <w:r w:rsidRPr="00A83C94">
        <w:rPr>
          <w:b w:val="0"/>
          <w:noProof/>
          <w:szCs w:val="22"/>
        </w:rPr>
        <w:t>Ընկերության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ծառայության</w:t>
      </w:r>
      <w:r w:rsidRPr="00A83C94">
        <w:rPr>
          <w:b w:val="0"/>
          <w:noProof/>
          <w:szCs w:val="22"/>
          <w:lang w:val="af-ZA"/>
        </w:rPr>
        <w:t xml:space="preserve"> </w:t>
      </w:r>
      <w:r w:rsidRPr="00A83C94">
        <w:rPr>
          <w:b w:val="0"/>
          <w:noProof/>
          <w:szCs w:val="22"/>
        </w:rPr>
        <w:t>հիմքի</w:t>
      </w:r>
      <w:r w:rsidRPr="00A83C94">
        <w:rPr>
          <w:b w:val="0"/>
          <w:noProof/>
          <w:szCs w:val="22"/>
          <w:lang w:val="af-ZA"/>
        </w:rPr>
        <w:t xml:space="preserve"> </w:t>
      </w:r>
      <w:r w:rsidRPr="00A83C94">
        <w:rPr>
          <w:b w:val="0"/>
          <w:noProof/>
          <w:szCs w:val="22"/>
        </w:rPr>
        <w:t>վրա</w:t>
      </w:r>
      <w:r w:rsidRPr="00A83C94">
        <w:rPr>
          <w:b w:val="0"/>
          <w:noProof/>
          <w:szCs w:val="22"/>
          <w:lang w:val="af-ZA"/>
        </w:rPr>
        <w:t xml:space="preserve"> </w:t>
      </w:r>
      <w:r w:rsidRPr="00A83C94">
        <w:rPr>
          <w:b w:val="0"/>
          <w:noProof/>
          <w:szCs w:val="22"/>
        </w:rPr>
        <w:t>ստեղծվել</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առանձին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հեռուստաալիք</w:t>
      </w:r>
      <w:r w:rsidRPr="00A83C94">
        <w:rPr>
          <w:b w:val="0"/>
          <w:noProof/>
          <w:szCs w:val="22"/>
          <w:lang w:val="af-ZA"/>
        </w:rPr>
        <w:t xml:space="preserve">, </w:t>
      </w:r>
      <w:r w:rsidRPr="00A83C94">
        <w:rPr>
          <w:b w:val="0"/>
          <w:noProof/>
          <w:szCs w:val="22"/>
        </w:rPr>
        <w:t>որի</w:t>
      </w:r>
      <w:r w:rsidRPr="00A83C94">
        <w:rPr>
          <w:b w:val="0"/>
          <w:noProof/>
          <w:szCs w:val="22"/>
          <w:lang w:val="af-ZA"/>
        </w:rPr>
        <w:t xml:space="preserve"> </w:t>
      </w:r>
      <w:r w:rsidRPr="00A83C94">
        <w:rPr>
          <w:b w:val="0"/>
          <w:noProof/>
          <w:szCs w:val="22"/>
        </w:rPr>
        <w:t>հիմնական</w:t>
      </w:r>
      <w:r w:rsidRPr="00A83C94">
        <w:rPr>
          <w:b w:val="0"/>
          <w:noProof/>
          <w:szCs w:val="22"/>
          <w:lang w:val="af-ZA"/>
        </w:rPr>
        <w:t xml:space="preserve"> </w:t>
      </w:r>
      <w:r w:rsidRPr="00A83C94">
        <w:rPr>
          <w:b w:val="0"/>
          <w:noProof/>
          <w:szCs w:val="22"/>
        </w:rPr>
        <w:t>նպատակը</w:t>
      </w:r>
      <w:r w:rsidRPr="00A83C94">
        <w:rPr>
          <w:b w:val="0"/>
          <w:noProof/>
          <w:szCs w:val="22"/>
          <w:lang w:val="af-ZA"/>
        </w:rPr>
        <w:t xml:space="preserve"> 24-</w:t>
      </w:r>
      <w:r w:rsidRPr="00A83C94">
        <w:rPr>
          <w:b w:val="0"/>
          <w:noProof/>
          <w:szCs w:val="22"/>
        </w:rPr>
        <w:t>ժամյա</w:t>
      </w:r>
      <w:r w:rsidRPr="00A83C94">
        <w:rPr>
          <w:b w:val="0"/>
          <w:noProof/>
          <w:szCs w:val="22"/>
          <w:lang w:val="af-ZA"/>
        </w:rPr>
        <w:t xml:space="preserve"> </w:t>
      </w:r>
      <w:r w:rsidRPr="00A83C94">
        <w:rPr>
          <w:b w:val="0"/>
          <w:noProof/>
          <w:szCs w:val="22"/>
        </w:rPr>
        <w:t>ռեժիմով</w:t>
      </w:r>
      <w:r w:rsidRPr="00A83C94">
        <w:rPr>
          <w:b w:val="0"/>
          <w:noProof/>
          <w:szCs w:val="22"/>
          <w:lang w:val="af-ZA"/>
        </w:rPr>
        <w:t xml:space="preserve"> </w:t>
      </w:r>
      <w:r w:rsidRPr="00A83C94">
        <w:rPr>
          <w:b w:val="0"/>
          <w:noProof/>
          <w:szCs w:val="22"/>
        </w:rPr>
        <w:t>օպերատիվ</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անաչառ</w:t>
      </w:r>
      <w:r w:rsidRPr="00A83C94">
        <w:rPr>
          <w:b w:val="0"/>
          <w:noProof/>
          <w:szCs w:val="22"/>
          <w:lang w:val="af-ZA"/>
        </w:rPr>
        <w:t xml:space="preserve"> </w:t>
      </w:r>
      <w:r w:rsidRPr="00A83C94">
        <w:rPr>
          <w:b w:val="0"/>
          <w:noProof/>
          <w:szCs w:val="22"/>
        </w:rPr>
        <w:t>լրատվության</w:t>
      </w:r>
      <w:r w:rsidRPr="00A83C94">
        <w:rPr>
          <w:b w:val="0"/>
          <w:noProof/>
          <w:szCs w:val="22"/>
          <w:lang w:val="af-ZA"/>
        </w:rPr>
        <w:t xml:space="preserve"> </w:t>
      </w:r>
      <w:r w:rsidRPr="00A83C94">
        <w:rPr>
          <w:b w:val="0"/>
          <w:noProof/>
          <w:szCs w:val="22"/>
        </w:rPr>
        <w:t>մատուցումն</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ինչը</w:t>
      </w:r>
      <w:r w:rsidRPr="00A83C94">
        <w:rPr>
          <w:b w:val="0"/>
          <w:noProof/>
          <w:szCs w:val="22"/>
          <w:lang w:val="af-ZA"/>
        </w:rPr>
        <w:t xml:space="preserve"> </w:t>
      </w:r>
      <w:r w:rsidRPr="00A83C94">
        <w:rPr>
          <w:b w:val="0"/>
          <w:noProof/>
          <w:szCs w:val="22"/>
        </w:rPr>
        <w:t>միևնույն</w:t>
      </w:r>
      <w:r w:rsidRPr="00A83C94">
        <w:rPr>
          <w:b w:val="0"/>
          <w:noProof/>
          <w:szCs w:val="22"/>
          <w:lang w:val="af-ZA"/>
        </w:rPr>
        <w:t xml:space="preserve"> </w:t>
      </w:r>
      <w:r w:rsidRPr="00A83C94">
        <w:rPr>
          <w:b w:val="0"/>
          <w:noProof/>
          <w:szCs w:val="22"/>
        </w:rPr>
        <w:t>ժամանակ</w:t>
      </w:r>
      <w:r w:rsidRPr="00A83C94">
        <w:rPr>
          <w:b w:val="0"/>
          <w:noProof/>
          <w:szCs w:val="22"/>
          <w:lang w:val="af-ZA"/>
        </w:rPr>
        <w:t xml:space="preserve"> </w:t>
      </w:r>
      <w:r w:rsidRPr="00A83C94">
        <w:rPr>
          <w:b w:val="0"/>
          <w:noProof/>
          <w:szCs w:val="22"/>
        </w:rPr>
        <w:t>ապահովում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հեռուստադիտողի</w:t>
      </w:r>
      <w:r w:rsidRPr="00A83C94">
        <w:rPr>
          <w:b w:val="0"/>
          <w:noProof/>
          <w:szCs w:val="22"/>
          <w:lang w:val="af-ZA"/>
        </w:rPr>
        <w:t xml:space="preserve"> </w:t>
      </w:r>
      <w:r w:rsidRPr="00A83C94">
        <w:rPr>
          <w:b w:val="0"/>
          <w:noProof/>
          <w:szCs w:val="22"/>
        </w:rPr>
        <w:t>շուրջօրյա</w:t>
      </w:r>
      <w:r w:rsidRPr="00A83C94">
        <w:rPr>
          <w:b w:val="0"/>
          <w:noProof/>
          <w:szCs w:val="22"/>
          <w:lang w:val="af-ZA"/>
        </w:rPr>
        <w:t xml:space="preserve"> </w:t>
      </w:r>
      <w:r w:rsidRPr="00A83C94">
        <w:rPr>
          <w:b w:val="0"/>
          <w:noProof/>
          <w:szCs w:val="22"/>
        </w:rPr>
        <w:t>լրատվության</w:t>
      </w:r>
      <w:r w:rsidRPr="00A83C94">
        <w:rPr>
          <w:b w:val="0"/>
          <w:noProof/>
          <w:szCs w:val="22"/>
          <w:lang w:val="af-ZA"/>
        </w:rPr>
        <w:t xml:space="preserve"> </w:t>
      </w:r>
      <w:r w:rsidRPr="00A83C94">
        <w:rPr>
          <w:b w:val="0"/>
          <w:noProof/>
          <w:szCs w:val="22"/>
        </w:rPr>
        <w:t>ստացման</w:t>
      </w:r>
      <w:r w:rsidRPr="00A83C94">
        <w:rPr>
          <w:b w:val="0"/>
          <w:noProof/>
          <w:szCs w:val="22"/>
          <w:lang w:val="af-ZA"/>
        </w:rPr>
        <w:t xml:space="preserve"> </w:t>
      </w:r>
      <w:r w:rsidRPr="00A83C94">
        <w:rPr>
          <w:b w:val="0"/>
          <w:noProof/>
          <w:szCs w:val="22"/>
        </w:rPr>
        <w:t>հիմնարար</w:t>
      </w:r>
      <w:r w:rsidRPr="00A83C94">
        <w:rPr>
          <w:b w:val="0"/>
          <w:noProof/>
          <w:szCs w:val="22"/>
          <w:lang w:val="af-ZA"/>
        </w:rPr>
        <w:t xml:space="preserve"> </w:t>
      </w:r>
      <w:r w:rsidRPr="00A83C94">
        <w:rPr>
          <w:b w:val="0"/>
          <w:noProof/>
          <w:szCs w:val="22"/>
        </w:rPr>
        <w:t>իրավունքները։</w:t>
      </w:r>
      <w:r w:rsidRPr="00A83C94">
        <w:rPr>
          <w:b w:val="0"/>
          <w:noProof/>
          <w:szCs w:val="22"/>
          <w:lang w:val="af-ZA"/>
        </w:rPr>
        <w:t xml:space="preserve"> </w:t>
      </w:r>
      <w:r w:rsidRPr="00A83C94">
        <w:rPr>
          <w:b w:val="0"/>
          <w:noProof/>
          <w:szCs w:val="22"/>
        </w:rPr>
        <w:t>Մասնավորապես</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հեռուստաալիքի</w:t>
      </w:r>
      <w:r w:rsidRPr="00A83C94">
        <w:rPr>
          <w:b w:val="0"/>
          <w:noProof/>
          <w:szCs w:val="22"/>
          <w:lang w:val="af-ZA"/>
        </w:rPr>
        <w:t xml:space="preserve"> </w:t>
      </w:r>
      <w:r w:rsidRPr="00A83C94">
        <w:rPr>
          <w:b w:val="0"/>
          <w:noProof/>
          <w:szCs w:val="22"/>
        </w:rPr>
        <w:t>շուրջօրյա</w:t>
      </w:r>
      <w:r w:rsidRPr="00A83C94">
        <w:rPr>
          <w:b w:val="0"/>
          <w:noProof/>
          <w:szCs w:val="22"/>
          <w:lang w:val="af-ZA"/>
        </w:rPr>
        <w:t xml:space="preserve"> </w:t>
      </w:r>
      <w:r w:rsidRPr="00A83C94">
        <w:rPr>
          <w:b w:val="0"/>
          <w:noProof/>
          <w:szCs w:val="22"/>
        </w:rPr>
        <w:t>եթերում</w:t>
      </w:r>
      <w:r w:rsidRPr="00A83C94">
        <w:rPr>
          <w:b w:val="0"/>
          <w:noProof/>
          <w:szCs w:val="22"/>
          <w:lang w:val="af-ZA"/>
        </w:rPr>
        <w:t xml:space="preserve"> </w:t>
      </w:r>
      <w:r w:rsidRPr="00A83C94">
        <w:rPr>
          <w:b w:val="0"/>
          <w:noProof/>
          <w:szCs w:val="22"/>
        </w:rPr>
        <w:t>ավելացվել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բնույթի</w:t>
      </w:r>
      <w:r w:rsidRPr="00A83C94">
        <w:rPr>
          <w:b w:val="0"/>
          <w:noProof/>
          <w:szCs w:val="22"/>
          <w:lang w:val="af-ZA"/>
        </w:rPr>
        <w:t xml:space="preserve"> </w:t>
      </w:r>
      <w:r w:rsidRPr="00A83C94">
        <w:rPr>
          <w:b w:val="0"/>
          <w:noProof/>
          <w:szCs w:val="22"/>
        </w:rPr>
        <w:t>հաղորդումների</w:t>
      </w:r>
      <w:r w:rsidRPr="00A83C94">
        <w:rPr>
          <w:b w:val="0"/>
          <w:noProof/>
          <w:szCs w:val="22"/>
          <w:lang w:val="af-ZA"/>
        </w:rPr>
        <w:t xml:space="preserve"> </w:t>
      </w:r>
      <w:r w:rsidRPr="00A83C94">
        <w:rPr>
          <w:b w:val="0"/>
          <w:noProof/>
          <w:szCs w:val="22"/>
        </w:rPr>
        <w:t>շրջանակներն</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ծավալները</w:t>
      </w:r>
      <w:r w:rsidRPr="00A83C94">
        <w:rPr>
          <w:b w:val="0"/>
          <w:noProof/>
          <w:szCs w:val="22"/>
          <w:lang w:val="af-ZA"/>
        </w:rPr>
        <w:t xml:space="preserve">, </w:t>
      </w:r>
      <w:r w:rsidRPr="00A83C94">
        <w:rPr>
          <w:b w:val="0"/>
          <w:noProof/>
          <w:szCs w:val="22"/>
        </w:rPr>
        <w:t>հեռարձակվում</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տարբեր</w:t>
      </w:r>
      <w:r w:rsidRPr="00A83C94">
        <w:rPr>
          <w:b w:val="0"/>
          <w:noProof/>
          <w:szCs w:val="22"/>
          <w:lang w:val="af-ZA"/>
        </w:rPr>
        <w:t xml:space="preserve"> </w:t>
      </w:r>
      <w:r w:rsidRPr="00A83C94">
        <w:rPr>
          <w:b w:val="0"/>
          <w:noProof/>
          <w:szCs w:val="22"/>
        </w:rPr>
        <w:t>թեմատիկ</w:t>
      </w:r>
      <w:r w:rsidRPr="00A83C94">
        <w:rPr>
          <w:b w:val="0"/>
          <w:noProof/>
          <w:szCs w:val="22"/>
          <w:lang w:val="af-ZA"/>
        </w:rPr>
        <w:t xml:space="preserve"> </w:t>
      </w:r>
      <w:r w:rsidRPr="00A83C94">
        <w:rPr>
          <w:b w:val="0"/>
          <w:noProof/>
          <w:szCs w:val="22"/>
        </w:rPr>
        <w:t>ուղղվածությունների</w:t>
      </w:r>
      <w:r w:rsidRPr="00A83C94">
        <w:rPr>
          <w:b w:val="0"/>
          <w:noProof/>
          <w:szCs w:val="22"/>
          <w:lang w:val="af-ZA"/>
        </w:rPr>
        <w:t xml:space="preserve"> (</w:t>
      </w:r>
      <w:r w:rsidRPr="00A83C94">
        <w:rPr>
          <w:b w:val="0"/>
          <w:noProof/>
          <w:szCs w:val="22"/>
        </w:rPr>
        <w:t>քաղաքական</w:t>
      </w:r>
      <w:r w:rsidRPr="00A83C94">
        <w:rPr>
          <w:b w:val="0"/>
          <w:noProof/>
          <w:szCs w:val="22"/>
          <w:lang w:val="af-ZA"/>
        </w:rPr>
        <w:t xml:space="preserve">, </w:t>
      </w:r>
      <w:r w:rsidRPr="00A83C94">
        <w:rPr>
          <w:b w:val="0"/>
          <w:noProof/>
          <w:szCs w:val="22"/>
        </w:rPr>
        <w:t>սոցիալ</w:t>
      </w:r>
      <w:r w:rsidRPr="00A83C94">
        <w:rPr>
          <w:b w:val="0"/>
          <w:noProof/>
          <w:szCs w:val="22"/>
          <w:lang w:val="af-ZA"/>
        </w:rPr>
        <w:t>-</w:t>
      </w:r>
      <w:r w:rsidRPr="00A83C94">
        <w:rPr>
          <w:b w:val="0"/>
          <w:noProof/>
          <w:szCs w:val="22"/>
        </w:rPr>
        <w:t>տնտեսական</w:t>
      </w:r>
      <w:r w:rsidRPr="00A83C94">
        <w:rPr>
          <w:b w:val="0"/>
          <w:noProof/>
          <w:szCs w:val="22"/>
          <w:lang w:val="af-ZA"/>
        </w:rPr>
        <w:t xml:space="preserve">, </w:t>
      </w:r>
      <w:r w:rsidRPr="00A83C94">
        <w:rPr>
          <w:b w:val="0"/>
          <w:noProof/>
          <w:szCs w:val="22"/>
        </w:rPr>
        <w:t>կրթական</w:t>
      </w:r>
      <w:r w:rsidRPr="00A83C94">
        <w:rPr>
          <w:b w:val="0"/>
          <w:noProof/>
          <w:szCs w:val="22"/>
          <w:lang w:val="af-ZA"/>
        </w:rPr>
        <w:t xml:space="preserve">, </w:t>
      </w:r>
      <w:r w:rsidRPr="00A83C94">
        <w:rPr>
          <w:b w:val="0"/>
          <w:noProof/>
          <w:szCs w:val="22"/>
        </w:rPr>
        <w:t>գիտության</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սպորտի</w:t>
      </w:r>
      <w:r w:rsidRPr="00A83C94">
        <w:rPr>
          <w:b w:val="0"/>
          <w:noProof/>
          <w:szCs w:val="22"/>
          <w:lang w:val="af-ZA"/>
        </w:rPr>
        <w:t xml:space="preserve">, </w:t>
      </w:r>
      <w:r w:rsidRPr="00A83C94">
        <w:rPr>
          <w:b w:val="0"/>
          <w:noProof/>
          <w:szCs w:val="22"/>
        </w:rPr>
        <w:t>մշակութային</w:t>
      </w:r>
      <w:r w:rsidRPr="00A83C94">
        <w:rPr>
          <w:b w:val="0"/>
          <w:noProof/>
          <w:szCs w:val="22"/>
          <w:lang w:val="af-ZA"/>
        </w:rPr>
        <w:t xml:space="preserve">, </w:t>
      </w:r>
      <w:r w:rsidRPr="00A83C94">
        <w:rPr>
          <w:b w:val="0"/>
          <w:noProof/>
          <w:szCs w:val="22"/>
        </w:rPr>
        <w:t>առողջապահական</w:t>
      </w:r>
      <w:r w:rsidRPr="00A83C94">
        <w:rPr>
          <w:b w:val="0"/>
          <w:noProof/>
          <w:szCs w:val="22"/>
          <w:lang w:val="af-ZA"/>
        </w:rPr>
        <w:t xml:space="preserve">, </w:t>
      </w:r>
      <w:r w:rsidRPr="00A83C94">
        <w:rPr>
          <w:b w:val="0"/>
          <w:noProof/>
          <w:szCs w:val="22"/>
        </w:rPr>
        <w:t>պաշտպանության</w:t>
      </w:r>
      <w:r w:rsidRPr="00A83C94">
        <w:rPr>
          <w:b w:val="0"/>
          <w:noProof/>
          <w:szCs w:val="22"/>
          <w:lang w:val="af-ZA"/>
        </w:rPr>
        <w:t xml:space="preserve">, </w:t>
      </w:r>
      <w:r w:rsidRPr="00A83C94">
        <w:rPr>
          <w:b w:val="0"/>
          <w:noProof/>
          <w:szCs w:val="22"/>
        </w:rPr>
        <w:t>տեղեկատվական</w:t>
      </w:r>
      <w:r w:rsidRPr="00A83C94">
        <w:rPr>
          <w:b w:val="0"/>
          <w:noProof/>
          <w:szCs w:val="22"/>
          <w:lang w:val="af-ZA"/>
        </w:rPr>
        <w:t xml:space="preserve"> </w:t>
      </w:r>
      <w:r w:rsidRPr="00A83C94">
        <w:rPr>
          <w:b w:val="0"/>
          <w:noProof/>
          <w:szCs w:val="22"/>
        </w:rPr>
        <w:t>տեխնոլոգիաների</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այլն</w:t>
      </w:r>
      <w:r w:rsidRPr="00A83C94">
        <w:rPr>
          <w:b w:val="0"/>
          <w:noProof/>
          <w:szCs w:val="22"/>
          <w:lang w:val="af-ZA"/>
        </w:rPr>
        <w:t xml:space="preserve">) </w:t>
      </w:r>
      <w:r w:rsidRPr="00A83C94">
        <w:rPr>
          <w:b w:val="0"/>
          <w:noProof/>
          <w:szCs w:val="22"/>
        </w:rPr>
        <w:t>լրատվական</w:t>
      </w:r>
      <w:r w:rsidRPr="00A83C94">
        <w:rPr>
          <w:b w:val="0"/>
          <w:noProof/>
          <w:szCs w:val="22"/>
          <w:lang w:val="af-ZA"/>
        </w:rPr>
        <w:t xml:space="preserve"> </w:t>
      </w:r>
      <w:r w:rsidRPr="00A83C94">
        <w:rPr>
          <w:b w:val="0"/>
          <w:noProof/>
          <w:szCs w:val="22"/>
        </w:rPr>
        <w:t>ու</w:t>
      </w:r>
      <w:r w:rsidRPr="00A83C94">
        <w:rPr>
          <w:b w:val="0"/>
          <w:noProof/>
          <w:szCs w:val="22"/>
          <w:lang w:val="af-ZA"/>
        </w:rPr>
        <w:t xml:space="preserve"> </w:t>
      </w:r>
      <w:r w:rsidRPr="00A83C94">
        <w:rPr>
          <w:b w:val="0"/>
          <w:noProof/>
          <w:szCs w:val="22"/>
        </w:rPr>
        <w:t>վերլուծական</w:t>
      </w:r>
      <w:r w:rsidRPr="00A83C94">
        <w:rPr>
          <w:b w:val="0"/>
          <w:noProof/>
          <w:szCs w:val="22"/>
          <w:lang w:val="af-ZA"/>
        </w:rPr>
        <w:t xml:space="preserve"> </w:t>
      </w:r>
      <w:r w:rsidRPr="00A83C94">
        <w:rPr>
          <w:b w:val="0"/>
          <w:noProof/>
          <w:szCs w:val="22"/>
        </w:rPr>
        <w:t>հաղորդումներ</w:t>
      </w:r>
      <w:r w:rsidRPr="00A83C94">
        <w:rPr>
          <w:b w:val="0"/>
          <w:noProof/>
          <w:szCs w:val="22"/>
          <w:lang w:val="af-ZA"/>
        </w:rPr>
        <w:t xml:space="preserve">, </w:t>
      </w:r>
      <w:r w:rsidRPr="00A83C94">
        <w:rPr>
          <w:b w:val="0"/>
          <w:noProof/>
          <w:szCs w:val="22"/>
        </w:rPr>
        <w:t>հարզացրույցներ</w:t>
      </w:r>
      <w:r w:rsidRPr="00A83C94">
        <w:rPr>
          <w:b w:val="0"/>
          <w:noProof/>
          <w:szCs w:val="22"/>
          <w:lang w:val="af-ZA"/>
        </w:rPr>
        <w:t xml:space="preserve">, </w:t>
      </w:r>
      <w:r w:rsidRPr="00A83C94">
        <w:rPr>
          <w:b w:val="0"/>
          <w:noProof/>
          <w:szCs w:val="22"/>
        </w:rPr>
        <w:t>փաստագրական</w:t>
      </w:r>
      <w:r w:rsidRPr="00A83C94">
        <w:rPr>
          <w:b w:val="0"/>
          <w:noProof/>
          <w:szCs w:val="22"/>
          <w:lang w:val="af-ZA"/>
        </w:rPr>
        <w:t xml:space="preserve"> </w:t>
      </w:r>
      <w:r w:rsidRPr="00A83C94">
        <w:rPr>
          <w:b w:val="0"/>
          <w:noProof/>
          <w:szCs w:val="22"/>
        </w:rPr>
        <w:t>հեռուստահաղորդումներ</w:t>
      </w:r>
      <w:r w:rsidRPr="00A83C94">
        <w:rPr>
          <w:b w:val="0"/>
          <w:noProof/>
          <w:szCs w:val="22"/>
          <w:lang w:val="af-ZA"/>
        </w:rPr>
        <w:t xml:space="preserve">, </w:t>
      </w:r>
      <w:r w:rsidRPr="00A83C94">
        <w:rPr>
          <w:b w:val="0"/>
          <w:noProof/>
          <w:szCs w:val="22"/>
        </w:rPr>
        <w:t>քաղաքական</w:t>
      </w:r>
      <w:r w:rsidRPr="00A83C94">
        <w:rPr>
          <w:b w:val="0"/>
          <w:noProof/>
          <w:szCs w:val="22"/>
          <w:lang w:val="af-ZA"/>
        </w:rPr>
        <w:t xml:space="preserve"> </w:t>
      </w:r>
      <w:r w:rsidRPr="00A83C94">
        <w:rPr>
          <w:b w:val="0"/>
          <w:noProof/>
          <w:szCs w:val="22"/>
        </w:rPr>
        <w:t>երկխոսություններ</w:t>
      </w:r>
      <w:r w:rsidRPr="00A83C94">
        <w:rPr>
          <w:b w:val="0"/>
          <w:noProof/>
          <w:szCs w:val="22"/>
          <w:lang w:val="af-ZA"/>
        </w:rPr>
        <w:t xml:space="preserve">, </w:t>
      </w:r>
      <w:r w:rsidRPr="00A83C94">
        <w:rPr>
          <w:b w:val="0"/>
          <w:noProof/>
          <w:szCs w:val="22"/>
        </w:rPr>
        <w:t>բանավեճեր</w:t>
      </w:r>
      <w:r w:rsidRPr="00A83C94">
        <w:rPr>
          <w:b w:val="0"/>
          <w:noProof/>
          <w:szCs w:val="22"/>
          <w:lang w:val="af-ZA"/>
        </w:rPr>
        <w:t xml:space="preserve">, </w:t>
      </w:r>
      <w:r w:rsidRPr="00A83C94">
        <w:rPr>
          <w:b w:val="0"/>
          <w:noProof/>
          <w:szCs w:val="22"/>
        </w:rPr>
        <w:t>ԱԺ</w:t>
      </w:r>
      <w:r w:rsidRPr="00A83C94">
        <w:rPr>
          <w:b w:val="0"/>
          <w:noProof/>
          <w:szCs w:val="22"/>
          <w:lang w:val="af-ZA"/>
        </w:rPr>
        <w:t xml:space="preserve"> </w:t>
      </w:r>
      <w:r w:rsidRPr="00A83C94">
        <w:rPr>
          <w:b w:val="0"/>
          <w:noProof/>
          <w:szCs w:val="22"/>
        </w:rPr>
        <w:t>նիստերի</w:t>
      </w:r>
      <w:r w:rsidRPr="00A83C94">
        <w:rPr>
          <w:b w:val="0"/>
          <w:noProof/>
          <w:szCs w:val="22"/>
          <w:lang w:val="af-ZA"/>
        </w:rPr>
        <w:t xml:space="preserve"> </w:t>
      </w:r>
      <w:r w:rsidRPr="00A83C94">
        <w:rPr>
          <w:b w:val="0"/>
          <w:noProof/>
          <w:szCs w:val="22"/>
        </w:rPr>
        <w:t>համաժամանակյա</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բազմակողմանի</w:t>
      </w:r>
      <w:r w:rsidRPr="00A83C94">
        <w:rPr>
          <w:b w:val="0"/>
          <w:noProof/>
          <w:szCs w:val="22"/>
          <w:lang w:val="af-ZA"/>
        </w:rPr>
        <w:t xml:space="preserve"> </w:t>
      </w:r>
      <w:r w:rsidRPr="00A83C94">
        <w:rPr>
          <w:b w:val="0"/>
          <w:noProof/>
          <w:szCs w:val="22"/>
        </w:rPr>
        <w:t>լուսաբանում</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այլն</w:t>
      </w:r>
      <w:r w:rsidRPr="00A83C94">
        <w:rPr>
          <w:b w:val="0"/>
          <w:noProof/>
          <w:szCs w:val="22"/>
          <w:lang w:val="af-ZA"/>
        </w:rPr>
        <w:t xml:space="preserve">: </w:t>
      </w:r>
      <w:r w:rsidRPr="00A83C94">
        <w:rPr>
          <w:b w:val="0"/>
          <w:noProof/>
          <w:szCs w:val="22"/>
        </w:rPr>
        <w:t>Այս</w:t>
      </w:r>
      <w:r w:rsidRPr="00A83C94">
        <w:rPr>
          <w:b w:val="0"/>
          <w:noProof/>
          <w:szCs w:val="22"/>
          <w:lang w:val="af-ZA"/>
        </w:rPr>
        <w:t xml:space="preserve"> </w:t>
      </w:r>
      <w:r w:rsidRPr="00A83C94">
        <w:rPr>
          <w:b w:val="0"/>
          <w:noProof/>
          <w:szCs w:val="22"/>
        </w:rPr>
        <w:t>ամենին</w:t>
      </w:r>
      <w:r w:rsidRPr="00A83C94">
        <w:rPr>
          <w:b w:val="0"/>
          <w:noProof/>
          <w:szCs w:val="22"/>
          <w:lang w:val="af-ZA"/>
        </w:rPr>
        <w:t xml:space="preserve"> </w:t>
      </w:r>
      <w:r w:rsidRPr="00A83C94">
        <w:rPr>
          <w:b w:val="0"/>
          <w:noProof/>
          <w:szCs w:val="22"/>
        </w:rPr>
        <w:t>զուգընթաց</w:t>
      </w:r>
      <w:r w:rsidRPr="00A83C94">
        <w:rPr>
          <w:b w:val="0"/>
          <w:noProof/>
          <w:szCs w:val="22"/>
          <w:lang w:val="af-ZA"/>
        </w:rPr>
        <w:t xml:space="preserve"> </w:t>
      </w:r>
      <w:r w:rsidRPr="00A83C94">
        <w:rPr>
          <w:b w:val="0"/>
          <w:noProof/>
          <w:szCs w:val="22"/>
        </w:rPr>
        <w:t>ապահովվում</w:t>
      </w:r>
      <w:r w:rsidRPr="00A83C94">
        <w:rPr>
          <w:b w:val="0"/>
          <w:noProof/>
          <w:szCs w:val="22"/>
          <w:lang w:val="af-ZA"/>
        </w:rPr>
        <w:t xml:space="preserve"> </w:t>
      </w:r>
      <w:r w:rsidRPr="00A83C94">
        <w:rPr>
          <w:b w:val="0"/>
          <w:noProof/>
          <w:szCs w:val="22"/>
        </w:rPr>
        <w:t>է</w:t>
      </w:r>
      <w:r w:rsidRPr="00A83C94">
        <w:rPr>
          <w:b w:val="0"/>
          <w:noProof/>
          <w:szCs w:val="22"/>
          <w:lang w:val="af-ZA"/>
        </w:rPr>
        <w:t xml:space="preserve"> </w:t>
      </w:r>
      <w:r w:rsidRPr="00A83C94">
        <w:rPr>
          <w:b w:val="0"/>
          <w:noProof/>
          <w:szCs w:val="22"/>
        </w:rPr>
        <w:t>նաև</w:t>
      </w:r>
      <w:r w:rsidRPr="00A83C94">
        <w:rPr>
          <w:b w:val="0"/>
          <w:noProof/>
          <w:szCs w:val="22"/>
          <w:lang w:val="af-ZA"/>
        </w:rPr>
        <w:t xml:space="preserve"> </w:t>
      </w:r>
      <w:r w:rsidRPr="00A83C94">
        <w:rPr>
          <w:b w:val="0"/>
          <w:noProof/>
          <w:szCs w:val="22"/>
        </w:rPr>
        <w:t>առցանց</w:t>
      </w:r>
      <w:r w:rsidRPr="00A83C94">
        <w:rPr>
          <w:b w:val="0"/>
          <w:noProof/>
          <w:szCs w:val="22"/>
          <w:lang w:val="af-ZA"/>
        </w:rPr>
        <w:t xml:space="preserve"> </w:t>
      </w:r>
      <w:r w:rsidRPr="00A83C94">
        <w:rPr>
          <w:b w:val="0"/>
          <w:noProof/>
          <w:szCs w:val="22"/>
        </w:rPr>
        <w:t>հարթակներով</w:t>
      </w:r>
      <w:r w:rsidRPr="00A83C94">
        <w:rPr>
          <w:b w:val="0"/>
          <w:noProof/>
          <w:szCs w:val="22"/>
          <w:lang w:val="af-ZA"/>
        </w:rPr>
        <w:t xml:space="preserve"> </w:t>
      </w:r>
      <w:r w:rsidRPr="00A83C94">
        <w:rPr>
          <w:b w:val="0"/>
          <w:noProof/>
          <w:szCs w:val="22"/>
        </w:rPr>
        <w:t>տեղեկատվության</w:t>
      </w:r>
      <w:r w:rsidRPr="00A83C94">
        <w:rPr>
          <w:b w:val="0"/>
          <w:noProof/>
          <w:szCs w:val="22"/>
          <w:lang w:val="af-ZA"/>
        </w:rPr>
        <w:t xml:space="preserve"> </w:t>
      </w:r>
      <w:r w:rsidRPr="00A83C94">
        <w:rPr>
          <w:b w:val="0"/>
          <w:noProof/>
          <w:szCs w:val="22"/>
        </w:rPr>
        <w:t>տարածումը</w:t>
      </w:r>
      <w:r w:rsidRPr="00A83C94">
        <w:rPr>
          <w:b w:val="0"/>
          <w:noProof/>
          <w:szCs w:val="22"/>
          <w:lang w:val="af-ZA"/>
        </w:rPr>
        <w:t>:</w:t>
      </w:r>
      <w:r w:rsidR="00553C7A" w:rsidRPr="00A83C94">
        <w:rPr>
          <w:b w:val="0"/>
          <w:noProof/>
          <w:szCs w:val="22"/>
          <w:lang w:val="hy-AM"/>
        </w:rPr>
        <w:t xml:space="preserve"> </w:t>
      </w:r>
    </w:p>
    <w:p w14:paraId="10924160" w14:textId="722B1823" w:rsidR="00437B7A" w:rsidRPr="00A83C94" w:rsidRDefault="00437B7A" w:rsidP="00553C7A">
      <w:pPr>
        <w:numPr>
          <w:ilvl w:val="12"/>
          <w:numId w:val="0"/>
        </w:numPr>
        <w:tabs>
          <w:tab w:val="left" w:pos="851"/>
        </w:tabs>
        <w:spacing w:line="276" w:lineRule="auto"/>
        <w:ind w:left="-142" w:firstLine="540"/>
        <w:rPr>
          <w:b w:val="0"/>
          <w:noProof/>
          <w:szCs w:val="22"/>
          <w:lang w:val="af-ZA"/>
        </w:rPr>
      </w:pPr>
      <w:r w:rsidRPr="00A83C94">
        <w:rPr>
          <w:b w:val="0"/>
          <w:noProof/>
          <w:szCs w:val="22"/>
          <w:lang w:val="hy-AM"/>
        </w:rPr>
        <w:t>Միաժամանակ</w:t>
      </w:r>
      <w:r w:rsidRPr="00A83C94">
        <w:rPr>
          <w:b w:val="0"/>
          <w:noProof/>
          <w:szCs w:val="22"/>
          <w:lang w:val="af-ZA"/>
        </w:rPr>
        <w:t xml:space="preserve">, </w:t>
      </w:r>
      <w:r w:rsidRPr="00A83C94">
        <w:rPr>
          <w:b w:val="0"/>
          <w:noProof/>
          <w:szCs w:val="22"/>
          <w:lang w:val="hy-AM"/>
        </w:rPr>
        <w:t>ծախսերը</w:t>
      </w:r>
      <w:r w:rsidRPr="00A83C94">
        <w:rPr>
          <w:b w:val="0"/>
          <w:noProof/>
          <w:szCs w:val="22"/>
          <w:lang w:val="af-ZA"/>
        </w:rPr>
        <w:t xml:space="preserve"> </w:t>
      </w:r>
      <w:r w:rsidRPr="00A83C94">
        <w:rPr>
          <w:b w:val="0"/>
          <w:noProof/>
          <w:szCs w:val="22"/>
          <w:lang w:val="hy-AM"/>
        </w:rPr>
        <w:t>նվազել</w:t>
      </w:r>
      <w:r w:rsidRPr="00A83C94">
        <w:rPr>
          <w:b w:val="0"/>
          <w:noProof/>
          <w:szCs w:val="22"/>
          <w:lang w:val="af-ZA"/>
        </w:rPr>
        <w:t xml:space="preserve"> </w:t>
      </w:r>
      <w:r w:rsidRPr="00A83C94">
        <w:rPr>
          <w:b w:val="0"/>
          <w:noProof/>
          <w:szCs w:val="22"/>
          <w:lang w:val="hy-AM"/>
        </w:rPr>
        <w:t>են</w:t>
      </w:r>
      <w:r w:rsidRPr="00A83C94">
        <w:rPr>
          <w:b w:val="0"/>
          <w:noProof/>
          <w:szCs w:val="22"/>
          <w:lang w:val="af-ZA"/>
        </w:rPr>
        <w:t xml:space="preserve"> 5</w:t>
      </w:r>
      <w:r w:rsidR="00B62797" w:rsidRPr="00A83C94">
        <w:rPr>
          <w:b w:val="0"/>
          <w:noProof/>
          <w:szCs w:val="22"/>
          <w:lang w:val="hy-AM"/>
        </w:rPr>
        <w:t>6</w:t>
      </w:r>
      <w:r w:rsidRPr="00A83C94">
        <w:rPr>
          <w:b w:val="0"/>
          <w:noProof/>
          <w:szCs w:val="22"/>
          <w:lang w:val="af-ZA"/>
        </w:rPr>
        <w:t>.</w:t>
      </w:r>
      <w:r w:rsidR="00B62797" w:rsidRPr="00A83C94">
        <w:rPr>
          <w:b w:val="0"/>
          <w:noProof/>
          <w:szCs w:val="22"/>
          <w:lang w:val="hy-AM"/>
        </w:rPr>
        <w:t>5</w:t>
      </w:r>
      <w:r w:rsidRPr="00A83C94">
        <w:rPr>
          <w:b w:val="0"/>
          <w:noProof/>
          <w:szCs w:val="22"/>
          <w:lang w:val="af-ZA"/>
        </w:rPr>
        <w:t xml:space="preserve"> </w:t>
      </w:r>
      <w:r w:rsidRPr="00A83C94">
        <w:rPr>
          <w:b w:val="0"/>
          <w:noProof/>
          <w:szCs w:val="22"/>
          <w:lang w:val="hy-AM"/>
        </w:rPr>
        <w:t>մլն</w:t>
      </w:r>
      <w:r w:rsidRPr="00A83C94">
        <w:rPr>
          <w:b w:val="0"/>
          <w:noProof/>
          <w:szCs w:val="22"/>
          <w:lang w:val="af-ZA"/>
        </w:rPr>
        <w:t xml:space="preserve"> </w:t>
      </w:r>
      <w:r w:rsidRPr="00A83C94">
        <w:rPr>
          <w:b w:val="0"/>
          <w:noProof/>
          <w:szCs w:val="22"/>
          <w:lang w:val="hy-AM"/>
        </w:rPr>
        <w:t>դրամով</w:t>
      </w:r>
      <w:r w:rsidRPr="00A83C94">
        <w:rPr>
          <w:b w:val="0"/>
          <w:noProof/>
          <w:szCs w:val="22"/>
          <w:lang w:val="af-ZA"/>
        </w:rPr>
        <w:t>:</w:t>
      </w:r>
    </w:p>
    <w:p w14:paraId="55E2BA3E" w14:textId="77777777" w:rsidR="00437B7A" w:rsidRPr="00A83C94" w:rsidRDefault="00437B7A" w:rsidP="007C65A5">
      <w:pPr>
        <w:numPr>
          <w:ilvl w:val="12"/>
          <w:numId w:val="0"/>
        </w:numPr>
        <w:tabs>
          <w:tab w:val="left" w:pos="851"/>
        </w:tabs>
        <w:spacing w:line="276" w:lineRule="auto"/>
        <w:ind w:firstLine="540"/>
        <w:rPr>
          <w:b w:val="0"/>
          <w:noProof/>
          <w:szCs w:val="22"/>
          <w:lang w:val="af-ZA"/>
        </w:rPr>
      </w:pPr>
      <w:r w:rsidRPr="00A83C94">
        <w:rPr>
          <w:b w:val="0"/>
          <w:noProof/>
          <w:szCs w:val="22"/>
        </w:rPr>
        <w:t>Բացի</w:t>
      </w:r>
      <w:r w:rsidRPr="00A83C94">
        <w:rPr>
          <w:b w:val="0"/>
          <w:noProof/>
          <w:szCs w:val="22"/>
          <w:lang w:val="af-ZA"/>
        </w:rPr>
        <w:t xml:space="preserve"> </w:t>
      </w:r>
      <w:r w:rsidRPr="00A83C94">
        <w:rPr>
          <w:b w:val="0"/>
          <w:noProof/>
          <w:szCs w:val="22"/>
        </w:rPr>
        <w:t>այդ</w:t>
      </w:r>
      <w:r w:rsidRPr="00A83C94">
        <w:rPr>
          <w:b w:val="0"/>
          <w:noProof/>
          <w:szCs w:val="22"/>
          <w:lang w:val="af-ZA"/>
        </w:rPr>
        <w:t>, </w:t>
      </w:r>
      <w:r w:rsidRPr="00A83C94">
        <w:rPr>
          <w:b w:val="0"/>
          <w:noProof/>
          <w:szCs w:val="22"/>
        </w:rPr>
        <w:t>Միջազգային</w:t>
      </w:r>
      <w:r w:rsidRPr="00A83C94">
        <w:rPr>
          <w:b w:val="0"/>
          <w:noProof/>
          <w:szCs w:val="22"/>
          <w:lang w:val="af-ZA"/>
        </w:rPr>
        <w:t xml:space="preserve"> </w:t>
      </w:r>
      <w:r w:rsidRPr="00A83C94">
        <w:rPr>
          <w:b w:val="0"/>
          <w:noProof/>
          <w:szCs w:val="22"/>
        </w:rPr>
        <w:t>կազմակերպություններին</w:t>
      </w:r>
      <w:r w:rsidRPr="00A83C94">
        <w:rPr>
          <w:b w:val="0"/>
          <w:noProof/>
          <w:szCs w:val="22"/>
          <w:lang w:val="af-ZA"/>
        </w:rPr>
        <w:t xml:space="preserve"> </w:t>
      </w:r>
      <w:r w:rsidRPr="00A83C94">
        <w:rPr>
          <w:b w:val="0"/>
          <w:noProof/>
          <w:szCs w:val="22"/>
        </w:rPr>
        <w:t>անդամակցություն</w:t>
      </w:r>
      <w:r w:rsidRPr="00A83C94">
        <w:rPr>
          <w:b w:val="0"/>
          <w:noProof/>
          <w:szCs w:val="22"/>
          <w:lang w:val="af-ZA"/>
        </w:rPr>
        <w:t xml:space="preserve">» </w:t>
      </w:r>
      <w:r w:rsidRPr="00A83C94">
        <w:rPr>
          <w:b w:val="0"/>
          <w:noProof/>
          <w:szCs w:val="22"/>
        </w:rPr>
        <w:t>միջոցառման</w:t>
      </w:r>
      <w:r w:rsidRPr="00A83C94">
        <w:rPr>
          <w:b w:val="0"/>
          <w:noProof/>
          <w:szCs w:val="22"/>
          <w:lang w:val="af-ZA"/>
        </w:rPr>
        <w:t xml:space="preserve"> </w:t>
      </w:r>
      <w:r w:rsidRPr="00A83C94">
        <w:rPr>
          <w:b w:val="0"/>
          <w:noProof/>
          <w:szCs w:val="22"/>
        </w:rPr>
        <w:t>ծախսերը</w:t>
      </w:r>
      <w:r w:rsidRPr="00A83C94">
        <w:rPr>
          <w:b w:val="0"/>
          <w:noProof/>
          <w:szCs w:val="22"/>
          <w:lang w:val="af-ZA"/>
        </w:rPr>
        <w:t xml:space="preserve"> </w:t>
      </w:r>
      <w:r w:rsidRPr="00A83C94">
        <w:rPr>
          <w:b w:val="0"/>
          <w:noProof/>
          <w:szCs w:val="22"/>
        </w:rPr>
        <w:t>վերաբաշխվել</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Հեռուստատեսային</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Ռադիո</w:t>
      </w:r>
      <w:r w:rsidRPr="00A83C94">
        <w:rPr>
          <w:b w:val="0"/>
          <w:noProof/>
          <w:szCs w:val="22"/>
          <w:lang w:val="af-ZA"/>
        </w:rPr>
        <w:t xml:space="preserve"> </w:t>
      </w:r>
      <w:r w:rsidRPr="00A83C94">
        <w:rPr>
          <w:b w:val="0"/>
          <w:noProof/>
          <w:szCs w:val="22"/>
        </w:rPr>
        <w:t>ծառայություններ</w:t>
      </w:r>
      <w:r w:rsidRPr="00A83C94">
        <w:rPr>
          <w:b w:val="0"/>
          <w:noProof/>
          <w:szCs w:val="22"/>
          <w:lang w:val="af-ZA"/>
        </w:rPr>
        <w:t xml:space="preserve">» </w:t>
      </w:r>
      <w:r w:rsidRPr="00A83C94">
        <w:rPr>
          <w:b w:val="0"/>
          <w:noProof/>
          <w:szCs w:val="22"/>
        </w:rPr>
        <w:t>միջոցառումներին</w:t>
      </w:r>
      <w:r w:rsidRPr="00A83C94">
        <w:rPr>
          <w:b w:val="0"/>
          <w:noProof/>
          <w:szCs w:val="22"/>
          <w:lang w:val="af-ZA"/>
        </w:rPr>
        <w:t xml:space="preserve">, </w:t>
      </w:r>
      <w:r w:rsidRPr="00A83C94">
        <w:rPr>
          <w:b w:val="0"/>
          <w:noProof/>
          <w:szCs w:val="22"/>
        </w:rPr>
        <w:t>համապատասխանաբար՝</w:t>
      </w:r>
      <w:r w:rsidRPr="00A83C94">
        <w:rPr>
          <w:b w:val="0"/>
          <w:noProof/>
          <w:szCs w:val="22"/>
          <w:lang w:val="af-ZA"/>
        </w:rPr>
        <w:t xml:space="preserve"> 35.4 </w:t>
      </w:r>
      <w:r w:rsidRPr="00A83C94">
        <w:rPr>
          <w:b w:val="0"/>
          <w:noProof/>
          <w:szCs w:val="22"/>
        </w:rPr>
        <w:t>և</w:t>
      </w:r>
      <w:r w:rsidRPr="00A83C94">
        <w:rPr>
          <w:b w:val="0"/>
          <w:noProof/>
          <w:szCs w:val="22"/>
          <w:lang w:val="af-ZA"/>
        </w:rPr>
        <w:t xml:space="preserve"> 14.8 </w:t>
      </w:r>
      <w:r w:rsidRPr="00A83C94">
        <w:rPr>
          <w:b w:val="0"/>
          <w:noProof/>
          <w:szCs w:val="22"/>
        </w:rPr>
        <w:t>մլն</w:t>
      </w:r>
      <w:r w:rsidRPr="00A83C94">
        <w:rPr>
          <w:b w:val="0"/>
          <w:noProof/>
          <w:szCs w:val="22"/>
          <w:lang w:val="af-ZA"/>
        </w:rPr>
        <w:t xml:space="preserve"> </w:t>
      </w:r>
      <w:r w:rsidRPr="00A83C94">
        <w:rPr>
          <w:b w:val="0"/>
          <w:noProof/>
          <w:szCs w:val="22"/>
        </w:rPr>
        <w:t>դրամի</w:t>
      </w:r>
      <w:r w:rsidRPr="00A83C94">
        <w:rPr>
          <w:b w:val="0"/>
          <w:noProof/>
          <w:szCs w:val="22"/>
          <w:lang w:val="af-ZA"/>
        </w:rPr>
        <w:t xml:space="preserve"> </w:t>
      </w:r>
      <w:r w:rsidRPr="00A83C94">
        <w:rPr>
          <w:b w:val="0"/>
          <w:noProof/>
          <w:szCs w:val="22"/>
        </w:rPr>
        <w:t>չափով</w:t>
      </w:r>
      <w:r w:rsidRPr="00A83C94">
        <w:rPr>
          <w:b w:val="0"/>
          <w:noProof/>
          <w:szCs w:val="22"/>
          <w:lang w:val="af-ZA"/>
        </w:rPr>
        <w:t xml:space="preserve">, </w:t>
      </w:r>
      <w:r w:rsidRPr="00A83C94">
        <w:rPr>
          <w:b w:val="0"/>
          <w:noProof/>
          <w:szCs w:val="22"/>
        </w:rPr>
        <w:t>նկատի</w:t>
      </w:r>
      <w:r w:rsidRPr="00A83C94">
        <w:rPr>
          <w:b w:val="0"/>
          <w:noProof/>
          <w:szCs w:val="22"/>
          <w:lang w:val="af-ZA"/>
        </w:rPr>
        <w:t xml:space="preserve"> </w:t>
      </w:r>
      <w:r w:rsidRPr="00A83C94">
        <w:rPr>
          <w:b w:val="0"/>
          <w:noProof/>
          <w:szCs w:val="22"/>
        </w:rPr>
        <w:t>ունենալով</w:t>
      </w:r>
      <w:r w:rsidRPr="00A83C94">
        <w:rPr>
          <w:b w:val="0"/>
          <w:noProof/>
          <w:szCs w:val="22"/>
          <w:lang w:val="af-ZA"/>
        </w:rPr>
        <w:t xml:space="preserve">, </w:t>
      </w:r>
      <w:r w:rsidRPr="00A83C94">
        <w:rPr>
          <w:b w:val="0"/>
          <w:noProof/>
          <w:szCs w:val="22"/>
        </w:rPr>
        <w:t>որ</w:t>
      </w:r>
      <w:r w:rsidRPr="00A83C94">
        <w:rPr>
          <w:b w:val="0"/>
          <w:noProof/>
          <w:szCs w:val="22"/>
          <w:lang w:val="af-ZA"/>
        </w:rPr>
        <w:t xml:space="preserve"> </w:t>
      </w:r>
      <w:r w:rsidRPr="00A83C94">
        <w:rPr>
          <w:b w:val="0"/>
          <w:noProof/>
          <w:szCs w:val="22"/>
        </w:rPr>
        <w:t>Եվրոպական</w:t>
      </w:r>
      <w:r w:rsidRPr="00A83C94">
        <w:rPr>
          <w:b w:val="0"/>
          <w:noProof/>
          <w:szCs w:val="22"/>
          <w:lang w:val="af-ZA"/>
        </w:rPr>
        <w:t xml:space="preserve"> </w:t>
      </w:r>
      <w:r w:rsidRPr="00A83C94">
        <w:rPr>
          <w:b w:val="0"/>
          <w:noProof/>
          <w:szCs w:val="22"/>
        </w:rPr>
        <w:t>հեռարձակողի</w:t>
      </w:r>
      <w:r w:rsidRPr="00A83C94">
        <w:rPr>
          <w:b w:val="0"/>
          <w:noProof/>
          <w:szCs w:val="22"/>
          <w:lang w:val="af-ZA"/>
        </w:rPr>
        <w:t xml:space="preserve"> </w:t>
      </w:r>
      <w:r w:rsidRPr="00A83C94">
        <w:rPr>
          <w:b w:val="0"/>
          <w:noProof/>
          <w:szCs w:val="22"/>
        </w:rPr>
        <w:t>միության</w:t>
      </w:r>
      <w:r w:rsidRPr="00A83C94">
        <w:rPr>
          <w:b w:val="0"/>
          <w:noProof/>
          <w:szCs w:val="22"/>
          <w:lang w:val="af-ZA"/>
        </w:rPr>
        <w:t xml:space="preserve"> (EBU) </w:t>
      </w:r>
      <w:r w:rsidRPr="00A83C94">
        <w:rPr>
          <w:b w:val="0"/>
          <w:noProof/>
          <w:szCs w:val="22"/>
        </w:rPr>
        <w:t>ակտիվ</w:t>
      </w:r>
      <w:r w:rsidRPr="00A83C94">
        <w:rPr>
          <w:b w:val="0"/>
          <w:noProof/>
          <w:szCs w:val="22"/>
          <w:lang w:val="af-ZA"/>
        </w:rPr>
        <w:t xml:space="preserve"> </w:t>
      </w:r>
      <w:r w:rsidRPr="00A83C94">
        <w:rPr>
          <w:b w:val="0"/>
          <w:noProof/>
          <w:szCs w:val="22"/>
        </w:rPr>
        <w:t>անդամ</w:t>
      </w:r>
      <w:r w:rsidRPr="00A83C94">
        <w:rPr>
          <w:b w:val="0"/>
          <w:noProof/>
          <w:szCs w:val="22"/>
          <w:lang w:val="af-ZA"/>
        </w:rPr>
        <w:t xml:space="preserve"> </w:t>
      </w:r>
      <w:r w:rsidRPr="00A83C94">
        <w:rPr>
          <w:b w:val="0"/>
          <w:noProof/>
          <w:szCs w:val="22"/>
        </w:rPr>
        <w:t>են</w:t>
      </w:r>
      <w:r w:rsidRPr="00A83C94">
        <w:rPr>
          <w:b w:val="0"/>
          <w:noProof/>
          <w:szCs w:val="22"/>
          <w:lang w:val="af-ZA"/>
        </w:rPr>
        <w:t xml:space="preserve"> </w:t>
      </w:r>
      <w:r w:rsidRPr="00A83C94">
        <w:rPr>
          <w:b w:val="0"/>
          <w:noProof/>
          <w:szCs w:val="22"/>
        </w:rPr>
        <w:t>հանդիսանում</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հեռուստաընկերությունը</w:t>
      </w:r>
      <w:r w:rsidRPr="00A83C94">
        <w:rPr>
          <w:b w:val="0"/>
          <w:noProof/>
          <w:szCs w:val="22"/>
          <w:lang w:val="af-ZA"/>
        </w:rPr>
        <w:t xml:space="preserve"> </w:t>
      </w:r>
      <w:r w:rsidRPr="00A83C94">
        <w:rPr>
          <w:b w:val="0"/>
          <w:noProof/>
          <w:szCs w:val="22"/>
        </w:rPr>
        <w:t>և</w:t>
      </w:r>
      <w:r w:rsidRPr="00A83C94">
        <w:rPr>
          <w:b w:val="0"/>
          <w:noProof/>
          <w:szCs w:val="22"/>
          <w:lang w:val="af-ZA"/>
        </w:rPr>
        <w:t xml:space="preserve"> </w:t>
      </w:r>
      <w:r w:rsidRPr="00A83C94">
        <w:rPr>
          <w:b w:val="0"/>
          <w:noProof/>
          <w:szCs w:val="22"/>
        </w:rPr>
        <w:t>Հայաստանի</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ռադիոընկերությունը</w:t>
      </w:r>
      <w:r w:rsidRPr="00A83C94">
        <w:rPr>
          <w:b w:val="0"/>
          <w:noProof/>
          <w:szCs w:val="22"/>
          <w:lang w:val="af-ZA"/>
        </w:rPr>
        <w:t xml:space="preserve"> (</w:t>
      </w:r>
      <w:r w:rsidRPr="00A83C94">
        <w:rPr>
          <w:b w:val="0"/>
          <w:noProof/>
          <w:szCs w:val="22"/>
        </w:rPr>
        <w:t>նախկինում</w:t>
      </w:r>
      <w:r w:rsidRPr="00A83C94">
        <w:rPr>
          <w:b w:val="0"/>
          <w:noProof/>
          <w:szCs w:val="22"/>
          <w:lang w:val="af-ZA"/>
        </w:rPr>
        <w:t xml:space="preserve"> </w:t>
      </w:r>
      <w:r w:rsidRPr="00A83C94">
        <w:rPr>
          <w:b w:val="0"/>
          <w:noProof/>
          <w:szCs w:val="22"/>
        </w:rPr>
        <w:t>նշված</w:t>
      </w:r>
      <w:r w:rsidRPr="00A83C94">
        <w:rPr>
          <w:b w:val="0"/>
          <w:noProof/>
          <w:szCs w:val="22"/>
          <w:lang w:val="af-ZA"/>
        </w:rPr>
        <w:t xml:space="preserve">  </w:t>
      </w:r>
      <w:r w:rsidRPr="00A83C94">
        <w:rPr>
          <w:b w:val="0"/>
          <w:noProof/>
          <w:szCs w:val="22"/>
        </w:rPr>
        <w:t>գումարը</w:t>
      </w:r>
      <w:r w:rsidRPr="00A83C94">
        <w:rPr>
          <w:b w:val="0"/>
          <w:noProof/>
          <w:szCs w:val="22"/>
          <w:lang w:val="af-ZA"/>
        </w:rPr>
        <w:t xml:space="preserve"> </w:t>
      </w:r>
      <w:r w:rsidRPr="00A83C94">
        <w:rPr>
          <w:b w:val="0"/>
          <w:noProof/>
          <w:szCs w:val="22"/>
        </w:rPr>
        <w:t>վճարում</w:t>
      </w:r>
      <w:r w:rsidRPr="00A83C94">
        <w:rPr>
          <w:b w:val="0"/>
          <w:noProof/>
          <w:szCs w:val="22"/>
          <w:lang w:val="af-ZA"/>
        </w:rPr>
        <w:t xml:space="preserve"> </w:t>
      </w:r>
      <w:r w:rsidRPr="00A83C94">
        <w:rPr>
          <w:b w:val="0"/>
          <w:noProof/>
          <w:szCs w:val="22"/>
        </w:rPr>
        <w:t>էր</w:t>
      </w:r>
      <w:r w:rsidRPr="00A83C94">
        <w:rPr>
          <w:b w:val="0"/>
          <w:noProof/>
          <w:szCs w:val="22"/>
          <w:lang w:val="af-ZA"/>
        </w:rPr>
        <w:t xml:space="preserve"> </w:t>
      </w:r>
      <w:r w:rsidRPr="00A83C94">
        <w:rPr>
          <w:b w:val="0"/>
          <w:noProof/>
          <w:szCs w:val="22"/>
        </w:rPr>
        <w:t>Հանրային</w:t>
      </w:r>
      <w:r w:rsidRPr="00A83C94">
        <w:rPr>
          <w:b w:val="0"/>
          <w:noProof/>
          <w:szCs w:val="22"/>
          <w:lang w:val="af-ZA"/>
        </w:rPr>
        <w:t xml:space="preserve"> </w:t>
      </w:r>
      <w:r w:rsidRPr="00A83C94">
        <w:rPr>
          <w:b w:val="0"/>
          <w:noProof/>
          <w:szCs w:val="22"/>
        </w:rPr>
        <w:t>հեռարձակողի</w:t>
      </w:r>
      <w:r w:rsidRPr="00A83C94">
        <w:rPr>
          <w:b w:val="0"/>
          <w:noProof/>
          <w:szCs w:val="22"/>
          <w:lang w:val="af-ZA"/>
        </w:rPr>
        <w:t xml:space="preserve"> </w:t>
      </w:r>
      <w:r w:rsidRPr="00A83C94">
        <w:rPr>
          <w:b w:val="0"/>
          <w:noProof/>
          <w:szCs w:val="22"/>
        </w:rPr>
        <w:t>խորհուրդը</w:t>
      </w:r>
      <w:r w:rsidRPr="00A83C94">
        <w:rPr>
          <w:b w:val="0"/>
          <w:noProof/>
          <w:szCs w:val="22"/>
          <w:lang w:val="af-ZA"/>
        </w:rPr>
        <w:t>):</w:t>
      </w:r>
    </w:p>
    <w:p w14:paraId="0AF7F79B" w14:textId="77777777" w:rsidR="00A93A45" w:rsidRPr="00A83C94" w:rsidRDefault="00A93A45" w:rsidP="00661F3D">
      <w:pPr>
        <w:spacing w:line="276" w:lineRule="auto"/>
        <w:rPr>
          <w:b w:val="0"/>
          <w:szCs w:val="22"/>
          <w:lang w:val="af-ZA"/>
        </w:rPr>
      </w:pPr>
    </w:p>
    <w:p w14:paraId="5BEC7631" w14:textId="77777777" w:rsidR="00FC7885" w:rsidRPr="00A83C94" w:rsidRDefault="00FC7885" w:rsidP="00832373">
      <w:pPr>
        <w:keepNext/>
        <w:spacing w:before="0" w:line="276" w:lineRule="auto"/>
        <w:ind w:firstLine="0"/>
        <w:contextualSpacing w:val="0"/>
        <w:jc w:val="center"/>
        <w:outlineLvl w:val="2"/>
        <w:rPr>
          <w:rFonts w:cs="Arial"/>
          <w:sz w:val="24"/>
          <w:lang w:val="hy-AM" w:eastAsia="en-US"/>
        </w:rPr>
      </w:pPr>
      <w:bookmarkStart w:id="334" w:name="_Toc89428338"/>
      <w:r w:rsidRPr="00A83C94">
        <w:rPr>
          <w:rFonts w:cs="Arial"/>
          <w:sz w:val="24"/>
          <w:lang w:val="hy-AM" w:eastAsia="en-US"/>
        </w:rPr>
        <w:t>ՀՀ մրցակցության պաշտպանության հանձնաժողով</w:t>
      </w:r>
      <w:bookmarkEnd w:id="334"/>
    </w:p>
    <w:p w14:paraId="197F2BBE" w14:textId="77777777" w:rsidR="00FC7885" w:rsidRPr="00A83C94" w:rsidRDefault="00FC7885" w:rsidP="00FC7885">
      <w:pPr>
        <w:spacing w:line="276" w:lineRule="auto"/>
        <w:rPr>
          <w:b w:val="0"/>
          <w:lang w:val="hy-AM"/>
        </w:rPr>
      </w:pPr>
      <w:r w:rsidRPr="00A83C94">
        <w:rPr>
          <w:b w:val="0"/>
          <w:lang w:val="hy-AM"/>
        </w:rPr>
        <w:t xml:space="preserve">Հայաստանի Հանրապետության մրցակցության պաշտպանության հանձնաժողովի (այսուհետ՝ Հանձնաժողով) գործունեությունն ուղղված է ազատ տնտեսական մրցակցության պաշտպանությանը և խրախուսմանը, ձեռնարկատիրության զարգացման և սպառողների շահերի պաշտպանությանը նպաստելուն, բարեխիղճ մրցակցության համար անհրաժեշտ միջավայրի ապահովմանը Հայաստանի Հանրապետությունում։ </w:t>
      </w:r>
    </w:p>
    <w:p w14:paraId="3EBDC7C1" w14:textId="77777777" w:rsidR="00FC7885" w:rsidRPr="00A83C94" w:rsidRDefault="00FC7885" w:rsidP="00FC7885">
      <w:pPr>
        <w:spacing w:line="276" w:lineRule="auto"/>
        <w:rPr>
          <w:b w:val="0"/>
          <w:lang w:val="hy-AM"/>
        </w:rPr>
      </w:pPr>
      <w:r w:rsidRPr="00A83C94">
        <w:rPr>
          <w:b w:val="0"/>
          <w:lang w:val="hy-AM"/>
        </w:rPr>
        <w:t>Հանձնաժողովն իր գործառույթների շրջանակներում իրականացնում է ոլորտային ուսումնասիրություններ որևէ ոլորտում կամ ապրանքային շուկայում մրցակցային իրավիճակը, տնտեսական մրցակցության կանխման, սահմանափակման կամ արգելման կամ սպառողների շահերի վնասման դեպքերը պարզելու, մրցակցային իրավիճակի վրա ազդող այլ պայմանները բացահայտելու նպատակով։</w:t>
      </w:r>
    </w:p>
    <w:p w14:paraId="11A505A4" w14:textId="77777777" w:rsidR="00FC7885" w:rsidRPr="00A83C94" w:rsidRDefault="00FC7885" w:rsidP="00FC7885">
      <w:pPr>
        <w:spacing w:line="276" w:lineRule="auto"/>
        <w:rPr>
          <w:b w:val="0"/>
          <w:lang w:val="hy-AM"/>
        </w:rPr>
      </w:pPr>
      <w:r w:rsidRPr="00A83C94">
        <w:rPr>
          <w:b w:val="0"/>
          <w:lang w:val="hy-AM"/>
        </w:rPr>
        <w:t>Ոլորտային ուսումնասիրության շրջանակում Հանձնաժողովը կարող է սահմանել ապրանքային շուկան, ուսումնասիրել ապրանքային շուկայի կառուցվածքը, կենտրոնացվածության աստիճանը, ոլորտի կամ շուկայի դինամիկան, հայտնաբերել անձանց խումբ հանդիսացող տնտեսվարող սուբյեկտներին, ուսումնասիրել ոլորտի կամ շուկայի իրավակարգավորումները և վեր հանել խնդիրները, այդ թվում՝ օրենսդրական բացերը և սողանցքները, բացահայտել շուկայում ինքնակարգավորման մեխանիզմները, պարզել օրենքի հնարավոր խախտման հատկանիշները, եզրահանգումներ կատարել մրցակցային իրավիճակի վերաբերյալ, կազմել վերլուծական հաշվետվություն:</w:t>
      </w:r>
    </w:p>
    <w:p w14:paraId="02D625D8" w14:textId="77777777" w:rsidR="00FC7885" w:rsidRPr="00A83C94" w:rsidRDefault="00FC7885" w:rsidP="00FC7885">
      <w:pPr>
        <w:spacing w:line="276" w:lineRule="auto"/>
        <w:rPr>
          <w:b w:val="0"/>
          <w:lang w:val="hy-AM"/>
        </w:rPr>
      </w:pPr>
      <w:r w:rsidRPr="00A83C94">
        <w:rPr>
          <w:b w:val="0"/>
          <w:lang w:val="hy-AM"/>
        </w:rPr>
        <w:t xml:space="preserve">Հայաստանի Հանրապետությունում արդյունավետ մրցակցային միջավայրի ձևավորման և տնտեսական մրցակցության պաշտպանության օրենսդրության դրույթների պահպանման նկատմամբ հսկողություն սահմանելու նպատակով Հանձնաժողովը յուրաքանչյուր տարի իրականացնում է լայն սպառում ունեցող պարենային և ոչ պարենային նշանակության ապրանքների և ծառայությունների 5 ոլորտի/շուկայի ուսումնասիրություն, որոնց արդյունքում բացահայտվում են առկա խնդիրները և առաջարկվում լուծումներ շուկայի ուղղակի կամ անուղղակի կարգավորման համար։ 5 տարվա ընթացքում ուսումնասիրելով լայն սպառում ունեցող պարենային և ոչ պարենային նշանակության ապրանքների և ծառայությունների 25 ապրանքային շուկա, Հանձնաժողովը հաջորդ տարիներին նույն հերթականությամբ անդրադառնում է նույն ապրանքային շուկաներին՝ տնտեսության մրցակցային վիճակի բարելավման և Հանձնաժողովի գործունեության արդյունավետության գնահատման նպատակով։ </w:t>
      </w:r>
    </w:p>
    <w:p w14:paraId="6C768AF6" w14:textId="77777777" w:rsidR="00FC7885" w:rsidRPr="00A83C94" w:rsidRDefault="00FC7885" w:rsidP="00FC7885">
      <w:pPr>
        <w:spacing w:line="276" w:lineRule="auto"/>
        <w:rPr>
          <w:b w:val="0"/>
          <w:lang w:val="hy-AM"/>
        </w:rPr>
      </w:pPr>
      <w:r w:rsidRPr="00A83C94">
        <w:rPr>
          <w:b w:val="0"/>
          <w:lang w:val="hy-AM"/>
        </w:rPr>
        <w:t>Տնտեսական մրցակցության ընթացիկ իրավիճակը գնահատելու նպատակով Հանձնաժողովը յուրաքանչյուր տարի իրականացնում է 100 հատ ուսումնասիրություններ մրցակցային ընթացիկ խնդիրների բացահայտման և կանխարգելման նպատակով։ 2020 թվականին Հանձնաժողովը փաստացի իրականացրել է 116 հատ ուսումնասիրություն։</w:t>
      </w:r>
    </w:p>
    <w:p w14:paraId="345FD7F4" w14:textId="77777777" w:rsidR="00FC7885" w:rsidRPr="00A83C94" w:rsidRDefault="00FC7885" w:rsidP="00FC7885">
      <w:pPr>
        <w:tabs>
          <w:tab w:val="left" w:pos="993"/>
        </w:tabs>
        <w:spacing w:before="0" w:line="276" w:lineRule="auto"/>
        <w:rPr>
          <w:b w:val="0"/>
          <w:szCs w:val="22"/>
          <w:lang w:val="af-ZA"/>
        </w:rPr>
      </w:pPr>
    </w:p>
    <w:p w14:paraId="4C9FF83A" w14:textId="77777777" w:rsidR="00FC7885" w:rsidRPr="00A83C94" w:rsidRDefault="00FC7885" w:rsidP="00832373">
      <w:pPr>
        <w:keepNext/>
        <w:spacing w:before="0" w:line="276" w:lineRule="auto"/>
        <w:ind w:firstLine="0"/>
        <w:contextualSpacing w:val="0"/>
        <w:jc w:val="center"/>
        <w:outlineLvl w:val="2"/>
        <w:rPr>
          <w:rFonts w:cs="Arial"/>
          <w:sz w:val="24"/>
          <w:lang w:val="af-ZA" w:eastAsia="en-US"/>
        </w:rPr>
      </w:pPr>
      <w:bookmarkStart w:id="335" w:name="_Toc89428339"/>
      <w:r w:rsidRPr="00A83C94">
        <w:rPr>
          <w:rFonts w:cs="Arial"/>
          <w:sz w:val="24"/>
          <w:lang w:val="hy-AM" w:eastAsia="en-US"/>
        </w:rPr>
        <w:t>ՀՀ կոռուպցիայի կանխարգելման հանձնաժողով</w:t>
      </w:r>
      <w:bookmarkEnd w:id="335"/>
      <w:r w:rsidRPr="00A83C94">
        <w:rPr>
          <w:rFonts w:cs="Arial"/>
          <w:sz w:val="24"/>
          <w:lang w:val="af-ZA" w:eastAsia="en-US"/>
        </w:rPr>
        <w:t xml:space="preserve"> </w:t>
      </w:r>
    </w:p>
    <w:p w14:paraId="3002A2B0"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Կոռուպցիայի կանխարգելումը հանդիսանում է ՀՀ Կառավարության հակակոռուպցիոն քաղաքականության գերակա ոլորտներից մեկը, և իր ամրագրումն է ստացել ներպետական քաղաքականության փաստաթղթերում, ինչպես նաև միջազգային հարաբերություններից ստանձնած մի շարք պարտավորություններում։ </w:t>
      </w:r>
    </w:p>
    <w:p w14:paraId="7027F6B4"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2019 թվականի նոյեմբերի 19-ին ձևավորվել է Կոռուպցիայի կանխարգելման հանձնաժողովը, որին վերապահվել են ընդլայնված լիազորություններ: Կոռուպցիայի կանխարգելման մասին ՀՀ օրենքի, Դատական օրենսգիրք ՀՀ Սահմանադրական օրենքի, Դատախազության մասին ՀՀ օրենքի, Հանրային ծառայության մասին ՀՀ օրենքի և մի շարք այլ օրենքների փոփոխություններով Կոռուպցիայի կանխարգելման հանձնաժողովի առկա գործառույթներ զգալիորեն ավելացել են, որն իրենից ենթադրում է լրացուցիչ մարդկային և ֆինանսական ռեսուրսների ներգրավում, որի մի մասը նախորդ տարիներին և ներկայումս ստանձնել են միջազգային դոնոր կազմակերպությունները: </w:t>
      </w:r>
    </w:p>
    <w:p w14:paraId="48303D25" w14:textId="66309C33" w:rsidR="00FC7885" w:rsidRPr="00A83C94" w:rsidRDefault="00FC7885" w:rsidP="00FC7885">
      <w:pPr>
        <w:spacing w:line="276" w:lineRule="auto"/>
        <w:ind w:firstLine="426"/>
        <w:rPr>
          <w:b w:val="0"/>
          <w:szCs w:val="22"/>
          <w:lang w:val="hy-AM"/>
        </w:rPr>
      </w:pPr>
      <w:r w:rsidRPr="00A83C94">
        <w:rPr>
          <w:b w:val="0"/>
          <w:szCs w:val="22"/>
          <w:lang w:val="hy-AM"/>
        </w:rPr>
        <w:t xml:space="preserve">Կոռուպցիայի կանխարգելման հանձնաժողովը 2022 թվականին իրականացնելու է </w:t>
      </w:r>
      <w:r w:rsidRPr="00A83C94">
        <w:rPr>
          <w:szCs w:val="22"/>
          <w:lang w:val="hy-AM"/>
        </w:rPr>
        <w:t>Կոռուպցիայի կանխարգելմա</w:t>
      </w:r>
      <w:r w:rsidR="00E70F6D" w:rsidRPr="00A83C94">
        <w:rPr>
          <w:szCs w:val="22"/>
          <w:lang w:val="hy-AM"/>
        </w:rPr>
        <w:t>ն համակարգի զարգացման ապահովում</w:t>
      </w:r>
      <w:r w:rsidRPr="00A83C94">
        <w:rPr>
          <w:b w:val="0"/>
          <w:szCs w:val="22"/>
          <w:lang w:val="hy-AM"/>
        </w:rPr>
        <w:t xml:space="preserve"> ծրագիրը իր 2 միջոցառումներով՝ «Կոռուպցիայի կանխարգելում և բարեվարքության համակարգի զարգացում» (պահպանման ընթացիկ ծախսերի գծով) և «Հանձնաժողովի կարողությունների զարգացում» (պահպանման կապիտալ ծախսերի գծով) միջոցառումները: </w:t>
      </w:r>
    </w:p>
    <w:p w14:paraId="7DA6818A" w14:textId="2E4C0F69" w:rsidR="00FC7885" w:rsidRPr="00A83C94" w:rsidRDefault="00E70F6D" w:rsidP="00FC7885">
      <w:pPr>
        <w:spacing w:line="276" w:lineRule="auto"/>
        <w:ind w:firstLine="426"/>
        <w:rPr>
          <w:b w:val="0"/>
          <w:szCs w:val="22"/>
          <w:lang w:val="hy-AM"/>
        </w:rPr>
      </w:pPr>
      <w:r w:rsidRPr="00A83C94">
        <w:rPr>
          <w:b w:val="0"/>
          <w:szCs w:val="22"/>
          <w:lang w:val="hy-AM"/>
        </w:rPr>
        <w:t>Ծրագրի</w:t>
      </w:r>
      <w:r w:rsidR="00FC7885" w:rsidRPr="00A83C94">
        <w:rPr>
          <w:b w:val="0"/>
          <w:szCs w:val="22"/>
          <w:lang w:val="hy-AM"/>
        </w:rPr>
        <w:t xml:space="preserve"> նպատակն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 Ծրագրի վերջնական արդյունքը հաշվետու ժամանակաշրջանում միտված է`</w:t>
      </w:r>
    </w:p>
    <w:p w14:paraId="77C487CF" w14:textId="77777777" w:rsidR="00FC7885" w:rsidRPr="00A83C94" w:rsidRDefault="00FC7885" w:rsidP="00FC7885">
      <w:pPr>
        <w:spacing w:line="276" w:lineRule="auto"/>
        <w:ind w:firstLine="426"/>
        <w:rPr>
          <w:b w:val="0"/>
          <w:szCs w:val="22"/>
          <w:lang w:val="hy-AM"/>
        </w:rPr>
      </w:pPr>
      <w:r w:rsidRPr="00A83C94">
        <w:rPr>
          <w:b w:val="0"/>
          <w:szCs w:val="22"/>
          <w:lang w:val="hy-AM"/>
        </w:rPr>
        <w:t>1.</w:t>
      </w:r>
      <w:r w:rsidRPr="00A83C94">
        <w:rPr>
          <w:b w:val="0"/>
          <w:szCs w:val="22"/>
          <w:lang w:val="hy-AM"/>
        </w:rPr>
        <w:tab/>
        <w:t>պետական կառավարման համակարգում բարեվարքության, կոռուպցիոն ռիսկերի գնահատման համակարգերի ներդրմանը</w:t>
      </w:r>
    </w:p>
    <w:p w14:paraId="499B19FE" w14:textId="77777777" w:rsidR="00FC7885" w:rsidRPr="00A83C94" w:rsidRDefault="00FC7885" w:rsidP="00FC7885">
      <w:pPr>
        <w:spacing w:line="276" w:lineRule="auto"/>
        <w:ind w:firstLine="426"/>
        <w:rPr>
          <w:b w:val="0"/>
          <w:szCs w:val="22"/>
          <w:lang w:val="hy-AM"/>
        </w:rPr>
      </w:pPr>
      <w:r w:rsidRPr="00A83C94">
        <w:rPr>
          <w:b w:val="0"/>
          <w:szCs w:val="22"/>
          <w:lang w:val="hy-AM"/>
        </w:rPr>
        <w:t>2.</w:t>
      </w:r>
      <w:r w:rsidRPr="00A83C94">
        <w:rPr>
          <w:b w:val="0"/>
          <w:szCs w:val="22"/>
          <w:lang w:val="hy-AM"/>
        </w:rPr>
        <w:tab/>
        <w:t>հայտարարագրերի ռիսկային ցուցիչների վրա հիմնված վերլուծության մեթոդաբանության գործարկմանը</w:t>
      </w:r>
    </w:p>
    <w:p w14:paraId="5E41009C" w14:textId="77777777" w:rsidR="00FC7885" w:rsidRPr="00A83C94" w:rsidRDefault="00FC7885" w:rsidP="00FC7885">
      <w:pPr>
        <w:spacing w:line="276" w:lineRule="auto"/>
        <w:ind w:firstLine="426"/>
        <w:rPr>
          <w:b w:val="0"/>
          <w:szCs w:val="22"/>
          <w:lang w:val="hy-AM"/>
        </w:rPr>
      </w:pPr>
      <w:r w:rsidRPr="00A83C94">
        <w:rPr>
          <w:b w:val="0"/>
          <w:szCs w:val="22"/>
          <w:lang w:val="hy-AM"/>
        </w:rPr>
        <w:t>3.</w:t>
      </w:r>
      <w:r w:rsidRPr="00A83C94">
        <w:rPr>
          <w:b w:val="0"/>
          <w:szCs w:val="22"/>
          <w:lang w:val="hy-AM"/>
        </w:rPr>
        <w:tab/>
        <w:t xml:space="preserve"> «Հանրային ծառայության մասին» ՀՀ օրենքի համաձայն պետական պաշտոնի նշանակման ենթակա անձանց բարեվարքության ամբողջական ստուգմանը</w:t>
      </w:r>
    </w:p>
    <w:p w14:paraId="7EC14A9E" w14:textId="77777777" w:rsidR="00FC7885" w:rsidRPr="00A83C94" w:rsidRDefault="00FC7885" w:rsidP="00FC7885">
      <w:pPr>
        <w:spacing w:line="276" w:lineRule="auto"/>
        <w:ind w:firstLine="426"/>
        <w:rPr>
          <w:b w:val="0"/>
          <w:szCs w:val="22"/>
          <w:lang w:val="hy-AM"/>
        </w:rPr>
      </w:pPr>
      <w:r w:rsidRPr="00A83C94">
        <w:rPr>
          <w:b w:val="0"/>
          <w:szCs w:val="22"/>
          <w:lang w:val="hy-AM"/>
        </w:rPr>
        <w:t>4.</w:t>
      </w:r>
      <w:r w:rsidRPr="00A83C94">
        <w:rPr>
          <w:b w:val="0"/>
          <w:szCs w:val="22"/>
          <w:lang w:val="hy-AM"/>
        </w:rPr>
        <w:tab/>
        <w:t>հակակոռուպցիոն երեք կրթական ծրագրերի ներդրմանը</w:t>
      </w:r>
    </w:p>
    <w:p w14:paraId="58588975" w14:textId="77777777" w:rsidR="00FC7885" w:rsidRPr="00A83C94" w:rsidRDefault="00FC7885" w:rsidP="00FC7885">
      <w:pPr>
        <w:spacing w:line="276" w:lineRule="auto"/>
        <w:ind w:firstLine="426"/>
        <w:rPr>
          <w:b w:val="0"/>
          <w:szCs w:val="22"/>
          <w:lang w:val="hy-AM"/>
        </w:rPr>
      </w:pPr>
      <w:r w:rsidRPr="00A83C94">
        <w:rPr>
          <w:b w:val="0"/>
          <w:szCs w:val="22"/>
          <w:lang w:val="hy-AM"/>
        </w:rPr>
        <w:t>5.</w:t>
      </w:r>
      <w:r w:rsidRPr="00A83C94">
        <w:rPr>
          <w:b w:val="0"/>
          <w:szCs w:val="22"/>
          <w:lang w:val="hy-AM"/>
        </w:rPr>
        <w:tab/>
        <w:t xml:space="preserve"> կոռուպցիայի կանխարգելման վերաբերյալ հանրային իրազեկման երկու ծրագրերի ներդրմանը</w:t>
      </w:r>
    </w:p>
    <w:p w14:paraId="579E234C" w14:textId="77777777" w:rsidR="00FC7885" w:rsidRPr="00A83C94" w:rsidRDefault="00FC7885" w:rsidP="00FC7885">
      <w:pPr>
        <w:spacing w:line="276" w:lineRule="auto"/>
        <w:ind w:firstLine="426"/>
        <w:rPr>
          <w:b w:val="0"/>
          <w:szCs w:val="22"/>
          <w:lang w:val="hy-AM"/>
        </w:rPr>
      </w:pPr>
      <w:r w:rsidRPr="00A83C94">
        <w:rPr>
          <w:b w:val="0"/>
          <w:szCs w:val="22"/>
          <w:lang w:val="hy-AM"/>
        </w:rPr>
        <w:t>6.</w:t>
      </w:r>
      <w:r w:rsidRPr="00A83C94">
        <w:rPr>
          <w:b w:val="0"/>
          <w:szCs w:val="22"/>
          <w:lang w:val="hy-AM"/>
        </w:rPr>
        <w:tab/>
        <w:t>միջազգային համագործակցության ծրագրի ներդրմանը:</w:t>
      </w:r>
    </w:p>
    <w:p w14:paraId="68BCF39F" w14:textId="0B3248E6" w:rsidR="00FC7885" w:rsidRPr="00A83C94" w:rsidRDefault="00E70F6D" w:rsidP="00FC7885">
      <w:pPr>
        <w:spacing w:line="276" w:lineRule="auto"/>
        <w:ind w:firstLine="426"/>
        <w:rPr>
          <w:b w:val="0"/>
          <w:szCs w:val="22"/>
          <w:lang w:val="hy-AM"/>
        </w:rPr>
      </w:pPr>
      <w:r w:rsidRPr="00A83C94">
        <w:rPr>
          <w:b w:val="0"/>
          <w:szCs w:val="22"/>
          <w:lang w:val="hy-AM"/>
        </w:rPr>
        <w:t>Ծրագիրը</w:t>
      </w:r>
      <w:r w:rsidR="00FC7885" w:rsidRPr="00A83C94">
        <w:rPr>
          <w:b w:val="0"/>
          <w:szCs w:val="22"/>
          <w:lang w:val="hy-AM"/>
        </w:rPr>
        <w:t xml:space="preserve"> իրենից ներկայացնում է Հանձնաժողովի պահպանման ծախսերը և միտված է Հանձնաժողովի կանոնադրական գործառույթների իրականացմանը: 2021 թվականի համեմատությամբ 2022 թվականի պետական բյուջեով հատկացվող միջոցների ծավալը </w:t>
      </w:r>
      <w:r w:rsidRPr="00A83C94">
        <w:rPr>
          <w:b w:val="0"/>
          <w:szCs w:val="22"/>
          <w:lang w:val="hy-AM"/>
        </w:rPr>
        <w:t>միջոցառման մասով աճել է</w:t>
      </w:r>
      <w:r w:rsidR="00FC7885" w:rsidRPr="00A83C94">
        <w:rPr>
          <w:b w:val="0"/>
          <w:szCs w:val="22"/>
          <w:lang w:val="hy-AM"/>
        </w:rPr>
        <w:t xml:space="preserve">` գործառույթների ընդլայնմամբ, հետևաբար նաև հաստիքների թվաքանակի և դրանց հետ կապված ծախսերի ավելացմամբ պայմանավորված: </w:t>
      </w:r>
    </w:p>
    <w:p w14:paraId="766FD55E" w14:textId="0B1D4B2B" w:rsidR="00FC7885" w:rsidRPr="00A83C94" w:rsidRDefault="00FC7885" w:rsidP="00FC7885">
      <w:pPr>
        <w:spacing w:line="276" w:lineRule="auto"/>
        <w:ind w:firstLine="426"/>
        <w:rPr>
          <w:b w:val="0"/>
          <w:szCs w:val="22"/>
          <w:lang w:val="hy-AM"/>
        </w:rPr>
      </w:pPr>
      <w:r w:rsidRPr="00A83C94">
        <w:rPr>
          <w:b w:val="0"/>
          <w:szCs w:val="22"/>
          <w:lang w:val="hy-AM"/>
        </w:rPr>
        <w:t xml:space="preserve">2021 թվականի և նախորդ տարիների բյուջեներով նախատեսված և Հանձնաժողովի կողմից իրականացվող միջոցառումներից ՀՀ 2022 թվականից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աշխատանքներ» միջոցառումը 2022 թվականից վերաբաշխվել է </w:t>
      </w:r>
      <w:r w:rsidR="00E70F6D" w:rsidRPr="00A83C94">
        <w:rPr>
          <w:b w:val="0"/>
          <w:szCs w:val="22"/>
          <w:lang w:val="hy-AM"/>
        </w:rPr>
        <w:t>Ծ</w:t>
      </w:r>
      <w:r w:rsidRPr="00A83C94">
        <w:rPr>
          <w:b w:val="0"/>
          <w:szCs w:val="22"/>
          <w:lang w:val="hy-AM"/>
        </w:rPr>
        <w:t>րագրի «Կոռուպցիայի կանխարգելում և բարեվարքության համակարգի զարգացում» (պահպանման ընթացիկ ծախսերի գծով) միջոցառման մեջ:</w:t>
      </w:r>
    </w:p>
    <w:p w14:paraId="3B59679E" w14:textId="77777777" w:rsidR="00FC7885" w:rsidRPr="00A83C94" w:rsidRDefault="00FC7885" w:rsidP="00FC7885">
      <w:pPr>
        <w:spacing w:line="276" w:lineRule="auto"/>
        <w:ind w:firstLine="426"/>
        <w:rPr>
          <w:b w:val="0"/>
          <w:szCs w:val="22"/>
          <w:lang w:val="hy-AM"/>
        </w:rPr>
      </w:pPr>
      <w:r w:rsidRPr="00A83C94">
        <w:rPr>
          <w:b w:val="0"/>
          <w:szCs w:val="22"/>
          <w:lang w:val="hy-AM"/>
        </w:rPr>
        <w:t>Կոռուպցիայի կանխարգելման հանձնաժողովի ծախսային ծրագրային գերակայությունները բխում են Հանձնաժողովի գործունեության հիմնական նպատակից, այն է՝ ապահովել պետական կառավարման և տեղական ինքնակառավարման ոլորտում կոռուպցիայի կանխարգելման համակարգային և անհատական գործուն մեխանիզմների ներդրումն ու արդյունավետ շահագործումը։</w:t>
      </w:r>
    </w:p>
    <w:p w14:paraId="6FE8E499" w14:textId="77777777" w:rsidR="00FC7885" w:rsidRPr="00A83C94" w:rsidRDefault="00FC7885" w:rsidP="00FC7885">
      <w:pPr>
        <w:spacing w:line="276" w:lineRule="auto"/>
        <w:ind w:firstLine="426"/>
        <w:rPr>
          <w:b w:val="0"/>
          <w:szCs w:val="22"/>
          <w:lang w:val="hy-AM"/>
        </w:rPr>
      </w:pPr>
    </w:p>
    <w:p w14:paraId="253FD189" w14:textId="77777777" w:rsidR="00FC7885" w:rsidRPr="00A83C94" w:rsidRDefault="00FC7885" w:rsidP="00832373">
      <w:pPr>
        <w:keepNext/>
        <w:spacing w:before="0" w:line="276" w:lineRule="auto"/>
        <w:ind w:firstLine="0"/>
        <w:contextualSpacing w:val="0"/>
        <w:jc w:val="center"/>
        <w:outlineLvl w:val="2"/>
        <w:rPr>
          <w:rFonts w:cs="Arial"/>
          <w:sz w:val="24"/>
          <w:lang w:val="af-ZA" w:eastAsia="en-US"/>
        </w:rPr>
      </w:pPr>
      <w:bookmarkStart w:id="336" w:name="_Toc89428340"/>
      <w:r w:rsidRPr="00A83C94">
        <w:rPr>
          <w:rFonts w:cs="Arial"/>
          <w:sz w:val="24"/>
          <w:lang w:val="hy-AM" w:eastAsia="en-US"/>
        </w:rPr>
        <w:t>ՀՀ մարդու իրավունքների պաշտպանի աշխատակազմ</w:t>
      </w:r>
      <w:bookmarkEnd w:id="336"/>
      <w:r w:rsidRPr="00A83C94">
        <w:rPr>
          <w:rFonts w:cs="Arial"/>
          <w:sz w:val="24"/>
          <w:lang w:val="af-ZA" w:eastAsia="en-US"/>
        </w:rPr>
        <w:t xml:space="preserve"> </w:t>
      </w:r>
    </w:p>
    <w:p w14:paraId="1C5629D0" w14:textId="77777777" w:rsidR="00FC7885" w:rsidRPr="00A83C94" w:rsidRDefault="00FC7885" w:rsidP="00FC7885">
      <w:pPr>
        <w:spacing w:line="276" w:lineRule="auto"/>
        <w:ind w:firstLine="426"/>
        <w:rPr>
          <w:b w:val="0"/>
          <w:szCs w:val="22"/>
          <w:lang w:val="hy-AM"/>
        </w:rPr>
      </w:pPr>
      <w:r w:rsidRPr="00A83C94">
        <w:rPr>
          <w:b w:val="0"/>
          <w:szCs w:val="22"/>
          <w:lang w:val="hy-AM"/>
        </w:rPr>
        <w:t>ՀՀ մարդու իրավունքների պաշտպանի աշխատակազմի գործունեությունը բաղկացած է երկու հիմնական ուղղություններից՝ անհատական դեպքերի քննարկում և համակարգային խնդիրների լուծմանն ուղղված քայլեր: Վերջինն իր հերթին հետապնդում է նաև կանխարգելիչ նպատակ՝ բացառելու ապագայում իրավունքների խախտման դեպքերը:</w:t>
      </w:r>
    </w:p>
    <w:p w14:paraId="308ECBDF" w14:textId="77777777" w:rsidR="00FC7885" w:rsidRPr="00A83C94" w:rsidRDefault="00FC7885" w:rsidP="00FC7885">
      <w:pPr>
        <w:spacing w:line="276" w:lineRule="auto"/>
        <w:ind w:firstLine="426"/>
        <w:rPr>
          <w:b w:val="0"/>
          <w:szCs w:val="22"/>
          <w:lang w:val="hy-AM"/>
        </w:rPr>
      </w:pPr>
      <w:r w:rsidRPr="00A83C94">
        <w:rPr>
          <w:b w:val="0"/>
          <w:szCs w:val="22"/>
          <w:lang w:val="hy-AM"/>
        </w:rPr>
        <w:t>Անհատական դեպքերի վերաբերյալ քննարկումներն իրականացվում են «Մարդու իրավունքների պաշտպանի մասին» սահմանադրական օրենքով նախատեսված երկու ուղղությամբ՝ բողոքի և սեփական նախաձեռնությամբ հարցի քննարկման ընթացակարգերով: Այս առումով անհրաժեշտ է արձանագրել, որ վերջին տարիներին էականորեն աճել են Պաշտպանին ներկայացվող դիմումների ու բողոքների թիվը: Դրանց համեմատական պատկերը ցույց է տալիս, որ 2019 թվականին, նախորդ տարվա համեմատ, դիմում-բողոքների թիվն ավելացել է՝ 22%-ով կամ 2396-ով, դառնալով՝ 13.140 դիմում-բողոք: 2020 թվականին կրկին արձանագրվել է դիմումների ու բողոքների աճ: Այսպես, 2020 թվականին դիմումների ու բողոքների թիվն կազմել է 14.780 դիմում-բողոք: Ինչպես երևում է դիմում-բողոքների աճը կրում է շարունակական բնույթ:</w:t>
      </w:r>
    </w:p>
    <w:p w14:paraId="712FE7CA" w14:textId="77777777" w:rsidR="00FC7885" w:rsidRPr="00A83C94" w:rsidRDefault="00FC7885" w:rsidP="00FC7885">
      <w:pPr>
        <w:spacing w:line="276" w:lineRule="auto"/>
        <w:ind w:firstLine="426"/>
        <w:rPr>
          <w:b w:val="0"/>
          <w:szCs w:val="22"/>
          <w:lang w:val="hy-AM"/>
        </w:rPr>
      </w:pPr>
      <w:r w:rsidRPr="00A83C94">
        <w:rPr>
          <w:b w:val="0"/>
          <w:szCs w:val="22"/>
          <w:lang w:val="hy-AM"/>
        </w:rPr>
        <w:t>2019 թվականի հետ համեմատ` 2020 թվականին գրեթե կրկնակի աճել են Պաշտպանի աշխատակազմում շուրջօրյա գործող թեժ գիծ հեռախոսահամարներին ստացված զանգերը: Այսպես, եթե 2019 թվականին թեժ գծին ստացվել է 6210 զանգ, ապա 2020 թվականին՝ 11.735 զանգ: Ստացված զանգերի հիման վրա անձանց տրամադրվել է իրավախորհրդատվություն` իրենց իրավունքների ու ազատությունների, դրանց արդյունավետ պաշտպանության իրավական միջոցների և ընթացակարգերի վերաբերյալ, ինչպես նաև արագ արձագանքման շրջանակներում կատարվել են անհետաձգելի այցեր:</w:t>
      </w:r>
    </w:p>
    <w:p w14:paraId="55DC144C" w14:textId="77777777" w:rsidR="00FC7885" w:rsidRPr="00A83C94" w:rsidRDefault="00FC7885" w:rsidP="00FC7885">
      <w:pPr>
        <w:spacing w:line="276" w:lineRule="auto"/>
        <w:ind w:firstLine="426"/>
        <w:rPr>
          <w:b w:val="0"/>
          <w:szCs w:val="22"/>
          <w:lang w:val="hy-AM"/>
        </w:rPr>
      </w:pPr>
      <w:r w:rsidRPr="00A83C94">
        <w:rPr>
          <w:b w:val="0"/>
          <w:szCs w:val="22"/>
          <w:lang w:val="hy-AM"/>
        </w:rPr>
        <w:t>Պաշտպանի աշխատակազմի գործունեության երկրորդ հիմնարար ուղղությունը համակարգային խնդիրների վերհանումն ու դրանց լուծման համար անհրաժեշտ ուղիների նախանշումն է: Հարկ է ընդգծել, որ անհատական դիմումներից բացի, համակարգային խնդիրների վերհանման աղբյուր են հանդիսանում նաև Պաշտպանի կոնվենցիոն մանդատների շրջանակում իրականացվող գործողությունները</w:t>
      </w:r>
      <w:r w:rsidRPr="00A83C94">
        <w:rPr>
          <w:b w:val="0"/>
          <w:sz w:val="24"/>
          <w:vertAlign w:val="superscript"/>
          <w:lang w:val="hy-AM" w:eastAsia="en-US"/>
        </w:rPr>
        <w:footnoteReference w:id="23"/>
      </w:r>
      <w:r w:rsidRPr="00A83C94">
        <w:rPr>
          <w:b w:val="0"/>
          <w:szCs w:val="22"/>
          <w:lang w:val="hy-AM"/>
        </w:rPr>
        <w:t>: Ոլորտային մշտադիտարկումների շնորհիվ բազմիցս արձանագրվել են խորքային խնդիրներ, որոնք պահանջում են օրենսդրական կամ այլ ինստիտուցիոնալ մոտեցում:</w:t>
      </w:r>
    </w:p>
    <w:p w14:paraId="77039D05" w14:textId="77777777" w:rsidR="00FC7885" w:rsidRPr="00A83C94" w:rsidRDefault="00FC7885" w:rsidP="00FC7885">
      <w:pPr>
        <w:spacing w:line="276" w:lineRule="auto"/>
        <w:ind w:firstLine="426"/>
        <w:rPr>
          <w:b w:val="0"/>
          <w:szCs w:val="22"/>
          <w:lang w:val="hy-AM"/>
        </w:rPr>
      </w:pPr>
      <w:r w:rsidRPr="00A83C94">
        <w:rPr>
          <w:b w:val="0"/>
          <w:szCs w:val="22"/>
          <w:lang w:val="hy-AM"/>
        </w:rPr>
        <w:t>Մարդու իրավունքների պաշտպանի գործունեությունն իր բնույթով պետք է լինի նաև կանխարգելիչ: Անհատական դիմումների քննարկումից և օրենքով վերապահված այլ գործառույթների իրականացումից վերհանված խնդիրներին հաճախ կարիք է լինում ցուցաբերել ինստիտուցիոնալ մոտեցում: Այդ առումով Պաշտպանի գործառույթները կարելի է դասակարգել հետևյալ հիմնական ուղղությունների՝</w:t>
      </w:r>
    </w:p>
    <w:p w14:paraId="60ABBADB" w14:textId="77777777" w:rsidR="00FC7885" w:rsidRPr="00A83C94" w:rsidRDefault="00FC7885" w:rsidP="00FC7885">
      <w:pPr>
        <w:spacing w:line="276" w:lineRule="auto"/>
        <w:ind w:firstLine="426"/>
        <w:rPr>
          <w:b w:val="0"/>
          <w:szCs w:val="22"/>
          <w:lang w:val="hy-AM"/>
        </w:rPr>
      </w:pPr>
      <w:r w:rsidRPr="00A83C94">
        <w:rPr>
          <w:b w:val="0"/>
          <w:szCs w:val="22"/>
          <w:lang w:val="hy-AM"/>
        </w:rPr>
        <w:t>1.</w:t>
      </w:r>
      <w:r w:rsidRPr="00A83C94">
        <w:rPr>
          <w:b w:val="0"/>
          <w:szCs w:val="22"/>
          <w:lang w:val="hy-AM"/>
        </w:rPr>
        <w:tab/>
        <w:t>օրենքների և ենթաօրենսդրական ակտերի նախագծերի մշակում.</w:t>
      </w:r>
    </w:p>
    <w:p w14:paraId="372C4EEF" w14:textId="77777777" w:rsidR="00FC7885" w:rsidRPr="00A83C94" w:rsidRDefault="00FC7885" w:rsidP="00FC7885">
      <w:pPr>
        <w:spacing w:line="276" w:lineRule="auto"/>
        <w:ind w:firstLine="426"/>
        <w:rPr>
          <w:b w:val="0"/>
          <w:szCs w:val="22"/>
          <w:lang w:val="hy-AM"/>
        </w:rPr>
      </w:pPr>
      <w:r w:rsidRPr="00A83C94">
        <w:rPr>
          <w:b w:val="0"/>
          <w:szCs w:val="22"/>
          <w:lang w:val="hy-AM"/>
        </w:rPr>
        <w:t>2.</w:t>
      </w:r>
      <w:r w:rsidRPr="00A83C94">
        <w:rPr>
          <w:b w:val="0"/>
          <w:szCs w:val="22"/>
          <w:lang w:val="hy-AM"/>
        </w:rPr>
        <w:tab/>
        <w:t>օրենքների, Ազգային ժողովի որոշումների, Հանրապետության նախագահի հրամանագրերի և կարգադրությունների, Կառավարության և վարչապետի որոշումների, ենթաօրենսդրական նորմատիվ իրավական ակտերի Սահմանադրության 2-րդ գլխի դրույթներին համապատասխանության հարցերով Սահմանադրական դատարան դիմումի հասցեագրում.</w:t>
      </w:r>
    </w:p>
    <w:p w14:paraId="39DCE577" w14:textId="77777777" w:rsidR="00FC7885" w:rsidRPr="00A83C94" w:rsidRDefault="00FC7885" w:rsidP="00FC7885">
      <w:pPr>
        <w:spacing w:line="276" w:lineRule="auto"/>
        <w:ind w:firstLine="426"/>
        <w:rPr>
          <w:b w:val="0"/>
          <w:szCs w:val="22"/>
          <w:lang w:val="hy-AM"/>
        </w:rPr>
      </w:pPr>
      <w:r w:rsidRPr="00A83C94">
        <w:rPr>
          <w:b w:val="0"/>
          <w:szCs w:val="22"/>
          <w:lang w:val="hy-AM"/>
        </w:rPr>
        <w:t>3.</w:t>
      </w:r>
      <w:r w:rsidRPr="00A83C94">
        <w:rPr>
          <w:b w:val="0"/>
          <w:szCs w:val="22"/>
          <w:lang w:val="hy-AM"/>
        </w:rPr>
        <w:tab/>
        <w:t>մինչև մարդու իրավունքներին և ազատություններին վերաբերող նորմատիվ իրավական ակտերի նախագծերի ընդունումը դրանց վերաբերյալ իրավասու մարմին գրավոր կարծիքների տրամադրում.</w:t>
      </w:r>
    </w:p>
    <w:p w14:paraId="6A5BDA5F" w14:textId="77777777" w:rsidR="00FC7885" w:rsidRPr="00A83C94" w:rsidRDefault="00FC7885" w:rsidP="00FC7885">
      <w:pPr>
        <w:spacing w:line="276" w:lineRule="auto"/>
        <w:ind w:firstLine="426"/>
        <w:rPr>
          <w:b w:val="0"/>
          <w:szCs w:val="22"/>
          <w:lang w:val="hy-AM"/>
        </w:rPr>
      </w:pPr>
      <w:r w:rsidRPr="00A83C94">
        <w:rPr>
          <w:b w:val="0"/>
          <w:szCs w:val="22"/>
          <w:lang w:val="hy-AM"/>
        </w:rPr>
        <w:t>4.</w:t>
      </w:r>
      <w:r w:rsidRPr="00A83C94">
        <w:rPr>
          <w:b w:val="0"/>
          <w:szCs w:val="22"/>
          <w:lang w:val="hy-AM"/>
        </w:rPr>
        <w:tab/>
        <w:t>Սահմանադրական դատարանում քննվող՝ Սահմանադրության 2-րդ գլխի դրույթներին հակասությանը վերաբերող դիմումների վերաբերյալ հատուկ կարծիքների ներկայացում:</w:t>
      </w:r>
    </w:p>
    <w:p w14:paraId="60D56E0A"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Այս հիմնական ուղղություններով աշխատանքն իրականացվում է Պաշտպանի՝ նորմատիվ իրավական ակտերի կատարելագործմանն առնչվող սահմանադրական լիազորության շրջանակում: Սա թույլ է տալիս ոչ միայն նպաստել ներպետական օրենսդրության զարգացմանը, այլ նաև անհատական դիմումներից, մշտադիտարկումներից և այլ աղբյուրներից վերհանված խնդիրների լուծմանն ուղղված քայլեր ձեռնարկել: </w:t>
      </w:r>
    </w:p>
    <w:p w14:paraId="76EB5550" w14:textId="77777777" w:rsidR="00FC7885" w:rsidRPr="00A83C94" w:rsidRDefault="00FC7885" w:rsidP="00FC7885">
      <w:pPr>
        <w:spacing w:line="276" w:lineRule="auto"/>
        <w:ind w:firstLine="426"/>
        <w:rPr>
          <w:b w:val="0"/>
          <w:szCs w:val="22"/>
          <w:lang w:val="hy-AM"/>
        </w:rPr>
      </w:pPr>
      <w:r w:rsidRPr="00A83C94">
        <w:rPr>
          <w:b w:val="0"/>
          <w:szCs w:val="22"/>
          <w:lang w:val="hy-AM"/>
        </w:rPr>
        <w:t>1. Օրենքների և ենթաօրենսդրական ակտերի նախագծերի մշակում</w:t>
      </w:r>
    </w:p>
    <w:p w14:paraId="3D34DC8B"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Վերջին տարիներին գործադրվել է նոր պրակտիկա, որը ենթադրում է, որ մարդու իրավունքներին առնչվող համակարգային խնդիրների լուծման ուղղությամբ Պաշտպանի աշխատակազմում մշակվում են օրենսդրական նախագծեր, դրանք շրջանառվում են իրավասու պետական մարմինների, ինչպես նաև համապատասխան հասարակական կազմակերպությունների շրջանակներում և ներկայացվում կառավարության և խորհրդարանի քննարկմանը: </w:t>
      </w:r>
    </w:p>
    <w:p w14:paraId="2FFD8B5A" w14:textId="77777777" w:rsidR="00FC7885" w:rsidRPr="00A83C94" w:rsidRDefault="00FC7885" w:rsidP="00FC7885">
      <w:pPr>
        <w:spacing w:line="276" w:lineRule="auto"/>
        <w:ind w:firstLine="426"/>
        <w:rPr>
          <w:b w:val="0"/>
          <w:szCs w:val="22"/>
          <w:lang w:val="hy-AM"/>
        </w:rPr>
      </w:pPr>
      <w:r w:rsidRPr="00A83C94">
        <w:rPr>
          <w:b w:val="0"/>
          <w:szCs w:val="22"/>
          <w:lang w:val="hy-AM"/>
        </w:rPr>
        <w:t>2. Իրավական ակտերի Սահմանադրության համապատասխանության հարցերով Սահմանադրական դատարան դիմումի հասցեագրում</w:t>
      </w:r>
    </w:p>
    <w:p w14:paraId="2CD7C0C8"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Նորմատիվ իրավական ակտերի կատարելագործման սահմանադրական գործառույթի իրականացման կարևոր ուղղություններից է նաև Սահմանադրական դատարան դիմումների ներկայացումը: Դրանցով վիճարկվում են օրենսդրական կոնկրետ կարգավորումների հակասությունը Սահմանադրության 2-րդ գլխով նախատեսված դրույթներին: </w:t>
      </w:r>
    </w:p>
    <w:p w14:paraId="6C0B7E43" w14:textId="77777777" w:rsidR="00FC7885" w:rsidRPr="00A83C94" w:rsidRDefault="00FC7885" w:rsidP="00FC7885">
      <w:pPr>
        <w:spacing w:line="276" w:lineRule="auto"/>
        <w:ind w:firstLine="426"/>
        <w:rPr>
          <w:b w:val="0"/>
          <w:szCs w:val="22"/>
          <w:lang w:val="hy-AM"/>
        </w:rPr>
      </w:pPr>
      <w:r w:rsidRPr="00A83C94">
        <w:rPr>
          <w:b w:val="0"/>
          <w:szCs w:val="22"/>
          <w:lang w:val="hy-AM"/>
        </w:rPr>
        <w:t>3. Մարդու իրավունքներին և ազատություններին վերաբերող նորմատիվ իրավական ակտերի նախագծերի վերաբերյալ գրավոր կարծիքի տրամադրում</w:t>
      </w:r>
    </w:p>
    <w:p w14:paraId="0FF7C6BB"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Պաշտպանն իր՝ նորմատիվ իրավական ակտերի կատարելագործման գործառույթի շրջանակներում 2022 թվականին շարունակելու է տրամադրել դիրքորոշումներ իրավասու մարմինների ներկայացրած փոփոխություններին ու  առաջարկություններին: </w:t>
      </w:r>
    </w:p>
    <w:p w14:paraId="2F8FA71C" w14:textId="77777777" w:rsidR="00FC7885" w:rsidRPr="00A83C94" w:rsidRDefault="00FC7885" w:rsidP="00FC7885">
      <w:pPr>
        <w:spacing w:line="276" w:lineRule="auto"/>
        <w:ind w:firstLine="426"/>
        <w:rPr>
          <w:b w:val="0"/>
          <w:szCs w:val="22"/>
          <w:lang w:val="hy-AM"/>
        </w:rPr>
      </w:pPr>
      <w:r w:rsidRPr="00A83C94">
        <w:rPr>
          <w:b w:val="0"/>
          <w:szCs w:val="22"/>
          <w:lang w:val="hy-AM"/>
        </w:rPr>
        <w:t>4. Սահմանադրական դատարանում քննվող դիմումների վերաբերյալ հատուկ կարծիքների ներկայացում</w:t>
      </w:r>
    </w:p>
    <w:p w14:paraId="350AB956"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Պաշտպանը մշտական ներկայացուցիչ ունի նաև ՀՀ սահմանադրական դատարանում: Նշված գործառույթը հատկապես կարևորվում է նրանով, որ Պաշտպանը դատարանին ուղղված՝ Սահմանադրության 2-րդ գլխի դրույթներին վերաբերող դիմումների վերաբերյալ ներկայացնում է հատուկ դիրքորոշում (amicus brief): </w:t>
      </w:r>
    </w:p>
    <w:p w14:paraId="7774DBC0" w14:textId="77777777" w:rsidR="00FC7885" w:rsidRPr="00A83C94" w:rsidRDefault="00FC7885" w:rsidP="00FC7885">
      <w:pPr>
        <w:spacing w:line="276" w:lineRule="auto"/>
        <w:ind w:firstLine="426"/>
        <w:rPr>
          <w:b w:val="0"/>
          <w:szCs w:val="22"/>
          <w:lang w:val="hy-AM"/>
        </w:rPr>
      </w:pPr>
      <w:r w:rsidRPr="00A83C94">
        <w:rPr>
          <w:b w:val="0"/>
          <w:szCs w:val="22"/>
          <w:lang w:val="hy-AM"/>
        </w:rPr>
        <w:t>Վերոգրյալի հետ մեկտեղ՝ «Իրավահավասարության ապահովման մասին» օրենքի նախագծով նախատեսվում է երաշխավորել ՀՀ-ում յուրաքանչյուր անձի իրավունքների ու ազատությունների իրականացման հավասար հնարավորությունները, կատարելագործել խտրականության դեմ պայքարի բնագավառի օրենսդրությունը, ապահովել խտրականության կանխարգելման, դրանից իրավական և դատական պաշտպանության իրավական հիմքերը: Օրենսդրական փաթեթում ներառված է նաև ««Մարդու իրավունքների պաշտպանի մասին» սահմանադրական օրենքում լրացումներ կատարելու մասին» սահմանադրական օրենքի նախագիծը, որով հստակ կարգավորված են Պաշտպանի՝ իրավահավասարության ապահովման հարցում լիազորությունները, ինչպես նաև այդ լիազորությունների իրականացմանն ուղղված նոր իրավական գործիքները:</w:t>
      </w:r>
    </w:p>
    <w:p w14:paraId="2013DCF2" w14:textId="285F6CB1" w:rsidR="00FC7885" w:rsidRPr="00A83C94" w:rsidRDefault="00FC7885" w:rsidP="00FC7885">
      <w:pPr>
        <w:spacing w:line="276" w:lineRule="auto"/>
        <w:ind w:firstLine="426"/>
        <w:rPr>
          <w:b w:val="0"/>
          <w:szCs w:val="22"/>
          <w:lang w:val="hy-AM"/>
        </w:rPr>
      </w:pPr>
    </w:p>
    <w:p w14:paraId="1EC5B884" w14:textId="78B11BE6" w:rsidR="007A3170" w:rsidRPr="00A83C94" w:rsidRDefault="007A3170" w:rsidP="007A3170">
      <w:pPr>
        <w:keepNext/>
        <w:spacing w:before="0" w:line="276" w:lineRule="auto"/>
        <w:ind w:firstLine="0"/>
        <w:contextualSpacing w:val="0"/>
        <w:jc w:val="center"/>
        <w:outlineLvl w:val="2"/>
        <w:rPr>
          <w:b w:val="0"/>
          <w:sz w:val="24"/>
          <w:lang w:val="hy-AM"/>
        </w:rPr>
      </w:pPr>
      <w:bookmarkStart w:id="337" w:name="_Toc89428341"/>
      <w:r w:rsidRPr="00A83C94">
        <w:rPr>
          <w:rFonts w:cs="Arial"/>
          <w:sz w:val="24"/>
          <w:lang w:val="hy-AM" w:eastAsia="en-US"/>
        </w:rPr>
        <w:t>ՀՀ հաշվեքննիչ պալատ</w:t>
      </w:r>
      <w:bookmarkEnd w:id="337"/>
    </w:p>
    <w:p w14:paraId="18D67976" w14:textId="77777777" w:rsidR="007A3170" w:rsidRPr="00A83C94" w:rsidRDefault="007A3170" w:rsidP="007A3170">
      <w:pPr>
        <w:spacing w:line="276" w:lineRule="auto"/>
        <w:ind w:firstLine="426"/>
        <w:rPr>
          <w:b w:val="0"/>
          <w:szCs w:val="22"/>
          <w:lang w:val="hy-AM"/>
        </w:rPr>
      </w:pPr>
      <w:r w:rsidRPr="00A83C94">
        <w:rPr>
          <w:b w:val="0"/>
          <w:szCs w:val="22"/>
          <w:lang w:val="hy-AM"/>
        </w:rPr>
        <w:t>Հաշվեքննիչ պալատի գործունեության նպատակն է հանրային ֆինանսների և սեփականության ոլորտում պետական և համայնքային բյուջեների միջոցների, ստացած փոխառությունների և վարկերի, պետական և համայնքային սեփականության օգտագործման օրինականության և արդյունավետության վերաբերյալ Ազգային ժողովին և հանրությանը ժամանակին, մասնագիտական և անկողմնակալ տեղեկատվություն ներկայացնելը:</w:t>
      </w:r>
    </w:p>
    <w:p w14:paraId="76FE52B2" w14:textId="77777777" w:rsidR="007A3170" w:rsidRPr="00A83C94" w:rsidRDefault="007A3170" w:rsidP="007A3170">
      <w:pPr>
        <w:spacing w:line="276" w:lineRule="auto"/>
        <w:ind w:firstLine="426"/>
        <w:rPr>
          <w:b w:val="0"/>
          <w:szCs w:val="22"/>
          <w:lang w:val="hy-AM"/>
        </w:rPr>
      </w:pPr>
      <w:r w:rsidRPr="00A83C94">
        <w:rPr>
          <w:b w:val="0"/>
          <w:szCs w:val="22"/>
          <w:lang w:val="hy-AM"/>
        </w:rPr>
        <w:t>Նպատակային թիրախներն ապահովելու համար Հաշվեքննիչ պալատը ձգտում է մինչև 2024 թվականը հասնել վերջնական արդյունքների՝ հետևյալ ուղղություններում.</w:t>
      </w:r>
    </w:p>
    <w:p w14:paraId="15B764A9" w14:textId="0366F90E" w:rsidR="007A3170" w:rsidRPr="00A83C94" w:rsidRDefault="007A3170" w:rsidP="007A3170">
      <w:pPr>
        <w:spacing w:line="276" w:lineRule="auto"/>
        <w:ind w:firstLine="426"/>
        <w:rPr>
          <w:b w:val="0"/>
          <w:szCs w:val="22"/>
          <w:lang w:val="hy-AM"/>
        </w:rPr>
      </w:pPr>
      <w:r w:rsidRPr="00A83C94">
        <w:rPr>
          <w:b w:val="0"/>
          <w:szCs w:val="22"/>
          <w:lang w:val="hy-AM"/>
        </w:rPr>
        <w:t>- Արտաքին պետական հաշվեքննության ոլորտի վերաբերյալ ՀՀ օրենսդրության բարելավում՝ նկատի ունենալով INTOSAI ստանդարտներով  սահմանված ֆինանսական, գործառնական և կազմակերպչական անկախության հարցերը,</w:t>
      </w:r>
    </w:p>
    <w:p w14:paraId="379D73BF" w14:textId="7061E8F1" w:rsidR="007A3170" w:rsidRPr="00A83C94" w:rsidRDefault="007A3170" w:rsidP="007A3170">
      <w:pPr>
        <w:spacing w:line="276" w:lineRule="auto"/>
        <w:ind w:firstLine="426"/>
        <w:rPr>
          <w:b w:val="0"/>
          <w:szCs w:val="22"/>
          <w:lang w:val="hy-AM"/>
        </w:rPr>
      </w:pPr>
      <w:r w:rsidRPr="00A83C94">
        <w:rPr>
          <w:b w:val="0"/>
          <w:szCs w:val="22"/>
          <w:lang w:val="hy-AM"/>
        </w:rPr>
        <w:t>- Հաշվեքննության գործընթացի որակի բարձրացում՝ նկատի ունենալով նաև Հաշվեքննիչ պալատի ՏՏ ենթակառուցվածքների զարգացման հարցերը:</w:t>
      </w:r>
    </w:p>
    <w:p w14:paraId="2E6E43C0" w14:textId="385A8F57" w:rsidR="007A3170" w:rsidRPr="00A83C94" w:rsidRDefault="007A3170" w:rsidP="007A3170">
      <w:pPr>
        <w:spacing w:line="276" w:lineRule="auto"/>
        <w:ind w:firstLine="426"/>
        <w:rPr>
          <w:b w:val="0"/>
          <w:szCs w:val="22"/>
          <w:lang w:val="hy-AM"/>
        </w:rPr>
      </w:pPr>
      <w:r w:rsidRPr="00A83C94">
        <w:rPr>
          <w:b w:val="0"/>
          <w:szCs w:val="22"/>
          <w:lang w:val="hy-AM"/>
        </w:rPr>
        <w:t>- Հաշվեքննիչ պալատում մասնագիտական կարողություների շարունակական զարգացում:</w:t>
      </w:r>
    </w:p>
    <w:p w14:paraId="5729DCAA" w14:textId="4C4FBA63" w:rsidR="007A3170" w:rsidRPr="00A83C94" w:rsidRDefault="007A3170" w:rsidP="007A3170">
      <w:pPr>
        <w:spacing w:line="276" w:lineRule="auto"/>
        <w:ind w:firstLine="426"/>
        <w:rPr>
          <w:b w:val="0"/>
          <w:szCs w:val="22"/>
          <w:lang w:val="hy-AM"/>
        </w:rPr>
      </w:pPr>
      <w:r w:rsidRPr="00A83C94">
        <w:rPr>
          <w:b w:val="0"/>
          <w:szCs w:val="22"/>
          <w:lang w:val="hy-AM"/>
        </w:rPr>
        <w:t xml:space="preserve">- Ազգային ժողովի, կառավարության և այլ շահառուների հետ համագործակցության զարգացում՝ հատկապես նկատի ունենալով հաշվեքննությունից հետո տարվող աշխատանքները՝ follow-up գործընթաց: </w:t>
      </w:r>
    </w:p>
    <w:p w14:paraId="7C033D45" w14:textId="77777777" w:rsidR="007A3170" w:rsidRPr="00A83C94" w:rsidRDefault="007A3170" w:rsidP="007A3170">
      <w:pPr>
        <w:spacing w:line="276" w:lineRule="auto"/>
        <w:ind w:firstLine="426"/>
        <w:rPr>
          <w:b w:val="0"/>
          <w:szCs w:val="22"/>
          <w:lang w:val="hy-AM"/>
        </w:rPr>
      </w:pPr>
      <w:r w:rsidRPr="00A83C94">
        <w:rPr>
          <w:b w:val="0"/>
          <w:szCs w:val="22"/>
          <w:lang w:val="hy-AM"/>
        </w:rPr>
        <w:t xml:space="preserve"> Իր նպատակներին հասնելու համար Հաշվեքննիչ պալատը իրականացնում է գործառույթներ, որոնց վերջնական արդյունքի վերբերյալ գնահատական կարող է հանդիսանալ Հաշվեքննիչ պալատի կատարողականի ինքնագնահատումը:</w:t>
      </w:r>
    </w:p>
    <w:p w14:paraId="23528644" w14:textId="77777777" w:rsidR="007A3170" w:rsidRPr="00A83C94" w:rsidRDefault="007A3170" w:rsidP="007A3170">
      <w:pPr>
        <w:spacing w:line="276" w:lineRule="auto"/>
        <w:ind w:firstLine="426"/>
        <w:rPr>
          <w:b w:val="0"/>
          <w:szCs w:val="22"/>
          <w:lang w:val="hy-AM"/>
        </w:rPr>
      </w:pPr>
      <w:r w:rsidRPr="00A83C94">
        <w:rPr>
          <w:b w:val="0"/>
          <w:szCs w:val="22"/>
          <w:lang w:val="hy-AM"/>
        </w:rPr>
        <w:t>Համաձայն INTOSAI կողմից սահմանված պահանջների, Աուդիտի բարձրագույն մարմինների կատարողականի գնահատումն իրականացվում է 3-5 տարին մեկ:</w:t>
      </w:r>
    </w:p>
    <w:p w14:paraId="2FF59E78" w14:textId="77777777" w:rsidR="007A3170" w:rsidRPr="00A83C94" w:rsidRDefault="007A3170" w:rsidP="007A3170">
      <w:pPr>
        <w:spacing w:line="240" w:lineRule="auto"/>
        <w:rPr>
          <w:rFonts w:cs="Sylfaen"/>
          <w:kern w:val="16"/>
          <w:lang w:val="hy-AM"/>
        </w:rPr>
      </w:pPr>
    </w:p>
    <w:p w14:paraId="3F87BE36" w14:textId="77777777" w:rsidR="00FC7885" w:rsidRPr="00A83C94" w:rsidRDefault="00FC7885" w:rsidP="00832373">
      <w:pPr>
        <w:keepNext/>
        <w:spacing w:before="0" w:line="276" w:lineRule="auto"/>
        <w:ind w:firstLine="0"/>
        <w:contextualSpacing w:val="0"/>
        <w:jc w:val="center"/>
        <w:outlineLvl w:val="2"/>
        <w:rPr>
          <w:rFonts w:cs="Arial"/>
          <w:sz w:val="24"/>
          <w:lang w:val="af-ZA" w:eastAsia="en-US"/>
        </w:rPr>
      </w:pPr>
      <w:bookmarkStart w:id="338" w:name="_Toc89428342"/>
      <w:r w:rsidRPr="00A83C94">
        <w:rPr>
          <w:rFonts w:cs="Arial"/>
          <w:sz w:val="24"/>
          <w:lang w:val="hy-AM" w:eastAsia="en-US"/>
        </w:rPr>
        <w:t>ՀՀ կենտրոնական ընտրական հանձնաժողով</w:t>
      </w:r>
      <w:bookmarkEnd w:id="338"/>
      <w:r w:rsidRPr="00A83C94">
        <w:rPr>
          <w:rFonts w:cs="Arial"/>
          <w:sz w:val="24"/>
          <w:lang w:val="af-ZA" w:eastAsia="en-US"/>
        </w:rPr>
        <w:t xml:space="preserve"> </w:t>
      </w:r>
    </w:p>
    <w:p w14:paraId="5598E313" w14:textId="77777777" w:rsidR="00FC7885" w:rsidRPr="00A83C94" w:rsidRDefault="00FC7885" w:rsidP="00FC7885">
      <w:pPr>
        <w:spacing w:line="276" w:lineRule="auto"/>
        <w:ind w:firstLine="426"/>
        <w:rPr>
          <w:b w:val="0"/>
          <w:szCs w:val="22"/>
          <w:lang w:val="hy-AM"/>
        </w:rPr>
      </w:pPr>
      <w:r w:rsidRPr="00A83C94">
        <w:rPr>
          <w:b w:val="0"/>
          <w:szCs w:val="22"/>
          <w:lang w:val="hy-AM"/>
        </w:rPr>
        <w:t xml:space="preserve">Հայաստանի Հանրապետության կենտրոնական ընտրական հանձնաժողովը սահմանադրական կարգավիճակով օժտված անկախ պետական մարմին է, որը կազմակերպում է Ազգային ժողովի և տեղական ինքնակառավարման մարմինների ընտրությունները, հանրաքվեները, ինչպես նաև վերահսկողություն է իրականացնում դրանց օրինականության նկատմամբ: Հանձնաժողովի աշխատանքներն ուղղված են ընտրական գործընթացների պատշաճ կազմակերպմանն ու անցկացմանը, դրանց բարելավմանն ու կատարելագործմանը, ընտրական իրավունքի և ընտրական գործընթացների վերաբերյալ ուսուցումների և դասընթացների կազմակերպմանը, դասավանդման նոր մեթոդաբանության, ուսուցման նոր հարթակների մշակմանն ու ներդրմանը և ընտրական գործընթացների վերաբերյալ հանրային իրազեկման ապահովմանն ու ընդլայնմանը։ Հանձմաժողովը իրականցնում է Ընտրական  գործընթացների  համակարգում,  նախապատրաստում,  հաշվետվական  համակարգի կազմակերպում, վերլուծություն, ընտրական   պաշտոնների վերապատրաստում, քաղաքացիների դիմումների և բողոքների քննարկում: Հանձնաժողովը անդամակցում է Եվրոպայի ընտրական իշխանությունների ասոցիացիա  (ACEEEO) կազմակերպությանը: Գոյություն ունեցող ծախսային պարտավորությունների ապահովման համար իրականացվում են վերլուծություններ, ուսումնասիրություններ, կազմակերպվում են Հանձնաժողովի անդամների և Հանձնաժողովի աշխատակիցների վերապատրաստումներ, անցկացվում են սեմինարներ, կոնֆերանսներ, ապահովվում են շփումներ շահագրգիռ մասնակիցների հետ (կուսակցությունների ներկայացուցիչներ, հասարակական կազմակերպություններ, զանգվածային լրատվության միջոցների ներկայացուցիչներ, տարածքային ընտրական հանձնաժողովներ և այլն)։  </w:t>
      </w:r>
    </w:p>
    <w:p w14:paraId="310F8068" w14:textId="77777777" w:rsidR="00D1245D" w:rsidRPr="00A83C94" w:rsidRDefault="00832373" w:rsidP="00D1245D">
      <w:pPr>
        <w:spacing w:line="276" w:lineRule="auto"/>
        <w:ind w:firstLine="426"/>
        <w:rPr>
          <w:b w:val="0"/>
          <w:szCs w:val="22"/>
          <w:lang w:val="hy-AM"/>
        </w:rPr>
      </w:pPr>
      <w:r w:rsidRPr="00A83C94">
        <w:rPr>
          <w:b w:val="0"/>
          <w:szCs w:val="22"/>
          <w:lang w:val="hy-AM"/>
        </w:rPr>
        <w:t xml:space="preserve">Ընտրական գործընթացների համակարգում, կանոնակարգում և տեղեկատվության տրամադրում ծրագրի շրջանակներում 2022 թվականի համար նախատեսվել է շուրջ 1,268.4 մլն դրամ </w:t>
      </w:r>
      <w:r w:rsidR="00D1245D" w:rsidRPr="00D1245D">
        <w:rPr>
          <w:b w:val="0"/>
          <w:szCs w:val="22"/>
          <w:lang w:val="hy-AM"/>
        </w:rPr>
        <w:t>(ներառյալ կառավարման ապարատի պահպանման ծախսերը)։</w:t>
      </w:r>
      <w:r w:rsidR="00D1245D" w:rsidRPr="00A83C94">
        <w:rPr>
          <w:b w:val="0"/>
          <w:szCs w:val="22"/>
          <w:lang w:val="hy-AM"/>
        </w:rPr>
        <w:t xml:space="preserve"> Ծրագրի նպատակն է օրինական և թափանցիկ ընտրական գործընթացների կազմակերպումը և ապահովումը:</w:t>
      </w:r>
    </w:p>
    <w:p w14:paraId="3ABDF29E" w14:textId="4F5197E7" w:rsidR="00D1245D" w:rsidRPr="00B46595" w:rsidRDefault="00D1245D" w:rsidP="00D1245D">
      <w:pPr>
        <w:spacing w:line="276" w:lineRule="auto"/>
        <w:ind w:firstLine="426"/>
        <w:rPr>
          <w:b w:val="0"/>
          <w:szCs w:val="22"/>
          <w:lang w:val="hy-AM"/>
        </w:rPr>
      </w:pPr>
      <w:r w:rsidRPr="00A83C94">
        <w:rPr>
          <w:b w:val="0"/>
          <w:szCs w:val="22"/>
          <w:lang w:val="hy-AM"/>
        </w:rPr>
        <w:t xml:space="preserve">Ծրագրի շրջանակներում՝ տեղական ինքնակառավարման մարմինների ընտրությունների կազմակերպման նպատակով 2022 թվականի համար նախատեսվել է 827.5 մլն դրամ: Ընտրությունների վրա կատարվող ծախսը մեկ ընտրողի հաշվով կազմում է  1069 դրամ, իսկ առանց ՏԸՀ աշխատավարձերի 188 </w:t>
      </w:r>
      <w:r w:rsidRPr="00D1245D">
        <w:rPr>
          <w:b w:val="0"/>
          <w:szCs w:val="22"/>
          <w:lang w:val="hy-AM"/>
        </w:rPr>
        <w:t>դրամ:</w:t>
      </w:r>
    </w:p>
    <w:p w14:paraId="4A85C847" w14:textId="73DAEEFE" w:rsidR="0028499B" w:rsidRPr="00D1245D" w:rsidRDefault="0028499B" w:rsidP="00D1245D">
      <w:pPr>
        <w:spacing w:line="276" w:lineRule="auto"/>
        <w:ind w:firstLine="426"/>
        <w:rPr>
          <w:lang w:val="hy-AM"/>
        </w:rPr>
      </w:pPr>
    </w:p>
    <w:p w14:paraId="41574C89" w14:textId="316836E0" w:rsidR="00DE47A7" w:rsidRPr="00A30EDC" w:rsidRDefault="0028499B" w:rsidP="00A30EDC">
      <w:pPr>
        <w:pStyle w:val="Heading1"/>
        <w:rPr>
          <w:szCs w:val="28"/>
          <w:lang w:val="hy-AM"/>
        </w:rPr>
      </w:pPr>
      <w:r w:rsidRPr="00EB774C">
        <w:rPr>
          <w:szCs w:val="22"/>
          <w:lang w:val="hy-AM"/>
        </w:rPr>
        <w:br w:type="page"/>
      </w:r>
      <w:bookmarkStart w:id="339" w:name="_Toc89428343"/>
      <w:r w:rsidR="00DE47A7" w:rsidRPr="00EB774C">
        <w:rPr>
          <w:lang w:val="hy-AM"/>
        </w:rPr>
        <w:t>ՎԵՐԼՈՒԾՈՒԹՅՈՒՆՆԵՐ</w:t>
      </w:r>
      <w:bookmarkEnd w:id="339"/>
    </w:p>
    <w:p w14:paraId="060E05D9" w14:textId="77777777" w:rsidR="00EC60AF" w:rsidRPr="00A30EDC" w:rsidRDefault="00EC60AF" w:rsidP="004A39B9">
      <w:pPr>
        <w:spacing w:before="0" w:line="276" w:lineRule="auto"/>
        <w:ind w:firstLine="0"/>
        <w:contextualSpacing w:val="0"/>
        <w:jc w:val="center"/>
        <w:rPr>
          <w:sz w:val="28"/>
          <w:szCs w:val="28"/>
          <w:lang w:val="hy-AM"/>
        </w:rPr>
      </w:pPr>
    </w:p>
    <w:p w14:paraId="4D1FFD88" w14:textId="77777777" w:rsidR="00E81B58" w:rsidRPr="00A83C94" w:rsidRDefault="003342DF" w:rsidP="002F7255">
      <w:pPr>
        <w:pStyle w:val="Heading3"/>
      </w:pPr>
      <w:bookmarkStart w:id="340" w:name="_Toc89428344"/>
      <w:r w:rsidRPr="00A83C94">
        <w:t xml:space="preserve">1. </w:t>
      </w:r>
      <w:r w:rsidR="00E81B58" w:rsidRPr="00A83C94">
        <w:t>ՀԱՅԱՍՏԱՆԻ ՀԱՆՐԱՊԵՏՈՒԹՅԱՆ ՊԵՏԱԿԱՆ ՊԱՐՏՔԸ</w:t>
      </w:r>
      <w:bookmarkEnd w:id="340"/>
    </w:p>
    <w:p w14:paraId="278F855F" w14:textId="77777777" w:rsidR="002526E9" w:rsidRPr="002526E9" w:rsidRDefault="002526E9" w:rsidP="002526E9">
      <w:pPr>
        <w:shd w:val="clear" w:color="auto" w:fill="FFFFFF"/>
        <w:spacing w:before="0" w:line="276" w:lineRule="auto"/>
        <w:ind w:firstLine="720"/>
        <w:contextualSpacing w:val="0"/>
        <w:rPr>
          <w:rFonts w:eastAsiaTheme="minorHAnsi" w:cstheme="minorBidi"/>
          <w:b w:val="0"/>
          <w:szCs w:val="22"/>
          <w:lang w:val="af-ZA" w:eastAsia="en-US"/>
        </w:rPr>
      </w:pPr>
      <w:bookmarkStart w:id="341" w:name="_Toc14687615"/>
      <w:bookmarkStart w:id="342" w:name="_Toc13837279"/>
      <w:bookmarkStart w:id="343" w:name="_Toc45838560"/>
      <w:bookmarkStart w:id="344" w:name="_Toc46154385"/>
      <w:bookmarkStart w:id="345" w:name="_Toc20654688"/>
    </w:p>
    <w:p w14:paraId="47FC5AEA" w14:textId="4640C639" w:rsidR="002526E9" w:rsidRDefault="002526E9" w:rsidP="002526E9">
      <w:pPr>
        <w:shd w:val="clear" w:color="auto" w:fill="FFFFFF"/>
        <w:spacing w:before="0" w:line="276" w:lineRule="auto"/>
        <w:ind w:firstLine="720"/>
        <w:contextualSpacing w:val="0"/>
        <w:rPr>
          <w:rFonts w:eastAsiaTheme="minorHAnsi" w:cstheme="minorBidi"/>
          <w:b w:val="0"/>
          <w:szCs w:val="22"/>
          <w:lang w:val="hy-AM" w:eastAsia="en-US"/>
        </w:rPr>
      </w:pPr>
      <w:r w:rsidRPr="002526E9">
        <w:rPr>
          <w:rFonts w:eastAsiaTheme="minorHAnsi" w:cstheme="minorBidi"/>
          <w:b w:val="0"/>
          <w:szCs w:val="22"/>
          <w:lang w:val="hy-AM" w:eastAsia="en-US"/>
        </w:rPr>
        <w:t>ՀՀ 2022թ. պետական բյուջեի հիմքում դրված կանխատեսումների համաձայն` 2021 թվականի դեկտեմբերի 31-ի դրությամբ պետական պարտքը կկազմի 4,511 մլրդ դրամ կամ ՀՆԱ-ի 64.2%-ը, իսկ 2022 թվականի տարեվերջին այն կկազմի 4,986 մլրդ դրամ կամ ՀՆԱ-ի 63.4%-ը:</w:t>
      </w:r>
    </w:p>
    <w:p w14:paraId="3E014595" w14:textId="77777777" w:rsidR="003C5774" w:rsidRPr="002526E9" w:rsidRDefault="003C5774" w:rsidP="002526E9">
      <w:pPr>
        <w:shd w:val="clear" w:color="auto" w:fill="FFFFFF"/>
        <w:spacing w:before="0" w:line="276" w:lineRule="auto"/>
        <w:ind w:firstLine="720"/>
        <w:contextualSpacing w:val="0"/>
        <w:rPr>
          <w:rFonts w:eastAsiaTheme="minorHAnsi" w:cstheme="minorBidi"/>
          <w:b w:val="0"/>
          <w:szCs w:val="22"/>
          <w:lang w:val="hy-AM" w:eastAsia="en-US"/>
        </w:rPr>
      </w:pPr>
    </w:p>
    <w:tbl>
      <w:tblPr>
        <w:tblStyle w:val="LightShading-Accent19"/>
        <w:tblW w:w="10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5"/>
        <w:gridCol w:w="1770"/>
        <w:gridCol w:w="1770"/>
        <w:gridCol w:w="1770"/>
      </w:tblGrid>
      <w:tr w:rsidR="002526E9" w:rsidRPr="002526E9" w14:paraId="04CA58DC" w14:textId="77777777" w:rsidTr="002526E9">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top w:val="none" w:sz="0" w:space="0" w:color="auto"/>
              <w:left w:val="none" w:sz="0" w:space="0" w:color="auto"/>
              <w:bottom w:val="none" w:sz="0" w:space="0" w:color="auto"/>
              <w:right w:val="none" w:sz="0" w:space="0" w:color="auto"/>
            </w:tcBorders>
            <w:hideMark/>
          </w:tcPr>
          <w:p w14:paraId="37388ED6" w14:textId="77777777" w:rsidR="002526E9" w:rsidRPr="002526E9" w:rsidRDefault="002526E9" w:rsidP="002526E9">
            <w:pPr>
              <w:spacing w:before="0" w:line="276" w:lineRule="auto"/>
              <w:ind w:firstLine="0"/>
              <w:contextualSpacing w:val="0"/>
              <w:jc w:val="center"/>
              <w:rPr>
                <w:b/>
                <w:color w:val="auto"/>
                <w:szCs w:val="22"/>
                <w:lang w:val="hy-AM" w:eastAsia="en-US"/>
              </w:rPr>
            </w:pPr>
            <w:r w:rsidRPr="002526E9">
              <w:rPr>
                <w:rFonts w:ascii="Calibri" w:hAnsi="Calibri" w:cs="Calibri"/>
                <w:color w:val="auto"/>
                <w:szCs w:val="22"/>
                <w:lang w:val="hy-AM" w:eastAsia="en-US"/>
              </w:rPr>
              <w:t> </w:t>
            </w:r>
          </w:p>
        </w:tc>
        <w:tc>
          <w:tcPr>
            <w:tcW w:w="1770" w:type="dxa"/>
            <w:tcBorders>
              <w:top w:val="none" w:sz="0" w:space="0" w:color="auto"/>
              <w:left w:val="none" w:sz="0" w:space="0" w:color="auto"/>
              <w:bottom w:val="none" w:sz="0" w:space="0" w:color="auto"/>
              <w:right w:val="none" w:sz="0" w:space="0" w:color="auto"/>
            </w:tcBorders>
            <w:hideMark/>
          </w:tcPr>
          <w:p w14:paraId="0FCC7AB1"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color w:val="auto"/>
                <w:szCs w:val="22"/>
                <w:lang w:val="en-US" w:eastAsia="en-US"/>
              </w:rPr>
            </w:pPr>
            <w:r w:rsidRPr="002526E9">
              <w:rPr>
                <w:color w:val="auto"/>
                <w:szCs w:val="22"/>
                <w:lang w:eastAsia="en-US"/>
              </w:rPr>
              <w:t>ա</w:t>
            </w:r>
            <w:r w:rsidRPr="002526E9">
              <w:rPr>
                <w:color w:val="auto"/>
                <w:szCs w:val="22"/>
                <w:lang w:val="en-US" w:eastAsia="en-US"/>
              </w:rPr>
              <w:t>ռ 31.12.20</w:t>
            </w:r>
            <w:r w:rsidRPr="002526E9">
              <w:rPr>
                <w:color w:val="auto"/>
                <w:szCs w:val="22"/>
                <w:lang w:val="hy-AM" w:eastAsia="en-US"/>
              </w:rPr>
              <w:t>20</w:t>
            </w:r>
            <w:r w:rsidRPr="002526E9">
              <w:rPr>
                <w:color w:val="auto"/>
                <w:szCs w:val="22"/>
                <w:lang w:val="en-US" w:eastAsia="en-US"/>
              </w:rPr>
              <w:t>թ.</w:t>
            </w:r>
          </w:p>
        </w:tc>
        <w:tc>
          <w:tcPr>
            <w:tcW w:w="1770" w:type="dxa"/>
            <w:tcBorders>
              <w:top w:val="none" w:sz="0" w:space="0" w:color="auto"/>
              <w:left w:val="none" w:sz="0" w:space="0" w:color="auto"/>
              <w:bottom w:val="none" w:sz="0" w:space="0" w:color="auto"/>
              <w:right w:val="none" w:sz="0" w:space="0" w:color="auto"/>
            </w:tcBorders>
            <w:hideMark/>
          </w:tcPr>
          <w:p w14:paraId="328B8EB3"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color w:val="auto"/>
                <w:szCs w:val="22"/>
                <w:lang w:val="en-US" w:eastAsia="en-US"/>
              </w:rPr>
            </w:pPr>
            <w:r w:rsidRPr="002526E9">
              <w:rPr>
                <w:color w:val="auto"/>
                <w:szCs w:val="22"/>
                <w:lang w:val="en-US" w:eastAsia="en-US"/>
              </w:rPr>
              <w:t>առ 31.12.202</w:t>
            </w:r>
            <w:r w:rsidRPr="002526E9">
              <w:rPr>
                <w:color w:val="auto"/>
                <w:szCs w:val="22"/>
                <w:lang w:val="hy-AM" w:eastAsia="en-US"/>
              </w:rPr>
              <w:t>1</w:t>
            </w:r>
            <w:r w:rsidRPr="002526E9">
              <w:rPr>
                <w:color w:val="auto"/>
                <w:szCs w:val="22"/>
                <w:lang w:val="en-US" w:eastAsia="en-US"/>
              </w:rPr>
              <w:t>թ.</w:t>
            </w:r>
          </w:p>
        </w:tc>
        <w:tc>
          <w:tcPr>
            <w:tcW w:w="1770" w:type="dxa"/>
            <w:tcBorders>
              <w:top w:val="none" w:sz="0" w:space="0" w:color="auto"/>
              <w:left w:val="none" w:sz="0" w:space="0" w:color="auto"/>
              <w:bottom w:val="none" w:sz="0" w:space="0" w:color="auto"/>
              <w:right w:val="none" w:sz="0" w:space="0" w:color="auto"/>
            </w:tcBorders>
            <w:hideMark/>
          </w:tcPr>
          <w:p w14:paraId="2EEE3DEC"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color w:val="auto"/>
                <w:szCs w:val="22"/>
                <w:lang w:val="en-US" w:eastAsia="en-US"/>
              </w:rPr>
            </w:pPr>
            <w:r w:rsidRPr="002526E9">
              <w:rPr>
                <w:color w:val="auto"/>
                <w:szCs w:val="22"/>
                <w:lang w:val="en-US" w:eastAsia="en-US"/>
              </w:rPr>
              <w:t>առ 31.12.202</w:t>
            </w:r>
            <w:r w:rsidRPr="002526E9">
              <w:rPr>
                <w:color w:val="auto"/>
                <w:szCs w:val="22"/>
                <w:lang w:val="hy-AM" w:eastAsia="en-US"/>
              </w:rPr>
              <w:t>2</w:t>
            </w:r>
            <w:r w:rsidRPr="002526E9">
              <w:rPr>
                <w:color w:val="auto"/>
                <w:szCs w:val="22"/>
                <w:lang w:val="en-US" w:eastAsia="en-US"/>
              </w:rPr>
              <w:t>թ.</w:t>
            </w:r>
          </w:p>
        </w:tc>
      </w:tr>
      <w:tr w:rsidR="002526E9" w:rsidRPr="002526E9" w14:paraId="416865BB" w14:textId="77777777" w:rsidTr="002526E9">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tcPr>
          <w:p w14:paraId="61BFA665" w14:textId="77777777" w:rsidR="002526E9" w:rsidRPr="002526E9" w:rsidRDefault="002526E9" w:rsidP="002526E9">
            <w:pPr>
              <w:spacing w:before="0" w:line="276" w:lineRule="auto"/>
              <w:ind w:firstLine="0"/>
              <w:contextualSpacing w:val="0"/>
              <w:jc w:val="center"/>
              <w:rPr>
                <w:rFonts w:cs="Courier New"/>
                <w:b/>
                <w:i/>
                <w:color w:val="auto"/>
                <w:szCs w:val="22"/>
                <w:lang w:val="hy-AM" w:eastAsia="en-US"/>
              </w:rPr>
            </w:pPr>
            <w:r w:rsidRPr="002526E9">
              <w:rPr>
                <w:b/>
                <w:i/>
                <w:iCs/>
                <w:color w:val="auto"/>
                <w:szCs w:val="22"/>
                <w:lang w:val="en-US" w:eastAsia="en-US"/>
              </w:rPr>
              <w:t>մլրդ դրամ</w:t>
            </w:r>
          </w:p>
        </w:tc>
        <w:tc>
          <w:tcPr>
            <w:tcW w:w="1770" w:type="dxa"/>
            <w:tcBorders>
              <w:left w:val="none" w:sz="0" w:space="0" w:color="auto"/>
              <w:right w:val="none" w:sz="0" w:space="0" w:color="auto"/>
            </w:tcBorders>
          </w:tcPr>
          <w:p w14:paraId="105F4C8F" w14:textId="77777777" w:rsidR="002526E9" w:rsidRPr="002526E9" w:rsidRDefault="002526E9" w:rsidP="002526E9">
            <w:pPr>
              <w:spacing w:before="0" w:line="276" w:lineRule="auto"/>
              <w:ind w:firstLine="0"/>
              <w:contextualSpacing w:val="0"/>
              <w:jc w:val="center"/>
              <w:cnfStyle w:val="000000100000" w:firstRow="0" w:lastRow="0" w:firstColumn="0" w:lastColumn="0" w:oddVBand="0" w:evenVBand="0" w:oddHBand="1" w:evenHBand="0" w:firstRowFirstColumn="0" w:firstRowLastColumn="0" w:lastRowFirstColumn="0" w:lastRowLastColumn="0"/>
              <w:rPr>
                <w:bCs/>
                <w:color w:val="auto"/>
                <w:szCs w:val="22"/>
                <w:lang w:val="en-US" w:eastAsia="en-US"/>
              </w:rPr>
            </w:pPr>
            <w:r w:rsidRPr="002526E9">
              <w:rPr>
                <w:rFonts w:ascii="Calibri" w:hAnsi="Calibri" w:cs="Calibri"/>
                <w:bCs/>
                <w:color w:val="auto"/>
                <w:szCs w:val="22"/>
                <w:lang w:val="en-US" w:eastAsia="en-US"/>
              </w:rPr>
              <w:t> </w:t>
            </w:r>
          </w:p>
        </w:tc>
        <w:tc>
          <w:tcPr>
            <w:tcW w:w="1770" w:type="dxa"/>
            <w:tcBorders>
              <w:left w:val="none" w:sz="0" w:space="0" w:color="auto"/>
              <w:right w:val="none" w:sz="0" w:space="0" w:color="auto"/>
            </w:tcBorders>
            <w:vAlign w:val="bottom"/>
          </w:tcPr>
          <w:p w14:paraId="3308B196" w14:textId="77777777" w:rsidR="002526E9" w:rsidRPr="002526E9" w:rsidRDefault="002526E9" w:rsidP="002526E9">
            <w:pPr>
              <w:spacing w:line="276" w:lineRule="auto"/>
              <w:jc w:val="center"/>
              <w:cnfStyle w:val="000000100000" w:firstRow="0" w:lastRow="0" w:firstColumn="0" w:lastColumn="0" w:oddVBand="0" w:evenVBand="0" w:oddHBand="1" w:evenHBand="0" w:firstRowFirstColumn="0" w:firstRowLastColumn="0" w:lastRowFirstColumn="0" w:lastRowLastColumn="0"/>
              <w:rPr>
                <w:bCs/>
                <w:color w:val="auto"/>
                <w:szCs w:val="22"/>
                <w:lang w:val="en-US" w:eastAsia="en-US"/>
              </w:rPr>
            </w:pPr>
          </w:p>
        </w:tc>
        <w:tc>
          <w:tcPr>
            <w:tcW w:w="1770" w:type="dxa"/>
            <w:tcBorders>
              <w:left w:val="none" w:sz="0" w:space="0" w:color="auto"/>
              <w:right w:val="none" w:sz="0" w:space="0" w:color="auto"/>
            </w:tcBorders>
            <w:vAlign w:val="bottom"/>
          </w:tcPr>
          <w:p w14:paraId="6F91A4B3" w14:textId="77777777" w:rsidR="002526E9" w:rsidRPr="002526E9" w:rsidRDefault="002526E9" w:rsidP="002526E9">
            <w:pPr>
              <w:spacing w:line="276" w:lineRule="auto"/>
              <w:cnfStyle w:val="000000100000" w:firstRow="0" w:lastRow="0" w:firstColumn="0" w:lastColumn="0" w:oddVBand="0" w:evenVBand="0" w:oddHBand="1" w:evenHBand="0" w:firstRowFirstColumn="0" w:firstRowLastColumn="0" w:lastRowFirstColumn="0" w:lastRowLastColumn="0"/>
              <w:rPr>
                <w:bCs/>
                <w:color w:val="auto"/>
                <w:szCs w:val="22"/>
                <w:lang w:val="en-US" w:eastAsia="en-US"/>
              </w:rPr>
            </w:pPr>
          </w:p>
        </w:tc>
      </w:tr>
      <w:tr w:rsidR="002526E9" w:rsidRPr="002526E9" w14:paraId="1A9077DE" w14:textId="77777777" w:rsidTr="002526E9">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D1396C4" w14:textId="77777777" w:rsidR="002526E9" w:rsidRPr="002526E9" w:rsidRDefault="002526E9" w:rsidP="002526E9">
            <w:pPr>
              <w:spacing w:before="0" w:line="276" w:lineRule="auto"/>
              <w:ind w:firstLine="0"/>
              <w:contextualSpacing w:val="0"/>
              <w:jc w:val="left"/>
              <w:rPr>
                <w:b/>
                <w:color w:val="auto"/>
                <w:szCs w:val="22"/>
                <w:lang w:val="en-US" w:eastAsia="en-US"/>
              </w:rPr>
            </w:pPr>
            <w:r w:rsidRPr="002526E9">
              <w:rPr>
                <w:b/>
                <w:color w:val="auto"/>
                <w:szCs w:val="22"/>
                <w:lang w:val="en-US" w:eastAsia="en-US"/>
              </w:rPr>
              <w:t>ՀՀ պետական պարտք</w:t>
            </w:r>
          </w:p>
        </w:tc>
        <w:tc>
          <w:tcPr>
            <w:tcW w:w="1770" w:type="dxa"/>
            <w:vAlign w:val="center"/>
          </w:tcPr>
          <w:p w14:paraId="538BC341"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rPr>
            </w:pPr>
            <w:r w:rsidRPr="002526E9">
              <w:rPr>
                <w:color w:val="auto"/>
                <w:szCs w:val="22"/>
              </w:rPr>
              <w:t xml:space="preserve">4,164 </w:t>
            </w:r>
          </w:p>
        </w:tc>
        <w:tc>
          <w:tcPr>
            <w:tcW w:w="1770" w:type="dxa"/>
            <w:vAlign w:val="center"/>
          </w:tcPr>
          <w:p w14:paraId="33CE7D97"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rPr>
            </w:pPr>
            <w:r w:rsidRPr="002526E9">
              <w:rPr>
                <w:color w:val="auto"/>
                <w:szCs w:val="22"/>
              </w:rPr>
              <w:t xml:space="preserve">4,511 </w:t>
            </w:r>
          </w:p>
        </w:tc>
        <w:tc>
          <w:tcPr>
            <w:tcW w:w="1770" w:type="dxa"/>
            <w:vAlign w:val="center"/>
          </w:tcPr>
          <w:p w14:paraId="13B4CFB1"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rPr>
            </w:pPr>
            <w:r w:rsidRPr="002526E9">
              <w:rPr>
                <w:color w:val="auto"/>
                <w:szCs w:val="22"/>
              </w:rPr>
              <w:t xml:space="preserve">4,986 </w:t>
            </w:r>
          </w:p>
        </w:tc>
      </w:tr>
      <w:tr w:rsidR="002526E9" w:rsidRPr="002526E9" w14:paraId="56537B63" w14:textId="77777777" w:rsidTr="002526E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33534CD3" w14:textId="77777777" w:rsidR="002526E9" w:rsidRPr="002526E9" w:rsidRDefault="002526E9" w:rsidP="002526E9">
            <w:pPr>
              <w:spacing w:before="0" w:line="276" w:lineRule="auto"/>
              <w:ind w:firstLine="0"/>
              <w:contextualSpacing w:val="0"/>
              <w:jc w:val="center"/>
              <w:rPr>
                <w:i/>
                <w:color w:val="auto"/>
                <w:szCs w:val="22"/>
                <w:lang w:val="en-US" w:eastAsia="en-US"/>
              </w:rPr>
            </w:pPr>
            <w:r w:rsidRPr="002526E9">
              <w:rPr>
                <w:i/>
                <w:color w:val="auto"/>
                <w:szCs w:val="22"/>
                <w:lang w:val="en-US" w:eastAsia="en-US"/>
              </w:rPr>
              <w:t>այդ թվում`</w:t>
            </w:r>
          </w:p>
        </w:tc>
        <w:tc>
          <w:tcPr>
            <w:tcW w:w="1770" w:type="dxa"/>
            <w:tcBorders>
              <w:left w:val="none" w:sz="0" w:space="0" w:color="auto"/>
              <w:right w:val="none" w:sz="0" w:space="0" w:color="auto"/>
            </w:tcBorders>
            <w:vAlign w:val="center"/>
          </w:tcPr>
          <w:p w14:paraId="1DB717F1"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rFonts w:ascii="Calibri" w:hAnsi="Calibri" w:cs="Calibri"/>
                <w:b w:val="0"/>
                <w:color w:val="auto"/>
                <w:szCs w:val="22"/>
              </w:rPr>
              <w:t> </w:t>
            </w:r>
          </w:p>
        </w:tc>
        <w:tc>
          <w:tcPr>
            <w:tcW w:w="1770" w:type="dxa"/>
            <w:tcBorders>
              <w:left w:val="none" w:sz="0" w:space="0" w:color="auto"/>
              <w:right w:val="none" w:sz="0" w:space="0" w:color="auto"/>
            </w:tcBorders>
            <w:vAlign w:val="center"/>
          </w:tcPr>
          <w:p w14:paraId="141E3180"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rFonts w:ascii="Calibri" w:hAnsi="Calibri" w:cs="Calibri"/>
                <w:b w:val="0"/>
                <w:color w:val="auto"/>
                <w:szCs w:val="22"/>
              </w:rPr>
              <w:t> </w:t>
            </w:r>
          </w:p>
        </w:tc>
        <w:tc>
          <w:tcPr>
            <w:tcW w:w="1770" w:type="dxa"/>
            <w:tcBorders>
              <w:left w:val="none" w:sz="0" w:space="0" w:color="auto"/>
              <w:right w:val="none" w:sz="0" w:space="0" w:color="auto"/>
            </w:tcBorders>
            <w:vAlign w:val="center"/>
          </w:tcPr>
          <w:p w14:paraId="655DB0C6"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rPr>
            </w:pPr>
          </w:p>
        </w:tc>
      </w:tr>
      <w:tr w:rsidR="002526E9" w:rsidRPr="002526E9" w14:paraId="59F84284" w14:textId="77777777" w:rsidTr="002526E9">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BB16E8A" w14:textId="77777777" w:rsidR="002526E9" w:rsidRPr="002526E9" w:rsidRDefault="002526E9" w:rsidP="002526E9">
            <w:pPr>
              <w:spacing w:before="0" w:line="276" w:lineRule="auto"/>
              <w:ind w:firstLineChars="100" w:firstLine="220"/>
              <w:contextualSpacing w:val="0"/>
              <w:jc w:val="left"/>
              <w:rPr>
                <w:color w:val="auto"/>
                <w:szCs w:val="22"/>
                <w:lang w:val="en-US" w:eastAsia="en-US"/>
              </w:rPr>
            </w:pPr>
            <w:r w:rsidRPr="002526E9">
              <w:rPr>
                <w:color w:val="auto"/>
                <w:szCs w:val="22"/>
                <w:lang w:val="en-US" w:eastAsia="en-US"/>
              </w:rPr>
              <w:t>արտաքին պետական պարտք</w:t>
            </w:r>
          </w:p>
        </w:tc>
        <w:tc>
          <w:tcPr>
            <w:tcW w:w="1770" w:type="dxa"/>
            <w:vAlign w:val="center"/>
          </w:tcPr>
          <w:p w14:paraId="40EA7B5A"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3,167 </w:t>
            </w:r>
          </w:p>
        </w:tc>
        <w:tc>
          <w:tcPr>
            <w:tcW w:w="1770" w:type="dxa"/>
            <w:vAlign w:val="center"/>
          </w:tcPr>
          <w:p w14:paraId="7E8AEFA7"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3,272 </w:t>
            </w:r>
          </w:p>
        </w:tc>
        <w:tc>
          <w:tcPr>
            <w:tcW w:w="1770" w:type="dxa"/>
            <w:vAlign w:val="center"/>
          </w:tcPr>
          <w:p w14:paraId="3318D035"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3,493 </w:t>
            </w:r>
          </w:p>
        </w:tc>
      </w:tr>
      <w:tr w:rsidR="002526E9" w:rsidRPr="002526E9" w14:paraId="4A7830E9" w14:textId="77777777" w:rsidTr="002526E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241CA3D0" w14:textId="77777777" w:rsidR="002526E9" w:rsidRPr="002526E9" w:rsidRDefault="002526E9" w:rsidP="002526E9">
            <w:pPr>
              <w:spacing w:before="0" w:line="276" w:lineRule="auto"/>
              <w:ind w:firstLineChars="300" w:firstLine="660"/>
              <w:contextualSpacing w:val="0"/>
              <w:jc w:val="left"/>
              <w:rPr>
                <w:i/>
                <w:iCs/>
                <w:color w:val="auto"/>
                <w:szCs w:val="22"/>
                <w:lang w:eastAsia="en-US"/>
              </w:rPr>
            </w:pPr>
            <w:r w:rsidRPr="002526E9">
              <w:rPr>
                <w:i/>
                <w:iCs/>
                <w:color w:val="auto"/>
                <w:szCs w:val="22"/>
                <w:lang w:val="en-US" w:eastAsia="en-US"/>
              </w:rPr>
              <w:t>որից</w:t>
            </w:r>
            <w:r w:rsidRPr="002526E9">
              <w:rPr>
                <w:i/>
                <w:iCs/>
                <w:color w:val="auto"/>
                <w:szCs w:val="22"/>
                <w:lang w:eastAsia="en-US"/>
              </w:rPr>
              <w:t xml:space="preserve">` </w:t>
            </w:r>
            <w:r w:rsidRPr="002526E9">
              <w:rPr>
                <w:i/>
                <w:iCs/>
                <w:color w:val="auto"/>
                <w:szCs w:val="22"/>
                <w:lang w:val="en-US" w:eastAsia="en-US"/>
              </w:rPr>
              <w:t>ՀՀ</w:t>
            </w:r>
            <w:r w:rsidRPr="002526E9">
              <w:rPr>
                <w:i/>
                <w:iCs/>
                <w:color w:val="auto"/>
                <w:szCs w:val="22"/>
                <w:lang w:eastAsia="en-US"/>
              </w:rPr>
              <w:t xml:space="preserve"> </w:t>
            </w:r>
            <w:r w:rsidRPr="002526E9">
              <w:rPr>
                <w:i/>
                <w:iCs/>
                <w:color w:val="auto"/>
                <w:szCs w:val="22"/>
                <w:lang w:val="en-US" w:eastAsia="en-US"/>
              </w:rPr>
              <w:t>կենտրոնական</w:t>
            </w:r>
            <w:r w:rsidRPr="002526E9">
              <w:rPr>
                <w:i/>
                <w:iCs/>
                <w:color w:val="auto"/>
                <w:szCs w:val="22"/>
                <w:lang w:eastAsia="en-US"/>
              </w:rPr>
              <w:t xml:space="preserve"> </w:t>
            </w:r>
            <w:r w:rsidRPr="002526E9">
              <w:rPr>
                <w:i/>
                <w:iCs/>
                <w:color w:val="auto"/>
                <w:szCs w:val="22"/>
                <w:lang w:val="en-US" w:eastAsia="en-US"/>
              </w:rPr>
              <w:t>բանկի</w:t>
            </w:r>
            <w:r w:rsidRPr="002526E9">
              <w:rPr>
                <w:i/>
                <w:iCs/>
                <w:color w:val="auto"/>
                <w:szCs w:val="22"/>
                <w:lang w:eastAsia="en-US"/>
              </w:rPr>
              <w:t xml:space="preserve"> </w:t>
            </w:r>
            <w:r w:rsidRPr="002526E9">
              <w:rPr>
                <w:i/>
                <w:iCs/>
                <w:color w:val="auto"/>
                <w:szCs w:val="22"/>
                <w:lang w:val="en-US" w:eastAsia="en-US"/>
              </w:rPr>
              <w:t>պարտք</w:t>
            </w:r>
            <w:r w:rsidRPr="002526E9">
              <w:rPr>
                <w:i/>
                <w:iCs/>
                <w:color w:val="auto"/>
                <w:szCs w:val="22"/>
                <w:lang w:eastAsia="en-US"/>
              </w:rPr>
              <w:t xml:space="preserve"> </w:t>
            </w:r>
          </w:p>
        </w:tc>
        <w:tc>
          <w:tcPr>
            <w:tcW w:w="1770" w:type="dxa"/>
            <w:tcBorders>
              <w:left w:val="none" w:sz="0" w:space="0" w:color="auto"/>
              <w:right w:val="none" w:sz="0" w:space="0" w:color="auto"/>
            </w:tcBorders>
            <w:vAlign w:val="center"/>
          </w:tcPr>
          <w:p w14:paraId="79C51E94"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szCs w:val="22"/>
              </w:rPr>
            </w:pPr>
            <w:r w:rsidRPr="002526E9">
              <w:rPr>
                <w:b w:val="0"/>
                <w:i/>
                <w:iCs/>
                <w:color w:val="auto"/>
                <w:szCs w:val="22"/>
              </w:rPr>
              <w:t xml:space="preserve">240 </w:t>
            </w:r>
          </w:p>
        </w:tc>
        <w:tc>
          <w:tcPr>
            <w:tcW w:w="1770" w:type="dxa"/>
            <w:tcBorders>
              <w:left w:val="none" w:sz="0" w:space="0" w:color="auto"/>
              <w:right w:val="none" w:sz="0" w:space="0" w:color="auto"/>
            </w:tcBorders>
            <w:vAlign w:val="center"/>
          </w:tcPr>
          <w:p w14:paraId="1A330090"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szCs w:val="22"/>
              </w:rPr>
            </w:pPr>
            <w:r w:rsidRPr="002526E9">
              <w:rPr>
                <w:b w:val="0"/>
                <w:i/>
                <w:iCs/>
                <w:color w:val="auto"/>
                <w:szCs w:val="22"/>
              </w:rPr>
              <w:t xml:space="preserve">236 </w:t>
            </w:r>
          </w:p>
        </w:tc>
        <w:tc>
          <w:tcPr>
            <w:tcW w:w="1770" w:type="dxa"/>
            <w:tcBorders>
              <w:left w:val="none" w:sz="0" w:space="0" w:color="auto"/>
              <w:right w:val="none" w:sz="0" w:space="0" w:color="auto"/>
            </w:tcBorders>
            <w:vAlign w:val="center"/>
          </w:tcPr>
          <w:p w14:paraId="31A96443"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szCs w:val="22"/>
              </w:rPr>
            </w:pPr>
            <w:r w:rsidRPr="002526E9">
              <w:rPr>
                <w:b w:val="0"/>
                <w:i/>
                <w:iCs/>
                <w:color w:val="auto"/>
                <w:szCs w:val="22"/>
              </w:rPr>
              <w:t xml:space="preserve">245 </w:t>
            </w:r>
          </w:p>
        </w:tc>
      </w:tr>
      <w:tr w:rsidR="002526E9" w:rsidRPr="002526E9" w14:paraId="066E65D2" w14:textId="77777777" w:rsidTr="002526E9">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7FF93AEC" w14:textId="77777777" w:rsidR="002526E9" w:rsidRPr="002526E9" w:rsidRDefault="002526E9" w:rsidP="002526E9">
            <w:pPr>
              <w:spacing w:before="0" w:line="276" w:lineRule="auto"/>
              <w:ind w:firstLineChars="100" w:firstLine="220"/>
              <w:contextualSpacing w:val="0"/>
              <w:jc w:val="left"/>
              <w:rPr>
                <w:color w:val="auto"/>
                <w:szCs w:val="22"/>
                <w:lang w:val="en-US" w:eastAsia="en-US"/>
              </w:rPr>
            </w:pPr>
            <w:r w:rsidRPr="002526E9">
              <w:rPr>
                <w:color w:val="auto"/>
                <w:szCs w:val="22"/>
                <w:lang w:val="en-US" w:eastAsia="en-US"/>
              </w:rPr>
              <w:t>ներքին պետական պարտք</w:t>
            </w:r>
          </w:p>
        </w:tc>
        <w:tc>
          <w:tcPr>
            <w:tcW w:w="1770" w:type="dxa"/>
            <w:vAlign w:val="center"/>
          </w:tcPr>
          <w:p w14:paraId="17567F99"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998 </w:t>
            </w:r>
          </w:p>
        </w:tc>
        <w:tc>
          <w:tcPr>
            <w:tcW w:w="1770" w:type="dxa"/>
            <w:vAlign w:val="center"/>
          </w:tcPr>
          <w:p w14:paraId="6C69E0D4"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1,239 </w:t>
            </w:r>
          </w:p>
        </w:tc>
        <w:tc>
          <w:tcPr>
            <w:tcW w:w="1770" w:type="dxa"/>
            <w:vAlign w:val="center"/>
          </w:tcPr>
          <w:p w14:paraId="34E31376"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1,493 </w:t>
            </w:r>
          </w:p>
        </w:tc>
      </w:tr>
      <w:tr w:rsidR="002526E9" w:rsidRPr="002526E9" w14:paraId="78EDCBEB" w14:textId="77777777" w:rsidTr="002526E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tcPr>
          <w:p w14:paraId="5444D57F" w14:textId="77777777" w:rsidR="002526E9" w:rsidRPr="002526E9" w:rsidRDefault="002526E9" w:rsidP="00730A1D">
            <w:pPr>
              <w:spacing w:before="0" w:line="276" w:lineRule="auto"/>
              <w:ind w:firstLineChars="100" w:firstLine="220"/>
              <w:contextualSpacing w:val="0"/>
              <w:jc w:val="center"/>
              <w:rPr>
                <w:b/>
                <w:i/>
                <w:color w:val="auto"/>
                <w:szCs w:val="22"/>
                <w:lang w:val="en-US" w:eastAsia="en-US"/>
              </w:rPr>
            </w:pPr>
            <w:r w:rsidRPr="002526E9">
              <w:rPr>
                <w:b/>
                <w:i/>
                <w:color w:val="auto"/>
                <w:szCs w:val="22"/>
                <w:lang w:val="en-US" w:eastAsia="en-US"/>
              </w:rPr>
              <w:t>տոկոսներով ՀՆԱ-ի նկատմամբ</w:t>
            </w:r>
          </w:p>
        </w:tc>
        <w:tc>
          <w:tcPr>
            <w:tcW w:w="1770" w:type="dxa"/>
            <w:tcBorders>
              <w:left w:val="none" w:sz="0" w:space="0" w:color="auto"/>
              <w:right w:val="none" w:sz="0" w:space="0" w:color="auto"/>
            </w:tcBorders>
            <w:vAlign w:val="center"/>
          </w:tcPr>
          <w:p w14:paraId="6FBF496B"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bCs/>
                <w:color w:val="auto"/>
                <w:szCs w:val="22"/>
              </w:rPr>
            </w:pPr>
            <w:r w:rsidRPr="002526E9">
              <w:rPr>
                <w:rFonts w:ascii="Calibri" w:hAnsi="Calibri" w:cs="Calibri"/>
                <w:b w:val="0"/>
                <w:bCs/>
                <w:color w:val="auto"/>
                <w:szCs w:val="22"/>
              </w:rPr>
              <w:t> </w:t>
            </w:r>
          </w:p>
        </w:tc>
        <w:tc>
          <w:tcPr>
            <w:tcW w:w="1770" w:type="dxa"/>
            <w:tcBorders>
              <w:left w:val="none" w:sz="0" w:space="0" w:color="auto"/>
              <w:right w:val="none" w:sz="0" w:space="0" w:color="auto"/>
            </w:tcBorders>
            <w:vAlign w:val="center"/>
          </w:tcPr>
          <w:p w14:paraId="1870775F"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p>
        </w:tc>
        <w:tc>
          <w:tcPr>
            <w:tcW w:w="1770" w:type="dxa"/>
            <w:tcBorders>
              <w:left w:val="none" w:sz="0" w:space="0" w:color="auto"/>
              <w:right w:val="none" w:sz="0" w:space="0" w:color="auto"/>
            </w:tcBorders>
            <w:vAlign w:val="center"/>
          </w:tcPr>
          <w:p w14:paraId="2DA047C3"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p>
        </w:tc>
      </w:tr>
      <w:tr w:rsidR="002526E9" w:rsidRPr="002526E9" w14:paraId="57425677" w14:textId="77777777" w:rsidTr="002526E9">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55B4EC88" w14:textId="77777777" w:rsidR="002526E9" w:rsidRPr="002526E9" w:rsidRDefault="002526E9" w:rsidP="002526E9">
            <w:pPr>
              <w:tabs>
                <w:tab w:val="left" w:pos="2520"/>
              </w:tabs>
              <w:spacing w:before="0" w:line="276" w:lineRule="auto"/>
              <w:ind w:firstLine="0"/>
              <w:contextualSpacing w:val="0"/>
              <w:jc w:val="left"/>
              <w:rPr>
                <w:b/>
                <w:color w:val="auto"/>
                <w:szCs w:val="22"/>
                <w:lang w:val="en-US" w:eastAsia="en-US"/>
              </w:rPr>
            </w:pPr>
            <w:r w:rsidRPr="002526E9">
              <w:rPr>
                <w:b/>
                <w:color w:val="auto"/>
                <w:szCs w:val="22"/>
                <w:lang w:val="en-US" w:eastAsia="en-US"/>
              </w:rPr>
              <w:t>ՀՀ պետական պարտք</w:t>
            </w:r>
            <w:r w:rsidRPr="002526E9">
              <w:rPr>
                <w:b/>
                <w:color w:val="auto"/>
                <w:szCs w:val="22"/>
                <w:lang w:val="en-US" w:eastAsia="en-US"/>
              </w:rPr>
              <w:tab/>
            </w:r>
          </w:p>
        </w:tc>
        <w:tc>
          <w:tcPr>
            <w:tcW w:w="1770" w:type="dxa"/>
            <w:vAlign w:val="center"/>
          </w:tcPr>
          <w:p w14:paraId="18E3087B"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rPr>
            </w:pPr>
            <w:r w:rsidRPr="002526E9">
              <w:rPr>
                <w:color w:val="auto"/>
                <w:szCs w:val="22"/>
              </w:rPr>
              <w:t xml:space="preserve">67.4 </w:t>
            </w:r>
          </w:p>
        </w:tc>
        <w:tc>
          <w:tcPr>
            <w:tcW w:w="1770" w:type="dxa"/>
            <w:vAlign w:val="center"/>
          </w:tcPr>
          <w:p w14:paraId="58C91FD0"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rPr>
            </w:pPr>
            <w:r w:rsidRPr="002526E9">
              <w:rPr>
                <w:color w:val="auto"/>
                <w:szCs w:val="22"/>
              </w:rPr>
              <w:t xml:space="preserve">64.2 </w:t>
            </w:r>
          </w:p>
        </w:tc>
        <w:tc>
          <w:tcPr>
            <w:tcW w:w="1770" w:type="dxa"/>
            <w:vAlign w:val="center"/>
          </w:tcPr>
          <w:p w14:paraId="36D65331"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rPr>
            </w:pPr>
            <w:r w:rsidRPr="002526E9">
              <w:rPr>
                <w:color w:val="auto"/>
                <w:szCs w:val="22"/>
              </w:rPr>
              <w:t xml:space="preserve">63.4 </w:t>
            </w:r>
          </w:p>
        </w:tc>
      </w:tr>
      <w:tr w:rsidR="002526E9" w:rsidRPr="002526E9" w14:paraId="0EC2E08D" w14:textId="77777777" w:rsidTr="002526E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26FC0101" w14:textId="77777777" w:rsidR="002526E9" w:rsidRPr="002526E9" w:rsidRDefault="002526E9" w:rsidP="002526E9">
            <w:pPr>
              <w:spacing w:before="0" w:line="276" w:lineRule="auto"/>
              <w:ind w:firstLine="0"/>
              <w:contextualSpacing w:val="0"/>
              <w:jc w:val="center"/>
              <w:rPr>
                <w:i/>
                <w:color w:val="auto"/>
                <w:szCs w:val="22"/>
                <w:lang w:val="en-US" w:eastAsia="en-US"/>
              </w:rPr>
            </w:pPr>
            <w:r w:rsidRPr="002526E9">
              <w:rPr>
                <w:i/>
                <w:color w:val="auto"/>
                <w:szCs w:val="22"/>
                <w:lang w:val="en-US" w:eastAsia="en-US"/>
              </w:rPr>
              <w:t>այդ թվում`</w:t>
            </w:r>
          </w:p>
        </w:tc>
        <w:tc>
          <w:tcPr>
            <w:tcW w:w="1770" w:type="dxa"/>
            <w:tcBorders>
              <w:left w:val="none" w:sz="0" w:space="0" w:color="auto"/>
              <w:right w:val="none" w:sz="0" w:space="0" w:color="auto"/>
            </w:tcBorders>
            <w:vAlign w:val="center"/>
          </w:tcPr>
          <w:p w14:paraId="2CBF3AD0"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rFonts w:ascii="Calibri" w:hAnsi="Calibri" w:cs="Calibri"/>
                <w:b w:val="0"/>
                <w:color w:val="auto"/>
                <w:szCs w:val="22"/>
              </w:rPr>
              <w:t> </w:t>
            </w:r>
          </w:p>
        </w:tc>
        <w:tc>
          <w:tcPr>
            <w:tcW w:w="1770" w:type="dxa"/>
            <w:tcBorders>
              <w:left w:val="none" w:sz="0" w:space="0" w:color="auto"/>
              <w:right w:val="none" w:sz="0" w:space="0" w:color="auto"/>
            </w:tcBorders>
            <w:vAlign w:val="center"/>
          </w:tcPr>
          <w:p w14:paraId="3F4000EC"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rFonts w:ascii="Calibri" w:hAnsi="Calibri" w:cs="Calibri"/>
                <w:b w:val="0"/>
                <w:color w:val="auto"/>
                <w:szCs w:val="22"/>
              </w:rPr>
              <w:t> </w:t>
            </w:r>
          </w:p>
        </w:tc>
        <w:tc>
          <w:tcPr>
            <w:tcW w:w="1770" w:type="dxa"/>
            <w:tcBorders>
              <w:left w:val="none" w:sz="0" w:space="0" w:color="auto"/>
              <w:right w:val="none" w:sz="0" w:space="0" w:color="auto"/>
            </w:tcBorders>
            <w:vAlign w:val="center"/>
          </w:tcPr>
          <w:p w14:paraId="157042E4"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rPr>
            </w:pPr>
          </w:p>
        </w:tc>
      </w:tr>
      <w:tr w:rsidR="002526E9" w:rsidRPr="002526E9" w14:paraId="0D8C3CED" w14:textId="77777777" w:rsidTr="002526E9">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652D2BC8" w14:textId="77777777" w:rsidR="002526E9" w:rsidRPr="002526E9" w:rsidRDefault="002526E9" w:rsidP="002526E9">
            <w:pPr>
              <w:spacing w:before="0" w:line="276" w:lineRule="auto"/>
              <w:ind w:firstLineChars="100" w:firstLine="220"/>
              <w:contextualSpacing w:val="0"/>
              <w:jc w:val="left"/>
              <w:rPr>
                <w:color w:val="auto"/>
                <w:szCs w:val="22"/>
                <w:lang w:val="en-US" w:eastAsia="en-US"/>
              </w:rPr>
            </w:pPr>
            <w:r w:rsidRPr="002526E9">
              <w:rPr>
                <w:color w:val="auto"/>
                <w:szCs w:val="22"/>
                <w:lang w:val="en-US" w:eastAsia="en-US"/>
              </w:rPr>
              <w:t>արտաքին պետական պարտք</w:t>
            </w:r>
          </w:p>
        </w:tc>
        <w:tc>
          <w:tcPr>
            <w:tcW w:w="1770" w:type="dxa"/>
            <w:vAlign w:val="center"/>
          </w:tcPr>
          <w:p w14:paraId="10F57818"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51.2 </w:t>
            </w:r>
          </w:p>
        </w:tc>
        <w:tc>
          <w:tcPr>
            <w:tcW w:w="1770" w:type="dxa"/>
            <w:vAlign w:val="center"/>
          </w:tcPr>
          <w:p w14:paraId="340CDB6E"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46.5 </w:t>
            </w:r>
          </w:p>
        </w:tc>
        <w:tc>
          <w:tcPr>
            <w:tcW w:w="1770" w:type="dxa"/>
            <w:vAlign w:val="center"/>
          </w:tcPr>
          <w:p w14:paraId="6C4AD2F7"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44.4 </w:t>
            </w:r>
          </w:p>
        </w:tc>
      </w:tr>
      <w:tr w:rsidR="002526E9" w:rsidRPr="002526E9" w14:paraId="66404B81" w14:textId="77777777" w:rsidTr="002526E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5045" w:type="dxa"/>
            <w:tcBorders>
              <w:left w:val="none" w:sz="0" w:space="0" w:color="auto"/>
              <w:right w:val="none" w:sz="0" w:space="0" w:color="auto"/>
            </w:tcBorders>
            <w:hideMark/>
          </w:tcPr>
          <w:p w14:paraId="580A18DA" w14:textId="77777777" w:rsidR="002526E9" w:rsidRPr="002526E9" w:rsidRDefault="002526E9" w:rsidP="002526E9">
            <w:pPr>
              <w:spacing w:before="0" w:line="276" w:lineRule="auto"/>
              <w:ind w:firstLineChars="300" w:firstLine="660"/>
              <w:contextualSpacing w:val="0"/>
              <w:jc w:val="left"/>
              <w:rPr>
                <w:i/>
                <w:iCs/>
                <w:color w:val="auto"/>
                <w:szCs w:val="22"/>
                <w:lang w:eastAsia="en-US"/>
              </w:rPr>
            </w:pPr>
            <w:r w:rsidRPr="002526E9">
              <w:rPr>
                <w:i/>
                <w:iCs/>
                <w:color w:val="auto"/>
                <w:szCs w:val="22"/>
                <w:lang w:val="en-US" w:eastAsia="en-US"/>
              </w:rPr>
              <w:t>որից</w:t>
            </w:r>
            <w:r w:rsidRPr="002526E9">
              <w:rPr>
                <w:i/>
                <w:iCs/>
                <w:color w:val="auto"/>
                <w:szCs w:val="22"/>
                <w:lang w:eastAsia="en-US"/>
              </w:rPr>
              <w:t xml:space="preserve">` </w:t>
            </w:r>
            <w:r w:rsidRPr="002526E9">
              <w:rPr>
                <w:i/>
                <w:iCs/>
                <w:color w:val="auto"/>
                <w:szCs w:val="22"/>
                <w:lang w:val="en-US" w:eastAsia="en-US"/>
              </w:rPr>
              <w:t>ՀՀ</w:t>
            </w:r>
            <w:r w:rsidRPr="002526E9">
              <w:rPr>
                <w:i/>
                <w:iCs/>
                <w:color w:val="auto"/>
                <w:szCs w:val="22"/>
                <w:lang w:eastAsia="en-US"/>
              </w:rPr>
              <w:t xml:space="preserve"> </w:t>
            </w:r>
            <w:r w:rsidRPr="002526E9">
              <w:rPr>
                <w:i/>
                <w:iCs/>
                <w:color w:val="auto"/>
                <w:szCs w:val="22"/>
                <w:lang w:val="en-US" w:eastAsia="en-US"/>
              </w:rPr>
              <w:t>կենտրոնական</w:t>
            </w:r>
            <w:r w:rsidRPr="002526E9">
              <w:rPr>
                <w:i/>
                <w:iCs/>
                <w:color w:val="auto"/>
                <w:szCs w:val="22"/>
                <w:lang w:eastAsia="en-US"/>
              </w:rPr>
              <w:t xml:space="preserve"> </w:t>
            </w:r>
            <w:r w:rsidRPr="002526E9">
              <w:rPr>
                <w:i/>
                <w:iCs/>
                <w:color w:val="auto"/>
                <w:szCs w:val="22"/>
                <w:lang w:val="en-US" w:eastAsia="en-US"/>
              </w:rPr>
              <w:t>բանկի</w:t>
            </w:r>
            <w:r w:rsidRPr="002526E9">
              <w:rPr>
                <w:i/>
                <w:iCs/>
                <w:color w:val="auto"/>
                <w:szCs w:val="22"/>
                <w:lang w:eastAsia="en-US"/>
              </w:rPr>
              <w:t xml:space="preserve"> </w:t>
            </w:r>
            <w:r w:rsidRPr="002526E9">
              <w:rPr>
                <w:i/>
                <w:iCs/>
                <w:color w:val="auto"/>
                <w:szCs w:val="22"/>
                <w:lang w:val="en-US" w:eastAsia="en-US"/>
              </w:rPr>
              <w:t>պարտք</w:t>
            </w:r>
            <w:r w:rsidRPr="002526E9">
              <w:rPr>
                <w:i/>
                <w:iCs/>
                <w:color w:val="auto"/>
                <w:szCs w:val="22"/>
                <w:lang w:eastAsia="en-US"/>
              </w:rPr>
              <w:t xml:space="preserve"> </w:t>
            </w:r>
          </w:p>
        </w:tc>
        <w:tc>
          <w:tcPr>
            <w:tcW w:w="1770" w:type="dxa"/>
            <w:tcBorders>
              <w:left w:val="none" w:sz="0" w:space="0" w:color="auto"/>
              <w:right w:val="none" w:sz="0" w:space="0" w:color="auto"/>
            </w:tcBorders>
            <w:vAlign w:val="center"/>
          </w:tcPr>
          <w:p w14:paraId="16684B59"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szCs w:val="22"/>
              </w:rPr>
            </w:pPr>
            <w:r w:rsidRPr="002526E9">
              <w:rPr>
                <w:b w:val="0"/>
                <w:i/>
                <w:iCs/>
                <w:color w:val="auto"/>
                <w:szCs w:val="22"/>
              </w:rPr>
              <w:t xml:space="preserve">3.9 </w:t>
            </w:r>
          </w:p>
        </w:tc>
        <w:tc>
          <w:tcPr>
            <w:tcW w:w="1770" w:type="dxa"/>
            <w:tcBorders>
              <w:left w:val="none" w:sz="0" w:space="0" w:color="auto"/>
              <w:right w:val="none" w:sz="0" w:space="0" w:color="auto"/>
            </w:tcBorders>
            <w:vAlign w:val="center"/>
          </w:tcPr>
          <w:p w14:paraId="3A1F5B3E"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szCs w:val="22"/>
              </w:rPr>
            </w:pPr>
            <w:r w:rsidRPr="002526E9">
              <w:rPr>
                <w:b w:val="0"/>
                <w:i/>
                <w:iCs/>
                <w:color w:val="auto"/>
                <w:szCs w:val="22"/>
              </w:rPr>
              <w:t xml:space="preserve">3.4 </w:t>
            </w:r>
          </w:p>
        </w:tc>
        <w:tc>
          <w:tcPr>
            <w:tcW w:w="1770" w:type="dxa"/>
            <w:tcBorders>
              <w:left w:val="none" w:sz="0" w:space="0" w:color="auto"/>
              <w:right w:val="none" w:sz="0" w:space="0" w:color="auto"/>
            </w:tcBorders>
            <w:vAlign w:val="center"/>
          </w:tcPr>
          <w:p w14:paraId="5FFC1F0E" w14:textId="77777777" w:rsidR="002526E9" w:rsidRPr="002526E9"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i/>
                <w:iCs/>
                <w:color w:val="auto"/>
                <w:szCs w:val="22"/>
              </w:rPr>
            </w:pPr>
            <w:r w:rsidRPr="002526E9">
              <w:rPr>
                <w:b w:val="0"/>
                <w:i/>
                <w:iCs/>
                <w:color w:val="auto"/>
                <w:szCs w:val="22"/>
              </w:rPr>
              <w:t xml:space="preserve">3.1 </w:t>
            </w:r>
          </w:p>
        </w:tc>
      </w:tr>
      <w:tr w:rsidR="002526E9" w:rsidRPr="002526E9" w14:paraId="75893277" w14:textId="77777777" w:rsidTr="002526E9">
        <w:trPr>
          <w:trHeight w:val="330"/>
        </w:trPr>
        <w:tc>
          <w:tcPr>
            <w:cnfStyle w:val="001000000000" w:firstRow="0" w:lastRow="0" w:firstColumn="1" w:lastColumn="0" w:oddVBand="0" w:evenVBand="0" w:oddHBand="0" w:evenHBand="0" w:firstRowFirstColumn="0" w:firstRowLastColumn="0" w:lastRowFirstColumn="0" w:lastRowLastColumn="0"/>
            <w:tcW w:w="5045" w:type="dxa"/>
            <w:hideMark/>
          </w:tcPr>
          <w:p w14:paraId="4B9D7186" w14:textId="77777777" w:rsidR="002526E9" w:rsidRPr="002526E9" w:rsidRDefault="002526E9" w:rsidP="002526E9">
            <w:pPr>
              <w:spacing w:before="0" w:line="276" w:lineRule="auto"/>
              <w:ind w:firstLineChars="100" w:firstLine="220"/>
              <w:contextualSpacing w:val="0"/>
              <w:jc w:val="left"/>
              <w:rPr>
                <w:color w:val="auto"/>
                <w:szCs w:val="22"/>
                <w:lang w:val="en-US" w:eastAsia="en-US"/>
              </w:rPr>
            </w:pPr>
            <w:r w:rsidRPr="002526E9">
              <w:rPr>
                <w:color w:val="auto"/>
                <w:szCs w:val="22"/>
                <w:lang w:val="en-US" w:eastAsia="en-US"/>
              </w:rPr>
              <w:t>ներքին պետական պարտք</w:t>
            </w:r>
          </w:p>
        </w:tc>
        <w:tc>
          <w:tcPr>
            <w:tcW w:w="1770" w:type="dxa"/>
            <w:vAlign w:val="center"/>
          </w:tcPr>
          <w:p w14:paraId="7218FD77"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16.1 </w:t>
            </w:r>
          </w:p>
        </w:tc>
        <w:tc>
          <w:tcPr>
            <w:tcW w:w="1770" w:type="dxa"/>
            <w:vAlign w:val="center"/>
          </w:tcPr>
          <w:p w14:paraId="43C0ABA0"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17.6 </w:t>
            </w:r>
          </w:p>
        </w:tc>
        <w:tc>
          <w:tcPr>
            <w:tcW w:w="1770" w:type="dxa"/>
            <w:vAlign w:val="center"/>
          </w:tcPr>
          <w:p w14:paraId="5184FA75" w14:textId="77777777" w:rsidR="002526E9" w:rsidRPr="002526E9"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19.0 </w:t>
            </w:r>
          </w:p>
        </w:tc>
      </w:tr>
    </w:tbl>
    <w:p w14:paraId="2B6208E0" w14:textId="77777777" w:rsidR="002526E9" w:rsidRPr="002526E9" w:rsidRDefault="002526E9" w:rsidP="002526E9">
      <w:pPr>
        <w:spacing w:before="0" w:after="200" w:line="276" w:lineRule="auto"/>
        <w:ind w:firstLine="0"/>
        <w:contextualSpacing w:val="0"/>
        <w:jc w:val="left"/>
        <w:rPr>
          <w:rFonts w:eastAsiaTheme="minorHAnsi" w:cs="Sylfaen"/>
          <w:szCs w:val="22"/>
          <w:u w:val="single"/>
          <w:lang w:eastAsia="en-US"/>
        </w:rPr>
      </w:pPr>
    </w:p>
    <w:p w14:paraId="6AFB46C6" w14:textId="77777777" w:rsidR="002526E9" w:rsidRPr="002526E9" w:rsidRDefault="002526E9" w:rsidP="002526E9">
      <w:pPr>
        <w:pStyle w:val="Heading3"/>
        <w:spacing w:line="276" w:lineRule="auto"/>
        <w:rPr>
          <w:sz w:val="22"/>
          <w:szCs w:val="22"/>
        </w:rPr>
      </w:pPr>
      <w:bookmarkStart w:id="346" w:name="_Toc89428345"/>
      <w:r w:rsidRPr="002526E9">
        <w:rPr>
          <w:sz w:val="22"/>
          <w:szCs w:val="22"/>
        </w:rPr>
        <w:t>ՀԱՅԱՍՏԱՆԻ ՀԱՆՐԱՊԵՏՈՒԹՅԱՆ ԿԱՌԱՎԱՐՈՒԹՅԱՆ ՊԱՐՏՔԸ</w:t>
      </w:r>
      <w:bookmarkEnd w:id="346"/>
    </w:p>
    <w:p w14:paraId="44D70C1F" w14:textId="77777777" w:rsidR="002526E9" w:rsidRPr="002526E9" w:rsidRDefault="002526E9" w:rsidP="002526E9">
      <w:pPr>
        <w:shd w:val="clear" w:color="auto" w:fill="FFFFFF"/>
        <w:spacing w:before="0" w:line="276" w:lineRule="auto"/>
        <w:ind w:firstLine="720"/>
        <w:contextualSpacing w:val="0"/>
        <w:rPr>
          <w:rFonts w:eastAsiaTheme="minorHAnsi" w:cs="Arial"/>
          <w:b w:val="0"/>
          <w:szCs w:val="22"/>
          <w:lang w:val="af-ZA" w:eastAsia="en-US"/>
        </w:rPr>
      </w:pPr>
      <w:r w:rsidRPr="002526E9">
        <w:rPr>
          <w:rFonts w:eastAsiaTheme="minorHAnsi" w:cs="Arial"/>
          <w:b w:val="0"/>
          <w:szCs w:val="22"/>
          <w:lang w:val="hy-AM" w:eastAsia="en-US"/>
        </w:rPr>
        <w:t>Կառավարության</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պարտքի</w:t>
      </w:r>
      <w:r w:rsidRPr="002526E9">
        <w:rPr>
          <w:rFonts w:eastAsiaTheme="minorHAnsi" w:cs="Arial"/>
          <w:b w:val="0"/>
          <w:szCs w:val="22"/>
          <w:lang w:val="af-ZA" w:eastAsia="en-US"/>
        </w:rPr>
        <w:t xml:space="preserve"> 202</w:t>
      </w:r>
      <w:r w:rsidRPr="002526E9">
        <w:rPr>
          <w:rFonts w:eastAsiaTheme="minorHAnsi" w:cs="Arial"/>
          <w:b w:val="0"/>
          <w:szCs w:val="22"/>
          <w:lang w:val="hy-AM" w:eastAsia="en-US"/>
        </w:rPr>
        <w:t>1</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և</w:t>
      </w:r>
      <w:r w:rsidRPr="002526E9">
        <w:rPr>
          <w:rFonts w:eastAsiaTheme="minorHAnsi" w:cs="Arial"/>
          <w:b w:val="0"/>
          <w:szCs w:val="22"/>
          <w:lang w:val="af-ZA" w:eastAsia="en-US"/>
        </w:rPr>
        <w:t xml:space="preserve"> 202</w:t>
      </w:r>
      <w:r w:rsidRPr="002526E9">
        <w:rPr>
          <w:rFonts w:eastAsiaTheme="minorHAnsi" w:cs="Arial"/>
          <w:b w:val="0"/>
          <w:szCs w:val="22"/>
          <w:lang w:val="hy-AM" w:eastAsia="en-US"/>
        </w:rPr>
        <w:t>2</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թվականների</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կանխատեսումները</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կատարվել</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են</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հիմք</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ընդունելով</w:t>
      </w:r>
      <w:r w:rsidRPr="002526E9">
        <w:rPr>
          <w:rFonts w:eastAsiaTheme="minorHAnsi" w:cs="Arial"/>
          <w:b w:val="0"/>
          <w:szCs w:val="22"/>
          <w:lang w:val="af-ZA" w:eastAsia="en-US"/>
        </w:rPr>
        <w:t xml:space="preserve"> </w:t>
      </w:r>
      <w:r w:rsidRPr="002526E9">
        <w:rPr>
          <w:rFonts w:eastAsiaTheme="minorHAnsi" w:cs="Arial"/>
          <w:b w:val="0"/>
          <w:szCs w:val="22"/>
          <w:lang w:val="hy-AM" w:eastAsia="en-US"/>
        </w:rPr>
        <w:t>հետևյալը</w:t>
      </w:r>
      <w:r w:rsidRPr="002526E9">
        <w:rPr>
          <w:rFonts w:eastAsiaTheme="minorHAnsi" w:cs="Arial"/>
          <w:b w:val="0"/>
          <w:szCs w:val="22"/>
          <w:lang w:val="af-ZA" w:eastAsia="en-US"/>
        </w:rPr>
        <w:t>.</w:t>
      </w:r>
    </w:p>
    <w:p w14:paraId="08F8D436" w14:textId="77777777" w:rsidR="002526E9" w:rsidRPr="002526E9" w:rsidRDefault="002526E9" w:rsidP="002526E9">
      <w:pPr>
        <w:pStyle w:val="ListParagraph"/>
        <w:numPr>
          <w:ilvl w:val="0"/>
          <w:numId w:val="14"/>
        </w:numPr>
        <w:shd w:val="clear" w:color="auto" w:fill="FFFFFF"/>
        <w:spacing w:before="0" w:after="120" w:line="276" w:lineRule="auto"/>
        <w:ind w:left="426" w:hanging="284"/>
        <w:contextualSpacing w:val="0"/>
        <w:rPr>
          <w:rFonts w:eastAsiaTheme="minorHAnsi" w:cstheme="minorBidi"/>
          <w:b w:val="0"/>
          <w:szCs w:val="22"/>
          <w:lang w:val="af-ZA" w:eastAsia="en-US"/>
        </w:rPr>
      </w:pPr>
      <w:r w:rsidRPr="002526E9">
        <w:rPr>
          <w:rFonts w:eastAsiaTheme="minorHAnsi" w:cstheme="minorBidi"/>
          <w:b w:val="0"/>
          <w:szCs w:val="22"/>
          <w:lang w:eastAsia="en-US"/>
        </w:rPr>
        <w:t>ՀՀ</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1</w:t>
      </w:r>
      <w:r w:rsidRPr="002526E9">
        <w:rPr>
          <w:rFonts w:eastAsiaTheme="minorHAnsi" w:cstheme="minorBidi"/>
          <w:b w:val="0"/>
          <w:szCs w:val="22"/>
          <w:lang w:val="en-US" w:eastAsia="en-US"/>
        </w:rPr>
        <w:t>թ</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բյուջեի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պակասուրդի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զուտ</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ֆինանսավորումը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պարտքային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գործիքների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հաշվին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կիրականացվի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588.4</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դրամի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չափով</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որից</w:t>
      </w:r>
      <w:r w:rsidRPr="002526E9">
        <w:rPr>
          <w:rFonts w:eastAsiaTheme="minorHAnsi" w:cstheme="minorBidi"/>
          <w:b w:val="0"/>
          <w:szCs w:val="22"/>
          <w:lang w:val="af-ZA" w:eastAsia="en-US"/>
        </w:rPr>
        <w:t>.</w:t>
      </w:r>
    </w:p>
    <w:p w14:paraId="4CF1D204" w14:textId="77777777" w:rsidR="002526E9" w:rsidRPr="002526E9" w:rsidRDefault="002526E9" w:rsidP="002526E9">
      <w:pPr>
        <w:pStyle w:val="ListParagraph"/>
        <w:numPr>
          <w:ilvl w:val="0"/>
          <w:numId w:val="49"/>
        </w:numPr>
        <w:shd w:val="clear" w:color="auto" w:fill="FFFFFF"/>
        <w:spacing w:before="0" w:after="120" w:line="276" w:lineRule="auto"/>
        <w:ind w:left="990"/>
        <w:contextualSpacing w:val="0"/>
        <w:rPr>
          <w:rFonts w:eastAsiaTheme="minorHAnsi" w:cstheme="minorBidi"/>
          <w:b w:val="0"/>
          <w:szCs w:val="22"/>
          <w:lang w:val="hy-AM" w:eastAsia="en-US"/>
        </w:rPr>
      </w:pPr>
      <w:r w:rsidRPr="002526E9">
        <w:rPr>
          <w:rFonts w:eastAsiaTheme="minorHAnsi" w:cstheme="minorBidi"/>
          <w:b w:val="0"/>
          <w:szCs w:val="22"/>
          <w:lang w:val="hy-AM" w:eastAsia="en-US"/>
        </w:rPr>
        <w:t>239.7</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դրամը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գանձապետական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պարտատոմսերի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հաշվին՝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սկզբանե</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պլանավորված 210 մլրդ դրամի դիմաց,</w:t>
      </w:r>
    </w:p>
    <w:p w14:paraId="7412B858" w14:textId="77777777" w:rsidR="002526E9" w:rsidRPr="002526E9" w:rsidRDefault="002526E9" w:rsidP="002526E9">
      <w:pPr>
        <w:pStyle w:val="ListParagraph"/>
        <w:numPr>
          <w:ilvl w:val="0"/>
          <w:numId w:val="49"/>
        </w:numPr>
        <w:shd w:val="clear" w:color="auto" w:fill="FFFFFF"/>
        <w:spacing w:before="0" w:after="120" w:line="276" w:lineRule="auto"/>
        <w:ind w:left="990"/>
        <w:contextualSpacing w:val="0"/>
        <w:rPr>
          <w:rFonts w:eastAsiaTheme="minorHAnsi" w:cstheme="minorBidi"/>
          <w:b w:val="0"/>
          <w:szCs w:val="22"/>
          <w:lang w:val="hy-AM" w:eastAsia="en-US"/>
        </w:rPr>
      </w:pPr>
      <w:r w:rsidRPr="002526E9">
        <w:rPr>
          <w:rFonts w:eastAsiaTheme="minorHAnsi" w:cstheme="minorBidi"/>
          <w:b w:val="0"/>
          <w:szCs w:val="22"/>
          <w:lang w:val="hy-AM" w:eastAsia="en-US"/>
        </w:rPr>
        <w:t>(-30) մլրդ դրամը արտաքին վարկերի հաշվին՝ ի սկզբանե պլանավորված 26.1 մլրդ դրամի դիմաց (նպատակային վարկերի գծով մասհանումներ՝ 177 մլն ԱՄՆ դոլար (87 մլրդ դրամ) ի սկզբանե պլանավորված 208.2 մլն ԱՄՆ դոլարի դիմաց, բյուջետային աջակցության վարկերի գծով մասհանումներ չեն նախատեսվել քանի որ 2021թ. պետական բյուջեով պլանավորված բյուջետային աջակցության 100 մլն ԱՄՆ դոլարի վարկի ներգրավման գործընթացի կասեցվել է և արտաքին վարկերի գծով մարումներ՝ 117.0 մլրդ դրամ՝ ի սկզբանե պլանավորված 126.1 մլրդ դրամի դիմաց),</w:t>
      </w:r>
    </w:p>
    <w:p w14:paraId="0D370075" w14:textId="77777777" w:rsidR="002526E9" w:rsidRPr="002526E9" w:rsidRDefault="002526E9" w:rsidP="002526E9">
      <w:pPr>
        <w:pStyle w:val="ListParagraph"/>
        <w:numPr>
          <w:ilvl w:val="0"/>
          <w:numId w:val="49"/>
        </w:numPr>
        <w:shd w:val="clear" w:color="auto" w:fill="FFFFFF"/>
        <w:spacing w:before="0" w:after="120" w:line="276" w:lineRule="auto"/>
        <w:ind w:left="990"/>
        <w:contextualSpacing w:val="0"/>
        <w:rPr>
          <w:rFonts w:eastAsiaTheme="minorHAnsi" w:cstheme="minorBidi"/>
          <w:b w:val="0"/>
          <w:szCs w:val="22"/>
          <w:lang w:val="af-ZA" w:eastAsia="en-US"/>
        </w:rPr>
      </w:pPr>
      <w:r w:rsidRPr="002526E9">
        <w:rPr>
          <w:rFonts w:eastAsiaTheme="minorHAnsi" w:cstheme="minorBidi"/>
          <w:b w:val="0"/>
          <w:szCs w:val="22"/>
          <w:lang w:val="hy-AM" w:eastAsia="en-US"/>
        </w:rPr>
        <w:t>378.7</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դրամը՝</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արտարժութային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պարտատոմսերի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հաշվին՝</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սկզբանե</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պլանավորված 241.9 մլրդ դրամի դիմաց</w:t>
      </w:r>
      <w:r w:rsidRPr="002526E9">
        <w:rPr>
          <w:rFonts w:eastAsiaTheme="minorHAnsi" w:cstheme="minorBidi"/>
          <w:b w:val="0"/>
          <w:szCs w:val="22"/>
          <w:lang w:val="af-ZA" w:eastAsia="en-US"/>
        </w:rPr>
        <w:t>,</w:t>
      </w:r>
    </w:p>
    <w:p w14:paraId="12193EFB" w14:textId="77777777" w:rsidR="002526E9" w:rsidRPr="002526E9" w:rsidRDefault="002526E9" w:rsidP="002526E9">
      <w:pPr>
        <w:pStyle w:val="ListParagraph"/>
        <w:numPr>
          <w:ilvl w:val="0"/>
          <w:numId w:val="14"/>
        </w:numPr>
        <w:shd w:val="clear" w:color="auto" w:fill="FFFFFF"/>
        <w:spacing w:before="0" w:after="120" w:line="276" w:lineRule="auto"/>
        <w:ind w:left="426" w:hanging="284"/>
        <w:contextualSpacing w:val="0"/>
        <w:rPr>
          <w:rFonts w:eastAsiaTheme="minorHAnsi" w:cstheme="minorBidi"/>
          <w:b w:val="0"/>
          <w:szCs w:val="22"/>
          <w:lang w:val="af-ZA" w:eastAsia="en-US"/>
        </w:rPr>
      </w:pPr>
      <w:r w:rsidRPr="002526E9">
        <w:rPr>
          <w:rFonts w:eastAsiaTheme="minorHAnsi" w:cs="Arial"/>
          <w:b w:val="0"/>
          <w:szCs w:val="22"/>
          <w:lang w:val="en-US" w:eastAsia="en-US"/>
        </w:rPr>
        <w:t>ՀՀ</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2</w:t>
      </w:r>
      <w:r w:rsidRPr="002526E9">
        <w:rPr>
          <w:rFonts w:eastAsiaTheme="minorHAnsi" w:cstheme="minorBidi"/>
          <w:b w:val="0"/>
          <w:szCs w:val="22"/>
          <w:lang w:val="en-US" w:eastAsia="en-US"/>
        </w:rPr>
        <w:t>թ</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բյուջեի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նախագծի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հիմքում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դրված</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պակասուրդի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ֆինանսավորման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սցենարը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որի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համաձայն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զուտ</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ֆինանսավորումը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պարտքային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գործիքների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հաշվին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կիրականացվի</w:t>
      </w:r>
      <w:r w:rsidRPr="002526E9">
        <w:rPr>
          <w:rFonts w:eastAsiaTheme="minorHAnsi" w:cstheme="minorBidi"/>
          <w:b w:val="0"/>
          <w:szCs w:val="22"/>
          <w:lang w:val="af-ZA" w:eastAsia="en-US"/>
        </w:rPr>
        <w:t xml:space="preserve"> 3</w:t>
      </w:r>
      <w:r w:rsidRPr="002526E9">
        <w:rPr>
          <w:rFonts w:eastAsiaTheme="minorHAnsi" w:cstheme="minorBidi"/>
          <w:b w:val="0"/>
          <w:szCs w:val="22"/>
          <w:lang w:val="hy-AM" w:eastAsia="en-US"/>
        </w:rPr>
        <w:t>56.5</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դրամի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չափով</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որից</w:t>
      </w:r>
      <w:r w:rsidRPr="002526E9">
        <w:rPr>
          <w:rFonts w:eastAsiaTheme="minorHAnsi" w:cstheme="minorBidi"/>
          <w:b w:val="0"/>
          <w:szCs w:val="22"/>
          <w:lang w:val="af-ZA" w:eastAsia="en-US"/>
        </w:rPr>
        <w:t xml:space="preserve"> 250.</w:t>
      </w:r>
      <w:r w:rsidRPr="002526E9">
        <w:rPr>
          <w:rFonts w:eastAsiaTheme="minorHAnsi" w:cstheme="minorBidi"/>
          <w:b w:val="0"/>
          <w:szCs w:val="22"/>
          <w:lang w:val="hy-AM" w:eastAsia="en-US"/>
        </w:rPr>
        <w:t>2</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դրամը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գանձապետական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պարտատոմսերի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հաշվին</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106.3</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դրամը՝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արտաքին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վարկերի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հաշվին</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հաշվի առնելով կատարվելիք մասհանումների և մայր գումարի մարումների տարբերությունը</w:t>
      </w:r>
      <w:r w:rsidRPr="002526E9">
        <w:rPr>
          <w:rFonts w:eastAsiaTheme="minorHAnsi" w:cstheme="minorBidi"/>
          <w:b w:val="0"/>
          <w:szCs w:val="22"/>
          <w:lang w:val="af-ZA" w:eastAsia="en-US"/>
        </w:rPr>
        <w:t>)</w:t>
      </w:r>
      <w:r w:rsidRPr="002526E9">
        <w:rPr>
          <w:rFonts w:eastAsiaTheme="minorHAnsi" w:cstheme="minorBidi"/>
          <w:b w:val="0"/>
          <w:szCs w:val="22"/>
          <w:vertAlign w:val="superscript"/>
          <w:lang w:val="en-US" w:eastAsia="en-US"/>
        </w:rPr>
        <w:footnoteReference w:id="24"/>
      </w:r>
      <w:r w:rsidRPr="002526E9">
        <w:rPr>
          <w:rFonts w:eastAsiaTheme="minorHAnsi" w:cstheme="minorBidi"/>
          <w:b w:val="0"/>
          <w:szCs w:val="22"/>
          <w:lang w:val="hy-AM" w:eastAsia="en-US"/>
        </w:rPr>
        <w:t>,</w:t>
      </w:r>
      <w:r w:rsidRPr="002526E9">
        <w:rPr>
          <w:rFonts w:eastAsiaTheme="minorHAnsi" w:cstheme="minorBidi"/>
          <w:b w:val="0"/>
          <w:szCs w:val="22"/>
          <w:lang w:val="af-ZA" w:eastAsia="en-US"/>
        </w:rPr>
        <w:t xml:space="preserve"> </w:t>
      </w:r>
      <w:r w:rsidRPr="002526E9">
        <w:rPr>
          <w:rFonts w:eastAsiaTheme="minorHAnsi" w:cstheme="minorBidi"/>
          <w:b w:val="0"/>
          <w:szCs w:val="22"/>
          <w:lang w:eastAsia="en-US"/>
        </w:rPr>
        <w:t>և</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արտարժութային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պարտատոմսերի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հաշվին</w:t>
      </w:r>
      <w:r w:rsidRPr="002526E9">
        <w:rPr>
          <w:rFonts w:eastAsiaTheme="minorHAnsi" w:cstheme="minorBidi"/>
          <w:b w:val="0"/>
          <w:szCs w:val="22"/>
          <w:lang w:val="hy-AM" w:eastAsia="en-US"/>
        </w:rPr>
        <w:t xml:space="preserve"> մուտքեր չեն նախատեսվել</w:t>
      </w:r>
      <w:r w:rsidRPr="002526E9">
        <w:rPr>
          <w:rFonts w:eastAsiaTheme="minorHAnsi" w:cstheme="minorBidi"/>
          <w:b w:val="0"/>
          <w:szCs w:val="22"/>
          <w:lang w:val="af-ZA" w:eastAsia="en-US"/>
        </w:rPr>
        <w:t>,</w:t>
      </w:r>
    </w:p>
    <w:p w14:paraId="6D91D8AE" w14:textId="77777777" w:rsidR="002526E9" w:rsidRPr="002526E9" w:rsidRDefault="002526E9" w:rsidP="002526E9">
      <w:pPr>
        <w:pStyle w:val="ListParagraph"/>
        <w:numPr>
          <w:ilvl w:val="0"/>
          <w:numId w:val="14"/>
        </w:numPr>
        <w:shd w:val="clear" w:color="auto" w:fill="FFFFFF"/>
        <w:spacing w:before="0" w:after="120" w:line="276" w:lineRule="auto"/>
        <w:ind w:left="426" w:hanging="284"/>
        <w:contextualSpacing w:val="0"/>
        <w:rPr>
          <w:rFonts w:eastAsiaTheme="minorHAnsi" w:cstheme="minorBidi"/>
          <w:b w:val="0"/>
          <w:szCs w:val="22"/>
          <w:lang w:val="af-ZA" w:eastAsia="en-US"/>
        </w:rPr>
      </w:pPr>
      <w:r w:rsidRPr="002526E9">
        <w:rPr>
          <w:rFonts w:eastAsiaTheme="minorHAnsi" w:cs="Arial"/>
          <w:b w:val="0"/>
          <w:szCs w:val="22"/>
          <w:lang w:eastAsia="en-US"/>
        </w:rPr>
        <w:t>ներգրաված</w:t>
      </w:r>
      <w:r w:rsidRPr="002526E9">
        <w:rPr>
          <w:rFonts w:eastAsiaTheme="minorHAnsi" w:cs="Arial"/>
          <w:b w:val="0"/>
          <w:szCs w:val="22"/>
          <w:lang w:val="af-ZA" w:eastAsia="en-US"/>
        </w:rPr>
        <w:t xml:space="preserve"> </w:t>
      </w:r>
      <w:r w:rsidRPr="002526E9">
        <w:rPr>
          <w:rFonts w:eastAsiaTheme="minorHAnsi" w:cs="Arial"/>
          <w:b w:val="0"/>
          <w:szCs w:val="22"/>
          <w:lang w:eastAsia="en-US"/>
        </w:rPr>
        <w:t>պարտքի</w:t>
      </w:r>
      <w:r w:rsidRPr="002526E9">
        <w:rPr>
          <w:rFonts w:eastAsiaTheme="minorHAnsi" w:cs="Arial"/>
          <w:b w:val="0"/>
          <w:szCs w:val="22"/>
          <w:lang w:val="af-ZA" w:eastAsia="en-US"/>
        </w:rPr>
        <w:t xml:space="preserve"> </w:t>
      </w:r>
      <w:r w:rsidRPr="002526E9">
        <w:rPr>
          <w:rFonts w:eastAsiaTheme="minorHAnsi" w:cs="Arial"/>
          <w:b w:val="0"/>
          <w:szCs w:val="22"/>
          <w:lang w:eastAsia="en-US"/>
        </w:rPr>
        <w:t>սպասարկման</w:t>
      </w:r>
      <w:r w:rsidRPr="002526E9">
        <w:rPr>
          <w:rFonts w:eastAsiaTheme="minorHAnsi" w:cs="Arial"/>
          <w:b w:val="0"/>
          <w:szCs w:val="22"/>
          <w:lang w:val="af-ZA" w:eastAsia="en-US"/>
        </w:rPr>
        <w:t xml:space="preserve"> </w:t>
      </w:r>
      <w:r w:rsidRPr="002526E9">
        <w:rPr>
          <w:rFonts w:eastAsiaTheme="minorHAnsi" w:cs="Arial"/>
          <w:b w:val="0"/>
          <w:szCs w:val="22"/>
          <w:lang w:eastAsia="en-US"/>
        </w:rPr>
        <w:t>և</w:t>
      </w:r>
      <w:r w:rsidRPr="002526E9">
        <w:rPr>
          <w:rFonts w:eastAsiaTheme="minorHAnsi" w:cs="Arial"/>
          <w:b w:val="0"/>
          <w:szCs w:val="22"/>
          <w:lang w:val="af-ZA" w:eastAsia="en-US"/>
        </w:rPr>
        <w:t xml:space="preserve"> </w:t>
      </w:r>
      <w:r w:rsidRPr="002526E9">
        <w:rPr>
          <w:rFonts w:eastAsiaTheme="minorHAnsi" w:cs="Arial"/>
          <w:b w:val="0"/>
          <w:szCs w:val="22"/>
          <w:lang w:eastAsia="en-US"/>
        </w:rPr>
        <w:t>մարման</w:t>
      </w:r>
      <w:r w:rsidRPr="002526E9">
        <w:rPr>
          <w:rFonts w:eastAsiaTheme="minorHAnsi" w:cs="Arial"/>
          <w:b w:val="0"/>
          <w:szCs w:val="22"/>
          <w:lang w:val="af-ZA" w:eastAsia="en-US"/>
        </w:rPr>
        <w:t xml:space="preserve"> </w:t>
      </w:r>
      <w:r w:rsidRPr="002526E9">
        <w:rPr>
          <w:rFonts w:eastAsiaTheme="minorHAnsi" w:cs="Arial"/>
          <w:b w:val="0"/>
          <w:szCs w:val="22"/>
          <w:lang w:eastAsia="en-US"/>
        </w:rPr>
        <w:t>պայմանները</w:t>
      </w:r>
      <w:r w:rsidRPr="002526E9">
        <w:rPr>
          <w:rFonts w:eastAsiaTheme="minorHAnsi" w:cs="Arial"/>
          <w:b w:val="0"/>
          <w:szCs w:val="22"/>
          <w:lang w:val="af-ZA" w:eastAsia="en-US"/>
        </w:rPr>
        <w:t>,</w:t>
      </w:r>
    </w:p>
    <w:p w14:paraId="0F327F94" w14:textId="77777777" w:rsidR="002526E9" w:rsidRPr="002526E9" w:rsidRDefault="002526E9" w:rsidP="002526E9">
      <w:pPr>
        <w:numPr>
          <w:ilvl w:val="0"/>
          <w:numId w:val="14"/>
        </w:numPr>
        <w:shd w:val="clear" w:color="auto" w:fill="FFFFFF"/>
        <w:spacing w:before="0" w:after="120" w:line="276" w:lineRule="auto"/>
        <w:ind w:left="426" w:hanging="284"/>
        <w:contextualSpacing w:val="0"/>
        <w:rPr>
          <w:rFonts w:eastAsiaTheme="minorHAnsi" w:cs="Arial"/>
          <w:b w:val="0"/>
          <w:szCs w:val="22"/>
          <w:lang w:val="af-ZA" w:eastAsia="en-US"/>
        </w:rPr>
      </w:pPr>
      <w:r w:rsidRPr="002526E9">
        <w:rPr>
          <w:rFonts w:eastAsiaTheme="minorHAnsi" w:cs="Arial"/>
          <w:b w:val="0"/>
          <w:szCs w:val="22"/>
          <w:lang w:val="en-US" w:eastAsia="en-US"/>
        </w:rPr>
        <w:t>ՀՀ</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2</w:t>
      </w:r>
      <w:r w:rsidRPr="002526E9">
        <w:rPr>
          <w:rFonts w:eastAsiaTheme="minorHAnsi" w:cstheme="minorBidi"/>
          <w:b w:val="0"/>
          <w:szCs w:val="22"/>
          <w:lang w:val="en-US" w:eastAsia="en-US"/>
        </w:rPr>
        <w:t>թ</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բյուջեի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նախագծի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հիմքում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դրված</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1</w:t>
      </w:r>
      <w:r w:rsidRPr="002526E9">
        <w:rPr>
          <w:rFonts w:eastAsiaTheme="minorHAnsi" w:cstheme="minorBidi"/>
          <w:b w:val="0"/>
          <w:szCs w:val="22"/>
          <w:lang w:val="en-US" w:eastAsia="en-US"/>
        </w:rPr>
        <w:t>թ</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և</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2</w:t>
      </w:r>
      <w:r w:rsidRPr="002526E9">
        <w:rPr>
          <w:rFonts w:eastAsiaTheme="minorHAnsi" w:cstheme="minorBidi"/>
          <w:b w:val="0"/>
          <w:szCs w:val="22"/>
          <w:lang w:val="en-US" w:eastAsia="en-US"/>
        </w:rPr>
        <w:t>թ</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ՀՆԱ</w:t>
      </w:r>
      <w:r w:rsidRPr="002526E9">
        <w:rPr>
          <w:rFonts w:eastAsiaTheme="minorHAnsi" w:cstheme="minorBidi"/>
          <w:b w:val="0"/>
          <w:szCs w:val="22"/>
          <w:lang w:val="af-ZA" w:eastAsia="en-US"/>
        </w:rPr>
        <w:t>-</w:t>
      </w:r>
      <w:r w:rsidRPr="002526E9">
        <w:rPr>
          <w:rFonts w:eastAsiaTheme="minorHAnsi" w:cstheme="minorBidi"/>
          <w:b w:val="0"/>
          <w:szCs w:val="22"/>
          <w:lang w:val="en-US" w:eastAsia="en-US"/>
        </w:rPr>
        <w:t>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 xml:space="preserve">և այլ մակրոտնտեսական </w:t>
      </w:r>
      <w:r w:rsidRPr="002526E9">
        <w:rPr>
          <w:rFonts w:eastAsiaTheme="minorHAnsi" w:cstheme="minorBidi"/>
          <w:b w:val="0"/>
          <w:szCs w:val="22"/>
          <w:lang w:val="en-US" w:eastAsia="en-US"/>
        </w:rPr>
        <w:t>կանխատեսումային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ցուցանիշները</w:t>
      </w:r>
      <w:r w:rsidRPr="002526E9">
        <w:rPr>
          <w:rFonts w:eastAsiaTheme="minorHAnsi" w:cstheme="minorBidi"/>
          <w:b w:val="0"/>
          <w:szCs w:val="22"/>
          <w:lang w:val="af-ZA" w:eastAsia="en-US"/>
        </w:rPr>
        <w:t>:</w:t>
      </w:r>
    </w:p>
    <w:p w14:paraId="123D1B18" w14:textId="77777777" w:rsidR="002526E9" w:rsidRDefault="002526E9" w:rsidP="002526E9">
      <w:pPr>
        <w:shd w:val="clear" w:color="auto" w:fill="FFFFFF"/>
        <w:spacing w:before="0" w:line="276" w:lineRule="auto"/>
        <w:ind w:firstLine="720"/>
        <w:contextualSpacing w:val="0"/>
        <w:rPr>
          <w:rFonts w:eastAsiaTheme="minorHAnsi" w:cstheme="minorBidi"/>
          <w:b w:val="0"/>
          <w:szCs w:val="22"/>
          <w:lang w:val="af-ZA" w:eastAsia="en-US"/>
        </w:rPr>
      </w:pPr>
      <w:r w:rsidRPr="002526E9">
        <w:rPr>
          <w:rFonts w:eastAsiaTheme="minorHAnsi" w:cs="Arial"/>
          <w:b w:val="0"/>
          <w:szCs w:val="22"/>
          <w:lang w:val="en-US" w:eastAsia="en-US"/>
        </w:rPr>
        <w:t>Ը</w:t>
      </w:r>
      <w:r w:rsidRPr="002526E9">
        <w:rPr>
          <w:rFonts w:eastAsiaTheme="minorHAnsi" w:cstheme="minorBidi"/>
          <w:b w:val="0"/>
          <w:szCs w:val="22"/>
          <w:lang w:val="en-US" w:eastAsia="en-US"/>
        </w:rPr>
        <w:t>ստ</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կանխատեսումների</w:t>
      </w:r>
      <w:r w:rsidRPr="002526E9">
        <w:rPr>
          <w:rFonts w:eastAsiaTheme="minorHAnsi" w:cstheme="minorBidi"/>
          <w:b w:val="0"/>
          <w:szCs w:val="22"/>
          <w:lang w:val="af-ZA" w:eastAsia="en-US"/>
        </w:rPr>
        <w:t>` 202</w:t>
      </w:r>
      <w:r w:rsidRPr="002526E9">
        <w:rPr>
          <w:rFonts w:eastAsiaTheme="minorHAnsi" w:cstheme="minorBidi"/>
          <w:b w:val="0"/>
          <w:szCs w:val="22"/>
          <w:lang w:val="hy-AM" w:eastAsia="en-US"/>
        </w:rPr>
        <w:t>2</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թվականի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դեկտեմբերի</w:t>
      </w:r>
      <w:r w:rsidRPr="002526E9">
        <w:rPr>
          <w:rFonts w:eastAsiaTheme="minorHAnsi" w:cstheme="minorBidi"/>
          <w:b w:val="0"/>
          <w:szCs w:val="22"/>
          <w:lang w:val="af-ZA" w:eastAsia="en-US"/>
        </w:rPr>
        <w:t xml:space="preserve"> 31-</w:t>
      </w:r>
      <w:r w:rsidRPr="002526E9">
        <w:rPr>
          <w:rFonts w:eastAsiaTheme="minorHAnsi" w:cstheme="minorBidi"/>
          <w:b w:val="0"/>
          <w:szCs w:val="22"/>
          <w:lang w:val="en-US" w:eastAsia="en-US"/>
        </w:rPr>
        <w:t>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դրությամբ</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կառավարության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պարտքը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կկազմի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4,741</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մլրդ</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դրամ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ՀՆԱ</w:t>
      </w:r>
      <w:r w:rsidRPr="002526E9">
        <w:rPr>
          <w:rFonts w:eastAsiaTheme="minorHAnsi" w:cstheme="minorBidi"/>
          <w:b w:val="0"/>
          <w:szCs w:val="22"/>
          <w:lang w:val="af-ZA" w:eastAsia="en-US"/>
        </w:rPr>
        <w:t>-</w:t>
      </w:r>
      <w:r w:rsidRPr="002526E9">
        <w:rPr>
          <w:rFonts w:eastAsiaTheme="minorHAnsi" w:cstheme="minorBidi"/>
          <w:b w:val="0"/>
          <w:szCs w:val="22"/>
          <w:lang w:val="en-US" w:eastAsia="en-US"/>
        </w:rPr>
        <w:t>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60.2</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տոկոսը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և</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1</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թվականի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տարեվերջի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համեմատությամբ</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ՀՆԱ</w:t>
      </w:r>
      <w:r w:rsidRPr="002526E9">
        <w:rPr>
          <w:rFonts w:eastAsiaTheme="minorHAnsi" w:cstheme="minorBidi"/>
          <w:b w:val="0"/>
          <w:szCs w:val="22"/>
          <w:lang w:val="af-ZA" w:eastAsia="en-US"/>
        </w:rPr>
        <w:t>-</w:t>
      </w:r>
      <w:r w:rsidRPr="002526E9">
        <w:rPr>
          <w:rFonts w:eastAsiaTheme="minorHAnsi" w:cstheme="minorBidi"/>
          <w:b w:val="0"/>
          <w:szCs w:val="22"/>
          <w:lang w:val="en-US" w:eastAsia="en-US"/>
        </w:rPr>
        <w:t>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նկատմամբ</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w:t>
      </w:r>
      <w:r w:rsidRPr="002526E9">
        <w:rPr>
          <w:rFonts w:eastAsiaTheme="minorHAnsi" w:cstheme="minorBidi"/>
          <w:b w:val="0"/>
          <w:szCs w:val="22"/>
          <w:lang w:val="hy-AM" w:eastAsia="en-US"/>
        </w:rPr>
        <w:t>նվազի 0.6</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տոկոսային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կետով</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Նշենք</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որ</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կառավարության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պարտք</w:t>
      </w:r>
      <w:r w:rsidRPr="002526E9">
        <w:rPr>
          <w:rFonts w:eastAsiaTheme="minorHAnsi" w:cstheme="minorBidi"/>
          <w:b w:val="0"/>
          <w:szCs w:val="22"/>
          <w:lang w:val="af-ZA" w:eastAsia="en-US"/>
        </w:rPr>
        <w:t>/</w:t>
      </w:r>
      <w:r w:rsidRPr="002526E9">
        <w:rPr>
          <w:rFonts w:eastAsiaTheme="minorHAnsi" w:cstheme="minorBidi"/>
          <w:b w:val="0"/>
          <w:szCs w:val="22"/>
          <w:lang w:val="en-US" w:eastAsia="en-US"/>
        </w:rPr>
        <w:t>ՀՆԱ</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ցուցանիշի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նշված</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կանխատեսումները</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տարբերվում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են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կառավարության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պարտքի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կառավարման</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2</w:t>
      </w:r>
      <w:r w:rsidRPr="002526E9">
        <w:rPr>
          <w:rFonts w:eastAsiaTheme="minorHAnsi" w:cstheme="minorBidi"/>
          <w:b w:val="0"/>
          <w:szCs w:val="22"/>
          <w:lang w:val="af-ZA" w:eastAsia="en-US"/>
        </w:rPr>
        <w:t>-202</w:t>
      </w:r>
      <w:r w:rsidRPr="002526E9">
        <w:rPr>
          <w:rFonts w:eastAsiaTheme="minorHAnsi" w:cstheme="minorBidi"/>
          <w:b w:val="0"/>
          <w:szCs w:val="22"/>
          <w:lang w:val="hy-AM" w:eastAsia="en-US"/>
        </w:rPr>
        <w:t>4</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թվականների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միջնաժամկետ</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ռազմավարական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ծրարով</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սահմանված</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ցուցանիշներից՝</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պայմանավորված</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հիմնականում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կանխատեսումներում</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կիրառված</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մակրոտնտեսական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ու</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հարկաբյուջետային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շրջանակի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փոխարժեքների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տարբերություններով</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ու</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կառավարության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պարտքի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գծով</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գործառնություններով</w:t>
      </w:r>
      <w:r w:rsidRPr="002526E9">
        <w:rPr>
          <w:rFonts w:eastAsiaTheme="minorHAnsi" w:cstheme="minorBidi"/>
          <w:b w:val="0"/>
          <w:szCs w:val="22"/>
          <w:lang w:val="af-ZA" w:eastAsia="en-US"/>
        </w:rPr>
        <w:t xml:space="preserve">: </w:t>
      </w:r>
    </w:p>
    <w:p w14:paraId="1F5507B1" w14:textId="34ED64B4" w:rsidR="002526E9" w:rsidRPr="002526E9" w:rsidRDefault="002526E9" w:rsidP="002526E9">
      <w:pPr>
        <w:shd w:val="clear" w:color="auto" w:fill="FFFFFF"/>
        <w:spacing w:before="0" w:line="276" w:lineRule="auto"/>
        <w:ind w:firstLine="720"/>
        <w:contextualSpacing w:val="0"/>
        <w:rPr>
          <w:rFonts w:eastAsiaTheme="minorHAnsi" w:cstheme="minorBidi"/>
          <w:b w:val="0"/>
          <w:szCs w:val="22"/>
          <w:lang w:val="af-ZA" w:eastAsia="en-US"/>
        </w:rPr>
      </w:pPr>
      <w:r w:rsidRPr="002526E9">
        <w:rPr>
          <w:rFonts w:eastAsiaTheme="minorHAnsi" w:cstheme="minorBidi"/>
          <w:b w:val="0"/>
          <w:szCs w:val="22"/>
          <w:lang w:val="af-ZA" w:eastAsia="en-US"/>
        </w:rPr>
        <w:t xml:space="preserve"> </w:t>
      </w:r>
    </w:p>
    <w:tbl>
      <w:tblPr>
        <w:tblStyle w:val="MediumList2-Accent59"/>
        <w:tblW w:w="1009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2"/>
        <w:gridCol w:w="1795"/>
        <w:gridCol w:w="1795"/>
        <w:gridCol w:w="1796"/>
      </w:tblGrid>
      <w:tr w:rsidR="002526E9" w:rsidRPr="002526E9" w14:paraId="70B27019" w14:textId="77777777" w:rsidTr="002526E9">
        <w:trPr>
          <w:cnfStyle w:val="100000000000" w:firstRow="1" w:lastRow="0" w:firstColumn="0" w:lastColumn="0" w:oddVBand="0" w:evenVBand="0" w:oddHBand="0" w:evenHBand="0" w:firstRowFirstColumn="0" w:firstRowLastColumn="0" w:lastRowFirstColumn="0" w:lastRowLastColumn="0"/>
          <w:trHeight w:val="341"/>
        </w:trPr>
        <w:tc>
          <w:tcPr>
            <w:cnfStyle w:val="001000000100" w:firstRow="0" w:lastRow="0" w:firstColumn="1" w:lastColumn="0" w:oddVBand="0" w:evenVBand="0" w:oddHBand="0" w:evenHBand="0" w:firstRowFirstColumn="1" w:firstRowLastColumn="0" w:lastRowFirstColumn="0" w:lastRowLastColumn="0"/>
            <w:tcW w:w="4712" w:type="dxa"/>
            <w:tcBorders>
              <w:top w:val="none" w:sz="0" w:space="0" w:color="auto"/>
              <w:left w:val="none" w:sz="0" w:space="0" w:color="auto"/>
              <w:bottom w:val="none" w:sz="0" w:space="0" w:color="auto"/>
              <w:right w:val="none" w:sz="0" w:space="0" w:color="auto"/>
            </w:tcBorders>
            <w:vAlign w:val="center"/>
          </w:tcPr>
          <w:p w14:paraId="1C14CA40" w14:textId="77777777" w:rsidR="002526E9" w:rsidRPr="002526E9" w:rsidRDefault="002526E9" w:rsidP="002526E9">
            <w:pPr>
              <w:spacing w:before="0" w:line="276" w:lineRule="auto"/>
              <w:ind w:firstLine="0"/>
              <w:contextualSpacing w:val="0"/>
              <w:jc w:val="left"/>
              <w:rPr>
                <w:b w:val="0"/>
                <w:szCs w:val="22"/>
                <w:lang w:val="af-ZA" w:eastAsia="en-US"/>
              </w:rPr>
            </w:pPr>
            <w:r w:rsidRPr="002526E9">
              <w:rPr>
                <w:rFonts w:ascii="Calibri" w:hAnsi="Calibri" w:cs="Calibri"/>
                <w:b w:val="0"/>
                <w:szCs w:val="22"/>
                <w:lang w:val="af-ZA" w:eastAsia="en-US"/>
              </w:rPr>
              <w:t> </w:t>
            </w:r>
          </w:p>
        </w:tc>
        <w:tc>
          <w:tcPr>
            <w:tcW w:w="1795" w:type="dxa"/>
            <w:tcBorders>
              <w:top w:val="none" w:sz="0" w:space="0" w:color="auto"/>
              <w:left w:val="none" w:sz="0" w:space="0" w:color="auto"/>
              <w:bottom w:val="none" w:sz="0" w:space="0" w:color="auto"/>
              <w:right w:val="none" w:sz="0" w:space="0" w:color="auto"/>
            </w:tcBorders>
          </w:tcPr>
          <w:p w14:paraId="649FAE86"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szCs w:val="22"/>
                <w:lang w:val="en-US" w:eastAsia="en-US"/>
              </w:rPr>
            </w:pPr>
            <w:r w:rsidRPr="002526E9">
              <w:rPr>
                <w:b w:val="0"/>
                <w:szCs w:val="22"/>
                <w:lang w:eastAsia="en-US"/>
              </w:rPr>
              <w:t>ա</w:t>
            </w:r>
            <w:r w:rsidRPr="002526E9">
              <w:rPr>
                <w:b w:val="0"/>
                <w:szCs w:val="22"/>
                <w:lang w:val="en-US" w:eastAsia="en-US"/>
              </w:rPr>
              <w:t>ռ 31.12.20</w:t>
            </w:r>
            <w:r w:rsidRPr="002526E9">
              <w:rPr>
                <w:b w:val="0"/>
                <w:szCs w:val="22"/>
                <w:lang w:val="hy-AM" w:eastAsia="en-US"/>
              </w:rPr>
              <w:t>20</w:t>
            </w:r>
            <w:r w:rsidRPr="002526E9">
              <w:rPr>
                <w:b w:val="0"/>
                <w:szCs w:val="22"/>
                <w:lang w:val="en-US" w:eastAsia="en-US"/>
              </w:rPr>
              <w:t>թ.</w:t>
            </w:r>
          </w:p>
        </w:tc>
        <w:tc>
          <w:tcPr>
            <w:tcW w:w="1795" w:type="dxa"/>
            <w:tcBorders>
              <w:top w:val="none" w:sz="0" w:space="0" w:color="auto"/>
              <w:left w:val="none" w:sz="0" w:space="0" w:color="auto"/>
              <w:bottom w:val="none" w:sz="0" w:space="0" w:color="auto"/>
              <w:right w:val="none" w:sz="0" w:space="0" w:color="auto"/>
            </w:tcBorders>
          </w:tcPr>
          <w:p w14:paraId="5CF72A23"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szCs w:val="22"/>
                <w:lang w:val="en-US" w:eastAsia="en-US"/>
              </w:rPr>
            </w:pPr>
            <w:r w:rsidRPr="002526E9">
              <w:rPr>
                <w:b w:val="0"/>
                <w:szCs w:val="22"/>
                <w:lang w:val="en-US" w:eastAsia="en-US"/>
              </w:rPr>
              <w:t>առ 31.12.202</w:t>
            </w:r>
            <w:r w:rsidRPr="002526E9">
              <w:rPr>
                <w:b w:val="0"/>
                <w:szCs w:val="22"/>
                <w:lang w:val="hy-AM" w:eastAsia="en-US"/>
              </w:rPr>
              <w:t>1</w:t>
            </w:r>
            <w:r w:rsidRPr="002526E9">
              <w:rPr>
                <w:b w:val="0"/>
                <w:szCs w:val="22"/>
                <w:lang w:val="en-US" w:eastAsia="en-US"/>
              </w:rPr>
              <w:t>թ.</w:t>
            </w:r>
          </w:p>
        </w:tc>
        <w:tc>
          <w:tcPr>
            <w:tcW w:w="1796" w:type="dxa"/>
            <w:tcBorders>
              <w:top w:val="none" w:sz="0" w:space="0" w:color="auto"/>
              <w:left w:val="none" w:sz="0" w:space="0" w:color="auto"/>
              <w:bottom w:val="none" w:sz="0" w:space="0" w:color="auto"/>
              <w:right w:val="none" w:sz="0" w:space="0" w:color="auto"/>
            </w:tcBorders>
          </w:tcPr>
          <w:p w14:paraId="11186A4B"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szCs w:val="22"/>
                <w:lang w:val="en-US" w:eastAsia="en-US"/>
              </w:rPr>
            </w:pPr>
            <w:r w:rsidRPr="002526E9">
              <w:rPr>
                <w:b w:val="0"/>
                <w:szCs w:val="22"/>
                <w:lang w:val="en-US" w:eastAsia="en-US"/>
              </w:rPr>
              <w:t>առ 31.12.202</w:t>
            </w:r>
            <w:r w:rsidRPr="002526E9">
              <w:rPr>
                <w:b w:val="0"/>
                <w:szCs w:val="22"/>
                <w:lang w:val="hy-AM" w:eastAsia="en-US"/>
              </w:rPr>
              <w:t>2</w:t>
            </w:r>
            <w:r w:rsidRPr="002526E9">
              <w:rPr>
                <w:b w:val="0"/>
                <w:szCs w:val="22"/>
                <w:lang w:val="en-US" w:eastAsia="en-US"/>
              </w:rPr>
              <w:t>թ.</w:t>
            </w:r>
          </w:p>
        </w:tc>
      </w:tr>
      <w:tr w:rsidR="002526E9" w:rsidRPr="002526E9" w14:paraId="4EDF30C0" w14:textId="77777777" w:rsidTr="002526E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4712" w:type="dxa"/>
            <w:tcBorders>
              <w:top w:val="none" w:sz="0" w:space="0" w:color="auto"/>
              <w:left w:val="none" w:sz="0" w:space="0" w:color="auto"/>
              <w:bottom w:val="none" w:sz="0" w:space="0" w:color="auto"/>
              <w:right w:val="none" w:sz="0" w:space="0" w:color="auto"/>
            </w:tcBorders>
            <w:vAlign w:val="center"/>
          </w:tcPr>
          <w:p w14:paraId="08835969" w14:textId="77777777" w:rsidR="002526E9" w:rsidRPr="002526E9" w:rsidRDefault="002526E9" w:rsidP="002526E9">
            <w:pPr>
              <w:spacing w:before="0" w:line="276" w:lineRule="auto"/>
              <w:ind w:firstLine="0"/>
              <w:contextualSpacing w:val="0"/>
              <w:jc w:val="left"/>
              <w:rPr>
                <w:b w:val="0"/>
                <w:szCs w:val="22"/>
                <w:lang w:eastAsia="en-US"/>
              </w:rPr>
            </w:pPr>
            <w:r w:rsidRPr="002526E9">
              <w:rPr>
                <w:b w:val="0"/>
                <w:szCs w:val="22"/>
                <w:lang w:val="en-US" w:eastAsia="en-US"/>
              </w:rPr>
              <w:t>ՀՀ</w:t>
            </w:r>
            <w:r w:rsidRPr="002526E9">
              <w:rPr>
                <w:b w:val="0"/>
                <w:szCs w:val="22"/>
                <w:lang w:eastAsia="en-US"/>
              </w:rPr>
              <w:t xml:space="preserve"> </w:t>
            </w:r>
            <w:r w:rsidRPr="002526E9">
              <w:rPr>
                <w:b w:val="0"/>
                <w:szCs w:val="22"/>
                <w:lang w:val="en-US" w:eastAsia="en-US"/>
              </w:rPr>
              <w:t>կառավարության</w:t>
            </w:r>
            <w:r w:rsidRPr="002526E9">
              <w:rPr>
                <w:b w:val="0"/>
                <w:szCs w:val="22"/>
                <w:lang w:eastAsia="en-US"/>
              </w:rPr>
              <w:t xml:space="preserve"> </w:t>
            </w:r>
            <w:r w:rsidRPr="002526E9">
              <w:rPr>
                <w:b w:val="0"/>
                <w:szCs w:val="22"/>
                <w:lang w:val="en-US" w:eastAsia="en-US"/>
              </w:rPr>
              <w:t>պարտք</w:t>
            </w:r>
            <w:r w:rsidRPr="002526E9">
              <w:rPr>
                <w:b w:val="0"/>
                <w:szCs w:val="22"/>
                <w:lang w:eastAsia="en-US"/>
              </w:rPr>
              <w:t xml:space="preserve">, </w:t>
            </w:r>
            <w:r w:rsidRPr="002526E9">
              <w:rPr>
                <w:b w:val="0"/>
                <w:szCs w:val="22"/>
                <w:lang w:val="en-US" w:eastAsia="en-US"/>
              </w:rPr>
              <w:t>մլրդ</w:t>
            </w:r>
            <w:r w:rsidRPr="002526E9">
              <w:rPr>
                <w:b w:val="0"/>
                <w:szCs w:val="22"/>
                <w:lang w:eastAsia="en-US"/>
              </w:rPr>
              <w:t xml:space="preserve"> </w:t>
            </w:r>
            <w:r w:rsidRPr="002526E9">
              <w:rPr>
                <w:b w:val="0"/>
                <w:szCs w:val="22"/>
                <w:lang w:val="en-US" w:eastAsia="en-US"/>
              </w:rPr>
              <w:t>դրամ</w:t>
            </w:r>
          </w:p>
        </w:tc>
        <w:tc>
          <w:tcPr>
            <w:tcW w:w="1795"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209BB08"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3,924</w:t>
            </w:r>
          </w:p>
        </w:tc>
        <w:tc>
          <w:tcPr>
            <w:tcW w:w="1795" w:type="dxa"/>
            <w:tcBorders>
              <w:top w:val="none" w:sz="0" w:space="0" w:color="auto"/>
              <w:left w:val="none" w:sz="0" w:space="0" w:color="auto"/>
              <w:bottom w:val="none" w:sz="0" w:space="0" w:color="auto"/>
              <w:right w:val="none" w:sz="0" w:space="0" w:color="auto"/>
            </w:tcBorders>
            <w:shd w:val="clear" w:color="auto" w:fill="C6D9F1" w:themeFill="text2" w:themeFillTint="33"/>
            <w:vAlign w:val="center"/>
          </w:tcPr>
          <w:p w14:paraId="3A58E9FD"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4,275</w:t>
            </w:r>
          </w:p>
        </w:tc>
        <w:tc>
          <w:tcPr>
            <w:tcW w:w="1796" w:type="dxa"/>
            <w:tcBorders>
              <w:top w:val="none" w:sz="0" w:space="0" w:color="auto"/>
              <w:left w:val="none" w:sz="0" w:space="0" w:color="auto"/>
              <w:bottom w:val="none" w:sz="0" w:space="0" w:color="auto"/>
            </w:tcBorders>
            <w:shd w:val="clear" w:color="auto" w:fill="C6D9F1" w:themeFill="text2" w:themeFillTint="33"/>
            <w:vAlign w:val="center"/>
          </w:tcPr>
          <w:p w14:paraId="00155EB7"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4,741</w:t>
            </w:r>
          </w:p>
        </w:tc>
      </w:tr>
      <w:tr w:rsidR="002526E9" w:rsidRPr="002526E9" w14:paraId="6A2AB333" w14:textId="77777777" w:rsidTr="002526E9">
        <w:trPr>
          <w:trHeight w:val="395"/>
        </w:trPr>
        <w:tc>
          <w:tcPr>
            <w:cnfStyle w:val="001000000000" w:firstRow="0" w:lastRow="0" w:firstColumn="1" w:lastColumn="0" w:oddVBand="0" w:evenVBand="0" w:oddHBand="0" w:evenHBand="0" w:firstRowFirstColumn="0" w:firstRowLastColumn="0" w:lastRowFirstColumn="0" w:lastRowLastColumn="0"/>
            <w:tcW w:w="4712" w:type="dxa"/>
            <w:tcBorders>
              <w:left w:val="none" w:sz="0" w:space="0" w:color="auto"/>
              <w:bottom w:val="none" w:sz="0" w:space="0" w:color="auto"/>
              <w:right w:val="none" w:sz="0" w:space="0" w:color="auto"/>
            </w:tcBorders>
            <w:vAlign w:val="center"/>
          </w:tcPr>
          <w:p w14:paraId="635E1E46" w14:textId="77777777" w:rsidR="002526E9" w:rsidRPr="002526E9" w:rsidRDefault="002526E9" w:rsidP="002526E9">
            <w:pPr>
              <w:spacing w:before="0" w:line="276" w:lineRule="auto"/>
              <w:ind w:firstLine="0"/>
              <w:contextualSpacing w:val="0"/>
              <w:jc w:val="left"/>
              <w:rPr>
                <w:b w:val="0"/>
                <w:szCs w:val="22"/>
                <w:lang w:eastAsia="en-US"/>
              </w:rPr>
            </w:pPr>
            <w:r w:rsidRPr="002526E9">
              <w:rPr>
                <w:b w:val="0"/>
                <w:szCs w:val="22"/>
                <w:lang w:val="en-US" w:eastAsia="en-US"/>
              </w:rPr>
              <w:t>ՀՀ</w:t>
            </w:r>
            <w:r w:rsidRPr="002526E9">
              <w:rPr>
                <w:b w:val="0"/>
                <w:szCs w:val="22"/>
                <w:lang w:eastAsia="en-US"/>
              </w:rPr>
              <w:t xml:space="preserve"> </w:t>
            </w:r>
            <w:r w:rsidRPr="002526E9">
              <w:rPr>
                <w:b w:val="0"/>
                <w:szCs w:val="22"/>
                <w:lang w:val="en-US" w:eastAsia="en-US"/>
              </w:rPr>
              <w:t>կառավարության</w:t>
            </w:r>
            <w:r w:rsidRPr="002526E9">
              <w:rPr>
                <w:b w:val="0"/>
                <w:szCs w:val="22"/>
                <w:lang w:eastAsia="en-US"/>
              </w:rPr>
              <w:t xml:space="preserve"> </w:t>
            </w:r>
            <w:r w:rsidRPr="002526E9">
              <w:rPr>
                <w:b w:val="0"/>
                <w:szCs w:val="22"/>
                <w:lang w:val="en-US" w:eastAsia="en-US"/>
              </w:rPr>
              <w:t>պարտք</w:t>
            </w:r>
            <w:r w:rsidRPr="002526E9">
              <w:rPr>
                <w:b w:val="0"/>
                <w:szCs w:val="22"/>
                <w:lang w:eastAsia="en-US"/>
              </w:rPr>
              <w:t xml:space="preserve">, % </w:t>
            </w:r>
            <w:r w:rsidRPr="002526E9">
              <w:rPr>
                <w:b w:val="0"/>
                <w:szCs w:val="22"/>
                <w:lang w:val="en-US" w:eastAsia="en-US"/>
              </w:rPr>
              <w:t>ՀՆԱ</w:t>
            </w:r>
            <w:r w:rsidRPr="002526E9">
              <w:rPr>
                <w:b w:val="0"/>
                <w:szCs w:val="22"/>
                <w:lang w:eastAsia="en-US"/>
              </w:rPr>
              <w:t>-ում</w:t>
            </w:r>
          </w:p>
        </w:tc>
        <w:tc>
          <w:tcPr>
            <w:tcW w:w="1795" w:type="dxa"/>
            <w:vAlign w:val="center"/>
          </w:tcPr>
          <w:p w14:paraId="2CBC59D1"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63.5 </w:t>
            </w:r>
          </w:p>
        </w:tc>
        <w:tc>
          <w:tcPr>
            <w:tcW w:w="1795" w:type="dxa"/>
            <w:vAlign w:val="center"/>
          </w:tcPr>
          <w:p w14:paraId="50CE8077"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60.8 </w:t>
            </w:r>
          </w:p>
        </w:tc>
        <w:tc>
          <w:tcPr>
            <w:tcW w:w="1796" w:type="dxa"/>
            <w:vAlign w:val="center"/>
          </w:tcPr>
          <w:p w14:paraId="1D233165"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60.2 </w:t>
            </w:r>
          </w:p>
        </w:tc>
      </w:tr>
    </w:tbl>
    <w:p w14:paraId="03299E9F" w14:textId="77777777" w:rsidR="002526E9" w:rsidRPr="002526E9" w:rsidRDefault="002526E9" w:rsidP="002526E9">
      <w:pPr>
        <w:shd w:val="clear" w:color="auto" w:fill="FFFFFF"/>
        <w:spacing w:before="0" w:line="276" w:lineRule="auto"/>
        <w:ind w:firstLine="720"/>
        <w:contextualSpacing w:val="0"/>
        <w:rPr>
          <w:rFonts w:eastAsiaTheme="minorHAnsi" w:cstheme="minorBidi"/>
          <w:b w:val="0"/>
          <w:szCs w:val="22"/>
          <w:lang w:val="hy-AM" w:eastAsia="en-US"/>
        </w:rPr>
      </w:pPr>
    </w:p>
    <w:p w14:paraId="6EB6ED3C" w14:textId="2ECADCAE" w:rsidR="002526E9" w:rsidRDefault="002526E9" w:rsidP="002526E9">
      <w:pPr>
        <w:shd w:val="clear" w:color="auto" w:fill="FFFFFF"/>
        <w:spacing w:before="0" w:line="276" w:lineRule="auto"/>
        <w:ind w:firstLine="720"/>
        <w:contextualSpacing w:val="0"/>
        <w:rPr>
          <w:rFonts w:eastAsiaTheme="minorHAnsi" w:cstheme="minorBidi"/>
          <w:b w:val="0"/>
          <w:szCs w:val="22"/>
          <w:lang w:val="hy-AM" w:eastAsia="en-US"/>
        </w:rPr>
      </w:pPr>
      <w:r w:rsidRPr="002526E9">
        <w:rPr>
          <w:rFonts w:eastAsiaTheme="minorHAnsi" w:cstheme="minorBidi"/>
          <w:b w:val="0"/>
          <w:szCs w:val="22"/>
          <w:lang w:val="hy-AM" w:eastAsia="en-US"/>
        </w:rPr>
        <w:t>Նախատեսվում է 2021-2022 թվականներին կառավարության պարտքի կառուցվածքում ավելացնել ՀՀ դրամով տեղաբաշխված պետական գանձապետական պարտատոմսերի կշիռը, որն ըստ կանխատեսումների կկազմի համա</w:t>
      </w:r>
      <w:r w:rsidRPr="002526E9">
        <w:rPr>
          <w:rFonts w:eastAsiaTheme="minorHAnsi" w:cstheme="minorBidi"/>
          <w:b w:val="0"/>
          <w:szCs w:val="22"/>
          <w:lang w:val="hy-AM" w:eastAsia="en-US"/>
        </w:rPr>
        <w:softHyphen/>
        <w:t>պա</w:t>
      </w:r>
      <w:r w:rsidRPr="002526E9">
        <w:rPr>
          <w:rFonts w:eastAsiaTheme="minorHAnsi" w:cstheme="minorBidi"/>
          <w:b w:val="0"/>
          <w:szCs w:val="22"/>
          <w:lang w:val="hy-AM" w:eastAsia="en-US"/>
        </w:rPr>
        <w:softHyphen/>
        <w:t>տաս</w:t>
      </w:r>
      <w:r w:rsidRPr="002526E9">
        <w:rPr>
          <w:rFonts w:eastAsiaTheme="minorHAnsi" w:cstheme="minorBidi"/>
          <w:b w:val="0"/>
          <w:szCs w:val="22"/>
          <w:lang w:val="hy-AM" w:eastAsia="en-US"/>
        </w:rPr>
        <w:softHyphen/>
        <w:t>խանաբար 3.8% և 2.8%: Կառավարության պարտքը կունենա հետևյալ կառուցվածքը.</w:t>
      </w:r>
    </w:p>
    <w:p w14:paraId="3780D0BC" w14:textId="77777777" w:rsidR="002526E9" w:rsidRPr="002526E9" w:rsidRDefault="002526E9" w:rsidP="002526E9">
      <w:pPr>
        <w:shd w:val="clear" w:color="auto" w:fill="FFFFFF"/>
        <w:spacing w:before="0" w:line="276" w:lineRule="auto"/>
        <w:ind w:firstLine="720"/>
        <w:contextualSpacing w:val="0"/>
        <w:rPr>
          <w:rFonts w:eastAsiaTheme="minorHAnsi" w:cstheme="minorBidi"/>
          <w:b w:val="0"/>
          <w:szCs w:val="22"/>
          <w:lang w:val="hy-AM" w:eastAsia="en-US"/>
        </w:rPr>
      </w:pPr>
    </w:p>
    <w:tbl>
      <w:tblPr>
        <w:tblStyle w:val="MediumGrid2-Accent19"/>
        <w:tblW w:w="10355" w:type="dxa"/>
        <w:tblLayout w:type="fixed"/>
        <w:tblLook w:val="04A0" w:firstRow="1" w:lastRow="0" w:firstColumn="1" w:lastColumn="0" w:noHBand="0" w:noVBand="1"/>
      </w:tblPr>
      <w:tblGrid>
        <w:gridCol w:w="5058"/>
        <w:gridCol w:w="1777"/>
        <w:gridCol w:w="1792"/>
        <w:gridCol w:w="18"/>
        <w:gridCol w:w="1692"/>
        <w:gridCol w:w="18"/>
      </w:tblGrid>
      <w:tr w:rsidR="002526E9" w:rsidRPr="002526E9" w14:paraId="557B61D2" w14:textId="77777777" w:rsidTr="002526E9">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100" w:firstRow="0" w:lastRow="0" w:firstColumn="1" w:lastColumn="0" w:oddVBand="0" w:evenVBand="0" w:oddHBand="0" w:evenHBand="0" w:firstRowFirstColumn="1" w:firstRowLastColumn="0" w:lastRowFirstColumn="0" w:lastRowLastColumn="0"/>
            <w:tcW w:w="5058" w:type="dxa"/>
            <w:tcBorders>
              <w:top w:val="single" w:sz="4" w:space="0" w:color="auto"/>
              <w:left w:val="single" w:sz="4" w:space="0" w:color="auto"/>
              <w:bottom w:val="single" w:sz="4" w:space="0" w:color="auto"/>
              <w:right w:val="single" w:sz="4" w:space="0" w:color="auto"/>
            </w:tcBorders>
            <w:hideMark/>
          </w:tcPr>
          <w:p w14:paraId="7AB80ED5" w14:textId="77777777" w:rsidR="002526E9" w:rsidRPr="002526E9" w:rsidRDefault="002526E9" w:rsidP="002526E9">
            <w:pPr>
              <w:spacing w:before="0" w:line="276" w:lineRule="auto"/>
              <w:ind w:firstLine="0"/>
              <w:contextualSpacing w:val="0"/>
              <w:jc w:val="center"/>
              <w:rPr>
                <w:szCs w:val="22"/>
                <w:lang w:val="hy-AM" w:eastAsia="en-US"/>
              </w:rPr>
            </w:pPr>
            <w:r w:rsidRPr="002526E9">
              <w:rPr>
                <w:rFonts w:ascii="Calibri" w:hAnsi="Calibri" w:cs="Calibri"/>
                <w:szCs w:val="22"/>
                <w:lang w:val="hy-AM" w:eastAsia="en-US"/>
              </w:rPr>
              <w:t> </w:t>
            </w:r>
          </w:p>
        </w:tc>
        <w:tc>
          <w:tcPr>
            <w:tcW w:w="1777" w:type="dxa"/>
            <w:tcBorders>
              <w:top w:val="single" w:sz="4" w:space="0" w:color="auto"/>
              <w:left w:val="single" w:sz="4" w:space="0" w:color="auto"/>
              <w:bottom w:val="single" w:sz="4" w:space="0" w:color="auto"/>
              <w:right w:val="single" w:sz="4" w:space="0" w:color="auto"/>
            </w:tcBorders>
            <w:vAlign w:val="center"/>
            <w:hideMark/>
          </w:tcPr>
          <w:p w14:paraId="021DF1DA"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hy-AM" w:eastAsia="en-US"/>
              </w:rPr>
            </w:pPr>
            <w:r w:rsidRPr="002526E9">
              <w:rPr>
                <w:szCs w:val="22"/>
                <w:lang w:val="hy-AM" w:eastAsia="en-US"/>
              </w:rPr>
              <w:t>առ 31.12.2020թ.</w:t>
            </w:r>
          </w:p>
        </w:tc>
        <w:tc>
          <w:tcPr>
            <w:tcW w:w="1810" w:type="dxa"/>
            <w:gridSpan w:val="2"/>
            <w:tcBorders>
              <w:top w:val="single" w:sz="4" w:space="0" w:color="auto"/>
              <w:left w:val="single" w:sz="4" w:space="0" w:color="auto"/>
              <w:bottom w:val="single" w:sz="4" w:space="0" w:color="auto"/>
              <w:right w:val="single" w:sz="4" w:space="0" w:color="auto"/>
            </w:tcBorders>
            <w:vAlign w:val="center"/>
            <w:hideMark/>
          </w:tcPr>
          <w:p w14:paraId="51D3DE09"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hy-AM" w:eastAsia="en-US"/>
              </w:rPr>
            </w:pPr>
            <w:r w:rsidRPr="002526E9">
              <w:rPr>
                <w:szCs w:val="22"/>
                <w:lang w:val="hy-AM" w:eastAsia="en-US"/>
              </w:rPr>
              <w:t>առ 31.12.2021թ.</w:t>
            </w:r>
          </w:p>
        </w:tc>
        <w:tc>
          <w:tcPr>
            <w:tcW w:w="1710" w:type="dxa"/>
            <w:gridSpan w:val="2"/>
            <w:tcBorders>
              <w:top w:val="single" w:sz="4" w:space="0" w:color="auto"/>
              <w:left w:val="single" w:sz="4" w:space="0" w:color="auto"/>
              <w:bottom w:val="single" w:sz="4" w:space="0" w:color="auto"/>
              <w:right w:val="single" w:sz="4" w:space="0" w:color="auto"/>
            </w:tcBorders>
            <w:vAlign w:val="center"/>
            <w:hideMark/>
          </w:tcPr>
          <w:p w14:paraId="47F9CEB2"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szCs w:val="22"/>
                <w:lang w:val="hy-AM" w:eastAsia="en-US"/>
              </w:rPr>
            </w:pPr>
            <w:r w:rsidRPr="002526E9">
              <w:rPr>
                <w:szCs w:val="22"/>
                <w:lang w:val="hy-AM" w:eastAsia="en-US"/>
              </w:rPr>
              <w:t>առ 31.12.2022թ.</w:t>
            </w:r>
          </w:p>
        </w:tc>
      </w:tr>
      <w:tr w:rsidR="002526E9" w:rsidRPr="002526E9" w14:paraId="25C1C966" w14:textId="77777777" w:rsidTr="002526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355" w:type="dxa"/>
            <w:gridSpan w:val="6"/>
            <w:tcBorders>
              <w:top w:val="single" w:sz="4" w:space="0" w:color="auto"/>
              <w:left w:val="single" w:sz="4" w:space="0" w:color="auto"/>
              <w:bottom w:val="single" w:sz="4" w:space="0" w:color="auto"/>
              <w:right w:val="single" w:sz="4" w:space="0" w:color="auto"/>
            </w:tcBorders>
            <w:vAlign w:val="center"/>
            <w:hideMark/>
          </w:tcPr>
          <w:p w14:paraId="7964A95A" w14:textId="77777777" w:rsidR="002526E9" w:rsidRPr="002526E9" w:rsidRDefault="002526E9" w:rsidP="002526E9">
            <w:pPr>
              <w:spacing w:before="0" w:line="276" w:lineRule="auto"/>
              <w:ind w:left="540" w:firstLine="0"/>
              <w:contextualSpacing w:val="0"/>
              <w:jc w:val="left"/>
              <w:rPr>
                <w:b/>
                <w:szCs w:val="22"/>
                <w:lang w:val="hy-AM" w:eastAsia="en-US"/>
              </w:rPr>
            </w:pPr>
            <w:r w:rsidRPr="002526E9">
              <w:rPr>
                <w:szCs w:val="22"/>
                <w:lang w:val="hy-AM" w:eastAsia="en-US"/>
              </w:rPr>
              <w:t>Կառուցվածքն ըստ ռեզիդենտության, մլրդ դրամ*</w:t>
            </w:r>
          </w:p>
        </w:tc>
      </w:tr>
      <w:tr w:rsidR="002526E9" w:rsidRPr="002526E9" w14:paraId="29738888" w14:textId="77777777" w:rsidTr="002526E9">
        <w:trPr>
          <w:gridAfter w:val="1"/>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16581085" w14:textId="77777777" w:rsidR="002526E9" w:rsidRPr="002526E9" w:rsidRDefault="002526E9" w:rsidP="002526E9">
            <w:pPr>
              <w:spacing w:before="0" w:line="276" w:lineRule="auto"/>
              <w:ind w:firstLine="0"/>
              <w:contextualSpacing w:val="0"/>
              <w:jc w:val="left"/>
              <w:rPr>
                <w:szCs w:val="22"/>
                <w:lang w:val="hy-AM" w:eastAsia="en-US"/>
              </w:rPr>
            </w:pPr>
            <w:r w:rsidRPr="002526E9">
              <w:rPr>
                <w:szCs w:val="22"/>
                <w:lang w:val="hy-AM" w:eastAsia="en-US"/>
              </w:rPr>
              <w:t>ներքին պարտք</w:t>
            </w:r>
          </w:p>
        </w:tc>
        <w:tc>
          <w:tcPr>
            <w:tcW w:w="1777" w:type="dxa"/>
            <w:tcBorders>
              <w:top w:val="single" w:sz="4" w:space="0" w:color="auto"/>
              <w:left w:val="single" w:sz="4" w:space="0" w:color="auto"/>
              <w:bottom w:val="single" w:sz="4" w:space="0" w:color="auto"/>
              <w:right w:val="single" w:sz="4" w:space="0" w:color="auto"/>
            </w:tcBorders>
            <w:vAlign w:val="center"/>
          </w:tcPr>
          <w:p w14:paraId="4B7E7636"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998 </w:t>
            </w:r>
          </w:p>
        </w:tc>
        <w:tc>
          <w:tcPr>
            <w:tcW w:w="1792" w:type="dxa"/>
            <w:tcBorders>
              <w:top w:val="single" w:sz="4" w:space="0" w:color="auto"/>
              <w:left w:val="single" w:sz="4" w:space="0" w:color="auto"/>
              <w:bottom w:val="single" w:sz="4" w:space="0" w:color="auto"/>
              <w:right w:val="single" w:sz="4" w:space="0" w:color="auto"/>
            </w:tcBorders>
            <w:vAlign w:val="center"/>
          </w:tcPr>
          <w:p w14:paraId="4D89E2CA"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1,239 </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3DCE2BCF"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1,493 </w:t>
            </w:r>
          </w:p>
        </w:tc>
      </w:tr>
      <w:tr w:rsidR="002526E9" w:rsidRPr="002526E9" w14:paraId="5A8F932A" w14:textId="77777777" w:rsidTr="002526E9">
        <w:trPr>
          <w:gridAfter w:val="1"/>
          <w:cnfStyle w:val="000000100000" w:firstRow="0" w:lastRow="0" w:firstColumn="0" w:lastColumn="0" w:oddVBand="0" w:evenVBand="0" w:oddHBand="1" w:evenHBand="0" w:firstRowFirstColumn="0" w:firstRowLastColumn="0" w:lastRowFirstColumn="0" w:lastRowLastColumn="0"/>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50498533"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hy-AM" w:eastAsia="en-US"/>
              </w:rPr>
              <w:t>արտաքին պարտ</w:t>
            </w:r>
            <w:r w:rsidRPr="002526E9">
              <w:rPr>
                <w:szCs w:val="22"/>
                <w:lang w:val="en-US" w:eastAsia="en-US"/>
              </w:rPr>
              <w:t>ք</w:t>
            </w:r>
          </w:p>
        </w:tc>
        <w:tc>
          <w:tcPr>
            <w:tcW w:w="1777" w:type="dxa"/>
            <w:tcBorders>
              <w:top w:val="single" w:sz="4" w:space="0" w:color="auto"/>
              <w:left w:val="single" w:sz="4" w:space="0" w:color="auto"/>
              <w:bottom w:val="single" w:sz="4" w:space="0" w:color="auto"/>
              <w:right w:val="single" w:sz="4" w:space="0" w:color="auto"/>
            </w:tcBorders>
            <w:vAlign w:val="center"/>
          </w:tcPr>
          <w:p w14:paraId="2F87CD6B"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2,926 </w:t>
            </w:r>
          </w:p>
        </w:tc>
        <w:tc>
          <w:tcPr>
            <w:tcW w:w="1792" w:type="dxa"/>
            <w:tcBorders>
              <w:top w:val="single" w:sz="4" w:space="0" w:color="auto"/>
              <w:left w:val="single" w:sz="4" w:space="0" w:color="auto"/>
              <w:bottom w:val="single" w:sz="4" w:space="0" w:color="auto"/>
              <w:right w:val="single" w:sz="4" w:space="0" w:color="auto"/>
            </w:tcBorders>
            <w:vAlign w:val="center"/>
          </w:tcPr>
          <w:p w14:paraId="07E05E30"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3,036 </w:t>
            </w:r>
          </w:p>
        </w:tc>
        <w:tc>
          <w:tcPr>
            <w:tcW w:w="1710" w:type="dxa"/>
            <w:gridSpan w:val="2"/>
            <w:tcBorders>
              <w:top w:val="single" w:sz="4" w:space="0" w:color="auto"/>
              <w:left w:val="single" w:sz="4" w:space="0" w:color="auto"/>
              <w:bottom w:val="single" w:sz="4" w:space="0" w:color="auto"/>
              <w:right w:val="single" w:sz="4" w:space="0" w:color="auto"/>
            </w:tcBorders>
            <w:vAlign w:val="center"/>
          </w:tcPr>
          <w:p w14:paraId="458A0285"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3,248 </w:t>
            </w:r>
          </w:p>
        </w:tc>
      </w:tr>
      <w:tr w:rsidR="002526E9" w:rsidRPr="002526E9" w14:paraId="0FE12B77" w14:textId="77777777" w:rsidTr="002526E9">
        <w:trPr>
          <w:trHeight w:val="360"/>
        </w:trPr>
        <w:tc>
          <w:tcPr>
            <w:cnfStyle w:val="001000000000" w:firstRow="0" w:lastRow="0" w:firstColumn="1" w:lastColumn="0" w:oddVBand="0" w:evenVBand="0" w:oddHBand="0" w:evenHBand="0" w:firstRowFirstColumn="0" w:firstRowLastColumn="0" w:lastRowFirstColumn="0" w:lastRowLastColumn="0"/>
            <w:tcW w:w="10355" w:type="dxa"/>
            <w:gridSpan w:val="6"/>
            <w:tcBorders>
              <w:top w:val="single" w:sz="4" w:space="0" w:color="auto"/>
              <w:left w:val="single" w:sz="4" w:space="0" w:color="auto"/>
              <w:bottom w:val="single" w:sz="4" w:space="0" w:color="auto"/>
              <w:right w:val="single" w:sz="4" w:space="0" w:color="auto"/>
            </w:tcBorders>
            <w:vAlign w:val="center"/>
            <w:hideMark/>
          </w:tcPr>
          <w:p w14:paraId="510D8CD8" w14:textId="77777777" w:rsidR="002526E9" w:rsidRPr="002526E9" w:rsidRDefault="002526E9" w:rsidP="002526E9">
            <w:pPr>
              <w:spacing w:before="0" w:line="276" w:lineRule="auto"/>
              <w:ind w:left="540" w:firstLine="0"/>
              <w:contextualSpacing w:val="0"/>
              <w:jc w:val="left"/>
              <w:rPr>
                <w:b/>
                <w:szCs w:val="22"/>
                <w:lang w:eastAsia="en-US"/>
              </w:rPr>
            </w:pPr>
            <w:r w:rsidRPr="002526E9">
              <w:rPr>
                <w:szCs w:val="22"/>
                <w:lang w:val="en-US" w:eastAsia="en-US"/>
              </w:rPr>
              <w:t>Կառուցվածքն</w:t>
            </w:r>
            <w:r w:rsidRPr="002526E9">
              <w:rPr>
                <w:szCs w:val="22"/>
                <w:lang w:eastAsia="en-US"/>
              </w:rPr>
              <w:t xml:space="preserve"> </w:t>
            </w:r>
            <w:r w:rsidRPr="002526E9">
              <w:rPr>
                <w:szCs w:val="22"/>
                <w:lang w:val="en-US" w:eastAsia="en-US"/>
              </w:rPr>
              <w:t>ըստ</w:t>
            </w:r>
            <w:r w:rsidRPr="002526E9">
              <w:rPr>
                <w:szCs w:val="22"/>
                <w:lang w:eastAsia="en-US"/>
              </w:rPr>
              <w:t xml:space="preserve"> </w:t>
            </w:r>
            <w:r w:rsidRPr="002526E9">
              <w:rPr>
                <w:szCs w:val="22"/>
                <w:lang w:val="en-US" w:eastAsia="en-US"/>
              </w:rPr>
              <w:t>գործիքակազմի</w:t>
            </w:r>
            <w:r w:rsidRPr="002526E9">
              <w:rPr>
                <w:szCs w:val="22"/>
                <w:lang w:eastAsia="en-US"/>
              </w:rPr>
              <w:t xml:space="preserve">, </w:t>
            </w:r>
            <w:r w:rsidRPr="002526E9">
              <w:rPr>
                <w:szCs w:val="22"/>
                <w:lang w:val="en-US" w:eastAsia="en-US"/>
              </w:rPr>
              <w:t>մլրդ</w:t>
            </w:r>
            <w:r w:rsidRPr="002526E9">
              <w:rPr>
                <w:szCs w:val="22"/>
                <w:lang w:eastAsia="en-US"/>
              </w:rPr>
              <w:t xml:space="preserve"> </w:t>
            </w:r>
            <w:r w:rsidRPr="002526E9">
              <w:rPr>
                <w:szCs w:val="22"/>
                <w:lang w:val="en-US" w:eastAsia="en-US"/>
              </w:rPr>
              <w:t>դրամ</w:t>
            </w:r>
          </w:p>
        </w:tc>
      </w:tr>
      <w:tr w:rsidR="002526E9" w:rsidRPr="002526E9" w14:paraId="1BC6883C" w14:textId="77777777" w:rsidTr="002526E9">
        <w:trPr>
          <w:gridAfter w:val="1"/>
          <w:cnfStyle w:val="000000100000" w:firstRow="0" w:lastRow="0" w:firstColumn="0" w:lastColumn="0" w:oddVBand="0" w:evenVBand="0" w:oddHBand="1" w:evenHBand="0" w:firstRowFirstColumn="0" w:firstRowLastColumn="0" w:lastRowFirstColumn="0" w:lastRowLastColumn="0"/>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4C4D2469"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արտաքին վարկեր և փոխառություններ</w:t>
            </w:r>
          </w:p>
        </w:tc>
        <w:tc>
          <w:tcPr>
            <w:tcW w:w="1777" w:type="dxa"/>
            <w:tcBorders>
              <w:top w:val="single" w:sz="4" w:space="0" w:color="auto"/>
              <w:left w:val="single" w:sz="4" w:space="0" w:color="auto"/>
              <w:bottom w:val="single" w:sz="4" w:space="0" w:color="auto"/>
              <w:right w:val="single" w:sz="4" w:space="0" w:color="auto"/>
            </w:tcBorders>
            <w:vAlign w:val="bottom"/>
          </w:tcPr>
          <w:p w14:paraId="467AA21E"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2,438 </w:t>
            </w:r>
          </w:p>
        </w:tc>
        <w:tc>
          <w:tcPr>
            <w:tcW w:w="1792" w:type="dxa"/>
            <w:tcBorders>
              <w:top w:val="single" w:sz="4" w:space="0" w:color="auto"/>
              <w:left w:val="single" w:sz="4" w:space="0" w:color="auto"/>
              <w:bottom w:val="single" w:sz="4" w:space="0" w:color="auto"/>
              <w:right w:val="single" w:sz="4" w:space="0" w:color="auto"/>
            </w:tcBorders>
            <w:vAlign w:val="bottom"/>
          </w:tcPr>
          <w:p w14:paraId="69AA27CC"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2,204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3FC5A137"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2,384 </w:t>
            </w:r>
          </w:p>
        </w:tc>
      </w:tr>
      <w:tr w:rsidR="002526E9" w:rsidRPr="002526E9" w14:paraId="5F1E0B23" w14:textId="77777777" w:rsidTr="002526E9">
        <w:trPr>
          <w:gridAfter w:val="1"/>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A6523B0"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պետական գանձապետական պարտատոմսեր</w:t>
            </w:r>
          </w:p>
        </w:tc>
        <w:tc>
          <w:tcPr>
            <w:tcW w:w="1777" w:type="dxa"/>
            <w:tcBorders>
              <w:top w:val="single" w:sz="4" w:space="0" w:color="auto"/>
              <w:left w:val="single" w:sz="4" w:space="0" w:color="auto"/>
              <w:bottom w:val="single" w:sz="4" w:space="0" w:color="auto"/>
              <w:right w:val="single" w:sz="4" w:space="0" w:color="auto"/>
            </w:tcBorders>
            <w:vAlign w:val="bottom"/>
          </w:tcPr>
          <w:p w14:paraId="0516F221"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959 </w:t>
            </w:r>
          </w:p>
        </w:tc>
        <w:tc>
          <w:tcPr>
            <w:tcW w:w="1792" w:type="dxa"/>
            <w:tcBorders>
              <w:top w:val="single" w:sz="4" w:space="0" w:color="auto"/>
              <w:left w:val="single" w:sz="4" w:space="0" w:color="auto"/>
              <w:bottom w:val="single" w:sz="4" w:space="0" w:color="auto"/>
              <w:right w:val="single" w:sz="4" w:space="0" w:color="auto"/>
            </w:tcBorders>
            <w:vAlign w:val="bottom"/>
          </w:tcPr>
          <w:p w14:paraId="5C5391A3"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1,209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0D06F628"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1,472 </w:t>
            </w:r>
          </w:p>
        </w:tc>
      </w:tr>
      <w:tr w:rsidR="002526E9" w:rsidRPr="002526E9" w14:paraId="015741F1" w14:textId="77777777" w:rsidTr="002526E9">
        <w:trPr>
          <w:gridAfter w:val="1"/>
          <w:cnfStyle w:val="000000100000" w:firstRow="0" w:lastRow="0" w:firstColumn="0" w:lastColumn="0" w:oddVBand="0" w:evenVBand="0" w:oddHBand="1" w:evenHBand="0" w:firstRowFirstColumn="0" w:firstRowLastColumn="0" w:lastRowFirstColumn="0" w:lastRowLastColumn="0"/>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1E9E16CF"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արտարժութային պետական պարտատոմսեր</w:t>
            </w:r>
          </w:p>
        </w:tc>
        <w:tc>
          <w:tcPr>
            <w:tcW w:w="1777" w:type="dxa"/>
            <w:tcBorders>
              <w:top w:val="single" w:sz="4" w:space="0" w:color="auto"/>
              <w:left w:val="single" w:sz="4" w:space="0" w:color="auto"/>
              <w:bottom w:val="single" w:sz="4" w:space="0" w:color="auto"/>
              <w:right w:val="single" w:sz="4" w:space="0" w:color="auto"/>
            </w:tcBorders>
            <w:vAlign w:val="bottom"/>
          </w:tcPr>
          <w:p w14:paraId="31DDB58D"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523 </w:t>
            </w:r>
          </w:p>
        </w:tc>
        <w:tc>
          <w:tcPr>
            <w:tcW w:w="1792" w:type="dxa"/>
            <w:tcBorders>
              <w:top w:val="single" w:sz="4" w:space="0" w:color="auto"/>
              <w:left w:val="single" w:sz="4" w:space="0" w:color="auto"/>
              <w:bottom w:val="single" w:sz="4" w:space="0" w:color="auto"/>
              <w:right w:val="single" w:sz="4" w:space="0" w:color="auto"/>
            </w:tcBorders>
            <w:vAlign w:val="bottom"/>
          </w:tcPr>
          <w:p w14:paraId="218ABE76"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854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62B97F58"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879 </w:t>
            </w:r>
          </w:p>
        </w:tc>
      </w:tr>
      <w:tr w:rsidR="002526E9" w:rsidRPr="002526E9" w14:paraId="0388A684" w14:textId="77777777" w:rsidTr="002526E9">
        <w:trPr>
          <w:gridAfter w:val="1"/>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0B896E68"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արտաքին երաշխիքներ</w:t>
            </w:r>
          </w:p>
        </w:tc>
        <w:tc>
          <w:tcPr>
            <w:tcW w:w="1777" w:type="dxa"/>
            <w:tcBorders>
              <w:top w:val="single" w:sz="4" w:space="0" w:color="auto"/>
              <w:left w:val="single" w:sz="4" w:space="0" w:color="auto"/>
              <w:bottom w:val="single" w:sz="4" w:space="0" w:color="auto"/>
              <w:right w:val="single" w:sz="4" w:space="0" w:color="auto"/>
            </w:tcBorders>
            <w:vAlign w:val="bottom"/>
          </w:tcPr>
          <w:p w14:paraId="325D3392"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4 </w:t>
            </w:r>
          </w:p>
        </w:tc>
        <w:tc>
          <w:tcPr>
            <w:tcW w:w="1792" w:type="dxa"/>
            <w:tcBorders>
              <w:top w:val="single" w:sz="4" w:space="0" w:color="auto"/>
              <w:left w:val="single" w:sz="4" w:space="0" w:color="auto"/>
              <w:bottom w:val="single" w:sz="4" w:space="0" w:color="auto"/>
              <w:right w:val="single" w:sz="4" w:space="0" w:color="auto"/>
            </w:tcBorders>
            <w:vAlign w:val="bottom"/>
          </w:tcPr>
          <w:p w14:paraId="3C903853"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4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03CDA6E7"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4 </w:t>
            </w:r>
          </w:p>
        </w:tc>
      </w:tr>
      <w:tr w:rsidR="002526E9" w:rsidRPr="002526E9" w14:paraId="517E85C5" w14:textId="77777777" w:rsidTr="002526E9">
        <w:trPr>
          <w:gridAfter w:val="1"/>
          <w:cnfStyle w:val="000000100000" w:firstRow="0" w:lastRow="0" w:firstColumn="0" w:lastColumn="0" w:oddVBand="0" w:evenVBand="0" w:oddHBand="1" w:evenHBand="0" w:firstRowFirstColumn="0" w:firstRowLastColumn="0" w:lastRowFirstColumn="0" w:lastRowLastColumn="0"/>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C68CB14"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ներքին երաշխիքներ</w:t>
            </w:r>
          </w:p>
        </w:tc>
        <w:tc>
          <w:tcPr>
            <w:tcW w:w="1777" w:type="dxa"/>
            <w:tcBorders>
              <w:top w:val="single" w:sz="4" w:space="0" w:color="auto"/>
              <w:left w:val="single" w:sz="4" w:space="0" w:color="auto"/>
              <w:bottom w:val="single" w:sz="4" w:space="0" w:color="auto"/>
              <w:right w:val="single" w:sz="4" w:space="0" w:color="auto"/>
            </w:tcBorders>
            <w:vAlign w:val="bottom"/>
          </w:tcPr>
          <w:p w14:paraId="4B438FCA"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   </w:t>
            </w:r>
          </w:p>
        </w:tc>
        <w:tc>
          <w:tcPr>
            <w:tcW w:w="1792" w:type="dxa"/>
            <w:tcBorders>
              <w:top w:val="single" w:sz="4" w:space="0" w:color="auto"/>
              <w:left w:val="single" w:sz="4" w:space="0" w:color="auto"/>
              <w:bottom w:val="single" w:sz="4" w:space="0" w:color="auto"/>
              <w:right w:val="single" w:sz="4" w:space="0" w:color="auto"/>
            </w:tcBorders>
            <w:vAlign w:val="bottom"/>
          </w:tcPr>
          <w:p w14:paraId="79F003D5"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5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07CFFF37"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3 </w:t>
            </w:r>
          </w:p>
        </w:tc>
      </w:tr>
      <w:tr w:rsidR="002526E9" w:rsidRPr="002526E9" w14:paraId="64336B2A" w14:textId="77777777" w:rsidTr="002526E9">
        <w:trPr>
          <w:trHeight w:val="360"/>
        </w:trPr>
        <w:tc>
          <w:tcPr>
            <w:cnfStyle w:val="001000000000" w:firstRow="0" w:lastRow="0" w:firstColumn="1" w:lastColumn="0" w:oddVBand="0" w:evenVBand="0" w:oddHBand="0" w:evenHBand="0" w:firstRowFirstColumn="0" w:firstRowLastColumn="0" w:lastRowFirstColumn="0" w:lastRowLastColumn="0"/>
            <w:tcW w:w="10355" w:type="dxa"/>
            <w:gridSpan w:val="6"/>
            <w:tcBorders>
              <w:top w:val="single" w:sz="4" w:space="0" w:color="auto"/>
              <w:left w:val="single" w:sz="4" w:space="0" w:color="auto"/>
              <w:bottom w:val="single" w:sz="4" w:space="0" w:color="auto"/>
              <w:right w:val="single" w:sz="4" w:space="0" w:color="auto"/>
            </w:tcBorders>
            <w:vAlign w:val="center"/>
            <w:hideMark/>
          </w:tcPr>
          <w:p w14:paraId="7DDEB785" w14:textId="77777777" w:rsidR="002526E9" w:rsidRPr="002526E9" w:rsidRDefault="002526E9" w:rsidP="002526E9">
            <w:pPr>
              <w:spacing w:before="0" w:line="276" w:lineRule="auto"/>
              <w:ind w:left="540" w:firstLine="0"/>
              <w:contextualSpacing w:val="0"/>
              <w:jc w:val="left"/>
              <w:rPr>
                <w:b/>
                <w:szCs w:val="22"/>
                <w:lang w:val="en-US" w:eastAsia="en-US"/>
              </w:rPr>
            </w:pPr>
            <w:r w:rsidRPr="002526E9">
              <w:rPr>
                <w:szCs w:val="22"/>
                <w:lang w:val="en-US" w:eastAsia="en-US"/>
              </w:rPr>
              <w:t>Արժութային կառուցվածքը, մլրդ դրամ</w:t>
            </w:r>
          </w:p>
        </w:tc>
      </w:tr>
      <w:tr w:rsidR="002526E9" w:rsidRPr="002526E9" w14:paraId="1F42E872" w14:textId="77777777" w:rsidTr="002526E9">
        <w:trPr>
          <w:gridAfter w:val="1"/>
          <w:cnfStyle w:val="000000100000" w:firstRow="0" w:lastRow="0" w:firstColumn="0" w:lastColumn="0" w:oddVBand="0" w:evenVBand="0" w:oddHBand="1" w:evenHBand="0" w:firstRowFirstColumn="0" w:firstRowLastColumn="0" w:lastRowFirstColumn="0" w:lastRowLastColumn="0"/>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23A32238"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ՀՀ դրամով ներգրավված պարտք</w:t>
            </w:r>
          </w:p>
        </w:tc>
        <w:tc>
          <w:tcPr>
            <w:tcW w:w="1777" w:type="dxa"/>
            <w:tcBorders>
              <w:top w:val="single" w:sz="4" w:space="0" w:color="auto"/>
              <w:left w:val="single" w:sz="4" w:space="0" w:color="auto"/>
              <w:bottom w:val="single" w:sz="4" w:space="0" w:color="auto"/>
              <w:right w:val="single" w:sz="4" w:space="0" w:color="auto"/>
            </w:tcBorders>
            <w:vAlign w:val="bottom"/>
          </w:tcPr>
          <w:p w14:paraId="446490C4"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959 </w:t>
            </w:r>
          </w:p>
        </w:tc>
        <w:tc>
          <w:tcPr>
            <w:tcW w:w="1792" w:type="dxa"/>
            <w:tcBorders>
              <w:top w:val="single" w:sz="4" w:space="0" w:color="auto"/>
              <w:left w:val="single" w:sz="4" w:space="0" w:color="auto"/>
              <w:bottom w:val="single" w:sz="4" w:space="0" w:color="auto"/>
              <w:right w:val="single" w:sz="4" w:space="0" w:color="auto"/>
            </w:tcBorders>
            <w:vAlign w:val="bottom"/>
          </w:tcPr>
          <w:p w14:paraId="6112818C"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1,209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1E00C99A"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1,472 </w:t>
            </w:r>
          </w:p>
        </w:tc>
      </w:tr>
      <w:tr w:rsidR="002526E9" w:rsidRPr="002526E9" w14:paraId="7F2603BD" w14:textId="77777777" w:rsidTr="002526E9">
        <w:trPr>
          <w:gridAfter w:val="1"/>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64DC2C89"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արտարժույթով ներգրավված պարտք</w:t>
            </w:r>
          </w:p>
        </w:tc>
        <w:tc>
          <w:tcPr>
            <w:tcW w:w="1777" w:type="dxa"/>
            <w:tcBorders>
              <w:top w:val="single" w:sz="4" w:space="0" w:color="auto"/>
              <w:left w:val="single" w:sz="4" w:space="0" w:color="auto"/>
              <w:bottom w:val="single" w:sz="4" w:space="0" w:color="auto"/>
              <w:right w:val="single" w:sz="4" w:space="0" w:color="auto"/>
            </w:tcBorders>
            <w:vAlign w:val="bottom"/>
          </w:tcPr>
          <w:p w14:paraId="6DA57CC7"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2,965 </w:t>
            </w:r>
          </w:p>
        </w:tc>
        <w:tc>
          <w:tcPr>
            <w:tcW w:w="1792" w:type="dxa"/>
            <w:tcBorders>
              <w:top w:val="single" w:sz="4" w:space="0" w:color="auto"/>
              <w:left w:val="single" w:sz="4" w:space="0" w:color="auto"/>
              <w:bottom w:val="single" w:sz="4" w:space="0" w:color="auto"/>
              <w:right w:val="single" w:sz="4" w:space="0" w:color="auto"/>
            </w:tcBorders>
            <w:vAlign w:val="bottom"/>
          </w:tcPr>
          <w:p w14:paraId="00B0C58C"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3,066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18974B07"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3,269 </w:t>
            </w:r>
          </w:p>
        </w:tc>
      </w:tr>
      <w:tr w:rsidR="002526E9" w:rsidRPr="002526E9" w14:paraId="3AB8C42C" w14:textId="77777777" w:rsidTr="002526E9">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0355" w:type="dxa"/>
            <w:gridSpan w:val="6"/>
            <w:tcBorders>
              <w:top w:val="single" w:sz="4" w:space="0" w:color="auto"/>
              <w:left w:val="single" w:sz="4" w:space="0" w:color="auto"/>
              <w:bottom w:val="single" w:sz="4" w:space="0" w:color="auto"/>
              <w:right w:val="single" w:sz="4" w:space="0" w:color="auto"/>
            </w:tcBorders>
            <w:vAlign w:val="center"/>
            <w:hideMark/>
          </w:tcPr>
          <w:p w14:paraId="706A57D7" w14:textId="77777777" w:rsidR="002526E9" w:rsidRPr="002526E9" w:rsidRDefault="002526E9" w:rsidP="002526E9">
            <w:pPr>
              <w:spacing w:before="0" w:line="276" w:lineRule="auto"/>
              <w:ind w:left="540" w:firstLine="0"/>
              <w:contextualSpacing w:val="0"/>
              <w:jc w:val="left"/>
              <w:rPr>
                <w:b/>
                <w:szCs w:val="22"/>
                <w:lang w:eastAsia="en-US"/>
              </w:rPr>
            </w:pPr>
            <w:r w:rsidRPr="002526E9">
              <w:rPr>
                <w:szCs w:val="22"/>
                <w:lang w:val="en-US" w:eastAsia="en-US"/>
              </w:rPr>
              <w:t>Կառուցվածքն</w:t>
            </w:r>
            <w:r w:rsidRPr="002526E9">
              <w:rPr>
                <w:szCs w:val="22"/>
                <w:lang w:eastAsia="en-US"/>
              </w:rPr>
              <w:t xml:space="preserve"> </w:t>
            </w:r>
            <w:r w:rsidRPr="002526E9">
              <w:rPr>
                <w:szCs w:val="22"/>
                <w:lang w:val="en-US" w:eastAsia="en-US"/>
              </w:rPr>
              <w:t>ըստ</w:t>
            </w:r>
            <w:r w:rsidRPr="002526E9">
              <w:rPr>
                <w:szCs w:val="22"/>
                <w:lang w:eastAsia="en-US"/>
              </w:rPr>
              <w:t xml:space="preserve"> </w:t>
            </w:r>
            <w:r w:rsidRPr="002526E9">
              <w:rPr>
                <w:szCs w:val="22"/>
                <w:lang w:val="en-US" w:eastAsia="en-US"/>
              </w:rPr>
              <w:t>տոկոսադրույքի</w:t>
            </w:r>
            <w:r w:rsidRPr="002526E9">
              <w:rPr>
                <w:szCs w:val="22"/>
                <w:lang w:eastAsia="en-US"/>
              </w:rPr>
              <w:t xml:space="preserve"> </w:t>
            </w:r>
            <w:r w:rsidRPr="002526E9">
              <w:rPr>
                <w:szCs w:val="22"/>
                <w:lang w:val="en-US" w:eastAsia="en-US"/>
              </w:rPr>
              <w:t>տեսակի</w:t>
            </w:r>
            <w:r w:rsidRPr="002526E9">
              <w:rPr>
                <w:szCs w:val="22"/>
                <w:lang w:eastAsia="en-US"/>
              </w:rPr>
              <w:t xml:space="preserve">, </w:t>
            </w:r>
            <w:r w:rsidRPr="002526E9">
              <w:rPr>
                <w:szCs w:val="22"/>
                <w:lang w:val="en-US" w:eastAsia="en-US"/>
              </w:rPr>
              <w:t>մլրդ</w:t>
            </w:r>
            <w:r w:rsidRPr="002526E9">
              <w:rPr>
                <w:szCs w:val="22"/>
                <w:lang w:eastAsia="en-US"/>
              </w:rPr>
              <w:t xml:space="preserve"> </w:t>
            </w:r>
            <w:r w:rsidRPr="002526E9">
              <w:rPr>
                <w:szCs w:val="22"/>
                <w:lang w:val="en-US" w:eastAsia="en-US"/>
              </w:rPr>
              <w:t>դրամ</w:t>
            </w:r>
          </w:p>
        </w:tc>
      </w:tr>
      <w:tr w:rsidR="002526E9" w:rsidRPr="002526E9" w14:paraId="0A47A56A" w14:textId="77777777" w:rsidTr="002526E9">
        <w:trPr>
          <w:gridAfter w:val="1"/>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5D4AA991"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լողացող տոկոսադրույքով</w:t>
            </w:r>
          </w:p>
        </w:tc>
        <w:tc>
          <w:tcPr>
            <w:tcW w:w="1777" w:type="dxa"/>
            <w:tcBorders>
              <w:top w:val="single" w:sz="4" w:space="0" w:color="auto"/>
              <w:left w:val="single" w:sz="4" w:space="0" w:color="auto"/>
              <w:bottom w:val="single" w:sz="4" w:space="0" w:color="auto"/>
              <w:right w:val="single" w:sz="4" w:space="0" w:color="auto"/>
            </w:tcBorders>
            <w:vAlign w:val="bottom"/>
          </w:tcPr>
          <w:p w14:paraId="14581ADC"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769 </w:t>
            </w:r>
          </w:p>
        </w:tc>
        <w:tc>
          <w:tcPr>
            <w:tcW w:w="1792" w:type="dxa"/>
            <w:tcBorders>
              <w:top w:val="single" w:sz="4" w:space="0" w:color="auto"/>
              <w:left w:val="single" w:sz="4" w:space="0" w:color="auto"/>
              <w:bottom w:val="single" w:sz="4" w:space="0" w:color="auto"/>
              <w:right w:val="single" w:sz="4" w:space="0" w:color="auto"/>
            </w:tcBorders>
            <w:vAlign w:val="bottom"/>
          </w:tcPr>
          <w:p w14:paraId="130B3514"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734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2FFFFADC" w14:textId="77777777" w:rsidR="002526E9" w:rsidRPr="002526E9" w:rsidRDefault="002526E9" w:rsidP="002526E9">
            <w:pPr>
              <w:spacing w:before="0" w:line="276" w:lineRule="auto"/>
              <w:ind w:firstLine="562"/>
              <w:jc w:val="right"/>
              <w:cnfStyle w:val="000000000000" w:firstRow="0" w:lastRow="0" w:firstColumn="0" w:lastColumn="0" w:oddVBand="0" w:evenVBand="0" w:oddHBand="0" w:evenHBand="0" w:firstRowFirstColumn="0" w:firstRowLastColumn="0" w:lastRowFirstColumn="0" w:lastRowLastColumn="0"/>
              <w:rPr>
                <w:b w:val="0"/>
                <w:color w:val="auto"/>
                <w:szCs w:val="22"/>
              </w:rPr>
            </w:pPr>
            <w:r w:rsidRPr="002526E9">
              <w:rPr>
                <w:b w:val="0"/>
                <w:color w:val="auto"/>
                <w:szCs w:val="22"/>
              </w:rPr>
              <w:t xml:space="preserve">812 </w:t>
            </w:r>
          </w:p>
        </w:tc>
      </w:tr>
      <w:tr w:rsidR="002526E9" w:rsidRPr="002526E9" w14:paraId="768BEE5D" w14:textId="77777777" w:rsidTr="002526E9">
        <w:trPr>
          <w:gridAfter w:val="1"/>
          <w:cnfStyle w:val="000000100000" w:firstRow="0" w:lastRow="0" w:firstColumn="0" w:lastColumn="0" w:oddVBand="0" w:evenVBand="0" w:oddHBand="1" w:evenHBand="0" w:firstRowFirstColumn="0" w:firstRowLastColumn="0" w:lastRowFirstColumn="0" w:lastRowLastColumn="0"/>
          <w:wAfter w:w="18" w:type="dxa"/>
          <w:trHeight w:val="360"/>
        </w:trPr>
        <w:tc>
          <w:tcPr>
            <w:cnfStyle w:val="001000000000" w:firstRow="0" w:lastRow="0" w:firstColumn="1" w:lastColumn="0" w:oddVBand="0" w:evenVBand="0" w:oddHBand="0" w:evenHBand="0" w:firstRowFirstColumn="0" w:firstRowLastColumn="0" w:lastRowFirstColumn="0" w:lastRowLastColumn="0"/>
            <w:tcW w:w="5058" w:type="dxa"/>
            <w:tcBorders>
              <w:top w:val="single" w:sz="4" w:space="0" w:color="auto"/>
              <w:left w:val="single" w:sz="4" w:space="0" w:color="auto"/>
              <w:bottom w:val="single" w:sz="4" w:space="0" w:color="auto"/>
              <w:right w:val="single" w:sz="4" w:space="0" w:color="auto"/>
            </w:tcBorders>
            <w:vAlign w:val="center"/>
            <w:hideMark/>
          </w:tcPr>
          <w:p w14:paraId="79A17EAA"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ֆիքսված տոկոսադրույքով</w:t>
            </w:r>
          </w:p>
        </w:tc>
        <w:tc>
          <w:tcPr>
            <w:tcW w:w="1777" w:type="dxa"/>
            <w:tcBorders>
              <w:top w:val="single" w:sz="4" w:space="0" w:color="auto"/>
              <w:left w:val="single" w:sz="4" w:space="0" w:color="auto"/>
              <w:bottom w:val="single" w:sz="4" w:space="0" w:color="auto"/>
              <w:right w:val="single" w:sz="4" w:space="0" w:color="auto"/>
            </w:tcBorders>
            <w:vAlign w:val="bottom"/>
          </w:tcPr>
          <w:p w14:paraId="43853193"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3,155 </w:t>
            </w:r>
          </w:p>
        </w:tc>
        <w:tc>
          <w:tcPr>
            <w:tcW w:w="1792" w:type="dxa"/>
            <w:tcBorders>
              <w:top w:val="single" w:sz="4" w:space="0" w:color="auto"/>
              <w:left w:val="single" w:sz="4" w:space="0" w:color="auto"/>
              <w:bottom w:val="single" w:sz="4" w:space="0" w:color="auto"/>
              <w:right w:val="single" w:sz="4" w:space="0" w:color="auto"/>
            </w:tcBorders>
            <w:vAlign w:val="bottom"/>
          </w:tcPr>
          <w:p w14:paraId="67CBAAF1"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3,541 </w:t>
            </w:r>
          </w:p>
        </w:tc>
        <w:tc>
          <w:tcPr>
            <w:tcW w:w="1710" w:type="dxa"/>
            <w:gridSpan w:val="2"/>
            <w:tcBorders>
              <w:top w:val="single" w:sz="4" w:space="0" w:color="auto"/>
              <w:left w:val="single" w:sz="4" w:space="0" w:color="auto"/>
              <w:bottom w:val="single" w:sz="4" w:space="0" w:color="auto"/>
              <w:right w:val="single" w:sz="4" w:space="0" w:color="auto"/>
            </w:tcBorders>
            <w:vAlign w:val="bottom"/>
          </w:tcPr>
          <w:p w14:paraId="0B69D7E4" w14:textId="77777777" w:rsidR="002526E9" w:rsidRPr="002526E9" w:rsidRDefault="002526E9" w:rsidP="002526E9">
            <w:pPr>
              <w:spacing w:before="0" w:line="276" w:lineRule="auto"/>
              <w:ind w:firstLine="562"/>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526E9">
              <w:rPr>
                <w:b w:val="0"/>
                <w:color w:val="auto"/>
                <w:szCs w:val="22"/>
              </w:rPr>
              <w:t xml:space="preserve">3,929 </w:t>
            </w:r>
          </w:p>
        </w:tc>
      </w:tr>
      <w:tr w:rsidR="002526E9" w:rsidRPr="002526E9" w14:paraId="63D37D14" w14:textId="77777777" w:rsidTr="002526E9">
        <w:trPr>
          <w:trHeight w:val="484"/>
        </w:trPr>
        <w:tc>
          <w:tcPr>
            <w:cnfStyle w:val="001000000000" w:firstRow="0" w:lastRow="0" w:firstColumn="1" w:lastColumn="0" w:oddVBand="0" w:evenVBand="0" w:oddHBand="0" w:evenHBand="0" w:firstRowFirstColumn="0" w:firstRowLastColumn="0" w:lastRowFirstColumn="0" w:lastRowLastColumn="0"/>
            <w:tcW w:w="10355" w:type="dxa"/>
            <w:gridSpan w:val="6"/>
            <w:hideMark/>
          </w:tcPr>
          <w:p w14:paraId="350D4362" w14:textId="77777777" w:rsidR="002526E9" w:rsidRDefault="002526E9" w:rsidP="002526E9">
            <w:pPr>
              <w:spacing w:before="0" w:line="276" w:lineRule="auto"/>
              <w:ind w:firstLine="0"/>
              <w:contextualSpacing w:val="0"/>
              <w:rPr>
                <w:i/>
                <w:iCs/>
                <w:szCs w:val="22"/>
                <w:lang w:eastAsia="en-US"/>
              </w:rPr>
            </w:pPr>
          </w:p>
          <w:p w14:paraId="3EC01388" w14:textId="77777777" w:rsidR="002526E9" w:rsidRDefault="002526E9" w:rsidP="002526E9">
            <w:pPr>
              <w:spacing w:before="0" w:line="276" w:lineRule="auto"/>
              <w:ind w:firstLine="0"/>
              <w:contextualSpacing w:val="0"/>
              <w:rPr>
                <w:i/>
                <w:iCs/>
                <w:szCs w:val="22"/>
                <w:lang w:eastAsia="en-US"/>
              </w:rPr>
            </w:pPr>
            <w:r w:rsidRPr="002526E9">
              <w:rPr>
                <w:i/>
                <w:iCs/>
                <w:szCs w:val="22"/>
                <w:lang w:eastAsia="en-US"/>
              </w:rPr>
              <w:t>* 202</w:t>
            </w:r>
            <w:r w:rsidRPr="002526E9">
              <w:rPr>
                <w:i/>
                <w:iCs/>
                <w:szCs w:val="22"/>
                <w:lang w:val="hy-AM" w:eastAsia="en-US"/>
              </w:rPr>
              <w:t>1</w:t>
            </w:r>
            <w:r w:rsidRPr="002526E9">
              <w:rPr>
                <w:i/>
                <w:iCs/>
                <w:szCs w:val="22"/>
                <w:lang w:eastAsia="en-US"/>
              </w:rPr>
              <w:t xml:space="preserve"> </w:t>
            </w:r>
            <w:r w:rsidRPr="002526E9">
              <w:rPr>
                <w:rFonts w:cs="Sylfaen"/>
                <w:i/>
                <w:iCs/>
                <w:szCs w:val="22"/>
                <w:lang w:val="en-US" w:eastAsia="en-US"/>
              </w:rPr>
              <w:t>և</w:t>
            </w:r>
            <w:r w:rsidRPr="002526E9">
              <w:rPr>
                <w:i/>
                <w:iCs/>
                <w:szCs w:val="22"/>
                <w:lang w:eastAsia="en-US"/>
              </w:rPr>
              <w:t xml:space="preserve"> 202</w:t>
            </w:r>
            <w:r w:rsidRPr="002526E9">
              <w:rPr>
                <w:i/>
                <w:iCs/>
                <w:szCs w:val="22"/>
                <w:lang w:val="hy-AM" w:eastAsia="en-US"/>
              </w:rPr>
              <w:t>2</w:t>
            </w:r>
            <w:r w:rsidRPr="002526E9">
              <w:rPr>
                <w:i/>
                <w:iCs/>
                <w:szCs w:val="22"/>
                <w:lang w:eastAsia="en-US"/>
              </w:rPr>
              <w:t xml:space="preserve"> </w:t>
            </w:r>
            <w:r w:rsidRPr="002526E9">
              <w:rPr>
                <w:rFonts w:cs="Sylfaen"/>
                <w:i/>
                <w:iCs/>
                <w:szCs w:val="22"/>
                <w:lang w:val="en-US" w:eastAsia="en-US"/>
              </w:rPr>
              <w:t>թվականների</w:t>
            </w:r>
            <w:r w:rsidRPr="002526E9">
              <w:rPr>
                <w:i/>
                <w:iCs/>
                <w:szCs w:val="22"/>
                <w:lang w:eastAsia="en-US"/>
              </w:rPr>
              <w:t xml:space="preserve"> </w:t>
            </w:r>
            <w:r w:rsidRPr="002526E9">
              <w:rPr>
                <w:rFonts w:cs="Sylfaen"/>
                <w:i/>
                <w:iCs/>
                <w:szCs w:val="22"/>
                <w:lang w:val="en-US" w:eastAsia="en-US"/>
              </w:rPr>
              <w:t>համար</w:t>
            </w:r>
            <w:r w:rsidRPr="002526E9">
              <w:rPr>
                <w:rFonts w:cs="Sylfaen"/>
                <w:i/>
                <w:iCs/>
                <w:szCs w:val="22"/>
                <w:lang w:eastAsia="en-US"/>
              </w:rPr>
              <w:t xml:space="preserve"> </w:t>
            </w:r>
            <w:r w:rsidRPr="002526E9">
              <w:rPr>
                <w:i/>
                <w:iCs/>
                <w:szCs w:val="22"/>
                <w:lang w:eastAsia="en-US"/>
              </w:rPr>
              <w:t xml:space="preserve">պետական գանձապետական և արտարժութային պարտատոմսերի գծով պարտքի մնացորդը բաշխվել է ըստ ռեզիդենտության հիմք ընդունելով 2021թ. </w:t>
            </w:r>
            <w:r w:rsidRPr="002526E9">
              <w:rPr>
                <w:i/>
                <w:iCs/>
                <w:szCs w:val="22"/>
                <w:lang w:val="hy-AM" w:eastAsia="en-US"/>
              </w:rPr>
              <w:t>հոկտեմբերի</w:t>
            </w:r>
            <w:r w:rsidRPr="002526E9">
              <w:rPr>
                <w:i/>
                <w:iCs/>
                <w:szCs w:val="22"/>
                <w:lang w:eastAsia="en-US"/>
              </w:rPr>
              <w:t xml:space="preserve"> 31-ի դրությամբ </w:t>
            </w:r>
            <w:r w:rsidRPr="002526E9">
              <w:rPr>
                <w:rFonts w:cs="Sylfaen"/>
                <w:i/>
                <w:iCs/>
                <w:szCs w:val="22"/>
                <w:lang w:val="en-US" w:eastAsia="en-US"/>
              </w:rPr>
              <w:t>փաստացի</w:t>
            </w:r>
            <w:r w:rsidRPr="002526E9">
              <w:rPr>
                <w:i/>
                <w:iCs/>
                <w:szCs w:val="22"/>
                <w:lang w:eastAsia="en-US"/>
              </w:rPr>
              <w:t xml:space="preserve"> </w:t>
            </w:r>
            <w:r w:rsidRPr="002526E9">
              <w:rPr>
                <w:rFonts w:cs="Sylfaen"/>
                <w:i/>
                <w:iCs/>
                <w:szCs w:val="22"/>
                <w:lang w:val="en-US" w:eastAsia="en-US"/>
              </w:rPr>
              <w:t>ձևավորված</w:t>
            </w:r>
            <w:r w:rsidRPr="002526E9">
              <w:rPr>
                <w:i/>
                <w:iCs/>
                <w:szCs w:val="22"/>
                <w:lang w:eastAsia="en-US"/>
              </w:rPr>
              <w:t xml:space="preserve"> </w:t>
            </w:r>
            <w:r w:rsidRPr="002526E9">
              <w:rPr>
                <w:rFonts w:cs="Sylfaen"/>
                <w:i/>
                <w:iCs/>
                <w:szCs w:val="22"/>
                <w:lang w:val="en-US" w:eastAsia="en-US"/>
              </w:rPr>
              <w:t>տեսակարար</w:t>
            </w:r>
            <w:r w:rsidRPr="002526E9">
              <w:rPr>
                <w:i/>
                <w:iCs/>
                <w:szCs w:val="22"/>
                <w:lang w:eastAsia="en-US"/>
              </w:rPr>
              <w:t xml:space="preserve"> </w:t>
            </w:r>
            <w:r w:rsidRPr="002526E9">
              <w:rPr>
                <w:rFonts w:cs="Sylfaen"/>
                <w:i/>
                <w:iCs/>
                <w:szCs w:val="22"/>
                <w:lang w:val="en-US" w:eastAsia="en-US"/>
              </w:rPr>
              <w:t>կշիռները</w:t>
            </w:r>
            <w:r w:rsidRPr="002526E9">
              <w:rPr>
                <w:i/>
                <w:iCs/>
                <w:szCs w:val="22"/>
                <w:lang w:eastAsia="en-US"/>
              </w:rPr>
              <w:t>:</w:t>
            </w:r>
          </w:p>
          <w:p w14:paraId="714449E3" w14:textId="7ACDA857" w:rsidR="002526E9" w:rsidRPr="002526E9" w:rsidRDefault="002526E9" w:rsidP="002526E9">
            <w:pPr>
              <w:spacing w:before="0" w:line="276" w:lineRule="auto"/>
              <w:ind w:firstLine="0"/>
              <w:contextualSpacing w:val="0"/>
              <w:rPr>
                <w:i/>
                <w:iCs/>
                <w:szCs w:val="22"/>
                <w:lang w:eastAsia="en-US"/>
              </w:rPr>
            </w:pPr>
          </w:p>
        </w:tc>
      </w:tr>
    </w:tbl>
    <w:p w14:paraId="43724C98" w14:textId="77777777" w:rsidR="002526E9" w:rsidRPr="002526E9" w:rsidRDefault="002526E9" w:rsidP="002526E9">
      <w:pPr>
        <w:spacing w:before="0" w:after="200" w:line="276" w:lineRule="auto"/>
        <w:ind w:firstLine="0"/>
        <w:contextualSpacing w:val="0"/>
        <w:jc w:val="center"/>
        <w:rPr>
          <w:rFonts w:eastAsiaTheme="minorHAnsi" w:cstheme="minorBidi"/>
          <w:b w:val="0"/>
          <w:szCs w:val="22"/>
          <w:lang w:eastAsia="en-US"/>
        </w:rPr>
      </w:pPr>
      <w:r w:rsidRPr="002526E9">
        <w:rPr>
          <w:noProof/>
          <w:szCs w:val="22"/>
          <w:lang w:val="en-US" w:eastAsia="en-US"/>
        </w:rPr>
        <mc:AlternateContent>
          <mc:Choice Requires="wpg">
            <w:drawing>
              <wp:anchor distT="0" distB="0" distL="114300" distR="114300" simplePos="0" relativeHeight="251590656" behindDoc="0" locked="0" layoutInCell="1" allowOverlap="1" wp14:anchorId="5283FE75" wp14:editId="2CC5A905">
                <wp:simplePos x="0" y="0"/>
                <wp:positionH relativeFrom="column">
                  <wp:posOffset>-271780</wp:posOffset>
                </wp:positionH>
                <wp:positionV relativeFrom="paragraph">
                  <wp:posOffset>37465</wp:posOffset>
                </wp:positionV>
                <wp:extent cx="7099081" cy="4016660"/>
                <wp:effectExtent l="0" t="0" r="26035" b="22225"/>
                <wp:wrapNone/>
                <wp:docPr id="45" name="Group 1"/>
                <wp:cNvGraphicFramePr/>
                <a:graphic xmlns:a="http://schemas.openxmlformats.org/drawingml/2006/main">
                  <a:graphicData uri="http://schemas.microsoft.com/office/word/2010/wordprocessingGroup">
                    <wpg:wgp>
                      <wpg:cNvGrpSpPr/>
                      <wpg:grpSpPr bwMode="auto">
                        <a:xfrm>
                          <a:off x="0" y="0"/>
                          <a:ext cx="7099081" cy="4016660"/>
                          <a:chOff x="0" y="0"/>
                          <a:chExt cx="9214700" cy="5532537"/>
                        </a:xfrm>
                      </wpg:grpSpPr>
                      <wpg:graphicFrame>
                        <wpg:cNvPr id="55" name="Chart 55"/>
                        <wpg:cNvFrPr>
                          <a:graphicFrameLocks/>
                        </wpg:cNvFrPr>
                        <wpg:xfrm>
                          <a:off x="7223" y="0"/>
                          <a:ext cx="4571211" cy="2743595"/>
                        </wpg:xfrm>
                        <a:graphic>
                          <a:graphicData uri="http://schemas.openxmlformats.org/drawingml/2006/chart">
                            <c:chart xmlns:c="http://schemas.openxmlformats.org/drawingml/2006/chart" xmlns:r="http://schemas.openxmlformats.org/officeDocument/2006/relationships" r:id="rId72"/>
                          </a:graphicData>
                        </a:graphic>
                      </wpg:graphicFrame>
                      <wpg:graphicFrame>
                        <wpg:cNvPr id="56" name="Chart 56"/>
                        <wpg:cNvFrPr>
                          <a:graphicFrameLocks/>
                        </wpg:cNvFrPr>
                        <wpg:xfrm>
                          <a:off x="4643488" y="8208"/>
                          <a:ext cx="4571212" cy="2743594"/>
                        </wpg:xfrm>
                        <a:graphic>
                          <a:graphicData uri="http://schemas.openxmlformats.org/drawingml/2006/chart">
                            <c:chart xmlns:c="http://schemas.openxmlformats.org/drawingml/2006/chart" xmlns:r="http://schemas.openxmlformats.org/officeDocument/2006/relationships" r:id="rId73"/>
                          </a:graphicData>
                        </a:graphic>
                      </wpg:graphicFrame>
                      <wpg:graphicFrame>
                        <wpg:cNvPr id="57" name="Chart 57"/>
                        <wpg:cNvFrPr>
                          <a:graphicFrameLocks/>
                        </wpg:cNvFrPr>
                        <wpg:xfrm>
                          <a:off x="0" y="2789336"/>
                          <a:ext cx="4571211" cy="2743201"/>
                        </wpg:xfrm>
                        <a:graphic>
                          <a:graphicData uri="http://schemas.openxmlformats.org/drawingml/2006/chart">
                            <c:chart xmlns:c="http://schemas.openxmlformats.org/drawingml/2006/chart" xmlns:r="http://schemas.openxmlformats.org/officeDocument/2006/relationships" r:id="rId74"/>
                          </a:graphicData>
                        </a:graphic>
                      </wpg:graphicFrame>
                      <wpg:graphicFrame>
                        <wpg:cNvPr id="59" name="Chart 59"/>
                        <wpg:cNvFrPr>
                          <a:graphicFrameLocks/>
                        </wpg:cNvFrPr>
                        <wpg:xfrm>
                          <a:off x="4616010" y="2788943"/>
                          <a:ext cx="4571212" cy="2743200"/>
                        </wpg:xfrm>
                        <a:graphic>
                          <a:graphicData uri="http://schemas.openxmlformats.org/drawingml/2006/chart">
                            <c:chart xmlns:c="http://schemas.openxmlformats.org/drawingml/2006/chart" xmlns:r="http://schemas.openxmlformats.org/officeDocument/2006/relationships" r:id="rId75"/>
                          </a:graphicData>
                        </a:graphic>
                      </wpg:graphicFrame>
                    </wpg:wgp>
                  </a:graphicData>
                </a:graphic>
              </wp:anchor>
            </w:drawing>
          </mc:Choice>
          <mc:Fallback>
            <w:pict>
              <v:group w14:anchorId="36269C3F" id="Group 1" o:spid="_x0000_s1026" style="position:absolute;margin-left:-21.4pt;margin-top:2.95pt;width:559pt;height:316.25pt;z-index:251590656" coordsize="92147,5532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CyxCC+VQgA&#10;ANIeAAAVAAAAZHJzL2NoYXJ0cy9jaGFydDIueG1s7BnbbhvH9b1A/2G7VoGkKMmdvS9ryqWWkmFE&#10;jgVLStIggDHcHVJbLXc2s0OJchAgKPojQduHtkCf2iDog/sV9Pf0zGUvpCXHUi8oar1IO3POnDm3&#10;OTc+fLRa5MYFYVVGi5GJ+pZpkCKhaVbMR+bpyUEvNI2K4yLFOS3IyLwilflo98c/epgMkzPM+HGJ&#10;E2IAkaIaJiPzjPNyOBhUyRlZ4KpPS1IAbEbZAnNYsvkgZfgSiC/ygW1Z/kASMTUBfAcCC5wV9Xn2&#10;LufpbJYlZEKT5YIUXHHBSI45aKA6y8qqppYgn9lvUFxkCaMVnfF+QhcDRawWCoghb9BItQtKSjEn&#10;KLJc4wLnI9MyB2Izx8VcbZCid3qsNhldFilJY8oKMIcCIwFaJMNxzgkrgFRMCw5ca30t3knjC8zO&#10;l2UP2C1ByGmWZ/xKim1K2vEZBX0Yz8mXy4yRamQmyG1V4N5WAVYwCAe2tisIi9xhxa9yogWyXCHS&#10;AGRS90oWDnCeT3FyLnTTQW5QW7g4uK0McUq6kfjAS05PMp6TCckJJ+mG3i8yculMBBqj/DPNkVer&#10;n/9K7djaSikp+dkRYYlQuDQfsjSIjYv5eKU3pUDJsCU+yyll4hZ+liXnBam0NeXhQTJs4FWWkk9B&#10;9rfgdlGEin4AvYtS5pSPGcGCeo6v6JKLrwUuljg/bNYKcoLZnGgpswIcUCll9ZSm2nIknRO1eXXd&#10;plaG1UeOHYa+4zih61uBFUX6kFJW0HejwPYjP/KsCDmeG+73bIVxqTCsfujYkRWEoRVEgRv4oQKf&#10;1WAfebbvRG7g+I4bSCjodFMs2GglnmLmTGIRrIT8sJpkTBFLaK6Iz+HxlRCV1HapbH7MQd8kVRgX&#10;mF3FNKf1y9SOUBFp6Cyt5VfYlKVE36ER+UpcXnH2nMzE12z39LP955//ZOdgJ7AeCqfQ8BhD7BTf&#10;JY8hItSep+iW3ICrRBwRGBe769+//mb97fqv6+/Xr4z1d+s/wPJ3cuvV+hUA/mKs/77+Fjb+8fq3&#10;4pILeHqCsvwHzOjLYK/mDD41q+URiIaHFc2z9CATTgoLNp/GuZZsEtmeLc072EAT1OThZJgVkFr4&#10;k9nHZA6h50K7klZJejjNKym1vqqg4h4ID3iYF8blyLQ9F16cWDcguCovFPv6Dr5SjE5penXE1OmK&#10;H4uYIxelOK9vSMns+REzqpeQ6iwgbUyFLo1M/l2OzAJynMh3LDuHXFfQY/kFaLgieSbyn2LnZqUA&#10;VUFYxLgNpQDboIHC4FclmUHKHJkxzrMpywQqHhJ8EySprocAeSWNvEnLR4r0CDMsZBQ5ZmQ2+QXQ&#10;QRHSukJdYKIzenlI5nDiI3Kl35ZyMgH5BENVIDKWzEAKO8b8Y7zYtKHAPSbs2v2N0Fm/F8DfW06n&#10;OTnOXr5J6pBgeDiHoOluyEyGZMUPK/l84ctYMjDYV/G+7znBGPUm/kHcc2e+14smEeoFtu3GbuR6&#10;4d7e120i826byFA3iXk6noCxEuRp5V3HK2gYWJSarpmGrcbVEyylqF9bJw483vGi4c6THf8dooGj&#10;DLUdDRzUR3bftmxJon3r4sWruIF03Ggw0WZUaDHtbUx7E1M88hvih5YR3Ef4WbFcbIe8xxDyhKid&#10;wAdYTeBT1WIMmWf3xQc/Mx78/MEDq2+9+PAXYvXFB3r9hVqbPfPRIwn75YsPBYud09tB9Aa12W7f&#10;dbzQ8l3Lc+DLdjdFbZVSq88O+zakH9vxLT8MbRTddKCjRct1/Aghy3YRZC9n8wTw3WpALaTS4FOr&#10;sXYm6V71C4Aka8Wx2/Mm/n7PtaK4t7fv2L39wJ7YUeB4Thx3XoB/6xfgdso4f7gssi+X5Ikuqb5S&#10;kc6yepE7gfc3juzeHrInPT8MDiJ33wvc8fhrGQivfRI6c24nUB1vOglU77wtgUovvlsClclRpsg/&#10;rb9//Zv1HyFr/m395/V3d8+c90mvLRjuk55OtfdJrykx39ukh2TSa4NVG/I30tZ/JekFXt/zXRQ5&#10;XuT68BVsZaQ3k16A+tC5OYHIXggFoXXjiTrr+WE/8nzHCsMo8EK4Kfi/yXroX8t6TT34jlV4p3r+&#10;j1bhUG80rM1x+WmWct13I8uvuwNc6sJ9SldqD6/qqgBa+gD6el8zvAWww0hTaQGqV5J9eadLhxpy&#10;LDvmFnGLdJVA/1TMRYlJWQYjGjnAU03LIiueYskbCNRBTOVMaKPZwasjqnuNqRIGXuXBghttHTky&#10;HxOYiOAcOkO6hHEQ9CcwF2h6owX+NWUnMOl5CoM2RRxmLYoYcLINkz2m6COGHM5AD9wwUECRd0LV&#10;wc2u1oB5lexRRTsNZRxlLwUaNJX3ne4PdrpiXls10zrhoK0fSljdbIrZ4eeEaQuI1UYPnE/zcT4v&#10;1F7C9YgMdp/NZlU9PGtGhAV9usx5dniRg4k7Lgce2Tg31PbXennLX8d5/01eride0mkfsywVY41K&#10;uuM1jm/99N7nuyMv1fOIp/c/Pt150+fboPwWn5egPcIvCdF+PlULHc1EpDstMj2UtPpydKuaVOXI&#10;avDXmdfdYpQHdDZG1nI4JeJkLr+aMKnjdDvg3Zz9JsNbT61R3w1taP0R8uEXHJhcN0PpejIGQ2nH&#10;slwE4NAOA0BRGmmG1pEPccX1ke+FAgfpXxWaqTVyPQQlkCUoRDakSOlEb51bUwj2IGQndojZ7J2G&#10;neH7POsEv1IeJHxJeNgnWfWsyLVi9XghzapyD2am59VYlwNQ/ygbixptAkG8egYGgbqiYxARzOsf&#10;Fu5omvd9Dg01j/hpM59gjg02zKCuYk9SNWkTKfi0FD+hbuq8e0aOWqUR5E/Ru/8EAAD//wMAUEsD&#10;BBQABgAIAAAAIQAT0VbV+AAAAHcBAAAgAAAAZHJzL2NoYXJ0cy9fcmVscy9jaGFydDQueG1sLnJl&#10;bHOEkE1rwzAMhu+D/Qcj2HF1msMYJU5hZIUetsHo2CVQHFv5WB0r2G5J//10WGGFwW76ePW8kor1&#10;PDpxwhAH8gqWiwwEekN28J2Cj93m/hFETNpb7cijgjNGWJe3N8U7Op14KPbDFAVTfFTQpzStpIym&#10;x1HHBU3oudNSGHXiNHRy0uagO5R5lj3I8JsB5RVTbK2CsLVLELvzxM7/s6ltB4MVmeOIPv1hIcnh&#10;W/OFJjFUhw6TgnZwyCvLalV/Ujjw3Xd5tuFirJ+OliX7PMvz+pVOODYYfoqseZ4TBq8dhxU2aTG7&#10;eKG+kOWFLwKQZSGv3lV+AwAA//8DAFBLAwQUAAYACAAAACEAE9FW1fgAAAB3AQAAIAAAAGRycy9j&#10;aGFydHMvX3JlbHMvY2hhcnQzLnhtbC5yZWxzhJBNa8MwDIbvg/0HI9hxdZrDGCVOYWSFHrbB6Ngl&#10;UBxb+VgdK9huSf/9dFhhhcFu+nj1vJKK9Tw6ccIQB/IKlosMBHpDdvCdgo/d5v4RREzaW+3Io4Iz&#10;RliXtzfFOzqdeCj2wxQFU3xU0Kc0raSMpsdRxwVN6LnTUhh14jR0ctLmoDuUeZY9yPCbAeUVU2yt&#10;grC1SxC788TO/7OpbQeDFZnjiD79YSHJ4VvzhSYxVIcOk4J2cMgry2pVf1I48N13ebbhYqyfjpYl&#10;+zzL8/qVTjg2GH6KrHmeEwavHYcVNmkxu3ihvpDlhS8CkGUhr95VfgMAAP//AwBQSwMEFAAGAAgA&#10;AAAhABPRVtX4AAAAdwEAACAAAABkcnMvY2hhcnRzL19yZWxzL2NoYXJ0Mi54bWwucmVsc4SQTWvD&#10;MAyG74P9ByPYcXWawxglTmFkhR62wejYJVAcW/lYHSvYbkn//XRYYYXBbvp49bySivU8OnHCEAfy&#10;CpaLDAR6Q3bwnYKP3eb+EURM2lvtyKOCM0ZYl7c3xTs6nXgo9sMUBVN8VNCnNK2kjKbHUccFTei5&#10;01IYdeI0dHLS5qA7lHmWPcjwmwHlFVNsrYKwtUsQu/PEzv+zqW0HgxWZ44g+/WEhyeFb84UmMVSH&#10;DpOCdnDIK8tqVX9SOPDdd3m24WKsn46WJfs8y/P6lU44Nhh+iqx5nhMGrx2HFTZpMbt4ob6Q5YUv&#10;ApBlIa/eVX4DAAD//wMAUEsDBBQABgAIAAAAIQAT0VbV+AAAAHcBAAAgAAAAZHJzL2NoYXJ0cy9f&#10;cmVscy9jaGFydDEueG1sLnJlbHOEkE1rwzAMhu+D/Qcj2HF1msMYJU5hZIUetsHo2CVQHFv5WB0r&#10;2G5J//10WGGFwW76ePW8kor1PDpxwhAH8gqWiwwEekN28J2Cj93m/hFETNpb7cijgjNGWJe3N8U7&#10;Op14KPbDFAVTfFTQpzStpIymx1HHBU3oudNSGHXiNHRy0uagO5R5lj3I8JsB5RVTbK2CsLVLELvz&#10;xM7/s6ltB4MVmeOIPv1hIcnhW/OFJjFUhw6TgnZwyCvLalV/Ujjw3Xd5tuFirJ+OliX7PMvz+pVO&#10;ODYYfoqseZ4TBq8dhxU2aTG7eKG+kOWFLwKQZSGv3lV+AwAA//8DAFBLAwQUAAYACAAAACEAU59/&#10;GtAAAACxAgAAGQAAAGRycy9fcmVscy9lMm9Eb2MueG1sLnJlbHO8kssKwjAQRfeC/xBmb9NWERFT&#10;NyK4Ff2AIZ0+sE1CJor+vUERFER3Xd4Z5tyzmNX62nfiQp5baxRkSQqCjLZla2oFx8N2sgDBAU2J&#10;nTWk4EYM62I8Wu2pwxCPuGkdi0gxrKAJwS2lZN1Qj5xYRyZuKut7DDH6WjrUJ6xJ5mk6l/6dAcUH&#10;U+xKBX5XTkEcbi42/2fbqmo1baw+92TClwqpG/QhAtHXFBQ8Ij+n0ySagvwukQ8kkf+SyAaSyH5J&#10;zAaSmL0k5MejFXcAAAD//wMAUEsDBBQABgAIAAAAIQA0U/zdmAIAAGEKAAAOAAAAZHJzL2Uyb0Rv&#10;Yy54bWzslslu2zAQhu8F+g4E7432FbFzaJqgQBcDbR+AoagFtUSBpCPn7TukaEWR3TZN00OBXAhT&#10;FGfmn29mrPOLfbtFt0zIhncr7J25GLGO8qLpqhX+9vXqTYqRVKQryJZ3bIXvmMQX69evzoc+Zz6v&#10;+bZgAoGRTuZDv8K1Un3uOJLWrCXyjPesg8OSi5Yo2IrKKQQZwHq7dXzXjZ2Bi6IXnDIp4enleIjX&#10;xn5ZMqo+l6VkCm1XGGJTZhVmvdGrsz4neSVIXzfUhkGeEEVLmg6cTqYuiSJoJ5ojU21DBZe8VGeU&#10;tw4vy4YyowHUeO5CzbXgu95oqfKh6qc0QWoXeXqyWfrpdiNQU6xwGGHUkRYYGbfI07kZ+iqHV65F&#10;/6XfCPugGnfoZvjIC3if7BQ34velaHUSQBbamxzfTTlme4UoPEzcLHNTDyMKZ6HrxXFsKdAaUB3d&#10;o/U7ezPzvTBxAaK+GUWBHwWJjtEh+ejY0dHa4MbQLdgrAbomMVZvNOl9WxOhEOzvBV+JjZjhNAY+&#10;cPpdan82KeM7erPQnfh+gNGx9DBKPN+z0v0kDKLM+DQGDzZsyDPnP62l3zcH1coADc3NL1tA9Kh8&#10;HmvJGoD+WdTfCQNjbV9yumtZp8ZmFWxLFEwKWTe9xEjkuvDE+8LUGnC04rViw3VKhkVr2nRG85d8&#10;40M9W77xc/EN4zAIUxhsgDj13VTbJfmhwEfK/limI+XQlOm8UiZhDzSfnBgnUrsYgf8LZd+k4YHi&#10;v6ecLCibkfCgQyeHf9bFMGiAr5+kWRCY0lkinjUyzO4XxLqRg3+BOFsgzrST50Acxl4M/7oH0GkW&#10;mviXoGe9DJ8cL6A16HGkTa31qIlthjh8x8yb/uTF+y/D9Q8AAAD//wMAUEsDBBQABgAIAAAAIQAU&#10;NjzU4QAAAAoBAAAPAAAAZHJzL2Rvd25yZXYueG1sTI9Ba8JAFITvhf6H5RV6002isZrmRUTanqRQ&#10;LRRvz+SZBLO7Ibsm8d93PbXHYYaZb9L1qBrRc2droxHCaQCCdW6KWpcI34f3yRKEdaQLaoxmhBtb&#10;WGePDyklhRn0F/d7Vwpfom1CCJVzbSKlzStWZKemZe29s+kUOS+7UhYdDb5cNTIKgoVUVGu/UFHL&#10;24rzy/6qED4GGjaz8K3fXc7b2/EQf/7sQkZ8fho3ryAcj+4vDHd8jw6ZZzqZqy6saBAm88ijO4R4&#10;BeLuBy9xBOKEsJgt5yCzVP6/kP0CAAD//wMAUEsDBBQABgAIAAAAIQBzxKoAIAgAAE0eAAAVAAAA&#10;ZHJzL2NoYXJ0cy9jaGFydDQueG1s7Flbj9vGFX4v0P+g0lsgKSqJd5Gqta5ErQwj63jhtZM0CGCM&#10;yJGWXZLDDEd7cRAgLYL8jwB9a5ACBQrkJemv0P6enjMzpKi11rc2RQvvg72c25lzvjl33b13kWed&#10;M8qrlBUjw+qZRocWMUvSYjkynj6ZdQOjUwlSJCRjBR0Zl7Qy7u3/8hd342F8Qrg4LklMO0CkqIbx&#10;yDgRohz2+1V8QnNS9VhJC1hbMJ4TAUO+7CecnAPxPOvbpun3JRFDEyBvQSAnaVGf569zni0WaUyn&#10;LF7ltBCKC04zIgCB6iQtq5pabPncfoFinsacVWwhejHL+4pYLRQQs7x+I9U+gJQQQa3QdDtnJBsZ&#10;ptHHyYwUSzVBi+7TYzXJ2apIaBIxXsBzqGULl/J4OM4E5QWQilghgGuNV/5aiOeEn67KLrBbgpDz&#10;NEvFpRTbkLSjEwZ4dB7Tz1cpp9XIiC13A4H7pgCYg37Qt/W7grCWO6zEZUa1QGaAIvVBJnWvZGFG&#10;smxO4lPEprW52bpZx4PXwcBTUo3wg6wEe5KKjE5pRgVNtnA/S+m5M8VtnIlPNEdeDb/4g5qx9Ssl&#10;tBQnR5THCLh8PsvUS3xcLMcXelIKFA83xBcZYxxvESdpfFrQSr+mPNyPh816lSb0Y5D9JXvbWxCi&#10;V2xvbykzJsacEqSekUu2ElL55oQ70whtFxdgNE25kiRmmcJiCbpYgpGq6VJBcCzgepqoHWeEX0Ys&#10;Y7WialwqKuVOE42NnmY8ofoOPSMu8PJK8Md0gV+L/aefHDz+9Fd7s72Bcxcx0usRAVeC36WIwEDq&#10;h1BclKIDV6FZ4Y6z/fV36x/Wf19/e/Un/NtZ/xP+/A3+/bj+dv2Xq6/WP1z9ef2Pq69h5ie84wwU&#10;EQnLP8CLvgvmasbgU3NaHoFkZFixLE1mKT4ZDPhyHmVasNksMpV69Le2ITV5OB6mBTha8WDxIV2C&#10;IZ5pk9CIJIfzrJJC66sKhvfAk5FhVnTOR4btuXABjpsluCorFPv6DnGhGJ2z5PKIq9OVOEYLlIMS&#10;z+sbErp4fMQ71fOREQLlzhyR7KTy/9XIKMDho/Pn6Sk4/oIdyy/YRiqapRgMFDc3YwKA7MQEuAYA&#10;io64LOkC4sfIiEiWznmKz0qGlNy0Ele7VwAHJQxg0YhHi+SIcIIiosMdGY2zxT0SNYUWvNAJOz+k&#10;SzjxAb1UWl9rNKx8RCBEovuW7ljtjoj4kOTbT4hUjinfOb/lR1q0J6v5PKPH6fMXSR1SAmZzCEi3&#10;/Uc8pBfisJLGC1+dFYcH+yI68D1nMLa6U38Wdd2F73XDaWh1B7btRm7oesFk8uXGq3tv6tWttkf3&#10;Wu7E8jR4u3gF3QcWJdI10zDVaHpMpBS1sbW8wP09LxzuPdjzzVf7Ame3L3CsnmX3bNOWJDamjgav&#10;vIalvUaz09p2Cpud9vWd9vZOtPEb3IeWEdQHbbtY5dcd3n1weChqy+3BrsbtqdQpYgndf/bebzp3&#10;fnvnjtkzn73/Oxx99p4ef6bGRte4d0+u/f7Z+xI5mXjJ09dd6A2wWWHPC53Q8UxUqCBw3W1RN6DU&#10;8FmDnjVwbM93A9uxBgPHv+lEDSOegAOOH4Zw0vG8F+HcQADY1qjBp8ax1iapX7UJOE5gRpHb9ab+&#10;Qdc1w6g7OXDs7sHAntrhwPGcKGqZgP/GJuC2khp/uCrSz1f0gU4wvlCuzjS7s4E9gdsjvzueWLNu&#10;NPa94CCaTAPT+xI1FYTYYRM6cF6Pn9rhtOKnnnlZ/JQv9lbx8+qb9V8hPP64/gkC5vc/f/zEKoE2&#10;EZTEmGn5MsJlq/wh09hC1FOBFcLGKn+0WChn7NfT4M1lvYGUpP9vBSS0zNvoiwi1E5fb6AveEKP1&#10;bfRtUt13Nvq6MvpunOYm9AAkm/j5X4m+gdlzTd/03dBxfduyvBtjaR19A7sX2P7AdTxr4Ae2Pbgx&#10;XtfRF0/AAd8xTTjpu+61tEcF3E0t9H8Ufa1/L/o2ielrlgOtNP5nLQfgRRrWlqT8OE3EiS5I7KYk&#10;IaWuIObsQmXE5KLOTizHt80QEq5dC5ZlDuzrC1I0uHe7WQDJ7FgW7jeSrmIo5Iol5rqMpxDOZVtN&#10;MZunxUMiecOovNmYyE6N2qMhJRdHTBc9c8UaaOEsF52NQY6M+xQaZSSDEpWtoEkDhRK0J5oiLSd/&#10;ZPwJ9F8eQvtLEYcOiCIGnFxfk8UupGdQ8MMZqMUbBgpI154wdXC7uu5AF0kWy1jWQzrJ+HPcBmnK&#10;bcX9qoobm6hV00ID/WypoVyri15s6H1KuX4AHGnVVy+SzbNxtizUXCx4Mwt5YkXrdpHKH6GSYA9X&#10;mUgPzzJ44ZbGgUI2ug0lxi4lb/HX0t3/kJLrvpvU2fs8TbC9Uklt3KH35q9vVb7VeFOVF777/3ia&#10;+4LKt1zyS1ReLk2oOKdUq/lcDaTIsiRW+qoKnVZ3EJuDr9k4BAPYahfLXhh6w0x+Nc5Qe2PVTsb1&#10;nBQrkh3K9jKOL6Bs04GIJkuqzPFy12TdPu9ZrumE0KhyTEhjoONw0NXhqO7E9QIP8hTPgpzFD6ww&#10;cHTv4lxbcC/0oTUaus7AhY2B5emgqIOk2bNM17XdgePaQAau0Mht8w4QbMRi4NJh1HIR2Al+q9Zq&#10;8C63VhHURpdQwz5Kq0dFpoHV75SkVTmBgHFajXXQhyxHaQ5mYlPsjD+CB4HsofUg6LPrXzHe8mne&#10;8a43JDb4q2I2JYJ0+DCF5Ik/SFRlgYH2aYm/Xm5D3j4jm1nyDeSvwPv/AgAA//8DAFBLAwQUAAYA&#10;CAAAACEAU4FfW1QKAACSNQAAFQAAAGRycy9jaGFydHMvY2hhcnQzLnhtbOxbW2/cxhV+L9D/sF2r&#10;QFJ0uZzhDC/brFyJKxlG5Viw5CQNAhiz5OyKFZfckFxdHATwQ/9IUOSlQVH0xQXy0PyKze/pmQtv&#10;q4tlVXbsegVDJudyOHPmzPnmnPn0yf2zWdw54Vkepcmwiwyz2+FJkIZRMh12nx7u9txuJy9YErI4&#10;Tfiwe87z7v3NX//qk2AQHLGsOJizgHdASJIPgmH3qCjmg34/D474jOVGOucJ1E3SbMYKeM2m/TBj&#10;pyB8Fvexadp9KaSrBbBbCJixKCn7Zzfpn04mUcBHabCY8aRQo8h4zArQQH4UzfNSWoDsDF+QOIuC&#10;LM3TSWEE6ayvhJWTAmGI9qtZbYKSQlZw5Jmkc8LiYdfs9kVhzJKpKuBJ7+mBKszSRRLy0E+zBJZD&#10;VSNRNQsGW3HBswRE+WlSwKi1vmY30viMZceLeQ+GO4dJjqM4Ks7ltLtStn+Ugj46T/jXiyjj+bAb&#10;IFKrgLyuAkyn7/axXleYLCKDvDiPuZ6QicWU+jAn9V05hF0Wx2MWHAvdNBpXTet60XFVGaKXNCPx&#10;wBZFehgVMR/xmBc8bOn9JOKn1kg0y9LiCz0iWqq/+LMqwXqVQj4vjvZ5FgiFy+VDpq7KtpLp1pku&#10;lBMKBrXwSZymmfhKcRQFxwnP9WrKzv1gUNXnUcg/h7lf07bZRKjoFc2bTeZxWmxlnAnpMTtPF4V4&#10;mrFkweK96l3VHLJsyvUsowQMUCnl7FEa6pXj4ZSrwvPLCrUyTAOZyHU8z0EUngg2Ld1JKYsapoep&#10;R0zXohRqCdrpyWUOBqeqhWm4DrYwcggyLWw50F5JOCrrbUwc16ZQYdqu6VhE1INa2zODgnrSY5ZZ&#10;I1/4K6ECeBtFmRIXpLESP4X9NwfHpIrnatkPClA5D1WLE5ad+2mclptT20LO5VpHYakC1TrNQq6/&#10;oRsWZ+LjeZE94RPxNNl8+sXOky9/s7G7YRMxAVkK9T4D9ylazAsfnEJpfEruvOjAp4QrES1ONpff&#10;/fxi+RP8/uvyh+XLzvI/suCfy+9/fiFknkjVzGHe8FLLVi9yIPCoRzbfh5mwQZ7GUbgbCbOEl2w6&#10;9mM9kd1d31RboN9qJqTJzsEgSgBMioeTT/kUnM2JNh6tgXBvHOdSCXfxqeJMjXechuf7GdgAG8R5&#10;cSCcjXyZixL9oZBPnuxnnfw5YJyYQmcsNNiJ5O/FsJsAuAmgy6JjALkkPZBP0IzlPI4E8Al9tya9&#10;ohuQKgQLU1xpJqAl6RTncz4BrBx2fRZH4ywSTdmAs6tqgvzyGhCvZiO/pOfHk3CfZUzMUYDLsFsB&#10;CzQHRchFFuqClTpKT/f4FHr8iZ/rPaVMS9R8xuA4IKBKQo9q7bPiUzZrL6Voe8CzS8tbPrPcJdB+&#10;ezEex/wgen5R1B5nsF32QNNNXxkM+Fmxl8tNC0+dRQYL9o2/Y1PL2UK9kb3r98jEpj1v5KGegzHx&#10;iUeou739bY1g9HURDDXRi2ovAosVIKqVd9lYQcMwRKnpctBQVFl8wOQswMJWd/+DDeoNNh5u2Oar&#10;fYB2pqs+wEIGwgY2sRRRb3nhQZS3QNpbVC1R2znULfFqS9xuKfZ65aLUS+lG9BzBfISdJYvZxana&#10;RE61dnfQqnJ36pjoA+RsPvvod517v793zzTMZx//Qbx99ZF+/0q9d3vd+/dl3R+ffSw1Jw+Zsveq&#10;67xCbTY2kIVsCmBiYWpbbnumtU5K7VFkUIqQY1oesgQKvVKL1DSwi2wLmZ7n2jalXvsboMBaA+ql&#10;1KZWY2lM0rzKHWBZrun7pEdH9k6PmJ7f296xcG/HwSPsORa1fL+xA+zX3gGkcX6zB4sk+nrBH+qz&#10;1DfK05lmb4f4u/D10U5vG/tWj3qOs+NaGG9v2d9KR3jpltB4uQqb2t80YFOXXAebVC689GqVTYpl&#10;uwFs/rj8fvmT0Vn+bfnd8uXyX/D0o4JS48IKXWXvN4XNERx5sHcRGsTukf777mDzBp9aw6aARHV0&#10;WMPmGjbfC9ikEjZrd1eDBoQNNfC9FdjExCAWdU2bmNSCJyzR/LpTB3YN7Fg2tmyI2FyMVkCwBtrG&#10;4cMklu0hZGIC8OlZF5xyrYH3CzbR3cKmDo4bsKlLroNN+/awWUabL5Z/l5CpQPROoVPkDnkVcxZn&#10;wiggtFvMIO+gYhO7DLVk8ePJRBWTslhEYKUUGSU1Qto7At1SvPryGxzkGq7XcL2OckUiq4pd3/0o&#10;15ZwXbvZGqzePlwjy7AQxKCEQLKUUMtewdIafcswF3mG59gUEerZyHNNvJICqHuUeI1cg1qmCwkY&#10;grDreqs9FETrQP/9wmuIqu8yzNWpiAZe65Lr8Nq5PV5DGhgC3H8v/7H8ATLEL+8sLdzGPxaISxJy&#10;Aajhik/lRNtA7ZbFdwrUItcmUgGrmfj6GqB9QxAMdMbeNaz2D97p6VXRCdKeZWACu6f6hzx9bwHG&#10;3JYKBfUH37lc66XZpF8onwqakhnTdy6zZd1yy5cGWP5fGaLOZNV20TaZyhAhjdv+AUPUx/mrDNGE&#10;BKBssjbE3HjV3fwVif131hDJXRuiNqY3YYhrj9jgvfy/GSL9Hw1RpbnZIEnFvbK4I61T3+sAdx3g&#10;voUAVx3F1je3dRBW3kXDXrzJza0jY9o6FPklY1qgGSEC3CACCWVKHKALvTIHDV3gBtZDkLSmHjUx&#10;RVde95ZRLXQhlkupRW0Ct7jAZVq57wXN1VpQL+/L7a19S4+ur20rXsMNI5wGC+SNsklgEaqhTdn8&#10;8ygsNG/MkzQxQWhhc80/GadnivjCzsrLbQQXG4R4JedspcKm2F3toSg/klTWoJjBhtqSdK8VCbXo&#10;PAAaUDIVAWuaRRA9SwKqSifPouQRk2OD+TQahpLTqNpojbKz/VRTZsZqaGCRu7OiU98KDbsPODD6&#10;WAwEp3QBdEag2QCpraL4zNhf0uwQmIqPgCiqhANXUAmDkazWSaqUoMMMCugDMXc1gATCucNUdWyj&#10;egf4lpJqJchhwEZIs+ei2c0IW96HzdcSdOO8IpsK+6zNUNaVlClBff2SZ3oBxJtazDL6HMdb8TRR&#10;ZUGRqXWKxzHcn+Ql97NiuCbpo0VcRHsnMaxww+LAICvbBobKpUZej69hu3dk5JqtKW32QRaFgpyX&#10;S2u8xO7N376nJv+hcxQv2nztOK+xeVm1zYtTzrWdj9WLdmbC0T1NIk2oBWqWKAeLrgz5QpwCHirp&#10;nA67mMLlokxv1iGMqGtEMiCnxbiWFEvhJmP5VHlJ7aavicEv41dfR7pGBnGxhYiDTNtGyHas1bQR&#10;kKqhgQkpfcjQA7o5rs5vVqRrj2DP9SjCNtwRUIy006hI14jYCGSblm07JsKerVXXzmSBDup5peDs&#10;4a3hPATT+FacXUgYf7iUXaHUypiEiX0W5Y+TWCtWL1QY5fNtoP4e51v6OADHH2X24og2Ai+eP4YF&#10;gXNFY0FAdPWXE7dcmg/dVcGZR/xpTjxiBetkcPkw7GYPQ3WVJjD46Vz8CVBb580+0oPIRZB/SrX5&#10;XwAAAP//AwBQSwMEFAAGAAgAAAAhAI10fEdLCAAA7h4AABUAAABkcnMvY2hhcnRzL2NoYXJ0MS54&#10;bWzsWVtvG8cVfi/Q/8CuVSApSnJm78uacqmlZBiVY8GSkjQIYAx3h+RWy53N7FCiHATIQ/5IH/rU&#10;9zz0pb9C/j09c9kLJdqWnbZAYNmAvXM7c843Z8458/Hxk80q711SXmWsGFt4gKweLRKWZsVibJ2f&#10;HfVDq1cJUqQkZwUdW9e0sp7s//Y3j5NRsiRcnJYkoT0QUlSjZGwthShHw2GVLOmKVANW0gLG5oyv&#10;iIAmXwxTTq5A+Cof2gj5QyXEMgLIRwhYkayo1/P7rGfzeZbQKUvWK1oIrQWnORGAQLXMyqqWlmCf&#10;23ckrrKEs4rNxSBhq6EWVhsFwrA3bKzaB5BSIiiOkNu7JPnYQtZQduakWOgOWvTPT3UnZ+sipWnM&#10;eAHHoYexHFolo0kuKC9AVMwKAVobvFb3QnxF+MW67IO6JRg5y/JMXCuzLSU7XjLAo/eSfrfOOK3G&#10;VoLdFgL3QwFAwTAc2uZcwVjsjipxnVNjEHKkSUOwSe+rVDgieT4jyYXEpjO5mdqOy4W3wZCrlBvJ&#10;D7IW7CwTOZ3SnAqabuF+mdErZyqncSa+Nhp5Nfzir7rHNqeU0lIsTyhPJODq+DAyQ3xSLCYb06kM&#10;Skat8HnOGJe7iGWWXBS0MqepFg+TUTNeZSn9Cmx/x9zuFAnRe6Z3p5Q5ExNOiZSek2u2FvJrRYo1&#10;yY+bth45I3xBjZVZAQ6oQdk8Z6k5OZouqO683tVpwEAD7LqRi3zPx8j1A33cyehaYxUMPD/AThQF&#10;duQgF3vRYd/WUq/0DDQIUeR62HcQCv3A9t1Ijy/rcRhxHN9DNg7dIIhc7SW3DQOYW5tnhDvTWIYr&#10;iQC0phnX4hKWa/ELuH4lxCXdXepTPxWAOE31jEvCr2OWs/puGleoqDrqLK0R0LMZT6nZw0wUG7l5&#10;JfhLOpdf8/3zrw9ffvO7vaM9Hz+WbmHGYwLRU36XIoaYUPuelluKHmwlI4mccbl/8/PNP978+Oan&#10;m3/e/Ny7+dfN39/8ePPvNz9JeZdwz6QQ9R/sa+RCX60EfBqtyhOwgowqlmfpUSY9EhoyiNM4N2aI&#10;jQ17klG+XoEDaJx8BH+kYqr7xXyuu926e9iRAmpsbSD1UNsmo6yADCSezb+gC4hQl8bjDG7p8Syv&#10;FDRGyYJJDfWmRe9qbNkebKh0a4Zgq7zQhps9xEabOGPp9QnXqytxKkOTapTSCLNDSucvT3iveg0Z&#10;URrYm0nAe5n6dz22CkiFMi3y7AJSYsFO1RdMIxXNM5kmtTrbcPLFrAFTAqSR2wYF1AYEip64Lukc&#10;MuvYikmezXimQabkbSNJtXsExGtrFPzGPlqkJ4QTaaNMRWOrSUMwHYBQfiHhgiNasqtjuoAVf6Hm&#10;EteODyNfEigeZGJTiUrPjon4gqy2z1BKOaV8Z/9WhO3IPljPZjk9zV7fFXVMCdyuY0C6G1mTEd2I&#10;40rdcfjqrTkc2Pfxoe85wQT3p/5R3HfnvtePphHuB7btxhCqvPDg4Ic233kfmu9wN9d5JuiARyXY&#10;M+Dt0hUQBhUV0rXS0NW4ekKUFfU97QSLp3teNNp7tuej94cMFRllBNgOGQ4eYHtgI1uJaKNEOxPD&#10;ZZLxo5mp4tOumTIkbM207x15jI3gPlJEsV7djotPIS4qU9voCLOa6KiLyhgS1P6rz/7Qe/THR4/Q&#10;AL36/E+y9e1npv2tblt968kTNfbnV58r5FRJqlbD7luR9i2w2d7Atd3IiRzP8QIPBduW3kXPDgdR&#10;AH89z/WjwMdR9LYVHRTdyA8jNwg9GzKk42yvABdpEdANBRp8GhhrZ1LuVd8AxwlRHLt9b+of9l0U&#10;xf2DQ8fuHwb21I4CMCeOOzfA/+Ab4HaqPX+0LrLv1vSZyRDf60iHUN+bTIK+ax/Ck+LQPeofTI+i&#10;0AEk0WHwg4xuYMSOK2HS6+0sa+JNJ8uanndlWeWbH5dlVVqF5PoL8+xDomvLi4dEB4FHJsaHRNcU&#10;pJ9sorNVomsDVBvmAZI2Vf1fEl3gDmR+85Hv+irjbSehu4kuANpIlhOu6znIhmQTvm1Fnej8cOAh&#10;ByPPxvCGQ/6tXPorznP4l+W5pgK8Z93dqZf/p3U3nEij2oKUX2WpMA9ybDe1PylNqT5jG5nRgY3Z&#10;1HUAdrwIIyAHdg5gPzSWtCtUB+y7/XiHqnGiHtLtxFuiqwReTMVCbs94BtyNYvb0M2WVFc+J0g0E&#10;dyamiizScxpFTph5Xcy0znAnj1ai117HsfWUAlVCcngLsjXwRPAiAbqgeQ2tyN8YPwMK6DkwcFo4&#10;kDBaGGhye0y9KhVsAtbAq7dRoIDC6Izphdvv2B4QWepVKh/QULgx/lpOg2fkw9v2vW9bSeRWDY0n&#10;HbT1QzVWPy8lqfgN5eYEZGvr1ZvP8km+KHRfIgx3Br1AiFQ1q9ZwhwV7vs5FdnyZwxF3XA48snFu&#10;qOZ3enmrX8d5/0tebogw5bRPeZZKIqNS7rjD8dHvH3z+V8nn3PX5Nii/w+fV0AEVV5QaP5/pholm&#10;MtKdF5nhKtFAkbrg0Y0ja6qPjBqGThJ09yTvQM4Wl63oKBnfc/XVhEkTp1ve9zbX/cF0Nh7Y2I9s&#10;HLihi4MQY7fhq2sybBBCAQPPe8l2O7aNQpPhGj478hCOvACDABtFds2Im/QZDpwowBEQ2qHv2Mi3&#10;Q7MDGL2tPnS0ljGI99DqhA9J5X4Uwxl+ygSnBLVxJ+lkX2bViyI3wJrKJs2q8gCI0otqYioCKIG0&#10;48sybQpxvHoBBwKlRedAQHTzq9RHHs2nTj5D2SN/9synRJAeH2VQWvFnqWYnZRY+L+XPq9uYd9co&#10;UkkdgvqZev8/AAAA//8DAFBLAQItABQABgAIAAAAIQD2Dxd+LgEAANUDAAATAAAAAAAAAAAAAAAA&#10;AAAAAABbQ29udGVudF9UeXBlc10ueG1sUEsBAi0AFAAGAAgAAAAhADj9If/WAAAAlAEAAAsAAAAA&#10;AAAAAAAAAAAAXwEAAF9yZWxzLy5yZWxzUEsBAi0AFAAGAAgAAAAhALLEIL5VCAAA0h4AABUAAAAA&#10;AAAAAAAAAAAAXgIAAGRycy9jaGFydHMvY2hhcnQyLnhtbFBLAQItABQABgAIAAAAIQAT0VbV+AAA&#10;AHcBAAAgAAAAAAAAAAAAAAAAAOYKAABkcnMvY2hhcnRzL19yZWxzL2NoYXJ0NC54bWwucmVsc1BL&#10;AQItABQABgAIAAAAIQAT0VbV+AAAAHcBAAAgAAAAAAAAAAAAAAAAABwMAABkcnMvY2hhcnRzL19y&#10;ZWxzL2NoYXJ0My54bWwucmVsc1BLAQItABQABgAIAAAAIQAT0VbV+AAAAHcBAAAgAAAAAAAAAAAA&#10;AAAAAFINAABkcnMvY2hhcnRzL19yZWxzL2NoYXJ0Mi54bWwucmVsc1BLAQItABQABgAIAAAAIQAT&#10;0VbV+AAAAHcBAAAgAAAAAAAAAAAAAAAAAIgOAABkcnMvY2hhcnRzL19yZWxzL2NoYXJ0MS54bWwu&#10;cmVsc1BLAQItABQABgAIAAAAIQBTn38a0AAAALECAAAZAAAAAAAAAAAAAAAAAL4PAABkcnMvX3Jl&#10;bHMvZTJvRG9jLnhtbC5yZWxzUEsBAi0AFAAGAAgAAAAhADRT/N2YAgAAYQoAAA4AAAAAAAAAAAAA&#10;AAAAxRAAAGRycy9lMm9Eb2MueG1sUEsBAi0AFAAGAAgAAAAhABQ2PNThAAAACgEAAA8AAAAAAAAA&#10;AAAAAAAAiRMAAGRycy9kb3ducmV2LnhtbFBLAQItABQABgAIAAAAIQBzxKoAIAgAAE0eAAAVAAAA&#10;AAAAAAAAAAAAAJcUAABkcnMvY2hhcnRzL2NoYXJ0NC54bWxQSwECLQAUAAYACAAAACEAU4FfW1QK&#10;AACSNQAAFQAAAAAAAAAAAAAAAADqHAAAZHJzL2NoYXJ0cy9jaGFydDMueG1sUEsBAi0AFAAGAAgA&#10;AAAhAI10fEdLCAAA7h4AABUAAAAAAAAAAAAAAAAAcScAAGRycy9jaGFydHMvY2hhcnQxLnhtbFBL&#10;BQYAAAAADQANAH4DAADv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55" o:spid="_x0000_s1027" type="#_x0000_t75" style="position:absolute;top:-83;width:45893;height:276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VybxAAAANsAAAAPAAAAZHJzL2Rvd25yZXYueG1sRI9Li8JA&#10;EITvgv9h6AUvohODjyWbUUQUPHjZKHptMp0Hm+kJmVGz/35HEPZYVNVXVLrpTSMe1LnasoLZNAJB&#10;nFtdc6ngcj5MPkE4j6yxsUwKfsnBZj0cpJho++RvemS+FAHCLkEFlfdtIqXLKzLoprYlDl5hO4M+&#10;yK6UusNngJtGxlG0lAZrDgsVtrSrKP/J7kbB6VbEJ32wt8xe4mjs99f5an9VavTRb79AeOr9f/jd&#10;PmoFiwW8voQfINd/AAAA//8DAFBLAQItABQABgAIAAAAIQDb4fbL7gAAAIUBAAATAAAAAAAAAAAA&#10;AAAAAAAAAABbQ29udGVudF9UeXBlc10ueG1sUEsBAi0AFAAGAAgAAAAhAFr0LFu/AAAAFQEAAAsA&#10;AAAAAAAAAAAAAAAAHwEAAF9yZWxzLy5yZWxzUEsBAi0AFAAGAAgAAAAhAM1VXJvEAAAA2wAAAA8A&#10;AAAAAAAAAAAAAAAABwIAAGRycy9kb3ducmV2LnhtbFBLBQYAAAAAAwADALcAAAD4AgAAAAA=&#10;">
                  <v:imagedata r:id="rId76" o:title=""/>
                  <o:lock v:ext="edit" aspectratio="f"/>
                </v:shape>
                <v:shape id="Chart 56" o:spid="_x0000_s1028" type="#_x0000_t75" style="position:absolute;left:46368;width:45814;height:276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DxxQAAANsAAAAPAAAAZHJzL2Rvd25yZXYueG1sRI9PawIx&#10;FMTvQr9DeEJvNbFUkdUoUluwoIh/Dh6fm+fu2s3LkqS6fvumUPA4zMxvmMmstbW4kg+VYw39ngJB&#10;nDtTcaHhsP98GYEIEdlg7Zg03CnAbPrUmWBm3I23dN3FQiQIhww1lDE2mZQhL8li6LmGOHln5y3G&#10;JH0hjcdbgttavio1lBYrTgslNvReUv69+7EaLoNTvfjqq7NartbtZu3eFv7jqPVzt52PQURq4yP8&#10;314aDYMh/H1JP0BOfwEAAP//AwBQSwECLQAUAAYACAAAACEA2+H2y+4AAACFAQAAEwAAAAAAAAAA&#10;AAAAAAAAAAAAW0NvbnRlbnRfVHlwZXNdLnhtbFBLAQItABQABgAIAAAAIQBa9CxbvwAAABUBAAAL&#10;AAAAAAAAAAAAAAAAAB8BAABfcmVscy8ucmVsc1BLAQItABQABgAIAAAAIQARbeDxxQAAANsAAAAP&#10;AAAAAAAAAAAAAAAAAAcCAABkcnMvZG93bnJldi54bWxQSwUGAAAAAAMAAwC3AAAA+QIAAAAA&#10;">
                  <v:imagedata r:id="rId77" o:title=""/>
                  <o:lock v:ext="edit" aspectratio="f"/>
                </v:shape>
                <v:shape id="Chart 57" o:spid="_x0000_s1029" type="#_x0000_t75" style="position:absolute;left:-79;top:27792;width:45893;height:27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0JxQAAANsAAAAPAAAAZHJzL2Rvd25yZXYueG1sRI9Pa8JA&#10;FMTvgt9heQVvuqlQldRVtKXipVi17fmZfeaP2bchuybpt3cFocdhZn7DzJedKUVDtcstK3geRSCI&#10;E6tzThV8Hz+GMxDOI2ssLZOCP3KwXPR7c4y1bXlPzcGnIkDYxagg876KpXRJRgbdyFbEwTvb2qAP&#10;sk6lrrENcFPKcRRNpMGcw0KGFb1llFwOV6PgN/057d1mV3w268v067QtxkX7rtTgqVu9gvDU+f/w&#10;o73VCl6mcP8SfoBc3AAAAP//AwBQSwECLQAUAAYACAAAACEA2+H2y+4AAACFAQAAEwAAAAAAAAAA&#10;AAAAAAAAAAAAW0NvbnRlbnRfVHlwZXNdLnhtbFBLAQItABQABgAIAAAAIQBa9CxbvwAAABUBAAAL&#10;AAAAAAAAAAAAAAAAAB8BAABfcmVscy8ucmVsc1BLAQItABQABgAIAAAAIQAZd40JxQAAANsAAAAP&#10;AAAAAAAAAAAAAAAAAAcCAABkcnMvZG93bnJldi54bWxQSwUGAAAAAAMAAwC3AAAA+QIAAAAA&#10;">
                  <v:imagedata r:id="rId78" o:title=""/>
                  <o:lock v:ext="edit" aspectratio="f"/>
                </v:shape>
                <v:shape id="Chart 59" o:spid="_x0000_s1030" type="#_x0000_t75" style="position:absolute;left:46051;top:27792;width:45894;height:276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H92xAAAANsAAAAPAAAAZHJzL2Rvd25yZXYueG1sRI9BSwMx&#10;FITvgv8hPKE3m1XapV2bFhEL7alYBfX22Dw3i/teliRtt/++KQgeh5n5hlmsBu7UkUJsvRh4GBeg&#10;SGpvW2kMfLyv72egYkKx2HkhA2eKsFre3iywsv4kb3Tcp0ZliMQKDbiU+krrWDtijGPfk2TvxwfG&#10;lGVotA14ynDu9GNRlJqxlbzgsKcXR/Xv/sAGmvnrpOXzjIuSQ/npvr7X293WmNHd8PwEKtGQ/sN/&#10;7Y01MJ3D9Uv+AXp5AQAA//8DAFBLAQItABQABgAIAAAAIQDb4fbL7gAAAIUBAAATAAAAAAAAAAAA&#10;AAAAAAAAAABbQ29udGVudF9UeXBlc10ueG1sUEsBAi0AFAAGAAgAAAAhAFr0LFu/AAAAFQEAAAsA&#10;AAAAAAAAAAAAAAAAHwEAAF9yZWxzLy5yZWxzUEsBAi0AFAAGAAgAAAAhAE5gf3bEAAAA2wAAAA8A&#10;AAAAAAAAAAAAAAAABwIAAGRycy9kb3ducmV2LnhtbFBLBQYAAAAAAwADALcAAAD4AgAAAAA=&#10;">
                  <v:imagedata r:id="rId79" o:title=""/>
                  <o:lock v:ext="edit" aspectratio="f"/>
                </v:shape>
              </v:group>
            </w:pict>
          </mc:Fallback>
        </mc:AlternateContent>
      </w:r>
      <w:r w:rsidRPr="002526E9">
        <w:rPr>
          <w:rFonts w:eastAsiaTheme="minorHAnsi" w:cstheme="minorBidi"/>
          <w:b w:val="0"/>
          <w:szCs w:val="22"/>
          <w:lang w:eastAsia="en-US"/>
        </w:rPr>
        <w:br w:type="page"/>
      </w:r>
    </w:p>
    <w:p w14:paraId="12F14561" w14:textId="74845C6E" w:rsidR="002526E9" w:rsidRDefault="002526E9" w:rsidP="002526E9">
      <w:pPr>
        <w:spacing w:before="0" w:after="120" w:line="276" w:lineRule="auto"/>
        <w:ind w:firstLine="720"/>
        <w:contextualSpacing w:val="0"/>
        <w:rPr>
          <w:rFonts w:eastAsiaTheme="minorHAnsi" w:cstheme="minorBidi"/>
          <w:b w:val="0"/>
          <w:szCs w:val="22"/>
          <w:lang w:eastAsia="en-US"/>
        </w:rPr>
      </w:pPr>
      <w:r w:rsidRPr="002526E9">
        <w:rPr>
          <w:rFonts w:eastAsiaTheme="minorHAnsi" w:cstheme="minorBidi"/>
          <w:b w:val="0"/>
          <w:szCs w:val="22"/>
          <w:lang w:val="en-US" w:eastAsia="en-US"/>
        </w:rPr>
        <w:t>Հաշվի</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առնելով</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ՀՀ</w:t>
      </w:r>
      <w:r w:rsidRPr="002526E9">
        <w:rPr>
          <w:rFonts w:eastAsiaTheme="minorHAnsi" w:cstheme="minorBidi"/>
          <w:b w:val="0"/>
          <w:szCs w:val="22"/>
          <w:lang w:eastAsia="en-US"/>
        </w:rPr>
        <w:t xml:space="preserve"> </w:t>
      </w:r>
      <w:r w:rsidRPr="002526E9">
        <w:rPr>
          <w:rFonts w:eastAsiaTheme="minorHAnsi" w:cs="Sylfaen"/>
          <w:b w:val="0"/>
          <w:bCs/>
          <w:szCs w:val="22"/>
          <w:lang w:eastAsia="en-US"/>
        </w:rPr>
        <w:t>202</w:t>
      </w:r>
      <w:r w:rsidRPr="002526E9">
        <w:rPr>
          <w:rFonts w:eastAsiaTheme="minorHAnsi" w:cs="Sylfaen"/>
          <w:b w:val="0"/>
          <w:bCs/>
          <w:szCs w:val="22"/>
          <w:lang w:val="hy-AM" w:eastAsia="en-US"/>
        </w:rPr>
        <w:t>2</w:t>
      </w:r>
      <w:r w:rsidRPr="002526E9">
        <w:rPr>
          <w:rFonts w:eastAsiaTheme="minorHAnsi" w:cs="Sylfaen"/>
          <w:b w:val="0"/>
          <w:bCs/>
          <w:szCs w:val="22"/>
          <w:lang w:eastAsia="en-US"/>
        </w:rPr>
        <w:t xml:space="preserve"> </w:t>
      </w:r>
      <w:r w:rsidRPr="002526E9">
        <w:rPr>
          <w:rFonts w:eastAsiaTheme="minorHAnsi" w:cs="Sylfaen"/>
          <w:b w:val="0"/>
          <w:bCs/>
          <w:szCs w:val="22"/>
          <w:lang w:val="en-US" w:eastAsia="en-US"/>
        </w:rPr>
        <w:t>թվականի</w:t>
      </w:r>
      <w:r w:rsidRPr="002526E9">
        <w:rPr>
          <w:rFonts w:eastAsiaTheme="minorHAnsi" w:cs="Sylfaen"/>
          <w:b w:val="0"/>
          <w:bCs/>
          <w:szCs w:val="22"/>
          <w:lang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բյուջեի</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հիմքում</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դրված</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կանխատեսումները</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և</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պարտքի</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գծով</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ծրագրավորված</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գործառնությունները</w:t>
      </w:r>
      <w:r w:rsidRPr="002526E9">
        <w:rPr>
          <w:rFonts w:eastAsiaTheme="minorHAnsi" w:cstheme="minorBidi"/>
          <w:b w:val="0"/>
          <w:szCs w:val="22"/>
          <w:lang w:eastAsia="en-US"/>
        </w:rPr>
        <w:t xml:space="preserve">, </w:t>
      </w:r>
      <w:r w:rsidRPr="002526E9">
        <w:rPr>
          <w:rFonts w:eastAsiaTheme="minorHAnsi" w:cs="Sylfaen"/>
          <w:b w:val="0"/>
          <w:bCs/>
          <w:szCs w:val="22"/>
          <w:lang w:val="en-US" w:eastAsia="en-US"/>
        </w:rPr>
        <w:t>ՀՀ</w:t>
      </w:r>
      <w:r w:rsidRPr="002526E9">
        <w:rPr>
          <w:rFonts w:eastAsiaTheme="minorHAnsi" w:cs="Sylfaen"/>
          <w:b w:val="0"/>
          <w:bCs/>
          <w:szCs w:val="22"/>
          <w:lang w:eastAsia="en-US"/>
        </w:rPr>
        <w:t xml:space="preserve"> </w:t>
      </w:r>
      <w:r w:rsidRPr="002526E9">
        <w:rPr>
          <w:rFonts w:eastAsiaTheme="minorHAnsi" w:cs="Sylfaen"/>
          <w:b w:val="0"/>
          <w:bCs/>
          <w:szCs w:val="22"/>
          <w:lang w:val="en-US" w:eastAsia="en-US"/>
        </w:rPr>
        <w:t>կառավարության</w:t>
      </w:r>
      <w:r w:rsidRPr="002526E9">
        <w:rPr>
          <w:rFonts w:eastAsiaTheme="minorHAnsi" w:cs="Sylfaen"/>
          <w:b w:val="0"/>
          <w:bCs/>
          <w:szCs w:val="22"/>
          <w:lang w:eastAsia="en-US"/>
        </w:rPr>
        <w:t xml:space="preserve"> </w:t>
      </w:r>
      <w:r w:rsidRPr="002526E9">
        <w:rPr>
          <w:rFonts w:eastAsiaTheme="minorHAnsi" w:cs="Sylfaen"/>
          <w:b w:val="0"/>
          <w:bCs/>
          <w:szCs w:val="22"/>
          <w:lang w:val="en-US" w:eastAsia="en-US"/>
        </w:rPr>
        <w:t>պարտքի</w:t>
      </w:r>
      <w:r w:rsidRPr="002526E9">
        <w:rPr>
          <w:rFonts w:eastAsiaTheme="minorHAnsi" w:cs="Sylfaen"/>
          <w:b w:val="0"/>
          <w:bCs/>
          <w:szCs w:val="22"/>
          <w:lang w:eastAsia="en-US"/>
        </w:rPr>
        <w:t xml:space="preserve"> </w:t>
      </w:r>
      <w:r w:rsidRPr="002526E9">
        <w:rPr>
          <w:rFonts w:eastAsiaTheme="minorHAnsi" w:cs="Sylfaen"/>
          <w:b w:val="0"/>
          <w:bCs/>
          <w:szCs w:val="22"/>
          <w:lang w:val="en-US" w:eastAsia="en-US"/>
        </w:rPr>
        <w:t>կառավարման</w:t>
      </w:r>
      <w:r w:rsidRPr="002526E9">
        <w:rPr>
          <w:rFonts w:eastAsiaTheme="minorHAnsi" w:cs="Sylfaen"/>
          <w:b w:val="0"/>
          <w:bCs/>
          <w:szCs w:val="22"/>
          <w:lang w:eastAsia="en-US"/>
        </w:rPr>
        <w:t xml:space="preserve"> 202</w:t>
      </w:r>
      <w:r w:rsidRPr="002526E9">
        <w:rPr>
          <w:rFonts w:eastAsiaTheme="minorHAnsi" w:cs="Sylfaen"/>
          <w:b w:val="0"/>
          <w:bCs/>
          <w:szCs w:val="22"/>
          <w:lang w:val="hy-AM" w:eastAsia="en-US"/>
        </w:rPr>
        <w:t>2</w:t>
      </w:r>
      <w:r w:rsidRPr="002526E9">
        <w:rPr>
          <w:rFonts w:eastAsiaTheme="minorHAnsi" w:cs="Sylfaen"/>
          <w:b w:val="0"/>
          <w:bCs/>
          <w:szCs w:val="22"/>
          <w:lang w:eastAsia="en-US"/>
        </w:rPr>
        <w:t>-202</w:t>
      </w:r>
      <w:r w:rsidRPr="002526E9">
        <w:rPr>
          <w:rFonts w:eastAsiaTheme="minorHAnsi" w:cs="Sylfaen"/>
          <w:b w:val="0"/>
          <w:bCs/>
          <w:szCs w:val="22"/>
          <w:lang w:val="hy-AM" w:eastAsia="en-US"/>
        </w:rPr>
        <w:t>4</w:t>
      </w:r>
      <w:r w:rsidRPr="002526E9">
        <w:rPr>
          <w:rFonts w:eastAsiaTheme="minorHAnsi" w:cs="Sylfaen"/>
          <w:b w:val="0"/>
          <w:bCs/>
          <w:szCs w:val="22"/>
          <w:lang w:eastAsia="en-US"/>
        </w:rPr>
        <w:t xml:space="preserve"> </w:t>
      </w:r>
      <w:r w:rsidRPr="002526E9">
        <w:rPr>
          <w:rFonts w:eastAsiaTheme="minorHAnsi" w:cs="Sylfaen"/>
          <w:b w:val="0"/>
          <w:bCs/>
          <w:szCs w:val="22"/>
          <w:lang w:val="en-US" w:eastAsia="en-US"/>
        </w:rPr>
        <w:t>թվականների</w:t>
      </w:r>
      <w:r w:rsidRPr="002526E9">
        <w:rPr>
          <w:rFonts w:eastAsiaTheme="minorHAnsi" w:cs="Sylfaen"/>
          <w:b w:val="0"/>
          <w:bCs/>
          <w:szCs w:val="22"/>
          <w:lang w:eastAsia="en-US"/>
        </w:rPr>
        <w:t xml:space="preserve"> </w:t>
      </w:r>
      <w:r w:rsidRPr="002526E9">
        <w:rPr>
          <w:rFonts w:eastAsiaTheme="minorHAnsi" w:cstheme="minorBidi"/>
          <w:b w:val="0"/>
          <w:szCs w:val="22"/>
          <w:lang w:val="en-US" w:eastAsia="en-US"/>
        </w:rPr>
        <w:t>ռազմավարական</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ծրագրով</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ամրագրված</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ուղենշային</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ցուցանիշները</w:t>
      </w:r>
      <w:r w:rsidRPr="002526E9">
        <w:rPr>
          <w:rFonts w:eastAsiaTheme="minorHAnsi" w:cstheme="minorBidi"/>
          <w:b w:val="0"/>
          <w:szCs w:val="22"/>
          <w:lang w:eastAsia="en-US"/>
        </w:rPr>
        <w:t xml:space="preserve"> 202</w:t>
      </w:r>
      <w:r w:rsidRPr="002526E9">
        <w:rPr>
          <w:rFonts w:eastAsiaTheme="minorHAnsi" w:cstheme="minorBidi"/>
          <w:b w:val="0"/>
          <w:szCs w:val="22"/>
          <w:lang w:val="hy-AM" w:eastAsia="en-US"/>
        </w:rPr>
        <w:t>2</w:t>
      </w:r>
      <w:r w:rsidRPr="002526E9">
        <w:rPr>
          <w:rFonts w:eastAsiaTheme="minorHAnsi" w:cstheme="minorBidi"/>
          <w:b w:val="0"/>
          <w:szCs w:val="22"/>
          <w:lang w:val="en-US" w:eastAsia="en-US"/>
        </w:rPr>
        <w:t>թ</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տարեվերջի</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դրությամբ</w:t>
      </w:r>
      <w:r w:rsidRPr="002526E9">
        <w:rPr>
          <w:rFonts w:eastAsiaTheme="minorHAnsi" w:cstheme="minorBidi"/>
          <w:b w:val="0"/>
          <w:szCs w:val="22"/>
          <w:lang w:eastAsia="en-US"/>
        </w:rPr>
        <w:t xml:space="preserve"> </w:t>
      </w:r>
      <w:r w:rsidRPr="002526E9">
        <w:rPr>
          <w:rFonts w:eastAsiaTheme="minorHAnsi" w:cstheme="minorBidi"/>
          <w:b w:val="0"/>
          <w:szCs w:val="22"/>
          <w:lang w:val="en-US" w:eastAsia="en-US"/>
        </w:rPr>
        <w:t>կկազմեն</w:t>
      </w:r>
      <w:r w:rsidRPr="002526E9">
        <w:rPr>
          <w:rFonts w:eastAsiaTheme="minorHAnsi" w:cstheme="minorBidi"/>
          <w:b w:val="0"/>
          <w:szCs w:val="22"/>
          <w:lang w:eastAsia="en-US"/>
        </w:rPr>
        <w:t>.</w:t>
      </w:r>
    </w:p>
    <w:p w14:paraId="14DADD60" w14:textId="77777777" w:rsidR="002526E9" w:rsidRPr="002526E9" w:rsidRDefault="002526E9" w:rsidP="002526E9">
      <w:pPr>
        <w:spacing w:before="0" w:after="120" w:line="276" w:lineRule="auto"/>
        <w:ind w:firstLine="720"/>
        <w:contextualSpacing w:val="0"/>
        <w:rPr>
          <w:rFonts w:eastAsiaTheme="minorHAnsi" w:cstheme="minorBidi"/>
          <w:b w:val="0"/>
          <w:szCs w:val="22"/>
          <w:lang w:eastAsia="en-US"/>
        </w:rPr>
      </w:pPr>
    </w:p>
    <w:tbl>
      <w:tblPr>
        <w:tblStyle w:val="LightList-Accent122"/>
        <w:tblW w:w="0" w:type="auto"/>
        <w:tblLayout w:type="fixed"/>
        <w:tblLook w:val="01E0" w:firstRow="1" w:lastRow="1" w:firstColumn="1" w:lastColumn="1" w:noHBand="0" w:noVBand="0"/>
      </w:tblPr>
      <w:tblGrid>
        <w:gridCol w:w="6948"/>
        <w:gridCol w:w="1800"/>
        <w:gridCol w:w="1710"/>
      </w:tblGrid>
      <w:tr w:rsidR="002526E9" w:rsidRPr="002526E9" w14:paraId="43146261" w14:textId="77777777" w:rsidTr="002526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4CFF4BC4" w14:textId="77777777" w:rsidR="002526E9" w:rsidRPr="002526E9" w:rsidRDefault="002526E9" w:rsidP="002526E9">
            <w:pPr>
              <w:spacing w:before="0" w:line="276" w:lineRule="auto"/>
              <w:ind w:firstLine="0"/>
              <w:contextualSpacing w:val="0"/>
              <w:rPr>
                <w:b/>
                <w:szCs w:val="22"/>
                <w:lang w:val="es-ES" w:eastAsia="en-US"/>
              </w:rPr>
            </w:pP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790A7A83" w14:textId="77777777" w:rsidR="002526E9" w:rsidRPr="002526E9" w:rsidRDefault="002526E9" w:rsidP="002526E9">
            <w:pPr>
              <w:spacing w:before="0" w:line="276" w:lineRule="auto"/>
              <w:ind w:firstLine="0"/>
              <w:contextualSpacing w:val="0"/>
              <w:jc w:val="center"/>
              <w:rPr>
                <w:b/>
                <w:szCs w:val="22"/>
                <w:lang w:val="es-ES" w:eastAsia="en-US"/>
              </w:rPr>
            </w:pPr>
            <w:r w:rsidRPr="002526E9">
              <w:rPr>
                <w:rFonts w:cs="Times Unicode"/>
                <w:b/>
                <w:szCs w:val="22"/>
                <w:lang w:val="en-US" w:eastAsia="en-US"/>
              </w:rPr>
              <w:t>Ուղենիշ</w:t>
            </w: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220AEB67" w14:textId="77777777" w:rsidR="002526E9" w:rsidRPr="002526E9" w:rsidRDefault="002526E9" w:rsidP="002526E9">
            <w:pPr>
              <w:spacing w:before="0" w:line="276" w:lineRule="auto"/>
              <w:ind w:firstLine="0"/>
              <w:contextualSpacing w:val="0"/>
              <w:jc w:val="center"/>
              <w:rPr>
                <w:rFonts w:cs="Sylfaen"/>
                <w:b/>
                <w:szCs w:val="22"/>
                <w:lang w:val="en-US" w:eastAsia="en-US"/>
              </w:rPr>
            </w:pPr>
            <w:r w:rsidRPr="002526E9">
              <w:rPr>
                <w:rFonts w:cs="Sylfaen"/>
                <w:b/>
                <w:szCs w:val="22"/>
                <w:lang w:val="en-US" w:eastAsia="en-US"/>
              </w:rPr>
              <w:t>202</w:t>
            </w:r>
            <w:r w:rsidRPr="002526E9">
              <w:rPr>
                <w:rFonts w:cs="Sylfaen"/>
                <w:b/>
                <w:szCs w:val="22"/>
                <w:lang w:val="hy-AM" w:eastAsia="en-US"/>
              </w:rPr>
              <w:t>2</w:t>
            </w:r>
            <w:r w:rsidRPr="002526E9">
              <w:rPr>
                <w:rFonts w:cs="Sylfaen"/>
                <w:b/>
                <w:szCs w:val="22"/>
                <w:lang w:val="en-US" w:eastAsia="en-US"/>
              </w:rPr>
              <w:t>թ.</w:t>
            </w:r>
          </w:p>
          <w:p w14:paraId="17F592FB" w14:textId="77777777" w:rsidR="002526E9" w:rsidRPr="002526E9" w:rsidRDefault="002526E9" w:rsidP="002526E9">
            <w:pPr>
              <w:spacing w:before="0" w:line="276" w:lineRule="auto"/>
              <w:ind w:firstLine="0"/>
              <w:contextualSpacing w:val="0"/>
              <w:jc w:val="center"/>
              <w:rPr>
                <w:rFonts w:cs="Sylfaen"/>
                <w:b/>
                <w:szCs w:val="22"/>
                <w:lang w:val="en-US" w:eastAsia="en-US"/>
              </w:rPr>
            </w:pPr>
            <w:r w:rsidRPr="002526E9">
              <w:rPr>
                <w:rFonts w:cs="Sylfaen"/>
                <w:b/>
                <w:szCs w:val="22"/>
                <w:lang w:val="en-US" w:eastAsia="en-US"/>
              </w:rPr>
              <w:t>(կանխ.)</w:t>
            </w:r>
          </w:p>
        </w:tc>
      </w:tr>
      <w:tr w:rsidR="002526E9" w:rsidRPr="002526E9" w14:paraId="40C30650" w14:textId="77777777" w:rsidTr="0025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000EE9C0" w14:textId="77777777" w:rsidR="002526E9" w:rsidRPr="002526E9" w:rsidRDefault="002526E9" w:rsidP="002526E9">
            <w:pPr>
              <w:spacing w:before="0" w:line="276" w:lineRule="auto"/>
              <w:ind w:firstLine="0"/>
              <w:contextualSpacing w:val="0"/>
              <w:jc w:val="left"/>
              <w:rPr>
                <w:rFonts w:cs="Times Unicode"/>
                <w:b/>
                <w:szCs w:val="22"/>
                <w:lang w:val="es-ES" w:eastAsia="en-US"/>
              </w:rPr>
            </w:pPr>
            <w:r w:rsidRPr="002526E9">
              <w:rPr>
                <w:rFonts w:cs="Times Unicode"/>
                <w:szCs w:val="22"/>
                <w:lang w:val="es-ES" w:eastAsia="en-US"/>
              </w:rPr>
              <w:t>Վերաֆինանսավորման ռիսկ</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tcPr>
          <w:p w14:paraId="572A1B4D" w14:textId="77777777" w:rsidR="002526E9" w:rsidRPr="002526E9" w:rsidRDefault="002526E9" w:rsidP="002526E9">
            <w:pPr>
              <w:spacing w:before="0" w:line="276" w:lineRule="auto"/>
              <w:ind w:firstLine="0"/>
              <w:contextualSpacing w:val="0"/>
              <w:jc w:val="center"/>
              <w:rPr>
                <w:szCs w:val="22"/>
                <w:lang w:val="es-ES" w:eastAsia="en-US"/>
              </w:rPr>
            </w:pP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tcPr>
          <w:p w14:paraId="05664DCB" w14:textId="77777777" w:rsidR="002526E9" w:rsidRPr="002526E9" w:rsidRDefault="002526E9" w:rsidP="002526E9">
            <w:pPr>
              <w:spacing w:before="0" w:line="276" w:lineRule="auto"/>
              <w:ind w:firstLine="0"/>
              <w:contextualSpacing w:val="0"/>
              <w:jc w:val="center"/>
              <w:rPr>
                <w:szCs w:val="22"/>
                <w:lang w:val="es-ES" w:eastAsia="en-US"/>
              </w:rPr>
            </w:pPr>
          </w:p>
        </w:tc>
      </w:tr>
      <w:tr w:rsidR="002526E9" w:rsidRPr="002526E9" w14:paraId="49D0F31E" w14:textId="77777777" w:rsidTr="002526E9">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14D6134A" w14:textId="77777777" w:rsidR="002526E9" w:rsidRPr="002526E9" w:rsidRDefault="002526E9" w:rsidP="002526E9">
            <w:pPr>
              <w:spacing w:before="0" w:line="276" w:lineRule="auto"/>
              <w:ind w:left="258" w:firstLine="0"/>
              <w:contextualSpacing w:val="0"/>
              <w:jc w:val="left"/>
              <w:rPr>
                <w:rFonts w:cs="Times Unicode"/>
                <w:szCs w:val="22"/>
                <w:lang w:val="es-ES" w:eastAsia="en-US"/>
              </w:rPr>
            </w:pPr>
            <w:r w:rsidRPr="002526E9">
              <w:rPr>
                <w:rFonts w:cs="Times Unicode"/>
                <w:szCs w:val="22"/>
                <w:lang w:val="en-US" w:eastAsia="en-US"/>
              </w:rPr>
              <w:t>Մինչև</w:t>
            </w:r>
            <w:r w:rsidRPr="002526E9">
              <w:rPr>
                <w:rFonts w:cs="Times Unicode"/>
                <w:szCs w:val="22"/>
                <w:lang w:val="es-ES" w:eastAsia="en-US"/>
              </w:rPr>
              <w:t xml:space="preserve"> </w:t>
            </w:r>
            <w:r w:rsidRPr="002526E9">
              <w:rPr>
                <w:rFonts w:cs="Times Unicode"/>
                <w:szCs w:val="22"/>
                <w:lang w:val="en-US" w:eastAsia="en-US"/>
              </w:rPr>
              <w:t>մարում</w:t>
            </w:r>
            <w:r w:rsidRPr="002526E9">
              <w:rPr>
                <w:rFonts w:cs="Times Unicode"/>
                <w:szCs w:val="22"/>
                <w:lang w:val="es-ES" w:eastAsia="en-US"/>
              </w:rPr>
              <w:t xml:space="preserve"> </w:t>
            </w:r>
            <w:r w:rsidRPr="002526E9">
              <w:rPr>
                <w:rFonts w:cs="Times Unicode"/>
                <w:szCs w:val="22"/>
                <w:lang w:val="en-US" w:eastAsia="en-US"/>
              </w:rPr>
              <w:t>միջին</w:t>
            </w:r>
            <w:r w:rsidRPr="002526E9">
              <w:rPr>
                <w:rFonts w:cs="Times Unicode"/>
                <w:szCs w:val="22"/>
                <w:lang w:val="es-ES" w:eastAsia="en-US"/>
              </w:rPr>
              <w:t xml:space="preserve"> </w:t>
            </w:r>
            <w:r w:rsidRPr="002526E9">
              <w:rPr>
                <w:rFonts w:cs="Times Unicode"/>
                <w:szCs w:val="22"/>
                <w:lang w:val="en-US" w:eastAsia="en-US"/>
              </w:rPr>
              <w:t>ժամկետը</w:t>
            </w:r>
            <w:r w:rsidRPr="002526E9">
              <w:rPr>
                <w:rFonts w:cs="Times Unicode"/>
                <w:szCs w:val="22"/>
                <w:lang w:val="es-ES" w:eastAsia="en-US"/>
              </w:rPr>
              <w:t xml:space="preserve"> </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73AECAC2" w14:textId="77777777" w:rsidR="002526E9" w:rsidRPr="002526E9" w:rsidRDefault="002526E9" w:rsidP="002526E9">
            <w:pPr>
              <w:spacing w:before="0" w:line="276" w:lineRule="auto"/>
              <w:ind w:firstLine="0"/>
              <w:contextualSpacing w:val="0"/>
              <w:jc w:val="center"/>
              <w:rPr>
                <w:b w:val="0"/>
                <w:szCs w:val="22"/>
                <w:lang w:val="es-ES" w:eastAsia="en-US"/>
              </w:rPr>
            </w:pPr>
            <w:r w:rsidRPr="002526E9">
              <w:rPr>
                <w:b w:val="0"/>
                <w:szCs w:val="22"/>
                <w:lang w:val="es-ES" w:eastAsia="en-US"/>
              </w:rPr>
              <w:t xml:space="preserve">8 – 11 </w:t>
            </w:r>
            <w:r w:rsidRPr="002526E9">
              <w:rPr>
                <w:b w:val="0"/>
                <w:szCs w:val="22"/>
                <w:lang w:val="en-US" w:eastAsia="en-US"/>
              </w:rPr>
              <w:t>տարի</w:t>
            </w: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13A55C41" w14:textId="77777777" w:rsidR="002526E9" w:rsidRPr="002526E9" w:rsidRDefault="002526E9" w:rsidP="002526E9">
            <w:pPr>
              <w:spacing w:before="0" w:line="276" w:lineRule="auto"/>
              <w:ind w:firstLine="0"/>
              <w:contextualSpacing w:val="0"/>
              <w:jc w:val="center"/>
              <w:rPr>
                <w:szCs w:val="22"/>
                <w:lang w:val="es-ES" w:eastAsia="en-US"/>
              </w:rPr>
            </w:pPr>
            <w:r w:rsidRPr="002526E9">
              <w:rPr>
                <w:szCs w:val="22"/>
                <w:lang w:val="hy-AM" w:eastAsia="en-US"/>
              </w:rPr>
              <w:t>8</w:t>
            </w:r>
            <w:r w:rsidRPr="002526E9">
              <w:rPr>
                <w:szCs w:val="22"/>
                <w:lang w:val="es-ES" w:eastAsia="en-US"/>
              </w:rPr>
              <w:t xml:space="preserve"> տարի</w:t>
            </w:r>
          </w:p>
        </w:tc>
      </w:tr>
      <w:tr w:rsidR="002526E9" w:rsidRPr="002526E9" w14:paraId="466EC7AF" w14:textId="77777777" w:rsidTr="0025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700BA701" w14:textId="77777777" w:rsidR="002526E9" w:rsidRPr="002526E9" w:rsidRDefault="002526E9" w:rsidP="002526E9">
            <w:pPr>
              <w:spacing w:before="0" w:line="276" w:lineRule="auto"/>
              <w:ind w:left="258" w:firstLine="0"/>
              <w:contextualSpacing w:val="0"/>
              <w:jc w:val="left"/>
              <w:rPr>
                <w:rFonts w:cs="Times Unicode"/>
                <w:szCs w:val="22"/>
                <w:lang w:val="es-ES" w:eastAsia="en-US"/>
              </w:rPr>
            </w:pPr>
            <w:r w:rsidRPr="002526E9">
              <w:rPr>
                <w:rFonts w:cs="Times Unicode"/>
                <w:szCs w:val="22"/>
                <w:lang w:val="en-US" w:eastAsia="en-US"/>
              </w:rPr>
              <w:t>Առաջիկա</w:t>
            </w:r>
            <w:r w:rsidRPr="002526E9">
              <w:rPr>
                <w:rFonts w:cs="Times Unicode"/>
                <w:szCs w:val="22"/>
                <w:lang w:val="es-ES" w:eastAsia="en-US"/>
              </w:rPr>
              <w:t xml:space="preserve"> </w:t>
            </w:r>
            <w:r w:rsidRPr="002526E9">
              <w:rPr>
                <w:rFonts w:cs="Times Unicode"/>
                <w:szCs w:val="22"/>
                <w:lang w:val="en-US" w:eastAsia="en-US"/>
              </w:rPr>
              <w:t>տարվա</w:t>
            </w:r>
            <w:r w:rsidRPr="002526E9">
              <w:rPr>
                <w:rFonts w:cs="Times Unicode"/>
                <w:szCs w:val="22"/>
                <w:lang w:val="es-ES" w:eastAsia="en-US"/>
              </w:rPr>
              <w:t xml:space="preserve"> </w:t>
            </w:r>
            <w:r w:rsidRPr="002526E9">
              <w:rPr>
                <w:rFonts w:cs="Times Unicode"/>
                <w:szCs w:val="22"/>
                <w:lang w:val="en-US" w:eastAsia="en-US"/>
              </w:rPr>
              <w:t>ընթացքում</w:t>
            </w:r>
            <w:r w:rsidRPr="002526E9">
              <w:rPr>
                <w:rFonts w:cs="Times Unicode"/>
                <w:szCs w:val="22"/>
                <w:lang w:val="es-ES" w:eastAsia="en-US"/>
              </w:rPr>
              <w:t xml:space="preserve"> </w:t>
            </w:r>
            <w:r w:rsidRPr="002526E9">
              <w:rPr>
                <w:rFonts w:cs="Times Unicode"/>
                <w:szCs w:val="22"/>
                <w:lang w:val="en-US" w:eastAsia="en-US"/>
              </w:rPr>
              <w:t>մարվող</w:t>
            </w:r>
            <w:r w:rsidRPr="002526E9">
              <w:rPr>
                <w:rFonts w:cs="Times Unicode"/>
                <w:szCs w:val="22"/>
                <w:lang w:val="es-ES" w:eastAsia="en-US"/>
              </w:rPr>
              <w:t xml:space="preserve"> </w:t>
            </w:r>
            <w:r w:rsidRPr="002526E9">
              <w:rPr>
                <w:rFonts w:cs="Times Unicode"/>
                <w:szCs w:val="22"/>
                <w:lang w:val="en-US" w:eastAsia="en-US"/>
              </w:rPr>
              <w:t>պետական</w:t>
            </w:r>
            <w:r w:rsidRPr="002526E9">
              <w:rPr>
                <w:rFonts w:cs="Times Unicode"/>
                <w:szCs w:val="22"/>
                <w:lang w:val="es-ES" w:eastAsia="en-US"/>
              </w:rPr>
              <w:t xml:space="preserve"> </w:t>
            </w:r>
            <w:r w:rsidRPr="002526E9">
              <w:rPr>
                <w:rFonts w:cs="Times Unicode"/>
                <w:szCs w:val="22"/>
                <w:lang w:val="en-US" w:eastAsia="en-US"/>
              </w:rPr>
              <w:t>գանձապետական</w:t>
            </w:r>
            <w:r w:rsidRPr="002526E9">
              <w:rPr>
                <w:rFonts w:cs="Times Unicode"/>
                <w:szCs w:val="22"/>
                <w:lang w:val="es-ES" w:eastAsia="en-US"/>
              </w:rPr>
              <w:t xml:space="preserve"> </w:t>
            </w:r>
            <w:r w:rsidRPr="002526E9">
              <w:rPr>
                <w:rFonts w:cs="Times Unicode"/>
                <w:szCs w:val="22"/>
                <w:lang w:val="en-US" w:eastAsia="en-US"/>
              </w:rPr>
              <w:t>պարտատոմսերի</w:t>
            </w:r>
            <w:r w:rsidRPr="002526E9">
              <w:rPr>
                <w:rFonts w:cs="Times Unicode"/>
                <w:szCs w:val="22"/>
                <w:lang w:val="es-ES" w:eastAsia="en-US"/>
              </w:rPr>
              <w:t xml:space="preserve"> (</w:t>
            </w:r>
            <w:r w:rsidRPr="002526E9">
              <w:rPr>
                <w:rFonts w:cs="Times Unicode"/>
                <w:szCs w:val="22"/>
                <w:lang w:val="en-US" w:eastAsia="en-US"/>
              </w:rPr>
              <w:t>ՊԳՊ</w:t>
            </w:r>
            <w:r w:rsidRPr="002526E9">
              <w:rPr>
                <w:rFonts w:cs="Times Unicode"/>
                <w:szCs w:val="22"/>
                <w:lang w:val="es-ES" w:eastAsia="en-US"/>
              </w:rPr>
              <w:t xml:space="preserve">) </w:t>
            </w:r>
            <w:r w:rsidRPr="002526E9">
              <w:rPr>
                <w:rFonts w:cs="Times Unicode"/>
                <w:szCs w:val="22"/>
                <w:lang w:val="en-US" w:eastAsia="en-US"/>
              </w:rPr>
              <w:t>առավելագույն</w:t>
            </w:r>
            <w:r w:rsidRPr="002526E9">
              <w:rPr>
                <w:rFonts w:cs="Times Unicode"/>
                <w:szCs w:val="22"/>
                <w:lang w:val="es-ES" w:eastAsia="en-US"/>
              </w:rPr>
              <w:t xml:space="preserve"> </w:t>
            </w:r>
            <w:r w:rsidRPr="002526E9">
              <w:rPr>
                <w:rFonts w:cs="Times Unicode"/>
                <w:szCs w:val="22"/>
                <w:lang w:val="en-US" w:eastAsia="en-US"/>
              </w:rPr>
              <w:t>կշիռը</w:t>
            </w:r>
            <w:r w:rsidRPr="002526E9">
              <w:rPr>
                <w:rFonts w:cs="Times Unicode"/>
                <w:szCs w:val="22"/>
                <w:lang w:val="es-ES" w:eastAsia="en-US"/>
              </w:rPr>
              <w:t xml:space="preserve"> </w:t>
            </w:r>
            <w:r w:rsidRPr="002526E9">
              <w:rPr>
                <w:rFonts w:cs="Times Unicode"/>
                <w:szCs w:val="22"/>
                <w:lang w:val="en-US" w:eastAsia="en-US"/>
              </w:rPr>
              <w:t>ՊԳՊ</w:t>
            </w:r>
            <w:r w:rsidRPr="002526E9">
              <w:rPr>
                <w:rFonts w:cs="Times Unicode"/>
                <w:szCs w:val="22"/>
                <w:lang w:val="es-ES" w:eastAsia="en-US"/>
              </w:rPr>
              <w:t>-</w:t>
            </w:r>
            <w:r w:rsidRPr="002526E9">
              <w:rPr>
                <w:rFonts w:cs="Times Unicode"/>
                <w:szCs w:val="22"/>
                <w:lang w:val="en-US" w:eastAsia="en-US"/>
              </w:rPr>
              <w:t>երի</w:t>
            </w:r>
            <w:r w:rsidRPr="002526E9">
              <w:rPr>
                <w:rFonts w:cs="Times Unicode"/>
                <w:szCs w:val="22"/>
                <w:lang w:val="es-ES" w:eastAsia="en-US"/>
              </w:rPr>
              <w:t xml:space="preserve"> </w:t>
            </w:r>
            <w:r w:rsidRPr="002526E9">
              <w:rPr>
                <w:rFonts w:cs="Times Unicode"/>
                <w:szCs w:val="22"/>
                <w:lang w:val="en-US" w:eastAsia="en-US"/>
              </w:rPr>
              <w:t>ծավալի</w:t>
            </w:r>
            <w:r w:rsidRPr="002526E9">
              <w:rPr>
                <w:rFonts w:cs="Times Unicode"/>
                <w:szCs w:val="22"/>
                <w:lang w:val="es-ES" w:eastAsia="en-US"/>
              </w:rPr>
              <w:t xml:space="preserve"> </w:t>
            </w:r>
            <w:r w:rsidRPr="002526E9">
              <w:rPr>
                <w:rFonts w:cs="Times Unicode"/>
                <w:szCs w:val="22"/>
                <w:lang w:val="en-US" w:eastAsia="en-US"/>
              </w:rPr>
              <w:t>մեջ</w:t>
            </w:r>
            <w:r w:rsidRPr="002526E9">
              <w:rPr>
                <w:rFonts w:cs="Times Unicode"/>
                <w:szCs w:val="22"/>
                <w:lang w:val="es-ES" w:eastAsia="en-US"/>
              </w:rPr>
              <w:t xml:space="preserve"> (</w:t>
            </w:r>
            <w:r w:rsidRPr="002526E9">
              <w:rPr>
                <w:rFonts w:cs="Times Unicode"/>
                <w:szCs w:val="22"/>
                <w:lang w:val="en-US" w:eastAsia="en-US"/>
              </w:rPr>
              <w:t>տարեվերջին</w:t>
            </w:r>
            <w:r w:rsidRPr="002526E9">
              <w:rPr>
                <w:rFonts w:cs="Times Unicode"/>
                <w:szCs w:val="22"/>
                <w:lang w:val="es-ES" w:eastAsia="en-US"/>
              </w:rPr>
              <w:t>)</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0A12BACA" w14:textId="77777777" w:rsidR="002526E9" w:rsidRPr="002526E9" w:rsidRDefault="002526E9" w:rsidP="002526E9">
            <w:pPr>
              <w:spacing w:before="0" w:line="276" w:lineRule="auto"/>
              <w:ind w:firstLine="0"/>
              <w:contextualSpacing w:val="0"/>
              <w:jc w:val="center"/>
              <w:rPr>
                <w:b w:val="0"/>
                <w:szCs w:val="22"/>
                <w:lang w:val="en-US" w:eastAsia="en-US"/>
              </w:rPr>
            </w:pPr>
            <w:r w:rsidRPr="002526E9">
              <w:rPr>
                <w:b w:val="0"/>
                <w:szCs w:val="22"/>
                <w:lang w:val="en-US" w:eastAsia="en-US"/>
              </w:rPr>
              <w:t>առավելագույնը</w:t>
            </w:r>
          </w:p>
          <w:p w14:paraId="0B94A0BE" w14:textId="77777777" w:rsidR="002526E9" w:rsidRPr="002526E9" w:rsidRDefault="002526E9" w:rsidP="002526E9">
            <w:pPr>
              <w:spacing w:before="0" w:line="276" w:lineRule="auto"/>
              <w:ind w:firstLine="0"/>
              <w:contextualSpacing w:val="0"/>
              <w:jc w:val="center"/>
              <w:rPr>
                <w:b w:val="0"/>
                <w:szCs w:val="22"/>
                <w:lang w:val="en-US" w:eastAsia="en-US"/>
              </w:rPr>
            </w:pPr>
            <w:r w:rsidRPr="002526E9">
              <w:rPr>
                <w:b w:val="0"/>
                <w:szCs w:val="22"/>
                <w:lang w:val="en-US" w:eastAsia="en-US"/>
              </w:rPr>
              <w:t>20%</w:t>
            </w: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5FE745D4" w14:textId="77777777" w:rsidR="002526E9" w:rsidRPr="002526E9" w:rsidRDefault="002526E9" w:rsidP="002526E9">
            <w:pPr>
              <w:spacing w:before="0" w:line="276" w:lineRule="auto"/>
              <w:ind w:firstLine="0"/>
              <w:contextualSpacing w:val="0"/>
              <w:jc w:val="center"/>
              <w:rPr>
                <w:szCs w:val="22"/>
                <w:lang w:val="en-US" w:eastAsia="en-US"/>
              </w:rPr>
            </w:pPr>
            <w:r w:rsidRPr="002526E9">
              <w:rPr>
                <w:szCs w:val="22"/>
                <w:lang w:val="hy-AM" w:eastAsia="en-US"/>
              </w:rPr>
              <w:t>10.3</w:t>
            </w:r>
            <w:r w:rsidRPr="002526E9">
              <w:rPr>
                <w:szCs w:val="22"/>
                <w:lang w:val="en-US" w:eastAsia="en-US"/>
              </w:rPr>
              <w:t>%</w:t>
            </w:r>
          </w:p>
        </w:tc>
      </w:tr>
      <w:tr w:rsidR="002526E9" w:rsidRPr="002526E9" w14:paraId="561E84D5" w14:textId="77777777" w:rsidTr="002526E9">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22EF4D1B" w14:textId="77777777" w:rsidR="002526E9" w:rsidRPr="002526E9" w:rsidRDefault="002526E9" w:rsidP="002526E9">
            <w:pPr>
              <w:spacing w:before="0" w:line="276" w:lineRule="auto"/>
              <w:ind w:firstLine="0"/>
              <w:contextualSpacing w:val="0"/>
              <w:jc w:val="left"/>
              <w:rPr>
                <w:rFonts w:cs="Times Unicode"/>
                <w:b/>
                <w:szCs w:val="22"/>
                <w:lang w:val="es-ES" w:eastAsia="en-US"/>
              </w:rPr>
            </w:pPr>
            <w:r w:rsidRPr="002526E9">
              <w:rPr>
                <w:rFonts w:cs="Times Unicode"/>
                <w:szCs w:val="22"/>
                <w:lang w:val="es-ES" w:eastAsia="en-US"/>
              </w:rPr>
              <w:t>Տոկոսադրույքի ռիսկ</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516DD80E" w14:textId="77777777" w:rsidR="002526E9" w:rsidRPr="002526E9" w:rsidRDefault="002526E9" w:rsidP="002526E9">
            <w:pPr>
              <w:spacing w:before="0" w:line="276" w:lineRule="auto"/>
              <w:ind w:firstLine="0"/>
              <w:contextualSpacing w:val="0"/>
              <w:jc w:val="center"/>
              <w:rPr>
                <w:b w:val="0"/>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7E06635B" w14:textId="77777777" w:rsidR="002526E9" w:rsidRPr="002526E9" w:rsidRDefault="002526E9" w:rsidP="002526E9">
            <w:pPr>
              <w:spacing w:before="0" w:line="276" w:lineRule="auto"/>
              <w:ind w:firstLine="0"/>
              <w:contextualSpacing w:val="0"/>
              <w:jc w:val="center"/>
              <w:rPr>
                <w:szCs w:val="22"/>
                <w:lang w:val="en-US" w:eastAsia="en-US"/>
              </w:rPr>
            </w:pPr>
          </w:p>
        </w:tc>
      </w:tr>
      <w:tr w:rsidR="002526E9" w:rsidRPr="002526E9" w14:paraId="0CDCE912" w14:textId="77777777" w:rsidTr="0025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6BDAB312" w14:textId="77777777" w:rsidR="002526E9" w:rsidRPr="002526E9" w:rsidRDefault="002526E9" w:rsidP="002526E9">
            <w:pPr>
              <w:spacing w:before="0" w:line="276" w:lineRule="auto"/>
              <w:ind w:left="258" w:firstLine="0"/>
              <w:contextualSpacing w:val="0"/>
              <w:jc w:val="left"/>
              <w:rPr>
                <w:rFonts w:cs="Times Unicode"/>
                <w:szCs w:val="22"/>
                <w:lang w:val="es-ES" w:eastAsia="en-US"/>
              </w:rPr>
            </w:pPr>
            <w:r w:rsidRPr="002526E9">
              <w:rPr>
                <w:rFonts w:cs="Times Unicode"/>
                <w:szCs w:val="22"/>
                <w:lang w:val="es-ES" w:eastAsia="en-US"/>
              </w:rPr>
              <w:t>Ֆիքսված տոկոսադրույքով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4014B59F" w14:textId="77777777" w:rsidR="002526E9" w:rsidRPr="002526E9" w:rsidRDefault="002526E9" w:rsidP="002526E9">
            <w:pPr>
              <w:spacing w:before="0" w:line="276" w:lineRule="auto"/>
              <w:ind w:firstLine="0"/>
              <w:contextualSpacing w:val="0"/>
              <w:jc w:val="center"/>
              <w:rPr>
                <w:b w:val="0"/>
                <w:szCs w:val="22"/>
                <w:lang w:val="en-US" w:eastAsia="en-US"/>
              </w:rPr>
            </w:pPr>
            <w:r w:rsidRPr="002526E9">
              <w:rPr>
                <w:b w:val="0"/>
                <w:szCs w:val="22"/>
                <w:lang w:val="en-US" w:eastAsia="en-US"/>
              </w:rPr>
              <w:t>առնվազն 80%</w:t>
            </w: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758866CE" w14:textId="77777777" w:rsidR="002526E9" w:rsidRPr="002526E9" w:rsidRDefault="002526E9" w:rsidP="002526E9">
            <w:pPr>
              <w:spacing w:before="0" w:line="276" w:lineRule="auto"/>
              <w:ind w:firstLine="0"/>
              <w:contextualSpacing w:val="0"/>
              <w:jc w:val="center"/>
              <w:rPr>
                <w:szCs w:val="22"/>
                <w:lang w:val="hy-AM" w:eastAsia="en-US"/>
              </w:rPr>
            </w:pPr>
            <w:r w:rsidRPr="002526E9">
              <w:rPr>
                <w:szCs w:val="22"/>
                <w:lang w:val="hy-AM" w:eastAsia="en-US"/>
              </w:rPr>
              <w:t>82.9%</w:t>
            </w:r>
          </w:p>
        </w:tc>
      </w:tr>
      <w:tr w:rsidR="002526E9" w:rsidRPr="002526E9" w14:paraId="419CE3B6" w14:textId="77777777" w:rsidTr="002526E9">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11E61150" w14:textId="77777777" w:rsidR="002526E9" w:rsidRPr="002526E9" w:rsidRDefault="002526E9" w:rsidP="002526E9">
            <w:pPr>
              <w:spacing w:before="0" w:line="276" w:lineRule="auto"/>
              <w:ind w:firstLine="0"/>
              <w:contextualSpacing w:val="0"/>
              <w:jc w:val="left"/>
              <w:rPr>
                <w:rFonts w:cs="Times Unicode"/>
                <w:b/>
                <w:szCs w:val="22"/>
                <w:lang w:val="es-ES" w:eastAsia="en-US"/>
              </w:rPr>
            </w:pPr>
            <w:r w:rsidRPr="002526E9">
              <w:rPr>
                <w:rFonts w:cs="Times Unicode"/>
                <w:szCs w:val="22"/>
                <w:lang w:val="es-ES" w:eastAsia="en-US"/>
              </w:rPr>
              <w:t>Փոխարժեքի ռիսկ</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4232DF43" w14:textId="77777777" w:rsidR="002526E9" w:rsidRPr="002526E9" w:rsidRDefault="002526E9" w:rsidP="002526E9">
            <w:pPr>
              <w:spacing w:before="0" w:line="276" w:lineRule="auto"/>
              <w:ind w:firstLine="0"/>
              <w:contextualSpacing w:val="0"/>
              <w:jc w:val="center"/>
              <w:rPr>
                <w:b w:val="0"/>
                <w:szCs w:val="22"/>
                <w:lang w:val="en-US" w:eastAsia="en-US"/>
              </w:rPr>
            </w:pP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34ABE5D5" w14:textId="77777777" w:rsidR="002526E9" w:rsidRPr="002526E9" w:rsidRDefault="002526E9" w:rsidP="002526E9">
            <w:pPr>
              <w:spacing w:before="0" w:line="276" w:lineRule="auto"/>
              <w:ind w:firstLine="0"/>
              <w:contextualSpacing w:val="0"/>
              <w:jc w:val="center"/>
              <w:rPr>
                <w:szCs w:val="22"/>
                <w:lang w:val="hy-AM" w:eastAsia="en-US"/>
              </w:rPr>
            </w:pPr>
          </w:p>
        </w:tc>
      </w:tr>
      <w:tr w:rsidR="002526E9" w:rsidRPr="002526E9" w14:paraId="165A0E47" w14:textId="77777777" w:rsidTr="002526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3AD893F6" w14:textId="77777777" w:rsidR="002526E9" w:rsidRPr="002526E9" w:rsidRDefault="002526E9" w:rsidP="002526E9">
            <w:pPr>
              <w:spacing w:before="0" w:line="276" w:lineRule="auto"/>
              <w:ind w:left="258" w:firstLine="0"/>
              <w:contextualSpacing w:val="0"/>
              <w:jc w:val="left"/>
              <w:rPr>
                <w:rFonts w:cs="Times Unicode"/>
                <w:szCs w:val="22"/>
                <w:lang w:val="es-ES" w:eastAsia="en-US"/>
              </w:rPr>
            </w:pPr>
            <w:r w:rsidRPr="002526E9">
              <w:rPr>
                <w:rFonts w:cs="Times Unicode"/>
                <w:szCs w:val="22"/>
                <w:lang w:val="es-ES" w:eastAsia="en-US"/>
              </w:rPr>
              <w:t>Ներքին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21B10BDA" w14:textId="77777777" w:rsidR="002526E9" w:rsidRPr="002526E9" w:rsidRDefault="002526E9" w:rsidP="002526E9">
            <w:pPr>
              <w:spacing w:before="0" w:line="276" w:lineRule="auto"/>
              <w:ind w:firstLine="0"/>
              <w:contextualSpacing w:val="0"/>
              <w:jc w:val="center"/>
              <w:rPr>
                <w:b w:val="0"/>
                <w:szCs w:val="22"/>
                <w:lang w:val="en-US" w:eastAsia="en-US"/>
              </w:rPr>
            </w:pPr>
            <w:r w:rsidRPr="002526E9">
              <w:rPr>
                <w:b w:val="0"/>
                <w:szCs w:val="22"/>
                <w:lang w:val="en-US" w:eastAsia="en-US"/>
              </w:rPr>
              <w:t>առնվազն 25%</w:t>
            </w: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2020689D" w14:textId="77777777" w:rsidR="002526E9" w:rsidRPr="002526E9" w:rsidRDefault="002526E9" w:rsidP="002526E9">
            <w:pPr>
              <w:spacing w:before="0" w:line="276" w:lineRule="auto"/>
              <w:ind w:firstLine="0"/>
              <w:contextualSpacing w:val="0"/>
              <w:jc w:val="center"/>
              <w:rPr>
                <w:szCs w:val="22"/>
                <w:lang w:val="hy-AM" w:eastAsia="en-US"/>
              </w:rPr>
            </w:pPr>
            <w:r w:rsidRPr="002526E9">
              <w:rPr>
                <w:szCs w:val="22"/>
                <w:lang w:val="hy-AM" w:eastAsia="en-US"/>
              </w:rPr>
              <w:t>31.5%</w:t>
            </w:r>
          </w:p>
        </w:tc>
      </w:tr>
      <w:tr w:rsidR="002526E9" w:rsidRPr="002526E9" w14:paraId="01572595" w14:textId="77777777" w:rsidTr="002526E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8" w:type="dxa"/>
            <w:tcBorders>
              <w:top w:val="single" w:sz="4" w:space="0" w:color="auto"/>
              <w:left w:val="single" w:sz="4" w:space="0" w:color="auto"/>
              <w:bottom w:val="single" w:sz="4" w:space="0" w:color="auto"/>
              <w:right w:val="single" w:sz="4" w:space="0" w:color="auto"/>
            </w:tcBorders>
          </w:tcPr>
          <w:p w14:paraId="17E278F6" w14:textId="77777777" w:rsidR="002526E9" w:rsidRPr="002526E9" w:rsidRDefault="002526E9" w:rsidP="002526E9">
            <w:pPr>
              <w:spacing w:before="0" w:line="276" w:lineRule="auto"/>
              <w:ind w:left="258" w:firstLine="0"/>
              <w:contextualSpacing w:val="0"/>
              <w:jc w:val="left"/>
              <w:rPr>
                <w:rFonts w:cs="Times Unicode"/>
                <w:szCs w:val="22"/>
                <w:lang w:val="es-ES" w:eastAsia="en-US"/>
              </w:rPr>
            </w:pPr>
            <w:r w:rsidRPr="002526E9">
              <w:rPr>
                <w:rFonts w:cs="Times Unicode"/>
                <w:szCs w:val="22"/>
                <w:lang w:val="es-ES" w:eastAsia="en-US"/>
              </w:rPr>
              <w:t>ՀՀ դրամով ներգրավված պարտքի կշիռն ընդամենը պարտքի մեջ</w:t>
            </w:r>
          </w:p>
        </w:tc>
        <w:tc>
          <w:tcPr>
            <w:cnfStyle w:val="000010000000" w:firstRow="0" w:lastRow="0" w:firstColumn="0" w:lastColumn="0" w:oddVBand="1" w:evenVBand="0" w:oddHBand="0" w:evenHBand="0" w:firstRowFirstColumn="0" w:firstRowLastColumn="0" w:lastRowFirstColumn="0" w:lastRowLastColumn="0"/>
            <w:tcW w:w="1800" w:type="dxa"/>
            <w:tcBorders>
              <w:top w:val="single" w:sz="4" w:space="0" w:color="auto"/>
              <w:left w:val="single" w:sz="4" w:space="0" w:color="auto"/>
              <w:bottom w:val="single" w:sz="4" w:space="0" w:color="auto"/>
              <w:right w:val="single" w:sz="4" w:space="0" w:color="auto"/>
            </w:tcBorders>
            <w:vAlign w:val="center"/>
          </w:tcPr>
          <w:p w14:paraId="66472D90" w14:textId="77777777" w:rsidR="002526E9" w:rsidRPr="002526E9" w:rsidRDefault="002526E9" w:rsidP="002526E9">
            <w:pPr>
              <w:spacing w:before="0" w:line="276" w:lineRule="auto"/>
              <w:ind w:firstLine="0"/>
              <w:contextualSpacing w:val="0"/>
              <w:jc w:val="center"/>
              <w:rPr>
                <w:szCs w:val="22"/>
                <w:lang w:val="en-US" w:eastAsia="en-US"/>
              </w:rPr>
            </w:pPr>
            <w:r w:rsidRPr="002526E9">
              <w:rPr>
                <w:szCs w:val="22"/>
                <w:lang w:val="en-US" w:eastAsia="en-US"/>
              </w:rPr>
              <w:t>առնվազն 25%</w:t>
            </w:r>
          </w:p>
        </w:tc>
        <w:tc>
          <w:tcPr>
            <w:cnfStyle w:val="000100000000" w:firstRow="0" w:lastRow="0" w:firstColumn="0" w:lastColumn="1" w:oddVBand="0" w:evenVBand="0" w:oddHBand="0" w:evenHBand="0" w:firstRowFirstColumn="0" w:firstRowLastColumn="0" w:lastRowFirstColumn="0" w:lastRowLastColumn="0"/>
            <w:tcW w:w="1710" w:type="dxa"/>
            <w:tcBorders>
              <w:top w:val="single" w:sz="4" w:space="0" w:color="auto"/>
              <w:left w:val="single" w:sz="4" w:space="0" w:color="auto"/>
              <w:bottom w:val="single" w:sz="4" w:space="0" w:color="auto"/>
              <w:right w:val="single" w:sz="4" w:space="0" w:color="auto"/>
            </w:tcBorders>
            <w:vAlign w:val="center"/>
          </w:tcPr>
          <w:p w14:paraId="53ABCFFE" w14:textId="77777777" w:rsidR="002526E9" w:rsidRPr="002526E9" w:rsidRDefault="002526E9" w:rsidP="002526E9">
            <w:pPr>
              <w:spacing w:before="0" w:line="276" w:lineRule="auto"/>
              <w:ind w:firstLine="0"/>
              <w:contextualSpacing w:val="0"/>
              <w:jc w:val="center"/>
              <w:rPr>
                <w:szCs w:val="22"/>
                <w:lang w:val="hy-AM" w:eastAsia="en-US"/>
              </w:rPr>
            </w:pPr>
            <w:r w:rsidRPr="002526E9">
              <w:rPr>
                <w:szCs w:val="22"/>
                <w:lang w:val="hy-AM" w:eastAsia="en-US"/>
              </w:rPr>
              <w:t>31.0%</w:t>
            </w:r>
          </w:p>
        </w:tc>
      </w:tr>
    </w:tbl>
    <w:p w14:paraId="07498499" w14:textId="77777777" w:rsidR="002526E9" w:rsidRPr="002526E9" w:rsidRDefault="002526E9" w:rsidP="002526E9">
      <w:pPr>
        <w:spacing w:before="0" w:line="276" w:lineRule="auto"/>
        <w:ind w:firstLine="720"/>
        <w:contextualSpacing w:val="0"/>
        <w:rPr>
          <w:rFonts w:eastAsiaTheme="minorHAnsi" w:cstheme="minorBidi"/>
          <w:b w:val="0"/>
          <w:bCs/>
          <w:szCs w:val="22"/>
          <w:lang w:val="en-US" w:eastAsia="en-US"/>
        </w:rPr>
      </w:pPr>
    </w:p>
    <w:p w14:paraId="2A708F4B" w14:textId="77777777" w:rsidR="002526E9" w:rsidRPr="002526E9" w:rsidRDefault="002526E9" w:rsidP="002526E9">
      <w:pPr>
        <w:spacing w:before="0" w:line="276" w:lineRule="auto"/>
        <w:ind w:firstLine="720"/>
        <w:contextualSpacing w:val="0"/>
        <w:rPr>
          <w:rFonts w:eastAsiaTheme="minorHAnsi" w:cstheme="minorBidi"/>
          <w:b w:val="0"/>
          <w:noProof/>
          <w:szCs w:val="22"/>
          <w:lang w:val="en-US" w:eastAsia="en-US"/>
        </w:rPr>
      </w:pPr>
      <w:r w:rsidRPr="002526E9">
        <w:rPr>
          <w:rFonts w:eastAsiaTheme="minorHAnsi" w:cstheme="minorBidi"/>
          <w:b w:val="0"/>
          <w:noProof/>
          <w:szCs w:val="22"/>
          <w:lang w:val="en-US" w:eastAsia="en-US"/>
        </w:rPr>
        <w:t>202</w:t>
      </w:r>
      <w:r w:rsidRPr="002526E9">
        <w:rPr>
          <w:rFonts w:eastAsiaTheme="minorHAnsi" w:cstheme="minorBidi"/>
          <w:b w:val="0"/>
          <w:noProof/>
          <w:szCs w:val="22"/>
          <w:lang w:val="hy-AM" w:eastAsia="en-US"/>
        </w:rPr>
        <w:t>2</w:t>
      </w:r>
      <w:r w:rsidRPr="002526E9">
        <w:rPr>
          <w:rFonts w:eastAsiaTheme="minorHAnsi" w:cstheme="minorBidi"/>
          <w:b w:val="0"/>
          <w:noProof/>
          <w:szCs w:val="22"/>
          <w:lang w:val="en-US" w:eastAsia="en-US"/>
        </w:rPr>
        <w:t xml:space="preserve"> թվականի տարեվերջի դրությամբ կառավարության արտաքին վարկերի գծով պարտքի 3</w:t>
      </w:r>
      <w:r w:rsidRPr="002526E9">
        <w:rPr>
          <w:rFonts w:eastAsiaTheme="minorHAnsi" w:cstheme="minorBidi"/>
          <w:b w:val="0"/>
          <w:noProof/>
          <w:szCs w:val="22"/>
          <w:lang w:val="hy-AM" w:eastAsia="en-US"/>
        </w:rPr>
        <w:t>5.8</w:t>
      </w:r>
      <w:r w:rsidRPr="002526E9">
        <w:rPr>
          <w:rFonts w:eastAsiaTheme="minorHAnsi" w:cstheme="minorBidi"/>
          <w:b w:val="0"/>
          <w:noProof/>
          <w:szCs w:val="22"/>
          <w:lang w:val="en-US" w:eastAsia="en-US"/>
        </w:rPr>
        <w:t>%-ը բաժին կընկնի Համաշխարհային Բանկին (Զարգացման Միջազգային Ընկերակցություն ու Վերակառուցման և Զարգացման Միջազգային Բանկ): Կառավարության արտաքին վարկերի գծով պարտքի կառուցվածքն ըստ վարկատուների կլինի հետևյալը.</w:t>
      </w:r>
    </w:p>
    <w:p w14:paraId="3B35E795" w14:textId="77777777" w:rsidR="002526E9" w:rsidRPr="002526E9" w:rsidRDefault="002526E9" w:rsidP="002526E9">
      <w:pPr>
        <w:spacing w:before="0" w:line="276" w:lineRule="auto"/>
        <w:ind w:firstLine="0"/>
        <w:contextualSpacing w:val="0"/>
        <w:jc w:val="center"/>
        <w:rPr>
          <w:rFonts w:eastAsiaTheme="minorHAnsi" w:cstheme="minorBidi"/>
          <w:b w:val="0"/>
          <w:noProof/>
          <w:szCs w:val="22"/>
          <w:lang w:val="en-US" w:eastAsia="en-US"/>
        </w:rPr>
      </w:pPr>
      <w:r w:rsidRPr="002526E9">
        <w:rPr>
          <w:noProof/>
          <w:szCs w:val="22"/>
          <w:lang w:val="en-US" w:eastAsia="en-US"/>
        </w:rPr>
        <w:drawing>
          <wp:inline distT="0" distB="0" distL="0" distR="0" wp14:anchorId="35F1E87A" wp14:editId="1C706AFC">
            <wp:extent cx="5334879" cy="3217691"/>
            <wp:effectExtent l="133350" t="114300" r="132715" b="116205"/>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E020B39" w14:textId="020E31A1" w:rsidR="002526E9" w:rsidRDefault="002526E9" w:rsidP="002526E9">
      <w:pPr>
        <w:spacing w:before="0" w:line="276" w:lineRule="auto"/>
        <w:ind w:firstLine="720"/>
        <w:contextualSpacing w:val="0"/>
        <w:rPr>
          <w:rFonts w:eastAsiaTheme="minorHAnsi" w:cstheme="minorBidi"/>
          <w:b w:val="0"/>
          <w:noProof/>
          <w:szCs w:val="22"/>
          <w:lang w:val="en-US" w:eastAsia="en-US"/>
        </w:rPr>
      </w:pPr>
      <w:r w:rsidRPr="002526E9">
        <w:rPr>
          <w:rFonts w:eastAsiaTheme="minorHAnsi" w:cstheme="minorBidi"/>
          <w:b w:val="0"/>
          <w:noProof/>
          <w:szCs w:val="22"/>
          <w:lang w:val="en-US" w:eastAsia="en-US"/>
        </w:rPr>
        <w:t>202</w:t>
      </w:r>
      <w:r w:rsidRPr="002526E9">
        <w:rPr>
          <w:rFonts w:eastAsiaTheme="minorHAnsi" w:cstheme="minorBidi"/>
          <w:b w:val="0"/>
          <w:noProof/>
          <w:szCs w:val="22"/>
          <w:lang w:val="hy-AM" w:eastAsia="en-US"/>
        </w:rPr>
        <w:t>2</w:t>
      </w:r>
      <w:r w:rsidRPr="002526E9">
        <w:rPr>
          <w:rFonts w:eastAsiaTheme="minorHAnsi" w:cstheme="minorBidi"/>
          <w:b w:val="0"/>
          <w:noProof/>
          <w:szCs w:val="22"/>
          <w:lang w:val="en-US" w:eastAsia="en-US"/>
        </w:rPr>
        <w:t xml:space="preserve"> թվականի տարեվերջի դրությամբ ձևավորվող կառավարության պարտքի մարման ժամանակացույցը սփռված կլինի մինչև 2054 թվականը և կունենա հետևյալ տեսքը. </w:t>
      </w:r>
    </w:p>
    <w:p w14:paraId="7592A349" w14:textId="77777777" w:rsidR="003C5774" w:rsidRPr="002526E9" w:rsidRDefault="003C5774" w:rsidP="002526E9">
      <w:pPr>
        <w:spacing w:before="0" w:line="276" w:lineRule="auto"/>
        <w:ind w:firstLine="720"/>
        <w:contextualSpacing w:val="0"/>
        <w:rPr>
          <w:rFonts w:eastAsiaTheme="minorHAnsi" w:cstheme="minorBidi"/>
          <w:b w:val="0"/>
          <w:noProof/>
          <w:szCs w:val="22"/>
          <w:lang w:val="en-US" w:eastAsia="en-US"/>
        </w:rPr>
      </w:pPr>
    </w:p>
    <w:p w14:paraId="4F753B75" w14:textId="77777777" w:rsidR="002526E9" w:rsidRPr="002526E9" w:rsidRDefault="002526E9" w:rsidP="002526E9">
      <w:pPr>
        <w:spacing w:before="0" w:line="276" w:lineRule="auto"/>
        <w:ind w:left="-180" w:firstLine="0"/>
        <w:contextualSpacing w:val="0"/>
        <w:jc w:val="center"/>
        <w:rPr>
          <w:rFonts w:eastAsiaTheme="minorHAnsi" w:cstheme="minorBidi"/>
          <w:b w:val="0"/>
          <w:noProof/>
          <w:szCs w:val="22"/>
          <w:lang w:val="en-US" w:eastAsia="en-US"/>
        </w:rPr>
      </w:pPr>
      <w:r w:rsidRPr="002526E9">
        <w:rPr>
          <w:noProof/>
          <w:szCs w:val="22"/>
          <w:lang w:val="en-US" w:eastAsia="en-US"/>
        </w:rPr>
        <w:drawing>
          <wp:inline distT="0" distB="0" distL="0" distR="0" wp14:anchorId="1FC51725" wp14:editId="6715B8DC">
            <wp:extent cx="6346825" cy="2409825"/>
            <wp:effectExtent l="133350" t="95250" r="130175" b="85725"/>
            <wp:docPr id="64" name="Chart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791E56ED" w14:textId="77777777" w:rsidR="003C5774" w:rsidRDefault="003C5774" w:rsidP="002526E9">
      <w:pPr>
        <w:spacing w:before="0" w:line="276" w:lineRule="auto"/>
        <w:ind w:firstLine="720"/>
        <w:contextualSpacing w:val="0"/>
        <w:rPr>
          <w:rFonts w:eastAsiaTheme="minorHAnsi" w:cstheme="minorBidi"/>
          <w:b w:val="0"/>
          <w:bCs/>
          <w:szCs w:val="22"/>
          <w:lang w:val="en-US" w:eastAsia="en-US"/>
        </w:rPr>
      </w:pPr>
    </w:p>
    <w:p w14:paraId="381096EB" w14:textId="51F68377" w:rsidR="003C5774" w:rsidRDefault="002526E9" w:rsidP="002526E9">
      <w:pPr>
        <w:spacing w:before="0" w:line="276" w:lineRule="auto"/>
        <w:ind w:firstLine="720"/>
        <w:contextualSpacing w:val="0"/>
        <w:rPr>
          <w:rFonts w:eastAsiaTheme="minorHAnsi" w:cstheme="minorBidi"/>
          <w:b w:val="0"/>
          <w:bCs/>
          <w:szCs w:val="22"/>
          <w:lang w:val="en-US" w:eastAsia="en-US"/>
        </w:rPr>
      </w:pPr>
      <w:r w:rsidRPr="002526E9">
        <w:rPr>
          <w:rFonts w:eastAsiaTheme="minorHAnsi" w:cstheme="minorBidi"/>
          <w:b w:val="0"/>
          <w:bCs/>
          <w:szCs w:val="22"/>
          <w:lang w:val="en-US" w:eastAsia="en-US"/>
        </w:rPr>
        <w:t>202</w:t>
      </w:r>
      <w:r w:rsidRPr="002526E9">
        <w:rPr>
          <w:rFonts w:eastAsiaTheme="minorHAnsi" w:cstheme="minorBidi"/>
          <w:b w:val="0"/>
          <w:bCs/>
          <w:szCs w:val="22"/>
          <w:lang w:val="hy-AM" w:eastAsia="en-US"/>
        </w:rPr>
        <w:t>2</w:t>
      </w:r>
      <w:r w:rsidRPr="002526E9">
        <w:rPr>
          <w:rFonts w:eastAsiaTheme="minorHAnsi" w:cstheme="minorBidi"/>
          <w:b w:val="0"/>
          <w:bCs/>
          <w:szCs w:val="22"/>
          <w:lang w:val="en-US" w:eastAsia="en-US"/>
        </w:rPr>
        <w:t xml:space="preserve"> թվականին կառավարության պարտքի միջին կշռված տոկոսադրույքը կկազմի </w:t>
      </w:r>
      <w:r w:rsidRPr="002526E9">
        <w:rPr>
          <w:rFonts w:eastAsiaTheme="minorHAnsi" w:cstheme="minorBidi"/>
          <w:b w:val="0"/>
          <w:bCs/>
          <w:szCs w:val="22"/>
          <w:lang w:val="hy-AM" w:eastAsia="en-US"/>
        </w:rPr>
        <w:t>–5.0</w:t>
      </w:r>
      <w:r w:rsidRPr="002526E9">
        <w:rPr>
          <w:rFonts w:eastAsiaTheme="minorHAnsi" w:cstheme="minorBidi"/>
          <w:b w:val="0"/>
          <w:bCs/>
          <w:szCs w:val="22"/>
          <w:lang w:val="en-US" w:eastAsia="en-US"/>
        </w:rPr>
        <w:t xml:space="preserve">%: Կառավարության պարտքի սպասարկման ծախսերը (տոկոսավճարներ) կկազմեն ՀՆԱ-ի </w:t>
      </w:r>
      <w:r w:rsidRPr="002526E9">
        <w:rPr>
          <w:rFonts w:eastAsiaTheme="minorHAnsi" w:cstheme="minorBidi"/>
          <w:b w:val="0"/>
          <w:bCs/>
          <w:szCs w:val="22"/>
          <w:lang w:val="hy-AM" w:eastAsia="en-US"/>
        </w:rPr>
        <w:t>2.7</w:t>
      </w:r>
      <w:r w:rsidRPr="002526E9">
        <w:rPr>
          <w:rFonts w:eastAsiaTheme="minorHAnsi" w:cstheme="minorBidi"/>
          <w:b w:val="0"/>
          <w:bCs/>
          <w:szCs w:val="22"/>
          <w:lang w:val="en-US" w:eastAsia="en-US"/>
        </w:rPr>
        <w:t xml:space="preserve">%-ը: </w:t>
      </w:r>
    </w:p>
    <w:p w14:paraId="5F76E8B8" w14:textId="6E15093F" w:rsidR="002526E9" w:rsidRPr="002526E9" w:rsidRDefault="002526E9" w:rsidP="002526E9">
      <w:pPr>
        <w:spacing w:before="0" w:line="276" w:lineRule="auto"/>
        <w:ind w:firstLine="720"/>
        <w:contextualSpacing w:val="0"/>
        <w:rPr>
          <w:rFonts w:eastAsiaTheme="minorHAnsi" w:cstheme="minorBidi"/>
          <w:b w:val="0"/>
          <w:bCs/>
          <w:szCs w:val="22"/>
          <w:lang w:val="en-US" w:eastAsia="en-US"/>
        </w:rPr>
      </w:pPr>
      <w:r w:rsidRPr="002526E9">
        <w:rPr>
          <w:rFonts w:eastAsiaTheme="minorHAnsi" w:cstheme="minorBidi"/>
          <w:b w:val="0"/>
          <w:bCs/>
          <w:szCs w:val="22"/>
          <w:lang w:val="en-US" w:eastAsia="en-US"/>
        </w:rPr>
        <w:t xml:space="preserve"> </w:t>
      </w:r>
    </w:p>
    <w:tbl>
      <w:tblPr>
        <w:tblStyle w:val="LightShading-Accent59"/>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4"/>
        <w:gridCol w:w="1134"/>
        <w:gridCol w:w="1134"/>
        <w:gridCol w:w="1134"/>
      </w:tblGrid>
      <w:tr w:rsidR="002526E9" w:rsidRPr="002526E9" w14:paraId="4CD0582C" w14:textId="77777777" w:rsidTr="002526E9">
        <w:trPr>
          <w:cnfStyle w:val="100000000000" w:firstRow="1" w:lastRow="0" w:firstColumn="0" w:lastColumn="0" w:oddVBand="0" w:evenVBand="0" w:oddHBand="0"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04" w:type="dxa"/>
            <w:tcBorders>
              <w:top w:val="none" w:sz="0" w:space="0" w:color="auto"/>
              <w:left w:val="none" w:sz="0" w:space="0" w:color="auto"/>
              <w:bottom w:val="none" w:sz="0" w:space="0" w:color="auto"/>
              <w:right w:val="none" w:sz="0" w:space="0" w:color="auto"/>
            </w:tcBorders>
          </w:tcPr>
          <w:p w14:paraId="6FCAC64A" w14:textId="77777777" w:rsidR="002526E9" w:rsidRPr="002526E9" w:rsidRDefault="002526E9" w:rsidP="002526E9">
            <w:pPr>
              <w:spacing w:before="0" w:line="276" w:lineRule="auto"/>
              <w:ind w:firstLine="0"/>
              <w:contextualSpacing w:val="0"/>
              <w:jc w:val="center"/>
              <w:rPr>
                <w:b/>
                <w:color w:val="auto"/>
                <w:szCs w:val="22"/>
                <w:lang w:val="en-US" w:eastAsia="en-US"/>
              </w:rPr>
            </w:pPr>
            <w:r w:rsidRPr="002526E9">
              <w:rPr>
                <w:rFonts w:ascii="Calibri" w:hAnsi="Calibri" w:cs="Calibri"/>
                <w:color w:val="auto"/>
                <w:szCs w:val="22"/>
                <w:lang w:val="en-US" w:eastAsia="en-US"/>
              </w:rPr>
              <w:t> </w:t>
            </w:r>
          </w:p>
        </w:tc>
        <w:tc>
          <w:tcPr>
            <w:tcW w:w="1134" w:type="dxa"/>
            <w:tcBorders>
              <w:top w:val="none" w:sz="0" w:space="0" w:color="auto"/>
              <w:left w:val="none" w:sz="0" w:space="0" w:color="auto"/>
              <w:bottom w:val="none" w:sz="0" w:space="0" w:color="auto"/>
              <w:right w:val="none" w:sz="0" w:space="0" w:color="auto"/>
            </w:tcBorders>
          </w:tcPr>
          <w:p w14:paraId="5125F0DB"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szCs w:val="22"/>
                <w:lang w:val="en-US" w:eastAsia="en-US"/>
              </w:rPr>
            </w:pPr>
            <w:r w:rsidRPr="002526E9">
              <w:rPr>
                <w:i/>
                <w:color w:val="auto"/>
                <w:szCs w:val="22"/>
                <w:lang w:val="en-US" w:eastAsia="en-US"/>
              </w:rPr>
              <w:t>20</w:t>
            </w:r>
            <w:r w:rsidRPr="002526E9">
              <w:rPr>
                <w:i/>
                <w:color w:val="auto"/>
                <w:szCs w:val="22"/>
                <w:lang w:val="hy-AM" w:eastAsia="en-US"/>
              </w:rPr>
              <w:t>20</w:t>
            </w:r>
            <w:r w:rsidRPr="002526E9">
              <w:rPr>
                <w:i/>
                <w:color w:val="auto"/>
                <w:szCs w:val="22"/>
                <w:lang w:val="en-US" w:eastAsia="en-US"/>
              </w:rPr>
              <w:t>թ.</w:t>
            </w:r>
          </w:p>
        </w:tc>
        <w:tc>
          <w:tcPr>
            <w:tcW w:w="1134" w:type="dxa"/>
            <w:tcBorders>
              <w:top w:val="none" w:sz="0" w:space="0" w:color="auto"/>
              <w:left w:val="none" w:sz="0" w:space="0" w:color="auto"/>
              <w:bottom w:val="none" w:sz="0" w:space="0" w:color="auto"/>
              <w:right w:val="none" w:sz="0" w:space="0" w:color="auto"/>
            </w:tcBorders>
          </w:tcPr>
          <w:p w14:paraId="3795D1A8"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szCs w:val="22"/>
                <w:lang w:val="en-US" w:eastAsia="en-US"/>
              </w:rPr>
            </w:pPr>
            <w:r w:rsidRPr="002526E9">
              <w:rPr>
                <w:i/>
                <w:color w:val="auto"/>
                <w:szCs w:val="22"/>
                <w:lang w:val="en-US" w:eastAsia="en-US"/>
              </w:rPr>
              <w:t>202</w:t>
            </w:r>
            <w:r w:rsidRPr="002526E9">
              <w:rPr>
                <w:i/>
                <w:color w:val="auto"/>
                <w:szCs w:val="22"/>
                <w:lang w:val="hy-AM" w:eastAsia="en-US"/>
              </w:rPr>
              <w:t>1</w:t>
            </w:r>
            <w:r w:rsidRPr="002526E9">
              <w:rPr>
                <w:i/>
                <w:color w:val="auto"/>
                <w:szCs w:val="22"/>
                <w:lang w:val="en-US" w:eastAsia="en-US"/>
              </w:rPr>
              <w:t>թ.</w:t>
            </w:r>
          </w:p>
        </w:tc>
        <w:tc>
          <w:tcPr>
            <w:tcW w:w="1134" w:type="dxa"/>
            <w:tcBorders>
              <w:top w:val="none" w:sz="0" w:space="0" w:color="auto"/>
              <w:left w:val="none" w:sz="0" w:space="0" w:color="auto"/>
              <w:bottom w:val="none" w:sz="0" w:space="0" w:color="auto"/>
              <w:right w:val="none" w:sz="0" w:space="0" w:color="auto"/>
            </w:tcBorders>
          </w:tcPr>
          <w:p w14:paraId="0998FA8B"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i/>
                <w:color w:val="auto"/>
                <w:szCs w:val="22"/>
                <w:lang w:val="en-US" w:eastAsia="en-US"/>
              </w:rPr>
            </w:pPr>
            <w:r w:rsidRPr="002526E9">
              <w:rPr>
                <w:i/>
                <w:color w:val="auto"/>
                <w:szCs w:val="22"/>
                <w:lang w:val="en-US" w:eastAsia="en-US"/>
              </w:rPr>
              <w:t>202</w:t>
            </w:r>
            <w:r w:rsidRPr="002526E9">
              <w:rPr>
                <w:i/>
                <w:color w:val="auto"/>
                <w:szCs w:val="22"/>
                <w:lang w:val="hy-AM" w:eastAsia="en-US"/>
              </w:rPr>
              <w:t>2</w:t>
            </w:r>
            <w:r w:rsidRPr="002526E9">
              <w:rPr>
                <w:i/>
                <w:color w:val="auto"/>
                <w:szCs w:val="22"/>
                <w:lang w:val="en-US" w:eastAsia="en-US"/>
              </w:rPr>
              <w:t>թ.</w:t>
            </w:r>
          </w:p>
        </w:tc>
      </w:tr>
      <w:tr w:rsidR="002526E9" w:rsidRPr="002526E9" w14:paraId="014040AA" w14:textId="77777777" w:rsidTr="002526E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04" w:type="dxa"/>
            <w:tcBorders>
              <w:left w:val="none" w:sz="0" w:space="0" w:color="auto"/>
              <w:right w:val="none" w:sz="0" w:space="0" w:color="auto"/>
            </w:tcBorders>
            <w:shd w:val="clear" w:color="auto" w:fill="C6D9F1" w:themeFill="text2" w:themeFillTint="33"/>
          </w:tcPr>
          <w:p w14:paraId="6FD37A3B" w14:textId="77777777" w:rsidR="002526E9" w:rsidRPr="002526E9" w:rsidRDefault="002526E9" w:rsidP="002526E9">
            <w:pPr>
              <w:spacing w:before="0" w:line="276" w:lineRule="auto"/>
              <w:ind w:firstLine="0"/>
              <w:contextualSpacing w:val="0"/>
              <w:jc w:val="left"/>
              <w:rPr>
                <w:color w:val="auto"/>
                <w:szCs w:val="22"/>
                <w:lang w:eastAsia="en-US"/>
              </w:rPr>
            </w:pPr>
            <w:r w:rsidRPr="002526E9">
              <w:rPr>
                <w:color w:val="auto"/>
                <w:szCs w:val="22"/>
                <w:lang w:val="en-US" w:eastAsia="en-US"/>
              </w:rPr>
              <w:t>Կառավարության</w:t>
            </w:r>
            <w:r w:rsidRPr="002526E9">
              <w:rPr>
                <w:color w:val="auto"/>
                <w:szCs w:val="22"/>
                <w:lang w:eastAsia="en-US"/>
              </w:rPr>
              <w:t xml:space="preserve"> </w:t>
            </w:r>
            <w:r w:rsidRPr="002526E9">
              <w:rPr>
                <w:color w:val="auto"/>
                <w:szCs w:val="22"/>
                <w:lang w:val="en-US" w:eastAsia="en-US"/>
              </w:rPr>
              <w:t>պարտքի</w:t>
            </w:r>
            <w:r w:rsidRPr="002526E9">
              <w:rPr>
                <w:color w:val="auto"/>
                <w:szCs w:val="22"/>
                <w:lang w:eastAsia="en-US"/>
              </w:rPr>
              <w:t xml:space="preserve"> </w:t>
            </w:r>
            <w:r w:rsidRPr="002526E9">
              <w:rPr>
                <w:color w:val="auto"/>
                <w:szCs w:val="22"/>
                <w:lang w:val="en-US" w:eastAsia="en-US"/>
              </w:rPr>
              <w:t>սպասարկում</w:t>
            </w:r>
            <w:r w:rsidRPr="002526E9">
              <w:rPr>
                <w:color w:val="auto"/>
                <w:szCs w:val="22"/>
                <w:lang w:eastAsia="en-US"/>
              </w:rPr>
              <w:t xml:space="preserve"> (</w:t>
            </w:r>
            <w:r w:rsidRPr="002526E9">
              <w:rPr>
                <w:color w:val="auto"/>
                <w:szCs w:val="22"/>
                <w:lang w:val="en-US" w:eastAsia="en-US"/>
              </w:rPr>
              <w:t>տոկոսավճար</w:t>
            </w:r>
            <w:r w:rsidRPr="002526E9">
              <w:rPr>
                <w:color w:val="auto"/>
                <w:szCs w:val="22"/>
                <w:lang w:eastAsia="en-US"/>
              </w:rPr>
              <w:t xml:space="preserve">), </w:t>
            </w:r>
            <w:r w:rsidRPr="002526E9">
              <w:rPr>
                <w:color w:val="auto"/>
                <w:szCs w:val="22"/>
                <w:lang w:val="en-US" w:eastAsia="en-US"/>
              </w:rPr>
              <w:t>մլրդ</w:t>
            </w:r>
            <w:r w:rsidRPr="002526E9">
              <w:rPr>
                <w:color w:val="auto"/>
                <w:szCs w:val="22"/>
                <w:lang w:eastAsia="en-US"/>
              </w:rPr>
              <w:t xml:space="preserve"> </w:t>
            </w:r>
            <w:r w:rsidRPr="002526E9">
              <w:rPr>
                <w:color w:val="auto"/>
                <w:szCs w:val="22"/>
                <w:lang w:val="en-US" w:eastAsia="en-US"/>
              </w:rPr>
              <w:t>դրամ</w:t>
            </w:r>
          </w:p>
        </w:tc>
        <w:tc>
          <w:tcPr>
            <w:tcW w:w="1134" w:type="dxa"/>
            <w:tcBorders>
              <w:left w:val="none" w:sz="0" w:space="0" w:color="auto"/>
              <w:right w:val="none" w:sz="0" w:space="0" w:color="auto"/>
            </w:tcBorders>
            <w:shd w:val="clear" w:color="auto" w:fill="C6D9F1" w:themeFill="text2" w:themeFillTint="33"/>
            <w:vAlign w:val="center"/>
          </w:tcPr>
          <w:p w14:paraId="1F051901" w14:textId="77777777" w:rsidR="002526E9" w:rsidRPr="002526E9" w:rsidRDefault="002526E9" w:rsidP="002526E9">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Cs/>
                <w:color w:val="auto"/>
                <w:szCs w:val="22"/>
                <w:lang w:val="hy-AM" w:eastAsia="en-US"/>
              </w:rPr>
            </w:pPr>
            <w:r w:rsidRPr="002526E9">
              <w:rPr>
                <w:bCs/>
                <w:color w:val="auto"/>
                <w:szCs w:val="22"/>
                <w:lang w:val="hy-AM" w:eastAsia="en-US"/>
              </w:rPr>
              <w:t>164.7</w:t>
            </w:r>
          </w:p>
        </w:tc>
        <w:tc>
          <w:tcPr>
            <w:tcW w:w="1134" w:type="dxa"/>
            <w:tcBorders>
              <w:left w:val="none" w:sz="0" w:space="0" w:color="auto"/>
              <w:right w:val="none" w:sz="0" w:space="0" w:color="auto"/>
            </w:tcBorders>
            <w:shd w:val="clear" w:color="auto" w:fill="C6D9F1" w:themeFill="text2" w:themeFillTint="33"/>
            <w:vAlign w:val="center"/>
          </w:tcPr>
          <w:p w14:paraId="219D00AD" w14:textId="77777777" w:rsidR="002526E9" w:rsidRPr="002526E9" w:rsidRDefault="002526E9" w:rsidP="002526E9">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bCs/>
                <w:color w:val="auto"/>
                <w:szCs w:val="22"/>
                <w:lang w:val="hy-AM"/>
              </w:rPr>
            </w:pPr>
            <w:r w:rsidRPr="002526E9">
              <w:rPr>
                <w:bCs/>
                <w:color w:val="auto"/>
                <w:szCs w:val="22"/>
                <w:lang w:val="hy-AM"/>
              </w:rPr>
              <w:t>181.5</w:t>
            </w:r>
          </w:p>
        </w:tc>
        <w:tc>
          <w:tcPr>
            <w:tcW w:w="1134" w:type="dxa"/>
            <w:tcBorders>
              <w:left w:val="none" w:sz="0" w:space="0" w:color="auto"/>
              <w:right w:val="none" w:sz="0" w:space="0" w:color="auto"/>
            </w:tcBorders>
            <w:shd w:val="clear" w:color="auto" w:fill="C6D9F1" w:themeFill="text2" w:themeFillTint="33"/>
            <w:vAlign w:val="center"/>
          </w:tcPr>
          <w:p w14:paraId="1F2FA100" w14:textId="77777777" w:rsidR="002526E9" w:rsidRPr="002526E9" w:rsidRDefault="002526E9" w:rsidP="002526E9">
            <w:pPr>
              <w:spacing w:line="276" w:lineRule="auto"/>
              <w:ind w:firstLine="0"/>
              <w:jc w:val="right"/>
              <w:cnfStyle w:val="000000100000" w:firstRow="0" w:lastRow="0" w:firstColumn="0" w:lastColumn="0" w:oddVBand="0" w:evenVBand="0" w:oddHBand="1" w:evenHBand="0" w:firstRowFirstColumn="0" w:firstRowLastColumn="0" w:lastRowFirstColumn="0" w:lastRowLastColumn="0"/>
              <w:rPr>
                <w:bCs/>
                <w:color w:val="auto"/>
                <w:szCs w:val="22"/>
                <w:lang w:val="hy-AM"/>
              </w:rPr>
            </w:pPr>
            <w:r w:rsidRPr="002526E9">
              <w:rPr>
                <w:bCs/>
                <w:color w:val="auto"/>
                <w:szCs w:val="22"/>
                <w:lang w:val="hy-AM"/>
              </w:rPr>
              <w:t>213.8</w:t>
            </w:r>
          </w:p>
        </w:tc>
      </w:tr>
      <w:tr w:rsidR="002526E9" w:rsidRPr="002526E9" w14:paraId="4BCDF02C" w14:textId="77777777" w:rsidTr="002526E9">
        <w:trPr>
          <w:trHeight w:val="341"/>
        </w:trPr>
        <w:tc>
          <w:tcPr>
            <w:cnfStyle w:val="001000000000" w:firstRow="0" w:lastRow="0" w:firstColumn="1" w:lastColumn="0" w:oddVBand="0" w:evenVBand="0" w:oddHBand="0" w:evenHBand="0" w:firstRowFirstColumn="0" w:firstRowLastColumn="0" w:lastRowFirstColumn="0" w:lastRowLastColumn="0"/>
            <w:tcW w:w="6804" w:type="dxa"/>
          </w:tcPr>
          <w:p w14:paraId="18FD6E0F" w14:textId="77777777" w:rsidR="002526E9" w:rsidRPr="002526E9" w:rsidRDefault="002526E9" w:rsidP="002526E9">
            <w:pPr>
              <w:spacing w:before="0" w:line="276" w:lineRule="auto"/>
              <w:ind w:firstLine="0"/>
              <w:contextualSpacing w:val="0"/>
              <w:jc w:val="right"/>
              <w:rPr>
                <w:color w:val="auto"/>
                <w:szCs w:val="22"/>
                <w:lang w:val="en-US" w:eastAsia="en-US"/>
              </w:rPr>
            </w:pPr>
            <w:r w:rsidRPr="002526E9">
              <w:rPr>
                <w:color w:val="auto"/>
                <w:szCs w:val="22"/>
                <w:lang w:val="en-US" w:eastAsia="en-US"/>
              </w:rPr>
              <w:t>%-ներով ՀՆԱ-ի նկատմամբ</w:t>
            </w:r>
          </w:p>
        </w:tc>
        <w:tc>
          <w:tcPr>
            <w:tcW w:w="1134" w:type="dxa"/>
            <w:vAlign w:val="center"/>
          </w:tcPr>
          <w:p w14:paraId="4D74070C" w14:textId="77777777" w:rsidR="002526E9" w:rsidRPr="002526E9" w:rsidRDefault="002526E9" w:rsidP="002526E9">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szCs w:val="22"/>
                <w:lang w:val="hy-AM" w:eastAsia="en-US"/>
              </w:rPr>
            </w:pPr>
            <w:r w:rsidRPr="002526E9">
              <w:rPr>
                <w:b w:val="0"/>
                <w:color w:val="auto"/>
                <w:szCs w:val="22"/>
                <w:lang w:val="hy-AM" w:eastAsia="en-US"/>
              </w:rPr>
              <w:t>2.7</w:t>
            </w:r>
          </w:p>
        </w:tc>
        <w:tc>
          <w:tcPr>
            <w:tcW w:w="1134" w:type="dxa"/>
            <w:vAlign w:val="center"/>
          </w:tcPr>
          <w:p w14:paraId="773F3547" w14:textId="77777777" w:rsidR="002526E9" w:rsidRPr="002526E9" w:rsidRDefault="002526E9" w:rsidP="002526E9">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szCs w:val="22"/>
                <w:lang w:val="hy-AM" w:eastAsia="en-US"/>
              </w:rPr>
            </w:pPr>
            <w:r w:rsidRPr="002526E9">
              <w:rPr>
                <w:b w:val="0"/>
                <w:color w:val="auto"/>
                <w:szCs w:val="22"/>
                <w:lang w:val="hy-AM" w:eastAsia="en-US"/>
              </w:rPr>
              <w:t>2.6</w:t>
            </w:r>
          </w:p>
        </w:tc>
        <w:tc>
          <w:tcPr>
            <w:tcW w:w="1134" w:type="dxa"/>
            <w:vAlign w:val="center"/>
          </w:tcPr>
          <w:p w14:paraId="4EEBEC1D" w14:textId="77777777" w:rsidR="002526E9" w:rsidRPr="002526E9" w:rsidRDefault="002526E9" w:rsidP="002526E9">
            <w:pPr>
              <w:spacing w:before="0" w:line="276" w:lineRule="auto"/>
              <w:ind w:firstLine="0"/>
              <w:contextualSpacing w:val="0"/>
              <w:jc w:val="right"/>
              <w:cnfStyle w:val="000000000000" w:firstRow="0" w:lastRow="0" w:firstColumn="0" w:lastColumn="0" w:oddVBand="0" w:evenVBand="0" w:oddHBand="0" w:evenHBand="0" w:firstRowFirstColumn="0" w:firstRowLastColumn="0" w:lastRowFirstColumn="0" w:lastRowLastColumn="0"/>
              <w:rPr>
                <w:b w:val="0"/>
                <w:color w:val="auto"/>
                <w:szCs w:val="22"/>
                <w:lang w:val="hy-AM" w:eastAsia="en-US"/>
              </w:rPr>
            </w:pPr>
            <w:r w:rsidRPr="002526E9">
              <w:rPr>
                <w:b w:val="0"/>
                <w:color w:val="auto"/>
                <w:szCs w:val="22"/>
                <w:lang w:val="hy-AM" w:eastAsia="en-US"/>
              </w:rPr>
              <w:t>2.7</w:t>
            </w:r>
          </w:p>
        </w:tc>
      </w:tr>
      <w:tr w:rsidR="002526E9" w:rsidRPr="002526E9" w14:paraId="74E669B5" w14:textId="77777777" w:rsidTr="002526E9">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6804" w:type="dxa"/>
            <w:tcBorders>
              <w:left w:val="none" w:sz="0" w:space="0" w:color="auto"/>
              <w:right w:val="none" w:sz="0" w:space="0" w:color="auto"/>
            </w:tcBorders>
          </w:tcPr>
          <w:p w14:paraId="3683A772" w14:textId="77777777" w:rsidR="002526E9" w:rsidRPr="002526E9" w:rsidRDefault="002526E9" w:rsidP="002526E9">
            <w:pPr>
              <w:shd w:val="clear" w:color="auto" w:fill="C6D9F1" w:themeFill="text2" w:themeFillTint="33"/>
              <w:spacing w:before="0" w:line="276" w:lineRule="auto"/>
              <w:ind w:firstLine="0"/>
              <w:contextualSpacing w:val="0"/>
              <w:jc w:val="left"/>
              <w:rPr>
                <w:b/>
                <w:color w:val="auto"/>
                <w:szCs w:val="22"/>
                <w:lang w:eastAsia="en-US"/>
              </w:rPr>
            </w:pPr>
            <w:r w:rsidRPr="002526E9">
              <w:rPr>
                <w:color w:val="auto"/>
                <w:szCs w:val="22"/>
                <w:lang w:val="en-US" w:eastAsia="en-US"/>
              </w:rPr>
              <w:t>Կառավարության</w:t>
            </w:r>
            <w:r w:rsidRPr="002526E9">
              <w:rPr>
                <w:color w:val="auto"/>
                <w:szCs w:val="22"/>
                <w:lang w:eastAsia="en-US"/>
              </w:rPr>
              <w:t xml:space="preserve"> </w:t>
            </w:r>
            <w:r w:rsidRPr="002526E9">
              <w:rPr>
                <w:color w:val="auto"/>
                <w:szCs w:val="22"/>
                <w:lang w:val="en-US" w:eastAsia="en-US"/>
              </w:rPr>
              <w:t>պարտքի</w:t>
            </w:r>
            <w:r w:rsidRPr="002526E9">
              <w:rPr>
                <w:color w:val="auto"/>
                <w:szCs w:val="22"/>
                <w:lang w:eastAsia="en-US"/>
              </w:rPr>
              <w:t xml:space="preserve"> </w:t>
            </w:r>
            <w:r w:rsidRPr="002526E9">
              <w:rPr>
                <w:color w:val="auto"/>
                <w:szCs w:val="22"/>
                <w:lang w:val="en-US" w:eastAsia="en-US"/>
              </w:rPr>
              <w:t>միջին</w:t>
            </w:r>
            <w:r w:rsidRPr="002526E9">
              <w:rPr>
                <w:color w:val="auto"/>
                <w:szCs w:val="22"/>
                <w:lang w:eastAsia="en-US"/>
              </w:rPr>
              <w:t xml:space="preserve"> </w:t>
            </w:r>
            <w:r w:rsidRPr="002526E9">
              <w:rPr>
                <w:color w:val="auto"/>
                <w:szCs w:val="22"/>
                <w:lang w:val="en-US" w:eastAsia="en-US"/>
              </w:rPr>
              <w:t>կշռված</w:t>
            </w:r>
            <w:r w:rsidRPr="002526E9">
              <w:rPr>
                <w:color w:val="auto"/>
                <w:szCs w:val="22"/>
                <w:lang w:eastAsia="en-US"/>
              </w:rPr>
              <w:t xml:space="preserve"> </w:t>
            </w:r>
            <w:r w:rsidRPr="002526E9">
              <w:rPr>
                <w:color w:val="auto"/>
                <w:szCs w:val="22"/>
                <w:lang w:val="en-US" w:eastAsia="en-US"/>
              </w:rPr>
              <w:t>տոկոսադրույք</w:t>
            </w:r>
            <w:r w:rsidRPr="002526E9">
              <w:rPr>
                <w:color w:val="auto"/>
                <w:szCs w:val="22"/>
                <w:lang w:eastAsia="en-US"/>
              </w:rPr>
              <w:t>, %</w:t>
            </w:r>
          </w:p>
        </w:tc>
        <w:tc>
          <w:tcPr>
            <w:tcW w:w="1134" w:type="dxa"/>
            <w:tcBorders>
              <w:left w:val="none" w:sz="0" w:space="0" w:color="auto"/>
              <w:right w:val="none" w:sz="0" w:space="0" w:color="auto"/>
            </w:tcBorders>
          </w:tcPr>
          <w:p w14:paraId="73BB839F" w14:textId="77777777" w:rsidR="002526E9" w:rsidRPr="002526E9" w:rsidRDefault="002526E9" w:rsidP="002526E9">
            <w:pPr>
              <w:shd w:val="clear" w:color="auto" w:fill="C6D9F1" w:themeFill="text2" w:themeFillTint="33"/>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eastAsia="en-US"/>
              </w:rPr>
            </w:pPr>
            <w:r w:rsidRPr="002526E9">
              <w:rPr>
                <w:color w:val="auto"/>
                <w:szCs w:val="22"/>
                <w:lang w:val="hy-AM" w:eastAsia="en-US"/>
              </w:rPr>
              <w:t>4.3</w:t>
            </w:r>
          </w:p>
        </w:tc>
        <w:tc>
          <w:tcPr>
            <w:tcW w:w="1134" w:type="dxa"/>
            <w:tcBorders>
              <w:left w:val="none" w:sz="0" w:space="0" w:color="auto"/>
              <w:right w:val="none" w:sz="0" w:space="0" w:color="auto"/>
            </w:tcBorders>
          </w:tcPr>
          <w:p w14:paraId="7BB56857" w14:textId="77777777" w:rsidR="002526E9" w:rsidRPr="002526E9" w:rsidRDefault="002526E9" w:rsidP="002526E9">
            <w:pPr>
              <w:shd w:val="clear" w:color="auto" w:fill="C6D9F1" w:themeFill="text2" w:themeFillTint="33"/>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eastAsia="en-US"/>
              </w:rPr>
            </w:pPr>
            <w:r w:rsidRPr="002526E9">
              <w:rPr>
                <w:color w:val="auto"/>
                <w:szCs w:val="22"/>
                <w:lang w:val="hy-AM" w:eastAsia="en-US"/>
              </w:rPr>
              <w:t>4.7</w:t>
            </w:r>
          </w:p>
        </w:tc>
        <w:tc>
          <w:tcPr>
            <w:tcW w:w="1134" w:type="dxa"/>
            <w:tcBorders>
              <w:left w:val="none" w:sz="0" w:space="0" w:color="auto"/>
              <w:right w:val="none" w:sz="0" w:space="0" w:color="auto"/>
            </w:tcBorders>
          </w:tcPr>
          <w:p w14:paraId="7970BBED" w14:textId="77777777" w:rsidR="002526E9" w:rsidRPr="002526E9" w:rsidRDefault="002526E9" w:rsidP="002526E9">
            <w:pPr>
              <w:shd w:val="clear" w:color="auto" w:fill="C6D9F1" w:themeFill="text2" w:themeFillTint="33"/>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hy-AM" w:eastAsia="en-US"/>
              </w:rPr>
            </w:pPr>
            <w:r w:rsidRPr="002526E9">
              <w:rPr>
                <w:color w:val="auto"/>
                <w:szCs w:val="22"/>
                <w:lang w:val="hy-AM" w:eastAsia="en-US"/>
              </w:rPr>
              <w:t>5.1</w:t>
            </w:r>
          </w:p>
        </w:tc>
      </w:tr>
    </w:tbl>
    <w:p w14:paraId="46723346" w14:textId="77777777" w:rsidR="002526E9" w:rsidRPr="002526E9" w:rsidRDefault="002526E9" w:rsidP="002526E9">
      <w:pPr>
        <w:shd w:val="clear" w:color="auto" w:fill="C6D9F1" w:themeFill="text2" w:themeFillTint="33"/>
        <w:spacing w:before="0" w:after="240" w:line="276" w:lineRule="auto"/>
        <w:ind w:firstLine="1"/>
        <w:contextualSpacing w:val="0"/>
        <w:jc w:val="center"/>
        <w:rPr>
          <w:rFonts w:eastAsiaTheme="minorHAnsi" w:cs="Sylfaen"/>
          <w:szCs w:val="22"/>
          <w:lang w:val="hy-AM" w:eastAsia="en-US"/>
        </w:rPr>
      </w:pPr>
    </w:p>
    <w:p w14:paraId="5C85858A" w14:textId="77777777" w:rsidR="003C5774" w:rsidRDefault="003C5774" w:rsidP="002526E9">
      <w:pPr>
        <w:spacing w:before="0" w:after="240" w:line="276" w:lineRule="auto"/>
        <w:ind w:firstLine="1"/>
        <w:contextualSpacing w:val="0"/>
        <w:jc w:val="center"/>
        <w:rPr>
          <w:rFonts w:eastAsiaTheme="minorHAnsi" w:cs="Sylfaen"/>
          <w:szCs w:val="22"/>
          <w:lang w:val="hy-AM" w:eastAsia="en-US"/>
        </w:rPr>
      </w:pPr>
    </w:p>
    <w:p w14:paraId="2625DB46" w14:textId="130C5E2C" w:rsidR="002526E9" w:rsidRPr="002526E9" w:rsidRDefault="002526E9" w:rsidP="002526E9">
      <w:pPr>
        <w:spacing w:before="0" w:after="240" w:line="276" w:lineRule="auto"/>
        <w:ind w:firstLine="1"/>
        <w:contextualSpacing w:val="0"/>
        <w:jc w:val="center"/>
        <w:rPr>
          <w:rFonts w:eastAsiaTheme="minorHAnsi" w:cstheme="minorBidi"/>
          <w:b w:val="0"/>
          <w:bCs/>
          <w:szCs w:val="22"/>
          <w:lang w:val="hy-AM" w:eastAsia="en-US"/>
        </w:rPr>
      </w:pPr>
      <w:r w:rsidRPr="002526E9">
        <w:rPr>
          <w:rFonts w:eastAsiaTheme="minorHAnsi" w:cs="Sylfaen"/>
          <w:szCs w:val="22"/>
          <w:lang w:val="hy-AM" w:eastAsia="en-US"/>
        </w:rPr>
        <w:t>Պակասուրդի ֆինանսավորման պարտքային գործիքակազմը</w:t>
      </w:r>
    </w:p>
    <w:p w14:paraId="1559D3EA" w14:textId="77777777" w:rsidR="002526E9" w:rsidRPr="002526E9" w:rsidRDefault="002526E9" w:rsidP="002526E9">
      <w:pPr>
        <w:spacing w:before="0" w:after="120" w:line="276" w:lineRule="auto"/>
        <w:contextualSpacing w:val="0"/>
        <w:rPr>
          <w:rFonts w:eastAsiaTheme="minorHAnsi" w:cstheme="minorBidi"/>
          <w:b w:val="0"/>
          <w:bCs/>
          <w:szCs w:val="22"/>
          <w:lang w:val="hy-AM" w:eastAsia="en-US"/>
        </w:rPr>
      </w:pPr>
      <w:r w:rsidRPr="002526E9">
        <w:rPr>
          <w:rFonts w:eastAsiaTheme="minorHAnsi" w:cstheme="minorBidi"/>
          <w:b w:val="0"/>
          <w:bCs/>
          <w:szCs w:val="22"/>
          <w:lang w:val="hy-AM" w:eastAsia="en-US"/>
        </w:rPr>
        <w:t xml:space="preserve">2022 թվականին պետական բյուջեի պակասուրդի զուտ ֆինանսավորումը փոխառու միջոցների հաշվին կկազմի 356.5 մլրդ դրամ, ինչը կիրականացվի պետական գանձապետական պարտատոմսերի հաշվին՝ 250.2 մլրդ դրամ, արտաքին վարկերի հաշվին՝ 106.3 մլրդ դրամ և արտարժութային պետական պարտատոմսերի հաշվին մուտքեր չեն նախատեսվել: </w:t>
      </w:r>
    </w:p>
    <w:p w14:paraId="3223766D" w14:textId="77777777" w:rsidR="002526E9" w:rsidRPr="002526E9" w:rsidRDefault="002526E9" w:rsidP="002526E9">
      <w:pPr>
        <w:spacing w:before="0" w:after="120" w:line="276" w:lineRule="auto"/>
        <w:ind w:right="43" w:firstLine="0"/>
        <w:contextualSpacing w:val="0"/>
        <w:rPr>
          <w:rFonts w:eastAsiaTheme="minorHAnsi" w:cstheme="minorBidi"/>
          <w:b w:val="0"/>
          <w:bCs/>
          <w:i/>
          <w:szCs w:val="22"/>
          <w:u w:val="single"/>
          <w:lang w:val="hy-AM" w:eastAsia="en-US"/>
        </w:rPr>
      </w:pPr>
      <w:r w:rsidRPr="002526E9">
        <w:rPr>
          <w:rFonts w:eastAsiaTheme="minorHAnsi" w:cstheme="minorBidi"/>
          <w:b w:val="0"/>
          <w:bCs/>
          <w:i/>
          <w:szCs w:val="22"/>
          <w:u w:val="single"/>
          <w:lang w:val="hy-AM" w:eastAsia="en-US"/>
        </w:rPr>
        <w:t>Պակասուրդի ֆինանսավորումը պետական գանձապետական պարտատոմսերով</w:t>
      </w:r>
    </w:p>
    <w:p w14:paraId="1582F2D7" w14:textId="77777777" w:rsidR="002526E9" w:rsidRPr="002526E9" w:rsidRDefault="002526E9" w:rsidP="002526E9">
      <w:pPr>
        <w:spacing w:after="120" w:line="276" w:lineRule="auto"/>
        <w:ind w:right="43" w:firstLine="562"/>
        <w:rPr>
          <w:rFonts w:eastAsiaTheme="minorHAnsi" w:cstheme="minorBidi"/>
          <w:b w:val="0"/>
          <w:bCs/>
          <w:szCs w:val="22"/>
          <w:lang w:val="hy-AM" w:eastAsia="en-US"/>
        </w:rPr>
      </w:pPr>
      <w:r w:rsidRPr="002526E9">
        <w:rPr>
          <w:rFonts w:eastAsiaTheme="minorHAnsi" w:cstheme="minorBidi"/>
          <w:b w:val="0"/>
          <w:bCs/>
          <w:szCs w:val="22"/>
          <w:lang w:val="hy-AM" w:eastAsia="en-US"/>
        </w:rPr>
        <w:t>Պետական գանձապետական պարտատոմսերով բյուջեի դեֆիցիտի ֆինանսավորումն իրականացվելու է կարճաժամկետ (3, 6, 9 և 12 ամիս), միջնաժամկետ (3 և 5 տարի), երկարաժամկետ (10 և 30 տարի) և խնայողական պարտատոմսերի տեղաբաշխման միջոցով:</w:t>
      </w:r>
    </w:p>
    <w:p w14:paraId="5BAAE145" w14:textId="77777777" w:rsidR="002526E9" w:rsidRPr="002526E9" w:rsidRDefault="002526E9" w:rsidP="002526E9">
      <w:pPr>
        <w:spacing w:after="120" w:line="276" w:lineRule="auto"/>
        <w:ind w:right="43" w:firstLine="562"/>
        <w:rPr>
          <w:rFonts w:eastAsiaTheme="minorHAnsi" w:cstheme="minorBidi"/>
          <w:b w:val="0"/>
          <w:bCs/>
          <w:szCs w:val="22"/>
          <w:lang w:val="hy-AM" w:eastAsia="en-US"/>
        </w:rPr>
      </w:pPr>
      <w:r w:rsidRPr="002526E9">
        <w:rPr>
          <w:rFonts w:eastAsiaTheme="minorHAnsi" w:cstheme="minorBidi"/>
          <w:b w:val="0"/>
          <w:bCs/>
          <w:szCs w:val="22"/>
          <w:lang w:val="hy-AM" w:eastAsia="en-US"/>
        </w:rPr>
        <w:t>Յուրաքանչյուր երկու ամիսն առնվազն մեկ անգամ կկազմակերպվի 52, 39, 26 և 13 շաբաթ մարման ժամկետ ունեցող պետական գանձապետական կարճաժամկետ պարտատոմսերի տեղաբաշխման աճուրդներ: 6 ամիս մարման ժամկետ ունեցող պետական կարճաժամկետ պարտատոմսերն ուղենշային սահմանելու նպատակով մինչև մարում 52 և 39 շաբաթ ժամկետով պարտատոմսերի տեղաբաշխման ենթակա ծավալը կլինի նվազագույնը 3 մլրդ դրամ:</w:t>
      </w:r>
    </w:p>
    <w:p w14:paraId="4590F2A0" w14:textId="77777777" w:rsidR="002526E9" w:rsidRPr="002526E9" w:rsidRDefault="002526E9" w:rsidP="002526E9">
      <w:pPr>
        <w:pStyle w:val="ListParagraph"/>
        <w:spacing w:line="276" w:lineRule="auto"/>
        <w:ind w:left="0" w:right="51"/>
        <w:rPr>
          <w:rFonts w:eastAsiaTheme="minorHAnsi" w:cstheme="minorBidi"/>
          <w:b w:val="0"/>
          <w:bCs/>
          <w:szCs w:val="22"/>
          <w:lang w:val="hy-AM" w:eastAsia="en-US"/>
        </w:rPr>
      </w:pPr>
      <w:r w:rsidRPr="002526E9">
        <w:rPr>
          <w:rFonts w:eastAsiaTheme="minorHAnsi" w:cstheme="minorBidi"/>
          <w:b w:val="0"/>
          <w:bCs/>
          <w:szCs w:val="22"/>
          <w:lang w:val="hy-AM" w:eastAsia="en-US"/>
        </w:rPr>
        <w:t>2022 թվականի ապրիլի 29-ին կթողարկվեն 3, 5 և 30 տարի մարման ժամկետայնությամբ նոր միջնաժամկետ և երկարաժամկետ պետական գանձապետական պարտատոմսեր: 2022 թվականի ընթացքում կտեղաբաշխվեն 2031 թվականի հոկտեմբերի 29-ին մարման ենթակա երկարաժամկետ պարտատոմսերը, որոնց թողարկումն իրականացվել է 2020 թվականի հոկտեմբերի 29-ին:</w:t>
      </w:r>
    </w:p>
    <w:p w14:paraId="64B8C6CE" w14:textId="77777777" w:rsidR="002526E9" w:rsidRPr="002526E9" w:rsidRDefault="002526E9" w:rsidP="002526E9">
      <w:pPr>
        <w:tabs>
          <w:tab w:val="left" w:pos="142"/>
        </w:tabs>
        <w:spacing w:after="120" w:line="276" w:lineRule="auto"/>
        <w:ind w:right="49"/>
        <w:rPr>
          <w:rFonts w:eastAsiaTheme="minorHAnsi" w:cstheme="minorBidi"/>
          <w:b w:val="0"/>
          <w:bCs/>
          <w:szCs w:val="22"/>
          <w:lang w:val="hy-AM" w:eastAsia="en-US"/>
        </w:rPr>
      </w:pPr>
      <w:r w:rsidRPr="002526E9">
        <w:rPr>
          <w:rFonts w:eastAsiaTheme="minorHAnsi" w:cstheme="minorBidi"/>
          <w:b w:val="0"/>
          <w:bCs/>
          <w:szCs w:val="22"/>
          <w:lang w:val="hy-AM" w:eastAsia="en-US"/>
        </w:rPr>
        <w:t xml:space="preserve">Աճուրդների կողմնորոշիչ ծավալների վերաբերյալ տեղեկատվությունը կհրապարակվի եռամսյակային կտրվածքով: </w:t>
      </w:r>
    </w:p>
    <w:p w14:paraId="1FAFAF25" w14:textId="77777777" w:rsidR="002526E9" w:rsidRPr="002526E9" w:rsidRDefault="002526E9" w:rsidP="002526E9">
      <w:pPr>
        <w:tabs>
          <w:tab w:val="left" w:pos="142"/>
        </w:tabs>
        <w:spacing w:after="120" w:line="276" w:lineRule="auto"/>
        <w:ind w:right="49"/>
        <w:rPr>
          <w:rFonts w:eastAsiaTheme="minorHAnsi" w:cstheme="minorBidi"/>
          <w:b w:val="0"/>
          <w:bCs/>
          <w:szCs w:val="22"/>
          <w:lang w:val="hy-AM" w:eastAsia="en-US"/>
        </w:rPr>
      </w:pPr>
      <w:r w:rsidRPr="002526E9">
        <w:rPr>
          <w:rFonts w:eastAsiaTheme="minorHAnsi" w:cstheme="minorBidi"/>
          <w:b w:val="0"/>
          <w:bCs/>
          <w:szCs w:val="22"/>
          <w:lang w:val="hy-AM" w:eastAsia="en-US"/>
        </w:rPr>
        <w:t>Յուրաքանչյուր աճուրդին տեղաբաշխման ենթակա պարտատոմսերի ծավալների (միջակայքի) և ժամկետների վերաբերյալ տեղեկատվությունը կհրապարակվի աճուրդից առաջ՝ գործակալների հետ խորհրդակցելուց հետո:</w:t>
      </w:r>
    </w:p>
    <w:p w14:paraId="31DEDDE8" w14:textId="77777777" w:rsidR="002526E9" w:rsidRPr="002526E9" w:rsidRDefault="002526E9" w:rsidP="002526E9">
      <w:pPr>
        <w:pStyle w:val="ListParagraph"/>
        <w:tabs>
          <w:tab w:val="left" w:pos="142"/>
        </w:tabs>
        <w:spacing w:line="276" w:lineRule="auto"/>
        <w:ind w:left="0" w:right="49"/>
        <w:rPr>
          <w:rFonts w:eastAsiaTheme="minorHAnsi" w:cstheme="minorBidi"/>
          <w:b w:val="0"/>
          <w:bCs/>
          <w:szCs w:val="22"/>
          <w:lang w:val="hy-AM" w:eastAsia="en-US"/>
        </w:rPr>
      </w:pPr>
      <w:r w:rsidRPr="002526E9">
        <w:rPr>
          <w:rFonts w:eastAsiaTheme="minorHAnsi" w:cstheme="minorBidi"/>
          <w:b w:val="0"/>
          <w:bCs/>
          <w:szCs w:val="22"/>
          <w:lang w:val="hy-AM" w:eastAsia="en-US"/>
        </w:rPr>
        <w:t>Շուկայական իրավիճակից ելնելով՝ ՀՀ ֆինանսների նախարարությունը, գործակալների հետ խորհրդակցելու արդյունքում, կարող է փոփոխել ներկայացված օրացույցը կամ չեղարկել աճուրդի օրերը:</w:t>
      </w:r>
    </w:p>
    <w:p w14:paraId="4DF3E15A" w14:textId="77777777" w:rsidR="002526E9" w:rsidRPr="002526E9" w:rsidRDefault="002526E9" w:rsidP="002526E9">
      <w:pPr>
        <w:pStyle w:val="ListParagraph"/>
        <w:tabs>
          <w:tab w:val="left" w:pos="142"/>
        </w:tabs>
        <w:spacing w:line="276" w:lineRule="auto"/>
        <w:ind w:left="0" w:right="49"/>
        <w:rPr>
          <w:rFonts w:eastAsiaTheme="minorHAnsi" w:cstheme="minorBidi"/>
          <w:b w:val="0"/>
          <w:bCs/>
          <w:szCs w:val="22"/>
          <w:lang w:val="hy-AM" w:eastAsia="en-US"/>
        </w:rPr>
      </w:pPr>
      <w:r w:rsidRPr="002526E9">
        <w:rPr>
          <w:rFonts w:eastAsiaTheme="minorHAnsi" w:cstheme="minorBidi"/>
          <w:b w:val="0"/>
          <w:bCs/>
          <w:szCs w:val="22"/>
          <w:lang w:val="hy-AM" w:eastAsia="en-US"/>
        </w:rPr>
        <w:t>Կարող են իրականացվել պետական գանձապետական կարճաժամկետ պարտատոմսերի լրացուցիչ թողարկումներ, ընդ որում մինչև 3 շաբաթ մարման ժամկետայնությամբ թողարկումներ կարող են իրականացվել կանխիկ հոսքերի կառավարման նպատակով, իսկ 3-12 շաբաթ մարման ժամկետայնությամբ թողարկումներ` հարկաբյուջետային և դրամավարկային քաղաքականությունների կոորդինացման շրջանակներում:</w:t>
      </w:r>
    </w:p>
    <w:p w14:paraId="20190BE5" w14:textId="77777777" w:rsidR="002526E9" w:rsidRPr="002526E9" w:rsidRDefault="002526E9" w:rsidP="002526E9">
      <w:pPr>
        <w:pStyle w:val="ListParagraph"/>
        <w:tabs>
          <w:tab w:val="left" w:pos="142"/>
        </w:tabs>
        <w:spacing w:line="276" w:lineRule="auto"/>
        <w:ind w:left="0" w:right="49"/>
        <w:rPr>
          <w:rFonts w:eastAsiaTheme="minorHAnsi" w:cstheme="minorBidi"/>
          <w:b w:val="0"/>
          <w:bCs/>
          <w:szCs w:val="22"/>
          <w:lang w:val="hy-AM" w:eastAsia="en-US"/>
        </w:rPr>
      </w:pPr>
      <w:r w:rsidRPr="002526E9">
        <w:rPr>
          <w:rFonts w:eastAsiaTheme="minorHAnsi" w:cstheme="minorBidi"/>
          <w:b w:val="0"/>
          <w:bCs/>
          <w:szCs w:val="22"/>
          <w:lang w:val="hy-AM" w:eastAsia="en-US"/>
        </w:rPr>
        <w:t>Ապրիլի 29-ը և հոկտեմբերի 29-ը, որոնց վրա կենտրոնացված են արժեկտրոնային պարտատոմսերի տոկոսավճարներն ու մարումները, հանդիսանում են աճուրդների պահուստային օրեր: Քանի որ 2022 թվականի հոկտեմբերի 29-ը շաբաթ օր է, հնարավոր տեղաբաշխման աճուրդը կիրականացվի հոկտեմբերի 31-ին:</w:t>
      </w:r>
    </w:p>
    <w:p w14:paraId="7BEA0DA1" w14:textId="77777777" w:rsidR="002526E9" w:rsidRPr="002526E9" w:rsidRDefault="002526E9" w:rsidP="002526E9">
      <w:pPr>
        <w:pStyle w:val="ListParagraph"/>
        <w:tabs>
          <w:tab w:val="left" w:pos="142"/>
        </w:tabs>
        <w:spacing w:line="276" w:lineRule="auto"/>
        <w:ind w:left="0" w:right="49"/>
        <w:rPr>
          <w:rFonts w:eastAsiaTheme="minorHAnsi" w:cstheme="minorBidi"/>
          <w:b w:val="0"/>
          <w:bCs/>
          <w:szCs w:val="22"/>
          <w:lang w:val="hy-AM" w:eastAsia="en-US"/>
        </w:rPr>
      </w:pPr>
      <w:r w:rsidRPr="002526E9">
        <w:rPr>
          <w:rFonts w:eastAsiaTheme="minorHAnsi" w:cstheme="minorBidi"/>
          <w:b w:val="0"/>
          <w:bCs/>
          <w:szCs w:val="22"/>
          <w:lang w:val="hy-AM" w:eastAsia="en-US"/>
        </w:rPr>
        <w:t>ՀՀ ֆինանսների նախարարությունը, ելնելով փոխառության կարիքից և շուկայի միտումներից, կարող է հայտարարել լրացուցիչ աճուրդի օրեր:</w:t>
      </w:r>
    </w:p>
    <w:p w14:paraId="5D19D797" w14:textId="77777777" w:rsidR="002526E9" w:rsidRPr="002526E9" w:rsidRDefault="002526E9" w:rsidP="002526E9">
      <w:pPr>
        <w:spacing w:after="120" w:line="276" w:lineRule="auto"/>
        <w:ind w:right="49" w:firstLine="720"/>
        <w:rPr>
          <w:rFonts w:eastAsiaTheme="minorHAnsi" w:cstheme="minorBidi"/>
          <w:b w:val="0"/>
          <w:bCs/>
          <w:szCs w:val="22"/>
          <w:lang w:val="hy-AM" w:eastAsia="en-US"/>
        </w:rPr>
      </w:pPr>
      <w:r w:rsidRPr="002526E9">
        <w:rPr>
          <w:rFonts w:eastAsiaTheme="minorHAnsi" w:cstheme="minorBidi"/>
          <w:b w:val="0"/>
          <w:bCs/>
          <w:szCs w:val="22"/>
          <w:lang w:val="hy-AM" w:eastAsia="en-US"/>
        </w:rPr>
        <w:t>2022 թվականի ընթացքում կիրականացվեն նաև պետական գանձապետական պարտատոմսերի հետգնումներ: 2022 թվականի ընթացքում պարտատոմսերի հետգնումների 70-80% կիրականացվեն մարման գրաֆիկի հարթեցման, իսկ 20-30%՝ պարտատոմսերի իրացվելիությունը խթանելու նպատակով: Որպես կանոն, պետական գանձապետական պարտատոմսերի հետգնումները կիրականացվեն միջնաժամկետ և երկարաժամկետ պարտատոմսերի տեղաբաշխումների օրերին։ ՀՀ ֆինանսների նախարարությունը յուրաքանչյուր թողարկման պարտատոմսերի տեղաբաշխման ժամանակահատվածում այդ պարտատոմսերի հետգնում չի իրականացնի:</w:t>
      </w:r>
    </w:p>
    <w:p w14:paraId="4370B0AB" w14:textId="77777777" w:rsidR="002526E9" w:rsidRPr="002526E9" w:rsidRDefault="002526E9" w:rsidP="002526E9">
      <w:pPr>
        <w:spacing w:after="120" w:line="276" w:lineRule="auto"/>
        <w:ind w:right="49" w:firstLine="720"/>
        <w:rPr>
          <w:rFonts w:eastAsiaTheme="minorHAnsi" w:cstheme="minorBidi"/>
          <w:b w:val="0"/>
          <w:bCs/>
          <w:szCs w:val="22"/>
          <w:lang w:val="hy-AM" w:eastAsia="en-US"/>
        </w:rPr>
      </w:pPr>
      <w:r w:rsidRPr="002526E9">
        <w:rPr>
          <w:rFonts w:eastAsiaTheme="minorHAnsi" w:cstheme="minorBidi"/>
          <w:b w:val="0"/>
          <w:bCs/>
          <w:szCs w:val="22"/>
          <w:lang w:val="hy-AM" w:eastAsia="en-US"/>
        </w:rPr>
        <w:t xml:space="preserve">ՀՀ ֆինանսների նախարարության </w:t>
      </w:r>
      <w:hyperlink r:id="rId82" w:history="1">
        <w:r w:rsidRPr="002526E9">
          <w:rPr>
            <w:rFonts w:eastAsiaTheme="minorHAnsi" w:cstheme="minorBidi"/>
            <w:b w:val="0"/>
            <w:bCs/>
            <w:color w:val="0070C0"/>
            <w:szCs w:val="22"/>
            <w:lang w:val="hy-AM" w:eastAsia="en-US"/>
          </w:rPr>
          <w:t>www.minfin.am</w:t>
        </w:r>
      </w:hyperlink>
      <w:r w:rsidRPr="002526E9">
        <w:rPr>
          <w:rFonts w:eastAsiaTheme="minorHAnsi" w:cstheme="minorBidi"/>
          <w:b w:val="0"/>
          <w:bCs/>
          <w:szCs w:val="22"/>
          <w:lang w:val="hy-AM" w:eastAsia="en-US"/>
        </w:rPr>
        <w:t xml:space="preserve"> պաշտոնական կայքում եռամսյակային կտրվածքով, յուրաքանչյուր եռամսյակից 10 օր առաջ, կհրապարակվի ուղենշային համարվող պարտատոմսերի ցանկը:</w:t>
      </w:r>
    </w:p>
    <w:p w14:paraId="553670C7" w14:textId="77777777" w:rsidR="002526E9" w:rsidRPr="002526E9" w:rsidRDefault="002526E9" w:rsidP="002526E9">
      <w:pPr>
        <w:spacing w:after="120" w:line="276" w:lineRule="auto"/>
        <w:ind w:right="49" w:firstLine="720"/>
        <w:rPr>
          <w:rFonts w:eastAsiaTheme="minorHAnsi" w:cstheme="minorBidi"/>
          <w:b w:val="0"/>
          <w:bCs/>
          <w:szCs w:val="22"/>
          <w:lang w:val="hy-AM" w:eastAsia="en-US"/>
        </w:rPr>
      </w:pPr>
      <w:r w:rsidRPr="002526E9">
        <w:rPr>
          <w:rFonts w:eastAsiaTheme="minorHAnsi" w:cstheme="minorBidi"/>
          <w:b w:val="0"/>
          <w:bCs/>
          <w:szCs w:val="22"/>
          <w:lang w:val="hy-AM" w:eastAsia="en-US"/>
        </w:rPr>
        <w:t xml:space="preserve">Յուրաքանչյուր ամսվա նախավերջին հինգշաբթի օրը կկազմակերպվի հանդիպում գործակալների հետ: Յուրաքանչյուր եռամսյակի նախավերջին չորեքշաբթի օրը կկազմակերպվի հանդիպում պետական պարտատոմսերի շուկայի այլ ինստիտուցիոնալ մասնակիցների հետ: </w:t>
      </w:r>
    </w:p>
    <w:p w14:paraId="24916846" w14:textId="77777777" w:rsidR="002526E9" w:rsidRPr="002526E9" w:rsidRDefault="002526E9" w:rsidP="002526E9">
      <w:pPr>
        <w:spacing w:after="120" w:line="276" w:lineRule="auto"/>
        <w:ind w:right="49" w:firstLine="720"/>
        <w:rPr>
          <w:rFonts w:eastAsiaTheme="minorHAnsi" w:cstheme="minorBidi"/>
          <w:b w:val="0"/>
          <w:bCs/>
          <w:szCs w:val="22"/>
          <w:lang w:val="hy-AM" w:eastAsia="en-US"/>
        </w:rPr>
      </w:pPr>
      <w:r w:rsidRPr="002526E9">
        <w:rPr>
          <w:rFonts w:eastAsiaTheme="minorHAnsi" w:cstheme="minorBidi"/>
          <w:b w:val="0"/>
          <w:bCs/>
          <w:szCs w:val="22"/>
          <w:lang w:val="hy-AM" w:eastAsia="en-US"/>
        </w:rPr>
        <w:t>COVID-19 համավարակով պայմանավորված հետաձգվեց պետական գանձապետական պարտատոմսերի փոխանակման աճուրդային համակարգի ներդրումը 2021 թվականին: Այն նախատեսվում է իրականացնել 2022 թվականին:</w:t>
      </w:r>
    </w:p>
    <w:p w14:paraId="795A0112" w14:textId="77777777" w:rsidR="002526E9" w:rsidRPr="002526E9" w:rsidRDefault="002526E9" w:rsidP="002526E9">
      <w:pPr>
        <w:spacing w:after="120" w:line="276" w:lineRule="auto"/>
        <w:ind w:right="49" w:firstLine="720"/>
        <w:rPr>
          <w:rFonts w:eastAsiaTheme="minorHAnsi" w:cstheme="minorBidi"/>
          <w:b w:val="0"/>
          <w:bCs/>
          <w:szCs w:val="22"/>
          <w:lang w:val="hy-AM" w:eastAsia="en-US"/>
        </w:rPr>
      </w:pPr>
      <w:r w:rsidRPr="002526E9">
        <w:rPr>
          <w:rFonts w:eastAsiaTheme="minorHAnsi" w:cstheme="minorBidi"/>
          <w:b w:val="0"/>
          <w:bCs/>
          <w:szCs w:val="22"/>
          <w:lang w:val="hy-AM" w:eastAsia="en-US"/>
        </w:rPr>
        <w:t>2022 թվականին նախատեսվում է աճուրդի մասնակիցների կողմից ներկայացվող հայտերում դրանց բավարարման էական պայման հանդիսացող պարտատոմսերի տարեկան եկամտաբերության փոխարեն կիրառել 100 միավորի դիմաց գինը:</w:t>
      </w:r>
    </w:p>
    <w:p w14:paraId="0CE7FFDC" w14:textId="77777777" w:rsidR="002526E9" w:rsidRPr="002526E9" w:rsidRDefault="002526E9" w:rsidP="002526E9">
      <w:pPr>
        <w:spacing w:after="120" w:line="276" w:lineRule="auto"/>
        <w:ind w:right="49" w:firstLine="720"/>
        <w:rPr>
          <w:rFonts w:eastAsiaTheme="minorHAnsi" w:cstheme="minorBidi"/>
          <w:b w:val="0"/>
          <w:bCs/>
          <w:szCs w:val="22"/>
          <w:lang w:val="hy-AM" w:eastAsia="en-US"/>
        </w:rPr>
      </w:pPr>
      <w:r w:rsidRPr="002526E9">
        <w:rPr>
          <w:rFonts w:eastAsiaTheme="minorHAnsi" w:cstheme="minorBidi"/>
          <w:b w:val="0"/>
          <w:bCs/>
          <w:szCs w:val="22"/>
          <w:lang w:val="hy-AM" w:eastAsia="en-US"/>
        </w:rPr>
        <w:t>Կուսումնասիրվեն գնաճով ինդեքսավորված պետական պարտատոմսերի թողարկման հնարավորությունները և կարգավորումների հաստատման դեպքում կիրականացվի գնաճով ինդեքսավորված պետական պարտատոմսերի դասական տարբերակի պիլոտային թողարկում:</w:t>
      </w:r>
    </w:p>
    <w:p w14:paraId="3B4F5930" w14:textId="77777777" w:rsidR="002526E9" w:rsidRPr="002526E9" w:rsidRDefault="002526E9" w:rsidP="002526E9">
      <w:pPr>
        <w:spacing w:before="240" w:after="120" w:line="276" w:lineRule="auto"/>
        <w:ind w:right="43" w:firstLine="0"/>
        <w:contextualSpacing w:val="0"/>
        <w:rPr>
          <w:rFonts w:eastAsiaTheme="minorHAnsi" w:cstheme="minorBidi"/>
          <w:b w:val="0"/>
          <w:bCs/>
          <w:i/>
          <w:szCs w:val="22"/>
          <w:u w:val="single"/>
          <w:lang w:val="hy-AM" w:eastAsia="en-US"/>
        </w:rPr>
      </w:pPr>
    </w:p>
    <w:p w14:paraId="6E1D5E1A" w14:textId="77777777" w:rsidR="002526E9" w:rsidRPr="002526E9" w:rsidRDefault="002526E9" w:rsidP="002526E9">
      <w:pPr>
        <w:spacing w:before="240" w:after="120" w:line="276" w:lineRule="auto"/>
        <w:ind w:right="43" w:firstLine="0"/>
        <w:contextualSpacing w:val="0"/>
        <w:rPr>
          <w:rFonts w:eastAsiaTheme="minorHAnsi" w:cstheme="minorBidi"/>
          <w:b w:val="0"/>
          <w:bCs/>
          <w:i/>
          <w:szCs w:val="22"/>
          <w:u w:val="single"/>
          <w:lang w:val="hy-AM" w:eastAsia="en-US"/>
        </w:rPr>
      </w:pPr>
      <w:r w:rsidRPr="002526E9">
        <w:rPr>
          <w:rFonts w:eastAsiaTheme="minorHAnsi" w:cstheme="minorBidi"/>
          <w:b w:val="0"/>
          <w:bCs/>
          <w:i/>
          <w:szCs w:val="22"/>
          <w:u w:val="single"/>
          <w:lang w:val="hy-AM" w:eastAsia="en-US"/>
        </w:rPr>
        <w:t>Պակասուրդի ֆինանսավորումն արտաքին վարկերով</w:t>
      </w:r>
    </w:p>
    <w:p w14:paraId="77AFF936" w14:textId="77777777" w:rsidR="002526E9" w:rsidRPr="002526E9" w:rsidRDefault="002526E9" w:rsidP="002526E9">
      <w:pPr>
        <w:spacing w:before="0" w:after="120" w:line="276" w:lineRule="auto"/>
        <w:contextualSpacing w:val="0"/>
        <w:rPr>
          <w:rFonts w:eastAsiaTheme="minorHAnsi" w:cstheme="minorBidi"/>
          <w:b w:val="0"/>
          <w:szCs w:val="22"/>
          <w:lang w:val="hy-AM" w:eastAsia="en-US"/>
        </w:rPr>
      </w:pPr>
      <w:r w:rsidRPr="002526E9">
        <w:rPr>
          <w:rFonts w:eastAsiaTheme="minorHAnsi" w:cstheme="minorBidi"/>
          <w:b w:val="0"/>
          <w:szCs w:val="22"/>
          <w:lang w:val="hy-AM" w:eastAsia="en-US"/>
        </w:rPr>
        <w:t>ՀՀ 2022 թվականին պետական բյուջեի պակասուրդը ֆինանսավորելու համար նախատեսվում է արտաքին վարկերի գծով կատարել 227.8 մլրդ դրամի (477 մլն ԱՄՆ դոլար) մասհանումներ</w:t>
      </w:r>
      <w:r w:rsidRPr="002526E9">
        <w:rPr>
          <w:rFonts w:eastAsiaTheme="minorHAnsi" w:cstheme="minorBidi"/>
          <w:b w:val="0"/>
          <w:szCs w:val="22"/>
          <w:vertAlign w:val="superscript"/>
          <w:lang w:val="en-US" w:eastAsia="en-US"/>
        </w:rPr>
        <w:footnoteReference w:id="25"/>
      </w:r>
      <w:r w:rsidRPr="002526E9">
        <w:rPr>
          <w:rFonts w:eastAsiaTheme="minorHAnsi" w:cstheme="minorBidi"/>
          <w:b w:val="0"/>
          <w:szCs w:val="22"/>
          <w:lang w:val="hy-AM" w:eastAsia="en-US"/>
        </w:rPr>
        <w:t xml:space="preserve">: Ընդ որում մասհանումներից 132.3 մլրդ դրամը (277 մլն ԱՄՆ դոլար) նախատեսվում է կատարել նպատակային վարկային ծրագրերի գծով, իսկ մնացած 95.5 մլրդ դրամը (200 մլն ԱՄՆ դոլար)՝ բյուջետային աջակցության վարկերի գծով: </w:t>
      </w:r>
    </w:p>
    <w:p w14:paraId="34F890DE" w14:textId="2333FAA1" w:rsidR="002526E9" w:rsidRDefault="002526E9" w:rsidP="002526E9">
      <w:pPr>
        <w:spacing w:before="0" w:after="120" w:line="276" w:lineRule="auto"/>
        <w:contextualSpacing w:val="0"/>
        <w:rPr>
          <w:rFonts w:eastAsiaTheme="minorHAnsi" w:cstheme="minorBidi"/>
          <w:b w:val="0"/>
          <w:szCs w:val="22"/>
          <w:lang w:val="hy-AM" w:eastAsia="en-US"/>
        </w:rPr>
      </w:pPr>
      <w:r w:rsidRPr="002526E9">
        <w:rPr>
          <w:rFonts w:eastAsiaTheme="minorHAnsi" w:cstheme="minorBidi"/>
          <w:b w:val="0"/>
          <w:szCs w:val="22"/>
          <w:lang w:val="hy-AM" w:eastAsia="en-US"/>
        </w:rPr>
        <w:t>2022 թվականի համար ծրագրավորված մասհանումների 46.9%-ի աղբյուրները ենթակա են հստակեցման, 12.0%-ը՝ Ասիական Զարգացման Բանկի վարկերի գծով, 11.4%-ը՝ Համաշխարհային Բանկի (ՎԶՄԲ և ԶՄԸ) վարկերի գծով և 10.3%-ը` գերմանական վարկերի գծով: Ըստ վարկատուների մասհանումների կառուցվածքը հետևյալն է.</w:t>
      </w:r>
    </w:p>
    <w:p w14:paraId="1C22AAFD" w14:textId="77777777" w:rsidR="00C537C7" w:rsidRPr="002526E9" w:rsidRDefault="00C537C7" w:rsidP="002526E9">
      <w:pPr>
        <w:spacing w:before="0" w:after="120" w:line="276" w:lineRule="auto"/>
        <w:contextualSpacing w:val="0"/>
        <w:rPr>
          <w:rFonts w:eastAsiaTheme="minorHAnsi" w:cstheme="minorBidi"/>
          <w:b w:val="0"/>
          <w:szCs w:val="22"/>
          <w:lang w:val="hy-AM" w:eastAsia="en-US"/>
        </w:rPr>
      </w:pPr>
    </w:p>
    <w:p w14:paraId="3EDA5F0D" w14:textId="77777777" w:rsidR="002526E9" w:rsidRPr="002526E9" w:rsidRDefault="002526E9" w:rsidP="002526E9">
      <w:pPr>
        <w:spacing w:before="0" w:line="276" w:lineRule="auto"/>
        <w:ind w:firstLine="0"/>
        <w:contextualSpacing w:val="0"/>
        <w:jc w:val="center"/>
        <w:rPr>
          <w:rFonts w:eastAsiaTheme="minorHAnsi" w:cstheme="minorBidi"/>
          <w:b w:val="0"/>
          <w:szCs w:val="22"/>
          <w:lang w:val="en-US" w:eastAsia="en-US"/>
        </w:rPr>
      </w:pPr>
      <w:r w:rsidRPr="002526E9">
        <w:rPr>
          <w:noProof/>
          <w:szCs w:val="22"/>
          <w:lang w:val="en-US" w:eastAsia="en-US"/>
        </w:rPr>
        <w:drawing>
          <wp:inline distT="0" distB="0" distL="0" distR="0" wp14:anchorId="4761C8A2" wp14:editId="0D5ABA3C">
            <wp:extent cx="5526340" cy="2748718"/>
            <wp:effectExtent l="133350" t="95250" r="132080" b="90170"/>
            <wp:docPr id="65" name="Chart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A7D5DB9" w14:textId="77777777" w:rsidR="002526E9" w:rsidRPr="002526E9" w:rsidRDefault="002526E9" w:rsidP="002526E9">
      <w:pPr>
        <w:spacing w:before="0" w:line="276" w:lineRule="auto"/>
        <w:ind w:firstLine="720"/>
        <w:contextualSpacing w:val="0"/>
        <w:rPr>
          <w:rFonts w:eastAsiaTheme="minorHAnsi" w:cstheme="minorBidi"/>
          <w:b w:val="0"/>
          <w:szCs w:val="22"/>
          <w:lang w:val="hy-AM" w:eastAsia="en-US"/>
        </w:rPr>
      </w:pPr>
    </w:p>
    <w:p w14:paraId="1681608B" w14:textId="77777777" w:rsidR="002526E9" w:rsidRPr="002526E9" w:rsidRDefault="002526E9" w:rsidP="002526E9">
      <w:pPr>
        <w:spacing w:before="0" w:line="276" w:lineRule="auto"/>
        <w:ind w:firstLine="720"/>
        <w:contextualSpacing w:val="0"/>
        <w:rPr>
          <w:rFonts w:eastAsiaTheme="minorHAnsi" w:cstheme="minorBidi"/>
          <w:b w:val="0"/>
          <w:szCs w:val="22"/>
          <w:lang w:val="hy-AM" w:eastAsia="en-US"/>
        </w:rPr>
      </w:pPr>
    </w:p>
    <w:p w14:paraId="7C618245" w14:textId="00223908" w:rsidR="002526E9" w:rsidRDefault="002526E9" w:rsidP="002526E9">
      <w:pPr>
        <w:spacing w:before="0" w:line="276" w:lineRule="auto"/>
        <w:ind w:firstLine="720"/>
        <w:contextualSpacing w:val="0"/>
        <w:rPr>
          <w:rFonts w:eastAsiaTheme="minorHAnsi" w:cstheme="minorBidi"/>
          <w:b w:val="0"/>
          <w:szCs w:val="22"/>
          <w:lang w:val="hy-AM" w:eastAsia="en-US"/>
        </w:rPr>
      </w:pPr>
      <w:r w:rsidRPr="002526E9">
        <w:rPr>
          <w:rFonts w:eastAsiaTheme="minorHAnsi" w:cstheme="minorBidi"/>
          <w:b w:val="0"/>
          <w:szCs w:val="22"/>
          <w:lang w:val="hy-AM" w:eastAsia="en-US"/>
        </w:rPr>
        <w:t>Ընդհանուր առմամբ, ըստ ոլորտների մասհանումների կառուցվածքը կլինի հետևյալը.</w:t>
      </w:r>
    </w:p>
    <w:p w14:paraId="3BF290E5" w14:textId="77777777" w:rsidR="00C537C7" w:rsidRPr="002526E9" w:rsidRDefault="00C537C7" w:rsidP="002526E9">
      <w:pPr>
        <w:spacing w:before="0" w:line="276" w:lineRule="auto"/>
        <w:ind w:firstLine="720"/>
        <w:contextualSpacing w:val="0"/>
        <w:rPr>
          <w:rFonts w:eastAsiaTheme="minorHAnsi" w:cstheme="minorBidi"/>
          <w:b w:val="0"/>
          <w:szCs w:val="22"/>
          <w:lang w:val="hy-AM" w:eastAsia="en-US"/>
        </w:rPr>
      </w:pPr>
    </w:p>
    <w:p w14:paraId="43CF7FBC" w14:textId="77777777" w:rsidR="002526E9" w:rsidRPr="002526E9" w:rsidRDefault="002526E9" w:rsidP="002526E9">
      <w:pPr>
        <w:tabs>
          <w:tab w:val="num" w:pos="720"/>
        </w:tabs>
        <w:spacing w:before="0" w:line="276" w:lineRule="auto"/>
        <w:ind w:firstLine="0"/>
        <w:contextualSpacing w:val="0"/>
        <w:jc w:val="center"/>
        <w:rPr>
          <w:rFonts w:eastAsiaTheme="minorHAnsi" w:cstheme="minorBidi"/>
          <w:b w:val="0"/>
          <w:szCs w:val="22"/>
          <w:lang w:val="hy-AM" w:eastAsia="en-US"/>
        </w:rPr>
      </w:pPr>
      <w:r w:rsidRPr="002526E9">
        <w:rPr>
          <w:noProof/>
          <w:szCs w:val="22"/>
          <w:lang w:val="en-US" w:eastAsia="en-US"/>
        </w:rPr>
        <w:drawing>
          <wp:inline distT="0" distB="0" distL="0" distR="0" wp14:anchorId="6CA738EE" wp14:editId="663FF7F2">
            <wp:extent cx="5943600" cy="1978025"/>
            <wp:effectExtent l="133350" t="95250" r="133350" b="98425"/>
            <wp:docPr id="66" name="Chart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0E8D5B17" w14:textId="77777777" w:rsidR="00C537C7" w:rsidRDefault="00C537C7" w:rsidP="002526E9">
      <w:pPr>
        <w:spacing w:before="0" w:after="120" w:line="276" w:lineRule="auto"/>
        <w:ind w:firstLine="720"/>
        <w:contextualSpacing w:val="0"/>
        <w:rPr>
          <w:rFonts w:eastAsiaTheme="minorHAnsi" w:cstheme="minorBidi"/>
          <w:b w:val="0"/>
          <w:szCs w:val="22"/>
          <w:lang w:val="es-ES" w:eastAsia="en-US"/>
        </w:rPr>
      </w:pPr>
    </w:p>
    <w:p w14:paraId="0A643414" w14:textId="0E1FF36B" w:rsidR="002526E9" w:rsidRDefault="00875D10" w:rsidP="002526E9">
      <w:pPr>
        <w:spacing w:before="0" w:after="120" w:line="276" w:lineRule="auto"/>
        <w:ind w:firstLine="720"/>
        <w:contextualSpacing w:val="0"/>
        <w:rPr>
          <w:rFonts w:eastAsiaTheme="minorHAnsi" w:cstheme="minorBidi"/>
          <w:b w:val="0"/>
          <w:szCs w:val="22"/>
          <w:lang w:val="es-ES" w:eastAsia="en-US"/>
        </w:rPr>
      </w:pPr>
      <w:r w:rsidRPr="002526E9">
        <w:rPr>
          <w:noProof/>
          <w:szCs w:val="22"/>
          <w:lang w:val="en-US" w:eastAsia="en-US"/>
        </w:rPr>
        <mc:AlternateContent>
          <mc:Choice Requires="wpg">
            <w:drawing>
              <wp:anchor distT="0" distB="0" distL="114300" distR="114300" simplePos="0" relativeHeight="251600896" behindDoc="0" locked="0" layoutInCell="1" allowOverlap="1" wp14:anchorId="3F17F7EC" wp14:editId="1395F5F0">
                <wp:simplePos x="0" y="0"/>
                <wp:positionH relativeFrom="column">
                  <wp:posOffset>-110490</wp:posOffset>
                </wp:positionH>
                <wp:positionV relativeFrom="paragraph">
                  <wp:posOffset>504825</wp:posOffset>
                </wp:positionV>
                <wp:extent cx="6591300" cy="1895475"/>
                <wp:effectExtent l="114300" t="95250" r="114300" b="85725"/>
                <wp:wrapNone/>
                <wp:docPr id="60" name="Group 2"/>
                <wp:cNvGraphicFramePr/>
                <a:graphic xmlns:a="http://schemas.openxmlformats.org/drawingml/2006/main">
                  <a:graphicData uri="http://schemas.microsoft.com/office/word/2010/wordprocessingGroup">
                    <wpg:wgp>
                      <wpg:cNvGrpSpPr/>
                      <wpg:grpSpPr bwMode="auto">
                        <a:xfrm>
                          <a:off x="0" y="0"/>
                          <a:ext cx="6591300" cy="1895475"/>
                          <a:chOff x="-634091" y="15400"/>
                          <a:chExt cx="9884476" cy="2748334"/>
                        </a:xfrm>
                      </wpg:grpSpPr>
                      <wpg:graphicFrame>
                        <wpg:cNvPr id="61" name="Chart 61"/>
                        <wpg:cNvFrPr>
                          <a:graphicFrameLocks/>
                        </wpg:cNvFrPr>
                        <wpg:xfrm>
                          <a:off x="-634091" y="15400"/>
                          <a:ext cx="4861393" cy="2744524"/>
                        </wpg:xfrm>
                        <a:graphic>
                          <a:graphicData uri="http://schemas.openxmlformats.org/drawingml/2006/chart">
                            <c:chart xmlns:c="http://schemas.openxmlformats.org/drawingml/2006/chart" xmlns:r="http://schemas.openxmlformats.org/officeDocument/2006/relationships" r:id="rId85"/>
                          </a:graphicData>
                        </a:graphic>
                      </wpg:graphicFrame>
                      <wpg:graphicFrame>
                        <wpg:cNvPr id="62" name="Chart 62"/>
                        <wpg:cNvFrPr>
                          <a:graphicFrameLocks/>
                        </wpg:cNvFrPr>
                        <wpg:xfrm>
                          <a:off x="4386009" y="15400"/>
                          <a:ext cx="4864376" cy="2748334"/>
                        </wpg:xfrm>
                        <a:graphic>
                          <a:graphicData uri="http://schemas.openxmlformats.org/drawingml/2006/chart">
                            <c:chart xmlns:c="http://schemas.openxmlformats.org/drawingml/2006/chart" xmlns:r="http://schemas.openxmlformats.org/officeDocument/2006/relationships" r:id="rId86"/>
                          </a:graphicData>
                        </a:graphic>
                      </wpg:graphicFrame>
                    </wpg:wgp>
                  </a:graphicData>
                </a:graphic>
                <wp14:sizeRelH relativeFrom="margin">
                  <wp14:pctWidth>0</wp14:pctWidth>
                </wp14:sizeRelH>
                <wp14:sizeRelV relativeFrom="margin">
                  <wp14:pctHeight>0</wp14:pctHeight>
                </wp14:sizeRelV>
              </wp:anchor>
            </w:drawing>
          </mc:Choice>
          <mc:Fallback>
            <w:pict>
              <v:group w14:anchorId="77C8E13B" id="Group 2" o:spid="_x0000_s1026" style="position:absolute;margin-left:-8.7pt;margin-top:39.75pt;width:519pt;height:149.25pt;z-index:251600896;mso-width-relative:margin;mso-height-relative:margin" coordorigin="-6340,154" coordsize="98844,27483"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kvIAVGwgAADciAAAVAAAA&#10;ZHJzL2NoYXJ0cy9jaGFydDIueG1s7Fpbb+PGFX4v0P/AchNkU5QS77euvLUoGwjq7RrWOmmBAIsR&#10;OZIIj0hmOLStBAHaIn+kDwV6AZo+tEEfevkV2t/TMxdSlDfetb297toP5lzOXM45M9+5jB49vlwR&#10;7RzTOi+LkW4NTF3DRVpmebEY6afPDo1Q12qGigyRssAjfY1r/fHed7/zKI3TJaJsWqEUazBJUcfp&#10;SF8yVsXDYZ0u8QrVg7LCBfTNS7pCDKp0McwouoDJV2Rom6Y/FJPoagJ0hwlWKC/a8fQm48v5PE/x&#10;pEybFS6Y3AXFBDGQQL3Mq7qdLbV8ar804ypPaVmXczZIy9VQTtYyBZNZ3rDjag+ElCGGrch0tXNE&#10;RrqpD3kjQcVCNuDCOJ3KRlo2RYazpKQFqEN2W7xrlcb7hGFawFRJWTDYtZLX6kYSXyF61lQGbLcC&#10;Jmc5ydlasK2LuZNlCfLQTvBnTU5xPdJTy92KwL2tAMxgGA5tpVdg1nLjmq0JVgyZNmdpCDzJdcUW&#10;DhEhM5Secdn0iDvSbT8feFUYfJQ4RrzAckawKFzy/zRPl3uPUDwrs/UxhZVRTGo25RsSlYq3VMeU&#10;fzI8PzmmWv35SA9NuAczuA+6lnOtac1IL+D887tA8zO4B0U5FSUgQzUmOb8bJggUxXVJ8uwwJ0RU&#10;6GKWEKq0b/I/wf8VMn76Co2tKzyH6zTSE0TyGc05KYoxuq4nrb+9Z9gyA5Lu2BM8UmCQnz7Q6trY&#10;fyIXYHubrza/2vxt80f4/83mLy9+ufkTfH/94ueb32ubr6Hxr7zxxS82f4fyH158tflG2/wG6P+h&#10;8RYg+5oT8sLvxOg/b34LDQ/f/5Avz8QmYHW+FfjfKgUKTOiIoHXZAFUar1DRIHLU1S+flJk6ODhb&#10;YL7bNF5/W+OlkvDAcgLTdSwvsnz4mn6kBsl+fxBYrm0B8HihG5iOFR4YDqeAzewuDg3bfZUAkFBT&#10;ayj67qShhpXP+LGbYIIZznpkaXye4wtnIo5iyX4quxwFA7RkP9shpvvFYr9lRW68AiyocMrycyUI&#10;eX76E89JWYJ4QZzLPD0rcK3Ao6Xs+us8w5/AVXsFbZ+E38jXkPdJKlKyfYoRn30rul2ptj3PEF1g&#10;JnnPC8A7yeyt9e0NAtfyLSuwQyeyw9BxDwyBGnBMlGQHtunYvueZtuUBnRn5cq2Ltj8MXc8JPN/2&#10;I5jMkgCVxsu2P/DsKIiigI+3gU6Mf/V5qXLsTBJuHrkwzhFdJyUpd0AdgA4LpeXZrsJLmuEWL+RO&#10;s2MxzVXCWTObEVhH7VPS1grLdkGIW2PcwdBsYescV0izgqskhwdeD5lacnFlezMB03L+NMaX7KgW&#10;24KS1lBAyS8SxwnNJHENb+IfGK4ZJcb4wLGNg8CegAgdz0mSL7eWxb+tZbHcnlXx46bIP2vwR4qB&#10;LwS2mqZlBIdBYLhjxzXG48iF1Z0DKxmPEy8Mv+RCAi5gz+1XcAFNSshXZS0McBrfWdYoTcFcuy/J&#10;220tgVDD0/lcqsFvmwErhQ/Ftfb/qAbnX6sGdaffUA3+O6cG7w3VcDQjNYewDAr8exWDrsf5FtQG&#10;YGxtMwCM9SPHjCJT3SgFz4Y5sKLQBnAFfPAgIhDdr0bXolkdrpgmg4oEPATwvAbm++CblQ1N8VFe&#10;nOGs87U5Ygm/gV1KN++OriA4gW+NK4iL7BhRxL1d6Qx2YUjno0lpSc0fl8qjmOGaHeZMmZpleXGE&#10;FzDXj3FrbLc9HyMIK3shTw3UCWI/Qas2EtjSTjHdtivfiNMfY1AnBDtiHnVuePtYWL5p/nnfJbrG&#10;Jh34YNz3LWPiHyaGO/c9I5pEYCRs203cyPXC8bhnk7xb26R+pOMpv6dnZMSu3gr7qBDgJSRQenkt&#10;EhjRwLMDPwAvCzwB37Otq66aEQ4iC3w5y3QicEccx7EVyT0e/HtDw3s8eGfx4M6O2nV4oFy11+OB&#10;P3D9wHLMEKx+5Di+DbH4buzGnQMI4gPXdX0zjNwoCu/dg/9ApugeDt5ZOLhzwKDg4Pa+Oc9EFCXP&#10;l4LbBNFwoV2MdNuDAFlEa10XeKakEFF7m4O4d+i73O7beWO5r3+EEeTDIKbD/SeR/7Kz3zn4XfYI&#10;jr8IlFMkkmLwSnCC5zxinu99MMnrWUNrSMFBLANRqzZuIJnNPvjee8l7lufG4uPzvJQYAWMTBCk4&#10;PrpiCbwKqQhIJKp5mwZhuHxtgOTi3ul0wseei7tRieVbEguuEO+ZTk6uI+GpQE5ycHqFBKbc7kRW&#10;BEtQVExCWMbHwpW/Ca8TySv/bHmFsR2v23h+7/nD72sPfvDgAYT1zz/8Ia99+lDVP5V13dAfPxZ9&#10;P3oOrwwgOvHEyLMBN5WbY3oD3/GsEHQQhqEXedfJqBWjFfB0c+jaPqQrLBOywdeNaKVqec7A90zI&#10;eriu6dpBtDsA9r2VgKy0MlbC/Z/Ns/p3zCyprDcPI8WFkXf8zlmEXrbgRlmEHv01WYTrQQcUpLYN&#10;pd0UvzRJdzNkfLLe0wkvf5zXTwuikioqwM7yuhpDtuas3ldIuEDVNocy4QJ9Cu9UT1CbeuOdMHn3&#10;NNpuEs/n8KAkoAvF8PKG6XSZXWgz0tATBIkzuBT8+bMGjIHXEP4uoNXrbRmRBfxSIGVU1+AB65Oc&#10;LadLVHXPnxWt2fapgcAbkrDjiFRLJDM5Xe6bJ5sktUhxd1sRtd4ugYk3tPmQhAQu4EH3Hc3iAYzw&#10;3w+QCWJIo5DGHen0o0ziGn++PK347xR6CTsQeX/M9iCJ33vs/RMAAP//AwBQSwMEFAAGAAgAAAAh&#10;ABPRVtX4AAAAdwEAACAAAABkcnMvY2hhcnRzL19yZWxzL2NoYXJ0Mi54bWwucmVsc4SQTWvDMAyG&#10;74P9ByPYcXWawxglTmFkhR62wejYJVAcW/lYHSvYbkn//XRYYYXBbvp49bySivU8OnHCEAfyCpaL&#10;DAR6Q3bwnYKP3eb+EURM2lvtyKOCM0ZYl7c3xTs6nXgo9sMUBVN8VNCnNK2kjKbHUccFTei501IY&#10;deI0dHLS5qA7lHmWPcjwmwHlFVNsrYKwtUsQu/PEzv+zqW0HgxWZ44g+/WEhyeFb84UmMVSHDpOC&#10;dnDIK8tqVX9SOPDdd3m24WKsn46WJfs8y/P6lU44Nhh+iqx5nhMGrx2HFTZpMbt4ob6Q5YUvApBl&#10;Ia/eVX4DAAD//wMAUEsDBBQABgAIAAAAIQAT0VbV+AAAAHcBAAAgAAAAZHJzL2NoYXJ0cy9fcmVs&#10;cy9jaGFydDEueG1sLnJlbHOEkE1rwzAMhu+D/Qcj2HF1msMYJU5hZIUetsHo2CVQHFv5WB0r2G5J&#10;//10WGGFwW76ePW8kor1PDpxwhAH8gqWiwwEekN28J2Cj93m/hFETNpb7cijgjNGWJe3N8U7Op14&#10;KPbDFAVTfFTQpzStpIymx1HHBU3oudNSGHXiNHRy0uagO5R5lj3I8JsB5RVTbK2CsLVLELvzxM7/&#10;s6ltB4MVmeOIPv1hIcnhW/OFJjFUhw6TgnZwyCvLalV/Ujjw3Xd5tuFirJ+OliX7PMvz+pVOODYY&#10;foqseZ4TBq8dhxU2aTG7eKG+kOWFLwKQZSGv3lV+AwAA//8DAFBLAwQUAAYACAAAACEAet90s8IA&#10;AACnAQAAGQAAAGRycy9fcmVscy9lMm9Eb2MueG1sLnJlbHO8kMsKwkAMRfeC/zBkb6ftQkScdiNC&#10;t6IfEKbpAzsPJqPo3zsogoLgzuVNyLmHbOqrmcSFAo/OKiiyHARZ7drR9gqOh91iBYIj2hYnZ0nB&#10;jRjqaj7b7GnCmI54GD2LRLGsYIjRr6VkPZBBzpwnmzadCwZjiqGXHvUJe5Jlni9leGdA9cEUTasg&#10;NG0J4nDzqfk323XdqGnr9NmQjV8qpB4wxATE0FNU8Ij8nJZZMgX5XaL4k0TxkpAf763uAAAA//8D&#10;AFBLAwQUAAYACAAAACEANBX7kS8CAACnBgAADgAAAGRycy9lMm9Eb2MueG1s5FXbbpswGL6ftHew&#10;fN9wDAEU0otlqSbtEGntA7jGHDTAlu2U9O3321DGaLpDd7kbC9s/n//vYNhen9sGPTCpat5l2Fu5&#10;GLGO8rzuygzf3R6uYoyUJl1OGt6xDD8yha93b99se5Eyn1e8yZlEANKptBcZrrQWqeMoWrGWqBUX&#10;rIPNgsuWaJjK0skl6QG9bRzfdSOn5zIXklOmFKzuh028s/hFwaj+UhSKadRkGHrTdpR2vDejs9uS&#10;tJREVDUd2yCv6KIldQeHTlB7ogk6yfoZVFtTyRUv9Iry1uFFUVNmOQAbz12wuZH8JCyXMu1LMckE&#10;0i50ejUs/fxwlKjOMxyBPB1pwSN7LPKNNr0oUyi5keKrOMpxoRxm6L7/xHOoJyfNLflzIVsjAtBC&#10;Z6vx46QxO2tEYTFaJ17gwlkU9rw4WYeb9eACrcAq895VFIRu4mFkKtYhFFuXaPV+xEjiOAw30YDh&#10;b8I4CEJT45B0aMExfY9tDiRGiw8SGE60npjDUQPzdxWRGkWeARupH+RRzoy1AB85/abMeT/VmMlC&#10;gReYPGkRxpEXJMHEI1z7A4851Nj5rIcXw/X720INQfCKpvZpTBR9lqc/RRoB4EItAnkBYAj7ntNT&#10;yzo93F7JGqLh06GqWiiMZGqSKD/k1gGwcyRvGFt7JzFGh+29nZn6S5v9hc3zhP+TzWEQR66bLAM7&#10;szkMLsX1v7fZOvCXNlvn4Ws4z8PFfPz4v+y+AwAA//8DAFBLAwQUAAYACAAAACEAs1DHX+IAAAAL&#10;AQAADwAAAGRycy9kb3ducmV2LnhtbEyPQU/CQBCF7yb+h82YeIPdglCsnRJC1BMxEUyMt6Ud2obu&#10;bNNd2vLvXU56nLwv732TrkfTiJ46V1tGiKYKBHFui5pLhK/D22QFwnnNhW4sE8KVHKyz+7tUJ4Ud&#10;+JP6vS9FKGGXaITK+zaR0uUVGe2mtiUO2cl2RvtwdqUsOj2EctPImVJLaXTNYaHSLW0rys/7i0F4&#10;H/SwmUev/e582l5/DouP711EiI8P4+YFhKfR/8Fw0w/qkAWno71w4USDMInip4AixM8LEDdAzdQS&#10;xBFhHq8UyCyV/3/IfgEAAP//AwBQSwMEFAAGAAgAAAAhAAIunVlmCAAA3yAAABUAAABkcnMvY2hh&#10;cnRzL2NoYXJ0MS54bWzsWuuO28YV/l+g78DSCeIUlcT7RbXW3aW8QJB1vfDaSQsEMEbkSCKWIpnh&#10;aHeVIEBaBH0PAzXaIkVTFKnhH038FPTz9JvhUOKurXbXDlA39v4Q53rmzDkz37nM3rh5tsi0E8qq&#10;tMhHutk3dI3mcZGk+Wyk37+33wt0reIkT0hW5HSkr2il39z56U9uxMN4Thg/KklMNRDJq2E80uec&#10;l8PBoIrndEGqflHSHH3Tgi0IR5XNBgkjpyC+yAaWYXgDSURXBMhLEFiQNG/ns8vML6bTNKbjIl4u&#10;aM4bLhjNCIcEqnlaVi212PSY9RzFRRqzoiqmvB8Xi0FDrN0UiJnuYL2rHQgpIZyaoeFoJyQb6YY+&#10;EI0ZyWdNA81794+aRlYs84QmUcFyqKPpNkXXIh7uZpyyHKSiIufgWslrcSmJLwg7XpY9sFtik5M0&#10;S/lKbluXtKN5AXlod+mny5TRaqTHprMRgXNVARj+IBhYSq/YrOkMK77KqNqQYYktDbCnZl3Jwj7J&#10;sgmJj4VsOoPXQzf9YuJFYYhZ8hiJAk95RmXhTPyyNJ7v3CDDSZGsDhlWJsOs4keCIVkpRUt5yMQn&#10;odO7h0yrPhvpgYF7MMF90LVUaE1bjvQc51/cBZYe4x7kxZEsYRipaJaKu2FAoGRYFVma7KdZJits&#10;NokyprRviD+5/wvDxOnLNb4q6RTXaaRHJEsnLBVDyZCSbT1x9eKeQbsZSHq9PblHhg2K0wetrnq7&#10;t5sF+E79Vf2w/q7+O34f10+e/b7+Ft9Hz76sv9bqb9D4L9H47Hf19yj/7dlX9WOt/jPGP9Xqp/UT&#10;jHiCysP6j5ggJv8TIzDxaf1INn+DyvV33xescMkQOBFs4bdVEApc6isjq2KJUfFwQfIlyQ7W9bPb&#10;RaIOEU1mVHAeD1cvajxT0u6bpueYtmHj+tle6HiumtT0W33Pd50wDAzfAxLZnner15y4i4uDuw1f&#10;BcASNbWGoCiYb08dWfLinqiMaUY5TTrD4uFJSk/tsTyWBf9N02UrSGAF/+25wWw3n+22W2kYL4EL&#10;JY15eqIE0ZylLuFpVhQQLziap/FxTisFJO3IdX+VJvRjXLv/MLY7RNzO/zK8O6TMCr7LKBHUN6K7&#10;qNKm5x5hM8qbvac5sK/Z7JX17fctw3c8Owgtz3C8IAiUPnFMlGT7lhO4ho8j4biB5QZG0Kx12vYH&#10;Hub7vmmFgetYgS/PQzyct/2+7aHVcBzTDU3D8i5xXsqU2uNImEohjBPCVlGRFecAHqBHpdLS5LzC&#10;C5bQFjsaTukZRCtsdcOR4i85lMQvTp8sJ5MMqyvuGwqVQrvzMCXsNV0DFYljGBlTF+iTLRe4ZA0J&#10;3JMGv2Tznem0aXbaZtxqafkFJXnHO4vgljRLx0N6xg8qyTFK2pIBYj+PbDswosjpuWPcQ8cIo97e&#10;Ldvq3fKtsRX6tmtH0Rcbs+Rd1SyZTsckecNlnn66pB+ofX0uNoA/Uyxn9xx77PSCfWuvZ3n7u55n&#10;7hr+XvCFkB92AZ7br9wFmpT8L6pBWu94+IpqsN84Ndg/rBrUJXmhGl7bo+i8ogwOJlklACdBQXwv&#10;YsN2VFYQ1LP6rmt6hhU4IYA1NK2LcNoz+pYZeL4poDS07dD3PXVHziM9bshmuXy52F9wrQkJIth0&#10;+E194114VsWSxfQgzY9psvaUBWRIS8/PGiftio4cEEs6cvj90ThyNE8OCSPCV21cuXUQsfaqGmk1&#10;2j8slA8woRXfT7kyA/Pi9IDOQOtD2prHTc9HBEFhJ2CpMDoi/Ndk0frxm7FHlG3alTcjxh9SqBOh&#10;iqSjoFC070mrdJR+1nVithiFW55r+7tmb+ztRz1n6rm9cByaPd+ynMgJYcT39jpGwb2yUejGKa46&#10;pB2Ul1z9KAyUQoHn0EDpZXM9z9/ceNiiQdC3Atvy7BCOjxPCe3Keg4Ogb7i4b67nO7Dlrum7l3Ko&#10;3wLCC2K+K0V2bwHhjQWEl3aVtgGCcpYuBQgir2XajmcagelY/kVAMPomIrHAFPG3K8Iy3xdWA97A&#10;eZA55x4IhHprsbanF//fLNZL+7HqgF7dOoigNS9EAg6HDYFqrp2OdMtFkCoDqXUXnKUsl8exjUvf&#10;+pjrZOEVTIrw6V4rT7JhiCB1gmCCdjPp/2Mvc+1ZrvMGOOQySouJTIcguXyXTkW4Nt15b5xWkyWr&#10;kJeBE41wSdtbIu/J3/vZO9E7puMN5ScQcCpnYG5EkMYRs0se4TFBud5246qXXEMM2CSpkYfaQXL2&#10;cf0XZG2R39XqP2lI/iKhK+uPkOn9FqXHgviJvCKl5K+lITJDksZfkfn9R/0Q4/Hdngx+Un+/jZSl&#10;SD37Q/010sbfNSnmK5ACi5utNxUpQxSVVBGACHaBJJcR7rgRrvhshIu5a+FuItedB9d/rl37xbVr&#10;CGAfvP9LUfvkuqp/0tT1nn7zpuz71QNkwKEr+RQm4t7LKsqy7L4XWJ5ruoHnurbrbZNlqxYkJ/sm&#10;EpiuGyJwdxxj64xW+qHTx6TADJAyd+Hl23LrG9WD8Y0ImkorZCXd1zaR4r5kIkWlZIU/Iq/oK8Jc&#10;JzC+VMDcGb8lYN4Oc1CQYhul8/nnNvu7toJXMJCCWCevL8ofpdWdPFP5AxVLJmlV7iExcVztKuyd&#10;kXKTLhgLgd7BI8pt0k12g/j6Da9lkk6neO2QYEmGeBai7GienGqTbMnuEuSIPNsV6Z0KqIZkPPK3&#10;KK82ZZLN8KQdc6ZreF35OOXzozkp1+90Jav4OuM9yfDAIf0DkpVz8nxeW40GGHZYkbUOl9jEK/oS&#10;7cPjG5qvAoqId+5sTDjRGJKWI519kDS4Jp7W7pfiPb2TmoLEu3OkrZLnSP5fws6/AQAA//8DAFBL&#10;AQItABQABgAIAAAAIQAiM0ggJQEAANsCAAATAAAAAAAAAAAAAAAAAAAAAABbQ29udGVudF9UeXBl&#10;c10ueG1sUEsBAi0AFAAGAAgAAAAhADj9If/WAAAAlAEAAAsAAAAAAAAAAAAAAAAAVgEAAF9yZWxz&#10;Ly5yZWxzUEsBAi0AFAAGAAgAAAAhAGS8gBUbCAAANyIAABUAAAAAAAAAAAAAAAAAVQIAAGRycy9j&#10;aGFydHMvY2hhcnQyLnhtbFBLAQItABQABgAIAAAAIQAT0VbV+AAAAHcBAAAgAAAAAAAAAAAAAAAA&#10;AKMKAABkcnMvY2hhcnRzL19yZWxzL2NoYXJ0Mi54bWwucmVsc1BLAQItABQABgAIAAAAIQAT0VbV&#10;+AAAAHcBAAAgAAAAAAAAAAAAAAAAANkLAABkcnMvY2hhcnRzL19yZWxzL2NoYXJ0MS54bWwucmVs&#10;c1BLAQItABQABgAIAAAAIQB633SzwgAAAKcBAAAZAAAAAAAAAAAAAAAAAA8NAABkcnMvX3JlbHMv&#10;ZTJvRG9jLnhtbC5yZWxzUEsBAi0AFAAGAAgAAAAhADQV+5EvAgAApwYAAA4AAAAAAAAAAAAAAAAA&#10;CA4AAGRycy9lMm9Eb2MueG1sUEsBAi0AFAAGAAgAAAAhALNQx1/iAAAACwEAAA8AAAAAAAAAAAAA&#10;AAAAYxAAAGRycy9kb3ducmV2LnhtbFBLAQItABQABgAIAAAAIQACLp1ZZggAAN8gAAAVAAAAAAAA&#10;AAAAAAAAAHIRAABkcnMvY2hhcnRzL2NoYXJ0MS54bWxQSwUGAAAAAAkACQBcAgAACx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61" o:spid="_x0000_s1027" type="#_x0000_t75" style="position:absolute;left:-7712;top:-995;width:51376;height:29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3QwQAAANsAAAAPAAAAZHJzL2Rvd25yZXYueG1sRI/BisJA&#10;EETvwv7D0MJeRCcqhJB1FFlQ3KPRD2gyvUkw0x0zo8a/31kQPBZV9YpabQbXqjv1vhE2MJ8loIhL&#10;sQ1XBs6n3TQD5QOyxVaYDDzJw2b9MVphbuXBR7oXoVIRwj5HA3UIXa61L2ty6GfSEUfvV3qHIcq+&#10;0rbHR4S7Vi+SJNUOG44LNXb0XVN5KW7OQGeX2/3PJLNLKfZXsXLd+SI15nM8bL9ABRrCO/xqH6yB&#10;dA7/X+IP0Os/AAAA//8DAFBLAQItABQABgAIAAAAIQDb4fbL7gAAAIUBAAATAAAAAAAAAAAAAAAA&#10;AAAAAABbQ29udGVudF9UeXBlc10ueG1sUEsBAi0AFAAGAAgAAAAhAFr0LFu/AAAAFQEAAAsAAAAA&#10;AAAAAAAAAAAAHwEAAF9yZWxzLy5yZWxzUEsBAi0AFAAGAAgAAAAhAEG3PdDBAAAA2wAAAA8AAAAA&#10;AAAAAAAAAAAABwIAAGRycy9kb3ducmV2LnhtbFBLBQYAAAAAAwADALcAAAD1AgAAAAA=&#10;">
                  <v:imagedata r:id="rId87" o:title=""/>
                  <o:lock v:ext="edit" aspectratio="f"/>
                </v:shape>
                <v:shape id="Chart 62" o:spid="_x0000_s1028" type="#_x0000_t75" style="position:absolute;left:42475;top:-995;width:51377;height:297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2qTwgAAANsAAAAPAAAAZHJzL2Rvd25yZXYueG1sRI9Ba8JA&#10;FITvBf/D8gRvdaMQidFVVDAUPNX24u2RfWaD2bchuybpv+8WhB6HmfmG2e5H24ieOl87VrCYJyCI&#10;S6drrhR8f53fMxA+IGtsHJOCH/Kw303etphrN/An9ddQiQhhn6MCE0KbS+lLQxb93LXE0bu7zmKI&#10;squk7nCIcNvIZZKspMWa44LBlk6Gysf1aRUU9a3PMuzHYzika3NJb0NRpErNpuNhAyLQGP7Dr/aH&#10;VrBawt+X+APk7hcAAP//AwBQSwECLQAUAAYACAAAACEA2+H2y+4AAACFAQAAEwAAAAAAAAAAAAAA&#10;AAAAAAAAW0NvbnRlbnRfVHlwZXNdLnhtbFBLAQItABQABgAIAAAAIQBa9CxbvwAAABUBAAALAAAA&#10;AAAAAAAAAAAAAB8BAABfcmVscy8ucmVsc1BLAQItABQABgAIAAAAIQC1u2qTwgAAANsAAAAPAAAA&#10;AAAAAAAAAAAAAAcCAABkcnMvZG93bnJldi54bWxQSwUGAAAAAAMAAwC3AAAA9gIAAAAA&#10;">
                  <v:imagedata r:id="rId88" o:title=""/>
                  <o:lock v:ext="edit" aspectratio="f"/>
                </v:shape>
              </v:group>
            </w:pict>
          </mc:Fallback>
        </mc:AlternateContent>
      </w:r>
      <w:r w:rsidR="002526E9" w:rsidRPr="002526E9">
        <w:rPr>
          <w:rFonts w:eastAsiaTheme="minorHAnsi" w:cstheme="minorBidi"/>
          <w:b w:val="0"/>
          <w:szCs w:val="22"/>
          <w:lang w:val="es-ES" w:eastAsia="en-US"/>
        </w:rPr>
        <w:t>202</w:t>
      </w:r>
      <w:r w:rsidR="002526E9" w:rsidRPr="002526E9">
        <w:rPr>
          <w:rFonts w:eastAsiaTheme="minorHAnsi" w:cstheme="minorBidi"/>
          <w:b w:val="0"/>
          <w:szCs w:val="22"/>
          <w:lang w:val="hy-AM" w:eastAsia="en-US"/>
        </w:rPr>
        <w:t>2</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թվականին</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մասհանումների</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գերակշիռ</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մասը</w:t>
      </w:r>
      <w:r w:rsidR="002526E9" w:rsidRPr="002526E9">
        <w:rPr>
          <w:rFonts w:eastAsiaTheme="minorHAnsi" w:cstheme="minorBidi"/>
          <w:b w:val="0"/>
          <w:szCs w:val="22"/>
          <w:lang w:val="es-ES" w:eastAsia="en-US"/>
        </w:rPr>
        <w:t xml:space="preserve"> (64.1%) </w:t>
      </w:r>
      <w:r w:rsidR="002526E9" w:rsidRPr="002526E9">
        <w:rPr>
          <w:rFonts w:eastAsiaTheme="minorHAnsi" w:cstheme="minorBidi"/>
          <w:b w:val="0"/>
          <w:szCs w:val="22"/>
          <w:lang w:val="hy-AM" w:eastAsia="en-US"/>
        </w:rPr>
        <w:t>կկատարվի</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ԱՄՆ</w:t>
      </w:r>
      <w:r w:rsidR="002526E9" w:rsidRPr="002526E9">
        <w:rPr>
          <w:rFonts w:eastAsiaTheme="minorHAnsi" w:cstheme="minorBidi"/>
          <w:b w:val="0"/>
          <w:szCs w:val="22"/>
          <w:lang w:val="es-ES" w:eastAsia="en-US"/>
        </w:rPr>
        <w:t xml:space="preserve"> դոլարով </w:t>
      </w:r>
      <w:r w:rsidR="002526E9" w:rsidRPr="002526E9">
        <w:rPr>
          <w:rFonts w:eastAsiaTheme="minorHAnsi" w:cstheme="minorBidi"/>
          <w:b w:val="0"/>
          <w:szCs w:val="22"/>
          <w:lang w:val="hy-AM" w:eastAsia="en-US"/>
        </w:rPr>
        <w:t>տրամադրված</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վարկերի</w:t>
      </w:r>
      <w:r w:rsidR="002526E9" w:rsidRPr="002526E9">
        <w:rPr>
          <w:rFonts w:eastAsiaTheme="minorHAnsi" w:cstheme="minorBidi"/>
          <w:b w:val="0"/>
          <w:szCs w:val="22"/>
          <w:lang w:val="es-ES" w:eastAsia="en-US"/>
        </w:rPr>
        <w:t xml:space="preserve"> </w:t>
      </w:r>
      <w:r w:rsidR="002526E9" w:rsidRPr="002526E9">
        <w:rPr>
          <w:rFonts w:eastAsiaTheme="minorHAnsi" w:cstheme="minorBidi"/>
          <w:b w:val="0"/>
          <w:szCs w:val="22"/>
          <w:lang w:val="hy-AM" w:eastAsia="en-US"/>
        </w:rPr>
        <w:t>գծով</w:t>
      </w:r>
      <w:r w:rsidR="002526E9" w:rsidRPr="002526E9">
        <w:rPr>
          <w:rFonts w:eastAsiaTheme="minorHAnsi" w:cstheme="minorBidi"/>
          <w:b w:val="0"/>
          <w:szCs w:val="22"/>
          <w:lang w:val="es-ES" w:eastAsia="en-US"/>
        </w:rPr>
        <w:t xml:space="preserve">: </w:t>
      </w:r>
    </w:p>
    <w:p w14:paraId="72C2B3BC" w14:textId="0218D7EB" w:rsidR="00C537C7" w:rsidRDefault="00C537C7" w:rsidP="002526E9">
      <w:pPr>
        <w:spacing w:before="0" w:after="120" w:line="276" w:lineRule="auto"/>
        <w:ind w:firstLine="720"/>
        <w:contextualSpacing w:val="0"/>
        <w:rPr>
          <w:rFonts w:eastAsiaTheme="minorHAnsi" w:cstheme="minorBidi"/>
          <w:b w:val="0"/>
          <w:szCs w:val="22"/>
          <w:lang w:val="es-ES" w:eastAsia="en-US"/>
        </w:rPr>
      </w:pPr>
    </w:p>
    <w:p w14:paraId="49D1035C" w14:textId="77777777" w:rsidR="00C537C7" w:rsidRPr="002526E9" w:rsidRDefault="00C537C7" w:rsidP="002526E9">
      <w:pPr>
        <w:spacing w:before="0" w:after="120" w:line="276" w:lineRule="auto"/>
        <w:ind w:firstLine="720"/>
        <w:contextualSpacing w:val="0"/>
        <w:rPr>
          <w:rFonts w:eastAsiaTheme="minorHAnsi" w:cstheme="minorBidi"/>
          <w:b w:val="0"/>
          <w:szCs w:val="22"/>
          <w:lang w:val="es-ES" w:eastAsia="en-US"/>
        </w:rPr>
      </w:pPr>
    </w:p>
    <w:p w14:paraId="412EA281" w14:textId="77777777" w:rsidR="002526E9" w:rsidRPr="002526E9" w:rsidRDefault="002526E9" w:rsidP="002526E9">
      <w:pPr>
        <w:tabs>
          <w:tab w:val="num" w:pos="720"/>
        </w:tabs>
        <w:spacing w:before="0" w:after="120" w:line="276" w:lineRule="auto"/>
        <w:ind w:firstLine="0"/>
        <w:contextualSpacing w:val="0"/>
        <w:jc w:val="center"/>
        <w:rPr>
          <w:rFonts w:eastAsiaTheme="minorHAnsi" w:cstheme="minorBidi"/>
          <w:b w:val="0"/>
          <w:szCs w:val="22"/>
          <w:lang w:val="es-ES" w:eastAsia="en-US"/>
        </w:rPr>
      </w:pPr>
    </w:p>
    <w:p w14:paraId="351D1464" w14:textId="77777777" w:rsidR="002526E9" w:rsidRPr="002526E9" w:rsidRDefault="002526E9" w:rsidP="002526E9">
      <w:pPr>
        <w:tabs>
          <w:tab w:val="num" w:pos="720"/>
        </w:tabs>
        <w:spacing w:before="0" w:after="120" w:line="276" w:lineRule="auto"/>
        <w:ind w:firstLine="0"/>
        <w:contextualSpacing w:val="0"/>
        <w:jc w:val="center"/>
        <w:rPr>
          <w:rFonts w:eastAsiaTheme="minorHAnsi" w:cstheme="minorBidi"/>
          <w:b w:val="0"/>
          <w:szCs w:val="22"/>
          <w:lang w:val="es-ES" w:eastAsia="en-US"/>
        </w:rPr>
      </w:pPr>
    </w:p>
    <w:p w14:paraId="37A41EE3" w14:textId="77777777" w:rsidR="002526E9" w:rsidRPr="002526E9" w:rsidRDefault="002526E9" w:rsidP="002526E9">
      <w:pPr>
        <w:tabs>
          <w:tab w:val="num" w:pos="720"/>
        </w:tabs>
        <w:spacing w:before="0" w:after="120" w:line="276" w:lineRule="auto"/>
        <w:ind w:firstLine="0"/>
        <w:contextualSpacing w:val="0"/>
        <w:jc w:val="center"/>
        <w:rPr>
          <w:rFonts w:eastAsiaTheme="minorHAnsi" w:cstheme="minorBidi"/>
          <w:b w:val="0"/>
          <w:szCs w:val="22"/>
          <w:lang w:val="es-ES" w:eastAsia="en-US"/>
        </w:rPr>
      </w:pPr>
    </w:p>
    <w:p w14:paraId="2E41CD26" w14:textId="77777777" w:rsidR="002526E9" w:rsidRPr="002526E9" w:rsidRDefault="002526E9" w:rsidP="002526E9">
      <w:pPr>
        <w:tabs>
          <w:tab w:val="num" w:pos="720"/>
        </w:tabs>
        <w:spacing w:before="0" w:after="120" w:line="276" w:lineRule="auto"/>
        <w:ind w:firstLine="0"/>
        <w:contextualSpacing w:val="0"/>
        <w:jc w:val="center"/>
        <w:rPr>
          <w:rFonts w:eastAsiaTheme="minorHAnsi" w:cstheme="minorBidi"/>
          <w:b w:val="0"/>
          <w:szCs w:val="22"/>
          <w:lang w:val="es-ES" w:eastAsia="en-US"/>
        </w:rPr>
      </w:pPr>
    </w:p>
    <w:p w14:paraId="2D67E6C0" w14:textId="77777777" w:rsidR="002526E9" w:rsidRPr="002526E9" w:rsidRDefault="002526E9" w:rsidP="002526E9">
      <w:pPr>
        <w:spacing w:before="0" w:after="200" w:line="276" w:lineRule="auto"/>
        <w:ind w:firstLine="0"/>
        <w:contextualSpacing w:val="0"/>
        <w:jc w:val="left"/>
        <w:rPr>
          <w:rFonts w:eastAsiaTheme="minorHAnsi" w:cs="Arial"/>
          <w:szCs w:val="22"/>
          <w:lang w:val="hy-AM" w:eastAsia="en-US"/>
        </w:rPr>
      </w:pPr>
    </w:p>
    <w:p w14:paraId="060C1338" w14:textId="77777777" w:rsidR="002526E9" w:rsidRPr="002526E9" w:rsidRDefault="002526E9" w:rsidP="002526E9">
      <w:pPr>
        <w:spacing w:before="0" w:after="200" w:line="276" w:lineRule="auto"/>
        <w:ind w:firstLine="0"/>
        <w:contextualSpacing w:val="0"/>
        <w:jc w:val="left"/>
        <w:rPr>
          <w:rFonts w:eastAsiaTheme="minorHAnsi" w:cs="Arial"/>
          <w:szCs w:val="22"/>
          <w:lang w:val="es-ES" w:eastAsia="en-US"/>
        </w:rPr>
      </w:pPr>
      <w:r w:rsidRPr="002526E9">
        <w:rPr>
          <w:rFonts w:eastAsiaTheme="minorHAnsi" w:cs="Arial"/>
          <w:szCs w:val="22"/>
          <w:lang w:val="hy-AM" w:eastAsia="en-US"/>
        </w:rPr>
        <w:t>Կառավարության</w:t>
      </w:r>
      <w:r w:rsidRPr="002526E9">
        <w:rPr>
          <w:rFonts w:eastAsiaTheme="minorHAnsi" w:cstheme="minorBidi"/>
          <w:szCs w:val="22"/>
          <w:lang w:val="es-ES" w:eastAsia="en-US"/>
        </w:rPr>
        <w:t xml:space="preserve"> </w:t>
      </w:r>
      <w:r w:rsidRPr="002526E9">
        <w:rPr>
          <w:rFonts w:eastAsiaTheme="minorHAnsi" w:cstheme="minorBidi"/>
          <w:szCs w:val="22"/>
          <w:lang w:val="hy-AM" w:eastAsia="en-US"/>
        </w:rPr>
        <w:t>պարտքի</w:t>
      </w:r>
      <w:r w:rsidRPr="002526E9">
        <w:rPr>
          <w:rFonts w:eastAsiaTheme="minorHAnsi" w:cstheme="minorBidi"/>
          <w:szCs w:val="22"/>
          <w:lang w:val="es-ES" w:eastAsia="en-US"/>
        </w:rPr>
        <w:t xml:space="preserve"> </w:t>
      </w:r>
      <w:r w:rsidRPr="002526E9">
        <w:rPr>
          <w:rFonts w:eastAsiaTheme="minorHAnsi" w:cstheme="minorBidi"/>
          <w:szCs w:val="22"/>
          <w:lang w:val="hy-AM" w:eastAsia="en-US"/>
        </w:rPr>
        <w:t>մարումը</w:t>
      </w:r>
      <w:r w:rsidRPr="002526E9">
        <w:rPr>
          <w:rFonts w:eastAsiaTheme="minorHAnsi" w:cstheme="minorBidi"/>
          <w:szCs w:val="22"/>
          <w:lang w:val="es-ES" w:eastAsia="en-US"/>
        </w:rPr>
        <w:t xml:space="preserve"> </w:t>
      </w:r>
      <w:r w:rsidRPr="002526E9">
        <w:rPr>
          <w:rFonts w:eastAsiaTheme="minorHAnsi" w:cstheme="minorBidi"/>
          <w:szCs w:val="22"/>
          <w:lang w:val="hy-AM" w:eastAsia="en-US"/>
        </w:rPr>
        <w:t>և</w:t>
      </w:r>
      <w:r w:rsidRPr="002526E9">
        <w:rPr>
          <w:rFonts w:eastAsiaTheme="minorHAnsi" w:cstheme="minorBidi"/>
          <w:szCs w:val="22"/>
          <w:lang w:val="es-ES" w:eastAsia="en-US"/>
        </w:rPr>
        <w:t xml:space="preserve"> </w:t>
      </w:r>
      <w:r w:rsidRPr="002526E9">
        <w:rPr>
          <w:rFonts w:eastAsiaTheme="minorHAnsi" w:cstheme="minorBidi"/>
          <w:szCs w:val="22"/>
          <w:lang w:val="hy-AM" w:eastAsia="en-US"/>
        </w:rPr>
        <w:t>սպասարկումը</w:t>
      </w:r>
    </w:p>
    <w:p w14:paraId="1849F90E" w14:textId="34464C77" w:rsidR="002526E9" w:rsidRDefault="002526E9" w:rsidP="002526E9">
      <w:pPr>
        <w:spacing w:before="0" w:after="120" w:line="276" w:lineRule="auto"/>
        <w:ind w:firstLine="720"/>
        <w:contextualSpacing w:val="0"/>
        <w:rPr>
          <w:rFonts w:eastAsiaTheme="minorHAnsi" w:cstheme="minorBidi"/>
          <w:b w:val="0"/>
          <w:bCs/>
          <w:szCs w:val="22"/>
          <w:lang w:val="es-ES" w:eastAsia="en-US"/>
        </w:rPr>
      </w:pPr>
      <w:r w:rsidRPr="002526E9">
        <w:rPr>
          <w:rFonts w:eastAsiaTheme="minorHAnsi" w:cstheme="minorBidi"/>
          <w:b w:val="0"/>
          <w:bCs/>
          <w:szCs w:val="22"/>
          <w:lang w:val="es-ES" w:eastAsia="en-US"/>
        </w:rPr>
        <w:t>202</w:t>
      </w:r>
      <w:r w:rsidRPr="002526E9">
        <w:rPr>
          <w:rFonts w:eastAsiaTheme="minorHAnsi" w:cstheme="minorBidi"/>
          <w:b w:val="0"/>
          <w:bCs/>
          <w:szCs w:val="22"/>
          <w:lang w:val="hy-AM" w:eastAsia="en-US"/>
        </w:rPr>
        <w:t>2</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թվականին</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կառավարության</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պարտքի</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մարման</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և</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սպասարկման</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համար</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կպահանջվի</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5</w:t>
      </w:r>
      <w:r w:rsidRPr="002526E9">
        <w:rPr>
          <w:rFonts w:eastAsiaTheme="minorHAnsi" w:cstheme="minorBidi"/>
          <w:b w:val="0"/>
          <w:bCs/>
          <w:szCs w:val="22"/>
          <w:lang w:val="es-ES" w:eastAsia="en-US"/>
        </w:rPr>
        <w:t xml:space="preserve">05.3 </w:t>
      </w:r>
      <w:r w:rsidRPr="002526E9">
        <w:rPr>
          <w:rFonts w:eastAsiaTheme="minorHAnsi" w:cstheme="minorBidi"/>
          <w:b w:val="0"/>
          <w:bCs/>
          <w:szCs w:val="22"/>
          <w:lang w:val="hy-AM" w:eastAsia="en-US"/>
        </w:rPr>
        <w:t>մլրդ</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դրամ</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որից</w:t>
      </w:r>
      <w:r w:rsidRPr="002526E9">
        <w:rPr>
          <w:rFonts w:eastAsiaTheme="minorHAnsi" w:cstheme="minorBidi"/>
          <w:b w:val="0"/>
          <w:bCs/>
          <w:szCs w:val="22"/>
          <w:lang w:val="es-ES" w:eastAsia="en-US"/>
        </w:rPr>
        <w:t xml:space="preserve"> 291.5 </w:t>
      </w:r>
      <w:r w:rsidRPr="002526E9">
        <w:rPr>
          <w:rFonts w:eastAsiaTheme="minorHAnsi" w:cstheme="minorBidi"/>
          <w:b w:val="0"/>
          <w:bCs/>
          <w:szCs w:val="22"/>
          <w:lang w:val="hy-AM" w:eastAsia="en-US"/>
        </w:rPr>
        <w:t>մլրդ</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դրամը</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կկազմեն</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պարտքի</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գծով</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մարումները</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իսկ</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21</w:t>
      </w:r>
      <w:r w:rsidRPr="002526E9">
        <w:rPr>
          <w:rFonts w:eastAsiaTheme="minorHAnsi" w:cstheme="minorBidi"/>
          <w:b w:val="0"/>
          <w:bCs/>
          <w:szCs w:val="22"/>
          <w:lang w:val="es-ES" w:eastAsia="en-US"/>
        </w:rPr>
        <w:t xml:space="preserve">3.8 </w:t>
      </w:r>
      <w:r w:rsidRPr="002526E9">
        <w:rPr>
          <w:rFonts w:eastAsiaTheme="minorHAnsi" w:cstheme="minorBidi"/>
          <w:b w:val="0"/>
          <w:bCs/>
          <w:szCs w:val="22"/>
          <w:lang w:val="hy-AM" w:eastAsia="en-US"/>
        </w:rPr>
        <w:t>մլրդ</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դրամը՝</w:t>
      </w:r>
      <w:r w:rsidRPr="002526E9">
        <w:rPr>
          <w:rFonts w:eastAsiaTheme="minorHAnsi" w:cstheme="minorBidi"/>
          <w:b w:val="0"/>
          <w:bCs/>
          <w:szCs w:val="22"/>
          <w:lang w:val="es-ES" w:eastAsia="en-US"/>
        </w:rPr>
        <w:t xml:space="preserve"> </w:t>
      </w:r>
      <w:r w:rsidRPr="002526E9">
        <w:rPr>
          <w:rFonts w:eastAsiaTheme="minorHAnsi" w:cstheme="minorBidi"/>
          <w:b w:val="0"/>
          <w:bCs/>
          <w:szCs w:val="22"/>
          <w:lang w:val="hy-AM" w:eastAsia="en-US"/>
        </w:rPr>
        <w:t>տոկոսավճարները</w:t>
      </w:r>
      <w:r w:rsidRPr="002526E9">
        <w:rPr>
          <w:rFonts w:eastAsiaTheme="minorHAnsi" w:cstheme="minorBidi"/>
          <w:b w:val="0"/>
          <w:bCs/>
          <w:szCs w:val="22"/>
          <w:lang w:val="es-ES" w:eastAsia="en-US"/>
        </w:rPr>
        <w:t>:</w:t>
      </w:r>
    </w:p>
    <w:p w14:paraId="07F04E98" w14:textId="77777777" w:rsidR="0027241E" w:rsidRPr="002526E9" w:rsidRDefault="0027241E" w:rsidP="002526E9">
      <w:pPr>
        <w:spacing w:before="0" w:after="120" w:line="276" w:lineRule="auto"/>
        <w:ind w:firstLine="720"/>
        <w:contextualSpacing w:val="0"/>
        <w:rPr>
          <w:rFonts w:eastAsiaTheme="minorHAnsi" w:cstheme="minorBidi"/>
          <w:b w:val="0"/>
          <w:bCs/>
          <w:szCs w:val="22"/>
          <w:lang w:val="es-ES" w:eastAsia="en-US"/>
        </w:rPr>
      </w:pPr>
    </w:p>
    <w:tbl>
      <w:tblPr>
        <w:tblStyle w:val="ListTable7Colorful-Accent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0"/>
        <w:gridCol w:w="1634"/>
        <w:gridCol w:w="1683"/>
        <w:gridCol w:w="1649"/>
      </w:tblGrid>
      <w:tr w:rsidR="002526E9" w:rsidRPr="002526E9" w14:paraId="6EF8F5C5" w14:textId="77777777" w:rsidTr="0027241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19" w:type="dxa"/>
            <w:tcBorders>
              <w:bottom w:val="none" w:sz="0" w:space="0" w:color="auto"/>
              <w:right w:val="none" w:sz="0" w:space="0" w:color="auto"/>
            </w:tcBorders>
          </w:tcPr>
          <w:p w14:paraId="68E439EB" w14:textId="77777777" w:rsidR="002526E9" w:rsidRPr="0027241E" w:rsidRDefault="002526E9" w:rsidP="002526E9">
            <w:pPr>
              <w:spacing w:before="0" w:line="276" w:lineRule="auto"/>
              <w:ind w:firstLine="0"/>
              <w:contextualSpacing w:val="0"/>
              <w:jc w:val="center"/>
              <w:rPr>
                <w:b w:val="0"/>
                <w:i w:val="0"/>
                <w:color w:val="auto"/>
                <w:szCs w:val="22"/>
                <w:lang w:val="en-US" w:eastAsia="en-US"/>
              </w:rPr>
            </w:pPr>
            <w:r w:rsidRPr="0027241E">
              <w:rPr>
                <w:b w:val="0"/>
                <w:color w:val="auto"/>
                <w:szCs w:val="22"/>
                <w:lang w:val="en-US" w:eastAsia="en-US"/>
              </w:rPr>
              <w:t>մլրդ դրամ</w:t>
            </w:r>
          </w:p>
        </w:tc>
        <w:tc>
          <w:tcPr>
            <w:tcW w:w="1693" w:type="dxa"/>
            <w:tcBorders>
              <w:bottom w:val="none" w:sz="0" w:space="0" w:color="auto"/>
            </w:tcBorders>
          </w:tcPr>
          <w:p w14:paraId="168ED02E" w14:textId="77777777" w:rsidR="002526E9" w:rsidRPr="0027241E"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szCs w:val="22"/>
                <w:lang w:val="en-US" w:eastAsia="en-US"/>
              </w:rPr>
            </w:pPr>
            <w:r w:rsidRPr="0027241E">
              <w:rPr>
                <w:b w:val="0"/>
                <w:color w:val="auto"/>
                <w:szCs w:val="22"/>
                <w:lang w:val="en-US" w:eastAsia="en-US"/>
              </w:rPr>
              <w:t>մարում</w:t>
            </w:r>
          </w:p>
        </w:tc>
        <w:tc>
          <w:tcPr>
            <w:tcW w:w="1708" w:type="dxa"/>
            <w:tcBorders>
              <w:bottom w:val="none" w:sz="0" w:space="0" w:color="auto"/>
            </w:tcBorders>
          </w:tcPr>
          <w:p w14:paraId="7FD52616" w14:textId="77777777" w:rsidR="002526E9" w:rsidRPr="0027241E"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szCs w:val="22"/>
                <w:lang w:val="en-US" w:eastAsia="en-US"/>
              </w:rPr>
            </w:pPr>
            <w:r w:rsidRPr="0027241E">
              <w:rPr>
                <w:b w:val="0"/>
                <w:color w:val="auto"/>
                <w:szCs w:val="22"/>
                <w:lang w:val="en-US" w:eastAsia="en-US"/>
              </w:rPr>
              <w:t>սպասարկում</w:t>
            </w:r>
          </w:p>
        </w:tc>
        <w:tc>
          <w:tcPr>
            <w:tcW w:w="1702" w:type="dxa"/>
            <w:tcBorders>
              <w:bottom w:val="none" w:sz="0" w:space="0" w:color="auto"/>
            </w:tcBorders>
          </w:tcPr>
          <w:p w14:paraId="2F230EBB" w14:textId="77777777" w:rsidR="002526E9" w:rsidRPr="0027241E"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val="0"/>
                <w:i w:val="0"/>
                <w:color w:val="auto"/>
                <w:szCs w:val="22"/>
                <w:lang w:val="en-US" w:eastAsia="en-US"/>
              </w:rPr>
            </w:pPr>
            <w:r w:rsidRPr="0027241E">
              <w:rPr>
                <w:color w:val="auto"/>
                <w:szCs w:val="22"/>
                <w:lang w:val="en-US" w:eastAsia="en-US"/>
              </w:rPr>
              <w:t>ընդամենը</w:t>
            </w:r>
          </w:p>
        </w:tc>
      </w:tr>
      <w:tr w:rsidR="0027241E" w:rsidRPr="0027241E" w14:paraId="4781912E" w14:textId="77777777" w:rsidTr="0027241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319" w:type="dxa"/>
            <w:vAlign w:val="center"/>
          </w:tcPr>
          <w:p w14:paraId="5FF97E9A" w14:textId="77777777" w:rsidR="002526E9" w:rsidRPr="0027241E" w:rsidRDefault="002526E9" w:rsidP="002526E9">
            <w:pPr>
              <w:spacing w:before="0" w:line="276" w:lineRule="auto"/>
              <w:ind w:firstLine="0"/>
              <w:contextualSpacing w:val="0"/>
              <w:jc w:val="left"/>
              <w:rPr>
                <w:b w:val="0"/>
                <w:i w:val="0"/>
                <w:color w:val="auto"/>
                <w:szCs w:val="22"/>
                <w:lang w:val="en-US" w:eastAsia="en-US"/>
              </w:rPr>
            </w:pPr>
            <w:r w:rsidRPr="0027241E">
              <w:rPr>
                <w:b w:val="0"/>
                <w:color w:val="auto"/>
                <w:szCs w:val="22"/>
                <w:lang w:val="en-US" w:eastAsia="en-US"/>
              </w:rPr>
              <w:t>Պետական գանձապետական պարտատոմսեր</w:t>
            </w:r>
          </w:p>
        </w:tc>
        <w:tc>
          <w:tcPr>
            <w:tcW w:w="1693" w:type="dxa"/>
            <w:vAlign w:val="center"/>
          </w:tcPr>
          <w:p w14:paraId="017AB37D" w14:textId="77777777" w:rsidR="002526E9" w:rsidRPr="0027241E" w:rsidRDefault="002526E9" w:rsidP="002526E9">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szCs w:val="22"/>
              </w:rPr>
            </w:pPr>
            <w:r w:rsidRPr="0027241E">
              <w:rPr>
                <w:b w:val="0"/>
                <w:color w:val="auto"/>
                <w:szCs w:val="22"/>
                <w:lang w:val="en-US"/>
              </w:rPr>
              <w:t>170.0</w:t>
            </w:r>
            <w:r w:rsidRPr="0027241E">
              <w:rPr>
                <w:b w:val="0"/>
                <w:color w:val="auto"/>
                <w:szCs w:val="22"/>
                <w:vertAlign w:val="superscript"/>
              </w:rPr>
              <w:footnoteReference w:id="26"/>
            </w:r>
          </w:p>
        </w:tc>
        <w:tc>
          <w:tcPr>
            <w:tcW w:w="1708" w:type="dxa"/>
            <w:vAlign w:val="center"/>
          </w:tcPr>
          <w:p w14:paraId="5B447835" w14:textId="77777777" w:rsidR="002526E9" w:rsidRPr="0027241E" w:rsidRDefault="002526E9" w:rsidP="002526E9">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b w:val="0"/>
                <w:color w:val="auto"/>
                <w:szCs w:val="22"/>
                <w:lang w:val="en-US"/>
              </w:rPr>
            </w:pPr>
            <w:r w:rsidRPr="0027241E">
              <w:rPr>
                <w:b w:val="0"/>
                <w:color w:val="auto"/>
                <w:szCs w:val="22"/>
                <w:lang w:val="en-US"/>
              </w:rPr>
              <w:t>131.8</w:t>
            </w:r>
          </w:p>
        </w:tc>
        <w:tc>
          <w:tcPr>
            <w:tcW w:w="1702" w:type="dxa"/>
            <w:vAlign w:val="center"/>
          </w:tcPr>
          <w:p w14:paraId="6CC47320" w14:textId="77777777" w:rsidR="002526E9" w:rsidRPr="0027241E" w:rsidRDefault="002526E9" w:rsidP="002526E9">
            <w:pPr>
              <w:spacing w:before="0" w:line="276" w:lineRule="auto"/>
              <w:ind w:firstLine="0"/>
              <w:contextualSpacing w:val="0"/>
              <w:jc w:val="right"/>
              <w:cnfStyle w:val="000000100000" w:firstRow="0" w:lastRow="0" w:firstColumn="0" w:lastColumn="0" w:oddVBand="0" w:evenVBand="0" w:oddHBand="1" w:evenHBand="0" w:firstRowFirstColumn="0" w:firstRowLastColumn="0" w:lastRowFirstColumn="0" w:lastRowLastColumn="0"/>
              <w:rPr>
                <w:color w:val="auto"/>
                <w:szCs w:val="22"/>
                <w:lang w:val="en-US"/>
              </w:rPr>
            </w:pPr>
            <w:r w:rsidRPr="0027241E">
              <w:rPr>
                <w:color w:val="auto"/>
                <w:szCs w:val="22"/>
                <w:lang w:val="en-US"/>
              </w:rPr>
              <w:t>301.8</w:t>
            </w:r>
          </w:p>
        </w:tc>
      </w:tr>
      <w:tr w:rsidR="0027241E" w:rsidRPr="0027241E" w14:paraId="2613AAB3" w14:textId="77777777" w:rsidTr="0027241E">
        <w:trPr>
          <w:trHeight w:val="361"/>
        </w:trPr>
        <w:tc>
          <w:tcPr>
            <w:cnfStyle w:val="001000000000" w:firstRow="0" w:lastRow="0" w:firstColumn="1" w:lastColumn="0" w:oddVBand="0" w:evenVBand="0" w:oddHBand="0" w:evenHBand="0" w:firstRowFirstColumn="0" w:firstRowLastColumn="0" w:lastRowFirstColumn="0" w:lastRowLastColumn="0"/>
            <w:tcW w:w="5319" w:type="dxa"/>
            <w:vAlign w:val="center"/>
          </w:tcPr>
          <w:p w14:paraId="50AB639B" w14:textId="77777777" w:rsidR="002526E9" w:rsidRPr="0027241E" w:rsidRDefault="002526E9" w:rsidP="002526E9">
            <w:pPr>
              <w:spacing w:before="0" w:line="276" w:lineRule="auto"/>
              <w:ind w:firstLine="0"/>
              <w:contextualSpacing w:val="0"/>
              <w:jc w:val="left"/>
              <w:rPr>
                <w:b w:val="0"/>
                <w:i w:val="0"/>
                <w:color w:val="auto"/>
                <w:szCs w:val="22"/>
                <w:lang w:val="en-US" w:eastAsia="en-US"/>
              </w:rPr>
            </w:pPr>
            <w:r w:rsidRPr="0027241E">
              <w:rPr>
                <w:b w:val="0"/>
                <w:color w:val="auto"/>
                <w:szCs w:val="22"/>
                <w:lang w:val="en-US" w:eastAsia="en-US"/>
              </w:rPr>
              <w:t>Արտարժութային պետական պարտատոմսեր</w:t>
            </w:r>
          </w:p>
        </w:tc>
        <w:tc>
          <w:tcPr>
            <w:tcW w:w="1693" w:type="dxa"/>
            <w:vAlign w:val="center"/>
          </w:tcPr>
          <w:p w14:paraId="5A191F9A" w14:textId="77777777" w:rsidR="002526E9" w:rsidRPr="0027241E"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lang w:val="hy-AM"/>
              </w:rPr>
            </w:pPr>
            <w:r w:rsidRPr="0027241E">
              <w:rPr>
                <w:b w:val="0"/>
                <w:color w:val="auto"/>
                <w:szCs w:val="22"/>
                <w:lang w:val="hy-AM"/>
              </w:rPr>
              <w:t>-</w:t>
            </w:r>
          </w:p>
        </w:tc>
        <w:tc>
          <w:tcPr>
            <w:tcW w:w="1708" w:type="dxa"/>
            <w:vAlign w:val="center"/>
          </w:tcPr>
          <w:p w14:paraId="10DE3F2C" w14:textId="77777777" w:rsidR="002526E9" w:rsidRPr="0027241E"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b w:val="0"/>
                <w:color w:val="auto"/>
                <w:szCs w:val="22"/>
                <w:lang w:val="en-US"/>
              </w:rPr>
            </w:pPr>
            <w:r w:rsidRPr="0027241E">
              <w:rPr>
                <w:b w:val="0"/>
                <w:color w:val="auto"/>
                <w:szCs w:val="22"/>
                <w:lang w:val="en-US"/>
              </w:rPr>
              <w:t>41.0</w:t>
            </w:r>
          </w:p>
        </w:tc>
        <w:tc>
          <w:tcPr>
            <w:tcW w:w="1702" w:type="dxa"/>
            <w:vAlign w:val="center"/>
          </w:tcPr>
          <w:p w14:paraId="392A47DD" w14:textId="77777777" w:rsidR="002526E9" w:rsidRPr="0027241E"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color w:val="auto"/>
                <w:szCs w:val="22"/>
                <w:lang w:val="en-US"/>
              </w:rPr>
            </w:pPr>
            <w:r w:rsidRPr="0027241E">
              <w:rPr>
                <w:color w:val="auto"/>
                <w:szCs w:val="22"/>
                <w:lang w:val="en-US"/>
              </w:rPr>
              <w:t>41.0</w:t>
            </w:r>
          </w:p>
        </w:tc>
      </w:tr>
      <w:tr w:rsidR="0027241E" w:rsidRPr="0027241E" w14:paraId="2E79E622" w14:textId="77777777" w:rsidTr="0027241E">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5319" w:type="dxa"/>
            <w:vAlign w:val="center"/>
          </w:tcPr>
          <w:p w14:paraId="5B885E75" w14:textId="77777777" w:rsidR="002526E9" w:rsidRPr="0027241E" w:rsidRDefault="002526E9" w:rsidP="002526E9">
            <w:pPr>
              <w:spacing w:before="0" w:line="276" w:lineRule="auto"/>
              <w:ind w:firstLine="0"/>
              <w:contextualSpacing w:val="0"/>
              <w:jc w:val="left"/>
              <w:rPr>
                <w:b w:val="0"/>
                <w:i w:val="0"/>
                <w:color w:val="auto"/>
                <w:szCs w:val="22"/>
                <w:lang w:val="en-US" w:eastAsia="en-US"/>
              </w:rPr>
            </w:pPr>
            <w:r w:rsidRPr="0027241E">
              <w:rPr>
                <w:b w:val="0"/>
                <w:color w:val="auto"/>
                <w:szCs w:val="22"/>
                <w:lang w:val="en-US" w:eastAsia="en-US"/>
              </w:rPr>
              <w:t>Արտաքին վարկեր</w:t>
            </w:r>
          </w:p>
        </w:tc>
        <w:tc>
          <w:tcPr>
            <w:tcW w:w="1693" w:type="dxa"/>
            <w:vAlign w:val="center"/>
          </w:tcPr>
          <w:p w14:paraId="199C88A5" w14:textId="77777777" w:rsidR="002526E9" w:rsidRPr="0027241E"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lang w:val="en-US"/>
              </w:rPr>
            </w:pPr>
            <w:r w:rsidRPr="0027241E">
              <w:rPr>
                <w:b w:val="0"/>
                <w:color w:val="auto"/>
                <w:szCs w:val="22"/>
                <w:lang w:val="en-US"/>
              </w:rPr>
              <w:t>121.5</w:t>
            </w:r>
          </w:p>
        </w:tc>
        <w:tc>
          <w:tcPr>
            <w:tcW w:w="1708" w:type="dxa"/>
            <w:vAlign w:val="center"/>
          </w:tcPr>
          <w:p w14:paraId="2532E920" w14:textId="77777777" w:rsidR="002526E9" w:rsidRPr="0027241E"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b w:val="0"/>
                <w:color w:val="auto"/>
                <w:szCs w:val="22"/>
                <w:lang w:val="en-US"/>
              </w:rPr>
            </w:pPr>
            <w:r w:rsidRPr="0027241E">
              <w:rPr>
                <w:b w:val="0"/>
                <w:color w:val="auto"/>
                <w:szCs w:val="22"/>
                <w:lang w:val="en-US"/>
              </w:rPr>
              <w:t>41.1</w:t>
            </w:r>
          </w:p>
        </w:tc>
        <w:tc>
          <w:tcPr>
            <w:tcW w:w="1702" w:type="dxa"/>
            <w:vAlign w:val="center"/>
          </w:tcPr>
          <w:p w14:paraId="2D263988" w14:textId="77777777" w:rsidR="002526E9" w:rsidRPr="0027241E" w:rsidRDefault="002526E9" w:rsidP="002526E9">
            <w:pPr>
              <w:spacing w:line="276" w:lineRule="auto"/>
              <w:jc w:val="right"/>
              <w:cnfStyle w:val="000000100000" w:firstRow="0" w:lastRow="0" w:firstColumn="0" w:lastColumn="0" w:oddVBand="0" w:evenVBand="0" w:oddHBand="1" w:evenHBand="0" w:firstRowFirstColumn="0" w:firstRowLastColumn="0" w:lastRowFirstColumn="0" w:lastRowLastColumn="0"/>
              <w:rPr>
                <w:color w:val="auto"/>
                <w:szCs w:val="22"/>
                <w:lang w:val="en-US"/>
              </w:rPr>
            </w:pPr>
            <w:r w:rsidRPr="0027241E">
              <w:rPr>
                <w:color w:val="auto"/>
                <w:szCs w:val="22"/>
                <w:lang w:val="en-US"/>
              </w:rPr>
              <w:t>162.5</w:t>
            </w:r>
          </w:p>
        </w:tc>
      </w:tr>
      <w:tr w:rsidR="0027241E" w:rsidRPr="0027241E" w14:paraId="0C925AF6" w14:textId="77777777" w:rsidTr="0027241E">
        <w:trPr>
          <w:trHeight w:val="361"/>
        </w:trPr>
        <w:tc>
          <w:tcPr>
            <w:cnfStyle w:val="001000000000" w:firstRow="0" w:lastRow="0" w:firstColumn="1" w:lastColumn="0" w:oddVBand="0" w:evenVBand="0" w:oddHBand="0" w:evenHBand="0" w:firstRowFirstColumn="0" w:firstRowLastColumn="0" w:lastRowFirstColumn="0" w:lastRowLastColumn="0"/>
            <w:tcW w:w="5319" w:type="dxa"/>
            <w:vAlign w:val="center"/>
          </w:tcPr>
          <w:p w14:paraId="157E6405" w14:textId="77777777" w:rsidR="002526E9" w:rsidRPr="0027241E" w:rsidRDefault="002526E9" w:rsidP="002526E9">
            <w:pPr>
              <w:spacing w:before="0" w:line="276" w:lineRule="auto"/>
              <w:ind w:firstLine="0"/>
              <w:contextualSpacing w:val="0"/>
              <w:jc w:val="center"/>
              <w:rPr>
                <w:color w:val="auto"/>
                <w:szCs w:val="22"/>
                <w:lang w:eastAsia="en-US"/>
              </w:rPr>
            </w:pPr>
            <w:r w:rsidRPr="0027241E">
              <w:rPr>
                <w:color w:val="auto"/>
                <w:szCs w:val="22"/>
                <w:lang w:val="en-US" w:eastAsia="en-US"/>
              </w:rPr>
              <w:t>Ընդամենը</w:t>
            </w:r>
          </w:p>
        </w:tc>
        <w:tc>
          <w:tcPr>
            <w:tcW w:w="1693" w:type="dxa"/>
            <w:vAlign w:val="center"/>
          </w:tcPr>
          <w:p w14:paraId="2CCFDA1A" w14:textId="77777777" w:rsidR="002526E9" w:rsidRPr="0027241E"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i/>
                <w:color w:val="auto"/>
                <w:szCs w:val="22"/>
                <w:lang w:val="en-US"/>
              </w:rPr>
            </w:pPr>
            <w:r w:rsidRPr="0027241E">
              <w:rPr>
                <w:i/>
                <w:color w:val="auto"/>
                <w:szCs w:val="22"/>
                <w:lang w:val="en-US"/>
              </w:rPr>
              <w:t>291.5</w:t>
            </w:r>
          </w:p>
        </w:tc>
        <w:tc>
          <w:tcPr>
            <w:tcW w:w="1708" w:type="dxa"/>
            <w:vAlign w:val="center"/>
          </w:tcPr>
          <w:p w14:paraId="3CEED975" w14:textId="77777777" w:rsidR="002526E9" w:rsidRPr="0027241E"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i/>
                <w:color w:val="auto"/>
                <w:szCs w:val="22"/>
                <w:lang w:val="en-US"/>
              </w:rPr>
            </w:pPr>
            <w:r w:rsidRPr="0027241E">
              <w:rPr>
                <w:i/>
                <w:color w:val="auto"/>
                <w:szCs w:val="22"/>
                <w:lang w:val="en-US"/>
              </w:rPr>
              <w:t>213.8</w:t>
            </w:r>
          </w:p>
        </w:tc>
        <w:tc>
          <w:tcPr>
            <w:tcW w:w="1702" w:type="dxa"/>
            <w:vAlign w:val="center"/>
          </w:tcPr>
          <w:p w14:paraId="32193851" w14:textId="77777777" w:rsidR="002526E9" w:rsidRPr="0027241E" w:rsidRDefault="002526E9" w:rsidP="002526E9">
            <w:pPr>
              <w:spacing w:line="276" w:lineRule="auto"/>
              <w:jc w:val="right"/>
              <w:cnfStyle w:val="000000000000" w:firstRow="0" w:lastRow="0" w:firstColumn="0" w:lastColumn="0" w:oddVBand="0" w:evenVBand="0" w:oddHBand="0" w:evenHBand="0" w:firstRowFirstColumn="0" w:firstRowLastColumn="0" w:lastRowFirstColumn="0" w:lastRowLastColumn="0"/>
              <w:rPr>
                <w:i/>
                <w:color w:val="auto"/>
                <w:szCs w:val="22"/>
                <w:lang w:val="en-US"/>
              </w:rPr>
            </w:pPr>
            <w:r w:rsidRPr="0027241E">
              <w:rPr>
                <w:i/>
                <w:color w:val="auto"/>
                <w:szCs w:val="22"/>
                <w:lang w:val="en-US"/>
              </w:rPr>
              <w:t>505.3</w:t>
            </w:r>
          </w:p>
        </w:tc>
      </w:tr>
    </w:tbl>
    <w:p w14:paraId="65B8598B" w14:textId="77777777" w:rsidR="002526E9" w:rsidRPr="002526E9" w:rsidRDefault="002526E9" w:rsidP="002526E9">
      <w:pPr>
        <w:shd w:val="clear" w:color="auto" w:fill="FFFFFF"/>
        <w:spacing w:before="0" w:after="200" w:line="276" w:lineRule="auto"/>
        <w:ind w:firstLine="0"/>
        <w:contextualSpacing w:val="0"/>
        <w:rPr>
          <w:rFonts w:eastAsiaTheme="minorHAnsi" w:cstheme="minorBidi"/>
          <w:i/>
          <w:szCs w:val="22"/>
          <w:lang w:val="af-ZA" w:eastAsia="en-US"/>
        </w:rPr>
      </w:pPr>
    </w:p>
    <w:p w14:paraId="6C5022F4" w14:textId="77777777" w:rsidR="002526E9" w:rsidRPr="002526E9" w:rsidRDefault="002526E9" w:rsidP="002526E9">
      <w:pPr>
        <w:shd w:val="clear" w:color="auto" w:fill="FFFFFF"/>
        <w:spacing w:before="0" w:after="200" w:line="276" w:lineRule="auto"/>
        <w:ind w:firstLine="0"/>
        <w:contextualSpacing w:val="0"/>
        <w:jc w:val="center"/>
        <w:rPr>
          <w:rFonts w:eastAsiaTheme="minorHAnsi" w:cstheme="minorBidi"/>
          <w:b w:val="0"/>
          <w:szCs w:val="22"/>
          <w:lang w:val="af-ZA" w:eastAsia="en-US"/>
        </w:rPr>
      </w:pPr>
      <w:r w:rsidRPr="002526E9">
        <w:rPr>
          <w:noProof/>
          <w:szCs w:val="22"/>
          <w:lang w:val="en-US" w:eastAsia="en-US"/>
        </w:rPr>
        <w:drawing>
          <wp:inline distT="0" distB="0" distL="0" distR="0" wp14:anchorId="29FF4BED" wp14:editId="421093B8">
            <wp:extent cx="3699641" cy="2142008"/>
            <wp:effectExtent l="114300" t="95250" r="110490" b="86995"/>
            <wp:docPr id="67" name="Chart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959D556" w14:textId="77777777" w:rsidR="002526E9" w:rsidRPr="002526E9" w:rsidRDefault="002526E9" w:rsidP="002526E9">
      <w:pPr>
        <w:shd w:val="clear" w:color="auto" w:fill="FFFFFF"/>
        <w:spacing w:before="0" w:after="200" w:line="276" w:lineRule="auto"/>
        <w:ind w:firstLine="720"/>
        <w:contextualSpacing w:val="0"/>
        <w:rPr>
          <w:rFonts w:eastAsiaTheme="minorHAnsi" w:cstheme="minorBidi"/>
          <w:b w:val="0"/>
          <w:szCs w:val="22"/>
          <w:lang w:val="af-ZA" w:eastAsia="en-US"/>
        </w:rPr>
      </w:pPr>
      <w:r w:rsidRPr="002526E9">
        <w:rPr>
          <w:rFonts w:eastAsiaTheme="minorHAnsi" w:cstheme="minorBidi"/>
          <w:b w:val="0"/>
          <w:szCs w:val="22"/>
          <w:lang w:val="af-ZA" w:eastAsia="en-US"/>
        </w:rPr>
        <w:t>ՀՀ կառավարության արտարժութային պարտքի սպասարկման և մարման համար նախատեսված միջոցները փոխարկվել են ՀՀ դրամի հիմք ընդունելով 202</w:t>
      </w:r>
      <w:r w:rsidRPr="002526E9">
        <w:rPr>
          <w:rFonts w:eastAsiaTheme="minorHAnsi" w:cstheme="minorBidi"/>
          <w:b w:val="0"/>
          <w:szCs w:val="22"/>
          <w:lang w:val="hy-AM" w:eastAsia="en-US"/>
        </w:rPr>
        <w:t>1</w:t>
      </w:r>
      <w:r w:rsidRPr="002526E9">
        <w:rPr>
          <w:rFonts w:eastAsiaTheme="minorHAnsi" w:cstheme="minorBidi"/>
          <w:b w:val="0"/>
          <w:szCs w:val="22"/>
          <w:lang w:val="af-ZA" w:eastAsia="en-US"/>
        </w:rPr>
        <w:t xml:space="preserve">թ. </w:t>
      </w:r>
      <w:r w:rsidRPr="002526E9">
        <w:rPr>
          <w:rFonts w:eastAsiaTheme="minorHAnsi" w:cstheme="minorBidi"/>
          <w:b w:val="0"/>
          <w:szCs w:val="22"/>
          <w:lang w:val="hy-AM" w:eastAsia="en-US"/>
        </w:rPr>
        <w:t>նոյեմբերի</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1</w:t>
      </w:r>
      <w:r w:rsidRPr="002526E9">
        <w:rPr>
          <w:rFonts w:eastAsiaTheme="minorHAnsi" w:cstheme="minorBidi"/>
          <w:b w:val="0"/>
          <w:szCs w:val="22"/>
          <w:lang w:val="af-ZA" w:eastAsia="en-US"/>
        </w:rPr>
        <w:t>-ի դրությամբ արժութային շուկայում ձևավորված միջին փոխարժեքները (կիրառելով համապատասխան ճշգրտման գործակից, քանի որ փաստացի վճարումները կատարվելու են գործարքի օրվա դրությամբ ՀՀ կենտրոնական բանկի կողմից սահմանված վաճառքի փոխարժեքներով) և այն ենթադրությամբ, որ ԱՄՆ դոլարի 6-ամսյա LIBOR-ի դրույքաչափը 202</w:t>
      </w:r>
      <w:r w:rsidRPr="002526E9">
        <w:rPr>
          <w:rFonts w:eastAsiaTheme="minorHAnsi" w:cstheme="minorBidi"/>
          <w:b w:val="0"/>
          <w:szCs w:val="22"/>
          <w:lang w:val="hy-AM" w:eastAsia="en-US"/>
        </w:rPr>
        <w:t>2</w:t>
      </w:r>
      <w:r w:rsidRPr="002526E9">
        <w:rPr>
          <w:rFonts w:eastAsiaTheme="minorHAnsi" w:cstheme="minorBidi"/>
          <w:b w:val="0"/>
          <w:szCs w:val="22"/>
          <w:lang w:val="af-ZA" w:eastAsia="en-US"/>
        </w:rPr>
        <w:t xml:space="preserve"> թվականին միջին հաշվով կկազմի 1.0%, 6-ամսյա EURIBOR-ը` չի գերազանցի զրոյական մակարդակը, իսկ SDR-ի տոկոսադրույքը՝ 1.2%:</w:t>
      </w:r>
    </w:p>
    <w:p w14:paraId="665A3741" w14:textId="77777777" w:rsidR="002526E9" w:rsidRPr="002526E9" w:rsidRDefault="002526E9" w:rsidP="002526E9">
      <w:pPr>
        <w:spacing w:before="0" w:line="276" w:lineRule="auto"/>
        <w:ind w:firstLine="720"/>
        <w:contextualSpacing w:val="0"/>
        <w:rPr>
          <w:rFonts w:eastAsiaTheme="minorHAnsi" w:cstheme="minorBidi"/>
          <w:b w:val="0"/>
          <w:bCs/>
          <w:szCs w:val="22"/>
          <w:lang w:val="af-ZA" w:eastAsia="en-US"/>
        </w:rPr>
      </w:pPr>
      <w:r w:rsidRPr="002526E9">
        <w:rPr>
          <w:rFonts w:eastAsiaTheme="minorHAnsi" w:cstheme="minorBidi"/>
          <w:b w:val="0"/>
          <w:bCs/>
          <w:szCs w:val="22"/>
          <w:lang w:val="en-US" w:eastAsia="en-US"/>
        </w:rPr>
        <w:t>Պետական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գանձապետական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պարտատոմսերի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մարման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համար</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նախատեսված</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hy-AM" w:eastAsia="en-US"/>
        </w:rPr>
        <w:t>--</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մլրդ</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դրամի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մեջ</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hy-AM" w:eastAsia="en-US"/>
        </w:rPr>
        <w:t xml:space="preserve">30 </w:t>
      </w:r>
      <w:r w:rsidRPr="002526E9">
        <w:rPr>
          <w:rFonts w:eastAsiaTheme="minorHAnsi" w:cstheme="minorBidi"/>
          <w:b w:val="0"/>
          <w:bCs/>
          <w:szCs w:val="22"/>
          <w:lang w:val="en-US" w:eastAsia="en-US"/>
        </w:rPr>
        <w:t>մլրդ</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դրամը</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կազմում</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է</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պարտատոմսերի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հետգնումների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համար</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ծրագրավորված</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գումարը</w:t>
      </w:r>
      <w:r w:rsidRPr="002526E9">
        <w:rPr>
          <w:rFonts w:eastAsiaTheme="minorHAnsi" w:cstheme="minorBidi"/>
          <w:b w:val="0"/>
          <w:bCs/>
          <w:szCs w:val="22"/>
          <w:lang w:val="af-ZA" w:eastAsia="en-US"/>
        </w:rPr>
        <w:t>:</w:t>
      </w:r>
    </w:p>
    <w:p w14:paraId="2E06B1D9" w14:textId="21D208DF" w:rsidR="002526E9" w:rsidRDefault="002526E9" w:rsidP="002526E9">
      <w:pPr>
        <w:spacing w:before="0" w:line="276" w:lineRule="auto"/>
        <w:ind w:firstLine="720"/>
        <w:contextualSpacing w:val="0"/>
        <w:rPr>
          <w:rFonts w:eastAsiaTheme="minorHAnsi" w:cstheme="minorBidi"/>
          <w:b w:val="0"/>
          <w:bCs/>
          <w:szCs w:val="22"/>
          <w:lang w:val="af-ZA" w:eastAsia="en-US"/>
        </w:rPr>
      </w:pPr>
      <w:r w:rsidRPr="002526E9">
        <w:rPr>
          <w:rFonts w:eastAsiaTheme="minorHAnsi" w:cstheme="minorBidi"/>
          <w:b w:val="0"/>
          <w:bCs/>
          <w:szCs w:val="22"/>
          <w:lang w:val="en-US" w:eastAsia="en-US"/>
        </w:rPr>
        <w:t>Արտաքին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վարկերի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մարման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և</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սպասարկման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գծով</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նախատեսվում</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է</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վճարել</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hy-AM" w:eastAsia="en-US"/>
        </w:rPr>
        <w:t>162.5</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մլրդ</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դրամ</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hy-AM" w:eastAsia="en-US"/>
        </w:rPr>
        <w:t>340.5</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մլն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ԱՄՆ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դոլար</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Նախատեսվող</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վճարումների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կառուցվածքն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ըստ</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վարկատուների</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հետևյալն</w:t>
      </w:r>
      <w:r w:rsidRPr="002526E9">
        <w:rPr>
          <w:rFonts w:eastAsiaTheme="minorHAnsi" w:cstheme="minorBidi"/>
          <w:b w:val="0"/>
          <w:bCs/>
          <w:szCs w:val="22"/>
          <w:lang w:val="af-ZA" w:eastAsia="en-US"/>
        </w:rPr>
        <w:t xml:space="preserve"> </w:t>
      </w:r>
      <w:r w:rsidRPr="002526E9">
        <w:rPr>
          <w:rFonts w:eastAsiaTheme="minorHAnsi" w:cstheme="minorBidi"/>
          <w:b w:val="0"/>
          <w:bCs/>
          <w:szCs w:val="22"/>
          <w:lang w:val="en-US" w:eastAsia="en-US"/>
        </w:rPr>
        <w:t>է</w:t>
      </w:r>
      <w:r w:rsidRPr="002526E9">
        <w:rPr>
          <w:rFonts w:eastAsiaTheme="minorHAnsi" w:cstheme="minorBidi"/>
          <w:b w:val="0"/>
          <w:bCs/>
          <w:szCs w:val="22"/>
          <w:lang w:val="af-ZA" w:eastAsia="en-US"/>
        </w:rPr>
        <w:t>.</w:t>
      </w:r>
    </w:p>
    <w:p w14:paraId="11AB1CBF" w14:textId="77777777" w:rsidR="00C537C7" w:rsidRPr="002526E9" w:rsidRDefault="00C537C7" w:rsidP="002526E9">
      <w:pPr>
        <w:spacing w:before="0" w:line="276" w:lineRule="auto"/>
        <w:ind w:firstLine="720"/>
        <w:contextualSpacing w:val="0"/>
        <w:rPr>
          <w:rFonts w:eastAsiaTheme="minorHAnsi" w:cstheme="minorBidi"/>
          <w:b w:val="0"/>
          <w:bCs/>
          <w:szCs w:val="22"/>
          <w:lang w:val="af-ZA" w:eastAsia="en-US"/>
        </w:rPr>
      </w:pPr>
    </w:p>
    <w:tbl>
      <w:tblPr>
        <w:tblStyle w:val="MediumGrid2-Accent59"/>
        <w:tblW w:w="10213" w:type="dxa"/>
        <w:tblInd w:w="108" w:type="dxa"/>
        <w:tblLook w:val="04A0" w:firstRow="1" w:lastRow="0" w:firstColumn="1" w:lastColumn="0" w:noHBand="0" w:noVBand="1"/>
      </w:tblPr>
      <w:tblGrid>
        <w:gridCol w:w="5988"/>
        <w:gridCol w:w="1620"/>
        <w:gridCol w:w="1369"/>
        <w:gridCol w:w="1287"/>
      </w:tblGrid>
      <w:tr w:rsidR="002526E9" w:rsidRPr="002526E9" w14:paraId="4B363C32" w14:textId="77777777" w:rsidTr="0027241E">
        <w:trPr>
          <w:cnfStyle w:val="100000000000" w:firstRow="1" w:lastRow="0" w:firstColumn="0" w:lastColumn="0" w:oddVBand="0" w:evenVBand="0" w:oddHBand="0" w:evenHBand="0" w:firstRowFirstColumn="0" w:firstRowLastColumn="0" w:lastRowFirstColumn="0" w:lastRowLastColumn="0"/>
          <w:trHeight w:val="310"/>
          <w:tblHeader/>
        </w:trPr>
        <w:tc>
          <w:tcPr>
            <w:cnfStyle w:val="001000000100" w:firstRow="0" w:lastRow="0" w:firstColumn="1" w:lastColumn="0" w:oddVBand="0" w:evenVBand="0" w:oddHBand="0" w:evenHBand="0" w:firstRowFirstColumn="1" w:firstRowLastColumn="0" w:lastRowFirstColumn="0" w:lastRowLastColumn="0"/>
            <w:tcW w:w="5988" w:type="dxa"/>
            <w:tcBorders>
              <w:top w:val="single" w:sz="4" w:space="0" w:color="auto"/>
              <w:left w:val="single" w:sz="4" w:space="0" w:color="auto"/>
              <w:bottom w:val="single" w:sz="4" w:space="0" w:color="auto"/>
              <w:right w:val="single" w:sz="4" w:space="0" w:color="auto"/>
            </w:tcBorders>
            <w:noWrap/>
            <w:hideMark/>
          </w:tcPr>
          <w:p w14:paraId="51E1A7A0" w14:textId="77777777" w:rsidR="002526E9" w:rsidRPr="002526E9" w:rsidRDefault="002526E9" w:rsidP="002526E9">
            <w:pPr>
              <w:spacing w:before="0" w:line="276" w:lineRule="auto"/>
              <w:ind w:firstLine="0"/>
              <w:contextualSpacing w:val="0"/>
              <w:jc w:val="center"/>
              <w:rPr>
                <w:b/>
                <w:szCs w:val="22"/>
                <w:lang w:val="en-US" w:eastAsia="en-US"/>
              </w:rPr>
            </w:pPr>
            <w:r w:rsidRPr="002526E9">
              <w:rPr>
                <w:szCs w:val="22"/>
                <w:lang w:val="en-US" w:eastAsia="en-US"/>
              </w:rPr>
              <w:t>մլն ԱՄՆ դոլար</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58E87E23"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Cs w:val="22"/>
                <w:lang w:val="en-US" w:eastAsia="en-US"/>
              </w:rPr>
            </w:pPr>
            <w:r w:rsidRPr="002526E9">
              <w:rPr>
                <w:szCs w:val="22"/>
                <w:lang w:val="en-US" w:eastAsia="en-US"/>
              </w:rPr>
              <w:t>տոկոսավճար</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6A3BFCD3"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Cs w:val="22"/>
                <w:lang w:val="en-US" w:eastAsia="en-US"/>
              </w:rPr>
            </w:pPr>
            <w:r w:rsidRPr="002526E9">
              <w:rPr>
                <w:szCs w:val="22"/>
                <w:lang w:val="en-US" w:eastAsia="en-US"/>
              </w:rPr>
              <w:t>մարում</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1A5F0B03" w14:textId="77777777" w:rsidR="002526E9" w:rsidRPr="002526E9" w:rsidRDefault="002526E9" w:rsidP="002526E9">
            <w:pPr>
              <w:spacing w:before="0" w:line="276" w:lineRule="auto"/>
              <w:ind w:firstLine="0"/>
              <w:contextualSpacing w:val="0"/>
              <w:jc w:val="center"/>
              <w:cnfStyle w:val="100000000000" w:firstRow="1" w:lastRow="0" w:firstColumn="0" w:lastColumn="0" w:oddVBand="0" w:evenVBand="0" w:oddHBand="0" w:evenHBand="0" w:firstRowFirstColumn="0" w:firstRowLastColumn="0" w:lastRowFirstColumn="0" w:lastRowLastColumn="0"/>
              <w:rPr>
                <w:b/>
                <w:szCs w:val="22"/>
                <w:lang w:val="en-US" w:eastAsia="en-US"/>
              </w:rPr>
            </w:pPr>
            <w:r w:rsidRPr="002526E9">
              <w:rPr>
                <w:szCs w:val="22"/>
                <w:lang w:val="en-US" w:eastAsia="en-US"/>
              </w:rPr>
              <w:t>ընդամենը</w:t>
            </w:r>
          </w:p>
        </w:tc>
      </w:tr>
      <w:tr w:rsidR="002526E9" w:rsidRPr="002526E9" w14:paraId="728A8FE0"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tcPr>
          <w:p w14:paraId="7AB0164A" w14:textId="77777777" w:rsidR="002526E9" w:rsidRPr="002526E9" w:rsidRDefault="002526E9" w:rsidP="002526E9">
            <w:pPr>
              <w:spacing w:before="0" w:line="276" w:lineRule="auto"/>
              <w:ind w:firstLine="0"/>
              <w:contextualSpacing w:val="0"/>
              <w:jc w:val="left"/>
              <w:rPr>
                <w:szCs w:val="22"/>
                <w:lang w:eastAsia="en-US"/>
              </w:rPr>
            </w:pPr>
            <w:r w:rsidRPr="002526E9">
              <w:rPr>
                <w:szCs w:val="22"/>
                <w:lang w:val="en-US" w:eastAsia="en-US"/>
              </w:rPr>
              <w:t>Վերակառուցման</w:t>
            </w:r>
            <w:r w:rsidRPr="002526E9">
              <w:rPr>
                <w:szCs w:val="22"/>
                <w:lang w:eastAsia="en-US"/>
              </w:rPr>
              <w:t xml:space="preserve"> </w:t>
            </w:r>
            <w:r w:rsidRPr="002526E9">
              <w:rPr>
                <w:szCs w:val="22"/>
                <w:lang w:val="en-US" w:eastAsia="en-US"/>
              </w:rPr>
              <w:t>և</w:t>
            </w:r>
            <w:r w:rsidRPr="002526E9">
              <w:rPr>
                <w:szCs w:val="22"/>
                <w:lang w:eastAsia="en-US"/>
              </w:rPr>
              <w:t xml:space="preserve"> </w:t>
            </w:r>
            <w:r w:rsidRPr="002526E9">
              <w:rPr>
                <w:szCs w:val="22"/>
                <w:lang w:val="en-US" w:eastAsia="en-US"/>
              </w:rPr>
              <w:t>Զարգացման</w:t>
            </w:r>
            <w:r w:rsidRPr="002526E9">
              <w:rPr>
                <w:szCs w:val="22"/>
                <w:lang w:eastAsia="en-US"/>
              </w:rPr>
              <w:t xml:space="preserve"> </w:t>
            </w:r>
            <w:r w:rsidRPr="002526E9">
              <w:rPr>
                <w:szCs w:val="22"/>
                <w:lang w:val="en-US" w:eastAsia="en-US"/>
              </w:rPr>
              <w:t>Միջազգային</w:t>
            </w:r>
            <w:r w:rsidRPr="002526E9">
              <w:rPr>
                <w:szCs w:val="22"/>
                <w:lang w:eastAsia="en-US"/>
              </w:rPr>
              <w:t xml:space="preserve"> </w:t>
            </w:r>
            <w:r w:rsidRPr="002526E9">
              <w:rPr>
                <w:szCs w:val="22"/>
                <w:lang w:val="en-US" w:eastAsia="en-US"/>
              </w:rPr>
              <w:t>Բանկ</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05403B3"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18.1</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21EDCBE"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16.5</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074263"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34.7</w:t>
            </w:r>
          </w:p>
        </w:tc>
      </w:tr>
      <w:tr w:rsidR="002526E9" w:rsidRPr="002526E9" w14:paraId="1A3C0317"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48BE8241"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Զարգացման Միջազգային Ընկերակցություն</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F97D772"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9.1</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F311678"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74.6</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937BC34"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83.8</w:t>
            </w:r>
          </w:p>
        </w:tc>
      </w:tr>
      <w:tr w:rsidR="002526E9" w:rsidRPr="002526E9" w14:paraId="0F9E0E14"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B4F47ED" w14:textId="77777777" w:rsidR="002526E9" w:rsidRPr="002526E9" w:rsidRDefault="002526E9" w:rsidP="002526E9">
            <w:pPr>
              <w:spacing w:before="0" w:line="276" w:lineRule="auto"/>
              <w:ind w:firstLine="0"/>
              <w:contextualSpacing w:val="0"/>
              <w:jc w:val="left"/>
              <w:rPr>
                <w:szCs w:val="22"/>
                <w:lang w:eastAsia="en-US"/>
              </w:rPr>
            </w:pPr>
            <w:r w:rsidRPr="002526E9">
              <w:rPr>
                <w:szCs w:val="22"/>
                <w:lang w:val="en-US" w:eastAsia="en-US"/>
              </w:rPr>
              <w:t>Վերակառուցման</w:t>
            </w:r>
            <w:r w:rsidRPr="002526E9">
              <w:rPr>
                <w:szCs w:val="22"/>
                <w:lang w:eastAsia="en-US"/>
              </w:rPr>
              <w:t xml:space="preserve"> </w:t>
            </w:r>
            <w:r w:rsidRPr="002526E9">
              <w:rPr>
                <w:szCs w:val="22"/>
                <w:lang w:val="en-US" w:eastAsia="en-US"/>
              </w:rPr>
              <w:t>և</w:t>
            </w:r>
            <w:r w:rsidRPr="002526E9">
              <w:rPr>
                <w:szCs w:val="22"/>
                <w:lang w:eastAsia="en-US"/>
              </w:rPr>
              <w:t xml:space="preserve"> </w:t>
            </w:r>
            <w:r w:rsidRPr="002526E9">
              <w:rPr>
                <w:szCs w:val="22"/>
                <w:lang w:val="en-US" w:eastAsia="en-US"/>
              </w:rPr>
              <w:t>Զարգացման</w:t>
            </w:r>
            <w:r w:rsidRPr="002526E9">
              <w:rPr>
                <w:szCs w:val="22"/>
                <w:lang w:eastAsia="en-US"/>
              </w:rPr>
              <w:t xml:space="preserve"> </w:t>
            </w:r>
            <w:r w:rsidRPr="002526E9">
              <w:rPr>
                <w:szCs w:val="22"/>
                <w:lang w:val="en-US" w:eastAsia="en-US"/>
              </w:rPr>
              <w:t>Եվրոպական</w:t>
            </w:r>
            <w:r w:rsidRPr="002526E9">
              <w:rPr>
                <w:szCs w:val="22"/>
                <w:lang w:eastAsia="en-US"/>
              </w:rPr>
              <w:t xml:space="preserve"> </w:t>
            </w:r>
            <w:r w:rsidRPr="002526E9">
              <w:rPr>
                <w:szCs w:val="22"/>
                <w:lang w:val="en-US" w:eastAsia="en-US"/>
              </w:rPr>
              <w:t>Բանկ</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B86F5E8"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1.0</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394C8EF"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4.6</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7DED31D7"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5.7</w:t>
            </w:r>
          </w:p>
        </w:tc>
      </w:tr>
      <w:tr w:rsidR="002526E9" w:rsidRPr="002526E9" w14:paraId="1FFB7732"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3D8ECA3E"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Եվրոպական Ներդրումային Բանկ</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9F1701C"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2.2</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E66B5DE"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5.7</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55BDB5E"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7.9</w:t>
            </w:r>
          </w:p>
        </w:tc>
      </w:tr>
      <w:tr w:rsidR="002526E9" w:rsidRPr="002526E9" w14:paraId="4DDD39F6"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D188F09"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Գյուղատնտեսության Զարգացման Միջազգային Հիմնադրամ</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23405E5"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0.6</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0D2C975"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4.0</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18747E0"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4.6</w:t>
            </w:r>
          </w:p>
        </w:tc>
      </w:tr>
      <w:tr w:rsidR="002526E9" w:rsidRPr="002526E9" w14:paraId="5B529B3E"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3B056730" w14:textId="77777777" w:rsidR="002526E9" w:rsidRPr="002526E9" w:rsidRDefault="002526E9" w:rsidP="002526E9">
            <w:pPr>
              <w:spacing w:before="0" w:line="276" w:lineRule="auto"/>
              <w:ind w:firstLine="0"/>
              <w:contextualSpacing w:val="0"/>
              <w:jc w:val="left"/>
              <w:rPr>
                <w:szCs w:val="22"/>
                <w:lang w:eastAsia="en-US"/>
              </w:rPr>
            </w:pPr>
            <w:r w:rsidRPr="002526E9">
              <w:rPr>
                <w:szCs w:val="22"/>
                <w:lang w:val="en-US" w:eastAsia="en-US"/>
              </w:rPr>
              <w:t>ՕՊԵԿ</w:t>
            </w:r>
            <w:r w:rsidRPr="002526E9">
              <w:rPr>
                <w:szCs w:val="22"/>
                <w:lang w:eastAsia="en-US"/>
              </w:rPr>
              <w:t>-</w:t>
            </w:r>
            <w:r w:rsidRPr="002526E9">
              <w:rPr>
                <w:szCs w:val="22"/>
                <w:lang w:val="en-US" w:eastAsia="en-US"/>
              </w:rPr>
              <w:t>ի</w:t>
            </w:r>
            <w:r w:rsidRPr="002526E9">
              <w:rPr>
                <w:szCs w:val="22"/>
                <w:lang w:eastAsia="en-US"/>
              </w:rPr>
              <w:t xml:space="preserve"> </w:t>
            </w:r>
            <w:r w:rsidRPr="002526E9">
              <w:rPr>
                <w:szCs w:val="22"/>
                <w:lang w:val="en-US" w:eastAsia="en-US"/>
              </w:rPr>
              <w:t>Միջազգային</w:t>
            </w:r>
            <w:r w:rsidRPr="002526E9">
              <w:rPr>
                <w:szCs w:val="22"/>
                <w:lang w:eastAsia="en-US"/>
              </w:rPr>
              <w:t xml:space="preserve"> </w:t>
            </w:r>
            <w:r w:rsidRPr="002526E9">
              <w:rPr>
                <w:szCs w:val="22"/>
                <w:lang w:val="en-US" w:eastAsia="en-US"/>
              </w:rPr>
              <w:t>Զարգացման</w:t>
            </w:r>
            <w:r w:rsidRPr="002526E9">
              <w:rPr>
                <w:szCs w:val="22"/>
                <w:lang w:eastAsia="en-US"/>
              </w:rPr>
              <w:t xml:space="preserve"> </w:t>
            </w:r>
            <w:r w:rsidRPr="002526E9">
              <w:rPr>
                <w:szCs w:val="22"/>
                <w:lang w:val="en-US" w:eastAsia="en-US"/>
              </w:rPr>
              <w:t>Հիմնադրամ</w:t>
            </w:r>
            <w:r w:rsidRPr="002526E9">
              <w:rPr>
                <w:szCs w:val="22"/>
                <w:lang w:eastAsia="en-US"/>
              </w:rPr>
              <w:t xml:space="preserve"> </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546797"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1.8</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616ECD1"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5.1</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887C30E"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6.9</w:t>
            </w:r>
          </w:p>
        </w:tc>
      </w:tr>
      <w:tr w:rsidR="002526E9" w:rsidRPr="002526E9" w14:paraId="70841EB3"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B1A8B58"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Ասիական Զարգացման Բանկ</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4605F13"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16.3</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02C26E8"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49.4</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8DD654D"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65.7</w:t>
            </w:r>
          </w:p>
        </w:tc>
      </w:tr>
      <w:tr w:rsidR="002526E9" w:rsidRPr="002526E9" w14:paraId="579F199F"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179AB02B"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Եվրամիություն</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4650DE8"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2.6</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3D33E2B"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A04DCFF"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2.6</w:t>
            </w:r>
          </w:p>
        </w:tc>
      </w:tr>
      <w:tr w:rsidR="002526E9" w:rsidRPr="002526E9" w14:paraId="5544F48E"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DA6D3B0"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Արժույթի Միջազգային Հիմնադրամ</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413C221"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5.3</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50B58DD"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5.6</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F5CC6D6"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10.9</w:t>
            </w:r>
          </w:p>
        </w:tc>
      </w:tr>
      <w:tr w:rsidR="002526E9" w:rsidRPr="002526E9" w14:paraId="6C9A9D81"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5166CC51"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 xml:space="preserve">Եվրասիական Զարգացման Բանկ </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FB92C5E"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7.3</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DE81666"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0.6</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BB01176"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7.9</w:t>
            </w:r>
          </w:p>
        </w:tc>
      </w:tr>
      <w:tr w:rsidR="002526E9" w:rsidRPr="002526E9" w14:paraId="29C5774B"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2993C34"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Գերմանիա (ՎՎԲ)</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BA73E61"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6.1</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A10DE83"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26.2</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4353F2D"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32.4</w:t>
            </w:r>
          </w:p>
        </w:tc>
      </w:tr>
      <w:tr w:rsidR="002526E9" w:rsidRPr="002526E9" w14:paraId="4580A94F"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177E38D6"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Ռուսաստանի Դաշնություն</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057333F"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10.8</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C55D8FF"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38.6</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47271B2"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49.4</w:t>
            </w:r>
          </w:p>
        </w:tc>
      </w:tr>
      <w:tr w:rsidR="002526E9" w:rsidRPr="002526E9" w14:paraId="70A34D34"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73EC07E6"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Ֆրանսիա</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0F7F858"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1.9</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03FF1021"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6.8</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B1A7264"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8.7</w:t>
            </w:r>
          </w:p>
        </w:tc>
      </w:tr>
      <w:tr w:rsidR="002526E9" w:rsidRPr="002526E9" w14:paraId="4F46921B"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43D5ACDE"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ԱՄՆ</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755868E"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0.2</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717E17C"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1.8</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A321B1A"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2.0</w:t>
            </w:r>
          </w:p>
        </w:tc>
      </w:tr>
      <w:tr w:rsidR="002526E9" w:rsidRPr="002526E9" w14:paraId="3D289ED1"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615FF198"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Ճապոնիա</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8C4419D"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1.7</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C16055E"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10.2</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3D8BF1D"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11.9</w:t>
            </w:r>
          </w:p>
        </w:tc>
      </w:tr>
      <w:tr w:rsidR="002526E9" w:rsidRPr="002526E9" w14:paraId="5335AD2A"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5A618540"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Աբու-Դաբիի Զարգացման Հիմնադրամ</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A41D378"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0.1</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A5AA005"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0.6</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1B9E292"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0.8</w:t>
            </w:r>
          </w:p>
        </w:tc>
      </w:tr>
      <w:tr w:rsidR="002526E9" w:rsidRPr="002526E9" w14:paraId="5142EF24"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4D4111F4"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Չինաստանի Արտահանման-Ներմուծման Բանկ</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45AAB7C"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0.4</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57198D4"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1.7</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6200BC41"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2.1</w:t>
            </w:r>
          </w:p>
        </w:tc>
      </w:tr>
      <w:tr w:rsidR="002526E9" w:rsidRPr="002526E9" w14:paraId="627A7CCC"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FDD16A4"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ԿԲՍ Բանկ (Բելգիա)</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FBA4DE6"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0.0</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94B2C80"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0.6</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3F6E9F6"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0.6</w:t>
            </w:r>
          </w:p>
        </w:tc>
      </w:tr>
      <w:tr w:rsidR="002526E9" w:rsidRPr="002526E9" w14:paraId="18659D1D"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101296D2"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Ռայֆայզն Բանկ (Ավստրիա)</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430C1AB"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0.1</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4D828C9F"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1.0</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24597EE3"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1.1</w:t>
            </w:r>
          </w:p>
        </w:tc>
      </w:tr>
      <w:tr w:rsidR="002526E9" w:rsidRPr="002526E9" w14:paraId="6CC94232"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0D49226D" w14:textId="77777777" w:rsidR="002526E9" w:rsidRPr="002526E9" w:rsidRDefault="002526E9" w:rsidP="002526E9">
            <w:pPr>
              <w:spacing w:before="0" w:line="276" w:lineRule="auto"/>
              <w:ind w:firstLine="0"/>
              <w:contextualSpacing w:val="0"/>
              <w:jc w:val="left"/>
              <w:rPr>
                <w:szCs w:val="22"/>
                <w:lang w:val="en-US" w:eastAsia="en-US"/>
              </w:rPr>
            </w:pPr>
            <w:r w:rsidRPr="002526E9">
              <w:rPr>
                <w:szCs w:val="22"/>
                <w:lang w:val="en-US" w:eastAsia="en-US"/>
              </w:rPr>
              <w:t>Էռստե Բանկ (Ավստրիա)</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BA6E9D"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0.1</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0324DA9"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0.7</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4DA10F3"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 w:val="0"/>
                <w:szCs w:val="22"/>
              </w:rPr>
            </w:pPr>
            <w:r w:rsidRPr="002526E9">
              <w:rPr>
                <w:b w:val="0"/>
                <w:szCs w:val="22"/>
              </w:rPr>
              <w:t>0.8</w:t>
            </w:r>
          </w:p>
        </w:tc>
      </w:tr>
      <w:tr w:rsidR="002526E9" w:rsidRPr="002526E9" w14:paraId="752CC111" w14:textId="77777777" w:rsidTr="0027241E">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tcPr>
          <w:p w14:paraId="7FFD652E" w14:textId="77777777" w:rsidR="002526E9" w:rsidRPr="002526E9" w:rsidRDefault="002526E9" w:rsidP="002526E9">
            <w:pPr>
              <w:spacing w:before="0" w:line="276" w:lineRule="auto"/>
              <w:ind w:firstLine="0"/>
              <w:contextualSpacing w:val="0"/>
              <w:jc w:val="left"/>
              <w:rPr>
                <w:szCs w:val="22"/>
                <w:lang w:val="hy-AM" w:eastAsia="en-US"/>
              </w:rPr>
            </w:pPr>
            <w:r w:rsidRPr="002526E9">
              <w:rPr>
                <w:szCs w:val="22"/>
                <w:lang w:val="hy-AM" w:eastAsia="en-US"/>
              </w:rPr>
              <w:t>Ենթակա է հստակեցման</w:t>
            </w:r>
          </w:p>
        </w:tc>
        <w:tc>
          <w:tcPr>
            <w:tcW w:w="162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71FA101"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0.1</w:t>
            </w:r>
          </w:p>
        </w:tc>
        <w:tc>
          <w:tcPr>
            <w:tcW w:w="1318"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5370709D"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w:t>
            </w:r>
          </w:p>
        </w:tc>
        <w:tc>
          <w:tcPr>
            <w:tcW w:w="1287"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1B9D1B4B" w14:textId="77777777" w:rsidR="002526E9" w:rsidRPr="002526E9" w:rsidRDefault="002526E9" w:rsidP="002526E9">
            <w:pPr>
              <w:spacing w:before="0" w:line="276" w:lineRule="auto"/>
              <w:jc w:val="right"/>
              <w:cnfStyle w:val="000000100000" w:firstRow="0" w:lastRow="0" w:firstColumn="0" w:lastColumn="0" w:oddVBand="0" w:evenVBand="0" w:oddHBand="1" w:evenHBand="0" w:firstRowFirstColumn="0" w:firstRowLastColumn="0" w:lastRowFirstColumn="0" w:lastRowLastColumn="0"/>
              <w:rPr>
                <w:b w:val="0"/>
                <w:szCs w:val="22"/>
              </w:rPr>
            </w:pPr>
            <w:r w:rsidRPr="002526E9">
              <w:rPr>
                <w:b w:val="0"/>
                <w:szCs w:val="22"/>
              </w:rPr>
              <w:t>0.1</w:t>
            </w:r>
          </w:p>
        </w:tc>
      </w:tr>
      <w:tr w:rsidR="002526E9" w:rsidRPr="002526E9" w14:paraId="14840398" w14:textId="77777777" w:rsidTr="0027241E">
        <w:trPr>
          <w:trHeight w:val="310"/>
        </w:trPr>
        <w:tc>
          <w:tcPr>
            <w:cnfStyle w:val="001000000000" w:firstRow="0" w:lastRow="0" w:firstColumn="1" w:lastColumn="0" w:oddVBand="0" w:evenVBand="0" w:oddHBand="0" w:evenHBand="0" w:firstRowFirstColumn="0" w:firstRowLastColumn="0" w:lastRowFirstColumn="0" w:lastRowLastColumn="0"/>
            <w:tcW w:w="5988" w:type="dxa"/>
            <w:tcBorders>
              <w:top w:val="single" w:sz="4" w:space="0" w:color="auto"/>
              <w:left w:val="single" w:sz="4" w:space="0" w:color="auto"/>
              <w:bottom w:val="single" w:sz="4" w:space="0" w:color="auto"/>
              <w:right w:val="single" w:sz="4" w:space="0" w:color="auto"/>
            </w:tcBorders>
            <w:hideMark/>
          </w:tcPr>
          <w:p w14:paraId="50F7AB8D" w14:textId="77777777" w:rsidR="002526E9" w:rsidRPr="002526E9" w:rsidRDefault="002526E9" w:rsidP="002526E9">
            <w:pPr>
              <w:spacing w:before="0" w:line="276" w:lineRule="auto"/>
              <w:ind w:firstLine="0"/>
              <w:contextualSpacing w:val="0"/>
              <w:jc w:val="center"/>
              <w:rPr>
                <w:b/>
                <w:szCs w:val="22"/>
                <w:lang w:val="en-US" w:eastAsia="en-US"/>
              </w:rPr>
            </w:pPr>
            <w:r w:rsidRPr="002526E9">
              <w:rPr>
                <w:b/>
                <w:szCs w:val="22"/>
                <w:lang w:val="en-US" w:eastAsia="en-US"/>
              </w:rPr>
              <w:t>Ընդամենը</w:t>
            </w:r>
          </w:p>
        </w:tc>
        <w:tc>
          <w:tcPr>
            <w:tcW w:w="162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87D1C29"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Cs/>
                <w:szCs w:val="22"/>
              </w:rPr>
            </w:pPr>
            <w:r w:rsidRPr="002526E9">
              <w:rPr>
                <w:bCs/>
                <w:szCs w:val="22"/>
              </w:rPr>
              <w:t>86.1</w:t>
            </w:r>
          </w:p>
        </w:tc>
        <w:tc>
          <w:tcPr>
            <w:tcW w:w="131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2AE25DE" w14:textId="77777777" w:rsidR="002526E9" w:rsidRPr="002526E9" w:rsidRDefault="002526E9" w:rsidP="002526E9">
            <w:pPr>
              <w:spacing w:before="0" w:line="276" w:lineRule="auto"/>
              <w:jc w:val="right"/>
              <w:cnfStyle w:val="000000000000" w:firstRow="0" w:lastRow="0" w:firstColumn="0" w:lastColumn="0" w:oddVBand="0" w:evenVBand="0" w:oddHBand="0" w:evenHBand="0" w:firstRowFirstColumn="0" w:firstRowLastColumn="0" w:lastRowFirstColumn="0" w:lastRowLastColumn="0"/>
              <w:rPr>
                <w:bCs/>
                <w:szCs w:val="22"/>
              </w:rPr>
            </w:pPr>
            <w:r w:rsidRPr="002526E9">
              <w:rPr>
                <w:bCs/>
                <w:szCs w:val="22"/>
              </w:rPr>
              <w:t>254.4</w:t>
            </w:r>
          </w:p>
        </w:tc>
        <w:tc>
          <w:tcPr>
            <w:tcW w:w="128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EF685F" w14:textId="77777777" w:rsidR="002526E9" w:rsidRPr="002526E9" w:rsidRDefault="002526E9" w:rsidP="002526E9">
            <w:pPr>
              <w:spacing w:before="0" w:line="276" w:lineRule="auto"/>
              <w:ind w:firstLine="0"/>
              <w:jc w:val="right"/>
              <w:cnfStyle w:val="000000000000" w:firstRow="0" w:lastRow="0" w:firstColumn="0" w:lastColumn="0" w:oddVBand="0" w:evenVBand="0" w:oddHBand="0" w:evenHBand="0" w:firstRowFirstColumn="0" w:firstRowLastColumn="0" w:lastRowFirstColumn="0" w:lastRowLastColumn="0"/>
              <w:rPr>
                <w:bCs/>
                <w:szCs w:val="22"/>
              </w:rPr>
            </w:pPr>
            <w:r w:rsidRPr="002526E9">
              <w:rPr>
                <w:bCs/>
                <w:szCs w:val="22"/>
              </w:rPr>
              <w:t>340.5</w:t>
            </w:r>
          </w:p>
        </w:tc>
      </w:tr>
    </w:tbl>
    <w:p w14:paraId="278AAB2C" w14:textId="77777777" w:rsidR="002526E9" w:rsidRPr="002526E9" w:rsidRDefault="002526E9" w:rsidP="002526E9">
      <w:pPr>
        <w:spacing w:before="0" w:after="120" w:line="276" w:lineRule="auto"/>
        <w:ind w:firstLine="0"/>
        <w:contextualSpacing w:val="0"/>
        <w:rPr>
          <w:rFonts w:eastAsiaTheme="minorHAnsi" w:cstheme="minorBidi"/>
          <w:b w:val="0"/>
          <w:bCs/>
          <w:szCs w:val="22"/>
          <w:lang w:val="en-US" w:eastAsia="en-US"/>
        </w:rPr>
      </w:pPr>
    </w:p>
    <w:p w14:paraId="0DD57F5E" w14:textId="54CB3F96" w:rsidR="0027241E" w:rsidRDefault="002526E9" w:rsidP="002526E9">
      <w:pPr>
        <w:shd w:val="clear" w:color="auto" w:fill="FFFFFF"/>
        <w:spacing w:before="0" w:after="200" w:line="276" w:lineRule="auto"/>
        <w:ind w:firstLine="720"/>
        <w:contextualSpacing w:val="0"/>
        <w:rPr>
          <w:rFonts w:eastAsiaTheme="minorHAnsi" w:cstheme="minorBidi"/>
          <w:b w:val="0"/>
          <w:szCs w:val="22"/>
          <w:lang w:val="en-US" w:eastAsia="en-US"/>
        </w:rPr>
      </w:pPr>
      <w:r w:rsidRPr="002526E9">
        <w:rPr>
          <w:rFonts w:eastAsiaTheme="minorHAnsi" w:cstheme="minorBidi"/>
          <w:b w:val="0"/>
          <w:szCs w:val="22"/>
          <w:lang w:val="en-US" w:eastAsia="en-US"/>
        </w:rPr>
        <w:t>Արտարժութային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պետական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պարտատոմսերի</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սպասարկման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ծախսերը</w:t>
      </w:r>
      <w:r w:rsidRPr="002526E9">
        <w:rPr>
          <w:rFonts w:eastAsiaTheme="minorHAnsi" w:cstheme="minorBidi"/>
          <w:b w:val="0"/>
          <w:szCs w:val="22"/>
          <w:lang w:val="af-ZA" w:eastAsia="en-US"/>
        </w:rPr>
        <w:t xml:space="preserve"> 202</w:t>
      </w:r>
      <w:r w:rsidRPr="002526E9">
        <w:rPr>
          <w:rFonts w:eastAsiaTheme="minorHAnsi" w:cstheme="minorBidi"/>
          <w:b w:val="0"/>
          <w:szCs w:val="22"/>
          <w:lang w:val="hy-AM" w:eastAsia="en-US"/>
        </w:rPr>
        <w:t>2</w:t>
      </w:r>
      <w:r w:rsidRPr="002526E9">
        <w:rPr>
          <w:rFonts w:eastAsiaTheme="minorHAnsi" w:cstheme="minorBidi"/>
          <w:b w:val="0"/>
          <w:szCs w:val="22"/>
          <w:lang w:val="en-US" w:eastAsia="en-US"/>
        </w:rPr>
        <w:t xml:space="preserve"> թվականին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կկազմեն</w:t>
      </w:r>
      <w:r w:rsidRPr="002526E9">
        <w:rPr>
          <w:rFonts w:eastAsiaTheme="minorHAnsi" w:cstheme="minorBidi"/>
          <w:b w:val="0"/>
          <w:szCs w:val="22"/>
          <w:lang w:val="af-ZA" w:eastAsia="en-US"/>
        </w:rPr>
        <w:t xml:space="preserve"> </w:t>
      </w:r>
      <w:r w:rsidRPr="002526E9">
        <w:rPr>
          <w:rFonts w:eastAsiaTheme="minorHAnsi" w:cstheme="minorBidi"/>
          <w:b w:val="0"/>
          <w:szCs w:val="22"/>
          <w:lang w:val="hy-AM" w:eastAsia="en-US"/>
        </w:rPr>
        <w:t>85.8</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մլն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ԱՄՆ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դոլար` շրջանառության</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մեջ</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գտնվող</w:t>
      </w:r>
      <w:r w:rsidRPr="002526E9">
        <w:rPr>
          <w:rFonts w:eastAsiaTheme="minorHAnsi" w:cstheme="minorBidi"/>
          <w:b w:val="0"/>
          <w:szCs w:val="22"/>
          <w:lang w:val="af-ZA" w:eastAsia="en-US"/>
        </w:rPr>
        <w:t xml:space="preserve"> </w:t>
      </w:r>
      <w:r w:rsidRPr="002526E9">
        <w:rPr>
          <w:rFonts w:eastAsiaTheme="minorHAnsi" w:cstheme="minorBidi"/>
          <w:b w:val="0"/>
          <w:szCs w:val="22"/>
          <w:lang w:val="en-US" w:eastAsia="en-US"/>
        </w:rPr>
        <w:t>պարտատոմսերի</w:t>
      </w:r>
      <w:r w:rsidRPr="002526E9">
        <w:rPr>
          <w:rFonts w:eastAsiaTheme="minorHAnsi" w:cstheme="minorBidi"/>
          <w:b w:val="0"/>
          <w:szCs w:val="22"/>
          <w:lang w:val="af-ZA" w:eastAsia="en-US"/>
        </w:rPr>
        <w:t xml:space="preserve"> գծով արժեկտրոնային վճարումներ</w:t>
      </w:r>
      <w:r w:rsidRPr="002526E9">
        <w:rPr>
          <w:rFonts w:eastAsiaTheme="minorHAnsi" w:cstheme="minorBidi"/>
          <w:b w:val="0"/>
          <w:szCs w:val="22"/>
          <w:lang w:val="en-US" w:eastAsia="en-US"/>
        </w:rPr>
        <w:t>ի համար:</w:t>
      </w:r>
    </w:p>
    <w:p w14:paraId="14532E31" w14:textId="77777777" w:rsidR="0027241E" w:rsidRDefault="0027241E">
      <w:pPr>
        <w:spacing w:before="0" w:line="240" w:lineRule="auto"/>
        <w:ind w:firstLine="0"/>
        <w:contextualSpacing w:val="0"/>
        <w:jc w:val="left"/>
        <w:rPr>
          <w:rFonts w:eastAsiaTheme="minorHAnsi" w:cstheme="minorBidi"/>
          <w:b w:val="0"/>
          <w:szCs w:val="22"/>
          <w:lang w:val="en-US" w:eastAsia="en-US"/>
        </w:rPr>
      </w:pPr>
      <w:r>
        <w:rPr>
          <w:rFonts w:eastAsiaTheme="minorHAnsi" w:cstheme="minorBidi"/>
          <w:b w:val="0"/>
          <w:szCs w:val="22"/>
          <w:lang w:val="en-US" w:eastAsia="en-US"/>
        </w:rPr>
        <w:br w:type="page"/>
      </w:r>
    </w:p>
    <w:p w14:paraId="4F635756" w14:textId="77777777" w:rsidR="0087134D" w:rsidRPr="00A83C94" w:rsidRDefault="0087134D" w:rsidP="0087134D">
      <w:pPr>
        <w:keepNext/>
        <w:keepLines/>
        <w:spacing w:before="0" w:line="312" w:lineRule="auto"/>
        <w:ind w:firstLine="0"/>
        <w:jc w:val="left"/>
        <w:outlineLvl w:val="2"/>
        <w:rPr>
          <w:szCs w:val="22"/>
          <w:lang w:val="hy-AM" w:eastAsia="en-US"/>
        </w:rPr>
      </w:pPr>
      <w:bookmarkStart w:id="347" w:name="_Toc83972892"/>
      <w:bookmarkStart w:id="348" w:name="_Toc89428346"/>
      <w:bookmarkEnd w:id="341"/>
      <w:bookmarkEnd w:id="342"/>
      <w:bookmarkEnd w:id="343"/>
      <w:bookmarkEnd w:id="344"/>
      <w:bookmarkEnd w:id="345"/>
      <w:r w:rsidRPr="00A83C94">
        <w:rPr>
          <w:szCs w:val="22"/>
          <w:lang w:val="en-US" w:eastAsia="en-US"/>
        </w:rPr>
        <w:t>2</w:t>
      </w:r>
      <w:r w:rsidRPr="00A83C94">
        <w:rPr>
          <w:szCs w:val="22"/>
          <w:lang w:val="hy-AM" w:eastAsia="en-US"/>
        </w:rPr>
        <w:t>. ՊԵՏԱԿԱՆ ԲՅՈՒՋԵԻ ՎՐԱ ՄԱԿՐՈՏՆՏԵՍԱԿԱՆ ԿԱՆԽԱՏԵՍՎԱԾ ՑՈՒՑԱՆԻՇՆԵՐԻՑ ՇԵՂՄԱՆ ՌԻՍԿԵՐԻ ԱԶԴԵՑՈՒԹՅԱՆ ՔԱՆԱԿԱԿԱՆ ԳՆԱՀԱՏՈՒՄ</w:t>
      </w:r>
      <w:bookmarkEnd w:id="347"/>
      <w:bookmarkEnd w:id="348"/>
    </w:p>
    <w:p w14:paraId="311A528A" w14:textId="77777777" w:rsidR="0087134D" w:rsidRPr="00A83C94" w:rsidRDefault="0087134D" w:rsidP="0087134D">
      <w:pPr>
        <w:spacing w:before="0" w:line="276" w:lineRule="auto"/>
        <w:ind w:firstLine="0"/>
        <w:contextualSpacing w:val="0"/>
        <w:rPr>
          <w:sz w:val="24"/>
          <w:lang w:val="es-ES"/>
        </w:rPr>
      </w:pPr>
      <w:bookmarkStart w:id="349" w:name="_Toc14687616"/>
      <w:bookmarkStart w:id="350" w:name="_Toc13837280"/>
    </w:p>
    <w:p w14:paraId="59DD38DF" w14:textId="77777777" w:rsidR="0087134D" w:rsidRPr="00A83C94" w:rsidRDefault="0087134D" w:rsidP="0087134D">
      <w:pPr>
        <w:spacing w:before="0" w:line="276" w:lineRule="auto"/>
        <w:ind w:firstLine="0"/>
        <w:contextualSpacing w:val="0"/>
        <w:rPr>
          <w:szCs w:val="22"/>
          <w:lang w:val="hy-AM"/>
        </w:rPr>
      </w:pPr>
      <w:r w:rsidRPr="00A83C94">
        <w:rPr>
          <w:szCs w:val="22"/>
          <w:lang w:val="es-ES"/>
        </w:rPr>
        <w:t>2</w:t>
      </w:r>
      <w:r w:rsidRPr="00A83C94">
        <w:rPr>
          <w:szCs w:val="22"/>
          <w:lang w:val="hy-AM"/>
        </w:rPr>
        <w:t>.1. 2022 թվականին պետական բյուջեի հարկային եկամուտների վրա մակրոտնտեսական ցուցանիշների կանխատեսվածից շեղման ռիսկերի ազդեցության քանակական գնահատումը</w:t>
      </w:r>
    </w:p>
    <w:bookmarkEnd w:id="349"/>
    <w:bookmarkEnd w:id="350"/>
    <w:p w14:paraId="16DB9A75"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Կարճաժամկետ հատվածում հարկային եկամուտների կանխատեսվող հոսքերի վրա մակրոտնտեսական բնույթի ռիսկերի ազդեցության քանակական գնահատումը հիմնվել է ստորև նկարագրված կանխատեսումների ռիսկի և ենթադրություններից շեղումների ռիսկի վրա:</w:t>
      </w:r>
    </w:p>
    <w:p w14:paraId="01C12D02" w14:textId="77777777" w:rsidR="0087134D" w:rsidRPr="00A83C94" w:rsidRDefault="0087134D" w:rsidP="0087134D">
      <w:pPr>
        <w:spacing w:before="0" w:line="276" w:lineRule="auto"/>
        <w:ind w:firstLine="720"/>
        <w:rPr>
          <w:rFonts w:cs="Sylfaen"/>
          <w:lang w:val="hy-AM"/>
        </w:rPr>
      </w:pPr>
      <w:r w:rsidRPr="00A83C94">
        <w:rPr>
          <w:rFonts w:cs="Sylfaen"/>
          <w:lang w:val="hy-AM"/>
        </w:rPr>
        <w:t>1. Կանխատեսումների ռիսկ</w:t>
      </w:r>
    </w:p>
    <w:p w14:paraId="6AE86989" w14:textId="77777777" w:rsidR="0087134D" w:rsidRPr="00A83C94" w:rsidRDefault="0087134D" w:rsidP="0087134D">
      <w:pPr>
        <w:spacing w:before="0" w:line="276" w:lineRule="auto"/>
        <w:ind w:firstLine="720"/>
        <w:rPr>
          <w:rFonts w:eastAsia="Calibri" w:cs="Sylfaen"/>
          <w:b w:val="0"/>
          <w:lang w:val="hy-AM"/>
        </w:rPr>
      </w:pPr>
      <w:r w:rsidRPr="00A83C94">
        <w:rPr>
          <w:rFonts w:eastAsia="Calibri" w:cs="Sylfaen"/>
          <w:b w:val="0"/>
          <w:lang w:val="hy-AM"/>
        </w:rPr>
        <w:t>Սովորաբար կանխատեսումներ իրականացնելիս ի հայտ են գալիս հանգամանքներ, որոնք կապված են լինում օգտագործվող կանխատեսման մոդելների տեղայնացումից և մասնավորեցումից, տնտեսության կառուցվածքային տեղաշարժերից</w:t>
      </w:r>
      <w:r w:rsidRPr="00A83C94">
        <w:rPr>
          <w:rFonts w:eastAsia="Calibri" w:cs="Sylfaen"/>
          <w:b w:val="0"/>
          <w:vertAlign w:val="superscript"/>
          <w:lang w:val="hy-AM"/>
        </w:rPr>
        <w:footnoteReference w:id="27"/>
      </w:r>
      <w:r w:rsidRPr="00A83C94">
        <w:rPr>
          <w:rFonts w:eastAsia="Calibri" w:cs="Sylfaen"/>
          <w:b w:val="0"/>
          <w:lang w:val="hy-AM"/>
        </w:rPr>
        <w:t>, նոր երևույթներից (որի վերաբերյալ նախկինում տեղեկատվությունը բացակայել է) և այլն: Այս ռիսկերն ընդունված է անվանել կանխա</w:t>
      </w:r>
      <w:r w:rsidRPr="00A83C94">
        <w:rPr>
          <w:rFonts w:eastAsia="Calibri" w:cs="Sylfaen"/>
          <w:b w:val="0"/>
          <w:lang w:val="hy-AM"/>
        </w:rPr>
        <w:softHyphen/>
        <w:t>տես</w:t>
      </w:r>
      <w:r w:rsidRPr="00A83C94">
        <w:rPr>
          <w:rFonts w:eastAsia="Calibri" w:cs="Sylfaen"/>
          <w:b w:val="0"/>
          <w:lang w:val="hy-AM"/>
        </w:rPr>
        <w:softHyphen/>
        <w:t xml:space="preserve">ման ռիսկեր: </w:t>
      </w:r>
    </w:p>
    <w:p w14:paraId="7125955E" w14:textId="77777777" w:rsidR="0087134D" w:rsidRPr="00A83C94" w:rsidRDefault="0087134D" w:rsidP="0087134D">
      <w:pPr>
        <w:spacing w:before="0" w:line="276" w:lineRule="auto"/>
        <w:ind w:firstLine="720"/>
        <w:rPr>
          <w:rFonts w:eastAsia="Calibri" w:cs="Sylfaen"/>
          <w:b w:val="0"/>
          <w:lang w:val="hy-AM"/>
        </w:rPr>
      </w:pPr>
      <w:r w:rsidRPr="00A83C94">
        <w:rPr>
          <w:rFonts w:eastAsia="Calibri" w:cs="Sylfaen"/>
          <w:b w:val="0"/>
          <w:lang w:val="hy-AM"/>
        </w:rPr>
        <w:t>Հատկապես ներկա իրավիճակում՝ կորոնավիրուսի տարածման և տևողության անորոշությունների հետևանքով, տնտեսական աճի ռիսկերը գնահատվում են առավելապես դեպի ներքև, որը պայմանավորված է ճգնաժամից տնտեսության վերականգնման անորոշությունների՝ ավելի ուշ դուրս գալու ռիսկերով: Բացի այդ, մակրոտնտեսական կանխատեսումներում ներառված չեն ԱՄՀ կողմից համաշխարհային և գործընկեր երկրներ տնտեսական աճերի կանխատեսման դեպի ներքև վերանայումները, որոնք ևս մեծացնում են դեպի ներքև ռիսկերը:</w:t>
      </w:r>
    </w:p>
    <w:p w14:paraId="49E03DF2" w14:textId="77777777" w:rsidR="0087134D" w:rsidRPr="00A83C94" w:rsidRDefault="0087134D" w:rsidP="0087134D">
      <w:pPr>
        <w:spacing w:before="0" w:line="259" w:lineRule="auto"/>
        <w:ind w:firstLine="720"/>
        <w:rPr>
          <w:rFonts w:eastAsia="Calibri" w:cs="Sylfaen"/>
          <w:b w:val="0"/>
          <w:lang w:val="hy-AM"/>
        </w:rPr>
      </w:pPr>
      <w:r w:rsidRPr="00A83C94">
        <w:rPr>
          <w:rFonts w:eastAsia="Calibri" w:cs="Sylfaen"/>
          <w:b w:val="0"/>
          <w:lang w:val="hy-AM"/>
        </w:rPr>
        <w:t>Բյուջեի ծրագրի կատարման տեսանկյունից կարևորվում է ՀՆԱ-ի կանխատեսման ռիսկի գնահատումը, քանի որ բյուջեի ծրագրված սցենարի հարթ իրականացումը կախված է տնտեսությունում ստեղծված անվանական ՀՆԱ-ի մեծությունից: ՀՆԱ-ի գծով կանխատեսումների ռիսկը գնահատվել է նա</w:t>
      </w:r>
      <w:r w:rsidRPr="00A83C94">
        <w:rPr>
          <w:rFonts w:eastAsia="Calibri" w:cs="Sylfaen"/>
          <w:b w:val="0"/>
          <w:lang w:val="hy-AM"/>
        </w:rPr>
        <w:softHyphen/>
        <w:t>խորդ տարիներին պետական բյուջեների հիմքում դրվող ՀՆԱ կանխա</w:t>
      </w:r>
      <w:r w:rsidRPr="00A83C94">
        <w:rPr>
          <w:rFonts w:eastAsia="Calibri" w:cs="Sylfaen"/>
          <w:b w:val="0"/>
          <w:lang w:val="hy-AM"/>
        </w:rPr>
        <w:softHyphen/>
        <w:t>տեսված ցուցա</w:t>
      </w:r>
      <w:r w:rsidRPr="00A83C94">
        <w:rPr>
          <w:rFonts w:eastAsia="Calibri" w:cs="Sylfaen"/>
          <w:b w:val="0"/>
          <w:lang w:val="hy-AM"/>
        </w:rPr>
        <w:softHyphen/>
        <w:t>նիշների և ՀՆԱ փաստացի ցուցանիշների միջև շեղման հիման վրա: Մասնավո</w:t>
      </w:r>
      <w:r w:rsidRPr="00A83C94">
        <w:rPr>
          <w:rFonts w:eastAsia="Calibri" w:cs="Sylfaen"/>
          <w:b w:val="0"/>
          <w:lang w:val="hy-AM"/>
        </w:rPr>
        <w:softHyphen/>
        <w:t>րապես, հետճգնաժամային 2010-2019 թվականների փաստացի ՀՆԱ իրական աճերը միջին հաշվով շեղվել են կանխատեսվածից 1.9 տոկոսային կետ: Այս պարագայում, հաշվի առնելով կանխատեսվածից ցածր ՀՆԱ ձևավորման վերոնկարագրյալ ռիսկերի գերակշռությունը` որպես ռիսկ է դիտարկվել ՀՆԱ իրական աճի կանխատեսված մակարդակից 1.9 տոկոսային կետով ավելի ցածր մակարդակի ձևավորումը:</w:t>
      </w:r>
    </w:p>
    <w:p w14:paraId="3AB53E10"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ՀՆԱ-ի միջնաժամկետ կանխատեսումներից փաստացիի շեղումները նախաճգնաժամային 2003-2008 թվականների համար եղել են 7.1-ից 9.0-ը տոկոսային կետ, իսկ հետճգնաժամային 2010-2019 թվականների համար՝ 2.0-ից 2.6 տոկոսային կետ: Այս պարագայում, հաշվի առնելով կանխատեսվածից ցածր ՀՆԱ-ի ձևավորման վերոնկարագրյալ ռիսկերի գերակշռությունը, որպես ռիսկ է դիտարկվել ՀՆԱ-ի իրական աճի կանխատեսվածից 2.0 տոկոսային կետով ավելի ցածր ցուցանիշի ձևավորումը 2022 թվականին:</w:t>
      </w:r>
    </w:p>
    <w:p w14:paraId="561ABAC9"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Արդյունքում, ՀՆԱ նվազման ռիսկի ազդեցությունը հարկային եկամուտների վրա 2022 թվականի համար գնահատվում է 11.9 մլրդ ՀՀ դրամ ֆինանսական պահանջի ավելացման ուղղությամբ:</w:t>
      </w:r>
    </w:p>
    <w:p w14:paraId="5A7C9C17" w14:textId="77777777" w:rsidR="0087134D" w:rsidRPr="00A83C94" w:rsidRDefault="0087134D" w:rsidP="0087134D">
      <w:pPr>
        <w:spacing w:before="0" w:line="276" w:lineRule="auto"/>
        <w:ind w:firstLine="720"/>
        <w:rPr>
          <w:rFonts w:cs="Sylfaen"/>
          <w:lang w:val="hy-AM"/>
        </w:rPr>
      </w:pPr>
      <w:r w:rsidRPr="00A83C94">
        <w:rPr>
          <w:rFonts w:cs="Sylfaen"/>
          <w:lang w:val="hy-AM"/>
        </w:rPr>
        <w:t>2. Ենթադրություններից շեղումների ռիսկ</w:t>
      </w:r>
    </w:p>
    <w:p w14:paraId="797D0DD8"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ՄԺԾԾ հիմքում դրվող կանխատեսումները կառուցվում են որոշակի ենթադրու</w:t>
      </w:r>
      <w:r w:rsidRPr="00A83C94">
        <w:rPr>
          <w:rFonts w:cs="Sylfaen"/>
          <w:b w:val="0"/>
          <w:lang w:val="hy-AM"/>
        </w:rPr>
        <w:softHyphen/>
        <w:t>թյու</w:t>
      </w:r>
      <w:r w:rsidRPr="00A83C94">
        <w:rPr>
          <w:rFonts w:cs="Sylfaen"/>
          <w:b w:val="0"/>
          <w:lang w:val="hy-AM"/>
        </w:rPr>
        <w:softHyphen/>
        <w:t xml:space="preserve">նների հիման վրա, որոնք էլ իրենց հերթին կախված են արտաքին գործոններից (օրինակ, ներքին տնտեսության գնաճը` միջազգային շուկաների գների կանխատեսվող վարքագծից): Սակայն միշտ չէ, որ այդ ենթադրությունները կանխատեսվող հորիզոնում իրականություն են դառնում՝ կապված ՀՀ կառավարության և ՀՀ ԿԲ-ի կառավարման դաշտից դուրս ի հայտ եկող երևույթների հետ (օրինակ` նավթի համաշխարհային գների հնարավոր փոփոխությունները): </w:t>
      </w:r>
    </w:p>
    <w:p w14:paraId="4D892276"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Ենթադրություններից շեղումների ռիսկ է նաև ԵԱՏՄ անդամ պետությունների տնտեսական զարգացումները: Միաժամանակ, ՀՀ պետական բյուջեի հարկային եկամուտներում մաքսա</w:t>
      </w:r>
      <w:r w:rsidRPr="00A83C94">
        <w:rPr>
          <w:rFonts w:cs="Sylfaen"/>
          <w:b w:val="0"/>
          <w:lang w:val="hy-AM"/>
        </w:rPr>
        <w:softHyphen/>
        <w:t>տուր</w:t>
      </w:r>
      <w:r w:rsidRPr="00A83C94">
        <w:rPr>
          <w:rFonts w:cs="Sylfaen"/>
          <w:b w:val="0"/>
          <w:lang w:val="hy-AM"/>
        </w:rPr>
        <w:softHyphen/>
        <w:t>քերի մասնաբաժինը կարող է փոփոխվել նոր պետությունների ԵԱՏՄ-ին անդամակ</w:t>
      </w:r>
      <w:r w:rsidRPr="00A83C94">
        <w:rPr>
          <w:rFonts w:cs="Sylfaen"/>
          <w:b w:val="0"/>
          <w:lang w:val="hy-AM"/>
        </w:rPr>
        <w:softHyphen/>
        <w:t xml:space="preserve">ցությունից: </w:t>
      </w:r>
    </w:p>
    <w:p w14:paraId="20FBE09C" w14:textId="77777777" w:rsidR="0087134D" w:rsidRPr="00A83C94" w:rsidRDefault="0087134D" w:rsidP="0087134D">
      <w:pPr>
        <w:spacing w:before="0" w:line="276" w:lineRule="auto"/>
        <w:ind w:firstLine="720"/>
        <w:rPr>
          <w:rFonts w:cs="Sylfaen"/>
          <w:lang w:val="hy-AM"/>
        </w:rPr>
      </w:pPr>
      <w:r w:rsidRPr="00A83C94">
        <w:rPr>
          <w:rFonts w:cs="Sylfaen"/>
          <w:lang w:val="hy-AM"/>
        </w:rPr>
        <w:t>2.1. Գնաճի շեղման հնարավոր չափը</w:t>
      </w:r>
    </w:p>
    <w:p w14:paraId="79E48F0B"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Գնաճի ցուցանիշի շեղման հնարավոր չափ է դիտարկվում ՀՀ ԿԲ-ի կողմից դրամավարկային քաղաքականության ծրագրում (գնաճի հաշվետվություններում) ներկայացվող գնաճի նպատակային ցուցանիշի կենտրոնական արժեքից շեղման առավելագույն չափը: </w:t>
      </w:r>
    </w:p>
    <w:p w14:paraId="5050990C"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ՀՀ ԿԲ-ի կողմից միջնաժամկետ հորիզոնում կանխատեսվում է գնաճի կայունացում նպատակային ցուցանիշի շուրջ: Կանխատեսված ցուցանիշից գնաճի շեղման ռիսկերը միջնաժամկետ հորիզոնում գնահատվում են հավասարակշռված` գնաճի կանխատեսվող արժեքից դեպի ներքև` 1.5 տոկոսային կետի չափով  և դեպի վերև շեղումը` 1.5 տոկոսային կետի չափով: </w:t>
      </w:r>
    </w:p>
    <w:p w14:paraId="3F0C4B88"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Գնաճի շեղման ռիսկը կարող է ազդեցություն ունենալ ՀՀ պետական բյուջեի և՛ եկամտային, և՛ ծախսային կատարողականների վրա` անուղղակի հարկերի, ինչպես նաև ապրանքների և ծառայությունների գծով ծախսերի ուղղությամբ: Գնանկումային պայմաններում հարկերից մուտքերը կկրճատվեն և ընդհակառակը: </w:t>
      </w:r>
    </w:p>
    <w:p w14:paraId="55BA8901"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Արդյունքում, գների նվազման ռիսկի ազդեցությունը հարկային եկամուտների վրա 2022 թվականի համար գնահատվում է 3.4 մլրդ ՀՀ դրամ ֆինանսական պահանջի ավելացման ուղղությամբ:</w:t>
      </w:r>
    </w:p>
    <w:p w14:paraId="7026DB14" w14:textId="77777777" w:rsidR="0087134D" w:rsidRPr="00A83C94" w:rsidRDefault="0087134D" w:rsidP="0087134D">
      <w:pPr>
        <w:spacing w:before="0" w:line="276" w:lineRule="auto"/>
        <w:ind w:firstLine="720"/>
        <w:rPr>
          <w:rFonts w:cs="Sylfaen"/>
          <w:lang w:val="hy-AM"/>
        </w:rPr>
      </w:pPr>
      <w:r w:rsidRPr="00A83C94">
        <w:rPr>
          <w:rFonts w:cs="Sylfaen"/>
          <w:lang w:val="hy-AM"/>
        </w:rPr>
        <w:t>2.2. Փոխարժեքի շեղման հնարավոր չափը</w:t>
      </w:r>
    </w:p>
    <w:p w14:paraId="1DAF87CD"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ՀՀ ԿԲ-ն և ՀՀ ՖՆ-ն փոխարժեքի կանխա</w:t>
      </w:r>
      <w:r w:rsidRPr="00A83C94">
        <w:rPr>
          <w:rFonts w:cs="Sylfaen"/>
          <w:b w:val="0"/>
          <w:lang w:val="hy-AM"/>
        </w:rPr>
        <w:softHyphen/>
        <w:t>տեսումներ չեն իրականացնում և մակրոտնտեսական քաղաքականությունն իրականացվում է լողացող փոխարժեքի սկզբունքի հիման վրա, ընդ որում, յուրաքանչյուր տարվա պետական բյուջեի ցուցանիշների կանխատեսումների հիմքում դրվում է փոխարժեքի անփոփոխ (որոշակի պահի դրությամբ) մակարդակ: Սակայն փոխարժեքի տատա</w:t>
      </w:r>
      <w:r w:rsidRPr="00A83C94">
        <w:rPr>
          <w:rFonts w:cs="Sylfaen"/>
          <w:b w:val="0"/>
          <w:lang w:val="hy-AM"/>
        </w:rPr>
        <w:softHyphen/>
        <w:t>նում</w:t>
      </w:r>
      <w:r w:rsidRPr="00A83C94">
        <w:rPr>
          <w:rFonts w:cs="Sylfaen"/>
          <w:b w:val="0"/>
          <w:lang w:val="hy-AM"/>
        </w:rPr>
        <w:softHyphen/>
        <w:t>ները կազդեն ներմուծումից ՀՀ պետական բյուջե մուտքագրվող հարկային եկամուտների վրա:</w:t>
      </w:r>
    </w:p>
    <w:p w14:paraId="71F98EEC"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Հաշվի առնելով այն հանգամանքը, որ պատմականորեն և՛ արժևորման, և՛ արժեզրկման ուղղությամբ փոխար</w:t>
      </w:r>
      <w:r w:rsidRPr="00A83C94">
        <w:rPr>
          <w:rFonts w:cs="Sylfaen"/>
          <w:b w:val="0"/>
          <w:lang w:val="hy-AM"/>
        </w:rPr>
        <w:softHyphen/>
        <w:t xml:space="preserve">ժեքի տատանումների բացարձակ շեղման միջին չափը կազմել է շուրջ 4.0 տոկոս` որպես ռիսկ է դիտարկվել ԱՄՆ դոլարի նկատմամբ ՀՀ դրամի առավելագույնը 4.0% արժեզրկումը: </w:t>
      </w:r>
    </w:p>
    <w:p w14:paraId="0DECF091"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Արդյունքում, փոխարժեքի 4.0 տոկոսով արժեզրկման ռիսկի դրսևորման դեպքում, այլ հավասար պայմաններում, 2022 թվականին կարելի է ապահովել հարկային եկամուտների 12.2 մլրդ ՀՀ դրամ լրացուցիչ մուտք:</w:t>
      </w:r>
    </w:p>
    <w:p w14:paraId="55D5B5D4" w14:textId="77777777" w:rsidR="0087134D" w:rsidRPr="00A83C94" w:rsidRDefault="0087134D" w:rsidP="0087134D">
      <w:pPr>
        <w:spacing w:before="0" w:line="276" w:lineRule="auto"/>
        <w:ind w:firstLine="720"/>
        <w:rPr>
          <w:rFonts w:cs="Sylfaen"/>
          <w:lang w:val="hy-AM"/>
        </w:rPr>
      </w:pPr>
      <w:r w:rsidRPr="00A83C94">
        <w:rPr>
          <w:rFonts w:cs="Sylfaen"/>
          <w:lang w:val="hy-AM"/>
        </w:rPr>
        <w:t>2.3. Ներմուծման գծով ռիսկի հնարավոր չափը</w:t>
      </w:r>
    </w:p>
    <w:p w14:paraId="02AD66FA"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Քանի որ մաքսային սահմանին ներմուծումից գանձվող անուղղակի հարկերը էական կշիռ ունեն պետական բյուջեի ընդհանուր հարկային եկամուտներում, անհրաժեշտ է գնահատել նաև ներմուծման հնարավոր նվազման պարագայում հարկային եկամուտների նվազման ռիսկի չափը: Հետճգնաժամային տարիներին պետական բյուջեում ներմուծման գծով կանխատեսումների շեղման միջին բացարձակ չափը սահմանվում է 11.8%-ի միջակայքում, ինչն էլ հաշվի է առնվել այս գործոնի ազդեցությունը գնահատելու համար: 2022 թվականի համար ծրագրվածից 11.8% պակաս ներմուծման ռիսկի դրսևորման պայմաններում հարկային եկամուտների վրա ազդեցությունը գնահատվում է 21.9 մլրդ ՀՀ դրամ` ֆինանսական պահանջի ավելացման ուղղությամբ:</w:t>
      </w:r>
    </w:p>
    <w:p w14:paraId="515439F2"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Ամփոփելով վերը նկարագրված կանխատեսումների ռիսկի և ենթադրություններից շեղումների ռիսկի գնահատականները, միջնաժամկետ հորիզոնում ՀՀ պետական բյուջեի հարկային եկամուտների վրա մակրոտնտեսական ցուցանիշների` իրական ՀՆԱ-ի աճի, գնաճի, փոխարժեքի տատանողականության և ներմուծման ռիսկերի ազդեցության քանակական ամփոփ գնահատականները ներկայացվում են ստորև.</w:t>
      </w:r>
    </w:p>
    <w:p w14:paraId="273FCA71" w14:textId="426855F5" w:rsidR="0087134D" w:rsidRPr="008B1D49" w:rsidRDefault="0087134D" w:rsidP="0087134D">
      <w:pPr>
        <w:pStyle w:val="Caption"/>
        <w:rPr>
          <w:b/>
          <w:lang w:val="hy-AM"/>
        </w:rPr>
      </w:pPr>
      <w:bookmarkStart w:id="351" w:name="_Toc83928954"/>
      <w:bookmarkStart w:id="352" w:name="_Toc89428778"/>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18</w:t>
      </w:r>
      <w:r>
        <w:fldChar w:fldCharType="end"/>
      </w:r>
      <w:r w:rsidRPr="008B1D49">
        <w:rPr>
          <w:noProof/>
          <w:lang w:val="hy-AM"/>
        </w:rPr>
        <w:t>.</w:t>
      </w:r>
      <w:r w:rsidRPr="008B1D49">
        <w:rPr>
          <w:lang w:val="hy-AM"/>
        </w:rPr>
        <w:t xml:space="preserve"> </w:t>
      </w:r>
      <w:r w:rsidRPr="008B1D49">
        <w:rPr>
          <w:sz w:val="20"/>
          <w:szCs w:val="20"/>
          <w:lang w:val="hy-AM"/>
        </w:rPr>
        <w:t>Հարկային եկամուտների վրա մակրոտնտեսական կանխատեսումների և ենթադրությունների ռիսկերի ազդեցություն</w:t>
      </w:r>
      <w:r w:rsidRPr="00A83C94">
        <w:rPr>
          <w:sz w:val="20"/>
          <w:szCs w:val="20"/>
          <w:vertAlign w:val="superscript"/>
        </w:rPr>
        <w:footnoteReference w:id="28"/>
      </w:r>
      <w:bookmarkEnd w:id="351"/>
      <w:bookmarkEnd w:id="352"/>
    </w:p>
    <w:tbl>
      <w:tblPr>
        <w:tblW w:w="7238" w:type="dxa"/>
        <w:tblInd w:w="1075" w:type="dxa"/>
        <w:tblLook w:val="04A0" w:firstRow="1" w:lastRow="0" w:firstColumn="1" w:lastColumn="0" w:noHBand="0" w:noVBand="1"/>
      </w:tblPr>
      <w:tblGrid>
        <w:gridCol w:w="5232"/>
        <w:gridCol w:w="2006"/>
      </w:tblGrid>
      <w:tr w:rsidR="0087134D" w:rsidRPr="00564083" w14:paraId="0880574D" w14:textId="77777777" w:rsidTr="00383BAD">
        <w:trPr>
          <w:trHeight w:val="675"/>
        </w:trPr>
        <w:tc>
          <w:tcPr>
            <w:tcW w:w="5232" w:type="dxa"/>
            <w:vMerge w:val="restart"/>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55460D24" w14:textId="77777777" w:rsidR="0087134D" w:rsidRPr="00A83C94" w:rsidRDefault="0087134D" w:rsidP="00383BAD">
            <w:pPr>
              <w:spacing w:before="0" w:line="240" w:lineRule="auto"/>
              <w:ind w:firstLine="0"/>
              <w:jc w:val="center"/>
              <w:rPr>
                <w:rFonts w:cs="Calibri"/>
                <w:bCs/>
                <w:color w:val="FFFFFF"/>
                <w:lang w:val="hy-AM"/>
              </w:rPr>
            </w:pPr>
            <w:r w:rsidRPr="00A83C94">
              <w:rPr>
                <w:rFonts w:cs="Calibri"/>
                <w:bCs/>
                <w:color w:val="FFFFFF"/>
                <w:lang w:val="hy-AM"/>
              </w:rPr>
              <w:t>Ռիսկի տեսակը</w:t>
            </w:r>
          </w:p>
        </w:tc>
        <w:tc>
          <w:tcPr>
            <w:tcW w:w="2006" w:type="dxa"/>
            <w:vMerge w:val="restart"/>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7B7311D7" w14:textId="77777777" w:rsidR="0087134D" w:rsidRPr="00A83C94" w:rsidRDefault="0087134D" w:rsidP="00383BAD">
            <w:pPr>
              <w:spacing w:before="0" w:line="240" w:lineRule="auto"/>
              <w:ind w:firstLine="0"/>
              <w:jc w:val="center"/>
              <w:rPr>
                <w:rFonts w:cs="Calibri"/>
                <w:bCs/>
                <w:color w:val="FFFFFF"/>
                <w:lang w:val="hy-AM"/>
              </w:rPr>
            </w:pPr>
            <w:r w:rsidRPr="00A83C94">
              <w:rPr>
                <w:rFonts w:cs="Calibri"/>
                <w:bCs/>
                <w:color w:val="FFFFFF"/>
                <w:lang w:val="hy-AM"/>
              </w:rPr>
              <w:t>Ազդեցության գնահատականը, մլրդ ՀՀ դրամ</w:t>
            </w:r>
          </w:p>
        </w:tc>
      </w:tr>
      <w:tr w:rsidR="0087134D" w:rsidRPr="00564083" w14:paraId="1B33583A" w14:textId="77777777" w:rsidTr="00383BAD">
        <w:trPr>
          <w:trHeight w:val="486"/>
        </w:trPr>
        <w:tc>
          <w:tcPr>
            <w:tcW w:w="5232" w:type="dxa"/>
            <w:vMerge/>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3EA1D18E" w14:textId="77777777" w:rsidR="0087134D" w:rsidRPr="00A83C94" w:rsidRDefault="0087134D" w:rsidP="00383BAD">
            <w:pPr>
              <w:spacing w:before="0" w:line="240" w:lineRule="auto"/>
              <w:ind w:firstLine="0"/>
              <w:jc w:val="left"/>
              <w:rPr>
                <w:rFonts w:cs="Calibri"/>
                <w:bCs/>
                <w:color w:val="FFFFFF"/>
                <w:lang w:val="hy-AM"/>
              </w:rPr>
            </w:pPr>
          </w:p>
        </w:tc>
        <w:tc>
          <w:tcPr>
            <w:tcW w:w="2006" w:type="dxa"/>
            <w:vMerge/>
            <w:tcBorders>
              <w:top w:val="single" w:sz="4" w:space="0" w:color="4F81BD"/>
              <w:left w:val="single" w:sz="4" w:space="0" w:color="4F81BD"/>
              <w:bottom w:val="single" w:sz="4" w:space="0" w:color="4F81BD"/>
              <w:right w:val="single" w:sz="4" w:space="0" w:color="4F81BD"/>
            </w:tcBorders>
            <w:shd w:val="clear" w:color="auto" w:fill="4F81BD" w:themeFill="accent1"/>
            <w:vAlign w:val="center"/>
            <w:hideMark/>
          </w:tcPr>
          <w:p w14:paraId="60F11158" w14:textId="77777777" w:rsidR="0087134D" w:rsidRPr="00A83C94" w:rsidRDefault="0087134D" w:rsidP="00383BAD">
            <w:pPr>
              <w:spacing w:before="0" w:line="240" w:lineRule="auto"/>
              <w:ind w:firstLine="0"/>
              <w:jc w:val="left"/>
              <w:rPr>
                <w:rFonts w:cs="Calibri"/>
                <w:bCs/>
                <w:color w:val="FFFFFF"/>
                <w:lang w:val="hy-AM"/>
              </w:rPr>
            </w:pPr>
          </w:p>
        </w:tc>
      </w:tr>
      <w:tr w:rsidR="0087134D" w:rsidRPr="00A83C94" w14:paraId="008FC015" w14:textId="77777777" w:rsidTr="00383BAD">
        <w:trPr>
          <w:trHeight w:val="330"/>
        </w:trPr>
        <w:tc>
          <w:tcPr>
            <w:tcW w:w="5232" w:type="dxa"/>
            <w:tcBorders>
              <w:top w:val="nil"/>
              <w:left w:val="single" w:sz="4" w:space="0" w:color="4F81BD"/>
              <w:bottom w:val="single" w:sz="4" w:space="0" w:color="4F81BD"/>
              <w:right w:val="single" w:sz="4" w:space="0" w:color="4F81BD"/>
            </w:tcBorders>
            <w:shd w:val="clear" w:color="auto" w:fill="4F81BD" w:themeFill="accent1"/>
            <w:vAlign w:val="center"/>
            <w:hideMark/>
          </w:tcPr>
          <w:p w14:paraId="1BCC7B32" w14:textId="77777777" w:rsidR="0087134D" w:rsidRPr="00A83C94" w:rsidRDefault="0087134D" w:rsidP="00383BAD">
            <w:pPr>
              <w:spacing w:before="0" w:line="240" w:lineRule="auto"/>
              <w:ind w:firstLine="0"/>
              <w:jc w:val="center"/>
              <w:rPr>
                <w:rFonts w:ascii="Calibri" w:hAnsi="Calibri" w:cs="Calibri"/>
                <w:bCs/>
                <w:color w:val="FFFFFF"/>
                <w:lang w:val="hy-AM"/>
              </w:rPr>
            </w:pPr>
            <w:r w:rsidRPr="00A83C94">
              <w:rPr>
                <w:rFonts w:ascii="Calibri" w:hAnsi="Calibri" w:cs="Calibri"/>
                <w:bCs/>
                <w:color w:val="FFFFFF"/>
                <w:lang w:val="hy-AM"/>
              </w:rPr>
              <w:t> </w:t>
            </w:r>
          </w:p>
        </w:tc>
        <w:tc>
          <w:tcPr>
            <w:tcW w:w="2006" w:type="dxa"/>
            <w:tcBorders>
              <w:top w:val="nil"/>
              <w:left w:val="nil"/>
              <w:bottom w:val="single" w:sz="4" w:space="0" w:color="4F81BD"/>
              <w:right w:val="single" w:sz="4" w:space="0" w:color="4F81BD"/>
            </w:tcBorders>
            <w:shd w:val="clear" w:color="auto" w:fill="4F81BD" w:themeFill="accent1"/>
            <w:vAlign w:val="center"/>
            <w:hideMark/>
          </w:tcPr>
          <w:p w14:paraId="0E9EE3A4" w14:textId="77777777" w:rsidR="0087134D" w:rsidRPr="00A83C94" w:rsidRDefault="0087134D" w:rsidP="00383BAD">
            <w:pPr>
              <w:spacing w:before="0" w:line="240" w:lineRule="auto"/>
              <w:ind w:firstLine="0"/>
              <w:jc w:val="center"/>
              <w:rPr>
                <w:rFonts w:cs="Calibri"/>
                <w:bCs/>
                <w:color w:val="FFFFFF"/>
                <w:lang w:val="hy-AM"/>
              </w:rPr>
            </w:pPr>
            <w:r w:rsidRPr="00A83C94">
              <w:rPr>
                <w:rFonts w:cs="Calibri"/>
                <w:bCs/>
                <w:color w:val="FFFFFF"/>
                <w:lang w:val="hy-AM"/>
              </w:rPr>
              <w:t>2022</w:t>
            </w:r>
          </w:p>
        </w:tc>
      </w:tr>
      <w:tr w:rsidR="0087134D" w:rsidRPr="00A83C94" w14:paraId="19E046EB" w14:textId="77777777" w:rsidTr="00383BAD">
        <w:trPr>
          <w:trHeight w:val="330"/>
        </w:trPr>
        <w:tc>
          <w:tcPr>
            <w:tcW w:w="7238" w:type="dxa"/>
            <w:gridSpan w:val="2"/>
            <w:tcBorders>
              <w:top w:val="single" w:sz="4" w:space="0" w:color="4F81BD"/>
              <w:left w:val="single" w:sz="4" w:space="0" w:color="4F81BD"/>
              <w:bottom w:val="single" w:sz="4" w:space="0" w:color="4F81BD"/>
              <w:right w:val="single" w:sz="4" w:space="0" w:color="000000"/>
            </w:tcBorders>
            <w:shd w:val="clear" w:color="auto" w:fill="auto"/>
            <w:vAlign w:val="center"/>
            <w:hideMark/>
          </w:tcPr>
          <w:p w14:paraId="25C88D45" w14:textId="77777777" w:rsidR="0087134D" w:rsidRPr="00A83C94" w:rsidRDefault="0087134D" w:rsidP="00383BAD">
            <w:pPr>
              <w:spacing w:before="0" w:line="240" w:lineRule="auto"/>
              <w:ind w:firstLine="0"/>
              <w:jc w:val="center"/>
              <w:rPr>
                <w:rFonts w:cs="Calibri"/>
                <w:bCs/>
                <w:color w:val="000000"/>
                <w:lang w:val="hy-AM"/>
              </w:rPr>
            </w:pPr>
            <w:r w:rsidRPr="00A83C94">
              <w:rPr>
                <w:rFonts w:cs="Calibri"/>
                <w:bCs/>
                <w:color w:val="000000"/>
                <w:lang w:val="hy-AM"/>
              </w:rPr>
              <w:t>Ռիսկերի առանձին հանդես գալու պայմաններում</w:t>
            </w:r>
          </w:p>
        </w:tc>
      </w:tr>
      <w:tr w:rsidR="0087134D" w:rsidRPr="00A83C94" w14:paraId="6F86BC9E" w14:textId="77777777" w:rsidTr="00383BAD">
        <w:trPr>
          <w:trHeight w:val="66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4C0D62D9" w14:textId="77777777" w:rsidR="0087134D" w:rsidRPr="00A83C94" w:rsidRDefault="0087134D" w:rsidP="00383BAD">
            <w:pPr>
              <w:spacing w:before="0" w:line="240" w:lineRule="auto"/>
              <w:ind w:firstLine="0"/>
              <w:jc w:val="left"/>
              <w:rPr>
                <w:rFonts w:cs="Calibri"/>
                <w:b w:val="0"/>
                <w:color w:val="000000"/>
                <w:lang w:val="hy-AM"/>
              </w:rPr>
            </w:pPr>
            <w:r w:rsidRPr="00A83C94">
              <w:rPr>
                <w:rFonts w:cs="Calibri"/>
                <w:b w:val="0"/>
                <w:color w:val="000000"/>
                <w:lang w:val="hy-AM"/>
              </w:rPr>
              <w:t>1. Կանխատեսվածից 2.0 տոկոսային կետով ավելի ցածր իրական ՀՆԱ-ի աճ</w:t>
            </w:r>
          </w:p>
        </w:tc>
        <w:tc>
          <w:tcPr>
            <w:tcW w:w="2006" w:type="dxa"/>
            <w:tcBorders>
              <w:top w:val="nil"/>
              <w:left w:val="nil"/>
              <w:bottom w:val="single" w:sz="4" w:space="0" w:color="4F81BD"/>
              <w:right w:val="single" w:sz="4" w:space="0" w:color="4F81BD"/>
            </w:tcBorders>
            <w:shd w:val="clear" w:color="auto" w:fill="auto"/>
            <w:vAlign w:val="center"/>
            <w:hideMark/>
          </w:tcPr>
          <w:p w14:paraId="38960D3D"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-11.9</w:t>
            </w:r>
          </w:p>
        </w:tc>
      </w:tr>
      <w:tr w:rsidR="0087134D" w:rsidRPr="00A83C94" w14:paraId="0F252DAE" w14:textId="77777777" w:rsidTr="00383BAD">
        <w:trPr>
          <w:trHeight w:val="33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1EFEE2FA" w14:textId="77777777" w:rsidR="0087134D" w:rsidRPr="00A83C94" w:rsidRDefault="0087134D" w:rsidP="00383BAD">
            <w:pPr>
              <w:spacing w:before="0" w:line="240" w:lineRule="auto"/>
              <w:ind w:firstLine="0"/>
              <w:jc w:val="left"/>
              <w:rPr>
                <w:rFonts w:cs="Calibri"/>
                <w:b w:val="0"/>
                <w:color w:val="000000"/>
              </w:rPr>
            </w:pPr>
            <w:r w:rsidRPr="00A83C94">
              <w:rPr>
                <w:rFonts w:cs="Calibri"/>
                <w:b w:val="0"/>
                <w:color w:val="000000"/>
              </w:rPr>
              <w:t>2. 1.5 տոկոսային կետով ավելի ցածր գնաճի ռիսկ</w:t>
            </w:r>
          </w:p>
        </w:tc>
        <w:tc>
          <w:tcPr>
            <w:tcW w:w="2006" w:type="dxa"/>
            <w:tcBorders>
              <w:top w:val="nil"/>
              <w:left w:val="nil"/>
              <w:bottom w:val="single" w:sz="4" w:space="0" w:color="4F81BD"/>
              <w:right w:val="single" w:sz="4" w:space="0" w:color="4F81BD"/>
            </w:tcBorders>
            <w:shd w:val="clear" w:color="auto" w:fill="auto"/>
            <w:vAlign w:val="center"/>
            <w:hideMark/>
          </w:tcPr>
          <w:p w14:paraId="335641C0"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-3.4</w:t>
            </w:r>
          </w:p>
        </w:tc>
      </w:tr>
      <w:tr w:rsidR="0087134D" w:rsidRPr="00A83C94" w14:paraId="2D600A33" w14:textId="77777777" w:rsidTr="00383BAD">
        <w:trPr>
          <w:trHeight w:val="660"/>
        </w:trPr>
        <w:tc>
          <w:tcPr>
            <w:tcW w:w="5232" w:type="dxa"/>
            <w:tcBorders>
              <w:top w:val="nil"/>
              <w:left w:val="single" w:sz="4" w:space="0" w:color="4F81BD"/>
              <w:bottom w:val="nil"/>
              <w:right w:val="single" w:sz="4" w:space="0" w:color="4F81BD"/>
            </w:tcBorders>
            <w:shd w:val="clear" w:color="auto" w:fill="auto"/>
            <w:vAlign w:val="center"/>
            <w:hideMark/>
          </w:tcPr>
          <w:p w14:paraId="20563844" w14:textId="77777777" w:rsidR="0087134D" w:rsidRPr="00A83C94" w:rsidRDefault="0087134D" w:rsidP="00383BAD">
            <w:pPr>
              <w:spacing w:before="0" w:line="240" w:lineRule="auto"/>
              <w:ind w:firstLine="0"/>
              <w:jc w:val="left"/>
              <w:rPr>
                <w:rFonts w:cs="Calibri"/>
                <w:b w:val="0"/>
                <w:color w:val="000000"/>
              </w:rPr>
            </w:pPr>
            <w:r w:rsidRPr="00A83C94">
              <w:rPr>
                <w:rFonts w:cs="Calibri"/>
                <w:b w:val="0"/>
                <w:color w:val="000000"/>
              </w:rPr>
              <w:t>3. Փոխարժեքի առավելագույնը 4.0 տոկոսով արժեզրկման ռիսկ</w:t>
            </w:r>
          </w:p>
        </w:tc>
        <w:tc>
          <w:tcPr>
            <w:tcW w:w="2006" w:type="dxa"/>
            <w:tcBorders>
              <w:top w:val="nil"/>
              <w:left w:val="nil"/>
              <w:bottom w:val="nil"/>
              <w:right w:val="single" w:sz="4" w:space="0" w:color="4F81BD"/>
            </w:tcBorders>
            <w:shd w:val="clear" w:color="auto" w:fill="auto"/>
            <w:vAlign w:val="center"/>
            <w:hideMark/>
          </w:tcPr>
          <w:p w14:paraId="26B94A31"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12.2</w:t>
            </w:r>
          </w:p>
        </w:tc>
      </w:tr>
      <w:tr w:rsidR="0087134D" w:rsidRPr="00A83C94" w14:paraId="09024442" w14:textId="77777777" w:rsidTr="00383BAD">
        <w:trPr>
          <w:trHeight w:val="330"/>
        </w:trPr>
        <w:tc>
          <w:tcPr>
            <w:tcW w:w="5232"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14:paraId="58741C8B" w14:textId="77777777" w:rsidR="0087134D" w:rsidRPr="00A83C94" w:rsidRDefault="0087134D" w:rsidP="00383BAD">
            <w:pPr>
              <w:spacing w:before="0" w:line="240" w:lineRule="auto"/>
              <w:ind w:firstLine="0"/>
              <w:jc w:val="left"/>
              <w:rPr>
                <w:rFonts w:cs="Calibri"/>
                <w:b w:val="0"/>
                <w:color w:val="000000"/>
              </w:rPr>
            </w:pPr>
            <w:r w:rsidRPr="00A83C94">
              <w:rPr>
                <w:rFonts w:cs="Calibri"/>
                <w:b w:val="0"/>
                <w:color w:val="000000"/>
              </w:rPr>
              <w:t>4. Ներմուծման 11.8 տոկոսով նվազման ռիսկ</w:t>
            </w:r>
          </w:p>
        </w:tc>
        <w:tc>
          <w:tcPr>
            <w:tcW w:w="2006" w:type="dxa"/>
            <w:tcBorders>
              <w:top w:val="single" w:sz="4" w:space="0" w:color="4F81BD"/>
              <w:left w:val="nil"/>
              <w:bottom w:val="single" w:sz="4" w:space="0" w:color="4F81BD"/>
              <w:right w:val="single" w:sz="4" w:space="0" w:color="4F81BD"/>
            </w:tcBorders>
            <w:shd w:val="clear" w:color="auto" w:fill="auto"/>
            <w:vAlign w:val="center"/>
            <w:hideMark/>
          </w:tcPr>
          <w:p w14:paraId="7977EE6A"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-21.9</w:t>
            </w:r>
          </w:p>
        </w:tc>
      </w:tr>
      <w:tr w:rsidR="0087134D" w:rsidRPr="00A83C94" w14:paraId="56B47394" w14:textId="77777777" w:rsidTr="00383BAD">
        <w:trPr>
          <w:trHeight w:val="660"/>
        </w:trPr>
        <w:tc>
          <w:tcPr>
            <w:tcW w:w="5232" w:type="dxa"/>
            <w:tcBorders>
              <w:top w:val="nil"/>
              <w:left w:val="single" w:sz="4" w:space="0" w:color="4F81BD"/>
              <w:bottom w:val="single" w:sz="4" w:space="0" w:color="4F81BD"/>
              <w:right w:val="single" w:sz="4" w:space="0" w:color="4F81BD"/>
            </w:tcBorders>
            <w:shd w:val="clear" w:color="auto" w:fill="auto"/>
            <w:vAlign w:val="center"/>
            <w:hideMark/>
          </w:tcPr>
          <w:p w14:paraId="3701533F" w14:textId="77777777" w:rsidR="0087134D" w:rsidRPr="00A83C94" w:rsidRDefault="0087134D" w:rsidP="00383BAD">
            <w:pPr>
              <w:spacing w:before="0" w:line="240" w:lineRule="auto"/>
              <w:ind w:firstLine="0"/>
              <w:jc w:val="left"/>
              <w:rPr>
                <w:rFonts w:cs="Calibri"/>
                <w:bCs/>
                <w:color w:val="000000"/>
              </w:rPr>
            </w:pPr>
            <w:r w:rsidRPr="00A83C94">
              <w:rPr>
                <w:rFonts w:cs="Calibri"/>
                <w:bCs/>
                <w:color w:val="000000"/>
              </w:rPr>
              <w:t>Վերոնշյալ ռիսկերի միաժամանակյա հանդես գալու պայմաններում</w:t>
            </w:r>
          </w:p>
        </w:tc>
        <w:tc>
          <w:tcPr>
            <w:tcW w:w="2006" w:type="dxa"/>
            <w:tcBorders>
              <w:top w:val="nil"/>
              <w:left w:val="nil"/>
              <w:bottom w:val="single" w:sz="4" w:space="0" w:color="4F81BD"/>
              <w:right w:val="single" w:sz="4" w:space="0" w:color="4F81BD"/>
            </w:tcBorders>
            <w:shd w:val="clear" w:color="auto" w:fill="auto"/>
            <w:vAlign w:val="center"/>
            <w:hideMark/>
          </w:tcPr>
          <w:p w14:paraId="48E3655D"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-27.0</w:t>
            </w:r>
          </w:p>
        </w:tc>
      </w:tr>
    </w:tbl>
    <w:p w14:paraId="63C2E9F4"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 xml:space="preserve">Այսպիսով, գնահատվում է, որ հարկային եկամուտների վրա ազդող վերոնշյալ ռիսկերի միաժամանակյա ի հայտ գալու պարագայում հարկային եկամուտների ծրագրված մակարդակից շեղումը 2022 թվականին կկազմի շուրջ 27.0 մլրդ ՀՀ դրամ: </w:t>
      </w:r>
    </w:p>
    <w:p w14:paraId="479612C7"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Հարկային եկամուտների վրա առանձին ռիսկերի ազդեցության չափի վերաբերյալ պատկերացում են տալիս նաև ստորև ներկայացվող զգայունության գնահատականները, սակայն այս դեպքում դիտարկվում է հարկային եկամուտների աճի վրա ազդող գործոնների աճերի 1% փոփոխության ազդեցությունը, ինչը ներկայացված է հարկային եկամուտների զգայունության աղյուսակում:</w:t>
      </w:r>
    </w:p>
    <w:p w14:paraId="635B2DAA" w14:textId="7E80161B" w:rsidR="0087134D" w:rsidRPr="008B1D49" w:rsidRDefault="0087134D" w:rsidP="0087134D">
      <w:pPr>
        <w:pStyle w:val="Caption"/>
        <w:rPr>
          <w:b/>
          <w:lang w:val="hy-AM"/>
        </w:rPr>
      </w:pPr>
      <w:bookmarkStart w:id="353" w:name="_Toc83928955"/>
      <w:bookmarkStart w:id="354" w:name="_Toc89428779"/>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19</w:t>
      </w:r>
      <w:r>
        <w:fldChar w:fldCharType="end"/>
      </w:r>
      <w:r w:rsidRPr="008B1D49">
        <w:rPr>
          <w:noProof/>
          <w:lang w:val="hy-AM"/>
        </w:rPr>
        <w:t>.</w:t>
      </w:r>
      <w:r w:rsidRPr="008B1D49">
        <w:rPr>
          <w:lang w:val="hy-AM"/>
        </w:rPr>
        <w:t xml:space="preserve"> </w:t>
      </w:r>
      <w:r w:rsidRPr="008B1D49">
        <w:rPr>
          <w:sz w:val="20"/>
          <w:szCs w:val="20"/>
          <w:lang w:val="hy-AM"/>
        </w:rPr>
        <w:t>Հարկային եկամուտների զգայունությունը հիմնական տնտեսական գործոնների նկատմամբ, տոկոս</w:t>
      </w:r>
      <w:bookmarkEnd w:id="353"/>
      <w:bookmarkEnd w:id="354"/>
    </w:p>
    <w:tbl>
      <w:tblPr>
        <w:tblW w:w="9198"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0A0" w:firstRow="1" w:lastRow="0" w:firstColumn="1" w:lastColumn="0" w:noHBand="0" w:noVBand="0"/>
      </w:tblPr>
      <w:tblGrid>
        <w:gridCol w:w="3659"/>
        <w:gridCol w:w="1398"/>
        <w:gridCol w:w="1138"/>
        <w:gridCol w:w="1435"/>
        <w:gridCol w:w="1568"/>
      </w:tblGrid>
      <w:tr w:rsidR="0087134D" w:rsidRPr="00A83C94" w14:paraId="5F38201C" w14:textId="77777777" w:rsidTr="00383BAD">
        <w:trPr>
          <w:trHeight w:val="476"/>
          <w:jc w:val="center"/>
        </w:trPr>
        <w:tc>
          <w:tcPr>
            <w:tcW w:w="3659" w:type="dxa"/>
            <w:shd w:val="clear" w:color="auto" w:fill="4F81BD" w:themeFill="accent1"/>
            <w:noWrap/>
            <w:vAlign w:val="bottom"/>
            <w:hideMark/>
          </w:tcPr>
          <w:p w14:paraId="3BF3B6A3" w14:textId="77777777" w:rsidR="0087134D" w:rsidRPr="00A83C94" w:rsidRDefault="0087134D" w:rsidP="00383BAD">
            <w:pPr>
              <w:spacing w:before="0" w:line="240" w:lineRule="auto"/>
              <w:ind w:firstLine="0"/>
              <w:rPr>
                <w:b w:val="0"/>
                <w:color w:val="FFFFFF" w:themeColor="background1"/>
                <w:lang w:val="hy-AM"/>
              </w:rPr>
            </w:pPr>
            <w:r w:rsidRPr="00A83C94">
              <w:rPr>
                <w:rFonts w:ascii="Calibri" w:hAnsi="Calibri" w:cs="Calibri"/>
                <w:b w:val="0"/>
                <w:color w:val="FFFFFF" w:themeColor="background1"/>
                <w:lang w:val="hy-AM"/>
              </w:rPr>
              <w:t> </w:t>
            </w:r>
          </w:p>
        </w:tc>
        <w:tc>
          <w:tcPr>
            <w:tcW w:w="1398" w:type="dxa"/>
            <w:shd w:val="clear" w:color="auto" w:fill="4F81BD" w:themeFill="accent1"/>
            <w:noWrap/>
            <w:vAlign w:val="bottom"/>
            <w:hideMark/>
          </w:tcPr>
          <w:p w14:paraId="0FB269ED"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ՀՆԱ</w:t>
            </w:r>
          </w:p>
        </w:tc>
        <w:tc>
          <w:tcPr>
            <w:tcW w:w="1138" w:type="dxa"/>
            <w:shd w:val="clear" w:color="auto" w:fill="4F81BD" w:themeFill="accent1"/>
            <w:noWrap/>
            <w:vAlign w:val="bottom"/>
            <w:hideMark/>
          </w:tcPr>
          <w:p w14:paraId="4A96735A"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Գնաճ</w:t>
            </w:r>
          </w:p>
        </w:tc>
        <w:tc>
          <w:tcPr>
            <w:tcW w:w="1435" w:type="dxa"/>
            <w:shd w:val="clear" w:color="auto" w:fill="4F81BD" w:themeFill="accent1"/>
            <w:noWrap/>
            <w:vAlign w:val="bottom"/>
            <w:hideMark/>
          </w:tcPr>
          <w:p w14:paraId="08D41DC3"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Փոխարժեք</w:t>
            </w:r>
          </w:p>
        </w:tc>
        <w:tc>
          <w:tcPr>
            <w:tcW w:w="1568" w:type="dxa"/>
            <w:shd w:val="clear" w:color="auto" w:fill="4F81BD" w:themeFill="accent1"/>
            <w:noWrap/>
            <w:vAlign w:val="bottom"/>
            <w:hideMark/>
          </w:tcPr>
          <w:p w14:paraId="4C86820E" w14:textId="77777777" w:rsidR="0087134D" w:rsidRPr="00A83C94" w:rsidRDefault="0087134D" w:rsidP="00383BAD">
            <w:pPr>
              <w:spacing w:before="0" w:line="240" w:lineRule="auto"/>
              <w:ind w:firstLine="0"/>
              <w:jc w:val="center"/>
              <w:rPr>
                <w:b w:val="0"/>
                <w:color w:val="FFFFFF" w:themeColor="background1"/>
                <w:lang w:val="hy-AM"/>
              </w:rPr>
            </w:pPr>
            <w:r w:rsidRPr="00A83C94">
              <w:rPr>
                <w:rFonts w:cs="Sylfaen"/>
                <w:b w:val="0"/>
                <w:color w:val="FFFFFF" w:themeColor="background1"/>
                <w:lang w:val="hy-AM"/>
              </w:rPr>
              <w:t>Ներմուծ</w:t>
            </w:r>
            <w:r w:rsidRPr="00A83C94">
              <w:rPr>
                <w:b w:val="0"/>
                <w:color w:val="FFFFFF" w:themeColor="background1"/>
                <w:lang w:val="hy-AM"/>
              </w:rPr>
              <w:t>ում</w:t>
            </w:r>
          </w:p>
        </w:tc>
      </w:tr>
      <w:tr w:rsidR="0087134D" w:rsidRPr="00A83C94" w14:paraId="1914A0FB" w14:textId="77777777" w:rsidTr="00383BAD">
        <w:trPr>
          <w:trHeight w:val="476"/>
          <w:jc w:val="center"/>
        </w:trPr>
        <w:tc>
          <w:tcPr>
            <w:tcW w:w="3659" w:type="dxa"/>
            <w:noWrap/>
            <w:vAlign w:val="bottom"/>
            <w:hideMark/>
          </w:tcPr>
          <w:p w14:paraId="0734C7E3" w14:textId="77777777" w:rsidR="0087134D" w:rsidRPr="00A83C94" w:rsidRDefault="0087134D" w:rsidP="00383BAD">
            <w:pPr>
              <w:spacing w:before="0" w:line="240" w:lineRule="auto"/>
              <w:ind w:firstLine="0"/>
              <w:rPr>
                <w:b w:val="0"/>
                <w:lang w:val="hy-AM"/>
              </w:rPr>
            </w:pPr>
            <w:r w:rsidRPr="00A83C94">
              <w:rPr>
                <w:rFonts w:cs="Sylfaen"/>
                <w:b w:val="0"/>
                <w:lang w:val="hy-AM"/>
              </w:rPr>
              <w:t>Միջին տարեկան ազդեցություն</w:t>
            </w:r>
          </w:p>
        </w:tc>
        <w:tc>
          <w:tcPr>
            <w:tcW w:w="1398" w:type="dxa"/>
            <w:noWrap/>
            <w:vAlign w:val="center"/>
            <w:hideMark/>
          </w:tcPr>
          <w:p w14:paraId="0EE510A8"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0.22</w:t>
            </w:r>
          </w:p>
        </w:tc>
        <w:tc>
          <w:tcPr>
            <w:tcW w:w="1138" w:type="dxa"/>
            <w:noWrap/>
            <w:vAlign w:val="center"/>
            <w:hideMark/>
          </w:tcPr>
          <w:p w14:paraId="04BCB18F"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0.11</w:t>
            </w:r>
          </w:p>
        </w:tc>
        <w:tc>
          <w:tcPr>
            <w:tcW w:w="1435" w:type="dxa"/>
            <w:noWrap/>
            <w:vAlign w:val="center"/>
            <w:hideMark/>
          </w:tcPr>
          <w:p w14:paraId="55F47B16"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0.16</w:t>
            </w:r>
          </w:p>
        </w:tc>
        <w:tc>
          <w:tcPr>
            <w:tcW w:w="1568" w:type="dxa"/>
            <w:noWrap/>
            <w:vAlign w:val="center"/>
            <w:hideMark/>
          </w:tcPr>
          <w:p w14:paraId="1F22E76A" w14:textId="77777777" w:rsidR="0087134D" w:rsidRPr="00A83C94" w:rsidRDefault="0087134D" w:rsidP="00383BAD">
            <w:pPr>
              <w:spacing w:before="0" w:line="240" w:lineRule="auto"/>
              <w:ind w:firstLine="0"/>
              <w:jc w:val="right"/>
              <w:rPr>
                <w:rFonts w:cs="Calibri"/>
                <w:b w:val="0"/>
                <w:lang w:val="hy-AM"/>
              </w:rPr>
            </w:pPr>
            <w:r w:rsidRPr="00A83C94">
              <w:rPr>
                <w:b w:val="0"/>
                <w:lang w:val="hy-AM"/>
              </w:rPr>
              <w:t>0.06</w:t>
            </w:r>
          </w:p>
        </w:tc>
      </w:tr>
    </w:tbl>
    <w:p w14:paraId="47707DFF"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Ինչպես երևում է աղյուսակից, հարկերի հավաքագրման առումով առավել էական գործոններ են հանդիսանում ՀՆԱ-ի և փոխարժեքի փոփոխությունները:</w:t>
      </w:r>
    </w:p>
    <w:p w14:paraId="419E7E0C" w14:textId="77777777" w:rsidR="0087134D" w:rsidRPr="00A83C94" w:rsidRDefault="0087134D" w:rsidP="0087134D">
      <w:pPr>
        <w:spacing w:before="0" w:line="276" w:lineRule="auto"/>
        <w:ind w:firstLine="720"/>
        <w:rPr>
          <w:rFonts w:cs="Sylfaen"/>
          <w:b w:val="0"/>
          <w:lang w:val="hy-AM"/>
        </w:rPr>
      </w:pPr>
      <w:r w:rsidRPr="00A83C94">
        <w:rPr>
          <w:rFonts w:cs="Sylfaen"/>
          <w:b w:val="0"/>
          <w:lang w:val="hy-AM"/>
        </w:rPr>
        <w:t>Հարկային եկամուտների կանխատեսումների հետ կապված անորոշությունների և ռիսկերի հաշվեկշռի վերաբերյալ գնահատականներն իրենց արտացոլումն են գտել ստորև ներկայացվող հարկային եկամուտների հավանականային բաշխման գծապատկերում և համապատասխան աղյուսակում (տես` Գծապատկեր 2.1 և Աղյուսակ 20)</w:t>
      </w:r>
      <w:r w:rsidRPr="00A83C94">
        <w:rPr>
          <w:rStyle w:val="FootnoteReference"/>
          <w:rFonts w:cs="Sylfaen"/>
          <w:b w:val="0"/>
          <w:lang w:val="hy-AM"/>
        </w:rPr>
        <w:footnoteReference w:id="29"/>
      </w:r>
      <w:r w:rsidRPr="00A83C94">
        <w:rPr>
          <w:rFonts w:cs="Sylfaen"/>
          <w:b w:val="0"/>
          <w:lang w:val="hy-AM"/>
        </w:rPr>
        <w:t>: Հավանականային բաշխման գրաֆիկի կառուցման ժամանակ օգտագործվել է աղյուսակ 18-ում գնահատված ամբողջական ռիսկերի միաժամանակյա հանդես գալու պայմաններում ի հայտ եկող բացասական ռիսկերը:</w:t>
      </w:r>
    </w:p>
    <w:p w14:paraId="7856671A" w14:textId="77777777" w:rsidR="0087134D" w:rsidRPr="00A83C94" w:rsidRDefault="0087134D" w:rsidP="0087134D">
      <w:pPr>
        <w:pStyle w:val="Caption"/>
        <w:spacing w:before="0" w:after="0"/>
        <w:rPr>
          <w:rFonts w:eastAsia="Calibri"/>
          <w:i/>
          <w:sz w:val="20"/>
          <w:szCs w:val="20"/>
          <w:lang w:val="hy-AM" w:eastAsia="en-US"/>
        </w:rPr>
      </w:pPr>
      <w:r w:rsidRPr="00A83C94">
        <w:rPr>
          <w:rFonts w:eastAsia="Calibri"/>
          <w:i/>
          <w:sz w:val="20"/>
          <w:szCs w:val="20"/>
          <w:lang w:val="hy-AM" w:eastAsia="en-US"/>
        </w:rPr>
        <w:t>Գծապատկեր 2.1. Հարկային եկամուտների տարեկան աճի տեմպերի կանխատեսումների հավանականային բաշխումը</w:t>
      </w:r>
      <w:r w:rsidRPr="00A83C94">
        <w:rPr>
          <w:rFonts w:eastAsia="Calibri"/>
          <w:i/>
          <w:sz w:val="20"/>
          <w:szCs w:val="20"/>
          <w:vertAlign w:val="superscript"/>
          <w:lang w:val="hy-AM" w:eastAsia="en-US"/>
        </w:rPr>
        <w:footnoteReference w:id="30"/>
      </w:r>
      <w:r w:rsidRPr="00A83C94">
        <w:rPr>
          <w:rFonts w:eastAsia="Calibri"/>
          <w:i/>
          <w:sz w:val="20"/>
          <w:szCs w:val="20"/>
          <w:lang w:val="hy-AM" w:eastAsia="en-US"/>
        </w:rPr>
        <w:t>, տոկոս</w:t>
      </w:r>
    </w:p>
    <w:p w14:paraId="25BE3AFF" w14:textId="77777777" w:rsidR="0087134D" w:rsidRPr="00A83C94" w:rsidRDefault="0087134D" w:rsidP="0087134D">
      <w:pPr>
        <w:tabs>
          <w:tab w:val="left" w:pos="90"/>
        </w:tabs>
        <w:spacing w:after="120" w:line="276" w:lineRule="auto"/>
        <w:ind w:firstLine="0"/>
        <w:jc w:val="center"/>
        <w:rPr>
          <w:b w:val="0"/>
          <w:i/>
          <w:u w:val="single"/>
          <w:lang w:val="hy-AM"/>
        </w:rPr>
      </w:pPr>
      <w:r w:rsidRPr="00A83C94">
        <w:rPr>
          <w:b w:val="0"/>
          <w:noProof/>
          <w:lang w:val="en-US" w:eastAsia="en-US"/>
        </w:rPr>
        <w:drawing>
          <wp:inline distT="0" distB="0" distL="0" distR="0" wp14:anchorId="74548891" wp14:editId="6A081ADC">
            <wp:extent cx="5572125" cy="2743200"/>
            <wp:effectExtent l="0" t="0" r="9525" b="0"/>
            <wp:docPr id="92" name="Chart 92">
              <a:extLst xmlns:a="http://schemas.openxmlformats.org/drawingml/2006/main">
                <a:ext uri="{FF2B5EF4-FFF2-40B4-BE49-F238E27FC236}">
                  <a16:creationId xmlns:a16="http://schemas.microsoft.com/office/drawing/2014/main" id="{C33EB284-3769-4F70-A576-B7BB4E75C2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DEA0781"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 xml:space="preserve">Կանխատեսումների բաշխման հավանականություններն առավել պարզորոշ երևում են ստորև բերվող աղյուսակում: </w:t>
      </w:r>
    </w:p>
    <w:p w14:paraId="662EA28C" w14:textId="77777777" w:rsidR="0087134D" w:rsidRPr="00A83C94" w:rsidRDefault="0087134D" w:rsidP="0087134D">
      <w:pPr>
        <w:spacing w:after="120" w:line="276" w:lineRule="auto"/>
        <w:ind w:firstLine="720"/>
        <w:rPr>
          <w:rFonts w:cs="Sylfaen"/>
          <w:b w:val="0"/>
          <w:lang w:val="hy-AM"/>
        </w:rPr>
      </w:pPr>
    </w:p>
    <w:p w14:paraId="261EC807" w14:textId="77777777" w:rsidR="0087134D" w:rsidRPr="00A83C94" w:rsidRDefault="0087134D" w:rsidP="0087134D">
      <w:pPr>
        <w:spacing w:after="120" w:line="276" w:lineRule="auto"/>
        <w:ind w:firstLine="720"/>
        <w:rPr>
          <w:b w:val="0"/>
          <w:lang w:val="hy-AM"/>
        </w:rPr>
      </w:pPr>
    </w:p>
    <w:p w14:paraId="05EC6EFE" w14:textId="6294E4D0" w:rsidR="0087134D" w:rsidRPr="00A83C94" w:rsidRDefault="0087134D" w:rsidP="0087134D">
      <w:pPr>
        <w:pStyle w:val="Caption"/>
        <w:rPr>
          <w:rFonts w:eastAsia="Calibri"/>
          <w:i/>
          <w:sz w:val="20"/>
          <w:szCs w:val="20"/>
          <w:lang w:val="hy-AM" w:eastAsia="en-US"/>
        </w:rPr>
      </w:pPr>
      <w:bookmarkStart w:id="355" w:name="_Toc83928956"/>
      <w:bookmarkStart w:id="356" w:name="_Toc89428780"/>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20</w:t>
      </w:r>
      <w:r>
        <w:fldChar w:fldCharType="end"/>
      </w:r>
      <w:r w:rsidRPr="00A83C94">
        <w:rPr>
          <w:lang w:val="hy-AM"/>
        </w:rPr>
        <w:t>.</w:t>
      </w:r>
      <w:r w:rsidRPr="00A83C94">
        <w:rPr>
          <w:rFonts w:eastAsia="Calibri"/>
          <w:i/>
          <w:sz w:val="20"/>
          <w:szCs w:val="20"/>
          <w:lang w:val="hy-AM" w:eastAsia="en-US"/>
        </w:rPr>
        <w:t xml:space="preserve"> Հարկային եկամուտների կանխատեսումների հավանականային բաշխումը</w:t>
      </w:r>
      <w:bookmarkEnd w:id="355"/>
      <w:bookmarkEnd w:id="356"/>
    </w:p>
    <w:tbl>
      <w:tblPr>
        <w:tblW w:w="6228" w:type="dxa"/>
        <w:jc w:val="center"/>
        <w:tblLook w:val="04A0" w:firstRow="1" w:lastRow="0" w:firstColumn="1" w:lastColumn="0" w:noHBand="0" w:noVBand="1"/>
      </w:tblPr>
      <w:tblGrid>
        <w:gridCol w:w="2140"/>
        <w:gridCol w:w="1100"/>
        <w:gridCol w:w="939"/>
        <w:gridCol w:w="1026"/>
        <w:gridCol w:w="1023"/>
      </w:tblGrid>
      <w:tr w:rsidR="0087134D" w:rsidRPr="00564083" w14:paraId="4FE74E8E" w14:textId="77777777" w:rsidTr="00383BAD">
        <w:trPr>
          <w:trHeight w:val="1005"/>
          <w:jc w:val="center"/>
        </w:trPr>
        <w:tc>
          <w:tcPr>
            <w:tcW w:w="2140" w:type="dxa"/>
            <w:tcBorders>
              <w:top w:val="single" w:sz="8" w:space="0" w:color="FFFFFF"/>
              <w:left w:val="single" w:sz="8" w:space="0" w:color="FFFFFF"/>
              <w:bottom w:val="single" w:sz="8" w:space="0" w:color="FFFFFF"/>
              <w:right w:val="single" w:sz="8" w:space="0" w:color="FFFFFF"/>
            </w:tcBorders>
            <w:shd w:val="clear" w:color="000000" w:fill="5B9BD5"/>
            <w:vAlign w:val="center"/>
            <w:hideMark/>
          </w:tcPr>
          <w:p w14:paraId="5A6AAD76" w14:textId="77777777" w:rsidR="0087134D" w:rsidRPr="00A83C94" w:rsidRDefault="0087134D" w:rsidP="00383BAD">
            <w:pPr>
              <w:spacing w:before="0" w:line="240" w:lineRule="auto"/>
              <w:ind w:firstLine="0"/>
              <w:jc w:val="center"/>
              <w:rPr>
                <w:rFonts w:cs="Calibri"/>
                <w:b w:val="0"/>
                <w:color w:val="FFFFFF"/>
                <w:lang w:val="hy-AM"/>
              </w:rPr>
            </w:pPr>
            <w:r w:rsidRPr="00A83C94">
              <w:rPr>
                <w:rFonts w:cs="Calibri"/>
                <w:b w:val="0"/>
                <w:color w:val="FFFFFF"/>
                <w:lang w:val="hy-AM"/>
              </w:rPr>
              <w:t>Հարկային եկամուտների աճի միջակայքը</w:t>
            </w:r>
          </w:p>
        </w:tc>
        <w:tc>
          <w:tcPr>
            <w:tcW w:w="4088" w:type="dxa"/>
            <w:gridSpan w:val="4"/>
            <w:tcBorders>
              <w:top w:val="single" w:sz="8" w:space="0" w:color="FFFFFF"/>
              <w:left w:val="nil"/>
              <w:bottom w:val="single" w:sz="8" w:space="0" w:color="FFFFFF"/>
              <w:right w:val="nil"/>
            </w:tcBorders>
            <w:shd w:val="clear" w:color="000000" w:fill="5B9BD5"/>
            <w:vAlign w:val="center"/>
            <w:hideMark/>
          </w:tcPr>
          <w:p w14:paraId="498D61A2" w14:textId="77777777" w:rsidR="0087134D" w:rsidRPr="00A83C94" w:rsidRDefault="0087134D" w:rsidP="00383BAD">
            <w:pPr>
              <w:spacing w:before="0" w:line="240" w:lineRule="auto"/>
              <w:ind w:firstLine="0"/>
              <w:jc w:val="center"/>
              <w:rPr>
                <w:rFonts w:cs="Calibri"/>
                <w:b w:val="0"/>
                <w:color w:val="FFFFFF"/>
                <w:lang w:val="hy-AM"/>
              </w:rPr>
            </w:pPr>
            <w:r w:rsidRPr="00A83C94">
              <w:rPr>
                <w:rFonts w:cs="Calibri"/>
                <w:b w:val="0"/>
                <w:color w:val="FFFFFF"/>
                <w:lang w:val="hy-AM"/>
              </w:rPr>
              <w:t>Հարկային եկամուտների աճի` տվյալ  միջակայքում ձևավորվելու հավանականությունը</w:t>
            </w:r>
          </w:p>
        </w:tc>
      </w:tr>
      <w:tr w:rsidR="0087134D" w:rsidRPr="00A83C94" w14:paraId="136CAF89" w14:textId="77777777" w:rsidTr="00383BAD">
        <w:trPr>
          <w:trHeight w:val="345"/>
          <w:jc w:val="center"/>
        </w:trPr>
        <w:tc>
          <w:tcPr>
            <w:tcW w:w="2140" w:type="dxa"/>
            <w:tcBorders>
              <w:top w:val="nil"/>
              <w:left w:val="single" w:sz="8" w:space="0" w:color="FFFFFF"/>
              <w:bottom w:val="single" w:sz="8" w:space="0" w:color="FFFFFF"/>
              <w:right w:val="single" w:sz="8" w:space="0" w:color="FFFFFF"/>
            </w:tcBorders>
            <w:shd w:val="clear" w:color="000000" w:fill="5B9BD5"/>
            <w:vAlign w:val="center"/>
            <w:hideMark/>
          </w:tcPr>
          <w:p w14:paraId="77BD7B18" w14:textId="77777777" w:rsidR="0087134D" w:rsidRPr="00A83C94" w:rsidRDefault="0087134D" w:rsidP="00383BAD">
            <w:pPr>
              <w:spacing w:before="0" w:line="240" w:lineRule="auto"/>
              <w:ind w:firstLine="0"/>
              <w:rPr>
                <w:rFonts w:ascii="Calibri" w:hAnsi="Calibri" w:cs="Calibri"/>
                <w:b w:val="0"/>
                <w:bCs/>
                <w:color w:val="FFFFFF"/>
                <w:lang w:val="hy-AM"/>
              </w:rPr>
            </w:pPr>
            <w:r w:rsidRPr="00A83C94">
              <w:rPr>
                <w:rFonts w:ascii="Calibri" w:hAnsi="Calibri" w:cs="Calibri"/>
                <w:b w:val="0"/>
                <w:bCs/>
                <w:color w:val="FFFFFF"/>
                <w:lang w:val="hy-AM"/>
              </w:rPr>
              <w:t> </w:t>
            </w:r>
          </w:p>
        </w:tc>
        <w:tc>
          <w:tcPr>
            <w:tcW w:w="1100" w:type="dxa"/>
            <w:tcBorders>
              <w:top w:val="nil"/>
              <w:left w:val="nil"/>
              <w:bottom w:val="single" w:sz="8" w:space="0" w:color="FFFFFF"/>
              <w:right w:val="single" w:sz="8" w:space="0" w:color="FFFFFF"/>
            </w:tcBorders>
            <w:shd w:val="clear" w:color="000000" w:fill="5B9BD5"/>
            <w:noWrap/>
            <w:vAlign w:val="center"/>
            <w:hideMark/>
          </w:tcPr>
          <w:p w14:paraId="3B283BEF" w14:textId="77777777" w:rsidR="0087134D" w:rsidRPr="00A83C94" w:rsidRDefault="0087134D" w:rsidP="00383BAD">
            <w:pPr>
              <w:spacing w:before="0" w:line="240" w:lineRule="auto"/>
              <w:ind w:firstLine="0"/>
              <w:jc w:val="center"/>
              <w:rPr>
                <w:rFonts w:cs="Calibri"/>
                <w:b w:val="0"/>
                <w:bCs/>
                <w:color w:val="FFFFFF"/>
                <w:lang w:val="hy-AM"/>
              </w:rPr>
            </w:pPr>
            <w:r w:rsidRPr="00A83C94">
              <w:rPr>
                <w:rFonts w:cs="Calibri"/>
                <w:b w:val="0"/>
                <w:bCs/>
                <w:color w:val="FFFFFF"/>
                <w:lang w:val="hy-AM"/>
              </w:rPr>
              <w:t>2022-I</w:t>
            </w:r>
          </w:p>
        </w:tc>
        <w:tc>
          <w:tcPr>
            <w:tcW w:w="939" w:type="dxa"/>
            <w:tcBorders>
              <w:top w:val="nil"/>
              <w:left w:val="nil"/>
              <w:bottom w:val="single" w:sz="8" w:space="0" w:color="FFFFFF"/>
              <w:right w:val="single" w:sz="8" w:space="0" w:color="FFFFFF"/>
            </w:tcBorders>
            <w:shd w:val="clear" w:color="000000" w:fill="5B9BD5"/>
            <w:noWrap/>
            <w:vAlign w:val="center"/>
            <w:hideMark/>
          </w:tcPr>
          <w:p w14:paraId="11900F2D" w14:textId="77777777" w:rsidR="0087134D" w:rsidRPr="00A83C94" w:rsidRDefault="0087134D" w:rsidP="00383BAD">
            <w:pPr>
              <w:spacing w:before="0" w:line="240" w:lineRule="auto"/>
              <w:ind w:firstLine="0"/>
              <w:jc w:val="center"/>
              <w:rPr>
                <w:rFonts w:cs="Calibri"/>
                <w:b w:val="0"/>
                <w:bCs/>
                <w:color w:val="FFFFFF"/>
                <w:lang w:val="hy-AM"/>
              </w:rPr>
            </w:pPr>
            <w:r w:rsidRPr="00A83C94">
              <w:rPr>
                <w:rFonts w:cs="Calibri"/>
                <w:b w:val="0"/>
                <w:bCs/>
                <w:color w:val="FFFFFF"/>
                <w:lang w:val="hy-AM"/>
              </w:rPr>
              <w:t>2022-II</w:t>
            </w:r>
          </w:p>
        </w:tc>
        <w:tc>
          <w:tcPr>
            <w:tcW w:w="1026" w:type="dxa"/>
            <w:tcBorders>
              <w:top w:val="nil"/>
              <w:left w:val="nil"/>
              <w:bottom w:val="single" w:sz="8" w:space="0" w:color="FFFFFF"/>
              <w:right w:val="single" w:sz="8" w:space="0" w:color="FFFFFF"/>
            </w:tcBorders>
            <w:shd w:val="clear" w:color="000000" w:fill="5B9BD5"/>
            <w:noWrap/>
            <w:vAlign w:val="center"/>
            <w:hideMark/>
          </w:tcPr>
          <w:p w14:paraId="5EA2F289" w14:textId="77777777" w:rsidR="0087134D" w:rsidRPr="00A83C94" w:rsidRDefault="0087134D" w:rsidP="00383BAD">
            <w:pPr>
              <w:spacing w:before="0" w:line="240" w:lineRule="auto"/>
              <w:ind w:firstLine="0"/>
              <w:jc w:val="center"/>
              <w:rPr>
                <w:rFonts w:cs="Calibri"/>
                <w:b w:val="0"/>
                <w:bCs/>
                <w:color w:val="FFFFFF"/>
              </w:rPr>
            </w:pPr>
            <w:r w:rsidRPr="00A83C94">
              <w:rPr>
                <w:rFonts w:cs="Calibri"/>
                <w:b w:val="0"/>
                <w:bCs/>
                <w:color w:val="FFFFFF"/>
              </w:rPr>
              <w:t>2022-III</w:t>
            </w:r>
          </w:p>
        </w:tc>
        <w:tc>
          <w:tcPr>
            <w:tcW w:w="1021" w:type="dxa"/>
            <w:tcBorders>
              <w:top w:val="nil"/>
              <w:left w:val="nil"/>
              <w:bottom w:val="single" w:sz="8" w:space="0" w:color="FFFFFF"/>
              <w:right w:val="single" w:sz="8" w:space="0" w:color="FFFFFF"/>
            </w:tcBorders>
            <w:shd w:val="clear" w:color="000000" w:fill="5B9BD5"/>
            <w:noWrap/>
            <w:vAlign w:val="center"/>
            <w:hideMark/>
          </w:tcPr>
          <w:p w14:paraId="2C3F4CA9" w14:textId="77777777" w:rsidR="0087134D" w:rsidRPr="00A83C94" w:rsidRDefault="0087134D" w:rsidP="00383BAD">
            <w:pPr>
              <w:spacing w:before="0" w:line="240" w:lineRule="auto"/>
              <w:ind w:firstLine="0"/>
              <w:jc w:val="center"/>
              <w:rPr>
                <w:rFonts w:cs="Calibri"/>
                <w:b w:val="0"/>
                <w:bCs/>
                <w:color w:val="FFFFFF"/>
              </w:rPr>
            </w:pPr>
            <w:r w:rsidRPr="00A83C94">
              <w:rPr>
                <w:rFonts w:cs="Calibri"/>
                <w:b w:val="0"/>
                <w:bCs/>
                <w:color w:val="FFFFFF"/>
              </w:rPr>
              <w:t>2022-IV</w:t>
            </w:r>
          </w:p>
        </w:tc>
      </w:tr>
      <w:tr w:rsidR="0087134D" w:rsidRPr="00A83C94" w14:paraId="569B43E3"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4B96E0D4"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8-12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763BF87C"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0.02</w:t>
            </w:r>
          </w:p>
        </w:tc>
        <w:tc>
          <w:tcPr>
            <w:tcW w:w="939" w:type="dxa"/>
            <w:tcBorders>
              <w:top w:val="nil"/>
              <w:left w:val="nil"/>
              <w:bottom w:val="single" w:sz="8" w:space="0" w:color="5B9BD5"/>
              <w:right w:val="single" w:sz="8" w:space="0" w:color="5B9BD5"/>
            </w:tcBorders>
            <w:shd w:val="clear" w:color="auto" w:fill="auto"/>
            <w:noWrap/>
            <w:vAlign w:val="center"/>
            <w:hideMark/>
          </w:tcPr>
          <w:p w14:paraId="75B89438"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0.04</w:t>
            </w:r>
          </w:p>
        </w:tc>
        <w:tc>
          <w:tcPr>
            <w:tcW w:w="1026" w:type="dxa"/>
            <w:tcBorders>
              <w:top w:val="nil"/>
              <w:left w:val="nil"/>
              <w:bottom w:val="single" w:sz="8" w:space="0" w:color="5B9BD5"/>
              <w:right w:val="single" w:sz="8" w:space="0" w:color="5B9BD5"/>
            </w:tcBorders>
            <w:shd w:val="clear" w:color="auto" w:fill="auto"/>
            <w:noWrap/>
            <w:vAlign w:val="center"/>
            <w:hideMark/>
          </w:tcPr>
          <w:p w14:paraId="451B2D31"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0.07</w:t>
            </w:r>
          </w:p>
        </w:tc>
        <w:tc>
          <w:tcPr>
            <w:tcW w:w="1021" w:type="dxa"/>
            <w:tcBorders>
              <w:top w:val="nil"/>
              <w:left w:val="nil"/>
              <w:bottom w:val="single" w:sz="8" w:space="0" w:color="5B9BD5"/>
              <w:right w:val="single" w:sz="8" w:space="0" w:color="5B9BD5"/>
            </w:tcBorders>
            <w:shd w:val="clear" w:color="auto" w:fill="auto"/>
            <w:noWrap/>
            <w:vAlign w:val="center"/>
            <w:hideMark/>
          </w:tcPr>
          <w:p w14:paraId="3EA18C9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0.14</w:t>
            </w:r>
          </w:p>
        </w:tc>
      </w:tr>
      <w:tr w:rsidR="0087134D" w:rsidRPr="00A83C94" w14:paraId="0C90B8DD"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1D883CCD"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12-16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0E913614"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0.17</w:t>
            </w:r>
          </w:p>
        </w:tc>
        <w:tc>
          <w:tcPr>
            <w:tcW w:w="939" w:type="dxa"/>
            <w:tcBorders>
              <w:top w:val="nil"/>
              <w:left w:val="nil"/>
              <w:bottom w:val="single" w:sz="8" w:space="0" w:color="5B9BD5"/>
              <w:right w:val="single" w:sz="8" w:space="0" w:color="5B9BD5"/>
            </w:tcBorders>
            <w:shd w:val="clear" w:color="auto" w:fill="auto"/>
            <w:noWrap/>
            <w:vAlign w:val="center"/>
            <w:hideMark/>
          </w:tcPr>
          <w:p w14:paraId="73D45A2E"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0.26</w:t>
            </w:r>
          </w:p>
        </w:tc>
        <w:tc>
          <w:tcPr>
            <w:tcW w:w="1026" w:type="dxa"/>
            <w:tcBorders>
              <w:top w:val="nil"/>
              <w:left w:val="nil"/>
              <w:bottom w:val="single" w:sz="8" w:space="0" w:color="5B9BD5"/>
              <w:right w:val="single" w:sz="8" w:space="0" w:color="5B9BD5"/>
            </w:tcBorders>
            <w:shd w:val="clear" w:color="auto" w:fill="auto"/>
            <w:noWrap/>
            <w:vAlign w:val="center"/>
            <w:hideMark/>
          </w:tcPr>
          <w:p w14:paraId="34948A6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0.33</w:t>
            </w:r>
          </w:p>
        </w:tc>
        <w:tc>
          <w:tcPr>
            <w:tcW w:w="1021" w:type="dxa"/>
            <w:tcBorders>
              <w:top w:val="nil"/>
              <w:left w:val="nil"/>
              <w:bottom w:val="single" w:sz="8" w:space="0" w:color="5B9BD5"/>
              <w:right w:val="single" w:sz="8" w:space="0" w:color="5B9BD5"/>
            </w:tcBorders>
            <w:shd w:val="clear" w:color="auto" w:fill="auto"/>
            <w:noWrap/>
            <w:vAlign w:val="center"/>
            <w:hideMark/>
          </w:tcPr>
          <w:p w14:paraId="418E5647"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0.43</w:t>
            </w:r>
          </w:p>
        </w:tc>
      </w:tr>
      <w:tr w:rsidR="0087134D" w:rsidRPr="00A83C94" w14:paraId="4798F518"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2710AC4F"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16-20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45AF2B1D"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0.50</w:t>
            </w:r>
          </w:p>
        </w:tc>
        <w:tc>
          <w:tcPr>
            <w:tcW w:w="939" w:type="dxa"/>
            <w:tcBorders>
              <w:top w:val="nil"/>
              <w:left w:val="nil"/>
              <w:bottom w:val="single" w:sz="8" w:space="0" w:color="5B9BD5"/>
              <w:right w:val="single" w:sz="8" w:space="0" w:color="5B9BD5"/>
            </w:tcBorders>
            <w:shd w:val="clear" w:color="auto" w:fill="auto"/>
            <w:noWrap/>
            <w:vAlign w:val="center"/>
            <w:hideMark/>
          </w:tcPr>
          <w:p w14:paraId="6C15DE42"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0.53</w:t>
            </w:r>
          </w:p>
        </w:tc>
        <w:tc>
          <w:tcPr>
            <w:tcW w:w="1026" w:type="dxa"/>
            <w:tcBorders>
              <w:top w:val="nil"/>
              <w:left w:val="nil"/>
              <w:bottom w:val="single" w:sz="8" w:space="0" w:color="5B9BD5"/>
              <w:right w:val="single" w:sz="8" w:space="0" w:color="5B9BD5"/>
            </w:tcBorders>
            <w:shd w:val="clear" w:color="auto" w:fill="auto"/>
            <w:noWrap/>
            <w:vAlign w:val="center"/>
            <w:hideMark/>
          </w:tcPr>
          <w:p w14:paraId="1DFC8B4E" w14:textId="77777777" w:rsidR="0087134D" w:rsidRPr="00A83C94" w:rsidRDefault="0087134D" w:rsidP="00383BAD">
            <w:pPr>
              <w:spacing w:before="0" w:line="240" w:lineRule="auto"/>
              <w:ind w:firstLine="0"/>
              <w:jc w:val="center"/>
              <w:rPr>
                <w:rFonts w:cs="Calibri"/>
                <w:bCs/>
                <w:i/>
                <w:iCs/>
                <w:color w:val="000000"/>
                <w:u w:val="single"/>
              </w:rPr>
            </w:pPr>
            <w:r w:rsidRPr="00A83C94">
              <w:rPr>
                <w:rFonts w:cs="Calibri"/>
                <w:bCs/>
                <w:i/>
                <w:iCs/>
                <w:color w:val="000000"/>
                <w:u w:val="single"/>
              </w:rPr>
              <w:t>0.51</w:t>
            </w:r>
          </w:p>
        </w:tc>
        <w:tc>
          <w:tcPr>
            <w:tcW w:w="1021" w:type="dxa"/>
            <w:tcBorders>
              <w:top w:val="nil"/>
              <w:left w:val="nil"/>
              <w:bottom w:val="single" w:sz="8" w:space="0" w:color="5B9BD5"/>
              <w:right w:val="single" w:sz="8" w:space="0" w:color="5B9BD5"/>
            </w:tcBorders>
            <w:shd w:val="clear" w:color="auto" w:fill="auto"/>
            <w:noWrap/>
            <w:vAlign w:val="center"/>
            <w:hideMark/>
          </w:tcPr>
          <w:p w14:paraId="7C78F69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0.39</w:t>
            </w:r>
          </w:p>
        </w:tc>
      </w:tr>
      <w:tr w:rsidR="0087134D" w:rsidRPr="00A83C94" w14:paraId="0ECFD1FC" w14:textId="77777777" w:rsidTr="00383BAD">
        <w:trPr>
          <w:trHeight w:val="345"/>
          <w:jc w:val="center"/>
        </w:trPr>
        <w:tc>
          <w:tcPr>
            <w:tcW w:w="2140" w:type="dxa"/>
            <w:tcBorders>
              <w:top w:val="nil"/>
              <w:left w:val="single" w:sz="8" w:space="0" w:color="5B9BD5"/>
              <w:bottom w:val="single" w:sz="8" w:space="0" w:color="5B9BD5"/>
              <w:right w:val="single" w:sz="8" w:space="0" w:color="5B9BD5"/>
            </w:tcBorders>
            <w:shd w:val="clear" w:color="auto" w:fill="auto"/>
            <w:noWrap/>
            <w:vAlign w:val="center"/>
            <w:hideMark/>
          </w:tcPr>
          <w:p w14:paraId="51FF6578" w14:textId="77777777" w:rsidR="0087134D" w:rsidRPr="00A83C94" w:rsidRDefault="0087134D" w:rsidP="00383BAD">
            <w:pPr>
              <w:spacing w:before="0" w:line="240" w:lineRule="auto"/>
              <w:ind w:firstLine="0"/>
              <w:jc w:val="center"/>
              <w:rPr>
                <w:rFonts w:cs="Calibri"/>
                <w:bCs/>
                <w:color w:val="000000"/>
              </w:rPr>
            </w:pPr>
            <w:r w:rsidRPr="00A83C94">
              <w:rPr>
                <w:rFonts w:cs="Calibri"/>
                <w:bCs/>
                <w:color w:val="000000"/>
              </w:rPr>
              <w:t>20-24 տոկոս</w:t>
            </w:r>
          </w:p>
        </w:tc>
        <w:tc>
          <w:tcPr>
            <w:tcW w:w="1100" w:type="dxa"/>
            <w:tcBorders>
              <w:top w:val="nil"/>
              <w:left w:val="nil"/>
              <w:bottom w:val="single" w:sz="8" w:space="0" w:color="5B9BD5"/>
              <w:right w:val="single" w:sz="8" w:space="0" w:color="5B9BD5"/>
            </w:tcBorders>
            <w:shd w:val="clear" w:color="auto" w:fill="auto"/>
            <w:noWrap/>
            <w:vAlign w:val="center"/>
            <w:hideMark/>
          </w:tcPr>
          <w:p w14:paraId="4DE49EEF"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0.31</w:t>
            </w:r>
          </w:p>
        </w:tc>
        <w:tc>
          <w:tcPr>
            <w:tcW w:w="939" w:type="dxa"/>
            <w:tcBorders>
              <w:top w:val="nil"/>
              <w:left w:val="nil"/>
              <w:bottom w:val="single" w:sz="8" w:space="0" w:color="5B9BD5"/>
              <w:right w:val="single" w:sz="8" w:space="0" w:color="5B9BD5"/>
            </w:tcBorders>
            <w:shd w:val="clear" w:color="auto" w:fill="auto"/>
            <w:noWrap/>
            <w:vAlign w:val="center"/>
            <w:hideMark/>
          </w:tcPr>
          <w:p w14:paraId="56B217B5"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0.16</w:t>
            </w:r>
          </w:p>
        </w:tc>
        <w:tc>
          <w:tcPr>
            <w:tcW w:w="1026" w:type="dxa"/>
            <w:tcBorders>
              <w:top w:val="nil"/>
              <w:left w:val="nil"/>
              <w:bottom w:val="single" w:sz="8" w:space="0" w:color="5B9BD5"/>
              <w:right w:val="single" w:sz="8" w:space="0" w:color="5B9BD5"/>
            </w:tcBorders>
            <w:shd w:val="clear" w:color="auto" w:fill="auto"/>
            <w:noWrap/>
            <w:vAlign w:val="center"/>
            <w:hideMark/>
          </w:tcPr>
          <w:p w14:paraId="09444F47"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0.08</w:t>
            </w:r>
          </w:p>
        </w:tc>
        <w:tc>
          <w:tcPr>
            <w:tcW w:w="1021" w:type="dxa"/>
            <w:tcBorders>
              <w:top w:val="nil"/>
              <w:left w:val="nil"/>
              <w:bottom w:val="single" w:sz="8" w:space="0" w:color="5B9BD5"/>
              <w:right w:val="single" w:sz="8" w:space="0" w:color="5B9BD5"/>
            </w:tcBorders>
            <w:shd w:val="clear" w:color="auto" w:fill="auto"/>
            <w:noWrap/>
            <w:vAlign w:val="center"/>
            <w:hideMark/>
          </w:tcPr>
          <w:p w14:paraId="1CA20613" w14:textId="77777777" w:rsidR="0087134D" w:rsidRPr="00A83C94" w:rsidRDefault="0087134D" w:rsidP="00383BAD">
            <w:pPr>
              <w:spacing w:before="0" w:line="240" w:lineRule="auto"/>
              <w:ind w:firstLine="0"/>
              <w:jc w:val="center"/>
              <w:rPr>
                <w:rFonts w:cs="Calibri"/>
                <w:b w:val="0"/>
                <w:color w:val="000000"/>
              </w:rPr>
            </w:pPr>
            <w:r w:rsidRPr="00A83C94">
              <w:rPr>
                <w:rFonts w:cs="Calibri"/>
                <w:b w:val="0"/>
                <w:color w:val="000000"/>
              </w:rPr>
              <w:t>0.02</w:t>
            </w:r>
          </w:p>
        </w:tc>
      </w:tr>
    </w:tbl>
    <w:p w14:paraId="55B7642C" w14:textId="77777777" w:rsidR="0087134D" w:rsidRPr="00A83C94" w:rsidRDefault="0087134D" w:rsidP="0087134D">
      <w:pPr>
        <w:spacing w:after="120" w:line="276" w:lineRule="auto"/>
        <w:ind w:firstLine="720"/>
        <w:rPr>
          <w:rFonts w:cs="Sylfaen"/>
          <w:b w:val="0"/>
          <w:lang w:val="hy-AM"/>
        </w:rPr>
      </w:pPr>
    </w:p>
    <w:p w14:paraId="778ACB97"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 xml:space="preserve">Աղյուսակ 20-ի առաջին սյունը ներկայացնում է հարկային եկամուտների աճի միջակայքերը, իսկ 2-ից 5-րդ սյուները` նշված միջակայքերից յուրաքանչյուրում այդ աճի ձևավորվելու հավանականությունները` ըստ եռամսյակային կանխատեսումների: Համաձայն գնահատականների, 2022 թվականին առաջին երեք եռամսյակներում 16-20% միջակայքում և  չորրորդ եռամսյակում 20-24% միջակայքում գտնվելու հավանականություններն ամենաբարձրն են, (Գծապատկեր 2.1-ում այն մուգ կարմիր է, իսկ Աղյուսակ 20-ում՝ հոծ նշումով): </w:t>
      </w:r>
    </w:p>
    <w:p w14:paraId="22B1575E" w14:textId="77777777" w:rsidR="0087134D" w:rsidRPr="00A83C94" w:rsidRDefault="0087134D" w:rsidP="0087134D">
      <w:pPr>
        <w:spacing w:after="120" w:line="276" w:lineRule="auto"/>
        <w:ind w:firstLine="720"/>
        <w:rPr>
          <w:rFonts w:cs="Sylfaen"/>
          <w:b w:val="0"/>
          <w:lang w:val="hy-AM"/>
        </w:rPr>
      </w:pPr>
    </w:p>
    <w:p w14:paraId="08718034"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lang w:val="hy-AM"/>
        </w:rPr>
      </w:pPr>
      <w:r w:rsidRPr="00A83C94">
        <w:rPr>
          <w:rFonts w:cs="Sylfaen"/>
          <w:lang w:val="hy-AM"/>
        </w:rPr>
        <w:t xml:space="preserve">Ներդիր </w:t>
      </w:r>
    </w:p>
    <w:p w14:paraId="054FF035"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line="276" w:lineRule="auto"/>
        <w:ind w:firstLine="720"/>
        <w:rPr>
          <w:rFonts w:cs="Sylfaen"/>
          <w:lang w:val="hy-AM"/>
        </w:rPr>
      </w:pPr>
      <w:r w:rsidRPr="00A83C94">
        <w:rPr>
          <w:rFonts w:cs="Sylfaen"/>
          <w:lang w:val="hy-AM"/>
        </w:rPr>
        <w:t>Իրական ՀՆԱ-ի և հարկային եկամուտների կանխատեսումների հավանականային բաշխման գծապատկերի կառուցումը</w:t>
      </w:r>
    </w:p>
    <w:p w14:paraId="66BEE643"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 xml:space="preserve">Իրական ՀՆԱ-ի </w:t>
      </w:r>
      <w:r w:rsidRPr="00A83C94">
        <w:rPr>
          <w:b w:val="0"/>
          <w:lang w:val="hy-AM"/>
        </w:rPr>
        <w:t xml:space="preserve">և հարկային եկամուտների կանխատեսումների </w:t>
      </w:r>
      <w:r w:rsidRPr="00A83C94">
        <w:rPr>
          <w:rFonts w:cs="Sylfaen"/>
          <w:b w:val="0"/>
          <w:lang w:val="hy-AM"/>
        </w:rPr>
        <w:t>հավանականային</w:t>
      </w:r>
      <w:r w:rsidRPr="00A83C94">
        <w:rPr>
          <w:b w:val="0"/>
          <w:lang w:val="hy-AM"/>
        </w:rPr>
        <w:t xml:space="preserve"> բ</w:t>
      </w:r>
      <w:r w:rsidRPr="00A83C94">
        <w:rPr>
          <w:rFonts w:cs="Sylfaen"/>
          <w:b w:val="0"/>
          <w:lang w:val="hy-AM"/>
        </w:rPr>
        <w:t xml:space="preserve">աշխումը ներկայացնող գծապատկերները ցույց </w:t>
      </w:r>
      <w:r w:rsidRPr="00A83C94">
        <w:rPr>
          <w:b w:val="0"/>
          <w:lang w:val="hy-AM"/>
        </w:rPr>
        <w:t xml:space="preserve">են </w:t>
      </w:r>
      <w:r w:rsidRPr="00A83C94">
        <w:rPr>
          <w:rFonts w:cs="Sylfaen"/>
          <w:b w:val="0"/>
          <w:lang w:val="hy-AM"/>
        </w:rPr>
        <w:t>տալիս տնտեսության զարգացման ապագա ընթացքի վերաբերյալ կառավարության գնահատականները` տնտեսական աճի ծրագրային ցուցանիշների վերաբերյալ, ինչպես նաև հարկային եկամուտների հավաքագրման կանխատեսվող ընթացքը</w:t>
      </w:r>
      <w:r w:rsidRPr="00A83C94">
        <w:rPr>
          <w:b w:val="0"/>
          <w:lang w:val="hy-AM"/>
        </w:rPr>
        <w:t>:</w:t>
      </w:r>
    </w:p>
    <w:p w14:paraId="44947D58"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val="0"/>
          <w:lang w:val="hy-AM"/>
        </w:rPr>
      </w:pPr>
      <w:r w:rsidRPr="00A83C94">
        <w:rPr>
          <w:rFonts w:cs="Sylfaen"/>
          <w:b w:val="0"/>
          <w:lang w:val="hy-AM"/>
        </w:rPr>
        <w:t>Կանխատեսումների հավանականային բաշխման գծապատկերի կառուցման անհրաժեշտությունը պայմանավորված է նրանով</w:t>
      </w:r>
      <w:r w:rsidRPr="00A83C94">
        <w:rPr>
          <w:b w:val="0"/>
          <w:lang w:val="hy-AM"/>
        </w:rPr>
        <w:t xml:space="preserve">, </w:t>
      </w:r>
      <w:r w:rsidRPr="00A83C94">
        <w:rPr>
          <w:rFonts w:cs="Sylfaen"/>
          <w:b w:val="0"/>
          <w:lang w:val="hy-AM"/>
        </w:rPr>
        <w:t>որ բոլոր կանխատեսումները ինչ</w:t>
      </w:r>
      <w:r w:rsidRPr="00A83C94">
        <w:rPr>
          <w:b w:val="0"/>
          <w:lang w:val="hy-AM"/>
        </w:rPr>
        <w:t>-</w:t>
      </w:r>
      <w:r w:rsidRPr="00A83C94">
        <w:rPr>
          <w:rFonts w:cs="Sylfaen"/>
          <w:b w:val="0"/>
          <w:lang w:val="hy-AM"/>
        </w:rPr>
        <w:t>որ չափով անորոշ են</w:t>
      </w:r>
      <w:r w:rsidRPr="00A83C94">
        <w:rPr>
          <w:b w:val="0"/>
          <w:lang w:val="hy-AM"/>
        </w:rPr>
        <w:t xml:space="preserve">: </w:t>
      </w:r>
      <w:r w:rsidRPr="00A83C94">
        <w:rPr>
          <w:rFonts w:cs="Sylfaen"/>
          <w:b w:val="0"/>
          <w:lang w:val="hy-AM"/>
        </w:rPr>
        <w:t>Կարևոր է հաշվի առնել ոչ միայն կոնկրետ կանխատեսված արժեքները</w:t>
      </w:r>
      <w:r w:rsidRPr="00A83C94">
        <w:rPr>
          <w:b w:val="0"/>
          <w:lang w:val="hy-AM"/>
        </w:rPr>
        <w:t xml:space="preserve">, </w:t>
      </w:r>
      <w:r w:rsidRPr="00A83C94">
        <w:rPr>
          <w:rFonts w:cs="Sylfaen"/>
          <w:b w:val="0"/>
          <w:lang w:val="hy-AM"/>
        </w:rPr>
        <w:t>այլ նաև բոլոր այն</w:t>
      </w:r>
      <w:r w:rsidRPr="00A83C94">
        <w:rPr>
          <w:b w:val="0"/>
          <w:lang w:val="hy-AM"/>
        </w:rPr>
        <w:t xml:space="preserve"> վերոնշյալ </w:t>
      </w:r>
      <w:r w:rsidRPr="00A83C94">
        <w:rPr>
          <w:rFonts w:cs="Sylfaen"/>
          <w:b w:val="0"/>
          <w:lang w:val="hy-AM"/>
        </w:rPr>
        <w:t>ռիսկերը</w:t>
      </w:r>
      <w:r w:rsidRPr="00A83C94">
        <w:rPr>
          <w:b w:val="0"/>
          <w:lang w:val="hy-AM"/>
        </w:rPr>
        <w:t xml:space="preserve">, </w:t>
      </w:r>
      <w:r w:rsidRPr="00A83C94">
        <w:rPr>
          <w:rFonts w:cs="Sylfaen"/>
          <w:b w:val="0"/>
          <w:lang w:val="hy-AM"/>
        </w:rPr>
        <w:t>որոնց արդյունքում կարող են շեղումներ առաջանալ իրական ՀՆԱ-ի կանխատեսումների և հարկերի կանխատեսումների կենտրոնական արժեքներից</w:t>
      </w:r>
      <w:r w:rsidRPr="00A83C94">
        <w:rPr>
          <w:b w:val="0"/>
          <w:lang w:val="hy-AM"/>
        </w:rPr>
        <w:t xml:space="preserve">: </w:t>
      </w:r>
      <w:r w:rsidRPr="00A83C94">
        <w:rPr>
          <w:rFonts w:cs="Sylfaen"/>
          <w:b w:val="0"/>
          <w:lang w:val="hy-AM"/>
        </w:rPr>
        <w:t>Հիմնվելով միայն կետային կանխատեսումների վրա հնարավոր չէ բավարար չափով տեղեկատվություն ներկայացնել դրանց հետ կապված անորոշությունների և</w:t>
      </w:r>
      <w:r w:rsidRPr="00A83C94">
        <w:rPr>
          <w:b w:val="0"/>
          <w:lang w:val="hy-AM"/>
        </w:rPr>
        <w:t xml:space="preserve"> դրանց </w:t>
      </w:r>
      <w:r w:rsidRPr="00A83C94">
        <w:rPr>
          <w:rFonts w:cs="Sylfaen"/>
          <w:b w:val="0"/>
          <w:lang w:val="hy-AM"/>
        </w:rPr>
        <w:t>աղբյուրների վերաբերյալ</w:t>
      </w:r>
      <w:r w:rsidRPr="00A83C94">
        <w:rPr>
          <w:b w:val="0"/>
          <w:lang w:val="hy-AM"/>
        </w:rPr>
        <w:t xml:space="preserve">: </w:t>
      </w:r>
      <w:r w:rsidRPr="00A83C94">
        <w:rPr>
          <w:rFonts w:cs="Sylfaen"/>
          <w:b w:val="0"/>
          <w:lang w:val="hy-AM"/>
        </w:rPr>
        <w:t>Այդ պատճառով կարևորվում է որոշակի վստահության միջակայքի կառուցման խնդիրը</w:t>
      </w:r>
      <w:r w:rsidRPr="00A83C94">
        <w:rPr>
          <w:b w:val="0"/>
          <w:lang w:val="hy-AM"/>
        </w:rPr>
        <w:t xml:space="preserve">, </w:t>
      </w:r>
      <w:r w:rsidRPr="00A83C94">
        <w:rPr>
          <w:rFonts w:cs="Sylfaen"/>
          <w:b w:val="0"/>
          <w:lang w:val="hy-AM"/>
        </w:rPr>
        <w:t>որը թույլ կտա գնահատել իրադարձությունների զարգացման հավանական ընթացքը</w:t>
      </w:r>
      <w:r w:rsidRPr="00A83C94">
        <w:rPr>
          <w:b w:val="0"/>
          <w:lang w:val="hy-AM"/>
        </w:rPr>
        <w:t xml:space="preserve">: Իրական ՀՆԱ-ի և հարկերի կանխատեսումների հավանականային բաշխման ներկայացված գծապատկերները հիմնվում են </w:t>
      </w:r>
      <w:r w:rsidRPr="00A83C94">
        <w:rPr>
          <w:rFonts w:cs="Sylfaen"/>
          <w:b w:val="0"/>
          <w:lang w:val="hy-AM"/>
        </w:rPr>
        <w:t>Անգլիայի բանկի կողմից մշակված մեթոդաբանության վրա և հաշվի է առնում</w:t>
      </w:r>
      <w:r w:rsidRPr="00A83C94">
        <w:rPr>
          <w:b w:val="0"/>
          <w:lang w:val="hy-AM"/>
        </w:rPr>
        <w:t xml:space="preserve"> կանխատեսումների հավանականային բաշխման </w:t>
      </w:r>
      <w:r w:rsidRPr="00A83C94">
        <w:rPr>
          <w:rFonts w:cs="Sylfaen"/>
          <w:b w:val="0"/>
          <w:lang w:val="hy-AM"/>
        </w:rPr>
        <w:t>ասիմետրիկության առկայությունը</w:t>
      </w:r>
      <w:r w:rsidRPr="00A83C94">
        <w:rPr>
          <w:b w:val="0"/>
          <w:lang w:val="hy-AM"/>
        </w:rPr>
        <w:t xml:space="preserve">: </w:t>
      </w:r>
    </w:p>
    <w:p w14:paraId="0F996D1E"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Հայաստանի համար իրական ՀՆԱ-ի և հարկերի աճի կանխատեսումների բաշխման գծապատկերները կառուցվել են երեք չափորոշիչների հիման վրա.</w:t>
      </w:r>
    </w:p>
    <w:p w14:paraId="0BFBCAB4"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rFonts w:cs="Sylfaen"/>
          <w:b w:val="0"/>
          <w:lang w:val="hy-AM"/>
        </w:rPr>
      </w:pPr>
      <w:r w:rsidRPr="00A83C94">
        <w:rPr>
          <w:b w:val="0"/>
          <w:lang w:val="hy-AM"/>
        </w:rPr>
        <w:t xml:space="preserve">1. </w:t>
      </w:r>
      <w:r w:rsidRPr="00A83C94">
        <w:rPr>
          <w:rFonts w:cs="Sylfaen"/>
          <w:b w:val="0"/>
          <w:lang w:val="hy-AM"/>
        </w:rPr>
        <w:t xml:space="preserve">կենտրոնական արժեքները, </w:t>
      </w:r>
      <w:r w:rsidRPr="00A83C94">
        <w:rPr>
          <w:b w:val="0"/>
          <w:lang w:val="hy-AM"/>
        </w:rPr>
        <w:t xml:space="preserve">2. </w:t>
      </w:r>
      <w:r w:rsidRPr="00A83C94">
        <w:rPr>
          <w:rFonts w:cs="Sylfaen"/>
          <w:b w:val="0"/>
          <w:lang w:val="hy-AM"/>
        </w:rPr>
        <w:t>անորոշության չափը</w:t>
      </w:r>
      <w:r w:rsidRPr="00A83C94">
        <w:rPr>
          <w:b w:val="0"/>
          <w:lang w:val="hy-AM"/>
        </w:rPr>
        <w:t xml:space="preserve"> (</w:t>
      </w:r>
      <w:r w:rsidRPr="00A83C94">
        <w:rPr>
          <w:rFonts w:cs="Sylfaen"/>
          <w:b w:val="0"/>
          <w:lang w:val="hy-AM"/>
        </w:rPr>
        <w:t>դիսպերսիան</w:t>
      </w:r>
      <w:r w:rsidRPr="00A83C94">
        <w:rPr>
          <w:b w:val="0"/>
          <w:lang w:val="hy-AM"/>
        </w:rPr>
        <w:t>),</w:t>
      </w:r>
      <w:r w:rsidRPr="00A83C94">
        <w:rPr>
          <w:rFonts w:cs="Sylfaen"/>
          <w:b w:val="0"/>
          <w:lang w:val="hy-AM"/>
        </w:rPr>
        <w:t xml:space="preserve"> որը ստանալու համար հիմք են հանդիսացել փաստացի պատմական շարքերի կանխատեսումային սխալները և </w:t>
      </w:r>
      <w:r w:rsidRPr="00A83C94">
        <w:rPr>
          <w:b w:val="0"/>
          <w:lang w:val="hy-AM"/>
        </w:rPr>
        <w:t xml:space="preserve">3. </w:t>
      </w:r>
      <w:r w:rsidRPr="00A83C94">
        <w:rPr>
          <w:rFonts w:cs="Sylfaen"/>
          <w:b w:val="0"/>
          <w:lang w:val="hy-AM"/>
        </w:rPr>
        <w:t>ռիսկերի հարաբերական հաշվեկշիռը՝ անհամաչափության գործակցի գնահատման նպատակով:</w:t>
      </w:r>
    </w:p>
    <w:p w14:paraId="559C14B6"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Ունենալով կանխատեսված</w:t>
      </w:r>
      <w:r w:rsidRPr="00A83C94">
        <w:rPr>
          <w:b w:val="0"/>
          <w:lang w:val="hy-AM"/>
        </w:rPr>
        <w:t xml:space="preserve"> կենտրոնական արժեքները, անորոշության չափը (ցրվածքը) և ռիսկերի հաշվեկշիռը` կառուցվել են իրական ՀՆԱ-ի և հարկերի կանխատեսումների հավանականային բաշխման գրաֆիկները 2022 թվականի համար (տես` Գծապատկեր 2.1):</w:t>
      </w:r>
    </w:p>
    <w:p w14:paraId="5FD3623B" w14:textId="77777777" w:rsidR="0087134D" w:rsidRPr="00A83C94" w:rsidRDefault="0087134D" w:rsidP="0087134D">
      <w:pPr>
        <w:pBdr>
          <w:top w:val="single" w:sz="4" w:space="0" w:color="auto"/>
          <w:left w:val="single" w:sz="4" w:space="4" w:color="auto"/>
          <w:bottom w:val="single" w:sz="4" w:space="1" w:color="auto"/>
          <w:right w:val="single" w:sz="4" w:space="4" w:color="auto"/>
        </w:pBdr>
        <w:shd w:val="clear" w:color="auto" w:fill="D9D9D9"/>
        <w:spacing w:after="120" w:line="276" w:lineRule="auto"/>
        <w:ind w:firstLine="720"/>
        <w:rPr>
          <w:b w:val="0"/>
          <w:lang w:val="hy-AM"/>
        </w:rPr>
      </w:pPr>
      <w:r w:rsidRPr="00A83C94">
        <w:rPr>
          <w:rFonts w:cs="Sylfaen"/>
          <w:b w:val="0"/>
          <w:lang w:val="hy-AM"/>
        </w:rPr>
        <w:t>ՀՆԱ-ի և հարկերի կանխատեսման գծապատկերներում կենտրոնական մուգ</w:t>
      </w:r>
      <w:r w:rsidRPr="00A83C94">
        <w:rPr>
          <w:b w:val="0"/>
          <w:lang w:val="hy-AM"/>
        </w:rPr>
        <w:t xml:space="preserve"> (</w:t>
      </w:r>
      <w:r w:rsidRPr="00A83C94">
        <w:rPr>
          <w:rFonts w:cs="Sylfaen"/>
          <w:b w:val="0"/>
          <w:lang w:val="hy-AM"/>
        </w:rPr>
        <w:t>կարմիր)</w:t>
      </w:r>
      <w:r w:rsidRPr="00A83C94">
        <w:rPr>
          <w:b w:val="0"/>
          <w:lang w:val="hy-AM"/>
        </w:rPr>
        <w:t xml:space="preserve"> ավելի նեղ </w:t>
      </w:r>
      <w:r w:rsidRPr="00A83C94">
        <w:rPr>
          <w:rFonts w:cs="Sylfaen"/>
          <w:b w:val="0"/>
          <w:lang w:val="hy-AM"/>
        </w:rPr>
        <w:t>միջակայքը ներառում է նաև</w:t>
      </w:r>
      <w:r w:rsidRPr="00A83C94">
        <w:rPr>
          <w:b w:val="0"/>
          <w:lang w:val="hy-AM"/>
        </w:rPr>
        <w:t xml:space="preserve"> կանխատեսման </w:t>
      </w:r>
      <w:r w:rsidRPr="00A83C94">
        <w:rPr>
          <w:rFonts w:cs="Sylfaen"/>
          <w:b w:val="0"/>
          <w:lang w:val="hy-AM"/>
        </w:rPr>
        <w:t>կենտրոնական սցենարը</w:t>
      </w:r>
      <w:r w:rsidRPr="00A83C94">
        <w:rPr>
          <w:b w:val="0"/>
          <w:lang w:val="hy-AM"/>
        </w:rPr>
        <w:t xml:space="preserve"> (</w:t>
      </w:r>
      <w:r w:rsidRPr="00A83C94">
        <w:rPr>
          <w:rFonts w:cs="Sylfaen"/>
          <w:b w:val="0"/>
          <w:lang w:val="hy-AM"/>
        </w:rPr>
        <w:t>կանխատեսված արժեքները</w:t>
      </w:r>
      <w:r w:rsidRPr="00A83C94">
        <w:rPr>
          <w:b w:val="0"/>
          <w:lang w:val="hy-AM"/>
        </w:rPr>
        <w:t>): Որքան հավանականային կանխատեսումները հեռանում են կենտրոնական սցենարից, այնքան ավելի ցածր է դառնում դրանց իրագործման հավանականությունը, ինչը գծապատկերում արտահայտվում է ավելի թույլ գունավորմամբ: Ներկայացված բաշխումը սիմետրիկ չէ, քանի որ ապագայի համար առկա են տնտեսական աճի և հարկերի կենտրոնական կանխատեսումից ավելի ցածր մակարդակների ձևավորման ռիսկեր:</w:t>
      </w:r>
    </w:p>
    <w:p w14:paraId="4B6C62A6" w14:textId="77777777" w:rsidR="0087134D" w:rsidRPr="00A83C94" w:rsidRDefault="0087134D" w:rsidP="0087134D">
      <w:pPr>
        <w:pStyle w:val="BodyText2"/>
        <w:ind w:firstLine="0"/>
        <w:rPr>
          <w:b/>
          <w:color w:val="1F497D" w:themeColor="text2"/>
          <w:sz w:val="24"/>
          <w:szCs w:val="24"/>
        </w:rPr>
      </w:pPr>
    </w:p>
    <w:p w14:paraId="181165C1" w14:textId="77777777" w:rsidR="0087134D" w:rsidRPr="00A83C94" w:rsidRDefault="0087134D" w:rsidP="0087134D">
      <w:pPr>
        <w:spacing w:before="0" w:line="276" w:lineRule="auto"/>
        <w:ind w:firstLine="0"/>
        <w:contextualSpacing w:val="0"/>
        <w:rPr>
          <w:sz w:val="24"/>
          <w:lang w:val="hy-AM"/>
        </w:rPr>
      </w:pPr>
      <w:r w:rsidRPr="00A83C94">
        <w:rPr>
          <w:sz w:val="24"/>
          <w:lang w:val="hy-AM"/>
        </w:rPr>
        <w:t>2.2. Պետական բյուջեի վրա մակրոտնտեսական ցուցանիշների կանխատեսվածից շեղման ռիսկերի ազդեցության ընդհանուր գնահատականը և դրանց մեղմման հնարավորությունները</w:t>
      </w:r>
    </w:p>
    <w:p w14:paraId="6E7962B8"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Կանխատեսումներում մեծ ուշադրություն է դարձվում նաև պետական բյուջեի ծախսերի պլանավորված մակարդակների ապահովումը խաթարող ռիսկերին, որոնք կարող են հանգեցնել լրացուցիչ ֆինանսավորման պահանջի առաջացման:</w:t>
      </w:r>
    </w:p>
    <w:p w14:paraId="41CD233B" w14:textId="24169DBB" w:rsidR="0087134D" w:rsidRPr="00A83C94" w:rsidRDefault="0087134D" w:rsidP="0087134D">
      <w:pPr>
        <w:pStyle w:val="Caption"/>
        <w:rPr>
          <w:b/>
        </w:rPr>
      </w:pPr>
      <w:bookmarkStart w:id="357" w:name="_Toc83928957"/>
      <w:bookmarkStart w:id="358" w:name="_Toc89428781"/>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21</w:t>
      </w:r>
      <w:r>
        <w:fldChar w:fldCharType="end"/>
      </w:r>
      <w:r w:rsidRPr="008B1D49">
        <w:rPr>
          <w:lang w:val="hy-AM"/>
        </w:rPr>
        <w:t xml:space="preserve">. </w:t>
      </w:r>
      <w:r w:rsidRPr="008B1D49">
        <w:rPr>
          <w:sz w:val="20"/>
          <w:szCs w:val="20"/>
          <w:lang w:val="hy-AM"/>
        </w:rPr>
        <w:t>ՀՀ պետական բյուջեի հարկային եկամուտների և ծախսերի, ինչպես նաև այլ հոսքերի գծով ռիսկերի ընդհանուր ազդեցությունը</w:t>
      </w:r>
      <w:r w:rsidRPr="00A83C94">
        <w:rPr>
          <w:sz w:val="20"/>
          <w:szCs w:val="20"/>
          <w:vertAlign w:val="superscript"/>
        </w:rPr>
        <w:footnoteReference w:id="31"/>
      </w:r>
      <w:r w:rsidRPr="008B1D49">
        <w:rPr>
          <w:sz w:val="20"/>
          <w:szCs w:val="20"/>
          <w:lang w:val="hy-AM"/>
        </w:rPr>
        <w:t xml:space="preserve">. </w:t>
      </w:r>
      <w:r w:rsidRPr="00A83C94">
        <w:rPr>
          <w:sz w:val="20"/>
          <w:szCs w:val="20"/>
        </w:rPr>
        <w:t>(ֆինանսավորման պահանջ` - պահանջի մեծացում, + պահանջի նվազում), մլրդ ՀՀ դրամ</w:t>
      </w:r>
      <w:bookmarkEnd w:id="357"/>
      <w:bookmarkEnd w:id="358"/>
      <w:r w:rsidRPr="00A83C94">
        <w:t xml:space="preserve"> </w:t>
      </w:r>
    </w:p>
    <w:tbl>
      <w:tblPr>
        <w:tblW w:w="7160" w:type="dxa"/>
        <w:tblInd w:w="1075" w:type="dxa"/>
        <w:tblLook w:val="04A0" w:firstRow="1" w:lastRow="0" w:firstColumn="1" w:lastColumn="0" w:noHBand="0" w:noVBand="1"/>
      </w:tblPr>
      <w:tblGrid>
        <w:gridCol w:w="5260"/>
        <w:gridCol w:w="1900"/>
      </w:tblGrid>
      <w:tr w:rsidR="0087134D" w:rsidRPr="00A83C94" w14:paraId="6B37726B" w14:textId="77777777" w:rsidTr="00383BAD">
        <w:trPr>
          <w:trHeight w:val="705"/>
        </w:trPr>
        <w:tc>
          <w:tcPr>
            <w:tcW w:w="5260" w:type="dxa"/>
            <w:vMerge w:val="restart"/>
            <w:tcBorders>
              <w:top w:val="single" w:sz="4" w:space="0" w:color="333399"/>
              <w:left w:val="single" w:sz="4" w:space="0" w:color="333399"/>
              <w:bottom w:val="nil"/>
              <w:right w:val="single" w:sz="4" w:space="0" w:color="333399"/>
            </w:tcBorders>
            <w:shd w:val="clear" w:color="000000" w:fill="0066CC"/>
            <w:vAlign w:val="center"/>
            <w:hideMark/>
          </w:tcPr>
          <w:p w14:paraId="75CD67F8" w14:textId="77777777" w:rsidR="0087134D" w:rsidRPr="00A83C94" w:rsidRDefault="0087134D" w:rsidP="00383BAD">
            <w:pPr>
              <w:spacing w:before="0" w:line="240" w:lineRule="auto"/>
              <w:ind w:firstLine="0"/>
              <w:jc w:val="center"/>
              <w:rPr>
                <w:b w:val="0"/>
                <w:bCs/>
                <w:color w:val="FFFFFF"/>
                <w:lang w:val="hy-AM"/>
              </w:rPr>
            </w:pPr>
            <w:r w:rsidRPr="00A83C94">
              <w:rPr>
                <w:b w:val="0"/>
                <w:bCs/>
                <w:color w:val="FFFFFF"/>
                <w:lang w:val="hy-AM"/>
              </w:rPr>
              <w:t>Մակրոտնտեսական ցուցանիշների կանխատեսվող ռիսկեր</w:t>
            </w:r>
          </w:p>
        </w:tc>
        <w:tc>
          <w:tcPr>
            <w:tcW w:w="1900" w:type="dxa"/>
            <w:tcBorders>
              <w:top w:val="single" w:sz="4" w:space="0" w:color="333399"/>
              <w:left w:val="nil"/>
              <w:bottom w:val="single" w:sz="4" w:space="0" w:color="333399"/>
              <w:right w:val="single" w:sz="4" w:space="0" w:color="333399"/>
            </w:tcBorders>
            <w:shd w:val="clear" w:color="000000" w:fill="0066CC"/>
            <w:vAlign w:val="center"/>
            <w:hideMark/>
          </w:tcPr>
          <w:p w14:paraId="641A979E" w14:textId="77777777" w:rsidR="0087134D" w:rsidRPr="00A83C94" w:rsidRDefault="0087134D" w:rsidP="00383BAD">
            <w:pPr>
              <w:spacing w:before="0" w:line="240" w:lineRule="auto"/>
              <w:ind w:firstLine="0"/>
              <w:jc w:val="center"/>
              <w:rPr>
                <w:b w:val="0"/>
                <w:bCs/>
                <w:color w:val="FFFFFF"/>
                <w:lang w:val="hy-AM"/>
              </w:rPr>
            </w:pPr>
            <w:r w:rsidRPr="00A83C94">
              <w:rPr>
                <w:b w:val="0"/>
                <w:bCs/>
                <w:color w:val="FFFFFF"/>
                <w:lang w:val="hy-AM"/>
              </w:rPr>
              <w:t>2022</w:t>
            </w:r>
          </w:p>
        </w:tc>
      </w:tr>
      <w:tr w:rsidR="0087134D" w:rsidRPr="00A83C94" w14:paraId="4FB23A54" w14:textId="77777777" w:rsidTr="00383BAD">
        <w:trPr>
          <w:trHeight w:val="255"/>
        </w:trPr>
        <w:tc>
          <w:tcPr>
            <w:tcW w:w="5260" w:type="dxa"/>
            <w:vMerge/>
            <w:tcBorders>
              <w:top w:val="single" w:sz="4" w:space="0" w:color="333399"/>
              <w:left w:val="single" w:sz="4" w:space="0" w:color="333399"/>
              <w:bottom w:val="nil"/>
              <w:right w:val="single" w:sz="4" w:space="0" w:color="333399"/>
            </w:tcBorders>
            <w:vAlign w:val="center"/>
            <w:hideMark/>
          </w:tcPr>
          <w:p w14:paraId="492D73E6" w14:textId="77777777" w:rsidR="0087134D" w:rsidRPr="00A83C94" w:rsidRDefault="0087134D" w:rsidP="00383BAD">
            <w:pPr>
              <w:spacing w:before="0" w:line="240" w:lineRule="auto"/>
              <w:ind w:firstLine="0"/>
              <w:jc w:val="left"/>
              <w:rPr>
                <w:b w:val="0"/>
                <w:bCs/>
                <w:color w:val="FFFFFF"/>
                <w:lang w:val="hy-AM"/>
              </w:rPr>
            </w:pPr>
          </w:p>
        </w:tc>
        <w:tc>
          <w:tcPr>
            <w:tcW w:w="1900" w:type="dxa"/>
            <w:tcBorders>
              <w:top w:val="nil"/>
              <w:left w:val="nil"/>
              <w:bottom w:val="single" w:sz="4" w:space="0" w:color="333399"/>
              <w:right w:val="single" w:sz="4" w:space="0" w:color="333399"/>
            </w:tcBorders>
            <w:shd w:val="clear" w:color="000000" w:fill="0066CC"/>
            <w:vAlign w:val="center"/>
            <w:hideMark/>
          </w:tcPr>
          <w:p w14:paraId="6FC4104D" w14:textId="77777777" w:rsidR="0087134D" w:rsidRPr="00A83C94" w:rsidRDefault="0087134D" w:rsidP="00383BAD">
            <w:pPr>
              <w:spacing w:before="0" w:line="240" w:lineRule="auto"/>
              <w:ind w:firstLine="0"/>
              <w:jc w:val="center"/>
              <w:rPr>
                <w:b w:val="0"/>
                <w:bCs/>
                <w:color w:val="FFFFFF"/>
                <w:lang w:val="hy-AM"/>
              </w:rPr>
            </w:pPr>
            <w:r w:rsidRPr="00A83C94">
              <w:rPr>
                <w:rFonts w:ascii="Calibri" w:hAnsi="Calibri" w:cs="Calibri"/>
                <w:b w:val="0"/>
                <w:bCs/>
                <w:color w:val="FFFFFF"/>
                <w:lang w:val="hy-AM"/>
              </w:rPr>
              <w:t> </w:t>
            </w:r>
          </w:p>
        </w:tc>
      </w:tr>
      <w:tr w:rsidR="0087134D" w:rsidRPr="00A83C94" w14:paraId="0D0ED417" w14:textId="77777777" w:rsidTr="00383BAD">
        <w:trPr>
          <w:trHeight w:val="660"/>
        </w:trPr>
        <w:tc>
          <w:tcPr>
            <w:tcW w:w="526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03749923" w14:textId="77777777" w:rsidR="0087134D" w:rsidRPr="00A83C94" w:rsidRDefault="0087134D" w:rsidP="00383BAD">
            <w:pPr>
              <w:spacing w:before="0" w:line="240" w:lineRule="auto"/>
              <w:ind w:firstLine="0"/>
              <w:jc w:val="left"/>
              <w:rPr>
                <w:b w:val="0"/>
                <w:color w:val="000000"/>
                <w:lang w:val="hy-AM"/>
              </w:rPr>
            </w:pPr>
            <w:r w:rsidRPr="00A83C94">
              <w:rPr>
                <w:b w:val="0"/>
                <w:color w:val="000000"/>
                <w:lang w:val="hy-AM"/>
              </w:rPr>
              <w:t>1. Կանխատեսվածից 2.0 տոկոսային կետով ավելի ցածր իրական ՀՆԱ-ի աճ</w:t>
            </w:r>
          </w:p>
        </w:tc>
        <w:tc>
          <w:tcPr>
            <w:tcW w:w="1900" w:type="dxa"/>
            <w:tcBorders>
              <w:top w:val="nil"/>
              <w:left w:val="nil"/>
              <w:bottom w:val="single" w:sz="4" w:space="0" w:color="333399"/>
              <w:right w:val="single" w:sz="4" w:space="0" w:color="333399"/>
            </w:tcBorders>
            <w:shd w:val="clear" w:color="auto" w:fill="auto"/>
            <w:vAlign w:val="center"/>
            <w:hideMark/>
          </w:tcPr>
          <w:p w14:paraId="2B23876B" w14:textId="77777777" w:rsidR="0087134D" w:rsidRPr="00A83C94" w:rsidRDefault="0087134D" w:rsidP="00383BAD">
            <w:pPr>
              <w:spacing w:before="0" w:line="240" w:lineRule="auto"/>
              <w:ind w:firstLine="0"/>
              <w:jc w:val="center"/>
              <w:rPr>
                <w:b w:val="0"/>
                <w:color w:val="000000"/>
                <w:lang w:val="hy-AM"/>
              </w:rPr>
            </w:pPr>
            <w:r w:rsidRPr="00A83C94">
              <w:rPr>
                <w:b w:val="0"/>
                <w:color w:val="000000"/>
                <w:lang w:val="hy-AM"/>
              </w:rPr>
              <w:t>-11.9</w:t>
            </w:r>
          </w:p>
        </w:tc>
      </w:tr>
      <w:tr w:rsidR="0087134D" w:rsidRPr="00A83C94" w14:paraId="4E3CEACF" w14:textId="77777777" w:rsidTr="00383BAD">
        <w:trPr>
          <w:trHeight w:val="660"/>
        </w:trPr>
        <w:tc>
          <w:tcPr>
            <w:tcW w:w="5260" w:type="dxa"/>
            <w:tcBorders>
              <w:top w:val="nil"/>
              <w:left w:val="single" w:sz="4" w:space="0" w:color="333399"/>
              <w:bottom w:val="single" w:sz="4" w:space="0" w:color="333399"/>
              <w:right w:val="single" w:sz="4" w:space="0" w:color="333399"/>
            </w:tcBorders>
            <w:shd w:val="clear" w:color="auto" w:fill="auto"/>
            <w:vAlign w:val="center"/>
            <w:hideMark/>
          </w:tcPr>
          <w:p w14:paraId="0CEB1D06" w14:textId="77777777" w:rsidR="0087134D" w:rsidRPr="00A83C94" w:rsidRDefault="0087134D" w:rsidP="00383BAD">
            <w:pPr>
              <w:spacing w:before="0" w:line="240" w:lineRule="auto"/>
              <w:ind w:firstLine="0"/>
              <w:jc w:val="left"/>
              <w:rPr>
                <w:b w:val="0"/>
                <w:color w:val="000000"/>
                <w:lang w:val="hy-AM"/>
              </w:rPr>
            </w:pPr>
            <w:r w:rsidRPr="00A83C94">
              <w:rPr>
                <w:b w:val="0"/>
                <w:color w:val="000000"/>
                <w:lang w:val="hy-AM"/>
              </w:rPr>
              <w:t>2. 1.5 տոկոսային կետով ավելի ցածր գնաճի ռիսկ</w:t>
            </w:r>
          </w:p>
        </w:tc>
        <w:tc>
          <w:tcPr>
            <w:tcW w:w="1900" w:type="dxa"/>
            <w:tcBorders>
              <w:top w:val="nil"/>
              <w:left w:val="nil"/>
              <w:bottom w:val="single" w:sz="4" w:space="0" w:color="333399"/>
              <w:right w:val="single" w:sz="4" w:space="0" w:color="333399"/>
            </w:tcBorders>
            <w:shd w:val="clear" w:color="auto" w:fill="auto"/>
            <w:vAlign w:val="center"/>
            <w:hideMark/>
          </w:tcPr>
          <w:p w14:paraId="32C5182B" w14:textId="77777777" w:rsidR="0087134D" w:rsidRPr="00A83C94" w:rsidRDefault="0087134D" w:rsidP="00383BAD">
            <w:pPr>
              <w:spacing w:before="0" w:line="240" w:lineRule="auto"/>
              <w:ind w:firstLine="0"/>
              <w:jc w:val="center"/>
              <w:rPr>
                <w:b w:val="0"/>
                <w:color w:val="000000"/>
              </w:rPr>
            </w:pPr>
            <w:r w:rsidRPr="00A83C94">
              <w:rPr>
                <w:b w:val="0"/>
                <w:color w:val="000000"/>
              </w:rPr>
              <w:t>5.3</w:t>
            </w:r>
          </w:p>
        </w:tc>
      </w:tr>
      <w:tr w:rsidR="0087134D" w:rsidRPr="00A83C94" w14:paraId="2D416A32" w14:textId="77777777" w:rsidTr="00383BAD">
        <w:trPr>
          <w:trHeight w:val="660"/>
        </w:trPr>
        <w:tc>
          <w:tcPr>
            <w:tcW w:w="5260" w:type="dxa"/>
            <w:tcBorders>
              <w:top w:val="nil"/>
              <w:left w:val="single" w:sz="4" w:space="0" w:color="333399"/>
              <w:bottom w:val="nil"/>
              <w:right w:val="single" w:sz="4" w:space="0" w:color="333399"/>
            </w:tcBorders>
            <w:shd w:val="clear" w:color="auto" w:fill="auto"/>
            <w:vAlign w:val="center"/>
            <w:hideMark/>
          </w:tcPr>
          <w:p w14:paraId="1208E217" w14:textId="77777777" w:rsidR="0087134D" w:rsidRPr="00A83C94" w:rsidRDefault="0087134D" w:rsidP="00383BAD">
            <w:pPr>
              <w:spacing w:before="0" w:line="240" w:lineRule="auto"/>
              <w:ind w:firstLine="0"/>
              <w:jc w:val="left"/>
              <w:rPr>
                <w:b w:val="0"/>
                <w:color w:val="000000"/>
              </w:rPr>
            </w:pPr>
            <w:r w:rsidRPr="00A83C94">
              <w:rPr>
                <w:b w:val="0"/>
                <w:color w:val="000000"/>
              </w:rPr>
              <w:t>3. Փոխարժեքի առավելագույնը 4.0 տոկոսով արժեզրկման ռիսկ</w:t>
            </w:r>
          </w:p>
        </w:tc>
        <w:tc>
          <w:tcPr>
            <w:tcW w:w="1900" w:type="dxa"/>
            <w:tcBorders>
              <w:top w:val="nil"/>
              <w:left w:val="nil"/>
              <w:bottom w:val="nil"/>
              <w:right w:val="single" w:sz="4" w:space="0" w:color="333399"/>
            </w:tcBorders>
            <w:shd w:val="clear" w:color="auto" w:fill="auto"/>
            <w:vAlign w:val="center"/>
            <w:hideMark/>
          </w:tcPr>
          <w:p w14:paraId="79D64C7E" w14:textId="77777777" w:rsidR="0087134D" w:rsidRPr="00A83C94" w:rsidRDefault="0087134D" w:rsidP="00383BAD">
            <w:pPr>
              <w:spacing w:before="0" w:line="240" w:lineRule="auto"/>
              <w:ind w:firstLine="0"/>
              <w:jc w:val="center"/>
              <w:rPr>
                <w:b w:val="0"/>
                <w:color w:val="000000"/>
              </w:rPr>
            </w:pPr>
            <w:r w:rsidRPr="00A83C94">
              <w:rPr>
                <w:b w:val="0"/>
                <w:color w:val="000000"/>
              </w:rPr>
              <w:t>6.1</w:t>
            </w:r>
          </w:p>
        </w:tc>
      </w:tr>
      <w:tr w:rsidR="0087134D" w:rsidRPr="00A83C94" w14:paraId="7781B5D7" w14:textId="77777777" w:rsidTr="00383BAD">
        <w:trPr>
          <w:trHeight w:val="563"/>
        </w:trPr>
        <w:tc>
          <w:tcPr>
            <w:tcW w:w="5260" w:type="dxa"/>
            <w:tcBorders>
              <w:top w:val="single" w:sz="4" w:space="0" w:color="333399"/>
              <w:left w:val="single" w:sz="4" w:space="0" w:color="333399"/>
              <w:bottom w:val="single" w:sz="4" w:space="0" w:color="333399"/>
              <w:right w:val="single" w:sz="4" w:space="0" w:color="333399"/>
            </w:tcBorders>
            <w:shd w:val="clear" w:color="auto" w:fill="auto"/>
            <w:vAlign w:val="center"/>
            <w:hideMark/>
          </w:tcPr>
          <w:p w14:paraId="4193D3B6" w14:textId="77777777" w:rsidR="0087134D" w:rsidRPr="00A83C94" w:rsidRDefault="0087134D" w:rsidP="00383BAD">
            <w:pPr>
              <w:spacing w:before="0" w:line="240" w:lineRule="auto"/>
              <w:ind w:firstLine="0"/>
              <w:jc w:val="left"/>
              <w:rPr>
                <w:b w:val="0"/>
                <w:color w:val="000000"/>
              </w:rPr>
            </w:pPr>
            <w:r w:rsidRPr="00A83C94">
              <w:rPr>
                <w:b w:val="0"/>
                <w:color w:val="000000"/>
              </w:rPr>
              <w:t>4. Ներմուծման 11.8 տոկոսով նվազման ռիսկ</w:t>
            </w:r>
          </w:p>
        </w:tc>
        <w:tc>
          <w:tcPr>
            <w:tcW w:w="1900" w:type="dxa"/>
            <w:tcBorders>
              <w:top w:val="single" w:sz="4" w:space="0" w:color="333399"/>
              <w:left w:val="nil"/>
              <w:bottom w:val="single" w:sz="4" w:space="0" w:color="333399"/>
              <w:right w:val="single" w:sz="4" w:space="0" w:color="333399"/>
            </w:tcBorders>
            <w:shd w:val="clear" w:color="auto" w:fill="auto"/>
            <w:vAlign w:val="center"/>
            <w:hideMark/>
          </w:tcPr>
          <w:p w14:paraId="5F2DB4E6" w14:textId="77777777" w:rsidR="0087134D" w:rsidRPr="00A83C94" w:rsidRDefault="0087134D" w:rsidP="00383BAD">
            <w:pPr>
              <w:spacing w:before="0" w:line="240" w:lineRule="auto"/>
              <w:ind w:firstLine="0"/>
              <w:jc w:val="center"/>
              <w:rPr>
                <w:b w:val="0"/>
                <w:color w:val="000000"/>
              </w:rPr>
            </w:pPr>
            <w:r w:rsidRPr="00A83C94">
              <w:rPr>
                <w:b w:val="0"/>
                <w:color w:val="000000"/>
              </w:rPr>
              <w:t>-21.9</w:t>
            </w:r>
          </w:p>
        </w:tc>
      </w:tr>
      <w:tr w:rsidR="0087134D" w:rsidRPr="00A83C94" w14:paraId="53758FCA" w14:textId="77777777" w:rsidTr="00383BAD">
        <w:trPr>
          <w:trHeight w:val="380"/>
        </w:trPr>
        <w:tc>
          <w:tcPr>
            <w:tcW w:w="5260" w:type="dxa"/>
            <w:tcBorders>
              <w:top w:val="nil"/>
              <w:left w:val="single" w:sz="4" w:space="0" w:color="333399"/>
              <w:bottom w:val="single" w:sz="4" w:space="0" w:color="333399"/>
              <w:right w:val="single" w:sz="4" w:space="0" w:color="333399"/>
            </w:tcBorders>
            <w:shd w:val="clear" w:color="auto" w:fill="auto"/>
            <w:vAlign w:val="center"/>
            <w:hideMark/>
          </w:tcPr>
          <w:p w14:paraId="4629F496" w14:textId="77777777" w:rsidR="0087134D" w:rsidRPr="00A83C94" w:rsidRDefault="0087134D" w:rsidP="00383BAD">
            <w:pPr>
              <w:spacing w:before="0" w:line="240" w:lineRule="auto"/>
              <w:ind w:firstLine="0"/>
              <w:jc w:val="left"/>
              <w:rPr>
                <w:b w:val="0"/>
                <w:bCs/>
                <w:color w:val="000000"/>
              </w:rPr>
            </w:pPr>
            <w:r w:rsidRPr="00A83C94">
              <w:rPr>
                <w:b w:val="0"/>
                <w:bCs/>
                <w:color w:val="000000"/>
              </w:rPr>
              <w:t>Ընդամենը</w:t>
            </w:r>
          </w:p>
        </w:tc>
        <w:tc>
          <w:tcPr>
            <w:tcW w:w="1900" w:type="dxa"/>
            <w:tcBorders>
              <w:top w:val="nil"/>
              <w:left w:val="nil"/>
              <w:bottom w:val="single" w:sz="4" w:space="0" w:color="333399"/>
              <w:right w:val="single" w:sz="4" w:space="0" w:color="333399"/>
            </w:tcBorders>
            <w:shd w:val="clear" w:color="auto" w:fill="auto"/>
            <w:vAlign w:val="center"/>
            <w:hideMark/>
          </w:tcPr>
          <w:p w14:paraId="52990585" w14:textId="77777777" w:rsidR="0087134D" w:rsidRPr="00A83C94" w:rsidRDefault="0087134D" w:rsidP="00383BAD">
            <w:pPr>
              <w:spacing w:before="0" w:line="240" w:lineRule="auto"/>
              <w:ind w:firstLine="0"/>
              <w:jc w:val="center"/>
              <w:rPr>
                <w:b w:val="0"/>
                <w:bCs/>
                <w:color w:val="000000"/>
              </w:rPr>
            </w:pPr>
            <w:r w:rsidRPr="00A83C94">
              <w:rPr>
                <w:b w:val="0"/>
                <w:bCs/>
                <w:color w:val="000000"/>
              </w:rPr>
              <w:t>-22.4</w:t>
            </w:r>
          </w:p>
        </w:tc>
      </w:tr>
    </w:tbl>
    <w:p w14:paraId="601A155E" w14:textId="77777777" w:rsidR="0087134D" w:rsidRPr="00A83C94" w:rsidRDefault="0087134D" w:rsidP="0087134D">
      <w:pPr>
        <w:spacing w:after="120" w:line="276" w:lineRule="auto"/>
        <w:ind w:firstLine="720"/>
        <w:rPr>
          <w:rFonts w:cs="Sylfaen"/>
          <w:b w:val="0"/>
          <w:lang w:val="hy-AM"/>
        </w:rPr>
      </w:pPr>
    </w:p>
    <w:p w14:paraId="63B2A0F2" w14:textId="77777777" w:rsidR="0087134D" w:rsidRPr="00A83C94" w:rsidRDefault="0087134D" w:rsidP="0087134D">
      <w:pPr>
        <w:spacing w:after="120" w:line="276" w:lineRule="auto"/>
        <w:ind w:firstLine="720"/>
        <w:rPr>
          <w:rFonts w:cs="Sylfaen"/>
          <w:b w:val="0"/>
          <w:lang w:val="hy-AM"/>
        </w:rPr>
      </w:pPr>
      <w:r w:rsidRPr="00A83C94">
        <w:rPr>
          <w:rFonts w:cs="Sylfaen"/>
          <w:b w:val="0"/>
          <w:lang w:val="hy-AM"/>
        </w:rPr>
        <w:t xml:space="preserve">Աղյուսակ 21-ում ցույց են տրված գնահատված լրացուցիչ ռիսկերը, որոնք կհանգեցնեն լրացուցիչ ֆինանսավորման պահանջի առաջացման: Ակնհայտորեն երևում է, որ գնաճի տատանումների հետևանքով կնվազի նախատեսված ֆինանսավորման պահանջը և համապատասխանաբար կփոփոխվեն նաև պետական բյուջեի ծախսերը` նվազման ուղղությամբ: </w:t>
      </w:r>
    </w:p>
    <w:p w14:paraId="56D55009" w14:textId="77777777" w:rsidR="0087134D" w:rsidRPr="00A83C94" w:rsidRDefault="0087134D" w:rsidP="0087134D">
      <w:pPr>
        <w:spacing w:after="120" w:line="276" w:lineRule="auto"/>
        <w:ind w:firstLine="720"/>
        <w:rPr>
          <w:b w:val="0"/>
          <w:lang w:val="hy-AM"/>
        </w:rPr>
      </w:pPr>
      <w:r w:rsidRPr="00A83C94">
        <w:rPr>
          <w:rFonts w:cs="Sylfaen"/>
          <w:b w:val="0"/>
          <w:lang w:val="hy-AM"/>
        </w:rPr>
        <w:t xml:space="preserve">Հաշվի առնելով մակրոտնտեսական ցուցանիշների կանխատեսվող մակարդակից վերոնշյալ հնարավոր շեղումների ռիսկերի գնահատականները` ՀՀ պետական բյուջեի եկամուտների հավաքագրման և ծախսերի կատարման տեսանկյունից 2022 թվականին ՀՀ պետական բյուջեի դեֆիցիտի լրացուցիչ ֆինանսավորման պահանջը կկազմի շուրջ 22.4 մլրդ ՀՀ դրամ կամ ՀՆԱ-ի 0.3%-ը: </w:t>
      </w:r>
    </w:p>
    <w:p w14:paraId="506C473B" w14:textId="77777777" w:rsidR="0087134D" w:rsidRPr="00A83C94" w:rsidRDefault="0087134D" w:rsidP="0087134D">
      <w:pPr>
        <w:spacing w:before="0" w:line="240" w:lineRule="auto"/>
        <w:ind w:firstLine="0"/>
        <w:contextualSpacing w:val="0"/>
        <w:jc w:val="left"/>
        <w:rPr>
          <w:rFonts w:eastAsia="Calibri"/>
          <w:b w:val="0"/>
          <w:szCs w:val="22"/>
          <w:lang w:val="hy-AM" w:eastAsia="en-US"/>
        </w:rPr>
      </w:pPr>
      <w:r w:rsidRPr="00A83C94">
        <w:rPr>
          <w:rFonts w:eastAsia="Calibri"/>
          <w:b w:val="0"/>
          <w:szCs w:val="22"/>
          <w:lang w:val="hy-AM" w:eastAsia="en-US"/>
        </w:rPr>
        <w:br w:type="page"/>
      </w:r>
    </w:p>
    <w:p w14:paraId="64F573BB" w14:textId="77777777" w:rsidR="0087134D" w:rsidRPr="00A83C94" w:rsidRDefault="0087134D" w:rsidP="0087134D">
      <w:pPr>
        <w:keepNext/>
        <w:keepLines/>
        <w:spacing w:before="0" w:line="312" w:lineRule="auto"/>
        <w:ind w:firstLine="0"/>
        <w:jc w:val="left"/>
        <w:outlineLvl w:val="2"/>
        <w:rPr>
          <w:szCs w:val="22"/>
          <w:lang w:val="hy-AM" w:eastAsia="en-US"/>
        </w:rPr>
      </w:pPr>
      <w:bookmarkStart w:id="359" w:name="_Toc83663900"/>
      <w:bookmarkStart w:id="360" w:name="_Toc83972893"/>
      <w:bookmarkStart w:id="361" w:name="_Toc89428347"/>
      <w:r w:rsidRPr="00A83C94">
        <w:rPr>
          <w:szCs w:val="22"/>
          <w:lang w:val="hy-AM" w:eastAsia="en-US"/>
        </w:rPr>
        <w:t>3. ԱՅԼ ԿԱՌՈՒՅՑՆԵՐԻ ԿՈՂՄԻՑ ՀՀ ՏՆՏԵՍԱԿԱՆ ԱՃԻ ԿԱՆԽԱՏԵՍՈՒՄՆԵՐԻ ՀԵՏ ՀԱՄԵՄԱՏԱԿԱՆ</w:t>
      </w:r>
      <w:bookmarkEnd w:id="359"/>
      <w:bookmarkEnd w:id="360"/>
      <w:bookmarkEnd w:id="361"/>
    </w:p>
    <w:p w14:paraId="3765A9D8" w14:textId="77777777" w:rsidR="0087134D" w:rsidRPr="00A83C94" w:rsidRDefault="0087134D" w:rsidP="0087134D">
      <w:pPr>
        <w:spacing w:before="40" w:after="60" w:line="276" w:lineRule="auto"/>
        <w:ind w:firstLine="360"/>
        <w:rPr>
          <w:rFonts w:cs="Sylfaen"/>
          <w:b w:val="0"/>
          <w:bCs/>
          <w:szCs w:val="22"/>
          <w:lang w:val="hy-AM"/>
        </w:rPr>
      </w:pPr>
      <w:r w:rsidRPr="00A83C94">
        <w:rPr>
          <w:rFonts w:cs="Sylfaen"/>
          <w:bCs/>
          <w:szCs w:val="22"/>
          <w:u w:val="single"/>
          <w:lang w:val="hy-AM"/>
        </w:rPr>
        <w:t>Կանխատեսումներ։</w:t>
      </w:r>
      <w:r w:rsidRPr="00A83C94">
        <w:rPr>
          <w:rFonts w:cs="Sylfaen"/>
          <w:bCs/>
          <w:szCs w:val="22"/>
          <w:lang w:val="hy-AM"/>
        </w:rPr>
        <w:t xml:space="preserve"> </w:t>
      </w:r>
      <w:r w:rsidRPr="00A83C94">
        <w:rPr>
          <w:rFonts w:cs="Sylfaen"/>
          <w:b w:val="0"/>
          <w:bCs/>
          <w:szCs w:val="22"/>
          <w:lang w:val="hy-AM"/>
        </w:rPr>
        <w:t>Աղյուսակ 23-ում ներկայացված է ՀՀ ֆինանսների նախարարության և այլ կառույցների կողմից ՀՀ տնտեսական աճի 2021-2022թթ. կանխատեսումների համեմատականը: Նշված կառույցներից մի մասի կողմից 2021թ. ՀՀ տնտեսական աճի կանխատեսումները տարվա ընթացքում վերանայվել են աճի ուղղությամբ: Այսպես` ՀՀ կենտրոնական բանկը, Ֆիթչ վարկանիշային կազմակերպությունը և Արժույթի միջազգային հիմնադրամը 2021թ. ՀՆԱ կանխատեսվող ցուցանիշը սեպտեմբեր ամսին բարձրացրել են 0.8-5.5 տոկոսային կետով՝ կանխատեսելով համապատասխանաբար 5.4%, 5</w:t>
      </w:r>
      <w:r w:rsidRPr="00A83C94">
        <w:rPr>
          <w:rFonts w:ascii="Cambria Math" w:hAnsi="Cambria Math" w:cs="Cambria Math"/>
          <w:b w:val="0"/>
          <w:bCs/>
          <w:szCs w:val="22"/>
          <w:lang w:val="hy-AM"/>
        </w:rPr>
        <w:t>․</w:t>
      </w:r>
      <w:r w:rsidRPr="00A83C94">
        <w:rPr>
          <w:rFonts w:cs="Sylfaen"/>
          <w:b w:val="0"/>
          <w:bCs/>
          <w:szCs w:val="22"/>
          <w:lang w:val="hy-AM"/>
        </w:rPr>
        <w:t>5% և 6</w:t>
      </w:r>
      <w:r w:rsidRPr="00A83C94">
        <w:rPr>
          <w:rFonts w:ascii="Cambria Math" w:hAnsi="Cambria Math" w:cs="Cambria Math"/>
          <w:b w:val="0"/>
          <w:bCs/>
          <w:szCs w:val="22"/>
          <w:lang w:val="hy-AM"/>
        </w:rPr>
        <w:t>․</w:t>
      </w:r>
      <w:r w:rsidRPr="00A83C94">
        <w:rPr>
          <w:rFonts w:cs="Sylfaen"/>
          <w:b w:val="0"/>
          <w:bCs/>
          <w:szCs w:val="22"/>
          <w:lang w:val="hy-AM"/>
        </w:rPr>
        <w:t>5% տնտեսական աճ: Համաշխարհային բանկը հունիսին ևս վերանայել է իր կանխատեսումները դեպի վերև՝ կանխատեսելով 3</w:t>
      </w:r>
      <w:r w:rsidRPr="00A83C94">
        <w:rPr>
          <w:rFonts w:ascii="Cambria Math" w:hAnsi="Cambria Math" w:cs="Cambria Math"/>
          <w:b w:val="0"/>
          <w:bCs/>
          <w:szCs w:val="22"/>
          <w:lang w:val="hy-AM"/>
        </w:rPr>
        <w:t>․</w:t>
      </w:r>
      <w:r w:rsidRPr="00A83C94">
        <w:rPr>
          <w:rFonts w:cs="Sylfaen"/>
          <w:b w:val="0"/>
          <w:bCs/>
          <w:szCs w:val="22"/>
          <w:lang w:val="hy-AM"/>
        </w:rPr>
        <w:t xml:space="preserve">4% </w:t>
      </w:r>
      <w:r w:rsidRPr="00A83C94">
        <w:rPr>
          <w:rFonts w:cs="GHEA Grapalat"/>
          <w:b w:val="0"/>
          <w:bCs/>
          <w:szCs w:val="22"/>
          <w:lang w:val="hy-AM"/>
        </w:rPr>
        <w:t>տնտեսական</w:t>
      </w:r>
      <w:r w:rsidRPr="00A83C94">
        <w:rPr>
          <w:rFonts w:cs="Sylfaen"/>
          <w:b w:val="0"/>
          <w:bCs/>
          <w:szCs w:val="22"/>
          <w:lang w:val="hy-AM"/>
        </w:rPr>
        <w:t xml:space="preserve"> </w:t>
      </w:r>
      <w:r w:rsidRPr="00A83C94">
        <w:rPr>
          <w:rFonts w:cs="GHEA Grapalat"/>
          <w:b w:val="0"/>
          <w:bCs/>
          <w:szCs w:val="22"/>
          <w:lang w:val="hy-AM"/>
        </w:rPr>
        <w:t>աճ</w:t>
      </w:r>
      <w:r w:rsidRPr="00A83C94">
        <w:rPr>
          <w:rFonts w:cs="Sylfaen"/>
          <w:b w:val="0"/>
          <w:bCs/>
          <w:szCs w:val="22"/>
          <w:lang w:val="hy-AM"/>
        </w:rPr>
        <w:t>: Ըստ Մուդիս վարկանիշային կազմակերպության օգոստոս ամսվա կանխատեսումների՝ 2021թ. սպասվում է 4.5% տնտեսական աճ: 2021թ. ՀՀ տնտեսական աճի ավելի բարձր կանխատեսումները պայմանավորված են ինչպես ՀՀ, այնպես էլ աշխարհի տնտեսությունների վերջին զարգացումներով:</w:t>
      </w:r>
    </w:p>
    <w:p w14:paraId="5231A64C" w14:textId="4D21515E" w:rsidR="0087134D" w:rsidRPr="00A83C94" w:rsidRDefault="0087134D" w:rsidP="0087134D">
      <w:pPr>
        <w:pStyle w:val="Caption"/>
        <w:rPr>
          <w:rFonts w:cs="Sylfaen"/>
          <w:bCs w:val="0"/>
          <w:i/>
          <w:color w:val="auto"/>
          <w:sz w:val="20"/>
          <w:szCs w:val="20"/>
          <w:lang w:val="hy-AM"/>
        </w:rPr>
      </w:pPr>
      <w:bookmarkStart w:id="362" w:name="_Toc83928958"/>
      <w:bookmarkStart w:id="363" w:name="_Toc89428782"/>
      <w:r w:rsidRPr="008B1D49">
        <w:rPr>
          <w:lang w:val="hy-AM"/>
        </w:rPr>
        <w:t xml:space="preserve">Աղյուսակ </w:t>
      </w:r>
      <w:r>
        <w:fldChar w:fldCharType="begin"/>
      </w:r>
      <w:r w:rsidRPr="008B1D49">
        <w:rPr>
          <w:lang w:val="hy-AM"/>
        </w:rPr>
        <w:instrText xml:space="preserve"> SEQ Աղյուսակ \* ARABIC </w:instrText>
      </w:r>
      <w:r>
        <w:fldChar w:fldCharType="separate"/>
      </w:r>
      <w:r w:rsidR="00A10D4F">
        <w:rPr>
          <w:noProof/>
          <w:lang w:val="hy-AM"/>
        </w:rPr>
        <w:t>22</w:t>
      </w:r>
      <w:r>
        <w:fldChar w:fldCharType="end"/>
      </w:r>
      <w:r w:rsidRPr="00A83C94">
        <w:rPr>
          <w:lang w:val="hy-AM"/>
        </w:rPr>
        <w:t>.</w:t>
      </w:r>
      <w:r w:rsidRPr="00A83C94">
        <w:rPr>
          <w:color w:val="auto"/>
          <w:sz w:val="20"/>
          <w:szCs w:val="20"/>
          <w:lang w:val="hy-AM"/>
        </w:rPr>
        <w:t xml:space="preserve"> </w:t>
      </w:r>
      <w:r w:rsidRPr="00A83C94">
        <w:rPr>
          <w:rFonts w:eastAsia="Calibri"/>
          <w:i/>
          <w:sz w:val="20"/>
          <w:szCs w:val="20"/>
          <w:lang w:val="hy-AM" w:eastAsia="en-US"/>
        </w:rPr>
        <w:t>ՀՀ ՖՆ և այլ կառույցների կողմից ՀՀ տնտեսական աճի կանխատեսումները (%)</w:t>
      </w:r>
      <w:bookmarkEnd w:id="362"/>
      <w:bookmarkEnd w:id="363"/>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7"/>
        <w:gridCol w:w="1549"/>
        <w:gridCol w:w="1580"/>
      </w:tblGrid>
      <w:tr w:rsidR="0087134D" w:rsidRPr="00A83C94" w14:paraId="05E5797A" w14:textId="77777777" w:rsidTr="00383BAD">
        <w:trPr>
          <w:trHeight w:val="206"/>
          <w:jc w:val="center"/>
        </w:trPr>
        <w:tc>
          <w:tcPr>
            <w:tcW w:w="6377" w:type="dxa"/>
            <w:tcBorders>
              <w:top w:val="single" w:sz="4" w:space="0" w:color="auto"/>
              <w:left w:val="single" w:sz="4" w:space="0" w:color="auto"/>
              <w:bottom w:val="single" w:sz="4" w:space="0" w:color="auto"/>
              <w:right w:val="single" w:sz="4" w:space="0" w:color="auto"/>
            </w:tcBorders>
            <w:shd w:val="clear" w:color="auto" w:fill="4F81BD"/>
            <w:noWrap/>
            <w:vAlign w:val="center"/>
          </w:tcPr>
          <w:p w14:paraId="55C5A1DA" w14:textId="77777777" w:rsidR="0087134D" w:rsidRPr="00A83C94" w:rsidRDefault="0087134D" w:rsidP="00383BAD">
            <w:pPr>
              <w:spacing w:before="40" w:after="60" w:line="276" w:lineRule="auto"/>
              <w:ind w:right="111" w:firstLine="0"/>
              <w:contextualSpacing w:val="0"/>
              <w:jc w:val="left"/>
              <w:rPr>
                <w:rFonts w:cs="Calibri"/>
                <w:color w:val="000000"/>
                <w:sz w:val="18"/>
                <w:szCs w:val="18"/>
                <w:lang w:val="it-IT" w:eastAsia="en-US"/>
              </w:rPr>
            </w:pPr>
          </w:p>
        </w:tc>
        <w:tc>
          <w:tcPr>
            <w:tcW w:w="1549" w:type="dxa"/>
            <w:tcBorders>
              <w:top w:val="single" w:sz="4" w:space="0" w:color="auto"/>
              <w:left w:val="single" w:sz="4" w:space="0" w:color="auto"/>
              <w:bottom w:val="single" w:sz="4" w:space="0" w:color="auto"/>
              <w:right w:val="single" w:sz="4" w:space="0" w:color="auto"/>
            </w:tcBorders>
            <w:shd w:val="clear" w:color="auto" w:fill="4F81BD"/>
            <w:noWrap/>
            <w:vAlign w:val="bottom"/>
            <w:hideMark/>
          </w:tcPr>
          <w:p w14:paraId="19DF05C9" w14:textId="77777777" w:rsidR="0087134D" w:rsidRPr="00A83C94" w:rsidRDefault="0087134D" w:rsidP="00383BAD">
            <w:pPr>
              <w:spacing w:before="40" w:after="60" w:line="276" w:lineRule="auto"/>
              <w:ind w:right="111" w:firstLine="0"/>
              <w:contextualSpacing w:val="0"/>
              <w:jc w:val="center"/>
              <w:rPr>
                <w:rFonts w:cs="Calibri"/>
                <w:b w:val="0"/>
                <w:bCs/>
                <w:color w:val="000000"/>
                <w:sz w:val="18"/>
                <w:szCs w:val="18"/>
                <w:lang w:val="hy-AM" w:eastAsia="en-US"/>
              </w:rPr>
            </w:pPr>
            <w:r w:rsidRPr="00A83C94">
              <w:rPr>
                <w:rFonts w:cs="Calibri"/>
                <w:b w:val="0"/>
                <w:bCs/>
                <w:color w:val="000000"/>
                <w:sz w:val="18"/>
                <w:szCs w:val="18"/>
                <w:lang w:val="hy-AM" w:eastAsia="en-US"/>
              </w:rPr>
              <w:t>2021</w:t>
            </w:r>
          </w:p>
        </w:tc>
        <w:tc>
          <w:tcPr>
            <w:tcW w:w="1580" w:type="dxa"/>
            <w:tcBorders>
              <w:top w:val="single" w:sz="4" w:space="0" w:color="auto"/>
              <w:left w:val="single" w:sz="4" w:space="0" w:color="auto"/>
              <w:bottom w:val="single" w:sz="4" w:space="0" w:color="auto"/>
              <w:right w:val="single" w:sz="4" w:space="0" w:color="auto"/>
            </w:tcBorders>
            <w:shd w:val="clear" w:color="auto" w:fill="4F81BD"/>
            <w:noWrap/>
            <w:vAlign w:val="center"/>
            <w:hideMark/>
          </w:tcPr>
          <w:p w14:paraId="1BED9E7A" w14:textId="77777777" w:rsidR="0087134D" w:rsidRPr="00A83C94" w:rsidRDefault="0087134D" w:rsidP="00383BAD">
            <w:pPr>
              <w:spacing w:before="40" w:after="60" w:line="276" w:lineRule="auto"/>
              <w:ind w:right="111" w:firstLine="0"/>
              <w:contextualSpacing w:val="0"/>
              <w:jc w:val="center"/>
              <w:rPr>
                <w:rFonts w:cs="Calibri"/>
                <w:b w:val="0"/>
                <w:bCs/>
                <w:color w:val="000000"/>
                <w:sz w:val="18"/>
                <w:szCs w:val="18"/>
                <w:lang w:val="hy-AM" w:eastAsia="en-US"/>
              </w:rPr>
            </w:pPr>
            <w:r w:rsidRPr="00A83C94">
              <w:rPr>
                <w:rFonts w:cs="Calibri"/>
                <w:b w:val="0"/>
                <w:bCs/>
                <w:color w:val="000000"/>
                <w:sz w:val="18"/>
                <w:szCs w:val="18"/>
                <w:lang w:val="hy-AM" w:eastAsia="en-US"/>
              </w:rPr>
              <w:t>2022</w:t>
            </w:r>
          </w:p>
        </w:tc>
      </w:tr>
      <w:tr w:rsidR="0087134D" w:rsidRPr="00A83C94" w14:paraId="28FC12D9" w14:textId="77777777" w:rsidTr="00383BAD">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71F7EA"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ֆինանսների նախարարություն</w:t>
            </w:r>
            <w:r w:rsidRPr="00A83C94">
              <w:rPr>
                <w:rFonts w:cs="Calibri"/>
                <w:b w:val="0"/>
                <w:color w:val="000000"/>
                <w:sz w:val="20"/>
                <w:szCs w:val="20"/>
                <w:lang w:val="en-US" w:eastAsia="en-US"/>
              </w:rPr>
              <w:t xml:space="preserve"> (2021 </w:t>
            </w:r>
            <w:r w:rsidRPr="00A83C94">
              <w:rPr>
                <w:rFonts w:cs="Calibri"/>
                <w:b w:val="0"/>
                <w:color w:val="000000"/>
                <w:sz w:val="20"/>
                <w:szCs w:val="20"/>
                <w:lang w:val="hy-AM" w:eastAsia="en-US"/>
              </w:rPr>
              <w:t>սեպտեմբեր</w:t>
            </w:r>
            <w:r w:rsidRPr="00A83C94">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6240A77E" w14:textId="77777777" w:rsidR="0087134D" w:rsidRPr="00A83C94" w:rsidRDefault="0087134D" w:rsidP="00383BAD">
            <w:pPr>
              <w:spacing w:before="0" w:line="276" w:lineRule="auto"/>
              <w:ind w:right="111" w:firstLine="0"/>
              <w:contextualSpacing w:val="0"/>
              <w:jc w:val="center"/>
              <w:rPr>
                <w:rFonts w:cs="Calibri"/>
                <w:color w:val="000000"/>
                <w:sz w:val="20"/>
                <w:szCs w:val="20"/>
                <w:lang w:val="hy-AM" w:eastAsia="en-US"/>
              </w:rPr>
            </w:pPr>
            <w:r w:rsidRPr="00A83C94">
              <w:rPr>
                <w:rFonts w:cs="Calibri"/>
                <w:b w:val="0"/>
                <w:color w:val="000000"/>
                <w:sz w:val="20"/>
                <w:szCs w:val="20"/>
                <w:lang w:val="hy-AM" w:eastAsia="en-US"/>
              </w:rPr>
              <w:t>6.5</w:t>
            </w:r>
          </w:p>
        </w:tc>
        <w:tc>
          <w:tcPr>
            <w:tcW w:w="1580" w:type="dxa"/>
            <w:tcBorders>
              <w:top w:val="single" w:sz="4" w:space="0" w:color="auto"/>
              <w:left w:val="single" w:sz="4" w:space="0" w:color="auto"/>
              <w:bottom w:val="single" w:sz="4" w:space="0" w:color="auto"/>
              <w:right w:val="single" w:sz="4" w:space="0" w:color="auto"/>
            </w:tcBorders>
            <w:noWrap/>
            <w:vAlign w:val="center"/>
          </w:tcPr>
          <w:p w14:paraId="656684A8"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7</w:t>
            </w:r>
            <w:r w:rsidRPr="00A83C94">
              <w:rPr>
                <w:rFonts w:cs="Calibri"/>
                <w:b w:val="0"/>
                <w:color w:val="000000"/>
                <w:sz w:val="20"/>
                <w:szCs w:val="20"/>
                <w:lang w:val="hy-AM" w:eastAsia="en-US"/>
              </w:rPr>
              <w:t>.</w:t>
            </w:r>
            <w:r w:rsidRPr="00A83C94">
              <w:rPr>
                <w:rFonts w:cs="Calibri"/>
                <w:b w:val="0"/>
                <w:color w:val="000000"/>
                <w:sz w:val="20"/>
                <w:szCs w:val="20"/>
                <w:lang w:val="en-US" w:eastAsia="en-US"/>
              </w:rPr>
              <w:t>0</w:t>
            </w:r>
          </w:p>
        </w:tc>
      </w:tr>
      <w:tr w:rsidR="0087134D" w:rsidRPr="00A83C94" w14:paraId="74690DD5" w14:textId="77777777" w:rsidTr="00383BAD">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96BE54C"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 xml:space="preserve">ՀՀ ֆինանսների նախարարություն (2021 </w:t>
            </w:r>
            <w:r w:rsidRPr="00A83C94">
              <w:rPr>
                <w:rFonts w:cs="Calibri"/>
                <w:b w:val="0"/>
                <w:color w:val="000000"/>
                <w:sz w:val="20"/>
                <w:szCs w:val="20"/>
                <w:lang w:val="en-US" w:eastAsia="en-US"/>
              </w:rPr>
              <w:t>հուլիս</w:t>
            </w:r>
            <w:r w:rsidRPr="00A83C94">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6B4885F9"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6.0</w:t>
            </w:r>
          </w:p>
        </w:tc>
        <w:tc>
          <w:tcPr>
            <w:tcW w:w="1580" w:type="dxa"/>
            <w:tcBorders>
              <w:top w:val="single" w:sz="4" w:space="0" w:color="auto"/>
              <w:left w:val="single" w:sz="4" w:space="0" w:color="auto"/>
              <w:bottom w:val="single" w:sz="4" w:space="0" w:color="auto"/>
              <w:right w:val="single" w:sz="4" w:space="0" w:color="auto"/>
            </w:tcBorders>
            <w:noWrap/>
            <w:vAlign w:val="center"/>
          </w:tcPr>
          <w:p w14:paraId="58489AD7"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5.2</w:t>
            </w:r>
          </w:p>
        </w:tc>
      </w:tr>
      <w:tr w:rsidR="0087134D" w:rsidRPr="00A83C94" w14:paraId="5965A5A0" w14:textId="77777777" w:rsidTr="00383BAD">
        <w:trPr>
          <w:trHeight w:val="20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D449B83" w14:textId="77777777" w:rsidR="0087134D" w:rsidRPr="00A83C94" w:rsidRDefault="0087134D" w:rsidP="00383BAD">
            <w:pPr>
              <w:spacing w:before="0" w:line="240" w:lineRule="auto"/>
              <w:ind w:right="115" w:firstLine="0"/>
              <w:contextualSpacing w:val="0"/>
              <w:jc w:val="left"/>
              <w:rPr>
                <w:rFonts w:cs="Calibri"/>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4C0EE999"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732479E8"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p>
        </w:tc>
      </w:tr>
      <w:tr w:rsidR="0087134D" w:rsidRPr="00A83C94" w14:paraId="419B508E" w14:textId="77777777" w:rsidTr="00383BAD">
        <w:trPr>
          <w:trHeight w:val="251"/>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B8FDE24"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կենտրոնական բանկ (2021 սեպտեմբեր)</w:t>
            </w:r>
          </w:p>
        </w:tc>
        <w:tc>
          <w:tcPr>
            <w:tcW w:w="1549" w:type="dxa"/>
            <w:tcBorders>
              <w:top w:val="single" w:sz="4" w:space="0" w:color="auto"/>
              <w:left w:val="single" w:sz="4" w:space="0" w:color="auto"/>
              <w:bottom w:val="single" w:sz="4" w:space="0" w:color="auto"/>
              <w:right w:val="single" w:sz="4" w:space="0" w:color="auto"/>
            </w:tcBorders>
            <w:noWrap/>
            <w:vAlign w:val="center"/>
          </w:tcPr>
          <w:p w14:paraId="4949DDF3"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5.4</w:t>
            </w:r>
          </w:p>
        </w:tc>
        <w:tc>
          <w:tcPr>
            <w:tcW w:w="1580" w:type="dxa"/>
            <w:tcBorders>
              <w:top w:val="single" w:sz="4" w:space="0" w:color="auto"/>
              <w:left w:val="single" w:sz="4" w:space="0" w:color="auto"/>
              <w:bottom w:val="single" w:sz="4" w:space="0" w:color="auto"/>
              <w:right w:val="single" w:sz="4" w:space="0" w:color="auto"/>
            </w:tcBorders>
            <w:noWrap/>
            <w:vAlign w:val="center"/>
          </w:tcPr>
          <w:p w14:paraId="31D48912"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w:t>
            </w:r>
          </w:p>
        </w:tc>
      </w:tr>
      <w:tr w:rsidR="0087134D" w:rsidRPr="00A83C94" w14:paraId="599C4492" w14:textId="77777777" w:rsidTr="00383BAD">
        <w:trPr>
          <w:trHeight w:val="372"/>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E6E2954"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ՀՀ կենտրոնական բանկ (2021 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14:paraId="6334823C"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4.6</w:t>
            </w:r>
          </w:p>
        </w:tc>
        <w:tc>
          <w:tcPr>
            <w:tcW w:w="1580" w:type="dxa"/>
            <w:tcBorders>
              <w:top w:val="single" w:sz="4" w:space="0" w:color="auto"/>
              <w:left w:val="single" w:sz="4" w:space="0" w:color="auto"/>
              <w:bottom w:val="single" w:sz="4" w:space="0" w:color="auto"/>
              <w:right w:val="single" w:sz="4" w:space="0" w:color="auto"/>
            </w:tcBorders>
            <w:noWrap/>
            <w:vAlign w:val="center"/>
          </w:tcPr>
          <w:p w14:paraId="70752869"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2.8</w:t>
            </w:r>
          </w:p>
        </w:tc>
      </w:tr>
      <w:tr w:rsidR="0087134D" w:rsidRPr="00A83C94" w14:paraId="528310DF"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FF7BC4" w14:textId="77777777" w:rsidR="0087134D" w:rsidRPr="00A83C94" w:rsidRDefault="0087134D" w:rsidP="00383BAD">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163BE92B"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136CDDBB"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0C23E3A4"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92B0EDC" w14:textId="77777777" w:rsidR="0087134D" w:rsidRPr="00A83C94" w:rsidRDefault="0087134D" w:rsidP="00383BAD">
            <w:pPr>
              <w:spacing w:before="0" w:line="240" w:lineRule="auto"/>
              <w:ind w:right="115" w:firstLine="0"/>
              <w:contextualSpacing w:val="0"/>
              <w:jc w:val="left"/>
              <w:rPr>
                <w:rFonts w:cs="Calibri"/>
                <w:b w:val="0"/>
                <w:bCs/>
                <w:color w:val="000000"/>
                <w:sz w:val="20"/>
                <w:szCs w:val="20"/>
                <w:lang w:val="hy-AM" w:eastAsia="en-US"/>
              </w:rPr>
            </w:pPr>
            <w:r w:rsidRPr="00A83C94">
              <w:rPr>
                <w:rFonts w:cs="Calibri"/>
                <w:b w:val="0"/>
                <w:color w:val="000000"/>
                <w:sz w:val="20"/>
                <w:szCs w:val="20"/>
                <w:lang w:val="hy-AM" w:eastAsia="en-US"/>
              </w:rPr>
              <w:t>Արժույթի միջազգային հիմնադրամ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սեպտեմբեր)</w:t>
            </w:r>
          </w:p>
        </w:tc>
        <w:tc>
          <w:tcPr>
            <w:tcW w:w="1549" w:type="dxa"/>
            <w:tcBorders>
              <w:top w:val="single" w:sz="4" w:space="0" w:color="auto"/>
              <w:left w:val="single" w:sz="4" w:space="0" w:color="auto"/>
              <w:bottom w:val="single" w:sz="4" w:space="0" w:color="auto"/>
              <w:right w:val="single" w:sz="4" w:space="0" w:color="auto"/>
            </w:tcBorders>
            <w:noWrap/>
            <w:vAlign w:val="center"/>
          </w:tcPr>
          <w:p w14:paraId="53E5CB36"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6.5</w:t>
            </w:r>
          </w:p>
        </w:tc>
        <w:tc>
          <w:tcPr>
            <w:tcW w:w="1580" w:type="dxa"/>
            <w:tcBorders>
              <w:top w:val="single" w:sz="4" w:space="0" w:color="auto"/>
              <w:left w:val="single" w:sz="4" w:space="0" w:color="auto"/>
              <w:bottom w:val="single" w:sz="4" w:space="0" w:color="auto"/>
              <w:right w:val="single" w:sz="4" w:space="0" w:color="auto"/>
            </w:tcBorders>
            <w:noWrap/>
            <w:vAlign w:val="center"/>
          </w:tcPr>
          <w:p w14:paraId="31B1C6C9"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4.5</w:t>
            </w:r>
          </w:p>
        </w:tc>
      </w:tr>
      <w:tr w:rsidR="0087134D" w:rsidRPr="00A83C94" w14:paraId="48021F71"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7E0BD27" w14:textId="77777777" w:rsidR="0087134D" w:rsidRPr="00A83C94" w:rsidRDefault="0087134D" w:rsidP="00383BAD">
            <w:pPr>
              <w:spacing w:before="0" w:line="240" w:lineRule="auto"/>
              <w:ind w:right="115" w:firstLine="0"/>
              <w:contextualSpacing w:val="0"/>
              <w:jc w:val="left"/>
              <w:rPr>
                <w:rFonts w:cs="Calibri"/>
                <w:b w:val="0"/>
                <w:color w:val="000000"/>
                <w:sz w:val="20"/>
                <w:szCs w:val="20"/>
                <w:lang w:val="en-US" w:eastAsia="en-US"/>
              </w:rPr>
            </w:pPr>
            <w:r w:rsidRPr="00A83C94">
              <w:rPr>
                <w:rFonts w:cs="Calibri"/>
                <w:b w:val="0"/>
                <w:color w:val="000000"/>
                <w:sz w:val="20"/>
                <w:szCs w:val="20"/>
                <w:lang w:val="hy-AM" w:eastAsia="en-US"/>
              </w:rPr>
              <w:t>Արժույթի միջազգային հիմնադրամ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ապրիլ)</w:t>
            </w:r>
          </w:p>
        </w:tc>
        <w:tc>
          <w:tcPr>
            <w:tcW w:w="1549" w:type="dxa"/>
            <w:tcBorders>
              <w:top w:val="single" w:sz="4" w:space="0" w:color="auto"/>
              <w:left w:val="single" w:sz="4" w:space="0" w:color="auto"/>
              <w:bottom w:val="single" w:sz="4" w:space="0" w:color="auto"/>
              <w:right w:val="single" w:sz="4" w:space="0" w:color="auto"/>
            </w:tcBorders>
            <w:noWrap/>
            <w:vAlign w:val="center"/>
          </w:tcPr>
          <w:p w14:paraId="63C5724F"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1.0</w:t>
            </w:r>
          </w:p>
        </w:tc>
        <w:tc>
          <w:tcPr>
            <w:tcW w:w="1580" w:type="dxa"/>
            <w:tcBorders>
              <w:top w:val="single" w:sz="4" w:space="0" w:color="auto"/>
              <w:left w:val="single" w:sz="4" w:space="0" w:color="auto"/>
              <w:bottom w:val="single" w:sz="4" w:space="0" w:color="auto"/>
              <w:right w:val="single" w:sz="4" w:space="0" w:color="auto"/>
            </w:tcBorders>
            <w:noWrap/>
            <w:vAlign w:val="center"/>
          </w:tcPr>
          <w:p w14:paraId="28BF252E"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3.5</w:t>
            </w:r>
          </w:p>
        </w:tc>
      </w:tr>
      <w:tr w:rsidR="0087134D" w:rsidRPr="00A83C94" w14:paraId="2A49FB7B"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7D01B4" w14:textId="77777777" w:rsidR="0087134D" w:rsidRPr="00A83C94" w:rsidRDefault="0087134D" w:rsidP="00383BAD">
            <w:pPr>
              <w:spacing w:before="0" w:line="240" w:lineRule="auto"/>
              <w:ind w:right="115" w:firstLine="0"/>
              <w:contextualSpacing w:val="0"/>
              <w:jc w:val="left"/>
              <w:rPr>
                <w:rFonts w:cs="Calibri"/>
                <w:b w:val="0"/>
                <w:color w:val="000000"/>
                <w:sz w:val="20"/>
                <w:szCs w:val="20"/>
                <w:lang w:val="en-US"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1AB70D17"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7B7DF5C2"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348F654F" w14:textId="77777777" w:rsidTr="00383BAD">
        <w:trPr>
          <w:trHeight w:val="156"/>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4155A7" w14:textId="77777777" w:rsidR="0087134D" w:rsidRPr="00A83C94" w:rsidRDefault="0087134D" w:rsidP="00383BAD">
            <w:pPr>
              <w:spacing w:before="0" w:line="240" w:lineRule="auto"/>
              <w:ind w:right="115" w:firstLine="0"/>
              <w:contextualSpacing w:val="0"/>
              <w:jc w:val="left"/>
              <w:rPr>
                <w:rFonts w:cs="Calibri"/>
                <w:color w:val="000000"/>
                <w:sz w:val="20"/>
                <w:szCs w:val="20"/>
                <w:lang w:val="hy-AM" w:eastAsia="en-US"/>
              </w:rPr>
            </w:pPr>
            <w:r w:rsidRPr="00A83C94">
              <w:rPr>
                <w:rFonts w:cs="Calibri"/>
                <w:b w:val="0"/>
                <w:color w:val="000000"/>
                <w:sz w:val="20"/>
                <w:szCs w:val="20"/>
                <w:lang w:val="en-US" w:eastAsia="en-US"/>
              </w:rPr>
              <w:t xml:space="preserve">Ֆիթչ (2021 </w:t>
            </w:r>
            <w:r w:rsidRPr="00A83C94">
              <w:rPr>
                <w:rFonts w:cs="Calibri"/>
                <w:b w:val="0"/>
                <w:color w:val="000000"/>
                <w:sz w:val="20"/>
                <w:szCs w:val="20"/>
                <w:lang w:val="hy-AM" w:eastAsia="en-US"/>
              </w:rPr>
              <w:t>սեպտեմբեր</w:t>
            </w:r>
            <w:r w:rsidRPr="00A83C94">
              <w:rPr>
                <w:rFonts w:cs="Calibri"/>
                <w:b w:val="0"/>
                <w:color w:val="000000"/>
                <w:sz w:val="20"/>
                <w:szCs w:val="20"/>
                <w:lang w:val="en-US"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2C7FDBCF"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5.5</w:t>
            </w:r>
          </w:p>
        </w:tc>
        <w:tc>
          <w:tcPr>
            <w:tcW w:w="1580" w:type="dxa"/>
            <w:tcBorders>
              <w:top w:val="single" w:sz="4" w:space="0" w:color="auto"/>
              <w:left w:val="single" w:sz="4" w:space="0" w:color="auto"/>
              <w:bottom w:val="single" w:sz="4" w:space="0" w:color="auto"/>
              <w:right w:val="single" w:sz="4" w:space="0" w:color="auto"/>
            </w:tcBorders>
            <w:noWrap/>
            <w:vAlign w:val="center"/>
          </w:tcPr>
          <w:p w14:paraId="40205CA8"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5.3</w:t>
            </w:r>
          </w:p>
        </w:tc>
      </w:tr>
      <w:tr w:rsidR="0087134D" w:rsidRPr="00A83C94" w14:paraId="445089F8"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C2E5E17"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r w:rsidRPr="00A83C94">
              <w:rPr>
                <w:rFonts w:cs="Calibri"/>
                <w:b w:val="0"/>
                <w:color w:val="000000"/>
                <w:sz w:val="20"/>
                <w:szCs w:val="20"/>
                <w:lang w:val="en-US" w:eastAsia="en-US"/>
              </w:rPr>
              <w:t>Ֆիթչ (2021 մարտ)</w:t>
            </w:r>
          </w:p>
        </w:tc>
        <w:tc>
          <w:tcPr>
            <w:tcW w:w="1549" w:type="dxa"/>
            <w:tcBorders>
              <w:top w:val="single" w:sz="4" w:space="0" w:color="auto"/>
              <w:left w:val="single" w:sz="4" w:space="0" w:color="auto"/>
              <w:bottom w:val="single" w:sz="4" w:space="0" w:color="auto"/>
              <w:right w:val="single" w:sz="4" w:space="0" w:color="auto"/>
            </w:tcBorders>
            <w:noWrap/>
            <w:vAlign w:val="center"/>
          </w:tcPr>
          <w:p w14:paraId="19DC82C2"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3.2</w:t>
            </w:r>
          </w:p>
        </w:tc>
        <w:tc>
          <w:tcPr>
            <w:tcW w:w="1580" w:type="dxa"/>
            <w:tcBorders>
              <w:top w:val="single" w:sz="4" w:space="0" w:color="auto"/>
              <w:left w:val="single" w:sz="4" w:space="0" w:color="auto"/>
              <w:bottom w:val="single" w:sz="4" w:space="0" w:color="auto"/>
              <w:right w:val="single" w:sz="4" w:space="0" w:color="auto"/>
            </w:tcBorders>
            <w:noWrap/>
            <w:vAlign w:val="center"/>
          </w:tcPr>
          <w:p w14:paraId="3B90FD41"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4.0</w:t>
            </w:r>
          </w:p>
        </w:tc>
      </w:tr>
      <w:tr w:rsidR="0087134D" w:rsidRPr="00A83C94" w14:paraId="3C06B144"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0C9C363"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37599411"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0292279F"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59E86A49"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7CB4183"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r w:rsidRPr="00A83C94">
              <w:rPr>
                <w:rFonts w:cs="Calibri"/>
                <w:b w:val="0"/>
                <w:color w:val="000000"/>
                <w:sz w:val="20"/>
                <w:szCs w:val="20"/>
                <w:lang w:val="hy-AM" w:eastAsia="en-US"/>
              </w:rPr>
              <w:t>Մուդիս (2021թ. օգոստոս)</w:t>
            </w:r>
          </w:p>
        </w:tc>
        <w:tc>
          <w:tcPr>
            <w:tcW w:w="1549" w:type="dxa"/>
            <w:tcBorders>
              <w:top w:val="single" w:sz="4" w:space="0" w:color="auto"/>
              <w:left w:val="single" w:sz="4" w:space="0" w:color="auto"/>
              <w:bottom w:val="single" w:sz="4" w:space="0" w:color="auto"/>
              <w:right w:val="single" w:sz="4" w:space="0" w:color="auto"/>
            </w:tcBorders>
            <w:noWrap/>
            <w:vAlign w:val="center"/>
          </w:tcPr>
          <w:p w14:paraId="7B9D3E30"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4.5</w:t>
            </w:r>
          </w:p>
        </w:tc>
        <w:tc>
          <w:tcPr>
            <w:tcW w:w="1580" w:type="dxa"/>
            <w:tcBorders>
              <w:top w:val="single" w:sz="4" w:space="0" w:color="auto"/>
              <w:left w:val="single" w:sz="4" w:space="0" w:color="auto"/>
              <w:bottom w:val="single" w:sz="4" w:space="0" w:color="auto"/>
              <w:right w:val="single" w:sz="4" w:space="0" w:color="auto"/>
            </w:tcBorders>
            <w:noWrap/>
            <w:vAlign w:val="center"/>
          </w:tcPr>
          <w:p w14:paraId="5A67C474"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r w:rsidRPr="00A83C94">
              <w:rPr>
                <w:rFonts w:cs="Calibri"/>
                <w:b w:val="0"/>
                <w:color w:val="000000"/>
                <w:sz w:val="20"/>
                <w:szCs w:val="20"/>
                <w:lang w:val="en-US" w:eastAsia="en-US"/>
              </w:rPr>
              <w:t>7.5</w:t>
            </w:r>
          </w:p>
        </w:tc>
      </w:tr>
      <w:tr w:rsidR="0087134D" w:rsidRPr="00A83C94" w14:paraId="1945C793"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424BAF" w14:textId="77777777" w:rsidR="0087134D" w:rsidRPr="00A83C94" w:rsidRDefault="0087134D" w:rsidP="00383BAD">
            <w:pPr>
              <w:spacing w:before="0" w:line="276" w:lineRule="auto"/>
              <w:ind w:right="111" w:firstLine="0"/>
              <w:contextualSpacing w:val="0"/>
              <w:jc w:val="left"/>
              <w:rPr>
                <w:rFonts w:cs="Calibri"/>
                <w:b w:val="0"/>
                <w:color w:val="000000"/>
                <w:sz w:val="20"/>
                <w:szCs w:val="20"/>
                <w:lang w:val="hy-AM" w:eastAsia="en-US"/>
              </w:rPr>
            </w:pPr>
          </w:p>
        </w:tc>
        <w:tc>
          <w:tcPr>
            <w:tcW w:w="1549" w:type="dxa"/>
            <w:tcBorders>
              <w:top w:val="single" w:sz="4" w:space="0" w:color="auto"/>
              <w:left w:val="single" w:sz="4" w:space="0" w:color="auto"/>
              <w:bottom w:val="single" w:sz="4" w:space="0" w:color="auto"/>
              <w:right w:val="single" w:sz="4" w:space="0" w:color="auto"/>
            </w:tcBorders>
            <w:noWrap/>
            <w:vAlign w:val="center"/>
          </w:tcPr>
          <w:p w14:paraId="3E5E5842"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c>
          <w:tcPr>
            <w:tcW w:w="1580" w:type="dxa"/>
            <w:tcBorders>
              <w:top w:val="single" w:sz="4" w:space="0" w:color="auto"/>
              <w:left w:val="single" w:sz="4" w:space="0" w:color="auto"/>
              <w:bottom w:val="single" w:sz="4" w:space="0" w:color="auto"/>
              <w:right w:val="single" w:sz="4" w:space="0" w:color="auto"/>
            </w:tcBorders>
            <w:noWrap/>
            <w:vAlign w:val="center"/>
          </w:tcPr>
          <w:p w14:paraId="446CB418" w14:textId="77777777" w:rsidR="0087134D" w:rsidRPr="00A83C94" w:rsidRDefault="0087134D" w:rsidP="00383BAD">
            <w:pPr>
              <w:spacing w:before="0" w:line="276" w:lineRule="auto"/>
              <w:ind w:right="111" w:firstLine="0"/>
              <w:contextualSpacing w:val="0"/>
              <w:jc w:val="center"/>
              <w:rPr>
                <w:rFonts w:cs="Calibri"/>
                <w:b w:val="0"/>
                <w:color w:val="000000"/>
                <w:sz w:val="20"/>
                <w:szCs w:val="20"/>
                <w:lang w:val="en-US" w:eastAsia="en-US"/>
              </w:rPr>
            </w:pPr>
          </w:p>
        </w:tc>
      </w:tr>
      <w:tr w:rsidR="0087134D" w:rsidRPr="00A83C94" w14:paraId="2F63C0A5" w14:textId="77777777" w:rsidTr="00383BAD">
        <w:trPr>
          <w:trHeight w:val="327"/>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506177D"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Համաշխարհային բանկ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հունիս)</w:t>
            </w:r>
          </w:p>
        </w:tc>
        <w:tc>
          <w:tcPr>
            <w:tcW w:w="1549" w:type="dxa"/>
            <w:tcBorders>
              <w:top w:val="single" w:sz="4" w:space="0" w:color="auto"/>
              <w:left w:val="single" w:sz="4" w:space="0" w:color="auto"/>
              <w:bottom w:val="single" w:sz="4" w:space="0" w:color="auto"/>
              <w:right w:val="single" w:sz="4" w:space="0" w:color="auto"/>
            </w:tcBorders>
            <w:noWrap/>
            <w:vAlign w:val="center"/>
          </w:tcPr>
          <w:p w14:paraId="75BFDC04"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3.4</w:t>
            </w:r>
          </w:p>
        </w:tc>
        <w:tc>
          <w:tcPr>
            <w:tcW w:w="1580" w:type="dxa"/>
            <w:tcBorders>
              <w:top w:val="single" w:sz="4" w:space="0" w:color="auto"/>
              <w:left w:val="single" w:sz="4" w:space="0" w:color="auto"/>
              <w:bottom w:val="single" w:sz="4" w:space="0" w:color="auto"/>
              <w:right w:val="single" w:sz="4" w:space="0" w:color="auto"/>
            </w:tcBorders>
            <w:noWrap/>
            <w:vAlign w:val="center"/>
          </w:tcPr>
          <w:p w14:paraId="5C687BD7"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4.3</w:t>
            </w:r>
          </w:p>
        </w:tc>
      </w:tr>
      <w:tr w:rsidR="0087134D" w:rsidRPr="00A83C94" w14:paraId="2022D4CB" w14:textId="77777777" w:rsidTr="00383BAD">
        <w:trPr>
          <w:trHeight w:val="268"/>
          <w:jc w:val="center"/>
        </w:trPr>
        <w:tc>
          <w:tcPr>
            <w:tcW w:w="637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0E2561B" w14:textId="77777777" w:rsidR="0087134D" w:rsidRPr="00A83C94" w:rsidRDefault="0087134D" w:rsidP="00383BAD">
            <w:pPr>
              <w:spacing w:before="0" w:line="276" w:lineRule="auto"/>
              <w:ind w:right="111" w:firstLine="0"/>
              <w:contextualSpacing w:val="0"/>
              <w:jc w:val="left"/>
              <w:rPr>
                <w:rFonts w:cs="Calibri"/>
                <w:color w:val="000000"/>
                <w:sz w:val="20"/>
                <w:szCs w:val="20"/>
                <w:lang w:val="hy-AM" w:eastAsia="en-US"/>
              </w:rPr>
            </w:pPr>
            <w:r w:rsidRPr="00A83C94">
              <w:rPr>
                <w:rFonts w:cs="Calibri"/>
                <w:b w:val="0"/>
                <w:color w:val="000000"/>
                <w:sz w:val="20"/>
                <w:szCs w:val="20"/>
                <w:lang w:val="hy-AM" w:eastAsia="en-US"/>
              </w:rPr>
              <w:t>Համաշխարհային բանկ (</w:t>
            </w:r>
            <w:r w:rsidRPr="00A83C94">
              <w:rPr>
                <w:rFonts w:cs="Calibri"/>
                <w:b w:val="0"/>
                <w:color w:val="000000"/>
                <w:sz w:val="20"/>
                <w:szCs w:val="20"/>
                <w:lang w:val="en-US" w:eastAsia="en-US"/>
              </w:rPr>
              <w:t xml:space="preserve">2021 </w:t>
            </w:r>
            <w:r w:rsidRPr="00A83C94">
              <w:rPr>
                <w:rFonts w:cs="Calibri"/>
                <w:b w:val="0"/>
                <w:color w:val="000000"/>
                <w:sz w:val="20"/>
                <w:szCs w:val="20"/>
                <w:lang w:val="hy-AM" w:eastAsia="en-US"/>
              </w:rPr>
              <w:t>հուն</w:t>
            </w:r>
            <w:r w:rsidRPr="00A83C94">
              <w:rPr>
                <w:rFonts w:cs="Calibri"/>
                <w:b w:val="0"/>
                <w:color w:val="000000"/>
                <w:sz w:val="20"/>
                <w:szCs w:val="20"/>
                <w:lang w:val="en-US" w:eastAsia="en-US"/>
              </w:rPr>
              <w:t>վար</w:t>
            </w:r>
            <w:r w:rsidRPr="00A83C94">
              <w:rPr>
                <w:rFonts w:cs="Calibri"/>
                <w:b w:val="0"/>
                <w:color w:val="000000"/>
                <w:sz w:val="20"/>
                <w:szCs w:val="20"/>
                <w:lang w:val="hy-AM" w:eastAsia="en-US"/>
              </w:rPr>
              <w:t>)</w:t>
            </w:r>
          </w:p>
        </w:tc>
        <w:tc>
          <w:tcPr>
            <w:tcW w:w="1549" w:type="dxa"/>
            <w:tcBorders>
              <w:top w:val="single" w:sz="4" w:space="0" w:color="auto"/>
              <w:left w:val="single" w:sz="4" w:space="0" w:color="auto"/>
              <w:bottom w:val="single" w:sz="4" w:space="0" w:color="auto"/>
              <w:right w:val="single" w:sz="4" w:space="0" w:color="auto"/>
            </w:tcBorders>
            <w:noWrap/>
            <w:vAlign w:val="center"/>
          </w:tcPr>
          <w:p w14:paraId="260E0D52" w14:textId="77777777" w:rsidR="0087134D" w:rsidRPr="00A83C94" w:rsidRDefault="0087134D" w:rsidP="00383BAD">
            <w:pPr>
              <w:spacing w:before="0" w:line="276" w:lineRule="auto"/>
              <w:ind w:right="111" w:firstLine="0"/>
              <w:contextualSpacing w:val="0"/>
              <w:jc w:val="center"/>
              <w:rPr>
                <w:rFonts w:cs="Calibri"/>
                <w:color w:val="000000"/>
                <w:sz w:val="20"/>
                <w:szCs w:val="20"/>
                <w:lang w:val="hy-AM" w:eastAsia="en-US"/>
              </w:rPr>
            </w:pPr>
            <w:r w:rsidRPr="00A83C94">
              <w:rPr>
                <w:rFonts w:cs="Calibri"/>
                <w:b w:val="0"/>
                <w:color w:val="000000"/>
                <w:sz w:val="20"/>
                <w:szCs w:val="20"/>
                <w:lang w:val="en-US" w:eastAsia="en-US"/>
              </w:rPr>
              <w:t>3.1</w:t>
            </w:r>
          </w:p>
        </w:tc>
        <w:tc>
          <w:tcPr>
            <w:tcW w:w="1580" w:type="dxa"/>
            <w:tcBorders>
              <w:top w:val="single" w:sz="4" w:space="0" w:color="auto"/>
              <w:left w:val="single" w:sz="4" w:space="0" w:color="auto"/>
              <w:bottom w:val="single" w:sz="4" w:space="0" w:color="auto"/>
              <w:right w:val="single" w:sz="4" w:space="0" w:color="auto"/>
            </w:tcBorders>
            <w:noWrap/>
            <w:vAlign w:val="center"/>
          </w:tcPr>
          <w:p w14:paraId="0421CF85" w14:textId="77777777" w:rsidR="0087134D" w:rsidRPr="00A83C94" w:rsidRDefault="0087134D" w:rsidP="00383BAD">
            <w:pPr>
              <w:spacing w:before="0" w:line="276" w:lineRule="auto"/>
              <w:ind w:right="111" w:firstLine="0"/>
              <w:contextualSpacing w:val="0"/>
              <w:jc w:val="center"/>
              <w:rPr>
                <w:rFonts w:cs="Calibri"/>
                <w:color w:val="000000"/>
                <w:sz w:val="20"/>
                <w:szCs w:val="20"/>
                <w:lang w:val="en-US" w:eastAsia="en-US"/>
              </w:rPr>
            </w:pPr>
            <w:r w:rsidRPr="00A83C94">
              <w:rPr>
                <w:rFonts w:cs="Calibri"/>
                <w:b w:val="0"/>
                <w:color w:val="000000"/>
                <w:sz w:val="20"/>
                <w:szCs w:val="20"/>
                <w:lang w:val="en-US" w:eastAsia="en-US"/>
              </w:rPr>
              <w:t>4.5</w:t>
            </w:r>
          </w:p>
        </w:tc>
      </w:tr>
    </w:tbl>
    <w:p w14:paraId="734A416A" w14:textId="77777777" w:rsidR="0087134D" w:rsidRPr="00A83C94" w:rsidRDefault="0087134D" w:rsidP="0087134D">
      <w:pPr>
        <w:spacing w:before="40" w:after="60" w:line="480" w:lineRule="auto"/>
        <w:ind w:right="115" w:firstLine="0"/>
        <w:rPr>
          <w:b w:val="0"/>
          <w:bCs/>
          <w:color w:val="1F497D"/>
          <w:sz w:val="28"/>
          <w:szCs w:val="28"/>
        </w:rPr>
      </w:pPr>
      <w:r w:rsidRPr="00A83C94">
        <w:rPr>
          <w:b w:val="0"/>
          <w:sz w:val="18"/>
          <w:szCs w:val="18"/>
          <w:lang w:val="hy-AM"/>
        </w:rPr>
        <w:t>Աղբյուրը՝ համապատասխան կառույցների հրապարակումներ</w:t>
      </w:r>
    </w:p>
    <w:p w14:paraId="02BC7F44" w14:textId="77777777" w:rsidR="0087134D" w:rsidRPr="00A83C94" w:rsidRDefault="0087134D" w:rsidP="0087134D">
      <w:pPr>
        <w:spacing w:before="0" w:after="120" w:line="480" w:lineRule="auto"/>
        <w:ind w:right="111" w:firstLine="0"/>
        <w:contextualSpacing w:val="0"/>
        <w:jc w:val="left"/>
        <w:rPr>
          <w:rFonts w:ascii="Times New Roman" w:hAnsi="Times New Roman"/>
          <w:bCs/>
          <w:color w:val="1F497D"/>
          <w:sz w:val="18"/>
          <w:szCs w:val="18"/>
          <w:lang w:val="en-US" w:eastAsia="en-US"/>
        </w:rPr>
      </w:pPr>
    </w:p>
    <w:p w14:paraId="146AFBA5" w14:textId="77777777" w:rsidR="0087134D" w:rsidRPr="00A83C94" w:rsidRDefault="0087134D" w:rsidP="0087134D">
      <w:pPr>
        <w:spacing w:before="0" w:line="240" w:lineRule="auto"/>
        <w:ind w:firstLine="0"/>
        <w:contextualSpacing w:val="0"/>
        <w:jc w:val="left"/>
        <w:rPr>
          <w:lang w:val="hy-AM"/>
        </w:rPr>
      </w:pPr>
    </w:p>
    <w:p w14:paraId="6744954D" w14:textId="77777777" w:rsidR="0087134D" w:rsidRPr="00A83C94" w:rsidRDefault="0087134D" w:rsidP="0087134D">
      <w:pPr>
        <w:spacing w:before="0" w:line="276" w:lineRule="auto"/>
        <w:ind w:firstLine="0"/>
        <w:contextualSpacing w:val="0"/>
        <w:rPr>
          <w:color w:val="1F4E79"/>
          <w:sz w:val="24"/>
          <w:lang w:val="hy-AM"/>
        </w:rPr>
      </w:pPr>
    </w:p>
    <w:p w14:paraId="4D2089D5" w14:textId="77777777" w:rsidR="0087134D" w:rsidRPr="00A83C94" w:rsidRDefault="0087134D" w:rsidP="0087134D">
      <w:pPr>
        <w:spacing w:before="0" w:line="276" w:lineRule="auto"/>
        <w:ind w:firstLine="0"/>
        <w:contextualSpacing w:val="0"/>
        <w:rPr>
          <w:color w:val="1F4E79"/>
          <w:sz w:val="24"/>
          <w:lang w:val="hy-AM"/>
        </w:rPr>
      </w:pPr>
    </w:p>
    <w:p w14:paraId="36DCAE9F" w14:textId="77777777" w:rsidR="00682DEF" w:rsidRPr="00A83C94" w:rsidRDefault="00682DEF" w:rsidP="00682DEF">
      <w:pPr>
        <w:spacing w:before="0" w:after="160" w:line="259" w:lineRule="auto"/>
        <w:ind w:firstLine="0"/>
        <w:contextualSpacing w:val="0"/>
        <w:jc w:val="left"/>
        <w:rPr>
          <w:rFonts w:ascii="Calibri" w:eastAsia="Calibri" w:hAnsi="Calibri"/>
          <w:b w:val="0"/>
          <w:szCs w:val="22"/>
          <w:lang w:val="hy-AM" w:eastAsia="en-US"/>
        </w:rPr>
      </w:pPr>
    </w:p>
    <w:p w14:paraId="6B93CE95" w14:textId="77777777" w:rsidR="0087134D" w:rsidRPr="00A83C94" w:rsidRDefault="0087134D" w:rsidP="0087134D">
      <w:pPr>
        <w:keepNext/>
        <w:keepLines/>
        <w:spacing w:before="0" w:line="312" w:lineRule="auto"/>
        <w:ind w:firstLine="0"/>
        <w:outlineLvl w:val="2"/>
        <w:rPr>
          <w:szCs w:val="22"/>
          <w:lang w:val="hy-AM" w:eastAsia="en-US"/>
        </w:rPr>
      </w:pPr>
      <w:bookmarkStart w:id="364" w:name="_Toc83650399"/>
      <w:bookmarkStart w:id="365" w:name="_Toc83972894"/>
      <w:bookmarkStart w:id="366" w:name="_Toc89428348"/>
      <w:r w:rsidRPr="00A83C94">
        <w:rPr>
          <w:szCs w:val="22"/>
          <w:lang w:val="hy-AM" w:eastAsia="en-US"/>
        </w:rPr>
        <w:t>4. ԵՆԹԱԿԱՌՈՒՑՎԱԾՔԱՅԻՆ ԵՎ ԱՅԼ ՈԼՈՐՏՆԵՐՈՒՄ ԳՈՐԾՈՂ ԿԱԶՄԱԿԵՐՊՈՒԹՅՈՒՆՆԵՐԻ ԳՈՐԾՈՒՆԵՈՒԹՅԱՆՆ ԱՌՆՉՎՈՂ ՀԱՐԿԱԲՅՈՒՋԵՏԱՅԻՆ ՌԻՍԿԵՐԻ ԳՆԱՀԱՏԱԿԱՆԸ</w:t>
      </w:r>
      <w:bookmarkEnd w:id="364"/>
      <w:bookmarkEnd w:id="365"/>
      <w:bookmarkEnd w:id="366"/>
    </w:p>
    <w:p w14:paraId="4B6A202D" w14:textId="7DDB8BEB" w:rsidR="00682DEF" w:rsidRPr="00A83C94" w:rsidRDefault="001336A5" w:rsidP="00682DEF">
      <w:pPr>
        <w:spacing w:before="0" w:after="160" w:line="259" w:lineRule="auto"/>
        <w:ind w:firstLine="0"/>
        <w:contextualSpacing w:val="0"/>
        <w:jc w:val="left"/>
        <w:rPr>
          <w:rFonts w:ascii="Calibri" w:eastAsia="Calibri" w:hAnsi="Calibri"/>
          <w:b w:val="0"/>
          <w:szCs w:val="22"/>
          <w:lang w:val="hy-AM" w:eastAsia="en-US"/>
        </w:rPr>
      </w:pPr>
      <w:r w:rsidRPr="001336A5">
        <w:rPr>
          <w:rFonts w:eastAsia="Calibri"/>
          <w:b w:val="0"/>
          <w:bCs/>
          <w:color w:val="4F81BD" w:themeColor="accent1"/>
          <w:sz w:val="18"/>
          <w:szCs w:val="18"/>
          <w:lang w:val="hy-AM" w:eastAsia="en-US"/>
        </w:rPr>
        <w:t>Աղյուսակ 3</w:t>
      </w:r>
      <w:r w:rsidRPr="00A83C94">
        <w:rPr>
          <w:rFonts w:ascii="Calibri" w:eastAsia="Calibri" w:hAnsi="Calibri"/>
          <w:b w:val="0"/>
          <w:szCs w:val="22"/>
          <w:lang w:val="hy-AM" w:eastAsia="en-US"/>
        </w:rPr>
        <w:t xml:space="preserve"> </w:t>
      </w:r>
      <w:r w:rsidR="00682DEF" w:rsidRPr="00A83C94">
        <w:rPr>
          <w:rFonts w:eastAsia="Calibri"/>
          <w:bCs/>
          <w:i/>
          <w:color w:val="4F81BD" w:themeColor="accent1"/>
          <w:sz w:val="20"/>
          <w:szCs w:val="20"/>
          <w:lang w:val="hy-AM" w:eastAsia="en-US"/>
        </w:rPr>
        <w:t>Բյուջետային վարկեր և երաշխիքներ ունեցող ՊՄԸ ցուցանիշները</w:t>
      </w:r>
      <w:r w:rsidR="00682DEF" w:rsidRPr="00A83C94">
        <w:rPr>
          <w:rFonts w:ascii="Calibri" w:eastAsia="Calibri" w:hAnsi="Calibri"/>
          <w:b w:val="0"/>
          <w:szCs w:val="22"/>
          <w:lang w:val="hy-AM" w:eastAsia="en-US"/>
        </w:rPr>
        <w:t xml:space="preserve"> </w:t>
      </w:r>
    </w:p>
    <w:p w14:paraId="41614753" w14:textId="77777777" w:rsidR="00682DEF" w:rsidRPr="00A83C94" w:rsidRDefault="00682DEF" w:rsidP="00682DEF">
      <w:pPr>
        <w:spacing w:before="0" w:after="160" w:line="259" w:lineRule="auto"/>
        <w:ind w:firstLine="0"/>
        <w:contextualSpacing w:val="0"/>
        <w:jc w:val="right"/>
        <w:rPr>
          <w:rFonts w:eastAsia="Calibri"/>
          <w:bCs/>
          <w:i/>
          <w:color w:val="4F81BD" w:themeColor="accent1"/>
          <w:sz w:val="18"/>
          <w:szCs w:val="18"/>
          <w:lang w:val="en-US" w:eastAsia="en-US"/>
        </w:rPr>
      </w:pPr>
      <w:r w:rsidRPr="00A83C94">
        <w:rPr>
          <w:rFonts w:eastAsia="Calibri"/>
          <w:bCs/>
          <w:color w:val="4F81BD" w:themeColor="accent1"/>
          <w:sz w:val="18"/>
          <w:szCs w:val="18"/>
          <w:lang w:val="hy-AM" w:eastAsia="en-US"/>
        </w:rPr>
        <w:t xml:space="preserve">                                                                                                                                                                 </w:t>
      </w:r>
      <w:r w:rsidRPr="00A83C94">
        <w:rPr>
          <w:rFonts w:eastAsia="Calibri"/>
          <w:bCs/>
          <w:i/>
          <w:color w:val="4F81BD" w:themeColor="accent1"/>
          <w:sz w:val="18"/>
          <w:szCs w:val="18"/>
          <w:lang w:val="hy-AM" w:eastAsia="en-US"/>
        </w:rPr>
        <w:t>մլն դրամ</w: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850"/>
        <w:gridCol w:w="709"/>
        <w:gridCol w:w="709"/>
        <w:gridCol w:w="708"/>
        <w:gridCol w:w="851"/>
        <w:gridCol w:w="850"/>
        <w:gridCol w:w="851"/>
        <w:gridCol w:w="992"/>
      </w:tblGrid>
      <w:tr w:rsidR="000E76D9" w:rsidRPr="00A83C94" w14:paraId="2594EDC6" w14:textId="77777777" w:rsidTr="000E76D9">
        <w:trPr>
          <w:trHeight w:val="300"/>
        </w:trPr>
        <w:tc>
          <w:tcPr>
            <w:tcW w:w="3823" w:type="dxa"/>
            <w:shd w:val="clear" w:color="auto" w:fill="548DD4" w:themeFill="text2" w:themeFillTint="99"/>
            <w:noWrap/>
          </w:tcPr>
          <w:p w14:paraId="4BFA00FC" w14:textId="6F83421B" w:rsidR="000E76D9" w:rsidRPr="000E76D9" w:rsidRDefault="000E76D9" w:rsidP="000E76D9">
            <w:pPr>
              <w:spacing w:before="0" w:line="259" w:lineRule="auto"/>
              <w:ind w:firstLine="0"/>
              <w:contextualSpacing w:val="0"/>
              <w:jc w:val="left"/>
              <w:rPr>
                <w:rFonts w:cs="Calibri Light"/>
                <w:color w:val="FFFFFF" w:themeColor="background1"/>
                <w:sz w:val="16"/>
                <w:szCs w:val="16"/>
                <w:lang w:val="hy-AM" w:eastAsia="en-US"/>
              </w:rPr>
            </w:pPr>
            <w:r w:rsidRPr="000E76D9">
              <w:rPr>
                <w:rFonts w:cs="Calibri Light"/>
                <w:color w:val="FFFFFF" w:themeColor="background1"/>
                <w:sz w:val="16"/>
                <w:szCs w:val="16"/>
                <w:lang w:val="hy-AM" w:eastAsia="en-US"/>
              </w:rPr>
              <w:t>Ընկերության անվանումը</w:t>
            </w:r>
          </w:p>
        </w:tc>
        <w:tc>
          <w:tcPr>
            <w:tcW w:w="850" w:type="dxa"/>
            <w:shd w:val="clear" w:color="auto" w:fill="548DD4" w:themeFill="text2" w:themeFillTint="99"/>
            <w:noWrap/>
          </w:tcPr>
          <w:p w14:paraId="5104A879" w14:textId="2AB89F75" w:rsidR="000E76D9" w:rsidRPr="000E76D9" w:rsidRDefault="000E76D9" w:rsidP="000E76D9">
            <w:pPr>
              <w:spacing w:before="0" w:line="259" w:lineRule="auto"/>
              <w:ind w:firstLine="0"/>
              <w:contextualSpacing w:val="0"/>
              <w:jc w:val="center"/>
              <w:rPr>
                <w:rFonts w:cs="Calibri Light"/>
                <w:color w:val="FFFFFF" w:themeColor="background1"/>
                <w:sz w:val="18"/>
                <w:szCs w:val="18"/>
                <w:lang w:val="en-US" w:eastAsia="en-US"/>
              </w:rPr>
            </w:pPr>
            <w:r w:rsidRPr="000E76D9">
              <w:rPr>
                <w:rFonts w:cs="Calibri Light"/>
                <w:color w:val="FFFFFF" w:themeColor="background1"/>
                <w:sz w:val="16"/>
                <w:szCs w:val="16"/>
                <w:lang w:val="hy-AM" w:eastAsia="en-US"/>
              </w:rPr>
              <w:t>Բյուջետային վարկեր և երաշխիքներ</w:t>
            </w:r>
          </w:p>
        </w:tc>
        <w:tc>
          <w:tcPr>
            <w:tcW w:w="1418" w:type="dxa"/>
            <w:gridSpan w:val="2"/>
            <w:shd w:val="clear" w:color="auto" w:fill="548DD4" w:themeFill="text2" w:themeFillTint="99"/>
            <w:noWrap/>
          </w:tcPr>
          <w:p w14:paraId="3AC01D7F" w14:textId="6FB721C5" w:rsidR="000E76D9" w:rsidRPr="000E76D9" w:rsidRDefault="000E76D9" w:rsidP="000E76D9">
            <w:pPr>
              <w:spacing w:before="0" w:line="259" w:lineRule="auto"/>
              <w:ind w:firstLine="0"/>
              <w:contextualSpacing w:val="0"/>
              <w:jc w:val="center"/>
              <w:rPr>
                <w:rFonts w:cs="Calibri Light"/>
                <w:color w:val="FFFFFF" w:themeColor="background1"/>
                <w:sz w:val="18"/>
                <w:szCs w:val="18"/>
                <w:lang w:val="en-US" w:eastAsia="en-US"/>
              </w:rPr>
            </w:pPr>
            <w:r w:rsidRPr="000E76D9">
              <w:rPr>
                <w:rFonts w:cs="Calibri Light"/>
                <w:color w:val="FFFFFF" w:themeColor="background1"/>
                <w:sz w:val="16"/>
                <w:szCs w:val="16"/>
                <w:lang w:val="hy-AM" w:eastAsia="en-US"/>
              </w:rPr>
              <w:t>Իրացումից Հասույթ</w:t>
            </w:r>
          </w:p>
        </w:tc>
        <w:tc>
          <w:tcPr>
            <w:tcW w:w="1559" w:type="dxa"/>
            <w:gridSpan w:val="2"/>
            <w:shd w:val="clear" w:color="auto" w:fill="548DD4" w:themeFill="text2" w:themeFillTint="99"/>
            <w:noWrap/>
          </w:tcPr>
          <w:p w14:paraId="77386E6B" w14:textId="4FF40E98" w:rsidR="000E76D9" w:rsidRPr="000E76D9" w:rsidRDefault="000E76D9" w:rsidP="000E76D9">
            <w:pPr>
              <w:spacing w:before="0" w:line="259" w:lineRule="auto"/>
              <w:ind w:firstLine="0"/>
              <w:contextualSpacing w:val="0"/>
              <w:rPr>
                <w:rFonts w:cs="Calibri Light"/>
                <w:color w:val="FFFFFF" w:themeColor="background1"/>
                <w:sz w:val="18"/>
                <w:szCs w:val="18"/>
                <w:lang w:val="hy-AM" w:eastAsia="en-US"/>
              </w:rPr>
            </w:pPr>
            <w:r w:rsidRPr="000E76D9">
              <w:rPr>
                <w:rFonts w:cs="Calibri Light"/>
                <w:color w:val="FFFFFF" w:themeColor="background1"/>
                <w:sz w:val="16"/>
                <w:szCs w:val="16"/>
                <w:lang w:val="hy-AM" w:eastAsia="en-US"/>
              </w:rPr>
              <w:t>Զուտ շահույթ</w:t>
            </w:r>
          </w:p>
        </w:tc>
        <w:tc>
          <w:tcPr>
            <w:tcW w:w="850" w:type="dxa"/>
            <w:shd w:val="clear" w:color="auto" w:fill="548DD4" w:themeFill="text2" w:themeFillTint="99"/>
            <w:noWrap/>
          </w:tcPr>
          <w:p w14:paraId="4AF1048B" w14:textId="2A00936C" w:rsidR="000E76D9" w:rsidRPr="000E76D9" w:rsidRDefault="000E76D9" w:rsidP="000E76D9">
            <w:pPr>
              <w:spacing w:before="0" w:line="259" w:lineRule="auto"/>
              <w:ind w:firstLine="0"/>
              <w:contextualSpacing w:val="0"/>
              <w:jc w:val="center"/>
              <w:rPr>
                <w:rFonts w:cs="Calibri Light"/>
                <w:color w:val="FFFFFF" w:themeColor="background1"/>
                <w:sz w:val="18"/>
                <w:szCs w:val="18"/>
                <w:lang w:val="hy-AM" w:eastAsia="en-US"/>
              </w:rPr>
            </w:pPr>
            <w:r w:rsidRPr="000E76D9">
              <w:rPr>
                <w:rFonts w:cs="Calibri Light"/>
                <w:color w:val="FFFFFF" w:themeColor="background1"/>
                <w:sz w:val="16"/>
                <w:szCs w:val="16"/>
                <w:lang w:val="hy-AM" w:eastAsia="en-US"/>
              </w:rPr>
              <w:t>Կուտակված շահույթ</w:t>
            </w:r>
          </w:p>
        </w:tc>
        <w:tc>
          <w:tcPr>
            <w:tcW w:w="851" w:type="dxa"/>
            <w:shd w:val="clear" w:color="auto" w:fill="548DD4" w:themeFill="text2" w:themeFillTint="99"/>
            <w:noWrap/>
          </w:tcPr>
          <w:p w14:paraId="1B482423" w14:textId="54E15D9F" w:rsidR="000E76D9" w:rsidRPr="000E76D9" w:rsidRDefault="000E76D9" w:rsidP="000E76D9">
            <w:pPr>
              <w:spacing w:before="0" w:line="259" w:lineRule="auto"/>
              <w:ind w:firstLine="0"/>
              <w:contextualSpacing w:val="0"/>
              <w:jc w:val="center"/>
              <w:rPr>
                <w:rFonts w:cs="Calibri Light"/>
                <w:color w:val="FFFFFF" w:themeColor="background1"/>
                <w:sz w:val="18"/>
                <w:szCs w:val="18"/>
                <w:lang w:val="hy-AM" w:eastAsia="en-US"/>
              </w:rPr>
            </w:pPr>
            <w:r w:rsidRPr="000E76D9">
              <w:rPr>
                <w:rFonts w:cs="Calibri Light"/>
                <w:color w:val="FFFFFF" w:themeColor="background1"/>
                <w:sz w:val="16"/>
                <w:szCs w:val="16"/>
                <w:lang w:val="hy-AM" w:eastAsia="en-US"/>
              </w:rPr>
              <w:t>Պարտավորություններ</w:t>
            </w:r>
          </w:p>
        </w:tc>
        <w:tc>
          <w:tcPr>
            <w:tcW w:w="992" w:type="dxa"/>
            <w:vMerge w:val="restart"/>
            <w:shd w:val="clear" w:color="auto" w:fill="548DD4" w:themeFill="text2" w:themeFillTint="99"/>
            <w:noWrap/>
          </w:tcPr>
          <w:p w14:paraId="399F0BD0" w14:textId="53553CE4" w:rsidR="000E76D9" w:rsidRPr="000E76D9" w:rsidRDefault="000E76D9" w:rsidP="000E76D9">
            <w:pPr>
              <w:spacing w:before="0" w:line="259" w:lineRule="auto"/>
              <w:ind w:firstLine="0"/>
              <w:contextualSpacing w:val="0"/>
              <w:rPr>
                <w:rFonts w:cs="Calibri Light"/>
                <w:color w:val="FFFFFF" w:themeColor="background1"/>
                <w:sz w:val="18"/>
                <w:szCs w:val="18"/>
                <w:lang w:val="hy-AM" w:eastAsia="en-US"/>
              </w:rPr>
            </w:pPr>
            <w:r w:rsidRPr="000E76D9">
              <w:rPr>
                <w:rFonts w:cs="Calibri Light"/>
                <w:color w:val="FFFFFF" w:themeColor="background1"/>
                <w:sz w:val="18"/>
                <w:szCs w:val="18"/>
                <w:lang w:val="en-US" w:eastAsia="en-US"/>
              </w:rPr>
              <w:t>Ֆ</w:t>
            </w:r>
            <w:r w:rsidRPr="000E76D9">
              <w:rPr>
                <w:rFonts w:cs="Calibri Light"/>
                <w:color w:val="FFFFFF" w:themeColor="background1"/>
                <w:sz w:val="18"/>
                <w:szCs w:val="18"/>
                <w:lang w:val="hy-AM" w:eastAsia="en-US"/>
              </w:rPr>
              <w:t>իսկալ ռիկսի կարգավիճակ</w:t>
            </w:r>
          </w:p>
        </w:tc>
      </w:tr>
      <w:tr w:rsidR="000E76D9" w:rsidRPr="00A83C94" w14:paraId="3984DE3B" w14:textId="77777777" w:rsidTr="00C50DE0">
        <w:trPr>
          <w:trHeight w:val="300"/>
        </w:trPr>
        <w:tc>
          <w:tcPr>
            <w:tcW w:w="3823" w:type="dxa"/>
            <w:noWrap/>
          </w:tcPr>
          <w:p w14:paraId="5D729C25"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p>
        </w:tc>
        <w:tc>
          <w:tcPr>
            <w:tcW w:w="850" w:type="dxa"/>
            <w:noWrap/>
          </w:tcPr>
          <w:p w14:paraId="10DD21C5" w14:textId="77777777" w:rsidR="000E76D9" w:rsidRPr="00A83C94" w:rsidRDefault="000E76D9" w:rsidP="000E76D9">
            <w:pPr>
              <w:spacing w:before="0" w:line="259" w:lineRule="auto"/>
              <w:ind w:firstLine="0"/>
              <w:contextualSpacing w:val="0"/>
              <w:jc w:val="center"/>
              <w:rPr>
                <w:rFonts w:cs="Calibri Light"/>
                <w:sz w:val="18"/>
                <w:szCs w:val="18"/>
                <w:lang w:val="hy-AM" w:eastAsia="en-US"/>
              </w:rPr>
            </w:pPr>
            <w:r w:rsidRPr="00A83C94">
              <w:rPr>
                <w:rFonts w:cs="Calibri Light"/>
                <w:sz w:val="18"/>
                <w:szCs w:val="18"/>
                <w:lang w:val="en-US" w:eastAsia="en-US"/>
              </w:rPr>
              <w:t xml:space="preserve">2020թ. </w:t>
            </w:r>
          </w:p>
        </w:tc>
        <w:tc>
          <w:tcPr>
            <w:tcW w:w="709" w:type="dxa"/>
            <w:noWrap/>
          </w:tcPr>
          <w:p w14:paraId="0E652C61"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en-US" w:eastAsia="en-US"/>
              </w:rPr>
              <w:t>2019</w:t>
            </w:r>
          </w:p>
        </w:tc>
        <w:tc>
          <w:tcPr>
            <w:tcW w:w="709" w:type="dxa"/>
            <w:noWrap/>
          </w:tcPr>
          <w:p w14:paraId="5A64465A"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en-US" w:eastAsia="en-US"/>
              </w:rPr>
              <w:t>2020</w:t>
            </w:r>
          </w:p>
        </w:tc>
        <w:tc>
          <w:tcPr>
            <w:tcW w:w="708" w:type="dxa"/>
            <w:noWrap/>
          </w:tcPr>
          <w:p w14:paraId="53EBBE9D"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en-US" w:eastAsia="en-US"/>
              </w:rPr>
              <w:t>2019</w:t>
            </w:r>
          </w:p>
        </w:tc>
        <w:tc>
          <w:tcPr>
            <w:tcW w:w="851" w:type="dxa"/>
            <w:noWrap/>
          </w:tcPr>
          <w:p w14:paraId="15FC77A9" w14:textId="77777777" w:rsidR="000E76D9" w:rsidRPr="00A83C94" w:rsidRDefault="000E76D9" w:rsidP="000E76D9">
            <w:pPr>
              <w:spacing w:before="0" w:line="259" w:lineRule="auto"/>
              <w:ind w:firstLine="0"/>
              <w:contextualSpacing w:val="0"/>
              <w:rPr>
                <w:rFonts w:cs="Calibri Light"/>
                <w:sz w:val="18"/>
                <w:szCs w:val="18"/>
                <w:lang w:val="hy-AM" w:eastAsia="en-US"/>
              </w:rPr>
            </w:pPr>
            <w:r w:rsidRPr="00A83C94">
              <w:rPr>
                <w:rFonts w:cs="Calibri Light"/>
                <w:sz w:val="18"/>
                <w:szCs w:val="18"/>
                <w:lang w:val="hy-AM" w:eastAsia="en-US"/>
              </w:rPr>
              <w:t>2020</w:t>
            </w:r>
          </w:p>
        </w:tc>
        <w:tc>
          <w:tcPr>
            <w:tcW w:w="850" w:type="dxa"/>
            <w:noWrap/>
          </w:tcPr>
          <w:p w14:paraId="11875415" w14:textId="77777777" w:rsidR="000E76D9" w:rsidRPr="00A83C94" w:rsidRDefault="000E76D9" w:rsidP="000E76D9">
            <w:pPr>
              <w:spacing w:before="0" w:line="259" w:lineRule="auto"/>
              <w:ind w:firstLine="0"/>
              <w:contextualSpacing w:val="0"/>
              <w:jc w:val="center"/>
              <w:rPr>
                <w:rFonts w:cs="Calibri Light"/>
                <w:sz w:val="18"/>
                <w:szCs w:val="18"/>
                <w:lang w:val="en-US" w:eastAsia="en-US"/>
              </w:rPr>
            </w:pPr>
            <w:r w:rsidRPr="00A83C94">
              <w:rPr>
                <w:rFonts w:cs="Calibri Light"/>
                <w:sz w:val="18"/>
                <w:szCs w:val="18"/>
                <w:lang w:val="hy-AM" w:eastAsia="en-US"/>
              </w:rPr>
              <w:t>20</w:t>
            </w:r>
            <w:r w:rsidRPr="00A83C94">
              <w:rPr>
                <w:rFonts w:cs="Calibri Light"/>
                <w:sz w:val="18"/>
                <w:szCs w:val="18"/>
                <w:lang w:val="en-US" w:eastAsia="en-US"/>
              </w:rPr>
              <w:t>20</w:t>
            </w:r>
          </w:p>
        </w:tc>
        <w:tc>
          <w:tcPr>
            <w:tcW w:w="851" w:type="dxa"/>
            <w:noWrap/>
          </w:tcPr>
          <w:p w14:paraId="0FB15A43" w14:textId="77777777" w:rsidR="000E76D9" w:rsidRPr="00A83C94" w:rsidRDefault="000E76D9" w:rsidP="000E76D9">
            <w:pPr>
              <w:spacing w:before="0" w:line="259" w:lineRule="auto"/>
              <w:ind w:firstLine="0"/>
              <w:contextualSpacing w:val="0"/>
              <w:jc w:val="center"/>
              <w:rPr>
                <w:rFonts w:cs="Calibri Light"/>
                <w:sz w:val="18"/>
                <w:szCs w:val="18"/>
                <w:lang w:val="hy-AM" w:eastAsia="en-US"/>
              </w:rPr>
            </w:pPr>
            <w:r w:rsidRPr="00A83C94">
              <w:rPr>
                <w:rFonts w:cs="Calibri Light"/>
                <w:sz w:val="18"/>
                <w:szCs w:val="18"/>
                <w:lang w:val="hy-AM" w:eastAsia="en-US"/>
              </w:rPr>
              <w:t>20</w:t>
            </w:r>
            <w:r w:rsidRPr="00A83C94">
              <w:rPr>
                <w:rFonts w:cs="Calibri Light"/>
                <w:sz w:val="18"/>
                <w:szCs w:val="18"/>
                <w:lang w:val="en-US" w:eastAsia="en-US"/>
              </w:rPr>
              <w:t>20</w:t>
            </w:r>
          </w:p>
        </w:tc>
        <w:tc>
          <w:tcPr>
            <w:tcW w:w="992" w:type="dxa"/>
            <w:vMerge/>
            <w:noWrap/>
          </w:tcPr>
          <w:p w14:paraId="21E06B66" w14:textId="77777777" w:rsidR="000E76D9" w:rsidRPr="00A83C94" w:rsidRDefault="000E76D9" w:rsidP="000E76D9">
            <w:pPr>
              <w:spacing w:before="0" w:line="259" w:lineRule="auto"/>
              <w:ind w:firstLine="0"/>
              <w:contextualSpacing w:val="0"/>
              <w:jc w:val="center"/>
              <w:rPr>
                <w:rFonts w:cs="Calibri Light"/>
                <w:sz w:val="18"/>
                <w:szCs w:val="18"/>
                <w:lang w:val="hy-AM" w:eastAsia="en-US"/>
              </w:rPr>
            </w:pPr>
          </w:p>
        </w:tc>
      </w:tr>
      <w:tr w:rsidR="000E76D9" w:rsidRPr="00A83C94" w14:paraId="0E4A745D" w14:textId="77777777" w:rsidTr="00C50DE0">
        <w:trPr>
          <w:trHeight w:val="300"/>
        </w:trPr>
        <w:tc>
          <w:tcPr>
            <w:tcW w:w="3823" w:type="dxa"/>
            <w:noWrap/>
          </w:tcPr>
          <w:p w14:paraId="394E3D6C" w14:textId="77777777" w:rsidR="000E76D9" w:rsidRPr="00A83C94" w:rsidRDefault="000E76D9" w:rsidP="000E76D9">
            <w:pPr>
              <w:spacing w:before="0" w:line="259" w:lineRule="auto"/>
              <w:ind w:firstLine="0"/>
              <w:contextualSpacing w:val="0"/>
              <w:jc w:val="left"/>
              <w:rPr>
                <w:rFonts w:cs="Calibri"/>
                <w:color w:val="000000"/>
                <w:sz w:val="16"/>
                <w:szCs w:val="16"/>
                <w:lang w:val="hy-AM" w:eastAsia="en-US"/>
              </w:rPr>
            </w:pPr>
            <w:r w:rsidRPr="00A83C94">
              <w:rPr>
                <w:sz w:val="16"/>
                <w:szCs w:val="16"/>
                <w:lang w:val="en-US" w:eastAsia="en-US"/>
              </w:rPr>
              <w:t>«Երևանի ջերմաէլեկտրակենտրոն ՓԲԸ</w:t>
            </w:r>
          </w:p>
        </w:tc>
        <w:tc>
          <w:tcPr>
            <w:tcW w:w="850" w:type="dxa"/>
            <w:noWrap/>
          </w:tcPr>
          <w:p w14:paraId="099736B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129,066</w:t>
            </w:r>
          </w:p>
        </w:tc>
        <w:tc>
          <w:tcPr>
            <w:tcW w:w="709" w:type="dxa"/>
            <w:noWrap/>
          </w:tcPr>
          <w:p w14:paraId="091B0C8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74,975 </w:t>
            </w:r>
          </w:p>
        </w:tc>
        <w:tc>
          <w:tcPr>
            <w:tcW w:w="709" w:type="dxa"/>
            <w:noWrap/>
          </w:tcPr>
          <w:p w14:paraId="6DBD8A0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77,310 </w:t>
            </w:r>
          </w:p>
        </w:tc>
        <w:tc>
          <w:tcPr>
            <w:tcW w:w="708" w:type="dxa"/>
            <w:noWrap/>
          </w:tcPr>
          <w:p w14:paraId="1B647A8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1,262 </w:t>
            </w:r>
          </w:p>
        </w:tc>
        <w:tc>
          <w:tcPr>
            <w:tcW w:w="851" w:type="dxa"/>
            <w:noWrap/>
          </w:tcPr>
          <w:p w14:paraId="78BDFE3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(11,972)</w:t>
            </w:r>
          </w:p>
        </w:tc>
        <w:tc>
          <w:tcPr>
            <w:tcW w:w="850" w:type="dxa"/>
            <w:noWrap/>
          </w:tcPr>
          <w:p w14:paraId="2BCF388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(28,463)</w:t>
            </w:r>
          </w:p>
        </w:tc>
        <w:tc>
          <w:tcPr>
            <w:tcW w:w="851" w:type="dxa"/>
            <w:noWrap/>
          </w:tcPr>
          <w:p w14:paraId="47B8B99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154,154 </w:t>
            </w:r>
          </w:p>
        </w:tc>
        <w:tc>
          <w:tcPr>
            <w:tcW w:w="992" w:type="dxa"/>
            <w:noWrap/>
          </w:tcPr>
          <w:p w14:paraId="14B5675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Միջին</w:t>
            </w:r>
          </w:p>
        </w:tc>
      </w:tr>
      <w:tr w:rsidR="000E76D9" w:rsidRPr="00A83C94" w14:paraId="4981D737" w14:textId="77777777" w:rsidTr="00C50DE0">
        <w:trPr>
          <w:trHeight w:val="300"/>
        </w:trPr>
        <w:tc>
          <w:tcPr>
            <w:tcW w:w="3823" w:type="dxa"/>
            <w:noWrap/>
          </w:tcPr>
          <w:p w14:paraId="595EBBA5"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«Հայկական ատոմային էլեկտրակայան ՓԲԸ</w:t>
            </w:r>
          </w:p>
        </w:tc>
        <w:tc>
          <w:tcPr>
            <w:tcW w:w="850" w:type="dxa"/>
            <w:noWrap/>
          </w:tcPr>
          <w:p w14:paraId="22519B0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113,634</w:t>
            </w:r>
          </w:p>
        </w:tc>
        <w:tc>
          <w:tcPr>
            <w:tcW w:w="709" w:type="dxa"/>
            <w:noWrap/>
          </w:tcPr>
          <w:p w14:paraId="2FB65A6E"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22,655 </w:t>
            </w:r>
          </w:p>
        </w:tc>
        <w:tc>
          <w:tcPr>
            <w:tcW w:w="709" w:type="dxa"/>
            <w:noWrap/>
          </w:tcPr>
          <w:p w14:paraId="01B7E87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29,410 </w:t>
            </w:r>
          </w:p>
        </w:tc>
        <w:tc>
          <w:tcPr>
            <w:tcW w:w="708" w:type="dxa"/>
            <w:noWrap/>
          </w:tcPr>
          <w:p w14:paraId="075E8B35"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(1,363)</w:t>
            </w:r>
          </w:p>
        </w:tc>
        <w:tc>
          <w:tcPr>
            <w:tcW w:w="851" w:type="dxa"/>
            <w:noWrap/>
          </w:tcPr>
          <w:p w14:paraId="510F1F8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(12,797)</w:t>
            </w:r>
          </w:p>
        </w:tc>
        <w:tc>
          <w:tcPr>
            <w:tcW w:w="850" w:type="dxa"/>
            <w:noWrap/>
          </w:tcPr>
          <w:p w14:paraId="4C39ACD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17,494 </w:t>
            </w:r>
          </w:p>
        </w:tc>
        <w:tc>
          <w:tcPr>
            <w:tcW w:w="851" w:type="dxa"/>
            <w:noWrap/>
          </w:tcPr>
          <w:p w14:paraId="5BA89C1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138,842 </w:t>
            </w:r>
          </w:p>
        </w:tc>
        <w:tc>
          <w:tcPr>
            <w:tcW w:w="992" w:type="dxa"/>
            <w:noWrap/>
          </w:tcPr>
          <w:p w14:paraId="6E799624"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Էական</w:t>
            </w:r>
          </w:p>
        </w:tc>
      </w:tr>
      <w:tr w:rsidR="000E76D9" w:rsidRPr="00A83C94" w14:paraId="4719E438" w14:textId="77777777" w:rsidTr="00C50DE0">
        <w:trPr>
          <w:trHeight w:val="300"/>
        </w:trPr>
        <w:tc>
          <w:tcPr>
            <w:tcW w:w="3823" w:type="dxa"/>
            <w:noWrap/>
          </w:tcPr>
          <w:p w14:paraId="152A47CD"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«Բարձրավոլտ էլեկտրական ցանցեր ՓԲԸ</w:t>
            </w:r>
          </w:p>
        </w:tc>
        <w:tc>
          <w:tcPr>
            <w:tcW w:w="850" w:type="dxa"/>
            <w:noWrap/>
          </w:tcPr>
          <w:p w14:paraId="12114FC1"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62,871</w:t>
            </w:r>
          </w:p>
        </w:tc>
        <w:tc>
          <w:tcPr>
            <w:tcW w:w="709" w:type="dxa"/>
            <w:noWrap/>
          </w:tcPr>
          <w:p w14:paraId="3D2D4F25"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7,699 </w:t>
            </w:r>
          </w:p>
        </w:tc>
        <w:tc>
          <w:tcPr>
            <w:tcW w:w="709" w:type="dxa"/>
            <w:noWrap/>
          </w:tcPr>
          <w:p w14:paraId="0E42027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7,505 </w:t>
            </w:r>
          </w:p>
        </w:tc>
        <w:tc>
          <w:tcPr>
            <w:tcW w:w="708" w:type="dxa"/>
            <w:noWrap/>
          </w:tcPr>
          <w:p w14:paraId="1565D97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2,439 </w:t>
            </w:r>
          </w:p>
        </w:tc>
        <w:tc>
          <w:tcPr>
            <w:tcW w:w="851" w:type="dxa"/>
            <w:noWrap/>
          </w:tcPr>
          <w:p w14:paraId="7F546738"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(10,575)</w:t>
            </w:r>
          </w:p>
        </w:tc>
        <w:tc>
          <w:tcPr>
            <w:tcW w:w="850" w:type="dxa"/>
            <w:noWrap/>
          </w:tcPr>
          <w:p w14:paraId="6408CA0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3,911 </w:t>
            </w:r>
          </w:p>
        </w:tc>
        <w:tc>
          <w:tcPr>
            <w:tcW w:w="851" w:type="dxa"/>
            <w:noWrap/>
          </w:tcPr>
          <w:p w14:paraId="403A492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116,006 </w:t>
            </w:r>
          </w:p>
        </w:tc>
        <w:tc>
          <w:tcPr>
            <w:tcW w:w="992" w:type="dxa"/>
            <w:noWrap/>
          </w:tcPr>
          <w:p w14:paraId="171621C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Ցածր</w:t>
            </w:r>
          </w:p>
        </w:tc>
      </w:tr>
      <w:tr w:rsidR="000E76D9" w:rsidRPr="00A83C94" w14:paraId="24303BCB" w14:textId="77777777" w:rsidTr="00C50DE0">
        <w:trPr>
          <w:trHeight w:val="300"/>
        </w:trPr>
        <w:tc>
          <w:tcPr>
            <w:tcW w:w="3823" w:type="dxa"/>
            <w:noWrap/>
          </w:tcPr>
          <w:p w14:paraId="475522E4"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«Էլեկտրաէներգետիկական համակարգի օպերատոր» ՓԲԸ</w:t>
            </w:r>
          </w:p>
        </w:tc>
        <w:tc>
          <w:tcPr>
            <w:tcW w:w="850" w:type="dxa"/>
            <w:noWrap/>
          </w:tcPr>
          <w:p w14:paraId="282869E8"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9,214</w:t>
            </w:r>
          </w:p>
        </w:tc>
        <w:tc>
          <w:tcPr>
            <w:tcW w:w="709" w:type="dxa"/>
            <w:noWrap/>
          </w:tcPr>
          <w:p w14:paraId="3173C465"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1,909 </w:t>
            </w:r>
          </w:p>
        </w:tc>
        <w:tc>
          <w:tcPr>
            <w:tcW w:w="709" w:type="dxa"/>
            <w:noWrap/>
          </w:tcPr>
          <w:p w14:paraId="41422BB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2,029 </w:t>
            </w:r>
          </w:p>
        </w:tc>
        <w:tc>
          <w:tcPr>
            <w:tcW w:w="708" w:type="dxa"/>
            <w:noWrap/>
          </w:tcPr>
          <w:p w14:paraId="2294AB5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18 </w:t>
            </w:r>
          </w:p>
        </w:tc>
        <w:tc>
          <w:tcPr>
            <w:tcW w:w="851" w:type="dxa"/>
            <w:noWrap/>
          </w:tcPr>
          <w:p w14:paraId="3C7E96A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(839)</w:t>
            </w:r>
          </w:p>
        </w:tc>
        <w:tc>
          <w:tcPr>
            <w:tcW w:w="850" w:type="dxa"/>
            <w:noWrap/>
          </w:tcPr>
          <w:p w14:paraId="5F66614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1,442 </w:t>
            </w:r>
          </w:p>
        </w:tc>
        <w:tc>
          <w:tcPr>
            <w:tcW w:w="851" w:type="dxa"/>
            <w:noWrap/>
          </w:tcPr>
          <w:p w14:paraId="75AECE1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10,346 </w:t>
            </w:r>
          </w:p>
        </w:tc>
        <w:tc>
          <w:tcPr>
            <w:tcW w:w="992" w:type="dxa"/>
            <w:noWrap/>
          </w:tcPr>
          <w:p w14:paraId="4E2608E6"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Ցածր</w:t>
            </w:r>
          </w:p>
        </w:tc>
      </w:tr>
      <w:tr w:rsidR="000E76D9" w:rsidRPr="00A83C94" w14:paraId="2B9524AA" w14:textId="77777777" w:rsidTr="00C50DE0">
        <w:trPr>
          <w:trHeight w:val="300"/>
        </w:trPr>
        <w:tc>
          <w:tcPr>
            <w:tcW w:w="3823" w:type="dxa"/>
            <w:noWrap/>
          </w:tcPr>
          <w:p w14:paraId="6972A539"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Կարեն</w:t>
            </w:r>
            <w:r w:rsidRPr="00A83C94">
              <w:rPr>
                <w:sz w:val="16"/>
                <w:szCs w:val="16"/>
                <w:lang w:eastAsia="en-US"/>
              </w:rPr>
              <w:t xml:space="preserve"> </w:t>
            </w:r>
            <w:r w:rsidRPr="00A83C94">
              <w:rPr>
                <w:sz w:val="16"/>
                <w:szCs w:val="16"/>
                <w:lang w:val="en-US" w:eastAsia="en-US"/>
              </w:rPr>
              <w:t>Դեմիրճյանի</w:t>
            </w:r>
            <w:r w:rsidRPr="00A83C94">
              <w:rPr>
                <w:sz w:val="16"/>
                <w:szCs w:val="16"/>
                <w:lang w:eastAsia="en-US"/>
              </w:rPr>
              <w:t xml:space="preserve"> </w:t>
            </w:r>
            <w:r w:rsidRPr="00A83C94">
              <w:rPr>
                <w:sz w:val="16"/>
                <w:szCs w:val="16"/>
                <w:lang w:val="en-US" w:eastAsia="en-US"/>
              </w:rPr>
              <w:t>անվան</w:t>
            </w:r>
            <w:r w:rsidRPr="00A83C94">
              <w:rPr>
                <w:sz w:val="16"/>
                <w:szCs w:val="16"/>
                <w:lang w:eastAsia="en-US"/>
              </w:rPr>
              <w:t xml:space="preserve"> </w:t>
            </w:r>
            <w:r w:rsidRPr="00A83C94">
              <w:rPr>
                <w:sz w:val="16"/>
                <w:szCs w:val="16"/>
                <w:lang w:val="en-US" w:eastAsia="en-US"/>
              </w:rPr>
              <w:t>Երևանի</w:t>
            </w:r>
            <w:r w:rsidRPr="00A83C94">
              <w:rPr>
                <w:sz w:val="16"/>
                <w:szCs w:val="16"/>
                <w:lang w:eastAsia="en-US"/>
              </w:rPr>
              <w:t xml:space="preserve"> </w:t>
            </w:r>
            <w:r w:rsidRPr="00A83C94">
              <w:rPr>
                <w:sz w:val="16"/>
                <w:szCs w:val="16"/>
                <w:lang w:val="en-US" w:eastAsia="en-US"/>
              </w:rPr>
              <w:t>մետրոպոլիտեն</w:t>
            </w:r>
            <w:r w:rsidRPr="00A83C94">
              <w:rPr>
                <w:sz w:val="16"/>
                <w:szCs w:val="16"/>
                <w:lang w:eastAsia="en-US"/>
              </w:rPr>
              <w:t xml:space="preserve"> </w:t>
            </w:r>
            <w:r w:rsidRPr="00A83C94">
              <w:rPr>
                <w:sz w:val="16"/>
                <w:szCs w:val="16"/>
                <w:lang w:val="en-US" w:eastAsia="en-US"/>
              </w:rPr>
              <w:t>ՓԲԸ</w:t>
            </w:r>
          </w:p>
        </w:tc>
        <w:tc>
          <w:tcPr>
            <w:tcW w:w="850" w:type="dxa"/>
            <w:noWrap/>
          </w:tcPr>
          <w:p w14:paraId="6E396AA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5,363</w:t>
            </w:r>
          </w:p>
        </w:tc>
        <w:tc>
          <w:tcPr>
            <w:tcW w:w="709" w:type="dxa"/>
            <w:noWrap/>
          </w:tcPr>
          <w:p w14:paraId="2BBE491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4,805 </w:t>
            </w:r>
          </w:p>
        </w:tc>
        <w:tc>
          <w:tcPr>
            <w:tcW w:w="709" w:type="dxa"/>
            <w:noWrap/>
          </w:tcPr>
          <w:p w14:paraId="3E05B8F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1,094 </w:t>
            </w:r>
          </w:p>
        </w:tc>
        <w:tc>
          <w:tcPr>
            <w:tcW w:w="708" w:type="dxa"/>
            <w:noWrap/>
          </w:tcPr>
          <w:p w14:paraId="7C95A08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790 </w:t>
            </w:r>
          </w:p>
        </w:tc>
        <w:tc>
          <w:tcPr>
            <w:tcW w:w="851" w:type="dxa"/>
            <w:noWrap/>
          </w:tcPr>
          <w:p w14:paraId="133BB80E"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(1,220)</w:t>
            </w:r>
          </w:p>
        </w:tc>
        <w:tc>
          <w:tcPr>
            <w:tcW w:w="850" w:type="dxa"/>
            <w:noWrap/>
          </w:tcPr>
          <w:p w14:paraId="7510AB4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557 </w:t>
            </w:r>
          </w:p>
        </w:tc>
        <w:tc>
          <w:tcPr>
            <w:tcW w:w="851" w:type="dxa"/>
            <w:noWrap/>
          </w:tcPr>
          <w:p w14:paraId="1B88AE5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10,178 </w:t>
            </w:r>
          </w:p>
        </w:tc>
        <w:tc>
          <w:tcPr>
            <w:tcW w:w="992" w:type="dxa"/>
            <w:noWrap/>
          </w:tcPr>
          <w:p w14:paraId="65954C18"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Ցածր</w:t>
            </w:r>
          </w:p>
        </w:tc>
      </w:tr>
      <w:tr w:rsidR="000E76D9" w:rsidRPr="00A83C94" w14:paraId="43AB914D" w14:textId="77777777" w:rsidTr="00C50DE0">
        <w:trPr>
          <w:trHeight w:val="300"/>
        </w:trPr>
        <w:tc>
          <w:tcPr>
            <w:tcW w:w="3823" w:type="dxa"/>
            <w:noWrap/>
            <w:hideMark/>
          </w:tcPr>
          <w:p w14:paraId="13AC4F79" w14:textId="77777777" w:rsidR="000E76D9" w:rsidRPr="00A83C94" w:rsidRDefault="000E76D9" w:rsidP="000E76D9">
            <w:pPr>
              <w:spacing w:before="0" w:line="259" w:lineRule="auto"/>
              <w:ind w:firstLine="0"/>
              <w:contextualSpacing w:val="0"/>
              <w:jc w:val="left"/>
              <w:rPr>
                <w:sz w:val="16"/>
                <w:szCs w:val="16"/>
                <w:lang w:val="en-US" w:eastAsia="en-US"/>
              </w:rPr>
            </w:pPr>
            <w:r w:rsidRPr="00A83C94">
              <w:rPr>
                <w:sz w:val="16"/>
                <w:szCs w:val="16"/>
                <w:lang w:val="en-US" w:eastAsia="en-US"/>
              </w:rPr>
              <w:t>Ռադիոիզոտոպների արտադրության կենտրոն ՓԲԸ</w:t>
            </w:r>
          </w:p>
        </w:tc>
        <w:tc>
          <w:tcPr>
            <w:tcW w:w="850" w:type="dxa"/>
            <w:noWrap/>
            <w:hideMark/>
          </w:tcPr>
          <w:p w14:paraId="547193E5"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2,196</w:t>
            </w:r>
          </w:p>
        </w:tc>
        <w:tc>
          <w:tcPr>
            <w:tcW w:w="709" w:type="dxa"/>
            <w:noWrap/>
            <w:hideMark/>
          </w:tcPr>
          <w:p w14:paraId="2443A836"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p>
        </w:tc>
        <w:tc>
          <w:tcPr>
            <w:tcW w:w="709" w:type="dxa"/>
            <w:noWrap/>
            <w:hideMark/>
          </w:tcPr>
          <w:p w14:paraId="5298E84C"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89</w:t>
            </w:r>
          </w:p>
        </w:tc>
        <w:tc>
          <w:tcPr>
            <w:tcW w:w="708" w:type="dxa"/>
            <w:noWrap/>
            <w:hideMark/>
          </w:tcPr>
          <w:p w14:paraId="4F148CCA"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(386)</w:t>
            </w:r>
          </w:p>
        </w:tc>
        <w:tc>
          <w:tcPr>
            <w:tcW w:w="851" w:type="dxa"/>
            <w:noWrap/>
            <w:hideMark/>
          </w:tcPr>
          <w:p w14:paraId="626A11C6"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(272)</w:t>
            </w:r>
          </w:p>
        </w:tc>
        <w:tc>
          <w:tcPr>
            <w:tcW w:w="850" w:type="dxa"/>
            <w:noWrap/>
            <w:hideMark/>
          </w:tcPr>
          <w:p w14:paraId="1A38C474"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(1,734)</w:t>
            </w:r>
          </w:p>
        </w:tc>
        <w:tc>
          <w:tcPr>
            <w:tcW w:w="851" w:type="dxa"/>
            <w:noWrap/>
            <w:hideMark/>
          </w:tcPr>
          <w:p w14:paraId="0ED562B8"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4,548</w:t>
            </w:r>
          </w:p>
        </w:tc>
        <w:tc>
          <w:tcPr>
            <w:tcW w:w="992" w:type="dxa"/>
            <w:noWrap/>
            <w:hideMark/>
          </w:tcPr>
          <w:p w14:paraId="2B38F8BF" w14:textId="77777777" w:rsidR="000E76D9" w:rsidRPr="00A83C94" w:rsidRDefault="000E76D9" w:rsidP="000E76D9">
            <w:pPr>
              <w:spacing w:before="0" w:line="259" w:lineRule="auto"/>
              <w:ind w:firstLine="0"/>
              <w:contextualSpacing w:val="0"/>
              <w:jc w:val="center"/>
              <w:rPr>
                <w:rFonts w:ascii="Calibri" w:hAnsi="Calibri"/>
                <w:color w:val="000000"/>
                <w:sz w:val="16"/>
                <w:szCs w:val="16"/>
                <w:lang w:val="en-US" w:eastAsia="en-US"/>
              </w:rPr>
            </w:pPr>
            <w:r w:rsidRPr="00A83C94">
              <w:rPr>
                <w:rFonts w:ascii="Calibri" w:hAnsi="Calibri"/>
                <w:color w:val="000000"/>
                <w:sz w:val="16"/>
                <w:szCs w:val="16"/>
                <w:lang w:val="en-US" w:eastAsia="en-US"/>
              </w:rPr>
              <w:t>Էական</w:t>
            </w:r>
          </w:p>
        </w:tc>
      </w:tr>
      <w:tr w:rsidR="000E76D9" w:rsidRPr="00A83C94" w14:paraId="507F42A2" w14:textId="77777777" w:rsidTr="00C50DE0">
        <w:trPr>
          <w:trHeight w:val="300"/>
        </w:trPr>
        <w:tc>
          <w:tcPr>
            <w:tcW w:w="3823" w:type="dxa"/>
            <w:noWrap/>
          </w:tcPr>
          <w:p w14:paraId="27F20F9D"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hy-AM" w:eastAsia="en-US"/>
              </w:rPr>
              <w:t>«</w:t>
            </w:r>
            <w:r w:rsidRPr="00A83C94">
              <w:rPr>
                <w:sz w:val="16"/>
                <w:szCs w:val="16"/>
                <w:lang w:val="en-US" w:eastAsia="en-US"/>
              </w:rPr>
              <w:t>Երքաղլույս</w:t>
            </w:r>
            <w:r w:rsidRPr="00A83C94">
              <w:rPr>
                <w:sz w:val="16"/>
                <w:szCs w:val="16"/>
                <w:lang w:val="hy-AM" w:eastAsia="en-US"/>
              </w:rPr>
              <w:t>»</w:t>
            </w:r>
            <w:r w:rsidRPr="00A83C94">
              <w:rPr>
                <w:sz w:val="16"/>
                <w:szCs w:val="16"/>
                <w:lang w:val="en-US" w:eastAsia="en-US"/>
              </w:rPr>
              <w:t xml:space="preserve"> ՓԲԸ</w:t>
            </w:r>
          </w:p>
        </w:tc>
        <w:tc>
          <w:tcPr>
            <w:tcW w:w="850" w:type="dxa"/>
            <w:noWrap/>
          </w:tcPr>
          <w:p w14:paraId="0C4DCF4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254</w:t>
            </w:r>
          </w:p>
        </w:tc>
        <w:tc>
          <w:tcPr>
            <w:tcW w:w="709" w:type="dxa"/>
            <w:noWrap/>
          </w:tcPr>
          <w:p w14:paraId="2016B1F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2,108 </w:t>
            </w:r>
          </w:p>
        </w:tc>
        <w:tc>
          <w:tcPr>
            <w:tcW w:w="709" w:type="dxa"/>
            <w:noWrap/>
          </w:tcPr>
          <w:p w14:paraId="21B50C6C" w14:textId="77777777" w:rsidR="000E76D9" w:rsidRPr="00A83C94" w:rsidRDefault="000E76D9" w:rsidP="000E76D9">
            <w:pPr>
              <w:spacing w:before="0" w:line="259" w:lineRule="auto"/>
              <w:ind w:firstLine="0"/>
              <w:contextualSpacing w:val="0"/>
              <w:rPr>
                <w:rFonts w:cs="Calibri Light"/>
                <w:sz w:val="16"/>
                <w:szCs w:val="16"/>
                <w:lang w:val="hy-AM" w:eastAsia="en-US"/>
              </w:rPr>
            </w:pPr>
            <w:r w:rsidRPr="00A83C94">
              <w:rPr>
                <w:rFonts w:ascii="Calibri" w:hAnsi="Calibri"/>
                <w:color w:val="000000"/>
                <w:sz w:val="16"/>
                <w:szCs w:val="16"/>
                <w:lang w:val="en-US" w:eastAsia="en-US"/>
              </w:rPr>
              <w:t xml:space="preserve">2,158 </w:t>
            </w:r>
          </w:p>
        </w:tc>
        <w:tc>
          <w:tcPr>
            <w:tcW w:w="708" w:type="dxa"/>
            <w:noWrap/>
          </w:tcPr>
          <w:p w14:paraId="39AA429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205 </w:t>
            </w:r>
          </w:p>
        </w:tc>
        <w:tc>
          <w:tcPr>
            <w:tcW w:w="851" w:type="dxa"/>
            <w:noWrap/>
          </w:tcPr>
          <w:p w14:paraId="53CA171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230 </w:t>
            </w:r>
          </w:p>
        </w:tc>
        <w:tc>
          <w:tcPr>
            <w:tcW w:w="850" w:type="dxa"/>
            <w:noWrap/>
          </w:tcPr>
          <w:p w14:paraId="0AE3AA1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471 </w:t>
            </w:r>
          </w:p>
        </w:tc>
        <w:tc>
          <w:tcPr>
            <w:tcW w:w="851" w:type="dxa"/>
            <w:noWrap/>
          </w:tcPr>
          <w:p w14:paraId="5B00EFB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955 </w:t>
            </w:r>
          </w:p>
        </w:tc>
        <w:tc>
          <w:tcPr>
            <w:tcW w:w="992" w:type="dxa"/>
            <w:noWrap/>
          </w:tcPr>
          <w:p w14:paraId="4DF87A7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hy-AM" w:eastAsia="en-US"/>
              </w:rPr>
              <w:t>Էական</w:t>
            </w:r>
          </w:p>
        </w:tc>
      </w:tr>
      <w:tr w:rsidR="000E76D9" w:rsidRPr="00A83C94" w14:paraId="7290E11C" w14:textId="77777777" w:rsidTr="00C50DE0">
        <w:trPr>
          <w:trHeight w:val="300"/>
        </w:trPr>
        <w:tc>
          <w:tcPr>
            <w:tcW w:w="3823" w:type="dxa"/>
            <w:noWrap/>
          </w:tcPr>
          <w:p w14:paraId="3D2C100D"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Համո</w:t>
            </w:r>
            <w:r w:rsidRPr="00A83C94">
              <w:rPr>
                <w:sz w:val="16"/>
                <w:szCs w:val="16"/>
                <w:lang w:eastAsia="en-US"/>
              </w:rPr>
              <w:t xml:space="preserve"> </w:t>
            </w:r>
            <w:r w:rsidRPr="00A83C94">
              <w:rPr>
                <w:sz w:val="16"/>
                <w:szCs w:val="16"/>
                <w:lang w:val="en-US" w:eastAsia="en-US"/>
              </w:rPr>
              <w:t>Բեկնազարյանի</w:t>
            </w:r>
            <w:r w:rsidRPr="00A83C94">
              <w:rPr>
                <w:sz w:val="16"/>
                <w:szCs w:val="16"/>
                <w:lang w:eastAsia="en-US"/>
              </w:rPr>
              <w:t xml:space="preserve"> </w:t>
            </w:r>
            <w:r w:rsidRPr="00A83C94">
              <w:rPr>
                <w:sz w:val="16"/>
                <w:szCs w:val="16"/>
                <w:lang w:val="en-US" w:eastAsia="en-US"/>
              </w:rPr>
              <w:t>անվան</w:t>
            </w:r>
            <w:r w:rsidRPr="00A83C94">
              <w:rPr>
                <w:sz w:val="16"/>
                <w:szCs w:val="16"/>
                <w:lang w:eastAsia="en-US"/>
              </w:rPr>
              <w:t xml:space="preserve"> «</w:t>
            </w:r>
            <w:r w:rsidRPr="00A83C94">
              <w:rPr>
                <w:sz w:val="16"/>
                <w:szCs w:val="16"/>
                <w:lang w:val="en-US" w:eastAsia="en-US"/>
              </w:rPr>
              <w:t>Հայֆիլմ</w:t>
            </w:r>
            <w:r w:rsidRPr="00A83C94">
              <w:rPr>
                <w:sz w:val="16"/>
                <w:szCs w:val="16"/>
                <w:lang w:eastAsia="en-US"/>
              </w:rPr>
              <w:t xml:space="preserve">» </w:t>
            </w:r>
            <w:r w:rsidRPr="00A83C94">
              <w:rPr>
                <w:sz w:val="16"/>
                <w:szCs w:val="16"/>
                <w:lang w:val="en-US" w:eastAsia="en-US"/>
              </w:rPr>
              <w:t>կինոստուդիա</w:t>
            </w:r>
            <w:r w:rsidRPr="00A83C94">
              <w:rPr>
                <w:sz w:val="16"/>
                <w:szCs w:val="16"/>
                <w:lang w:eastAsia="en-US"/>
              </w:rPr>
              <w:t xml:space="preserve"> </w:t>
            </w:r>
            <w:r w:rsidRPr="00A83C94">
              <w:rPr>
                <w:sz w:val="16"/>
                <w:szCs w:val="16"/>
                <w:lang w:val="en-US" w:eastAsia="en-US"/>
              </w:rPr>
              <w:t>ՓԲԸ</w:t>
            </w:r>
          </w:p>
        </w:tc>
        <w:tc>
          <w:tcPr>
            <w:tcW w:w="850" w:type="dxa"/>
            <w:noWrap/>
          </w:tcPr>
          <w:p w14:paraId="5E709C56"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153</w:t>
            </w:r>
          </w:p>
        </w:tc>
        <w:tc>
          <w:tcPr>
            <w:tcW w:w="709" w:type="dxa"/>
            <w:noWrap/>
          </w:tcPr>
          <w:p w14:paraId="212A726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9 </w:t>
            </w:r>
          </w:p>
        </w:tc>
        <w:tc>
          <w:tcPr>
            <w:tcW w:w="709" w:type="dxa"/>
            <w:noWrap/>
          </w:tcPr>
          <w:p w14:paraId="74728C4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13 </w:t>
            </w:r>
          </w:p>
        </w:tc>
        <w:tc>
          <w:tcPr>
            <w:tcW w:w="708" w:type="dxa"/>
            <w:noWrap/>
          </w:tcPr>
          <w:p w14:paraId="697BD9C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(25)</w:t>
            </w:r>
          </w:p>
        </w:tc>
        <w:tc>
          <w:tcPr>
            <w:tcW w:w="851" w:type="dxa"/>
            <w:noWrap/>
          </w:tcPr>
          <w:p w14:paraId="4F5F8A3A"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(28)</w:t>
            </w:r>
          </w:p>
        </w:tc>
        <w:tc>
          <w:tcPr>
            <w:tcW w:w="850" w:type="dxa"/>
            <w:noWrap/>
          </w:tcPr>
          <w:p w14:paraId="1F46BD7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(110)</w:t>
            </w:r>
          </w:p>
        </w:tc>
        <w:tc>
          <w:tcPr>
            <w:tcW w:w="851" w:type="dxa"/>
            <w:noWrap/>
          </w:tcPr>
          <w:p w14:paraId="77DF7BBB"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182 </w:t>
            </w:r>
          </w:p>
        </w:tc>
        <w:tc>
          <w:tcPr>
            <w:tcW w:w="992" w:type="dxa"/>
            <w:noWrap/>
          </w:tcPr>
          <w:p w14:paraId="539ABEA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Էական</w:t>
            </w:r>
          </w:p>
        </w:tc>
      </w:tr>
      <w:tr w:rsidR="000E76D9" w:rsidRPr="00A83C94" w14:paraId="22C401F6" w14:textId="77777777" w:rsidTr="00C50DE0">
        <w:trPr>
          <w:trHeight w:val="300"/>
        </w:trPr>
        <w:tc>
          <w:tcPr>
            <w:tcW w:w="3823" w:type="dxa"/>
            <w:noWrap/>
          </w:tcPr>
          <w:p w14:paraId="3B18E436" w14:textId="77777777" w:rsidR="000E76D9" w:rsidRPr="00A83C94" w:rsidRDefault="000E76D9" w:rsidP="000E76D9">
            <w:pPr>
              <w:spacing w:before="0" w:line="259" w:lineRule="auto"/>
              <w:ind w:firstLine="0"/>
              <w:contextualSpacing w:val="0"/>
              <w:jc w:val="left"/>
              <w:rPr>
                <w:rFonts w:cs="Calibri Light"/>
                <w:sz w:val="16"/>
                <w:szCs w:val="16"/>
                <w:lang w:val="hy-AM" w:eastAsia="en-US"/>
              </w:rPr>
            </w:pPr>
            <w:r w:rsidRPr="00A83C94">
              <w:rPr>
                <w:sz w:val="16"/>
                <w:szCs w:val="16"/>
                <w:lang w:val="en-US" w:eastAsia="en-US"/>
              </w:rPr>
              <w:t>«Ավտոմատիկա» ՓԲԸ</w:t>
            </w:r>
          </w:p>
        </w:tc>
        <w:tc>
          <w:tcPr>
            <w:tcW w:w="850" w:type="dxa"/>
            <w:noWrap/>
          </w:tcPr>
          <w:p w14:paraId="44F7BAF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89</w:t>
            </w:r>
          </w:p>
        </w:tc>
        <w:tc>
          <w:tcPr>
            <w:tcW w:w="709" w:type="dxa"/>
            <w:noWrap/>
          </w:tcPr>
          <w:p w14:paraId="6ECC7D47"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 </w:t>
            </w:r>
          </w:p>
        </w:tc>
        <w:tc>
          <w:tcPr>
            <w:tcW w:w="709" w:type="dxa"/>
            <w:noWrap/>
          </w:tcPr>
          <w:p w14:paraId="35EF0E0C"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9 </w:t>
            </w:r>
          </w:p>
        </w:tc>
        <w:tc>
          <w:tcPr>
            <w:tcW w:w="708" w:type="dxa"/>
            <w:noWrap/>
          </w:tcPr>
          <w:p w14:paraId="2EFAA293"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(57)</w:t>
            </w:r>
          </w:p>
        </w:tc>
        <w:tc>
          <w:tcPr>
            <w:tcW w:w="851" w:type="dxa"/>
            <w:noWrap/>
          </w:tcPr>
          <w:p w14:paraId="603BAE6D"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(34)</w:t>
            </w:r>
          </w:p>
        </w:tc>
        <w:tc>
          <w:tcPr>
            <w:tcW w:w="850" w:type="dxa"/>
            <w:noWrap/>
          </w:tcPr>
          <w:p w14:paraId="6C9F814F"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(321)</w:t>
            </w:r>
          </w:p>
        </w:tc>
        <w:tc>
          <w:tcPr>
            <w:tcW w:w="851" w:type="dxa"/>
            <w:noWrap/>
          </w:tcPr>
          <w:p w14:paraId="3E309B40"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olor w:val="000000"/>
                <w:sz w:val="16"/>
                <w:szCs w:val="16"/>
                <w:lang w:val="en-US" w:eastAsia="en-US"/>
              </w:rPr>
              <w:t xml:space="preserve"> 249 </w:t>
            </w:r>
          </w:p>
        </w:tc>
        <w:tc>
          <w:tcPr>
            <w:tcW w:w="992" w:type="dxa"/>
            <w:noWrap/>
          </w:tcPr>
          <w:p w14:paraId="69C0C149" w14:textId="77777777" w:rsidR="000E76D9" w:rsidRPr="00A83C94" w:rsidRDefault="000E76D9" w:rsidP="000E76D9">
            <w:pPr>
              <w:spacing w:before="0" w:line="259" w:lineRule="auto"/>
              <w:ind w:firstLine="0"/>
              <w:contextualSpacing w:val="0"/>
              <w:jc w:val="center"/>
              <w:rPr>
                <w:rFonts w:cs="Calibri Light"/>
                <w:sz w:val="16"/>
                <w:szCs w:val="16"/>
                <w:lang w:val="hy-AM" w:eastAsia="en-US"/>
              </w:rPr>
            </w:pPr>
            <w:r w:rsidRPr="00A83C94">
              <w:rPr>
                <w:rFonts w:ascii="Calibri" w:hAnsi="Calibri" w:cs="Calibri Light"/>
                <w:color w:val="000000"/>
                <w:sz w:val="16"/>
                <w:szCs w:val="16"/>
                <w:lang w:val="hy-AM" w:eastAsia="en-US"/>
              </w:rPr>
              <w:t>Էական</w:t>
            </w:r>
          </w:p>
        </w:tc>
      </w:tr>
    </w:tbl>
    <w:p w14:paraId="548BF82F" w14:textId="77777777" w:rsidR="00682DEF" w:rsidRPr="00A83C94" w:rsidRDefault="00682DEF" w:rsidP="00682DEF">
      <w:pPr>
        <w:spacing w:before="0" w:after="160" w:line="259" w:lineRule="auto"/>
        <w:ind w:firstLine="0"/>
        <w:contextualSpacing w:val="0"/>
        <w:jc w:val="left"/>
        <w:rPr>
          <w:rFonts w:ascii="Calibri" w:eastAsia="Calibri" w:hAnsi="Calibri"/>
          <w:b w:val="0"/>
          <w:szCs w:val="22"/>
          <w:lang w:val="hy-AM" w:eastAsia="en-US"/>
        </w:rPr>
      </w:pPr>
    </w:p>
    <w:p w14:paraId="18BCF74C" w14:textId="19BD0B0C" w:rsidR="00682DEF" w:rsidRPr="00A83C94" w:rsidRDefault="00682DEF" w:rsidP="00682DEF">
      <w:pPr>
        <w:spacing w:before="0" w:after="160" w:line="259" w:lineRule="auto"/>
        <w:ind w:firstLine="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Ա</w:t>
      </w:r>
      <w:r w:rsidR="001336A5" w:rsidRPr="001336A5">
        <w:rPr>
          <w:rFonts w:eastAsia="Calibri"/>
          <w:b w:val="0"/>
          <w:bCs/>
          <w:color w:val="4F81BD" w:themeColor="accent1"/>
          <w:sz w:val="18"/>
          <w:szCs w:val="18"/>
          <w:lang w:val="hy-AM" w:eastAsia="en-US"/>
        </w:rPr>
        <w:t>ղյուսակ 4</w:t>
      </w:r>
      <w:r w:rsidR="001336A5" w:rsidRPr="00A83C94">
        <w:rPr>
          <w:rFonts w:eastAsia="Calibri"/>
          <w:bCs/>
          <w:i/>
          <w:color w:val="4F81BD" w:themeColor="accent1"/>
          <w:sz w:val="20"/>
          <w:szCs w:val="20"/>
          <w:lang w:val="hy-AM" w:eastAsia="en-US"/>
        </w:rPr>
        <w:t xml:space="preserve"> </w:t>
      </w:r>
      <w:r w:rsidRPr="00A83C94">
        <w:rPr>
          <w:rFonts w:eastAsia="Calibri"/>
          <w:bCs/>
          <w:i/>
          <w:color w:val="4F81BD" w:themeColor="accent1"/>
          <w:sz w:val="20"/>
          <w:szCs w:val="20"/>
          <w:lang w:val="hy-AM" w:eastAsia="en-US"/>
        </w:rPr>
        <w:t>Խոշոր պարտավորություններ ունեցող պետական և համայնքային մասնակցությամբ ընկերությունների ցուցանիշները</w:t>
      </w:r>
    </w:p>
    <w:p w14:paraId="2467D862" w14:textId="77777777" w:rsidR="00682DEF" w:rsidRPr="00A83C94" w:rsidRDefault="00682DEF" w:rsidP="00682DEF">
      <w:pPr>
        <w:spacing w:before="0" w:after="160" w:line="259" w:lineRule="auto"/>
        <w:ind w:firstLine="0"/>
        <w:contextualSpacing w:val="0"/>
        <w:jc w:val="center"/>
        <w:rPr>
          <w:rFonts w:eastAsia="Calibri"/>
          <w:bCs/>
          <w:i/>
          <w:color w:val="4F81BD" w:themeColor="accent1"/>
          <w:sz w:val="18"/>
          <w:szCs w:val="18"/>
          <w:lang w:val="en-US" w:eastAsia="en-US"/>
        </w:rPr>
      </w:pPr>
      <w:r w:rsidRPr="00A83C94">
        <w:rPr>
          <w:rFonts w:eastAsia="Calibri"/>
          <w:bCs/>
          <w:i/>
          <w:color w:val="4F81BD" w:themeColor="accent1"/>
          <w:sz w:val="18"/>
          <w:szCs w:val="18"/>
          <w:lang w:val="hy-AM" w:eastAsia="en-US"/>
        </w:rPr>
        <w:t xml:space="preserve">                                                                                                                                              </w:t>
      </w:r>
      <w:r w:rsidRPr="00A83C94">
        <w:rPr>
          <w:rFonts w:eastAsia="Calibri"/>
          <w:bCs/>
          <w:i/>
          <w:color w:val="4F81BD" w:themeColor="accent1"/>
          <w:sz w:val="18"/>
          <w:szCs w:val="18"/>
          <w:lang w:val="en-US" w:eastAsia="en-US"/>
        </w:rPr>
        <w:t>մլն դրամ</w:t>
      </w:r>
    </w:p>
    <w:tbl>
      <w:tblPr>
        <w:tblW w:w="47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3"/>
        <w:gridCol w:w="793"/>
        <w:gridCol w:w="791"/>
        <w:gridCol w:w="527"/>
        <w:gridCol w:w="793"/>
        <w:gridCol w:w="793"/>
        <w:gridCol w:w="527"/>
        <w:gridCol w:w="660"/>
        <w:gridCol w:w="926"/>
      </w:tblGrid>
      <w:tr w:rsidR="000E76D9" w:rsidRPr="00A83C94" w14:paraId="72438F96" w14:textId="77777777" w:rsidTr="000E76D9">
        <w:trPr>
          <w:trHeight w:val="300"/>
        </w:trPr>
        <w:tc>
          <w:tcPr>
            <w:tcW w:w="1857" w:type="pct"/>
            <w:shd w:val="clear" w:color="auto" w:fill="548DD4" w:themeFill="text2" w:themeFillTint="99"/>
            <w:noWrap/>
          </w:tcPr>
          <w:p w14:paraId="3EE4DCCD" w14:textId="7FABC9DD" w:rsidR="000E76D9" w:rsidRPr="000E76D9" w:rsidRDefault="000E76D9" w:rsidP="000E76D9">
            <w:pPr>
              <w:spacing w:before="0" w:line="240" w:lineRule="auto"/>
              <w:ind w:firstLine="0"/>
              <w:contextualSpacing w:val="0"/>
              <w:jc w:val="left"/>
              <w:rPr>
                <w:color w:val="FFFFFF" w:themeColor="background1"/>
                <w:sz w:val="16"/>
                <w:szCs w:val="16"/>
                <w:lang w:val="hy-AM" w:eastAsia="en-US"/>
              </w:rPr>
            </w:pPr>
            <w:r w:rsidRPr="000E76D9">
              <w:rPr>
                <w:rFonts w:ascii="Calibri" w:hAnsi="Calibri" w:cs="Calibri"/>
                <w:color w:val="FFFFFF" w:themeColor="background1"/>
                <w:sz w:val="16"/>
                <w:szCs w:val="16"/>
                <w:lang w:val="hy-AM" w:eastAsia="en-US"/>
              </w:rPr>
              <w:t> </w:t>
            </w:r>
          </w:p>
        </w:tc>
        <w:tc>
          <w:tcPr>
            <w:tcW w:w="1142" w:type="pct"/>
            <w:gridSpan w:val="3"/>
            <w:shd w:val="clear" w:color="auto" w:fill="548DD4" w:themeFill="text2" w:themeFillTint="99"/>
            <w:noWrap/>
            <w:vAlign w:val="center"/>
          </w:tcPr>
          <w:p w14:paraId="6CF77CF6" w14:textId="5A35D431" w:rsidR="000E76D9" w:rsidRPr="000E76D9" w:rsidRDefault="000E76D9" w:rsidP="000E76D9">
            <w:pPr>
              <w:spacing w:before="0" w:line="240" w:lineRule="auto"/>
              <w:ind w:firstLine="0"/>
              <w:contextualSpacing w:val="0"/>
              <w:jc w:val="center"/>
              <w:rPr>
                <w:color w:val="FFFFFF" w:themeColor="background1"/>
                <w:sz w:val="16"/>
                <w:szCs w:val="16"/>
                <w:lang w:val="hy-AM" w:eastAsia="en-US"/>
              </w:rPr>
            </w:pPr>
            <w:r w:rsidRPr="000E76D9">
              <w:rPr>
                <w:color w:val="FFFFFF" w:themeColor="background1"/>
                <w:sz w:val="16"/>
                <w:szCs w:val="16"/>
                <w:lang w:val="hy-AM" w:eastAsia="en-US"/>
              </w:rPr>
              <w:t>Պարտավորություններ</w:t>
            </w:r>
          </w:p>
        </w:tc>
        <w:tc>
          <w:tcPr>
            <w:tcW w:w="1143" w:type="pct"/>
            <w:gridSpan w:val="3"/>
            <w:shd w:val="clear" w:color="auto" w:fill="548DD4" w:themeFill="text2" w:themeFillTint="99"/>
            <w:noWrap/>
            <w:vAlign w:val="center"/>
          </w:tcPr>
          <w:p w14:paraId="6D81D70F" w14:textId="315D05A9" w:rsidR="000E76D9" w:rsidRPr="000E76D9" w:rsidRDefault="000E76D9" w:rsidP="000E76D9">
            <w:pPr>
              <w:spacing w:before="0" w:line="240" w:lineRule="auto"/>
              <w:ind w:firstLine="0"/>
              <w:contextualSpacing w:val="0"/>
              <w:jc w:val="center"/>
              <w:rPr>
                <w:color w:val="FFFFFF" w:themeColor="background1"/>
                <w:sz w:val="16"/>
                <w:szCs w:val="16"/>
                <w:lang w:val="hy-AM" w:eastAsia="en-US"/>
              </w:rPr>
            </w:pPr>
            <w:r w:rsidRPr="000E76D9">
              <w:rPr>
                <w:color w:val="FFFFFF" w:themeColor="background1"/>
                <w:sz w:val="16"/>
                <w:szCs w:val="16"/>
                <w:lang w:val="hy-AM" w:eastAsia="en-US"/>
              </w:rPr>
              <w:t>Ակտիվներ</w:t>
            </w:r>
          </w:p>
        </w:tc>
        <w:tc>
          <w:tcPr>
            <w:tcW w:w="858" w:type="pct"/>
            <w:gridSpan w:val="2"/>
            <w:shd w:val="clear" w:color="auto" w:fill="548DD4" w:themeFill="text2" w:themeFillTint="99"/>
            <w:noWrap/>
            <w:vAlign w:val="center"/>
          </w:tcPr>
          <w:p w14:paraId="292457A8" w14:textId="4BE35AE6" w:rsidR="000E76D9" w:rsidRPr="000E76D9" w:rsidRDefault="000E76D9" w:rsidP="000E76D9">
            <w:pPr>
              <w:spacing w:before="0" w:line="240" w:lineRule="auto"/>
              <w:ind w:firstLine="0"/>
              <w:contextualSpacing w:val="0"/>
              <w:jc w:val="center"/>
              <w:rPr>
                <w:color w:val="FFFFFF" w:themeColor="background1"/>
                <w:sz w:val="16"/>
                <w:szCs w:val="16"/>
                <w:lang w:val="hy-AM" w:eastAsia="en-US"/>
              </w:rPr>
            </w:pPr>
            <w:r w:rsidRPr="000E76D9">
              <w:rPr>
                <w:color w:val="FFFFFF" w:themeColor="background1"/>
                <w:sz w:val="16"/>
                <w:szCs w:val="16"/>
                <w:lang w:val="hy-AM" w:eastAsia="en-US"/>
              </w:rPr>
              <w:t>Սեփական կապիտալ</w:t>
            </w:r>
          </w:p>
        </w:tc>
      </w:tr>
      <w:tr w:rsidR="000E76D9" w:rsidRPr="00A83C94" w14:paraId="6371D53A" w14:textId="77777777" w:rsidTr="000E76D9">
        <w:trPr>
          <w:trHeight w:val="323"/>
        </w:trPr>
        <w:tc>
          <w:tcPr>
            <w:tcW w:w="1857" w:type="pct"/>
            <w:shd w:val="clear" w:color="auto" w:fill="D9E2F3"/>
            <w:noWrap/>
            <w:vAlign w:val="center"/>
          </w:tcPr>
          <w:p w14:paraId="24E8593E"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sz w:val="16"/>
                <w:szCs w:val="16"/>
                <w:lang w:val="hy-AM" w:eastAsia="en-US"/>
              </w:rPr>
              <w:t>Անվանում</w:t>
            </w:r>
          </w:p>
        </w:tc>
        <w:tc>
          <w:tcPr>
            <w:tcW w:w="429" w:type="pct"/>
            <w:shd w:val="clear" w:color="auto" w:fill="D9E2F3"/>
            <w:noWrap/>
            <w:vAlign w:val="center"/>
          </w:tcPr>
          <w:p w14:paraId="00B45ACC"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2019</w:t>
            </w:r>
          </w:p>
        </w:tc>
        <w:tc>
          <w:tcPr>
            <w:tcW w:w="713" w:type="pct"/>
            <w:gridSpan w:val="2"/>
            <w:shd w:val="clear" w:color="auto" w:fill="D9E2F3"/>
            <w:vAlign w:val="center"/>
          </w:tcPr>
          <w:p w14:paraId="220BEB39"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2020</w:t>
            </w:r>
          </w:p>
        </w:tc>
        <w:tc>
          <w:tcPr>
            <w:tcW w:w="429" w:type="pct"/>
            <w:shd w:val="clear" w:color="auto" w:fill="D9E2F3"/>
            <w:noWrap/>
            <w:vAlign w:val="center"/>
          </w:tcPr>
          <w:p w14:paraId="3E4BBC81"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2019</w:t>
            </w:r>
          </w:p>
        </w:tc>
        <w:tc>
          <w:tcPr>
            <w:tcW w:w="714" w:type="pct"/>
            <w:gridSpan w:val="2"/>
            <w:shd w:val="clear" w:color="auto" w:fill="D9E2F3"/>
            <w:vAlign w:val="center"/>
          </w:tcPr>
          <w:p w14:paraId="7A8B7B30"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2020</w:t>
            </w:r>
          </w:p>
        </w:tc>
        <w:tc>
          <w:tcPr>
            <w:tcW w:w="357" w:type="pct"/>
            <w:shd w:val="clear" w:color="auto" w:fill="D9E2F3"/>
            <w:noWrap/>
            <w:vAlign w:val="center"/>
          </w:tcPr>
          <w:p w14:paraId="5401CC2F"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2019</w:t>
            </w:r>
          </w:p>
        </w:tc>
        <w:tc>
          <w:tcPr>
            <w:tcW w:w="501" w:type="pct"/>
            <w:shd w:val="clear" w:color="auto" w:fill="D9E2F3"/>
            <w:noWrap/>
            <w:vAlign w:val="center"/>
          </w:tcPr>
          <w:p w14:paraId="640308B4" w14:textId="77777777" w:rsidR="000E76D9" w:rsidRPr="00A83C94" w:rsidRDefault="000E76D9" w:rsidP="000E76D9">
            <w:pPr>
              <w:spacing w:before="0" w:line="240" w:lineRule="auto"/>
              <w:ind w:firstLine="0"/>
              <w:contextualSpacing w:val="0"/>
              <w:jc w:val="center"/>
              <w:rPr>
                <w:bCs/>
                <w:sz w:val="16"/>
                <w:szCs w:val="16"/>
                <w:lang w:val="hy-AM" w:eastAsia="en-US"/>
              </w:rPr>
            </w:pPr>
            <w:r w:rsidRPr="00A83C94">
              <w:rPr>
                <w:bCs/>
                <w:sz w:val="16"/>
                <w:szCs w:val="16"/>
                <w:lang w:val="hy-AM" w:eastAsia="en-US"/>
              </w:rPr>
              <w:t>2020</w:t>
            </w:r>
          </w:p>
        </w:tc>
      </w:tr>
      <w:tr w:rsidR="000E76D9" w:rsidRPr="00A83C94" w14:paraId="15A3BC2B" w14:textId="77777777" w:rsidTr="000E76D9">
        <w:trPr>
          <w:trHeight w:val="300"/>
        </w:trPr>
        <w:tc>
          <w:tcPr>
            <w:tcW w:w="1857" w:type="pct"/>
            <w:noWrap/>
            <w:vAlign w:val="bottom"/>
          </w:tcPr>
          <w:p w14:paraId="210E0B3B"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«Երևանի ջերմաէլեկտրակենտրոն» ՓԲԸ</w:t>
            </w:r>
          </w:p>
        </w:tc>
        <w:tc>
          <w:tcPr>
            <w:tcW w:w="429" w:type="pct"/>
            <w:noWrap/>
            <w:vAlign w:val="bottom"/>
          </w:tcPr>
          <w:p w14:paraId="32D1A54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145,619</w:t>
            </w:r>
          </w:p>
        </w:tc>
        <w:tc>
          <w:tcPr>
            <w:tcW w:w="428" w:type="pct"/>
            <w:noWrap/>
            <w:vAlign w:val="bottom"/>
          </w:tcPr>
          <w:p w14:paraId="2FBDB21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154,154</w:t>
            </w:r>
          </w:p>
        </w:tc>
        <w:tc>
          <w:tcPr>
            <w:tcW w:w="285" w:type="pct"/>
            <w:noWrap/>
            <w:vAlign w:val="bottom"/>
          </w:tcPr>
          <w:p w14:paraId="1B66D3E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30%</w:t>
            </w:r>
          </w:p>
        </w:tc>
        <w:tc>
          <w:tcPr>
            <w:tcW w:w="429" w:type="pct"/>
            <w:noWrap/>
            <w:vAlign w:val="bottom"/>
          </w:tcPr>
          <w:p w14:paraId="52DC4F2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148,776</w:t>
            </w:r>
          </w:p>
        </w:tc>
        <w:tc>
          <w:tcPr>
            <w:tcW w:w="429" w:type="pct"/>
            <w:noWrap/>
            <w:vAlign w:val="bottom"/>
          </w:tcPr>
          <w:p w14:paraId="68D5B69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143,878</w:t>
            </w:r>
          </w:p>
        </w:tc>
        <w:tc>
          <w:tcPr>
            <w:tcW w:w="285" w:type="pct"/>
            <w:noWrap/>
            <w:vAlign w:val="bottom"/>
          </w:tcPr>
          <w:p w14:paraId="69CB228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19%</w:t>
            </w:r>
          </w:p>
        </w:tc>
        <w:tc>
          <w:tcPr>
            <w:tcW w:w="357" w:type="pct"/>
            <w:noWrap/>
            <w:vAlign w:val="bottom"/>
          </w:tcPr>
          <w:p w14:paraId="30F9C86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3,157</w:t>
            </w:r>
          </w:p>
        </w:tc>
        <w:tc>
          <w:tcPr>
            <w:tcW w:w="501" w:type="pct"/>
            <w:noWrap/>
            <w:vAlign w:val="bottom"/>
          </w:tcPr>
          <w:p w14:paraId="7988F17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(10,276)</w:t>
            </w:r>
          </w:p>
        </w:tc>
      </w:tr>
      <w:tr w:rsidR="000E76D9" w:rsidRPr="00A83C94" w14:paraId="0E400219" w14:textId="77777777" w:rsidTr="000E76D9">
        <w:trPr>
          <w:trHeight w:val="300"/>
        </w:trPr>
        <w:tc>
          <w:tcPr>
            <w:tcW w:w="1857" w:type="pct"/>
            <w:shd w:val="clear" w:color="auto" w:fill="D9E2F3"/>
            <w:noWrap/>
            <w:vAlign w:val="bottom"/>
          </w:tcPr>
          <w:p w14:paraId="45768CF8"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«Հայկական ատոմային էլեկտրակայան ՓԲԸ</w:t>
            </w:r>
          </w:p>
        </w:tc>
        <w:tc>
          <w:tcPr>
            <w:tcW w:w="429" w:type="pct"/>
            <w:shd w:val="clear" w:color="auto" w:fill="D9E2F3"/>
            <w:noWrap/>
            <w:vAlign w:val="bottom"/>
          </w:tcPr>
          <w:p w14:paraId="700AEDA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129,767</w:t>
            </w:r>
          </w:p>
        </w:tc>
        <w:tc>
          <w:tcPr>
            <w:tcW w:w="428" w:type="pct"/>
            <w:shd w:val="clear" w:color="auto" w:fill="D9E2F3"/>
            <w:noWrap/>
            <w:vAlign w:val="bottom"/>
          </w:tcPr>
          <w:p w14:paraId="6E4BADD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138,842</w:t>
            </w:r>
          </w:p>
        </w:tc>
        <w:tc>
          <w:tcPr>
            <w:tcW w:w="285" w:type="pct"/>
            <w:shd w:val="clear" w:color="auto" w:fill="D9E2F3"/>
            <w:noWrap/>
            <w:vAlign w:val="bottom"/>
          </w:tcPr>
          <w:p w14:paraId="6858849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27%</w:t>
            </w:r>
          </w:p>
        </w:tc>
        <w:tc>
          <w:tcPr>
            <w:tcW w:w="429" w:type="pct"/>
            <w:shd w:val="clear" w:color="auto" w:fill="D9E2F3"/>
            <w:noWrap/>
            <w:vAlign w:val="bottom"/>
          </w:tcPr>
          <w:p w14:paraId="26E3885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177,642</w:t>
            </w:r>
          </w:p>
        </w:tc>
        <w:tc>
          <w:tcPr>
            <w:tcW w:w="429" w:type="pct"/>
            <w:shd w:val="clear" w:color="auto" w:fill="D9E2F3"/>
            <w:noWrap/>
            <w:vAlign w:val="bottom"/>
          </w:tcPr>
          <w:p w14:paraId="01F1881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173,541</w:t>
            </w:r>
          </w:p>
        </w:tc>
        <w:tc>
          <w:tcPr>
            <w:tcW w:w="285" w:type="pct"/>
            <w:shd w:val="clear" w:color="auto" w:fill="D9E2F3"/>
            <w:noWrap/>
            <w:vAlign w:val="bottom"/>
          </w:tcPr>
          <w:p w14:paraId="29FF573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22%</w:t>
            </w:r>
          </w:p>
        </w:tc>
        <w:tc>
          <w:tcPr>
            <w:tcW w:w="357" w:type="pct"/>
            <w:shd w:val="clear" w:color="auto" w:fill="D9E2F3"/>
            <w:noWrap/>
            <w:vAlign w:val="bottom"/>
          </w:tcPr>
          <w:p w14:paraId="43C29A6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47,875</w:t>
            </w:r>
          </w:p>
        </w:tc>
        <w:tc>
          <w:tcPr>
            <w:tcW w:w="501" w:type="pct"/>
            <w:shd w:val="clear" w:color="auto" w:fill="D9E2F3"/>
            <w:noWrap/>
            <w:vAlign w:val="bottom"/>
          </w:tcPr>
          <w:p w14:paraId="1BAB1B3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34,698</w:t>
            </w:r>
          </w:p>
        </w:tc>
      </w:tr>
      <w:tr w:rsidR="000E76D9" w:rsidRPr="00A83C94" w14:paraId="44A4F235" w14:textId="77777777" w:rsidTr="000E76D9">
        <w:trPr>
          <w:trHeight w:val="300"/>
        </w:trPr>
        <w:tc>
          <w:tcPr>
            <w:tcW w:w="1857" w:type="pct"/>
            <w:noWrap/>
            <w:vAlign w:val="bottom"/>
          </w:tcPr>
          <w:p w14:paraId="489D28E3"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«Բարձրավոլտ էլեկտրական ցանցեր ՓԲԸ</w:t>
            </w:r>
          </w:p>
        </w:tc>
        <w:tc>
          <w:tcPr>
            <w:tcW w:w="429" w:type="pct"/>
            <w:noWrap/>
            <w:vAlign w:val="bottom"/>
          </w:tcPr>
          <w:p w14:paraId="503661F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93,894</w:t>
            </w:r>
          </w:p>
        </w:tc>
        <w:tc>
          <w:tcPr>
            <w:tcW w:w="428" w:type="pct"/>
            <w:noWrap/>
            <w:vAlign w:val="bottom"/>
          </w:tcPr>
          <w:p w14:paraId="5158D78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116,006</w:t>
            </w:r>
          </w:p>
        </w:tc>
        <w:tc>
          <w:tcPr>
            <w:tcW w:w="285" w:type="pct"/>
            <w:noWrap/>
            <w:vAlign w:val="bottom"/>
          </w:tcPr>
          <w:p w14:paraId="5850787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22%</w:t>
            </w:r>
          </w:p>
        </w:tc>
        <w:tc>
          <w:tcPr>
            <w:tcW w:w="429" w:type="pct"/>
            <w:noWrap/>
            <w:vAlign w:val="bottom"/>
          </w:tcPr>
          <w:p w14:paraId="2229FF5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119,756</w:t>
            </w:r>
          </w:p>
        </w:tc>
        <w:tc>
          <w:tcPr>
            <w:tcW w:w="429" w:type="pct"/>
            <w:noWrap/>
            <w:vAlign w:val="bottom"/>
          </w:tcPr>
          <w:p w14:paraId="40366AF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131,268</w:t>
            </w:r>
          </w:p>
        </w:tc>
        <w:tc>
          <w:tcPr>
            <w:tcW w:w="285" w:type="pct"/>
            <w:noWrap/>
            <w:vAlign w:val="bottom"/>
          </w:tcPr>
          <w:p w14:paraId="02B2CAA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w:t>
            </w:r>
          </w:p>
        </w:tc>
        <w:tc>
          <w:tcPr>
            <w:tcW w:w="357" w:type="pct"/>
            <w:noWrap/>
            <w:vAlign w:val="bottom"/>
          </w:tcPr>
          <w:p w14:paraId="2014DCE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25,862</w:t>
            </w:r>
          </w:p>
        </w:tc>
        <w:tc>
          <w:tcPr>
            <w:tcW w:w="501" w:type="pct"/>
            <w:noWrap/>
            <w:vAlign w:val="bottom"/>
          </w:tcPr>
          <w:p w14:paraId="5B6B764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15,262</w:t>
            </w:r>
          </w:p>
        </w:tc>
      </w:tr>
      <w:tr w:rsidR="000E76D9" w:rsidRPr="00A83C94" w14:paraId="2BB0E088" w14:textId="77777777" w:rsidTr="000E76D9">
        <w:trPr>
          <w:trHeight w:val="300"/>
        </w:trPr>
        <w:tc>
          <w:tcPr>
            <w:tcW w:w="1857" w:type="pct"/>
            <w:shd w:val="clear" w:color="auto" w:fill="D9E2F3"/>
            <w:noWrap/>
            <w:vAlign w:val="bottom"/>
          </w:tcPr>
          <w:p w14:paraId="06ECBD7D"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Կարեն</w:t>
            </w:r>
            <w:r w:rsidRPr="00A83C94">
              <w:rPr>
                <w:bCs/>
                <w:color w:val="000000"/>
                <w:sz w:val="16"/>
                <w:szCs w:val="16"/>
                <w:lang w:eastAsia="en-US"/>
              </w:rPr>
              <w:t xml:space="preserve"> </w:t>
            </w:r>
            <w:r w:rsidRPr="00A83C94">
              <w:rPr>
                <w:bCs/>
                <w:color w:val="000000"/>
                <w:sz w:val="16"/>
                <w:szCs w:val="16"/>
                <w:lang w:val="en-US" w:eastAsia="en-US"/>
              </w:rPr>
              <w:t>Դեմիրճյանի</w:t>
            </w:r>
            <w:r w:rsidRPr="00A83C94">
              <w:rPr>
                <w:bCs/>
                <w:color w:val="000000"/>
                <w:sz w:val="16"/>
                <w:szCs w:val="16"/>
                <w:lang w:eastAsia="en-US"/>
              </w:rPr>
              <w:t xml:space="preserve"> </w:t>
            </w:r>
            <w:r w:rsidRPr="00A83C94">
              <w:rPr>
                <w:bCs/>
                <w:color w:val="000000"/>
                <w:sz w:val="16"/>
                <w:szCs w:val="16"/>
                <w:lang w:val="en-US" w:eastAsia="en-US"/>
              </w:rPr>
              <w:t>անվան</w:t>
            </w:r>
            <w:r w:rsidRPr="00A83C94">
              <w:rPr>
                <w:bCs/>
                <w:color w:val="000000"/>
                <w:sz w:val="16"/>
                <w:szCs w:val="16"/>
                <w:lang w:eastAsia="en-US"/>
              </w:rPr>
              <w:t xml:space="preserve"> </w:t>
            </w:r>
            <w:r w:rsidRPr="00A83C94">
              <w:rPr>
                <w:bCs/>
                <w:color w:val="000000"/>
                <w:sz w:val="16"/>
                <w:szCs w:val="16"/>
                <w:lang w:val="en-US" w:eastAsia="en-US"/>
              </w:rPr>
              <w:t>Երևանի</w:t>
            </w:r>
            <w:r w:rsidRPr="00A83C94">
              <w:rPr>
                <w:bCs/>
                <w:color w:val="000000"/>
                <w:sz w:val="16"/>
                <w:szCs w:val="16"/>
                <w:lang w:eastAsia="en-US"/>
              </w:rPr>
              <w:t xml:space="preserve"> </w:t>
            </w:r>
            <w:r w:rsidRPr="00A83C94">
              <w:rPr>
                <w:bCs/>
                <w:color w:val="000000"/>
                <w:sz w:val="16"/>
                <w:szCs w:val="16"/>
                <w:lang w:val="en-US" w:eastAsia="en-US"/>
              </w:rPr>
              <w:t>մետրոպոլիտեն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shd w:val="clear" w:color="auto" w:fill="D9E2F3"/>
            <w:noWrap/>
            <w:vAlign w:val="bottom"/>
          </w:tcPr>
          <w:p w14:paraId="432E1CE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10,125</w:t>
            </w:r>
          </w:p>
        </w:tc>
        <w:tc>
          <w:tcPr>
            <w:tcW w:w="428" w:type="pct"/>
            <w:shd w:val="clear" w:color="auto" w:fill="D9E2F3"/>
            <w:noWrap/>
            <w:vAlign w:val="bottom"/>
          </w:tcPr>
          <w:p w14:paraId="5B17C87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10,178</w:t>
            </w:r>
          </w:p>
        </w:tc>
        <w:tc>
          <w:tcPr>
            <w:tcW w:w="285" w:type="pct"/>
            <w:shd w:val="clear" w:color="auto" w:fill="D9E2F3"/>
            <w:noWrap/>
            <w:vAlign w:val="bottom"/>
          </w:tcPr>
          <w:p w14:paraId="3A729BC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shd w:val="clear" w:color="auto" w:fill="D9E2F3"/>
            <w:noWrap/>
            <w:vAlign w:val="bottom"/>
          </w:tcPr>
          <w:p w14:paraId="59CF089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16,104</w:t>
            </w:r>
          </w:p>
        </w:tc>
        <w:tc>
          <w:tcPr>
            <w:tcW w:w="429" w:type="pct"/>
            <w:shd w:val="clear" w:color="auto" w:fill="D9E2F3"/>
            <w:noWrap/>
            <w:vAlign w:val="bottom"/>
          </w:tcPr>
          <w:p w14:paraId="768A81B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14,936</w:t>
            </w:r>
          </w:p>
        </w:tc>
        <w:tc>
          <w:tcPr>
            <w:tcW w:w="285" w:type="pct"/>
            <w:shd w:val="clear" w:color="auto" w:fill="D9E2F3"/>
            <w:noWrap/>
            <w:vAlign w:val="bottom"/>
          </w:tcPr>
          <w:p w14:paraId="3AA048E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shd w:val="clear" w:color="auto" w:fill="D9E2F3"/>
            <w:noWrap/>
            <w:vAlign w:val="bottom"/>
          </w:tcPr>
          <w:p w14:paraId="321917D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5,979</w:t>
            </w:r>
          </w:p>
        </w:tc>
        <w:tc>
          <w:tcPr>
            <w:tcW w:w="501" w:type="pct"/>
            <w:shd w:val="clear" w:color="auto" w:fill="D9E2F3"/>
            <w:noWrap/>
            <w:vAlign w:val="bottom"/>
          </w:tcPr>
          <w:p w14:paraId="07B451C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4,759</w:t>
            </w:r>
          </w:p>
        </w:tc>
      </w:tr>
      <w:tr w:rsidR="000E76D9" w:rsidRPr="00A83C94" w14:paraId="297F1441" w14:textId="77777777" w:rsidTr="000E76D9">
        <w:trPr>
          <w:trHeight w:val="300"/>
        </w:trPr>
        <w:tc>
          <w:tcPr>
            <w:tcW w:w="1857" w:type="pct"/>
            <w:noWrap/>
            <w:vAlign w:val="bottom"/>
          </w:tcPr>
          <w:p w14:paraId="3BA29A9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«Էլեկտրաէներգետիկական համակարգի օպերատոր» ՓԲԸ</w:t>
            </w:r>
          </w:p>
        </w:tc>
        <w:tc>
          <w:tcPr>
            <w:tcW w:w="429" w:type="pct"/>
            <w:noWrap/>
            <w:vAlign w:val="bottom"/>
          </w:tcPr>
          <w:p w14:paraId="6810B2B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9,107</w:t>
            </w:r>
          </w:p>
        </w:tc>
        <w:tc>
          <w:tcPr>
            <w:tcW w:w="428" w:type="pct"/>
            <w:noWrap/>
            <w:vAlign w:val="bottom"/>
          </w:tcPr>
          <w:p w14:paraId="63A53B5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10,346</w:t>
            </w:r>
          </w:p>
        </w:tc>
        <w:tc>
          <w:tcPr>
            <w:tcW w:w="285" w:type="pct"/>
            <w:noWrap/>
            <w:vAlign w:val="bottom"/>
          </w:tcPr>
          <w:p w14:paraId="54E1AA0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noWrap/>
            <w:vAlign w:val="bottom"/>
          </w:tcPr>
          <w:p w14:paraId="7043D3C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13,809</w:t>
            </w:r>
          </w:p>
        </w:tc>
        <w:tc>
          <w:tcPr>
            <w:tcW w:w="429" w:type="pct"/>
            <w:noWrap/>
            <w:vAlign w:val="bottom"/>
          </w:tcPr>
          <w:p w14:paraId="7521982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14,190</w:t>
            </w:r>
          </w:p>
        </w:tc>
        <w:tc>
          <w:tcPr>
            <w:tcW w:w="285" w:type="pct"/>
            <w:noWrap/>
            <w:vAlign w:val="bottom"/>
          </w:tcPr>
          <w:p w14:paraId="24D7A01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noWrap/>
            <w:vAlign w:val="bottom"/>
          </w:tcPr>
          <w:p w14:paraId="7F25263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4,702</w:t>
            </w:r>
          </w:p>
        </w:tc>
        <w:tc>
          <w:tcPr>
            <w:tcW w:w="501" w:type="pct"/>
            <w:noWrap/>
            <w:vAlign w:val="bottom"/>
          </w:tcPr>
          <w:p w14:paraId="4F37C4A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3,844</w:t>
            </w:r>
          </w:p>
        </w:tc>
      </w:tr>
      <w:tr w:rsidR="000E76D9" w:rsidRPr="00A83C94" w14:paraId="6C1BB7E3" w14:textId="77777777" w:rsidTr="000E76D9">
        <w:trPr>
          <w:trHeight w:val="300"/>
        </w:trPr>
        <w:tc>
          <w:tcPr>
            <w:tcW w:w="1857" w:type="pct"/>
            <w:shd w:val="clear" w:color="auto" w:fill="D9E2F3"/>
            <w:noWrap/>
            <w:vAlign w:val="bottom"/>
          </w:tcPr>
          <w:p w14:paraId="0B38CB3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Հայփոստ» ՓԲԸ</w:t>
            </w:r>
          </w:p>
        </w:tc>
        <w:tc>
          <w:tcPr>
            <w:tcW w:w="429" w:type="pct"/>
            <w:shd w:val="clear" w:color="auto" w:fill="D9E2F3"/>
            <w:noWrap/>
            <w:vAlign w:val="bottom"/>
          </w:tcPr>
          <w:p w14:paraId="1CD7FEE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10,427</w:t>
            </w:r>
          </w:p>
        </w:tc>
        <w:tc>
          <w:tcPr>
            <w:tcW w:w="428" w:type="pct"/>
            <w:shd w:val="clear" w:color="auto" w:fill="D9E2F3"/>
            <w:noWrap/>
            <w:vAlign w:val="bottom"/>
          </w:tcPr>
          <w:p w14:paraId="2559BCA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11,248</w:t>
            </w:r>
          </w:p>
        </w:tc>
        <w:tc>
          <w:tcPr>
            <w:tcW w:w="285" w:type="pct"/>
            <w:shd w:val="clear" w:color="auto" w:fill="D9E2F3"/>
            <w:noWrap/>
            <w:vAlign w:val="bottom"/>
          </w:tcPr>
          <w:p w14:paraId="7EA828D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shd w:val="clear" w:color="auto" w:fill="D9E2F3"/>
            <w:noWrap/>
            <w:vAlign w:val="bottom"/>
          </w:tcPr>
          <w:p w14:paraId="1434955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24,342</w:t>
            </w:r>
          </w:p>
        </w:tc>
        <w:tc>
          <w:tcPr>
            <w:tcW w:w="429" w:type="pct"/>
            <w:shd w:val="clear" w:color="auto" w:fill="D9E2F3"/>
            <w:noWrap/>
            <w:vAlign w:val="bottom"/>
          </w:tcPr>
          <w:p w14:paraId="405198D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24,621</w:t>
            </w:r>
          </w:p>
        </w:tc>
        <w:tc>
          <w:tcPr>
            <w:tcW w:w="285" w:type="pct"/>
            <w:shd w:val="clear" w:color="auto" w:fill="D9E2F3"/>
            <w:noWrap/>
            <w:vAlign w:val="bottom"/>
          </w:tcPr>
          <w:p w14:paraId="156194C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w:t>
            </w:r>
          </w:p>
        </w:tc>
        <w:tc>
          <w:tcPr>
            <w:tcW w:w="357" w:type="pct"/>
            <w:shd w:val="clear" w:color="auto" w:fill="D9E2F3"/>
            <w:noWrap/>
            <w:vAlign w:val="bottom"/>
          </w:tcPr>
          <w:p w14:paraId="5B96396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13,915</w:t>
            </w:r>
          </w:p>
        </w:tc>
        <w:tc>
          <w:tcPr>
            <w:tcW w:w="501" w:type="pct"/>
            <w:shd w:val="clear" w:color="auto" w:fill="D9E2F3"/>
            <w:noWrap/>
            <w:vAlign w:val="bottom"/>
          </w:tcPr>
          <w:p w14:paraId="2D247EA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13,373</w:t>
            </w:r>
          </w:p>
        </w:tc>
      </w:tr>
      <w:tr w:rsidR="000E76D9" w:rsidRPr="00A83C94" w14:paraId="28A2473F" w14:textId="77777777" w:rsidTr="000E76D9">
        <w:trPr>
          <w:trHeight w:val="300"/>
        </w:trPr>
        <w:tc>
          <w:tcPr>
            <w:tcW w:w="1857" w:type="pct"/>
            <w:noWrap/>
            <w:vAlign w:val="bottom"/>
          </w:tcPr>
          <w:p w14:paraId="7E6A7CE4"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Ծաղկաձորի գլխավոր մարզահամալիր ՓԲԸ</w:t>
            </w:r>
          </w:p>
        </w:tc>
        <w:tc>
          <w:tcPr>
            <w:tcW w:w="429" w:type="pct"/>
            <w:noWrap/>
            <w:vAlign w:val="bottom"/>
          </w:tcPr>
          <w:p w14:paraId="564639B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8,607</w:t>
            </w:r>
          </w:p>
        </w:tc>
        <w:tc>
          <w:tcPr>
            <w:tcW w:w="428" w:type="pct"/>
            <w:noWrap/>
            <w:vAlign w:val="bottom"/>
          </w:tcPr>
          <w:p w14:paraId="5F217AF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w:t>
            </w:r>
          </w:p>
        </w:tc>
        <w:tc>
          <w:tcPr>
            <w:tcW w:w="285" w:type="pct"/>
            <w:noWrap/>
            <w:vAlign w:val="bottom"/>
          </w:tcPr>
          <w:p w14:paraId="22786E1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01243FF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8,646</w:t>
            </w:r>
          </w:p>
        </w:tc>
        <w:tc>
          <w:tcPr>
            <w:tcW w:w="429" w:type="pct"/>
            <w:noWrap/>
            <w:vAlign w:val="bottom"/>
          </w:tcPr>
          <w:p w14:paraId="66B60DB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w:t>
            </w:r>
          </w:p>
        </w:tc>
        <w:tc>
          <w:tcPr>
            <w:tcW w:w="285" w:type="pct"/>
            <w:noWrap/>
            <w:vAlign w:val="bottom"/>
          </w:tcPr>
          <w:p w14:paraId="7139076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33DE3BF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39</w:t>
            </w:r>
          </w:p>
        </w:tc>
        <w:tc>
          <w:tcPr>
            <w:tcW w:w="501" w:type="pct"/>
            <w:noWrap/>
            <w:vAlign w:val="bottom"/>
          </w:tcPr>
          <w:p w14:paraId="6FAF06B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w:t>
            </w:r>
          </w:p>
        </w:tc>
      </w:tr>
      <w:tr w:rsidR="000E76D9" w:rsidRPr="00A83C94" w14:paraId="60CD91E9" w14:textId="77777777" w:rsidTr="000E76D9">
        <w:trPr>
          <w:trHeight w:val="300"/>
        </w:trPr>
        <w:tc>
          <w:tcPr>
            <w:tcW w:w="1857" w:type="pct"/>
            <w:shd w:val="clear" w:color="auto" w:fill="D9E2F3"/>
            <w:noWrap/>
            <w:vAlign w:val="bottom"/>
          </w:tcPr>
          <w:p w14:paraId="7493F38E"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Հայսատանի հանրային հեռուստաընկերություն» ՓԲԸ</w:t>
            </w:r>
          </w:p>
        </w:tc>
        <w:tc>
          <w:tcPr>
            <w:tcW w:w="429" w:type="pct"/>
            <w:shd w:val="clear" w:color="auto" w:fill="D9E2F3"/>
            <w:noWrap/>
            <w:vAlign w:val="bottom"/>
          </w:tcPr>
          <w:p w14:paraId="6AF38D3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5,680</w:t>
            </w:r>
          </w:p>
        </w:tc>
        <w:tc>
          <w:tcPr>
            <w:tcW w:w="428" w:type="pct"/>
            <w:shd w:val="clear" w:color="auto" w:fill="D9E2F3"/>
            <w:noWrap/>
            <w:vAlign w:val="bottom"/>
          </w:tcPr>
          <w:p w14:paraId="1C7D4FE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4,198</w:t>
            </w:r>
          </w:p>
        </w:tc>
        <w:tc>
          <w:tcPr>
            <w:tcW w:w="285" w:type="pct"/>
            <w:shd w:val="clear" w:color="auto" w:fill="D9E2F3"/>
            <w:noWrap/>
            <w:vAlign w:val="bottom"/>
          </w:tcPr>
          <w:p w14:paraId="0E6FDB9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shd w:val="clear" w:color="auto" w:fill="D9E2F3"/>
            <w:noWrap/>
            <w:vAlign w:val="bottom"/>
          </w:tcPr>
          <w:p w14:paraId="7447F4F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8,840</w:t>
            </w:r>
          </w:p>
        </w:tc>
        <w:tc>
          <w:tcPr>
            <w:tcW w:w="429" w:type="pct"/>
            <w:shd w:val="clear" w:color="auto" w:fill="D9E2F3"/>
            <w:noWrap/>
            <w:vAlign w:val="bottom"/>
          </w:tcPr>
          <w:p w14:paraId="078C872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7,810</w:t>
            </w:r>
          </w:p>
        </w:tc>
        <w:tc>
          <w:tcPr>
            <w:tcW w:w="285" w:type="pct"/>
            <w:shd w:val="clear" w:color="auto" w:fill="D9E2F3"/>
            <w:noWrap/>
            <w:vAlign w:val="bottom"/>
          </w:tcPr>
          <w:p w14:paraId="3529FFF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shd w:val="clear" w:color="auto" w:fill="D9E2F3"/>
            <w:noWrap/>
            <w:vAlign w:val="bottom"/>
          </w:tcPr>
          <w:p w14:paraId="274E93C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3,160</w:t>
            </w:r>
          </w:p>
        </w:tc>
        <w:tc>
          <w:tcPr>
            <w:tcW w:w="501" w:type="pct"/>
            <w:shd w:val="clear" w:color="auto" w:fill="D9E2F3"/>
            <w:noWrap/>
            <w:vAlign w:val="bottom"/>
          </w:tcPr>
          <w:p w14:paraId="0C8837B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3,612</w:t>
            </w:r>
          </w:p>
        </w:tc>
      </w:tr>
      <w:tr w:rsidR="000E76D9" w:rsidRPr="00A83C94" w14:paraId="35A669FC" w14:textId="77777777" w:rsidTr="000E76D9">
        <w:trPr>
          <w:trHeight w:val="300"/>
        </w:trPr>
        <w:tc>
          <w:tcPr>
            <w:tcW w:w="1857" w:type="pct"/>
            <w:noWrap/>
            <w:vAlign w:val="bottom"/>
          </w:tcPr>
          <w:p w14:paraId="49638736"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eastAsia="en-US"/>
              </w:rPr>
              <w:t>«</w:t>
            </w:r>
            <w:r w:rsidRPr="00A83C94">
              <w:rPr>
                <w:bCs/>
                <w:color w:val="000000"/>
                <w:sz w:val="16"/>
                <w:szCs w:val="16"/>
                <w:lang w:val="en-US" w:eastAsia="en-US"/>
              </w:rPr>
              <w:t>Վ</w:t>
            </w:r>
            <w:r w:rsidRPr="00A83C94">
              <w:rPr>
                <w:bCs/>
                <w:color w:val="000000"/>
                <w:sz w:val="16"/>
                <w:szCs w:val="16"/>
                <w:lang w:eastAsia="en-US"/>
              </w:rPr>
              <w:t xml:space="preserve">. </w:t>
            </w:r>
            <w:r w:rsidRPr="00A83C94">
              <w:rPr>
                <w:bCs/>
                <w:color w:val="000000"/>
                <w:sz w:val="16"/>
                <w:szCs w:val="16"/>
                <w:lang w:val="en-US" w:eastAsia="en-US"/>
              </w:rPr>
              <w:t>Ա</w:t>
            </w:r>
            <w:r w:rsidRPr="00A83C94">
              <w:rPr>
                <w:bCs/>
                <w:color w:val="000000"/>
                <w:sz w:val="16"/>
                <w:szCs w:val="16"/>
                <w:lang w:eastAsia="en-US"/>
              </w:rPr>
              <w:t xml:space="preserve">. </w:t>
            </w:r>
            <w:r w:rsidRPr="00A83C94">
              <w:rPr>
                <w:bCs/>
                <w:color w:val="000000"/>
                <w:sz w:val="16"/>
                <w:szCs w:val="16"/>
                <w:lang w:val="en-US" w:eastAsia="en-US"/>
              </w:rPr>
              <w:t>Ֆանարջյանի</w:t>
            </w:r>
            <w:r w:rsidRPr="00A83C94">
              <w:rPr>
                <w:bCs/>
                <w:color w:val="000000"/>
                <w:sz w:val="16"/>
                <w:szCs w:val="16"/>
                <w:lang w:eastAsia="en-US"/>
              </w:rPr>
              <w:t xml:space="preserve"> </w:t>
            </w:r>
            <w:r w:rsidRPr="00A83C94">
              <w:rPr>
                <w:bCs/>
                <w:color w:val="000000"/>
                <w:sz w:val="16"/>
                <w:szCs w:val="16"/>
                <w:lang w:val="en-US" w:eastAsia="en-US"/>
              </w:rPr>
              <w:t>անվան</w:t>
            </w:r>
            <w:r w:rsidRPr="00A83C94">
              <w:rPr>
                <w:bCs/>
                <w:color w:val="000000"/>
                <w:sz w:val="16"/>
                <w:szCs w:val="16"/>
                <w:lang w:eastAsia="en-US"/>
              </w:rPr>
              <w:t xml:space="preserve"> </w:t>
            </w:r>
            <w:r w:rsidRPr="00A83C94">
              <w:rPr>
                <w:bCs/>
                <w:color w:val="000000"/>
                <w:sz w:val="16"/>
                <w:szCs w:val="16"/>
                <w:lang w:val="en-US" w:eastAsia="en-US"/>
              </w:rPr>
              <w:t>ուռուցքաբանության</w:t>
            </w:r>
            <w:r w:rsidRPr="00A83C94">
              <w:rPr>
                <w:bCs/>
                <w:color w:val="000000"/>
                <w:sz w:val="16"/>
                <w:szCs w:val="16"/>
                <w:lang w:eastAsia="en-US"/>
              </w:rPr>
              <w:t xml:space="preserve"> </w:t>
            </w:r>
            <w:r w:rsidRPr="00A83C94">
              <w:rPr>
                <w:bCs/>
                <w:color w:val="000000"/>
                <w:sz w:val="16"/>
                <w:szCs w:val="16"/>
                <w:lang w:val="en-US" w:eastAsia="en-US"/>
              </w:rPr>
              <w:t>ազգային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noWrap/>
            <w:vAlign w:val="bottom"/>
          </w:tcPr>
          <w:p w14:paraId="0A470E3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6,150</w:t>
            </w:r>
          </w:p>
        </w:tc>
        <w:tc>
          <w:tcPr>
            <w:tcW w:w="428" w:type="pct"/>
            <w:noWrap/>
            <w:vAlign w:val="bottom"/>
          </w:tcPr>
          <w:p w14:paraId="62F9278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4,064</w:t>
            </w:r>
          </w:p>
        </w:tc>
        <w:tc>
          <w:tcPr>
            <w:tcW w:w="285" w:type="pct"/>
            <w:noWrap/>
            <w:vAlign w:val="bottom"/>
          </w:tcPr>
          <w:p w14:paraId="0B6E2DD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noWrap/>
            <w:vAlign w:val="bottom"/>
          </w:tcPr>
          <w:p w14:paraId="1CE0D1F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6,150</w:t>
            </w:r>
          </w:p>
        </w:tc>
        <w:tc>
          <w:tcPr>
            <w:tcW w:w="429" w:type="pct"/>
            <w:noWrap/>
            <w:vAlign w:val="bottom"/>
          </w:tcPr>
          <w:p w14:paraId="77E2DFA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6,893</w:t>
            </w:r>
          </w:p>
        </w:tc>
        <w:tc>
          <w:tcPr>
            <w:tcW w:w="285" w:type="pct"/>
            <w:noWrap/>
            <w:vAlign w:val="bottom"/>
          </w:tcPr>
          <w:p w14:paraId="55AB8A2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noWrap/>
            <w:vAlign w:val="bottom"/>
          </w:tcPr>
          <w:p w14:paraId="30DFA45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2,969</w:t>
            </w:r>
          </w:p>
        </w:tc>
        <w:tc>
          <w:tcPr>
            <w:tcW w:w="501" w:type="pct"/>
            <w:noWrap/>
            <w:vAlign w:val="bottom"/>
          </w:tcPr>
          <w:p w14:paraId="0EB0F4A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2,829</w:t>
            </w:r>
          </w:p>
        </w:tc>
      </w:tr>
      <w:tr w:rsidR="000E76D9" w:rsidRPr="00A83C94" w14:paraId="3075A9A3" w14:textId="77777777" w:rsidTr="000E76D9">
        <w:trPr>
          <w:trHeight w:val="300"/>
        </w:trPr>
        <w:tc>
          <w:tcPr>
            <w:tcW w:w="1857" w:type="pct"/>
            <w:shd w:val="clear" w:color="auto" w:fill="D9E2F3"/>
            <w:noWrap/>
            <w:vAlign w:val="bottom"/>
          </w:tcPr>
          <w:p w14:paraId="4C3CAEAE"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Նաիրիտ-2» ՓԲԸ</w:t>
            </w:r>
          </w:p>
        </w:tc>
        <w:tc>
          <w:tcPr>
            <w:tcW w:w="429" w:type="pct"/>
            <w:shd w:val="clear" w:color="auto" w:fill="D9E2F3"/>
            <w:noWrap/>
            <w:vAlign w:val="bottom"/>
          </w:tcPr>
          <w:p w14:paraId="4F0623A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6,110</w:t>
            </w:r>
          </w:p>
        </w:tc>
        <w:tc>
          <w:tcPr>
            <w:tcW w:w="428" w:type="pct"/>
            <w:shd w:val="clear" w:color="auto" w:fill="D9E2F3"/>
            <w:noWrap/>
            <w:vAlign w:val="bottom"/>
          </w:tcPr>
          <w:p w14:paraId="39927A5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6,117</w:t>
            </w:r>
          </w:p>
        </w:tc>
        <w:tc>
          <w:tcPr>
            <w:tcW w:w="285" w:type="pct"/>
            <w:shd w:val="clear" w:color="auto" w:fill="D9E2F3"/>
            <w:noWrap/>
            <w:vAlign w:val="bottom"/>
          </w:tcPr>
          <w:p w14:paraId="436CFA3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shd w:val="clear" w:color="auto" w:fill="D9E2F3"/>
            <w:noWrap/>
            <w:vAlign w:val="bottom"/>
          </w:tcPr>
          <w:p w14:paraId="46C7947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15,284</w:t>
            </w:r>
          </w:p>
        </w:tc>
        <w:tc>
          <w:tcPr>
            <w:tcW w:w="429" w:type="pct"/>
            <w:shd w:val="clear" w:color="auto" w:fill="D9E2F3"/>
            <w:noWrap/>
            <w:vAlign w:val="bottom"/>
          </w:tcPr>
          <w:p w14:paraId="7197E24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14,609</w:t>
            </w:r>
          </w:p>
        </w:tc>
        <w:tc>
          <w:tcPr>
            <w:tcW w:w="285" w:type="pct"/>
            <w:shd w:val="clear" w:color="auto" w:fill="D9E2F3"/>
            <w:noWrap/>
            <w:vAlign w:val="bottom"/>
          </w:tcPr>
          <w:p w14:paraId="6AD00B4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shd w:val="clear" w:color="auto" w:fill="D9E2F3"/>
            <w:noWrap/>
            <w:vAlign w:val="bottom"/>
          </w:tcPr>
          <w:p w14:paraId="4A4E05E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9,174</w:t>
            </w:r>
          </w:p>
        </w:tc>
        <w:tc>
          <w:tcPr>
            <w:tcW w:w="501" w:type="pct"/>
            <w:shd w:val="clear" w:color="auto" w:fill="D9E2F3"/>
            <w:noWrap/>
            <w:vAlign w:val="bottom"/>
          </w:tcPr>
          <w:p w14:paraId="2E4537A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8,492</w:t>
            </w:r>
          </w:p>
        </w:tc>
      </w:tr>
      <w:tr w:rsidR="000E76D9" w:rsidRPr="00A83C94" w14:paraId="27FBF135" w14:textId="77777777" w:rsidTr="000E76D9">
        <w:trPr>
          <w:trHeight w:val="300"/>
        </w:trPr>
        <w:tc>
          <w:tcPr>
            <w:tcW w:w="1857" w:type="pct"/>
            <w:noWrap/>
            <w:vAlign w:val="bottom"/>
          </w:tcPr>
          <w:p w14:paraId="2CF99820"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Նորք</w:t>
            </w:r>
            <w:r w:rsidRPr="00A83C94">
              <w:rPr>
                <w:bCs/>
                <w:color w:val="000000"/>
                <w:sz w:val="16"/>
                <w:szCs w:val="16"/>
                <w:lang w:eastAsia="en-US"/>
              </w:rPr>
              <w:t xml:space="preserve"> </w:t>
            </w:r>
            <w:r w:rsidRPr="00A83C94">
              <w:rPr>
                <w:bCs/>
                <w:color w:val="000000"/>
                <w:sz w:val="16"/>
                <w:szCs w:val="16"/>
                <w:lang w:val="en-US" w:eastAsia="en-US"/>
              </w:rPr>
              <w:t>Մարաշ</w:t>
            </w:r>
            <w:r w:rsidRPr="00A83C94">
              <w:rPr>
                <w:bCs/>
                <w:color w:val="000000"/>
                <w:sz w:val="16"/>
                <w:szCs w:val="16"/>
                <w:lang w:eastAsia="en-US"/>
              </w:rPr>
              <w:t xml:space="preserve"> </w:t>
            </w:r>
            <w:r w:rsidRPr="00A83C94">
              <w:rPr>
                <w:bCs/>
                <w:color w:val="000000"/>
                <w:sz w:val="16"/>
                <w:szCs w:val="16"/>
                <w:lang w:val="en-US" w:eastAsia="en-US"/>
              </w:rPr>
              <w:t>բժշկական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noWrap/>
            <w:vAlign w:val="bottom"/>
          </w:tcPr>
          <w:p w14:paraId="7E4DC92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5,741</w:t>
            </w:r>
          </w:p>
        </w:tc>
        <w:tc>
          <w:tcPr>
            <w:tcW w:w="428" w:type="pct"/>
            <w:noWrap/>
            <w:vAlign w:val="bottom"/>
          </w:tcPr>
          <w:p w14:paraId="092AF2F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6,321</w:t>
            </w:r>
          </w:p>
        </w:tc>
        <w:tc>
          <w:tcPr>
            <w:tcW w:w="285" w:type="pct"/>
            <w:noWrap/>
            <w:vAlign w:val="bottom"/>
          </w:tcPr>
          <w:p w14:paraId="4FB7320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noWrap/>
            <w:vAlign w:val="bottom"/>
          </w:tcPr>
          <w:p w14:paraId="42067FD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5,822</w:t>
            </w:r>
          </w:p>
        </w:tc>
        <w:tc>
          <w:tcPr>
            <w:tcW w:w="429" w:type="pct"/>
            <w:noWrap/>
            <w:vAlign w:val="bottom"/>
          </w:tcPr>
          <w:p w14:paraId="0E636AB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5,542</w:t>
            </w:r>
          </w:p>
        </w:tc>
        <w:tc>
          <w:tcPr>
            <w:tcW w:w="285" w:type="pct"/>
            <w:noWrap/>
            <w:vAlign w:val="bottom"/>
          </w:tcPr>
          <w:p w14:paraId="1702DCB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noWrap/>
            <w:vAlign w:val="bottom"/>
          </w:tcPr>
          <w:p w14:paraId="63DAC66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80</w:t>
            </w:r>
          </w:p>
        </w:tc>
        <w:tc>
          <w:tcPr>
            <w:tcW w:w="501" w:type="pct"/>
            <w:noWrap/>
            <w:vAlign w:val="bottom"/>
          </w:tcPr>
          <w:p w14:paraId="5AF945E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(779)</w:t>
            </w:r>
          </w:p>
        </w:tc>
      </w:tr>
      <w:tr w:rsidR="000E76D9" w:rsidRPr="00A83C94" w14:paraId="5C6C12D7" w14:textId="77777777" w:rsidTr="000E76D9">
        <w:trPr>
          <w:trHeight w:val="300"/>
        </w:trPr>
        <w:tc>
          <w:tcPr>
            <w:tcW w:w="1857" w:type="pct"/>
            <w:shd w:val="clear" w:color="auto" w:fill="D9E2F3"/>
            <w:noWrap/>
            <w:vAlign w:val="bottom"/>
          </w:tcPr>
          <w:p w14:paraId="076157DF"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Ռադիոիզոտոպների արտադրության կենտրոն» ՓԲԸ</w:t>
            </w:r>
          </w:p>
        </w:tc>
        <w:tc>
          <w:tcPr>
            <w:tcW w:w="429" w:type="pct"/>
            <w:shd w:val="clear" w:color="auto" w:fill="D9E2F3"/>
            <w:noWrap/>
            <w:vAlign w:val="bottom"/>
          </w:tcPr>
          <w:p w14:paraId="3C74C2C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2,889</w:t>
            </w:r>
          </w:p>
        </w:tc>
        <w:tc>
          <w:tcPr>
            <w:tcW w:w="428" w:type="pct"/>
            <w:shd w:val="clear" w:color="auto" w:fill="D9E2F3"/>
            <w:noWrap/>
            <w:vAlign w:val="bottom"/>
          </w:tcPr>
          <w:p w14:paraId="6661320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4,548</w:t>
            </w:r>
          </w:p>
        </w:tc>
        <w:tc>
          <w:tcPr>
            <w:tcW w:w="285" w:type="pct"/>
            <w:shd w:val="clear" w:color="auto" w:fill="D9E2F3"/>
            <w:noWrap/>
            <w:vAlign w:val="bottom"/>
          </w:tcPr>
          <w:p w14:paraId="39C9C37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429" w:type="pct"/>
            <w:shd w:val="clear" w:color="auto" w:fill="D9E2F3"/>
            <w:noWrap/>
            <w:vAlign w:val="bottom"/>
          </w:tcPr>
          <w:p w14:paraId="0C5C5C3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2,470</w:t>
            </w:r>
          </w:p>
        </w:tc>
        <w:tc>
          <w:tcPr>
            <w:tcW w:w="429" w:type="pct"/>
            <w:shd w:val="clear" w:color="auto" w:fill="D9E2F3"/>
            <w:noWrap/>
            <w:vAlign w:val="bottom"/>
          </w:tcPr>
          <w:p w14:paraId="4E495A8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3,857</w:t>
            </w:r>
          </w:p>
        </w:tc>
        <w:tc>
          <w:tcPr>
            <w:tcW w:w="285" w:type="pct"/>
            <w:shd w:val="clear" w:color="auto" w:fill="D9E2F3"/>
            <w:noWrap/>
            <w:vAlign w:val="bottom"/>
          </w:tcPr>
          <w:p w14:paraId="6F21E220"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shd w:val="clear" w:color="auto" w:fill="D9E2F3"/>
            <w:noWrap/>
            <w:vAlign w:val="bottom"/>
          </w:tcPr>
          <w:p w14:paraId="01ECC89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(419)</w:t>
            </w:r>
          </w:p>
        </w:tc>
        <w:tc>
          <w:tcPr>
            <w:tcW w:w="501" w:type="pct"/>
            <w:shd w:val="clear" w:color="auto" w:fill="D9E2F3"/>
            <w:noWrap/>
            <w:vAlign w:val="bottom"/>
          </w:tcPr>
          <w:p w14:paraId="73D8BA3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(691)</w:t>
            </w:r>
          </w:p>
        </w:tc>
      </w:tr>
      <w:tr w:rsidR="000E76D9" w:rsidRPr="00A83C94" w14:paraId="6F74772C" w14:textId="77777777" w:rsidTr="000E76D9">
        <w:trPr>
          <w:trHeight w:val="300"/>
        </w:trPr>
        <w:tc>
          <w:tcPr>
            <w:tcW w:w="1857" w:type="pct"/>
            <w:noWrap/>
            <w:vAlign w:val="bottom"/>
          </w:tcPr>
          <w:p w14:paraId="391BAAA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Արտաշատի բժշկական կենտրոն ՓԲԸ</w:t>
            </w:r>
          </w:p>
        </w:tc>
        <w:tc>
          <w:tcPr>
            <w:tcW w:w="429" w:type="pct"/>
            <w:noWrap/>
            <w:vAlign w:val="bottom"/>
          </w:tcPr>
          <w:p w14:paraId="756DCB3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2,483</w:t>
            </w:r>
          </w:p>
        </w:tc>
        <w:tc>
          <w:tcPr>
            <w:tcW w:w="428" w:type="pct"/>
            <w:noWrap/>
            <w:vAlign w:val="bottom"/>
          </w:tcPr>
          <w:p w14:paraId="101ABA7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18</w:t>
            </w:r>
          </w:p>
        </w:tc>
        <w:tc>
          <w:tcPr>
            <w:tcW w:w="285" w:type="pct"/>
            <w:noWrap/>
            <w:vAlign w:val="bottom"/>
          </w:tcPr>
          <w:p w14:paraId="6C6FBF2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1604C17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2,404</w:t>
            </w:r>
          </w:p>
        </w:tc>
        <w:tc>
          <w:tcPr>
            <w:tcW w:w="429" w:type="pct"/>
            <w:noWrap/>
            <w:vAlign w:val="bottom"/>
          </w:tcPr>
          <w:p w14:paraId="4F7EAF9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2,539</w:t>
            </w:r>
          </w:p>
        </w:tc>
        <w:tc>
          <w:tcPr>
            <w:tcW w:w="285" w:type="pct"/>
            <w:noWrap/>
            <w:vAlign w:val="bottom"/>
          </w:tcPr>
          <w:p w14:paraId="4A23515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47F4E28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2,383</w:t>
            </w:r>
          </w:p>
        </w:tc>
        <w:tc>
          <w:tcPr>
            <w:tcW w:w="501" w:type="pct"/>
            <w:noWrap/>
            <w:vAlign w:val="bottom"/>
          </w:tcPr>
          <w:p w14:paraId="18A43AE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1,988</w:t>
            </w:r>
          </w:p>
        </w:tc>
      </w:tr>
      <w:tr w:rsidR="000E76D9" w:rsidRPr="00A83C94" w14:paraId="18B7A0CA" w14:textId="77777777" w:rsidTr="000E76D9">
        <w:trPr>
          <w:trHeight w:val="300"/>
        </w:trPr>
        <w:tc>
          <w:tcPr>
            <w:tcW w:w="1857" w:type="pct"/>
            <w:shd w:val="clear" w:color="auto" w:fill="D9E2F3"/>
            <w:noWrap/>
            <w:vAlign w:val="bottom"/>
          </w:tcPr>
          <w:p w14:paraId="620CC938"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Սուրբ</w:t>
            </w:r>
            <w:r w:rsidRPr="00A83C94">
              <w:rPr>
                <w:bCs/>
                <w:color w:val="000000"/>
                <w:sz w:val="16"/>
                <w:szCs w:val="16"/>
                <w:lang w:eastAsia="en-US"/>
              </w:rPr>
              <w:t xml:space="preserve"> </w:t>
            </w:r>
            <w:r w:rsidRPr="00A83C94">
              <w:rPr>
                <w:bCs/>
                <w:color w:val="000000"/>
                <w:sz w:val="16"/>
                <w:szCs w:val="16"/>
                <w:lang w:val="en-US" w:eastAsia="en-US"/>
              </w:rPr>
              <w:t>Գրիգոր</w:t>
            </w:r>
            <w:r w:rsidRPr="00A83C94">
              <w:rPr>
                <w:bCs/>
                <w:color w:val="000000"/>
                <w:sz w:val="16"/>
                <w:szCs w:val="16"/>
                <w:lang w:eastAsia="en-US"/>
              </w:rPr>
              <w:t xml:space="preserve"> </w:t>
            </w:r>
            <w:r w:rsidRPr="00A83C94">
              <w:rPr>
                <w:bCs/>
                <w:color w:val="000000"/>
                <w:sz w:val="16"/>
                <w:szCs w:val="16"/>
                <w:lang w:val="en-US" w:eastAsia="en-US"/>
              </w:rPr>
              <w:t>Լուսավորիչ</w:t>
            </w:r>
            <w:r w:rsidRPr="00A83C94">
              <w:rPr>
                <w:bCs/>
                <w:color w:val="000000"/>
                <w:sz w:val="16"/>
                <w:szCs w:val="16"/>
                <w:lang w:eastAsia="en-US"/>
              </w:rPr>
              <w:t xml:space="preserve"> </w:t>
            </w:r>
            <w:r w:rsidRPr="00A83C94">
              <w:rPr>
                <w:bCs/>
                <w:color w:val="000000"/>
                <w:sz w:val="16"/>
                <w:szCs w:val="16"/>
                <w:lang w:val="en-US" w:eastAsia="en-US"/>
              </w:rPr>
              <w:t>բժշկական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shd w:val="clear" w:color="auto" w:fill="D9E2F3"/>
            <w:noWrap/>
            <w:vAlign w:val="bottom"/>
          </w:tcPr>
          <w:p w14:paraId="1F905B7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2,454</w:t>
            </w:r>
          </w:p>
        </w:tc>
        <w:tc>
          <w:tcPr>
            <w:tcW w:w="428" w:type="pct"/>
            <w:shd w:val="clear" w:color="auto" w:fill="D9E2F3"/>
            <w:noWrap/>
            <w:vAlign w:val="bottom"/>
          </w:tcPr>
          <w:p w14:paraId="001189D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8,265</w:t>
            </w:r>
          </w:p>
        </w:tc>
        <w:tc>
          <w:tcPr>
            <w:tcW w:w="285" w:type="pct"/>
            <w:shd w:val="clear" w:color="auto" w:fill="D9E2F3"/>
            <w:noWrap/>
            <w:vAlign w:val="bottom"/>
          </w:tcPr>
          <w:p w14:paraId="3BE2045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429" w:type="pct"/>
            <w:shd w:val="clear" w:color="auto" w:fill="D9E2F3"/>
            <w:noWrap/>
            <w:vAlign w:val="bottom"/>
          </w:tcPr>
          <w:p w14:paraId="68CDC53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11,617</w:t>
            </w:r>
          </w:p>
        </w:tc>
        <w:tc>
          <w:tcPr>
            <w:tcW w:w="429" w:type="pct"/>
            <w:shd w:val="clear" w:color="auto" w:fill="D9E2F3"/>
            <w:noWrap/>
            <w:vAlign w:val="bottom"/>
          </w:tcPr>
          <w:p w14:paraId="3913B24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17,378</w:t>
            </w:r>
          </w:p>
        </w:tc>
        <w:tc>
          <w:tcPr>
            <w:tcW w:w="285" w:type="pct"/>
            <w:shd w:val="clear" w:color="auto" w:fill="D9E2F3"/>
            <w:noWrap/>
            <w:vAlign w:val="bottom"/>
          </w:tcPr>
          <w:p w14:paraId="43AA81A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w:t>
            </w:r>
          </w:p>
        </w:tc>
        <w:tc>
          <w:tcPr>
            <w:tcW w:w="357" w:type="pct"/>
            <w:shd w:val="clear" w:color="auto" w:fill="D9E2F3"/>
            <w:noWrap/>
            <w:vAlign w:val="bottom"/>
          </w:tcPr>
          <w:p w14:paraId="7F3D41F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9,163</w:t>
            </w:r>
          </w:p>
        </w:tc>
        <w:tc>
          <w:tcPr>
            <w:tcW w:w="501" w:type="pct"/>
            <w:shd w:val="clear" w:color="auto" w:fill="D9E2F3"/>
            <w:noWrap/>
            <w:vAlign w:val="bottom"/>
          </w:tcPr>
          <w:p w14:paraId="6C19113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9,113</w:t>
            </w:r>
          </w:p>
        </w:tc>
      </w:tr>
      <w:tr w:rsidR="000E76D9" w:rsidRPr="00A83C94" w14:paraId="40BF47F8" w14:textId="77777777" w:rsidTr="000E76D9">
        <w:trPr>
          <w:trHeight w:val="300"/>
        </w:trPr>
        <w:tc>
          <w:tcPr>
            <w:tcW w:w="1857" w:type="pct"/>
            <w:noWrap/>
            <w:vAlign w:val="bottom"/>
          </w:tcPr>
          <w:p w14:paraId="57A0257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eastAsia="en-US"/>
              </w:rPr>
              <w:t>«</w:t>
            </w:r>
            <w:r w:rsidRPr="00A83C94">
              <w:rPr>
                <w:bCs/>
                <w:color w:val="000000"/>
                <w:sz w:val="16"/>
                <w:szCs w:val="16"/>
                <w:lang w:val="en-US" w:eastAsia="en-US"/>
              </w:rPr>
              <w:t>Պրոֆեսոր</w:t>
            </w:r>
            <w:r w:rsidRPr="00A83C94">
              <w:rPr>
                <w:bCs/>
                <w:color w:val="000000"/>
                <w:sz w:val="16"/>
                <w:szCs w:val="16"/>
                <w:lang w:eastAsia="en-US"/>
              </w:rPr>
              <w:t xml:space="preserve"> </w:t>
            </w:r>
            <w:r w:rsidRPr="00A83C94">
              <w:rPr>
                <w:bCs/>
                <w:color w:val="000000"/>
                <w:sz w:val="16"/>
                <w:szCs w:val="16"/>
                <w:lang w:val="en-US" w:eastAsia="en-US"/>
              </w:rPr>
              <w:t>Ռ</w:t>
            </w:r>
            <w:r w:rsidRPr="00A83C94">
              <w:rPr>
                <w:bCs/>
                <w:color w:val="000000"/>
                <w:sz w:val="16"/>
                <w:szCs w:val="16"/>
                <w:lang w:eastAsia="en-US"/>
              </w:rPr>
              <w:t xml:space="preserve">. </w:t>
            </w:r>
            <w:r w:rsidRPr="00A83C94">
              <w:rPr>
                <w:bCs/>
                <w:color w:val="000000"/>
                <w:sz w:val="16"/>
                <w:szCs w:val="16"/>
                <w:lang w:val="en-US" w:eastAsia="en-US"/>
              </w:rPr>
              <w:t>Օ</w:t>
            </w:r>
            <w:r w:rsidRPr="00A83C94">
              <w:rPr>
                <w:bCs/>
                <w:color w:val="000000"/>
                <w:sz w:val="16"/>
                <w:szCs w:val="16"/>
                <w:lang w:eastAsia="en-US"/>
              </w:rPr>
              <w:t xml:space="preserve">. </w:t>
            </w:r>
            <w:r w:rsidRPr="00A83C94">
              <w:rPr>
                <w:bCs/>
                <w:color w:val="000000"/>
                <w:sz w:val="16"/>
                <w:szCs w:val="16"/>
                <w:lang w:val="en-US" w:eastAsia="en-US"/>
              </w:rPr>
              <w:t>Յոլյանի</w:t>
            </w:r>
            <w:r w:rsidRPr="00A83C94">
              <w:rPr>
                <w:bCs/>
                <w:color w:val="000000"/>
                <w:sz w:val="16"/>
                <w:szCs w:val="16"/>
                <w:lang w:eastAsia="en-US"/>
              </w:rPr>
              <w:t xml:space="preserve"> </w:t>
            </w:r>
            <w:r w:rsidRPr="00A83C94">
              <w:rPr>
                <w:bCs/>
                <w:color w:val="000000"/>
                <w:sz w:val="16"/>
                <w:szCs w:val="16"/>
                <w:lang w:val="en-US" w:eastAsia="en-US"/>
              </w:rPr>
              <w:t>անվան</w:t>
            </w:r>
            <w:r w:rsidRPr="00A83C94">
              <w:rPr>
                <w:bCs/>
                <w:color w:val="000000"/>
                <w:sz w:val="16"/>
                <w:szCs w:val="16"/>
                <w:lang w:eastAsia="en-US"/>
              </w:rPr>
              <w:t xml:space="preserve"> </w:t>
            </w:r>
            <w:r w:rsidRPr="00A83C94">
              <w:rPr>
                <w:bCs/>
                <w:color w:val="000000"/>
                <w:sz w:val="16"/>
                <w:szCs w:val="16"/>
                <w:lang w:val="en-US" w:eastAsia="en-US"/>
              </w:rPr>
              <w:t>արյունաբանական</w:t>
            </w:r>
            <w:r w:rsidRPr="00A83C94">
              <w:rPr>
                <w:bCs/>
                <w:color w:val="000000"/>
                <w:sz w:val="16"/>
                <w:szCs w:val="16"/>
                <w:lang w:eastAsia="en-US"/>
              </w:rPr>
              <w:t xml:space="preserve"> </w:t>
            </w:r>
            <w:r w:rsidRPr="00A83C94">
              <w:rPr>
                <w:bCs/>
                <w:color w:val="000000"/>
                <w:sz w:val="16"/>
                <w:szCs w:val="16"/>
                <w:lang w:val="en-US" w:eastAsia="en-US"/>
              </w:rPr>
              <w:t>կենտրոն</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noWrap/>
            <w:vAlign w:val="bottom"/>
          </w:tcPr>
          <w:p w14:paraId="35C96BD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2,126</w:t>
            </w:r>
          </w:p>
        </w:tc>
        <w:tc>
          <w:tcPr>
            <w:tcW w:w="428" w:type="pct"/>
            <w:noWrap/>
            <w:vAlign w:val="bottom"/>
          </w:tcPr>
          <w:p w14:paraId="0B3BFB3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1,927</w:t>
            </w:r>
          </w:p>
        </w:tc>
        <w:tc>
          <w:tcPr>
            <w:tcW w:w="285" w:type="pct"/>
            <w:noWrap/>
            <w:vAlign w:val="bottom"/>
          </w:tcPr>
          <w:p w14:paraId="172239F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1716744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6,446</w:t>
            </w:r>
          </w:p>
        </w:tc>
        <w:tc>
          <w:tcPr>
            <w:tcW w:w="429" w:type="pct"/>
            <w:noWrap/>
            <w:vAlign w:val="bottom"/>
          </w:tcPr>
          <w:p w14:paraId="537870F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6,158</w:t>
            </w:r>
          </w:p>
        </w:tc>
        <w:tc>
          <w:tcPr>
            <w:tcW w:w="285" w:type="pct"/>
            <w:noWrap/>
            <w:vAlign w:val="bottom"/>
          </w:tcPr>
          <w:p w14:paraId="4E924FA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w:t>
            </w:r>
          </w:p>
        </w:tc>
        <w:tc>
          <w:tcPr>
            <w:tcW w:w="357" w:type="pct"/>
            <w:noWrap/>
            <w:vAlign w:val="bottom"/>
          </w:tcPr>
          <w:p w14:paraId="5E079688"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4,320</w:t>
            </w:r>
          </w:p>
        </w:tc>
        <w:tc>
          <w:tcPr>
            <w:tcW w:w="501" w:type="pct"/>
            <w:noWrap/>
            <w:vAlign w:val="bottom"/>
          </w:tcPr>
          <w:p w14:paraId="6426D4D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4,231</w:t>
            </w:r>
          </w:p>
        </w:tc>
      </w:tr>
      <w:tr w:rsidR="000E76D9" w:rsidRPr="00A83C94" w14:paraId="26E40045" w14:textId="77777777" w:rsidTr="000E76D9">
        <w:trPr>
          <w:trHeight w:val="300"/>
        </w:trPr>
        <w:tc>
          <w:tcPr>
            <w:tcW w:w="1857" w:type="pct"/>
            <w:shd w:val="clear" w:color="auto" w:fill="D9E2F3"/>
            <w:noWrap/>
            <w:vAlign w:val="bottom"/>
          </w:tcPr>
          <w:p w14:paraId="0538BA1B"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Հայավտոկայան ՓԲԸ</w:t>
            </w:r>
          </w:p>
        </w:tc>
        <w:tc>
          <w:tcPr>
            <w:tcW w:w="429" w:type="pct"/>
            <w:shd w:val="clear" w:color="auto" w:fill="D9E2F3"/>
            <w:noWrap/>
            <w:vAlign w:val="bottom"/>
          </w:tcPr>
          <w:p w14:paraId="6C485C7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1,246</w:t>
            </w:r>
          </w:p>
        </w:tc>
        <w:tc>
          <w:tcPr>
            <w:tcW w:w="428" w:type="pct"/>
            <w:shd w:val="clear" w:color="auto" w:fill="D9E2F3"/>
            <w:noWrap/>
            <w:vAlign w:val="bottom"/>
          </w:tcPr>
          <w:p w14:paraId="2F0F7BE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1,243</w:t>
            </w:r>
          </w:p>
        </w:tc>
        <w:tc>
          <w:tcPr>
            <w:tcW w:w="285" w:type="pct"/>
            <w:shd w:val="clear" w:color="auto" w:fill="D9E2F3"/>
            <w:noWrap/>
            <w:vAlign w:val="bottom"/>
          </w:tcPr>
          <w:p w14:paraId="0011E5F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shd w:val="clear" w:color="auto" w:fill="D9E2F3"/>
            <w:noWrap/>
            <w:vAlign w:val="bottom"/>
          </w:tcPr>
          <w:p w14:paraId="49B0681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1,339</w:t>
            </w:r>
          </w:p>
        </w:tc>
        <w:tc>
          <w:tcPr>
            <w:tcW w:w="429" w:type="pct"/>
            <w:shd w:val="clear" w:color="auto" w:fill="D9E2F3"/>
            <w:noWrap/>
            <w:vAlign w:val="bottom"/>
          </w:tcPr>
          <w:p w14:paraId="0F96CE2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1,366</w:t>
            </w:r>
          </w:p>
        </w:tc>
        <w:tc>
          <w:tcPr>
            <w:tcW w:w="285" w:type="pct"/>
            <w:shd w:val="clear" w:color="auto" w:fill="D9E2F3"/>
            <w:noWrap/>
            <w:vAlign w:val="bottom"/>
          </w:tcPr>
          <w:p w14:paraId="2770207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shd w:val="clear" w:color="auto" w:fill="D9E2F3"/>
            <w:noWrap/>
            <w:vAlign w:val="bottom"/>
          </w:tcPr>
          <w:p w14:paraId="139B1F3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93</w:t>
            </w:r>
          </w:p>
        </w:tc>
        <w:tc>
          <w:tcPr>
            <w:tcW w:w="501" w:type="pct"/>
            <w:shd w:val="clear" w:color="auto" w:fill="D9E2F3"/>
            <w:noWrap/>
            <w:vAlign w:val="bottom"/>
          </w:tcPr>
          <w:p w14:paraId="41098FF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123</w:t>
            </w:r>
          </w:p>
        </w:tc>
      </w:tr>
      <w:tr w:rsidR="000E76D9" w:rsidRPr="00A83C94" w14:paraId="2BCE5717" w14:textId="77777777" w:rsidTr="000E76D9">
        <w:trPr>
          <w:trHeight w:val="300"/>
        </w:trPr>
        <w:tc>
          <w:tcPr>
            <w:tcW w:w="1857" w:type="pct"/>
            <w:noWrap/>
            <w:vAlign w:val="bottom"/>
          </w:tcPr>
          <w:p w14:paraId="13EB2A3D"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Շտապբուժօգնություն» ՓԲԸ</w:t>
            </w:r>
          </w:p>
        </w:tc>
        <w:tc>
          <w:tcPr>
            <w:tcW w:w="429" w:type="pct"/>
            <w:noWrap/>
            <w:vAlign w:val="bottom"/>
          </w:tcPr>
          <w:p w14:paraId="3FC0317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1,811</w:t>
            </w:r>
          </w:p>
        </w:tc>
        <w:tc>
          <w:tcPr>
            <w:tcW w:w="428" w:type="pct"/>
            <w:noWrap/>
            <w:vAlign w:val="bottom"/>
          </w:tcPr>
          <w:p w14:paraId="4B366AC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1,630</w:t>
            </w:r>
          </w:p>
        </w:tc>
        <w:tc>
          <w:tcPr>
            <w:tcW w:w="285" w:type="pct"/>
            <w:noWrap/>
            <w:vAlign w:val="bottom"/>
          </w:tcPr>
          <w:p w14:paraId="01AA8E17"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0719B44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3,520</w:t>
            </w:r>
          </w:p>
        </w:tc>
        <w:tc>
          <w:tcPr>
            <w:tcW w:w="429" w:type="pct"/>
            <w:noWrap/>
            <w:vAlign w:val="bottom"/>
          </w:tcPr>
          <w:p w14:paraId="0025591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3,244</w:t>
            </w:r>
          </w:p>
        </w:tc>
        <w:tc>
          <w:tcPr>
            <w:tcW w:w="285" w:type="pct"/>
            <w:noWrap/>
            <w:vAlign w:val="bottom"/>
          </w:tcPr>
          <w:p w14:paraId="33D8982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1751C69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1,709</w:t>
            </w:r>
          </w:p>
        </w:tc>
        <w:tc>
          <w:tcPr>
            <w:tcW w:w="501" w:type="pct"/>
            <w:noWrap/>
            <w:vAlign w:val="bottom"/>
          </w:tcPr>
          <w:p w14:paraId="373C9FE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1,613</w:t>
            </w:r>
          </w:p>
        </w:tc>
      </w:tr>
      <w:tr w:rsidR="000E76D9" w:rsidRPr="00A83C94" w14:paraId="749166DE" w14:textId="77777777" w:rsidTr="000E76D9">
        <w:trPr>
          <w:trHeight w:val="300"/>
        </w:trPr>
        <w:tc>
          <w:tcPr>
            <w:tcW w:w="1857" w:type="pct"/>
            <w:shd w:val="clear" w:color="auto" w:fill="D9E2F3"/>
            <w:noWrap/>
            <w:vAlign w:val="bottom"/>
          </w:tcPr>
          <w:p w14:paraId="25EFCF25"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eastAsia="en-US"/>
              </w:rPr>
              <w:t>«</w:t>
            </w:r>
            <w:r w:rsidRPr="00A83C94">
              <w:rPr>
                <w:bCs/>
                <w:color w:val="000000"/>
                <w:sz w:val="16"/>
                <w:szCs w:val="16"/>
                <w:lang w:val="en-US" w:eastAsia="en-US"/>
              </w:rPr>
              <w:t>Շիրակացու</w:t>
            </w:r>
            <w:r w:rsidRPr="00A83C94">
              <w:rPr>
                <w:bCs/>
                <w:color w:val="000000"/>
                <w:sz w:val="16"/>
                <w:szCs w:val="16"/>
                <w:lang w:eastAsia="en-US"/>
              </w:rPr>
              <w:t xml:space="preserve"> </w:t>
            </w:r>
            <w:r w:rsidRPr="00A83C94">
              <w:rPr>
                <w:bCs/>
                <w:color w:val="000000"/>
                <w:sz w:val="16"/>
                <w:szCs w:val="16"/>
                <w:lang w:val="en-US" w:eastAsia="en-US"/>
              </w:rPr>
              <w:t>ճեմարան</w:t>
            </w:r>
            <w:r w:rsidRPr="00A83C94">
              <w:rPr>
                <w:bCs/>
                <w:color w:val="000000"/>
                <w:sz w:val="16"/>
                <w:szCs w:val="16"/>
                <w:lang w:eastAsia="en-US"/>
              </w:rPr>
              <w:t xml:space="preserve">» </w:t>
            </w:r>
            <w:r w:rsidRPr="00A83C94">
              <w:rPr>
                <w:bCs/>
                <w:color w:val="000000"/>
                <w:sz w:val="16"/>
                <w:szCs w:val="16"/>
                <w:lang w:val="en-US" w:eastAsia="en-US"/>
              </w:rPr>
              <w:t>միջազգային</w:t>
            </w:r>
            <w:r w:rsidRPr="00A83C94">
              <w:rPr>
                <w:bCs/>
                <w:color w:val="000000"/>
                <w:sz w:val="16"/>
                <w:szCs w:val="16"/>
                <w:lang w:eastAsia="en-US"/>
              </w:rPr>
              <w:t xml:space="preserve"> </w:t>
            </w:r>
            <w:r w:rsidRPr="00A83C94">
              <w:rPr>
                <w:bCs/>
                <w:color w:val="000000"/>
                <w:sz w:val="16"/>
                <w:szCs w:val="16"/>
                <w:lang w:val="en-US" w:eastAsia="en-US"/>
              </w:rPr>
              <w:t>գիտակրթական</w:t>
            </w:r>
            <w:r w:rsidRPr="00A83C94">
              <w:rPr>
                <w:bCs/>
                <w:color w:val="000000"/>
                <w:sz w:val="16"/>
                <w:szCs w:val="16"/>
                <w:lang w:eastAsia="en-US"/>
              </w:rPr>
              <w:t xml:space="preserve"> </w:t>
            </w:r>
            <w:r w:rsidRPr="00A83C94">
              <w:rPr>
                <w:bCs/>
                <w:color w:val="000000"/>
                <w:sz w:val="16"/>
                <w:szCs w:val="16"/>
                <w:lang w:val="en-US" w:eastAsia="en-US"/>
              </w:rPr>
              <w:t>համալիր</w:t>
            </w:r>
            <w:r w:rsidRPr="00A83C94">
              <w:rPr>
                <w:bCs/>
                <w:color w:val="000000"/>
                <w:sz w:val="16"/>
                <w:szCs w:val="16"/>
                <w:lang w:eastAsia="en-US"/>
              </w:rPr>
              <w:t xml:space="preserve"> </w:t>
            </w:r>
            <w:r w:rsidRPr="00A83C94">
              <w:rPr>
                <w:bCs/>
                <w:color w:val="000000"/>
                <w:sz w:val="16"/>
                <w:szCs w:val="16"/>
                <w:lang w:val="en-US" w:eastAsia="en-US"/>
              </w:rPr>
              <w:t>ՓԲԸ</w:t>
            </w:r>
          </w:p>
        </w:tc>
        <w:tc>
          <w:tcPr>
            <w:tcW w:w="429" w:type="pct"/>
            <w:shd w:val="clear" w:color="auto" w:fill="D9E2F3"/>
            <w:noWrap/>
            <w:vAlign w:val="bottom"/>
          </w:tcPr>
          <w:p w14:paraId="7BEA845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1,698</w:t>
            </w:r>
          </w:p>
        </w:tc>
        <w:tc>
          <w:tcPr>
            <w:tcW w:w="428" w:type="pct"/>
            <w:shd w:val="clear" w:color="auto" w:fill="D9E2F3"/>
            <w:noWrap/>
            <w:vAlign w:val="bottom"/>
          </w:tcPr>
          <w:p w14:paraId="6EE4363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1,555</w:t>
            </w:r>
          </w:p>
        </w:tc>
        <w:tc>
          <w:tcPr>
            <w:tcW w:w="285" w:type="pct"/>
            <w:shd w:val="clear" w:color="auto" w:fill="D9E2F3"/>
            <w:noWrap/>
            <w:vAlign w:val="bottom"/>
          </w:tcPr>
          <w:p w14:paraId="44013E7D"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shd w:val="clear" w:color="auto" w:fill="D9E2F3"/>
            <w:noWrap/>
            <w:vAlign w:val="bottom"/>
          </w:tcPr>
          <w:p w14:paraId="7EC71F2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2,307</w:t>
            </w:r>
          </w:p>
        </w:tc>
        <w:tc>
          <w:tcPr>
            <w:tcW w:w="429" w:type="pct"/>
            <w:shd w:val="clear" w:color="auto" w:fill="D9E2F3"/>
            <w:noWrap/>
            <w:vAlign w:val="bottom"/>
          </w:tcPr>
          <w:p w14:paraId="3802B133"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2,354</w:t>
            </w:r>
          </w:p>
        </w:tc>
        <w:tc>
          <w:tcPr>
            <w:tcW w:w="285" w:type="pct"/>
            <w:shd w:val="clear" w:color="auto" w:fill="D9E2F3"/>
            <w:noWrap/>
            <w:vAlign w:val="bottom"/>
          </w:tcPr>
          <w:p w14:paraId="5A54B49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shd w:val="clear" w:color="auto" w:fill="D9E2F3"/>
            <w:noWrap/>
            <w:vAlign w:val="bottom"/>
          </w:tcPr>
          <w:p w14:paraId="7EA0CE22"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609</w:t>
            </w:r>
          </w:p>
        </w:tc>
        <w:tc>
          <w:tcPr>
            <w:tcW w:w="501" w:type="pct"/>
            <w:shd w:val="clear" w:color="auto" w:fill="D9E2F3"/>
            <w:noWrap/>
            <w:vAlign w:val="bottom"/>
          </w:tcPr>
          <w:p w14:paraId="7A10E0E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799</w:t>
            </w:r>
          </w:p>
        </w:tc>
      </w:tr>
      <w:tr w:rsidR="000E76D9" w:rsidRPr="00A83C94" w14:paraId="2097DA58" w14:textId="77777777" w:rsidTr="000E76D9">
        <w:trPr>
          <w:trHeight w:val="300"/>
        </w:trPr>
        <w:tc>
          <w:tcPr>
            <w:tcW w:w="1857" w:type="pct"/>
            <w:noWrap/>
            <w:vAlign w:val="bottom"/>
          </w:tcPr>
          <w:p w14:paraId="09244837"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Cs/>
                <w:color w:val="000000"/>
                <w:sz w:val="16"/>
                <w:szCs w:val="16"/>
                <w:lang w:val="en-US" w:eastAsia="en-US"/>
              </w:rPr>
              <w:t>Փարկինգ Սիթի Սերվիս ՓԲԸ</w:t>
            </w:r>
          </w:p>
        </w:tc>
        <w:tc>
          <w:tcPr>
            <w:tcW w:w="429" w:type="pct"/>
            <w:noWrap/>
            <w:vAlign w:val="bottom"/>
          </w:tcPr>
          <w:p w14:paraId="4FF3194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1,744</w:t>
            </w:r>
          </w:p>
        </w:tc>
        <w:tc>
          <w:tcPr>
            <w:tcW w:w="428" w:type="pct"/>
            <w:noWrap/>
            <w:vAlign w:val="bottom"/>
          </w:tcPr>
          <w:p w14:paraId="3C1EAF6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1,034</w:t>
            </w:r>
          </w:p>
        </w:tc>
        <w:tc>
          <w:tcPr>
            <w:tcW w:w="285" w:type="pct"/>
            <w:noWrap/>
            <w:vAlign w:val="bottom"/>
          </w:tcPr>
          <w:p w14:paraId="003D16F6"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429" w:type="pct"/>
            <w:noWrap/>
            <w:vAlign w:val="bottom"/>
          </w:tcPr>
          <w:p w14:paraId="42A6827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1,020</w:t>
            </w:r>
          </w:p>
        </w:tc>
        <w:tc>
          <w:tcPr>
            <w:tcW w:w="429" w:type="pct"/>
            <w:noWrap/>
            <w:vAlign w:val="bottom"/>
          </w:tcPr>
          <w:p w14:paraId="08E87B7C"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933</w:t>
            </w:r>
          </w:p>
        </w:tc>
        <w:tc>
          <w:tcPr>
            <w:tcW w:w="285" w:type="pct"/>
            <w:noWrap/>
            <w:vAlign w:val="bottom"/>
          </w:tcPr>
          <w:p w14:paraId="59D5FAE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0%</w:t>
            </w:r>
          </w:p>
        </w:tc>
        <w:tc>
          <w:tcPr>
            <w:tcW w:w="357" w:type="pct"/>
            <w:noWrap/>
            <w:vAlign w:val="bottom"/>
          </w:tcPr>
          <w:p w14:paraId="0106FB89"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(723)</w:t>
            </w:r>
          </w:p>
        </w:tc>
        <w:tc>
          <w:tcPr>
            <w:tcW w:w="501" w:type="pct"/>
            <w:noWrap/>
            <w:vAlign w:val="bottom"/>
          </w:tcPr>
          <w:p w14:paraId="03EC702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(102)</w:t>
            </w:r>
          </w:p>
        </w:tc>
      </w:tr>
      <w:tr w:rsidR="000E76D9" w:rsidRPr="00A83C94" w14:paraId="7A263A03" w14:textId="77777777" w:rsidTr="000E76D9">
        <w:trPr>
          <w:trHeight w:val="300"/>
        </w:trPr>
        <w:tc>
          <w:tcPr>
            <w:tcW w:w="1857" w:type="pct"/>
            <w:shd w:val="clear" w:color="auto" w:fill="D9E2F3"/>
            <w:noWrap/>
            <w:vAlign w:val="bottom"/>
          </w:tcPr>
          <w:p w14:paraId="7CA03432" w14:textId="77777777" w:rsidR="000E76D9" w:rsidRPr="00A83C94" w:rsidRDefault="000E76D9" w:rsidP="000E76D9">
            <w:pPr>
              <w:spacing w:before="0" w:line="240" w:lineRule="auto"/>
              <w:ind w:firstLine="0"/>
              <w:contextualSpacing w:val="0"/>
              <w:jc w:val="left"/>
              <w:rPr>
                <w:sz w:val="17"/>
                <w:szCs w:val="17"/>
                <w:lang w:val="hy-AM" w:eastAsia="en-US"/>
              </w:rPr>
            </w:pPr>
            <w:r w:rsidRPr="00A83C94">
              <w:rPr>
                <w:bCs/>
                <w:sz w:val="17"/>
                <w:szCs w:val="17"/>
                <w:lang w:val="hy-AM" w:eastAsia="en-US"/>
              </w:rPr>
              <w:t>Ընդամենը</w:t>
            </w:r>
          </w:p>
        </w:tc>
        <w:tc>
          <w:tcPr>
            <w:tcW w:w="429" w:type="pct"/>
            <w:shd w:val="clear" w:color="auto" w:fill="D9E2F3"/>
            <w:noWrap/>
            <w:vAlign w:val="bottom"/>
          </w:tcPr>
          <w:p w14:paraId="28FF54FE"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504,076</w:t>
            </w:r>
          </w:p>
        </w:tc>
        <w:tc>
          <w:tcPr>
            <w:tcW w:w="428" w:type="pct"/>
            <w:shd w:val="clear" w:color="auto" w:fill="D9E2F3"/>
            <w:noWrap/>
            <w:vAlign w:val="bottom"/>
          </w:tcPr>
          <w:p w14:paraId="666C690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522,325</w:t>
            </w:r>
          </w:p>
        </w:tc>
        <w:tc>
          <w:tcPr>
            <w:tcW w:w="285" w:type="pct"/>
            <w:shd w:val="clear" w:color="auto" w:fill="D9E2F3"/>
            <w:noWrap/>
            <w:vAlign w:val="bottom"/>
          </w:tcPr>
          <w:p w14:paraId="6805A900" w14:textId="77777777" w:rsidR="000E76D9" w:rsidRPr="00A83C94" w:rsidRDefault="000E76D9" w:rsidP="000E76D9">
            <w:pPr>
              <w:spacing w:before="0" w:line="240" w:lineRule="auto"/>
              <w:ind w:firstLine="0"/>
              <w:contextualSpacing w:val="0"/>
              <w:jc w:val="center"/>
              <w:rPr>
                <w:sz w:val="16"/>
                <w:szCs w:val="16"/>
                <w:lang w:val="hy-AM" w:eastAsia="en-US"/>
              </w:rPr>
            </w:pPr>
          </w:p>
        </w:tc>
        <w:tc>
          <w:tcPr>
            <w:tcW w:w="429" w:type="pct"/>
            <w:shd w:val="clear" w:color="auto" w:fill="D9E2F3"/>
            <w:noWrap/>
            <w:vAlign w:val="bottom"/>
          </w:tcPr>
          <w:p w14:paraId="3C314A1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818,641</w:t>
            </w:r>
          </w:p>
        </w:tc>
        <w:tc>
          <w:tcPr>
            <w:tcW w:w="429" w:type="pct"/>
            <w:shd w:val="clear" w:color="auto" w:fill="D9E2F3"/>
            <w:noWrap/>
            <w:vAlign w:val="bottom"/>
          </w:tcPr>
          <w:p w14:paraId="49F3BC61"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rFonts w:ascii="Calibri" w:hAnsi="Calibri"/>
                <w:color w:val="000000"/>
                <w:sz w:val="16"/>
                <w:szCs w:val="16"/>
                <w:lang w:val="en-US" w:eastAsia="en-US"/>
              </w:rPr>
              <w:t>777,154</w:t>
            </w:r>
          </w:p>
        </w:tc>
        <w:tc>
          <w:tcPr>
            <w:tcW w:w="285" w:type="pct"/>
            <w:shd w:val="clear" w:color="auto" w:fill="D9E2F3"/>
            <w:noWrap/>
            <w:vAlign w:val="bottom"/>
          </w:tcPr>
          <w:p w14:paraId="268EAA49" w14:textId="77777777" w:rsidR="000E76D9" w:rsidRPr="00A83C94" w:rsidRDefault="000E76D9" w:rsidP="000E76D9">
            <w:pPr>
              <w:spacing w:before="0" w:line="240" w:lineRule="auto"/>
              <w:ind w:firstLine="0"/>
              <w:contextualSpacing w:val="0"/>
              <w:jc w:val="center"/>
              <w:rPr>
                <w:sz w:val="16"/>
                <w:szCs w:val="16"/>
                <w:lang w:val="hy-AM" w:eastAsia="en-US"/>
              </w:rPr>
            </w:pPr>
          </w:p>
        </w:tc>
        <w:tc>
          <w:tcPr>
            <w:tcW w:w="357" w:type="pct"/>
            <w:shd w:val="clear" w:color="auto" w:fill="D9E2F3"/>
            <w:noWrap/>
            <w:vAlign w:val="bottom"/>
          </w:tcPr>
          <w:p w14:paraId="4A276C37" w14:textId="77777777" w:rsidR="000E76D9" w:rsidRPr="00A83C94" w:rsidRDefault="000E76D9" w:rsidP="000E76D9">
            <w:pPr>
              <w:spacing w:before="0" w:line="240" w:lineRule="auto"/>
              <w:ind w:firstLine="0"/>
              <w:contextualSpacing w:val="0"/>
              <w:jc w:val="center"/>
              <w:rPr>
                <w:sz w:val="16"/>
                <w:szCs w:val="16"/>
                <w:lang w:val="hy-AM" w:eastAsia="en-US"/>
              </w:rPr>
            </w:pPr>
          </w:p>
        </w:tc>
        <w:tc>
          <w:tcPr>
            <w:tcW w:w="501" w:type="pct"/>
            <w:shd w:val="clear" w:color="auto" w:fill="D9E2F3"/>
            <w:noWrap/>
            <w:vAlign w:val="bottom"/>
          </w:tcPr>
          <w:p w14:paraId="656F4E93" w14:textId="77777777" w:rsidR="000E76D9" w:rsidRPr="00A83C94" w:rsidRDefault="000E76D9" w:rsidP="000E76D9">
            <w:pPr>
              <w:spacing w:before="0" w:line="240" w:lineRule="auto"/>
              <w:ind w:firstLine="0"/>
              <w:contextualSpacing w:val="0"/>
              <w:jc w:val="center"/>
              <w:rPr>
                <w:sz w:val="16"/>
                <w:szCs w:val="16"/>
                <w:lang w:val="hy-AM" w:eastAsia="en-US"/>
              </w:rPr>
            </w:pPr>
          </w:p>
        </w:tc>
      </w:tr>
    </w:tbl>
    <w:p w14:paraId="278C7269" w14:textId="77777777" w:rsidR="00682DEF" w:rsidRPr="00A83C94" w:rsidRDefault="00682DEF" w:rsidP="00682DEF">
      <w:pPr>
        <w:spacing w:before="0" w:after="160" w:line="259" w:lineRule="auto"/>
        <w:ind w:firstLine="0"/>
        <w:contextualSpacing w:val="0"/>
        <w:rPr>
          <w:rFonts w:ascii="Calibri" w:eastAsia="Calibri" w:hAnsi="Calibri"/>
          <w:b w:val="0"/>
          <w:szCs w:val="22"/>
          <w:lang w:val="hy-AM" w:eastAsia="en-US"/>
        </w:rPr>
      </w:pPr>
      <w:r w:rsidRPr="00A83C94">
        <w:rPr>
          <w:rFonts w:eastAsia="Calibri"/>
          <w:bCs/>
          <w:i/>
          <w:color w:val="4F81BD" w:themeColor="accent1"/>
          <w:sz w:val="20"/>
          <w:szCs w:val="20"/>
          <w:lang w:val="en-US" w:eastAsia="en-US"/>
        </w:rPr>
        <w:t xml:space="preserve">      </w:t>
      </w:r>
      <w:r w:rsidRPr="00A83C94">
        <w:rPr>
          <w:rFonts w:ascii="Calibri" w:eastAsia="Calibri" w:hAnsi="Calibri"/>
          <w:b w:val="0"/>
          <w:szCs w:val="22"/>
          <w:lang w:val="hy-AM" w:eastAsia="en-US"/>
        </w:rPr>
        <w:t xml:space="preserve">     </w:t>
      </w:r>
    </w:p>
    <w:p w14:paraId="520E0095" w14:textId="77777777" w:rsidR="00682DEF" w:rsidRPr="00A83C94" w:rsidRDefault="00682DEF" w:rsidP="00682DEF">
      <w:pPr>
        <w:shd w:val="clear" w:color="auto" w:fill="FFFFFF"/>
        <w:spacing w:before="0" w:line="276" w:lineRule="auto"/>
        <w:ind w:right="150" w:firstLine="227"/>
        <w:contextualSpacing w:val="0"/>
        <w:rPr>
          <w:b w:val="0"/>
          <w:color w:val="000000"/>
          <w:szCs w:val="22"/>
          <w:lang w:val="hy-AM"/>
        </w:rPr>
      </w:pPr>
      <w:r w:rsidRPr="00A83C94">
        <w:rPr>
          <w:b w:val="0"/>
          <w:color w:val="000000"/>
          <w:szCs w:val="22"/>
          <w:lang w:val="hy-AM"/>
        </w:rPr>
        <w:t xml:space="preserve">Ճգնաժամային տարվա ազդեցությամբ պայմանավորված՝ արտարժույթով արտահայտված պարտավորությունների առկայության պարագայում՝ փոխարժեքի տատանումը հանգեցրել է պարտավորությունների վերագնահատման և համապատասխանաբար փոխարժեքային տարբերությունից վնասների, որոնք արտահայտվել են շահութաբերության կտրուկ անկմամբ։ Միաժամանակ, չնայած ճգնաժամային տարվա ազդեցությանը՝ արձանագրվել է հասույթի ավելացում՝ էներգետիկայի և առողջապահության  ոլորտներում: </w:t>
      </w:r>
    </w:p>
    <w:p w14:paraId="7E39372E" w14:textId="77777777" w:rsidR="00682DEF" w:rsidRPr="00A83C94" w:rsidRDefault="00682DEF" w:rsidP="00682DEF">
      <w:pPr>
        <w:shd w:val="clear" w:color="auto" w:fill="FFFFFF"/>
        <w:spacing w:before="0" w:line="276" w:lineRule="auto"/>
        <w:ind w:right="150" w:firstLine="227"/>
        <w:contextualSpacing w:val="0"/>
        <w:rPr>
          <w:b w:val="0"/>
          <w:color w:val="000000"/>
          <w:szCs w:val="22"/>
          <w:lang w:val="hy-AM"/>
        </w:rPr>
      </w:pPr>
      <w:r w:rsidRPr="00A83C94">
        <w:rPr>
          <w:b w:val="0"/>
          <w:color w:val="000000"/>
          <w:szCs w:val="22"/>
          <w:lang w:val="hy-AM"/>
        </w:rPr>
        <w:t>Հաջորդիվ ներկայացված են խոշոր կուտակված վնասներ ունեցող պետական բաժնեմասնակցությամբ ընկերությունները:</w:t>
      </w:r>
    </w:p>
    <w:p w14:paraId="7406E4DB" w14:textId="77777777" w:rsidR="00682DEF" w:rsidRPr="00A83C94" w:rsidRDefault="00682DEF" w:rsidP="00682DEF">
      <w:pPr>
        <w:shd w:val="clear" w:color="auto" w:fill="FFFFFF"/>
        <w:spacing w:before="0" w:line="240" w:lineRule="auto"/>
        <w:ind w:right="150" w:firstLine="0"/>
        <w:contextualSpacing w:val="0"/>
        <w:rPr>
          <w:rFonts w:ascii="Sylfaen" w:hAnsi="Sylfaen"/>
          <w:b w:val="0"/>
          <w:color w:val="000000"/>
          <w:szCs w:val="22"/>
          <w:lang w:val="hy-AM"/>
        </w:rPr>
      </w:pPr>
    </w:p>
    <w:p w14:paraId="47869D38" w14:textId="76FC046F" w:rsidR="00682DEF" w:rsidRPr="00A83C94" w:rsidRDefault="001336A5" w:rsidP="00682DEF">
      <w:pPr>
        <w:spacing w:before="60" w:after="4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Աղյուսակ 5</w:t>
      </w:r>
      <w:r w:rsidR="00682DEF" w:rsidRPr="00A83C94">
        <w:rPr>
          <w:caps/>
          <w:spacing w:val="10"/>
          <w:sz w:val="18"/>
          <w:szCs w:val="18"/>
          <w:lang w:val="hy-AM" w:eastAsia="en-US"/>
        </w:rPr>
        <w:t xml:space="preserve"> </w:t>
      </w:r>
      <w:r w:rsidR="00682DEF" w:rsidRPr="00A83C94">
        <w:rPr>
          <w:rFonts w:eastAsia="Calibri"/>
          <w:bCs/>
          <w:i/>
          <w:color w:val="4F81BD" w:themeColor="accent1"/>
          <w:sz w:val="20"/>
          <w:szCs w:val="20"/>
          <w:lang w:val="hy-AM" w:eastAsia="en-US"/>
        </w:rPr>
        <w:t>Առավելագույն կուտակված վնաս արձանագրված պետական մասնակցությամբ ընկերությունների ցուցանիշները</w:t>
      </w:r>
      <w:r w:rsidR="00682DEF" w:rsidRPr="00A83C94">
        <w:rPr>
          <w:lang w:val="hy-AM"/>
        </w:rPr>
        <w:t xml:space="preserve">                                                                                        </w:t>
      </w:r>
      <w:r w:rsidR="00682DEF" w:rsidRPr="00A83C94">
        <w:rPr>
          <w:rFonts w:eastAsia="Calibri"/>
          <w:bCs/>
          <w:i/>
          <w:color w:val="4F81BD" w:themeColor="accent1"/>
          <w:sz w:val="18"/>
          <w:szCs w:val="18"/>
          <w:lang w:val="hy-AM" w:eastAsia="en-US"/>
        </w:rPr>
        <w:t>մլն դրամ</w:t>
      </w:r>
    </w:p>
    <w:tbl>
      <w:tblPr>
        <w:tblW w:w="102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8"/>
        <w:gridCol w:w="800"/>
        <w:gridCol w:w="825"/>
        <w:gridCol w:w="734"/>
        <w:gridCol w:w="1032"/>
        <w:gridCol w:w="678"/>
        <w:gridCol w:w="759"/>
        <w:gridCol w:w="825"/>
        <w:gridCol w:w="1157"/>
      </w:tblGrid>
      <w:tr w:rsidR="000E76D9" w:rsidRPr="00A83C94" w14:paraId="0A1F5997" w14:textId="77777777" w:rsidTr="000E76D9">
        <w:trPr>
          <w:trHeight w:val="300"/>
        </w:trPr>
        <w:tc>
          <w:tcPr>
            <w:tcW w:w="3448" w:type="dxa"/>
            <w:vMerge w:val="restart"/>
            <w:shd w:val="clear" w:color="auto" w:fill="548DD4" w:themeFill="text2" w:themeFillTint="99"/>
          </w:tcPr>
          <w:p w14:paraId="124A4A55" w14:textId="3DF340DB" w:rsidR="000E76D9" w:rsidRPr="000E76D9" w:rsidRDefault="000E76D9" w:rsidP="000E76D9">
            <w:pPr>
              <w:spacing w:before="0" w:after="200" w:line="240" w:lineRule="auto"/>
              <w:ind w:firstLine="0"/>
              <w:contextualSpacing w:val="0"/>
              <w:jc w:val="left"/>
              <w:rPr>
                <w:rFonts w:cs="Calibri"/>
                <w:bCs/>
                <w:color w:val="FFFFFF" w:themeColor="background1"/>
                <w:sz w:val="16"/>
                <w:szCs w:val="16"/>
                <w:lang w:val="hy-AM" w:eastAsia="en-US"/>
              </w:rPr>
            </w:pPr>
            <w:r w:rsidRPr="000E76D9">
              <w:rPr>
                <w:rFonts w:cs="Calibri"/>
                <w:color w:val="FFFFFF" w:themeColor="background1"/>
                <w:sz w:val="16"/>
                <w:szCs w:val="16"/>
                <w:lang w:val="hy-AM" w:eastAsia="en-US"/>
              </w:rPr>
              <w:t>Ընկերության Անվանում</w:t>
            </w:r>
          </w:p>
        </w:tc>
        <w:tc>
          <w:tcPr>
            <w:tcW w:w="1625" w:type="dxa"/>
            <w:gridSpan w:val="2"/>
            <w:shd w:val="clear" w:color="auto" w:fill="548DD4" w:themeFill="text2" w:themeFillTint="99"/>
            <w:noWrap/>
          </w:tcPr>
          <w:p w14:paraId="47126250" w14:textId="3C49DA1D"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Կուտակված վնաս</w:t>
            </w:r>
          </w:p>
        </w:tc>
        <w:tc>
          <w:tcPr>
            <w:tcW w:w="1766" w:type="dxa"/>
            <w:gridSpan w:val="2"/>
            <w:shd w:val="clear" w:color="auto" w:fill="548DD4" w:themeFill="text2" w:themeFillTint="99"/>
            <w:noWrap/>
          </w:tcPr>
          <w:p w14:paraId="27528330" w14:textId="017D93FD"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Իրացումից հասույթ</w:t>
            </w:r>
          </w:p>
        </w:tc>
        <w:tc>
          <w:tcPr>
            <w:tcW w:w="1437" w:type="dxa"/>
            <w:gridSpan w:val="2"/>
            <w:shd w:val="clear" w:color="auto" w:fill="548DD4" w:themeFill="text2" w:themeFillTint="99"/>
            <w:noWrap/>
          </w:tcPr>
          <w:p w14:paraId="237F8009" w14:textId="0D67E197"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Զուտ շահույթ</w:t>
            </w:r>
          </w:p>
        </w:tc>
        <w:tc>
          <w:tcPr>
            <w:tcW w:w="1982" w:type="dxa"/>
            <w:gridSpan w:val="2"/>
            <w:shd w:val="clear" w:color="auto" w:fill="548DD4" w:themeFill="text2" w:themeFillTint="99"/>
            <w:noWrap/>
          </w:tcPr>
          <w:p w14:paraId="6D5FAA90" w14:textId="4D640C6B" w:rsidR="000E76D9" w:rsidRPr="000E76D9" w:rsidRDefault="000E76D9" w:rsidP="000E76D9">
            <w:pPr>
              <w:spacing w:before="0" w:after="200" w:line="240" w:lineRule="auto"/>
              <w:ind w:firstLine="0"/>
              <w:contextualSpacing w:val="0"/>
              <w:jc w:val="center"/>
              <w:rPr>
                <w:rFonts w:cs="Calibri"/>
                <w:bCs/>
                <w:color w:val="FFFFFF" w:themeColor="background1"/>
                <w:sz w:val="16"/>
                <w:szCs w:val="16"/>
                <w:lang w:val="hy-AM" w:eastAsia="en-US"/>
              </w:rPr>
            </w:pPr>
            <w:r w:rsidRPr="000E76D9">
              <w:rPr>
                <w:color w:val="FFFFFF" w:themeColor="background1"/>
                <w:sz w:val="16"/>
                <w:szCs w:val="16"/>
                <w:lang w:val="hy-AM" w:eastAsia="en-US"/>
              </w:rPr>
              <w:t>Պարտավորություններ</w:t>
            </w:r>
          </w:p>
        </w:tc>
      </w:tr>
      <w:tr w:rsidR="000E76D9" w:rsidRPr="00A83C94" w14:paraId="1E800DEB" w14:textId="77777777" w:rsidTr="00C50DE0">
        <w:trPr>
          <w:trHeight w:val="300"/>
        </w:trPr>
        <w:tc>
          <w:tcPr>
            <w:tcW w:w="3448" w:type="dxa"/>
            <w:vMerge/>
            <w:hideMark/>
          </w:tcPr>
          <w:p w14:paraId="6FBCB252" w14:textId="77777777" w:rsidR="000E76D9" w:rsidRPr="00A83C94" w:rsidRDefault="000E76D9" w:rsidP="000E76D9">
            <w:pPr>
              <w:spacing w:before="0" w:after="200" w:line="240" w:lineRule="auto"/>
              <w:ind w:firstLine="0"/>
              <w:contextualSpacing w:val="0"/>
              <w:jc w:val="left"/>
              <w:rPr>
                <w:rFonts w:cs="Calibri"/>
                <w:bCs/>
                <w:sz w:val="16"/>
                <w:szCs w:val="16"/>
                <w:lang w:val="en-US" w:eastAsia="en-US"/>
              </w:rPr>
            </w:pPr>
          </w:p>
        </w:tc>
        <w:tc>
          <w:tcPr>
            <w:tcW w:w="1625" w:type="dxa"/>
            <w:gridSpan w:val="2"/>
            <w:noWrap/>
            <w:hideMark/>
          </w:tcPr>
          <w:p w14:paraId="3511E408"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c>
          <w:tcPr>
            <w:tcW w:w="734" w:type="dxa"/>
            <w:noWrap/>
            <w:hideMark/>
          </w:tcPr>
          <w:p w14:paraId="0A65E4A5"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2019</w:t>
            </w:r>
          </w:p>
        </w:tc>
        <w:tc>
          <w:tcPr>
            <w:tcW w:w="1032" w:type="dxa"/>
            <w:noWrap/>
            <w:hideMark/>
          </w:tcPr>
          <w:p w14:paraId="02014A56"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c>
          <w:tcPr>
            <w:tcW w:w="678" w:type="dxa"/>
            <w:noWrap/>
            <w:hideMark/>
          </w:tcPr>
          <w:p w14:paraId="068D8828"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2019</w:t>
            </w:r>
          </w:p>
        </w:tc>
        <w:tc>
          <w:tcPr>
            <w:tcW w:w="759" w:type="dxa"/>
            <w:noWrap/>
            <w:hideMark/>
          </w:tcPr>
          <w:p w14:paraId="7EAD21E0"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c>
          <w:tcPr>
            <w:tcW w:w="825" w:type="dxa"/>
            <w:noWrap/>
            <w:hideMark/>
          </w:tcPr>
          <w:p w14:paraId="52F979D0"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2019</w:t>
            </w:r>
          </w:p>
        </w:tc>
        <w:tc>
          <w:tcPr>
            <w:tcW w:w="1157" w:type="dxa"/>
            <w:noWrap/>
            <w:hideMark/>
          </w:tcPr>
          <w:p w14:paraId="47C2FD66" w14:textId="77777777" w:rsidR="000E76D9" w:rsidRPr="00A83C94" w:rsidRDefault="000E76D9" w:rsidP="000E76D9">
            <w:pPr>
              <w:spacing w:before="0" w:after="200" w:line="240" w:lineRule="auto"/>
              <w:ind w:firstLine="0"/>
              <w:contextualSpacing w:val="0"/>
              <w:jc w:val="center"/>
              <w:rPr>
                <w:rFonts w:cs="Calibri"/>
                <w:b w:val="0"/>
                <w:sz w:val="16"/>
                <w:szCs w:val="16"/>
                <w:lang w:val="en-US" w:eastAsia="en-US"/>
              </w:rPr>
            </w:pPr>
            <w:r w:rsidRPr="00A83C94">
              <w:rPr>
                <w:rFonts w:cs="Calibri"/>
                <w:b w:val="0"/>
                <w:sz w:val="16"/>
                <w:szCs w:val="16"/>
                <w:lang w:val="hy-AM" w:eastAsia="en-US"/>
              </w:rPr>
              <w:t>2020</w:t>
            </w:r>
          </w:p>
        </w:tc>
      </w:tr>
      <w:tr w:rsidR="000E76D9" w:rsidRPr="00A83C94" w14:paraId="35E43608" w14:textId="77777777" w:rsidTr="00C50DE0">
        <w:trPr>
          <w:trHeight w:val="300"/>
        </w:trPr>
        <w:tc>
          <w:tcPr>
            <w:tcW w:w="3448" w:type="dxa"/>
            <w:hideMark/>
          </w:tcPr>
          <w:p w14:paraId="31A2BE5F"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Ջրառ ՓԲԸ</w:t>
            </w:r>
          </w:p>
        </w:tc>
        <w:tc>
          <w:tcPr>
            <w:tcW w:w="800" w:type="dxa"/>
            <w:noWrap/>
            <w:hideMark/>
          </w:tcPr>
          <w:p w14:paraId="4B6E1FB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(34,676)</w:t>
            </w:r>
          </w:p>
        </w:tc>
        <w:tc>
          <w:tcPr>
            <w:tcW w:w="825" w:type="dxa"/>
            <w:noWrap/>
            <w:hideMark/>
          </w:tcPr>
          <w:p w14:paraId="5AC3D48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44%</w:t>
            </w:r>
          </w:p>
        </w:tc>
        <w:tc>
          <w:tcPr>
            <w:tcW w:w="734" w:type="dxa"/>
            <w:noWrap/>
            <w:hideMark/>
          </w:tcPr>
          <w:p w14:paraId="25BDDE9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1,277</w:t>
            </w:r>
          </w:p>
        </w:tc>
        <w:tc>
          <w:tcPr>
            <w:tcW w:w="1032" w:type="dxa"/>
            <w:noWrap/>
            <w:hideMark/>
          </w:tcPr>
          <w:p w14:paraId="0012327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1,271</w:t>
            </w:r>
          </w:p>
        </w:tc>
        <w:tc>
          <w:tcPr>
            <w:tcW w:w="678" w:type="dxa"/>
            <w:noWrap/>
            <w:hideMark/>
          </w:tcPr>
          <w:p w14:paraId="552785C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(3,093)</w:t>
            </w:r>
          </w:p>
        </w:tc>
        <w:tc>
          <w:tcPr>
            <w:tcW w:w="759" w:type="dxa"/>
            <w:noWrap/>
            <w:hideMark/>
          </w:tcPr>
          <w:p w14:paraId="68440F1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(893)</w:t>
            </w:r>
          </w:p>
        </w:tc>
        <w:tc>
          <w:tcPr>
            <w:tcW w:w="825" w:type="dxa"/>
            <w:noWrap/>
            <w:hideMark/>
          </w:tcPr>
          <w:p w14:paraId="1604C1A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365</w:t>
            </w:r>
          </w:p>
        </w:tc>
        <w:tc>
          <w:tcPr>
            <w:tcW w:w="1157" w:type="dxa"/>
            <w:noWrap/>
            <w:hideMark/>
          </w:tcPr>
          <w:p w14:paraId="4F84D4C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385</w:t>
            </w:r>
          </w:p>
        </w:tc>
      </w:tr>
      <w:tr w:rsidR="000E76D9" w:rsidRPr="00A83C94" w14:paraId="1CD533C3" w14:textId="77777777" w:rsidTr="00C50DE0">
        <w:trPr>
          <w:trHeight w:val="300"/>
        </w:trPr>
        <w:tc>
          <w:tcPr>
            <w:tcW w:w="3448" w:type="dxa"/>
            <w:hideMark/>
          </w:tcPr>
          <w:p w14:paraId="0EF992EC"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«Երևանի ջերմաէլեկտրակենտրոն ՓԲԸ</w:t>
            </w:r>
          </w:p>
        </w:tc>
        <w:tc>
          <w:tcPr>
            <w:tcW w:w="800" w:type="dxa"/>
            <w:noWrap/>
            <w:hideMark/>
          </w:tcPr>
          <w:p w14:paraId="17861C3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(28,463)</w:t>
            </w:r>
          </w:p>
        </w:tc>
        <w:tc>
          <w:tcPr>
            <w:tcW w:w="825" w:type="dxa"/>
            <w:noWrap/>
            <w:hideMark/>
          </w:tcPr>
          <w:p w14:paraId="0EF4169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36%</w:t>
            </w:r>
          </w:p>
        </w:tc>
        <w:tc>
          <w:tcPr>
            <w:tcW w:w="734" w:type="dxa"/>
            <w:noWrap/>
            <w:hideMark/>
          </w:tcPr>
          <w:p w14:paraId="451428D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74,975</w:t>
            </w:r>
          </w:p>
        </w:tc>
        <w:tc>
          <w:tcPr>
            <w:tcW w:w="1032" w:type="dxa"/>
            <w:noWrap/>
            <w:hideMark/>
          </w:tcPr>
          <w:p w14:paraId="3170064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77,310</w:t>
            </w:r>
          </w:p>
        </w:tc>
        <w:tc>
          <w:tcPr>
            <w:tcW w:w="678" w:type="dxa"/>
            <w:noWrap/>
            <w:hideMark/>
          </w:tcPr>
          <w:p w14:paraId="31AE2F9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1,262</w:t>
            </w:r>
          </w:p>
        </w:tc>
        <w:tc>
          <w:tcPr>
            <w:tcW w:w="759" w:type="dxa"/>
            <w:noWrap/>
            <w:hideMark/>
          </w:tcPr>
          <w:p w14:paraId="026433C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(11,972)</w:t>
            </w:r>
          </w:p>
        </w:tc>
        <w:tc>
          <w:tcPr>
            <w:tcW w:w="825" w:type="dxa"/>
            <w:noWrap/>
            <w:hideMark/>
          </w:tcPr>
          <w:p w14:paraId="5923528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145,619</w:t>
            </w:r>
          </w:p>
        </w:tc>
        <w:tc>
          <w:tcPr>
            <w:tcW w:w="1157" w:type="dxa"/>
            <w:noWrap/>
            <w:hideMark/>
          </w:tcPr>
          <w:p w14:paraId="3B21DAD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154,154</w:t>
            </w:r>
          </w:p>
        </w:tc>
      </w:tr>
      <w:tr w:rsidR="000E76D9" w:rsidRPr="00A83C94" w14:paraId="61FAA5A3" w14:textId="77777777" w:rsidTr="00C50DE0">
        <w:trPr>
          <w:trHeight w:val="300"/>
        </w:trPr>
        <w:tc>
          <w:tcPr>
            <w:tcW w:w="3448" w:type="dxa"/>
            <w:hideMark/>
          </w:tcPr>
          <w:p w14:paraId="3A2F8885"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«Արմենիկում» ՓԲԸ</w:t>
            </w:r>
          </w:p>
        </w:tc>
        <w:tc>
          <w:tcPr>
            <w:tcW w:w="800" w:type="dxa"/>
            <w:noWrap/>
            <w:hideMark/>
          </w:tcPr>
          <w:p w14:paraId="4C95377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(1,427)</w:t>
            </w:r>
          </w:p>
        </w:tc>
        <w:tc>
          <w:tcPr>
            <w:tcW w:w="825" w:type="dxa"/>
            <w:noWrap/>
            <w:hideMark/>
          </w:tcPr>
          <w:p w14:paraId="137EF38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08516D92"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89</w:t>
            </w:r>
          </w:p>
        </w:tc>
        <w:tc>
          <w:tcPr>
            <w:tcW w:w="1032" w:type="dxa"/>
            <w:noWrap/>
            <w:hideMark/>
          </w:tcPr>
          <w:p w14:paraId="36E5204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37</w:t>
            </w:r>
          </w:p>
        </w:tc>
        <w:tc>
          <w:tcPr>
            <w:tcW w:w="678" w:type="dxa"/>
            <w:noWrap/>
            <w:hideMark/>
          </w:tcPr>
          <w:p w14:paraId="0F13298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(13)</w:t>
            </w:r>
          </w:p>
        </w:tc>
        <w:tc>
          <w:tcPr>
            <w:tcW w:w="759" w:type="dxa"/>
            <w:noWrap/>
            <w:hideMark/>
          </w:tcPr>
          <w:p w14:paraId="6D2C86D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w:t>
            </w:r>
          </w:p>
        </w:tc>
        <w:tc>
          <w:tcPr>
            <w:tcW w:w="825" w:type="dxa"/>
            <w:noWrap/>
            <w:hideMark/>
          </w:tcPr>
          <w:p w14:paraId="603ECB4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1,523</w:t>
            </w:r>
          </w:p>
        </w:tc>
        <w:tc>
          <w:tcPr>
            <w:tcW w:w="1157" w:type="dxa"/>
            <w:noWrap/>
            <w:hideMark/>
          </w:tcPr>
          <w:p w14:paraId="6409AB3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1,526</w:t>
            </w:r>
          </w:p>
        </w:tc>
      </w:tr>
      <w:tr w:rsidR="000E76D9" w:rsidRPr="00A83C94" w14:paraId="20EABEF2" w14:textId="77777777" w:rsidTr="00C50DE0">
        <w:trPr>
          <w:trHeight w:val="300"/>
        </w:trPr>
        <w:tc>
          <w:tcPr>
            <w:tcW w:w="3448" w:type="dxa"/>
            <w:hideMark/>
          </w:tcPr>
          <w:p w14:paraId="67B148B0"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Փարկինգ Սիթի Սերվիս ՓԲԸ</w:t>
            </w:r>
          </w:p>
        </w:tc>
        <w:tc>
          <w:tcPr>
            <w:tcW w:w="800" w:type="dxa"/>
            <w:noWrap/>
            <w:hideMark/>
          </w:tcPr>
          <w:p w14:paraId="173E660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(2,303)</w:t>
            </w:r>
          </w:p>
        </w:tc>
        <w:tc>
          <w:tcPr>
            <w:tcW w:w="825" w:type="dxa"/>
            <w:noWrap/>
            <w:hideMark/>
          </w:tcPr>
          <w:p w14:paraId="4FDDB99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w:t>
            </w:r>
          </w:p>
        </w:tc>
        <w:tc>
          <w:tcPr>
            <w:tcW w:w="734" w:type="dxa"/>
            <w:noWrap/>
            <w:hideMark/>
          </w:tcPr>
          <w:p w14:paraId="0825D0E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376</w:t>
            </w:r>
          </w:p>
        </w:tc>
        <w:tc>
          <w:tcPr>
            <w:tcW w:w="1032" w:type="dxa"/>
            <w:noWrap/>
            <w:hideMark/>
          </w:tcPr>
          <w:p w14:paraId="2DCB780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374</w:t>
            </w:r>
          </w:p>
        </w:tc>
        <w:tc>
          <w:tcPr>
            <w:tcW w:w="678" w:type="dxa"/>
            <w:noWrap/>
            <w:hideMark/>
          </w:tcPr>
          <w:p w14:paraId="71C9273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(175)</w:t>
            </w:r>
          </w:p>
        </w:tc>
        <w:tc>
          <w:tcPr>
            <w:tcW w:w="759" w:type="dxa"/>
            <w:noWrap/>
            <w:hideMark/>
          </w:tcPr>
          <w:p w14:paraId="4CF183E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(156)</w:t>
            </w:r>
          </w:p>
        </w:tc>
        <w:tc>
          <w:tcPr>
            <w:tcW w:w="825" w:type="dxa"/>
            <w:noWrap/>
            <w:hideMark/>
          </w:tcPr>
          <w:p w14:paraId="685E0D8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1,744</w:t>
            </w:r>
          </w:p>
        </w:tc>
        <w:tc>
          <w:tcPr>
            <w:tcW w:w="1157" w:type="dxa"/>
            <w:noWrap/>
            <w:hideMark/>
          </w:tcPr>
          <w:p w14:paraId="7B3AFC3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1,034</w:t>
            </w:r>
          </w:p>
        </w:tc>
      </w:tr>
      <w:tr w:rsidR="000E76D9" w:rsidRPr="00A83C94" w14:paraId="0B887AAC" w14:textId="77777777" w:rsidTr="00C50DE0">
        <w:trPr>
          <w:trHeight w:val="540"/>
        </w:trPr>
        <w:tc>
          <w:tcPr>
            <w:tcW w:w="3448" w:type="dxa"/>
            <w:hideMark/>
          </w:tcPr>
          <w:p w14:paraId="68AC1238"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Ռադիոիզոտոպների արտադրության կենտրոն ՓԲԸ</w:t>
            </w:r>
          </w:p>
        </w:tc>
        <w:tc>
          <w:tcPr>
            <w:tcW w:w="800" w:type="dxa"/>
            <w:noWrap/>
            <w:hideMark/>
          </w:tcPr>
          <w:p w14:paraId="2C43D30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(1,734)</w:t>
            </w:r>
          </w:p>
        </w:tc>
        <w:tc>
          <w:tcPr>
            <w:tcW w:w="825" w:type="dxa"/>
            <w:noWrap/>
            <w:hideMark/>
          </w:tcPr>
          <w:p w14:paraId="410451F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5DCA66E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w:t>
            </w:r>
          </w:p>
        </w:tc>
        <w:tc>
          <w:tcPr>
            <w:tcW w:w="1032" w:type="dxa"/>
            <w:noWrap/>
            <w:hideMark/>
          </w:tcPr>
          <w:p w14:paraId="38DB49E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89</w:t>
            </w:r>
          </w:p>
        </w:tc>
        <w:tc>
          <w:tcPr>
            <w:tcW w:w="678" w:type="dxa"/>
            <w:noWrap/>
            <w:hideMark/>
          </w:tcPr>
          <w:p w14:paraId="4FAFA29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(386)</w:t>
            </w:r>
          </w:p>
        </w:tc>
        <w:tc>
          <w:tcPr>
            <w:tcW w:w="759" w:type="dxa"/>
            <w:noWrap/>
            <w:hideMark/>
          </w:tcPr>
          <w:p w14:paraId="1FFCB1F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(272)</w:t>
            </w:r>
          </w:p>
        </w:tc>
        <w:tc>
          <w:tcPr>
            <w:tcW w:w="825" w:type="dxa"/>
            <w:noWrap/>
            <w:hideMark/>
          </w:tcPr>
          <w:p w14:paraId="3C439B3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2,889</w:t>
            </w:r>
          </w:p>
        </w:tc>
        <w:tc>
          <w:tcPr>
            <w:tcW w:w="1157" w:type="dxa"/>
            <w:noWrap/>
            <w:hideMark/>
          </w:tcPr>
          <w:p w14:paraId="08A70C1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4,548</w:t>
            </w:r>
          </w:p>
        </w:tc>
      </w:tr>
      <w:tr w:rsidR="000E76D9" w:rsidRPr="00A83C94" w14:paraId="1A0A5FAD" w14:textId="77777777" w:rsidTr="00C50DE0">
        <w:trPr>
          <w:trHeight w:val="300"/>
        </w:trPr>
        <w:tc>
          <w:tcPr>
            <w:tcW w:w="3448" w:type="dxa"/>
            <w:noWrap/>
            <w:hideMark/>
          </w:tcPr>
          <w:p w14:paraId="0DD6CC90"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Երևանի ավտոբուս ՓԲԸ</w:t>
            </w:r>
          </w:p>
        </w:tc>
        <w:tc>
          <w:tcPr>
            <w:tcW w:w="800" w:type="dxa"/>
            <w:noWrap/>
            <w:hideMark/>
          </w:tcPr>
          <w:p w14:paraId="04726D02"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(2,012)</w:t>
            </w:r>
          </w:p>
        </w:tc>
        <w:tc>
          <w:tcPr>
            <w:tcW w:w="825" w:type="dxa"/>
            <w:noWrap/>
            <w:hideMark/>
          </w:tcPr>
          <w:p w14:paraId="34CC9E2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w:t>
            </w:r>
          </w:p>
        </w:tc>
        <w:tc>
          <w:tcPr>
            <w:tcW w:w="734" w:type="dxa"/>
            <w:noWrap/>
            <w:hideMark/>
          </w:tcPr>
          <w:p w14:paraId="28DBE90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1,958</w:t>
            </w:r>
          </w:p>
        </w:tc>
        <w:tc>
          <w:tcPr>
            <w:tcW w:w="1032" w:type="dxa"/>
            <w:noWrap/>
            <w:hideMark/>
          </w:tcPr>
          <w:p w14:paraId="1787877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874</w:t>
            </w:r>
          </w:p>
        </w:tc>
        <w:tc>
          <w:tcPr>
            <w:tcW w:w="678" w:type="dxa"/>
            <w:noWrap/>
            <w:hideMark/>
          </w:tcPr>
          <w:p w14:paraId="4565870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(260)</w:t>
            </w:r>
          </w:p>
        </w:tc>
        <w:tc>
          <w:tcPr>
            <w:tcW w:w="759" w:type="dxa"/>
            <w:noWrap/>
            <w:hideMark/>
          </w:tcPr>
          <w:p w14:paraId="62F8D48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(817)</w:t>
            </w:r>
          </w:p>
        </w:tc>
        <w:tc>
          <w:tcPr>
            <w:tcW w:w="825" w:type="dxa"/>
            <w:noWrap/>
            <w:hideMark/>
          </w:tcPr>
          <w:p w14:paraId="7EFD39F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1,004</w:t>
            </w:r>
          </w:p>
        </w:tc>
        <w:tc>
          <w:tcPr>
            <w:tcW w:w="1157" w:type="dxa"/>
            <w:noWrap/>
            <w:hideMark/>
          </w:tcPr>
          <w:p w14:paraId="53A5C88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2,518</w:t>
            </w:r>
          </w:p>
        </w:tc>
      </w:tr>
      <w:tr w:rsidR="000E76D9" w:rsidRPr="00A83C94" w14:paraId="3B6708CC" w14:textId="77777777" w:rsidTr="00C50DE0">
        <w:trPr>
          <w:trHeight w:val="300"/>
        </w:trPr>
        <w:tc>
          <w:tcPr>
            <w:tcW w:w="3448" w:type="dxa"/>
            <w:hideMark/>
          </w:tcPr>
          <w:p w14:paraId="1B051CA8"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Երևանի ոսկերչական գործարան ՓԲԸ</w:t>
            </w:r>
          </w:p>
        </w:tc>
        <w:tc>
          <w:tcPr>
            <w:tcW w:w="800" w:type="dxa"/>
            <w:noWrap/>
            <w:hideMark/>
          </w:tcPr>
          <w:p w14:paraId="2E29245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(1,737)</w:t>
            </w:r>
          </w:p>
        </w:tc>
        <w:tc>
          <w:tcPr>
            <w:tcW w:w="825" w:type="dxa"/>
            <w:noWrap/>
            <w:hideMark/>
          </w:tcPr>
          <w:p w14:paraId="7B63BFC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3CC0E22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29</w:t>
            </w:r>
          </w:p>
        </w:tc>
        <w:tc>
          <w:tcPr>
            <w:tcW w:w="1032" w:type="dxa"/>
            <w:noWrap/>
            <w:hideMark/>
          </w:tcPr>
          <w:p w14:paraId="4EB1AAB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18</w:t>
            </w:r>
          </w:p>
        </w:tc>
        <w:tc>
          <w:tcPr>
            <w:tcW w:w="678" w:type="dxa"/>
            <w:noWrap/>
            <w:hideMark/>
          </w:tcPr>
          <w:p w14:paraId="10EE3A0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(141)</w:t>
            </w:r>
          </w:p>
        </w:tc>
        <w:tc>
          <w:tcPr>
            <w:tcW w:w="759" w:type="dxa"/>
            <w:noWrap/>
            <w:hideMark/>
          </w:tcPr>
          <w:p w14:paraId="1E35877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(108)</w:t>
            </w:r>
          </w:p>
        </w:tc>
        <w:tc>
          <w:tcPr>
            <w:tcW w:w="825" w:type="dxa"/>
            <w:noWrap/>
            <w:hideMark/>
          </w:tcPr>
          <w:p w14:paraId="069BE24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166</w:t>
            </w:r>
          </w:p>
        </w:tc>
        <w:tc>
          <w:tcPr>
            <w:tcW w:w="1157" w:type="dxa"/>
            <w:noWrap/>
            <w:hideMark/>
          </w:tcPr>
          <w:p w14:paraId="2543F6F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165</w:t>
            </w:r>
          </w:p>
        </w:tc>
      </w:tr>
      <w:tr w:rsidR="000E76D9" w:rsidRPr="00A83C94" w14:paraId="6B2E9B8A" w14:textId="77777777" w:rsidTr="00C50DE0">
        <w:trPr>
          <w:trHeight w:val="540"/>
        </w:trPr>
        <w:tc>
          <w:tcPr>
            <w:tcW w:w="3448" w:type="dxa"/>
            <w:hideMark/>
          </w:tcPr>
          <w:p w14:paraId="7AC95F7C" w14:textId="77777777" w:rsidR="000E76D9" w:rsidRPr="00A83C94" w:rsidRDefault="000E76D9" w:rsidP="000E76D9">
            <w:pPr>
              <w:spacing w:before="0" w:after="200" w:line="240" w:lineRule="auto"/>
              <w:ind w:firstLine="0"/>
              <w:contextualSpacing w:val="0"/>
              <w:jc w:val="left"/>
              <w:rPr>
                <w:rFonts w:cs="Calibri"/>
                <w:bCs/>
                <w:color w:val="000000"/>
                <w:sz w:val="16"/>
                <w:szCs w:val="16"/>
                <w:lang w:eastAsia="en-US"/>
              </w:rPr>
            </w:pPr>
            <w:r w:rsidRPr="00A83C94">
              <w:rPr>
                <w:rFonts w:cs="Calibri"/>
                <w:bCs/>
                <w:color w:val="000000"/>
                <w:sz w:val="16"/>
                <w:szCs w:val="16"/>
                <w:lang w:val="en-US" w:eastAsia="en-US"/>
              </w:rPr>
              <w:t>Համո</w:t>
            </w:r>
            <w:r w:rsidRPr="00A83C94">
              <w:rPr>
                <w:rFonts w:cs="Calibri"/>
                <w:bCs/>
                <w:color w:val="000000"/>
                <w:sz w:val="16"/>
                <w:szCs w:val="16"/>
                <w:lang w:eastAsia="en-US"/>
              </w:rPr>
              <w:t xml:space="preserve"> </w:t>
            </w:r>
            <w:r w:rsidRPr="00A83C94">
              <w:rPr>
                <w:rFonts w:cs="Calibri"/>
                <w:bCs/>
                <w:color w:val="000000"/>
                <w:sz w:val="16"/>
                <w:szCs w:val="16"/>
                <w:lang w:val="en-US" w:eastAsia="en-US"/>
              </w:rPr>
              <w:t>Բեկնազարյանի</w:t>
            </w:r>
            <w:r w:rsidRPr="00A83C94">
              <w:rPr>
                <w:rFonts w:cs="Calibri"/>
                <w:bCs/>
                <w:color w:val="000000"/>
                <w:sz w:val="16"/>
                <w:szCs w:val="16"/>
                <w:lang w:eastAsia="en-US"/>
              </w:rPr>
              <w:t xml:space="preserve"> </w:t>
            </w:r>
            <w:r w:rsidRPr="00A83C94">
              <w:rPr>
                <w:rFonts w:cs="Calibri"/>
                <w:bCs/>
                <w:color w:val="000000"/>
                <w:sz w:val="16"/>
                <w:szCs w:val="16"/>
                <w:lang w:val="en-US" w:eastAsia="en-US"/>
              </w:rPr>
              <w:t>անվան</w:t>
            </w:r>
            <w:r w:rsidRPr="00A83C94">
              <w:rPr>
                <w:rFonts w:cs="Calibri"/>
                <w:bCs/>
                <w:color w:val="000000"/>
                <w:sz w:val="16"/>
                <w:szCs w:val="16"/>
                <w:lang w:eastAsia="en-US"/>
              </w:rPr>
              <w:t xml:space="preserve"> «</w:t>
            </w:r>
            <w:r w:rsidRPr="00A83C94">
              <w:rPr>
                <w:rFonts w:cs="Calibri"/>
                <w:bCs/>
                <w:color w:val="000000"/>
                <w:sz w:val="16"/>
                <w:szCs w:val="16"/>
                <w:lang w:val="en-US" w:eastAsia="en-US"/>
              </w:rPr>
              <w:t>Հայֆիլմ</w:t>
            </w:r>
            <w:r w:rsidRPr="00A83C94">
              <w:rPr>
                <w:rFonts w:cs="Calibri"/>
                <w:bCs/>
                <w:color w:val="000000"/>
                <w:sz w:val="16"/>
                <w:szCs w:val="16"/>
                <w:lang w:eastAsia="en-US"/>
              </w:rPr>
              <w:t xml:space="preserve">» </w:t>
            </w:r>
            <w:r w:rsidRPr="00A83C94">
              <w:rPr>
                <w:rFonts w:cs="Calibri"/>
                <w:bCs/>
                <w:color w:val="000000"/>
                <w:sz w:val="16"/>
                <w:szCs w:val="16"/>
                <w:lang w:val="en-US" w:eastAsia="en-US"/>
              </w:rPr>
              <w:t>կինոստուդիա</w:t>
            </w:r>
            <w:r w:rsidRPr="00A83C94">
              <w:rPr>
                <w:rFonts w:cs="Calibri"/>
                <w:bCs/>
                <w:color w:val="000000"/>
                <w:sz w:val="16"/>
                <w:szCs w:val="16"/>
                <w:lang w:eastAsia="en-US"/>
              </w:rPr>
              <w:t xml:space="preserve"> </w:t>
            </w:r>
            <w:r w:rsidRPr="00A83C94">
              <w:rPr>
                <w:rFonts w:cs="Calibri"/>
                <w:bCs/>
                <w:color w:val="000000"/>
                <w:sz w:val="16"/>
                <w:szCs w:val="16"/>
                <w:lang w:val="en-US" w:eastAsia="en-US"/>
              </w:rPr>
              <w:t>ՓԲԸ</w:t>
            </w:r>
          </w:p>
        </w:tc>
        <w:tc>
          <w:tcPr>
            <w:tcW w:w="800" w:type="dxa"/>
            <w:noWrap/>
            <w:hideMark/>
          </w:tcPr>
          <w:p w14:paraId="1A610F0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(110)</w:t>
            </w:r>
          </w:p>
        </w:tc>
        <w:tc>
          <w:tcPr>
            <w:tcW w:w="825" w:type="dxa"/>
            <w:noWrap/>
            <w:hideMark/>
          </w:tcPr>
          <w:p w14:paraId="188A90D5"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0%</w:t>
            </w:r>
          </w:p>
        </w:tc>
        <w:tc>
          <w:tcPr>
            <w:tcW w:w="734" w:type="dxa"/>
            <w:noWrap/>
            <w:hideMark/>
          </w:tcPr>
          <w:p w14:paraId="16E2F69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9</w:t>
            </w:r>
          </w:p>
        </w:tc>
        <w:tc>
          <w:tcPr>
            <w:tcW w:w="1032" w:type="dxa"/>
            <w:noWrap/>
            <w:hideMark/>
          </w:tcPr>
          <w:p w14:paraId="1C1A2BE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13</w:t>
            </w:r>
          </w:p>
        </w:tc>
        <w:tc>
          <w:tcPr>
            <w:tcW w:w="678" w:type="dxa"/>
            <w:noWrap/>
            <w:hideMark/>
          </w:tcPr>
          <w:p w14:paraId="3313609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(25)</w:t>
            </w:r>
          </w:p>
        </w:tc>
        <w:tc>
          <w:tcPr>
            <w:tcW w:w="759" w:type="dxa"/>
            <w:noWrap/>
            <w:hideMark/>
          </w:tcPr>
          <w:p w14:paraId="096C42C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(28)</w:t>
            </w:r>
          </w:p>
        </w:tc>
        <w:tc>
          <w:tcPr>
            <w:tcW w:w="825" w:type="dxa"/>
            <w:noWrap/>
            <w:hideMark/>
          </w:tcPr>
          <w:p w14:paraId="194A138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495</w:t>
            </w:r>
          </w:p>
        </w:tc>
        <w:tc>
          <w:tcPr>
            <w:tcW w:w="1157" w:type="dxa"/>
            <w:noWrap/>
            <w:hideMark/>
          </w:tcPr>
          <w:p w14:paraId="49DAD51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182</w:t>
            </w:r>
          </w:p>
        </w:tc>
      </w:tr>
      <w:tr w:rsidR="000E76D9" w:rsidRPr="00A83C94" w14:paraId="2C31BF7E" w14:textId="77777777" w:rsidTr="00C50DE0">
        <w:trPr>
          <w:trHeight w:val="300"/>
        </w:trPr>
        <w:tc>
          <w:tcPr>
            <w:tcW w:w="3448" w:type="dxa"/>
            <w:hideMark/>
          </w:tcPr>
          <w:p w14:paraId="7611ED73"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Նաիրիտ-2 ՓԲԸ</w:t>
            </w:r>
          </w:p>
        </w:tc>
        <w:tc>
          <w:tcPr>
            <w:tcW w:w="800" w:type="dxa"/>
            <w:noWrap/>
            <w:hideMark/>
          </w:tcPr>
          <w:p w14:paraId="28CF396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(1,391)</w:t>
            </w:r>
          </w:p>
        </w:tc>
        <w:tc>
          <w:tcPr>
            <w:tcW w:w="825" w:type="dxa"/>
            <w:noWrap/>
            <w:hideMark/>
          </w:tcPr>
          <w:p w14:paraId="30DA228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3B6B3D0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w:t>
            </w:r>
          </w:p>
        </w:tc>
        <w:tc>
          <w:tcPr>
            <w:tcW w:w="1032" w:type="dxa"/>
            <w:noWrap/>
            <w:hideMark/>
          </w:tcPr>
          <w:p w14:paraId="1C121BC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w:t>
            </w:r>
          </w:p>
        </w:tc>
        <w:tc>
          <w:tcPr>
            <w:tcW w:w="678" w:type="dxa"/>
            <w:noWrap/>
            <w:hideMark/>
          </w:tcPr>
          <w:p w14:paraId="7DC0650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(348)</w:t>
            </w:r>
          </w:p>
        </w:tc>
        <w:tc>
          <w:tcPr>
            <w:tcW w:w="759" w:type="dxa"/>
            <w:noWrap/>
            <w:hideMark/>
          </w:tcPr>
          <w:p w14:paraId="58F09F2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(682)</w:t>
            </w:r>
          </w:p>
        </w:tc>
        <w:tc>
          <w:tcPr>
            <w:tcW w:w="825" w:type="dxa"/>
            <w:noWrap/>
            <w:hideMark/>
          </w:tcPr>
          <w:p w14:paraId="22174EE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6,110</w:t>
            </w:r>
          </w:p>
        </w:tc>
        <w:tc>
          <w:tcPr>
            <w:tcW w:w="1157" w:type="dxa"/>
            <w:noWrap/>
            <w:hideMark/>
          </w:tcPr>
          <w:p w14:paraId="733AA75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6,117</w:t>
            </w:r>
          </w:p>
        </w:tc>
      </w:tr>
      <w:tr w:rsidR="000E76D9" w:rsidRPr="00A83C94" w14:paraId="40236F1B" w14:textId="77777777" w:rsidTr="00C50DE0">
        <w:trPr>
          <w:trHeight w:val="300"/>
        </w:trPr>
        <w:tc>
          <w:tcPr>
            <w:tcW w:w="3448" w:type="dxa"/>
            <w:hideMark/>
          </w:tcPr>
          <w:p w14:paraId="0B8C225D"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Գյումրու բժշկական կենտրոն ՓԲԸ</w:t>
            </w:r>
          </w:p>
        </w:tc>
        <w:tc>
          <w:tcPr>
            <w:tcW w:w="800" w:type="dxa"/>
            <w:noWrap/>
            <w:hideMark/>
          </w:tcPr>
          <w:p w14:paraId="1A0EF83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(559)</w:t>
            </w:r>
          </w:p>
        </w:tc>
        <w:tc>
          <w:tcPr>
            <w:tcW w:w="825" w:type="dxa"/>
            <w:noWrap/>
            <w:hideMark/>
          </w:tcPr>
          <w:p w14:paraId="4B562DA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w:t>
            </w:r>
          </w:p>
        </w:tc>
        <w:tc>
          <w:tcPr>
            <w:tcW w:w="734" w:type="dxa"/>
            <w:noWrap/>
            <w:hideMark/>
          </w:tcPr>
          <w:p w14:paraId="442326C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1,687</w:t>
            </w:r>
          </w:p>
        </w:tc>
        <w:tc>
          <w:tcPr>
            <w:tcW w:w="1032" w:type="dxa"/>
            <w:noWrap/>
            <w:hideMark/>
          </w:tcPr>
          <w:p w14:paraId="1394885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1,580</w:t>
            </w:r>
          </w:p>
        </w:tc>
        <w:tc>
          <w:tcPr>
            <w:tcW w:w="678" w:type="dxa"/>
            <w:noWrap/>
            <w:hideMark/>
          </w:tcPr>
          <w:p w14:paraId="443EA9A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w:t>
            </w:r>
          </w:p>
        </w:tc>
        <w:tc>
          <w:tcPr>
            <w:tcW w:w="759" w:type="dxa"/>
            <w:noWrap/>
            <w:hideMark/>
          </w:tcPr>
          <w:p w14:paraId="33001D4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(82)</w:t>
            </w:r>
          </w:p>
        </w:tc>
        <w:tc>
          <w:tcPr>
            <w:tcW w:w="825" w:type="dxa"/>
            <w:noWrap/>
            <w:hideMark/>
          </w:tcPr>
          <w:p w14:paraId="2670E97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1,169</w:t>
            </w:r>
          </w:p>
        </w:tc>
        <w:tc>
          <w:tcPr>
            <w:tcW w:w="1157" w:type="dxa"/>
            <w:noWrap/>
            <w:hideMark/>
          </w:tcPr>
          <w:p w14:paraId="54B85F0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1,276</w:t>
            </w:r>
          </w:p>
        </w:tc>
      </w:tr>
      <w:tr w:rsidR="000E76D9" w:rsidRPr="00A83C94" w14:paraId="5495FC7C" w14:textId="77777777" w:rsidTr="00C50DE0">
        <w:trPr>
          <w:trHeight w:val="300"/>
        </w:trPr>
        <w:tc>
          <w:tcPr>
            <w:tcW w:w="3448" w:type="dxa"/>
            <w:noWrap/>
            <w:hideMark/>
          </w:tcPr>
          <w:p w14:paraId="2A6A428A" w14:textId="77777777" w:rsidR="000E76D9" w:rsidRPr="00A83C94" w:rsidRDefault="000E76D9" w:rsidP="000E76D9">
            <w:pPr>
              <w:spacing w:before="0" w:after="200" w:line="240" w:lineRule="auto"/>
              <w:ind w:firstLine="0"/>
              <w:contextualSpacing w:val="0"/>
              <w:jc w:val="left"/>
              <w:rPr>
                <w:rFonts w:cs="Calibri"/>
                <w:bCs/>
                <w:color w:val="000000"/>
                <w:sz w:val="16"/>
                <w:szCs w:val="16"/>
                <w:lang w:eastAsia="en-US"/>
              </w:rPr>
            </w:pPr>
            <w:r w:rsidRPr="00A83C94">
              <w:rPr>
                <w:rFonts w:cs="Calibri"/>
                <w:bCs/>
                <w:color w:val="000000"/>
                <w:sz w:val="16"/>
                <w:szCs w:val="16"/>
                <w:lang w:val="en-US" w:eastAsia="en-US"/>
              </w:rPr>
              <w:t>Նորք</w:t>
            </w:r>
            <w:r w:rsidRPr="00A83C94">
              <w:rPr>
                <w:rFonts w:cs="Calibri"/>
                <w:bCs/>
                <w:color w:val="000000"/>
                <w:sz w:val="16"/>
                <w:szCs w:val="16"/>
                <w:lang w:eastAsia="en-US"/>
              </w:rPr>
              <w:t xml:space="preserve"> </w:t>
            </w:r>
            <w:r w:rsidRPr="00A83C94">
              <w:rPr>
                <w:rFonts w:cs="Calibri"/>
                <w:bCs/>
                <w:color w:val="000000"/>
                <w:sz w:val="16"/>
                <w:szCs w:val="16"/>
                <w:lang w:val="en-US" w:eastAsia="en-US"/>
              </w:rPr>
              <w:t>Մարաշ</w:t>
            </w:r>
            <w:r w:rsidRPr="00A83C94">
              <w:rPr>
                <w:rFonts w:cs="Calibri"/>
                <w:bCs/>
                <w:color w:val="000000"/>
                <w:sz w:val="16"/>
                <w:szCs w:val="16"/>
                <w:lang w:eastAsia="en-US"/>
              </w:rPr>
              <w:t xml:space="preserve"> </w:t>
            </w:r>
            <w:r w:rsidRPr="00A83C94">
              <w:rPr>
                <w:rFonts w:cs="Calibri"/>
                <w:bCs/>
                <w:color w:val="000000"/>
                <w:sz w:val="16"/>
                <w:szCs w:val="16"/>
                <w:lang w:val="en-US" w:eastAsia="en-US"/>
              </w:rPr>
              <w:t>բժշկական</w:t>
            </w:r>
            <w:r w:rsidRPr="00A83C94">
              <w:rPr>
                <w:rFonts w:cs="Calibri"/>
                <w:bCs/>
                <w:color w:val="000000"/>
                <w:sz w:val="16"/>
                <w:szCs w:val="16"/>
                <w:lang w:eastAsia="en-US"/>
              </w:rPr>
              <w:t xml:space="preserve"> </w:t>
            </w:r>
            <w:r w:rsidRPr="00A83C94">
              <w:rPr>
                <w:rFonts w:cs="Calibri"/>
                <w:bCs/>
                <w:color w:val="000000"/>
                <w:sz w:val="16"/>
                <w:szCs w:val="16"/>
                <w:lang w:val="en-US" w:eastAsia="en-US"/>
              </w:rPr>
              <w:t>կենտրոն</w:t>
            </w:r>
            <w:r w:rsidRPr="00A83C94">
              <w:rPr>
                <w:rFonts w:cs="Calibri"/>
                <w:bCs/>
                <w:color w:val="000000"/>
                <w:sz w:val="16"/>
                <w:szCs w:val="16"/>
                <w:lang w:eastAsia="en-US"/>
              </w:rPr>
              <w:t xml:space="preserve"> </w:t>
            </w:r>
            <w:r w:rsidRPr="00A83C94">
              <w:rPr>
                <w:rFonts w:cs="Calibri"/>
                <w:bCs/>
                <w:color w:val="000000"/>
                <w:sz w:val="16"/>
                <w:szCs w:val="16"/>
                <w:lang w:val="en-US" w:eastAsia="en-US"/>
              </w:rPr>
              <w:t>ՓԲԸ</w:t>
            </w:r>
          </w:p>
        </w:tc>
        <w:tc>
          <w:tcPr>
            <w:tcW w:w="800" w:type="dxa"/>
            <w:noWrap/>
            <w:hideMark/>
          </w:tcPr>
          <w:p w14:paraId="498778E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(1,262)</w:t>
            </w:r>
          </w:p>
        </w:tc>
        <w:tc>
          <w:tcPr>
            <w:tcW w:w="825" w:type="dxa"/>
            <w:noWrap/>
            <w:hideMark/>
          </w:tcPr>
          <w:p w14:paraId="6D362EC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w:t>
            </w:r>
          </w:p>
        </w:tc>
        <w:tc>
          <w:tcPr>
            <w:tcW w:w="734" w:type="dxa"/>
            <w:noWrap/>
            <w:hideMark/>
          </w:tcPr>
          <w:p w14:paraId="52AD619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4,945</w:t>
            </w:r>
          </w:p>
        </w:tc>
        <w:tc>
          <w:tcPr>
            <w:tcW w:w="1032" w:type="dxa"/>
            <w:noWrap/>
            <w:hideMark/>
          </w:tcPr>
          <w:p w14:paraId="608664E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4,989</w:t>
            </w:r>
          </w:p>
        </w:tc>
        <w:tc>
          <w:tcPr>
            <w:tcW w:w="678" w:type="dxa"/>
            <w:noWrap/>
            <w:hideMark/>
          </w:tcPr>
          <w:p w14:paraId="1EDACE56"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39</w:t>
            </w:r>
          </w:p>
        </w:tc>
        <w:tc>
          <w:tcPr>
            <w:tcW w:w="759" w:type="dxa"/>
            <w:noWrap/>
            <w:hideMark/>
          </w:tcPr>
          <w:p w14:paraId="4B2A84D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(951)</w:t>
            </w:r>
          </w:p>
        </w:tc>
        <w:tc>
          <w:tcPr>
            <w:tcW w:w="825" w:type="dxa"/>
            <w:noWrap/>
            <w:hideMark/>
          </w:tcPr>
          <w:p w14:paraId="393736E0"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5,741</w:t>
            </w:r>
          </w:p>
        </w:tc>
        <w:tc>
          <w:tcPr>
            <w:tcW w:w="1157" w:type="dxa"/>
            <w:noWrap/>
            <w:hideMark/>
          </w:tcPr>
          <w:p w14:paraId="1640F22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6,321</w:t>
            </w:r>
          </w:p>
        </w:tc>
      </w:tr>
      <w:tr w:rsidR="000E76D9" w:rsidRPr="00A83C94" w14:paraId="11A7F796" w14:textId="77777777" w:rsidTr="00C50DE0">
        <w:trPr>
          <w:trHeight w:val="300"/>
        </w:trPr>
        <w:tc>
          <w:tcPr>
            <w:tcW w:w="3448" w:type="dxa"/>
            <w:hideMark/>
          </w:tcPr>
          <w:p w14:paraId="1903FDBC"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«Ավտոմատիկա» ՓԲԸ</w:t>
            </w:r>
          </w:p>
        </w:tc>
        <w:tc>
          <w:tcPr>
            <w:tcW w:w="800" w:type="dxa"/>
            <w:noWrap/>
            <w:hideMark/>
          </w:tcPr>
          <w:p w14:paraId="4929E339"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(321)</w:t>
            </w:r>
          </w:p>
        </w:tc>
        <w:tc>
          <w:tcPr>
            <w:tcW w:w="825" w:type="dxa"/>
            <w:noWrap/>
            <w:hideMark/>
          </w:tcPr>
          <w:p w14:paraId="66FED7F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0%</w:t>
            </w:r>
          </w:p>
        </w:tc>
        <w:tc>
          <w:tcPr>
            <w:tcW w:w="734" w:type="dxa"/>
            <w:noWrap/>
            <w:hideMark/>
          </w:tcPr>
          <w:p w14:paraId="59AF61BD"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w:t>
            </w:r>
          </w:p>
        </w:tc>
        <w:tc>
          <w:tcPr>
            <w:tcW w:w="1032" w:type="dxa"/>
            <w:noWrap/>
            <w:hideMark/>
          </w:tcPr>
          <w:p w14:paraId="38456F0B"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9</w:t>
            </w:r>
          </w:p>
        </w:tc>
        <w:tc>
          <w:tcPr>
            <w:tcW w:w="678" w:type="dxa"/>
            <w:noWrap/>
            <w:hideMark/>
          </w:tcPr>
          <w:p w14:paraId="5AC1DB9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(57)</w:t>
            </w:r>
          </w:p>
        </w:tc>
        <w:tc>
          <w:tcPr>
            <w:tcW w:w="759" w:type="dxa"/>
            <w:noWrap/>
            <w:hideMark/>
          </w:tcPr>
          <w:p w14:paraId="5A127E4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(34)</w:t>
            </w:r>
          </w:p>
        </w:tc>
        <w:tc>
          <w:tcPr>
            <w:tcW w:w="825" w:type="dxa"/>
            <w:noWrap/>
            <w:hideMark/>
          </w:tcPr>
          <w:p w14:paraId="12837A1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338</w:t>
            </w:r>
          </w:p>
        </w:tc>
        <w:tc>
          <w:tcPr>
            <w:tcW w:w="1157" w:type="dxa"/>
            <w:noWrap/>
            <w:hideMark/>
          </w:tcPr>
          <w:p w14:paraId="58F03181"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249</w:t>
            </w:r>
          </w:p>
        </w:tc>
      </w:tr>
      <w:tr w:rsidR="000E76D9" w:rsidRPr="00A83C94" w14:paraId="576C9E2C" w14:textId="77777777" w:rsidTr="00C50DE0">
        <w:trPr>
          <w:trHeight w:val="300"/>
        </w:trPr>
        <w:tc>
          <w:tcPr>
            <w:tcW w:w="3448" w:type="dxa"/>
            <w:noWrap/>
            <w:hideMark/>
          </w:tcPr>
          <w:p w14:paraId="73D1E12C" w14:textId="77777777" w:rsidR="000E76D9" w:rsidRPr="00A83C94" w:rsidRDefault="000E76D9" w:rsidP="000E76D9">
            <w:pPr>
              <w:spacing w:before="0" w:after="200" w:line="240" w:lineRule="auto"/>
              <w:ind w:firstLine="0"/>
              <w:contextualSpacing w:val="0"/>
              <w:jc w:val="left"/>
              <w:rPr>
                <w:rFonts w:cs="Calibri"/>
                <w:bCs/>
                <w:color w:val="000000"/>
                <w:sz w:val="16"/>
                <w:szCs w:val="16"/>
                <w:lang w:val="en-US" w:eastAsia="en-US"/>
              </w:rPr>
            </w:pPr>
            <w:r w:rsidRPr="00A83C94">
              <w:rPr>
                <w:rFonts w:cs="Calibri"/>
                <w:bCs/>
                <w:color w:val="000000"/>
                <w:sz w:val="16"/>
                <w:szCs w:val="16"/>
                <w:lang w:val="en-US" w:eastAsia="en-US"/>
              </w:rPr>
              <w:t>Ալավերդու բժշկական կենտրոն ՓԲԸ</w:t>
            </w:r>
          </w:p>
        </w:tc>
        <w:tc>
          <w:tcPr>
            <w:tcW w:w="800" w:type="dxa"/>
            <w:noWrap/>
            <w:hideMark/>
          </w:tcPr>
          <w:p w14:paraId="55B85137"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(198)</w:t>
            </w:r>
          </w:p>
        </w:tc>
        <w:tc>
          <w:tcPr>
            <w:tcW w:w="825" w:type="dxa"/>
            <w:noWrap/>
            <w:hideMark/>
          </w:tcPr>
          <w:p w14:paraId="1B108B1E"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0%</w:t>
            </w:r>
          </w:p>
        </w:tc>
        <w:tc>
          <w:tcPr>
            <w:tcW w:w="734" w:type="dxa"/>
            <w:noWrap/>
            <w:hideMark/>
          </w:tcPr>
          <w:p w14:paraId="64B5B318"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643</w:t>
            </w:r>
          </w:p>
        </w:tc>
        <w:tc>
          <w:tcPr>
            <w:tcW w:w="1032" w:type="dxa"/>
            <w:noWrap/>
            <w:hideMark/>
          </w:tcPr>
          <w:p w14:paraId="29A49E93"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575</w:t>
            </w:r>
          </w:p>
        </w:tc>
        <w:tc>
          <w:tcPr>
            <w:tcW w:w="678" w:type="dxa"/>
            <w:noWrap/>
            <w:hideMark/>
          </w:tcPr>
          <w:p w14:paraId="2B6434BC"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26</w:t>
            </w:r>
          </w:p>
        </w:tc>
        <w:tc>
          <w:tcPr>
            <w:tcW w:w="759" w:type="dxa"/>
            <w:noWrap/>
            <w:hideMark/>
          </w:tcPr>
          <w:p w14:paraId="3E47E724"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5</w:t>
            </w:r>
          </w:p>
        </w:tc>
        <w:tc>
          <w:tcPr>
            <w:tcW w:w="825" w:type="dxa"/>
            <w:noWrap/>
            <w:hideMark/>
          </w:tcPr>
          <w:p w14:paraId="677B178F"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750</w:t>
            </w:r>
          </w:p>
        </w:tc>
        <w:tc>
          <w:tcPr>
            <w:tcW w:w="1157" w:type="dxa"/>
            <w:noWrap/>
            <w:hideMark/>
          </w:tcPr>
          <w:p w14:paraId="7843ADBA" w14:textId="77777777" w:rsidR="000E76D9" w:rsidRPr="00A83C94" w:rsidRDefault="000E76D9" w:rsidP="000E76D9">
            <w:pPr>
              <w:spacing w:before="0" w:after="200" w:line="240" w:lineRule="auto"/>
              <w:ind w:firstLine="0"/>
              <w:contextualSpacing w:val="0"/>
              <w:jc w:val="center"/>
              <w:rPr>
                <w:rFonts w:ascii="Calibri" w:hAnsi="Calibri" w:cs="Calibri"/>
                <w:b w:val="0"/>
                <w:color w:val="000000"/>
                <w:sz w:val="16"/>
                <w:szCs w:val="16"/>
                <w:lang w:val="en-US" w:eastAsia="en-US"/>
              </w:rPr>
            </w:pPr>
            <w:r w:rsidRPr="00A83C94">
              <w:rPr>
                <w:rFonts w:ascii="Calibri" w:hAnsi="Calibri" w:cs="Calibri"/>
                <w:b w:val="0"/>
                <w:color w:val="000000"/>
                <w:sz w:val="16"/>
                <w:szCs w:val="16"/>
                <w:lang w:val="en-US" w:eastAsia="en-US"/>
              </w:rPr>
              <w:t>672</w:t>
            </w:r>
          </w:p>
        </w:tc>
      </w:tr>
    </w:tbl>
    <w:p w14:paraId="7CFCE382" w14:textId="77777777" w:rsidR="00682DEF" w:rsidRPr="00A83C94" w:rsidRDefault="00682DEF" w:rsidP="00682DEF">
      <w:pPr>
        <w:shd w:val="clear" w:color="auto" w:fill="FFFFFF"/>
        <w:spacing w:before="0" w:line="276" w:lineRule="auto"/>
        <w:ind w:right="20" w:firstLine="227"/>
        <w:contextualSpacing w:val="0"/>
        <w:rPr>
          <w:b w:val="0"/>
          <w:szCs w:val="22"/>
          <w:lang w:val="hy-AM" w:eastAsia="en-US"/>
        </w:rPr>
      </w:pPr>
      <w:r w:rsidRPr="00A83C94">
        <w:rPr>
          <w:b w:val="0"/>
          <w:szCs w:val="22"/>
          <w:lang w:val="hy-AM" w:eastAsia="en-US"/>
        </w:rPr>
        <w:t xml:space="preserve">2019 թվականի </w:t>
      </w:r>
      <w:r w:rsidRPr="00A83C94">
        <w:rPr>
          <w:b w:val="0"/>
          <w:szCs w:val="22"/>
          <w:lang w:val="en-US" w:eastAsia="en-US"/>
        </w:rPr>
        <w:t>դեկտեմբերի</w:t>
      </w:r>
      <w:r w:rsidRPr="00A83C94">
        <w:rPr>
          <w:b w:val="0"/>
          <w:szCs w:val="22"/>
          <w:lang w:eastAsia="en-US"/>
        </w:rPr>
        <w:t xml:space="preserve"> 31-</w:t>
      </w:r>
      <w:r w:rsidRPr="00A83C94">
        <w:rPr>
          <w:b w:val="0"/>
          <w:szCs w:val="22"/>
          <w:lang w:val="en-US" w:eastAsia="en-US"/>
        </w:rPr>
        <w:t>ի</w:t>
      </w:r>
      <w:r w:rsidRPr="00A83C94">
        <w:rPr>
          <w:b w:val="0"/>
          <w:szCs w:val="22"/>
          <w:lang w:val="hy-AM" w:eastAsia="en-US"/>
        </w:rPr>
        <w:t xml:space="preserve"> դրությամբ Էական կուտակված վնաս էին արձանագրել մասնավորապես ջրային ոլորտի ընկերությունները։ Այդ ոլորտի մասով արձանագրված վնասի առաջացման պատճառները հիմնականում պայմանավորված են ՀԾԿՀ-ի կողմից դեռևս 2007թ. հաստատված սակագներով, որոնց հաշվարկների մեջ ներառված չեն ամորտիզացիոն մասհանումները: 2020 թվականին տեղի է ունեցել այդ ընկերությունների միացման ձևով վերակազմավորում, ինչը նվազեցրել է հնարավոր ֆիսկալ ռիսկերը։ Անհրաժեշտ է նշել նաև, որ ջրային ոլորտի ընկերությունները չեն ունեցել ժամկետանց վարկային պարտավորություններ, ինչպես նաև ՀՀ կառավարության կողմից բյուջետային երաշխիքներ չեն ստացել:</w:t>
      </w:r>
    </w:p>
    <w:p w14:paraId="0CB0F727" w14:textId="77777777" w:rsidR="00682DEF" w:rsidRPr="00A83C94" w:rsidRDefault="00682DEF" w:rsidP="00682DEF">
      <w:pPr>
        <w:shd w:val="clear" w:color="auto" w:fill="FFFFFF"/>
        <w:spacing w:before="0" w:line="240" w:lineRule="auto"/>
        <w:ind w:right="150" w:firstLine="227"/>
        <w:contextualSpacing w:val="0"/>
        <w:rPr>
          <w:b w:val="0"/>
          <w:szCs w:val="22"/>
          <w:lang w:val="hy-AM" w:eastAsia="en-US"/>
        </w:rPr>
      </w:pPr>
      <w:r w:rsidRPr="00A83C94">
        <w:rPr>
          <w:b w:val="0"/>
          <w:szCs w:val="22"/>
          <w:lang w:val="hy-AM" w:eastAsia="en-US"/>
        </w:rPr>
        <w:t>2020 թվականի արդյունքներով որոշ խոշոր 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սահմանային նորմաները ներկայացված են ստորև աղյուսակում:</w:t>
      </w:r>
    </w:p>
    <w:p w14:paraId="7C064FA2" w14:textId="1FDAF576" w:rsidR="00682DEF" w:rsidRPr="00A83C94" w:rsidRDefault="00682DEF" w:rsidP="00682DEF">
      <w:pPr>
        <w:spacing w:before="60" w:after="40"/>
        <w:contextualSpacing w:val="0"/>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 xml:space="preserve">Աղյուսակ </w:t>
      </w:r>
      <w:r w:rsidR="006C390E" w:rsidRPr="001336A5">
        <w:rPr>
          <w:rFonts w:eastAsia="Calibri"/>
          <w:b w:val="0"/>
          <w:bCs/>
          <w:color w:val="4F81BD" w:themeColor="accent1"/>
          <w:sz w:val="18"/>
          <w:szCs w:val="18"/>
          <w:lang w:val="hy-AM" w:eastAsia="en-US"/>
        </w:rPr>
        <w:t>6</w:t>
      </w:r>
      <w:r w:rsidRPr="00A83C94">
        <w:rPr>
          <w:rFonts w:eastAsia="Calibri"/>
          <w:bCs/>
          <w:i/>
          <w:color w:val="4F81BD" w:themeColor="accent1"/>
          <w:sz w:val="20"/>
          <w:szCs w:val="20"/>
          <w:lang w:val="hy-AM" w:eastAsia="en-US"/>
        </w:rPr>
        <w:t xml:space="preserve"> Պետական մասնակցությամբ ընկերությունների ֆինանսական գործակիցները</w:t>
      </w:r>
    </w:p>
    <w:tbl>
      <w:tblPr>
        <w:tblW w:w="9909" w:type="dxa"/>
        <w:tblInd w:w="-275" w:type="dxa"/>
        <w:tblLayout w:type="fixed"/>
        <w:tblLook w:val="04A0" w:firstRow="1" w:lastRow="0" w:firstColumn="1" w:lastColumn="0" w:noHBand="0" w:noVBand="1"/>
      </w:tblPr>
      <w:tblGrid>
        <w:gridCol w:w="2538"/>
        <w:gridCol w:w="709"/>
        <w:gridCol w:w="709"/>
        <w:gridCol w:w="850"/>
        <w:gridCol w:w="851"/>
        <w:gridCol w:w="709"/>
        <w:gridCol w:w="586"/>
        <w:gridCol w:w="767"/>
        <w:gridCol w:w="826"/>
        <w:gridCol w:w="725"/>
        <w:gridCol w:w="639"/>
      </w:tblGrid>
      <w:tr w:rsidR="000E76D9" w:rsidRPr="00A83C94" w14:paraId="7C84D8AB" w14:textId="77777777" w:rsidTr="00875D10">
        <w:trPr>
          <w:trHeight w:val="1290"/>
        </w:trPr>
        <w:tc>
          <w:tcPr>
            <w:tcW w:w="2538" w:type="dxa"/>
            <w:tcBorders>
              <w:top w:val="single" w:sz="4" w:space="0" w:color="auto"/>
              <w:left w:val="single" w:sz="4" w:space="0" w:color="auto"/>
              <w:bottom w:val="single" w:sz="4" w:space="0" w:color="auto"/>
            </w:tcBorders>
            <w:shd w:val="clear" w:color="auto" w:fill="548DD4" w:themeFill="text2" w:themeFillTint="99"/>
            <w:noWrap/>
          </w:tcPr>
          <w:p w14:paraId="1929EA19" w14:textId="4A09AD73"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Ընկերության անվանումը</w:t>
            </w:r>
          </w:p>
        </w:tc>
        <w:tc>
          <w:tcPr>
            <w:tcW w:w="1418" w:type="dxa"/>
            <w:gridSpan w:val="2"/>
            <w:tcBorders>
              <w:top w:val="single" w:sz="4" w:space="0" w:color="auto"/>
              <w:left w:val="single" w:sz="4" w:space="0" w:color="auto"/>
              <w:bottom w:val="single" w:sz="4" w:space="0" w:color="auto"/>
            </w:tcBorders>
            <w:shd w:val="clear" w:color="auto" w:fill="548DD4" w:themeFill="text2" w:themeFillTint="99"/>
          </w:tcPr>
          <w:p w14:paraId="78067873" w14:textId="46062F1F"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Ծախսերի վերականգնման գործակից</w:t>
            </w:r>
          </w:p>
        </w:tc>
        <w:tc>
          <w:tcPr>
            <w:tcW w:w="1701" w:type="dxa"/>
            <w:gridSpan w:val="2"/>
            <w:tcBorders>
              <w:top w:val="single" w:sz="4" w:space="0" w:color="auto"/>
              <w:left w:val="single" w:sz="4" w:space="0" w:color="auto"/>
              <w:bottom w:val="single" w:sz="4" w:space="0" w:color="auto"/>
            </w:tcBorders>
            <w:shd w:val="clear" w:color="auto" w:fill="548DD4" w:themeFill="text2" w:themeFillTint="99"/>
          </w:tcPr>
          <w:p w14:paraId="2B47DCE6" w14:textId="2618BE04"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Զուտ շահույթի մարժա(%)</w:t>
            </w:r>
          </w:p>
        </w:tc>
        <w:tc>
          <w:tcPr>
            <w:tcW w:w="1295" w:type="dxa"/>
            <w:gridSpan w:val="2"/>
            <w:tcBorders>
              <w:top w:val="single" w:sz="4" w:space="0" w:color="auto"/>
              <w:left w:val="single" w:sz="4" w:space="0" w:color="auto"/>
              <w:bottom w:val="single" w:sz="4" w:space="0" w:color="auto"/>
            </w:tcBorders>
            <w:shd w:val="clear" w:color="auto" w:fill="548DD4" w:themeFill="text2" w:themeFillTint="99"/>
          </w:tcPr>
          <w:p w14:paraId="7EF2269D" w14:textId="5A61AAB7"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Պարտքի սպասարկման գործակից</w:t>
            </w:r>
          </w:p>
        </w:tc>
        <w:tc>
          <w:tcPr>
            <w:tcW w:w="1593" w:type="dxa"/>
            <w:gridSpan w:val="2"/>
            <w:tcBorders>
              <w:top w:val="single" w:sz="4" w:space="0" w:color="auto"/>
              <w:left w:val="single" w:sz="4" w:space="0" w:color="auto"/>
              <w:bottom w:val="single" w:sz="4" w:space="0" w:color="auto"/>
            </w:tcBorders>
            <w:shd w:val="clear" w:color="auto" w:fill="548DD4" w:themeFill="text2" w:themeFillTint="99"/>
          </w:tcPr>
          <w:p w14:paraId="2AC044AE" w14:textId="5B8B353C"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Վերաֆինանսավորման գործակից</w:t>
            </w:r>
          </w:p>
        </w:tc>
        <w:tc>
          <w:tcPr>
            <w:tcW w:w="1364" w:type="dxa"/>
            <w:gridSpan w:val="2"/>
            <w:tcBorders>
              <w:top w:val="single" w:sz="4" w:space="0" w:color="auto"/>
              <w:left w:val="single" w:sz="4" w:space="0" w:color="auto"/>
              <w:bottom w:val="single" w:sz="4" w:space="0" w:color="auto"/>
              <w:right w:val="single" w:sz="4" w:space="0" w:color="auto"/>
            </w:tcBorders>
            <w:shd w:val="clear" w:color="auto" w:fill="548DD4" w:themeFill="text2" w:themeFillTint="99"/>
          </w:tcPr>
          <w:p w14:paraId="2D179390" w14:textId="6268EB81" w:rsidR="000E76D9" w:rsidRPr="000E76D9" w:rsidRDefault="000E76D9" w:rsidP="000E76D9">
            <w:pPr>
              <w:spacing w:before="0" w:line="240" w:lineRule="auto"/>
              <w:ind w:firstLine="0"/>
              <w:contextualSpacing w:val="0"/>
              <w:jc w:val="center"/>
              <w:rPr>
                <w:b w:val="0"/>
                <w:color w:val="FFFFFF" w:themeColor="background1"/>
                <w:sz w:val="16"/>
                <w:szCs w:val="16"/>
                <w:lang w:val="hy-AM" w:eastAsia="en-US"/>
              </w:rPr>
            </w:pPr>
            <w:r w:rsidRPr="000E76D9">
              <w:rPr>
                <w:color w:val="FFFFFF" w:themeColor="background1"/>
                <w:sz w:val="16"/>
                <w:szCs w:val="16"/>
                <w:lang w:val="hy-AM" w:eastAsia="en-US"/>
              </w:rPr>
              <w:t>Z- միավոր</w:t>
            </w:r>
          </w:p>
        </w:tc>
      </w:tr>
      <w:tr w:rsidR="000E76D9" w:rsidRPr="00A83C94" w14:paraId="052BF3F8" w14:textId="77777777" w:rsidTr="00875D10">
        <w:tblPrEx>
          <w:tblBorders>
            <w:top w:val="single" w:sz="2" w:space="0" w:color="8EAADB"/>
            <w:left w:val="single" w:sz="2" w:space="0" w:color="8EAADB"/>
            <w:bottom w:val="single" w:sz="2" w:space="0" w:color="8EAADB"/>
            <w:right w:val="single" w:sz="2" w:space="0" w:color="8EAADB"/>
            <w:insideH w:val="single" w:sz="2" w:space="0" w:color="8EAADB"/>
            <w:insideV w:val="single" w:sz="2" w:space="0" w:color="8EAADB"/>
          </w:tblBorders>
          <w:tblCellMar>
            <w:left w:w="60" w:type="dxa"/>
            <w:right w:w="60" w:type="dxa"/>
          </w:tblCellMar>
        </w:tblPrEx>
        <w:trPr>
          <w:trHeight w:val="160"/>
        </w:trPr>
        <w:tc>
          <w:tcPr>
            <w:tcW w:w="2538" w:type="dxa"/>
            <w:tcBorders>
              <w:top w:val="single" w:sz="4" w:space="0" w:color="auto"/>
              <w:left w:val="single" w:sz="4" w:space="0" w:color="auto"/>
              <w:bottom w:val="single" w:sz="4" w:space="0" w:color="auto"/>
              <w:right w:val="single" w:sz="4" w:space="0" w:color="auto"/>
            </w:tcBorders>
            <w:shd w:val="clear" w:color="auto" w:fill="D9E2F3"/>
            <w:noWrap/>
          </w:tcPr>
          <w:p w14:paraId="0F7924C4" w14:textId="77777777" w:rsidR="000E76D9" w:rsidRPr="00A83C94" w:rsidRDefault="000E76D9" w:rsidP="000E76D9">
            <w:pPr>
              <w:spacing w:before="0" w:line="240" w:lineRule="auto"/>
              <w:ind w:firstLine="0"/>
              <w:contextualSpacing w:val="0"/>
              <w:jc w:val="center"/>
              <w:rPr>
                <w:b w:val="0"/>
                <w:sz w:val="16"/>
                <w:szCs w:val="16"/>
                <w:lang w:val="hy-AM" w:eastAsia="en-US"/>
              </w:rPr>
            </w:pP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584246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97676C4"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40B6F8C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467286E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AEA7A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7163B4E5"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191FAA9B"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6EE0C80F"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2020</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4067D9CA" w14:textId="77777777" w:rsidR="000E76D9" w:rsidRPr="00A83C94" w:rsidRDefault="000E76D9" w:rsidP="000E76D9">
            <w:pPr>
              <w:spacing w:before="0" w:line="240" w:lineRule="auto"/>
              <w:ind w:firstLine="0"/>
              <w:contextualSpacing w:val="0"/>
              <w:jc w:val="center"/>
              <w:rPr>
                <w:sz w:val="16"/>
                <w:szCs w:val="16"/>
                <w:lang w:val="hy-AM" w:eastAsia="en-US"/>
              </w:rPr>
            </w:pPr>
            <w:r w:rsidRPr="00A83C94">
              <w:rPr>
                <w:sz w:val="16"/>
                <w:szCs w:val="16"/>
                <w:lang w:val="hy-AM" w:eastAsia="en-US"/>
              </w:rPr>
              <w:t>2019</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6B1AFB6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2020</w:t>
            </w:r>
          </w:p>
        </w:tc>
      </w:tr>
      <w:tr w:rsidR="000E76D9" w:rsidRPr="00A83C94" w14:paraId="4C98CEAA"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noWrap/>
            <w:vAlign w:val="center"/>
          </w:tcPr>
          <w:p w14:paraId="023B1849"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«Երևանի ջերմաէլեկտրակենտրոն ՓԲԸ</w:t>
            </w:r>
          </w:p>
        </w:tc>
        <w:tc>
          <w:tcPr>
            <w:tcW w:w="709" w:type="dxa"/>
            <w:tcBorders>
              <w:top w:val="single" w:sz="4" w:space="0" w:color="auto"/>
              <w:left w:val="single" w:sz="4" w:space="0" w:color="auto"/>
              <w:bottom w:val="single" w:sz="4" w:space="0" w:color="auto"/>
              <w:right w:val="single" w:sz="4" w:space="0" w:color="auto"/>
            </w:tcBorders>
            <w:noWrap/>
          </w:tcPr>
          <w:p w14:paraId="301F5BE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1.06</w:t>
            </w:r>
          </w:p>
        </w:tc>
        <w:tc>
          <w:tcPr>
            <w:tcW w:w="709" w:type="dxa"/>
            <w:tcBorders>
              <w:top w:val="single" w:sz="4" w:space="0" w:color="auto"/>
              <w:left w:val="single" w:sz="4" w:space="0" w:color="auto"/>
              <w:bottom w:val="single" w:sz="4" w:space="0" w:color="auto"/>
              <w:right w:val="single" w:sz="4" w:space="0" w:color="auto"/>
            </w:tcBorders>
            <w:noWrap/>
          </w:tcPr>
          <w:p w14:paraId="3E16377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1.08</w:t>
            </w:r>
          </w:p>
        </w:tc>
        <w:tc>
          <w:tcPr>
            <w:tcW w:w="850" w:type="dxa"/>
            <w:tcBorders>
              <w:top w:val="single" w:sz="4" w:space="0" w:color="auto"/>
              <w:left w:val="single" w:sz="4" w:space="0" w:color="auto"/>
              <w:bottom w:val="single" w:sz="4" w:space="0" w:color="auto"/>
              <w:right w:val="single" w:sz="4" w:space="0" w:color="auto"/>
            </w:tcBorders>
            <w:noWrap/>
          </w:tcPr>
          <w:p w14:paraId="7559B83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1.68</w:t>
            </w:r>
          </w:p>
        </w:tc>
        <w:tc>
          <w:tcPr>
            <w:tcW w:w="851" w:type="dxa"/>
            <w:tcBorders>
              <w:top w:val="single" w:sz="4" w:space="0" w:color="auto"/>
              <w:left w:val="single" w:sz="4" w:space="0" w:color="auto"/>
              <w:bottom w:val="single" w:sz="4" w:space="0" w:color="auto"/>
              <w:right w:val="single" w:sz="4" w:space="0" w:color="auto"/>
            </w:tcBorders>
            <w:noWrap/>
          </w:tcPr>
          <w:p w14:paraId="0DFC67A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(15.49)</w:t>
            </w:r>
          </w:p>
        </w:tc>
        <w:tc>
          <w:tcPr>
            <w:tcW w:w="709" w:type="dxa"/>
            <w:tcBorders>
              <w:top w:val="single" w:sz="4" w:space="0" w:color="auto"/>
              <w:left w:val="single" w:sz="4" w:space="0" w:color="auto"/>
              <w:bottom w:val="single" w:sz="4" w:space="0" w:color="auto"/>
              <w:right w:val="single" w:sz="4" w:space="0" w:color="auto"/>
            </w:tcBorders>
            <w:noWrap/>
          </w:tcPr>
          <w:p w14:paraId="2722281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0.12</w:t>
            </w:r>
          </w:p>
        </w:tc>
        <w:tc>
          <w:tcPr>
            <w:tcW w:w="586" w:type="dxa"/>
            <w:tcBorders>
              <w:top w:val="single" w:sz="4" w:space="0" w:color="auto"/>
              <w:left w:val="single" w:sz="4" w:space="0" w:color="auto"/>
              <w:bottom w:val="single" w:sz="4" w:space="0" w:color="auto"/>
              <w:right w:val="single" w:sz="4" w:space="0" w:color="auto"/>
            </w:tcBorders>
            <w:noWrap/>
          </w:tcPr>
          <w:p w14:paraId="64690F2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0.28</w:t>
            </w:r>
          </w:p>
        </w:tc>
        <w:tc>
          <w:tcPr>
            <w:tcW w:w="767" w:type="dxa"/>
            <w:tcBorders>
              <w:top w:val="single" w:sz="4" w:space="0" w:color="auto"/>
              <w:left w:val="single" w:sz="4" w:space="0" w:color="auto"/>
              <w:bottom w:val="single" w:sz="4" w:space="0" w:color="auto"/>
              <w:right w:val="single" w:sz="4" w:space="0" w:color="auto"/>
            </w:tcBorders>
            <w:noWrap/>
          </w:tcPr>
          <w:p w14:paraId="2D778E0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2.78</w:t>
            </w:r>
          </w:p>
        </w:tc>
        <w:tc>
          <w:tcPr>
            <w:tcW w:w="826" w:type="dxa"/>
            <w:tcBorders>
              <w:top w:val="single" w:sz="4" w:space="0" w:color="auto"/>
              <w:left w:val="single" w:sz="4" w:space="0" w:color="auto"/>
              <w:bottom w:val="single" w:sz="4" w:space="0" w:color="auto"/>
              <w:right w:val="single" w:sz="4" w:space="0" w:color="auto"/>
            </w:tcBorders>
            <w:noWrap/>
          </w:tcPr>
          <w:p w14:paraId="5E919A1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6.74</w:t>
            </w:r>
          </w:p>
        </w:tc>
        <w:tc>
          <w:tcPr>
            <w:tcW w:w="725" w:type="dxa"/>
            <w:tcBorders>
              <w:top w:val="single" w:sz="4" w:space="0" w:color="auto"/>
              <w:left w:val="single" w:sz="4" w:space="0" w:color="auto"/>
              <w:bottom w:val="single" w:sz="4" w:space="0" w:color="auto"/>
              <w:right w:val="single" w:sz="4" w:space="0" w:color="auto"/>
            </w:tcBorders>
            <w:noWrap/>
          </w:tcPr>
          <w:p w14:paraId="12D1002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(0.67)</w:t>
            </w:r>
          </w:p>
        </w:tc>
        <w:tc>
          <w:tcPr>
            <w:tcW w:w="639" w:type="dxa"/>
            <w:tcBorders>
              <w:top w:val="single" w:sz="4" w:space="0" w:color="auto"/>
              <w:left w:val="single" w:sz="4" w:space="0" w:color="auto"/>
              <w:bottom w:val="single" w:sz="4" w:space="0" w:color="auto"/>
              <w:right w:val="single" w:sz="4" w:space="0" w:color="auto"/>
            </w:tcBorders>
            <w:noWrap/>
          </w:tcPr>
          <w:p w14:paraId="76FFC0E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(1.44)</w:t>
            </w:r>
          </w:p>
        </w:tc>
      </w:tr>
      <w:tr w:rsidR="000E76D9" w:rsidRPr="00A83C94" w14:paraId="06731405"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shd w:val="clear" w:color="auto" w:fill="D9E2F3"/>
            <w:noWrap/>
            <w:vAlign w:val="center"/>
          </w:tcPr>
          <w:p w14:paraId="1D3D1AC3"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«Հայկական ատոմային էլեկտրակայան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4C387DD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0.84</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E4144A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0.87</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18F38B7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(11.13)</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5239408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(43.51)</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796E142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4.58</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0F08C99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0.29</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5F2B0F4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(6.41)</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11F5298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3.65</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0547C02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8.37</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2CA30E9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7.73</w:t>
            </w:r>
          </w:p>
        </w:tc>
      </w:tr>
      <w:tr w:rsidR="000E76D9" w:rsidRPr="00A83C94" w14:paraId="22399551"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noWrap/>
            <w:vAlign w:val="center"/>
          </w:tcPr>
          <w:p w14:paraId="07D3A58A"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bCs/>
                <w:sz w:val="16"/>
                <w:szCs w:val="16"/>
                <w:lang w:val="hy-AM" w:eastAsia="en-US"/>
              </w:rPr>
              <w:t>«Բարձրավոլտ էլեկտրական ցանցեր ՓԲԸ</w:t>
            </w:r>
          </w:p>
        </w:tc>
        <w:tc>
          <w:tcPr>
            <w:tcW w:w="709" w:type="dxa"/>
            <w:tcBorders>
              <w:top w:val="single" w:sz="4" w:space="0" w:color="auto"/>
              <w:left w:val="single" w:sz="4" w:space="0" w:color="auto"/>
              <w:bottom w:val="single" w:sz="4" w:space="0" w:color="auto"/>
              <w:right w:val="single" w:sz="4" w:space="0" w:color="auto"/>
            </w:tcBorders>
            <w:noWrap/>
          </w:tcPr>
          <w:p w14:paraId="5D82489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1.42</w:t>
            </w:r>
          </w:p>
        </w:tc>
        <w:tc>
          <w:tcPr>
            <w:tcW w:w="709" w:type="dxa"/>
            <w:tcBorders>
              <w:top w:val="single" w:sz="4" w:space="0" w:color="auto"/>
              <w:left w:val="single" w:sz="4" w:space="0" w:color="auto"/>
              <w:bottom w:val="single" w:sz="4" w:space="0" w:color="auto"/>
              <w:right w:val="single" w:sz="4" w:space="0" w:color="auto"/>
            </w:tcBorders>
            <w:noWrap/>
          </w:tcPr>
          <w:p w14:paraId="6A26CDA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1.60</w:t>
            </w:r>
          </w:p>
        </w:tc>
        <w:tc>
          <w:tcPr>
            <w:tcW w:w="850" w:type="dxa"/>
            <w:tcBorders>
              <w:top w:val="single" w:sz="4" w:space="0" w:color="auto"/>
              <w:left w:val="single" w:sz="4" w:space="0" w:color="auto"/>
              <w:bottom w:val="single" w:sz="4" w:space="0" w:color="auto"/>
              <w:right w:val="single" w:sz="4" w:space="0" w:color="auto"/>
            </w:tcBorders>
            <w:noWrap/>
          </w:tcPr>
          <w:p w14:paraId="6DAD280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49.15</w:t>
            </w:r>
          </w:p>
        </w:tc>
        <w:tc>
          <w:tcPr>
            <w:tcW w:w="851" w:type="dxa"/>
            <w:tcBorders>
              <w:top w:val="single" w:sz="4" w:space="0" w:color="auto"/>
              <w:left w:val="single" w:sz="4" w:space="0" w:color="auto"/>
              <w:bottom w:val="single" w:sz="4" w:space="0" w:color="auto"/>
              <w:right w:val="single" w:sz="4" w:space="0" w:color="auto"/>
            </w:tcBorders>
            <w:noWrap/>
          </w:tcPr>
          <w:p w14:paraId="26E4BD7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(133.6)</w:t>
            </w:r>
          </w:p>
        </w:tc>
        <w:tc>
          <w:tcPr>
            <w:tcW w:w="709" w:type="dxa"/>
            <w:tcBorders>
              <w:top w:val="single" w:sz="4" w:space="0" w:color="auto"/>
              <w:left w:val="single" w:sz="4" w:space="0" w:color="auto"/>
              <w:bottom w:val="single" w:sz="4" w:space="0" w:color="auto"/>
              <w:right w:val="single" w:sz="4" w:space="0" w:color="auto"/>
            </w:tcBorders>
            <w:noWrap/>
          </w:tcPr>
          <w:p w14:paraId="3045C8C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0.20</w:t>
            </w:r>
          </w:p>
        </w:tc>
        <w:tc>
          <w:tcPr>
            <w:tcW w:w="586" w:type="dxa"/>
            <w:tcBorders>
              <w:top w:val="single" w:sz="4" w:space="0" w:color="auto"/>
              <w:left w:val="single" w:sz="4" w:space="0" w:color="auto"/>
              <w:bottom w:val="single" w:sz="4" w:space="0" w:color="auto"/>
              <w:right w:val="single" w:sz="4" w:space="0" w:color="auto"/>
            </w:tcBorders>
            <w:noWrap/>
          </w:tcPr>
          <w:p w14:paraId="0033B9B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0.21</w:t>
            </w:r>
          </w:p>
        </w:tc>
        <w:tc>
          <w:tcPr>
            <w:tcW w:w="767" w:type="dxa"/>
            <w:tcBorders>
              <w:top w:val="single" w:sz="4" w:space="0" w:color="auto"/>
              <w:left w:val="single" w:sz="4" w:space="0" w:color="auto"/>
              <w:bottom w:val="single" w:sz="4" w:space="0" w:color="auto"/>
              <w:right w:val="single" w:sz="4" w:space="0" w:color="auto"/>
            </w:tcBorders>
            <w:noWrap/>
          </w:tcPr>
          <w:p w14:paraId="5B68189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2.06</w:t>
            </w:r>
          </w:p>
        </w:tc>
        <w:tc>
          <w:tcPr>
            <w:tcW w:w="826" w:type="dxa"/>
            <w:tcBorders>
              <w:top w:val="single" w:sz="4" w:space="0" w:color="auto"/>
              <w:left w:val="single" w:sz="4" w:space="0" w:color="auto"/>
              <w:bottom w:val="single" w:sz="4" w:space="0" w:color="auto"/>
              <w:right w:val="single" w:sz="4" w:space="0" w:color="auto"/>
            </w:tcBorders>
            <w:noWrap/>
          </w:tcPr>
          <w:p w14:paraId="438334E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2.11</w:t>
            </w:r>
          </w:p>
        </w:tc>
        <w:tc>
          <w:tcPr>
            <w:tcW w:w="725" w:type="dxa"/>
            <w:tcBorders>
              <w:top w:val="single" w:sz="4" w:space="0" w:color="auto"/>
              <w:left w:val="single" w:sz="4" w:space="0" w:color="auto"/>
              <w:bottom w:val="single" w:sz="4" w:space="0" w:color="auto"/>
              <w:right w:val="single" w:sz="4" w:space="0" w:color="auto"/>
            </w:tcBorders>
            <w:noWrap/>
          </w:tcPr>
          <w:p w14:paraId="1B91CCC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1.11</w:t>
            </w:r>
          </w:p>
        </w:tc>
        <w:tc>
          <w:tcPr>
            <w:tcW w:w="639" w:type="dxa"/>
            <w:tcBorders>
              <w:top w:val="single" w:sz="4" w:space="0" w:color="auto"/>
              <w:left w:val="single" w:sz="4" w:space="0" w:color="auto"/>
              <w:bottom w:val="single" w:sz="4" w:space="0" w:color="auto"/>
              <w:right w:val="single" w:sz="4" w:space="0" w:color="auto"/>
            </w:tcBorders>
            <w:noWrap/>
          </w:tcPr>
          <w:p w14:paraId="4368B02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0.32</w:t>
            </w:r>
          </w:p>
        </w:tc>
      </w:tr>
      <w:tr w:rsidR="000E76D9" w:rsidRPr="00A83C94" w14:paraId="38B98A96"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shd w:val="clear" w:color="auto" w:fill="D9E2F3"/>
            <w:noWrap/>
          </w:tcPr>
          <w:p w14:paraId="1622082A"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bCs/>
                <w:sz w:val="16"/>
                <w:szCs w:val="16"/>
                <w:lang w:val="hy-AM" w:eastAsia="en-US"/>
              </w:rPr>
              <w:t>«Էլեկտրաէներգետիկական համակարգի օպերատոր»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9FEE8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1.05</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C8E7E8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1.25</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4198871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0.94</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1384325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(41.37)</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518CD08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0.03</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2229CF5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0.02</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390360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0.28</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51A05ED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0.24</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1062DBA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1.20</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3B90AFE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0.60</w:t>
            </w:r>
          </w:p>
        </w:tc>
      </w:tr>
      <w:tr w:rsidR="000E76D9" w:rsidRPr="00A83C94" w14:paraId="5C0E2854"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noWrap/>
          </w:tcPr>
          <w:p w14:paraId="41066985"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Կարեն Դեմիրճյանի անվան Երևանի մետրոպոլիտեն ՓԲԸ</w:t>
            </w:r>
          </w:p>
        </w:tc>
        <w:tc>
          <w:tcPr>
            <w:tcW w:w="709" w:type="dxa"/>
            <w:tcBorders>
              <w:top w:val="single" w:sz="4" w:space="0" w:color="auto"/>
              <w:left w:val="single" w:sz="4" w:space="0" w:color="auto"/>
              <w:bottom w:val="single" w:sz="4" w:space="0" w:color="auto"/>
              <w:right w:val="single" w:sz="4" w:space="0" w:color="auto"/>
            </w:tcBorders>
            <w:noWrap/>
          </w:tcPr>
          <w:p w14:paraId="2E0AE2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1.21</w:t>
            </w:r>
          </w:p>
        </w:tc>
        <w:tc>
          <w:tcPr>
            <w:tcW w:w="709" w:type="dxa"/>
            <w:tcBorders>
              <w:top w:val="single" w:sz="4" w:space="0" w:color="auto"/>
              <w:left w:val="single" w:sz="4" w:space="0" w:color="auto"/>
              <w:bottom w:val="single" w:sz="4" w:space="0" w:color="auto"/>
              <w:right w:val="single" w:sz="4" w:space="0" w:color="auto"/>
            </w:tcBorders>
            <w:noWrap/>
          </w:tcPr>
          <w:p w14:paraId="72A67B4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0.95</w:t>
            </w:r>
          </w:p>
        </w:tc>
        <w:tc>
          <w:tcPr>
            <w:tcW w:w="850" w:type="dxa"/>
            <w:tcBorders>
              <w:top w:val="single" w:sz="4" w:space="0" w:color="auto"/>
              <w:left w:val="single" w:sz="4" w:space="0" w:color="auto"/>
              <w:bottom w:val="single" w:sz="4" w:space="0" w:color="auto"/>
              <w:right w:val="single" w:sz="4" w:space="0" w:color="auto"/>
            </w:tcBorders>
            <w:noWrap/>
          </w:tcPr>
          <w:p w14:paraId="77D5609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22.68</w:t>
            </w:r>
          </w:p>
        </w:tc>
        <w:tc>
          <w:tcPr>
            <w:tcW w:w="851" w:type="dxa"/>
            <w:tcBorders>
              <w:top w:val="single" w:sz="4" w:space="0" w:color="auto"/>
              <w:left w:val="single" w:sz="4" w:space="0" w:color="auto"/>
              <w:bottom w:val="single" w:sz="4" w:space="0" w:color="auto"/>
              <w:right w:val="single" w:sz="4" w:space="0" w:color="auto"/>
            </w:tcBorders>
            <w:noWrap/>
          </w:tcPr>
          <w:p w14:paraId="4FE7411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(44.18)</w:t>
            </w:r>
          </w:p>
        </w:tc>
        <w:tc>
          <w:tcPr>
            <w:tcW w:w="709" w:type="dxa"/>
            <w:tcBorders>
              <w:top w:val="single" w:sz="4" w:space="0" w:color="auto"/>
              <w:left w:val="single" w:sz="4" w:space="0" w:color="auto"/>
              <w:bottom w:val="single" w:sz="4" w:space="0" w:color="auto"/>
              <w:right w:val="single" w:sz="4" w:space="0" w:color="auto"/>
            </w:tcBorders>
            <w:noWrap/>
          </w:tcPr>
          <w:p w14:paraId="75B81CA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0.03</w:t>
            </w:r>
          </w:p>
        </w:tc>
        <w:tc>
          <w:tcPr>
            <w:tcW w:w="586" w:type="dxa"/>
            <w:tcBorders>
              <w:top w:val="single" w:sz="4" w:space="0" w:color="auto"/>
              <w:left w:val="single" w:sz="4" w:space="0" w:color="auto"/>
              <w:bottom w:val="single" w:sz="4" w:space="0" w:color="auto"/>
              <w:right w:val="single" w:sz="4" w:space="0" w:color="auto"/>
            </w:tcBorders>
            <w:noWrap/>
          </w:tcPr>
          <w:p w14:paraId="332F95E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0.10</w:t>
            </w:r>
          </w:p>
        </w:tc>
        <w:tc>
          <w:tcPr>
            <w:tcW w:w="767" w:type="dxa"/>
            <w:tcBorders>
              <w:top w:val="single" w:sz="4" w:space="0" w:color="auto"/>
              <w:left w:val="single" w:sz="4" w:space="0" w:color="auto"/>
              <w:bottom w:val="single" w:sz="4" w:space="0" w:color="auto"/>
              <w:right w:val="single" w:sz="4" w:space="0" w:color="auto"/>
            </w:tcBorders>
            <w:noWrap/>
          </w:tcPr>
          <w:p w14:paraId="4396559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0.68</w:t>
            </w:r>
          </w:p>
        </w:tc>
        <w:tc>
          <w:tcPr>
            <w:tcW w:w="826" w:type="dxa"/>
            <w:tcBorders>
              <w:top w:val="single" w:sz="4" w:space="0" w:color="auto"/>
              <w:left w:val="single" w:sz="4" w:space="0" w:color="auto"/>
              <w:bottom w:val="single" w:sz="4" w:space="0" w:color="auto"/>
              <w:right w:val="single" w:sz="4" w:space="0" w:color="auto"/>
            </w:tcBorders>
            <w:noWrap/>
          </w:tcPr>
          <w:p w14:paraId="795F900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3.22</w:t>
            </w:r>
          </w:p>
        </w:tc>
        <w:tc>
          <w:tcPr>
            <w:tcW w:w="725" w:type="dxa"/>
            <w:tcBorders>
              <w:top w:val="single" w:sz="4" w:space="0" w:color="auto"/>
              <w:left w:val="single" w:sz="4" w:space="0" w:color="auto"/>
              <w:bottom w:val="single" w:sz="4" w:space="0" w:color="auto"/>
              <w:right w:val="single" w:sz="4" w:space="0" w:color="auto"/>
            </w:tcBorders>
            <w:noWrap/>
          </w:tcPr>
          <w:p w14:paraId="6225192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1.58</w:t>
            </w:r>
          </w:p>
        </w:tc>
        <w:tc>
          <w:tcPr>
            <w:tcW w:w="639" w:type="dxa"/>
            <w:tcBorders>
              <w:top w:val="single" w:sz="4" w:space="0" w:color="auto"/>
              <w:left w:val="single" w:sz="4" w:space="0" w:color="auto"/>
              <w:bottom w:val="single" w:sz="4" w:space="0" w:color="auto"/>
              <w:right w:val="single" w:sz="4" w:space="0" w:color="auto"/>
            </w:tcBorders>
            <w:noWrap/>
          </w:tcPr>
          <w:p w14:paraId="444311C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0.27</w:t>
            </w:r>
          </w:p>
        </w:tc>
      </w:tr>
      <w:tr w:rsidR="000E76D9" w:rsidRPr="00A83C94" w14:paraId="53C3EF92"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shd w:val="clear" w:color="auto" w:fill="D9E2F3"/>
            <w:noWrap/>
          </w:tcPr>
          <w:p w14:paraId="262E1654"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Ռադիոիզոտոպների արտադրության կենտրոն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511B590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0.54</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1322F9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0.40</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1D587E7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66F9319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(305.8)</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00F03FD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1BCD76E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3457D31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(0.00)</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284AD84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(0.09)</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5A585B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(2.40)</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0AB819D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(1.96)</w:t>
            </w:r>
          </w:p>
        </w:tc>
      </w:tr>
      <w:tr w:rsidR="000E76D9" w:rsidRPr="00A83C94" w14:paraId="1D461D00"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noWrap/>
          </w:tcPr>
          <w:p w14:paraId="1ECAA329"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Համո Բեկնազարյանի անվան «Հայֆիլմ» կինոստուդիա ՓԲԸ</w:t>
            </w:r>
          </w:p>
        </w:tc>
        <w:tc>
          <w:tcPr>
            <w:tcW w:w="709" w:type="dxa"/>
            <w:tcBorders>
              <w:top w:val="single" w:sz="4" w:space="0" w:color="auto"/>
              <w:left w:val="single" w:sz="4" w:space="0" w:color="auto"/>
              <w:bottom w:val="single" w:sz="4" w:space="0" w:color="auto"/>
              <w:right w:val="single" w:sz="4" w:space="0" w:color="auto"/>
            </w:tcBorders>
            <w:noWrap/>
          </w:tcPr>
          <w:p w14:paraId="5EE21DA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0.31</w:t>
            </w:r>
          </w:p>
        </w:tc>
        <w:tc>
          <w:tcPr>
            <w:tcW w:w="709" w:type="dxa"/>
            <w:tcBorders>
              <w:top w:val="single" w:sz="4" w:space="0" w:color="auto"/>
              <w:left w:val="single" w:sz="4" w:space="0" w:color="auto"/>
              <w:bottom w:val="single" w:sz="4" w:space="0" w:color="auto"/>
              <w:right w:val="single" w:sz="4" w:space="0" w:color="auto"/>
            </w:tcBorders>
            <w:noWrap/>
          </w:tcPr>
          <w:p w14:paraId="2399887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0.42</w:t>
            </w:r>
          </w:p>
        </w:tc>
        <w:tc>
          <w:tcPr>
            <w:tcW w:w="850" w:type="dxa"/>
            <w:tcBorders>
              <w:top w:val="single" w:sz="4" w:space="0" w:color="auto"/>
              <w:left w:val="single" w:sz="4" w:space="0" w:color="auto"/>
              <w:bottom w:val="single" w:sz="4" w:space="0" w:color="auto"/>
              <w:right w:val="single" w:sz="4" w:space="0" w:color="auto"/>
            </w:tcBorders>
            <w:noWrap/>
          </w:tcPr>
          <w:p w14:paraId="5415C29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(268.4)</w:t>
            </w:r>
          </w:p>
        </w:tc>
        <w:tc>
          <w:tcPr>
            <w:tcW w:w="851" w:type="dxa"/>
            <w:tcBorders>
              <w:top w:val="single" w:sz="4" w:space="0" w:color="auto"/>
              <w:left w:val="single" w:sz="4" w:space="0" w:color="auto"/>
              <w:bottom w:val="single" w:sz="4" w:space="0" w:color="auto"/>
              <w:right w:val="single" w:sz="4" w:space="0" w:color="auto"/>
            </w:tcBorders>
            <w:noWrap/>
          </w:tcPr>
          <w:p w14:paraId="61D6972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(218.7)</w:t>
            </w:r>
          </w:p>
        </w:tc>
        <w:tc>
          <w:tcPr>
            <w:tcW w:w="709" w:type="dxa"/>
            <w:tcBorders>
              <w:top w:val="single" w:sz="4" w:space="0" w:color="auto"/>
              <w:left w:val="single" w:sz="4" w:space="0" w:color="auto"/>
              <w:bottom w:val="single" w:sz="4" w:space="0" w:color="auto"/>
              <w:right w:val="single" w:sz="4" w:space="0" w:color="auto"/>
            </w:tcBorders>
            <w:noWrap/>
          </w:tcPr>
          <w:p w14:paraId="0072C3B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noWrap/>
          </w:tcPr>
          <w:p w14:paraId="4DCBDF1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noWrap/>
          </w:tcPr>
          <w:p w14:paraId="213A160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(2.89)</w:t>
            </w:r>
          </w:p>
        </w:tc>
        <w:tc>
          <w:tcPr>
            <w:tcW w:w="826" w:type="dxa"/>
            <w:tcBorders>
              <w:top w:val="single" w:sz="4" w:space="0" w:color="auto"/>
              <w:left w:val="single" w:sz="4" w:space="0" w:color="auto"/>
              <w:bottom w:val="single" w:sz="4" w:space="0" w:color="auto"/>
              <w:right w:val="single" w:sz="4" w:space="0" w:color="auto"/>
            </w:tcBorders>
            <w:noWrap/>
          </w:tcPr>
          <w:p w14:paraId="4C6BD0F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95.32</w:t>
            </w:r>
          </w:p>
        </w:tc>
        <w:tc>
          <w:tcPr>
            <w:tcW w:w="725" w:type="dxa"/>
            <w:tcBorders>
              <w:top w:val="single" w:sz="4" w:space="0" w:color="auto"/>
              <w:left w:val="single" w:sz="4" w:space="0" w:color="auto"/>
              <w:bottom w:val="single" w:sz="4" w:space="0" w:color="auto"/>
              <w:right w:val="single" w:sz="4" w:space="0" w:color="auto"/>
            </w:tcBorders>
            <w:noWrap/>
          </w:tcPr>
          <w:p w14:paraId="5F3CD6C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8.74</w:t>
            </w:r>
          </w:p>
        </w:tc>
        <w:tc>
          <w:tcPr>
            <w:tcW w:w="639" w:type="dxa"/>
            <w:tcBorders>
              <w:top w:val="single" w:sz="4" w:space="0" w:color="auto"/>
              <w:left w:val="single" w:sz="4" w:space="0" w:color="auto"/>
              <w:bottom w:val="single" w:sz="4" w:space="0" w:color="auto"/>
              <w:right w:val="single" w:sz="4" w:space="0" w:color="auto"/>
            </w:tcBorders>
            <w:noWrap/>
          </w:tcPr>
          <w:p w14:paraId="3C081623"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7.53</w:t>
            </w:r>
          </w:p>
        </w:tc>
      </w:tr>
      <w:tr w:rsidR="000E76D9" w:rsidRPr="00A83C94" w14:paraId="6A6FA271"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shd w:val="clear" w:color="auto" w:fill="D9E2F3"/>
            <w:noWrap/>
          </w:tcPr>
          <w:p w14:paraId="25D34C23"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Գյումրու բժշկական կենտրոն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61CAAF7"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1.01</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04D78DD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0.97</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5C68345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0.21</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24AD98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(5.18)</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BD296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(0.16)</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1DE9F07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0.30</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32B9F65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3.94</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232C58E6"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(10.36)</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775B3B9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3.20</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020A912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2.68</w:t>
            </w:r>
          </w:p>
        </w:tc>
      </w:tr>
      <w:tr w:rsidR="000E76D9" w:rsidRPr="00A83C94" w14:paraId="7B158305"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noWrap/>
          </w:tcPr>
          <w:p w14:paraId="57B7AD02"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bCs/>
                <w:sz w:val="16"/>
                <w:szCs w:val="16"/>
                <w:lang w:val="hy-AM" w:eastAsia="en-US"/>
              </w:rPr>
              <w:t>Ջրառ ՓԲԸ</w:t>
            </w:r>
          </w:p>
        </w:tc>
        <w:tc>
          <w:tcPr>
            <w:tcW w:w="709" w:type="dxa"/>
            <w:tcBorders>
              <w:top w:val="single" w:sz="4" w:space="0" w:color="auto"/>
              <w:left w:val="single" w:sz="4" w:space="0" w:color="auto"/>
              <w:bottom w:val="single" w:sz="4" w:space="0" w:color="auto"/>
              <w:right w:val="single" w:sz="4" w:space="0" w:color="auto"/>
            </w:tcBorders>
            <w:noWrap/>
          </w:tcPr>
          <w:p w14:paraId="3C74FC0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0.43</w:t>
            </w:r>
          </w:p>
        </w:tc>
        <w:tc>
          <w:tcPr>
            <w:tcW w:w="709" w:type="dxa"/>
            <w:tcBorders>
              <w:top w:val="single" w:sz="4" w:space="0" w:color="auto"/>
              <w:left w:val="single" w:sz="4" w:space="0" w:color="auto"/>
              <w:bottom w:val="single" w:sz="4" w:space="0" w:color="auto"/>
              <w:right w:val="single" w:sz="4" w:space="0" w:color="auto"/>
            </w:tcBorders>
            <w:noWrap/>
          </w:tcPr>
          <w:p w14:paraId="6EF615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0.71</w:t>
            </w:r>
          </w:p>
        </w:tc>
        <w:tc>
          <w:tcPr>
            <w:tcW w:w="850" w:type="dxa"/>
            <w:tcBorders>
              <w:top w:val="single" w:sz="4" w:space="0" w:color="auto"/>
              <w:left w:val="single" w:sz="4" w:space="0" w:color="auto"/>
              <w:bottom w:val="single" w:sz="4" w:space="0" w:color="auto"/>
              <w:right w:val="single" w:sz="4" w:space="0" w:color="auto"/>
            </w:tcBorders>
            <w:noWrap/>
          </w:tcPr>
          <w:p w14:paraId="71A0D1D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(242.3)</w:t>
            </w:r>
          </w:p>
        </w:tc>
        <w:tc>
          <w:tcPr>
            <w:tcW w:w="851" w:type="dxa"/>
            <w:tcBorders>
              <w:top w:val="single" w:sz="4" w:space="0" w:color="auto"/>
              <w:left w:val="single" w:sz="4" w:space="0" w:color="auto"/>
              <w:bottom w:val="single" w:sz="4" w:space="0" w:color="auto"/>
              <w:right w:val="single" w:sz="4" w:space="0" w:color="auto"/>
            </w:tcBorders>
            <w:noWrap/>
          </w:tcPr>
          <w:p w14:paraId="419FC80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(70.3)</w:t>
            </w:r>
          </w:p>
        </w:tc>
        <w:tc>
          <w:tcPr>
            <w:tcW w:w="709" w:type="dxa"/>
            <w:tcBorders>
              <w:top w:val="single" w:sz="4" w:space="0" w:color="auto"/>
              <w:left w:val="single" w:sz="4" w:space="0" w:color="auto"/>
              <w:bottom w:val="single" w:sz="4" w:space="0" w:color="auto"/>
              <w:right w:val="single" w:sz="4" w:space="0" w:color="auto"/>
            </w:tcBorders>
            <w:noWrap/>
          </w:tcPr>
          <w:p w14:paraId="29CA808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w:t>
            </w:r>
          </w:p>
        </w:tc>
        <w:tc>
          <w:tcPr>
            <w:tcW w:w="586" w:type="dxa"/>
            <w:tcBorders>
              <w:top w:val="single" w:sz="4" w:space="0" w:color="auto"/>
              <w:left w:val="single" w:sz="4" w:space="0" w:color="auto"/>
              <w:bottom w:val="single" w:sz="4" w:space="0" w:color="auto"/>
              <w:right w:val="single" w:sz="4" w:space="0" w:color="auto"/>
            </w:tcBorders>
            <w:noWrap/>
          </w:tcPr>
          <w:p w14:paraId="58B2754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noWrap/>
          </w:tcPr>
          <w:p w14:paraId="514A907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(0.07)</w:t>
            </w:r>
          </w:p>
        </w:tc>
        <w:tc>
          <w:tcPr>
            <w:tcW w:w="826" w:type="dxa"/>
            <w:tcBorders>
              <w:top w:val="single" w:sz="4" w:space="0" w:color="auto"/>
              <w:left w:val="single" w:sz="4" w:space="0" w:color="auto"/>
              <w:bottom w:val="single" w:sz="4" w:space="0" w:color="auto"/>
              <w:right w:val="single" w:sz="4" w:space="0" w:color="auto"/>
            </w:tcBorders>
            <w:noWrap/>
          </w:tcPr>
          <w:p w14:paraId="349422D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(0.13)</w:t>
            </w:r>
          </w:p>
        </w:tc>
        <w:tc>
          <w:tcPr>
            <w:tcW w:w="725" w:type="dxa"/>
            <w:tcBorders>
              <w:top w:val="single" w:sz="4" w:space="0" w:color="auto"/>
              <w:left w:val="single" w:sz="4" w:space="0" w:color="auto"/>
              <w:bottom w:val="single" w:sz="4" w:space="0" w:color="auto"/>
              <w:right w:val="single" w:sz="4" w:space="0" w:color="auto"/>
            </w:tcBorders>
            <w:noWrap/>
          </w:tcPr>
          <w:p w14:paraId="320A034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169.37</w:t>
            </w:r>
          </w:p>
        </w:tc>
        <w:tc>
          <w:tcPr>
            <w:tcW w:w="639" w:type="dxa"/>
            <w:tcBorders>
              <w:top w:val="single" w:sz="4" w:space="0" w:color="auto"/>
              <w:left w:val="single" w:sz="4" w:space="0" w:color="auto"/>
              <w:bottom w:val="single" w:sz="4" w:space="0" w:color="auto"/>
              <w:right w:val="single" w:sz="4" w:space="0" w:color="auto"/>
            </w:tcBorders>
            <w:noWrap/>
          </w:tcPr>
          <w:p w14:paraId="452D6F5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157.9</w:t>
            </w:r>
          </w:p>
        </w:tc>
      </w:tr>
      <w:tr w:rsidR="000E76D9" w:rsidRPr="00A83C94" w14:paraId="1EAB956A"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shd w:val="clear" w:color="auto" w:fill="D9E2F3"/>
            <w:noWrap/>
          </w:tcPr>
          <w:p w14:paraId="035040EB"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rFonts w:cs="Calibri Light"/>
                <w:b w:val="0"/>
                <w:bCs/>
                <w:sz w:val="16"/>
                <w:szCs w:val="16"/>
                <w:lang w:val="hy-AM" w:eastAsia="en-US"/>
              </w:rPr>
              <w:t>Վանաձորի բժշկական կենտրոն ՓԲԸ</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8D732A4"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0.81</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32BE8B0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0.87</w:t>
            </w:r>
          </w:p>
        </w:tc>
        <w:tc>
          <w:tcPr>
            <w:tcW w:w="850" w:type="dxa"/>
            <w:tcBorders>
              <w:top w:val="single" w:sz="4" w:space="0" w:color="auto"/>
              <w:left w:val="single" w:sz="4" w:space="0" w:color="auto"/>
              <w:bottom w:val="single" w:sz="4" w:space="0" w:color="auto"/>
              <w:right w:val="single" w:sz="4" w:space="0" w:color="auto"/>
            </w:tcBorders>
            <w:shd w:val="clear" w:color="auto" w:fill="D9E2F3"/>
            <w:noWrap/>
          </w:tcPr>
          <w:p w14:paraId="52E981E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(4.31)</w:t>
            </w:r>
          </w:p>
        </w:tc>
        <w:tc>
          <w:tcPr>
            <w:tcW w:w="851" w:type="dxa"/>
            <w:tcBorders>
              <w:top w:val="single" w:sz="4" w:space="0" w:color="auto"/>
              <w:left w:val="single" w:sz="4" w:space="0" w:color="auto"/>
              <w:bottom w:val="single" w:sz="4" w:space="0" w:color="auto"/>
              <w:right w:val="single" w:sz="4" w:space="0" w:color="auto"/>
            </w:tcBorders>
            <w:shd w:val="clear" w:color="auto" w:fill="D9E2F3"/>
            <w:noWrap/>
          </w:tcPr>
          <w:p w14:paraId="6328A73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(6.77)</w:t>
            </w:r>
          </w:p>
        </w:tc>
        <w:tc>
          <w:tcPr>
            <w:tcW w:w="709" w:type="dxa"/>
            <w:tcBorders>
              <w:top w:val="single" w:sz="4" w:space="0" w:color="auto"/>
              <w:left w:val="single" w:sz="4" w:space="0" w:color="auto"/>
              <w:bottom w:val="single" w:sz="4" w:space="0" w:color="auto"/>
              <w:right w:val="single" w:sz="4" w:space="0" w:color="auto"/>
            </w:tcBorders>
            <w:shd w:val="clear" w:color="auto" w:fill="D9E2F3"/>
            <w:noWrap/>
          </w:tcPr>
          <w:p w14:paraId="29A413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shd w:val="clear" w:color="auto" w:fill="D9E2F3"/>
            <w:noWrap/>
          </w:tcPr>
          <w:p w14:paraId="1693586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767" w:type="dxa"/>
            <w:tcBorders>
              <w:top w:val="single" w:sz="4" w:space="0" w:color="auto"/>
              <w:left w:val="single" w:sz="4" w:space="0" w:color="auto"/>
              <w:bottom w:val="single" w:sz="4" w:space="0" w:color="auto"/>
              <w:right w:val="single" w:sz="4" w:space="0" w:color="auto"/>
            </w:tcBorders>
            <w:shd w:val="clear" w:color="auto" w:fill="D9E2F3"/>
            <w:noWrap/>
          </w:tcPr>
          <w:p w14:paraId="2DB3DDC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2.40</w:t>
            </w:r>
          </w:p>
        </w:tc>
        <w:tc>
          <w:tcPr>
            <w:tcW w:w="826" w:type="dxa"/>
            <w:tcBorders>
              <w:top w:val="single" w:sz="4" w:space="0" w:color="auto"/>
              <w:left w:val="single" w:sz="4" w:space="0" w:color="auto"/>
              <w:bottom w:val="single" w:sz="4" w:space="0" w:color="auto"/>
              <w:right w:val="single" w:sz="4" w:space="0" w:color="auto"/>
            </w:tcBorders>
            <w:shd w:val="clear" w:color="auto" w:fill="D9E2F3"/>
            <w:noWrap/>
          </w:tcPr>
          <w:p w14:paraId="6850247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4.70</w:t>
            </w:r>
          </w:p>
        </w:tc>
        <w:tc>
          <w:tcPr>
            <w:tcW w:w="725" w:type="dxa"/>
            <w:tcBorders>
              <w:top w:val="single" w:sz="4" w:space="0" w:color="auto"/>
              <w:left w:val="single" w:sz="4" w:space="0" w:color="auto"/>
              <w:bottom w:val="single" w:sz="4" w:space="0" w:color="auto"/>
              <w:right w:val="single" w:sz="4" w:space="0" w:color="auto"/>
            </w:tcBorders>
            <w:shd w:val="clear" w:color="auto" w:fill="D9E2F3"/>
            <w:noWrap/>
          </w:tcPr>
          <w:p w14:paraId="6594994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2.33</w:t>
            </w:r>
          </w:p>
        </w:tc>
        <w:tc>
          <w:tcPr>
            <w:tcW w:w="639" w:type="dxa"/>
            <w:tcBorders>
              <w:top w:val="single" w:sz="4" w:space="0" w:color="auto"/>
              <w:left w:val="single" w:sz="4" w:space="0" w:color="auto"/>
              <w:bottom w:val="single" w:sz="4" w:space="0" w:color="auto"/>
              <w:right w:val="single" w:sz="4" w:space="0" w:color="auto"/>
            </w:tcBorders>
            <w:shd w:val="clear" w:color="auto" w:fill="D9E2F3"/>
            <w:noWrap/>
          </w:tcPr>
          <w:p w14:paraId="10C98979"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2.25</w:t>
            </w:r>
          </w:p>
        </w:tc>
      </w:tr>
      <w:tr w:rsidR="000E76D9" w:rsidRPr="00A83C94" w14:paraId="0BE91FD9" w14:textId="77777777" w:rsidTr="00875D10">
        <w:trPr>
          <w:trHeight w:val="439"/>
        </w:trPr>
        <w:tc>
          <w:tcPr>
            <w:tcW w:w="2538" w:type="dxa"/>
            <w:tcBorders>
              <w:top w:val="single" w:sz="4" w:space="0" w:color="auto"/>
              <w:left w:val="single" w:sz="4" w:space="0" w:color="auto"/>
              <w:bottom w:val="single" w:sz="4" w:space="0" w:color="auto"/>
              <w:right w:val="single" w:sz="4" w:space="0" w:color="auto"/>
            </w:tcBorders>
            <w:noWrap/>
          </w:tcPr>
          <w:p w14:paraId="378FCEA9" w14:textId="77777777" w:rsidR="000E76D9" w:rsidRPr="00A83C94" w:rsidRDefault="000E76D9" w:rsidP="000E76D9">
            <w:pPr>
              <w:spacing w:before="0" w:line="240" w:lineRule="auto"/>
              <w:ind w:firstLine="0"/>
              <w:contextualSpacing w:val="0"/>
              <w:jc w:val="left"/>
              <w:rPr>
                <w:sz w:val="16"/>
                <w:szCs w:val="16"/>
                <w:lang w:val="hy-AM" w:eastAsia="en-US"/>
              </w:rPr>
            </w:pPr>
            <w:r w:rsidRPr="00A83C94">
              <w:rPr>
                <w:b w:val="0"/>
                <w:sz w:val="16"/>
                <w:szCs w:val="16"/>
                <w:lang w:val="hy-AM" w:eastAsia="en-US"/>
              </w:rPr>
              <w:t>Հայավտոկայարան ՓԲԸ</w:t>
            </w:r>
          </w:p>
        </w:tc>
        <w:tc>
          <w:tcPr>
            <w:tcW w:w="709" w:type="dxa"/>
            <w:tcBorders>
              <w:top w:val="single" w:sz="4" w:space="0" w:color="auto"/>
              <w:left w:val="single" w:sz="4" w:space="0" w:color="auto"/>
              <w:bottom w:val="single" w:sz="4" w:space="0" w:color="auto"/>
              <w:right w:val="single" w:sz="4" w:space="0" w:color="auto"/>
            </w:tcBorders>
            <w:noWrap/>
          </w:tcPr>
          <w:p w14:paraId="22F80A5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0.88</w:t>
            </w:r>
          </w:p>
        </w:tc>
        <w:tc>
          <w:tcPr>
            <w:tcW w:w="709" w:type="dxa"/>
            <w:tcBorders>
              <w:top w:val="single" w:sz="4" w:space="0" w:color="auto"/>
              <w:left w:val="single" w:sz="4" w:space="0" w:color="auto"/>
              <w:bottom w:val="single" w:sz="4" w:space="0" w:color="auto"/>
              <w:right w:val="single" w:sz="4" w:space="0" w:color="auto"/>
            </w:tcBorders>
            <w:noWrap/>
          </w:tcPr>
          <w:p w14:paraId="20B1FA2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1.20</w:t>
            </w:r>
          </w:p>
        </w:tc>
        <w:tc>
          <w:tcPr>
            <w:tcW w:w="850" w:type="dxa"/>
            <w:tcBorders>
              <w:top w:val="single" w:sz="4" w:space="0" w:color="auto"/>
              <w:left w:val="single" w:sz="4" w:space="0" w:color="auto"/>
              <w:bottom w:val="single" w:sz="4" w:space="0" w:color="auto"/>
              <w:right w:val="single" w:sz="4" w:space="0" w:color="auto"/>
            </w:tcBorders>
            <w:noWrap/>
          </w:tcPr>
          <w:p w14:paraId="66D7AE9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(16.59)</w:t>
            </w:r>
          </w:p>
        </w:tc>
        <w:tc>
          <w:tcPr>
            <w:tcW w:w="851" w:type="dxa"/>
            <w:tcBorders>
              <w:top w:val="single" w:sz="4" w:space="0" w:color="auto"/>
              <w:left w:val="single" w:sz="4" w:space="0" w:color="auto"/>
              <w:bottom w:val="single" w:sz="4" w:space="0" w:color="auto"/>
              <w:right w:val="single" w:sz="4" w:space="0" w:color="auto"/>
            </w:tcBorders>
            <w:noWrap/>
          </w:tcPr>
          <w:p w14:paraId="7B51EF08"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13.50</w:t>
            </w:r>
          </w:p>
        </w:tc>
        <w:tc>
          <w:tcPr>
            <w:tcW w:w="709" w:type="dxa"/>
            <w:tcBorders>
              <w:top w:val="single" w:sz="4" w:space="0" w:color="auto"/>
              <w:left w:val="single" w:sz="4" w:space="0" w:color="auto"/>
              <w:bottom w:val="single" w:sz="4" w:space="0" w:color="auto"/>
              <w:right w:val="single" w:sz="4" w:space="0" w:color="auto"/>
            </w:tcBorders>
            <w:noWrap/>
          </w:tcPr>
          <w:p w14:paraId="114C02B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w:t>
            </w:r>
          </w:p>
        </w:tc>
        <w:tc>
          <w:tcPr>
            <w:tcW w:w="586" w:type="dxa"/>
            <w:tcBorders>
              <w:top w:val="single" w:sz="4" w:space="0" w:color="auto"/>
              <w:left w:val="single" w:sz="4" w:space="0" w:color="auto"/>
              <w:bottom w:val="single" w:sz="4" w:space="0" w:color="auto"/>
              <w:right w:val="single" w:sz="4" w:space="0" w:color="auto"/>
            </w:tcBorders>
            <w:noWrap/>
          </w:tcPr>
          <w:p w14:paraId="2C11D7D1"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0.87</w:t>
            </w:r>
          </w:p>
        </w:tc>
        <w:tc>
          <w:tcPr>
            <w:tcW w:w="767" w:type="dxa"/>
            <w:tcBorders>
              <w:top w:val="single" w:sz="4" w:space="0" w:color="auto"/>
              <w:left w:val="single" w:sz="4" w:space="0" w:color="auto"/>
              <w:bottom w:val="single" w:sz="4" w:space="0" w:color="auto"/>
              <w:right w:val="single" w:sz="4" w:space="0" w:color="auto"/>
            </w:tcBorders>
            <w:noWrap/>
          </w:tcPr>
          <w:p w14:paraId="43912785"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0.64</w:t>
            </w:r>
          </w:p>
        </w:tc>
        <w:tc>
          <w:tcPr>
            <w:tcW w:w="826" w:type="dxa"/>
            <w:tcBorders>
              <w:top w:val="single" w:sz="4" w:space="0" w:color="auto"/>
              <w:left w:val="single" w:sz="4" w:space="0" w:color="auto"/>
              <w:bottom w:val="single" w:sz="4" w:space="0" w:color="auto"/>
              <w:right w:val="single" w:sz="4" w:space="0" w:color="auto"/>
            </w:tcBorders>
            <w:noWrap/>
          </w:tcPr>
          <w:p w14:paraId="32A5F4CE"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1.04</w:t>
            </w:r>
          </w:p>
        </w:tc>
        <w:tc>
          <w:tcPr>
            <w:tcW w:w="725" w:type="dxa"/>
            <w:tcBorders>
              <w:top w:val="single" w:sz="4" w:space="0" w:color="auto"/>
              <w:left w:val="single" w:sz="4" w:space="0" w:color="auto"/>
              <w:bottom w:val="single" w:sz="4" w:space="0" w:color="auto"/>
              <w:right w:val="single" w:sz="4" w:space="0" w:color="auto"/>
            </w:tcBorders>
            <w:noWrap/>
          </w:tcPr>
          <w:p w14:paraId="23AD545C"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0.54</w:t>
            </w:r>
          </w:p>
        </w:tc>
        <w:tc>
          <w:tcPr>
            <w:tcW w:w="639" w:type="dxa"/>
            <w:tcBorders>
              <w:top w:val="single" w:sz="4" w:space="0" w:color="auto"/>
              <w:left w:val="single" w:sz="4" w:space="0" w:color="auto"/>
              <w:bottom w:val="single" w:sz="4" w:space="0" w:color="auto"/>
              <w:right w:val="single" w:sz="4" w:space="0" w:color="auto"/>
            </w:tcBorders>
            <w:noWrap/>
          </w:tcPr>
          <w:p w14:paraId="4B8A18E0"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1.03</w:t>
            </w:r>
          </w:p>
        </w:tc>
      </w:tr>
      <w:tr w:rsidR="000E76D9" w:rsidRPr="00564083" w14:paraId="7EACA460" w14:textId="77777777" w:rsidTr="00875D10">
        <w:trPr>
          <w:trHeight w:val="917"/>
        </w:trPr>
        <w:tc>
          <w:tcPr>
            <w:tcW w:w="2538" w:type="dxa"/>
            <w:tcBorders>
              <w:top w:val="single" w:sz="4" w:space="0" w:color="auto"/>
              <w:left w:val="single" w:sz="4" w:space="0" w:color="auto"/>
              <w:bottom w:val="single" w:sz="4" w:space="0" w:color="auto"/>
              <w:right w:val="single" w:sz="4" w:space="0" w:color="auto"/>
            </w:tcBorders>
            <w:shd w:val="clear" w:color="auto" w:fill="D9E2F3"/>
            <w:noWrap/>
          </w:tcPr>
          <w:p w14:paraId="09776C7A" w14:textId="77777777" w:rsidR="000E76D9" w:rsidRPr="00A83C94" w:rsidRDefault="000E76D9" w:rsidP="000E76D9">
            <w:pPr>
              <w:spacing w:before="0" w:line="240" w:lineRule="auto"/>
              <w:ind w:firstLine="0"/>
              <w:contextualSpacing w:val="0"/>
              <w:jc w:val="left"/>
              <w:rPr>
                <w:rFonts w:ascii="Calibri" w:hAnsi="Calibri"/>
                <w:b w:val="0"/>
                <w:sz w:val="16"/>
                <w:szCs w:val="16"/>
                <w:lang w:val="hy-AM" w:eastAsia="en-US"/>
              </w:rPr>
            </w:pPr>
            <w:r w:rsidRPr="00A83C94">
              <w:rPr>
                <w:rFonts w:ascii="Calibri" w:hAnsi="Calibri"/>
                <w:bCs/>
                <w:sz w:val="16"/>
                <w:szCs w:val="16"/>
                <w:lang w:val="hy-AM" w:eastAsia="en-US"/>
              </w:rPr>
              <w:t> </w:t>
            </w:r>
            <w:r w:rsidRPr="00A83C94">
              <w:rPr>
                <w:rFonts w:cs="Calibri Light"/>
                <w:bCs/>
                <w:sz w:val="16"/>
                <w:szCs w:val="16"/>
                <w:lang w:val="hy-AM" w:eastAsia="en-US"/>
              </w:rPr>
              <w:t>Թույլատրելի սահմանային նորմա</w:t>
            </w:r>
          </w:p>
        </w:tc>
        <w:tc>
          <w:tcPr>
            <w:tcW w:w="1418" w:type="dxa"/>
            <w:gridSpan w:val="2"/>
            <w:tcBorders>
              <w:top w:val="single" w:sz="4" w:space="0" w:color="auto"/>
              <w:left w:val="single" w:sz="4" w:space="0" w:color="auto"/>
              <w:bottom w:val="single" w:sz="4" w:space="0" w:color="auto"/>
              <w:right w:val="single" w:sz="4" w:space="0" w:color="auto"/>
            </w:tcBorders>
            <w:shd w:val="clear" w:color="auto" w:fill="D9E2F3"/>
            <w:noWrap/>
          </w:tcPr>
          <w:p w14:paraId="458930FA"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Առնվազն 1</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E2F3"/>
            <w:noWrap/>
          </w:tcPr>
          <w:p w14:paraId="3B28CA8D"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Առնվազն 8%</w:t>
            </w:r>
          </w:p>
        </w:tc>
        <w:tc>
          <w:tcPr>
            <w:tcW w:w="1295" w:type="dxa"/>
            <w:gridSpan w:val="2"/>
            <w:tcBorders>
              <w:top w:val="single" w:sz="4" w:space="0" w:color="auto"/>
              <w:left w:val="single" w:sz="4" w:space="0" w:color="auto"/>
              <w:bottom w:val="single" w:sz="4" w:space="0" w:color="auto"/>
              <w:right w:val="single" w:sz="4" w:space="0" w:color="auto"/>
            </w:tcBorders>
            <w:shd w:val="clear" w:color="auto" w:fill="D9E2F3"/>
            <w:noWrap/>
          </w:tcPr>
          <w:p w14:paraId="26EF53FF"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Առավելագույնը 0.5</w:t>
            </w:r>
          </w:p>
        </w:tc>
        <w:tc>
          <w:tcPr>
            <w:tcW w:w="1593" w:type="dxa"/>
            <w:gridSpan w:val="2"/>
            <w:tcBorders>
              <w:top w:val="single" w:sz="4" w:space="0" w:color="auto"/>
              <w:left w:val="single" w:sz="4" w:space="0" w:color="auto"/>
              <w:bottom w:val="single" w:sz="4" w:space="0" w:color="auto"/>
              <w:right w:val="single" w:sz="4" w:space="0" w:color="auto"/>
            </w:tcBorders>
            <w:shd w:val="clear" w:color="auto" w:fill="D9E2F3"/>
            <w:noWrap/>
          </w:tcPr>
          <w:p w14:paraId="46763022"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Առավելագույնը 1</w:t>
            </w:r>
          </w:p>
        </w:tc>
        <w:tc>
          <w:tcPr>
            <w:tcW w:w="1364" w:type="dxa"/>
            <w:gridSpan w:val="2"/>
            <w:tcBorders>
              <w:top w:val="single" w:sz="4" w:space="0" w:color="auto"/>
              <w:left w:val="single" w:sz="4" w:space="0" w:color="auto"/>
              <w:bottom w:val="single" w:sz="4" w:space="0" w:color="auto"/>
              <w:right w:val="single" w:sz="4" w:space="0" w:color="auto"/>
            </w:tcBorders>
            <w:shd w:val="clear" w:color="auto" w:fill="D9E2F3"/>
          </w:tcPr>
          <w:p w14:paraId="3F2161AB" w14:textId="77777777" w:rsidR="000E76D9" w:rsidRPr="00A83C94" w:rsidRDefault="000E76D9" w:rsidP="000E76D9">
            <w:pPr>
              <w:spacing w:before="0" w:line="240" w:lineRule="auto"/>
              <w:ind w:firstLine="0"/>
              <w:contextualSpacing w:val="0"/>
              <w:jc w:val="center"/>
              <w:rPr>
                <w:b w:val="0"/>
                <w:sz w:val="16"/>
                <w:szCs w:val="16"/>
                <w:lang w:val="hy-AM" w:eastAsia="en-US"/>
              </w:rPr>
            </w:pPr>
            <w:r w:rsidRPr="00A83C94">
              <w:rPr>
                <w:b w:val="0"/>
                <w:sz w:val="16"/>
                <w:szCs w:val="16"/>
                <w:lang w:val="hy-AM" w:eastAsia="en-US"/>
              </w:rPr>
              <w:t>Ապահով գոտի Z&gt;2.6, Գորշ գոտի 1.1&lt;Z&lt;2.6, Ծանր գոտի Z&lt;1.1</w:t>
            </w:r>
          </w:p>
        </w:tc>
      </w:tr>
    </w:tbl>
    <w:p w14:paraId="402AED1D" w14:textId="77777777" w:rsidR="00682DEF" w:rsidRPr="00A83C94" w:rsidRDefault="00682DEF" w:rsidP="00682DEF">
      <w:pPr>
        <w:shd w:val="clear" w:color="auto" w:fill="FFFFFF"/>
        <w:spacing w:before="40" w:line="276" w:lineRule="auto"/>
        <w:ind w:left="1" w:right="150" w:firstLine="1"/>
        <w:contextualSpacing w:val="0"/>
        <w:rPr>
          <w:rFonts w:eastAsia="Calibri"/>
          <w:bCs/>
          <w:i/>
          <w:color w:val="4F81BD" w:themeColor="accent1"/>
          <w:sz w:val="20"/>
          <w:szCs w:val="20"/>
          <w:lang w:val="hy-AM" w:eastAsia="en-US"/>
        </w:rPr>
      </w:pPr>
    </w:p>
    <w:p w14:paraId="49D73D4A" w14:textId="77777777" w:rsidR="00682DEF" w:rsidRPr="00A83C94" w:rsidRDefault="00682DEF" w:rsidP="00682DEF">
      <w:pPr>
        <w:shd w:val="clear" w:color="auto" w:fill="FFFFFF"/>
        <w:spacing w:before="40" w:line="276" w:lineRule="auto"/>
        <w:ind w:left="2" w:right="150" w:firstLine="1"/>
        <w:contextualSpacing w:val="0"/>
        <w:rPr>
          <w:b w:val="0"/>
          <w:szCs w:val="22"/>
          <w:lang w:val="hy-AM" w:eastAsia="en-US"/>
        </w:rPr>
      </w:pPr>
      <w:r w:rsidRPr="00A83C94">
        <w:rPr>
          <w:rFonts w:eastAsia="Calibri"/>
          <w:bCs/>
          <w:i/>
          <w:color w:val="4F81BD" w:themeColor="accent1"/>
          <w:sz w:val="20"/>
          <w:szCs w:val="20"/>
          <w:lang w:val="hy-AM" w:eastAsia="en-US"/>
        </w:rPr>
        <w:t xml:space="preserve">    </w:t>
      </w:r>
      <w:r w:rsidRPr="00A83C94">
        <w:rPr>
          <w:b w:val="0"/>
          <w:szCs w:val="22"/>
          <w:lang w:val="hy-AM" w:eastAsia="en-US"/>
        </w:rPr>
        <w:t>Ինչպես երևում է վերը ներկայացված աղյուսակից, սնանկացման կանխատեսման Ալթմանի Z-միավորը վկայում է «Երևանի ջերմաէլեկտրակենտրոն</w:t>
      </w:r>
      <w:r w:rsidRPr="00A83C94">
        <w:rPr>
          <w:b w:val="0"/>
          <w:color w:val="000000"/>
          <w:szCs w:val="22"/>
          <w:lang w:val="hy-AM"/>
        </w:rPr>
        <w:t>»</w:t>
      </w:r>
      <w:r w:rsidRPr="00A83C94">
        <w:rPr>
          <w:b w:val="0"/>
          <w:szCs w:val="22"/>
          <w:lang w:val="hy-AM" w:eastAsia="en-US"/>
        </w:rPr>
        <w:t>, «Բարձրավոլտ Էլեկտրական ցանցեր»,</w:t>
      </w:r>
      <w:r w:rsidRPr="00A83C94">
        <w:rPr>
          <w:rFonts w:eastAsia="Calibri"/>
          <w:b w:val="0"/>
          <w:szCs w:val="22"/>
          <w:lang w:val="hy-AM" w:eastAsia="en-US"/>
        </w:rPr>
        <w:t xml:space="preserve"> </w:t>
      </w:r>
      <w:r w:rsidRPr="00A83C94">
        <w:rPr>
          <w:b w:val="0"/>
          <w:szCs w:val="22"/>
          <w:lang w:val="hy-AM" w:eastAsia="en-US"/>
        </w:rPr>
        <w:t xml:space="preserve">«Էլեկտրաէներգետիկական համակարգի օպերատոր», Կարեն Դեմիրճյանի անվան Երևանի մետրոպոլիտեն, </w:t>
      </w:r>
      <w:r w:rsidRPr="00A83C94">
        <w:rPr>
          <w:rFonts w:cs="Calibri Light"/>
          <w:b w:val="0"/>
          <w:szCs w:val="22"/>
          <w:lang w:val="hy-AM" w:eastAsia="en-US"/>
        </w:rPr>
        <w:t xml:space="preserve">Ռադիոիզոտոպների արտադրության կենտրոն </w:t>
      </w:r>
      <w:r w:rsidRPr="00A83C94">
        <w:rPr>
          <w:b w:val="0"/>
          <w:szCs w:val="22"/>
          <w:lang w:val="hy-AM" w:eastAsia="en-US"/>
        </w:rPr>
        <w:t>և «Հայավտոկայարան» ՓԲԸ-ների ֆինանսական վիճակի վատթարացման նշանակալի հավանականության մասին (գործակիցը գտնվում է սահմանված գորշ գոտում` Z&lt;1.1):</w:t>
      </w:r>
    </w:p>
    <w:p w14:paraId="61570BDC" w14:textId="77777777" w:rsidR="00682DEF" w:rsidRPr="00A83C94" w:rsidRDefault="00682DEF" w:rsidP="00682DEF">
      <w:pPr>
        <w:shd w:val="clear" w:color="auto" w:fill="FFFFFF"/>
        <w:spacing w:before="0" w:line="276" w:lineRule="auto"/>
        <w:ind w:right="150" w:firstLine="227"/>
        <w:contextualSpacing w:val="0"/>
        <w:rPr>
          <w:b w:val="0"/>
          <w:szCs w:val="22"/>
          <w:lang w:val="hy-AM" w:eastAsia="en-US"/>
        </w:rPr>
      </w:pPr>
      <w:r w:rsidRPr="00A83C94">
        <w:rPr>
          <w:b w:val="0"/>
          <w:szCs w:val="22"/>
          <w:lang w:val="hy-AM" w:eastAsia="en-US"/>
        </w:rPr>
        <w:t>Սակայն պետք է հաշվի առնել, որ զուտ շահույթի մարժան դիտարկված ընկերություններում հիմնականում եղել է բացասական, պայմանավորված փոխարժեքային տատանումներից առաջացած վնասներով, այնինչ ծախսերի վերականգման գործակիցը  միջազգային պրակտիկայում ընդունված թույլատրելի սահմանային նորման գերազանցում է «Երևանի ջերմաէլեկտրակենտրոն», «Բարձրավոլտ էլեկտրական ցանցեր, «Էլեկտրաէներգետիկական համակարգի օպերատոր» ՓԲԸ-ներում, իսկ շարունակաբար ցածր է  Ռադիոիզոտոպների արտադրության կենտրոն և Համո Բեկնազարյանի անվան «Հայֆիլմ» կինոստուդիա ՓԲԸ-ներում։ Հաշվի առնելով Ռադիոիզոտոպների արտադրության կենտրոն ՓԲԸ-ի Ալթմանի Z միավորը և լրացուցիչ գործակիցները՝ կարելի է ենթադրել այդ ընկերության հետ կապված ֆիսկալ ռիսկերի նյութականացման բարձր հավանականության մասին։</w:t>
      </w:r>
    </w:p>
    <w:p w14:paraId="636ED7CD" w14:textId="77777777" w:rsidR="00682DEF" w:rsidRPr="00A83C94" w:rsidRDefault="00682DEF" w:rsidP="00682DEF">
      <w:pPr>
        <w:shd w:val="clear" w:color="auto" w:fill="FFFFFF"/>
        <w:spacing w:before="0" w:line="276" w:lineRule="auto"/>
        <w:ind w:right="150" w:firstLine="227"/>
        <w:contextualSpacing w:val="0"/>
        <w:rPr>
          <w:b w:val="0"/>
          <w:szCs w:val="22"/>
          <w:lang w:val="hy-AM" w:eastAsia="en-US"/>
        </w:rPr>
      </w:pPr>
    </w:p>
    <w:p w14:paraId="2E59CE5B" w14:textId="77777777" w:rsidR="00682DEF" w:rsidRPr="00A83C94" w:rsidRDefault="00682DEF" w:rsidP="00B814B9">
      <w:pPr>
        <w:spacing w:before="0" w:line="276" w:lineRule="auto"/>
        <w:ind w:firstLine="227"/>
        <w:contextualSpacing w:val="0"/>
        <w:rPr>
          <w:szCs w:val="22"/>
          <w:lang w:val="hy-AM" w:eastAsia="en-US"/>
        </w:rPr>
      </w:pPr>
      <w:r w:rsidRPr="00A83C94">
        <w:rPr>
          <w:szCs w:val="22"/>
          <w:lang w:val="hy-AM" w:eastAsia="en-US"/>
        </w:rPr>
        <w:t>Էներգետիկայի ոլորտի մասնավոր ընկերություններ</w:t>
      </w:r>
    </w:p>
    <w:p w14:paraId="464E4EB4"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 xml:space="preserve">Հաշվետու ժամանակաշրջանում (2020թ.) էներգետիկայի ոլորտի դիտանցման ենթարկված մասնավոր ընկերությունների (թվով 4 Ընկերություններ) հիմնական գործունեությունից ստացված հանրագումարային եկամուտները նախորդ ժամանակաշրջանի (2019թ.) նկատմամբ ավելացել են 13.0 մլրդ դրամով և կազմել 476.1 մլրդ դրամ: </w:t>
      </w:r>
    </w:p>
    <w:p w14:paraId="452E1A78" w14:textId="77777777" w:rsidR="00682DEF" w:rsidRPr="00A83C94" w:rsidRDefault="00682DEF" w:rsidP="00682DEF">
      <w:pPr>
        <w:spacing w:before="40" w:line="276" w:lineRule="auto"/>
        <w:ind w:firstLine="227"/>
        <w:contextualSpacing w:val="0"/>
        <w:rPr>
          <w:b w:val="0"/>
          <w:szCs w:val="22"/>
          <w:lang w:val="hy-AM" w:eastAsia="en-US"/>
        </w:rPr>
      </w:pPr>
      <w:r w:rsidRPr="00A83C94">
        <w:rPr>
          <w:b w:val="0"/>
          <w:szCs w:val="22"/>
          <w:lang w:val="hy-AM" w:eastAsia="en-US"/>
        </w:rPr>
        <w:t>Հաշվետու ժամանակաշրջանում Ընկերությունների հան</w:t>
      </w:r>
      <w:r w:rsidRPr="00A83C94">
        <w:rPr>
          <w:b w:val="0"/>
          <w:szCs w:val="22"/>
          <w:lang w:val="hy-AM" w:eastAsia="en-US"/>
        </w:rPr>
        <w:softHyphen/>
        <w:t xml:space="preserve">րագումարային ծախսերը կազմել են 451.7 մլրդ դրամ` նախորդ ժամանակաշրջանի 436.3 մլրդ դրամի դիմաց կամ ավել 15.4 մլրդ դրամով (3.5%-ով): </w:t>
      </w:r>
    </w:p>
    <w:p w14:paraId="14BA4796" w14:textId="77777777" w:rsidR="00682DEF" w:rsidRPr="00A83C94" w:rsidRDefault="00682DEF" w:rsidP="00682DEF">
      <w:pPr>
        <w:spacing w:before="40" w:line="276" w:lineRule="auto"/>
        <w:ind w:firstLine="227"/>
        <w:contextualSpacing w:val="0"/>
        <w:rPr>
          <w:b w:val="0"/>
          <w:szCs w:val="22"/>
          <w:lang w:val="hy-AM" w:eastAsia="en-US"/>
        </w:rPr>
      </w:pPr>
      <w:r w:rsidRPr="00A83C94">
        <w:rPr>
          <w:b w:val="0"/>
          <w:szCs w:val="22"/>
          <w:lang w:val="hy-AM" w:eastAsia="en-US"/>
        </w:rPr>
        <w:t>Ընկերությունների 476.1 մլրդ դրամ ընդհանուր եկամուտների և 451.7 մլրդ դրամ ընդհա</w:t>
      </w:r>
      <w:r w:rsidRPr="00A83C94">
        <w:rPr>
          <w:b w:val="0"/>
          <w:szCs w:val="22"/>
          <w:lang w:val="hy-AM" w:eastAsia="en-US"/>
        </w:rPr>
        <w:softHyphen/>
        <w:t xml:space="preserve">նուր ծախսերի արդյունքում հաշվետու ժամանակաշրջանում գործառնական շահույթը կազմել է 24.4 մլրդ դրամ։ </w:t>
      </w:r>
    </w:p>
    <w:p w14:paraId="4958FEBD" w14:textId="77777777" w:rsidR="00682DEF" w:rsidRPr="00A83C94" w:rsidRDefault="00682DEF" w:rsidP="00682DEF">
      <w:pPr>
        <w:spacing w:before="40" w:line="240" w:lineRule="auto"/>
        <w:ind w:firstLine="0"/>
        <w:contextualSpacing w:val="0"/>
        <w:rPr>
          <w:sz w:val="20"/>
          <w:szCs w:val="20"/>
          <w:lang w:val="hy-AM" w:eastAsia="en-US"/>
        </w:rPr>
      </w:pPr>
    </w:p>
    <w:p w14:paraId="763169CE" w14:textId="227AD1C5" w:rsidR="00682DEF" w:rsidRPr="00A83C94" w:rsidRDefault="00682DEF" w:rsidP="00682DEF">
      <w:pPr>
        <w:keepNext/>
        <w:spacing w:before="0" w:line="240" w:lineRule="auto"/>
        <w:ind w:firstLine="0"/>
        <w:contextualSpacing w:val="0"/>
        <w:jc w:val="left"/>
        <w:rPr>
          <w:rFonts w:eastAsia="Calibri"/>
          <w:bCs/>
          <w:i/>
          <w:color w:val="4F81BD" w:themeColor="accent1"/>
          <w:sz w:val="20"/>
          <w:szCs w:val="20"/>
          <w:lang w:val="hy-AM" w:eastAsia="en-US"/>
        </w:rPr>
      </w:pPr>
      <w:r w:rsidRPr="001336A5">
        <w:rPr>
          <w:rFonts w:eastAsia="Calibri"/>
          <w:b w:val="0"/>
          <w:bCs/>
          <w:color w:val="4F81BD" w:themeColor="accent1"/>
          <w:sz w:val="18"/>
          <w:szCs w:val="18"/>
          <w:lang w:val="hy-AM" w:eastAsia="en-US"/>
        </w:rPr>
        <w:t xml:space="preserve">Աղյուսակ </w:t>
      </w:r>
      <w:r w:rsidR="006C390E" w:rsidRPr="001336A5">
        <w:rPr>
          <w:rFonts w:eastAsia="Calibri"/>
          <w:b w:val="0"/>
          <w:bCs/>
          <w:color w:val="4F81BD" w:themeColor="accent1"/>
          <w:sz w:val="18"/>
          <w:szCs w:val="18"/>
          <w:lang w:val="hy-AM" w:eastAsia="en-US"/>
        </w:rPr>
        <w:t>7</w:t>
      </w:r>
      <w:r w:rsidRPr="00A83C94">
        <w:rPr>
          <w:rFonts w:eastAsia="Calibri"/>
          <w:i/>
          <w:iCs/>
          <w:sz w:val="19"/>
          <w:szCs w:val="19"/>
          <w:lang w:val="hy-AM" w:eastAsia="en-US"/>
        </w:rPr>
        <w:t xml:space="preserve"> </w:t>
      </w:r>
      <w:r w:rsidRPr="00A83C94">
        <w:rPr>
          <w:rFonts w:eastAsia="Calibri"/>
          <w:bCs/>
          <w:i/>
          <w:color w:val="4F81BD" w:themeColor="accent1"/>
          <w:sz w:val="20"/>
          <w:szCs w:val="20"/>
          <w:lang w:val="hy-AM" w:eastAsia="en-US"/>
        </w:rPr>
        <w:t>Էներգետիկայի ոլորտի մասնավոր ընկերությունների հանրագումարային զուտ շահույթը/վնասն ըստ տարիների</w:t>
      </w:r>
    </w:p>
    <w:p w14:paraId="60B4F92C" w14:textId="77777777" w:rsidR="00682DEF" w:rsidRPr="00A83C94" w:rsidRDefault="00682DEF" w:rsidP="00682DEF">
      <w:pPr>
        <w:keepNext/>
        <w:spacing w:before="0" w:line="240" w:lineRule="auto"/>
        <w:ind w:firstLine="0"/>
        <w:contextualSpacing w:val="0"/>
        <w:jc w:val="center"/>
        <w:rPr>
          <w:rFonts w:eastAsia="Calibri"/>
          <w:b w:val="0"/>
          <w:bCs/>
          <w:i/>
          <w:color w:val="4F81BD" w:themeColor="accent1"/>
          <w:sz w:val="18"/>
          <w:szCs w:val="18"/>
          <w:lang w:val="en-US" w:eastAsia="en-US"/>
        </w:rPr>
      </w:pPr>
      <w:r w:rsidRPr="00A83C94">
        <w:rPr>
          <w:rFonts w:eastAsia="Calibri"/>
          <w:b w:val="0"/>
          <w:bCs/>
          <w:i/>
          <w:color w:val="4F81BD" w:themeColor="accent1"/>
          <w:sz w:val="18"/>
          <w:szCs w:val="18"/>
          <w:lang w:val="hy-AM" w:eastAsia="en-US"/>
        </w:rPr>
        <w:t xml:space="preserve">                                                                                                                              </w:t>
      </w:r>
      <w:r w:rsidRPr="00A83C94">
        <w:rPr>
          <w:rFonts w:eastAsia="Calibri"/>
          <w:b w:val="0"/>
          <w:bCs/>
          <w:i/>
          <w:color w:val="4F81BD" w:themeColor="accent1"/>
          <w:sz w:val="18"/>
          <w:szCs w:val="18"/>
          <w:lang w:val="en-US" w:eastAsia="en-US"/>
        </w:rPr>
        <w:t>հազ. դրամ</w:t>
      </w:r>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23"/>
        <w:gridCol w:w="1418"/>
        <w:gridCol w:w="1559"/>
        <w:gridCol w:w="1418"/>
      </w:tblGrid>
      <w:tr w:rsidR="000E76D9" w:rsidRPr="00A83C94" w14:paraId="2809D391" w14:textId="77777777" w:rsidTr="000E76D9">
        <w:trPr>
          <w:trHeight w:val="431"/>
        </w:trPr>
        <w:tc>
          <w:tcPr>
            <w:tcW w:w="4423" w:type="dxa"/>
            <w:shd w:val="clear" w:color="auto" w:fill="548DD4" w:themeFill="text2" w:themeFillTint="99"/>
          </w:tcPr>
          <w:p w14:paraId="19C7F836" w14:textId="16C05B7B"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Մասնավոր ընկերություններ</w:t>
            </w:r>
          </w:p>
        </w:tc>
        <w:tc>
          <w:tcPr>
            <w:tcW w:w="1418" w:type="dxa"/>
            <w:shd w:val="clear" w:color="auto" w:fill="548DD4" w:themeFill="text2" w:themeFillTint="99"/>
          </w:tcPr>
          <w:p w14:paraId="2789E053" w14:textId="5B28D21B"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2018թ.</w:t>
            </w:r>
          </w:p>
        </w:tc>
        <w:tc>
          <w:tcPr>
            <w:tcW w:w="1559" w:type="dxa"/>
            <w:shd w:val="clear" w:color="auto" w:fill="548DD4" w:themeFill="text2" w:themeFillTint="99"/>
          </w:tcPr>
          <w:p w14:paraId="6F6F862C" w14:textId="592C64A5"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2019թ.</w:t>
            </w:r>
          </w:p>
        </w:tc>
        <w:tc>
          <w:tcPr>
            <w:tcW w:w="1418" w:type="dxa"/>
            <w:shd w:val="clear" w:color="auto" w:fill="548DD4" w:themeFill="text2" w:themeFillTint="99"/>
          </w:tcPr>
          <w:p w14:paraId="247B44C4" w14:textId="72152C88" w:rsidR="000E76D9" w:rsidRPr="000E76D9" w:rsidRDefault="000E76D9" w:rsidP="000E76D9">
            <w:pPr>
              <w:spacing w:before="4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2020թ.</w:t>
            </w:r>
          </w:p>
        </w:tc>
      </w:tr>
      <w:tr w:rsidR="000E76D9" w:rsidRPr="00A83C94" w14:paraId="79499FFF" w14:textId="77777777" w:rsidTr="00B814B9">
        <w:trPr>
          <w:trHeight w:val="307"/>
        </w:trPr>
        <w:tc>
          <w:tcPr>
            <w:tcW w:w="4423" w:type="dxa"/>
            <w:shd w:val="clear" w:color="auto" w:fill="D9E2F3"/>
          </w:tcPr>
          <w:p w14:paraId="1C063CA4"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ԸՆԴԱՄԵՆԸ</w:t>
            </w:r>
          </w:p>
        </w:tc>
        <w:tc>
          <w:tcPr>
            <w:tcW w:w="1418" w:type="dxa"/>
            <w:shd w:val="clear" w:color="auto" w:fill="D9E2F3"/>
          </w:tcPr>
          <w:p w14:paraId="365126B0"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16,154,475.0</w:t>
            </w:r>
          </w:p>
        </w:tc>
        <w:tc>
          <w:tcPr>
            <w:tcW w:w="1559" w:type="dxa"/>
            <w:shd w:val="clear" w:color="auto" w:fill="D9E2F3"/>
          </w:tcPr>
          <w:p w14:paraId="6245EFDF"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14,830,506.0</w:t>
            </w:r>
          </w:p>
        </w:tc>
        <w:tc>
          <w:tcPr>
            <w:tcW w:w="1418" w:type="dxa"/>
            <w:shd w:val="clear" w:color="auto" w:fill="D9E2F3"/>
          </w:tcPr>
          <w:p w14:paraId="30103839"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(9,130,092</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43590F77" w14:textId="77777777" w:rsidTr="00B814B9">
        <w:trPr>
          <w:trHeight w:val="360"/>
        </w:trPr>
        <w:tc>
          <w:tcPr>
            <w:tcW w:w="4423" w:type="dxa"/>
          </w:tcPr>
          <w:p w14:paraId="188BE9CF"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1. «Հրազդան</w:t>
            </w:r>
            <w:r w:rsidRPr="00A83C94">
              <w:rPr>
                <w:rFonts w:ascii="Courier New" w:hAnsi="Courier New" w:cs="Courier New"/>
                <w:bCs/>
                <w:sz w:val="18"/>
                <w:szCs w:val="18"/>
                <w:lang w:val="hy-AM" w:eastAsia="en-US"/>
              </w:rPr>
              <w:t> </w:t>
            </w:r>
            <w:r w:rsidRPr="00A83C94">
              <w:rPr>
                <w:bCs/>
                <w:sz w:val="18"/>
                <w:szCs w:val="18"/>
                <w:lang w:val="hy-AM" w:eastAsia="en-US"/>
              </w:rPr>
              <w:t>ՋԷԿ»</w:t>
            </w:r>
            <w:r w:rsidRPr="00A83C94">
              <w:rPr>
                <w:rFonts w:ascii="Courier New" w:hAnsi="Courier New" w:cs="Courier New"/>
                <w:bCs/>
                <w:sz w:val="18"/>
                <w:szCs w:val="18"/>
                <w:lang w:val="hy-AM" w:eastAsia="en-US"/>
              </w:rPr>
              <w:t> </w:t>
            </w:r>
            <w:r w:rsidRPr="00A83C94">
              <w:rPr>
                <w:bCs/>
                <w:sz w:val="18"/>
                <w:szCs w:val="18"/>
                <w:lang w:val="hy-AM" w:eastAsia="en-US"/>
              </w:rPr>
              <w:t>ԲԲԸ</w:t>
            </w:r>
          </w:p>
        </w:tc>
        <w:tc>
          <w:tcPr>
            <w:tcW w:w="1418" w:type="dxa"/>
          </w:tcPr>
          <w:p w14:paraId="4A955A87"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2,835,161.0</w:t>
            </w:r>
          </w:p>
        </w:tc>
        <w:tc>
          <w:tcPr>
            <w:tcW w:w="1559" w:type="dxa"/>
          </w:tcPr>
          <w:p w14:paraId="5EBECCF3"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2,382,469.0</w:t>
            </w:r>
          </w:p>
        </w:tc>
        <w:tc>
          <w:tcPr>
            <w:tcW w:w="1418" w:type="dxa"/>
          </w:tcPr>
          <w:p w14:paraId="58C9734C"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(745,127</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61EBF2B7" w14:textId="77777777" w:rsidTr="00B814B9">
        <w:trPr>
          <w:trHeight w:val="375"/>
        </w:trPr>
        <w:tc>
          <w:tcPr>
            <w:tcW w:w="4423" w:type="dxa"/>
            <w:shd w:val="clear" w:color="auto" w:fill="D9E2F3"/>
          </w:tcPr>
          <w:p w14:paraId="4AB30E70"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2. «Գազպրոմ</w:t>
            </w:r>
            <w:r w:rsidRPr="00A83C94">
              <w:rPr>
                <w:rFonts w:ascii="Courier New" w:hAnsi="Courier New" w:cs="Courier New"/>
                <w:bCs/>
                <w:sz w:val="18"/>
                <w:szCs w:val="18"/>
                <w:lang w:val="hy-AM" w:eastAsia="en-US"/>
              </w:rPr>
              <w:t> </w:t>
            </w:r>
            <w:r w:rsidRPr="00A83C94">
              <w:rPr>
                <w:bCs/>
                <w:sz w:val="18"/>
                <w:szCs w:val="18"/>
                <w:lang w:val="hy-AM" w:eastAsia="en-US"/>
              </w:rPr>
              <w:t>Արմենիա»</w:t>
            </w:r>
            <w:r w:rsidRPr="00A83C94">
              <w:rPr>
                <w:rFonts w:ascii="Courier New" w:hAnsi="Courier New" w:cs="Courier New"/>
                <w:bCs/>
                <w:sz w:val="18"/>
                <w:szCs w:val="18"/>
                <w:lang w:val="hy-AM" w:eastAsia="en-US"/>
              </w:rPr>
              <w:t> </w:t>
            </w:r>
            <w:r w:rsidRPr="00A83C94">
              <w:rPr>
                <w:bCs/>
                <w:sz w:val="18"/>
                <w:szCs w:val="18"/>
                <w:lang w:val="hy-AM" w:eastAsia="en-US"/>
              </w:rPr>
              <w:t>ՓԲԸ</w:t>
            </w:r>
          </w:p>
        </w:tc>
        <w:tc>
          <w:tcPr>
            <w:tcW w:w="1418" w:type="dxa"/>
            <w:shd w:val="clear" w:color="auto" w:fill="D9E2F3"/>
          </w:tcPr>
          <w:p w14:paraId="523DC018"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14,920,000.0</w:t>
            </w:r>
          </w:p>
        </w:tc>
        <w:tc>
          <w:tcPr>
            <w:tcW w:w="1559" w:type="dxa"/>
            <w:shd w:val="clear" w:color="auto" w:fill="D9E2F3"/>
          </w:tcPr>
          <w:p w14:paraId="25FF37A8"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524,000.0</w:t>
            </w:r>
          </w:p>
        </w:tc>
        <w:tc>
          <w:tcPr>
            <w:tcW w:w="1418" w:type="dxa"/>
            <w:shd w:val="clear" w:color="auto" w:fill="D9E2F3"/>
          </w:tcPr>
          <w:p w14:paraId="4B06E0D4"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(701,000</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572362E8" w14:textId="77777777" w:rsidTr="00B814B9">
        <w:trPr>
          <w:trHeight w:val="261"/>
        </w:trPr>
        <w:tc>
          <w:tcPr>
            <w:tcW w:w="4423" w:type="dxa"/>
          </w:tcPr>
          <w:p w14:paraId="33CB3E2F"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3.«Միջազգային</w:t>
            </w:r>
            <w:r w:rsidRPr="00A83C94">
              <w:rPr>
                <w:rFonts w:ascii="Courier New" w:hAnsi="Courier New" w:cs="Courier New"/>
                <w:bCs/>
                <w:sz w:val="18"/>
                <w:szCs w:val="18"/>
                <w:lang w:val="hy-AM" w:eastAsia="en-US"/>
              </w:rPr>
              <w:t> </w:t>
            </w:r>
            <w:r w:rsidRPr="00A83C94">
              <w:rPr>
                <w:bCs/>
                <w:sz w:val="18"/>
                <w:szCs w:val="18"/>
                <w:lang w:val="hy-AM" w:eastAsia="en-US"/>
              </w:rPr>
              <w:t>էներգետիկ</w:t>
            </w:r>
            <w:r w:rsidRPr="00A83C94">
              <w:rPr>
                <w:rFonts w:ascii="Courier New" w:hAnsi="Courier New" w:cs="Courier New"/>
                <w:bCs/>
                <w:sz w:val="18"/>
                <w:szCs w:val="18"/>
                <w:lang w:val="hy-AM" w:eastAsia="en-US"/>
              </w:rPr>
              <w:t> </w:t>
            </w:r>
            <w:r w:rsidRPr="00A83C94">
              <w:rPr>
                <w:bCs/>
                <w:sz w:val="18"/>
                <w:szCs w:val="18"/>
                <w:lang w:val="hy-AM" w:eastAsia="en-US"/>
              </w:rPr>
              <w:t>կորպորացիա» ՓԲԸ</w:t>
            </w:r>
          </w:p>
        </w:tc>
        <w:tc>
          <w:tcPr>
            <w:tcW w:w="1418" w:type="dxa"/>
          </w:tcPr>
          <w:p w14:paraId="171D538A"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(12,353,723.0)</w:t>
            </w:r>
          </w:p>
        </w:tc>
        <w:tc>
          <w:tcPr>
            <w:tcW w:w="1559" w:type="dxa"/>
          </w:tcPr>
          <w:p w14:paraId="5B1A8D07"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159,937.0</w:t>
            </w:r>
          </w:p>
        </w:tc>
        <w:tc>
          <w:tcPr>
            <w:tcW w:w="1418" w:type="dxa"/>
          </w:tcPr>
          <w:p w14:paraId="24A132B7"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(3,107,451</w:t>
            </w:r>
            <w:r w:rsidRPr="00A83C94">
              <w:rPr>
                <w:color w:val="000000"/>
                <w:sz w:val="18"/>
                <w:szCs w:val="18"/>
                <w:lang w:val="hy-AM" w:eastAsia="en-US"/>
              </w:rPr>
              <w:t>.0</w:t>
            </w:r>
            <w:r w:rsidRPr="00A83C94">
              <w:rPr>
                <w:rFonts w:cs="Calibri"/>
                <w:color w:val="000000"/>
                <w:sz w:val="18"/>
                <w:szCs w:val="18"/>
                <w:lang w:val="hy-AM" w:eastAsia="en-US"/>
              </w:rPr>
              <w:t>)</w:t>
            </w:r>
          </w:p>
        </w:tc>
      </w:tr>
      <w:tr w:rsidR="000E76D9" w:rsidRPr="00A83C94" w14:paraId="19E260AB" w14:textId="77777777" w:rsidTr="00B814B9">
        <w:trPr>
          <w:trHeight w:val="285"/>
        </w:trPr>
        <w:tc>
          <w:tcPr>
            <w:tcW w:w="4423" w:type="dxa"/>
            <w:shd w:val="clear" w:color="auto" w:fill="D9E2F3"/>
          </w:tcPr>
          <w:p w14:paraId="0396429D" w14:textId="77777777" w:rsidR="000E76D9" w:rsidRPr="00A83C94" w:rsidRDefault="000E76D9" w:rsidP="000E76D9">
            <w:pPr>
              <w:spacing w:before="40" w:after="60"/>
              <w:ind w:firstLine="0"/>
              <w:contextualSpacing w:val="0"/>
              <w:jc w:val="left"/>
              <w:rPr>
                <w:sz w:val="18"/>
                <w:szCs w:val="18"/>
                <w:lang w:val="hy-AM" w:eastAsia="en-US"/>
              </w:rPr>
            </w:pPr>
            <w:r w:rsidRPr="00A83C94">
              <w:rPr>
                <w:bCs/>
                <w:sz w:val="18"/>
                <w:szCs w:val="18"/>
                <w:lang w:val="hy-AM" w:eastAsia="en-US"/>
              </w:rPr>
              <w:t>4. «Հայաստանի</w:t>
            </w:r>
            <w:r w:rsidRPr="00A83C94">
              <w:rPr>
                <w:rFonts w:ascii="Courier New" w:hAnsi="Courier New" w:cs="Courier New"/>
                <w:bCs/>
                <w:sz w:val="18"/>
                <w:szCs w:val="18"/>
                <w:lang w:val="hy-AM" w:eastAsia="en-US"/>
              </w:rPr>
              <w:t> </w:t>
            </w:r>
            <w:r w:rsidRPr="00A83C94">
              <w:rPr>
                <w:bCs/>
                <w:sz w:val="18"/>
                <w:szCs w:val="18"/>
                <w:lang w:val="hy-AM" w:eastAsia="en-US"/>
              </w:rPr>
              <w:t>էլեկտրական</w:t>
            </w:r>
            <w:r w:rsidRPr="00A83C94">
              <w:rPr>
                <w:rFonts w:ascii="Courier New" w:hAnsi="Courier New" w:cs="Courier New"/>
                <w:bCs/>
                <w:sz w:val="18"/>
                <w:szCs w:val="18"/>
                <w:lang w:val="hy-AM" w:eastAsia="en-US"/>
              </w:rPr>
              <w:t> </w:t>
            </w:r>
            <w:r w:rsidRPr="00A83C94">
              <w:rPr>
                <w:bCs/>
                <w:sz w:val="18"/>
                <w:szCs w:val="18"/>
                <w:lang w:val="hy-AM" w:eastAsia="en-US"/>
              </w:rPr>
              <w:t>ցանցեր»</w:t>
            </w:r>
            <w:r w:rsidRPr="00A83C94">
              <w:rPr>
                <w:rFonts w:ascii="Courier New" w:hAnsi="Courier New" w:cs="Courier New"/>
                <w:bCs/>
                <w:sz w:val="18"/>
                <w:szCs w:val="18"/>
                <w:lang w:val="hy-AM" w:eastAsia="en-US"/>
              </w:rPr>
              <w:t> </w:t>
            </w:r>
            <w:r w:rsidRPr="00A83C94">
              <w:rPr>
                <w:bCs/>
                <w:sz w:val="18"/>
                <w:szCs w:val="18"/>
                <w:lang w:val="hy-AM" w:eastAsia="en-US"/>
              </w:rPr>
              <w:t>ՓԲԸ</w:t>
            </w:r>
          </w:p>
        </w:tc>
        <w:tc>
          <w:tcPr>
            <w:tcW w:w="1418" w:type="dxa"/>
            <w:shd w:val="clear" w:color="auto" w:fill="D9E2F3"/>
          </w:tcPr>
          <w:p w14:paraId="36863CD4"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10,753,037.0</w:t>
            </w:r>
          </w:p>
        </w:tc>
        <w:tc>
          <w:tcPr>
            <w:tcW w:w="1559" w:type="dxa"/>
            <w:shd w:val="clear" w:color="auto" w:fill="D9E2F3"/>
          </w:tcPr>
          <w:p w14:paraId="56D868E8" w14:textId="77777777" w:rsidR="000E76D9" w:rsidRPr="00A83C94" w:rsidRDefault="000E76D9" w:rsidP="000E76D9">
            <w:pPr>
              <w:spacing w:before="40" w:after="60" w:line="312" w:lineRule="auto"/>
              <w:ind w:firstLine="0"/>
              <w:contextualSpacing w:val="0"/>
              <w:jc w:val="center"/>
              <w:rPr>
                <w:color w:val="000000"/>
                <w:sz w:val="18"/>
                <w:szCs w:val="18"/>
                <w:lang w:val="hy-AM" w:eastAsia="en-US"/>
              </w:rPr>
            </w:pPr>
            <w:r w:rsidRPr="00A83C94">
              <w:rPr>
                <w:color w:val="000000"/>
                <w:sz w:val="18"/>
                <w:szCs w:val="18"/>
                <w:lang w:val="hy-AM" w:eastAsia="en-US"/>
              </w:rPr>
              <w:t>11,764,100.0</w:t>
            </w:r>
          </w:p>
        </w:tc>
        <w:tc>
          <w:tcPr>
            <w:tcW w:w="1418" w:type="dxa"/>
            <w:shd w:val="clear" w:color="auto" w:fill="D9E2F3"/>
          </w:tcPr>
          <w:p w14:paraId="473D6898" w14:textId="77777777" w:rsidR="000E76D9" w:rsidRPr="00A83C94" w:rsidRDefault="000E76D9" w:rsidP="000E76D9">
            <w:pPr>
              <w:spacing w:before="0" w:line="256" w:lineRule="auto"/>
              <w:ind w:firstLine="0"/>
              <w:contextualSpacing w:val="0"/>
              <w:jc w:val="center"/>
              <w:rPr>
                <w:rFonts w:cs="Calibri"/>
                <w:color w:val="000000"/>
                <w:sz w:val="18"/>
                <w:szCs w:val="18"/>
                <w:lang w:val="hy-AM" w:eastAsia="en-US"/>
              </w:rPr>
            </w:pPr>
            <w:r w:rsidRPr="00A83C94">
              <w:rPr>
                <w:rFonts w:cs="Calibri"/>
                <w:color w:val="000000"/>
                <w:sz w:val="18"/>
                <w:szCs w:val="18"/>
                <w:lang w:val="hy-AM" w:eastAsia="en-US"/>
              </w:rPr>
              <w:t>(4,576,514</w:t>
            </w:r>
            <w:r w:rsidRPr="00A83C94">
              <w:rPr>
                <w:color w:val="000000"/>
                <w:sz w:val="18"/>
                <w:szCs w:val="18"/>
                <w:lang w:val="hy-AM" w:eastAsia="en-US"/>
              </w:rPr>
              <w:t>.0</w:t>
            </w:r>
            <w:r w:rsidRPr="00A83C94">
              <w:rPr>
                <w:rFonts w:cs="Calibri"/>
                <w:color w:val="000000"/>
                <w:sz w:val="18"/>
                <w:szCs w:val="18"/>
                <w:lang w:val="hy-AM" w:eastAsia="en-US"/>
              </w:rPr>
              <w:t>)</w:t>
            </w:r>
          </w:p>
        </w:tc>
      </w:tr>
    </w:tbl>
    <w:p w14:paraId="1CA3449C" w14:textId="77777777" w:rsidR="00682DEF" w:rsidRPr="00A83C94" w:rsidRDefault="00682DEF" w:rsidP="00682DEF">
      <w:pPr>
        <w:tabs>
          <w:tab w:val="left" w:pos="3669"/>
        </w:tabs>
        <w:spacing w:before="0" w:line="276" w:lineRule="auto"/>
        <w:ind w:firstLine="0"/>
        <w:contextualSpacing w:val="0"/>
        <w:rPr>
          <w:b w:val="0"/>
          <w:szCs w:val="22"/>
          <w:lang w:val="en-US"/>
        </w:rPr>
      </w:pPr>
    </w:p>
    <w:p w14:paraId="3E8BC8E6"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Անհրաժեշտ է նշել, որ ընկերություն</w:t>
      </w:r>
      <w:r w:rsidRPr="00A83C94">
        <w:rPr>
          <w:b w:val="0"/>
          <w:szCs w:val="22"/>
          <w:lang w:val="hy-AM" w:eastAsia="en-US"/>
        </w:rPr>
        <w:softHyphen/>
        <w:t>ները չունեն ժամկետանց վարկային պարտավորություններ։ Ընդ որում «Հայաստանի էլեկտրական ցանցեր» և «Միջազգային էներգետիկ կորպորացիա»</w:t>
      </w:r>
      <w:r w:rsidRPr="00A83C94">
        <w:rPr>
          <w:rFonts w:ascii="Courier New" w:hAnsi="Courier New" w:cs="Courier New"/>
          <w:b w:val="0"/>
          <w:szCs w:val="22"/>
          <w:lang w:val="hy-AM" w:eastAsia="en-US"/>
        </w:rPr>
        <w:t> </w:t>
      </w:r>
      <w:r w:rsidRPr="00A83C94">
        <w:rPr>
          <w:b w:val="0"/>
          <w:szCs w:val="22"/>
          <w:lang w:val="hy-AM" w:eastAsia="en-US"/>
        </w:rPr>
        <w:t>ՓԲԸ-ները հանդիսանում են միջազգային կազմակերպությունների և օտարերկրյա պետությունների աջակցությամբ իրականացվող նպատակային վարկային ծրագրերի շրջանակներում ենթավարկային պայմանագրերով ոլորտին տրամադրված վարկային միջոցների խոշորագույն ստացողներից:</w:t>
      </w:r>
    </w:p>
    <w:p w14:paraId="13A6EA30"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 xml:space="preserve">Ընկերությունները ներգրավված չեն այնպիսի տեղական կամ միջազգային դատական վարույթներում, որոնք կարող են էական ազդեցություն ունենալ այդ Ընկերությունների ֆինանսական վիճակի վրա: </w:t>
      </w:r>
    </w:p>
    <w:p w14:paraId="0572E39F" w14:textId="77777777" w:rsidR="00682DEF" w:rsidRPr="00A83C94" w:rsidRDefault="00682DEF" w:rsidP="00682DEF">
      <w:pPr>
        <w:spacing w:before="0" w:line="276" w:lineRule="auto"/>
        <w:ind w:firstLine="227"/>
        <w:contextualSpacing w:val="0"/>
        <w:rPr>
          <w:b w:val="0"/>
          <w:szCs w:val="22"/>
          <w:lang w:val="hy-AM" w:eastAsia="en-US"/>
        </w:rPr>
      </w:pPr>
      <w:r w:rsidRPr="00A83C94">
        <w:rPr>
          <w:b w:val="0"/>
          <w:szCs w:val="22"/>
          <w:lang w:val="hy-AM" w:eastAsia="en-US"/>
        </w:rPr>
        <w:t>Ընկերությունների հարկաբյուջետային ռիսկերի գնահատման համար կիրառված ֆինանսական գործակիցների ամփոփ արդյունքները և պրակտիկայում ընդունված թույլատրելի սահմա</w:t>
      </w:r>
      <w:r w:rsidRPr="00A83C94">
        <w:rPr>
          <w:b w:val="0"/>
          <w:szCs w:val="22"/>
          <w:lang w:val="hy-AM" w:eastAsia="en-US"/>
        </w:rPr>
        <w:softHyphen/>
        <w:t>նային նորմաները ներկայացված են աղյուսակում:</w:t>
      </w:r>
    </w:p>
    <w:p w14:paraId="2392F65F" w14:textId="77777777" w:rsidR="00682DEF" w:rsidRPr="00A83C94" w:rsidRDefault="00682DEF" w:rsidP="00682DEF">
      <w:pPr>
        <w:spacing w:before="0" w:line="276" w:lineRule="auto"/>
        <w:ind w:firstLine="227"/>
        <w:contextualSpacing w:val="0"/>
        <w:rPr>
          <w:b w:val="0"/>
          <w:sz w:val="18"/>
          <w:szCs w:val="18"/>
          <w:lang w:val="hy-AM" w:eastAsia="en-US"/>
        </w:rPr>
      </w:pPr>
    </w:p>
    <w:p w14:paraId="58026969" w14:textId="15B4C39E" w:rsidR="00682DEF" w:rsidRDefault="00682DEF" w:rsidP="00682DEF">
      <w:pPr>
        <w:keepNext/>
        <w:spacing w:before="0" w:line="240" w:lineRule="auto"/>
        <w:ind w:firstLine="0"/>
        <w:contextualSpacing w:val="0"/>
        <w:rPr>
          <w:rFonts w:eastAsia="Calibri"/>
          <w:bCs/>
          <w:i/>
          <w:color w:val="4F81BD" w:themeColor="accent1"/>
          <w:sz w:val="20"/>
          <w:szCs w:val="20"/>
          <w:lang w:val="hy-AM" w:eastAsia="en-US"/>
        </w:rPr>
      </w:pPr>
      <w:r w:rsidRPr="00A83C94">
        <w:rPr>
          <w:rFonts w:eastAsia="Calibri"/>
          <w:b w:val="0"/>
          <w:bCs/>
          <w:color w:val="4F81BD" w:themeColor="accent1"/>
          <w:sz w:val="18"/>
          <w:szCs w:val="18"/>
          <w:lang w:val="hy-AM" w:eastAsia="en-US"/>
        </w:rPr>
        <w:t xml:space="preserve">Աղյուսակ </w:t>
      </w:r>
      <w:r w:rsidR="006C390E" w:rsidRPr="006C390E">
        <w:rPr>
          <w:rFonts w:eastAsia="Calibri"/>
          <w:b w:val="0"/>
          <w:bCs/>
          <w:color w:val="4F81BD" w:themeColor="accent1"/>
          <w:sz w:val="18"/>
          <w:szCs w:val="18"/>
          <w:lang w:val="hy-AM" w:eastAsia="en-US"/>
        </w:rPr>
        <w:t>8</w:t>
      </w:r>
      <w:r w:rsidRPr="00A83C94">
        <w:rPr>
          <w:rFonts w:eastAsia="Calibri"/>
          <w:bCs/>
          <w:i/>
          <w:color w:val="4F81BD" w:themeColor="accent1"/>
          <w:sz w:val="20"/>
          <w:szCs w:val="20"/>
          <w:lang w:val="hy-AM" w:eastAsia="en-US"/>
        </w:rPr>
        <w:t xml:space="preserve"> Էներգետիկայի ոլորտի մասնավոր ընկերությունների հանրագումարային ֆինանսական գործակիցները</w:t>
      </w:r>
    </w:p>
    <w:p w14:paraId="52C1509A" w14:textId="77777777" w:rsidR="0087134D" w:rsidRPr="00A83C94" w:rsidRDefault="0087134D" w:rsidP="00682DEF">
      <w:pPr>
        <w:keepNext/>
        <w:spacing w:before="0" w:line="240" w:lineRule="auto"/>
        <w:ind w:firstLine="0"/>
        <w:contextualSpacing w:val="0"/>
        <w:rPr>
          <w:rFonts w:eastAsia="Calibri"/>
          <w:bCs/>
          <w:i/>
          <w:color w:val="4F81BD" w:themeColor="accent1"/>
          <w:sz w:val="20"/>
          <w:szCs w:val="20"/>
          <w:lang w:val="hy-AM" w:eastAsia="en-US"/>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5"/>
        <w:gridCol w:w="898"/>
        <w:gridCol w:w="992"/>
        <w:gridCol w:w="993"/>
        <w:gridCol w:w="2409"/>
      </w:tblGrid>
      <w:tr w:rsidR="000E76D9" w:rsidRPr="00A83C94" w14:paraId="2D18A894" w14:textId="77777777" w:rsidTr="000E76D9">
        <w:trPr>
          <w:trHeight w:val="269"/>
          <w:jc w:val="center"/>
        </w:trPr>
        <w:tc>
          <w:tcPr>
            <w:tcW w:w="3775" w:type="dxa"/>
            <w:shd w:val="clear" w:color="auto" w:fill="548DD4" w:themeFill="text2" w:themeFillTint="99"/>
            <w:vAlign w:val="center"/>
          </w:tcPr>
          <w:p w14:paraId="6F92C53F" w14:textId="66FFAD13" w:rsidR="000E76D9" w:rsidRPr="000E76D9" w:rsidRDefault="000E76D9" w:rsidP="000E76D9">
            <w:pPr>
              <w:spacing w:before="0" w:line="240" w:lineRule="auto"/>
              <w:ind w:firstLine="0"/>
              <w:contextualSpacing w:val="0"/>
              <w:rPr>
                <w:color w:val="FFFFFF" w:themeColor="background1"/>
                <w:sz w:val="20"/>
                <w:szCs w:val="20"/>
                <w:lang w:val="hy-AM" w:eastAsia="en-US"/>
              </w:rPr>
            </w:pPr>
            <w:r w:rsidRPr="000E76D9">
              <w:rPr>
                <w:color w:val="FFFFFF" w:themeColor="background1"/>
                <w:sz w:val="20"/>
                <w:szCs w:val="20"/>
                <w:lang w:val="hy-AM" w:eastAsia="en-US"/>
              </w:rPr>
              <w:t>Ցուցանիշ</w:t>
            </w:r>
          </w:p>
        </w:tc>
        <w:tc>
          <w:tcPr>
            <w:tcW w:w="898" w:type="dxa"/>
            <w:shd w:val="clear" w:color="auto" w:fill="548DD4" w:themeFill="text2" w:themeFillTint="99"/>
            <w:vAlign w:val="center"/>
          </w:tcPr>
          <w:p w14:paraId="6CA5F580" w14:textId="7CA63CD1"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2018թ.</w:t>
            </w:r>
          </w:p>
        </w:tc>
        <w:tc>
          <w:tcPr>
            <w:tcW w:w="992" w:type="dxa"/>
            <w:shd w:val="clear" w:color="auto" w:fill="548DD4" w:themeFill="text2" w:themeFillTint="99"/>
            <w:vAlign w:val="center"/>
          </w:tcPr>
          <w:p w14:paraId="35C813D4" w14:textId="6984FC9D"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2019թ.</w:t>
            </w:r>
          </w:p>
        </w:tc>
        <w:tc>
          <w:tcPr>
            <w:tcW w:w="993" w:type="dxa"/>
            <w:shd w:val="clear" w:color="auto" w:fill="548DD4" w:themeFill="text2" w:themeFillTint="99"/>
            <w:vAlign w:val="center"/>
          </w:tcPr>
          <w:p w14:paraId="57AD8E3F" w14:textId="6E034687"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2020թ.</w:t>
            </w:r>
          </w:p>
        </w:tc>
        <w:tc>
          <w:tcPr>
            <w:tcW w:w="2409" w:type="dxa"/>
            <w:shd w:val="clear" w:color="auto" w:fill="548DD4" w:themeFill="text2" w:themeFillTint="99"/>
          </w:tcPr>
          <w:p w14:paraId="3836E5BF" w14:textId="6A6CC4BB" w:rsidR="000E76D9" w:rsidRPr="000E76D9" w:rsidRDefault="000E76D9" w:rsidP="000E76D9">
            <w:pPr>
              <w:spacing w:before="0" w:line="240" w:lineRule="auto"/>
              <w:ind w:firstLine="0"/>
              <w:contextualSpacing w:val="0"/>
              <w:jc w:val="center"/>
              <w:rPr>
                <w:color w:val="FFFFFF" w:themeColor="background1"/>
                <w:sz w:val="20"/>
                <w:szCs w:val="20"/>
                <w:lang w:val="hy-AM" w:eastAsia="en-US"/>
              </w:rPr>
            </w:pPr>
            <w:r w:rsidRPr="000E76D9">
              <w:rPr>
                <w:color w:val="FFFFFF" w:themeColor="background1"/>
                <w:sz w:val="20"/>
                <w:szCs w:val="20"/>
                <w:lang w:val="hy-AM" w:eastAsia="en-US"/>
              </w:rPr>
              <w:t>Թույլատրելի սահմանային նորմա</w:t>
            </w:r>
          </w:p>
        </w:tc>
      </w:tr>
      <w:tr w:rsidR="000E76D9" w:rsidRPr="00A83C94" w14:paraId="31E44483" w14:textId="77777777" w:rsidTr="000E76D9">
        <w:trPr>
          <w:trHeight w:val="549"/>
          <w:jc w:val="center"/>
        </w:trPr>
        <w:tc>
          <w:tcPr>
            <w:tcW w:w="3775" w:type="dxa"/>
            <w:shd w:val="clear" w:color="auto" w:fill="D9E2F3"/>
            <w:vAlign w:val="center"/>
          </w:tcPr>
          <w:p w14:paraId="26080797"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Ծախսերի վերականգնման գործակից</w:t>
            </w:r>
          </w:p>
        </w:tc>
        <w:tc>
          <w:tcPr>
            <w:tcW w:w="898" w:type="dxa"/>
            <w:shd w:val="clear" w:color="auto" w:fill="D9E2F3"/>
            <w:vAlign w:val="center"/>
          </w:tcPr>
          <w:p w14:paraId="1D17ECD2"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1.1</w:t>
            </w:r>
          </w:p>
        </w:tc>
        <w:tc>
          <w:tcPr>
            <w:tcW w:w="992" w:type="dxa"/>
            <w:shd w:val="clear" w:color="auto" w:fill="D9E2F3"/>
            <w:vAlign w:val="center"/>
          </w:tcPr>
          <w:p w14:paraId="39E4FA46"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1.1</w:t>
            </w:r>
          </w:p>
        </w:tc>
        <w:tc>
          <w:tcPr>
            <w:tcW w:w="993" w:type="dxa"/>
            <w:shd w:val="clear" w:color="auto" w:fill="D9E2F3"/>
            <w:vAlign w:val="center"/>
          </w:tcPr>
          <w:p w14:paraId="20621BEF"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1.1</w:t>
            </w:r>
          </w:p>
        </w:tc>
        <w:tc>
          <w:tcPr>
            <w:tcW w:w="2409" w:type="dxa"/>
            <w:shd w:val="clear" w:color="auto" w:fill="D9E2F3"/>
          </w:tcPr>
          <w:p w14:paraId="6ED664C1"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Առնվազն 1</w:t>
            </w:r>
          </w:p>
        </w:tc>
      </w:tr>
      <w:tr w:rsidR="000E76D9" w:rsidRPr="00A83C94" w14:paraId="2A646BCA" w14:textId="77777777" w:rsidTr="000E76D9">
        <w:trPr>
          <w:trHeight w:val="549"/>
          <w:jc w:val="center"/>
        </w:trPr>
        <w:tc>
          <w:tcPr>
            <w:tcW w:w="3775" w:type="dxa"/>
            <w:vAlign w:val="center"/>
          </w:tcPr>
          <w:p w14:paraId="1D252DE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Զուտ շահույթի մարժա(%)</w:t>
            </w:r>
          </w:p>
        </w:tc>
        <w:tc>
          <w:tcPr>
            <w:tcW w:w="898" w:type="dxa"/>
            <w:vAlign w:val="center"/>
          </w:tcPr>
          <w:p w14:paraId="365FE338"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3.7</w:t>
            </w:r>
          </w:p>
        </w:tc>
        <w:tc>
          <w:tcPr>
            <w:tcW w:w="992" w:type="dxa"/>
            <w:vAlign w:val="center"/>
          </w:tcPr>
          <w:p w14:paraId="179CBA6E"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3.2</w:t>
            </w:r>
          </w:p>
        </w:tc>
        <w:tc>
          <w:tcPr>
            <w:tcW w:w="993" w:type="dxa"/>
            <w:vAlign w:val="center"/>
          </w:tcPr>
          <w:p w14:paraId="72A8D4B1"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(1.9)</w:t>
            </w:r>
          </w:p>
        </w:tc>
        <w:tc>
          <w:tcPr>
            <w:tcW w:w="2409" w:type="dxa"/>
          </w:tcPr>
          <w:p w14:paraId="51F4761F"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Առնվազն 8%</w:t>
            </w:r>
          </w:p>
        </w:tc>
      </w:tr>
      <w:tr w:rsidR="000E76D9" w:rsidRPr="00A83C94" w14:paraId="2DAA5E0F" w14:textId="77777777" w:rsidTr="000E76D9">
        <w:trPr>
          <w:trHeight w:val="549"/>
          <w:jc w:val="center"/>
        </w:trPr>
        <w:tc>
          <w:tcPr>
            <w:tcW w:w="3775" w:type="dxa"/>
            <w:shd w:val="clear" w:color="auto" w:fill="D9E2F3"/>
            <w:vAlign w:val="center"/>
          </w:tcPr>
          <w:p w14:paraId="6987E6C4"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Արագ իրացվելիության գործակից</w:t>
            </w:r>
          </w:p>
        </w:tc>
        <w:tc>
          <w:tcPr>
            <w:tcW w:w="898" w:type="dxa"/>
            <w:shd w:val="clear" w:color="auto" w:fill="D9E2F3"/>
            <w:vAlign w:val="center"/>
          </w:tcPr>
          <w:p w14:paraId="1DACEADC"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2.8</w:t>
            </w:r>
          </w:p>
        </w:tc>
        <w:tc>
          <w:tcPr>
            <w:tcW w:w="992" w:type="dxa"/>
            <w:shd w:val="clear" w:color="auto" w:fill="D9E2F3"/>
            <w:vAlign w:val="center"/>
          </w:tcPr>
          <w:p w14:paraId="0DBAC4DB"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2.8</w:t>
            </w:r>
          </w:p>
        </w:tc>
        <w:tc>
          <w:tcPr>
            <w:tcW w:w="993" w:type="dxa"/>
            <w:shd w:val="clear" w:color="auto" w:fill="D9E2F3"/>
            <w:vAlign w:val="center"/>
          </w:tcPr>
          <w:p w14:paraId="511EAB3F"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2.0</w:t>
            </w:r>
          </w:p>
        </w:tc>
        <w:tc>
          <w:tcPr>
            <w:tcW w:w="2409" w:type="dxa"/>
            <w:shd w:val="clear" w:color="auto" w:fill="D9E2F3"/>
          </w:tcPr>
          <w:p w14:paraId="209C77BD"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Առնվազն 1</w:t>
            </w:r>
          </w:p>
        </w:tc>
      </w:tr>
      <w:tr w:rsidR="000E76D9" w:rsidRPr="00A83C94" w14:paraId="386B4A61" w14:textId="77777777" w:rsidTr="000E76D9">
        <w:trPr>
          <w:trHeight w:val="549"/>
          <w:jc w:val="center"/>
        </w:trPr>
        <w:tc>
          <w:tcPr>
            <w:tcW w:w="3775" w:type="dxa"/>
            <w:vAlign w:val="center"/>
          </w:tcPr>
          <w:p w14:paraId="7BE73B77"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Դեբիտորական պարտքերի շրջանառու</w:t>
            </w:r>
            <w:r w:rsidRPr="00A83C94">
              <w:rPr>
                <w:bCs/>
                <w:sz w:val="20"/>
                <w:szCs w:val="20"/>
                <w:lang w:val="hy-AM" w:eastAsia="en-US"/>
              </w:rPr>
              <w:softHyphen/>
              <w:t>թյուն (օր)</w:t>
            </w:r>
          </w:p>
        </w:tc>
        <w:tc>
          <w:tcPr>
            <w:tcW w:w="898" w:type="dxa"/>
            <w:vAlign w:val="center"/>
          </w:tcPr>
          <w:p w14:paraId="70E13226"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54.6</w:t>
            </w:r>
          </w:p>
        </w:tc>
        <w:tc>
          <w:tcPr>
            <w:tcW w:w="992" w:type="dxa"/>
            <w:vAlign w:val="center"/>
          </w:tcPr>
          <w:p w14:paraId="0A4DC7A1"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57.9</w:t>
            </w:r>
          </w:p>
        </w:tc>
        <w:tc>
          <w:tcPr>
            <w:tcW w:w="993" w:type="dxa"/>
            <w:vAlign w:val="center"/>
          </w:tcPr>
          <w:p w14:paraId="64F02DA6"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67.7</w:t>
            </w:r>
          </w:p>
        </w:tc>
        <w:tc>
          <w:tcPr>
            <w:tcW w:w="2409" w:type="dxa"/>
          </w:tcPr>
          <w:p w14:paraId="6D14220D"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Առավելագույնը 60 օր</w:t>
            </w:r>
          </w:p>
        </w:tc>
      </w:tr>
      <w:tr w:rsidR="000E76D9" w:rsidRPr="00A83C94" w14:paraId="1F93D90C" w14:textId="77777777" w:rsidTr="000E76D9">
        <w:trPr>
          <w:trHeight w:val="549"/>
          <w:jc w:val="center"/>
        </w:trPr>
        <w:tc>
          <w:tcPr>
            <w:tcW w:w="3775" w:type="dxa"/>
            <w:shd w:val="clear" w:color="auto" w:fill="D9E2F3"/>
            <w:vAlign w:val="center"/>
          </w:tcPr>
          <w:p w14:paraId="0711363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Պարտքի սպասարկման գործակից</w:t>
            </w:r>
          </w:p>
        </w:tc>
        <w:tc>
          <w:tcPr>
            <w:tcW w:w="898" w:type="dxa"/>
            <w:shd w:val="clear" w:color="auto" w:fill="D9E2F3"/>
            <w:vAlign w:val="center"/>
          </w:tcPr>
          <w:p w14:paraId="3A5ABB8B"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0.1</w:t>
            </w:r>
          </w:p>
        </w:tc>
        <w:tc>
          <w:tcPr>
            <w:tcW w:w="992" w:type="dxa"/>
            <w:shd w:val="clear" w:color="auto" w:fill="D9E2F3"/>
            <w:vAlign w:val="center"/>
          </w:tcPr>
          <w:p w14:paraId="45D9A73A"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0.1</w:t>
            </w:r>
          </w:p>
        </w:tc>
        <w:tc>
          <w:tcPr>
            <w:tcW w:w="993" w:type="dxa"/>
            <w:shd w:val="clear" w:color="auto" w:fill="D9E2F3"/>
            <w:vAlign w:val="center"/>
          </w:tcPr>
          <w:p w14:paraId="49F12CD8"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0.1</w:t>
            </w:r>
          </w:p>
        </w:tc>
        <w:tc>
          <w:tcPr>
            <w:tcW w:w="2409" w:type="dxa"/>
            <w:shd w:val="clear" w:color="auto" w:fill="D9E2F3"/>
          </w:tcPr>
          <w:p w14:paraId="44522CF7"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Առավելագույնը 0.5</w:t>
            </w:r>
          </w:p>
        </w:tc>
      </w:tr>
      <w:tr w:rsidR="000E76D9" w:rsidRPr="00A83C94" w14:paraId="53991050" w14:textId="77777777" w:rsidTr="000E76D9">
        <w:trPr>
          <w:trHeight w:val="549"/>
          <w:jc w:val="center"/>
        </w:trPr>
        <w:tc>
          <w:tcPr>
            <w:tcW w:w="3775" w:type="dxa"/>
            <w:vAlign w:val="center"/>
          </w:tcPr>
          <w:p w14:paraId="05FA689F"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Վերաֆինանսավորման գործակից</w:t>
            </w:r>
          </w:p>
        </w:tc>
        <w:tc>
          <w:tcPr>
            <w:tcW w:w="898" w:type="dxa"/>
            <w:vAlign w:val="center"/>
          </w:tcPr>
          <w:p w14:paraId="728C4545"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1.0</w:t>
            </w:r>
          </w:p>
        </w:tc>
        <w:tc>
          <w:tcPr>
            <w:tcW w:w="992" w:type="dxa"/>
            <w:vAlign w:val="center"/>
          </w:tcPr>
          <w:p w14:paraId="0A4A5A09"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0.7</w:t>
            </w:r>
          </w:p>
        </w:tc>
        <w:tc>
          <w:tcPr>
            <w:tcW w:w="993" w:type="dxa"/>
            <w:vAlign w:val="center"/>
          </w:tcPr>
          <w:p w14:paraId="616CC962"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1.8</w:t>
            </w:r>
          </w:p>
        </w:tc>
        <w:tc>
          <w:tcPr>
            <w:tcW w:w="2409" w:type="dxa"/>
          </w:tcPr>
          <w:p w14:paraId="2576A4B2"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Առավելագույնը 1</w:t>
            </w:r>
          </w:p>
        </w:tc>
      </w:tr>
      <w:tr w:rsidR="000E76D9" w:rsidRPr="00A83C94" w14:paraId="143312EC" w14:textId="77777777" w:rsidTr="000E76D9">
        <w:trPr>
          <w:trHeight w:val="698"/>
          <w:jc w:val="center"/>
        </w:trPr>
        <w:tc>
          <w:tcPr>
            <w:tcW w:w="3775" w:type="dxa"/>
            <w:shd w:val="clear" w:color="auto" w:fill="D9E2F3"/>
            <w:vAlign w:val="center"/>
          </w:tcPr>
          <w:p w14:paraId="3213AA20" w14:textId="77777777" w:rsidR="000E76D9" w:rsidRPr="00A83C94" w:rsidRDefault="000E76D9" w:rsidP="000E76D9">
            <w:pPr>
              <w:spacing w:before="0" w:line="240" w:lineRule="auto"/>
              <w:ind w:firstLine="0"/>
              <w:contextualSpacing w:val="0"/>
              <w:jc w:val="left"/>
              <w:rPr>
                <w:sz w:val="20"/>
                <w:szCs w:val="20"/>
                <w:lang w:val="hy-AM" w:eastAsia="en-US"/>
              </w:rPr>
            </w:pPr>
            <w:r w:rsidRPr="00A83C94">
              <w:rPr>
                <w:bCs/>
                <w:sz w:val="20"/>
                <w:szCs w:val="20"/>
                <w:lang w:val="hy-AM" w:eastAsia="en-US"/>
              </w:rPr>
              <w:t>Z միավոր</w:t>
            </w:r>
          </w:p>
        </w:tc>
        <w:tc>
          <w:tcPr>
            <w:tcW w:w="898" w:type="dxa"/>
            <w:shd w:val="clear" w:color="auto" w:fill="D9E2F3"/>
            <w:vAlign w:val="center"/>
          </w:tcPr>
          <w:p w14:paraId="37725808"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1.23</w:t>
            </w:r>
          </w:p>
        </w:tc>
        <w:tc>
          <w:tcPr>
            <w:tcW w:w="992" w:type="dxa"/>
            <w:shd w:val="clear" w:color="auto" w:fill="D9E2F3"/>
            <w:vAlign w:val="center"/>
          </w:tcPr>
          <w:p w14:paraId="38A7EC8B"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1.4</w:t>
            </w:r>
          </w:p>
        </w:tc>
        <w:tc>
          <w:tcPr>
            <w:tcW w:w="993" w:type="dxa"/>
            <w:shd w:val="clear" w:color="auto" w:fill="D9E2F3"/>
            <w:vAlign w:val="center"/>
          </w:tcPr>
          <w:p w14:paraId="1D2A6ED5" w14:textId="77777777" w:rsidR="000E76D9" w:rsidRPr="00A83C94" w:rsidRDefault="000E76D9" w:rsidP="000E76D9">
            <w:pPr>
              <w:spacing w:before="0" w:line="240" w:lineRule="auto"/>
              <w:ind w:firstLine="0"/>
              <w:contextualSpacing w:val="0"/>
              <w:jc w:val="center"/>
              <w:rPr>
                <w:bCs/>
                <w:color w:val="000000"/>
                <w:sz w:val="20"/>
                <w:szCs w:val="20"/>
                <w:lang w:val="hy-AM" w:eastAsia="en-US"/>
              </w:rPr>
            </w:pPr>
            <w:r w:rsidRPr="00A83C94">
              <w:rPr>
                <w:bCs/>
                <w:color w:val="000000"/>
                <w:sz w:val="20"/>
                <w:szCs w:val="20"/>
                <w:lang w:val="hy-AM" w:eastAsia="en-US"/>
              </w:rPr>
              <w:t>0.2</w:t>
            </w:r>
          </w:p>
        </w:tc>
        <w:tc>
          <w:tcPr>
            <w:tcW w:w="2409" w:type="dxa"/>
            <w:shd w:val="clear" w:color="auto" w:fill="D9E2F3"/>
          </w:tcPr>
          <w:p w14:paraId="7FEAAF27"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Ապահով գոտի՝ Z&gt;2.6,</w:t>
            </w:r>
          </w:p>
          <w:p w14:paraId="694E59D6"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Գորշ գոտի` 1.1&lt;Z&lt;2.6,</w:t>
            </w:r>
          </w:p>
          <w:p w14:paraId="7DD94B84" w14:textId="77777777" w:rsidR="000E76D9" w:rsidRPr="00A83C94" w:rsidRDefault="000E76D9" w:rsidP="000E76D9">
            <w:pPr>
              <w:spacing w:before="0" w:line="240" w:lineRule="auto"/>
              <w:ind w:firstLine="0"/>
              <w:contextualSpacing w:val="0"/>
              <w:rPr>
                <w:sz w:val="20"/>
                <w:szCs w:val="20"/>
                <w:lang w:val="hy-AM" w:eastAsia="en-US"/>
              </w:rPr>
            </w:pPr>
            <w:r w:rsidRPr="00A83C94">
              <w:rPr>
                <w:sz w:val="20"/>
                <w:szCs w:val="20"/>
                <w:lang w:val="hy-AM" w:eastAsia="en-US"/>
              </w:rPr>
              <w:t>Ծանր գոտի`Z&lt;1.1:</w:t>
            </w:r>
          </w:p>
        </w:tc>
      </w:tr>
    </w:tbl>
    <w:p w14:paraId="0669A6E7" w14:textId="77777777" w:rsidR="00682DEF" w:rsidRPr="00A83C94" w:rsidRDefault="00682DEF" w:rsidP="00682DEF">
      <w:pPr>
        <w:keepNext/>
        <w:spacing w:before="0" w:line="240" w:lineRule="auto"/>
        <w:ind w:firstLine="0"/>
        <w:contextualSpacing w:val="0"/>
        <w:rPr>
          <w:rFonts w:eastAsia="Calibri"/>
          <w:bCs/>
          <w:i/>
          <w:color w:val="4F81BD" w:themeColor="accent1"/>
          <w:sz w:val="20"/>
          <w:szCs w:val="20"/>
          <w:lang w:val="en-US" w:eastAsia="en-US"/>
        </w:rPr>
      </w:pPr>
    </w:p>
    <w:p w14:paraId="1E34A41E" w14:textId="77777777" w:rsidR="00682DEF" w:rsidRPr="00A83C94" w:rsidRDefault="00682DEF" w:rsidP="00682DEF">
      <w:pPr>
        <w:spacing w:before="0" w:line="276" w:lineRule="auto"/>
        <w:ind w:firstLine="0"/>
        <w:contextualSpacing w:val="0"/>
        <w:rPr>
          <w:color w:val="1F4E79"/>
          <w:sz w:val="24"/>
          <w:lang w:val="hy-AM"/>
        </w:rPr>
      </w:pPr>
    </w:p>
    <w:p w14:paraId="6488CF37"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Ինչպես երևում է աղյուսակից հաշվետու ժամանակաշրջանում սնանկացման կանխատեսման Ալթմանի Z-միավորը վկայում է Ընկերությունների ֆինանսական վիճակի վատթարացման բարձր հավանականության մասին (Z=0.2 գտնվում է սահմանված ծանր գոտում Z&lt;1.1):</w:t>
      </w:r>
    </w:p>
    <w:p w14:paraId="6F825349"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Ստուգաճշտող լրացուցիչ ֆինանսական վեց գործակիցներից երեքը չեն համապատասխանում միջազգային պրակտիկայում ընդունված թույլատրելի սահմանային նորմային և վկայում են ֆինանսական վիճակի վատթարացման բարձր հավանականության մասին:</w:t>
      </w:r>
    </w:p>
    <w:p w14:paraId="75C1FD58"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Զուտ շահույթի մարժան բնութագրում է բիզնեսի գործառնական արդյունավետությունը: Հաշվետու ժամանակաշրջանում նախորդ ժամանակաշրջանի նկատմամբ այս ցուցանիշը ցուցաբերել է նվազման դինամիկա և բավականին ցածր է պրակտիկայում կիրառ</w:t>
      </w:r>
      <w:r w:rsidRPr="00A83C94">
        <w:rPr>
          <w:b w:val="0"/>
          <w:szCs w:val="22"/>
          <w:lang w:val="hy-AM" w:eastAsia="en-US"/>
        </w:rPr>
        <w:softHyphen/>
        <w:t>վող նվազագույն նորմայից, ինչը պայմանավորված է արտարժութային տատանումներից կրած վնասներով:</w:t>
      </w:r>
    </w:p>
    <w:p w14:paraId="2E21137A" w14:textId="77777777" w:rsidR="00682DEF" w:rsidRPr="00A83C94" w:rsidRDefault="00682DEF" w:rsidP="00682DEF">
      <w:pPr>
        <w:spacing w:before="0" w:line="276" w:lineRule="auto"/>
        <w:ind w:right="20" w:firstLine="227"/>
        <w:contextualSpacing w:val="0"/>
        <w:rPr>
          <w:b w:val="0"/>
          <w:szCs w:val="22"/>
          <w:lang w:val="hy-AM" w:eastAsia="en-US"/>
        </w:rPr>
      </w:pPr>
      <w:r w:rsidRPr="00A83C94">
        <w:rPr>
          <w:b w:val="0"/>
          <w:szCs w:val="22"/>
          <w:lang w:val="hy-AM" w:eastAsia="en-US"/>
        </w:rPr>
        <w:t>Վերաֆինանսավորման գործակիցը հաշվետու ժամանակաշրջանում նախորդ ժամանակաշրջանի նկատմամբ ավելացել է 1.1 կետով և կազմել է 1.8, որը փաստում է, որ որոշ Ընկերու</w:t>
      </w:r>
      <w:r w:rsidRPr="00A83C94">
        <w:rPr>
          <w:b w:val="0"/>
          <w:szCs w:val="22"/>
          <w:lang w:val="hy-AM" w:eastAsia="en-US"/>
        </w:rPr>
        <w:softHyphen/>
        <w:t>թյուններ ի վիճակի են գործառնություններից ստացվող դրամական հոսքերի հաշվին կատարել իրենց ընթացիկ պարտավորությունները:</w:t>
      </w:r>
    </w:p>
    <w:p w14:paraId="45F5088F" w14:textId="77777777" w:rsidR="00682DEF" w:rsidRPr="00A83C94" w:rsidRDefault="00682DEF" w:rsidP="00682DEF">
      <w:pPr>
        <w:spacing w:before="0" w:line="276" w:lineRule="auto"/>
        <w:ind w:right="23" w:firstLine="227"/>
        <w:contextualSpacing w:val="0"/>
        <w:rPr>
          <w:b w:val="0"/>
          <w:szCs w:val="22"/>
          <w:lang w:val="hy-AM" w:eastAsia="en-US"/>
        </w:rPr>
      </w:pPr>
      <w:r w:rsidRPr="00A83C94">
        <w:rPr>
          <w:b w:val="0"/>
          <w:szCs w:val="22"/>
          <w:lang w:val="hy-AM" w:eastAsia="en-US"/>
        </w:rPr>
        <w:t>Հաշվի առնելով, որ հաշվետու ժամանակաշրջանում Ընկերությունների ֆինանսական ծանր վիճակի հավանականությունը գնահատող Z-միավորը վկայում է Ընկերու</w:t>
      </w:r>
      <w:r w:rsidRPr="00A83C94">
        <w:rPr>
          <w:b w:val="0"/>
          <w:szCs w:val="22"/>
          <w:lang w:val="hy-AM" w:eastAsia="en-US"/>
        </w:rPr>
        <w:softHyphen/>
        <w:t>թյունների ֆինանսական ծանր վիճակի հավանականության մասին (Z=0.2), իսկ լրացուցիչ վեց գործակիցներից երեքը չեն համապատասխանում միջազգային պրակտիկայում կիրառվող շեմային մակարդակին, հետևաբար Ընկերությունների ֆինանսական վիճակի վատթարացման հավանականությունը նշանակալի է, ինչը կարող է ֆիսկալ ռիսկերի նյութականացման պատճառ դառնալ, օրինակ ՀՀ պետական բյուջեից ընկերություններին չնախատեսված փոխառությունների տրամադրում և/կամ պետական բյուջեից ընկերություններին նախատեսված վարկային միջոցների օգտագործման դիմաց հաշվարկված տոկոսների չվճարում:</w:t>
      </w:r>
    </w:p>
    <w:p w14:paraId="64563C99" w14:textId="77777777" w:rsidR="00682DEF" w:rsidRPr="00A83C94" w:rsidRDefault="00682DEF" w:rsidP="00682DEF">
      <w:pPr>
        <w:spacing w:before="0" w:line="276" w:lineRule="auto"/>
        <w:ind w:firstLine="0"/>
        <w:contextualSpacing w:val="0"/>
        <w:jc w:val="center"/>
        <w:rPr>
          <w:szCs w:val="22"/>
          <w:lang w:val="hy-AM"/>
        </w:rPr>
      </w:pPr>
      <w:r w:rsidRPr="00A83C94">
        <w:rPr>
          <w:szCs w:val="22"/>
          <w:lang w:val="hy-AM"/>
        </w:rPr>
        <w:t>ՀԱՄԱՌՈՏ ԱԿՆԱՐԿ</w:t>
      </w:r>
    </w:p>
    <w:p w14:paraId="5B5FB3F0" w14:textId="77777777" w:rsidR="00682DEF" w:rsidRPr="00A83C94" w:rsidRDefault="00682DEF" w:rsidP="00682DEF">
      <w:pPr>
        <w:spacing w:before="0" w:line="276" w:lineRule="auto"/>
        <w:ind w:firstLine="426"/>
        <w:contextualSpacing w:val="0"/>
        <w:jc w:val="center"/>
        <w:rPr>
          <w:szCs w:val="22"/>
          <w:lang w:val="hy-AM"/>
        </w:rPr>
      </w:pPr>
      <w:r w:rsidRPr="00A83C94">
        <w:rPr>
          <w:szCs w:val="22"/>
          <w:lang w:val="hy-AM"/>
        </w:rPr>
        <w:t>ՍՊԵՑԻՖԻԿ ՖԻՍԿԱԼ ՌԻՍԿԵՐԻ ՀԱՄԱՊԱՐՓԱԿ ՇՐՋԱՆԱԿԻ ՎԵՐԱԲԵՐՅԱԼ</w:t>
      </w:r>
    </w:p>
    <w:p w14:paraId="0186EFC8" w14:textId="77777777" w:rsidR="00682DEF" w:rsidRPr="00A83C94" w:rsidRDefault="00682DEF" w:rsidP="00682DEF">
      <w:pPr>
        <w:shd w:val="clear" w:color="auto" w:fill="FFFFFF"/>
        <w:spacing w:before="0" w:line="276" w:lineRule="auto"/>
        <w:ind w:right="20" w:firstLine="450"/>
        <w:contextualSpacing w:val="0"/>
        <w:rPr>
          <w:b w:val="0"/>
          <w:color w:val="000000"/>
          <w:szCs w:val="22"/>
          <w:lang w:val="hy-AM"/>
        </w:rPr>
      </w:pPr>
      <w:r w:rsidRPr="00A83C94">
        <w:rPr>
          <w:b w:val="0"/>
          <w:color w:val="000000"/>
          <w:szCs w:val="22"/>
          <w:lang w:val="hy-AM"/>
        </w:rPr>
        <w:t>Սպեցիֆիկ ֆիսկալ ռիսկերն առաջանում են պայմանական պարտավորությունների կամ այլ անորոշ իրադարձությունների նյութականացման արդյունքում: Այդ իրադարձություններից յուրաքանչյուրը կարող է ենթադրել անհապաղ և/կամ շարունակական ծախսեր՝ պայմանավորված կառավարության բացահայտ պարտավորություններով (պարտավորություններ, որոնք ունեն իրավական կամ պայմանագրային հիմք) կամ թաքնված պարտավորություններով, որոնք սահմանված չեն որևէ օրենքով կամ պայմանագրով:</w:t>
      </w:r>
    </w:p>
    <w:p w14:paraId="30A98D38" w14:textId="77777777" w:rsidR="00682DEF" w:rsidRPr="00A83C94" w:rsidRDefault="00682DEF" w:rsidP="00682DEF">
      <w:pPr>
        <w:shd w:val="clear" w:color="auto" w:fill="FFFFFF"/>
        <w:spacing w:before="0" w:line="276" w:lineRule="auto"/>
        <w:ind w:right="20" w:firstLine="450"/>
        <w:contextualSpacing w:val="0"/>
        <w:rPr>
          <w:b w:val="0"/>
          <w:color w:val="000000"/>
          <w:szCs w:val="22"/>
          <w:lang w:val="hy-AM"/>
        </w:rPr>
      </w:pPr>
      <w:r w:rsidRPr="00A83C94">
        <w:rPr>
          <w:b w:val="0"/>
          <w:color w:val="000000"/>
          <w:szCs w:val="22"/>
          <w:lang w:val="hy-AM"/>
        </w:rPr>
        <w:t>Ստորև կատարված ուսումնասիրությունն արտացոլում է սպեցիֆիկ ֆիսկալ ռիսկերի ընդգրկուն շրջանակը, որի համար հիմք է հանդիսացել ԱԶԲ-ի հետ համատեղ մշակված ֆիսկալ ռիսկերի կառավարման բարելավման 2019-2023 թվականների ճանապարհային քարտեզը:</w:t>
      </w:r>
    </w:p>
    <w:p w14:paraId="739B74B5" w14:textId="77777777" w:rsidR="00682DEF" w:rsidRPr="00A83C94" w:rsidRDefault="00682DEF" w:rsidP="00682DEF">
      <w:pPr>
        <w:shd w:val="clear" w:color="auto" w:fill="FFFFFF"/>
        <w:spacing w:before="0" w:line="276" w:lineRule="auto"/>
        <w:ind w:right="20" w:firstLine="450"/>
        <w:contextualSpacing w:val="0"/>
        <w:rPr>
          <w:b w:val="0"/>
          <w:color w:val="000000"/>
          <w:szCs w:val="22"/>
          <w:lang w:val="hy-AM"/>
        </w:rPr>
      </w:pPr>
    </w:p>
    <w:p w14:paraId="2DD94784" w14:textId="77777777" w:rsidR="00682DEF" w:rsidRPr="00A83C94" w:rsidRDefault="00682DEF" w:rsidP="00CD3E9D">
      <w:pPr>
        <w:spacing w:before="0" w:line="276" w:lineRule="auto"/>
        <w:ind w:firstLine="230"/>
        <w:contextualSpacing w:val="0"/>
        <w:jc w:val="center"/>
        <w:rPr>
          <w:color w:val="000000"/>
          <w:szCs w:val="22"/>
          <w:lang w:val="hy-AM"/>
        </w:rPr>
      </w:pPr>
      <w:r w:rsidRPr="00A83C94">
        <w:rPr>
          <w:color w:val="000000"/>
          <w:szCs w:val="22"/>
          <w:lang w:val="hy-AM"/>
        </w:rPr>
        <w:t>Պետություն-մասնավոր գործընկերության (ՊՄԳ) ձևաչափով գործող պայմանագրերից բխող պայմանական պարտավորությունների վերլուծություն</w:t>
      </w:r>
    </w:p>
    <w:p w14:paraId="039969A6"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Վերլուծության են ենթարկվել ստորև ներկայացված ՊՄԳ ձևաչափով գործող թվով երեք ընկերությունների պայմանագրերը, ինչպես նաև էլեկտրաէներգիայի գնման երեք խոշոր պայմանագրերը (որոնք նույնպես հանդիսանում են պայմանական պարտավորությունների աղբյուր, քանի որ պարունակում են երաշխավորած գնման պայմաններ): </w:t>
      </w:r>
    </w:p>
    <w:p w14:paraId="2F76BEDA"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Ստորև ներկայացվում է նշված 6 ընկերությունների վերաբերյալ ամփոփ տեղեկատվություն:</w:t>
      </w:r>
    </w:p>
    <w:p w14:paraId="798477D9" w14:textId="77777777" w:rsidR="00682DEF" w:rsidRPr="00A83C94" w:rsidRDefault="00682DEF" w:rsidP="00682DEF">
      <w:pPr>
        <w:spacing w:before="0" w:line="240" w:lineRule="auto"/>
        <w:ind w:firstLine="0"/>
        <w:contextualSpacing w:val="0"/>
        <w:jc w:val="left"/>
        <w:rPr>
          <w:b w:val="0"/>
          <w:color w:val="000000"/>
          <w:szCs w:val="22"/>
          <w:lang w:val="hy-AM"/>
        </w:rPr>
      </w:pPr>
    </w:p>
    <w:p w14:paraId="69F6CB0C" w14:textId="4868BBF8" w:rsidR="00682DEF" w:rsidRPr="00A83C94" w:rsidRDefault="00682DEF" w:rsidP="00682DEF">
      <w:pPr>
        <w:keepNext/>
        <w:spacing w:before="0" w:after="200" w:line="240" w:lineRule="auto"/>
        <w:ind w:firstLine="0"/>
        <w:contextualSpacing w:val="0"/>
        <w:jc w:val="left"/>
        <w:rPr>
          <w:rFonts w:eastAsia="Calibri"/>
          <w:bCs/>
          <w:i/>
          <w:color w:val="4F81BD" w:themeColor="accent1"/>
          <w:sz w:val="20"/>
          <w:szCs w:val="20"/>
          <w:lang w:val="hy-AM" w:eastAsia="en-US"/>
        </w:rPr>
      </w:pPr>
      <w:r w:rsidRPr="00A83C94">
        <w:rPr>
          <w:rFonts w:eastAsia="Calibri"/>
          <w:b w:val="0"/>
          <w:bCs/>
          <w:color w:val="4F81BD" w:themeColor="accent1"/>
          <w:sz w:val="18"/>
          <w:szCs w:val="18"/>
          <w:lang w:val="hy-AM" w:eastAsia="en-US"/>
        </w:rPr>
        <w:t xml:space="preserve">Աղյուսակ </w:t>
      </w:r>
      <w:r w:rsidR="006C390E" w:rsidRPr="006C390E">
        <w:rPr>
          <w:rFonts w:eastAsia="Calibri"/>
          <w:b w:val="0"/>
          <w:bCs/>
          <w:color w:val="4F81BD" w:themeColor="accent1"/>
          <w:sz w:val="18"/>
          <w:szCs w:val="18"/>
          <w:lang w:val="hy-AM" w:eastAsia="en-US"/>
        </w:rPr>
        <w:t>9</w:t>
      </w:r>
      <w:r w:rsidRPr="00A83C94">
        <w:rPr>
          <w:rFonts w:eastAsia="Calibri"/>
          <w:bCs/>
          <w:i/>
          <w:color w:val="4F81BD" w:themeColor="accent1"/>
          <w:sz w:val="20"/>
          <w:szCs w:val="20"/>
          <w:lang w:val="hy-AM" w:eastAsia="en-US"/>
        </w:rPr>
        <w:t xml:space="preserve"> Գործող ՊՄԳ և ԷԳՊ պայմանագրերը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6"/>
        <w:gridCol w:w="2166"/>
        <w:gridCol w:w="1144"/>
        <w:gridCol w:w="945"/>
        <w:gridCol w:w="2525"/>
      </w:tblGrid>
      <w:tr w:rsidR="001A2CC1" w:rsidRPr="00564083" w14:paraId="1D9D5F89" w14:textId="77777777" w:rsidTr="001A2CC1">
        <w:trPr>
          <w:trHeight w:val="1175"/>
        </w:trPr>
        <w:tc>
          <w:tcPr>
            <w:tcW w:w="2966" w:type="dxa"/>
            <w:shd w:val="clear" w:color="auto" w:fill="548DD4" w:themeFill="text2" w:themeFillTint="99"/>
          </w:tcPr>
          <w:p w14:paraId="3BD87815" w14:textId="335E81F4"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Անվանում</w:t>
            </w:r>
          </w:p>
        </w:tc>
        <w:tc>
          <w:tcPr>
            <w:tcW w:w="2166" w:type="dxa"/>
            <w:shd w:val="clear" w:color="auto" w:fill="548DD4" w:themeFill="text2" w:themeFillTint="99"/>
          </w:tcPr>
          <w:p w14:paraId="7A83869B" w14:textId="277936D0"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Ոլորտ</w:t>
            </w:r>
          </w:p>
        </w:tc>
        <w:tc>
          <w:tcPr>
            <w:tcW w:w="1144" w:type="dxa"/>
            <w:shd w:val="clear" w:color="auto" w:fill="548DD4" w:themeFill="text2" w:themeFillTint="99"/>
          </w:tcPr>
          <w:p w14:paraId="22CFE55E" w14:textId="429A74E0"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Սկիզբ</w:t>
            </w:r>
          </w:p>
        </w:tc>
        <w:tc>
          <w:tcPr>
            <w:tcW w:w="945" w:type="dxa"/>
            <w:shd w:val="clear" w:color="auto" w:fill="548DD4" w:themeFill="text2" w:themeFillTint="99"/>
          </w:tcPr>
          <w:p w14:paraId="1C9F00C5" w14:textId="3ABAA550"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Ավարտ</w:t>
            </w:r>
          </w:p>
        </w:tc>
        <w:tc>
          <w:tcPr>
            <w:tcW w:w="2525" w:type="dxa"/>
            <w:shd w:val="clear" w:color="auto" w:fill="548DD4" w:themeFill="text2" w:themeFillTint="99"/>
          </w:tcPr>
          <w:p w14:paraId="1AED5332" w14:textId="250E0956" w:rsidR="001A2CC1" w:rsidRPr="001A2CC1" w:rsidRDefault="001A2CC1" w:rsidP="001A2CC1">
            <w:pPr>
              <w:spacing w:before="0" w:line="240" w:lineRule="auto"/>
              <w:ind w:firstLine="0"/>
              <w:contextualSpacing w:val="0"/>
              <w:jc w:val="center"/>
              <w:rPr>
                <w:bCs/>
                <w:color w:val="FFFFFF" w:themeColor="background1"/>
                <w:sz w:val="20"/>
                <w:szCs w:val="20"/>
                <w:lang w:val="hy-AM" w:eastAsia="en-US"/>
              </w:rPr>
            </w:pPr>
            <w:r w:rsidRPr="001A2CC1">
              <w:rPr>
                <w:color w:val="FFFFFF" w:themeColor="background1"/>
                <w:sz w:val="20"/>
                <w:szCs w:val="20"/>
                <w:lang w:val="hy-AM" w:eastAsia="en-US"/>
              </w:rPr>
              <w:t>Պայմանական պարտավորությունների հարկաբյուջետային ռիսկի կարգավիճակը</w:t>
            </w:r>
          </w:p>
        </w:tc>
      </w:tr>
      <w:tr w:rsidR="001A2CC1" w:rsidRPr="00A83C94" w14:paraId="60DEFE78" w14:textId="77777777" w:rsidTr="001A2CC1">
        <w:trPr>
          <w:trHeight w:val="457"/>
        </w:trPr>
        <w:tc>
          <w:tcPr>
            <w:tcW w:w="2966" w:type="dxa"/>
            <w:vAlign w:val="center"/>
          </w:tcPr>
          <w:p w14:paraId="3966D15A"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«Հարավկովկասյան երկաթուղի» ՓԲԸ</w:t>
            </w:r>
          </w:p>
        </w:tc>
        <w:tc>
          <w:tcPr>
            <w:tcW w:w="2166" w:type="dxa"/>
            <w:vAlign w:val="center"/>
          </w:tcPr>
          <w:p w14:paraId="387A479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 xml:space="preserve">Տրանսպորտ </w:t>
            </w:r>
          </w:p>
        </w:tc>
        <w:tc>
          <w:tcPr>
            <w:tcW w:w="1144" w:type="dxa"/>
            <w:vAlign w:val="center"/>
          </w:tcPr>
          <w:p w14:paraId="4618E97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2008թ.</w:t>
            </w:r>
          </w:p>
        </w:tc>
        <w:tc>
          <w:tcPr>
            <w:tcW w:w="945" w:type="dxa"/>
            <w:vAlign w:val="center"/>
          </w:tcPr>
          <w:p w14:paraId="44C10E89"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2038թ.</w:t>
            </w:r>
          </w:p>
        </w:tc>
        <w:tc>
          <w:tcPr>
            <w:tcW w:w="2525" w:type="dxa"/>
            <w:vAlign w:val="center"/>
          </w:tcPr>
          <w:p w14:paraId="3D57803A"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6210CF5C" w14:textId="77777777" w:rsidTr="001A2CC1">
        <w:trPr>
          <w:trHeight w:val="531"/>
        </w:trPr>
        <w:tc>
          <w:tcPr>
            <w:tcW w:w="2966" w:type="dxa"/>
            <w:shd w:val="clear" w:color="auto" w:fill="D9E2F3"/>
            <w:vAlign w:val="center"/>
          </w:tcPr>
          <w:p w14:paraId="65D533C8"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«Վեոլիա Ջուր» ՓԲԸ</w:t>
            </w:r>
          </w:p>
        </w:tc>
        <w:tc>
          <w:tcPr>
            <w:tcW w:w="2166" w:type="dxa"/>
            <w:shd w:val="clear" w:color="auto" w:fill="D9E2F3"/>
            <w:vAlign w:val="center"/>
          </w:tcPr>
          <w:p w14:paraId="3F3078F7"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Ջրամատակարարում և կեղտաջրերի հեռացում</w:t>
            </w:r>
          </w:p>
        </w:tc>
        <w:tc>
          <w:tcPr>
            <w:tcW w:w="1144" w:type="dxa"/>
            <w:shd w:val="clear" w:color="auto" w:fill="D9E2F3"/>
            <w:vAlign w:val="center"/>
          </w:tcPr>
          <w:p w14:paraId="419D787E"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2016թ.</w:t>
            </w:r>
          </w:p>
        </w:tc>
        <w:tc>
          <w:tcPr>
            <w:tcW w:w="945" w:type="dxa"/>
            <w:shd w:val="clear" w:color="auto" w:fill="D9E2F3"/>
            <w:vAlign w:val="center"/>
          </w:tcPr>
          <w:p w14:paraId="51244EAB"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2031թ.</w:t>
            </w:r>
          </w:p>
        </w:tc>
        <w:tc>
          <w:tcPr>
            <w:tcW w:w="2525" w:type="dxa"/>
            <w:shd w:val="clear" w:color="auto" w:fill="D9E2F3"/>
            <w:vAlign w:val="center"/>
          </w:tcPr>
          <w:p w14:paraId="78EAC83D"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3177D67D" w14:textId="77777777" w:rsidTr="001A2CC1">
        <w:trPr>
          <w:trHeight w:val="244"/>
        </w:trPr>
        <w:tc>
          <w:tcPr>
            <w:tcW w:w="2966" w:type="dxa"/>
            <w:vAlign w:val="center"/>
          </w:tcPr>
          <w:p w14:paraId="39EFD85C"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«Արմենիա միջազգային օդանավակայաններ» ՓԲԸ</w:t>
            </w:r>
          </w:p>
        </w:tc>
        <w:tc>
          <w:tcPr>
            <w:tcW w:w="2166" w:type="dxa"/>
            <w:vAlign w:val="center"/>
          </w:tcPr>
          <w:p w14:paraId="414C1664"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Տրանսպորտ</w:t>
            </w:r>
          </w:p>
        </w:tc>
        <w:tc>
          <w:tcPr>
            <w:tcW w:w="1144" w:type="dxa"/>
            <w:vAlign w:val="center"/>
          </w:tcPr>
          <w:p w14:paraId="1F03D36C"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2002թ.</w:t>
            </w:r>
          </w:p>
        </w:tc>
        <w:tc>
          <w:tcPr>
            <w:tcW w:w="945" w:type="dxa"/>
            <w:vAlign w:val="center"/>
          </w:tcPr>
          <w:p w14:paraId="70D2889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2032թ.</w:t>
            </w:r>
          </w:p>
        </w:tc>
        <w:tc>
          <w:tcPr>
            <w:tcW w:w="2525" w:type="dxa"/>
            <w:vAlign w:val="center"/>
          </w:tcPr>
          <w:p w14:paraId="57CEBEBA"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7E8E5012" w14:textId="77777777" w:rsidTr="001A2CC1">
        <w:trPr>
          <w:trHeight w:val="791"/>
        </w:trPr>
        <w:tc>
          <w:tcPr>
            <w:tcW w:w="2966" w:type="dxa"/>
            <w:shd w:val="clear" w:color="auto" w:fill="D9E2F3"/>
            <w:vAlign w:val="center"/>
          </w:tcPr>
          <w:p w14:paraId="5D6C48FC"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«Քոնթուր Գլոբալ հիդրո կասկադ» ՓԲԸ (Որոտան ՀԷԿ), ԷԳՊ</w:t>
            </w:r>
          </w:p>
        </w:tc>
        <w:tc>
          <w:tcPr>
            <w:tcW w:w="2166" w:type="dxa"/>
            <w:shd w:val="clear" w:color="auto" w:fill="D9E2F3"/>
            <w:vAlign w:val="center"/>
          </w:tcPr>
          <w:p w14:paraId="1E38C1A4"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Էներգետիկա</w:t>
            </w:r>
          </w:p>
        </w:tc>
        <w:tc>
          <w:tcPr>
            <w:tcW w:w="1144" w:type="dxa"/>
            <w:shd w:val="clear" w:color="auto" w:fill="D9E2F3"/>
            <w:vAlign w:val="center"/>
          </w:tcPr>
          <w:p w14:paraId="02697F1B"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2016թ.*</w:t>
            </w:r>
          </w:p>
        </w:tc>
        <w:tc>
          <w:tcPr>
            <w:tcW w:w="945" w:type="dxa"/>
            <w:shd w:val="clear" w:color="auto" w:fill="D9E2F3"/>
            <w:vAlign w:val="center"/>
          </w:tcPr>
          <w:p w14:paraId="243DF013"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2038թ.</w:t>
            </w:r>
          </w:p>
        </w:tc>
        <w:tc>
          <w:tcPr>
            <w:tcW w:w="2525" w:type="dxa"/>
            <w:shd w:val="clear" w:color="auto" w:fill="D9E2F3"/>
            <w:vAlign w:val="center"/>
          </w:tcPr>
          <w:p w14:paraId="772FC465"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Նշանակալի</w:t>
            </w:r>
          </w:p>
        </w:tc>
      </w:tr>
      <w:tr w:rsidR="001A2CC1" w:rsidRPr="00A83C94" w14:paraId="158D1DED" w14:textId="77777777" w:rsidTr="001A2CC1">
        <w:trPr>
          <w:trHeight w:val="415"/>
        </w:trPr>
        <w:tc>
          <w:tcPr>
            <w:tcW w:w="2966" w:type="dxa"/>
            <w:vAlign w:val="center"/>
          </w:tcPr>
          <w:p w14:paraId="34A2CCA2"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«Արմփաուեր» ՓԲԸ, ԷԳՊ</w:t>
            </w:r>
          </w:p>
        </w:tc>
        <w:tc>
          <w:tcPr>
            <w:tcW w:w="2166" w:type="dxa"/>
            <w:vAlign w:val="center"/>
          </w:tcPr>
          <w:p w14:paraId="649133B3"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Էներգետիկա</w:t>
            </w:r>
          </w:p>
        </w:tc>
        <w:tc>
          <w:tcPr>
            <w:tcW w:w="1144" w:type="dxa"/>
            <w:vAlign w:val="center"/>
          </w:tcPr>
          <w:p w14:paraId="3179337E"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2019թ.*</w:t>
            </w:r>
          </w:p>
        </w:tc>
        <w:tc>
          <w:tcPr>
            <w:tcW w:w="945" w:type="dxa"/>
            <w:vAlign w:val="center"/>
          </w:tcPr>
          <w:p w14:paraId="11B93DF8"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2041թ.</w:t>
            </w:r>
          </w:p>
        </w:tc>
        <w:tc>
          <w:tcPr>
            <w:tcW w:w="2525" w:type="dxa"/>
            <w:vAlign w:val="center"/>
          </w:tcPr>
          <w:p w14:paraId="0A8B1ABB"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Միջին</w:t>
            </w:r>
          </w:p>
        </w:tc>
      </w:tr>
      <w:tr w:rsidR="001A2CC1" w:rsidRPr="00A83C94" w14:paraId="28DA5992" w14:textId="77777777" w:rsidTr="001A2CC1">
        <w:trPr>
          <w:trHeight w:val="647"/>
        </w:trPr>
        <w:tc>
          <w:tcPr>
            <w:tcW w:w="2966" w:type="dxa"/>
            <w:shd w:val="clear" w:color="auto" w:fill="D9E2F3"/>
            <w:vAlign w:val="center"/>
          </w:tcPr>
          <w:p w14:paraId="61C1C418" w14:textId="77777777" w:rsidR="001A2CC1" w:rsidRPr="00A83C94" w:rsidRDefault="001A2CC1" w:rsidP="001A2CC1">
            <w:pPr>
              <w:spacing w:before="0" w:line="240" w:lineRule="auto"/>
              <w:ind w:firstLine="0"/>
              <w:contextualSpacing w:val="0"/>
              <w:jc w:val="left"/>
              <w:rPr>
                <w:bCs/>
                <w:sz w:val="18"/>
                <w:szCs w:val="18"/>
                <w:lang w:val="hy-AM" w:eastAsia="en-US"/>
              </w:rPr>
            </w:pPr>
            <w:r w:rsidRPr="00A83C94">
              <w:rPr>
                <w:sz w:val="18"/>
                <w:szCs w:val="18"/>
                <w:lang w:val="hy-AM" w:eastAsia="en-US"/>
              </w:rPr>
              <w:t>«Էֆարվի Մասրիկ» ՓԲԸ, Մասրիկ-1 արևային ֆոտովոլտային էլեկտրակայան, ԷԳՊ</w:t>
            </w:r>
          </w:p>
        </w:tc>
        <w:tc>
          <w:tcPr>
            <w:tcW w:w="2166" w:type="dxa"/>
            <w:shd w:val="clear" w:color="auto" w:fill="D9E2F3"/>
            <w:vAlign w:val="center"/>
          </w:tcPr>
          <w:p w14:paraId="618CB2FF"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Էներգետիկա</w:t>
            </w:r>
          </w:p>
        </w:tc>
        <w:tc>
          <w:tcPr>
            <w:tcW w:w="1144" w:type="dxa"/>
            <w:shd w:val="clear" w:color="auto" w:fill="D9E2F3"/>
            <w:vAlign w:val="center"/>
          </w:tcPr>
          <w:p w14:paraId="6DBBB827"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2021թ.*</w:t>
            </w:r>
          </w:p>
        </w:tc>
        <w:tc>
          <w:tcPr>
            <w:tcW w:w="945" w:type="dxa"/>
            <w:shd w:val="clear" w:color="auto" w:fill="D9E2F3"/>
            <w:vAlign w:val="center"/>
          </w:tcPr>
          <w:p w14:paraId="55949000"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2041թ.</w:t>
            </w:r>
          </w:p>
        </w:tc>
        <w:tc>
          <w:tcPr>
            <w:tcW w:w="2525" w:type="dxa"/>
            <w:shd w:val="clear" w:color="auto" w:fill="D9E2F3"/>
            <w:vAlign w:val="center"/>
          </w:tcPr>
          <w:p w14:paraId="3F653621" w14:textId="77777777" w:rsidR="001A2CC1" w:rsidRPr="00A83C94" w:rsidRDefault="001A2CC1" w:rsidP="001A2CC1">
            <w:pPr>
              <w:spacing w:before="0" w:line="240" w:lineRule="auto"/>
              <w:ind w:firstLine="0"/>
              <w:contextualSpacing w:val="0"/>
              <w:jc w:val="center"/>
              <w:rPr>
                <w:sz w:val="18"/>
                <w:szCs w:val="18"/>
                <w:lang w:val="hy-AM" w:eastAsia="en-US"/>
              </w:rPr>
            </w:pPr>
            <w:r w:rsidRPr="00A83C94">
              <w:rPr>
                <w:sz w:val="18"/>
                <w:szCs w:val="18"/>
                <w:lang w:val="hy-AM" w:eastAsia="en-US"/>
              </w:rPr>
              <w:t>Միջին</w:t>
            </w:r>
          </w:p>
        </w:tc>
      </w:tr>
    </w:tbl>
    <w:p w14:paraId="5BAAF7C0" w14:textId="77777777" w:rsidR="00682DEF" w:rsidRPr="00A83C94" w:rsidRDefault="00682DEF" w:rsidP="00682DEF">
      <w:pPr>
        <w:spacing w:before="0" w:line="240" w:lineRule="auto"/>
        <w:ind w:firstLine="0"/>
        <w:contextualSpacing w:val="0"/>
        <w:rPr>
          <w:rFonts w:eastAsia="Calibri"/>
          <w:b w:val="0"/>
          <w:sz w:val="16"/>
          <w:szCs w:val="16"/>
          <w:lang w:val="hy-AM" w:eastAsia="en-US"/>
        </w:rPr>
      </w:pPr>
      <w:r w:rsidRPr="00A83C94">
        <w:rPr>
          <w:rFonts w:eastAsia="Calibri"/>
          <w:b w:val="0"/>
          <w:sz w:val="16"/>
          <w:szCs w:val="16"/>
          <w:lang w:eastAsia="en-US"/>
        </w:rPr>
        <w:t xml:space="preserve">     </w:t>
      </w:r>
      <w:r w:rsidRPr="00A83C94">
        <w:rPr>
          <w:rFonts w:eastAsia="Calibri"/>
          <w:b w:val="0"/>
          <w:sz w:val="16"/>
          <w:szCs w:val="16"/>
          <w:lang w:val="hy-AM" w:eastAsia="en-US"/>
        </w:rPr>
        <w:t>*գործարքի ֆինանսական պայմանների բավարարման տարի. ԷԳՊ պայմանագրերի փաստացի տևողությունը կազմում է մինչև 25 տարի՝ սկսած ստորագրման տարվանից:</w:t>
      </w:r>
    </w:p>
    <w:p w14:paraId="48EF660E" w14:textId="77777777" w:rsidR="00682DEF" w:rsidRPr="00A83C94" w:rsidRDefault="00682DEF" w:rsidP="00682DEF">
      <w:pPr>
        <w:spacing w:before="0" w:line="240" w:lineRule="auto"/>
        <w:ind w:firstLine="0"/>
        <w:contextualSpacing w:val="0"/>
        <w:rPr>
          <w:rFonts w:eastAsia="Calibri"/>
          <w:b w:val="0"/>
          <w:sz w:val="16"/>
          <w:szCs w:val="16"/>
          <w:lang w:val="hy-AM" w:eastAsia="en-US"/>
        </w:rPr>
      </w:pPr>
    </w:p>
    <w:p w14:paraId="232AF0BE"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ՊՄԳ պայմանագրերի վերլուծության արդյունքում նյութականացման ռիսկի աստիճանը հիմնականում նշանակալի է համարվել ՊՄԳ բոլոր պայմանագրերի համար, հաշվի առնելով, որ ճգնաժամը տարբեր ազդեցություններ է ունենում ընկերությունների դրամական հոսքերի վրա, ինչն իր հերթին մեծացնում է պայմանագրի վերաբանակցման (պայմանագրերում անհաղթահարելի ուժի ազդեցության և տնտեսական հավասարակշռության վերաբերյալ դրույթների հետևանքով) կամ պայմանագրի վաղաժամ դադարեցման (ԷԳՊ դեպքում՝ վաղաժամ հետ գնման) ռիսկերը։ Իսկ շինարարության փուլում գտնվող ծրագրերի («Արմփաուեր» ՓԲԸ և «Էֆարվի Մասրիկ» ՓԲԸ) պարագայում ճգնաժամը հանգեցրել է էական ուշացումների, ինչն իր հերթին կարող է բարձրացնել էական գերածախսեր ունենալու ռիսկը: </w:t>
      </w:r>
    </w:p>
    <w:p w14:paraId="416271B4"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bookmarkStart w:id="367" w:name="_Toc59655558"/>
      <w:r w:rsidRPr="00A83C94">
        <w:rPr>
          <w:rFonts w:eastAsia="Calibri"/>
          <w:color w:val="000000"/>
          <w:szCs w:val="22"/>
          <w:lang w:val="hy-AM" w:eastAsia="en-US"/>
        </w:rPr>
        <w:t>«Հարավկովկասյան երկաթուղի» ՓԲԸ</w:t>
      </w:r>
      <w:bookmarkEnd w:id="367"/>
    </w:p>
    <w:p w14:paraId="78B0E792"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ՀՀ կառավարության 07.02.2008թ. N83-Ա որոշման հիման վրա Հայաստանի Հանրապետության, «Հարավկովկասյան երկաթուղի» ՓԲԸ-ի և «Ռուսական երկաթուղիներ» ԲԲԸ-ի միջև 13.02.2008թ. կնքվել է «Հայկական երկաթուղու համակարգը «Ռուսական երկաթուղիներ» ԲԲԸ կողմից ստեղծված «Հարավկովկասյան երկաթուղի» ՓԲԸ փոխանցելու մասին» կոնցեսիոն պայմանագիրը:</w:t>
      </w:r>
    </w:p>
    <w:p w14:paraId="35B0BC6F"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Ծառայությունների ծավալները և երթուղիները համաձայնեցվում են յուրաքանչյուր տարի՝ հաջորդող տարվա համար, հետևաբար պայմանագրի ֆինանսական տարբեր բաղադրիչների ապագա մակարդակները բարդ է կանխատեսել:</w:t>
      </w:r>
    </w:p>
    <w:p w14:paraId="5839B37B"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Կոնցեսիոն պայմանագիրը ներառում է վնասի սուբսիդավորում ուղևորափոխադրման ոչ շահութաբեր ուղղությունների համար, ինչն էլ նյութականացել է յուրաքանչյուր տարի: Սակայն, ըստ պայմանագրի, վճարման ենթակա գումարների առավելագույն չափը սահմանափակվում է կոնցեսիոների կողմից վճարման ենթակա տարեկան կոնցեսիոն վճարի չափով: Համաձայն առկա պատմական տեղեկատվության, կոնցեսիոն պայմանագրի սկզբից ի վեր որևէ այլ պայմանական պարտավորության նյութականացում տեղի չի ունեցել։ </w:t>
      </w:r>
    </w:p>
    <w:p w14:paraId="38A768A0"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Կոնցեսիոն պայմանագիրը նախատեսում է նաև փոխհատուցումներ մի շարք դեպքերում, որոնց նյութականացման ռիսկի հավանականությունն ավելանում է՝ պայմանավորված համավարակի հետ կապված ճգնաժամով։ Այդպիսի դեպքերից են՝</w:t>
      </w:r>
    </w:p>
    <w:p w14:paraId="09658E08" w14:textId="77777777" w:rsidR="00682DEF" w:rsidRPr="00A83C94" w:rsidRDefault="00682DEF" w:rsidP="00682DEF">
      <w:pPr>
        <w:numPr>
          <w:ilvl w:val="0"/>
          <w:numId w:val="59"/>
        </w:numPr>
        <w:spacing w:before="0" w:after="60" w:line="276" w:lineRule="auto"/>
        <w:ind w:left="187" w:firstLine="263"/>
        <w:contextualSpacing w:val="0"/>
        <w:jc w:val="left"/>
        <w:rPr>
          <w:rFonts w:eastAsia="Calibri"/>
          <w:color w:val="000000"/>
          <w:szCs w:val="22"/>
          <w:lang w:val="hy-AM" w:eastAsia="en-US"/>
        </w:rPr>
      </w:pPr>
      <w:r w:rsidRPr="00A83C94">
        <w:rPr>
          <w:rFonts w:eastAsia="Calibri" w:cs="Sylfaen"/>
          <w:b w:val="0"/>
          <w:color w:val="000000"/>
          <w:szCs w:val="22"/>
          <w:lang w:val="hy-AM" w:eastAsia="en-US"/>
        </w:rPr>
        <w:t>Օրենսդրության</w:t>
      </w:r>
      <w:r w:rsidRPr="00A83C94">
        <w:rPr>
          <w:rFonts w:eastAsia="Calibri"/>
          <w:b w:val="0"/>
          <w:color w:val="000000"/>
          <w:szCs w:val="22"/>
          <w:lang w:val="hy-AM" w:eastAsia="en-US"/>
        </w:rPr>
        <w:t xml:space="preserve"> անբարենպաստ փոփոխություն,</w:t>
      </w:r>
    </w:p>
    <w:p w14:paraId="18067C76" w14:textId="77777777" w:rsidR="00682DEF" w:rsidRPr="00A83C94" w:rsidRDefault="00682DEF" w:rsidP="00682DEF">
      <w:pPr>
        <w:numPr>
          <w:ilvl w:val="0"/>
          <w:numId w:val="59"/>
        </w:numPr>
        <w:spacing w:before="0" w:after="60" w:line="276" w:lineRule="auto"/>
        <w:ind w:left="187" w:firstLine="263"/>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Անհաղթահարելի</w:t>
      </w:r>
      <w:r w:rsidRPr="00A83C94">
        <w:rPr>
          <w:rFonts w:eastAsia="Calibri"/>
          <w:b w:val="0"/>
          <w:color w:val="000000"/>
          <w:szCs w:val="22"/>
          <w:lang w:val="hy-AM" w:eastAsia="en-US"/>
        </w:rPr>
        <w:t xml:space="preserve"> ուժի ազդեցության մեղմման ծախսեր,</w:t>
      </w:r>
    </w:p>
    <w:p w14:paraId="4BE16D25" w14:textId="77777777" w:rsidR="00682DEF" w:rsidRPr="00A83C94" w:rsidRDefault="00682DEF" w:rsidP="001A2CC1">
      <w:pPr>
        <w:numPr>
          <w:ilvl w:val="0"/>
          <w:numId w:val="59"/>
        </w:numPr>
        <w:spacing w:before="0" w:after="60" w:line="276" w:lineRule="auto"/>
        <w:ind w:left="0" w:firstLine="450"/>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Անհաղթահարելի</w:t>
      </w:r>
      <w:r w:rsidRPr="00A83C94">
        <w:rPr>
          <w:rFonts w:eastAsia="Calibri"/>
          <w:b w:val="0"/>
          <w:color w:val="000000"/>
          <w:szCs w:val="22"/>
          <w:lang w:val="hy-AM" w:eastAsia="en-US"/>
        </w:rPr>
        <w:t xml:space="preserve"> ուժի ազդեցության հետևանքով պայմանագրի վաղաժամ դադարեցման հետ կապված վճարումներ,</w:t>
      </w:r>
    </w:p>
    <w:p w14:paraId="2224F9B6" w14:textId="77777777" w:rsidR="00682DEF" w:rsidRPr="00A83C94" w:rsidRDefault="00682DEF" w:rsidP="001A2CC1">
      <w:pPr>
        <w:numPr>
          <w:ilvl w:val="0"/>
          <w:numId w:val="59"/>
        </w:numPr>
        <w:spacing w:before="0" w:after="60" w:line="276" w:lineRule="auto"/>
        <w:ind w:left="0" w:firstLine="450"/>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Կոնցեդենտի</w:t>
      </w:r>
      <w:r w:rsidRPr="00A83C94">
        <w:rPr>
          <w:rFonts w:eastAsia="Calibri"/>
          <w:b w:val="0"/>
          <w:color w:val="000000"/>
          <w:szCs w:val="22"/>
          <w:lang w:val="hy-AM" w:eastAsia="en-US"/>
        </w:rPr>
        <w:t xml:space="preserve"> կողմից պարտավորությունների չկատարման հիմքով պայմանագրի վաղաժամ դադարեցման վճարներ, </w:t>
      </w:r>
    </w:p>
    <w:p w14:paraId="7F8C89B7" w14:textId="77777777" w:rsidR="00682DEF" w:rsidRPr="00A83C94" w:rsidRDefault="00682DEF" w:rsidP="001A2CC1">
      <w:pPr>
        <w:numPr>
          <w:ilvl w:val="0"/>
          <w:numId w:val="59"/>
        </w:numPr>
        <w:spacing w:before="0" w:after="60" w:line="276" w:lineRule="auto"/>
        <w:ind w:left="0" w:firstLine="450"/>
        <w:contextualSpacing w:val="0"/>
        <w:jc w:val="left"/>
        <w:rPr>
          <w:rFonts w:eastAsia="Calibri"/>
          <w:b w:val="0"/>
          <w:color w:val="000000"/>
          <w:szCs w:val="22"/>
          <w:lang w:val="hy-AM" w:eastAsia="en-US"/>
        </w:rPr>
      </w:pPr>
      <w:r w:rsidRPr="00A83C94">
        <w:rPr>
          <w:rFonts w:eastAsia="Calibri" w:cs="Sylfaen"/>
          <w:b w:val="0"/>
          <w:color w:val="000000"/>
          <w:szCs w:val="22"/>
          <w:lang w:val="hy-AM" w:eastAsia="en-US"/>
        </w:rPr>
        <w:t>Փոխադարձ</w:t>
      </w:r>
      <w:r w:rsidRPr="00A83C94">
        <w:rPr>
          <w:rFonts w:eastAsia="Calibri"/>
          <w:b w:val="0"/>
          <w:color w:val="000000"/>
          <w:szCs w:val="22"/>
          <w:lang w:val="hy-AM" w:eastAsia="en-US"/>
        </w:rPr>
        <w:t xml:space="preserve"> համաձայնությամբ պայմանագրի վաղաժամ դադարեցման վճարներ:</w:t>
      </w:r>
    </w:p>
    <w:p w14:paraId="4D8C2013"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Կոնցեսիոն պայմանագրի վաղաժամ դադարեցման մասով պայմանական պարտավորությունները հիմնականում չափելի են և դրանց առավելագույն ազդեցությունը վատագույն սցենարի դեպքում ներկայում գնահատվում է մոտ 100 մլրդ ՀՀ դրամ</w:t>
      </w:r>
      <w:r w:rsidRPr="00A83C94">
        <w:rPr>
          <w:b w:val="0"/>
          <w:color w:val="000000"/>
          <w:szCs w:val="22"/>
          <w:vertAlign w:val="superscript"/>
          <w:lang w:val="hy-AM"/>
        </w:rPr>
        <w:footnoteReference w:id="32"/>
      </w:r>
      <w:r w:rsidRPr="00A83C94">
        <w:rPr>
          <w:b w:val="0"/>
          <w:color w:val="000000"/>
          <w:szCs w:val="22"/>
          <w:lang w:val="hy-AM"/>
        </w:rPr>
        <w:t xml:space="preserve">, ընդ որում այդ հնարավոր գումարը կոնցեսիոն գործունեության ընթացքում աճում է՝ հաշվի առնելով պայմանագրի պայմանները: </w:t>
      </w:r>
    </w:p>
    <w:p w14:paraId="13B756A4" w14:textId="77777777" w:rsidR="00682DEF" w:rsidRPr="00A83C94" w:rsidRDefault="00682DEF" w:rsidP="00682DEF">
      <w:pPr>
        <w:spacing w:before="0" w:line="276" w:lineRule="auto"/>
        <w:ind w:firstLine="230"/>
        <w:contextualSpacing w:val="0"/>
        <w:rPr>
          <w:b w:val="0"/>
          <w:color w:val="000000"/>
          <w:szCs w:val="22"/>
          <w:lang w:val="hy-AM"/>
        </w:rPr>
      </w:pPr>
      <w:r w:rsidRPr="00A83C94">
        <w:rPr>
          <w:b w:val="0"/>
          <w:color w:val="000000"/>
          <w:szCs w:val="22"/>
          <w:lang w:val="hy-AM"/>
        </w:rPr>
        <w:t xml:space="preserve">Կոնցեսիոն պայմանագրի ֆիսկալ ռիսկայնության կարգավիճակը մինչև համավարակը գնահատվում էր միջին, իսկ համավարակի հետ կապված ճգնաժամով պայմանավորված՝ նշանակալի, չնայած նրան, որ ընկերությունը 2018թ. համեմատ 2019թ. կրկնապատկել է շահույթը, իսկ 2020թ. արձանագրել է նույնիսկ ավելի բարձր շահույթ՝ ի հեճուկս բեռնափոխադրման ծավալների աճի և այլ գործոնների (վնասաբեր ուղևորափոխադրման գործառնություններն էականորեն նվազել են 2020թ., իրականացվել է նաև ակտիվների վաճառք): 2021 թվականի առաջին կիսամյակի բեռնափախադրումների ֆիզիկական ծավալները 3% գերազանցում են 2019 թվականի նույն ժամանակաշրջանը՝ պայմանավորված ներքին բեռնափոխադրումների ծավալների ավելացմամբ 16%-ով, արտաքին ապրանքաշրջանառության նվազման պարագայում։ Իսկ ուղևորափոխադրումների քանակը նույնն է, ինչ 2019 թվականի առաջին կիսամյակում։ </w:t>
      </w:r>
    </w:p>
    <w:p w14:paraId="7B838DF8" w14:textId="77777777" w:rsidR="00682DEF" w:rsidRPr="00A83C94" w:rsidRDefault="00682DEF" w:rsidP="00682DEF">
      <w:pPr>
        <w:spacing w:before="0" w:line="276" w:lineRule="auto"/>
        <w:ind w:firstLine="230"/>
        <w:contextualSpacing w:val="0"/>
        <w:rPr>
          <w:b w:val="0"/>
          <w:bCs/>
          <w:iCs/>
          <w:color w:val="000000"/>
          <w:szCs w:val="22"/>
          <w:lang w:val="hy-AM"/>
        </w:rPr>
      </w:pPr>
      <w:r w:rsidRPr="00A83C94">
        <w:rPr>
          <w:b w:val="0"/>
          <w:bCs/>
          <w:iCs/>
          <w:color w:val="000000"/>
          <w:szCs w:val="22"/>
          <w:lang w:val="hy-AM"/>
        </w:rPr>
        <w:t xml:space="preserve">Ֆիսկալ ռիսկի կարգավիճակը նշանակալի է՝ հիմնվելով պայմանագրում ճգնաժամային ժամանակաշրջանի կարգավորումներով, ինչպես նաև անավարտ վերաբանակցություններով։ </w:t>
      </w:r>
    </w:p>
    <w:p w14:paraId="00EA4C5F"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bookmarkStart w:id="368" w:name="_Toc59655561"/>
      <w:r w:rsidRPr="00A83C94">
        <w:rPr>
          <w:rFonts w:eastAsia="Calibri"/>
          <w:color w:val="000000"/>
          <w:szCs w:val="22"/>
          <w:lang w:val="hy-AM" w:eastAsia="en-US"/>
        </w:rPr>
        <w:t>«Վեոլիա ջուր» ՓԲԸ</w:t>
      </w:r>
      <w:bookmarkEnd w:id="368"/>
    </w:p>
    <w:p w14:paraId="378093EE" w14:textId="77777777" w:rsidR="00682DEF" w:rsidRPr="00A83C94" w:rsidRDefault="00682DEF" w:rsidP="00682DEF">
      <w:pPr>
        <w:shd w:val="clear" w:color="auto" w:fill="FFFFFF"/>
        <w:spacing w:before="0" w:line="276" w:lineRule="auto"/>
        <w:ind w:right="144" w:firstLine="432"/>
        <w:contextualSpacing w:val="0"/>
        <w:rPr>
          <w:rFonts w:eastAsia="Calibri"/>
          <w:b w:val="0"/>
          <w:color w:val="000000"/>
          <w:szCs w:val="22"/>
          <w:lang w:val="hy-AM" w:eastAsia="en-US"/>
        </w:rPr>
      </w:pPr>
      <w:r w:rsidRPr="00A83C94">
        <w:rPr>
          <w:rFonts w:eastAsia="Calibri"/>
          <w:b w:val="0"/>
          <w:color w:val="000000"/>
          <w:szCs w:val="22"/>
          <w:lang w:val="hy-AM" w:eastAsia="en-US"/>
        </w:rPr>
        <w:t>21.11.2016թ. ՀՀ կառավարության և «Վեոլիա Օ Կոմպանի Ժեներալ Դեզ Օ» կոմանդիտային բաժնետիրական ընկերության և «Վեոլիա Ջուր» ՓԲԸ-ի (այսուհետ` Ընկերություն) միջև կնքվել է «Երևան Ջուր», «Հայջրմուղկոյուղի», «Լոռի-ջրմուղկոյուղի», «Շիրակ-ջրմուղկոյուղի» և «Նոր Ակունք» փակ բաժնետիրական ընկերությունների կողմից օգտագործվող ու պահպանվող ջրային համակարգերի և այլ գույքի վարձակալության պայմանագիր` 15 տարի ժամկետով (Վարձակալական պայմանագիր):</w:t>
      </w:r>
    </w:p>
    <w:p w14:paraId="5AB7ECE0" w14:textId="77777777" w:rsidR="00682DEF" w:rsidRPr="00A83C94" w:rsidRDefault="00682DEF" w:rsidP="00682DEF">
      <w:pPr>
        <w:spacing w:before="0" w:line="276" w:lineRule="auto"/>
        <w:ind w:firstLine="227"/>
        <w:contextualSpacing w:val="0"/>
        <w:rPr>
          <w:rFonts w:eastAsia="Calibri"/>
          <w:b w:val="0"/>
          <w:szCs w:val="22"/>
          <w:lang w:val="hy-AM" w:eastAsia="en-US"/>
        </w:rPr>
      </w:pPr>
      <w:r w:rsidRPr="00A83C94">
        <w:rPr>
          <w:rFonts w:eastAsia="Calibri"/>
          <w:b w:val="0"/>
          <w:color w:val="000000"/>
          <w:szCs w:val="22"/>
          <w:lang w:val="hy-AM" w:eastAsia="en-US"/>
        </w:rPr>
        <w:t>Վարձակալական պայմանագրի շրջանակներում առկա են մի շարք նշանակալի պայմանական պարտավորություններ, այդ թվում.</w:t>
      </w:r>
    </w:p>
    <w:p w14:paraId="5D072364"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xml:space="preserve">- Վարձակալի կողմից պարտադիր կապիտալ աշխատանքների ծրագրի շրջանակից դուրս այլ աշխատանքների իրականացման դեպքում Վարձատուի կողմից համապատասխան գումարի փոխհատուցում, </w:t>
      </w:r>
    </w:p>
    <w:p w14:paraId="75E5A13F"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xml:space="preserve">- Բազային սակագնի երաշխիք, որն արդեն երկու անգամ կիրառվել է՝ ներառյալ վարձակալական վճարի կրճատում (արդեն երկու անգամ կիրառվել է), </w:t>
      </w:r>
    </w:p>
    <w:p w14:paraId="0567D9A3"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Վարձակալական պայմանագիրը պարունակում է վերաբանակցությունների և վաղաժամկետ դադարեցման բազմաթիվ դեպքեր։ Առաջիկայում Վարձակալական պայմանագրի վաղաժամկետ դադարեցման ռիսկը համարվել էր ցածր՝ առնվազն մինչև 2025թ., ինչը պայմանավորված էր մինչև կորոնավիրուսի համավարակն իրականացված՝ պայմանագրի վերաբանակցմամբ։ Պայմանագրի վաղաժամ դադարեցման գծով պայմանական պարտավորությունը մասնակի չափելի է և գնահատվել է 74.6 մլրդ դրամ՝ միջանկյալ սցենարի դեպքում, որտեղ նման վճարումը չի կարող գերազանցել ապագա ակնկալվող վարձակալական վճարների գումարը:</w:t>
      </w:r>
    </w:p>
    <w:p w14:paraId="7C14FD7B" w14:textId="77777777" w:rsidR="00682DEF" w:rsidRPr="00A83C94" w:rsidRDefault="00682DEF" w:rsidP="00682DEF">
      <w:pPr>
        <w:spacing w:before="0" w:line="276" w:lineRule="auto"/>
        <w:ind w:firstLine="227"/>
        <w:contextualSpacing w:val="0"/>
        <w:rPr>
          <w:rFonts w:eastAsia="Calibri"/>
          <w:b w:val="0"/>
          <w:szCs w:val="22"/>
          <w:lang w:val="hy-AM" w:eastAsia="en-US"/>
        </w:rPr>
      </w:pPr>
      <w:r w:rsidRPr="00A83C94">
        <w:rPr>
          <w:rFonts w:eastAsia="Calibri"/>
          <w:b w:val="0"/>
          <w:szCs w:val="22"/>
          <w:lang w:val="hy-AM" w:eastAsia="en-US"/>
        </w:rPr>
        <w:t>Մինչև COVID-19 համավարակը, Վարձակալական պայմանագրի գծով պայմանական պարտավորությունների ֆիսկալ ռիսկի կարգավիճակը գնահատվել է միջին, սակայն հաշվի առնելով թարմացված տեղեկատվությունը՝ հարկաբյուջետային ռիսկի կարգավիճակը ներկայում նշանակալի է։ Դա պայմանավորված է դեբիտորական պարտավորությունների հավաքագրման ցուցանիշների վատթարացմամբ և իրավաբանական անձանցից հասույթների 14% նվազմամբ, ինչը հանգեցրել է գործառնական շահույթի 8% նվազման։</w:t>
      </w:r>
    </w:p>
    <w:p w14:paraId="4C4D4B86"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bookmarkStart w:id="369" w:name="_Toc59655564"/>
      <w:r w:rsidRPr="00A83C94">
        <w:rPr>
          <w:rFonts w:eastAsia="Calibri"/>
          <w:color w:val="000000"/>
          <w:szCs w:val="22"/>
          <w:lang w:val="hy-AM" w:eastAsia="en-US"/>
        </w:rPr>
        <w:t>«Արմենիա Միջազգային Օդանավակայաններ» ՓԲԸ</w:t>
      </w:r>
      <w:bookmarkEnd w:id="369"/>
    </w:p>
    <w:p w14:paraId="4C5726A0"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Կոնցեսիոն պայմանագիրը գործում է 2002թ-ից՝ Երևանի «Զվարթնոց» օդանավակայանի համար, իսկ 2007թ-ից ներառում է նաև Գյումրու «Շիրակ» օդանավակայանը: Մայր ընկերությունը աշխարհի օդանավակայանների խոշորագույն օպերատորներից է՝ «Կորպորասիոն Ամերիկա Ս.Ա.» ընկերությունն, որը ցուցակված է Նյու Յորքի ֆոնդային բորսայում:</w:t>
      </w:r>
    </w:p>
    <w:p w14:paraId="4671A4E3"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Խումբը մինչև 2019 թվականը շահութաբերության բարձր ցուցանիշներ ուներ, իսկ ՀՀ-ի դուստր ձեռնարկությունը եղել է ամենաարդյունավետներից մեկը:</w:t>
      </w:r>
    </w:p>
    <w:p w14:paraId="10CF6D5D"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Պայմանագիրը Կոնցեսիոներին հնարավորություն է տալիս միակողմանիորեն երկարացնել կոնցեսիայի տևողությունը:</w:t>
      </w:r>
    </w:p>
    <w:p w14:paraId="00A3348C"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Հաշվի առնելով ընկերության բարձր շահութաբերությունը՝ պայմանագրի վաղաժամ դադարեցման պայմանական պարտավորությունը և ընկերության բիզնես ռիսկը գնահատվել են ցածր։ Սակայն իրավիճակը փոխվել է պայմանավորված համավարակով, քանի որ աշխարհում օդանավակայանների ոլորտը ճգնաժամից առավել տուժածներից մեկն է:</w:t>
      </w:r>
    </w:p>
    <w:p w14:paraId="10239556"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 xml:space="preserve">Ընկերությունը ստիպված եղավ հայցել </w:t>
      </w:r>
      <w:r w:rsidRPr="00A83C94">
        <w:rPr>
          <w:b w:val="0"/>
          <w:color w:val="222222"/>
          <w:szCs w:val="22"/>
          <w:lang w:val="hy-AM" w:eastAsia="es-PE"/>
        </w:rPr>
        <w:t>պայմանագրի ֆինանսական քովենանթի չեղարկում, որը բավարարվեց ֆինանսավորողի կողմից:</w:t>
      </w:r>
    </w:p>
    <w:p w14:paraId="4024B9BE"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«Կորպորասիոն Ամերիկա Ս.Ա.» ընկերության համախմբված դրամական մնացորդները շարունակել են նվազել 2020 թվականի դեկտեմբերի վերջից հետո` չնայած ստացված փոխհատուցումների և վարկերի վերակառուցման համաձայնագրերի։ Այս ցուցանիշը կարող է վկայել այն մասին, որ Խումբը անհրաժեշտության դեպքում չի կարողանա աջակցել «ԱՄՕ» ՓԲԸ-ին։</w:t>
      </w:r>
    </w:p>
    <w:p w14:paraId="5BF68786"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 xml:space="preserve">Ինչպես երևում է Հայաստանի ուղևորափոխադրումների վիճակագրությունից, գործառնական արդյունքների բարելավումը, շարունակվել է 2-րդ եռամսյակում (ուղևորների գրեթե 80% աճ 1 -ին եռամսյակի համեմատ), սակայն թվերը էականորեն ցածր են 2019 նախաճգնաժամային տարվա համեմատ (մոտ 2 անգամ պակաս առաջին կիսամյակի համար)։ </w:t>
      </w:r>
    </w:p>
    <w:p w14:paraId="1BBA0B94"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Բեռնափոխադրումների ծավալները ևս շարունակում են վերականգնվել և առաջին կիսամյակում դրանց ծավալը հասել է 2019թ. մակարդակի 87%-ին։ 2020թ. վերջին եռամսյակն արդեն ցույց էր տվել դրական EBITDA, 2021 թվականի առաջին եռամսյակում արձանագրվեց մոտ 35% EBITDA մարժա՝ ինչպես եկամուտների աճի, այնպես էլ ծախսերի խնայողության շնորհիվ։ 2021թ. երկրորդ եռամսյակում միտումն էլ ավելի է բարելավվել՝ EBITDA- ի մոտ 49% մարժա և, արդյունքում՝ դրական զուտ եկամուտի ցուցանիշ։</w:t>
      </w:r>
    </w:p>
    <w:p w14:paraId="4B5AF5D2"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Կանխիկի մնացորդը 2021 թվականի երկրորդ եռամսյակում աճել է՝ առաջին եռամսյակի համեմատ, կազմելով 27.8 մլն ԱՄՆ դոլար, ինչը համադրելի է 2021 թվականի պարտքի սպասարկման հետ, որը վարկերի վերակառուցման արդյունքում բարձր չէ։ Կանխիկի մնացորդն այժմ շատ մոտ է 2022 թվականին պարտքի սպասարկման գծով սպասվող վճարումներին։</w:t>
      </w:r>
    </w:p>
    <w:p w14:paraId="7B9556F2" w14:textId="77777777" w:rsidR="00682DEF" w:rsidRPr="00A83C94" w:rsidRDefault="00682DEF" w:rsidP="00682DEF">
      <w:pPr>
        <w:spacing w:before="0" w:line="276" w:lineRule="auto"/>
        <w:contextualSpacing w:val="0"/>
        <w:rPr>
          <w:b w:val="0"/>
          <w:szCs w:val="22"/>
          <w:lang w:val="hy-AM" w:eastAsia="en-US"/>
        </w:rPr>
      </w:pPr>
      <w:r w:rsidRPr="00A83C94">
        <w:rPr>
          <w:b w:val="0"/>
          <w:szCs w:val="22"/>
          <w:lang w:val="hy-AM" w:eastAsia="en-US"/>
        </w:rPr>
        <w:t>Պայմանավորված Քովիդ-19 «դելտա շտամմի» տարածմամբ պահպանվում է անորոշությունը ընկերության վարկի սպասարկման գծով վճարումները կատարելու կարողության վերաբերյալ այն ժամանակաշրջանում, երբ, համաձայն վարկային համաձայնագրի փոփոխության, կվերսկսվեն մայր գումարի մարումները։ Ժամանակավորապես նվազել է ռիսկն առ այն, որ միջազգային սինդիկացված վարկի շրջանակներում վարկատուները կարող են դեֆոլտ հայտարարել և արագացնել վարկի հետվճարումը և հաշվի առնելով, որ ընկերության բաժնետոմսերը և ակտիվները գրավադրված են ի օգուտ վարկատուների, ՀՀ կառավարությունը կարող է պարտավորված լինել ստանձնելու վարկի մարումը: Պայմանագրի վաղաժամ դադարեցման դեպքում առկա են այլ, ավելի մեծ պարտավորություններ, որոնք սակայն չափելի չեն: Վերը նշված հանգամանքներից ելնելով, սույն ՊՄԳ պայմանագրի գծով պայմանական պարտավորությունների ֆիսկալ ռիսկի կարգավիճակը նշանակալի է:</w:t>
      </w:r>
    </w:p>
    <w:p w14:paraId="2B358411"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«Քոնթուր Գլոբալ հիդրո կասկադ» ՓԲԸ</w:t>
      </w:r>
    </w:p>
    <w:p w14:paraId="3F184748" w14:textId="77777777" w:rsidR="00682DEF" w:rsidRPr="00A83C94" w:rsidRDefault="00682DEF" w:rsidP="00682DEF">
      <w:pPr>
        <w:shd w:val="clear" w:color="auto" w:fill="FFFFFF"/>
        <w:spacing w:before="0" w:line="276" w:lineRule="auto"/>
        <w:ind w:right="20" w:firstLine="230"/>
        <w:contextualSpacing w:val="0"/>
        <w:rPr>
          <w:rFonts w:eastAsia="Calibri" w:cs="Sylfaen"/>
          <w:b w:val="0"/>
          <w:szCs w:val="22"/>
          <w:lang w:val="hy-AM" w:eastAsia="en-US"/>
        </w:rPr>
      </w:pPr>
      <w:r w:rsidRPr="00A83C94">
        <w:rPr>
          <w:rFonts w:eastAsia="Calibri" w:cs="Sylfaen"/>
          <w:b w:val="0"/>
          <w:szCs w:val="22"/>
          <w:lang w:val="hy-AM" w:eastAsia="en-US"/>
        </w:rPr>
        <w:t>Ընկերությունը</w:t>
      </w:r>
      <w:r w:rsidRPr="00A83C94">
        <w:rPr>
          <w:rFonts w:eastAsia="Calibri"/>
          <w:b w:val="0"/>
          <w:szCs w:val="22"/>
          <w:lang w:val="hy-AM" w:eastAsia="en-US"/>
        </w:rPr>
        <w:t xml:space="preserve"> </w:t>
      </w:r>
      <w:r w:rsidRPr="00A83C94">
        <w:rPr>
          <w:rFonts w:eastAsia="Calibri" w:cs="Sylfaen"/>
          <w:b w:val="0"/>
          <w:szCs w:val="22"/>
          <w:lang w:val="hy-AM" w:eastAsia="en-US"/>
        </w:rPr>
        <w:t>հանդիսանում</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հիդրոէլեկտրաէներգիայի</w:t>
      </w:r>
      <w:r w:rsidRPr="00A83C94">
        <w:rPr>
          <w:rFonts w:eastAsia="Calibri"/>
          <w:b w:val="0"/>
          <w:szCs w:val="22"/>
          <w:lang w:val="hy-AM" w:eastAsia="en-US"/>
        </w:rPr>
        <w:t xml:space="preserve"> </w:t>
      </w:r>
      <w:r w:rsidRPr="00A83C94">
        <w:rPr>
          <w:rFonts w:eastAsia="Calibri" w:cs="Sylfaen"/>
          <w:b w:val="0"/>
          <w:szCs w:val="22"/>
          <w:lang w:val="hy-AM" w:eastAsia="en-US"/>
        </w:rPr>
        <w:t>արտադրության</w:t>
      </w:r>
      <w:r w:rsidRPr="00A83C94">
        <w:rPr>
          <w:rFonts w:eastAsia="Calibri"/>
          <w:b w:val="0"/>
          <w:szCs w:val="22"/>
          <w:lang w:val="hy-AM" w:eastAsia="en-US"/>
        </w:rPr>
        <w:t xml:space="preserve"> </w:t>
      </w:r>
      <w:r w:rsidRPr="00A83C94">
        <w:rPr>
          <w:rFonts w:eastAsia="Calibri" w:cs="Sylfaen"/>
          <w:b w:val="0"/>
          <w:szCs w:val="22"/>
          <w:lang w:val="hy-AM" w:eastAsia="en-US"/>
        </w:rPr>
        <w:t>առանցքային</w:t>
      </w:r>
      <w:r w:rsidRPr="00A83C94">
        <w:rPr>
          <w:rFonts w:eastAsia="Calibri"/>
          <w:b w:val="0"/>
          <w:szCs w:val="22"/>
          <w:lang w:val="hy-AM" w:eastAsia="en-US"/>
        </w:rPr>
        <w:t xml:space="preserve"> </w:t>
      </w:r>
      <w:r w:rsidRPr="00A83C94">
        <w:rPr>
          <w:rFonts w:eastAsia="Calibri" w:cs="Sylfaen"/>
          <w:b w:val="0"/>
          <w:szCs w:val="22"/>
          <w:lang w:val="hy-AM" w:eastAsia="en-US"/>
        </w:rPr>
        <w:t>համալիր</w:t>
      </w:r>
      <w:r w:rsidRPr="00A83C94">
        <w:rPr>
          <w:rFonts w:eastAsia="Calibri"/>
          <w:b w:val="0"/>
          <w:szCs w:val="22"/>
          <w:lang w:val="hy-AM" w:eastAsia="en-US"/>
        </w:rPr>
        <w:t xml:space="preserve">, </w:t>
      </w:r>
      <w:r w:rsidRPr="00A83C94">
        <w:rPr>
          <w:rFonts w:eastAsia="Calibri" w:cs="Sylfaen"/>
          <w:b w:val="0"/>
          <w:szCs w:val="22"/>
          <w:lang w:val="hy-AM" w:eastAsia="en-US"/>
        </w:rPr>
        <w:t>նախկինում</w:t>
      </w:r>
      <w:r w:rsidRPr="00A83C94">
        <w:rPr>
          <w:rFonts w:eastAsia="Calibri"/>
          <w:b w:val="0"/>
          <w:szCs w:val="22"/>
          <w:lang w:val="hy-AM" w:eastAsia="en-US"/>
        </w:rPr>
        <w:t xml:space="preserve"> </w:t>
      </w:r>
      <w:r w:rsidRPr="00A83C94">
        <w:rPr>
          <w:rFonts w:eastAsia="Calibri" w:cs="Sylfaen"/>
          <w:b w:val="0"/>
          <w:szCs w:val="22"/>
          <w:lang w:val="hy-AM" w:eastAsia="en-US"/>
        </w:rPr>
        <w:t>պետական</w:t>
      </w:r>
      <w:r w:rsidRPr="00A83C94">
        <w:rPr>
          <w:rFonts w:eastAsia="Calibri"/>
          <w:b w:val="0"/>
          <w:szCs w:val="22"/>
          <w:lang w:val="hy-AM" w:eastAsia="en-US"/>
        </w:rPr>
        <w:t xml:space="preserve"> </w:t>
      </w:r>
      <w:r w:rsidRPr="00A83C94">
        <w:rPr>
          <w:rFonts w:eastAsia="Calibri" w:cs="Sylfaen"/>
          <w:b w:val="0"/>
          <w:szCs w:val="22"/>
          <w:lang w:val="hy-AM" w:eastAsia="en-US"/>
        </w:rPr>
        <w:t>մասնակցությամբ</w:t>
      </w:r>
      <w:r w:rsidRPr="00A83C94">
        <w:rPr>
          <w:rFonts w:eastAsia="Calibri"/>
          <w:b w:val="0"/>
          <w:szCs w:val="22"/>
          <w:lang w:val="hy-AM" w:eastAsia="en-US"/>
        </w:rPr>
        <w:t xml:space="preserve"> </w:t>
      </w:r>
      <w:r w:rsidRPr="00A83C94">
        <w:rPr>
          <w:rFonts w:eastAsia="Calibri" w:cs="Sylfaen"/>
          <w:b w:val="0"/>
          <w:szCs w:val="22"/>
          <w:lang w:val="hy-AM" w:eastAsia="en-US"/>
        </w:rPr>
        <w:t>ընկերություն</w:t>
      </w:r>
      <w:r w:rsidRPr="00A83C94">
        <w:rPr>
          <w:rFonts w:eastAsia="Calibri"/>
          <w:b w:val="0"/>
          <w:szCs w:val="22"/>
          <w:lang w:val="hy-AM" w:eastAsia="en-US"/>
        </w:rPr>
        <w:t xml:space="preserve"> </w:t>
      </w:r>
      <w:r w:rsidRPr="00A83C94">
        <w:rPr>
          <w:rFonts w:eastAsia="Calibri" w:cs="Sylfaen"/>
          <w:b w:val="0"/>
          <w:szCs w:val="22"/>
          <w:lang w:val="hy-AM" w:eastAsia="en-US"/>
        </w:rPr>
        <w:t>էր</w:t>
      </w:r>
      <w:r w:rsidRPr="00A83C94">
        <w:rPr>
          <w:rFonts w:eastAsia="Calibri"/>
          <w:b w:val="0"/>
          <w:szCs w:val="22"/>
          <w:lang w:val="hy-AM" w:eastAsia="en-US"/>
        </w:rPr>
        <w:t xml:space="preserve">, </w:t>
      </w:r>
      <w:r w:rsidRPr="00A83C94">
        <w:rPr>
          <w:rFonts w:eastAsia="Calibri" w:cs="Sylfaen"/>
          <w:b w:val="0"/>
          <w:szCs w:val="22"/>
          <w:lang w:val="hy-AM" w:eastAsia="en-US"/>
        </w:rPr>
        <w:t>որը</w:t>
      </w:r>
      <w:r w:rsidRPr="00A83C94">
        <w:rPr>
          <w:rFonts w:eastAsia="Calibri"/>
          <w:b w:val="0"/>
          <w:szCs w:val="22"/>
          <w:lang w:val="hy-AM" w:eastAsia="en-US"/>
        </w:rPr>
        <w:t xml:space="preserve"> </w:t>
      </w:r>
      <w:r w:rsidRPr="00A83C94">
        <w:rPr>
          <w:rFonts w:eastAsia="Calibri" w:cs="Sylfaen"/>
          <w:b w:val="0"/>
          <w:szCs w:val="22"/>
          <w:lang w:val="hy-AM" w:eastAsia="en-US"/>
        </w:rPr>
        <w:t>մասնավորեցվել</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վաճառվել</w:t>
      </w:r>
      <w:r w:rsidRPr="00A83C94">
        <w:rPr>
          <w:rFonts w:eastAsia="Calibri"/>
          <w:b w:val="0"/>
          <w:szCs w:val="22"/>
          <w:lang w:val="hy-AM" w:eastAsia="en-US"/>
        </w:rPr>
        <w:t xml:space="preserve"> </w:t>
      </w:r>
      <w:r w:rsidRPr="00A83C94">
        <w:rPr>
          <w:rFonts w:eastAsia="Calibri" w:cs="Sylfaen"/>
          <w:b w:val="0"/>
          <w:szCs w:val="22"/>
          <w:lang w:val="hy-AM" w:eastAsia="en-US"/>
        </w:rPr>
        <w:t>է</w:t>
      </w:r>
      <w:r w:rsidRPr="00A83C94">
        <w:rPr>
          <w:rFonts w:eastAsia="Calibri"/>
          <w:b w:val="0"/>
          <w:szCs w:val="22"/>
          <w:lang w:val="hy-AM" w:eastAsia="en-US"/>
        </w:rPr>
        <w:t xml:space="preserve"> </w:t>
      </w:r>
      <w:r w:rsidRPr="00A83C94">
        <w:rPr>
          <w:rFonts w:eastAsia="Calibri" w:cs="Sylfaen"/>
          <w:b w:val="0"/>
          <w:szCs w:val="22"/>
          <w:lang w:val="hy-AM" w:eastAsia="en-US"/>
        </w:rPr>
        <w:t>էլեկտրաէներգիայի</w:t>
      </w:r>
      <w:r w:rsidRPr="00A83C94">
        <w:rPr>
          <w:rFonts w:eastAsia="Calibri"/>
          <w:b w:val="0"/>
          <w:szCs w:val="22"/>
          <w:lang w:val="hy-AM" w:eastAsia="en-US"/>
        </w:rPr>
        <w:t xml:space="preserve"> </w:t>
      </w:r>
      <w:r w:rsidRPr="00A83C94">
        <w:rPr>
          <w:rFonts w:eastAsia="Calibri" w:cs="Sylfaen"/>
          <w:b w:val="0"/>
          <w:szCs w:val="22"/>
          <w:lang w:val="hy-AM" w:eastAsia="en-US"/>
        </w:rPr>
        <w:t>արտադրությամբ</w:t>
      </w:r>
      <w:r w:rsidRPr="00A83C94">
        <w:rPr>
          <w:rFonts w:eastAsia="Calibri"/>
          <w:b w:val="0"/>
          <w:szCs w:val="22"/>
          <w:lang w:val="hy-AM" w:eastAsia="en-US"/>
        </w:rPr>
        <w:t xml:space="preserve"> </w:t>
      </w:r>
      <w:r w:rsidRPr="00A83C94">
        <w:rPr>
          <w:rFonts w:eastAsia="Calibri" w:cs="Sylfaen"/>
          <w:b w:val="0"/>
          <w:szCs w:val="22"/>
          <w:lang w:val="hy-AM" w:eastAsia="en-US"/>
        </w:rPr>
        <w:t>զբաղվող</w:t>
      </w:r>
      <w:r w:rsidRPr="00A83C94">
        <w:rPr>
          <w:rFonts w:eastAsia="Calibri"/>
          <w:b w:val="0"/>
          <w:szCs w:val="22"/>
          <w:lang w:val="hy-AM" w:eastAsia="en-US"/>
        </w:rPr>
        <w:t xml:space="preserve"> «</w:t>
      </w:r>
      <w:r w:rsidRPr="00A83C94">
        <w:rPr>
          <w:rFonts w:eastAsia="Calibri" w:cs="Sylfaen"/>
          <w:b w:val="0"/>
          <w:szCs w:val="22"/>
          <w:lang w:val="hy-AM" w:eastAsia="en-US"/>
        </w:rPr>
        <w:t>Քոնթուր</w:t>
      </w:r>
      <w:r w:rsidRPr="00A83C94">
        <w:rPr>
          <w:rFonts w:eastAsia="Calibri"/>
          <w:b w:val="0"/>
          <w:szCs w:val="22"/>
          <w:lang w:val="hy-AM" w:eastAsia="en-US"/>
        </w:rPr>
        <w:t xml:space="preserve"> </w:t>
      </w:r>
      <w:r w:rsidRPr="00A83C94">
        <w:rPr>
          <w:rFonts w:eastAsia="Calibri" w:cs="Sylfaen"/>
          <w:b w:val="0"/>
          <w:szCs w:val="22"/>
          <w:lang w:val="hy-AM" w:eastAsia="en-US"/>
        </w:rPr>
        <w:t>Գլոբալ</w:t>
      </w:r>
      <w:r w:rsidRPr="00A83C94">
        <w:rPr>
          <w:rFonts w:eastAsia="Calibri"/>
          <w:b w:val="0"/>
          <w:szCs w:val="22"/>
          <w:lang w:val="hy-AM" w:eastAsia="en-US"/>
        </w:rPr>
        <w:t xml:space="preserve">» </w:t>
      </w:r>
      <w:r w:rsidRPr="00A83C94">
        <w:rPr>
          <w:rFonts w:eastAsia="Calibri" w:cs="Sylfaen"/>
          <w:b w:val="0"/>
          <w:szCs w:val="22"/>
          <w:lang w:val="hy-AM" w:eastAsia="en-US"/>
        </w:rPr>
        <w:t>խոշոր</w:t>
      </w:r>
      <w:r w:rsidRPr="00A83C94">
        <w:rPr>
          <w:rFonts w:eastAsia="Calibri"/>
          <w:b w:val="0"/>
          <w:szCs w:val="22"/>
          <w:lang w:val="hy-AM" w:eastAsia="en-US"/>
        </w:rPr>
        <w:t xml:space="preserve"> </w:t>
      </w:r>
      <w:r w:rsidRPr="00A83C94">
        <w:rPr>
          <w:rFonts w:eastAsia="Calibri" w:cs="Sylfaen"/>
          <w:b w:val="0"/>
          <w:szCs w:val="22"/>
          <w:lang w:val="hy-AM" w:eastAsia="en-US"/>
        </w:rPr>
        <w:t>միջազգային</w:t>
      </w:r>
      <w:r w:rsidRPr="00A83C94">
        <w:rPr>
          <w:rFonts w:eastAsia="Calibri"/>
          <w:b w:val="0"/>
          <w:szCs w:val="22"/>
          <w:lang w:val="hy-AM" w:eastAsia="en-US"/>
        </w:rPr>
        <w:t xml:space="preserve"> </w:t>
      </w:r>
      <w:r w:rsidRPr="00A83C94">
        <w:rPr>
          <w:rFonts w:eastAsia="Calibri" w:cs="Sylfaen"/>
          <w:b w:val="0"/>
          <w:szCs w:val="22"/>
          <w:lang w:val="hy-AM" w:eastAsia="en-US"/>
        </w:rPr>
        <w:t>խմբին</w:t>
      </w:r>
      <w:r w:rsidRPr="00A83C94">
        <w:rPr>
          <w:rFonts w:eastAsia="Calibri"/>
          <w:b w:val="0"/>
          <w:szCs w:val="22"/>
          <w:lang w:val="hy-AM" w:eastAsia="en-US"/>
        </w:rPr>
        <w:t xml:space="preserve">: Ընկերությունն </w:t>
      </w:r>
      <w:r w:rsidRPr="00A83C94">
        <w:rPr>
          <w:rFonts w:eastAsia="Calibri" w:cs="Sylfaen"/>
          <w:b w:val="0"/>
          <w:szCs w:val="22"/>
          <w:lang w:val="hy-AM" w:eastAsia="en-US"/>
        </w:rPr>
        <w:t>իր</w:t>
      </w:r>
      <w:r w:rsidRPr="00A83C94">
        <w:rPr>
          <w:rFonts w:eastAsia="Calibri"/>
          <w:b w:val="0"/>
          <w:szCs w:val="22"/>
          <w:lang w:val="hy-AM" w:eastAsia="en-US"/>
        </w:rPr>
        <w:t xml:space="preserve"> </w:t>
      </w:r>
      <w:r w:rsidRPr="00A83C94">
        <w:rPr>
          <w:rFonts w:eastAsia="Calibri" w:cs="Sylfaen"/>
          <w:b w:val="0"/>
          <w:szCs w:val="22"/>
          <w:lang w:val="hy-AM" w:eastAsia="en-US"/>
        </w:rPr>
        <w:t>ամբողջ</w:t>
      </w:r>
      <w:r w:rsidRPr="00A83C94">
        <w:rPr>
          <w:rFonts w:eastAsia="Calibri"/>
          <w:b w:val="0"/>
          <w:szCs w:val="22"/>
          <w:lang w:val="hy-AM" w:eastAsia="en-US"/>
        </w:rPr>
        <w:t xml:space="preserve"> </w:t>
      </w:r>
      <w:r w:rsidRPr="00A83C94">
        <w:rPr>
          <w:rFonts w:eastAsia="Calibri" w:cs="Sylfaen"/>
          <w:b w:val="0"/>
          <w:szCs w:val="22"/>
          <w:lang w:val="hy-AM" w:eastAsia="en-US"/>
        </w:rPr>
        <w:t>հզորությունը</w:t>
      </w:r>
      <w:r w:rsidRPr="00A83C94">
        <w:rPr>
          <w:rFonts w:eastAsia="Calibri"/>
          <w:b w:val="0"/>
          <w:szCs w:val="22"/>
          <w:lang w:val="hy-AM" w:eastAsia="en-US"/>
        </w:rPr>
        <w:t xml:space="preserve"> </w:t>
      </w:r>
      <w:r w:rsidRPr="00A83C94">
        <w:rPr>
          <w:rFonts w:eastAsia="Calibri" w:cs="Sylfaen"/>
          <w:b w:val="0"/>
          <w:szCs w:val="22"/>
          <w:lang w:val="hy-AM" w:eastAsia="en-US"/>
        </w:rPr>
        <w:t>և</w:t>
      </w:r>
      <w:r w:rsidRPr="00A83C94">
        <w:rPr>
          <w:rFonts w:eastAsia="Calibri"/>
          <w:b w:val="0"/>
          <w:szCs w:val="22"/>
          <w:lang w:val="hy-AM" w:eastAsia="en-US"/>
        </w:rPr>
        <w:t xml:space="preserve"> </w:t>
      </w:r>
      <w:r w:rsidRPr="00A83C94">
        <w:rPr>
          <w:rFonts w:eastAsia="Calibri" w:cs="Sylfaen"/>
          <w:b w:val="0"/>
          <w:szCs w:val="22"/>
          <w:lang w:val="hy-AM" w:eastAsia="en-US"/>
        </w:rPr>
        <w:t xml:space="preserve">փաստացի արտադրված էլեկտրաէներգիան վաճառում է «Հայաստանի էլեկտրական ցանցեր» ՓԲԸ-ին (ՀԷՑ)՝ ՀԾԿՀ կողմից հաստատված սակագներով: ՀԷՑ ընկերությունը պարտավոր է գնել արտադրված ամբողջ էլեկտրաէներգիան, իսկ չգնելու դեպքում՝ վճարել փոխհատուցում, որը մինչ այժմ չի կիրառվել: Ամենախոշոր պայմանական պարտավորությունը դա պետության կողմից հիմնական միջոցների հետգնման պարտավորությունն է, որոնց արժեքը 2019թ. վերջին կազմել է 90.1 մլրդ դրամ, սակայն հիմնական միջոցների ավելացման հետևանքով այն կդառնա 99.6 մլրդ դրամ: </w:t>
      </w:r>
    </w:p>
    <w:p w14:paraId="21737D75"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Ն</w:t>
      </w:r>
      <w:r w:rsidRPr="00A83C94">
        <w:rPr>
          <w:rFonts w:eastAsia="Calibri" w:cs="Sylfaen"/>
          <w:b w:val="0"/>
          <w:szCs w:val="22"/>
          <w:lang w:val="hy-AM" w:eastAsia="en-US"/>
        </w:rPr>
        <w:t>շենք նաև</w:t>
      </w:r>
      <w:r w:rsidRPr="00A83C94">
        <w:rPr>
          <w:rFonts w:eastAsia="Calibri"/>
          <w:b w:val="0"/>
          <w:szCs w:val="22"/>
          <w:lang w:val="hy-AM" w:eastAsia="en-US"/>
        </w:rPr>
        <w:t>, որ ընկերությունը ներկայում մարում է Վերականգնման վարկերի</w:t>
      </w:r>
      <w:r w:rsidRPr="00A83C94">
        <w:rPr>
          <w:rFonts w:ascii="Calibri" w:eastAsia="Calibri" w:hAnsi="Calibri" w:cs="Calibri"/>
          <w:b w:val="0"/>
          <w:szCs w:val="22"/>
          <w:lang w:val="hy-AM" w:eastAsia="en-US"/>
        </w:rPr>
        <w:t> </w:t>
      </w:r>
      <w:r w:rsidRPr="00A83C94">
        <w:rPr>
          <w:rFonts w:eastAsia="Calibri" w:cs="Sylfaen"/>
          <w:b w:val="0"/>
          <w:szCs w:val="22"/>
          <w:lang w:val="hy-AM" w:eastAsia="en-US"/>
        </w:rPr>
        <w:t>բանկից</w:t>
      </w:r>
      <w:r w:rsidRPr="00A83C94">
        <w:rPr>
          <w:rFonts w:ascii="Calibri" w:eastAsia="Calibri" w:hAnsi="Calibri" w:cs="Calibri"/>
          <w:b w:val="0"/>
          <w:szCs w:val="22"/>
          <w:lang w:val="hy-AM" w:eastAsia="en-US"/>
        </w:rPr>
        <w:t> </w:t>
      </w:r>
      <w:r w:rsidRPr="00A83C94">
        <w:rPr>
          <w:rFonts w:eastAsia="Calibri"/>
          <w:b w:val="0"/>
          <w:szCs w:val="22"/>
          <w:lang w:val="hy-AM" w:eastAsia="en-US"/>
        </w:rPr>
        <w:t>(KfW) Եվրոյով ստացված վարկը, ինչպես նաև 3 այլ ՄՖՀ-ներից, այդ թվում՝ Միջազգային ֆինանսական կորպորացիայից, ԱՄՆ դոլարով ստացված վարկեր (մյուս երկու վարկերը կապված են Նիդերլանդների և Գերմանիայի կառավարությունների հետ), որոնք տրամադրվել են թե մինչ մասնավորեցումը և թե մասնավորեցումից հետո: Հարկ է նկատել նաև, որ 2020թ. ԱՄՆ դոլարի և Եվրոյի փոխարժեքները դրամի նկատմամբ աճել են:</w:t>
      </w:r>
    </w:p>
    <w:p w14:paraId="66A0C559" w14:textId="77777777" w:rsidR="00682DEF" w:rsidRPr="00A83C94" w:rsidRDefault="00682DEF" w:rsidP="00682DEF">
      <w:pPr>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 xml:space="preserve">2019թ. ընկերության գործունեությունը եղել է շահութաբեր: Սակայն, 2020թ. COVID-19 համավարակի հետևանքով տնտեսական ակտիվության կտրուկ նվազման հետ մեկտեղ, ընկերությունն արձանագրել է շատ ավելի ցածր հասույթի մակարդակ (մոտ 25 տոկոս կրճատում), ինչը խիստ ազդեցություն է ունեցել ընկերության գործունեության վրա (ցածր գործառնական շահույթի մակարդակ, դրամական հոսքերի և փոխառու կապիտալից ստացվող եկամտի նվազում): Ի լրումն, ավելացան նաև արտարժույթի փոխարժեքի հետ կապված վնասները՝ ԱՄՆ դոլարի և Եվրոյի նկատմամբ արժեզրկման հետևանքով, ինչը հանգեցրեց պարտքի սպասարկման առավել մեծ ծախսերի: Արդյունքում, 2020թ. զուտ վնասները գերազանցել են հասույթը և ընկերությունն արձանագրել է սեփական կապիտալի բացասական մակարդակ՝ չնայած բաժնետերերի կողմից հավելյալ սեփական կապիտալի ներարկմանը: Ընկերությունը շարունակում է սպասարկել իր վարկերը՝ շնորհիվ բաժնետերերի հավելյալ աջակցության, որոնք տրամադրել են ավելի քան 10 մլրդ դրամ ծավալով արտակարգ աջակցության վարկ (համարժեք է ընկերության 2020թ. հասույթին): </w:t>
      </w:r>
    </w:p>
    <w:p w14:paraId="40BFCAFD" w14:textId="77777777" w:rsidR="00682DEF" w:rsidRPr="00A83C94" w:rsidRDefault="00682DEF" w:rsidP="00682DEF">
      <w:pPr>
        <w:shd w:val="clear" w:color="auto" w:fill="FFFFFF"/>
        <w:spacing w:before="0" w:line="276" w:lineRule="auto"/>
        <w:ind w:right="20" w:firstLine="432"/>
        <w:contextualSpacing w:val="0"/>
        <w:rPr>
          <w:rFonts w:eastAsia="Calibri"/>
          <w:b w:val="0"/>
          <w:bCs/>
          <w:iCs/>
          <w:szCs w:val="22"/>
          <w:lang w:val="hy-AM" w:eastAsia="en-US"/>
        </w:rPr>
      </w:pPr>
      <w:r w:rsidRPr="00A83C94">
        <w:rPr>
          <w:rFonts w:eastAsia="Calibri" w:cs="Sylfaen"/>
          <w:b w:val="0"/>
          <w:bCs/>
          <w:iCs/>
          <w:szCs w:val="22"/>
          <w:lang w:val="hy-AM" w:eastAsia="en-US"/>
        </w:rPr>
        <w:t>Հասույթի</w:t>
      </w:r>
      <w:r w:rsidRPr="00A83C94">
        <w:rPr>
          <w:rFonts w:eastAsia="Calibri"/>
          <w:b w:val="0"/>
          <w:bCs/>
          <w:iCs/>
          <w:szCs w:val="22"/>
          <w:lang w:val="hy-AM" w:eastAsia="en-US"/>
        </w:rPr>
        <w:t xml:space="preserve"> գեներացումը պետք է բարելավվի 2021թ., սակայն վերականգնման տեմպի մասով դեռևս անորոշություն կա: Ֆիսկալ ռիսկի կարգավիճակը նշանակալի է՝ հաշվի առնելով ընկերության ֆինանսական վիճակը և այն փաստը, որ ընկերությանը չեն բավարարում հաստատված սակագները: Ամեն դեպքում, մեղմացուցիչ գործոն է նաև այն, որ բաժնետերերը, որոնք հանդիսացել և 2020թ. ընթացքում շարունակել են հանդիսանալ շահութաբեր ընկերությունների խումբ, 2020թ. ընթացքում աջակցել են ընկերությանը:</w:t>
      </w:r>
    </w:p>
    <w:p w14:paraId="18DB15B8"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«Ռենկո Ս.Պ.Ա.» և «Արմփաուեր» ՓԲԸ (Երևանի նոր ՋԷԿ)</w:t>
      </w:r>
    </w:p>
    <w:p w14:paraId="27DCE419"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Ընկերությունը Երևան քաղաքում կառուցում է ջերմային էլեկտրակայան, հանդիսանում է աշխարհում էլեկտրաէներգիայի արտադրության խոշոր գործունեություն իրականացնող իտալական Ռենկո էներգետիկական խմբի և գերմանական Սիմենս խմբի դուստր ընկերություն: Ծրագիրը գտնվում է շինարարության փուլում: Ծրագրի գնահատված արժեքը կազմում է մոտ 300 միլիոն ԱՄՆ դոլար, որի 70 տոկոսը ֆինանսավորվում է ՄՖԿ վարկի միջոցով: Կոնցեսիայի ժամկետը կազմում է 20 տարի՝ սկսած առևտրային շահագործման մեկնարկից, որը նախատեսվում է 2022թ.: 2020թ. վերջի դրությամբ, ավարտված էին ծրագրի աշխատանքների 75 տոկոսը, իսկ 2021թ. մարտի վերջի դրությամբ՝ 78 տոկոսը: Փաստացի, COVID-19 համավարակի հետևանքով, շինարարության մասով եղել է 168 օր ուշացում, սակայն ընկերության կողմից ձեռնարկված վերջին միջոցները թույլ են տալիս նշված ուշացումը կրճատել 45 օրով: Այս ուշացումից առաջացող գերածախսերը գնահատվում են 6 մլն ԱՄՆ դոլար, իսկ կայանի շահագործման հանձնումը կհետաձգվի առնվազն 4 ամսով: Ենթադրվում է, որ հավելյալ ծախսերը ծածկվելու են բաժնետերերի կամ լրացուցիչ պարտքի ներգրավման միջոցով:</w:t>
      </w:r>
    </w:p>
    <w:p w14:paraId="60276C05" w14:textId="77777777" w:rsidR="00682DEF" w:rsidRPr="00A83C94" w:rsidRDefault="00682DEF" w:rsidP="00682DEF">
      <w:pPr>
        <w:shd w:val="clear" w:color="auto" w:fill="FFFFFF"/>
        <w:spacing w:before="0" w:line="276" w:lineRule="auto"/>
        <w:ind w:right="20" w:firstLine="230"/>
        <w:contextualSpacing w:val="0"/>
        <w:rPr>
          <w:rFonts w:eastAsia="Calibri"/>
          <w:b w:val="0"/>
          <w:szCs w:val="22"/>
          <w:lang w:val="hy-AM" w:eastAsia="en-US"/>
        </w:rPr>
      </w:pPr>
      <w:r w:rsidRPr="00A83C94">
        <w:rPr>
          <w:rFonts w:eastAsia="Calibri"/>
          <w:b w:val="0"/>
          <w:szCs w:val="22"/>
          <w:lang w:val="hy-AM" w:eastAsia="en-US"/>
        </w:rPr>
        <w:t>Հիմնական պայմանական պարտավորությունը ՀՀ կառավարության կողմից պարտավորությունների չկատարման հետևանքով պայմանագրի վաղաժամ դադարեցման դեպքում կայանի հետգնման պարտավորությունն է (նյութականացման դեպքերն են՝ օտարումը, բռնագրավումը, զավթումը, կառավարությանն առնչվող անվճարունակության դեպքի տեղի ունենալը, պայմանագրի շրջանակներում պետության կողմից տրված հավաստիացումների և երաշխիքների էական խախտումը, ծրագրի կառուցման կամ շահագործման՝ Կառուցապատողի կարողության վրա էականորեն և անբարենպաստ կերպով ազդող օրենսդրական փոփոխությունը): Առաջին տարվանից հետո, պայմանական պարտավորության գումարին կավելանա 15 տոկոս հավելավճար՝ ի հավելումն ներդրման գումարի, իսկ այնուհետև գումարը կնվազի տարեկան 4 տոկոսով:</w:t>
      </w:r>
    </w:p>
    <w:p w14:paraId="6367ECF5" w14:textId="77777777" w:rsidR="00682DEF" w:rsidRPr="00A83C94" w:rsidRDefault="00682DEF" w:rsidP="00682DEF">
      <w:pPr>
        <w:shd w:val="clear" w:color="auto" w:fill="FFFFFF"/>
        <w:tabs>
          <w:tab w:val="left" w:pos="10206"/>
        </w:tabs>
        <w:spacing w:before="0" w:line="276" w:lineRule="auto"/>
        <w:ind w:right="144" w:firstLine="230"/>
        <w:contextualSpacing w:val="0"/>
        <w:rPr>
          <w:rFonts w:eastAsia="Calibri"/>
          <w:b w:val="0"/>
          <w:szCs w:val="22"/>
          <w:lang w:val="hy-AM" w:eastAsia="en-US"/>
        </w:rPr>
      </w:pPr>
      <w:r w:rsidRPr="00A83C94">
        <w:rPr>
          <w:rFonts w:eastAsia="Calibri"/>
          <w:b w:val="0"/>
          <w:szCs w:val="22"/>
          <w:lang w:val="hy-AM" w:eastAsia="en-US"/>
        </w:rPr>
        <w:t>Առկա է նաև պետության կողմից երաշխավորված՝ ՀԷՑ ընկերության պարտավորություն՝ գնել արտադրված ամբողջ էլեկտրաէներգիան, իսկ չգնելու դեպքում՝ վճարել փոխհատուցում, սակայն այդ պայմանական պարտավորությունը դեռևս չի գործում, քանի որ կայանը դեռ շահագործման չի հանձնվել:</w:t>
      </w:r>
    </w:p>
    <w:p w14:paraId="24FA577C" w14:textId="77777777" w:rsidR="00682DEF" w:rsidRPr="00A83C94" w:rsidRDefault="00682DEF" w:rsidP="00682DEF">
      <w:pPr>
        <w:shd w:val="clear" w:color="auto" w:fill="FFFFFF"/>
        <w:tabs>
          <w:tab w:val="left" w:pos="10206"/>
        </w:tabs>
        <w:spacing w:before="0" w:line="276" w:lineRule="auto"/>
        <w:ind w:right="144" w:firstLine="230"/>
        <w:contextualSpacing w:val="0"/>
        <w:rPr>
          <w:rFonts w:eastAsia="Calibri"/>
          <w:b w:val="0"/>
          <w:szCs w:val="22"/>
          <w:lang w:val="hy-AM" w:eastAsia="en-US"/>
        </w:rPr>
      </w:pPr>
      <w:r w:rsidRPr="00A83C94">
        <w:rPr>
          <w:rFonts w:eastAsia="Calibri"/>
          <w:b w:val="0"/>
          <w:szCs w:val="22"/>
          <w:lang w:val="hy-AM" w:eastAsia="en-US"/>
        </w:rPr>
        <w:t>Քանի որ ծրագիրն այլևս հնարավոր չէ դադարեցնել կամ էլ ծրագրի իրականացումը ստանձնելու դեպքում պետությունը ստիպված կլինի այն ավարտին հասցնել, ապա ներկայում պայմանական պարտավորությունը սահմանափակվում է ներդրման 300 մլն ԱՄՆ դոլար գումարով: Առևտրային շահագործման մեկնարկից հետո այդ գումարը ժամանակավորապես կբարձրանա:</w:t>
      </w:r>
    </w:p>
    <w:p w14:paraId="32FAF9C7" w14:textId="77777777" w:rsidR="00682DEF" w:rsidRPr="00A83C94" w:rsidRDefault="00682DEF" w:rsidP="00682DEF">
      <w:pPr>
        <w:shd w:val="clear" w:color="auto" w:fill="FFFFFF"/>
        <w:tabs>
          <w:tab w:val="left" w:pos="10206"/>
        </w:tabs>
        <w:spacing w:before="0" w:line="276" w:lineRule="auto"/>
        <w:ind w:right="144" w:firstLine="230"/>
        <w:contextualSpacing w:val="0"/>
        <w:rPr>
          <w:rFonts w:eastAsia="Calibri"/>
          <w:b w:val="0"/>
          <w:bCs/>
          <w:iCs/>
          <w:szCs w:val="22"/>
          <w:lang w:val="hy-AM" w:eastAsia="en-US"/>
        </w:rPr>
      </w:pPr>
      <w:r w:rsidRPr="00A83C94">
        <w:rPr>
          <w:rFonts w:eastAsia="Calibri"/>
          <w:b w:val="0"/>
          <w:bCs/>
          <w:iCs/>
          <w:szCs w:val="22"/>
          <w:lang w:val="hy-AM" w:eastAsia="en-US"/>
        </w:rPr>
        <w:t>Հաշվի առնելով COVID-19 համավարակը, որը հանգեցրել է աշխատանքների էական ուշացման, ինչպես նաև ապագայում վաճառվելիք էլեկտրաէներգիայի հնարավոր ծավալների շուրջ անորոշության (ինչը բարձրացնում է վերը նշված ՀԷՑ-ի պարտավորության ռիսկայնությունը), ծրագրի ֆիսկալ ռիսկի կարգավիճակը գնահատվում է միջին:</w:t>
      </w:r>
    </w:p>
    <w:p w14:paraId="614D16F1"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 xml:space="preserve"> «Մասրիկ-1» արևային ֆոտովոլտային կայան </w:t>
      </w:r>
    </w:p>
    <w:p w14:paraId="6575F89C"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Այս նախագծի շրջանակներում կառուցվում է առաջին ամենամեծ արևային էլեկտրակայանը՝ 55 Մվտ դրվածքային հզորությամբ: Այն պատկանում է La Providencia և FRV իսպանական մասնագիտացված խմբերին և ֆինանսավորվում է IFC-ի, EBRD-ի և Ֆինլանդիայի կառավարության վարկային միջոցներով: Ծրագրի ընդհանուր արժեքը 50.2 մլն ԱՄՆ դոլար է: Ֆինանսական փակումը տեղի է ունեցել 2020թ. հուլիսին, իսկ աշխատանքները նախատեսվում է ավարտել 2022թ-ին:</w:t>
      </w:r>
    </w:p>
    <w:p w14:paraId="79CF6970"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Նախագծի իրականացման արդյունքում առկա են մի շարք պայմանական պարտավորություններ, մասնավորապես արտադրվող էլեկտրաէներգիայի համար գնման երաշխիք ՀՀ կառավարության կողմից, և անբարենպաստ իրադարձությունների դիմաց լրացուցիչ հատուցման իրավունք, որը կարող է առաջանալ միայն շինարարության ավարտից մեկ տարվա ընթացքում:</w:t>
      </w:r>
    </w:p>
    <w:p w14:paraId="250CD5B1"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 xml:space="preserve">Հիմնական պայմանական պարտավորությունը գործարքի ֆինանսական կայացումից հետո վաղաժամ դադարեցումն է՝ ՀՀ կառավարության գործողությունների հետևանքով, տարբեր հիմքերով (ա) Կառավարությունը չի կատարում իր կողմից պարտավորություն հանդիսացող որևէ վճար, (բ) որևէ պետական մարմնի կողմից էքսպրոպրիացիայի կամ հարկադիր ձեռքբերման է ենթարկվել ծրագրի տարածքը, կայանը, գ) Կառավարությանը վերաբերող անվճարունակության դեպք, դ) Օրենքի փոփոխություն կամ անբարենպաստ պայմանի դեպք, որը վերացված կամ փոփոխված չէ 180 (մեկ հարյուր ութսուն) օրվա ընթացքում և անհնար է դարձնում կայանի կառուցումը կամ շահագործումը: Կառուցապատողի կողմից. ե) Կառավարության կողմից Համաձայնագրի ցանկացած այլ էական խախտում, եթե այդ խախտումը չի վերացվել 180 օրվա ընթացքում: </w:t>
      </w:r>
    </w:p>
    <w:p w14:paraId="786E9F45" w14:textId="77777777" w:rsidR="00682DEF" w:rsidRPr="00A83C94" w:rsidRDefault="00682DEF" w:rsidP="00682DEF">
      <w:pPr>
        <w:shd w:val="clear" w:color="auto" w:fill="FFFFFF"/>
        <w:tabs>
          <w:tab w:val="left" w:pos="10206"/>
        </w:tabs>
        <w:spacing w:before="0" w:line="276" w:lineRule="auto"/>
        <w:ind w:right="150" w:firstLine="230"/>
        <w:contextualSpacing w:val="0"/>
        <w:rPr>
          <w:b w:val="0"/>
          <w:color w:val="000000"/>
          <w:szCs w:val="22"/>
          <w:lang w:val="hy-AM"/>
        </w:rPr>
      </w:pPr>
      <w:r w:rsidRPr="00A83C94">
        <w:rPr>
          <w:b w:val="0"/>
          <w:color w:val="000000"/>
          <w:szCs w:val="22"/>
          <w:lang w:val="hy-AM"/>
        </w:rPr>
        <w:t>Կիրառելի բանաձևը թույլ է տվել հաշվարկել առավելագույնը 26.2 մլրդ ՀՀ դրամի փոխհատուցում, որն այնուհետև կնվազի շինարարության ավարտից հետո: Ինչպես նշվեց, այլ պայմանական պարտավորությունները դեռ չեն կարող չափվել:</w:t>
      </w:r>
    </w:p>
    <w:p w14:paraId="46E10E35" w14:textId="77777777" w:rsidR="00682DEF" w:rsidRPr="00A83C94" w:rsidRDefault="00682DEF" w:rsidP="00682DEF">
      <w:pPr>
        <w:shd w:val="clear" w:color="auto" w:fill="FFFFFF"/>
        <w:tabs>
          <w:tab w:val="left" w:pos="10206"/>
        </w:tabs>
        <w:spacing w:before="0" w:line="276" w:lineRule="auto"/>
        <w:ind w:right="150" w:firstLine="232"/>
        <w:contextualSpacing w:val="0"/>
        <w:rPr>
          <w:b w:val="0"/>
          <w:color w:val="000000"/>
          <w:szCs w:val="22"/>
          <w:lang w:val="hy-AM"/>
        </w:rPr>
      </w:pPr>
      <w:r w:rsidRPr="00A83C94">
        <w:rPr>
          <w:b w:val="0"/>
          <w:color w:val="000000"/>
          <w:szCs w:val="22"/>
          <w:lang w:val="hy-AM"/>
        </w:rPr>
        <w:t>Հաշվի առնելով Covid-19 համավարակի հետևանքներից բխող անորոշությունների ներկա համատեքստը և հովանավորների ֆինանսական վիճակի ու շինարարության առաջընթացի կարգավիճակի վերաբերյալ տեղեկատվության բացակայությունը, նախագծի ֆիսկալ ռիսկի կարգավիճակը դասակարգվում է միջին:</w:t>
      </w:r>
    </w:p>
    <w:p w14:paraId="42EACFB6" w14:textId="77777777" w:rsidR="00682DEF" w:rsidRPr="00A83C94" w:rsidRDefault="00682DEF" w:rsidP="00682DEF">
      <w:pPr>
        <w:spacing w:before="0" w:line="276" w:lineRule="auto"/>
        <w:ind w:firstLine="0"/>
        <w:contextualSpacing w:val="0"/>
        <w:rPr>
          <w:rFonts w:eastAsia="Calibri"/>
          <w:bCs/>
          <w:sz w:val="20"/>
          <w:szCs w:val="20"/>
          <w:lang w:val="hy-AM" w:eastAsia="en-US"/>
        </w:rPr>
      </w:pPr>
      <w:r w:rsidRPr="00A83C94">
        <w:rPr>
          <w:rFonts w:eastAsia="Calibri" w:cs="Sylfaen"/>
          <w:sz w:val="20"/>
          <w:szCs w:val="20"/>
          <w:lang w:val="hy-AM" w:eastAsia="en-US"/>
        </w:rPr>
        <w:t>2020թ</w:t>
      </w:r>
      <w:r w:rsidRPr="00A83C94">
        <w:rPr>
          <w:rFonts w:eastAsia="Calibri"/>
          <w:bCs/>
          <w:sz w:val="20"/>
          <w:szCs w:val="20"/>
          <w:lang w:val="hy-AM" w:eastAsia="en-US"/>
        </w:rPr>
        <w:t>. դեկտեմբերի դրությամբ ՊՄԳ ծրագրերի գծով պայմանական պարտավորությունների ամփոփ աղյուսակ</w:t>
      </w:r>
    </w:p>
    <w:p w14:paraId="452F4565" w14:textId="0D1AAACA" w:rsidR="00682DEF" w:rsidRPr="00A83C94" w:rsidRDefault="00682DEF" w:rsidP="00682DEF">
      <w:pPr>
        <w:keepNext/>
        <w:spacing w:before="0" w:line="240" w:lineRule="auto"/>
        <w:ind w:firstLine="0"/>
        <w:contextualSpacing w:val="0"/>
        <w:jc w:val="left"/>
        <w:rPr>
          <w:rFonts w:eastAsia="Calibri"/>
          <w:bCs/>
          <w:i/>
          <w:color w:val="4F81BD" w:themeColor="accent1"/>
          <w:sz w:val="20"/>
          <w:szCs w:val="20"/>
          <w:lang w:val="hy-AM" w:eastAsia="en-US"/>
        </w:rPr>
      </w:pPr>
      <w:r w:rsidRPr="00A83C94">
        <w:rPr>
          <w:rFonts w:eastAsia="Calibri"/>
          <w:b w:val="0"/>
          <w:bCs/>
          <w:color w:val="4F81BD" w:themeColor="accent1"/>
          <w:sz w:val="20"/>
          <w:szCs w:val="20"/>
          <w:lang w:val="hy-AM" w:eastAsia="en-US"/>
        </w:rPr>
        <w:t>Աղյուսակ 1</w:t>
      </w:r>
      <w:r w:rsidR="006C390E" w:rsidRPr="008B1D49">
        <w:rPr>
          <w:rFonts w:eastAsia="Calibri"/>
          <w:b w:val="0"/>
          <w:bCs/>
          <w:color w:val="4F81BD" w:themeColor="accent1"/>
          <w:sz w:val="20"/>
          <w:szCs w:val="20"/>
          <w:lang w:val="hy-AM" w:eastAsia="en-US"/>
        </w:rPr>
        <w:t>0</w:t>
      </w:r>
      <w:r w:rsidRPr="00A83C94">
        <w:rPr>
          <w:rFonts w:eastAsia="Calibri"/>
          <w:bCs/>
          <w:i/>
          <w:color w:val="4F81BD" w:themeColor="accent1"/>
          <w:sz w:val="20"/>
          <w:szCs w:val="20"/>
          <w:lang w:val="hy-AM" w:eastAsia="en-US"/>
        </w:rPr>
        <w:t xml:space="preserve"> Պայմանական պարտավորությունների ամփոփ հաշվարկ</w:t>
      </w:r>
    </w:p>
    <w:p w14:paraId="41860A15" w14:textId="77777777" w:rsidR="00682DEF" w:rsidRPr="00A83C94" w:rsidRDefault="00682DEF" w:rsidP="00682DEF">
      <w:pPr>
        <w:keepNext/>
        <w:spacing w:before="0" w:line="240" w:lineRule="auto"/>
        <w:ind w:firstLine="0"/>
        <w:contextualSpacing w:val="0"/>
        <w:jc w:val="right"/>
        <w:rPr>
          <w:rFonts w:ascii="Calibri" w:eastAsia="Calibri" w:hAnsi="Calibri"/>
          <w:b w:val="0"/>
          <w:i/>
          <w:iCs/>
          <w:color w:val="44546A"/>
          <w:sz w:val="18"/>
          <w:szCs w:val="18"/>
          <w:lang w:val="hy-AM" w:eastAsia="en-US"/>
        </w:rPr>
      </w:pPr>
      <w:r w:rsidRPr="00A83C94">
        <w:rPr>
          <w:rFonts w:eastAsia="Calibri"/>
          <w:bCs/>
          <w:i/>
          <w:color w:val="4F81BD" w:themeColor="accent1"/>
          <w:sz w:val="20"/>
          <w:szCs w:val="20"/>
          <w:lang w:val="hy-AM" w:eastAsia="en-US"/>
        </w:rPr>
        <w:t xml:space="preserve">                                                                                                        </w:t>
      </w:r>
      <w:r w:rsidRPr="00A83C94">
        <w:rPr>
          <w:rFonts w:eastAsia="Calibri"/>
          <w:bCs/>
          <w:i/>
          <w:color w:val="4F81BD" w:themeColor="accent1"/>
          <w:sz w:val="18"/>
          <w:szCs w:val="18"/>
          <w:lang w:val="hy-AM" w:eastAsia="en-US"/>
        </w:rPr>
        <w:t>մլն</w:t>
      </w:r>
      <w:r w:rsidRPr="00A83C94">
        <w:rPr>
          <w:rFonts w:eastAsia="Calibri"/>
          <w:b w:val="0"/>
          <w:i/>
          <w:iCs/>
          <w:sz w:val="18"/>
          <w:szCs w:val="18"/>
          <w:lang w:val="hy-AM" w:eastAsia="en-US"/>
        </w:rPr>
        <w:t xml:space="preserve"> </w:t>
      </w:r>
      <w:r w:rsidRPr="00A83C94">
        <w:rPr>
          <w:rFonts w:eastAsia="Calibri"/>
          <w:bCs/>
          <w:i/>
          <w:color w:val="4F81BD" w:themeColor="accent1"/>
          <w:sz w:val="18"/>
          <w:szCs w:val="18"/>
          <w:lang w:val="hy-AM" w:eastAsia="en-US"/>
        </w:rPr>
        <w:t>դրամ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6"/>
        <w:gridCol w:w="1079"/>
        <w:gridCol w:w="1942"/>
        <w:gridCol w:w="1296"/>
        <w:gridCol w:w="1313"/>
      </w:tblGrid>
      <w:tr w:rsidR="001A2CC1" w:rsidRPr="00A83C94" w14:paraId="46D6536C" w14:textId="77777777" w:rsidTr="001A2CC1">
        <w:trPr>
          <w:trHeight w:val="310"/>
        </w:trPr>
        <w:tc>
          <w:tcPr>
            <w:tcW w:w="4116" w:type="dxa"/>
            <w:shd w:val="clear" w:color="auto" w:fill="548DD4" w:themeFill="text2" w:themeFillTint="99"/>
          </w:tcPr>
          <w:p w14:paraId="4E3DB207" w14:textId="10C6551D"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Ծրագրի անվանում</w:t>
            </w:r>
          </w:p>
        </w:tc>
        <w:tc>
          <w:tcPr>
            <w:tcW w:w="1079" w:type="dxa"/>
            <w:shd w:val="clear" w:color="auto" w:fill="548DD4" w:themeFill="text2" w:themeFillTint="99"/>
          </w:tcPr>
          <w:p w14:paraId="2FE38DB0" w14:textId="7A190DED"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Այլ      ՊՊ</w:t>
            </w:r>
          </w:p>
        </w:tc>
        <w:tc>
          <w:tcPr>
            <w:tcW w:w="1942" w:type="dxa"/>
            <w:shd w:val="clear" w:color="auto" w:fill="548DD4" w:themeFill="text2" w:themeFillTint="99"/>
          </w:tcPr>
          <w:p w14:paraId="47BF55EE" w14:textId="3B390B50"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Վաղաժամ դադարեցում</w:t>
            </w:r>
          </w:p>
        </w:tc>
        <w:tc>
          <w:tcPr>
            <w:tcW w:w="0" w:type="auto"/>
            <w:shd w:val="clear" w:color="auto" w:fill="548DD4" w:themeFill="text2" w:themeFillTint="99"/>
          </w:tcPr>
          <w:p w14:paraId="12505FC2" w14:textId="757FE979"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Ընդհանուր ՊՊ</w:t>
            </w:r>
          </w:p>
        </w:tc>
        <w:tc>
          <w:tcPr>
            <w:tcW w:w="0" w:type="auto"/>
            <w:shd w:val="clear" w:color="auto" w:fill="548DD4" w:themeFill="text2" w:themeFillTint="99"/>
          </w:tcPr>
          <w:p w14:paraId="30765637" w14:textId="1C571C44" w:rsidR="001A2CC1" w:rsidRPr="001A2CC1" w:rsidRDefault="001A2CC1" w:rsidP="001A2CC1">
            <w:pPr>
              <w:spacing w:before="0" w:line="240" w:lineRule="auto"/>
              <w:ind w:firstLine="0"/>
              <w:contextualSpacing w:val="0"/>
              <w:jc w:val="center"/>
              <w:rPr>
                <w:b w:val="0"/>
                <w:bCs/>
                <w:color w:val="FFFFFF" w:themeColor="background1"/>
                <w:sz w:val="20"/>
                <w:szCs w:val="20"/>
                <w:lang w:val="hy-AM" w:eastAsia="en-US"/>
              </w:rPr>
            </w:pPr>
            <w:r w:rsidRPr="001A2CC1">
              <w:rPr>
                <w:color w:val="FFFFFF" w:themeColor="background1"/>
                <w:sz w:val="20"/>
                <w:szCs w:val="20"/>
                <w:lang w:val="hy-AM" w:eastAsia="en-US"/>
              </w:rPr>
              <w:t>ՀՆԱ նկատմամբ %</w:t>
            </w:r>
          </w:p>
        </w:tc>
      </w:tr>
      <w:tr w:rsidR="001A2CC1" w:rsidRPr="00A83C94" w14:paraId="47FE04D0" w14:textId="77777777" w:rsidTr="00B814B9">
        <w:trPr>
          <w:trHeight w:val="329"/>
        </w:trPr>
        <w:tc>
          <w:tcPr>
            <w:tcW w:w="4116" w:type="dxa"/>
            <w:shd w:val="clear" w:color="auto" w:fill="D9E2F3"/>
          </w:tcPr>
          <w:p w14:paraId="274B2F1A"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«Հարավկովկասյան երկաթուղի» ՓԲԸ</w:t>
            </w:r>
          </w:p>
        </w:tc>
        <w:tc>
          <w:tcPr>
            <w:tcW w:w="1079" w:type="dxa"/>
            <w:shd w:val="clear" w:color="auto" w:fill="D9E2F3"/>
            <w:vAlign w:val="center"/>
          </w:tcPr>
          <w:p w14:paraId="0A5ABC42"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shd w:val="clear" w:color="auto" w:fill="D9E2F3"/>
            <w:vAlign w:val="center"/>
          </w:tcPr>
          <w:p w14:paraId="55F4F236"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100,024.0</w:t>
            </w:r>
          </w:p>
        </w:tc>
        <w:tc>
          <w:tcPr>
            <w:tcW w:w="0" w:type="auto"/>
            <w:shd w:val="clear" w:color="auto" w:fill="D9E2F3"/>
            <w:vAlign w:val="center"/>
          </w:tcPr>
          <w:p w14:paraId="30FCF156"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100,024.0</w:t>
            </w:r>
          </w:p>
        </w:tc>
        <w:tc>
          <w:tcPr>
            <w:tcW w:w="0" w:type="auto"/>
            <w:shd w:val="clear" w:color="auto" w:fill="D9E2F3"/>
            <w:vAlign w:val="center"/>
          </w:tcPr>
          <w:p w14:paraId="72C34369"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1.6</w:t>
            </w:r>
          </w:p>
        </w:tc>
      </w:tr>
      <w:tr w:rsidR="001A2CC1" w:rsidRPr="00A83C94" w14:paraId="1F44E0E2" w14:textId="77777777" w:rsidTr="00B814B9">
        <w:trPr>
          <w:trHeight w:val="419"/>
        </w:trPr>
        <w:tc>
          <w:tcPr>
            <w:tcW w:w="4116" w:type="dxa"/>
          </w:tcPr>
          <w:p w14:paraId="770B682A"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«Վեոլիա Ջուր» ՓԲԸ</w:t>
            </w:r>
          </w:p>
        </w:tc>
        <w:tc>
          <w:tcPr>
            <w:tcW w:w="1079" w:type="dxa"/>
            <w:vAlign w:val="center"/>
          </w:tcPr>
          <w:p w14:paraId="0BA813D7"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18,200.0</w:t>
            </w:r>
          </w:p>
        </w:tc>
        <w:tc>
          <w:tcPr>
            <w:tcW w:w="1942" w:type="dxa"/>
            <w:vAlign w:val="center"/>
          </w:tcPr>
          <w:p w14:paraId="4A0DC6E4"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74,585.0</w:t>
            </w:r>
          </w:p>
        </w:tc>
        <w:tc>
          <w:tcPr>
            <w:tcW w:w="0" w:type="auto"/>
            <w:vAlign w:val="center"/>
          </w:tcPr>
          <w:p w14:paraId="0D9403F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92,785.0</w:t>
            </w:r>
          </w:p>
        </w:tc>
        <w:tc>
          <w:tcPr>
            <w:tcW w:w="0" w:type="auto"/>
            <w:vAlign w:val="center"/>
          </w:tcPr>
          <w:p w14:paraId="02695DEC"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1.5</w:t>
            </w:r>
          </w:p>
        </w:tc>
      </w:tr>
      <w:tr w:rsidR="001A2CC1" w:rsidRPr="00A83C94" w14:paraId="4DFF4B8C" w14:textId="77777777" w:rsidTr="00B814B9">
        <w:trPr>
          <w:trHeight w:val="549"/>
        </w:trPr>
        <w:tc>
          <w:tcPr>
            <w:tcW w:w="4116" w:type="dxa"/>
            <w:shd w:val="clear" w:color="auto" w:fill="D9E2F3"/>
          </w:tcPr>
          <w:p w14:paraId="3073EFC8"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«Արմենիա միջազգային օդանավակայաններ» ՓԲԸ</w:t>
            </w:r>
          </w:p>
        </w:tc>
        <w:tc>
          <w:tcPr>
            <w:tcW w:w="1079" w:type="dxa"/>
            <w:shd w:val="clear" w:color="auto" w:fill="D9E2F3"/>
            <w:vAlign w:val="center"/>
          </w:tcPr>
          <w:p w14:paraId="6AC2A68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35,776.0</w:t>
            </w:r>
          </w:p>
        </w:tc>
        <w:tc>
          <w:tcPr>
            <w:tcW w:w="1942" w:type="dxa"/>
            <w:shd w:val="clear" w:color="auto" w:fill="D9E2F3"/>
            <w:vAlign w:val="center"/>
          </w:tcPr>
          <w:p w14:paraId="487C08FF"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Առկա չէ</w:t>
            </w:r>
          </w:p>
        </w:tc>
        <w:tc>
          <w:tcPr>
            <w:tcW w:w="0" w:type="auto"/>
            <w:shd w:val="clear" w:color="auto" w:fill="D9E2F3"/>
            <w:vAlign w:val="center"/>
          </w:tcPr>
          <w:p w14:paraId="59720B0F"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35,776.0</w:t>
            </w:r>
          </w:p>
        </w:tc>
        <w:tc>
          <w:tcPr>
            <w:tcW w:w="0" w:type="auto"/>
            <w:shd w:val="clear" w:color="auto" w:fill="D9E2F3"/>
            <w:vAlign w:val="center"/>
          </w:tcPr>
          <w:p w14:paraId="071F11EC"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0.6</w:t>
            </w:r>
          </w:p>
        </w:tc>
      </w:tr>
      <w:tr w:rsidR="001A2CC1" w:rsidRPr="00A83C94" w14:paraId="1AC79704" w14:textId="77777777" w:rsidTr="00B814B9">
        <w:trPr>
          <w:trHeight w:val="419"/>
        </w:trPr>
        <w:tc>
          <w:tcPr>
            <w:tcW w:w="4116" w:type="dxa"/>
          </w:tcPr>
          <w:p w14:paraId="56021845"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«Քոնթուր Գլոբալ հիդրո կասկադ» ՓԲԸ</w:t>
            </w:r>
          </w:p>
        </w:tc>
        <w:tc>
          <w:tcPr>
            <w:tcW w:w="1079" w:type="dxa"/>
            <w:vAlign w:val="center"/>
          </w:tcPr>
          <w:p w14:paraId="2969E3D0"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vAlign w:val="center"/>
          </w:tcPr>
          <w:p w14:paraId="5E5566BF"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99,600.0</w:t>
            </w:r>
          </w:p>
        </w:tc>
        <w:tc>
          <w:tcPr>
            <w:tcW w:w="0" w:type="auto"/>
            <w:vAlign w:val="center"/>
          </w:tcPr>
          <w:p w14:paraId="0D539278"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99,600.0</w:t>
            </w:r>
          </w:p>
        </w:tc>
        <w:tc>
          <w:tcPr>
            <w:tcW w:w="0" w:type="auto"/>
            <w:vAlign w:val="center"/>
          </w:tcPr>
          <w:p w14:paraId="5A26BA58"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1.6</w:t>
            </w:r>
          </w:p>
        </w:tc>
      </w:tr>
      <w:tr w:rsidR="001A2CC1" w:rsidRPr="00A83C94" w14:paraId="0AD71FAC" w14:textId="77777777" w:rsidTr="00B814B9">
        <w:trPr>
          <w:trHeight w:val="425"/>
        </w:trPr>
        <w:tc>
          <w:tcPr>
            <w:tcW w:w="4116" w:type="dxa"/>
            <w:shd w:val="clear" w:color="auto" w:fill="D9E2F3"/>
          </w:tcPr>
          <w:p w14:paraId="75F92E25"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«Արմփաուեր» ՓԲԸ</w:t>
            </w:r>
          </w:p>
        </w:tc>
        <w:tc>
          <w:tcPr>
            <w:tcW w:w="1079" w:type="dxa"/>
            <w:shd w:val="clear" w:color="auto" w:fill="D9E2F3"/>
            <w:vAlign w:val="center"/>
          </w:tcPr>
          <w:p w14:paraId="736C3C65"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shd w:val="clear" w:color="auto" w:fill="D9E2F3"/>
            <w:vAlign w:val="center"/>
          </w:tcPr>
          <w:p w14:paraId="1A55F1BE"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156,000.0</w:t>
            </w:r>
          </w:p>
        </w:tc>
        <w:tc>
          <w:tcPr>
            <w:tcW w:w="0" w:type="auto"/>
            <w:shd w:val="clear" w:color="auto" w:fill="D9E2F3"/>
            <w:vAlign w:val="center"/>
          </w:tcPr>
          <w:p w14:paraId="6E27D405"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156,000.0</w:t>
            </w:r>
          </w:p>
        </w:tc>
        <w:tc>
          <w:tcPr>
            <w:tcW w:w="0" w:type="auto"/>
            <w:shd w:val="clear" w:color="auto" w:fill="D9E2F3"/>
            <w:vAlign w:val="center"/>
          </w:tcPr>
          <w:p w14:paraId="08FDC765"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2.5</w:t>
            </w:r>
          </w:p>
        </w:tc>
      </w:tr>
      <w:tr w:rsidR="001A2CC1" w:rsidRPr="00A83C94" w14:paraId="6ACC828E" w14:textId="77777777" w:rsidTr="00B814B9">
        <w:trPr>
          <w:trHeight w:val="404"/>
        </w:trPr>
        <w:tc>
          <w:tcPr>
            <w:tcW w:w="4116" w:type="dxa"/>
          </w:tcPr>
          <w:p w14:paraId="79E6C2E0"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«Էֆարվի Մասրիկ» ՓԲԸ</w:t>
            </w:r>
          </w:p>
        </w:tc>
        <w:tc>
          <w:tcPr>
            <w:tcW w:w="1079" w:type="dxa"/>
            <w:vAlign w:val="center"/>
          </w:tcPr>
          <w:p w14:paraId="24CF10D3"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ascii="Calibri" w:hAnsi="Calibri" w:cs="Calibri"/>
                <w:b w:val="0"/>
                <w:color w:val="000000"/>
                <w:sz w:val="20"/>
                <w:szCs w:val="20"/>
                <w:lang w:val="hy-AM" w:eastAsia="en-US"/>
              </w:rPr>
              <w:t> </w:t>
            </w:r>
          </w:p>
        </w:tc>
        <w:tc>
          <w:tcPr>
            <w:tcW w:w="1942" w:type="dxa"/>
            <w:vAlign w:val="center"/>
          </w:tcPr>
          <w:p w14:paraId="36C53576"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26,169.0</w:t>
            </w:r>
          </w:p>
        </w:tc>
        <w:tc>
          <w:tcPr>
            <w:tcW w:w="0" w:type="auto"/>
            <w:vAlign w:val="center"/>
          </w:tcPr>
          <w:p w14:paraId="46A0BC4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26,169.0</w:t>
            </w:r>
          </w:p>
        </w:tc>
        <w:tc>
          <w:tcPr>
            <w:tcW w:w="0" w:type="auto"/>
            <w:vAlign w:val="center"/>
          </w:tcPr>
          <w:p w14:paraId="1F646D94"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0.4</w:t>
            </w:r>
          </w:p>
        </w:tc>
      </w:tr>
      <w:tr w:rsidR="001A2CC1" w:rsidRPr="00A83C94" w14:paraId="0BF380D1" w14:textId="77777777" w:rsidTr="00B814B9">
        <w:trPr>
          <w:trHeight w:val="423"/>
        </w:trPr>
        <w:tc>
          <w:tcPr>
            <w:tcW w:w="4116" w:type="dxa"/>
            <w:shd w:val="clear" w:color="auto" w:fill="D9E2F3"/>
          </w:tcPr>
          <w:p w14:paraId="42B97FD7" w14:textId="77777777" w:rsidR="001A2CC1" w:rsidRPr="00A83C94" w:rsidRDefault="001A2CC1" w:rsidP="001A2CC1">
            <w:pPr>
              <w:spacing w:before="0" w:line="240" w:lineRule="auto"/>
              <w:ind w:firstLine="0"/>
              <w:contextualSpacing w:val="0"/>
              <w:jc w:val="left"/>
              <w:rPr>
                <w:rFonts w:cs="Sylfaen"/>
                <w:bCs/>
                <w:sz w:val="20"/>
                <w:szCs w:val="20"/>
                <w:lang w:val="hy-AM" w:eastAsia="en-US"/>
              </w:rPr>
            </w:pPr>
            <w:r w:rsidRPr="00A83C94">
              <w:rPr>
                <w:rFonts w:cs="Sylfaen"/>
                <w:b w:val="0"/>
                <w:sz w:val="20"/>
                <w:szCs w:val="20"/>
                <w:lang w:val="hy-AM" w:eastAsia="en-US"/>
              </w:rPr>
              <w:t>Ընդամենը</w:t>
            </w:r>
          </w:p>
        </w:tc>
        <w:tc>
          <w:tcPr>
            <w:tcW w:w="1079" w:type="dxa"/>
            <w:shd w:val="clear" w:color="auto" w:fill="D9E2F3"/>
            <w:vAlign w:val="center"/>
          </w:tcPr>
          <w:p w14:paraId="616A377E"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53,976.0</w:t>
            </w:r>
          </w:p>
        </w:tc>
        <w:tc>
          <w:tcPr>
            <w:tcW w:w="1942" w:type="dxa"/>
            <w:shd w:val="clear" w:color="auto" w:fill="D9E2F3"/>
            <w:vAlign w:val="center"/>
          </w:tcPr>
          <w:p w14:paraId="42DFB530"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456,378.0</w:t>
            </w:r>
          </w:p>
        </w:tc>
        <w:tc>
          <w:tcPr>
            <w:tcW w:w="0" w:type="auto"/>
            <w:shd w:val="clear" w:color="auto" w:fill="D9E2F3"/>
            <w:vAlign w:val="center"/>
          </w:tcPr>
          <w:p w14:paraId="1B36D92B"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510,354.0</w:t>
            </w:r>
          </w:p>
        </w:tc>
        <w:tc>
          <w:tcPr>
            <w:tcW w:w="0" w:type="auto"/>
            <w:shd w:val="clear" w:color="auto" w:fill="D9E2F3"/>
            <w:vAlign w:val="center"/>
          </w:tcPr>
          <w:p w14:paraId="2235FB39" w14:textId="77777777" w:rsidR="001A2CC1" w:rsidRPr="00A83C94" w:rsidRDefault="001A2CC1" w:rsidP="001A2CC1">
            <w:pPr>
              <w:spacing w:before="0" w:line="240" w:lineRule="auto"/>
              <w:ind w:firstLine="0"/>
              <w:contextualSpacing w:val="0"/>
              <w:jc w:val="center"/>
              <w:rPr>
                <w:b w:val="0"/>
                <w:sz w:val="20"/>
                <w:szCs w:val="20"/>
                <w:lang w:val="hy-AM" w:eastAsia="en-US"/>
              </w:rPr>
            </w:pPr>
            <w:r w:rsidRPr="00A83C94">
              <w:rPr>
                <w:rFonts w:cs="Calibri"/>
                <w:b w:val="0"/>
                <w:color w:val="000000"/>
                <w:sz w:val="20"/>
                <w:szCs w:val="20"/>
                <w:lang w:val="hy-AM" w:eastAsia="en-US"/>
              </w:rPr>
              <w:t>8.26</w:t>
            </w:r>
          </w:p>
        </w:tc>
      </w:tr>
    </w:tbl>
    <w:p w14:paraId="17A193DE" w14:textId="77777777" w:rsidR="00682DEF" w:rsidRPr="00A83C94" w:rsidRDefault="00682DEF" w:rsidP="00682DEF">
      <w:pPr>
        <w:shd w:val="clear" w:color="auto" w:fill="FFFFFF"/>
        <w:spacing w:before="0" w:line="276" w:lineRule="auto"/>
        <w:ind w:right="150" w:firstLine="227"/>
        <w:contextualSpacing w:val="0"/>
        <w:rPr>
          <w:b w:val="0"/>
          <w:color w:val="000000"/>
          <w:szCs w:val="22"/>
          <w:lang w:val="hy-AM"/>
        </w:rPr>
      </w:pPr>
      <w:r w:rsidRPr="00A83C94">
        <w:rPr>
          <w:b w:val="0"/>
          <w:color w:val="000000"/>
          <w:szCs w:val="22"/>
          <w:lang w:val="hy-AM"/>
        </w:rPr>
        <w:t xml:space="preserve">Հաշվարկը հիմնված է 2020թ. վերջին արդեն իսկ մշակված պարտավորությունների տվյալների բազայի թարմացված տարբերակի վրա: </w:t>
      </w:r>
    </w:p>
    <w:p w14:paraId="2CB25922" w14:textId="77777777" w:rsidR="00682DEF" w:rsidRPr="00A83C94" w:rsidRDefault="00682DEF" w:rsidP="00682DEF">
      <w:pPr>
        <w:shd w:val="clear" w:color="auto" w:fill="FFFFFF"/>
        <w:spacing w:before="0" w:line="276" w:lineRule="auto"/>
        <w:ind w:left="2" w:right="150" w:firstLine="1"/>
        <w:contextualSpacing w:val="0"/>
        <w:rPr>
          <w:b w:val="0"/>
          <w:color w:val="000000"/>
          <w:szCs w:val="22"/>
          <w:lang w:val="hy-AM"/>
        </w:rPr>
      </w:pPr>
      <w:r w:rsidRPr="00A83C94">
        <w:rPr>
          <w:b w:val="0"/>
          <w:color w:val="000000"/>
          <w:szCs w:val="22"/>
          <w:lang w:val="hy-AM"/>
        </w:rPr>
        <w:t xml:space="preserve">2021 թվականի հունիսի 18 կառավարության որոշմամբ հաստատվել է Հայաստանում արդյունաբերական մասշտաբի «Այգ-1» արևային ֆոտովոլտային ծրագրի շրջանակում կազմակերպված մրցույթի ընթացակարգի արդյունքները՝ հաղթող ճանաչելով «Աբու Դաբի Ֆյուչեր Էներջի Քոմփանի» ՀԲԸ («Մասդար»)։ Ծրագրի իրականացման շուրջ կնքվելու է կառավարության աջակցության համաձայնագիր, ֆինանսական կայացման վերջնաժամկետ է սահմանվում 2022 թվականի դեկտեմբեր ամիսը։ </w:t>
      </w:r>
    </w:p>
    <w:p w14:paraId="51122AA4" w14:textId="77777777" w:rsidR="00682DEF" w:rsidRPr="00A83C94" w:rsidRDefault="00682DEF" w:rsidP="00682DEF">
      <w:pPr>
        <w:shd w:val="clear" w:color="auto" w:fill="FFFFFF"/>
        <w:spacing w:before="0" w:line="276" w:lineRule="auto"/>
        <w:ind w:left="2" w:right="150" w:firstLine="1"/>
        <w:contextualSpacing w:val="0"/>
        <w:rPr>
          <w:b w:val="0"/>
          <w:color w:val="000000"/>
          <w:szCs w:val="22"/>
          <w:lang w:val="hy-AM"/>
        </w:rPr>
      </w:pPr>
    </w:p>
    <w:p w14:paraId="40FAC5BF" w14:textId="77777777" w:rsidR="00682DEF" w:rsidRPr="00A83C94" w:rsidRDefault="00682DEF" w:rsidP="00B814B9">
      <w:pPr>
        <w:shd w:val="clear" w:color="auto" w:fill="FFFFFF"/>
        <w:spacing w:before="0" w:line="276" w:lineRule="auto"/>
        <w:ind w:right="144" w:firstLine="432"/>
        <w:contextualSpacing w:val="0"/>
        <w:rPr>
          <w:b w:val="0"/>
          <w:color w:val="000000"/>
          <w:szCs w:val="22"/>
          <w:lang w:val="hy-AM"/>
        </w:rPr>
      </w:pPr>
      <w:r w:rsidRPr="00A83C94">
        <w:rPr>
          <w:rFonts w:eastAsia="Calibri"/>
          <w:color w:val="000000"/>
          <w:szCs w:val="22"/>
          <w:lang w:val="hy-AM" w:eastAsia="en-US"/>
        </w:rPr>
        <w:t>Բնական և մարդածին աղետներից առաջացող ֆիսկալ ռիսկեր</w:t>
      </w:r>
    </w:p>
    <w:p w14:paraId="6F810700" w14:textId="77777777" w:rsidR="00682DEF" w:rsidRPr="00A83C94" w:rsidRDefault="00682DEF" w:rsidP="00682DEF">
      <w:pPr>
        <w:keepNext/>
        <w:spacing w:before="0" w:line="276" w:lineRule="auto"/>
        <w:ind w:firstLine="0"/>
        <w:contextualSpacing w:val="0"/>
        <w:jc w:val="left"/>
        <w:rPr>
          <w:rFonts w:eastAsia="Calibri"/>
          <w:bCs/>
          <w:i/>
          <w:color w:val="4F81BD" w:themeColor="accent1"/>
          <w:sz w:val="20"/>
          <w:szCs w:val="20"/>
          <w:lang w:val="hy-AM" w:eastAsia="en-US"/>
        </w:rPr>
      </w:pPr>
    </w:p>
    <w:p w14:paraId="43F68A4E"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Աղետների ռիսկերը կարող են ունենալ հիմնականում բնական պատճառներ, հատկապես՝ հիդրոօդերևութաբանական (ջրհեղեղներ, կարկտահարություն, ցրտահարություն, երաշտ, փոթորիկ), երկրաֆիզիկական (երկրաշարժ, հրաբխի ժայթքում, սողանք), կենսաբանական (համաճարակներ և պանդեմիաներ, սանիտարական այլ ճգնաժամեր), տիեզերական (հեռահաղորդակցության և էլեկտրաէներգետիկ խափանումների հանգեցնող արեգակնային փոթորիկներ): Սակայն, կարող են լինել նաև այլ պատճառներ, հատկապես՝ տեխնոլոգիական, բնատեխնածին:</w:t>
      </w:r>
    </w:p>
    <w:p w14:paraId="64249D3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2019թ. բնական աղետների (կարկտահարություն և ցրտահարություն) հետևանքով վնասվել է 15698 հա ցանքատարածություններ, որոնց հասցված ընդհանուր վնասը կազմել է 9,578 մլն դրամ: 50-100% տուժած հողօգտագործողներին տրամադրվել է 437.0 մլն դրամ գումարի փոխհատուցում: 2020թ. տեղի ունեցած բնական աղետների հետևանքով կրած վնասի փոխհատուցում չի նախատեսվել, քանի որ պետական աջակցության միջոցով իրականացվում է գյուղատնտեսության ոլորտում ապահովագրական համակարգի ներդրման փորձնական ծրագիր: </w:t>
      </w:r>
    </w:p>
    <w:p w14:paraId="6BAF25E2"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2021թ. գյուղատնտեսական տարվա համար ապահովագրվող մշակաբույսերի ցանկը և ծրագիրն ընդգրկող մարզերի շրջանակն ընդլայնվել է՝ ներառելով կարտոֆիլ, սալոր և ձմերուկ/սեխ մշակաբույսերը։ 2021 թվականի մարտի 31-ի դրությամբ ապահովագրական ընկերությունները կնքել են 2581 ապահովագրական պայմանագիր, ապահովագրավճարը կազմել է շուրջ 439.3 մլն դրամ, որից սուբսիդավորված գումարը՝ շուրջ 256.6 մլն դրամ։ Կնքված պայմանագրերի արդյունքում ապահովագրված այգիների և ցանքատարածությունների մակերեսը կազմել է 3952 հա։ Գյուղատնտեսության ապահովագրության պայմանագրերի կնքման գործընթացը շարունակվում է։ 2021թ. ՀՀ պետական բյուջեով միջոցառման համար նախատեսվող գումարի չափը կկազմի է 500 մլն դրամ։ </w:t>
      </w:r>
    </w:p>
    <w:p w14:paraId="394D3B13"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Հայաստանը նաև մեծապես ենթարկվում է երկրաշարժի ռիսկի՝ ինչպես ցույց է տվել 1988թ. Սպիտակի երկրաշարժը: Երևանի տարածաշրջանը սեյսմագետների կողմից համարվում է բարձր ռիսկի գոտի, մասնավորապես՝ Գառնու խզվածքի պատճառով, և այստեղ առկա է խոշոր, ավերիչ երկրաշարժերի պատմություն: Այդ տարածքում խոշոր երկրաշարժը կարող է ծանր մակրոտնտեսական հետևանքներ ունենալ: Հայաստանը պատմականորեն խոցելի է եղել երկրաշարժերի տեսանկյունից: 1988թ. տեղի ունեցած վերջին ավերիչ երկրաշարժի հետևանքով երկրի հյուսիսային շրջաններում պատճառված տնտեսական վնասները կազմել են մոտավորապես 15-20 մլրդ ԱՄՆ դոլար: Նշված վնասները գերազանցում էին նախկին Հայկական ԽՍՀ ՀՆԱ-ն:</w:t>
      </w:r>
    </w:p>
    <w:p w14:paraId="62E0180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Համաձայն աղետների ռիսկի կառավարման վերաբերյալ ԱԶԲ 2014թ. զեկույցի, Երևանում 7.0 բալ ուժգնությամբ երկրաշարժի հետևանքով կարող է զոհվել մինչև 300 հազար մարդ, ինչը պայմանավորված է ոչ համարժեք, խորհրդային ժամանակաշրջանի մեծաթիվ շենքերի, հատկապես՝ խոշոր բազմաբնակարան շենքերի առկայությամբ:</w:t>
      </w:r>
    </w:p>
    <w:p w14:paraId="4A059882"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Նախնական ուսումնասիրությունները ցույց են տալիս, որ տնտեսական վնասները կարող են կազմել մինչև ՀՆԱ 100 տոկոսը (Համաշխարհային Բանկ և ԱԶԲ):</w:t>
      </w:r>
    </w:p>
    <w:p w14:paraId="53B88B44"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Համաձայն Հայաստանում աղետների ռիսկի ֆինանսավորման վերաբերյալ Համաշխարհային բանկի 2017թ. զեկույցի, փաստ է, որ Սպիտակի երկրաշարժի հետևանքներից վերականգնումը շարունակելու ուղղությամբ ծախսեր իրականացվում էին առնվազն մինչև 2015թ.: Ակնհայտ է, որ խոշոր երկրաշարժի համար Հայաստանի ֆիսկալ ճկունությունը փոքր է, հետևաբար առավել քան անհրաժեշտ են նման իրադարձության ազդեցությունը (զոհեր, տնտեսական ու ֆիսկալ ազդեցություններ) նախօրոք նվազեցնելուն ուղղված՝ ռիսկերի կրճատման բոլոր ջանքերը, հատկապես՝ շենքերի արդիականացումը և ամրացումը, որի համար հնարավոր են ցածր ծախսատարությամբ լուծումներ և որի մասով Հայաստանն ունի փորձառություն: </w:t>
      </w:r>
    </w:p>
    <w:p w14:paraId="69C399F3"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2016թ. մեկնարկել է «Սեյսմիկ անվտանգության բարելավման ծրագիրը», որը նախատեսված է ավարտել 2024 թվականի մայիս ամսին:</w:t>
      </w:r>
    </w:p>
    <w:p w14:paraId="0FF5EED9"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Ծրագիր շրջանակներում ընդգրկված են 46 դպրոցներ, որոնցից փաստացի կառուցվել և հանձնվել է շահագործման 6 դպրոց, 1 դպրոց գտնվում է շահագործման հանձման գործընթացում, 12 դպրոցներ գտնվում են շինարարության փուլում, 2 դպրոցների նախագծային աշխատանքները ավարտվել են, 13 դպրոցներ գտնվում է նախագծման տարբեր փուլերում, 2 դպրոցների համար իրականացվում է շենքերի տեխնիկական վիճակի ուսումնասիրության աշխատանքներ, ևս 10 դպրոցների ուղղությամբ դեռևս աշխատանքներ չեն կատարվում: </w:t>
      </w:r>
    </w:p>
    <w:p w14:paraId="68D8C010"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Ծրագրի շրջանակներում նախատեսվում է անվտանգ կրթական պայմաններ ստեղծել 19800 աշակերտների համար, ինչը կազմում է պետական դպրոցներում սովորող աշակերտների 5%։</w:t>
      </w:r>
    </w:p>
    <w:p w14:paraId="5E4D1FB8"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 ՀՀ 2021թ. պետական բյուջեով ծրագրի իրականացման համար նախատեսված է 4.1 մլրդ դրամ: </w:t>
      </w:r>
    </w:p>
    <w:p w14:paraId="4FC6C3FD"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Կենսաբանական վտանգների առումով, ինչպես այլ երկրներում, այնպես էլ ՀՀ-ում, Covid-19 համավարակի տարածումը՝ չնայած վաղ ձեռնարկված միջոցառումներին այն տարբեր կասկադային ազդեցությունների միջոցով վերածվեց տնտեսական և սոցիալական ճգնաժամի՝ 2020թ. տեղի ունեցած տնտեսական անկմամբ: Կորոնավիրուսային համավարակի տնտեսական ու սոցիալական հետևանքների չեզոքացման համար 2020թ. և 2021թ. նախատեսվել է համապատասխանաբար՝ 71.8 մլրդ ՀՀ դրամ և 23.7 մլրդ ՀՀ դրամ:</w:t>
      </w:r>
    </w:p>
    <w:p w14:paraId="17599B34"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p>
    <w:p w14:paraId="63A3C8A5" w14:textId="77777777" w:rsidR="00682DEF" w:rsidRPr="00A83C94" w:rsidRDefault="00682DEF" w:rsidP="00B814B9">
      <w:pPr>
        <w:shd w:val="clear" w:color="auto" w:fill="FFFFFF"/>
        <w:spacing w:before="0" w:line="276" w:lineRule="auto"/>
        <w:ind w:right="144" w:firstLine="432"/>
        <w:contextualSpacing w:val="0"/>
        <w:rPr>
          <w:rFonts w:eastAsia="Calibri"/>
          <w:color w:val="000000"/>
          <w:szCs w:val="22"/>
          <w:lang w:val="hy-AM" w:eastAsia="en-US"/>
        </w:rPr>
      </w:pPr>
      <w:r w:rsidRPr="00A83C94">
        <w:rPr>
          <w:rFonts w:eastAsia="Calibri"/>
          <w:color w:val="000000"/>
          <w:szCs w:val="22"/>
          <w:lang w:val="hy-AM" w:eastAsia="en-US"/>
        </w:rPr>
        <w:t>Պետության դեմ իրականացվող դատական վարույթներից առաջացող ֆիսկալ ռիսկեր</w:t>
      </w:r>
    </w:p>
    <w:p w14:paraId="1D5548F8"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 xml:space="preserve">ՀՀ ՖՆ մասնակցությամբ պետության դեմ քննվող հայցերի քանակը 2021թ. մայիսի դրությամբ կազմում է 917, մոտ 11.7 մլրդ ՀՀ դրամի, 1.6 մլն ԱՄՆ դոլարի, 606.4 հազ. եվրոյի և 3.6 մլն չեխական կրոն հայցագնով: </w:t>
      </w:r>
    </w:p>
    <w:p w14:paraId="6BDD2290"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Բացի վերը նշված հայցերից, առկա են առավել նշանակալի այլ հայցեր՝ ընդդեմ ՀՀ Պետական եկամուտների կոմիտեի: Ներկայացված հայցերով ՀՀ դատարաններում վիճարկվում է 2943 դատական գործ՝ մոտ 126.8 մլրդ դրամ գումարի չափով։</w:t>
      </w:r>
    </w:p>
    <w:p w14:paraId="1D83F1AA"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Միջազգային արբիտրաժային դատարաններում ընդդեմ Հայաստանի Հանրապետության ներկայացված հայցերի թիվը վեցն է՝ մոտ 152.6 մլրդ ՀՀ դրամ հայցագնով (գնահատված լինելու դեպքում գումարը ներառում է արբիտրաժային ծախսեր և տոկոսներ)։</w:t>
      </w:r>
    </w:p>
    <w:p w14:paraId="69DACA44"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2019-2021թթ. կոմունիկացված ՄԻԵԴ գործերով դիմումատուների թիվը կազմում է 40, իսկ պահանջած գումարները՝ մոտ 6.5 մլրդ ՀՀ դրամ։</w:t>
      </w:r>
    </w:p>
    <w:p w14:paraId="098E85CC"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Բոլոր կառույցներում ներկայացված հայցերի հանրագումարը կազմում է մոտ 300 մլրդ դրամ։</w:t>
      </w:r>
    </w:p>
    <w:p w14:paraId="3BAF9696"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r w:rsidRPr="00A83C94">
        <w:rPr>
          <w:b w:val="0"/>
          <w:color w:val="000000"/>
          <w:szCs w:val="22"/>
          <w:lang w:val="hy-AM"/>
        </w:rPr>
        <w:t>Անհրաժեշտ է նշել, որ ռիսկի իրական մակարդակը շատ ավելի ցածր է, քանի որ հայցվորները ոչ բոլոր գործերն են հաղթում, իսկ հաղթելու պարագայում վճռով հաճախ սահմանվում են ավելի փոքր գումարներ:</w:t>
      </w:r>
    </w:p>
    <w:p w14:paraId="5A30CA2A" w14:textId="77777777" w:rsidR="00682DEF" w:rsidRPr="00A83C94" w:rsidRDefault="00682DEF" w:rsidP="00682DEF">
      <w:pPr>
        <w:shd w:val="clear" w:color="auto" w:fill="FFFFFF"/>
        <w:spacing w:before="0" w:line="276" w:lineRule="auto"/>
        <w:ind w:right="147" w:firstLine="448"/>
        <w:contextualSpacing w:val="0"/>
        <w:rPr>
          <w:b w:val="0"/>
          <w:color w:val="000000"/>
          <w:szCs w:val="22"/>
          <w:lang w:val="hy-AM"/>
        </w:rPr>
      </w:pPr>
    </w:p>
    <w:p w14:paraId="1CC886A6" w14:textId="77777777" w:rsidR="00682DEF" w:rsidRPr="00A83C94" w:rsidRDefault="00682DEF" w:rsidP="00B814B9">
      <w:pPr>
        <w:shd w:val="clear" w:color="auto" w:fill="FFFFFF"/>
        <w:spacing w:before="0" w:line="276" w:lineRule="auto"/>
        <w:ind w:right="144" w:firstLine="432"/>
        <w:contextualSpacing w:val="0"/>
        <w:jc w:val="center"/>
        <w:rPr>
          <w:rFonts w:eastAsia="Calibri"/>
          <w:color w:val="000000"/>
          <w:szCs w:val="22"/>
          <w:lang w:val="hy-AM" w:eastAsia="en-US"/>
        </w:rPr>
      </w:pPr>
      <w:r w:rsidRPr="00A83C94">
        <w:rPr>
          <w:rFonts w:eastAsia="Calibri"/>
          <w:color w:val="000000"/>
          <w:szCs w:val="22"/>
          <w:lang w:val="hy-AM" w:eastAsia="en-US"/>
        </w:rPr>
        <w:t>Հնարավոր բնապահպանական պարտավորությունների հետևանքով առաջացող ֆիսկալ ռիսկեր</w:t>
      </w:r>
    </w:p>
    <w:p w14:paraId="53E25C87" w14:textId="77777777" w:rsidR="00682DEF" w:rsidRPr="00A83C94" w:rsidRDefault="00682DEF" w:rsidP="00682DEF">
      <w:pPr>
        <w:shd w:val="clear" w:color="auto" w:fill="FFFFFF"/>
        <w:spacing w:before="0" w:line="276" w:lineRule="auto"/>
        <w:ind w:right="150" w:firstLine="450"/>
        <w:contextualSpacing w:val="0"/>
        <w:rPr>
          <w:b w:val="0"/>
          <w:color w:val="000000"/>
          <w:szCs w:val="22"/>
          <w:lang w:val="hy-AM"/>
        </w:rPr>
      </w:pPr>
      <w:r w:rsidRPr="00A83C94">
        <w:rPr>
          <w:b w:val="0"/>
          <w:color w:val="000000"/>
          <w:szCs w:val="22"/>
          <w:lang w:val="hy-AM"/>
        </w:rPr>
        <w:t xml:space="preserve">ՀՀ շրջակա միջավայրի նախարարության (ՇՄՆ) քարտեզագրման արդյունքում առկա է մոտ 2500 սողանքային տարածքներ և ներկայում խնդրի լուծման ֆինանսավորման աղբյուր դիտարկվում է ՀՀ կառավարության պահուստային ֆոնդը: Թունավոր թափոնների տեղամասերի հետ կապված ռիսկերից խուսափելու նպատակով նշված տարածքներում հանքարդյունաբերական գործունեության թույլտվություններ չեն տրամադրվում: </w:t>
      </w:r>
    </w:p>
    <w:p w14:paraId="2E049929"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ՇՄՆ նույնականացրել է հնարավոր բնապահպանական պարտավորություններ ենթադրող 44 տեղամասեր, որոնք առաջացել են դեռևս խորհրդային ժամանակաշրջանում, հիմնականում հանքարդյունաբերական ծագումով: Վերականգնման նպատակով ՇՄՆ կողմից առաջնահերթ են համարվել 10 վայրեր, որից 2019թ. վերականգնել է միայն մեկ տեղամաս, իսկ 2020թ. նման աշխատանքներ չեն իրականացվել: ՇՄՆ նաև իրականացնում է ջրի խորքային հորերի որակի ուսումնասիրություններ՝ հնարավոր ռիսկերը բացահայտելու նպատակով։</w:t>
      </w:r>
    </w:p>
    <w:p w14:paraId="017485E0"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Այսպիսի հնարավոր պարտավորությունները չափազանց բարդ է նախապես հաշվարկել, սակայն կարևորագույն խնդիրը՝ վերականգնման կարիք ունեցող տեղամասերի նույնականացումն ու մանրակրկիտ ուսումնասիրությունն է՝ ծախսերի նախնական հաշվարկներ կատարելու նպատակով: Այս առնչությամբ ՇՄՆ բարձրացրել է 4 առաջնահերթ խնդիրները.</w:t>
      </w:r>
    </w:p>
    <w:p w14:paraId="6E409CE4"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 Սևանա լճի ջրածածկ և ճահճապատ անտառտնկարկների մաքրում: Մաքրման աշխատանքներն ընթանում են սկսած 2005թ.: ՇՄՆ հաշվարկների համաձայն 2021-2023թթ. ժամանակահատվածի համար պահանջվում է 706.0 մլն դրամ,</w:t>
      </w:r>
      <w:r w:rsidRPr="00A83C94">
        <w:rPr>
          <w:b w:val="0"/>
          <w:szCs w:val="22"/>
          <w:lang w:val="hy-AM" w:eastAsia="en-US"/>
        </w:rPr>
        <w:t xml:space="preserve"> </w:t>
      </w:r>
      <w:r w:rsidRPr="00A83C94">
        <w:rPr>
          <w:rFonts w:eastAsia="Calibri"/>
          <w:b w:val="0"/>
          <w:szCs w:val="22"/>
          <w:lang w:val="hy-AM" w:eastAsia="en-US"/>
        </w:rPr>
        <w:t xml:space="preserve">որից 264 մլն դրամը՝ 2021թ.: </w:t>
      </w:r>
    </w:p>
    <w:p w14:paraId="3FCFD1B6" w14:textId="77777777" w:rsidR="00682DEF" w:rsidRPr="00A83C94" w:rsidRDefault="00682DEF" w:rsidP="00682DEF">
      <w:pPr>
        <w:spacing w:before="0" w:line="276" w:lineRule="auto"/>
        <w:ind w:right="150" w:firstLine="227"/>
        <w:contextualSpacing w:val="0"/>
        <w:rPr>
          <w:rFonts w:eastAsia="Calibri"/>
          <w:b w:val="0"/>
          <w:szCs w:val="22"/>
          <w:lang w:val="hy-AM" w:eastAsia="en-US"/>
        </w:rPr>
      </w:pPr>
      <w:r w:rsidRPr="00A83C94">
        <w:rPr>
          <w:rFonts w:eastAsia="Calibri"/>
          <w:b w:val="0"/>
          <w:szCs w:val="22"/>
          <w:lang w:val="hy-AM" w:eastAsia="en-US"/>
        </w:rPr>
        <w:t>- Սևանա լճից մինչև 1901.5 մետր բացարձակ նիշում գտնվող շենքեր-շինությունների քանդման (ապամոնտաժման) աշխատանքներ: Սևանա լճի մակարդակի բարձրացման հետևանքով քանդման ենթակա են դարձել 68520 մ</w:t>
      </w:r>
      <w:r w:rsidRPr="00A83C94">
        <w:rPr>
          <w:rFonts w:eastAsia="Calibri"/>
          <w:b w:val="0"/>
          <w:szCs w:val="22"/>
          <w:vertAlign w:val="superscript"/>
          <w:lang w:val="hy-AM" w:eastAsia="en-US"/>
        </w:rPr>
        <w:t>2</w:t>
      </w:r>
      <w:r w:rsidRPr="00A83C94">
        <w:rPr>
          <w:rFonts w:eastAsia="Calibri"/>
          <w:b w:val="0"/>
          <w:szCs w:val="22"/>
          <w:lang w:val="hy-AM" w:eastAsia="en-US"/>
        </w:rPr>
        <w:t xml:space="preserve"> ընդհանուր մակերեսով 1697 շենքեր և շինություններ: 2021 և 2022թթ. նախատեսվող աշխատանքների մոտավոր արժեքը կազմում է 1.464 մլն դրամ:</w:t>
      </w:r>
    </w:p>
    <w:p w14:paraId="22AD144D" w14:textId="77777777" w:rsidR="00682DEF" w:rsidRPr="00A83C94" w:rsidRDefault="00682DEF" w:rsidP="00682DEF">
      <w:pPr>
        <w:spacing w:before="0" w:line="276" w:lineRule="auto"/>
        <w:ind w:right="150" w:firstLine="227"/>
        <w:contextualSpacing w:val="0"/>
        <w:rPr>
          <w:rFonts w:eastAsia="Calibri"/>
          <w:b w:val="0"/>
          <w:szCs w:val="22"/>
          <w:lang w:val="hy-AM" w:eastAsia="en-US"/>
        </w:rPr>
      </w:pPr>
      <w:r w:rsidRPr="00A83C94">
        <w:rPr>
          <w:rFonts w:eastAsia="Calibri"/>
          <w:b w:val="0"/>
          <w:szCs w:val="22"/>
          <w:lang w:val="hy-AM" w:eastAsia="en-US"/>
        </w:rPr>
        <w:t>- Ընդերքօգտագործման թափոնների լքված/տիրազուրկ տեղամասերի և օբյեկտների ռեկուլտիվացիայի նախագծային փաթեթների մշակման աշխատանքներ: Սա առնչվում է վերը նշված հին, շրջակա միջավայրն աղտոտող հանքարդյունաբերական և հարակից ոլորտների 44 տեղամասերին, որոնք ներառում են պոչամբարները: Վտանգավոր և առաջնահերթ համարվող 10 տեղամասերի ամբողջական մաքրման և ռեկուլտիվացիայի ծրագրի մոտավոր արժեքը գնահատվել է 2.216 մլն դրամ:</w:t>
      </w:r>
    </w:p>
    <w:p w14:paraId="64F09800" w14:textId="77777777" w:rsidR="00682DEF" w:rsidRPr="00A83C94" w:rsidRDefault="00682DEF" w:rsidP="00682DEF">
      <w:pPr>
        <w:spacing w:before="0" w:line="276" w:lineRule="auto"/>
        <w:ind w:firstLine="0"/>
        <w:contextualSpacing w:val="0"/>
        <w:rPr>
          <w:rFonts w:eastAsia="Calibri"/>
          <w:b w:val="0"/>
          <w:szCs w:val="22"/>
          <w:lang w:val="hy-AM" w:eastAsia="en-US"/>
        </w:rPr>
      </w:pPr>
      <w:r w:rsidRPr="00A83C94">
        <w:rPr>
          <w:rFonts w:eastAsia="Calibri"/>
          <w:b w:val="0"/>
          <w:szCs w:val="22"/>
          <w:lang w:val="hy-AM" w:eastAsia="en-US"/>
        </w:rPr>
        <w:t xml:space="preserve">- Անտառվերականգնման և անտառապատման աշխատանքներ՝ անկախության ձեռքբերմանը հաջորդած ճգնաժամային տարիների ընթացքում անտառների մասշտաբային հատումների փոխհատուցմանն ու սողանքների ռիսկի կրճատմանն օժանդակելու նպատակով: Այս ուղղությամբ աշխատանքները մեկնարկել են դեռևս 2013թ., սակայն մասշտաբային բնույթ են ստացել 2020թ.՝ հաջորդող տարիների համար սահմանված հավակնոտ և աճող թիրախներով: 2021-2024թթ. ծրագրի համար հաշվարկվել է 3.368 մլն դրամ: Սահմանվել է վերջնական թիրախ՝ ՀՀ անտառածածկ տարածքը մինչև 2050թ. հասցնել ավելի քան 20 տոկոսի, (ենթադրելի է, որ անհրաժեշտ կլինի ներգրավել լրացուցիչ միջազգային ֆինանսավորում)։ </w:t>
      </w:r>
    </w:p>
    <w:p w14:paraId="7D042385"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Այսպիսով, բնապահպանական վերականգման ծախսերի ընդհանուր գնահատված գումարը ներկայում կազմում է մոտ է 7.8 մլրդ դրամ, սակայն ծախսերը կարող են էականորեն ավելի բարձր լինել և աստիճանաբար ավելանալ՝ հաշվի առնելով մոտակա տարիների համար պլանավորած տարեկան հատկացումների ոչ համարժեք ծավալը՝  պահանջելով  կատարման համար երկար տարիներ:</w:t>
      </w:r>
    </w:p>
    <w:p w14:paraId="22D39842" w14:textId="77777777" w:rsidR="00682DEF" w:rsidRPr="00A83C94" w:rsidRDefault="00682DEF" w:rsidP="00682DEF">
      <w:pPr>
        <w:spacing w:before="0" w:line="276" w:lineRule="auto"/>
        <w:ind w:firstLine="426"/>
        <w:contextualSpacing w:val="0"/>
        <w:jc w:val="center"/>
        <w:rPr>
          <w:bCs/>
          <w:szCs w:val="22"/>
          <w:lang w:val="hy-AM"/>
        </w:rPr>
      </w:pPr>
      <w:r w:rsidRPr="00A83C94">
        <w:rPr>
          <w:bCs/>
          <w:szCs w:val="22"/>
          <w:lang w:val="hy-AM"/>
        </w:rPr>
        <w:t>Ֆինանսական համակարգից առաջացող ֆիսկալ ռիսկեր</w:t>
      </w:r>
    </w:p>
    <w:p w14:paraId="2A84E808"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 xml:space="preserve">Վերջին տարիների ընթացքում, ՀՀ ԿԲ կողմից վերահսկվող առևտրային բանկերն զգալիորեն կապիտալացվել են և ներկայում ունեն հասանելի կապիտալի և լիկվիդայնության բուֆերներ: Ֆինանսական համակարգը բավականին ամուր է խիստ շոկերի դիմակայելու տեսանկյունից: ՀՀ տնտեսությունը 2020թ. կրել է միմյանց հաջորդած երկու շոկերի՝ համավարակի և ռազմական դրության ազդեցությունները։ Վերջիններս մարտահրավերներ են ստեղծել նաև ֆինանսական համակարգի համար, որոնք էականորեն տարբերվում են նախորդ բոլոր ճգնաժամերի մարտահրավերներից: </w:t>
      </w:r>
    </w:p>
    <w:p w14:paraId="47C63C65"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r w:rsidRPr="00A83C94">
        <w:rPr>
          <w:rFonts w:eastAsia="Calibri"/>
          <w:b w:val="0"/>
          <w:szCs w:val="22"/>
          <w:lang w:val="hy-AM" w:eastAsia="en-US"/>
        </w:rPr>
        <w:t xml:space="preserve">Բանկային համակարգի կապիտալի համարժեքության և իրացվելիության անհրաժեշտ մակարդակը 2020թ. ընթացքում պահպանվել է: Վարկավորման արձանագրված աճի և նյութականացված ռիսկերի կլանման պայմաններում կապիտալի համարժեքության ցուցանիշի նվազումը չափավոր է եղել։ </w:t>
      </w:r>
    </w:p>
    <w:p w14:paraId="1B07BF18"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rFonts w:eastAsia="Calibri"/>
          <w:b w:val="0"/>
          <w:szCs w:val="22"/>
          <w:lang w:val="hy-AM" w:eastAsia="en-US"/>
        </w:rPr>
        <w:t>Մակրոպրուդենցիալ քաղաքականության միջոցառումներն առավելապես ուղղված են եղել բանկային համակարգի՝ աճող ռիսկերին դիմակայելու ունակության ամրապնդմանը և ֆինանսական միջնորդության անընդհատության ապահովմանը: Տնտեսության վարկավորման անընդհատությունը և սահունությունն ապահովելու նպատակով ՀՀ ԿԲ ազդակներ է փոխանցել բանկերին ձևավորված կապիտալի բուֆերներն օգտագործելու հնարավորության վերաբերյալ: Միևնույն ժամանակ, կապիտալի հակացիկլիկ բուֆերի մակարդակը պահպանվել է անփոփոխ՝ 0% մակարդակում։ Իրացվելիության պահանջարկի շոկերին դիմակայելու նպատակով ՀՀ ԿԲ-ն բանկերին տրամադրել է անհրաժեշտ դրամային և արտարժութային իրացվելիություն` իր գործիքակազմի միջոցով: Տարվա ընթացքում բոլոր բանկերը պահպանել են համախմբված բուֆերի սահմանված մակարդակը՝ ռիսկերը կլանվել են պահանջվածից բարձր կապիտալի առկայության հաշվին։</w:t>
      </w:r>
    </w:p>
    <w:p w14:paraId="133AAB60"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rFonts w:eastAsia="Calibri"/>
          <w:b w:val="0"/>
          <w:szCs w:val="22"/>
          <w:lang w:val="hy-AM" w:eastAsia="en-US"/>
        </w:rPr>
        <w:t>2020թ</w:t>
      </w:r>
      <w:r w:rsidRPr="00A83C94">
        <w:rPr>
          <w:rFonts w:ascii="Cambria Math" w:eastAsia="Calibri" w:hAnsi="Cambria Math" w:cs="Cambria Math"/>
          <w:b w:val="0"/>
          <w:szCs w:val="22"/>
          <w:lang w:val="hy-AM" w:eastAsia="en-US"/>
        </w:rPr>
        <w:t>․</w:t>
      </w:r>
      <w:r w:rsidRPr="00A83C94">
        <w:rPr>
          <w:rFonts w:eastAsia="Calibri"/>
          <w:b w:val="0"/>
          <w:szCs w:val="22"/>
          <w:lang w:val="hy-AM" w:eastAsia="en-US"/>
        </w:rPr>
        <w:t xml:space="preserve"> բանկային համակարգն աշխատել է շահույթով, այնուամենայնիվ դրսևորված ռիսկի հնարավոր հետևանքները հնարավոր է արտացոլվեն են նաև 2021 թվականի ընթացքում՝ վարկային ռիսկի բարձրացված մակարդակով, և դրան ուղղորդող փոխարժեքային ռիսկով։ </w:t>
      </w:r>
    </w:p>
    <w:p w14:paraId="4CCD496E"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rFonts w:eastAsia="Calibri"/>
          <w:b w:val="0"/>
          <w:szCs w:val="22"/>
          <w:lang w:val="hy-AM" w:eastAsia="en-US"/>
        </w:rPr>
        <w:t>Բանկերում խնդիրների ծագման հետևանքով Ավանդների հատուցումը երաշխավորող</w:t>
      </w:r>
      <w:r w:rsidRPr="00A83C94">
        <w:rPr>
          <w:rFonts w:ascii="Calibri" w:eastAsia="Calibri" w:hAnsi="Calibri" w:cs="Calibri"/>
          <w:b w:val="0"/>
          <w:szCs w:val="22"/>
          <w:lang w:val="hy-AM" w:eastAsia="en-US"/>
        </w:rPr>
        <w:t xml:space="preserve"> </w:t>
      </w:r>
      <w:r w:rsidRPr="00A83C94">
        <w:rPr>
          <w:rFonts w:eastAsia="Calibri"/>
          <w:b w:val="0"/>
          <w:szCs w:val="22"/>
          <w:lang w:val="hy-AM" w:eastAsia="en-US"/>
        </w:rPr>
        <w:t xml:space="preserve">հիմնադրամին (երաշխավորում է մինչև 16 մլն ՀՀ դրամ՝ տեղական արժույթով ավանդների համար, և մինչև 7 մլն ՀՀ դրամ՝ արտարժութային ավանդների համար ֆինանսական միջոցների տրամադրման անհրաժեշտության ռիսկը ներկայում, թերևս, ուղղակի սահմանափակ է, սակայն անորոշությունների մակարդակը մնում է բարձր՝ ինչպես նշվում է ՀՀ ԿԲ ֆինանսական կայունության հաշվետվությունում: </w:t>
      </w:r>
    </w:p>
    <w:p w14:paraId="7A86ECB4" w14:textId="77777777" w:rsidR="00682DEF" w:rsidRPr="00A83C94" w:rsidRDefault="00682DEF" w:rsidP="00682DEF">
      <w:pPr>
        <w:spacing w:before="0" w:line="276" w:lineRule="auto"/>
        <w:ind w:firstLine="426"/>
        <w:jc w:val="center"/>
        <w:rPr>
          <w:szCs w:val="22"/>
          <w:lang w:val="hy-AM" w:eastAsia="en-US"/>
        </w:rPr>
      </w:pPr>
      <w:r w:rsidRPr="00A83C94">
        <w:rPr>
          <w:szCs w:val="22"/>
          <w:lang w:val="hy-AM" w:eastAsia="en-US"/>
        </w:rPr>
        <w:t>Բյուջետային վարկավորման ուսումնասիրություն</w:t>
      </w:r>
    </w:p>
    <w:p w14:paraId="2533BD3D" w14:textId="77777777" w:rsidR="00682DEF" w:rsidRPr="00A83C94" w:rsidRDefault="00682DEF" w:rsidP="00682DEF">
      <w:pPr>
        <w:spacing w:before="0" w:line="276" w:lineRule="auto"/>
        <w:ind w:firstLine="425"/>
        <w:contextualSpacing w:val="0"/>
        <w:rPr>
          <w:rFonts w:cs="Sylfaen"/>
          <w:b w:val="0"/>
          <w:szCs w:val="22"/>
          <w:lang w:val="hy-AM" w:eastAsia="en-US"/>
        </w:rPr>
      </w:pPr>
      <w:r w:rsidRPr="00A83C94">
        <w:rPr>
          <w:rFonts w:cs="Sylfaen"/>
          <w:b w:val="0"/>
          <w:szCs w:val="22"/>
          <w:lang w:val="hy-AM" w:eastAsia="en-US"/>
        </w:rPr>
        <w:t>ՀՀ</w:t>
      </w:r>
      <w:r w:rsidRPr="00A83C94">
        <w:rPr>
          <w:b w:val="0"/>
          <w:szCs w:val="22"/>
          <w:lang w:val="hy-AM" w:eastAsia="en-US"/>
        </w:rPr>
        <w:t xml:space="preserve"> </w:t>
      </w:r>
      <w:r w:rsidRPr="00A83C94">
        <w:rPr>
          <w:rFonts w:cs="Sylfaen"/>
          <w:b w:val="0"/>
          <w:szCs w:val="22"/>
          <w:lang w:val="hy-AM" w:eastAsia="en-US"/>
        </w:rPr>
        <w:t>պետական</w:t>
      </w:r>
      <w:r w:rsidRPr="00A83C94">
        <w:rPr>
          <w:b w:val="0"/>
          <w:szCs w:val="22"/>
          <w:lang w:val="hy-AM" w:eastAsia="en-US"/>
        </w:rPr>
        <w:t xml:space="preserve"> </w:t>
      </w:r>
      <w:r w:rsidRPr="00A83C94">
        <w:rPr>
          <w:rFonts w:cs="Sylfaen"/>
          <w:b w:val="0"/>
          <w:szCs w:val="22"/>
          <w:lang w:val="hy-AM" w:eastAsia="en-US"/>
        </w:rPr>
        <w:t>բյուջեից</w:t>
      </w:r>
      <w:r w:rsidRPr="00A83C94">
        <w:rPr>
          <w:b w:val="0"/>
          <w:szCs w:val="22"/>
          <w:lang w:val="hy-AM" w:eastAsia="en-US"/>
        </w:rPr>
        <w:t xml:space="preserve">, </w:t>
      </w:r>
      <w:r w:rsidRPr="00A83C94">
        <w:rPr>
          <w:rFonts w:cs="Sylfaen"/>
          <w:b w:val="0"/>
          <w:szCs w:val="22"/>
          <w:lang w:val="hy-AM" w:eastAsia="en-US"/>
        </w:rPr>
        <w:t>միջազգային</w:t>
      </w:r>
      <w:r w:rsidRPr="00A83C94">
        <w:rPr>
          <w:b w:val="0"/>
          <w:szCs w:val="22"/>
          <w:lang w:val="hy-AM" w:eastAsia="en-US"/>
        </w:rPr>
        <w:t xml:space="preserve"> </w:t>
      </w:r>
      <w:r w:rsidRPr="00A83C94">
        <w:rPr>
          <w:rFonts w:cs="Sylfaen"/>
          <w:b w:val="0"/>
          <w:szCs w:val="22"/>
          <w:lang w:val="hy-AM" w:eastAsia="en-US"/>
        </w:rPr>
        <w:t>կազմակերպություններից</w:t>
      </w:r>
      <w:r w:rsidRPr="00A83C94">
        <w:rPr>
          <w:b w:val="0"/>
          <w:szCs w:val="22"/>
          <w:lang w:val="hy-AM" w:eastAsia="en-US"/>
        </w:rPr>
        <w:t xml:space="preserve"> </w:t>
      </w:r>
      <w:r w:rsidRPr="00A83C94">
        <w:rPr>
          <w:rFonts w:cs="Sylfaen"/>
          <w:b w:val="0"/>
          <w:szCs w:val="22"/>
          <w:lang w:val="hy-AM" w:eastAsia="en-US"/>
        </w:rPr>
        <w:t>և</w:t>
      </w:r>
      <w:r w:rsidRPr="00A83C94">
        <w:rPr>
          <w:b w:val="0"/>
          <w:szCs w:val="22"/>
          <w:lang w:val="hy-AM" w:eastAsia="en-US"/>
        </w:rPr>
        <w:t xml:space="preserve"> </w:t>
      </w:r>
      <w:r w:rsidRPr="00A83C94">
        <w:rPr>
          <w:rFonts w:cs="Sylfaen"/>
          <w:b w:val="0"/>
          <w:szCs w:val="22"/>
          <w:lang w:val="hy-AM" w:eastAsia="en-US"/>
        </w:rPr>
        <w:t>օտարերկրյա</w:t>
      </w:r>
      <w:r w:rsidRPr="00A83C94">
        <w:rPr>
          <w:b w:val="0"/>
          <w:szCs w:val="22"/>
          <w:lang w:val="hy-AM" w:eastAsia="en-US"/>
        </w:rPr>
        <w:t xml:space="preserve"> </w:t>
      </w:r>
      <w:r w:rsidRPr="00A83C94">
        <w:rPr>
          <w:rFonts w:cs="Sylfaen"/>
          <w:b w:val="0"/>
          <w:szCs w:val="22"/>
          <w:lang w:val="hy-AM" w:eastAsia="en-US"/>
        </w:rPr>
        <w:t>պետություններից</w:t>
      </w:r>
      <w:r w:rsidRPr="00A83C94">
        <w:rPr>
          <w:b w:val="0"/>
          <w:szCs w:val="22"/>
          <w:lang w:val="hy-AM" w:eastAsia="en-US"/>
        </w:rPr>
        <w:t xml:space="preserve"> </w:t>
      </w:r>
      <w:r w:rsidRPr="00A83C94">
        <w:rPr>
          <w:rFonts w:cs="Sylfaen"/>
          <w:b w:val="0"/>
          <w:szCs w:val="22"/>
          <w:lang w:val="hy-AM" w:eastAsia="en-US"/>
        </w:rPr>
        <w:t>ներգրաված</w:t>
      </w:r>
      <w:r w:rsidRPr="00A83C94">
        <w:rPr>
          <w:b w:val="0"/>
          <w:szCs w:val="22"/>
          <w:lang w:val="hy-AM" w:eastAsia="en-US"/>
        </w:rPr>
        <w:t xml:space="preserve"> </w:t>
      </w:r>
      <w:r w:rsidRPr="00A83C94">
        <w:rPr>
          <w:rFonts w:cs="Sylfaen"/>
          <w:b w:val="0"/>
          <w:szCs w:val="22"/>
          <w:lang w:val="hy-AM" w:eastAsia="en-US"/>
        </w:rPr>
        <w:t>վարկային</w:t>
      </w:r>
      <w:r w:rsidRPr="00A83C94">
        <w:rPr>
          <w:b w:val="0"/>
          <w:szCs w:val="22"/>
          <w:lang w:val="hy-AM" w:eastAsia="en-US"/>
        </w:rPr>
        <w:t xml:space="preserve"> </w:t>
      </w:r>
      <w:r w:rsidRPr="00A83C94">
        <w:rPr>
          <w:rFonts w:cs="Sylfaen"/>
          <w:b w:val="0"/>
          <w:szCs w:val="22"/>
          <w:lang w:val="hy-AM" w:eastAsia="en-US"/>
        </w:rPr>
        <w:t>միջոցների</w:t>
      </w:r>
      <w:r w:rsidRPr="00A83C94">
        <w:rPr>
          <w:b w:val="0"/>
          <w:szCs w:val="22"/>
          <w:lang w:val="hy-AM" w:eastAsia="en-US"/>
        </w:rPr>
        <w:t xml:space="preserve"> </w:t>
      </w:r>
      <w:r w:rsidRPr="00A83C94">
        <w:rPr>
          <w:rFonts w:cs="Sylfaen"/>
          <w:b w:val="0"/>
          <w:szCs w:val="22"/>
          <w:lang w:val="hy-AM" w:eastAsia="en-US"/>
        </w:rPr>
        <w:t>հաշվին</w:t>
      </w:r>
      <w:r w:rsidRPr="00A83C94">
        <w:rPr>
          <w:b w:val="0"/>
          <w:szCs w:val="22"/>
          <w:lang w:val="hy-AM" w:eastAsia="en-US"/>
        </w:rPr>
        <w:t xml:space="preserve"> 31.07.2021</w:t>
      </w:r>
      <w:r w:rsidRPr="00A83C94">
        <w:rPr>
          <w:rFonts w:cs="Sylfaen"/>
          <w:b w:val="0"/>
          <w:szCs w:val="22"/>
          <w:lang w:val="hy-AM" w:eastAsia="en-US"/>
        </w:rPr>
        <w:t>թ</w:t>
      </w:r>
      <w:r w:rsidRPr="00A83C94">
        <w:rPr>
          <w:b w:val="0"/>
          <w:szCs w:val="22"/>
          <w:lang w:val="hy-AM" w:eastAsia="en-US"/>
        </w:rPr>
        <w:t xml:space="preserve">. </w:t>
      </w:r>
      <w:r w:rsidRPr="00A83C94">
        <w:rPr>
          <w:rFonts w:cs="Sylfaen"/>
          <w:b w:val="0"/>
          <w:szCs w:val="22"/>
          <w:lang w:val="hy-AM" w:eastAsia="en-US"/>
        </w:rPr>
        <w:t>դրությամբ տրամադրված բյուջետային</w:t>
      </w:r>
      <w:r w:rsidRPr="00A83C94">
        <w:rPr>
          <w:b w:val="0"/>
          <w:szCs w:val="22"/>
          <w:lang w:val="hy-AM" w:eastAsia="en-US"/>
        </w:rPr>
        <w:t xml:space="preserve"> </w:t>
      </w:r>
      <w:r w:rsidRPr="00A83C94">
        <w:rPr>
          <w:rFonts w:cs="Sylfaen"/>
          <w:b w:val="0"/>
          <w:szCs w:val="22"/>
          <w:lang w:val="hy-AM" w:eastAsia="en-US"/>
        </w:rPr>
        <w:t>վարկերի</w:t>
      </w:r>
      <w:r w:rsidRPr="00A83C94">
        <w:rPr>
          <w:b w:val="0"/>
          <w:szCs w:val="22"/>
          <w:lang w:val="hy-AM" w:eastAsia="en-US"/>
        </w:rPr>
        <w:t xml:space="preserve"> </w:t>
      </w:r>
      <w:r w:rsidRPr="00A83C94">
        <w:rPr>
          <w:rFonts w:cs="Sylfaen"/>
          <w:b w:val="0"/>
          <w:szCs w:val="22"/>
          <w:lang w:val="hy-AM" w:eastAsia="en-US"/>
        </w:rPr>
        <w:t>և</w:t>
      </w:r>
      <w:r w:rsidRPr="00A83C94">
        <w:rPr>
          <w:b w:val="0"/>
          <w:szCs w:val="22"/>
          <w:lang w:val="hy-AM" w:eastAsia="en-US"/>
        </w:rPr>
        <w:t xml:space="preserve"> </w:t>
      </w:r>
      <w:r w:rsidRPr="00A83C94">
        <w:rPr>
          <w:rFonts w:cs="Sylfaen"/>
          <w:b w:val="0"/>
          <w:szCs w:val="22"/>
          <w:lang w:val="hy-AM" w:eastAsia="en-US"/>
        </w:rPr>
        <w:t>ենթավարկերի</w:t>
      </w:r>
      <w:r w:rsidRPr="00A83C94">
        <w:rPr>
          <w:b w:val="0"/>
          <w:szCs w:val="22"/>
          <w:lang w:val="hy-AM" w:eastAsia="en-US"/>
        </w:rPr>
        <w:t xml:space="preserve"> չմարված մասի ընդհանուր գումարը </w:t>
      </w:r>
      <w:r w:rsidRPr="00A83C94">
        <w:rPr>
          <w:rFonts w:cs="Sylfaen"/>
          <w:b w:val="0"/>
          <w:szCs w:val="22"/>
          <w:lang w:val="hy-AM" w:eastAsia="en-US"/>
        </w:rPr>
        <w:t xml:space="preserve">կազմել է 499.0 մլրդ ՀՀ դրամ, որն հիմնականում ուղղվել է ենթակառուցվածքային ոլորտին։ </w:t>
      </w:r>
    </w:p>
    <w:p w14:paraId="4CEF8CC6" w14:textId="77777777" w:rsidR="00682DEF" w:rsidRPr="00A83C94" w:rsidRDefault="00682DEF" w:rsidP="00682DEF">
      <w:pPr>
        <w:spacing w:before="0" w:line="276" w:lineRule="auto"/>
        <w:ind w:firstLine="425"/>
        <w:contextualSpacing w:val="0"/>
        <w:rPr>
          <w:rFonts w:cs="Sylfaen"/>
          <w:szCs w:val="22"/>
          <w:lang w:val="hy-AM" w:eastAsia="en-US"/>
        </w:rPr>
      </w:pPr>
      <w:r w:rsidRPr="00A83C94">
        <w:rPr>
          <w:rFonts w:cs="Sylfaen"/>
          <w:b w:val="0"/>
          <w:szCs w:val="22"/>
          <w:lang w:val="hy-AM" w:eastAsia="en-US"/>
        </w:rPr>
        <w:t xml:space="preserve">Ընդհանուր առմամբ 58 վարկառուների տրամադրվել է 98 միավոր վարկ: </w:t>
      </w:r>
    </w:p>
    <w:p w14:paraId="1CF869F0" w14:textId="77777777" w:rsidR="00682DEF" w:rsidRPr="00A83C94" w:rsidRDefault="00682DEF" w:rsidP="00682DEF">
      <w:pPr>
        <w:widowControl w:val="0"/>
        <w:autoSpaceDE w:val="0"/>
        <w:autoSpaceDN w:val="0"/>
        <w:adjustRightInd w:val="0"/>
        <w:spacing w:before="0" w:line="276" w:lineRule="auto"/>
        <w:ind w:right="-7" w:firstLine="425"/>
        <w:contextualSpacing w:val="0"/>
        <w:rPr>
          <w:rFonts w:cs="Sylfaen"/>
          <w:color w:val="000000"/>
          <w:sz w:val="20"/>
          <w:szCs w:val="20"/>
          <w:lang w:val="hy-AM" w:eastAsia="en-US"/>
        </w:rPr>
      </w:pPr>
      <w:r w:rsidRPr="00A83C94">
        <w:rPr>
          <w:rFonts w:cs="Sylfaen"/>
          <w:b w:val="0"/>
          <w:szCs w:val="22"/>
          <w:lang w:val="hy-AM" w:eastAsia="en-US"/>
        </w:rPr>
        <w:t xml:space="preserve">2021թ. հուլիսի 31-ի դրությամբ ՀՀ կառավարության տրված վարկերի կառուցվածքում </w:t>
      </w:r>
      <w:r w:rsidRPr="00A83C94">
        <w:rPr>
          <w:rFonts w:cs="Sylfaen"/>
          <w:b w:val="0"/>
          <w:color w:val="000000"/>
          <w:szCs w:val="22"/>
          <w:lang w:val="hy-AM" w:eastAsia="en-US"/>
        </w:rPr>
        <w:t>միջազգային</w:t>
      </w:r>
      <w:r w:rsidRPr="00A83C94">
        <w:rPr>
          <w:rFonts w:cs="Times Armenian"/>
          <w:b w:val="0"/>
          <w:color w:val="000000"/>
          <w:szCs w:val="22"/>
          <w:lang w:val="hy-AM" w:eastAsia="en-US"/>
        </w:rPr>
        <w:t xml:space="preserve"> </w:t>
      </w:r>
      <w:r w:rsidRPr="00A83C94">
        <w:rPr>
          <w:rFonts w:cs="Sylfaen"/>
          <w:b w:val="0"/>
          <w:color w:val="000000"/>
          <w:szCs w:val="22"/>
          <w:lang w:val="hy-AM" w:eastAsia="en-US"/>
        </w:rPr>
        <w:t>կազմակերպությունների</w:t>
      </w:r>
      <w:r w:rsidRPr="00A83C94">
        <w:rPr>
          <w:rFonts w:cs="Times Armenian"/>
          <w:b w:val="0"/>
          <w:color w:val="000000"/>
          <w:szCs w:val="22"/>
          <w:lang w:val="hy-AM" w:eastAsia="en-US"/>
        </w:rPr>
        <w:t xml:space="preserve"> </w:t>
      </w:r>
      <w:r w:rsidRPr="00A83C94">
        <w:rPr>
          <w:rFonts w:cs="Sylfaen"/>
          <w:b w:val="0"/>
          <w:color w:val="000000"/>
          <w:szCs w:val="22"/>
          <w:lang w:val="hy-AM" w:eastAsia="en-US"/>
        </w:rPr>
        <w:t>և</w:t>
      </w:r>
      <w:r w:rsidRPr="00A83C94">
        <w:rPr>
          <w:rFonts w:cs="Times Armenian"/>
          <w:b w:val="0"/>
          <w:color w:val="000000"/>
          <w:szCs w:val="22"/>
          <w:lang w:val="hy-AM" w:eastAsia="en-US"/>
        </w:rPr>
        <w:t xml:space="preserve"> </w:t>
      </w:r>
      <w:r w:rsidRPr="00A83C94">
        <w:rPr>
          <w:rFonts w:cs="Sylfaen"/>
          <w:b w:val="0"/>
          <w:color w:val="000000"/>
          <w:szCs w:val="22"/>
          <w:lang w:val="hy-AM" w:eastAsia="en-US"/>
        </w:rPr>
        <w:t>օտարերկրյա</w:t>
      </w:r>
      <w:r w:rsidRPr="00A83C94">
        <w:rPr>
          <w:rFonts w:cs="Times Armenian"/>
          <w:b w:val="0"/>
          <w:color w:val="000000"/>
          <w:szCs w:val="22"/>
          <w:lang w:val="hy-AM" w:eastAsia="en-US"/>
        </w:rPr>
        <w:t xml:space="preserve"> </w:t>
      </w:r>
      <w:r w:rsidRPr="00A83C94">
        <w:rPr>
          <w:rFonts w:cs="Sylfaen"/>
          <w:b w:val="0"/>
          <w:color w:val="000000"/>
          <w:szCs w:val="22"/>
          <w:lang w:val="hy-AM" w:eastAsia="en-US"/>
        </w:rPr>
        <w:t>պետությունների աջակցությամբ իրակա</w:t>
      </w:r>
      <w:r w:rsidRPr="00A83C94">
        <w:rPr>
          <w:rFonts w:cs="Sylfaen"/>
          <w:b w:val="0"/>
          <w:color w:val="000000"/>
          <w:szCs w:val="22"/>
          <w:lang w:val="hy-AM" w:eastAsia="en-US"/>
        </w:rPr>
        <w:softHyphen/>
        <w:t>նաց</w:t>
      </w:r>
      <w:r w:rsidRPr="00A83C94">
        <w:rPr>
          <w:rFonts w:cs="Sylfaen"/>
          <w:b w:val="0"/>
          <w:color w:val="000000"/>
          <w:szCs w:val="22"/>
          <w:lang w:val="hy-AM" w:eastAsia="en-US"/>
        </w:rPr>
        <w:softHyphen/>
        <w:t>վող</w:t>
      </w:r>
      <w:r w:rsidRPr="00A83C94">
        <w:rPr>
          <w:rFonts w:cs="Sylfaen"/>
          <w:b w:val="0"/>
          <w:szCs w:val="22"/>
          <w:lang w:val="hy-AM" w:eastAsia="en-US"/>
        </w:rPr>
        <w:t xml:space="preserve"> նպատակային վարկային ծրագրերի շրջանակներում ենթավարկային պայմանագրերով կազմակերպություններին տրամադրված բյուջետային վարկերի </w:t>
      </w:r>
      <w:r w:rsidRPr="00A83C94">
        <w:rPr>
          <w:rFonts w:cs="Sylfaen"/>
          <w:b w:val="0"/>
          <w:color w:val="000000"/>
          <w:szCs w:val="22"/>
          <w:lang w:val="hy-AM" w:eastAsia="en-US"/>
        </w:rPr>
        <w:t>չմարված</w:t>
      </w:r>
      <w:r w:rsidRPr="00A83C94">
        <w:rPr>
          <w:rFonts w:cs="Times Armenian"/>
          <w:b w:val="0"/>
          <w:color w:val="000000"/>
          <w:szCs w:val="22"/>
          <w:lang w:val="hy-AM" w:eastAsia="en-US"/>
        </w:rPr>
        <w:t xml:space="preserve"> </w:t>
      </w:r>
      <w:r w:rsidRPr="00A83C94">
        <w:rPr>
          <w:rFonts w:cs="Sylfaen"/>
          <w:b w:val="0"/>
          <w:color w:val="000000"/>
          <w:szCs w:val="22"/>
          <w:lang w:val="hy-AM" w:eastAsia="en-US"/>
        </w:rPr>
        <w:t>մասը</w:t>
      </w:r>
      <w:r w:rsidRPr="00A83C94">
        <w:rPr>
          <w:rFonts w:cs="Times Armenian"/>
          <w:b w:val="0"/>
          <w:color w:val="000000"/>
          <w:szCs w:val="22"/>
          <w:lang w:val="hy-AM" w:eastAsia="en-US"/>
        </w:rPr>
        <w:t xml:space="preserve"> (</w:t>
      </w:r>
      <w:r w:rsidRPr="00A83C94">
        <w:rPr>
          <w:rFonts w:cs="Sylfaen"/>
          <w:b w:val="0"/>
          <w:color w:val="000000"/>
          <w:szCs w:val="22"/>
          <w:lang w:val="hy-AM" w:eastAsia="en-US"/>
        </w:rPr>
        <w:t>մնացորդը</w:t>
      </w:r>
      <w:r w:rsidRPr="00A83C94">
        <w:rPr>
          <w:rFonts w:cs="Times Armenian"/>
          <w:b w:val="0"/>
          <w:color w:val="000000"/>
          <w:szCs w:val="22"/>
          <w:lang w:val="hy-AM" w:eastAsia="en-US"/>
        </w:rPr>
        <w:t xml:space="preserve">) </w:t>
      </w:r>
      <w:r w:rsidRPr="00A83C94">
        <w:rPr>
          <w:rFonts w:cs="Sylfaen"/>
          <w:b w:val="0"/>
          <w:color w:val="000000"/>
          <w:szCs w:val="22"/>
          <w:lang w:val="hy-AM" w:eastAsia="en-US"/>
        </w:rPr>
        <w:t>կազմել</w:t>
      </w:r>
      <w:r w:rsidRPr="00A83C94">
        <w:rPr>
          <w:rFonts w:cs="Times Armenian"/>
          <w:b w:val="0"/>
          <w:color w:val="000000"/>
          <w:szCs w:val="22"/>
          <w:lang w:val="hy-AM" w:eastAsia="en-US"/>
        </w:rPr>
        <w:t xml:space="preserve"> </w:t>
      </w:r>
      <w:r w:rsidRPr="00A83C94">
        <w:rPr>
          <w:rFonts w:cs="Sylfaen"/>
          <w:b w:val="0"/>
          <w:color w:val="000000"/>
          <w:szCs w:val="22"/>
          <w:lang w:val="hy-AM" w:eastAsia="en-US"/>
        </w:rPr>
        <w:t>է</w:t>
      </w:r>
      <w:r w:rsidRPr="00A83C94">
        <w:rPr>
          <w:rFonts w:cs="Times Armenian"/>
          <w:b w:val="0"/>
          <w:color w:val="000000"/>
          <w:szCs w:val="22"/>
          <w:lang w:val="hy-AM" w:eastAsia="en-US"/>
        </w:rPr>
        <w:t xml:space="preserve"> մոտ 233.0 </w:t>
      </w:r>
      <w:r w:rsidRPr="00A83C94">
        <w:rPr>
          <w:rFonts w:cs="Sylfaen"/>
          <w:b w:val="0"/>
          <w:color w:val="000000"/>
          <w:szCs w:val="22"/>
          <w:lang w:val="hy-AM" w:eastAsia="en-US"/>
        </w:rPr>
        <w:t>մլրդ</w:t>
      </w:r>
      <w:r w:rsidRPr="00A83C94">
        <w:rPr>
          <w:rFonts w:cs="Times Armenian"/>
          <w:b w:val="0"/>
          <w:color w:val="000000"/>
          <w:szCs w:val="22"/>
          <w:lang w:val="hy-AM" w:eastAsia="en-US"/>
        </w:rPr>
        <w:t xml:space="preserve"> ՀՀ </w:t>
      </w:r>
      <w:r w:rsidRPr="00A83C94">
        <w:rPr>
          <w:rFonts w:cs="Sylfaen"/>
          <w:b w:val="0"/>
          <w:color w:val="000000"/>
          <w:szCs w:val="22"/>
          <w:lang w:val="hy-AM" w:eastAsia="en-US"/>
        </w:rPr>
        <w:t>դրամ</w:t>
      </w:r>
      <w:r w:rsidRPr="00A83C94">
        <w:rPr>
          <w:rFonts w:cs="Times Armenian"/>
          <w:b w:val="0"/>
          <w:color w:val="000000"/>
          <w:szCs w:val="22"/>
          <w:lang w:val="hy-AM" w:eastAsia="en-US"/>
        </w:rPr>
        <w:t xml:space="preserve"> </w:t>
      </w:r>
      <w:r w:rsidRPr="00A83C94">
        <w:rPr>
          <w:rFonts w:cs="Sylfaen"/>
          <w:b w:val="0"/>
          <w:color w:val="000000"/>
          <w:szCs w:val="22"/>
          <w:lang w:val="hy-AM" w:eastAsia="en-US"/>
        </w:rPr>
        <w:t>կամ</w:t>
      </w:r>
      <w:r w:rsidRPr="00A83C94">
        <w:rPr>
          <w:rFonts w:cs="Sylfaen"/>
          <w:b w:val="0"/>
          <w:szCs w:val="22"/>
          <w:lang w:val="hy-AM" w:eastAsia="en-US"/>
        </w:rPr>
        <w:t xml:space="preserve"> տրամադրված ընդհանուր վարկային պորտֆելի 47%-ը: </w:t>
      </w:r>
    </w:p>
    <w:p w14:paraId="0104E625" w14:textId="77777777" w:rsidR="00682DEF" w:rsidRPr="00A83C94" w:rsidRDefault="00682DEF" w:rsidP="00682DEF">
      <w:pPr>
        <w:spacing w:before="0" w:line="276" w:lineRule="auto"/>
        <w:ind w:firstLine="425"/>
        <w:contextualSpacing w:val="0"/>
        <w:rPr>
          <w:rFonts w:cs="Sylfaen"/>
          <w:i/>
          <w:color w:val="FF0000"/>
          <w:szCs w:val="22"/>
          <w:lang w:val="hy-AM" w:eastAsia="en-US"/>
        </w:rPr>
      </w:pPr>
      <w:r w:rsidRPr="00A83C94">
        <w:rPr>
          <w:rFonts w:cs="Sylfaen"/>
          <w:b w:val="0"/>
          <w:szCs w:val="22"/>
          <w:lang w:val="hy-AM" w:eastAsia="en-US"/>
        </w:rPr>
        <w:t>Ընդհանուր վարկային պորտֆելում ՀՀ դրամով տրամադրված վարկերը կազմել են 39% կամ 194.2 մլրդ ՀՀ դրամ, ԱՄՆ դոլարով` 144.5 մլրդ ՀՀ դրամ կամ 29%, Եվրոյով` 46.9 մլրդ ՀՀ դրամ կամ 9%, ճապոնական իենով` 102.5 մլրդ ՀՀ դրամ կամ 21%: (տես գծապատկերը):</w:t>
      </w:r>
      <w:r w:rsidRPr="00A83C94">
        <w:rPr>
          <w:rFonts w:cs="Sylfaen"/>
          <w:b w:val="0"/>
          <w:i/>
          <w:szCs w:val="22"/>
          <w:lang w:val="hy-AM" w:eastAsia="en-US"/>
        </w:rPr>
        <w:t xml:space="preserve"> </w:t>
      </w:r>
    </w:p>
    <w:p w14:paraId="33FDD7A2" w14:textId="77777777" w:rsidR="00682DEF" w:rsidRPr="00A83C94" w:rsidRDefault="00682DEF" w:rsidP="00682DEF">
      <w:pPr>
        <w:spacing w:before="0" w:line="276" w:lineRule="auto"/>
        <w:ind w:firstLine="426"/>
        <w:contextualSpacing w:val="0"/>
        <w:rPr>
          <w:rFonts w:cs="Times Unicode"/>
          <w:color w:val="FFFFFF"/>
          <w:szCs w:val="22"/>
          <w:lang w:val="hy-AM" w:eastAsia="en-US"/>
        </w:rPr>
      </w:pPr>
      <w:r w:rsidRPr="00A83C94">
        <w:rPr>
          <w:rFonts w:cs="Times Unicode"/>
          <w:b w:val="0"/>
          <w:szCs w:val="22"/>
          <w:lang w:val="hy-AM" w:eastAsia="en-US"/>
        </w:rPr>
        <w:t xml:space="preserve">Ակնհայտ է, որ պորտֆելը պարունակում է փոխարժեքի էական ռիսկեր, քանի որ </w:t>
      </w:r>
      <w:r w:rsidRPr="00A83C94">
        <w:rPr>
          <w:rFonts w:cs="Sylfaen"/>
          <w:b w:val="0"/>
          <w:szCs w:val="22"/>
          <w:lang w:val="hy-AM" w:eastAsia="en-US"/>
        </w:rPr>
        <w:t xml:space="preserve">տրամադրված վարկերի </w:t>
      </w:r>
      <w:r w:rsidRPr="00A83C94">
        <w:rPr>
          <w:rFonts w:cs="Times Unicode"/>
          <w:b w:val="0"/>
          <w:szCs w:val="22"/>
          <w:lang w:val="hy-AM" w:eastAsia="en-US"/>
        </w:rPr>
        <w:t xml:space="preserve">գերակշիռ մասը՝ 61%-ը ներգրավված է արտարժույթով, իսկ վարկառուների եկամուտները հիմնականում ՀՀ դրամով են: Այնուամենայնիվ, նախորդ տարվա համեմատ պորտֆելի վարկային ռիսկը որոշակի նվազման միտում է ունեցել՝ պայմանավորված դրամային վարկերի ընդհանուր գումարի ավելացմամբ։ </w:t>
      </w:r>
    </w:p>
    <w:p w14:paraId="2C46328D" w14:textId="77777777" w:rsidR="00682DEF" w:rsidRPr="00A83C94" w:rsidRDefault="00682DEF" w:rsidP="00682DEF">
      <w:pPr>
        <w:keepNext/>
        <w:spacing w:before="40" w:after="60" w:line="312" w:lineRule="auto"/>
        <w:contextualSpacing w:val="0"/>
        <w:jc w:val="left"/>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 xml:space="preserve">Գծապատկեր </w:t>
      </w:r>
      <w:r w:rsidRPr="00A83C94">
        <w:rPr>
          <w:rFonts w:eastAsia="Calibri"/>
          <w:bCs/>
          <w:color w:val="4F81BD" w:themeColor="accent1"/>
          <w:sz w:val="18"/>
          <w:szCs w:val="18"/>
          <w:lang w:val="en-US" w:eastAsia="en-US"/>
        </w:rPr>
        <w:t>4</w:t>
      </w:r>
      <w:r w:rsidRPr="00A83C94">
        <w:rPr>
          <w:rFonts w:eastAsia="Calibri"/>
          <w:bCs/>
          <w:i/>
          <w:color w:val="4F81BD" w:themeColor="accent1"/>
          <w:sz w:val="20"/>
          <w:szCs w:val="20"/>
          <w:lang w:val="hy-AM" w:eastAsia="en-US"/>
        </w:rPr>
        <w:t xml:space="preserve">   31.07.2021 դրությամբ վարկերի արժութային կազմը</w:t>
      </w:r>
    </w:p>
    <w:p w14:paraId="1C0E2241" w14:textId="77777777" w:rsidR="00682DEF" w:rsidRPr="00A83C94" w:rsidRDefault="00682DEF" w:rsidP="00682DEF">
      <w:pPr>
        <w:shd w:val="clear" w:color="auto" w:fill="FFFFFF"/>
        <w:spacing w:before="0" w:line="276" w:lineRule="auto"/>
        <w:ind w:right="147" w:firstLine="448"/>
        <w:contextualSpacing w:val="0"/>
        <w:rPr>
          <w:rFonts w:eastAsia="Calibri"/>
          <w:b w:val="0"/>
          <w:szCs w:val="22"/>
          <w:lang w:val="hy-AM" w:eastAsia="en-US"/>
        </w:rPr>
      </w:pPr>
      <w:r w:rsidRPr="00A83C94">
        <w:rPr>
          <w:noProof/>
          <w:lang w:val="en-US" w:eastAsia="en-US"/>
        </w:rPr>
        <w:drawing>
          <wp:inline distT="0" distB="0" distL="0" distR="0" wp14:anchorId="516B9D4B" wp14:editId="287E39B6">
            <wp:extent cx="4731026" cy="1669774"/>
            <wp:effectExtent l="0" t="0" r="12700" b="6985"/>
            <wp:docPr id="161" name="Chart 161">
              <a:extLst xmlns:a="http://schemas.openxmlformats.org/drawingml/2006/main">
                <a:ext uri="{FF2B5EF4-FFF2-40B4-BE49-F238E27FC236}">
                  <a16:creationId xmlns:a16="http://schemas.microsoft.com/office/drawing/2014/main" id="{62C0193A-DFD7-420D-B031-7FBAE61F29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6544DD55" w14:textId="77777777"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p>
    <w:p w14:paraId="1DEBF38A" w14:textId="77777777"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r w:rsidRPr="00A83C94">
        <w:rPr>
          <w:rFonts w:cs="Sylfaen"/>
          <w:b w:val="0"/>
          <w:szCs w:val="22"/>
          <w:lang w:val="hy-AM" w:eastAsia="en-US"/>
        </w:rPr>
        <w:t>Ենթակառուցվածքային ոլորտում տրամադրված վարկերի չմարված մասի մեջ մեծ տեսակարար կշիռ ունեն էներգետիկայի ոլորտի վարկերը` 349.9 մլրդ ՀՀ դրամ (97.8%): Տրանսպորտի ոլորտին բաժին է ընկել 5.0 մլրդ ՀՀ դրամ, գյուղատնտեսության ոլորտին` 11.9 մլրդ ՀՀ դրամ (տես գծապատկերը):</w:t>
      </w:r>
    </w:p>
    <w:p w14:paraId="5DC0C2F7"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08A7601D"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38D63E6B"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08779642" w14:textId="77777777" w:rsidR="006C390E" w:rsidRDefault="006C390E" w:rsidP="00682DEF">
      <w:pPr>
        <w:keepNext/>
        <w:spacing w:before="40" w:after="60" w:line="312" w:lineRule="auto"/>
        <w:contextualSpacing w:val="0"/>
        <w:rPr>
          <w:rFonts w:eastAsia="Calibri"/>
          <w:bCs/>
          <w:color w:val="4F81BD" w:themeColor="accent1"/>
          <w:sz w:val="18"/>
          <w:szCs w:val="18"/>
          <w:lang w:val="hy-AM" w:eastAsia="en-US"/>
        </w:rPr>
      </w:pPr>
    </w:p>
    <w:p w14:paraId="7FEAB545" w14:textId="3DA1EFC1" w:rsidR="00682DEF" w:rsidRPr="00A83C94" w:rsidRDefault="00682DEF" w:rsidP="00682DEF">
      <w:pPr>
        <w:keepNext/>
        <w:spacing w:before="40" w:after="60" w:line="312" w:lineRule="auto"/>
        <w:contextualSpacing w:val="0"/>
        <w:rPr>
          <w:rFonts w:eastAsia="Calibri"/>
          <w:bCs/>
          <w:i/>
          <w:color w:val="4F81BD" w:themeColor="accent1"/>
          <w:sz w:val="20"/>
          <w:szCs w:val="20"/>
          <w:lang w:val="hy-AM" w:eastAsia="en-US"/>
        </w:rPr>
      </w:pPr>
      <w:r w:rsidRPr="00A83C94">
        <w:rPr>
          <w:rFonts w:eastAsia="Calibri"/>
          <w:bCs/>
          <w:color w:val="4F81BD" w:themeColor="accent1"/>
          <w:sz w:val="18"/>
          <w:szCs w:val="18"/>
          <w:lang w:val="hy-AM" w:eastAsia="en-US"/>
        </w:rPr>
        <w:t xml:space="preserve">Գծապատկեր </w:t>
      </w:r>
      <w:r w:rsidRPr="006C390E">
        <w:rPr>
          <w:rFonts w:eastAsia="Calibri"/>
          <w:bCs/>
          <w:color w:val="4F81BD" w:themeColor="accent1"/>
          <w:sz w:val="18"/>
          <w:szCs w:val="18"/>
          <w:lang w:val="hy-AM" w:eastAsia="en-US"/>
        </w:rPr>
        <w:t>5</w:t>
      </w:r>
      <w:r w:rsidRPr="00A83C94">
        <w:rPr>
          <w:rFonts w:eastAsia="Calibri"/>
          <w:bCs/>
          <w:i/>
          <w:color w:val="4F81BD" w:themeColor="accent1"/>
          <w:sz w:val="20"/>
          <w:szCs w:val="20"/>
          <w:lang w:val="hy-AM" w:eastAsia="en-US"/>
        </w:rPr>
        <w:t xml:space="preserve"> Վարկերի բաշխվածությունն ըստ ոլորտների</w:t>
      </w:r>
    </w:p>
    <w:p w14:paraId="6A39047C" w14:textId="77777777"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p>
    <w:p w14:paraId="286E02F5" w14:textId="77777777" w:rsidR="00682DEF" w:rsidRPr="00A83C94" w:rsidRDefault="00682DEF" w:rsidP="00682DEF">
      <w:pPr>
        <w:shd w:val="clear" w:color="auto" w:fill="FFFFFF"/>
        <w:spacing w:before="0" w:line="276" w:lineRule="auto"/>
        <w:ind w:right="150" w:firstLine="450"/>
        <w:contextualSpacing w:val="0"/>
        <w:rPr>
          <w:rFonts w:eastAsia="Calibri"/>
          <w:b w:val="0"/>
          <w:szCs w:val="22"/>
          <w:lang w:val="hy-AM" w:eastAsia="en-US"/>
        </w:rPr>
      </w:pPr>
    </w:p>
    <w:p w14:paraId="1F7438CA" w14:textId="77777777" w:rsidR="00682DEF" w:rsidRPr="00A83C94" w:rsidRDefault="00682DEF" w:rsidP="00682DEF">
      <w:pPr>
        <w:spacing w:before="0" w:line="276" w:lineRule="auto"/>
        <w:ind w:right="23" w:firstLine="227"/>
        <w:contextualSpacing w:val="0"/>
        <w:rPr>
          <w:b w:val="0"/>
          <w:szCs w:val="22"/>
          <w:lang w:val="hy-AM" w:eastAsia="en-US"/>
        </w:rPr>
      </w:pPr>
      <w:r w:rsidRPr="00A83C94">
        <w:rPr>
          <w:noProof/>
          <w:lang w:val="en-US" w:eastAsia="en-US"/>
        </w:rPr>
        <w:drawing>
          <wp:inline distT="0" distB="0" distL="0" distR="0" wp14:anchorId="0D78D170" wp14:editId="6F0772C0">
            <wp:extent cx="5987332" cy="2162754"/>
            <wp:effectExtent l="0" t="0" r="13970" b="9525"/>
            <wp:docPr id="162" name="Chart 162">
              <a:extLst xmlns:a="http://schemas.openxmlformats.org/drawingml/2006/main">
                <a:ext uri="{FF2B5EF4-FFF2-40B4-BE49-F238E27FC236}">
                  <a16:creationId xmlns:a16="http://schemas.microsoft.com/office/drawing/2014/main" id="{F55AD7B1-F2B7-488B-BAEA-238E16C18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8B3514F" w14:textId="1103416F" w:rsidR="00682DEF" w:rsidRPr="00A83C94" w:rsidRDefault="00682DEF" w:rsidP="00682DEF">
      <w:pPr>
        <w:widowControl w:val="0"/>
        <w:autoSpaceDE w:val="0"/>
        <w:autoSpaceDN w:val="0"/>
        <w:adjustRightInd w:val="0"/>
        <w:spacing w:before="0" w:after="60" w:line="276" w:lineRule="auto"/>
        <w:ind w:right="-6" w:firstLine="426"/>
        <w:contextualSpacing w:val="0"/>
        <w:rPr>
          <w:rFonts w:cs="Sylfaen"/>
          <w:b w:val="0"/>
          <w:szCs w:val="22"/>
          <w:lang w:val="hy-AM" w:eastAsia="en-US"/>
        </w:rPr>
      </w:pPr>
      <w:r w:rsidRPr="00A83C94">
        <w:rPr>
          <w:rFonts w:cs="Sylfaen"/>
          <w:b w:val="0"/>
          <w:szCs w:val="22"/>
          <w:lang w:val="hy-AM" w:eastAsia="en-US"/>
        </w:rPr>
        <w:t xml:space="preserve">Տրամադրված վարկերից 78.6% ապահովված են գրավով (հող, շինություն և այլն), իսկ </w:t>
      </w:r>
      <w:r w:rsidR="006C390E" w:rsidRPr="006C390E">
        <w:rPr>
          <w:rFonts w:cs="Sylfaen"/>
          <w:b w:val="0"/>
          <w:szCs w:val="22"/>
          <w:lang w:val="hy-AM" w:eastAsia="en-US"/>
        </w:rPr>
        <w:t xml:space="preserve">               </w:t>
      </w:r>
      <w:r w:rsidRPr="00A83C94">
        <w:rPr>
          <w:rFonts w:cs="Sylfaen"/>
          <w:b w:val="0"/>
          <w:szCs w:val="22"/>
          <w:lang w:val="hy-AM" w:eastAsia="en-US"/>
        </w:rPr>
        <w:t xml:space="preserve">21.4%-ը կազմում են գրավով չապահովված վարկերը։ Վերջիններս պետական ծրագրերի իրականացմանը կամ պետական մասնակցությամբ ընկերություններին ուղղված միջոցներն են։ Վարկային պորտֆելի 17%-ը վերակառուցված վարկեր են։ </w:t>
      </w:r>
    </w:p>
    <w:p w14:paraId="5E74FC25" w14:textId="77777777" w:rsidR="00682DEF" w:rsidRPr="00A83C94" w:rsidRDefault="00682DEF" w:rsidP="008D3366">
      <w:pPr>
        <w:keepNext/>
        <w:keepLines/>
        <w:spacing w:before="0" w:line="312" w:lineRule="auto"/>
        <w:ind w:firstLine="0"/>
        <w:outlineLvl w:val="2"/>
        <w:rPr>
          <w:szCs w:val="22"/>
          <w:lang w:val="hy-AM" w:eastAsia="en-US"/>
        </w:rPr>
      </w:pPr>
    </w:p>
    <w:p w14:paraId="6F908C96" w14:textId="09AA5113" w:rsidR="006C390E" w:rsidRDefault="006C390E">
      <w:pPr>
        <w:spacing w:before="0" w:line="240" w:lineRule="auto"/>
        <w:ind w:firstLine="0"/>
        <w:contextualSpacing w:val="0"/>
        <w:jc w:val="left"/>
        <w:rPr>
          <w:szCs w:val="22"/>
          <w:lang w:val="hy-AM" w:eastAsia="en-US"/>
        </w:rPr>
      </w:pPr>
      <w:r>
        <w:rPr>
          <w:szCs w:val="22"/>
          <w:lang w:val="hy-AM" w:eastAsia="en-US"/>
        </w:rPr>
        <w:br w:type="page"/>
      </w:r>
    </w:p>
    <w:p w14:paraId="359656CF" w14:textId="3BA978EA" w:rsidR="00A00B8B" w:rsidRPr="00A83C94" w:rsidRDefault="008D3366" w:rsidP="008D3366">
      <w:pPr>
        <w:keepNext/>
        <w:keepLines/>
        <w:spacing w:before="0" w:line="312" w:lineRule="auto"/>
        <w:ind w:firstLine="0"/>
        <w:outlineLvl w:val="2"/>
        <w:rPr>
          <w:szCs w:val="22"/>
          <w:lang w:val="hy-AM" w:eastAsia="en-US"/>
        </w:rPr>
      </w:pPr>
      <w:bookmarkStart w:id="370" w:name="_Toc89428349"/>
      <w:r w:rsidRPr="00A83C94">
        <w:rPr>
          <w:szCs w:val="22"/>
          <w:lang w:val="hy-AM" w:eastAsia="en-US"/>
        </w:rPr>
        <w:t xml:space="preserve">5.  </w:t>
      </w:r>
      <w:r w:rsidR="00A00B8B" w:rsidRPr="00A83C94">
        <w:rPr>
          <w:szCs w:val="22"/>
          <w:lang w:val="hy-AM" w:eastAsia="en-US"/>
        </w:rPr>
        <w:t>202</w:t>
      </w:r>
      <w:r w:rsidR="00840AE8" w:rsidRPr="00A83C94">
        <w:rPr>
          <w:szCs w:val="22"/>
          <w:lang w:val="hy-AM" w:eastAsia="en-US"/>
        </w:rPr>
        <w:t>2</w:t>
      </w:r>
      <w:r w:rsidR="00A00B8B" w:rsidRPr="00A83C94">
        <w:rPr>
          <w:szCs w:val="22"/>
          <w:lang w:val="hy-AM" w:eastAsia="en-US"/>
        </w:rPr>
        <w:t xml:space="preserve"> ԹՎԱԿԱՆԻ ՀԱՐԿԱՅԻՆ ԾԱԽՍԵՐԻ ԳՆԱՀԱՏԱԿԱՆԻ ՎԵՐԼՈՒԾՈՒԹՅՈՒՆ</w:t>
      </w:r>
      <w:bookmarkEnd w:id="370"/>
    </w:p>
    <w:p w14:paraId="638D158B" w14:textId="77777777" w:rsidR="00A00B8B" w:rsidRPr="00A83C94" w:rsidRDefault="00A00B8B" w:rsidP="007730AA">
      <w:pPr>
        <w:spacing w:before="0" w:line="276" w:lineRule="auto"/>
        <w:ind w:firstLine="0"/>
        <w:contextualSpacing w:val="0"/>
        <w:rPr>
          <w:b w:val="0"/>
          <w:szCs w:val="22"/>
          <w:lang w:val="hy-AM" w:eastAsia="en-US"/>
        </w:rPr>
      </w:pPr>
    </w:p>
    <w:p w14:paraId="55D68056" w14:textId="77777777" w:rsidR="00840AE8" w:rsidRPr="00A83C94" w:rsidRDefault="00840AE8" w:rsidP="00840AE8">
      <w:pPr>
        <w:spacing w:line="276" w:lineRule="auto"/>
        <w:rPr>
          <w:rFonts w:eastAsia="Calibri" w:cs="Calibri"/>
          <w:szCs w:val="22"/>
          <w:u w:val="single"/>
          <w:lang w:val="hy-AM"/>
        </w:rPr>
      </w:pPr>
      <w:r w:rsidRPr="00A83C94">
        <w:rPr>
          <w:rFonts w:eastAsia="Calibri" w:cs="Calibri"/>
          <w:szCs w:val="22"/>
          <w:u w:val="single"/>
          <w:lang w:val="hy-AM"/>
        </w:rPr>
        <w:t>Նախաբան.</w:t>
      </w:r>
    </w:p>
    <w:p w14:paraId="21064AD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Արդյունավետ հարկա</w:t>
      </w:r>
      <w:r w:rsidRPr="00A83C94">
        <w:rPr>
          <w:rFonts w:cs="Sylfaen"/>
          <w:b w:val="0"/>
          <w:color w:val="000000"/>
          <w:szCs w:val="22"/>
          <w:lang w:val="hy-AM"/>
        </w:rPr>
        <w:softHyphen/>
        <w:t>բյու</w:t>
      </w:r>
      <w:r w:rsidRPr="00A83C94">
        <w:rPr>
          <w:rFonts w:cs="Sylfaen"/>
          <w:b w:val="0"/>
          <w:color w:val="000000"/>
          <w:szCs w:val="22"/>
          <w:lang w:val="hy-AM"/>
        </w:rPr>
        <w:softHyphen/>
        <w:t>ջետային քաղաքականություն մշա</w:t>
      </w:r>
      <w:r w:rsidRPr="00A83C94">
        <w:rPr>
          <w:rFonts w:cs="Sylfaen"/>
          <w:b w:val="0"/>
          <w:color w:val="000000"/>
          <w:szCs w:val="22"/>
          <w:lang w:val="hy-AM"/>
        </w:rPr>
        <w:softHyphen/>
        <w:t>կելու և իրականացնելու տես</w:t>
      </w:r>
      <w:r w:rsidRPr="00A83C94">
        <w:rPr>
          <w:rFonts w:cs="Sylfaen"/>
          <w:b w:val="0"/>
          <w:color w:val="000000"/>
          <w:szCs w:val="22"/>
          <w:lang w:val="hy-AM"/>
        </w:rPr>
        <w:softHyphen/>
        <w:t>անկյունից հարկային ծախսերի գնահատականը խիստ կարևոր է, քանի որ հար</w:t>
      </w:r>
      <w:r w:rsidRPr="00A83C94">
        <w:rPr>
          <w:rFonts w:cs="Sylfaen"/>
          <w:b w:val="0"/>
          <w:color w:val="000000"/>
          <w:szCs w:val="22"/>
          <w:lang w:val="hy-AM"/>
        </w:rPr>
        <w:softHyphen/>
        <w:t>կա</w:t>
      </w:r>
      <w:r w:rsidRPr="00A83C94">
        <w:rPr>
          <w:rFonts w:cs="Sylfaen"/>
          <w:b w:val="0"/>
          <w:color w:val="000000"/>
          <w:szCs w:val="22"/>
          <w:lang w:val="hy-AM"/>
        </w:rPr>
        <w:softHyphen/>
        <w:t>յին ծախ</w:t>
      </w:r>
      <w:r w:rsidRPr="00A83C94">
        <w:rPr>
          <w:rFonts w:cs="Sylfaen"/>
          <w:b w:val="0"/>
          <w:color w:val="000000"/>
          <w:szCs w:val="22"/>
          <w:lang w:val="hy-AM"/>
        </w:rPr>
        <w:softHyphen/>
        <w:t>սերի գնահատմամբ ամբողջականացվում է պետության կողմից իրա</w:t>
      </w:r>
      <w:r w:rsidRPr="00A83C94">
        <w:rPr>
          <w:rFonts w:cs="Sylfaen"/>
          <w:b w:val="0"/>
          <w:color w:val="000000"/>
          <w:szCs w:val="22"/>
          <w:lang w:val="hy-AM"/>
        </w:rPr>
        <w:softHyphen/>
        <w:t>կա</w:t>
      </w:r>
      <w:r w:rsidRPr="00A83C94">
        <w:rPr>
          <w:rFonts w:cs="Sylfaen"/>
          <w:b w:val="0"/>
          <w:color w:val="000000"/>
          <w:szCs w:val="22"/>
          <w:lang w:val="hy-AM"/>
        </w:rPr>
        <w:softHyphen/>
        <w:t>նացվող` եկա</w:t>
      </w:r>
      <w:r w:rsidRPr="00A83C94">
        <w:rPr>
          <w:rFonts w:cs="Sylfaen"/>
          <w:b w:val="0"/>
          <w:color w:val="000000"/>
          <w:szCs w:val="22"/>
          <w:lang w:val="hy-AM"/>
        </w:rPr>
        <w:softHyphen/>
        <w:t>մուտ</w:t>
      </w:r>
      <w:r w:rsidRPr="00A83C94">
        <w:rPr>
          <w:rFonts w:cs="Sylfaen"/>
          <w:b w:val="0"/>
          <w:color w:val="000000"/>
          <w:szCs w:val="22"/>
          <w:lang w:val="hy-AM"/>
        </w:rPr>
        <w:softHyphen/>
        <w:t>ների վերա</w:t>
      </w:r>
      <w:r w:rsidRPr="00A83C94">
        <w:rPr>
          <w:rFonts w:cs="Sylfaen"/>
          <w:b w:val="0"/>
          <w:color w:val="000000"/>
          <w:szCs w:val="22"/>
          <w:lang w:val="hy-AM"/>
        </w:rPr>
        <w:softHyphen/>
        <w:t>բաշխման գործառույթի շրջանակներն ու արդյունավե</w:t>
      </w:r>
      <w:r w:rsidRPr="00A83C94">
        <w:rPr>
          <w:rFonts w:cs="Sylfaen"/>
          <w:b w:val="0"/>
          <w:color w:val="000000"/>
          <w:szCs w:val="22"/>
          <w:lang w:val="hy-AM"/>
        </w:rPr>
        <w:softHyphen/>
        <w:t>տու</w:t>
      </w:r>
      <w:r w:rsidRPr="00A83C94">
        <w:rPr>
          <w:rFonts w:cs="Sylfaen"/>
          <w:b w:val="0"/>
          <w:color w:val="000000"/>
          <w:szCs w:val="22"/>
          <w:lang w:val="hy-AM"/>
        </w:rPr>
        <w:softHyphen/>
        <w:t>թյունը:</w:t>
      </w:r>
    </w:p>
    <w:p w14:paraId="09730882"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գնահատականի վերաբերյալ տեղեկատվությունը թափանցիկ և շահա</w:t>
      </w:r>
      <w:r w:rsidRPr="00A83C94">
        <w:rPr>
          <w:rFonts w:cs="Sylfaen"/>
          <w:b w:val="0"/>
          <w:color w:val="000000"/>
          <w:szCs w:val="22"/>
          <w:lang w:val="hy-AM"/>
        </w:rPr>
        <w:softHyphen/>
        <w:t>ռուների տարբեր խմբերի համար հասանելի դարձնելու նպատակով, որոշ երկրներ այդ տեղեկատվությունը ներառում են առաջիկա տարվա համար մշակվող բյուջեի բացատ</w:t>
      </w:r>
      <w:r w:rsidRPr="00A83C94">
        <w:rPr>
          <w:rFonts w:cs="Sylfaen"/>
          <w:b w:val="0"/>
          <w:color w:val="000000"/>
          <w:szCs w:val="22"/>
          <w:lang w:val="hy-AM"/>
        </w:rPr>
        <w:softHyphen/>
        <w:t>րա</w:t>
      </w:r>
      <w:r w:rsidRPr="00A83C94">
        <w:rPr>
          <w:rFonts w:cs="Sylfaen"/>
          <w:b w:val="0"/>
          <w:color w:val="000000"/>
          <w:szCs w:val="22"/>
          <w:lang w:val="hy-AM"/>
        </w:rPr>
        <w:softHyphen/>
        <w:t>գրում:</w:t>
      </w:r>
    </w:p>
    <w:p w14:paraId="1D1A1F3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Հայաստանի Հանրա</w:t>
      </w:r>
      <w:r w:rsidRPr="00A83C94">
        <w:rPr>
          <w:rFonts w:cs="Sylfaen"/>
          <w:b w:val="0"/>
          <w:color w:val="000000"/>
          <w:szCs w:val="22"/>
          <w:lang w:val="hy-AM"/>
        </w:rPr>
        <w:softHyphen/>
        <w:t>պե</w:t>
      </w:r>
      <w:r w:rsidRPr="00A83C94">
        <w:rPr>
          <w:rFonts w:cs="Sylfaen"/>
          <w:b w:val="0"/>
          <w:color w:val="000000"/>
          <w:szCs w:val="22"/>
          <w:lang w:val="hy-AM"/>
        </w:rPr>
        <w:softHyphen/>
        <w:t>տու</w:t>
      </w:r>
      <w:r w:rsidRPr="00A83C94">
        <w:rPr>
          <w:rFonts w:cs="Sylfaen"/>
          <w:b w:val="0"/>
          <w:color w:val="000000"/>
          <w:szCs w:val="22"/>
          <w:lang w:val="hy-AM"/>
        </w:rPr>
        <w:softHyphen/>
        <w:t>թյունում առաջին անգամ հարկային ծախսերի մեծությունը գնահատվել է 2015թ. համար, որը ներառ</w:t>
      </w:r>
      <w:r w:rsidRPr="00A83C94">
        <w:rPr>
          <w:rFonts w:cs="Sylfaen"/>
          <w:b w:val="0"/>
          <w:color w:val="000000"/>
          <w:szCs w:val="22"/>
          <w:lang w:val="hy-AM"/>
        </w:rPr>
        <w:softHyphen/>
        <w:t xml:space="preserve">վել է 2015 թվականի պետական բյուջեի մասին ՀՀ օրենքի բացատրագրում` որպես առանձին հավելված: </w:t>
      </w:r>
    </w:p>
    <w:p w14:paraId="0E2D7A5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p>
    <w:p w14:paraId="01BA6BBE" w14:textId="77777777" w:rsidR="00840AE8" w:rsidRPr="00A83C94" w:rsidRDefault="00840AE8" w:rsidP="00840AE8">
      <w:pPr>
        <w:pStyle w:val="NormalWeb"/>
        <w:shd w:val="clear" w:color="auto" w:fill="FFFFFF"/>
        <w:spacing w:before="0" w:beforeAutospacing="0" w:after="0" w:afterAutospacing="0" w:line="276" w:lineRule="auto"/>
        <w:rPr>
          <w:rFonts w:cs="Sylfaen"/>
          <w:color w:val="000000"/>
          <w:szCs w:val="22"/>
          <w:u w:val="single"/>
          <w:lang w:val="hy-AM"/>
        </w:rPr>
      </w:pPr>
      <w:r w:rsidRPr="00A83C94">
        <w:rPr>
          <w:rFonts w:cs="Sylfaen"/>
          <w:color w:val="000000"/>
          <w:szCs w:val="22"/>
          <w:u w:val="single"/>
          <w:lang w:val="hy-AM"/>
        </w:rPr>
        <w:t>Հարկային ծախսերը.</w:t>
      </w:r>
    </w:p>
    <w:p w14:paraId="67C4043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Հայաստանի Հանրապետության գործող օրենսդրությամբ Հարկային ծախս հասկա</w:t>
      </w:r>
      <w:r w:rsidRPr="00A83C94">
        <w:rPr>
          <w:rFonts w:cs="Sylfaen"/>
          <w:b w:val="0"/>
          <w:color w:val="000000"/>
          <w:szCs w:val="22"/>
          <w:lang w:val="hy-AM"/>
        </w:rPr>
        <w:softHyphen/>
        <w:t>ցու</w:t>
      </w:r>
      <w:r w:rsidRPr="00A83C94">
        <w:rPr>
          <w:rFonts w:cs="Sylfaen"/>
          <w:b w:val="0"/>
          <w:color w:val="000000"/>
          <w:szCs w:val="22"/>
          <w:lang w:val="hy-AM"/>
        </w:rPr>
        <w:softHyphen/>
        <w:t>թյունը սահմանված չէ: Բովան</w:t>
      </w:r>
      <w:r w:rsidRPr="00A83C94">
        <w:rPr>
          <w:rFonts w:cs="Sylfaen"/>
          <w:b w:val="0"/>
          <w:color w:val="000000"/>
          <w:szCs w:val="22"/>
          <w:lang w:val="hy-AM"/>
        </w:rPr>
        <w:softHyphen/>
        <w:t>դակային առումով, հարկային ծախսերը գործող հարկային արտոնությունների հետևան</w:t>
      </w:r>
      <w:r w:rsidRPr="00A83C94">
        <w:rPr>
          <w:rFonts w:cs="Sylfaen"/>
          <w:b w:val="0"/>
          <w:color w:val="000000"/>
          <w:szCs w:val="22"/>
          <w:lang w:val="hy-AM"/>
        </w:rPr>
        <w:softHyphen/>
        <w:t>քով պետական բյուջե չգանձվող (պակաս գանձվող) հարկային եկամուտներն են կամ այդ եկամուտների չափով պետության կրած այլընտրանքային ծախ</w:t>
      </w:r>
      <w:r w:rsidRPr="00A83C94">
        <w:rPr>
          <w:rFonts w:cs="Sylfaen"/>
          <w:b w:val="0"/>
          <w:color w:val="000000"/>
          <w:szCs w:val="22"/>
          <w:lang w:val="hy-AM"/>
        </w:rPr>
        <w:softHyphen/>
        <w:t>սերն են, քանի որ հարկային ծախսերը հանգեցնում են համապատասխան գումարի չափով բյու</w:t>
      </w:r>
      <w:r w:rsidRPr="00A83C94">
        <w:rPr>
          <w:rFonts w:cs="Sylfaen"/>
          <w:b w:val="0"/>
          <w:color w:val="000000"/>
          <w:szCs w:val="22"/>
          <w:lang w:val="hy-AM"/>
        </w:rPr>
        <w:softHyphen/>
        <w:t>ջետային ծախսերի կրճատման: Ընդ որում, ի</w:t>
      </w:r>
      <w:r w:rsidRPr="00A83C94">
        <w:rPr>
          <w:rFonts w:eastAsia="Calibri" w:cs="Calibri"/>
          <w:b w:val="0"/>
          <w:szCs w:val="22"/>
          <w:lang w:val="hy-AM"/>
        </w:rPr>
        <w:t xml:space="preserve"> տարբերություն պետական բյուջեի ծախ</w:t>
      </w:r>
      <w:r w:rsidRPr="00A83C94">
        <w:rPr>
          <w:rFonts w:eastAsia="Calibri" w:cs="Calibri"/>
          <w:b w:val="0"/>
          <w:szCs w:val="22"/>
          <w:lang w:val="hy-AM"/>
        </w:rPr>
        <w:softHyphen/>
        <w:t>սե</w:t>
      </w:r>
      <w:r w:rsidRPr="00A83C94">
        <w:rPr>
          <w:rFonts w:eastAsia="Calibri" w:cs="Calibri"/>
          <w:b w:val="0"/>
          <w:szCs w:val="22"/>
          <w:lang w:val="hy-AM"/>
        </w:rPr>
        <w:softHyphen/>
        <w:t xml:space="preserve">րի, որոնք ենթակա են խորքային վերլուծության, մոնիտորինգի ու հսկողության, հարկային ծախսերը հաճախ պատշաճ ձևով չեն վերահսկվում: </w:t>
      </w:r>
      <w:r w:rsidRPr="00A83C94">
        <w:rPr>
          <w:rFonts w:cs="Sylfaen"/>
          <w:b w:val="0"/>
          <w:color w:val="000000"/>
          <w:szCs w:val="22"/>
          <w:lang w:val="hy-AM"/>
        </w:rPr>
        <w:t>Արդյունքում, նվազում է հանրային ֆինանս</w:t>
      </w:r>
      <w:r w:rsidRPr="00A83C94">
        <w:rPr>
          <w:rFonts w:cs="Sylfaen"/>
          <w:b w:val="0"/>
          <w:color w:val="000000"/>
          <w:szCs w:val="22"/>
          <w:lang w:val="hy-AM"/>
        </w:rPr>
        <w:softHyphen/>
        <w:t>ների կառավարման արդյունավետությունն ու թափանցիկությունը, սահմանափակ</w:t>
      </w:r>
      <w:r w:rsidRPr="00A83C94">
        <w:rPr>
          <w:rFonts w:cs="Sylfaen"/>
          <w:b w:val="0"/>
          <w:color w:val="000000"/>
          <w:szCs w:val="22"/>
          <w:lang w:val="hy-AM"/>
        </w:rPr>
        <w:softHyphen/>
        <w:t>վում են պետության վերաբաշխիչ գործառույթի շրջանակները:</w:t>
      </w:r>
      <w:r w:rsidRPr="00A83C94">
        <w:rPr>
          <w:rFonts w:eastAsia="Calibri" w:cs="Calibri"/>
          <w:b w:val="0"/>
          <w:szCs w:val="22"/>
          <w:lang w:val="hy-AM"/>
        </w:rPr>
        <w:t xml:space="preserve"> </w:t>
      </w:r>
      <w:r w:rsidRPr="00A83C94">
        <w:rPr>
          <w:rFonts w:cs="Sylfaen"/>
          <w:b w:val="0"/>
          <w:color w:val="000000"/>
          <w:szCs w:val="22"/>
          <w:lang w:val="hy-AM"/>
        </w:rPr>
        <w:t>Այդ իսկ պատճառով հար</w:t>
      </w:r>
      <w:r w:rsidRPr="00A83C94">
        <w:rPr>
          <w:rFonts w:cs="Sylfaen"/>
          <w:b w:val="0"/>
          <w:color w:val="000000"/>
          <w:szCs w:val="22"/>
          <w:lang w:val="hy-AM"/>
        </w:rPr>
        <w:softHyphen/>
        <w:t>կա</w:t>
      </w:r>
      <w:r w:rsidRPr="00A83C94">
        <w:rPr>
          <w:rFonts w:cs="Sylfaen"/>
          <w:b w:val="0"/>
          <w:color w:val="000000"/>
          <w:szCs w:val="22"/>
          <w:lang w:val="hy-AM"/>
        </w:rPr>
        <w:softHyphen/>
        <w:t>յին ծախսերի պարբերաբար գնահատումը հանգուցային նշանակություն ունի պետության հար</w:t>
      </w:r>
      <w:r w:rsidRPr="00A83C94">
        <w:rPr>
          <w:rFonts w:cs="Sylfaen"/>
          <w:b w:val="0"/>
          <w:color w:val="000000"/>
          <w:szCs w:val="22"/>
          <w:lang w:val="hy-AM"/>
        </w:rPr>
        <w:softHyphen/>
        <w:t>կաբյուջետային քաղաքականության տեսանկյունից:</w:t>
      </w:r>
    </w:p>
    <w:p w14:paraId="65E32BB8" w14:textId="77777777" w:rsidR="00840AE8" w:rsidRPr="00A83C94" w:rsidRDefault="00840AE8" w:rsidP="00840AE8">
      <w:pPr>
        <w:pStyle w:val="NormalWeb"/>
        <w:shd w:val="clear" w:color="auto" w:fill="FFFFFF"/>
        <w:spacing w:before="0" w:beforeAutospacing="0" w:after="0" w:afterAutospacing="0" w:line="276" w:lineRule="auto"/>
        <w:ind w:left="567"/>
        <w:rPr>
          <w:rFonts w:cs="Sylfaen"/>
          <w:b w:val="0"/>
          <w:color w:val="000000"/>
          <w:szCs w:val="22"/>
          <w:u w:val="single"/>
          <w:lang w:val="hy-AM"/>
        </w:rPr>
      </w:pPr>
    </w:p>
    <w:p w14:paraId="57110BFB" w14:textId="77777777" w:rsidR="00840AE8" w:rsidRPr="00A83C94" w:rsidRDefault="00840AE8" w:rsidP="00840AE8">
      <w:pPr>
        <w:pStyle w:val="NormalWeb"/>
        <w:shd w:val="clear" w:color="auto" w:fill="FFFFFF"/>
        <w:spacing w:before="0" w:beforeAutospacing="0" w:after="0" w:afterAutospacing="0" w:line="276" w:lineRule="auto"/>
        <w:ind w:left="567"/>
        <w:rPr>
          <w:rFonts w:cs="Sylfaen"/>
          <w:b w:val="0"/>
          <w:color w:val="000000"/>
          <w:szCs w:val="22"/>
          <w:u w:val="single"/>
          <w:lang w:val="hy-AM"/>
        </w:rPr>
      </w:pPr>
      <w:r w:rsidRPr="00A83C94">
        <w:rPr>
          <w:rFonts w:cs="Sylfaen"/>
          <w:b w:val="0"/>
          <w:color w:val="000000"/>
          <w:szCs w:val="22"/>
          <w:u w:val="single"/>
          <w:lang w:val="hy-AM"/>
        </w:rPr>
        <w:t>Հաշվետվությամբ ընդգրկվող ժամանակահատվածը, հարկային ծախսերի գնահատման համար օգտագործված տեղեկատվությունը և ընտրված մեթոդաբանությունը.</w:t>
      </w:r>
    </w:p>
    <w:p w14:paraId="440589B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Սույն հաշվետվությամբ գնահատված են 2022 թվականի հաշվետու տարվա հարկային ծախսերը:</w:t>
      </w:r>
    </w:p>
    <w:p w14:paraId="238193D7"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Գնահատման համար տեղեկատվական հիմք են հանդիսացել 2020 թվականի հաշ</w:t>
      </w:r>
      <w:r w:rsidRPr="00A83C94">
        <w:rPr>
          <w:rFonts w:cs="Sylfaen"/>
          <w:b w:val="0"/>
          <w:color w:val="000000"/>
          <w:szCs w:val="22"/>
          <w:lang w:val="hy-AM"/>
        </w:rPr>
        <w:softHyphen/>
        <w:t>վետու տարվա համար ՀՀ վիճակագրական կոմիտեի կողմից հրապարակված հիմ</w:t>
      </w:r>
      <w:r w:rsidRPr="00A83C94">
        <w:rPr>
          <w:rFonts w:cs="Sylfaen"/>
          <w:b w:val="0"/>
          <w:color w:val="000000"/>
          <w:szCs w:val="22"/>
          <w:lang w:val="hy-AM"/>
        </w:rPr>
        <w:softHyphen/>
        <w:t>նա</w:t>
      </w:r>
      <w:r w:rsidRPr="00A83C94">
        <w:rPr>
          <w:rFonts w:cs="Sylfaen"/>
          <w:b w:val="0"/>
          <w:color w:val="000000"/>
          <w:szCs w:val="22"/>
          <w:lang w:val="hy-AM"/>
        </w:rPr>
        <w:softHyphen/>
        <w:t>կան մակրոտնտեսական տվյալները, ինչ</w:t>
      </w:r>
      <w:r w:rsidRPr="00A83C94">
        <w:rPr>
          <w:rFonts w:cs="Sylfaen"/>
          <w:b w:val="0"/>
          <w:color w:val="000000"/>
          <w:szCs w:val="22"/>
          <w:lang w:val="hy-AM"/>
        </w:rPr>
        <w:softHyphen/>
        <w:t>պես նաև ՀՀ  ՊԵԿ  տեղեկատվական բազայում առկա` տնտեսա</w:t>
      </w:r>
      <w:r w:rsidRPr="00A83C94">
        <w:rPr>
          <w:rFonts w:cs="Sylfaen"/>
          <w:b w:val="0"/>
          <w:color w:val="000000"/>
          <w:szCs w:val="22"/>
          <w:lang w:val="hy-AM"/>
        </w:rPr>
        <w:softHyphen/>
        <w:t>վա</w:t>
      </w:r>
      <w:r w:rsidRPr="00A83C94">
        <w:rPr>
          <w:rFonts w:cs="Sylfaen"/>
          <w:b w:val="0"/>
          <w:color w:val="000000"/>
          <w:szCs w:val="22"/>
          <w:lang w:val="hy-AM"/>
        </w:rPr>
        <w:softHyphen/>
        <w:t>րող սուբյեկտների կողմից ներկայացված հաշվետվությունների տվյալները, որոնք ենթարկվել են որոշակի ճշգրտումների` կապ</w:t>
      </w:r>
      <w:r w:rsidRPr="00A83C94">
        <w:rPr>
          <w:rFonts w:cs="Sylfaen"/>
          <w:b w:val="0"/>
          <w:color w:val="000000"/>
          <w:szCs w:val="22"/>
          <w:lang w:val="hy-AM"/>
        </w:rPr>
        <w:softHyphen/>
        <w:t>ված 2022 թվականի համար կանխատեսվող համապատասխան տվյալների հետ:</w:t>
      </w:r>
    </w:p>
    <w:p w14:paraId="3D116ED4"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Հաշվետվության մեթոդաբանության հիմքում դրված են ՀՆԱ-ի ճյուղային կառուց</w:t>
      </w:r>
      <w:r w:rsidRPr="00A83C94">
        <w:rPr>
          <w:rFonts w:cs="Sylfaen"/>
          <w:b w:val="0"/>
          <w:color w:val="000000"/>
          <w:szCs w:val="22"/>
          <w:lang w:val="hy-AM"/>
        </w:rPr>
        <w:softHyphen/>
        <w:t>վածքի (հարկունակ և ոչ հարկունակ մասերի) ուսումնասիրության մակրոտնտեսական մոտե</w:t>
      </w:r>
      <w:r w:rsidRPr="00A83C94">
        <w:rPr>
          <w:rFonts w:cs="Sylfaen"/>
          <w:b w:val="0"/>
          <w:color w:val="000000"/>
          <w:szCs w:val="22"/>
          <w:lang w:val="hy-AM"/>
        </w:rPr>
        <w:softHyphen/>
      </w:r>
      <w:r w:rsidRPr="00A83C94">
        <w:rPr>
          <w:rFonts w:cs="Sylfaen"/>
          <w:b w:val="0"/>
          <w:color w:val="000000"/>
          <w:szCs w:val="22"/>
          <w:lang w:val="hy-AM"/>
        </w:rPr>
        <w:softHyphen/>
      </w:r>
      <w:r w:rsidRPr="00A83C94">
        <w:rPr>
          <w:rFonts w:cs="Sylfaen"/>
          <w:b w:val="0"/>
          <w:color w:val="000000"/>
          <w:szCs w:val="22"/>
          <w:lang w:val="hy-AM"/>
        </w:rPr>
        <w:softHyphen/>
        <w:t>ցումները, 2020 թվականին վերաբերող ԱԱՀ-ի, շահութահարկի և շրջանառության հարկի հաշվարկներով՝ ԱԱՀ-ի և շահութահարկի արտոնությունների, ինչպես նաև ԱԱՀ-ով հարկվող շեմի ուսումնասիրության արդյունքները:</w:t>
      </w:r>
    </w:p>
    <w:p w14:paraId="60D59F0B" w14:textId="77777777" w:rsidR="00840AE8" w:rsidRPr="00A83C94" w:rsidRDefault="00840AE8" w:rsidP="00840AE8">
      <w:pPr>
        <w:pStyle w:val="NormalWeb"/>
        <w:shd w:val="clear" w:color="auto" w:fill="FFFFFF"/>
        <w:spacing w:before="0" w:beforeAutospacing="0" w:after="0" w:afterAutospacing="0" w:line="276" w:lineRule="auto"/>
        <w:rPr>
          <w:rFonts w:cs="Sylfaen"/>
          <w:b w:val="0"/>
          <w:iCs/>
          <w:color w:val="000000"/>
          <w:szCs w:val="22"/>
          <w:lang w:val="hy-AM"/>
        </w:rPr>
      </w:pPr>
      <w:r w:rsidRPr="00A83C94">
        <w:rPr>
          <w:rFonts w:cs="Sylfaen"/>
          <w:b w:val="0"/>
          <w:iCs/>
          <w:color w:val="000000"/>
          <w:szCs w:val="22"/>
          <w:lang w:val="hy-AM"/>
        </w:rPr>
        <w:t>Հաշվետվության կազմման համար ընտրվող մեթոդաբանության տեսանկյունից շատ կարևոր է նաև Հարկային ծախս հասկացության հստակ սահմանումը և հարկային ծախ</w:t>
      </w:r>
      <w:r w:rsidRPr="00A83C94">
        <w:rPr>
          <w:rFonts w:cs="Sylfaen"/>
          <w:b w:val="0"/>
          <w:iCs/>
          <w:color w:val="000000"/>
          <w:szCs w:val="22"/>
          <w:lang w:val="hy-AM"/>
        </w:rPr>
        <w:softHyphen/>
        <w:t>սերի շրջանակի ճիշտ որոշումը: Այս առումով, հատ</w:t>
      </w:r>
      <w:r w:rsidRPr="00A83C94">
        <w:rPr>
          <w:rFonts w:cs="Sylfaen"/>
          <w:b w:val="0"/>
          <w:iCs/>
          <w:color w:val="000000"/>
          <w:szCs w:val="22"/>
          <w:lang w:val="hy-AM"/>
        </w:rPr>
        <w:softHyphen/>
        <w:t>կա</w:t>
      </w:r>
      <w:r w:rsidRPr="00A83C94">
        <w:rPr>
          <w:rFonts w:cs="Sylfaen"/>
          <w:b w:val="0"/>
          <w:iCs/>
          <w:color w:val="000000"/>
          <w:szCs w:val="22"/>
          <w:lang w:val="hy-AM"/>
        </w:rPr>
        <w:softHyphen/>
        <w:t>նշական է այն, որ գործող հարկային օրենս</w:t>
      </w:r>
      <w:r w:rsidRPr="00A83C94">
        <w:rPr>
          <w:rFonts w:cs="Sylfaen"/>
          <w:b w:val="0"/>
          <w:iCs/>
          <w:color w:val="000000"/>
          <w:szCs w:val="22"/>
          <w:lang w:val="hy-AM"/>
        </w:rPr>
        <w:softHyphen/>
        <w:t>դրությամբ նախատեսված` հարկման արտոնյալ պայմաններ ենթադրող ոչ բոլոր կար</w:t>
      </w:r>
      <w:r w:rsidRPr="00A83C94">
        <w:rPr>
          <w:rFonts w:cs="Sylfaen"/>
          <w:b w:val="0"/>
          <w:iCs/>
          <w:color w:val="000000"/>
          <w:szCs w:val="22"/>
          <w:lang w:val="hy-AM"/>
        </w:rPr>
        <w:softHyphen/>
        <w:t>գա</w:t>
      </w:r>
      <w:r w:rsidRPr="00A83C94">
        <w:rPr>
          <w:rFonts w:cs="Sylfaen"/>
          <w:b w:val="0"/>
          <w:iCs/>
          <w:color w:val="000000"/>
          <w:szCs w:val="22"/>
          <w:lang w:val="hy-AM"/>
        </w:rPr>
        <w:softHyphen/>
        <w:t>վորումները կարելի է դիտարկել որպես հարկային ծախսեր (օրինակ` եկամտային հար</w:t>
      </w:r>
      <w:r w:rsidRPr="00A83C94">
        <w:rPr>
          <w:rFonts w:cs="Sylfaen"/>
          <w:b w:val="0"/>
          <w:iCs/>
          <w:color w:val="000000"/>
          <w:szCs w:val="22"/>
          <w:lang w:val="hy-AM"/>
        </w:rPr>
        <w:softHyphen/>
        <w:t>կով հարկման նպատակով համախառն եկամտից նվազեցվող եկամուտները)` անգամ եթե դրանց կիրառության արդյունքում կրճատվում են տնտեսավարող սուբյեկտների կողմից վճար</w:t>
      </w:r>
      <w:r w:rsidRPr="00A83C94">
        <w:rPr>
          <w:rFonts w:cs="Sylfaen"/>
          <w:b w:val="0"/>
          <w:iCs/>
          <w:color w:val="000000"/>
          <w:szCs w:val="22"/>
          <w:lang w:val="hy-AM"/>
        </w:rPr>
        <w:softHyphen/>
        <w:t>վող հարկերը: Հարկային ծախսերի շրջանակի որոշման համար հաշվի է առնվել Հենա</w:t>
      </w:r>
      <w:r w:rsidRPr="00A83C94">
        <w:rPr>
          <w:rFonts w:cs="Sylfaen"/>
          <w:b w:val="0"/>
          <w:iCs/>
          <w:color w:val="000000"/>
          <w:szCs w:val="22"/>
          <w:lang w:val="hy-AM"/>
        </w:rPr>
        <w:softHyphen/>
        <w:t>նի</w:t>
      </w:r>
      <w:r w:rsidRPr="00A83C94">
        <w:rPr>
          <w:rFonts w:cs="Sylfaen"/>
          <w:b w:val="0"/>
          <w:iCs/>
          <w:color w:val="000000"/>
          <w:szCs w:val="22"/>
          <w:lang w:val="hy-AM"/>
        </w:rPr>
        <w:softHyphen/>
        <w:t>շա</w:t>
      </w:r>
      <w:r w:rsidRPr="00A83C94">
        <w:rPr>
          <w:rFonts w:cs="Sylfaen"/>
          <w:b w:val="0"/>
          <w:iCs/>
          <w:color w:val="000000"/>
          <w:szCs w:val="22"/>
          <w:lang w:val="hy-AM"/>
        </w:rPr>
        <w:softHyphen/>
        <w:t>յին հարկ հասկացությունը, որն իրենից ներկայացնում է հարկերի այն հան</w:t>
      </w:r>
      <w:r w:rsidRPr="00A83C94">
        <w:rPr>
          <w:rFonts w:cs="Sylfaen"/>
          <w:b w:val="0"/>
          <w:iCs/>
          <w:color w:val="000000"/>
          <w:szCs w:val="22"/>
          <w:lang w:val="hy-AM"/>
        </w:rPr>
        <w:softHyphen/>
        <w:t>րա</w:t>
      </w:r>
      <w:r w:rsidRPr="00A83C94">
        <w:rPr>
          <w:rFonts w:cs="Sylfaen"/>
          <w:b w:val="0"/>
          <w:iCs/>
          <w:color w:val="000000"/>
          <w:szCs w:val="22"/>
          <w:lang w:val="hy-AM"/>
        </w:rPr>
        <w:softHyphen/>
        <w:t>գու</w:t>
      </w:r>
      <w:r w:rsidRPr="00A83C94">
        <w:rPr>
          <w:rFonts w:cs="Sylfaen"/>
          <w:b w:val="0"/>
          <w:iCs/>
          <w:color w:val="000000"/>
          <w:szCs w:val="22"/>
          <w:lang w:val="hy-AM"/>
        </w:rPr>
        <w:softHyphen/>
        <w:t>մարը, որը կվճար</w:t>
      </w:r>
      <w:r w:rsidRPr="00A83C94">
        <w:rPr>
          <w:rFonts w:cs="Sylfaen"/>
          <w:b w:val="0"/>
          <w:iCs/>
          <w:color w:val="000000"/>
          <w:szCs w:val="22"/>
          <w:lang w:val="hy-AM"/>
        </w:rPr>
        <w:softHyphen/>
        <w:t>վեր պետական բյուջե տնտեսության մեջ ձևավորվող ողջ հարկման բազան հար</w:t>
      </w:r>
      <w:r w:rsidRPr="00A83C94">
        <w:rPr>
          <w:rFonts w:cs="Sylfaen"/>
          <w:b w:val="0"/>
          <w:iCs/>
          <w:color w:val="000000"/>
          <w:szCs w:val="22"/>
          <w:lang w:val="hy-AM"/>
        </w:rPr>
        <w:softHyphen/>
        <w:t>կելու պարա</w:t>
      </w:r>
      <w:r w:rsidRPr="00A83C94">
        <w:rPr>
          <w:rFonts w:cs="Sylfaen"/>
          <w:b w:val="0"/>
          <w:iCs/>
          <w:color w:val="000000"/>
          <w:szCs w:val="22"/>
          <w:lang w:val="hy-AM"/>
        </w:rPr>
        <w:softHyphen/>
        <w:t>գայում: Այս համատեքստում հարկային ծախսերը որոշվել են որպես հենանի</w:t>
      </w:r>
      <w:r w:rsidRPr="00A83C94">
        <w:rPr>
          <w:rFonts w:cs="Sylfaen"/>
          <w:b w:val="0"/>
          <w:iCs/>
          <w:color w:val="000000"/>
          <w:szCs w:val="22"/>
          <w:lang w:val="hy-AM"/>
        </w:rPr>
        <w:softHyphen/>
        <w:t>շա</w:t>
      </w:r>
      <w:r w:rsidRPr="00A83C94">
        <w:rPr>
          <w:rFonts w:cs="Sylfaen"/>
          <w:b w:val="0"/>
          <w:iCs/>
          <w:color w:val="000000"/>
          <w:szCs w:val="22"/>
          <w:lang w:val="hy-AM"/>
        </w:rPr>
        <w:softHyphen/>
        <w:t>յին հարկերի և փաստացի պետական բյուջե վճարվող հարկերի տարբերություն: Հար</w:t>
      </w:r>
      <w:r w:rsidRPr="00A83C94">
        <w:rPr>
          <w:rFonts w:cs="Sylfaen"/>
          <w:b w:val="0"/>
          <w:iCs/>
          <w:color w:val="000000"/>
          <w:szCs w:val="22"/>
          <w:lang w:val="hy-AM"/>
        </w:rPr>
        <w:softHyphen/>
        <w:t>կային ծախսերի գնահատումը` որպես հենանիշային հարկերի ու պետական բյուջե փաս</w:t>
      </w:r>
      <w:r w:rsidRPr="00A83C94">
        <w:rPr>
          <w:rFonts w:cs="Sylfaen"/>
          <w:b w:val="0"/>
          <w:iCs/>
          <w:color w:val="000000"/>
          <w:szCs w:val="22"/>
          <w:lang w:val="hy-AM"/>
        </w:rPr>
        <w:softHyphen/>
        <w:t>տացի գանձվող հարկերի տարբերություն, ընդունված մոտեցում է նաև միջազգային պրակ</w:t>
      </w:r>
      <w:r w:rsidRPr="00A83C94">
        <w:rPr>
          <w:rFonts w:cs="Sylfaen"/>
          <w:b w:val="0"/>
          <w:iCs/>
          <w:color w:val="000000"/>
          <w:szCs w:val="22"/>
          <w:lang w:val="hy-AM"/>
        </w:rPr>
        <w:softHyphen/>
        <w:t>տի</w:t>
      </w:r>
      <w:r w:rsidRPr="00A83C94">
        <w:rPr>
          <w:rFonts w:cs="Sylfaen"/>
          <w:b w:val="0"/>
          <w:iCs/>
          <w:color w:val="000000"/>
          <w:szCs w:val="22"/>
          <w:lang w:val="hy-AM"/>
        </w:rPr>
        <w:softHyphen/>
        <w:t>կա</w:t>
      </w:r>
      <w:r w:rsidRPr="00A83C94">
        <w:rPr>
          <w:rFonts w:cs="Sylfaen"/>
          <w:b w:val="0"/>
          <w:iCs/>
          <w:color w:val="000000"/>
          <w:szCs w:val="22"/>
          <w:lang w:val="hy-AM"/>
        </w:rPr>
        <w:softHyphen/>
        <w:t>յում: Ընդ որում, հատկանշական է այն, որ միջազգային պրակտիկայում հենա</w:t>
      </w:r>
      <w:r w:rsidRPr="00A83C94">
        <w:rPr>
          <w:rFonts w:cs="Sylfaen"/>
          <w:b w:val="0"/>
          <w:iCs/>
          <w:color w:val="000000"/>
          <w:szCs w:val="22"/>
          <w:lang w:val="hy-AM"/>
        </w:rPr>
        <w:softHyphen/>
        <w:t>նի</w:t>
      </w:r>
      <w:r w:rsidRPr="00A83C94">
        <w:rPr>
          <w:rFonts w:cs="Sylfaen"/>
          <w:b w:val="0"/>
          <w:iCs/>
          <w:color w:val="000000"/>
          <w:szCs w:val="22"/>
          <w:lang w:val="hy-AM"/>
        </w:rPr>
        <w:softHyphen/>
        <w:t>շային հար</w:t>
      </w:r>
      <w:r w:rsidRPr="00A83C94">
        <w:rPr>
          <w:rFonts w:cs="Sylfaen"/>
          <w:b w:val="0"/>
          <w:iCs/>
          <w:color w:val="000000"/>
          <w:szCs w:val="22"/>
          <w:lang w:val="hy-AM"/>
        </w:rPr>
        <w:softHyphen/>
        <w:t>կերի կամ այլ կերպ ասած` հարկային նշաձողի միասնական կամ սպառիչ սահ</w:t>
      </w:r>
      <w:r w:rsidRPr="00A83C94">
        <w:rPr>
          <w:rFonts w:cs="Sylfaen"/>
          <w:b w:val="0"/>
          <w:iCs/>
          <w:color w:val="000000"/>
          <w:szCs w:val="22"/>
          <w:lang w:val="hy-AM"/>
        </w:rPr>
        <w:softHyphen/>
        <w:t>մա</w:t>
      </w:r>
      <w:r w:rsidRPr="00A83C94">
        <w:rPr>
          <w:rFonts w:cs="Sylfaen"/>
          <w:b w:val="0"/>
          <w:iCs/>
          <w:color w:val="000000"/>
          <w:szCs w:val="22"/>
          <w:lang w:val="hy-AM"/>
        </w:rPr>
        <w:softHyphen/>
        <w:t>նում չկա: Երկրների մի մասում, օրինակ, հարկային ծախսերը սահմանվում են որպես օրենս</w:t>
      </w:r>
      <w:r w:rsidRPr="00A83C94">
        <w:rPr>
          <w:rFonts w:cs="Sylfaen"/>
          <w:b w:val="0"/>
          <w:iCs/>
          <w:color w:val="000000"/>
          <w:szCs w:val="22"/>
          <w:lang w:val="hy-AM"/>
        </w:rPr>
        <w:softHyphen/>
      </w:r>
      <w:r w:rsidRPr="00A83C94">
        <w:rPr>
          <w:rFonts w:cs="Sylfaen"/>
          <w:b w:val="0"/>
          <w:iCs/>
          <w:color w:val="000000"/>
          <w:szCs w:val="22"/>
          <w:lang w:val="hy-AM"/>
        </w:rPr>
        <w:softHyphen/>
        <w:t>դրու</w:t>
      </w:r>
      <w:r w:rsidRPr="00A83C94">
        <w:rPr>
          <w:rFonts w:cs="Sylfaen"/>
          <w:b w:val="0"/>
          <w:iCs/>
          <w:color w:val="000000"/>
          <w:szCs w:val="22"/>
          <w:lang w:val="hy-AM"/>
        </w:rPr>
        <w:softHyphen/>
      </w:r>
      <w:r w:rsidRPr="00A83C94">
        <w:rPr>
          <w:rFonts w:cs="Sylfaen"/>
          <w:b w:val="0"/>
          <w:iCs/>
          <w:color w:val="000000"/>
          <w:szCs w:val="22"/>
          <w:lang w:val="hy-AM"/>
        </w:rPr>
        <w:softHyphen/>
        <w:t>թյամբ նախատեսված դրույթներ, որոնց կիրառությունը հանգեցնում է պետական եկա</w:t>
      </w:r>
      <w:r w:rsidRPr="00A83C94">
        <w:rPr>
          <w:rFonts w:cs="Sylfaen"/>
          <w:b w:val="0"/>
          <w:iCs/>
          <w:color w:val="000000"/>
          <w:szCs w:val="22"/>
          <w:lang w:val="hy-AM"/>
        </w:rPr>
        <w:softHyphen/>
        <w:t>մուտ</w:t>
      </w:r>
      <w:r w:rsidRPr="00A83C94">
        <w:rPr>
          <w:rFonts w:cs="Sylfaen"/>
          <w:b w:val="0"/>
          <w:iCs/>
          <w:color w:val="000000"/>
          <w:szCs w:val="22"/>
          <w:lang w:val="hy-AM"/>
        </w:rPr>
        <w:softHyphen/>
        <w:t>ների կրճատման հարկային նշաձողի կամ նորմի (այսինքն` հարկի հաշվարկման հիմ</w:t>
      </w:r>
      <w:r w:rsidRPr="00A83C94">
        <w:rPr>
          <w:rFonts w:cs="Sylfaen"/>
          <w:b w:val="0"/>
          <w:iCs/>
          <w:color w:val="000000"/>
          <w:szCs w:val="22"/>
          <w:lang w:val="hy-AM"/>
        </w:rPr>
        <w:softHyphen/>
        <w:t>նա</w:t>
      </w:r>
      <w:r w:rsidRPr="00A83C94">
        <w:rPr>
          <w:rFonts w:cs="Sylfaen"/>
          <w:b w:val="0"/>
          <w:iCs/>
          <w:color w:val="000000"/>
          <w:szCs w:val="22"/>
          <w:lang w:val="hy-AM"/>
        </w:rPr>
        <w:softHyphen/>
        <w:t>կան սկզբունքի) կիրառության համեմատությամբ: Հարկային ծախսերի սահմանման ընդ</w:t>
      </w:r>
      <w:r w:rsidRPr="00A83C94">
        <w:rPr>
          <w:rFonts w:cs="Sylfaen"/>
          <w:b w:val="0"/>
          <w:iCs/>
          <w:color w:val="000000"/>
          <w:szCs w:val="22"/>
          <w:lang w:val="hy-AM"/>
        </w:rPr>
        <w:softHyphen/>
        <w:t>հա</w:t>
      </w:r>
      <w:r w:rsidRPr="00A83C94">
        <w:rPr>
          <w:rFonts w:cs="Sylfaen"/>
          <w:b w:val="0"/>
          <w:iCs/>
          <w:color w:val="000000"/>
          <w:szCs w:val="22"/>
          <w:lang w:val="hy-AM"/>
        </w:rPr>
        <w:softHyphen/>
        <w:t>նուր սկզբունքն այն է, որ դրանք ունեն սահմանափակ կիրառության շրջանակ: Օրենս</w:t>
      </w:r>
      <w:r w:rsidRPr="00A83C94">
        <w:rPr>
          <w:rFonts w:cs="Sylfaen"/>
          <w:b w:val="0"/>
          <w:iCs/>
          <w:color w:val="000000"/>
          <w:szCs w:val="22"/>
          <w:lang w:val="hy-AM"/>
        </w:rPr>
        <w:softHyphen/>
        <w:t>դրու</w:t>
      </w:r>
      <w:r w:rsidRPr="00A83C94">
        <w:rPr>
          <w:rFonts w:cs="Sylfaen"/>
          <w:b w:val="0"/>
          <w:iCs/>
          <w:color w:val="000000"/>
          <w:szCs w:val="22"/>
          <w:lang w:val="hy-AM"/>
        </w:rPr>
        <w:softHyphen/>
        <w:t>թյան այնպիսի դրույթներ, որոնցից կարող է օգտվել հարկ վճարողների մեծա</w:t>
      </w:r>
      <w:r w:rsidRPr="00A83C94">
        <w:rPr>
          <w:rFonts w:cs="Sylfaen"/>
          <w:b w:val="0"/>
          <w:iCs/>
          <w:color w:val="000000"/>
          <w:szCs w:val="22"/>
          <w:lang w:val="hy-AM"/>
        </w:rPr>
        <w:softHyphen/>
        <w:t>մաս</w:t>
      </w:r>
      <w:r w:rsidRPr="00A83C94">
        <w:rPr>
          <w:rFonts w:cs="Sylfaen"/>
          <w:b w:val="0"/>
          <w:iCs/>
          <w:color w:val="000000"/>
          <w:szCs w:val="22"/>
          <w:lang w:val="hy-AM"/>
        </w:rPr>
        <w:softHyphen/>
        <w:t>նու</w:t>
      </w:r>
      <w:r w:rsidRPr="00A83C94">
        <w:rPr>
          <w:rFonts w:cs="Sylfaen"/>
          <w:b w:val="0"/>
          <w:iCs/>
          <w:color w:val="000000"/>
          <w:szCs w:val="22"/>
          <w:lang w:val="hy-AM"/>
        </w:rPr>
        <w:softHyphen/>
        <w:t>թյունը, դիտվում են որպես ընդհանուր կանոնի` հարկային նորմի մաս և չեն որակվում որպես հարկային ծախսեր: Կան երկրներ, որտեղ ընդհանրապես հարկային ծախ</w:t>
      </w:r>
      <w:r w:rsidRPr="00A83C94">
        <w:rPr>
          <w:rFonts w:cs="Sylfaen"/>
          <w:b w:val="0"/>
          <w:iCs/>
          <w:color w:val="000000"/>
          <w:szCs w:val="22"/>
          <w:lang w:val="hy-AM"/>
        </w:rPr>
        <w:softHyphen/>
        <w:t>սերի կամ հենա</w:t>
      </w:r>
      <w:r w:rsidRPr="00A83C94">
        <w:rPr>
          <w:rFonts w:cs="Sylfaen"/>
          <w:b w:val="0"/>
          <w:iCs/>
          <w:color w:val="000000"/>
          <w:szCs w:val="22"/>
          <w:lang w:val="hy-AM"/>
        </w:rPr>
        <w:softHyphen/>
        <w:t>նի</w:t>
      </w:r>
      <w:r w:rsidRPr="00A83C94">
        <w:rPr>
          <w:rFonts w:cs="Sylfaen"/>
          <w:b w:val="0"/>
          <w:iCs/>
          <w:color w:val="000000"/>
          <w:szCs w:val="22"/>
          <w:lang w:val="hy-AM"/>
        </w:rPr>
        <w:softHyphen/>
      </w:r>
      <w:r w:rsidRPr="00A83C94">
        <w:rPr>
          <w:rFonts w:cs="Sylfaen"/>
          <w:b w:val="0"/>
          <w:iCs/>
          <w:color w:val="000000"/>
          <w:szCs w:val="22"/>
          <w:lang w:val="hy-AM"/>
        </w:rPr>
        <w:softHyphen/>
        <w:t>շային հարկի կամ հարկային նշաձողի սահմանումներ չկան: Այս երկրնե</w:t>
      </w:r>
      <w:r w:rsidRPr="00A83C94">
        <w:rPr>
          <w:rFonts w:cs="Sylfaen"/>
          <w:b w:val="0"/>
          <w:iCs/>
          <w:color w:val="000000"/>
          <w:szCs w:val="22"/>
          <w:lang w:val="hy-AM"/>
        </w:rPr>
        <w:softHyphen/>
        <w:t>րում, օրենս</w:t>
      </w:r>
      <w:r w:rsidRPr="00A83C94">
        <w:rPr>
          <w:rFonts w:cs="Sylfaen"/>
          <w:b w:val="0"/>
          <w:iCs/>
          <w:color w:val="000000"/>
          <w:szCs w:val="22"/>
          <w:lang w:val="hy-AM"/>
        </w:rPr>
        <w:softHyphen/>
        <w:t>դրու</w:t>
      </w:r>
      <w:r w:rsidRPr="00A83C94">
        <w:rPr>
          <w:rFonts w:cs="Sylfaen"/>
          <w:b w:val="0"/>
          <w:iCs/>
          <w:color w:val="000000"/>
          <w:szCs w:val="22"/>
          <w:lang w:val="hy-AM"/>
        </w:rPr>
        <w:softHyphen/>
        <w:t>թյան առանձնա</w:t>
      </w:r>
      <w:r w:rsidRPr="00A83C94">
        <w:rPr>
          <w:rFonts w:cs="Sylfaen"/>
          <w:b w:val="0"/>
          <w:iCs/>
          <w:color w:val="000000"/>
          <w:szCs w:val="22"/>
          <w:lang w:val="hy-AM"/>
        </w:rPr>
        <w:softHyphen/>
        <w:t>հա</w:t>
      </w:r>
      <w:r w:rsidRPr="00A83C94">
        <w:rPr>
          <w:rFonts w:cs="Sylfaen"/>
          <w:b w:val="0"/>
          <w:iCs/>
          <w:color w:val="000000"/>
          <w:szCs w:val="22"/>
          <w:lang w:val="hy-AM"/>
        </w:rPr>
        <w:softHyphen/>
        <w:t>տուկ դրույթները (օրինակ, ազատումներ կամ հարկման նվազեցված դրույքաչափեր) դիտ</w:t>
      </w:r>
      <w:r w:rsidRPr="00A83C94">
        <w:rPr>
          <w:rFonts w:cs="Sylfaen"/>
          <w:b w:val="0"/>
          <w:iCs/>
          <w:color w:val="000000"/>
          <w:szCs w:val="22"/>
          <w:lang w:val="hy-AM"/>
        </w:rPr>
        <w:softHyphen/>
      </w:r>
      <w:r w:rsidRPr="00A83C94">
        <w:rPr>
          <w:rFonts w:cs="Sylfaen"/>
          <w:b w:val="0"/>
          <w:iCs/>
          <w:color w:val="000000"/>
          <w:szCs w:val="22"/>
          <w:lang w:val="hy-AM"/>
        </w:rPr>
        <w:softHyphen/>
        <w:t>վում են որպես բազային հարկային համակարգի մաս, այլ ոչ թե որպես հարկային ծախս: Ընդհանուր առմամբ, ձեռնարկատիրական գործունեության հետ կապված ազատում</w:t>
      </w:r>
      <w:r w:rsidRPr="00A83C94">
        <w:rPr>
          <w:rFonts w:cs="Sylfaen"/>
          <w:b w:val="0"/>
          <w:iCs/>
          <w:color w:val="000000"/>
          <w:szCs w:val="22"/>
          <w:lang w:val="hy-AM"/>
        </w:rPr>
        <w:softHyphen/>
        <w:t>ները երկրների այս խմբում չեն դիտարկվում որպես հարկային ծախ</w:t>
      </w:r>
      <w:r w:rsidRPr="00A83C94">
        <w:rPr>
          <w:rFonts w:cs="Sylfaen"/>
          <w:b w:val="0"/>
          <w:iCs/>
          <w:color w:val="000000"/>
          <w:szCs w:val="22"/>
          <w:lang w:val="hy-AM"/>
        </w:rPr>
        <w:softHyphen/>
        <w:t>սեր: Երրորդ խումբ երկրներում հար</w:t>
      </w:r>
      <w:r w:rsidRPr="00A83C94">
        <w:rPr>
          <w:rFonts w:cs="Sylfaen"/>
          <w:b w:val="0"/>
          <w:iCs/>
          <w:color w:val="000000"/>
          <w:szCs w:val="22"/>
          <w:lang w:val="hy-AM"/>
        </w:rPr>
        <w:softHyphen/>
        <w:t>կա</w:t>
      </w:r>
      <w:r w:rsidRPr="00A83C94">
        <w:rPr>
          <w:rFonts w:cs="Sylfaen"/>
          <w:b w:val="0"/>
          <w:iCs/>
          <w:color w:val="000000"/>
          <w:szCs w:val="22"/>
          <w:lang w:val="hy-AM"/>
        </w:rPr>
        <w:softHyphen/>
        <w:t>յին ծախսերը սահմանվում են որպես հարկային համակարգի առանձին դրույթներ, որոնք նվա</w:t>
      </w:r>
      <w:r w:rsidRPr="00A83C94">
        <w:rPr>
          <w:rFonts w:cs="Sylfaen"/>
          <w:b w:val="0"/>
          <w:iCs/>
          <w:color w:val="000000"/>
          <w:szCs w:val="22"/>
          <w:lang w:val="hy-AM"/>
        </w:rPr>
        <w:softHyphen/>
        <w:t>զեցնում են տնտեսական միավորի հարկային պարտավորությունները` որոշակի քաղա</w:t>
      </w:r>
      <w:r w:rsidRPr="00A83C94">
        <w:rPr>
          <w:rFonts w:cs="Sylfaen"/>
          <w:b w:val="0"/>
          <w:iCs/>
          <w:color w:val="000000"/>
          <w:szCs w:val="22"/>
          <w:lang w:val="hy-AM"/>
        </w:rPr>
        <w:softHyphen/>
        <w:t>քա</w:t>
      </w:r>
      <w:r w:rsidRPr="00A83C94">
        <w:rPr>
          <w:rFonts w:cs="Sylfaen"/>
          <w:b w:val="0"/>
          <w:iCs/>
          <w:color w:val="000000"/>
          <w:szCs w:val="22"/>
          <w:lang w:val="hy-AM"/>
        </w:rPr>
        <w:softHyphen/>
        <w:t>կանության նպատակներին հասնելու և ոչ թե առավել արդյունավետ և տնտեսապես չեզոք եղանակով եկամուտներ ստանալու նպա</w:t>
      </w:r>
      <w:r w:rsidRPr="00A83C94">
        <w:rPr>
          <w:rFonts w:cs="Sylfaen"/>
          <w:b w:val="0"/>
          <w:iCs/>
          <w:color w:val="000000"/>
          <w:szCs w:val="22"/>
          <w:lang w:val="hy-AM"/>
        </w:rPr>
        <w:softHyphen/>
        <w:t>տա</w:t>
      </w:r>
      <w:r w:rsidRPr="00A83C94">
        <w:rPr>
          <w:rFonts w:cs="Sylfaen"/>
          <w:b w:val="0"/>
          <w:iCs/>
          <w:color w:val="000000"/>
          <w:szCs w:val="22"/>
          <w:lang w:val="hy-AM"/>
        </w:rPr>
        <w:softHyphen/>
        <w:t>կով:</w:t>
      </w:r>
    </w:p>
    <w:p w14:paraId="7E4355A3" w14:textId="77777777" w:rsidR="00840AE8" w:rsidRPr="00A83C94" w:rsidRDefault="00840AE8" w:rsidP="00840AE8">
      <w:pPr>
        <w:pStyle w:val="NormalWeb"/>
        <w:shd w:val="clear" w:color="auto" w:fill="FFFFFF"/>
        <w:spacing w:before="0" w:beforeAutospacing="0" w:after="0" w:afterAutospacing="0" w:line="276" w:lineRule="auto"/>
        <w:rPr>
          <w:rFonts w:cs="Sylfaen"/>
          <w:b w:val="0"/>
          <w:iCs/>
          <w:color w:val="000000"/>
          <w:szCs w:val="22"/>
          <w:lang w:val="hy-AM"/>
        </w:rPr>
      </w:pPr>
      <w:r w:rsidRPr="00A83C94">
        <w:rPr>
          <w:rFonts w:cs="Sylfaen"/>
          <w:b w:val="0"/>
          <w:iCs/>
          <w:color w:val="000000"/>
          <w:szCs w:val="22"/>
          <w:lang w:val="hy-AM"/>
        </w:rPr>
        <w:t>Հաշվետվության շրջանակներում գնա</w:t>
      </w:r>
      <w:r w:rsidRPr="00A83C94">
        <w:rPr>
          <w:rFonts w:cs="Sylfaen"/>
          <w:b w:val="0"/>
          <w:iCs/>
          <w:color w:val="000000"/>
          <w:szCs w:val="22"/>
          <w:lang w:val="hy-AM"/>
        </w:rPr>
        <w:softHyphen/>
        <w:t>հատ</w:t>
      </w:r>
      <w:r w:rsidRPr="00A83C94">
        <w:rPr>
          <w:rFonts w:cs="Sylfaen"/>
          <w:b w:val="0"/>
          <w:iCs/>
          <w:color w:val="000000"/>
          <w:szCs w:val="22"/>
          <w:lang w:val="hy-AM"/>
        </w:rPr>
        <w:softHyphen/>
        <w:t>վել են ավելացված արժեքի հարկին, շահութահարկին և եկա</w:t>
      </w:r>
      <w:r w:rsidRPr="00A83C94">
        <w:rPr>
          <w:rFonts w:cs="Sylfaen"/>
          <w:b w:val="0"/>
          <w:iCs/>
          <w:color w:val="000000"/>
          <w:szCs w:val="22"/>
          <w:lang w:val="hy-AM"/>
        </w:rPr>
        <w:softHyphen/>
        <w:t>մտա</w:t>
      </w:r>
      <w:r w:rsidRPr="00A83C94">
        <w:rPr>
          <w:rFonts w:cs="Sylfaen"/>
          <w:b w:val="0"/>
          <w:iCs/>
          <w:color w:val="000000"/>
          <w:szCs w:val="22"/>
          <w:lang w:val="hy-AM"/>
        </w:rPr>
        <w:softHyphen/>
        <w:t>յին հարկին վերա</w:t>
      </w:r>
      <w:r w:rsidRPr="00A83C94">
        <w:rPr>
          <w:rFonts w:cs="Sylfaen"/>
          <w:b w:val="0"/>
          <w:iCs/>
          <w:color w:val="000000"/>
          <w:szCs w:val="22"/>
          <w:lang w:val="hy-AM"/>
        </w:rPr>
        <w:softHyphen/>
        <w:t>բե</w:t>
      </w:r>
      <w:r w:rsidRPr="00A83C94">
        <w:rPr>
          <w:rFonts w:cs="Sylfaen"/>
          <w:b w:val="0"/>
          <w:iCs/>
          <w:color w:val="000000"/>
          <w:szCs w:val="22"/>
          <w:lang w:val="hy-AM"/>
        </w:rPr>
        <w:softHyphen/>
      </w:r>
      <w:r w:rsidRPr="00A83C94">
        <w:rPr>
          <w:rFonts w:cs="Sylfaen"/>
          <w:b w:val="0"/>
          <w:iCs/>
          <w:color w:val="000000"/>
          <w:szCs w:val="22"/>
          <w:lang w:val="hy-AM"/>
        </w:rPr>
        <w:softHyphen/>
        <w:t>րող հիմնական (ընդգրկուն) հարկային արտոնությունների ու ավե</w:t>
      </w:r>
      <w:r w:rsidRPr="00A83C94">
        <w:rPr>
          <w:rFonts w:cs="Sylfaen"/>
          <w:b w:val="0"/>
          <w:iCs/>
          <w:color w:val="000000"/>
          <w:szCs w:val="22"/>
          <w:lang w:val="hy-AM"/>
        </w:rPr>
        <w:softHyphen/>
        <w:t>լացված արժեքի հարկի չհարկվող շեմի կիրառության հետևան</w:t>
      </w:r>
      <w:r w:rsidRPr="00A83C94">
        <w:rPr>
          <w:rFonts w:cs="Sylfaen"/>
          <w:b w:val="0"/>
          <w:iCs/>
          <w:color w:val="000000"/>
          <w:szCs w:val="22"/>
          <w:lang w:val="hy-AM"/>
        </w:rPr>
        <w:softHyphen/>
        <w:t>քով պետական բյուջե չգանձ</w:t>
      </w:r>
      <w:r w:rsidRPr="00A83C94">
        <w:rPr>
          <w:rFonts w:cs="Sylfaen"/>
          <w:b w:val="0"/>
          <w:iCs/>
          <w:color w:val="000000"/>
          <w:szCs w:val="22"/>
          <w:lang w:val="hy-AM"/>
        </w:rPr>
        <w:softHyphen/>
      </w:r>
      <w:r w:rsidRPr="00A83C94">
        <w:rPr>
          <w:rFonts w:cs="Sylfaen"/>
          <w:b w:val="0"/>
          <w:iCs/>
          <w:color w:val="000000"/>
          <w:szCs w:val="22"/>
          <w:lang w:val="hy-AM"/>
        </w:rPr>
        <w:softHyphen/>
        <w:t>վող (պակաս գանձ</w:t>
      </w:r>
      <w:r w:rsidRPr="00A83C94">
        <w:rPr>
          <w:rFonts w:cs="Sylfaen"/>
          <w:b w:val="0"/>
          <w:iCs/>
          <w:color w:val="000000"/>
          <w:szCs w:val="22"/>
          <w:lang w:val="hy-AM"/>
        </w:rPr>
        <w:softHyphen/>
        <w:t>վող) հար</w:t>
      </w:r>
      <w:r w:rsidRPr="00A83C94">
        <w:rPr>
          <w:rFonts w:cs="Sylfaen"/>
          <w:b w:val="0"/>
          <w:iCs/>
          <w:color w:val="000000"/>
          <w:szCs w:val="22"/>
          <w:lang w:val="hy-AM"/>
        </w:rPr>
        <w:softHyphen/>
        <w:t>կային եկամուտները: Սույն հաշվետվությամբ մեր կող</w:t>
      </w:r>
      <w:r w:rsidRPr="00A83C94">
        <w:rPr>
          <w:rFonts w:cs="Sylfaen"/>
          <w:b w:val="0"/>
          <w:iCs/>
          <w:color w:val="000000"/>
          <w:szCs w:val="22"/>
          <w:lang w:val="hy-AM"/>
        </w:rPr>
        <w:softHyphen/>
        <w:t>մից կատար</w:t>
      </w:r>
      <w:r w:rsidRPr="00A83C94">
        <w:rPr>
          <w:rFonts w:cs="Sylfaen"/>
          <w:b w:val="0"/>
          <w:iCs/>
          <w:color w:val="000000"/>
          <w:szCs w:val="22"/>
          <w:lang w:val="hy-AM"/>
        </w:rPr>
        <w:softHyphen/>
        <w:t>վող ուսում</w:t>
      </w:r>
      <w:r w:rsidRPr="00A83C94">
        <w:rPr>
          <w:rFonts w:cs="Sylfaen"/>
          <w:b w:val="0"/>
          <w:iCs/>
          <w:color w:val="000000"/>
          <w:szCs w:val="22"/>
          <w:lang w:val="hy-AM"/>
        </w:rPr>
        <w:softHyphen/>
        <w:t>նա</w:t>
      </w:r>
      <w:r w:rsidRPr="00A83C94">
        <w:rPr>
          <w:rFonts w:cs="Sylfaen"/>
          <w:b w:val="0"/>
          <w:iCs/>
          <w:color w:val="000000"/>
          <w:szCs w:val="22"/>
          <w:lang w:val="hy-AM"/>
        </w:rPr>
        <w:softHyphen/>
        <w:t>սի</w:t>
      </w:r>
      <w:r w:rsidRPr="00A83C94">
        <w:rPr>
          <w:rFonts w:cs="Sylfaen"/>
          <w:b w:val="0"/>
          <w:iCs/>
          <w:color w:val="000000"/>
          <w:szCs w:val="22"/>
          <w:lang w:val="hy-AM"/>
        </w:rPr>
        <w:softHyphen/>
        <w:t>րու</w:t>
      </w:r>
      <w:r w:rsidRPr="00A83C94">
        <w:rPr>
          <w:rFonts w:cs="Sylfaen"/>
          <w:b w:val="0"/>
          <w:iCs/>
          <w:color w:val="000000"/>
          <w:szCs w:val="22"/>
          <w:lang w:val="hy-AM"/>
        </w:rPr>
        <w:softHyphen/>
        <w:t>թյուն</w:t>
      </w:r>
      <w:r w:rsidRPr="00A83C94">
        <w:rPr>
          <w:rFonts w:cs="Sylfaen"/>
          <w:b w:val="0"/>
          <w:iCs/>
          <w:color w:val="000000"/>
          <w:szCs w:val="22"/>
          <w:lang w:val="hy-AM"/>
        </w:rPr>
        <w:softHyphen/>
        <w:t>ներն ու գնա</w:t>
      </w:r>
      <w:r w:rsidRPr="00A83C94">
        <w:rPr>
          <w:rFonts w:cs="Sylfaen"/>
          <w:b w:val="0"/>
          <w:iCs/>
          <w:color w:val="000000"/>
          <w:szCs w:val="22"/>
          <w:lang w:val="hy-AM"/>
        </w:rPr>
        <w:softHyphen/>
        <w:t>հա</w:t>
      </w:r>
      <w:r w:rsidRPr="00A83C94">
        <w:rPr>
          <w:rFonts w:cs="Sylfaen"/>
          <w:b w:val="0"/>
          <w:iCs/>
          <w:color w:val="000000"/>
          <w:szCs w:val="22"/>
          <w:lang w:val="hy-AM"/>
        </w:rPr>
        <w:softHyphen/>
        <w:t>տականներն առավել ընդ</w:t>
      </w:r>
      <w:r w:rsidRPr="00A83C94">
        <w:rPr>
          <w:rFonts w:cs="Sylfaen"/>
          <w:b w:val="0"/>
          <w:iCs/>
          <w:color w:val="000000"/>
          <w:szCs w:val="22"/>
          <w:lang w:val="hy-AM"/>
        </w:rPr>
        <w:softHyphen/>
        <w:t>գր</w:t>
      </w:r>
      <w:r w:rsidRPr="00A83C94">
        <w:rPr>
          <w:rFonts w:cs="Sylfaen"/>
          <w:b w:val="0"/>
          <w:iCs/>
          <w:color w:val="000000"/>
          <w:szCs w:val="22"/>
          <w:lang w:val="hy-AM"/>
        </w:rPr>
        <w:softHyphen/>
        <w:t>կուն և տար</w:t>
      </w:r>
      <w:r w:rsidRPr="00A83C94">
        <w:rPr>
          <w:rFonts w:cs="Sylfaen"/>
          <w:b w:val="0"/>
          <w:iCs/>
          <w:color w:val="000000"/>
          <w:szCs w:val="22"/>
          <w:lang w:val="hy-AM"/>
        </w:rPr>
        <w:softHyphen/>
        <w:t>բերակված լինելու նպատակով` ընդլայնվել են գնահատվող ԱԱՀ-ի և շահութահարկի հար</w:t>
      </w:r>
      <w:r w:rsidRPr="00A83C94">
        <w:rPr>
          <w:rFonts w:cs="Sylfaen"/>
          <w:b w:val="0"/>
          <w:iCs/>
          <w:color w:val="000000"/>
          <w:szCs w:val="22"/>
          <w:lang w:val="hy-AM"/>
        </w:rPr>
        <w:softHyphen/>
        <w:t>կա</w:t>
      </w:r>
      <w:r w:rsidRPr="00A83C94">
        <w:rPr>
          <w:rFonts w:cs="Sylfaen"/>
          <w:b w:val="0"/>
          <w:iCs/>
          <w:color w:val="000000"/>
          <w:szCs w:val="22"/>
          <w:lang w:val="hy-AM"/>
        </w:rPr>
        <w:softHyphen/>
        <w:t>յին արտոնու</w:t>
      </w:r>
      <w:r w:rsidRPr="00A83C94">
        <w:rPr>
          <w:rFonts w:cs="Sylfaen"/>
          <w:b w:val="0"/>
          <w:iCs/>
          <w:color w:val="000000"/>
          <w:szCs w:val="22"/>
          <w:lang w:val="hy-AM"/>
        </w:rPr>
        <w:softHyphen/>
        <w:t>թյուն</w:t>
      </w:r>
      <w:r w:rsidRPr="00A83C94">
        <w:rPr>
          <w:rFonts w:cs="Sylfaen"/>
          <w:b w:val="0"/>
          <w:iCs/>
          <w:color w:val="000000"/>
          <w:szCs w:val="22"/>
          <w:lang w:val="hy-AM"/>
        </w:rPr>
        <w:softHyphen/>
        <w:t>ների տեսակ</w:t>
      </w:r>
      <w:r w:rsidRPr="00A83C94">
        <w:rPr>
          <w:rFonts w:cs="Sylfaen"/>
          <w:b w:val="0"/>
          <w:iCs/>
          <w:color w:val="000000"/>
          <w:szCs w:val="22"/>
          <w:lang w:val="hy-AM"/>
        </w:rPr>
        <w:softHyphen/>
        <w:t>ները, այդ թվում՝ հիմնվելով հարկ վճարողների կողմից հարկային մարմին ներկայացված հարկային հաշվարկներով արտացոլված տվյալների վրա:</w:t>
      </w:r>
    </w:p>
    <w:p w14:paraId="78395CF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p>
    <w:p w14:paraId="4BAFD787"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Հարկային ծախսերի մասին հաշվետվություննների կազմման ու ներկայացման</w:t>
      </w:r>
    </w:p>
    <w:p w14:paraId="33EC3C9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միջազգային փորձը.</w:t>
      </w:r>
    </w:p>
    <w:p w14:paraId="08DE6CC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մասին հաշվետվությունների կազմումն ու ներկայացումը ընդուն</w:t>
      </w:r>
      <w:r w:rsidRPr="00A83C94">
        <w:rPr>
          <w:rFonts w:cs="Sylfaen"/>
          <w:b w:val="0"/>
          <w:color w:val="000000"/>
          <w:szCs w:val="22"/>
          <w:lang w:val="hy-AM"/>
        </w:rPr>
        <w:softHyphen/>
        <w:t>ված ու տարածված գործելակերպ է Եվրոպական Միության ու Տնտեսական համագոր</w:t>
      </w:r>
      <w:r w:rsidRPr="00A83C94">
        <w:rPr>
          <w:rFonts w:cs="Sylfaen"/>
          <w:b w:val="0"/>
          <w:color w:val="000000"/>
          <w:szCs w:val="22"/>
          <w:lang w:val="hy-AM"/>
        </w:rPr>
        <w:softHyphen/>
        <w:t>ծակ</w:t>
      </w:r>
      <w:r w:rsidRPr="00A83C94">
        <w:rPr>
          <w:rFonts w:cs="Sylfaen"/>
          <w:b w:val="0"/>
          <w:color w:val="000000"/>
          <w:szCs w:val="22"/>
          <w:lang w:val="hy-AM"/>
        </w:rPr>
        <w:softHyphen/>
        <w:t>ցու</w:t>
      </w:r>
      <w:r w:rsidRPr="00A83C94">
        <w:rPr>
          <w:rFonts w:cs="Sylfaen"/>
          <w:b w:val="0"/>
          <w:color w:val="000000"/>
          <w:szCs w:val="22"/>
          <w:lang w:val="hy-AM"/>
        </w:rPr>
        <w:softHyphen/>
        <w:t>թյան և զարգացման կազմակերպության անդամ երկրների մեծ մասում:</w:t>
      </w:r>
    </w:p>
    <w:p w14:paraId="580050BB"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վերաբերյալ առաջին հաշվետվությունները կազմվել են 1960-ական թվականների վերջերին Գերմանիայում և Ամերիկայի Միացյալ Նահանգներում: 1970-ական թվականների վերջին հարկային ծախսերի մասին հաշվետվություններ սկսեցին կազմ</w:t>
      </w:r>
      <w:r w:rsidRPr="00A83C94">
        <w:rPr>
          <w:rFonts w:cs="Sylfaen"/>
          <w:b w:val="0"/>
          <w:color w:val="000000"/>
          <w:szCs w:val="22"/>
          <w:lang w:val="hy-AM"/>
        </w:rPr>
        <w:softHyphen/>
        <w:t>վել նաև Ավստրիայում, Կանադայում, Իսպանիայում և Միացյալ Թագավորությունում:</w:t>
      </w:r>
    </w:p>
    <w:p w14:paraId="1F25FD7D"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տարեկան հաշվետվությունները կազմվում և հրապարակվում են հար</w:t>
      </w:r>
      <w:r w:rsidRPr="00A83C94">
        <w:rPr>
          <w:rFonts w:cs="Sylfaen"/>
          <w:b w:val="0"/>
          <w:color w:val="000000"/>
          <w:szCs w:val="22"/>
          <w:lang w:val="hy-AM"/>
        </w:rPr>
        <w:softHyphen/>
      </w:r>
      <w:r w:rsidRPr="00A83C94">
        <w:rPr>
          <w:rFonts w:cs="Sylfaen"/>
          <w:b w:val="0"/>
          <w:color w:val="000000"/>
          <w:szCs w:val="22"/>
          <w:lang w:val="hy-AM"/>
        </w:rPr>
        <w:softHyphen/>
      </w:r>
      <w:r w:rsidRPr="00A83C94">
        <w:rPr>
          <w:rFonts w:cs="Sylfaen"/>
          <w:b w:val="0"/>
          <w:color w:val="000000"/>
          <w:szCs w:val="22"/>
          <w:lang w:val="hy-AM"/>
        </w:rPr>
        <w:softHyphen/>
        <w:t>կային արտոնությունների կիրառության արդյունքում չգանձվող հարկային եկա</w:t>
      </w:r>
      <w:r w:rsidRPr="00A83C94">
        <w:rPr>
          <w:rFonts w:cs="Sylfaen"/>
          <w:b w:val="0"/>
          <w:color w:val="000000"/>
          <w:szCs w:val="22"/>
          <w:lang w:val="hy-AM"/>
        </w:rPr>
        <w:softHyphen/>
        <w:t>մուտ</w:t>
      </w:r>
      <w:r w:rsidRPr="00A83C94">
        <w:rPr>
          <w:rFonts w:cs="Sylfaen"/>
          <w:b w:val="0"/>
          <w:color w:val="000000"/>
          <w:szCs w:val="22"/>
          <w:lang w:val="hy-AM"/>
        </w:rPr>
        <w:softHyphen/>
        <w:t>ների մեծությունը ուշադրության կենտրոնում պահելու, հարկային արտոնությունների շրջա</w:t>
      </w:r>
      <w:r w:rsidRPr="00A83C94">
        <w:rPr>
          <w:rFonts w:cs="Sylfaen"/>
          <w:b w:val="0"/>
          <w:color w:val="000000"/>
          <w:szCs w:val="22"/>
          <w:lang w:val="hy-AM"/>
        </w:rPr>
        <w:softHyphen/>
        <w:t>նակի վերանայման վերաբերյալ քաղաքական որոշումներ կայացնելու, ինչպես նաև հար</w:t>
      </w:r>
      <w:r w:rsidRPr="00A83C94">
        <w:rPr>
          <w:rFonts w:cs="Sylfaen"/>
          <w:b w:val="0"/>
          <w:color w:val="000000"/>
          <w:szCs w:val="22"/>
          <w:lang w:val="hy-AM"/>
        </w:rPr>
        <w:softHyphen/>
        <w:t>կա</w:t>
      </w:r>
      <w:r w:rsidRPr="00A83C94">
        <w:rPr>
          <w:rFonts w:cs="Sylfaen"/>
          <w:b w:val="0"/>
          <w:color w:val="000000"/>
          <w:szCs w:val="22"/>
          <w:lang w:val="hy-AM"/>
        </w:rPr>
        <w:softHyphen/>
        <w:t>բյու</w:t>
      </w:r>
      <w:r w:rsidRPr="00A83C94">
        <w:rPr>
          <w:rFonts w:cs="Sylfaen"/>
          <w:b w:val="0"/>
          <w:color w:val="000000"/>
          <w:szCs w:val="22"/>
          <w:lang w:val="hy-AM"/>
        </w:rPr>
        <w:softHyphen/>
        <w:t>ջետային քաղաքականության թափանցիկությունն ու Կառավարության հաշվետվո</w:t>
      </w:r>
      <w:r w:rsidRPr="00A83C94">
        <w:rPr>
          <w:rFonts w:cs="Sylfaen"/>
          <w:b w:val="0"/>
          <w:color w:val="000000"/>
          <w:szCs w:val="22"/>
          <w:lang w:val="hy-AM"/>
        </w:rPr>
        <w:softHyphen/>
        <w:t>ղա</w:t>
      </w:r>
      <w:r w:rsidRPr="00A83C94">
        <w:rPr>
          <w:rFonts w:cs="Sylfaen"/>
          <w:b w:val="0"/>
          <w:color w:val="000000"/>
          <w:szCs w:val="22"/>
          <w:lang w:val="hy-AM"/>
        </w:rPr>
        <w:softHyphen/>
        <w:t>կա</w:t>
      </w:r>
      <w:r w:rsidRPr="00A83C94">
        <w:rPr>
          <w:rFonts w:cs="Sylfaen"/>
          <w:b w:val="0"/>
          <w:color w:val="000000"/>
          <w:szCs w:val="22"/>
          <w:lang w:val="hy-AM"/>
        </w:rPr>
        <w:softHyphen/>
        <w:t>նու</w:t>
      </w:r>
      <w:r w:rsidRPr="00A83C94">
        <w:rPr>
          <w:rFonts w:cs="Sylfaen"/>
          <w:b w:val="0"/>
          <w:color w:val="000000"/>
          <w:szCs w:val="22"/>
          <w:lang w:val="hy-AM"/>
        </w:rPr>
        <w:softHyphen/>
        <w:t>թյունն ապահովելու նպատակով:</w:t>
      </w:r>
    </w:p>
    <w:p w14:paraId="0F7A58F0"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Ավստրիայում, Բելգիայում, Ֆրանսիայում, Գերմանիայում, Պորտուգալիայում, Իսպա</w:t>
      </w:r>
      <w:r w:rsidRPr="00A83C94">
        <w:rPr>
          <w:rFonts w:cs="Sylfaen"/>
          <w:b w:val="0"/>
          <w:color w:val="000000"/>
          <w:szCs w:val="22"/>
          <w:lang w:val="hy-AM"/>
        </w:rPr>
        <w:softHyphen/>
        <w:t>նիա</w:t>
      </w:r>
      <w:r w:rsidRPr="00A83C94">
        <w:rPr>
          <w:rFonts w:cs="Sylfaen"/>
          <w:b w:val="0"/>
          <w:color w:val="000000"/>
          <w:szCs w:val="22"/>
          <w:lang w:val="hy-AM"/>
        </w:rPr>
        <w:softHyphen/>
        <w:t>յում և Միացյալ Թագավորությունում հարկային ծախսերի մասին հաշվետվությունների կազ</w:t>
      </w:r>
      <w:r w:rsidRPr="00A83C94">
        <w:rPr>
          <w:rFonts w:cs="Sylfaen"/>
          <w:b w:val="0"/>
          <w:color w:val="000000"/>
          <w:szCs w:val="22"/>
          <w:lang w:val="hy-AM"/>
        </w:rPr>
        <w:softHyphen/>
        <w:t>մումն ու հրապարակումը կարգավորվում է օրենքով: Նշյալ հաշվետվությունները ուղղա</w:t>
      </w:r>
      <w:r w:rsidRPr="00A83C94">
        <w:rPr>
          <w:rFonts w:cs="Sylfaen"/>
          <w:b w:val="0"/>
          <w:color w:val="000000"/>
          <w:szCs w:val="22"/>
          <w:lang w:val="hy-AM"/>
        </w:rPr>
        <w:softHyphen/>
        <w:t>կիո</w:t>
      </w:r>
      <w:r w:rsidRPr="00A83C94">
        <w:rPr>
          <w:rFonts w:cs="Sylfaen"/>
          <w:b w:val="0"/>
          <w:color w:val="000000"/>
          <w:szCs w:val="22"/>
          <w:lang w:val="hy-AM"/>
        </w:rPr>
        <w:softHyphen/>
        <w:t>րեն կապված են պետական բյուջեի հետ, իսկ դրանց կազմումը բյուջետային գործըն</w:t>
      </w:r>
      <w:r w:rsidRPr="00A83C94">
        <w:rPr>
          <w:rFonts w:cs="Sylfaen"/>
          <w:b w:val="0"/>
          <w:color w:val="000000"/>
          <w:szCs w:val="22"/>
          <w:lang w:val="hy-AM"/>
        </w:rPr>
        <w:softHyphen/>
        <w:t>թացի կարևոր բաղկացուցիչներից է:</w:t>
      </w:r>
    </w:p>
    <w:p w14:paraId="63B2AF5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Հարկային ծախսերի մասին հաշվետվությունների կազմումն ու ներկայացումը հիմնա</w:t>
      </w:r>
      <w:r w:rsidRPr="00A83C94">
        <w:rPr>
          <w:rFonts w:cs="Sylfaen"/>
          <w:b w:val="0"/>
          <w:color w:val="000000"/>
          <w:szCs w:val="22"/>
          <w:lang w:val="hy-AM"/>
        </w:rPr>
        <w:softHyphen/>
        <w:t>կա</w:t>
      </w:r>
      <w:r w:rsidRPr="00A83C94">
        <w:rPr>
          <w:rFonts w:cs="Sylfaen"/>
          <w:b w:val="0"/>
          <w:color w:val="000000"/>
          <w:szCs w:val="22"/>
          <w:lang w:val="hy-AM"/>
        </w:rPr>
        <w:softHyphen/>
        <w:t>նում կատարվում է տարեկան պարբերականությամբ, թեև կան երկրներ, որոնք այս հաշ</w:t>
      </w:r>
      <w:r w:rsidRPr="00A83C94">
        <w:rPr>
          <w:rFonts w:cs="Sylfaen"/>
          <w:b w:val="0"/>
          <w:color w:val="000000"/>
          <w:szCs w:val="22"/>
          <w:lang w:val="hy-AM"/>
        </w:rPr>
        <w:softHyphen/>
        <w:t>վետ</w:t>
      </w:r>
      <w:r w:rsidRPr="00A83C94">
        <w:rPr>
          <w:rFonts w:cs="Sylfaen"/>
          <w:b w:val="0"/>
          <w:color w:val="000000"/>
          <w:szCs w:val="22"/>
          <w:lang w:val="hy-AM"/>
        </w:rPr>
        <w:softHyphen/>
        <w:t>վությունները կազմում և ներկայացնում են երկու կամ երեք տարին մեկ անգամ:</w:t>
      </w:r>
    </w:p>
    <w:p w14:paraId="58FCEF93"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p>
    <w:p w14:paraId="7A7FADD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Հարկային ծախսերի մասին հաշվետվության կազմման ու ներկայացման</w:t>
      </w:r>
    </w:p>
    <w:p w14:paraId="0F3E2B31"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u w:val="single"/>
          <w:lang w:val="hy-AM"/>
        </w:rPr>
      </w:pPr>
      <w:r w:rsidRPr="00A83C94">
        <w:rPr>
          <w:rFonts w:cs="Sylfaen"/>
          <w:b w:val="0"/>
          <w:color w:val="000000"/>
          <w:szCs w:val="22"/>
          <w:u w:val="single"/>
          <w:lang w:val="hy-AM"/>
        </w:rPr>
        <w:t>անհրաժեշտությունը Հայաստանի Հանրապետությունում.</w:t>
      </w:r>
    </w:p>
    <w:p w14:paraId="5F0BAEEC"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Սույն փաստաթուղթը Հայաստանի Հանրապետությունում իրականացվող բյուջետային գործ</w:t>
      </w:r>
      <w:r w:rsidRPr="00A83C94">
        <w:rPr>
          <w:rFonts w:cs="Sylfaen"/>
          <w:b w:val="0"/>
          <w:color w:val="000000"/>
          <w:szCs w:val="22"/>
          <w:lang w:val="hy-AM"/>
        </w:rPr>
        <w:softHyphen/>
        <w:t>ընթացի շրջանակներում հարկային ծախսերի գնահատման ութերորդ հաշվետվությունն է: Թեև մեր երկրի օրենսդրությամբ հարկային ծախսերի մասին հաշվետվություն կազմելու և ներ</w:t>
      </w:r>
      <w:r w:rsidRPr="00A83C94">
        <w:rPr>
          <w:rFonts w:cs="Sylfaen"/>
          <w:b w:val="0"/>
          <w:color w:val="000000"/>
          <w:szCs w:val="22"/>
          <w:lang w:val="hy-AM"/>
        </w:rPr>
        <w:softHyphen/>
        <w:t>կայացնելու պահանջ նախատեսված չէ, այդուհանդերձ կարևորելով այսպիսի փաստա</w:t>
      </w:r>
      <w:r w:rsidRPr="00A83C94">
        <w:rPr>
          <w:rFonts w:cs="Sylfaen"/>
          <w:b w:val="0"/>
          <w:color w:val="000000"/>
          <w:szCs w:val="22"/>
          <w:lang w:val="hy-AM"/>
        </w:rPr>
        <w:softHyphen/>
        <w:t>թղթերի դերը հանրային ֆինանսների կառավարման թափանցիկության անհրաժեշտ մակար</w:t>
      </w:r>
      <w:r w:rsidRPr="00A83C94">
        <w:rPr>
          <w:rFonts w:cs="Sylfaen"/>
          <w:b w:val="0"/>
          <w:color w:val="000000"/>
          <w:szCs w:val="22"/>
          <w:lang w:val="hy-AM"/>
        </w:rPr>
        <w:softHyphen/>
        <w:t>դակի ապահովման գործում՝ Կառավարությունը մտադիր է հարկային ծախսերի մասին ամենամյա հաշվետվությունների կազմումն ու ներկայացումը դարձնել բյուջետային գործ</w:t>
      </w:r>
      <w:r w:rsidRPr="00A83C94">
        <w:rPr>
          <w:rFonts w:cs="Sylfaen"/>
          <w:b w:val="0"/>
          <w:color w:val="000000"/>
          <w:szCs w:val="22"/>
          <w:lang w:val="hy-AM"/>
        </w:rPr>
        <w:softHyphen/>
        <w:t>ընթացի կարևոր բաղկացուցիչ:</w:t>
      </w:r>
    </w:p>
    <w:p w14:paraId="5E426F72"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Մյուս կողմից, հարկային ծախսերի մասին այսպիսի փաստաթղթի կազմումը հնա</w:t>
      </w:r>
      <w:r w:rsidRPr="00A83C94">
        <w:rPr>
          <w:rFonts w:cs="Sylfaen"/>
          <w:b w:val="0"/>
          <w:color w:val="000000"/>
          <w:szCs w:val="22"/>
          <w:lang w:val="hy-AM"/>
        </w:rPr>
        <w:softHyphen/>
        <w:t>րա</w:t>
      </w:r>
      <w:r w:rsidRPr="00A83C94">
        <w:rPr>
          <w:rFonts w:cs="Sylfaen"/>
          <w:b w:val="0"/>
          <w:color w:val="000000"/>
          <w:szCs w:val="22"/>
          <w:lang w:val="hy-AM"/>
        </w:rPr>
        <w:softHyphen/>
        <w:t>վո</w:t>
      </w:r>
      <w:r w:rsidRPr="00A83C94">
        <w:rPr>
          <w:rFonts w:cs="Sylfaen"/>
          <w:b w:val="0"/>
          <w:color w:val="000000"/>
          <w:szCs w:val="22"/>
          <w:lang w:val="hy-AM"/>
        </w:rPr>
        <w:softHyphen/>
        <w:t>րություն կընձեռի առավել համապարփակ ձևով գնահատել գործող հարկային արտոնու</w:t>
      </w:r>
      <w:r w:rsidRPr="00A83C94">
        <w:rPr>
          <w:rFonts w:cs="Sylfaen"/>
          <w:b w:val="0"/>
          <w:color w:val="000000"/>
          <w:szCs w:val="22"/>
          <w:lang w:val="hy-AM"/>
        </w:rPr>
        <w:softHyphen/>
        <w:t>թյուն</w:t>
      </w:r>
      <w:r w:rsidRPr="00A83C94">
        <w:rPr>
          <w:rFonts w:cs="Sylfaen"/>
          <w:b w:val="0"/>
          <w:color w:val="000000"/>
          <w:szCs w:val="22"/>
          <w:lang w:val="hy-AM"/>
        </w:rPr>
        <w:softHyphen/>
        <w:t>ների արդյունավետությունը, դրանց հետագա կիրառության նպատակահարմա</w:t>
      </w:r>
      <w:r w:rsidRPr="00A83C94">
        <w:rPr>
          <w:rFonts w:cs="Sylfaen"/>
          <w:b w:val="0"/>
          <w:color w:val="000000"/>
          <w:szCs w:val="22"/>
          <w:lang w:val="hy-AM"/>
        </w:rPr>
        <w:softHyphen/>
        <w:t>րու</w:t>
      </w:r>
      <w:r w:rsidRPr="00A83C94">
        <w:rPr>
          <w:rFonts w:cs="Sylfaen"/>
          <w:b w:val="0"/>
          <w:color w:val="000000"/>
          <w:szCs w:val="22"/>
          <w:lang w:val="hy-AM"/>
        </w:rPr>
        <w:softHyphen/>
        <w:t>թյունը կամ հարկային արտոնությունները կրճատելու հնարավորություններն ու սահմանա</w:t>
      </w:r>
      <w:r w:rsidRPr="00A83C94">
        <w:rPr>
          <w:rFonts w:cs="Sylfaen"/>
          <w:b w:val="0"/>
          <w:color w:val="000000"/>
          <w:szCs w:val="22"/>
          <w:lang w:val="hy-AM"/>
        </w:rPr>
        <w:softHyphen/>
        <w:t>փա</w:t>
      </w:r>
      <w:r w:rsidRPr="00A83C94">
        <w:rPr>
          <w:rFonts w:cs="Sylfaen"/>
          <w:b w:val="0"/>
          <w:color w:val="000000"/>
          <w:szCs w:val="22"/>
          <w:lang w:val="hy-AM"/>
        </w:rPr>
        <w:softHyphen/>
        <w:t>կումները:</w:t>
      </w:r>
    </w:p>
    <w:p w14:paraId="35BA4ED8"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Բացի այդ, հարկային ծախսերի գնահատմամբ Կառավարությունը ընդհանրացնում է երկրի ռեսուրսային ներուժի վերաբերյալ պատկերացումները, ինչը շատ կարևոր է՝ գնա</w:t>
      </w:r>
      <w:r w:rsidRPr="00A83C94">
        <w:rPr>
          <w:rFonts w:cs="Sylfaen"/>
          <w:b w:val="0"/>
          <w:color w:val="000000"/>
          <w:szCs w:val="22"/>
          <w:lang w:val="hy-AM"/>
        </w:rPr>
        <w:softHyphen/>
        <w:t>հա</w:t>
      </w:r>
      <w:r w:rsidRPr="00A83C94">
        <w:rPr>
          <w:rFonts w:cs="Sylfaen"/>
          <w:b w:val="0"/>
          <w:color w:val="000000"/>
          <w:szCs w:val="22"/>
          <w:lang w:val="hy-AM"/>
        </w:rPr>
        <w:softHyphen/>
        <w:t>տելու համար Կառավարության առջև դրված համակարգային խնդիրների լուծման եղանակները:</w:t>
      </w:r>
    </w:p>
    <w:p w14:paraId="476F738F" w14:textId="77777777" w:rsidR="00840AE8" w:rsidRPr="00A83C94" w:rsidRDefault="00840AE8" w:rsidP="00840AE8">
      <w:pPr>
        <w:pStyle w:val="NormalWeb"/>
        <w:shd w:val="clear" w:color="auto" w:fill="FFFFFF"/>
        <w:spacing w:before="0" w:beforeAutospacing="0" w:after="0" w:afterAutospacing="0" w:line="276" w:lineRule="auto"/>
        <w:rPr>
          <w:rFonts w:cs="Sylfaen"/>
          <w:b w:val="0"/>
          <w:i/>
          <w:iCs/>
          <w:color w:val="000000"/>
          <w:szCs w:val="22"/>
          <w:lang w:val="hy-AM"/>
        </w:rPr>
      </w:pPr>
    </w:p>
    <w:p w14:paraId="19B10C8B" w14:textId="77777777" w:rsidR="00840AE8" w:rsidRPr="00A83C94" w:rsidRDefault="00840AE8" w:rsidP="00840AE8">
      <w:pPr>
        <w:pStyle w:val="NormalWeb"/>
        <w:shd w:val="clear" w:color="auto" w:fill="FFFFFF"/>
        <w:spacing w:before="0" w:beforeAutospacing="0" w:after="0" w:afterAutospacing="0" w:line="276" w:lineRule="auto"/>
        <w:ind w:left="567"/>
        <w:rPr>
          <w:rFonts w:cs="Sylfaen"/>
          <w:b w:val="0"/>
          <w:color w:val="000000"/>
          <w:szCs w:val="22"/>
          <w:u w:val="single"/>
          <w:lang w:val="hy-AM"/>
        </w:rPr>
      </w:pPr>
      <w:r w:rsidRPr="00A83C94">
        <w:rPr>
          <w:rFonts w:cs="Sylfaen"/>
          <w:b w:val="0"/>
          <w:color w:val="000000"/>
          <w:szCs w:val="22"/>
          <w:u w:val="single"/>
          <w:lang w:val="hy-AM"/>
        </w:rPr>
        <w:t>Հարկային ծախսերի հաշվետվության ներկայացման կարևորությունը հարկային արտոնությունների շրջանակը վերանայելու տեսանկյունից.</w:t>
      </w:r>
    </w:p>
    <w:p w14:paraId="383AF0EF"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Հայաստանյան հարկային համակարգի ձևավորման ու զարգացման ողջ ընթացքում հար</w:t>
      </w:r>
      <w:r w:rsidRPr="00A83C94">
        <w:rPr>
          <w:rFonts w:cs="Sylfaen"/>
          <w:b w:val="0"/>
          <w:color w:val="000000"/>
          <w:szCs w:val="22"/>
          <w:lang w:val="hy-AM"/>
        </w:rPr>
        <w:softHyphen/>
        <w:t>կային օրենսդրությամբ նախատեսված են եղել տարբեր հարկային արտոնություններ, որոնց շրջանակը հարկային քաղաքականության իրականացման տարբեր փուլերում, կախ</w:t>
      </w:r>
      <w:r w:rsidRPr="00A83C94">
        <w:rPr>
          <w:rFonts w:cs="Sylfaen"/>
          <w:b w:val="0"/>
          <w:color w:val="000000"/>
          <w:szCs w:val="22"/>
          <w:lang w:val="hy-AM"/>
        </w:rPr>
        <w:softHyphen/>
        <w:t>ված տնտեսության զարգացման տեմպերից, առաջնահերթություններից ու մարտահրավեր</w:t>
      </w:r>
      <w:r w:rsidRPr="00A83C94">
        <w:rPr>
          <w:rFonts w:cs="Sylfaen"/>
          <w:b w:val="0"/>
          <w:color w:val="000000"/>
          <w:szCs w:val="22"/>
          <w:lang w:val="hy-AM"/>
        </w:rPr>
        <w:softHyphen/>
        <w:t>նե</w:t>
      </w:r>
      <w:r w:rsidRPr="00A83C94">
        <w:rPr>
          <w:rFonts w:cs="Sylfaen"/>
          <w:b w:val="0"/>
          <w:color w:val="000000"/>
          <w:szCs w:val="22"/>
          <w:lang w:val="hy-AM"/>
        </w:rPr>
        <w:softHyphen/>
        <w:t>րից, մշտապես վերանայվել է: Որոշ հարկային արտոնություններ ժամանակավոր բնույթ են ունեցել (օրինակ` օտարերկրյա ներդրումներով ռեզիդենտ կազմակերպությունների` շահու</w:t>
      </w:r>
      <w:r w:rsidRPr="00A83C94">
        <w:rPr>
          <w:rFonts w:cs="Sylfaen"/>
          <w:b w:val="0"/>
          <w:color w:val="000000"/>
          <w:szCs w:val="22"/>
          <w:lang w:val="hy-AM"/>
        </w:rPr>
        <w:softHyphen/>
      </w:r>
      <w:r w:rsidRPr="00A83C94">
        <w:rPr>
          <w:rFonts w:cs="Sylfaen"/>
          <w:b w:val="0"/>
          <w:color w:val="000000"/>
          <w:szCs w:val="22"/>
          <w:lang w:val="hy-AM"/>
        </w:rPr>
        <w:softHyphen/>
        <w:t>թահարկի գումարի նվազեցման արտոնությունը) և կողմնորոշված են եղել քաղաքա</w:t>
      </w:r>
      <w:r w:rsidRPr="00A83C94">
        <w:rPr>
          <w:rFonts w:cs="Sylfaen"/>
          <w:b w:val="0"/>
          <w:color w:val="000000"/>
          <w:szCs w:val="22"/>
          <w:lang w:val="hy-AM"/>
        </w:rPr>
        <w:softHyphen/>
        <w:t>կա</w:t>
      </w:r>
      <w:r w:rsidRPr="00A83C94">
        <w:rPr>
          <w:rFonts w:cs="Sylfaen"/>
          <w:b w:val="0"/>
          <w:color w:val="000000"/>
          <w:szCs w:val="22"/>
          <w:lang w:val="hy-AM"/>
        </w:rPr>
        <w:softHyphen/>
        <w:t>նության իրականացման որևէ ժամանակահատվածում կոնկրետ խնդիրների լուծմանը: Որոշ հարկային արտոնություններ, որոնք տրվել են դեռևս հարկային համակարգի ձևա</w:t>
      </w:r>
      <w:r w:rsidRPr="00A83C94">
        <w:rPr>
          <w:rFonts w:cs="Sylfaen"/>
          <w:b w:val="0"/>
          <w:color w:val="000000"/>
          <w:szCs w:val="22"/>
          <w:lang w:val="hy-AM"/>
        </w:rPr>
        <w:softHyphen/>
        <w:t>վոր</w:t>
      </w:r>
      <w:r w:rsidRPr="00A83C94">
        <w:rPr>
          <w:rFonts w:cs="Sylfaen"/>
          <w:b w:val="0"/>
          <w:color w:val="000000"/>
          <w:szCs w:val="22"/>
          <w:lang w:val="hy-AM"/>
        </w:rPr>
        <w:softHyphen/>
        <w:t>ման ամենավաղ փուլերում, շարունակվում են կիրառվել մինչև այժմ, քանի որ դրանց կիրա</w:t>
      </w:r>
      <w:r w:rsidRPr="00A83C94">
        <w:rPr>
          <w:rFonts w:cs="Sylfaen"/>
          <w:b w:val="0"/>
          <w:color w:val="000000"/>
          <w:szCs w:val="22"/>
          <w:lang w:val="hy-AM"/>
        </w:rPr>
        <w:softHyphen/>
        <w:t>ռու</w:t>
      </w:r>
      <w:r w:rsidRPr="00A83C94">
        <w:rPr>
          <w:rFonts w:cs="Sylfaen"/>
          <w:b w:val="0"/>
          <w:color w:val="000000"/>
          <w:szCs w:val="22"/>
          <w:lang w:val="hy-AM"/>
        </w:rPr>
        <w:softHyphen/>
        <w:t>թյան պատճառներն ու հիմնավորումները արդիական են նաև մեր օրերում (օրինակ` գյու</w:t>
      </w:r>
      <w:r w:rsidRPr="00A83C94">
        <w:rPr>
          <w:rFonts w:cs="Sylfaen"/>
          <w:b w:val="0"/>
          <w:color w:val="000000"/>
          <w:szCs w:val="22"/>
          <w:lang w:val="hy-AM"/>
        </w:rPr>
        <w:softHyphen/>
        <w:t>ղա</w:t>
      </w:r>
      <w:r w:rsidRPr="00A83C94">
        <w:rPr>
          <w:rFonts w:cs="Sylfaen"/>
          <w:b w:val="0"/>
          <w:color w:val="000000"/>
          <w:szCs w:val="22"/>
          <w:lang w:val="hy-AM"/>
        </w:rPr>
        <w:softHyphen/>
        <w:t>տնտեսական արտադրանքի իրացումից ստացվող եկամուտների համար նախատեսված` շահութահարկից ու եկամտային հարկից ազատման արտոնությունները):</w:t>
      </w:r>
    </w:p>
    <w:p w14:paraId="4839E2C1"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lang w:val="hy-AM"/>
        </w:rPr>
      </w:pPr>
      <w:r w:rsidRPr="00A83C94">
        <w:rPr>
          <w:rFonts w:cs="Sylfaen"/>
          <w:b w:val="0"/>
          <w:color w:val="000000"/>
          <w:szCs w:val="22"/>
          <w:lang w:val="hy-AM"/>
        </w:rPr>
        <w:t>Ընդհանուր առմամբ, ինչպես նախկինում, այնպես էլ ներկայումս հարկային օրենս</w:t>
      </w:r>
      <w:r w:rsidRPr="00A83C94">
        <w:rPr>
          <w:rFonts w:cs="Sylfaen"/>
          <w:b w:val="0"/>
          <w:color w:val="000000"/>
          <w:szCs w:val="22"/>
          <w:lang w:val="hy-AM"/>
        </w:rPr>
        <w:softHyphen/>
        <w:t>դրու</w:t>
      </w:r>
      <w:r w:rsidRPr="00A83C94">
        <w:rPr>
          <w:rFonts w:cs="Sylfaen"/>
          <w:b w:val="0"/>
          <w:color w:val="000000"/>
          <w:szCs w:val="22"/>
          <w:lang w:val="hy-AM"/>
        </w:rPr>
        <w:softHyphen/>
        <w:t>թյամբ նախատեսված հարկային արտոնությունները կարելի է խմբավորել երեք հիմնական խմբե</w:t>
      </w:r>
      <w:r w:rsidRPr="00A83C94">
        <w:rPr>
          <w:rFonts w:cs="Sylfaen"/>
          <w:b w:val="0"/>
          <w:color w:val="000000"/>
          <w:szCs w:val="22"/>
          <w:lang w:val="hy-AM"/>
        </w:rPr>
        <w:softHyphen/>
        <w:t>րում`</w:t>
      </w:r>
    </w:p>
    <w:p w14:paraId="6FBCEF76" w14:textId="77777777" w:rsidR="00840AE8" w:rsidRPr="00A83C94" w:rsidRDefault="00840AE8" w:rsidP="00786462">
      <w:pPr>
        <w:pStyle w:val="NormalWeb"/>
        <w:numPr>
          <w:ilvl w:val="0"/>
          <w:numId w:val="36"/>
        </w:numPr>
        <w:shd w:val="clear" w:color="auto" w:fill="FFFFFF"/>
        <w:tabs>
          <w:tab w:val="left" w:pos="851"/>
        </w:tabs>
        <w:spacing w:before="0" w:beforeAutospacing="0" w:after="0" w:afterAutospacing="0" w:line="276" w:lineRule="auto"/>
        <w:ind w:left="0" w:firstLine="567"/>
        <w:contextualSpacing w:val="0"/>
        <w:rPr>
          <w:b w:val="0"/>
          <w:color w:val="000000"/>
          <w:szCs w:val="22"/>
          <w:lang w:val="hy-AM"/>
        </w:rPr>
      </w:pPr>
      <w:r w:rsidRPr="00A83C94">
        <w:rPr>
          <w:rFonts w:cs="Sylfaen"/>
          <w:b w:val="0"/>
          <w:color w:val="000000"/>
          <w:szCs w:val="22"/>
          <w:lang w:val="hy-AM"/>
        </w:rPr>
        <w:t>սոցիալական</w:t>
      </w:r>
      <w:r w:rsidRPr="00A83C94">
        <w:rPr>
          <w:b w:val="0"/>
          <w:color w:val="000000"/>
          <w:szCs w:val="22"/>
          <w:lang w:val="hy-AM"/>
        </w:rPr>
        <w:t xml:space="preserve"> </w:t>
      </w:r>
      <w:r w:rsidRPr="00A83C94">
        <w:rPr>
          <w:rFonts w:cs="Sylfaen"/>
          <w:b w:val="0"/>
          <w:color w:val="000000"/>
          <w:szCs w:val="22"/>
          <w:lang w:val="hy-AM"/>
        </w:rPr>
        <w:t>ուղղվածություն</w:t>
      </w:r>
      <w:r w:rsidRPr="00A83C94">
        <w:rPr>
          <w:b w:val="0"/>
          <w:color w:val="000000"/>
          <w:szCs w:val="22"/>
          <w:lang w:val="hy-AM"/>
        </w:rPr>
        <w:t xml:space="preserve"> </w:t>
      </w:r>
      <w:r w:rsidRPr="00A83C94">
        <w:rPr>
          <w:rFonts w:cs="Sylfaen"/>
          <w:b w:val="0"/>
          <w:color w:val="000000"/>
          <w:szCs w:val="22"/>
          <w:lang w:val="hy-AM"/>
        </w:rPr>
        <w:t>ունեցող</w:t>
      </w:r>
      <w:r w:rsidRPr="00A83C94">
        <w:rPr>
          <w:b w:val="0"/>
          <w:color w:val="000000"/>
          <w:szCs w:val="22"/>
          <w:lang w:val="hy-AM"/>
        </w:rPr>
        <w:t xml:space="preserve"> </w:t>
      </w:r>
      <w:r w:rsidRPr="00A83C94">
        <w:rPr>
          <w:rFonts w:cs="Sylfaen"/>
          <w:b w:val="0"/>
          <w:color w:val="000000"/>
          <w:szCs w:val="22"/>
          <w:lang w:val="hy-AM"/>
        </w:rPr>
        <w:t>հարկային</w:t>
      </w:r>
      <w:r w:rsidRPr="00A83C94">
        <w:rPr>
          <w:b w:val="0"/>
          <w:color w:val="000000"/>
          <w:szCs w:val="22"/>
          <w:lang w:val="hy-AM"/>
        </w:rPr>
        <w:t xml:space="preserve"> </w:t>
      </w:r>
      <w:r w:rsidRPr="00A83C94">
        <w:rPr>
          <w:rFonts w:cs="Sylfaen"/>
          <w:b w:val="0"/>
          <w:color w:val="000000"/>
          <w:szCs w:val="22"/>
          <w:lang w:val="hy-AM"/>
        </w:rPr>
        <w:t>արտոնություններ</w:t>
      </w:r>
      <w:r w:rsidRPr="00A83C94">
        <w:rPr>
          <w:b w:val="0"/>
          <w:color w:val="000000"/>
          <w:szCs w:val="22"/>
          <w:lang w:val="hy-AM"/>
        </w:rPr>
        <w:t>,</w:t>
      </w:r>
    </w:p>
    <w:p w14:paraId="3E3B6A8B" w14:textId="77777777" w:rsidR="00840AE8" w:rsidRPr="00A83C94" w:rsidRDefault="00840AE8" w:rsidP="00786462">
      <w:pPr>
        <w:pStyle w:val="NormalWeb"/>
        <w:numPr>
          <w:ilvl w:val="0"/>
          <w:numId w:val="36"/>
        </w:numPr>
        <w:shd w:val="clear" w:color="auto" w:fill="FFFFFF"/>
        <w:tabs>
          <w:tab w:val="left" w:pos="851"/>
        </w:tabs>
        <w:spacing w:before="0" w:beforeAutospacing="0" w:after="0" w:afterAutospacing="0" w:line="276" w:lineRule="auto"/>
        <w:ind w:left="0" w:firstLine="567"/>
        <w:contextualSpacing w:val="0"/>
        <w:rPr>
          <w:b w:val="0"/>
          <w:color w:val="000000"/>
          <w:szCs w:val="22"/>
        </w:rPr>
      </w:pPr>
      <w:r w:rsidRPr="00A83C94">
        <w:rPr>
          <w:rFonts w:cs="Sylfaen"/>
          <w:b w:val="0"/>
          <w:color w:val="000000"/>
          <w:szCs w:val="22"/>
        </w:rPr>
        <w:t>ոլորտային</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w:t>
      </w:r>
      <w:r w:rsidRPr="00A83C94">
        <w:rPr>
          <w:b w:val="0"/>
          <w:color w:val="000000"/>
          <w:szCs w:val="22"/>
        </w:rPr>
        <w:t>,</w:t>
      </w:r>
    </w:p>
    <w:p w14:paraId="087326E6" w14:textId="77777777" w:rsidR="00840AE8" w:rsidRPr="00A83C94" w:rsidRDefault="00840AE8" w:rsidP="00786462">
      <w:pPr>
        <w:pStyle w:val="NormalWeb"/>
        <w:numPr>
          <w:ilvl w:val="0"/>
          <w:numId w:val="36"/>
        </w:numPr>
        <w:shd w:val="clear" w:color="auto" w:fill="FFFFFF"/>
        <w:tabs>
          <w:tab w:val="left" w:pos="851"/>
        </w:tabs>
        <w:spacing w:before="0" w:beforeAutospacing="0" w:after="0" w:afterAutospacing="0" w:line="276" w:lineRule="auto"/>
        <w:ind w:left="0" w:firstLine="567"/>
        <w:contextualSpacing w:val="0"/>
        <w:rPr>
          <w:b w:val="0"/>
          <w:color w:val="000000"/>
          <w:szCs w:val="22"/>
        </w:rPr>
      </w:pPr>
      <w:r w:rsidRPr="00A83C94">
        <w:rPr>
          <w:rFonts w:cs="Sylfaen"/>
          <w:b w:val="0"/>
          <w:color w:val="000000"/>
          <w:szCs w:val="22"/>
        </w:rPr>
        <w:t>գործարար</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ներդրումային</w:t>
      </w:r>
      <w:r w:rsidRPr="00A83C94">
        <w:rPr>
          <w:b w:val="0"/>
          <w:color w:val="000000"/>
          <w:szCs w:val="22"/>
        </w:rPr>
        <w:t xml:space="preserve"> </w:t>
      </w:r>
      <w:r w:rsidRPr="00A83C94">
        <w:rPr>
          <w:rFonts w:cs="Sylfaen"/>
          <w:b w:val="0"/>
          <w:color w:val="000000"/>
          <w:szCs w:val="22"/>
        </w:rPr>
        <w:t>միջավայրի</w:t>
      </w:r>
      <w:r w:rsidRPr="00A83C94">
        <w:rPr>
          <w:b w:val="0"/>
          <w:color w:val="000000"/>
          <w:szCs w:val="22"/>
        </w:rPr>
        <w:t xml:space="preserve"> </w:t>
      </w:r>
      <w:r w:rsidRPr="00A83C94">
        <w:rPr>
          <w:rFonts w:cs="Sylfaen"/>
          <w:b w:val="0"/>
          <w:color w:val="000000"/>
          <w:szCs w:val="22"/>
        </w:rPr>
        <w:t>բարելավմանն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ակտիվության</w:t>
      </w:r>
      <w:r w:rsidRPr="00A83C94">
        <w:rPr>
          <w:b w:val="0"/>
          <w:color w:val="000000"/>
          <w:szCs w:val="22"/>
        </w:rPr>
        <w:t xml:space="preserve"> </w:t>
      </w:r>
      <w:r w:rsidRPr="00A83C94">
        <w:rPr>
          <w:rFonts w:cs="Sylfaen"/>
          <w:b w:val="0"/>
          <w:color w:val="000000"/>
          <w:szCs w:val="22"/>
        </w:rPr>
        <w:t>բարձրաց</w:t>
      </w:r>
      <w:r w:rsidRPr="00A83C94">
        <w:rPr>
          <w:rFonts w:cs="Sylfaen"/>
          <w:b w:val="0"/>
          <w:color w:val="000000"/>
          <w:szCs w:val="22"/>
        </w:rPr>
        <w:softHyphen/>
        <w:t>մանն</w:t>
      </w:r>
      <w:r w:rsidRPr="00A83C94">
        <w:rPr>
          <w:b w:val="0"/>
          <w:color w:val="000000"/>
          <w:szCs w:val="22"/>
        </w:rPr>
        <w:t xml:space="preserve"> </w:t>
      </w:r>
      <w:r w:rsidRPr="00A83C94">
        <w:rPr>
          <w:rFonts w:cs="Sylfaen"/>
          <w:b w:val="0"/>
          <w:color w:val="000000"/>
          <w:szCs w:val="22"/>
        </w:rPr>
        <w:t>ուղղված</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w:t>
      </w:r>
      <w:r w:rsidRPr="00A83C94">
        <w:rPr>
          <w:b w:val="0"/>
          <w:color w:val="000000"/>
          <w:szCs w:val="22"/>
        </w:rPr>
        <w:t>:</w:t>
      </w:r>
    </w:p>
    <w:p w14:paraId="44A7F536"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rPr>
        <w:t>Սոցիալական</w:t>
      </w:r>
      <w:r w:rsidRPr="00A83C94">
        <w:rPr>
          <w:b w:val="0"/>
          <w:color w:val="000000"/>
          <w:szCs w:val="22"/>
        </w:rPr>
        <w:t xml:space="preserve"> </w:t>
      </w:r>
      <w:r w:rsidRPr="00A83C94">
        <w:rPr>
          <w:rFonts w:cs="Sylfaen"/>
          <w:b w:val="0"/>
          <w:color w:val="000000"/>
          <w:szCs w:val="22"/>
        </w:rPr>
        <w:t>ուղղվածություն</w:t>
      </w:r>
      <w:r w:rsidRPr="00A83C94">
        <w:rPr>
          <w:b w:val="0"/>
          <w:color w:val="000000"/>
          <w:szCs w:val="22"/>
        </w:rPr>
        <w:t xml:space="preserve"> </w:t>
      </w:r>
      <w:r w:rsidRPr="00A83C94">
        <w:rPr>
          <w:rFonts w:cs="Sylfaen"/>
          <w:b w:val="0"/>
          <w:color w:val="000000"/>
          <w:szCs w:val="22"/>
        </w:rPr>
        <w:t>ունեցող</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կիրառության</w:t>
      </w:r>
      <w:r w:rsidRPr="00A83C94">
        <w:rPr>
          <w:b w:val="0"/>
          <w:color w:val="000000"/>
          <w:szCs w:val="22"/>
        </w:rPr>
        <w:t xml:space="preserve"> </w:t>
      </w:r>
      <w:r w:rsidRPr="00A83C94">
        <w:rPr>
          <w:rFonts w:cs="Sylfaen"/>
          <w:b w:val="0"/>
          <w:color w:val="000000"/>
          <w:szCs w:val="22"/>
        </w:rPr>
        <w:t>հիմ</w:t>
      </w:r>
      <w:r w:rsidRPr="00A83C94">
        <w:rPr>
          <w:rFonts w:cs="Sylfaen"/>
          <w:b w:val="0"/>
          <w:color w:val="000000"/>
          <w:szCs w:val="22"/>
        </w:rPr>
        <w:softHyphen/>
        <w:t>նա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նպատակը</w:t>
      </w:r>
      <w:r w:rsidRPr="00A83C94">
        <w:rPr>
          <w:b w:val="0"/>
          <w:color w:val="000000"/>
          <w:szCs w:val="22"/>
        </w:rPr>
        <w:t xml:space="preserve"> </w:t>
      </w:r>
      <w:r w:rsidRPr="00A83C94">
        <w:rPr>
          <w:rFonts w:cs="Sylfaen"/>
          <w:b w:val="0"/>
          <w:color w:val="000000"/>
          <w:szCs w:val="22"/>
        </w:rPr>
        <w:t>առողջապահական</w:t>
      </w:r>
      <w:r w:rsidRPr="00A83C94">
        <w:rPr>
          <w:b w:val="0"/>
          <w:color w:val="000000"/>
          <w:szCs w:val="22"/>
        </w:rPr>
        <w:t xml:space="preserve">, </w:t>
      </w:r>
      <w:r w:rsidRPr="00A83C94">
        <w:rPr>
          <w:rFonts w:cs="Sylfaen"/>
          <w:b w:val="0"/>
          <w:color w:val="000000"/>
          <w:szCs w:val="22"/>
        </w:rPr>
        <w:t>կրթական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գիտական</w:t>
      </w:r>
      <w:r w:rsidRPr="00A83C94">
        <w:rPr>
          <w:b w:val="0"/>
          <w:color w:val="000000"/>
          <w:szCs w:val="22"/>
        </w:rPr>
        <w:t xml:space="preserve"> </w:t>
      </w:r>
      <w:r w:rsidRPr="00A83C94">
        <w:rPr>
          <w:rFonts w:cs="Sylfaen"/>
          <w:b w:val="0"/>
          <w:color w:val="000000"/>
          <w:szCs w:val="22"/>
        </w:rPr>
        <w:t>նշանակության</w:t>
      </w:r>
      <w:r w:rsidRPr="00A83C94">
        <w:rPr>
          <w:b w:val="0"/>
          <w:color w:val="000000"/>
          <w:szCs w:val="22"/>
        </w:rPr>
        <w:t xml:space="preserve"> </w:t>
      </w:r>
      <w:r w:rsidRPr="00A83C94">
        <w:rPr>
          <w:rFonts w:cs="Sylfaen"/>
          <w:b w:val="0"/>
          <w:color w:val="000000"/>
          <w:szCs w:val="22"/>
        </w:rPr>
        <w:t>որոշ</w:t>
      </w:r>
      <w:r w:rsidRPr="00A83C94">
        <w:rPr>
          <w:b w:val="0"/>
          <w:color w:val="000000"/>
          <w:szCs w:val="22"/>
        </w:rPr>
        <w:t xml:space="preserve"> </w:t>
      </w:r>
      <w:r w:rsidRPr="00A83C94">
        <w:rPr>
          <w:rFonts w:cs="Sylfaen"/>
          <w:b w:val="0"/>
          <w:color w:val="000000"/>
          <w:szCs w:val="22"/>
        </w:rPr>
        <w:t>ծառա</w:t>
      </w:r>
      <w:r w:rsidRPr="00A83C94">
        <w:rPr>
          <w:rFonts w:cs="Sylfaen"/>
          <w:b w:val="0"/>
          <w:color w:val="000000"/>
          <w:szCs w:val="22"/>
        </w:rPr>
        <w:softHyphen/>
      </w:r>
      <w:r w:rsidRPr="00A83C94">
        <w:rPr>
          <w:rFonts w:cs="Sylfaen"/>
          <w:b w:val="0"/>
          <w:color w:val="000000"/>
          <w:szCs w:val="22"/>
        </w:rPr>
        <w:softHyphen/>
        <w:t>յությունների</w:t>
      </w:r>
      <w:r w:rsidRPr="00A83C94">
        <w:rPr>
          <w:b w:val="0"/>
          <w:color w:val="000000"/>
          <w:szCs w:val="22"/>
        </w:rPr>
        <w:t xml:space="preserve"> </w:t>
      </w:r>
      <w:r w:rsidRPr="00A83C94">
        <w:rPr>
          <w:rFonts w:cs="Sylfaen"/>
          <w:b w:val="0"/>
          <w:color w:val="000000"/>
          <w:szCs w:val="22"/>
        </w:rPr>
        <w:t>մատուցումն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ապրանքների</w:t>
      </w:r>
      <w:r w:rsidRPr="00A83C94">
        <w:rPr>
          <w:b w:val="0"/>
          <w:color w:val="000000"/>
          <w:szCs w:val="22"/>
        </w:rPr>
        <w:t xml:space="preserve"> </w:t>
      </w:r>
      <w:r w:rsidRPr="00A83C94">
        <w:rPr>
          <w:rFonts w:cs="Sylfaen"/>
          <w:b w:val="0"/>
          <w:color w:val="000000"/>
          <w:szCs w:val="22"/>
        </w:rPr>
        <w:t>մատակարարումը</w:t>
      </w:r>
      <w:r w:rsidRPr="00A83C94">
        <w:rPr>
          <w:b w:val="0"/>
          <w:color w:val="000000"/>
          <w:szCs w:val="22"/>
        </w:rPr>
        <w:t xml:space="preserve"> </w:t>
      </w:r>
      <w:r w:rsidRPr="00A83C94">
        <w:rPr>
          <w:rFonts w:cs="Sylfaen"/>
          <w:b w:val="0"/>
          <w:color w:val="000000"/>
          <w:szCs w:val="22"/>
        </w:rPr>
        <w:t>ավելացված</w:t>
      </w:r>
      <w:r w:rsidRPr="00A83C94">
        <w:rPr>
          <w:b w:val="0"/>
          <w:color w:val="000000"/>
          <w:szCs w:val="22"/>
        </w:rPr>
        <w:t xml:space="preserve"> </w:t>
      </w:r>
      <w:r w:rsidRPr="00A83C94">
        <w:rPr>
          <w:rFonts w:cs="Sylfaen"/>
          <w:b w:val="0"/>
          <w:color w:val="000000"/>
          <w:szCs w:val="22"/>
        </w:rPr>
        <w:t>արժեքի</w:t>
      </w:r>
      <w:r w:rsidRPr="00A83C94">
        <w:rPr>
          <w:b w:val="0"/>
          <w:color w:val="000000"/>
          <w:szCs w:val="22"/>
        </w:rPr>
        <w:t xml:space="preserve"> </w:t>
      </w:r>
      <w:r w:rsidRPr="00A83C94">
        <w:rPr>
          <w:rFonts w:cs="Sylfaen"/>
          <w:b w:val="0"/>
          <w:color w:val="000000"/>
          <w:szCs w:val="22"/>
        </w:rPr>
        <w:t>հար</w:t>
      </w:r>
      <w:r w:rsidRPr="00A83C94">
        <w:rPr>
          <w:rFonts w:cs="Sylfaen"/>
          <w:b w:val="0"/>
          <w:color w:val="000000"/>
          <w:szCs w:val="22"/>
        </w:rPr>
        <w:softHyphen/>
        <w:t>կից</w:t>
      </w:r>
      <w:r w:rsidRPr="00A83C94">
        <w:rPr>
          <w:b w:val="0"/>
          <w:color w:val="000000"/>
          <w:szCs w:val="22"/>
        </w:rPr>
        <w:t xml:space="preserve"> </w:t>
      </w:r>
      <w:r w:rsidRPr="00A83C94">
        <w:rPr>
          <w:rFonts w:cs="Sylfaen"/>
          <w:b w:val="0"/>
          <w:color w:val="000000"/>
          <w:szCs w:val="22"/>
        </w:rPr>
        <w:t>ազատելն</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ինչը</w:t>
      </w:r>
      <w:r w:rsidRPr="00A83C94">
        <w:rPr>
          <w:b w:val="0"/>
          <w:color w:val="000000"/>
          <w:szCs w:val="22"/>
        </w:rPr>
        <w:t xml:space="preserve">, </w:t>
      </w:r>
      <w:r w:rsidRPr="00A83C94">
        <w:rPr>
          <w:rFonts w:cs="Sylfaen"/>
          <w:b w:val="0"/>
          <w:color w:val="000000"/>
          <w:szCs w:val="22"/>
        </w:rPr>
        <w:t>այլ</w:t>
      </w:r>
      <w:r w:rsidRPr="00A83C94">
        <w:rPr>
          <w:b w:val="0"/>
          <w:color w:val="000000"/>
          <w:szCs w:val="22"/>
        </w:rPr>
        <w:t xml:space="preserve"> </w:t>
      </w:r>
      <w:r w:rsidRPr="00A83C94">
        <w:rPr>
          <w:rFonts w:cs="Sylfaen"/>
          <w:b w:val="0"/>
          <w:color w:val="000000"/>
          <w:szCs w:val="22"/>
        </w:rPr>
        <w:t>հավասար</w:t>
      </w:r>
      <w:r w:rsidRPr="00A83C94">
        <w:rPr>
          <w:b w:val="0"/>
          <w:color w:val="000000"/>
          <w:szCs w:val="22"/>
        </w:rPr>
        <w:t xml:space="preserve"> </w:t>
      </w:r>
      <w:r w:rsidRPr="00A83C94">
        <w:rPr>
          <w:rFonts w:cs="Sylfaen"/>
          <w:b w:val="0"/>
          <w:color w:val="000000"/>
          <w:szCs w:val="22"/>
        </w:rPr>
        <w:t>պայմաններում</w:t>
      </w:r>
      <w:r w:rsidRPr="00A83C94">
        <w:rPr>
          <w:b w:val="0"/>
          <w:color w:val="000000"/>
          <w:szCs w:val="22"/>
        </w:rPr>
        <w:t xml:space="preserve"> </w:t>
      </w:r>
      <w:r w:rsidRPr="00A83C94">
        <w:rPr>
          <w:rFonts w:cs="Sylfaen"/>
          <w:b w:val="0"/>
          <w:color w:val="000000"/>
          <w:szCs w:val="22"/>
        </w:rPr>
        <w:t>հնարավորություն</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ընձեռում</w:t>
      </w:r>
      <w:r w:rsidRPr="00A83C94">
        <w:rPr>
          <w:b w:val="0"/>
          <w:color w:val="000000"/>
          <w:szCs w:val="22"/>
        </w:rPr>
        <w:t xml:space="preserve"> </w:t>
      </w:r>
      <w:r w:rsidRPr="00A83C94">
        <w:rPr>
          <w:rFonts w:cs="Sylfaen"/>
          <w:b w:val="0"/>
          <w:color w:val="000000"/>
          <w:szCs w:val="22"/>
        </w:rPr>
        <w:t>նշյալ</w:t>
      </w:r>
      <w:r w:rsidRPr="00A83C94">
        <w:rPr>
          <w:b w:val="0"/>
          <w:color w:val="000000"/>
          <w:szCs w:val="22"/>
        </w:rPr>
        <w:t xml:space="preserve"> </w:t>
      </w:r>
      <w:r w:rsidRPr="00A83C94">
        <w:rPr>
          <w:rFonts w:cs="Sylfaen"/>
          <w:b w:val="0"/>
          <w:color w:val="000000"/>
          <w:szCs w:val="22"/>
        </w:rPr>
        <w:t>ապրանք</w:t>
      </w:r>
      <w:r w:rsidRPr="00A83C94">
        <w:rPr>
          <w:rFonts w:cs="Sylfaen"/>
          <w:b w:val="0"/>
          <w:color w:val="000000"/>
          <w:szCs w:val="22"/>
        </w:rPr>
        <w:softHyphen/>
        <w:t>ներն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ծառայությունները</w:t>
      </w:r>
      <w:r w:rsidRPr="00A83C94">
        <w:rPr>
          <w:b w:val="0"/>
          <w:color w:val="000000"/>
          <w:szCs w:val="22"/>
        </w:rPr>
        <w:t xml:space="preserve"> </w:t>
      </w:r>
      <w:r w:rsidRPr="00A83C94">
        <w:rPr>
          <w:rFonts w:cs="Sylfaen"/>
          <w:b w:val="0"/>
          <w:color w:val="000000"/>
          <w:szCs w:val="22"/>
        </w:rPr>
        <w:t>ձեռք</w:t>
      </w:r>
      <w:r w:rsidRPr="00A83C94">
        <w:rPr>
          <w:b w:val="0"/>
          <w:color w:val="000000"/>
          <w:szCs w:val="22"/>
        </w:rPr>
        <w:t xml:space="preserve"> </w:t>
      </w:r>
      <w:r w:rsidRPr="00A83C94">
        <w:rPr>
          <w:rFonts w:cs="Sylfaen"/>
          <w:b w:val="0"/>
          <w:color w:val="000000"/>
          <w:szCs w:val="22"/>
        </w:rPr>
        <w:t>բերել</w:t>
      </w:r>
      <w:r w:rsidRPr="00A83C94">
        <w:rPr>
          <w:b w:val="0"/>
          <w:color w:val="000000"/>
          <w:szCs w:val="22"/>
        </w:rPr>
        <w:t xml:space="preserve"> </w:t>
      </w:r>
      <w:r w:rsidRPr="00A83C94">
        <w:rPr>
          <w:rFonts w:cs="Sylfaen"/>
          <w:b w:val="0"/>
          <w:color w:val="000000"/>
          <w:szCs w:val="22"/>
        </w:rPr>
        <w:t>համեմատաբար</w:t>
      </w:r>
      <w:r w:rsidRPr="00A83C94">
        <w:rPr>
          <w:b w:val="0"/>
          <w:color w:val="000000"/>
          <w:szCs w:val="22"/>
        </w:rPr>
        <w:t xml:space="preserve"> </w:t>
      </w:r>
      <w:r w:rsidRPr="00A83C94">
        <w:rPr>
          <w:rFonts w:cs="Sylfaen"/>
          <w:b w:val="0"/>
          <w:color w:val="000000"/>
          <w:szCs w:val="22"/>
        </w:rPr>
        <w:t>ցածր</w:t>
      </w:r>
      <w:r w:rsidRPr="00A83C94">
        <w:rPr>
          <w:b w:val="0"/>
          <w:color w:val="000000"/>
          <w:szCs w:val="22"/>
        </w:rPr>
        <w:t xml:space="preserve"> </w:t>
      </w:r>
      <w:r w:rsidRPr="00A83C94">
        <w:rPr>
          <w:rFonts w:cs="Sylfaen"/>
          <w:b w:val="0"/>
          <w:color w:val="000000"/>
          <w:szCs w:val="22"/>
        </w:rPr>
        <w:t>գներով</w:t>
      </w:r>
      <w:r w:rsidRPr="00A83C94">
        <w:rPr>
          <w:b w:val="0"/>
          <w:color w:val="000000"/>
          <w:szCs w:val="22"/>
        </w:rPr>
        <w:t>:</w:t>
      </w:r>
    </w:p>
    <w:p w14:paraId="7A76E02C"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rPr>
        <w:t>Ոլորտային</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կիրառությունը</w:t>
      </w:r>
      <w:r w:rsidRPr="00A83C94">
        <w:rPr>
          <w:b w:val="0"/>
          <w:color w:val="000000"/>
          <w:szCs w:val="22"/>
        </w:rPr>
        <w:t xml:space="preserve"> </w:t>
      </w:r>
      <w:r w:rsidRPr="00A83C94">
        <w:rPr>
          <w:rFonts w:cs="Sylfaen"/>
          <w:b w:val="0"/>
          <w:color w:val="000000"/>
          <w:szCs w:val="22"/>
        </w:rPr>
        <w:t>պայմանավորված</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b w:val="0"/>
          <w:color w:val="000000"/>
          <w:szCs w:val="22"/>
          <w:lang w:val="en-US"/>
        </w:rPr>
        <w:t>հիմնականում</w:t>
      </w:r>
      <w:r w:rsidRPr="00A83C94">
        <w:rPr>
          <w:b w:val="0"/>
          <w:color w:val="000000"/>
          <w:szCs w:val="22"/>
        </w:rPr>
        <w:t xml:space="preserve"> </w:t>
      </w:r>
      <w:r w:rsidRPr="00A83C94">
        <w:rPr>
          <w:rFonts w:cs="Sylfaen"/>
          <w:b w:val="0"/>
          <w:color w:val="000000"/>
          <w:szCs w:val="22"/>
          <w:lang w:val="en-US"/>
        </w:rPr>
        <w:t>ա</w:t>
      </w:r>
      <w:r w:rsidRPr="00A83C94">
        <w:rPr>
          <w:rFonts w:cs="Sylfaen"/>
          <w:b w:val="0"/>
          <w:color w:val="000000"/>
          <w:szCs w:val="22"/>
        </w:rPr>
        <w:t>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երկարաժամկետ</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կայուն</w:t>
      </w:r>
      <w:r w:rsidRPr="00A83C94">
        <w:rPr>
          <w:b w:val="0"/>
          <w:color w:val="000000"/>
          <w:szCs w:val="22"/>
        </w:rPr>
        <w:t xml:space="preserve"> </w:t>
      </w:r>
      <w:r w:rsidRPr="00A83C94">
        <w:rPr>
          <w:rFonts w:cs="Sylfaen"/>
          <w:b w:val="0"/>
          <w:color w:val="000000"/>
          <w:szCs w:val="22"/>
        </w:rPr>
        <w:t>զարգացման</w:t>
      </w:r>
      <w:r w:rsidRPr="00A83C94">
        <w:rPr>
          <w:b w:val="0"/>
          <w:color w:val="000000"/>
          <w:szCs w:val="22"/>
        </w:rPr>
        <w:t xml:space="preserve"> </w:t>
      </w:r>
      <w:r w:rsidRPr="00A83C94">
        <w:rPr>
          <w:rFonts w:cs="Sylfaen"/>
          <w:b w:val="0"/>
          <w:color w:val="000000"/>
          <w:szCs w:val="22"/>
        </w:rPr>
        <w:t>տեսանկյունից</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սության</w:t>
      </w:r>
      <w:r w:rsidRPr="00A83C94">
        <w:rPr>
          <w:b w:val="0"/>
          <w:color w:val="000000"/>
          <w:szCs w:val="22"/>
        </w:rPr>
        <w:t xml:space="preserve"> </w:t>
      </w:r>
      <w:r w:rsidRPr="00A83C94">
        <w:rPr>
          <w:rFonts w:cs="Sylfaen"/>
          <w:b w:val="0"/>
          <w:color w:val="000000"/>
          <w:szCs w:val="22"/>
        </w:rPr>
        <w:t>որոշ</w:t>
      </w:r>
      <w:r w:rsidRPr="00A83C94">
        <w:rPr>
          <w:b w:val="0"/>
          <w:color w:val="000000"/>
          <w:szCs w:val="22"/>
        </w:rPr>
        <w:t xml:space="preserve"> </w:t>
      </w:r>
      <w:r w:rsidRPr="00A83C94">
        <w:rPr>
          <w:rFonts w:cs="Sylfaen"/>
          <w:b w:val="0"/>
          <w:color w:val="000000"/>
          <w:szCs w:val="22"/>
        </w:rPr>
        <w:t>ոլորտների</w:t>
      </w:r>
      <w:r w:rsidRPr="00A83C94">
        <w:rPr>
          <w:b w:val="0"/>
          <w:color w:val="000000"/>
          <w:szCs w:val="22"/>
        </w:rPr>
        <w:t xml:space="preserve"> </w:t>
      </w:r>
      <w:r w:rsidRPr="00A83C94">
        <w:rPr>
          <w:rFonts w:cs="Sylfaen"/>
          <w:b w:val="0"/>
          <w:color w:val="000000"/>
          <w:szCs w:val="22"/>
        </w:rPr>
        <w:t>զարգաց</w:t>
      </w:r>
      <w:r w:rsidRPr="00A83C94">
        <w:rPr>
          <w:rFonts w:cs="Sylfaen"/>
          <w:b w:val="0"/>
          <w:color w:val="000000"/>
          <w:szCs w:val="22"/>
          <w:lang w:val="en-US"/>
        </w:rPr>
        <w:t>ման</w:t>
      </w:r>
      <w:r w:rsidRPr="00A83C94">
        <w:rPr>
          <w:b w:val="0"/>
          <w:color w:val="000000"/>
          <w:szCs w:val="22"/>
        </w:rPr>
        <w:t xml:space="preserve"> </w:t>
      </w:r>
      <w:r w:rsidRPr="00A83C94">
        <w:rPr>
          <w:rFonts w:cs="Sylfaen"/>
          <w:b w:val="0"/>
          <w:color w:val="000000"/>
          <w:szCs w:val="22"/>
        </w:rPr>
        <w:t xml:space="preserve">գերակայություն </w:t>
      </w:r>
      <w:r w:rsidRPr="00A83C94">
        <w:rPr>
          <w:rFonts w:cs="Sylfaen"/>
          <w:b w:val="0"/>
          <w:color w:val="000000"/>
          <w:szCs w:val="22"/>
          <w:lang w:val="en-US"/>
        </w:rPr>
        <w:t>համարելը</w:t>
      </w:r>
      <w:r w:rsidRPr="00A83C94">
        <w:rPr>
          <w:b w:val="0"/>
          <w:color w:val="000000"/>
          <w:szCs w:val="22"/>
        </w:rPr>
        <w:t xml:space="preserve">: </w:t>
      </w:r>
      <w:r w:rsidRPr="00A83C94">
        <w:rPr>
          <w:rFonts w:cs="Sylfaen"/>
          <w:b w:val="0"/>
          <w:color w:val="000000"/>
          <w:szCs w:val="22"/>
        </w:rPr>
        <w:t>Դրանք</w:t>
      </w:r>
      <w:r w:rsidRPr="00A83C94">
        <w:rPr>
          <w:b w:val="0"/>
          <w:color w:val="000000"/>
          <w:szCs w:val="22"/>
        </w:rPr>
        <w:t xml:space="preserve"> </w:t>
      </w:r>
      <w:r w:rsidRPr="00A83C94">
        <w:rPr>
          <w:rFonts w:cs="Sylfaen"/>
          <w:b w:val="0"/>
          <w:color w:val="000000"/>
          <w:szCs w:val="22"/>
        </w:rPr>
        <w:t>հիմ</w:t>
      </w:r>
      <w:r w:rsidRPr="00A83C94">
        <w:rPr>
          <w:rFonts w:cs="Sylfaen"/>
          <w:b w:val="0"/>
          <w:color w:val="000000"/>
          <w:szCs w:val="22"/>
        </w:rPr>
        <w:softHyphen/>
        <w:t>նա</w:t>
      </w:r>
      <w:r w:rsidRPr="00A83C94">
        <w:rPr>
          <w:rFonts w:cs="Sylfaen"/>
          <w:b w:val="0"/>
          <w:color w:val="000000"/>
          <w:szCs w:val="22"/>
        </w:rPr>
        <w:softHyphen/>
        <w:t>կանում</w:t>
      </w:r>
      <w:r w:rsidRPr="00A83C94">
        <w:rPr>
          <w:b w:val="0"/>
          <w:color w:val="000000"/>
          <w:szCs w:val="22"/>
        </w:rPr>
        <w:t xml:space="preserve"> </w:t>
      </w:r>
      <w:r w:rsidRPr="00A83C94">
        <w:rPr>
          <w:rFonts w:cs="Sylfaen"/>
          <w:b w:val="0"/>
          <w:color w:val="000000"/>
          <w:szCs w:val="22"/>
        </w:rPr>
        <w:t>այն</w:t>
      </w:r>
      <w:r w:rsidRPr="00A83C94">
        <w:rPr>
          <w:b w:val="0"/>
          <w:color w:val="000000"/>
          <w:szCs w:val="22"/>
        </w:rPr>
        <w:t xml:space="preserve"> </w:t>
      </w:r>
      <w:r w:rsidRPr="00A83C94">
        <w:rPr>
          <w:rFonts w:cs="Sylfaen"/>
          <w:b w:val="0"/>
          <w:color w:val="000000"/>
          <w:szCs w:val="22"/>
        </w:rPr>
        <w:t>ոլորտներն</w:t>
      </w:r>
      <w:r w:rsidRPr="00A83C94">
        <w:rPr>
          <w:b w:val="0"/>
          <w:color w:val="000000"/>
          <w:szCs w:val="22"/>
        </w:rPr>
        <w:t xml:space="preserve"> </w:t>
      </w:r>
      <w:r w:rsidRPr="00A83C94">
        <w:rPr>
          <w:rFonts w:cs="Sylfaen"/>
          <w:b w:val="0"/>
          <w:color w:val="000000"/>
          <w:szCs w:val="22"/>
        </w:rPr>
        <w:t>են</w:t>
      </w:r>
      <w:r w:rsidRPr="00A83C94">
        <w:rPr>
          <w:b w:val="0"/>
          <w:color w:val="000000"/>
          <w:szCs w:val="22"/>
        </w:rPr>
        <w:t xml:space="preserve">, </w:t>
      </w:r>
      <w:r w:rsidRPr="00A83C94">
        <w:rPr>
          <w:rFonts w:cs="Sylfaen"/>
          <w:b w:val="0"/>
          <w:color w:val="000000"/>
          <w:szCs w:val="22"/>
        </w:rPr>
        <w:t>որոնք</w:t>
      </w:r>
      <w:r w:rsidRPr="00A83C94">
        <w:rPr>
          <w:b w:val="0"/>
          <w:color w:val="000000"/>
          <w:szCs w:val="22"/>
        </w:rPr>
        <w:t xml:space="preserve"> </w:t>
      </w:r>
      <w:r w:rsidRPr="00A83C94">
        <w:rPr>
          <w:rFonts w:cs="Sylfaen"/>
          <w:b w:val="0"/>
          <w:color w:val="000000"/>
          <w:szCs w:val="22"/>
        </w:rPr>
        <w:t>ավանդաբար</w:t>
      </w:r>
      <w:r w:rsidRPr="00A83C94">
        <w:rPr>
          <w:b w:val="0"/>
          <w:color w:val="000000"/>
          <w:szCs w:val="22"/>
        </w:rPr>
        <w:t xml:space="preserve"> </w:t>
      </w:r>
      <w:r w:rsidRPr="00A83C94">
        <w:rPr>
          <w:rFonts w:cs="Sylfaen"/>
          <w:b w:val="0"/>
          <w:color w:val="000000"/>
          <w:szCs w:val="22"/>
        </w:rPr>
        <w:t>ձևավորել</w:t>
      </w:r>
      <w:r w:rsidRPr="00A83C94">
        <w:rPr>
          <w:b w:val="0"/>
          <w:color w:val="000000"/>
          <w:szCs w:val="22"/>
        </w:rPr>
        <w:t xml:space="preserve"> </w:t>
      </w:r>
      <w:r w:rsidRPr="00A83C94">
        <w:rPr>
          <w:rFonts w:cs="Sylfaen"/>
          <w:b w:val="0"/>
          <w:color w:val="000000"/>
          <w:szCs w:val="22"/>
        </w:rPr>
        <w:t>են</w:t>
      </w:r>
      <w:r w:rsidRPr="00A83C94">
        <w:rPr>
          <w:b w:val="0"/>
          <w:color w:val="000000"/>
          <w:szCs w:val="22"/>
        </w:rPr>
        <w:t xml:space="preserve"> </w:t>
      </w:r>
      <w:r w:rsidRPr="00A83C94">
        <w:rPr>
          <w:rFonts w:cs="Sylfaen"/>
          <w:b w:val="0"/>
          <w:color w:val="000000"/>
          <w:szCs w:val="22"/>
        </w:rPr>
        <w:t>ազգային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նկա</w:t>
      </w:r>
      <w:r w:rsidRPr="00A83C94">
        <w:rPr>
          <w:rFonts w:cs="Sylfaen"/>
          <w:b w:val="0"/>
          <w:color w:val="000000"/>
          <w:szCs w:val="22"/>
        </w:rPr>
        <w:softHyphen/>
        <w:t>րա</w:t>
      </w:r>
      <w:r w:rsidRPr="00A83C94">
        <w:rPr>
          <w:rFonts w:cs="Sylfaen"/>
          <w:b w:val="0"/>
          <w:color w:val="000000"/>
          <w:szCs w:val="22"/>
        </w:rPr>
        <w:softHyphen/>
        <w:t>գիրը</w:t>
      </w:r>
      <w:r w:rsidRPr="00A83C94">
        <w:rPr>
          <w:b w:val="0"/>
          <w:color w:val="000000"/>
          <w:szCs w:val="22"/>
        </w:rPr>
        <w:t xml:space="preserve"> (</w:t>
      </w:r>
      <w:r w:rsidRPr="00A83C94">
        <w:rPr>
          <w:rFonts w:cs="Sylfaen"/>
          <w:b w:val="0"/>
          <w:color w:val="000000"/>
          <w:szCs w:val="22"/>
        </w:rPr>
        <w:t>ոսկերչություն</w:t>
      </w:r>
      <w:r w:rsidRPr="00A83C94">
        <w:rPr>
          <w:b w:val="0"/>
          <w:color w:val="000000"/>
          <w:szCs w:val="22"/>
        </w:rPr>
        <w:t xml:space="preserve">, </w:t>
      </w:r>
      <w:r w:rsidRPr="00A83C94">
        <w:rPr>
          <w:rFonts w:cs="Sylfaen"/>
          <w:b w:val="0"/>
          <w:color w:val="000000"/>
          <w:szCs w:val="22"/>
        </w:rPr>
        <w:t>զբոսաշրջություն</w:t>
      </w:r>
      <w:r w:rsidRPr="00A83C94">
        <w:rPr>
          <w:b w:val="0"/>
          <w:color w:val="000000"/>
          <w:szCs w:val="22"/>
        </w:rPr>
        <w:t xml:space="preserve">, </w:t>
      </w:r>
      <w:r w:rsidRPr="00A83C94">
        <w:rPr>
          <w:rFonts w:cs="Sylfaen"/>
          <w:b w:val="0"/>
          <w:color w:val="000000"/>
          <w:szCs w:val="22"/>
        </w:rPr>
        <w:t>գորգագործություն</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այլն</w:t>
      </w:r>
      <w:r w:rsidRPr="00A83C94">
        <w:rPr>
          <w:b w:val="0"/>
          <w:color w:val="000000"/>
          <w:szCs w:val="22"/>
        </w:rPr>
        <w:t xml:space="preserve">): </w:t>
      </w:r>
      <w:r w:rsidRPr="00A83C94">
        <w:rPr>
          <w:rFonts w:cs="Sylfaen"/>
          <w:b w:val="0"/>
          <w:color w:val="000000"/>
          <w:szCs w:val="22"/>
        </w:rPr>
        <w:t>Այս</w:t>
      </w:r>
      <w:r w:rsidRPr="00A83C94">
        <w:rPr>
          <w:b w:val="0"/>
          <w:color w:val="000000"/>
          <w:szCs w:val="22"/>
        </w:rPr>
        <w:t xml:space="preserve"> </w:t>
      </w:r>
      <w:r w:rsidRPr="00A83C94">
        <w:rPr>
          <w:rFonts w:cs="Sylfaen"/>
          <w:b w:val="0"/>
          <w:color w:val="000000"/>
          <w:szCs w:val="22"/>
        </w:rPr>
        <w:t>առումով</w:t>
      </w:r>
      <w:r w:rsidRPr="00A83C94">
        <w:rPr>
          <w:b w:val="0"/>
          <w:color w:val="000000"/>
          <w:szCs w:val="22"/>
        </w:rPr>
        <w:t xml:space="preserve">, </w:t>
      </w:r>
      <w:r w:rsidRPr="00A83C94">
        <w:rPr>
          <w:rFonts w:cs="Sylfaen"/>
          <w:b w:val="0"/>
          <w:color w:val="000000"/>
          <w:szCs w:val="22"/>
        </w:rPr>
        <w:t>Կառա</w:t>
      </w:r>
      <w:r w:rsidRPr="00A83C94">
        <w:rPr>
          <w:rFonts w:cs="Sylfaen"/>
          <w:b w:val="0"/>
          <w:color w:val="000000"/>
          <w:szCs w:val="22"/>
        </w:rPr>
        <w:softHyphen/>
        <w:t>վա</w:t>
      </w:r>
      <w:r w:rsidRPr="00A83C94">
        <w:rPr>
          <w:rFonts w:cs="Sylfaen"/>
          <w:b w:val="0"/>
          <w:color w:val="000000"/>
          <w:szCs w:val="22"/>
        </w:rPr>
        <w:softHyphen/>
        <w:t>րությունը</w:t>
      </w:r>
      <w:r w:rsidRPr="00A83C94">
        <w:rPr>
          <w:b w:val="0"/>
          <w:color w:val="000000"/>
          <w:szCs w:val="22"/>
        </w:rPr>
        <w:t xml:space="preserve"> </w:t>
      </w:r>
      <w:r w:rsidRPr="00A83C94">
        <w:rPr>
          <w:rFonts w:cs="Sylfaen"/>
          <w:b w:val="0"/>
          <w:color w:val="000000"/>
          <w:szCs w:val="22"/>
        </w:rPr>
        <w:t>տարբեր</w:t>
      </w:r>
      <w:r w:rsidRPr="00A83C94">
        <w:rPr>
          <w:b w:val="0"/>
          <w:color w:val="000000"/>
          <w:szCs w:val="22"/>
        </w:rPr>
        <w:t xml:space="preserve"> </w:t>
      </w:r>
      <w:r w:rsidRPr="00A83C94">
        <w:rPr>
          <w:rFonts w:cs="Sylfaen"/>
          <w:b w:val="0"/>
          <w:color w:val="000000"/>
          <w:szCs w:val="22"/>
        </w:rPr>
        <w:t>գործիքներով</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թվում</w:t>
      </w:r>
      <w:r w:rsidRPr="00A83C94">
        <w:rPr>
          <w:b w:val="0"/>
          <w:color w:val="000000"/>
          <w:szCs w:val="22"/>
        </w:rPr>
        <w:t xml:space="preserve">` </w:t>
      </w:r>
      <w:r w:rsidRPr="00A83C94">
        <w:rPr>
          <w:rFonts w:cs="Sylfaen"/>
          <w:b w:val="0"/>
          <w:color w:val="000000"/>
          <w:szCs w:val="22"/>
        </w:rPr>
        <w:t>հարկային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w:t>
      </w:r>
      <w:r w:rsidRPr="00A83C94">
        <w:rPr>
          <w:rFonts w:cs="Sylfaen"/>
          <w:b w:val="0"/>
          <w:color w:val="000000"/>
          <w:szCs w:val="22"/>
        </w:rPr>
        <w:softHyphen/>
        <w:t>ռու</w:t>
      </w:r>
      <w:r w:rsidRPr="00A83C94">
        <w:rPr>
          <w:rFonts w:cs="Sylfaen"/>
          <w:b w:val="0"/>
          <w:color w:val="000000"/>
          <w:szCs w:val="22"/>
        </w:rPr>
        <w:softHyphen/>
        <w:t>թյամբ</w:t>
      </w:r>
      <w:r w:rsidRPr="00A83C94">
        <w:rPr>
          <w:b w:val="0"/>
          <w:color w:val="000000"/>
          <w:szCs w:val="22"/>
        </w:rPr>
        <w:t xml:space="preserve">) </w:t>
      </w:r>
      <w:r w:rsidRPr="00A83C94">
        <w:rPr>
          <w:rFonts w:cs="Sylfaen"/>
          <w:b w:val="0"/>
          <w:color w:val="000000"/>
          <w:szCs w:val="22"/>
        </w:rPr>
        <w:t>օժանդակում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ոլորտներում</w:t>
      </w:r>
      <w:r w:rsidRPr="00A83C94">
        <w:rPr>
          <w:b w:val="0"/>
          <w:color w:val="000000"/>
          <w:szCs w:val="22"/>
        </w:rPr>
        <w:t xml:space="preserve"> </w:t>
      </w:r>
      <w:r w:rsidRPr="00A83C94">
        <w:rPr>
          <w:rFonts w:cs="Sylfaen"/>
          <w:b w:val="0"/>
          <w:color w:val="000000"/>
          <w:szCs w:val="22"/>
        </w:rPr>
        <w:t>գործող</w:t>
      </w:r>
      <w:r w:rsidRPr="00A83C94">
        <w:rPr>
          <w:b w:val="0"/>
          <w:color w:val="000000"/>
          <w:szCs w:val="22"/>
        </w:rPr>
        <w:t xml:space="preserve"> </w:t>
      </w:r>
      <w:r w:rsidRPr="00A83C94">
        <w:rPr>
          <w:rFonts w:cs="Sylfaen"/>
          <w:b w:val="0"/>
          <w:color w:val="000000"/>
          <w:szCs w:val="22"/>
        </w:rPr>
        <w:t>տնտեսավարող</w:t>
      </w:r>
      <w:r w:rsidRPr="00A83C94">
        <w:rPr>
          <w:b w:val="0"/>
          <w:color w:val="000000"/>
          <w:szCs w:val="22"/>
        </w:rPr>
        <w:t xml:space="preserve"> </w:t>
      </w:r>
      <w:r w:rsidRPr="00A83C94">
        <w:rPr>
          <w:rFonts w:cs="Sylfaen"/>
          <w:b w:val="0"/>
          <w:color w:val="000000"/>
          <w:szCs w:val="22"/>
        </w:rPr>
        <w:t>սուբյեկտներին</w:t>
      </w:r>
      <w:r w:rsidRPr="00A83C94">
        <w:rPr>
          <w:b w:val="0"/>
          <w:color w:val="000000"/>
          <w:szCs w:val="22"/>
        </w:rPr>
        <w:t>,</w:t>
      </w:r>
    </w:p>
    <w:p w14:paraId="3D82E3BB"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shd w:val="clear" w:color="auto" w:fill="FFFFFF"/>
        </w:rPr>
        <w:t>Գործարար</w:t>
      </w:r>
      <w:r w:rsidRPr="00A83C94">
        <w:rPr>
          <w:b w:val="0"/>
          <w:color w:val="000000"/>
          <w:szCs w:val="22"/>
          <w:shd w:val="clear" w:color="auto" w:fill="FFFFFF"/>
        </w:rPr>
        <w:t xml:space="preserve"> </w:t>
      </w:r>
      <w:r w:rsidRPr="00A83C94">
        <w:rPr>
          <w:rFonts w:cs="Sylfaen"/>
          <w:b w:val="0"/>
          <w:color w:val="000000"/>
          <w:szCs w:val="22"/>
          <w:shd w:val="clear" w:color="auto" w:fill="FFFFFF"/>
        </w:rPr>
        <w:t>և</w:t>
      </w:r>
      <w:r w:rsidRPr="00A83C94">
        <w:rPr>
          <w:b w:val="0"/>
          <w:color w:val="000000"/>
          <w:szCs w:val="22"/>
          <w:shd w:val="clear" w:color="auto" w:fill="FFFFFF"/>
        </w:rPr>
        <w:t xml:space="preserve"> </w:t>
      </w:r>
      <w:r w:rsidRPr="00A83C94">
        <w:rPr>
          <w:rFonts w:cs="Sylfaen"/>
          <w:b w:val="0"/>
          <w:color w:val="000000"/>
          <w:szCs w:val="22"/>
          <w:shd w:val="clear" w:color="auto" w:fill="FFFFFF"/>
        </w:rPr>
        <w:t>ներդրումային</w:t>
      </w:r>
      <w:r w:rsidRPr="00A83C94">
        <w:rPr>
          <w:b w:val="0"/>
          <w:color w:val="000000"/>
          <w:szCs w:val="22"/>
          <w:shd w:val="clear" w:color="auto" w:fill="FFFFFF"/>
        </w:rPr>
        <w:t xml:space="preserve"> </w:t>
      </w:r>
      <w:r w:rsidRPr="00A83C94">
        <w:rPr>
          <w:rFonts w:cs="Sylfaen"/>
          <w:b w:val="0"/>
          <w:color w:val="000000"/>
          <w:szCs w:val="22"/>
          <w:shd w:val="clear" w:color="auto" w:fill="FFFFFF"/>
        </w:rPr>
        <w:t>միջավայրի</w:t>
      </w:r>
      <w:r w:rsidRPr="00A83C94">
        <w:rPr>
          <w:b w:val="0"/>
          <w:color w:val="000000"/>
          <w:szCs w:val="22"/>
          <w:shd w:val="clear" w:color="auto" w:fill="FFFFFF"/>
        </w:rPr>
        <w:t xml:space="preserve"> </w:t>
      </w:r>
      <w:r w:rsidRPr="00A83C94">
        <w:rPr>
          <w:rFonts w:cs="Sylfaen"/>
          <w:b w:val="0"/>
          <w:color w:val="000000"/>
          <w:szCs w:val="22"/>
          <w:shd w:val="clear" w:color="auto" w:fill="FFFFFF"/>
        </w:rPr>
        <w:t>բարելավմանն</w:t>
      </w:r>
      <w:r w:rsidRPr="00A83C94">
        <w:rPr>
          <w:b w:val="0"/>
          <w:color w:val="000000"/>
          <w:szCs w:val="22"/>
          <w:shd w:val="clear" w:color="auto" w:fill="FFFFFF"/>
        </w:rPr>
        <w:t xml:space="preserve"> </w:t>
      </w:r>
      <w:r w:rsidRPr="00A83C94">
        <w:rPr>
          <w:rFonts w:cs="Sylfaen"/>
          <w:b w:val="0"/>
          <w:color w:val="000000"/>
          <w:szCs w:val="22"/>
          <w:shd w:val="clear" w:color="auto" w:fill="FFFFFF"/>
        </w:rPr>
        <w:t>ու</w:t>
      </w:r>
      <w:r w:rsidRPr="00A83C94">
        <w:rPr>
          <w:b w:val="0"/>
          <w:color w:val="000000"/>
          <w:szCs w:val="22"/>
          <w:shd w:val="clear" w:color="auto" w:fill="FFFFFF"/>
        </w:rPr>
        <w:t xml:space="preserve"> </w:t>
      </w:r>
      <w:r w:rsidRPr="00A83C94">
        <w:rPr>
          <w:rFonts w:cs="Sylfaen"/>
          <w:b w:val="0"/>
          <w:color w:val="000000"/>
          <w:szCs w:val="22"/>
          <w:shd w:val="clear" w:color="auto" w:fill="FFFFFF"/>
        </w:rPr>
        <w:t>ակտիվության</w:t>
      </w:r>
      <w:r w:rsidRPr="00A83C94">
        <w:rPr>
          <w:b w:val="0"/>
          <w:color w:val="000000"/>
          <w:szCs w:val="22"/>
          <w:shd w:val="clear" w:color="auto" w:fill="FFFFFF"/>
        </w:rPr>
        <w:t xml:space="preserve"> </w:t>
      </w:r>
      <w:r w:rsidRPr="00A83C94">
        <w:rPr>
          <w:rFonts w:cs="Sylfaen"/>
          <w:b w:val="0"/>
          <w:color w:val="000000"/>
          <w:szCs w:val="22"/>
          <w:shd w:val="clear" w:color="auto" w:fill="FFFFFF"/>
        </w:rPr>
        <w:t>բարձրաց</w:t>
      </w:r>
      <w:r w:rsidRPr="00A83C94">
        <w:rPr>
          <w:rFonts w:cs="Sylfaen"/>
          <w:b w:val="0"/>
          <w:color w:val="000000"/>
          <w:szCs w:val="22"/>
          <w:shd w:val="clear" w:color="auto" w:fill="FFFFFF"/>
        </w:rPr>
        <w:softHyphen/>
        <w:t>մանն</w:t>
      </w:r>
      <w:r w:rsidRPr="00A83C94">
        <w:rPr>
          <w:b w:val="0"/>
          <w:color w:val="000000"/>
          <w:szCs w:val="22"/>
          <w:shd w:val="clear" w:color="auto" w:fill="FFFFFF"/>
        </w:rPr>
        <w:t xml:space="preserve"> </w:t>
      </w:r>
      <w:r w:rsidRPr="00A83C94">
        <w:rPr>
          <w:rFonts w:cs="Sylfaen"/>
          <w:b w:val="0"/>
          <w:color w:val="000000"/>
          <w:szCs w:val="22"/>
          <w:shd w:val="clear" w:color="auto" w:fill="FFFFFF"/>
        </w:rPr>
        <w:t>ուղղված</w:t>
      </w:r>
      <w:r w:rsidRPr="00A83C94">
        <w:rPr>
          <w:b w:val="0"/>
          <w:color w:val="000000"/>
          <w:szCs w:val="22"/>
          <w:shd w:val="clear" w:color="auto" w:fill="FFFFFF"/>
        </w:rPr>
        <w:t xml:space="preserve"> </w:t>
      </w:r>
      <w:r w:rsidRPr="00A83C94">
        <w:rPr>
          <w:rFonts w:cs="Sylfaen"/>
          <w:b w:val="0"/>
          <w:color w:val="000000"/>
          <w:szCs w:val="22"/>
          <w:shd w:val="clear" w:color="auto" w:fill="FFFFFF"/>
        </w:rPr>
        <w:t>հարկային</w:t>
      </w:r>
      <w:r w:rsidRPr="00A83C94">
        <w:rPr>
          <w:b w:val="0"/>
          <w:color w:val="000000"/>
          <w:szCs w:val="22"/>
          <w:shd w:val="clear" w:color="auto" w:fill="FFFFFF"/>
        </w:rPr>
        <w:t xml:space="preserve"> </w:t>
      </w:r>
      <w:r w:rsidRPr="00A83C94">
        <w:rPr>
          <w:rFonts w:cs="Sylfaen"/>
          <w:b w:val="0"/>
          <w:color w:val="000000"/>
          <w:szCs w:val="22"/>
          <w:shd w:val="clear" w:color="auto" w:fill="FFFFFF"/>
        </w:rPr>
        <w:t xml:space="preserve">արտոնությունների </w:t>
      </w:r>
      <w:r w:rsidRPr="00A83C94">
        <w:rPr>
          <w:rFonts w:cs="Sylfaen"/>
          <w:b w:val="0"/>
          <w:color w:val="000000"/>
          <w:szCs w:val="22"/>
          <w:shd w:val="clear" w:color="auto" w:fill="FFFFFF"/>
          <w:lang w:val="en-US"/>
        </w:rPr>
        <w:t>կիրառության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հիմնական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նպատակը</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տնտե</w:t>
      </w:r>
      <w:r w:rsidRPr="00A83C94">
        <w:rPr>
          <w:rFonts w:cs="Sylfaen"/>
          <w:b w:val="0"/>
          <w:color w:val="000000"/>
          <w:szCs w:val="22"/>
          <w:shd w:val="clear" w:color="auto" w:fill="FFFFFF"/>
        </w:rPr>
        <w:softHyphen/>
      </w:r>
      <w:r w:rsidRPr="00A83C94">
        <w:rPr>
          <w:rFonts w:cs="Sylfaen"/>
          <w:b w:val="0"/>
          <w:color w:val="000000"/>
          <w:szCs w:val="22"/>
          <w:shd w:val="clear" w:color="auto" w:fill="FFFFFF"/>
          <w:lang w:val="en-US"/>
        </w:rPr>
        <w:t>սա</w:t>
      </w:r>
      <w:r w:rsidRPr="00A83C94">
        <w:rPr>
          <w:rFonts w:cs="Sylfaen"/>
          <w:b w:val="0"/>
          <w:color w:val="000000"/>
          <w:szCs w:val="22"/>
          <w:shd w:val="clear" w:color="auto" w:fill="FFFFFF"/>
        </w:rPr>
        <w:softHyphen/>
      </w:r>
      <w:r w:rsidRPr="00A83C94">
        <w:rPr>
          <w:rFonts w:cs="Sylfaen"/>
          <w:b w:val="0"/>
          <w:color w:val="000000"/>
          <w:szCs w:val="22"/>
          <w:shd w:val="clear" w:color="auto" w:fill="FFFFFF"/>
          <w:lang w:val="en-US"/>
        </w:rPr>
        <w:t>վարող</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սուբյեկտների</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համար</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առավել</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նպաստավոր</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հարկային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միջավայրի</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ձևավորումը</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և</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ազգա</w:t>
      </w:r>
      <w:r w:rsidRPr="00A83C94">
        <w:rPr>
          <w:rFonts w:cs="Sylfaen"/>
          <w:b w:val="0"/>
          <w:color w:val="000000"/>
          <w:szCs w:val="22"/>
          <w:shd w:val="clear" w:color="auto" w:fill="FFFFFF"/>
        </w:rPr>
        <w:softHyphen/>
      </w:r>
      <w:r w:rsidRPr="00A83C94">
        <w:rPr>
          <w:rFonts w:cs="Sylfaen"/>
          <w:b w:val="0"/>
          <w:color w:val="000000"/>
          <w:szCs w:val="22"/>
          <w:shd w:val="clear" w:color="auto" w:fill="FFFFFF"/>
          <w:lang w:val="en-US"/>
        </w:rPr>
        <w:t>յին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տնտեսության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մրցունակության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բարձրացումն</w:t>
      </w:r>
      <w:r w:rsidRPr="00A83C94">
        <w:rPr>
          <w:rFonts w:cs="Sylfaen"/>
          <w:b w:val="0"/>
          <w:color w:val="000000"/>
          <w:szCs w:val="22"/>
          <w:shd w:val="clear" w:color="auto" w:fill="FFFFFF"/>
        </w:rPr>
        <w:t xml:space="preserve"> </w:t>
      </w:r>
      <w:r w:rsidRPr="00A83C94">
        <w:rPr>
          <w:rFonts w:cs="Sylfaen"/>
          <w:b w:val="0"/>
          <w:color w:val="000000"/>
          <w:szCs w:val="22"/>
          <w:shd w:val="clear" w:color="auto" w:fill="FFFFFF"/>
          <w:lang w:val="en-US"/>
        </w:rPr>
        <w:t>է</w:t>
      </w:r>
      <w:r w:rsidRPr="00A83C94">
        <w:rPr>
          <w:b w:val="0"/>
          <w:color w:val="000000"/>
          <w:szCs w:val="22"/>
          <w:shd w:val="clear" w:color="auto" w:fill="FFFFFF"/>
        </w:rPr>
        <w:t>:</w:t>
      </w:r>
    </w:p>
    <w:p w14:paraId="61675E90" w14:textId="77777777" w:rsidR="00840AE8" w:rsidRPr="00A83C94" w:rsidRDefault="00840AE8" w:rsidP="00840AE8">
      <w:pPr>
        <w:pStyle w:val="NormalWeb"/>
        <w:shd w:val="clear" w:color="auto" w:fill="FFFFFF"/>
        <w:spacing w:before="0" w:beforeAutospacing="0" w:after="0" w:afterAutospacing="0" w:line="276" w:lineRule="auto"/>
        <w:rPr>
          <w:rFonts w:cs="Sylfaen"/>
          <w:b w:val="0"/>
          <w:color w:val="000000"/>
          <w:szCs w:val="22"/>
        </w:rPr>
      </w:pPr>
      <w:r w:rsidRPr="00A83C94">
        <w:rPr>
          <w:rFonts w:cs="Sylfaen"/>
          <w:b w:val="0"/>
          <w:color w:val="000000"/>
          <w:szCs w:val="22"/>
          <w:lang w:val="en-US"/>
        </w:rPr>
        <w:t>Վերոնշյալ</w:t>
      </w:r>
      <w:r w:rsidRPr="00A83C94">
        <w:rPr>
          <w:rFonts w:cs="Sylfaen"/>
          <w:b w:val="0"/>
          <w:color w:val="000000"/>
          <w:szCs w:val="22"/>
        </w:rPr>
        <w:t xml:space="preserve"> </w:t>
      </w:r>
      <w:r w:rsidRPr="00A83C94">
        <w:rPr>
          <w:rFonts w:cs="Sylfaen"/>
          <w:b w:val="0"/>
          <w:color w:val="000000"/>
          <w:szCs w:val="22"/>
          <w:lang w:val="en-US"/>
        </w:rPr>
        <w:t>հարկային</w:t>
      </w:r>
      <w:r w:rsidRPr="00A83C94">
        <w:rPr>
          <w:rFonts w:cs="Sylfaen"/>
          <w:b w:val="0"/>
          <w:color w:val="000000"/>
          <w:szCs w:val="22"/>
        </w:rPr>
        <w:t xml:space="preserve"> </w:t>
      </w:r>
      <w:r w:rsidRPr="00A83C94">
        <w:rPr>
          <w:rFonts w:cs="Sylfaen"/>
          <w:b w:val="0"/>
          <w:color w:val="000000"/>
          <w:szCs w:val="22"/>
          <w:lang w:val="en-US"/>
        </w:rPr>
        <w:t>արտոնությունների</w:t>
      </w:r>
      <w:r w:rsidRPr="00A83C94">
        <w:rPr>
          <w:rFonts w:cs="Sylfaen"/>
          <w:b w:val="0"/>
          <w:color w:val="000000"/>
          <w:szCs w:val="22"/>
        </w:rPr>
        <w:t xml:space="preserve"> </w:t>
      </w:r>
      <w:r w:rsidRPr="00A83C94">
        <w:rPr>
          <w:rFonts w:cs="Sylfaen"/>
          <w:b w:val="0"/>
          <w:color w:val="000000"/>
          <w:szCs w:val="22"/>
          <w:lang w:val="en-US"/>
        </w:rPr>
        <w:t>կիրառության</w:t>
      </w:r>
      <w:r w:rsidRPr="00A83C94">
        <w:rPr>
          <w:rFonts w:cs="Sylfaen"/>
          <w:b w:val="0"/>
          <w:color w:val="000000"/>
          <w:szCs w:val="22"/>
        </w:rPr>
        <w:t xml:space="preserve"> </w:t>
      </w:r>
      <w:r w:rsidRPr="00A83C94">
        <w:rPr>
          <w:rFonts w:cs="Sylfaen"/>
          <w:b w:val="0"/>
          <w:color w:val="000000"/>
          <w:szCs w:val="22"/>
          <w:lang w:val="en-US"/>
        </w:rPr>
        <w:t>հետևանքով</w:t>
      </w:r>
      <w:r w:rsidRPr="00A83C94">
        <w:rPr>
          <w:rFonts w:cs="Sylfaen"/>
          <w:b w:val="0"/>
          <w:color w:val="000000"/>
          <w:szCs w:val="22"/>
        </w:rPr>
        <w:t xml:space="preserve"> </w:t>
      </w:r>
      <w:r w:rsidRPr="00A83C94">
        <w:rPr>
          <w:rFonts w:cs="Sylfaen"/>
          <w:b w:val="0"/>
          <w:color w:val="000000"/>
          <w:szCs w:val="22"/>
          <w:lang w:val="en-US"/>
        </w:rPr>
        <w:t>առաջացող</w:t>
      </w:r>
      <w:r w:rsidRPr="00A83C94">
        <w:rPr>
          <w:rFonts w:cs="Sylfaen"/>
          <w:b w:val="0"/>
          <w:color w:val="000000"/>
          <w:szCs w:val="22"/>
        </w:rPr>
        <w:t xml:space="preserve">` </w:t>
      </w:r>
      <w:r w:rsidRPr="00A83C94">
        <w:rPr>
          <w:rFonts w:cs="Sylfaen"/>
          <w:b w:val="0"/>
          <w:color w:val="000000"/>
          <w:szCs w:val="22"/>
          <w:lang w:val="en-US"/>
        </w:rPr>
        <w:t>հար</w:t>
      </w:r>
      <w:r w:rsidRPr="00A83C94">
        <w:rPr>
          <w:rFonts w:cs="Sylfaen"/>
          <w:b w:val="0"/>
          <w:color w:val="000000"/>
          <w:szCs w:val="22"/>
        </w:rPr>
        <w:softHyphen/>
      </w:r>
      <w:r w:rsidRPr="00A83C94">
        <w:rPr>
          <w:rFonts w:cs="Sylfaen"/>
          <w:b w:val="0"/>
          <w:color w:val="000000"/>
          <w:szCs w:val="22"/>
          <w:lang w:val="en-US"/>
        </w:rPr>
        <w:t>կա</w:t>
      </w:r>
      <w:r w:rsidRPr="00A83C94">
        <w:rPr>
          <w:rFonts w:cs="Sylfaen"/>
          <w:b w:val="0"/>
          <w:color w:val="000000"/>
          <w:szCs w:val="22"/>
        </w:rPr>
        <w:softHyphen/>
      </w:r>
      <w:r w:rsidRPr="00A83C94">
        <w:rPr>
          <w:rFonts w:cs="Sylfaen"/>
          <w:b w:val="0"/>
          <w:color w:val="000000"/>
          <w:szCs w:val="22"/>
          <w:lang w:val="en-US"/>
        </w:rPr>
        <w:t>յին</w:t>
      </w:r>
      <w:r w:rsidRPr="00A83C94">
        <w:rPr>
          <w:rFonts w:cs="Sylfaen"/>
          <w:b w:val="0"/>
          <w:color w:val="000000"/>
          <w:szCs w:val="22"/>
        </w:rPr>
        <w:t xml:space="preserve"> </w:t>
      </w:r>
      <w:r w:rsidRPr="00A83C94">
        <w:rPr>
          <w:rFonts w:cs="Sylfaen"/>
          <w:b w:val="0"/>
          <w:color w:val="000000"/>
          <w:szCs w:val="22"/>
          <w:lang w:val="en-US"/>
        </w:rPr>
        <w:t>եկամուտների</w:t>
      </w:r>
      <w:r w:rsidRPr="00A83C94">
        <w:rPr>
          <w:rFonts w:cs="Sylfaen"/>
          <w:b w:val="0"/>
          <w:color w:val="000000"/>
          <w:szCs w:val="22"/>
        </w:rPr>
        <w:t xml:space="preserve"> </w:t>
      </w:r>
      <w:r w:rsidRPr="00A83C94">
        <w:rPr>
          <w:rFonts w:cs="Sylfaen"/>
          <w:b w:val="0"/>
          <w:color w:val="000000"/>
          <w:szCs w:val="22"/>
          <w:lang w:val="en-US"/>
        </w:rPr>
        <w:t>կորստի</w:t>
      </w:r>
      <w:r w:rsidRPr="00A83C94">
        <w:rPr>
          <w:rFonts w:cs="Sylfaen"/>
          <w:b w:val="0"/>
          <w:color w:val="000000"/>
          <w:szCs w:val="22"/>
        </w:rPr>
        <w:t xml:space="preserve">` </w:t>
      </w:r>
      <w:r w:rsidRPr="00A83C94">
        <w:rPr>
          <w:rFonts w:cs="Sylfaen"/>
          <w:b w:val="0"/>
          <w:color w:val="000000"/>
          <w:szCs w:val="22"/>
          <w:lang w:val="en-US"/>
        </w:rPr>
        <w:t>հարկային</w:t>
      </w:r>
      <w:r w:rsidRPr="00A83C94">
        <w:rPr>
          <w:rFonts w:cs="Sylfaen"/>
          <w:b w:val="0"/>
          <w:color w:val="000000"/>
          <w:szCs w:val="22"/>
        </w:rPr>
        <w:t xml:space="preserve"> </w:t>
      </w:r>
      <w:r w:rsidRPr="00A83C94">
        <w:rPr>
          <w:rFonts w:cs="Sylfaen"/>
          <w:b w:val="0"/>
          <w:color w:val="000000"/>
          <w:szCs w:val="22"/>
          <w:lang w:val="en-US"/>
        </w:rPr>
        <w:t>ծախսերի</w:t>
      </w:r>
      <w:r w:rsidRPr="00A83C94">
        <w:rPr>
          <w:rFonts w:cs="Sylfaen"/>
          <w:b w:val="0"/>
          <w:color w:val="000000"/>
          <w:szCs w:val="22"/>
        </w:rPr>
        <w:t xml:space="preserve"> </w:t>
      </w:r>
      <w:r w:rsidRPr="00A83C94">
        <w:rPr>
          <w:rFonts w:cs="Sylfaen"/>
          <w:b w:val="0"/>
          <w:color w:val="000000"/>
          <w:szCs w:val="22"/>
          <w:lang w:val="en-US"/>
        </w:rPr>
        <w:t>գնահատման</w:t>
      </w:r>
      <w:r w:rsidRPr="00A83C94">
        <w:rPr>
          <w:rFonts w:cs="Sylfaen"/>
          <w:b w:val="0"/>
          <w:color w:val="000000"/>
          <w:szCs w:val="22"/>
        </w:rPr>
        <w:t xml:space="preserve"> </w:t>
      </w:r>
      <w:r w:rsidRPr="00A83C94">
        <w:rPr>
          <w:rFonts w:cs="Sylfaen"/>
          <w:b w:val="0"/>
          <w:color w:val="000000"/>
          <w:szCs w:val="22"/>
          <w:lang w:val="en-US"/>
        </w:rPr>
        <w:t>հաշվետվությունների</w:t>
      </w:r>
      <w:r w:rsidRPr="00A83C94">
        <w:rPr>
          <w:rFonts w:cs="Sylfaen"/>
          <w:b w:val="0"/>
          <w:color w:val="000000"/>
          <w:szCs w:val="22"/>
        </w:rPr>
        <w:t xml:space="preserve"> </w:t>
      </w:r>
      <w:r w:rsidRPr="00A83C94">
        <w:rPr>
          <w:rFonts w:cs="Sylfaen"/>
          <w:b w:val="0"/>
          <w:color w:val="000000"/>
          <w:szCs w:val="22"/>
          <w:lang w:val="en-US"/>
        </w:rPr>
        <w:t>կազ</w:t>
      </w:r>
      <w:r w:rsidRPr="00A83C94">
        <w:rPr>
          <w:rFonts w:cs="Sylfaen"/>
          <w:b w:val="0"/>
          <w:color w:val="000000"/>
          <w:szCs w:val="22"/>
        </w:rPr>
        <w:softHyphen/>
      </w:r>
      <w:r w:rsidRPr="00A83C94">
        <w:rPr>
          <w:rFonts w:cs="Sylfaen"/>
          <w:b w:val="0"/>
          <w:color w:val="000000"/>
          <w:szCs w:val="22"/>
          <w:lang w:val="en-US"/>
        </w:rPr>
        <w:t>մումը</w:t>
      </w:r>
      <w:r w:rsidRPr="00A83C94">
        <w:rPr>
          <w:rFonts w:cs="Sylfaen"/>
          <w:b w:val="0"/>
          <w:color w:val="000000"/>
          <w:szCs w:val="22"/>
        </w:rPr>
        <w:t xml:space="preserve">, </w:t>
      </w:r>
      <w:r w:rsidRPr="00A83C94">
        <w:rPr>
          <w:rFonts w:cs="Sylfaen"/>
          <w:b w:val="0"/>
          <w:color w:val="000000"/>
          <w:szCs w:val="22"/>
          <w:lang w:val="en-US"/>
        </w:rPr>
        <w:t>ներկայացումը</w:t>
      </w:r>
      <w:r w:rsidRPr="00A83C94">
        <w:rPr>
          <w:rFonts w:cs="Sylfaen"/>
          <w:b w:val="0"/>
          <w:color w:val="000000"/>
          <w:szCs w:val="22"/>
        </w:rPr>
        <w:t xml:space="preserve"> </w:t>
      </w:r>
      <w:r w:rsidRPr="00A83C94">
        <w:rPr>
          <w:rFonts w:cs="Sylfaen"/>
          <w:b w:val="0"/>
          <w:color w:val="000000"/>
          <w:szCs w:val="22"/>
          <w:lang w:val="en-US"/>
        </w:rPr>
        <w:t>և</w:t>
      </w:r>
      <w:r w:rsidRPr="00A83C94">
        <w:rPr>
          <w:rFonts w:cs="Sylfaen"/>
          <w:b w:val="0"/>
          <w:color w:val="000000"/>
          <w:szCs w:val="22"/>
        </w:rPr>
        <w:t xml:space="preserve"> </w:t>
      </w:r>
      <w:r w:rsidRPr="00A83C94">
        <w:rPr>
          <w:rFonts w:cs="Sylfaen"/>
          <w:b w:val="0"/>
          <w:color w:val="000000"/>
          <w:szCs w:val="22"/>
          <w:lang w:val="en-US"/>
        </w:rPr>
        <w:t>գոր</w:t>
      </w:r>
      <w:r w:rsidRPr="00A83C94">
        <w:rPr>
          <w:rFonts w:cs="Sylfaen"/>
          <w:b w:val="0"/>
          <w:color w:val="000000"/>
          <w:szCs w:val="22"/>
        </w:rPr>
        <w:softHyphen/>
      </w:r>
      <w:r w:rsidRPr="00A83C94">
        <w:rPr>
          <w:rFonts w:cs="Sylfaen"/>
          <w:b w:val="0"/>
          <w:color w:val="000000"/>
          <w:szCs w:val="22"/>
          <w:lang w:val="en-US"/>
        </w:rPr>
        <w:t>ծադիր</w:t>
      </w:r>
      <w:r w:rsidRPr="00A83C94">
        <w:rPr>
          <w:rFonts w:cs="Sylfaen"/>
          <w:b w:val="0"/>
          <w:color w:val="000000"/>
          <w:szCs w:val="22"/>
        </w:rPr>
        <w:t xml:space="preserve"> </w:t>
      </w:r>
      <w:r w:rsidRPr="00A83C94">
        <w:rPr>
          <w:rFonts w:cs="Sylfaen"/>
          <w:b w:val="0"/>
          <w:color w:val="000000"/>
          <w:szCs w:val="22"/>
          <w:lang w:val="en-US"/>
        </w:rPr>
        <w:t>ու</w:t>
      </w:r>
      <w:r w:rsidRPr="00A83C94">
        <w:rPr>
          <w:rFonts w:cs="Sylfaen"/>
          <w:b w:val="0"/>
          <w:color w:val="000000"/>
          <w:szCs w:val="22"/>
        </w:rPr>
        <w:t xml:space="preserve"> </w:t>
      </w:r>
      <w:r w:rsidRPr="00A83C94">
        <w:rPr>
          <w:rFonts w:cs="Sylfaen"/>
          <w:b w:val="0"/>
          <w:color w:val="000000"/>
          <w:szCs w:val="22"/>
          <w:lang w:val="en-US"/>
        </w:rPr>
        <w:t>օրենսդիր</w:t>
      </w:r>
      <w:r w:rsidRPr="00A83C94">
        <w:rPr>
          <w:rFonts w:cs="Sylfaen"/>
          <w:b w:val="0"/>
          <w:color w:val="000000"/>
          <w:szCs w:val="22"/>
        </w:rPr>
        <w:t xml:space="preserve"> </w:t>
      </w:r>
      <w:r w:rsidRPr="00A83C94">
        <w:rPr>
          <w:rFonts w:cs="Sylfaen"/>
          <w:b w:val="0"/>
          <w:color w:val="000000"/>
          <w:szCs w:val="22"/>
          <w:lang w:val="en-US"/>
        </w:rPr>
        <w:t>իշխանության</w:t>
      </w:r>
      <w:r w:rsidRPr="00A83C94">
        <w:rPr>
          <w:rFonts w:cs="Sylfaen"/>
          <w:b w:val="0"/>
          <w:color w:val="000000"/>
          <w:szCs w:val="22"/>
        </w:rPr>
        <w:t xml:space="preserve"> </w:t>
      </w:r>
      <w:r w:rsidRPr="00A83C94">
        <w:rPr>
          <w:rFonts w:cs="Sylfaen"/>
          <w:b w:val="0"/>
          <w:color w:val="000000"/>
          <w:szCs w:val="22"/>
          <w:lang w:val="en-US"/>
        </w:rPr>
        <w:t>մարմիններում</w:t>
      </w:r>
      <w:r w:rsidRPr="00A83C94">
        <w:rPr>
          <w:rFonts w:cs="Sylfaen"/>
          <w:b w:val="0"/>
          <w:color w:val="000000"/>
          <w:szCs w:val="22"/>
        </w:rPr>
        <w:t xml:space="preserve"> </w:t>
      </w:r>
      <w:r w:rsidRPr="00A83C94">
        <w:rPr>
          <w:rFonts w:cs="Sylfaen"/>
          <w:b w:val="0"/>
          <w:color w:val="000000"/>
          <w:szCs w:val="22"/>
          <w:lang w:val="en-US"/>
        </w:rPr>
        <w:t>դրանց</w:t>
      </w:r>
      <w:r w:rsidRPr="00A83C94">
        <w:rPr>
          <w:rFonts w:cs="Sylfaen"/>
          <w:b w:val="0"/>
          <w:color w:val="000000"/>
          <w:szCs w:val="22"/>
        </w:rPr>
        <w:t xml:space="preserve"> </w:t>
      </w:r>
      <w:r w:rsidRPr="00A83C94">
        <w:rPr>
          <w:rFonts w:cs="Sylfaen"/>
          <w:b w:val="0"/>
          <w:color w:val="000000"/>
          <w:szCs w:val="22"/>
          <w:lang w:val="en-US"/>
        </w:rPr>
        <w:t>քննար</w:t>
      </w:r>
      <w:r w:rsidRPr="00A83C94">
        <w:rPr>
          <w:rFonts w:cs="Sylfaen"/>
          <w:b w:val="0"/>
          <w:color w:val="000000"/>
          <w:szCs w:val="22"/>
        </w:rPr>
        <w:softHyphen/>
      </w:r>
      <w:r w:rsidRPr="00A83C94">
        <w:rPr>
          <w:rFonts w:cs="Sylfaen"/>
          <w:b w:val="0"/>
          <w:color w:val="000000"/>
          <w:szCs w:val="22"/>
          <w:lang w:val="en-US"/>
        </w:rPr>
        <w:t>կումը</w:t>
      </w:r>
      <w:r w:rsidRPr="00A83C94">
        <w:rPr>
          <w:rFonts w:cs="Sylfaen"/>
          <w:b w:val="0"/>
          <w:color w:val="000000"/>
          <w:szCs w:val="22"/>
        </w:rPr>
        <w:t xml:space="preserve"> </w:t>
      </w:r>
      <w:r w:rsidRPr="00A83C94">
        <w:rPr>
          <w:rFonts w:cs="Sylfaen"/>
          <w:b w:val="0"/>
          <w:color w:val="000000"/>
          <w:szCs w:val="22"/>
          <w:lang w:val="en-US"/>
        </w:rPr>
        <w:t>կարևոր</w:t>
      </w:r>
      <w:r w:rsidRPr="00A83C94">
        <w:rPr>
          <w:rFonts w:cs="Sylfaen"/>
          <w:b w:val="0"/>
          <w:color w:val="000000"/>
          <w:szCs w:val="22"/>
        </w:rPr>
        <w:t xml:space="preserve"> </w:t>
      </w:r>
      <w:r w:rsidRPr="00A83C94">
        <w:rPr>
          <w:rFonts w:cs="Sylfaen"/>
          <w:b w:val="0"/>
          <w:color w:val="000000"/>
          <w:szCs w:val="22"/>
          <w:lang w:val="en-US"/>
        </w:rPr>
        <w:t>քայլ</w:t>
      </w:r>
      <w:r w:rsidRPr="00A83C94">
        <w:rPr>
          <w:rFonts w:cs="Sylfaen"/>
          <w:b w:val="0"/>
          <w:color w:val="000000"/>
          <w:szCs w:val="22"/>
        </w:rPr>
        <w:t xml:space="preserve"> </w:t>
      </w:r>
      <w:r w:rsidRPr="00A83C94">
        <w:rPr>
          <w:rFonts w:cs="Sylfaen"/>
          <w:b w:val="0"/>
          <w:color w:val="000000"/>
          <w:szCs w:val="22"/>
          <w:lang w:val="en-US"/>
        </w:rPr>
        <w:t>է</w:t>
      </w:r>
      <w:r w:rsidRPr="00A83C94">
        <w:rPr>
          <w:rFonts w:cs="Sylfaen"/>
          <w:b w:val="0"/>
          <w:color w:val="000000"/>
          <w:szCs w:val="22"/>
        </w:rPr>
        <w:t xml:space="preserve"> </w:t>
      </w:r>
      <w:r w:rsidRPr="00A83C94">
        <w:rPr>
          <w:rFonts w:cs="Sylfaen"/>
          <w:b w:val="0"/>
          <w:color w:val="000000"/>
          <w:szCs w:val="22"/>
          <w:lang w:val="en-US"/>
        </w:rPr>
        <w:t>հար</w:t>
      </w:r>
      <w:r w:rsidRPr="00A83C94">
        <w:rPr>
          <w:rFonts w:cs="Sylfaen"/>
          <w:b w:val="0"/>
          <w:color w:val="000000"/>
          <w:szCs w:val="22"/>
        </w:rPr>
        <w:softHyphen/>
      </w:r>
      <w:r w:rsidRPr="00A83C94">
        <w:rPr>
          <w:rFonts w:cs="Sylfaen"/>
          <w:b w:val="0"/>
          <w:color w:val="000000"/>
          <w:szCs w:val="22"/>
          <w:lang w:val="en-US"/>
        </w:rPr>
        <w:t>կային</w:t>
      </w:r>
      <w:r w:rsidRPr="00A83C94">
        <w:rPr>
          <w:rFonts w:cs="Sylfaen"/>
          <w:b w:val="0"/>
          <w:color w:val="000000"/>
          <w:szCs w:val="22"/>
        </w:rPr>
        <w:t xml:space="preserve"> </w:t>
      </w:r>
      <w:r w:rsidRPr="00A83C94">
        <w:rPr>
          <w:rFonts w:cs="Sylfaen"/>
          <w:b w:val="0"/>
          <w:color w:val="000000"/>
          <w:szCs w:val="22"/>
          <w:lang w:val="en-US"/>
        </w:rPr>
        <w:t>արտոնությունների</w:t>
      </w:r>
      <w:r w:rsidRPr="00A83C94">
        <w:rPr>
          <w:rFonts w:cs="Sylfaen"/>
          <w:b w:val="0"/>
          <w:color w:val="000000"/>
          <w:szCs w:val="22"/>
        </w:rPr>
        <w:t xml:space="preserve"> </w:t>
      </w:r>
      <w:r w:rsidRPr="00A83C94">
        <w:rPr>
          <w:rFonts w:cs="Sylfaen"/>
          <w:b w:val="0"/>
          <w:color w:val="000000"/>
          <w:szCs w:val="22"/>
          <w:lang w:val="en-US"/>
        </w:rPr>
        <w:t>շրջանակի</w:t>
      </w:r>
      <w:r w:rsidRPr="00A83C94">
        <w:rPr>
          <w:rFonts w:cs="Sylfaen"/>
          <w:b w:val="0"/>
          <w:color w:val="000000"/>
          <w:szCs w:val="22"/>
        </w:rPr>
        <w:t xml:space="preserve"> </w:t>
      </w:r>
      <w:r w:rsidRPr="00A83C94">
        <w:rPr>
          <w:rFonts w:cs="Sylfaen"/>
          <w:b w:val="0"/>
          <w:color w:val="000000"/>
          <w:szCs w:val="22"/>
          <w:lang w:val="en-US"/>
        </w:rPr>
        <w:t>հնարավոր</w:t>
      </w:r>
      <w:r w:rsidRPr="00A83C94">
        <w:rPr>
          <w:rFonts w:cs="Sylfaen"/>
          <w:b w:val="0"/>
          <w:color w:val="000000"/>
          <w:szCs w:val="22"/>
        </w:rPr>
        <w:t xml:space="preserve"> </w:t>
      </w:r>
      <w:r w:rsidRPr="00A83C94">
        <w:rPr>
          <w:rFonts w:cs="Sylfaen"/>
          <w:b w:val="0"/>
          <w:color w:val="000000"/>
          <w:szCs w:val="22"/>
          <w:lang w:val="en-US"/>
        </w:rPr>
        <w:t>վերանայման</w:t>
      </w:r>
      <w:r w:rsidRPr="00A83C94">
        <w:rPr>
          <w:rFonts w:cs="Sylfaen"/>
          <w:b w:val="0"/>
          <w:color w:val="000000"/>
          <w:szCs w:val="22"/>
        </w:rPr>
        <w:t xml:space="preserve"> </w:t>
      </w:r>
      <w:r w:rsidRPr="00A83C94">
        <w:rPr>
          <w:rFonts w:cs="Sylfaen"/>
          <w:b w:val="0"/>
          <w:color w:val="000000"/>
          <w:szCs w:val="22"/>
          <w:lang w:val="en-US"/>
        </w:rPr>
        <w:t>քաղաքականության</w:t>
      </w:r>
      <w:r w:rsidRPr="00A83C94">
        <w:rPr>
          <w:rFonts w:cs="Sylfaen"/>
          <w:b w:val="0"/>
          <w:color w:val="000000"/>
          <w:szCs w:val="22"/>
        </w:rPr>
        <w:t xml:space="preserve"> </w:t>
      </w:r>
      <w:r w:rsidRPr="00A83C94">
        <w:rPr>
          <w:rFonts w:cs="Sylfaen"/>
          <w:b w:val="0"/>
          <w:color w:val="000000"/>
          <w:szCs w:val="22"/>
          <w:lang w:val="en-US"/>
        </w:rPr>
        <w:t>իրա</w:t>
      </w:r>
      <w:r w:rsidRPr="00A83C94">
        <w:rPr>
          <w:rFonts w:cs="Sylfaen"/>
          <w:b w:val="0"/>
          <w:color w:val="000000"/>
          <w:szCs w:val="22"/>
        </w:rPr>
        <w:softHyphen/>
      </w:r>
      <w:r w:rsidRPr="00A83C94">
        <w:rPr>
          <w:rFonts w:cs="Sylfaen"/>
          <w:b w:val="0"/>
          <w:color w:val="000000"/>
          <w:szCs w:val="22"/>
          <w:lang w:val="en-US"/>
        </w:rPr>
        <w:t>կանացման</w:t>
      </w:r>
      <w:r w:rsidRPr="00A83C94">
        <w:rPr>
          <w:rFonts w:cs="Sylfaen"/>
          <w:b w:val="0"/>
          <w:color w:val="000000"/>
          <w:szCs w:val="22"/>
        </w:rPr>
        <w:t xml:space="preserve"> </w:t>
      </w:r>
      <w:r w:rsidRPr="00A83C94">
        <w:rPr>
          <w:rFonts w:cs="Sylfaen"/>
          <w:b w:val="0"/>
          <w:color w:val="000000"/>
          <w:szCs w:val="22"/>
          <w:lang w:val="en-US"/>
        </w:rPr>
        <w:t>ճանապարհին</w:t>
      </w:r>
      <w:r w:rsidRPr="00A83C94">
        <w:rPr>
          <w:rFonts w:cs="Sylfaen"/>
          <w:b w:val="0"/>
          <w:color w:val="000000"/>
          <w:szCs w:val="22"/>
        </w:rPr>
        <w:t>:</w:t>
      </w:r>
    </w:p>
    <w:p w14:paraId="55A3AE27"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lang w:val="en-US"/>
        </w:rPr>
        <w:t>Այս</w:t>
      </w:r>
      <w:r w:rsidRPr="00A83C94">
        <w:rPr>
          <w:rFonts w:cs="Sylfaen"/>
          <w:b w:val="0"/>
          <w:color w:val="000000"/>
          <w:szCs w:val="22"/>
        </w:rPr>
        <w:t xml:space="preserve"> </w:t>
      </w:r>
      <w:r w:rsidRPr="00A83C94">
        <w:rPr>
          <w:rFonts w:cs="Sylfaen"/>
          <w:b w:val="0"/>
          <w:color w:val="000000"/>
          <w:szCs w:val="22"/>
          <w:lang w:val="en-US"/>
        </w:rPr>
        <w:t>իմաստով</w:t>
      </w:r>
      <w:r w:rsidRPr="00A83C94">
        <w:rPr>
          <w:rFonts w:cs="Sylfaen"/>
          <w:b w:val="0"/>
          <w:color w:val="000000"/>
          <w:szCs w:val="22"/>
        </w:rPr>
        <w:t xml:space="preserve">, </w:t>
      </w:r>
      <w:r w:rsidRPr="00A83C94">
        <w:rPr>
          <w:rFonts w:cs="Sylfaen"/>
          <w:b w:val="0"/>
          <w:color w:val="000000"/>
          <w:szCs w:val="22"/>
          <w:lang w:val="en-US"/>
        </w:rPr>
        <w:t>ա</w:t>
      </w:r>
      <w:r w:rsidRPr="00A83C94">
        <w:rPr>
          <w:rFonts w:cs="Sylfaen"/>
          <w:b w:val="0"/>
          <w:color w:val="000000"/>
          <w:szCs w:val="22"/>
        </w:rPr>
        <w:t>ռաջիկա</w:t>
      </w:r>
      <w:r w:rsidRPr="00A83C94">
        <w:rPr>
          <w:b w:val="0"/>
          <w:color w:val="000000"/>
          <w:szCs w:val="22"/>
        </w:rPr>
        <w:t xml:space="preserve"> </w:t>
      </w:r>
      <w:r w:rsidRPr="00A83C94">
        <w:rPr>
          <w:rFonts w:cs="Sylfaen"/>
          <w:b w:val="0"/>
          <w:color w:val="000000"/>
          <w:szCs w:val="22"/>
        </w:rPr>
        <w:t>տարիներին հարկային ծախսերի նման գնահատականները հիմք են հանդիսանալու հարկային արտոնությունների շրջանակի վերանայման,</w:t>
      </w:r>
      <w:r w:rsidRPr="00A83C94">
        <w:rPr>
          <w:b w:val="0"/>
          <w:color w:val="000000"/>
          <w:szCs w:val="22"/>
        </w:rPr>
        <w:t xml:space="preserve"> </w:t>
      </w:r>
      <w:r w:rsidRPr="00A83C94">
        <w:rPr>
          <w:rFonts w:cs="Sylfaen"/>
          <w:b w:val="0"/>
          <w:color w:val="000000"/>
          <w:szCs w:val="22"/>
        </w:rPr>
        <w:t>հարկման</w:t>
      </w:r>
      <w:r w:rsidRPr="00A83C94">
        <w:rPr>
          <w:b w:val="0"/>
          <w:color w:val="000000"/>
          <w:szCs w:val="22"/>
        </w:rPr>
        <w:t xml:space="preserve"> </w:t>
      </w:r>
      <w:r w:rsidRPr="00A83C94">
        <w:rPr>
          <w:rFonts w:cs="Sylfaen"/>
          <w:b w:val="0"/>
          <w:color w:val="000000"/>
          <w:szCs w:val="22"/>
        </w:rPr>
        <w:t>բազայի</w:t>
      </w:r>
      <w:r w:rsidRPr="00A83C94">
        <w:rPr>
          <w:b w:val="0"/>
          <w:color w:val="000000"/>
          <w:szCs w:val="22"/>
        </w:rPr>
        <w:t xml:space="preserve"> </w:t>
      </w:r>
      <w:r w:rsidRPr="00A83C94">
        <w:rPr>
          <w:rFonts w:cs="Sylfaen"/>
          <w:b w:val="0"/>
          <w:color w:val="000000"/>
          <w:szCs w:val="22"/>
        </w:rPr>
        <w:t>ընդլայնման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ամրապնդման քաղաքականություն իրականացնելու համար</w:t>
      </w:r>
      <w:r w:rsidRPr="00A83C94">
        <w:rPr>
          <w:b w:val="0"/>
          <w:color w:val="000000"/>
          <w:szCs w:val="22"/>
        </w:rPr>
        <w:t xml:space="preserve">, </w:t>
      </w:r>
      <w:r w:rsidRPr="00A83C94">
        <w:rPr>
          <w:rFonts w:cs="Sylfaen"/>
          <w:b w:val="0"/>
          <w:color w:val="000000"/>
          <w:szCs w:val="22"/>
        </w:rPr>
        <w:t>ինչը</w:t>
      </w:r>
      <w:r w:rsidRPr="00A83C94">
        <w:rPr>
          <w:b w:val="0"/>
          <w:color w:val="000000"/>
          <w:szCs w:val="22"/>
        </w:rPr>
        <w:t xml:space="preserve"> </w:t>
      </w:r>
      <w:r w:rsidRPr="00A83C94">
        <w:rPr>
          <w:rFonts w:cs="Sylfaen"/>
          <w:b w:val="0"/>
          <w:color w:val="000000"/>
          <w:szCs w:val="22"/>
        </w:rPr>
        <w:t>հնա</w:t>
      </w:r>
      <w:r w:rsidRPr="00A83C94">
        <w:rPr>
          <w:rFonts w:cs="Sylfaen"/>
          <w:b w:val="0"/>
          <w:color w:val="000000"/>
          <w:szCs w:val="22"/>
        </w:rPr>
        <w:softHyphen/>
        <w:t>րավորություն</w:t>
      </w:r>
      <w:r w:rsidRPr="00A83C94">
        <w:rPr>
          <w:b w:val="0"/>
          <w:color w:val="000000"/>
          <w:szCs w:val="22"/>
        </w:rPr>
        <w:t xml:space="preserve"> </w:t>
      </w:r>
      <w:r w:rsidRPr="00A83C94">
        <w:rPr>
          <w:rFonts w:cs="Sylfaen"/>
          <w:b w:val="0"/>
          <w:color w:val="000000"/>
          <w:szCs w:val="22"/>
        </w:rPr>
        <w:t>կընձեռի</w:t>
      </w:r>
      <w:r w:rsidRPr="00A83C94">
        <w:rPr>
          <w:b w:val="0"/>
          <w:color w:val="000000"/>
          <w:szCs w:val="22"/>
        </w:rPr>
        <w:t xml:space="preserve"> </w:t>
      </w:r>
      <w:r w:rsidRPr="00A83C94">
        <w:rPr>
          <w:rFonts w:cs="Sylfaen"/>
          <w:b w:val="0"/>
          <w:color w:val="000000"/>
          <w:szCs w:val="22"/>
        </w:rPr>
        <w:t>աստի</w:t>
      </w:r>
      <w:r w:rsidRPr="00A83C94">
        <w:rPr>
          <w:rFonts w:cs="Sylfaen"/>
          <w:b w:val="0"/>
          <w:color w:val="000000"/>
          <w:szCs w:val="22"/>
        </w:rPr>
        <w:softHyphen/>
        <w:t>ճանաբար</w:t>
      </w:r>
      <w:r w:rsidRPr="00A83C94">
        <w:rPr>
          <w:b w:val="0"/>
          <w:color w:val="000000"/>
          <w:szCs w:val="22"/>
        </w:rPr>
        <w:t xml:space="preserve"> </w:t>
      </w:r>
      <w:r w:rsidRPr="00A83C94">
        <w:rPr>
          <w:rFonts w:cs="Sylfaen"/>
          <w:b w:val="0"/>
          <w:color w:val="000000"/>
          <w:szCs w:val="22"/>
        </w:rPr>
        <w:t>բարե</w:t>
      </w:r>
      <w:r w:rsidRPr="00A83C94">
        <w:rPr>
          <w:rFonts w:cs="Sylfaen"/>
          <w:b w:val="0"/>
          <w:color w:val="000000"/>
          <w:szCs w:val="22"/>
        </w:rPr>
        <w:softHyphen/>
        <w:t>լավել</w:t>
      </w:r>
      <w:r w:rsidRPr="00A83C94">
        <w:rPr>
          <w:b w:val="0"/>
          <w:color w:val="000000"/>
          <w:szCs w:val="22"/>
        </w:rPr>
        <w:t xml:space="preserve"> </w:t>
      </w:r>
      <w:r w:rsidRPr="00A83C94">
        <w:rPr>
          <w:rFonts w:cs="Sylfaen"/>
          <w:b w:val="0"/>
          <w:color w:val="000000"/>
          <w:szCs w:val="22"/>
        </w:rPr>
        <w:t>հարկեր</w:t>
      </w:r>
      <w:r w:rsidRPr="00A83C94">
        <w:rPr>
          <w:b w:val="0"/>
          <w:color w:val="000000"/>
          <w:szCs w:val="22"/>
        </w:rPr>
        <w:t>/</w:t>
      </w:r>
      <w:r w:rsidRPr="00A83C94">
        <w:rPr>
          <w:rFonts w:cs="Sylfaen"/>
          <w:b w:val="0"/>
          <w:color w:val="000000"/>
          <w:szCs w:val="22"/>
        </w:rPr>
        <w:t>ՀՆԱ</w:t>
      </w:r>
      <w:r w:rsidRPr="00A83C94">
        <w:rPr>
          <w:b w:val="0"/>
          <w:color w:val="000000"/>
          <w:szCs w:val="22"/>
        </w:rPr>
        <w:t xml:space="preserve"> </w:t>
      </w:r>
      <w:r w:rsidRPr="00A83C94">
        <w:rPr>
          <w:rFonts w:cs="Sylfaen"/>
          <w:b w:val="0"/>
          <w:color w:val="000000"/>
          <w:szCs w:val="22"/>
        </w:rPr>
        <w:t>հարաբերակցությունը</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ամրապնդել</w:t>
      </w:r>
      <w:r w:rsidRPr="00A83C94">
        <w:rPr>
          <w:b w:val="0"/>
          <w:color w:val="000000"/>
          <w:szCs w:val="22"/>
        </w:rPr>
        <w:t xml:space="preserve"> </w:t>
      </w:r>
      <w:r w:rsidRPr="00A83C94">
        <w:rPr>
          <w:rFonts w:cs="Sylfaen"/>
          <w:b w:val="0"/>
          <w:color w:val="000000"/>
          <w:szCs w:val="22"/>
        </w:rPr>
        <w:t>հարկման</w:t>
      </w:r>
      <w:r w:rsidRPr="00A83C94">
        <w:rPr>
          <w:b w:val="0"/>
          <w:color w:val="000000"/>
          <w:szCs w:val="22"/>
        </w:rPr>
        <w:t xml:space="preserve"> </w:t>
      </w:r>
      <w:r w:rsidRPr="00A83C94">
        <w:rPr>
          <w:rFonts w:cs="Sylfaen"/>
          <w:b w:val="0"/>
          <w:color w:val="000000"/>
          <w:szCs w:val="22"/>
        </w:rPr>
        <w:t>հորի</w:t>
      </w:r>
      <w:r w:rsidRPr="00A83C94">
        <w:rPr>
          <w:rFonts w:cs="Sylfaen"/>
          <w:b w:val="0"/>
          <w:color w:val="000000"/>
          <w:szCs w:val="22"/>
        </w:rPr>
        <w:softHyphen/>
        <w:t>զո</w:t>
      </w:r>
      <w:r w:rsidRPr="00A83C94">
        <w:rPr>
          <w:rFonts w:cs="Sylfaen"/>
          <w:b w:val="0"/>
          <w:color w:val="000000"/>
          <w:szCs w:val="22"/>
        </w:rPr>
        <w:softHyphen/>
        <w:t>նա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արդա</w:t>
      </w:r>
      <w:r w:rsidRPr="00A83C94">
        <w:rPr>
          <w:rFonts w:cs="Sylfaen"/>
          <w:b w:val="0"/>
          <w:color w:val="000000"/>
          <w:szCs w:val="22"/>
        </w:rPr>
        <w:softHyphen/>
        <w:t>րության</w:t>
      </w:r>
      <w:r w:rsidRPr="00A83C94">
        <w:rPr>
          <w:b w:val="0"/>
          <w:color w:val="000000"/>
          <w:szCs w:val="22"/>
        </w:rPr>
        <w:t xml:space="preserve"> </w:t>
      </w:r>
      <w:r w:rsidRPr="00A83C94">
        <w:rPr>
          <w:rFonts w:cs="Sylfaen"/>
          <w:b w:val="0"/>
          <w:color w:val="000000"/>
          <w:szCs w:val="22"/>
        </w:rPr>
        <w:t>սկզբունքը</w:t>
      </w:r>
      <w:r w:rsidRPr="00A83C94">
        <w:rPr>
          <w:b w:val="0"/>
          <w:color w:val="000000"/>
          <w:szCs w:val="22"/>
        </w:rPr>
        <w:t xml:space="preserve">: </w:t>
      </w:r>
      <w:r w:rsidRPr="00A83C94">
        <w:rPr>
          <w:b w:val="0"/>
          <w:color w:val="000000"/>
          <w:szCs w:val="22"/>
          <w:lang w:val="en-US"/>
        </w:rPr>
        <w:t>Հարկային</w:t>
      </w:r>
      <w:r w:rsidRPr="00A83C94">
        <w:rPr>
          <w:b w:val="0"/>
          <w:color w:val="000000"/>
          <w:szCs w:val="22"/>
        </w:rPr>
        <w:t xml:space="preserve"> </w:t>
      </w:r>
      <w:r w:rsidRPr="00A83C94">
        <w:rPr>
          <w:b w:val="0"/>
          <w:color w:val="000000"/>
          <w:szCs w:val="22"/>
          <w:lang w:val="en-US"/>
        </w:rPr>
        <w:t>քաղաքակա</w:t>
      </w:r>
      <w:r w:rsidRPr="00A83C94">
        <w:rPr>
          <w:b w:val="0"/>
          <w:color w:val="000000"/>
          <w:szCs w:val="22"/>
        </w:rPr>
        <w:softHyphen/>
      </w:r>
      <w:r w:rsidRPr="00A83C94">
        <w:rPr>
          <w:b w:val="0"/>
          <w:color w:val="000000"/>
          <w:szCs w:val="22"/>
          <w:lang w:val="en-US"/>
        </w:rPr>
        <w:t>նու</w:t>
      </w:r>
      <w:r w:rsidRPr="00A83C94">
        <w:rPr>
          <w:b w:val="0"/>
          <w:color w:val="000000"/>
          <w:szCs w:val="22"/>
        </w:rPr>
        <w:softHyphen/>
      </w:r>
      <w:r w:rsidRPr="00A83C94">
        <w:rPr>
          <w:b w:val="0"/>
          <w:color w:val="000000"/>
          <w:szCs w:val="22"/>
          <w:lang w:val="en-US"/>
        </w:rPr>
        <w:t>թյան</w:t>
      </w:r>
      <w:r w:rsidRPr="00A83C94">
        <w:rPr>
          <w:b w:val="0"/>
          <w:color w:val="000000"/>
          <w:szCs w:val="22"/>
        </w:rPr>
        <w:t xml:space="preserve"> </w:t>
      </w:r>
      <w:r w:rsidRPr="00A83C94">
        <w:rPr>
          <w:b w:val="0"/>
          <w:color w:val="000000"/>
          <w:szCs w:val="22"/>
          <w:lang w:val="en-US"/>
        </w:rPr>
        <w:t>այս</w:t>
      </w:r>
      <w:r w:rsidRPr="00A83C94">
        <w:rPr>
          <w:b w:val="0"/>
          <w:color w:val="000000"/>
          <w:szCs w:val="22"/>
        </w:rPr>
        <w:t xml:space="preserve"> </w:t>
      </w:r>
      <w:r w:rsidRPr="00A83C94">
        <w:rPr>
          <w:b w:val="0"/>
          <w:color w:val="000000"/>
          <w:szCs w:val="22"/>
          <w:lang w:val="en-US"/>
        </w:rPr>
        <w:t>ուղղության</w:t>
      </w:r>
      <w:r w:rsidRPr="00A83C94">
        <w:rPr>
          <w:b w:val="0"/>
          <w:color w:val="000000"/>
          <w:szCs w:val="22"/>
        </w:rPr>
        <w:t xml:space="preserve"> </w:t>
      </w:r>
      <w:r w:rsidRPr="00A83C94">
        <w:rPr>
          <w:rFonts w:cs="Sylfaen"/>
          <w:b w:val="0"/>
          <w:color w:val="000000"/>
          <w:szCs w:val="22"/>
        </w:rPr>
        <w:t>նպա</w:t>
      </w:r>
      <w:r w:rsidRPr="00A83C94">
        <w:rPr>
          <w:rFonts w:cs="Sylfaen"/>
          <w:b w:val="0"/>
          <w:color w:val="000000"/>
          <w:szCs w:val="22"/>
        </w:rPr>
        <w:softHyphen/>
        <w:t>տակը</w:t>
      </w:r>
      <w:r w:rsidRPr="00A83C94">
        <w:rPr>
          <w:b w:val="0"/>
          <w:color w:val="000000"/>
          <w:szCs w:val="22"/>
        </w:rPr>
        <w:t xml:space="preserve">, </w:t>
      </w:r>
      <w:r w:rsidRPr="00A83C94">
        <w:rPr>
          <w:rFonts w:cs="Sylfaen"/>
          <w:b w:val="0"/>
          <w:color w:val="000000"/>
          <w:szCs w:val="22"/>
        </w:rPr>
        <w:t>ըստ</w:t>
      </w:r>
      <w:r w:rsidRPr="00A83C94">
        <w:rPr>
          <w:b w:val="0"/>
          <w:color w:val="000000"/>
          <w:szCs w:val="22"/>
        </w:rPr>
        <w:t xml:space="preserve"> </w:t>
      </w:r>
      <w:r w:rsidRPr="00A83C94">
        <w:rPr>
          <w:rFonts w:cs="Sylfaen"/>
          <w:b w:val="0"/>
          <w:color w:val="000000"/>
          <w:szCs w:val="22"/>
        </w:rPr>
        <w:t>էության</w:t>
      </w:r>
      <w:r w:rsidRPr="00A83C94">
        <w:rPr>
          <w:b w:val="0"/>
          <w:color w:val="000000"/>
          <w:szCs w:val="22"/>
        </w:rPr>
        <w:t xml:space="preserve">, </w:t>
      </w:r>
      <w:r w:rsidRPr="00A83C94">
        <w:rPr>
          <w:rFonts w:cs="Sylfaen"/>
          <w:b w:val="0"/>
          <w:color w:val="000000"/>
          <w:szCs w:val="22"/>
        </w:rPr>
        <w:t>հարկման</w:t>
      </w:r>
      <w:r w:rsidRPr="00A83C94">
        <w:rPr>
          <w:b w:val="0"/>
          <w:color w:val="000000"/>
          <w:szCs w:val="22"/>
        </w:rPr>
        <w:t xml:space="preserve"> </w:t>
      </w:r>
      <w:r w:rsidRPr="00A83C94">
        <w:rPr>
          <w:rFonts w:cs="Sylfaen"/>
          <w:b w:val="0"/>
          <w:color w:val="000000"/>
          <w:szCs w:val="22"/>
        </w:rPr>
        <w:t>ոլոր</w:t>
      </w:r>
      <w:r w:rsidRPr="00A83C94">
        <w:rPr>
          <w:rFonts w:cs="Sylfaen"/>
          <w:b w:val="0"/>
          <w:color w:val="000000"/>
          <w:szCs w:val="22"/>
        </w:rPr>
        <w:softHyphen/>
        <w:t>տում</w:t>
      </w:r>
      <w:r w:rsidRPr="00A83C94">
        <w:rPr>
          <w:b w:val="0"/>
          <w:color w:val="000000"/>
          <w:szCs w:val="22"/>
        </w:rPr>
        <w:t xml:space="preserve"> </w:t>
      </w:r>
      <w:r w:rsidRPr="00A83C94">
        <w:rPr>
          <w:rFonts w:cs="Sylfaen"/>
          <w:b w:val="0"/>
          <w:color w:val="000000"/>
          <w:szCs w:val="22"/>
        </w:rPr>
        <w:t>խտրա</w:t>
      </w:r>
      <w:r w:rsidRPr="00A83C94">
        <w:rPr>
          <w:rFonts w:cs="Sylfaen"/>
          <w:b w:val="0"/>
          <w:color w:val="000000"/>
          <w:szCs w:val="22"/>
        </w:rPr>
        <w:softHyphen/>
        <w:t>կանությունը</w:t>
      </w:r>
      <w:r w:rsidRPr="00A83C94">
        <w:rPr>
          <w:b w:val="0"/>
          <w:color w:val="000000"/>
          <w:szCs w:val="22"/>
        </w:rPr>
        <w:t xml:space="preserve"> </w:t>
      </w:r>
      <w:r w:rsidRPr="00A83C94">
        <w:rPr>
          <w:rFonts w:cs="Sylfaen"/>
          <w:b w:val="0"/>
          <w:color w:val="000000"/>
          <w:szCs w:val="22"/>
        </w:rPr>
        <w:t>նվա</w:t>
      </w:r>
      <w:r w:rsidRPr="00A83C94">
        <w:rPr>
          <w:rFonts w:cs="Sylfaen"/>
          <w:b w:val="0"/>
          <w:color w:val="000000"/>
          <w:szCs w:val="22"/>
        </w:rPr>
        <w:softHyphen/>
        <w:t>զագույնի</w:t>
      </w:r>
      <w:r w:rsidRPr="00A83C94">
        <w:rPr>
          <w:b w:val="0"/>
          <w:color w:val="000000"/>
          <w:szCs w:val="22"/>
        </w:rPr>
        <w:t xml:space="preserve"> </w:t>
      </w:r>
      <w:r w:rsidRPr="00A83C94">
        <w:rPr>
          <w:rFonts w:cs="Sylfaen"/>
          <w:b w:val="0"/>
          <w:color w:val="000000"/>
          <w:szCs w:val="22"/>
        </w:rPr>
        <w:t>հասցնելը</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պետա</w:t>
      </w:r>
      <w:r w:rsidRPr="00A83C94">
        <w:rPr>
          <w:rFonts w:cs="Sylfaen"/>
          <w:b w:val="0"/>
          <w:color w:val="000000"/>
          <w:szCs w:val="22"/>
        </w:rPr>
        <w:softHyphen/>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բյուջեի հարկային եկա</w:t>
      </w:r>
      <w:r w:rsidRPr="00A83C94">
        <w:rPr>
          <w:rFonts w:cs="Sylfaen"/>
          <w:b w:val="0"/>
          <w:color w:val="000000"/>
          <w:szCs w:val="22"/>
        </w:rPr>
        <w:softHyphen/>
        <w:t>մուտ</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lang w:val="en-US"/>
        </w:rPr>
        <w:t>արդարացի</w:t>
      </w:r>
      <w:r w:rsidRPr="00A83C94">
        <w:rPr>
          <w:rFonts w:cs="Sylfaen"/>
          <w:b w:val="0"/>
          <w:color w:val="000000"/>
          <w:szCs w:val="22"/>
        </w:rPr>
        <w:t xml:space="preserve"> </w:t>
      </w:r>
      <w:r w:rsidRPr="00A83C94">
        <w:rPr>
          <w:rFonts w:cs="Sylfaen"/>
          <w:b w:val="0"/>
          <w:color w:val="000000"/>
          <w:szCs w:val="22"/>
          <w:lang w:val="en-US"/>
        </w:rPr>
        <w:t>վերաբաշխուն</w:t>
      </w:r>
      <w:r w:rsidRPr="00A83C94">
        <w:rPr>
          <w:b w:val="0"/>
          <w:color w:val="000000"/>
          <w:szCs w:val="22"/>
        </w:rPr>
        <w:t xml:space="preserve"> </w:t>
      </w:r>
      <w:r w:rsidRPr="00A83C94">
        <w:rPr>
          <w:rFonts w:cs="Sylfaen"/>
          <w:b w:val="0"/>
          <w:color w:val="000000"/>
          <w:szCs w:val="22"/>
        </w:rPr>
        <w:t>ապա</w:t>
      </w:r>
      <w:r w:rsidRPr="00A83C94">
        <w:rPr>
          <w:rFonts w:cs="Sylfaen"/>
          <w:b w:val="0"/>
          <w:color w:val="000000"/>
          <w:szCs w:val="22"/>
        </w:rPr>
        <w:softHyphen/>
        <w:t>հով</w:t>
      </w:r>
      <w:r w:rsidRPr="00A83C94">
        <w:rPr>
          <w:rFonts w:cs="Sylfaen"/>
          <w:b w:val="0"/>
          <w:color w:val="000000"/>
          <w:szCs w:val="22"/>
          <w:lang w:val="en-US"/>
        </w:rPr>
        <w:t>ել</w:t>
      </w:r>
      <w:r w:rsidRPr="00A83C94">
        <w:rPr>
          <w:rFonts w:cs="Sylfaen"/>
          <w:b w:val="0"/>
          <w:color w:val="000000"/>
          <w:szCs w:val="22"/>
        </w:rPr>
        <w:t>ն</w:t>
      </w:r>
      <w:r w:rsidRPr="00A83C94">
        <w:rPr>
          <w:b w:val="0"/>
          <w:color w:val="000000"/>
          <w:szCs w:val="22"/>
        </w:rPr>
        <w:t xml:space="preserve"> </w:t>
      </w:r>
      <w:r w:rsidRPr="00A83C94">
        <w:rPr>
          <w:rFonts w:cs="Sylfaen"/>
          <w:b w:val="0"/>
          <w:color w:val="000000"/>
          <w:szCs w:val="22"/>
        </w:rPr>
        <w:t>է</w:t>
      </w:r>
      <w:r w:rsidRPr="00A83C94">
        <w:rPr>
          <w:b w:val="0"/>
          <w:color w:val="000000"/>
          <w:szCs w:val="22"/>
        </w:rPr>
        <w:t>:</w:t>
      </w:r>
    </w:p>
    <w:p w14:paraId="035CE0F8"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r w:rsidRPr="00A83C94">
        <w:rPr>
          <w:rFonts w:cs="Sylfaen"/>
          <w:b w:val="0"/>
          <w:color w:val="000000"/>
          <w:szCs w:val="22"/>
          <w:lang w:val="en-US"/>
        </w:rPr>
        <w:t>Միաժամանակ</w:t>
      </w:r>
      <w:r w:rsidRPr="00A83C94">
        <w:rPr>
          <w:rFonts w:cs="Sylfaen"/>
          <w:b w:val="0"/>
          <w:color w:val="000000"/>
          <w:szCs w:val="22"/>
        </w:rPr>
        <w:t xml:space="preserve">, </w:t>
      </w:r>
      <w:r w:rsidRPr="00A83C94">
        <w:rPr>
          <w:rFonts w:cs="Sylfaen"/>
          <w:b w:val="0"/>
          <w:color w:val="000000"/>
          <w:szCs w:val="22"/>
          <w:lang w:val="en-US"/>
        </w:rPr>
        <w:t>ակնհայտ</w:t>
      </w:r>
      <w:r w:rsidRPr="00A83C94">
        <w:rPr>
          <w:rFonts w:cs="Sylfaen"/>
          <w:b w:val="0"/>
          <w:color w:val="000000"/>
          <w:szCs w:val="22"/>
        </w:rPr>
        <w:t xml:space="preserve"> </w:t>
      </w:r>
      <w:r w:rsidRPr="00A83C94">
        <w:rPr>
          <w:rFonts w:cs="Sylfaen"/>
          <w:b w:val="0"/>
          <w:color w:val="000000"/>
          <w:szCs w:val="22"/>
          <w:lang w:val="en-US"/>
        </w:rPr>
        <w:t>է</w:t>
      </w:r>
      <w:r w:rsidRPr="00A83C94">
        <w:rPr>
          <w:rFonts w:cs="Sylfaen"/>
          <w:b w:val="0"/>
          <w:color w:val="000000"/>
          <w:szCs w:val="22"/>
        </w:rPr>
        <w:t xml:space="preserve">, </w:t>
      </w:r>
      <w:r w:rsidRPr="00A83C94">
        <w:rPr>
          <w:rFonts w:cs="Sylfaen"/>
          <w:b w:val="0"/>
          <w:color w:val="000000"/>
          <w:szCs w:val="22"/>
          <w:lang w:val="en-US"/>
        </w:rPr>
        <w:t>որ</w:t>
      </w:r>
      <w:r w:rsidRPr="00A83C94">
        <w:rPr>
          <w:rFonts w:cs="Sylfaen"/>
          <w:b w:val="0"/>
          <w:color w:val="000000"/>
          <w:szCs w:val="22"/>
        </w:rPr>
        <w:t xml:space="preserve"> գործող</w:t>
      </w:r>
      <w:r w:rsidRPr="00A83C94">
        <w:rPr>
          <w:b w:val="0"/>
          <w:color w:val="000000"/>
          <w:szCs w:val="22"/>
        </w:rPr>
        <w:t xml:space="preserve"> </w:t>
      </w:r>
      <w:r w:rsidRPr="00A83C94">
        <w:rPr>
          <w:rFonts w:cs="Sylfaen"/>
          <w:b w:val="0"/>
          <w:color w:val="000000"/>
          <w:szCs w:val="22"/>
        </w:rPr>
        <w:t>արտո</w:t>
      </w:r>
      <w:r w:rsidRPr="00A83C94">
        <w:rPr>
          <w:rFonts w:cs="Sylfaen"/>
          <w:b w:val="0"/>
          <w:color w:val="000000"/>
          <w:szCs w:val="22"/>
        </w:rPr>
        <w:softHyphen/>
        <w:t>նությունների</w:t>
      </w:r>
      <w:r w:rsidRPr="00A83C94">
        <w:rPr>
          <w:b w:val="0"/>
          <w:color w:val="000000"/>
          <w:szCs w:val="22"/>
        </w:rPr>
        <w:t xml:space="preserve"> շրջանակի </w:t>
      </w:r>
      <w:r w:rsidRPr="00A83C94">
        <w:rPr>
          <w:rFonts w:cs="Sylfaen"/>
          <w:b w:val="0"/>
          <w:color w:val="000000"/>
          <w:szCs w:val="22"/>
        </w:rPr>
        <w:t>վերանայումը</w:t>
      </w:r>
      <w:r w:rsidRPr="00A83C94">
        <w:rPr>
          <w:b w:val="0"/>
          <w:color w:val="000000"/>
          <w:szCs w:val="22"/>
        </w:rPr>
        <w:t xml:space="preserve"> </w:t>
      </w:r>
      <w:r w:rsidRPr="00A83C94">
        <w:rPr>
          <w:rFonts w:cs="Sylfaen"/>
          <w:b w:val="0"/>
          <w:color w:val="000000"/>
          <w:szCs w:val="22"/>
        </w:rPr>
        <w:t>կնշա</w:t>
      </w:r>
      <w:r w:rsidRPr="00A83C94">
        <w:rPr>
          <w:rFonts w:cs="Sylfaen"/>
          <w:b w:val="0"/>
          <w:color w:val="000000"/>
          <w:szCs w:val="22"/>
        </w:rPr>
        <w:softHyphen/>
        <w:t>նակի</w:t>
      </w:r>
      <w:r w:rsidRPr="00A83C94">
        <w:rPr>
          <w:b w:val="0"/>
          <w:color w:val="000000"/>
          <w:szCs w:val="22"/>
        </w:rPr>
        <w:t xml:space="preserve"> </w:t>
      </w:r>
      <w:r w:rsidRPr="00A83C94">
        <w:rPr>
          <w:rFonts w:cs="Sylfaen"/>
          <w:b w:val="0"/>
          <w:color w:val="000000"/>
          <w:szCs w:val="22"/>
        </w:rPr>
        <w:t>կտրուկ</w:t>
      </w:r>
      <w:r w:rsidRPr="00A83C94">
        <w:rPr>
          <w:b w:val="0"/>
          <w:color w:val="000000"/>
          <w:szCs w:val="22"/>
        </w:rPr>
        <w:t xml:space="preserve"> </w:t>
      </w:r>
      <w:r w:rsidRPr="00A83C94">
        <w:rPr>
          <w:rFonts w:cs="Sylfaen"/>
          <w:b w:val="0"/>
          <w:color w:val="000000"/>
          <w:szCs w:val="22"/>
        </w:rPr>
        <w:t>փոփոխել</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արտոնություններից</w:t>
      </w:r>
      <w:r w:rsidRPr="00A83C94">
        <w:rPr>
          <w:b w:val="0"/>
          <w:color w:val="000000"/>
          <w:szCs w:val="22"/>
        </w:rPr>
        <w:t xml:space="preserve"> </w:t>
      </w:r>
      <w:r w:rsidRPr="00A83C94">
        <w:rPr>
          <w:rFonts w:cs="Sylfaen"/>
          <w:b w:val="0"/>
          <w:color w:val="000000"/>
          <w:szCs w:val="22"/>
        </w:rPr>
        <w:t>օգտ</w:t>
      </w:r>
      <w:r w:rsidRPr="00A83C94">
        <w:rPr>
          <w:rFonts w:cs="Sylfaen"/>
          <w:b w:val="0"/>
          <w:color w:val="000000"/>
          <w:szCs w:val="22"/>
        </w:rPr>
        <w:softHyphen/>
        <w:t>վող</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ձեռնարկատիրական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գործունեության</w:t>
      </w:r>
      <w:r w:rsidRPr="00A83C94">
        <w:rPr>
          <w:b w:val="0"/>
          <w:color w:val="000000"/>
          <w:szCs w:val="22"/>
        </w:rPr>
        <w:t xml:space="preserve"> </w:t>
      </w:r>
      <w:r w:rsidRPr="00A83C94">
        <w:rPr>
          <w:rFonts w:cs="Sylfaen"/>
          <w:b w:val="0"/>
          <w:color w:val="000000"/>
          <w:szCs w:val="22"/>
        </w:rPr>
        <w:t>պայմանները</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ներդրումային</w:t>
      </w:r>
      <w:r w:rsidRPr="00A83C94">
        <w:rPr>
          <w:b w:val="0"/>
          <w:color w:val="000000"/>
          <w:szCs w:val="22"/>
        </w:rPr>
        <w:t xml:space="preserve"> </w:t>
      </w:r>
      <w:r w:rsidRPr="00A83C94">
        <w:rPr>
          <w:rFonts w:cs="Sylfaen"/>
          <w:b w:val="0"/>
          <w:color w:val="000000"/>
          <w:szCs w:val="22"/>
        </w:rPr>
        <w:t>միջա</w:t>
      </w:r>
      <w:r w:rsidRPr="00A83C94">
        <w:rPr>
          <w:rFonts w:cs="Sylfaen"/>
          <w:b w:val="0"/>
          <w:color w:val="000000"/>
          <w:szCs w:val="22"/>
        </w:rPr>
        <w:softHyphen/>
        <w:t>վայրը</w:t>
      </w:r>
      <w:r w:rsidRPr="00A83C94">
        <w:rPr>
          <w:b w:val="0"/>
          <w:color w:val="000000"/>
          <w:szCs w:val="22"/>
        </w:rPr>
        <w:t xml:space="preserve"> </w:t>
      </w:r>
      <w:r w:rsidRPr="00A83C94">
        <w:rPr>
          <w:rFonts w:cs="Sylfaen"/>
          <w:b w:val="0"/>
          <w:color w:val="000000"/>
          <w:szCs w:val="22"/>
        </w:rPr>
        <w:t>ընդ</w:t>
      </w:r>
      <w:r w:rsidRPr="00A83C94">
        <w:rPr>
          <w:rFonts w:cs="Sylfaen"/>
          <w:b w:val="0"/>
          <w:color w:val="000000"/>
          <w:szCs w:val="22"/>
        </w:rPr>
        <w:softHyphen/>
        <w:t>հանրապես</w:t>
      </w:r>
      <w:r w:rsidRPr="00A83C94">
        <w:rPr>
          <w:b w:val="0"/>
          <w:color w:val="000000"/>
          <w:szCs w:val="22"/>
        </w:rPr>
        <w:t xml:space="preserve">: </w:t>
      </w:r>
      <w:r w:rsidRPr="00A83C94">
        <w:rPr>
          <w:rFonts w:cs="Sylfaen"/>
          <w:b w:val="0"/>
          <w:color w:val="000000"/>
          <w:szCs w:val="22"/>
        </w:rPr>
        <w:t>Այս</w:t>
      </w:r>
      <w:r w:rsidRPr="00A83C94">
        <w:rPr>
          <w:b w:val="0"/>
          <w:color w:val="000000"/>
          <w:szCs w:val="22"/>
        </w:rPr>
        <w:t xml:space="preserve"> </w:t>
      </w:r>
      <w:r w:rsidRPr="00A83C94">
        <w:rPr>
          <w:rFonts w:cs="Sylfaen"/>
          <w:b w:val="0"/>
          <w:color w:val="000000"/>
          <w:szCs w:val="22"/>
        </w:rPr>
        <w:t>առումով</w:t>
      </w:r>
      <w:r w:rsidRPr="00A83C94">
        <w:rPr>
          <w:b w:val="0"/>
          <w:color w:val="000000"/>
          <w:szCs w:val="22"/>
        </w:rPr>
        <w:t xml:space="preserve">, </w:t>
      </w:r>
      <w:r w:rsidRPr="00A83C94">
        <w:rPr>
          <w:rFonts w:cs="Sylfaen"/>
          <w:b w:val="0"/>
          <w:color w:val="000000"/>
          <w:szCs w:val="22"/>
        </w:rPr>
        <w:t>հարկային արտո</w:t>
      </w:r>
      <w:r w:rsidRPr="00A83C94">
        <w:rPr>
          <w:rFonts w:cs="Sylfaen"/>
          <w:b w:val="0"/>
          <w:color w:val="000000"/>
          <w:szCs w:val="22"/>
        </w:rPr>
        <w:softHyphen/>
        <w:t>նու</w:t>
      </w:r>
      <w:r w:rsidRPr="00A83C94">
        <w:rPr>
          <w:rFonts w:cs="Sylfaen"/>
          <w:b w:val="0"/>
          <w:color w:val="000000"/>
          <w:szCs w:val="22"/>
        </w:rPr>
        <w:softHyphen/>
        <w:t>թյուն</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շրջանակի</w:t>
      </w:r>
      <w:r w:rsidRPr="00A83C94">
        <w:rPr>
          <w:b w:val="0"/>
          <w:color w:val="000000"/>
          <w:szCs w:val="22"/>
        </w:rPr>
        <w:t xml:space="preserve"> </w:t>
      </w:r>
      <w:r w:rsidRPr="00A83C94">
        <w:rPr>
          <w:rFonts w:cs="Sylfaen"/>
          <w:b w:val="0"/>
          <w:color w:val="000000"/>
          <w:szCs w:val="22"/>
        </w:rPr>
        <w:t>վերանայումը</w:t>
      </w:r>
      <w:r w:rsidRPr="00A83C94">
        <w:rPr>
          <w:b w:val="0"/>
          <w:color w:val="000000"/>
          <w:szCs w:val="22"/>
        </w:rPr>
        <w:t xml:space="preserve"> </w:t>
      </w:r>
      <w:r w:rsidRPr="00A83C94">
        <w:rPr>
          <w:rFonts w:cs="Sylfaen"/>
          <w:b w:val="0"/>
          <w:color w:val="000000"/>
          <w:szCs w:val="22"/>
        </w:rPr>
        <w:t>պետք</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իրա</w:t>
      </w:r>
      <w:r w:rsidRPr="00A83C94">
        <w:rPr>
          <w:rFonts w:cs="Sylfaen"/>
          <w:b w:val="0"/>
          <w:color w:val="000000"/>
          <w:szCs w:val="22"/>
        </w:rPr>
        <w:softHyphen/>
        <w:t>կանացվի</w:t>
      </w:r>
      <w:r w:rsidRPr="00A83C94">
        <w:rPr>
          <w:b w:val="0"/>
          <w:color w:val="000000"/>
          <w:szCs w:val="22"/>
        </w:rPr>
        <w:t xml:space="preserve"> </w:t>
      </w:r>
      <w:r w:rsidRPr="00A83C94">
        <w:rPr>
          <w:rFonts w:cs="Sylfaen"/>
          <w:b w:val="0"/>
          <w:color w:val="000000"/>
          <w:szCs w:val="22"/>
        </w:rPr>
        <w:t>բավարար</w:t>
      </w:r>
      <w:r w:rsidRPr="00A83C94">
        <w:rPr>
          <w:b w:val="0"/>
          <w:color w:val="000000"/>
          <w:szCs w:val="22"/>
        </w:rPr>
        <w:t xml:space="preserve"> </w:t>
      </w:r>
      <w:r w:rsidRPr="00A83C94">
        <w:rPr>
          <w:rFonts w:cs="Sylfaen"/>
          <w:b w:val="0"/>
          <w:color w:val="000000"/>
          <w:szCs w:val="22"/>
        </w:rPr>
        <w:t>զգուշավորությամբ</w:t>
      </w:r>
      <w:r w:rsidRPr="00A83C94">
        <w:rPr>
          <w:b w:val="0"/>
          <w:color w:val="000000"/>
          <w:szCs w:val="22"/>
        </w:rPr>
        <w:t xml:space="preserve">` </w:t>
      </w:r>
      <w:r w:rsidRPr="00A83C94">
        <w:rPr>
          <w:rFonts w:cs="Sylfaen"/>
          <w:b w:val="0"/>
          <w:color w:val="000000"/>
          <w:szCs w:val="22"/>
        </w:rPr>
        <w:t>խուսա</w:t>
      </w:r>
      <w:r w:rsidRPr="00A83C94">
        <w:rPr>
          <w:rFonts w:cs="Sylfaen"/>
          <w:b w:val="0"/>
          <w:color w:val="000000"/>
          <w:szCs w:val="22"/>
        </w:rPr>
        <w:softHyphen/>
        <w:t>փելու համար հնարավոր</w:t>
      </w:r>
      <w:r w:rsidRPr="00A83C94">
        <w:rPr>
          <w:b w:val="0"/>
          <w:color w:val="000000"/>
          <w:szCs w:val="22"/>
        </w:rPr>
        <w:t xml:space="preserve"> </w:t>
      </w:r>
      <w:r w:rsidRPr="00A83C94">
        <w:rPr>
          <w:rFonts w:cs="Sylfaen"/>
          <w:b w:val="0"/>
          <w:color w:val="000000"/>
          <w:szCs w:val="22"/>
        </w:rPr>
        <w:t>ցնցում</w:t>
      </w:r>
      <w:r w:rsidRPr="00A83C94">
        <w:rPr>
          <w:rFonts w:cs="Sylfaen"/>
          <w:b w:val="0"/>
          <w:color w:val="000000"/>
          <w:szCs w:val="22"/>
        </w:rPr>
        <w:softHyphen/>
        <w:t>ներից</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վրա</w:t>
      </w:r>
      <w:r w:rsidRPr="00A83C94">
        <w:rPr>
          <w:b w:val="0"/>
          <w:color w:val="000000"/>
          <w:szCs w:val="22"/>
        </w:rPr>
        <w:t xml:space="preserve"> </w:t>
      </w:r>
      <w:r w:rsidRPr="00A83C94">
        <w:rPr>
          <w:rFonts w:cs="Sylfaen"/>
          <w:b w:val="0"/>
          <w:color w:val="000000"/>
          <w:szCs w:val="22"/>
        </w:rPr>
        <w:t>բացասական</w:t>
      </w:r>
      <w:r w:rsidRPr="00A83C94">
        <w:rPr>
          <w:b w:val="0"/>
          <w:color w:val="000000"/>
          <w:szCs w:val="22"/>
        </w:rPr>
        <w:t xml:space="preserve"> </w:t>
      </w:r>
      <w:r w:rsidRPr="00A83C94">
        <w:rPr>
          <w:rFonts w:cs="Sylfaen"/>
          <w:b w:val="0"/>
          <w:color w:val="000000"/>
          <w:szCs w:val="22"/>
        </w:rPr>
        <w:t>հետևանք</w:t>
      </w:r>
      <w:r w:rsidRPr="00A83C94">
        <w:rPr>
          <w:rFonts w:cs="Sylfaen"/>
          <w:b w:val="0"/>
          <w:color w:val="000000"/>
          <w:szCs w:val="22"/>
        </w:rPr>
        <w:softHyphen/>
        <w:t>նե</w:t>
      </w:r>
      <w:r w:rsidRPr="00A83C94">
        <w:rPr>
          <w:rFonts w:cs="Sylfaen"/>
          <w:b w:val="0"/>
          <w:color w:val="000000"/>
          <w:szCs w:val="22"/>
        </w:rPr>
        <w:softHyphen/>
        <w:t>րից, և հետևողականությամբ, քանի որ հարկային արտոնությունների շրջանակի վերանայումը լրացուցիչ ռեսուրսներ կենտ</w:t>
      </w:r>
      <w:r w:rsidRPr="00A83C94">
        <w:rPr>
          <w:rFonts w:cs="Sylfaen"/>
          <w:b w:val="0"/>
          <w:color w:val="000000"/>
          <w:szCs w:val="22"/>
        </w:rPr>
        <w:softHyphen/>
        <w:t>րոնացնելու և դրանք տնտեսության հետագա զարգացմանն ուղղելու հնարավորություն կընձեռի</w:t>
      </w:r>
      <w:r w:rsidRPr="00A83C94">
        <w:rPr>
          <w:b w:val="0"/>
          <w:color w:val="000000"/>
          <w:szCs w:val="22"/>
        </w:rPr>
        <w:t xml:space="preserve">: </w:t>
      </w:r>
      <w:r w:rsidRPr="00A83C94">
        <w:rPr>
          <w:rFonts w:cs="Sylfaen"/>
          <w:b w:val="0"/>
          <w:color w:val="000000"/>
          <w:szCs w:val="22"/>
        </w:rPr>
        <w:t>Մասնավորապես</w:t>
      </w:r>
      <w:r w:rsidRPr="00A83C94">
        <w:rPr>
          <w:b w:val="0"/>
          <w:color w:val="000000"/>
          <w:szCs w:val="22"/>
        </w:rPr>
        <w:t xml:space="preserve">, </w:t>
      </w:r>
      <w:r w:rsidRPr="00A83C94">
        <w:rPr>
          <w:rFonts w:cs="Sylfaen"/>
          <w:b w:val="0"/>
          <w:color w:val="000000"/>
          <w:szCs w:val="22"/>
        </w:rPr>
        <w:t>նախքան հարկային արտոնությունների</w:t>
      </w:r>
      <w:r w:rsidRPr="00A83C94">
        <w:rPr>
          <w:b w:val="0"/>
          <w:color w:val="000000"/>
          <w:szCs w:val="22"/>
        </w:rPr>
        <w:t xml:space="preserve"> </w:t>
      </w:r>
      <w:r w:rsidRPr="00A83C94">
        <w:rPr>
          <w:rFonts w:cs="Sylfaen"/>
          <w:b w:val="0"/>
          <w:color w:val="000000"/>
          <w:szCs w:val="22"/>
        </w:rPr>
        <w:t>կրճատումը</w:t>
      </w:r>
      <w:r w:rsidRPr="00A83C94">
        <w:rPr>
          <w:b w:val="0"/>
          <w:color w:val="000000"/>
          <w:szCs w:val="22"/>
        </w:rPr>
        <w:t xml:space="preserve"> </w:t>
      </w:r>
      <w:r w:rsidRPr="00A83C94">
        <w:rPr>
          <w:rFonts w:cs="Sylfaen"/>
          <w:b w:val="0"/>
          <w:color w:val="000000"/>
          <w:szCs w:val="22"/>
        </w:rPr>
        <w:t>պետք</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ման</w:t>
      </w:r>
      <w:r w:rsidRPr="00A83C94">
        <w:rPr>
          <w:rFonts w:cs="Sylfaen"/>
          <w:b w:val="0"/>
          <w:color w:val="000000"/>
          <w:szCs w:val="22"/>
        </w:rPr>
        <w:softHyphen/>
        <w:t>րա</w:t>
      </w:r>
      <w:r w:rsidRPr="00A83C94">
        <w:rPr>
          <w:rFonts w:cs="Sylfaen"/>
          <w:b w:val="0"/>
          <w:color w:val="000000"/>
          <w:szCs w:val="22"/>
        </w:rPr>
        <w:softHyphen/>
        <w:t>մասն ուսումնասիրվեն</w:t>
      </w:r>
      <w:r w:rsidRPr="00A83C94">
        <w:rPr>
          <w:b w:val="0"/>
          <w:color w:val="000000"/>
          <w:szCs w:val="22"/>
        </w:rPr>
        <w:t xml:space="preserve"> </w:t>
      </w:r>
      <w:r w:rsidRPr="00A83C94">
        <w:rPr>
          <w:rFonts w:cs="Sylfaen"/>
          <w:b w:val="0"/>
          <w:color w:val="000000"/>
          <w:szCs w:val="22"/>
        </w:rPr>
        <w:t>գործող հարկային արտո</w:t>
      </w:r>
      <w:r w:rsidRPr="00A83C94">
        <w:rPr>
          <w:rFonts w:cs="Sylfaen"/>
          <w:b w:val="0"/>
          <w:color w:val="000000"/>
          <w:szCs w:val="22"/>
        </w:rPr>
        <w:softHyphen/>
        <w:t>նությունների</w:t>
      </w:r>
      <w:r w:rsidRPr="00A83C94">
        <w:rPr>
          <w:b w:val="0"/>
          <w:color w:val="000000"/>
          <w:szCs w:val="22"/>
        </w:rPr>
        <w:t xml:space="preserve"> </w:t>
      </w:r>
      <w:r w:rsidRPr="00A83C94">
        <w:rPr>
          <w:rFonts w:cs="Sylfaen"/>
          <w:b w:val="0"/>
          <w:color w:val="000000"/>
          <w:szCs w:val="22"/>
        </w:rPr>
        <w:t>կիրառության</w:t>
      </w:r>
      <w:r w:rsidRPr="00A83C94">
        <w:rPr>
          <w:b w:val="0"/>
          <w:color w:val="000000"/>
          <w:szCs w:val="22"/>
        </w:rPr>
        <w:t xml:space="preserve"> </w:t>
      </w:r>
      <w:r w:rsidRPr="00A83C94">
        <w:rPr>
          <w:rFonts w:cs="Sylfaen"/>
          <w:b w:val="0"/>
          <w:color w:val="000000"/>
          <w:szCs w:val="22"/>
        </w:rPr>
        <w:t>բոլոր</w:t>
      </w:r>
      <w:r w:rsidRPr="00A83C94">
        <w:rPr>
          <w:b w:val="0"/>
          <w:color w:val="000000"/>
          <w:szCs w:val="22"/>
        </w:rPr>
        <w:t xml:space="preserve"> </w:t>
      </w:r>
      <w:r w:rsidRPr="00A83C94">
        <w:rPr>
          <w:rFonts w:cs="Sylfaen"/>
          <w:b w:val="0"/>
          <w:color w:val="000000"/>
          <w:szCs w:val="22"/>
        </w:rPr>
        <w:t>դրա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բացասական</w:t>
      </w:r>
      <w:r w:rsidRPr="00A83C94">
        <w:rPr>
          <w:b w:val="0"/>
          <w:color w:val="000000"/>
          <w:szCs w:val="22"/>
        </w:rPr>
        <w:t xml:space="preserve"> </w:t>
      </w:r>
      <w:r w:rsidRPr="00A83C94">
        <w:rPr>
          <w:rFonts w:cs="Sylfaen"/>
          <w:b w:val="0"/>
          <w:color w:val="000000"/>
          <w:szCs w:val="22"/>
        </w:rPr>
        <w:t>կողմերը</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թվում</w:t>
      </w:r>
      <w:r w:rsidRPr="00A83C94">
        <w:rPr>
          <w:b w:val="0"/>
          <w:color w:val="000000"/>
          <w:szCs w:val="22"/>
        </w:rPr>
        <w:t xml:space="preserve">` </w:t>
      </w:r>
      <w:r w:rsidRPr="00A83C94">
        <w:rPr>
          <w:rFonts w:cs="Sylfaen"/>
          <w:b w:val="0"/>
          <w:color w:val="000000"/>
          <w:szCs w:val="22"/>
        </w:rPr>
        <w:t>ինչ</w:t>
      </w:r>
      <w:r w:rsidRPr="00A83C94">
        <w:rPr>
          <w:rFonts w:cs="Sylfaen"/>
          <w:b w:val="0"/>
          <w:color w:val="000000"/>
          <w:szCs w:val="22"/>
        </w:rPr>
        <w:softHyphen/>
        <w:t>պես</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այնպես</w:t>
      </w:r>
      <w:r w:rsidRPr="00A83C94">
        <w:rPr>
          <w:b w:val="0"/>
          <w:color w:val="000000"/>
          <w:szCs w:val="22"/>
        </w:rPr>
        <w:t xml:space="preserve"> </w:t>
      </w:r>
      <w:r w:rsidRPr="00A83C94">
        <w:rPr>
          <w:rFonts w:cs="Sylfaen"/>
          <w:b w:val="0"/>
          <w:color w:val="000000"/>
          <w:szCs w:val="22"/>
        </w:rPr>
        <w:t>էլ</w:t>
      </w:r>
      <w:r w:rsidRPr="00A83C94">
        <w:rPr>
          <w:b w:val="0"/>
          <w:color w:val="000000"/>
          <w:szCs w:val="22"/>
        </w:rPr>
        <w:t xml:space="preserve"> </w:t>
      </w:r>
      <w:r w:rsidRPr="00A83C94">
        <w:rPr>
          <w:rFonts w:cs="Sylfaen"/>
          <w:b w:val="0"/>
          <w:color w:val="000000"/>
          <w:szCs w:val="22"/>
        </w:rPr>
        <w:t>այդ</w:t>
      </w:r>
      <w:r w:rsidRPr="00A83C94">
        <w:rPr>
          <w:b w:val="0"/>
          <w:color w:val="000000"/>
          <w:szCs w:val="22"/>
        </w:rPr>
        <w:t xml:space="preserve"> </w:t>
      </w:r>
      <w:r w:rsidRPr="00A83C94">
        <w:rPr>
          <w:rFonts w:cs="Sylfaen"/>
          <w:b w:val="0"/>
          <w:color w:val="000000"/>
          <w:szCs w:val="22"/>
        </w:rPr>
        <w:t>արտո</w:t>
      </w:r>
      <w:r w:rsidRPr="00A83C94">
        <w:rPr>
          <w:rFonts w:cs="Sylfaen"/>
          <w:b w:val="0"/>
          <w:color w:val="000000"/>
          <w:szCs w:val="22"/>
        </w:rPr>
        <w:softHyphen/>
        <w:t>նու</w:t>
      </w:r>
      <w:r w:rsidRPr="00A83C94">
        <w:rPr>
          <w:rFonts w:cs="Sylfaen"/>
          <w:b w:val="0"/>
          <w:color w:val="000000"/>
          <w:szCs w:val="22"/>
        </w:rPr>
        <w:softHyphen/>
        <w:t>թյուն</w:t>
      </w:r>
      <w:r w:rsidRPr="00A83C94">
        <w:rPr>
          <w:rFonts w:cs="Sylfaen"/>
          <w:b w:val="0"/>
          <w:color w:val="000000"/>
          <w:szCs w:val="22"/>
        </w:rPr>
        <w:softHyphen/>
        <w:t>ներից</w:t>
      </w:r>
      <w:r w:rsidRPr="00A83C94">
        <w:rPr>
          <w:b w:val="0"/>
          <w:color w:val="000000"/>
          <w:szCs w:val="22"/>
        </w:rPr>
        <w:t xml:space="preserve"> </w:t>
      </w:r>
      <w:r w:rsidRPr="00A83C94">
        <w:rPr>
          <w:rFonts w:cs="Sylfaen"/>
          <w:b w:val="0"/>
          <w:color w:val="000000"/>
          <w:szCs w:val="22"/>
        </w:rPr>
        <w:t>օգտվողների</w:t>
      </w:r>
      <w:r w:rsidRPr="00A83C94">
        <w:rPr>
          <w:b w:val="0"/>
          <w:color w:val="000000"/>
          <w:szCs w:val="22"/>
        </w:rPr>
        <w:t xml:space="preserve"> </w:t>
      </w:r>
      <w:r w:rsidRPr="00A83C94">
        <w:rPr>
          <w:rFonts w:cs="Sylfaen"/>
          <w:b w:val="0"/>
          <w:color w:val="000000"/>
          <w:szCs w:val="22"/>
        </w:rPr>
        <w:t>տեսանկյունից</w:t>
      </w:r>
      <w:r w:rsidRPr="00A83C94">
        <w:rPr>
          <w:b w:val="0"/>
          <w:color w:val="000000"/>
          <w:szCs w:val="22"/>
        </w:rPr>
        <w:t xml:space="preserve">, </w:t>
      </w:r>
      <w:r w:rsidRPr="00A83C94">
        <w:rPr>
          <w:rFonts w:cs="Sylfaen"/>
          <w:b w:val="0"/>
          <w:color w:val="000000"/>
          <w:szCs w:val="22"/>
        </w:rPr>
        <w:t>համադր</w:t>
      </w:r>
      <w:r w:rsidRPr="00A83C94">
        <w:rPr>
          <w:rFonts w:cs="Sylfaen"/>
          <w:b w:val="0"/>
          <w:color w:val="000000"/>
          <w:szCs w:val="22"/>
        </w:rPr>
        <w:softHyphen/>
        <w:t>վեն</w:t>
      </w:r>
      <w:r w:rsidRPr="00A83C94">
        <w:rPr>
          <w:b w:val="0"/>
          <w:color w:val="000000"/>
          <w:szCs w:val="22"/>
        </w:rPr>
        <w:t xml:space="preserve"> </w:t>
      </w:r>
      <w:r w:rsidRPr="00A83C94">
        <w:rPr>
          <w:rFonts w:cs="Sylfaen"/>
          <w:b w:val="0"/>
          <w:color w:val="000000"/>
          <w:szCs w:val="22"/>
        </w:rPr>
        <w:t>արտոնությունների</w:t>
      </w:r>
      <w:r w:rsidRPr="00A83C94">
        <w:rPr>
          <w:b w:val="0"/>
          <w:color w:val="000000"/>
          <w:szCs w:val="22"/>
        </w:rPr>
        <w:t xml:space="preserve"> </w:t>
      </w:r>
      <w:r w:rsidRPr="00A83C94">
        <w:rPr>
          <w:rFonts w:cs="Sylfaen"/>
          <w:b w:val="0"/>
          <w:color w:val="000000"/>
          <w:szCs w:val="22"/>
        </w:rPr>
        <w:t>կիրառության</w:t>
      </w:r>
      <w:r w:rsidRPr="00A83C94">
        <w:rPr>
          <w:b w:val="0"/>
          <w:color w:val="000000"/>
          <w:szCs w:val="22"/>
        </w:rPr>
        <w:t xml:space="preserve"> </w:t>
      </w:r>
      <w:r w:rsidRPr="00A83C94">
        <w:rPr>
          <w:rFonts w:cs="Sylfaen"/>
          <w:b w:val="0"/>
          <w:color w:val="000000"/>
          <w:szCs w:val="22"/>
        </w:rPr>
        <w:t>օգուտ</w:t>
      </w:r>
      <w:r w:rsidRPr="00A83C94">
        <w:rPr>
          <w:rFonts w:cs="Sylfaen"/>
          <w:b w:val="0"/>
          <w:color w:val="000000"/>
          <w:szCs w:val="22"/>
        </w:rPr>
        <w:softHyphen/>
        <w:t>ներն</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վնասները</w:t>
      </w:r>
      <w:r w:rsidRPr="00A83C94">
        <w:rPr>
          <w:b w:val="0"/>
          <w:color w:val="000000"/>
          <w:szCs w:val="22"/>
        </w:rPr>
        <w:t xml:space="preserve">, </w:t>
      </w:r>
      <w:r w:rsidRPr="00A83C94">
        <w:rPr>
          <w:rFonts w:cs="Sylfaen"/>
          <w:b w:val="0"/>
          <w:color w:val="000000"/>
          <w:szCs w:val="22"/>
        </w:rPr>
        <w:t>բացահայտվեն</w:t>
      </w:r>
      <w:r w:rsidRPr="00A83C94">
        <w:rPr>
          <w:b w:val="0"/>
          <w:color w:val="000000"/>
          <w:szCs w:val="22"/>
        </w:rPr>
        <w:t xml:space="preserve"> </w:t>
      </w:r>
      <w:r w:rsidRPr="00A83C94">
        <w:rPr>
          <w:rFonts w:cs="Sylfaen"/>
          <w:b w:val="0"/>
          <w:color w:val="000000"/>
          <w:szCs w:val="22"/>
        </w:rPr>
        <w:t>արտոնու</w:t>
      </w:r>
      <w:r w:rsidRPr="00A83C94">
        <w:rPr>
          <w:rFonts w:cs="Sylfaen"/>
          <w:b w:val="0"/>
          <w:color w:val="000000"/>
          <w:szCs w:val="22"/>
        </w:rPr>
        <w:softHyphen/>
        <w:t>թյուն</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վերանայման</w:t>
      </w:r>
      <w:r w:rsidRPr="00A83C94">
        <w:rPr>
          <w:b w:val="0"/>
          <w:color w:val="000000"/>
          <w:szCs w:val="22"/>
        </w:rPr>
        <w:t xml:space="preserve"> </w:t>
      </w:r>
      <w:r w:rsidRPr="00A83C94">
        <w:rPr>
          <w:rFonts w:cs="Sylfaen"/>
          <w:b w:val="0"/>
          <w:color w:val="000000"/>
          <w:szCs w:val="22"/>
        </w:rPr>
        <w:t>հնարավոր</w:t>
      </w:r>
      <w:r w:rsidRPr="00A83C94">
        <w:rPr>
          <w:b w:val="0"/>
          <w:color w:val="000000"/>
          <w:szCs w:val="22"/>
        </w:rPr>
        <w:t xml:space="preserve"> </w:t>
      </w:r>
      <w:r w:rsidRPr="00A83C94">
        <w:rPr>
          <w:rFonts w:cs="Sylfaen"/>
          <w:b w:val="0"/>
          <w:color w:val="000000"/>
          <w:szCs w:val="22"/>
        </w:rPr>
        <w:t>ազդե</w:t>
      </w:r>
      <w:r w:rsidRPr="00A83C94">
        <w:rPr>
          <w:rFonts w:cs="Sylfaen"/>
          <w:b w:val="0"/>
          <w:color w:val="000000"/>
          <w:szCs w:val="22"/>
        </w:rPr>
        <w:softHyphen/>
        <w:t>ցու</w:t>
      </w:r>
      <w:r w:rsidRPr="00A83C94">
        <w:rPr>
          <w:rFonts w:cs="Sylfaen"/>
          <w:b w:val="0"/>
          <w:color w:val="000000"/>
          <w:szCs w:val="22"/>
        </w:rPr>
        <w:softHyphen/>
        <w:t>թյունները</w:t>
      </w:r>
      <w:r w:rsidRPr="00A83C94">
        <w:rPr>
          <w:b w:val="0"/>
          <w:color w:val="000000"/>
          <w:szCs w:val="22"/>
        </w:rPr>
        <w:t xml:space="preserve"> </w:t>
      </w:r>
      <w:r w:rsidRPr="00A83C94">
        <w:rPr>
          <w:rFonts w:cs="Sylfaen"/>
          <w:b w:val="0"/>
          <w:color w:val="000000"/>
          <w:szCs w:val="22"/>
        </w:rPr>
        <w:t>պետական</w:t>
      </w:r>
      <w:r w:rsidRPr="00A83C94">
        <w:rPr>
          <w:b w:val="0"/>
          <w:color w:val="000000"/>
          <w:szCs w:val="22"/>
        </w:rPr>
        <w:t xml:space="preserve"> </w:t>
      </w:r>
      <w:r w:rsidRPr="00A83C94">
        <w:rPr>
          <w:rFonts w:cs="Sylfaen"/>
          <w:b w:val="0"/>
          <w:color w:val="000000"/>
          <w:szCs w:val="22"/>
        </w:rPr>
        <w:t>բյուջեի հարկային եկա</w:t>
      </w:r>
      <w:r w:rsidRPr="00A83C94">
        <w:rPr>
          <w:rFonts w:cs="Sylfaen"/>
          <w:b w:val="0"/>
          <w:color w:val="000000"/>
          <w:szCs w:val="22"/>
        </w:rPr>
        <w:softHyphen/>
        <w:t>մուտ</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ազգային</w:t>
      </w:r>
      <w:r w:rsidRPr="00A83C94">
        <w:rPr>
          <w:b w:val="0"/>
          <w:color w:val="000000"/>
          <w:szCs w:val="22"/>
        </w:rPr>
        <w:t xml:space="preserve"> </w:t>
      </w:r>
      <w:r w:rsidRPr="00A83C94">
        <w:rPr>
          <w:rFonts w:cs="Sylfaen"/>
          <w:b w:val="0"/>
          <w:color w:val="000000"/>
          <w:szCs w:val="22"/>
        </w:rPr>
        <w:t>տնտեսության</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ակտիվության</w:t>
      </w:r>
      <w:r w:rsidRPr="00A83C94">
        <w:rPr>
          <w:b w:val="0"/>
          <w:color w:val="000000"/>
          <w:szCs w:val="22"/>
        </w:rPr>
        <w:t xml:space="preserve">, </w:t>
      </w:r>
      <w:r w:rsidRPr="00A83C94">
        <w:rPr>
          <w:rFonts w:cs="Sylfaen"/>
          <w:b w:val="0"/>
          <w:color w:val="000000"/>
          <w:szCs w:val="22"/>
        </w:rPr>
        <w:t>գործարար</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ներդրու</w:t>
      </w:r>
      <w:r w:rsidRPr="00A83C94">
        <w:rPr>
          <w:rFonts w:cs="Sylfaen"/>
          <w:b w:val="0"/>
          <w:color w:val="000000"/>
          <w:szCs w:val="22"/>
        </w:rPr>
        <w:softHyphen/>
        <w:t>մա</w:t>
      </w:r>
      <w:r w:rsidRPr="00A83C94">
        <w:rPr>
          <w:rFonts w:cs="Sylfaen"/>
          <w:b w:val="0"/>
          <w:color w:val="000000"/>
          <w:szCs w:val="22"/>
        </w:rPr>
        <w:softHyphen/>
        <w:t>յին</w:t>
      </w:r>
      <w:r w:rsidRPr="00A83C94">
        <w:rPr>
          <w:b w:val="0"/>
          <w:color w:val="000000"/>
          <w:szCs w:val="22"/>
        </w:rPr>
        <w:t xml:space="preserve"> </w:t>
      </w:r>
      <w:r w:rsidRPr="00A83C94">
        <w:rPr>
          <w:rFonts w:cs="Sylfaen"/>
          <w:b w:val="0"/>
          <w:color w:val="000000"/>
          <w:szCs w:val="22"/>
        </w:rPr>
        <w:t>գրավչության</w:t>
      </w:r>
      <w:r w:rsidRPr="00A83C94">
        <w:rPr>
          <w:b w:val="0"/>
          <w:color w:val="000000"/>
          <w:szCs w:val="22"/>
        </w:rPr>
        <w:t xml:space="preserve">, </w:t>
      </w:r>
      <w:r w:rsidRPr="00A83C94">
        <w:rPr>
          <w:rFonts w:cs="Sylfaen"/>
          <w:b w:val="0"/>
          <w:color w:val="000000"/>
          <w:szCs w:val="22"/>
        </w:rPr>
        <w:t>երկրի</w:t>
      </w:r>
      <w:r w:rsidRPr="00A83C94">
        <w:rPr>
          <w:b w:val="0"/>
          <w:color w:val="000000"/>
          <w:szCs w:val="22"/>
        </w:rPr>
        <w:t xml:space="preserve"> </w:t>
      </w:r>
      <w:r w:rsidRPr="00A83C94">
        <w:rPr>
          <w:rFonts w:cs="Sylfaen"/>
          <w:b w:val="0"/>
          <w:color w:val="000000"/>
          <w:szCs w:val="22"/>
        </w:rPr>
        <w:t>սոցիալ</w:t>
      </w:r>
      <w:r w:rsidRPr="00A83C94">
        <w:rPr>
          <w:b w:val="0"/>
          <w:color w:val="000000"/>
          <w:szCs w:val="22"/>
        </w:rPr>
        <w:t>-</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կան</w:t>
      </w:r>
      <w:r w:rsidRPr="00A83C94">
        <w:rPr>
          <w:b w:val="0"/>
          <w:color w:val="000000"/>
          <w:szCs w:val="22"/>
        </w:rPr>
        <w:t xml:space="preserve"> </w:t>
      </w:r>
      <w:r w:rsidRPr="00A83C94">
        <w:rPr>
          <w:rFonts w:cs="Sylfaen"/>
          <w:b w:val="0"/>
          <w:color w:val="000000"/>
          <w:szCs w:val="22"/>
        </w:rPr>
        <w:t>վիճակի</w:t>
      </w:r>
      <w:r w:rsidRPr="00A83C94">
        <w:rPr>
          <w:b w:val="0"/>
          <w:color w:val="000000"/>
          <w:szCs w:val="22"/>
        </w:rPr>
        <w:t xml:space="preserve">, </w:t>
      </w:r>
      <w:r w:rsidRPr="00A83C94">
        <w:rPr>
          <w:rFonts w:cs="Sylfaen"/>
          <w:b w:val="0"/>
          <w:color w:val="000000"/>
          <w:szCs w:val="22"/>
        </w:rPr>
        <w:t>տնտեսական</w:t>
      </w:r>
      <w:r w:rsidRPr="00A83C94">
        <w:rPr>
          <w:b w:val="0"/>
          <w:color w:val="000000"/>
          <w:szCs w:val="22"/>
        </w:rPr>
        <w:t xml:space="preserve"> </w:t>
      </w:r>
      <w:r w:rsidRPr="00A83C94">
        <w:rPr>
          <w:rFonts w:cs="Sylfaen"/>
          <w:b w:val="0"/>
          <w:color w:val="000000"/>
          <w:szCs w:val="22"/>
        </w:rPr>
        <w:t>մրցակցության</w:t>
      </w:r>
      <w:r w:rsidRPr="00A83C94">
        <w:rPr>
          <w:b w:val="0"/>
          <w:color w:val="000000"/>
          <w:szCs w:val="22"/>
        </w:rPr>
        <w:t xml:space="preserve">, </w:t>
      </w:r>
      <w:r w:rsidRPr="00A83C94">
        <w:rPr>
          <w:rFonts w:cs="Sylfaen"/>
          <w:b w:val="0"/>
          <w:color w:val="000000"/>
          <w:szCs w:val="22"/>
        </w:rPr>
        <w:t>գնա</w:t>
      </w:r>
      <w:r w:rsidRPr="00A83C94">
        <w:rPr>
          <w:rFonts w:cs="Sylfaen"/>
          <w:b w:val="0"/>
          <w:color w:val="000000"/>
          <w:szCs w:val="22"/>
        </w:rPr>
        <w:softHyphen/>
        <w:t>ճա</w:t>
      </w:r>
      <w:r w:rsidRPr="00A83C94">
        <w:rPr>
          <w:rFonts w:cs="Sylfaen"/>
          <w:b w:val="0"/>
          <w:color w:val="000000"/>
          <w:szCs w:val="22"/>
        </w:rPr>
        <w:softHyphen/>
        <w:t>յին</w:t>
      </w:r>
      <w:r w:rsidRPr="00A83C94">
        <w:rPr>
          <w:b w:val="0"/>
          <w:color w:val="000000"/>
          <w:szCs w:val="22"/>
        </w:rPr>
        <w:t xml:space="preserve"> </w:t>
      </w:r>
      <w:r w:rsidRPr="00A83C94">
        <w:rPr>
          <w:rFonts w:cs="Sylfaen"/>
          <w:b w:val="0"/>
          <w:color w:val="000000"/>
          <w:szCs w:val="22"/>
        </w:rPr>
        <w:t>ճնշումների</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այլ</w:t>
      </w:r>
      <w:r w:rsidRPr="00A83C94">
        <w:rPr>
          <w:b w:val="0"/>
          <w:color w:val="000000"/>
          <w:szCs w:val="22"/>
        </w:rPr>
        <w:t xml:space="preserve"> </w:t>
      </w:r>
      <w:r w:rsidRPr="00A83C94">
        <w:rPr>
          <w:rFonts w:cs="Sylfaen"/>
          <w:b w:val="0"/>
          <w:color w:val="000000"/>
          <w:szCs w:val="22"/>
        </w:rPr>
        <w:t>կարևոր</w:t>
      </w:r>
      <w:r w:rsidRPr="00A83C94">
        <w:rPr>
          <w:b w:val="0"/>
          <w:color w:val="000000"/>
          <w:szCs w:val="22"/>
        </w:rPr>
        <w:t xml:space="preserve"> </w:t>
      </w:r>
      <w:r w:rsidRPr="00A83C94">
        <w:rPr>
          <w:rFonts w:cs="Sylfaen"/>
          <w:b w:val="0"/>
          <w:color w:val="000000"/>
          <w:szCs w:val="22"/>
        </w:rPr>
        <w:t>ցուցա</w:t>
      </w:r>
      <w:r w:rsidRPr="00A83C94">
        <w:rPr>
          <w:rFonts w:cs="Sylfaen"/>
          <w:b w:val="0"/>
          <w:color w:val="000000"/>
          <w:szCs w:val="22"/>
        </w:rPr>
        <w:softHyphen/>
        <w:t>նիշ</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վրա</w:t>
      </w:r>
      <w:r w:rsidRPr="00A83C94">
        <w:rPr>
          <w:b w:val="0"/>
          <w:color w:val="000000"/>
          <w:szCs w:val="22"/>
        </w:rPr>
        <w:t xml:space="preserve">: </w:t>
      </w:r>
      <w:r w:rsidRPr="00A83C94">
        <w:rPr>
          <w:rFonts w:cs="Sylfaen"/>
          <w:b w:val="0"/>
          <w:color w:val="000000"/>
          <w:szCs w:val="22"/>
        </w:rPr>
        <w:t>Վերոնշյալը</w:t>
      </w:r>
      <w:r w:rsidRPr="00A83C94">
        <w:rPr>
          <w:b w:val="0"/>
          <w:color w:val="000000"/>
          <w:szCs w:val="22"/>
        </w:rPr>
        <w:t xml:space="preserve"> </w:t>
      </w:r>
      <w:r w:rsidRPr="00A83C94">
        <w:rPr>
          <w:rFonts w:cs="Sylfaen"/>
          <w:b w:val="0"/>
          <w:color w:val="000000"/>
          <w:szCs w:val="22"/>
        </w:rPr>
        <w:t>նաև</w:t>
      </w:r>
      <w:r w:rsidRPr="00A83C94">
        <w:rPr>
          <w:b w:val="0"/>
          <w:color w:val="000000"/>
          <w:szCs w:val="22"/>
        </w:rPr>
        <w:t xml:space="preserve"> </w:t>
      </w:r>
      <w:r w:rsidRPr="00A83C94">
        <w:rPr>
          <w:rFonts w:cs="Sylfaen"/>
          <w:b w:val="0"/>
          <w:color w:val="000000"/>
          <w:szCs w:val="22"/>
        </w:rPr>
        <w:t>նշանակում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որ</w:t>
      </w:r>
      <w:r w:rsidRPr="00A83C94">
        <w:rPr>
          <w:b w:val="0"/>
          <w:color w:val="000000"/>
          <w:szCs w:val="22"/>
        </w:rPr>
        <w:t xml:space="preserve"> </w:t>
      </w:r>
      <w:r w:rsidRPr="00A83C94">
        <w:rPr>
          <w:rFonts w:cs="Sylfaen"/>
          <w:b w:val="0"/>
          <w:color w:val="000000"/>
          <w:szCs w:val="22"/>
        </w:rPr>
        <w:t>առա</w:t>
      </w:r>
      <w:r w:rsidRPr="00A83C94">
        <w:rPr>
          <w:rFonts w:cs="Sylfaen"/>
          <w:b w:val="0"/>
          <w:color w:val="000000"/>
          <w:szCs w:val="22"/>
        </w:rPr>
        <w:softHyphen/>
        <w:t>ջիկա</w:t>
      </w:r>
      <w:r w:rsidRPr="00A83C94">
        <w:rPr>
          <w:b w:val="0"/>
          <w:color w:val="000000"/>
          <w:szCs w:val="22"/>
        </w:rPr>
        <w:t xml:space="preserve"> </w:t>
      </w:r>
      <w:r w:rsidRPr="00A83C94">
        <w:rPr>
          <w:rFonts w:cs="Sylfaen"/>
          <w:b w:val="0"/>
          <w:color w:val="000000"/>
          <w:szCs w:val="22"/>
        </w:rPr>
        <w:t>տարիներին հարկային քաղա</w:t>
      </w:r>
      <w:r w:rsidRPr="00A83C94">
        <w:rPr>
          <w:rFonts w:cs="Sylfaen"/>
          <w:b w:val="0"/>
          <w:color w:val="000000"/>
          <w:szCs w:val="22"/>
        </w:rPr>
        <w:softHyphen/>
        <w:t>քակա</w:t>
      </w:r>
      <w:r w:rsidRPr="00A83C94">
        <w:rPr>
          <w:rFonts w:cs="Sylfaen"/>
          <w:b w:val="0"/>
          <w:color w:val="000000"/>
          <w:szCs w:val="22"/>
        </w:rPr>
        <w:softHyphen/>
        <w:t>նու</w:t>
      </w:r>
      <w:r w:rsidRPr="00A83C94">
        <w:rPr>
          <w:rFonts w:cs="Sylfaen"/>
          <w:b w:val="0"/>
          <w:color w:val="000000"/>
          <w:szCs w:val="22"/>
        </w:rPr>
        <w:softHyphen/>
        <w:t xml:space="preserve">թյան </w:t>
      </w:r>
      <w:r w:rsidRPr="00A83C94">
        <w:rPr>
          <w:rFonts w:cs="Sylfaen"/>
          <w:b w:val="0"/>
          <w:color w:val="000000"/>
          <w:szCs w:val="22"/>
          <w:lang w:val="en-US"/>
        </w:rPr>
        <w:t>շրջանակներում</w:t>
      </w:r>
      <w:r w:rsidRPr="00A83C94">
        <w:rPr>
          <w:rFonts w:cs="Sylfaen"/>
          <w:b w:val="0"/>
          <w:color w:val="000000"/>
          <w:szCs w:val="22"/>
        </w:rPr>
        <w:t xml:space="preserve"> շեշտադրումը</w:t>
      </w:r>
      <w:r w:rsidRPr="00A83C94">
        <w:rPr>
          <w:b w:val="0"/>
          <w:color w:val="000000"/>
          <w:szCs w:val="22"/>
        </w:rPr>
        <w:t xml:space="preserve"> </w:t>
      </w:r>
      <w:r w:rsidRPr="00A83C94">
        <w:rPr>
          <w:rFonts w:cs="Sylfaen"/>
          <w:b w:val="0"/>
          <w:color w:val="000000"/>
          <w:szCs w:val="22"/>
        </w:rPr>
        <w:t>կատար</w:t>
      </w:r>
      <w:r w:rsidRPr="00A83C94">
        <w:rPr>
          <w:rFonts w:cs="Sylfaen"/>
          <w:b w:val="0"/>
          <w:color w:val="000000"/>
          <w:szCs w:val="22"/>
        </w:rPr>
        <w:softHyphen/>
        <w:t>վելու</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հատ</w:t>
      </w:r>
      <w:r w:rsidRPr="00A83C94">
        <w:rPr>
          <w:rFonts w:cs="Sylfaen"/>
          <w:b w:val="0"/>
          <w:color w:val="000000"/>
          <w:szCs w:val="22"/>
        </w:rPr>
        <w:softHyphen/>
        <w:t>կապես</w:t>
      </w:r>
      <w:r w:rsidRPr="00A83C94">
        <w:rPr>
          <w:b w:val="0"/>
          <w:color w:val="000000"/>
          <w:szCs w:val="22"/>
        </w:rPr>
        <w:t xml:space="preserve"> </w:t>
      </w:r>
      <w:r w:rsidRPr="00A83C94">
        <w:rPr>
          <w:rFonts w:cs="Sylfaen"/>
          <w:b w:val="0"/>
          <w:color w:val="000000"/>
          <w:szCs w:val="22"/>
        </w:rPr>
        <w:t>այն</w:t>
      </w:r>
      <w:r w:rsidRPr="00A83C94">
        <w:rPr>
          <w:b w:val="0"/>
          <w:color w:val="000000"/>
          <w:szCs w:val="22"/>
        </w:rPr>
        <w:t xml:space="preserve"> </w:t>
      </w:r>
      <w:r w:rsidRPr="00A83C94">
        <w:rPr>
          <w:rFonts w:cs="Sylfaen"/>
          <w:b w:val="0"/>
          <w:color w:val="000000"/>
          <w:szCs w:val="22"/>
        </w:rPr>
        <w:t>արտո</w:t>
      </w:r>
      <w:r w:rsidRPr="00A83C94">
        <w:rPr>
          <w:rFonts w:cs="Sylfaen"/>
          <w:b w:val="0"/>
          <w:color w:val="000000"/>
          <w:szCs w:val="22"/>
        </w:rPr>
        <w:softHyphen/>
        <w:t>նու</w:t>
      </w:r>
      <w:r w:rsidRPr="00A83C94">
        <w:rPr>
          <w:rFonts w:cs="Sylfaen"/>
          <w:b w:val="0"/>
          <w:color w:val="000000"/>
          <w:szCs w:val="22"/>
        </w:rPr>
        <w:softHyphen/>
        <w:t>թյունների</w:t>
      </w:r>
      <w:r w:rsidRPr="00A83C94">
        <w:rPr>
          <w:b w:val="0"/>
          <w:color w:val="000000"/>
          <w:szCs w:val="22"/>
        </w:rPr>
        <w:t xml:space="preserve"> </w:t>
      </w:r>
      <w:r w:rsidRPr="00A83C94">
        <w:rPr>
          <w:rFonts w:cs="Sylfaen"/>
          <w:b w:val="0"/>
          <w:color w:val="000000"/>
          <w:szCs w:val="22"/>
        </w:rPr>
        <w:t>վերանայման</w:t>
      </w:r>
      <w:r w:rsidRPr="00A83C94">
        <w:rPr>
          <w:b w:val="0"/>
          <w:color w:val="000000"/>
          <w:szCs w:val="22"/>
        </w:rPr>
        <w:t xml:space="preserve"> </w:t>
      </w:r>
      <w:r w:rsidRPr="00A83C94">
        <w:rPr>
          <w:rFonts w:cs="Sylfaen"/>
          <w:b w:val="0"/>
          <w:color w:val="000000"/>
          <w:szCs w:val="22"/>
        </w:rPr>
        <w:t>վրա</w:t>
      </w:r>
      <w:r w:rsidRPr="00A83C94">
        <w:rPr>
          <w:b w:val="0"/>
          <w:color w:val="000000"/>
          <w:szCs w:val="22"/>
        </w:rPr>
        <w:t xml:space="preserve">, </w:t>
      </w:r>
      <w:r w:rsidRPr="00A83C94">
        <w:rPr>
          <w:rFonts w:cs="Sylfaen"/>
          <w:b w:val="0"/>
          <w:color w:val="000000"/>
          <w:szCs w:val="22"/>
        </w:rPr>
        <w:t>որոնց</w:t>
      </w:r>
      <w:r w:rsidRPr="00A83C94">
        <w:rPr>
          <w:b w:val="0"/>
          <w:color w:val="000000"/>
          <w:szCs w:val="22"/>
        </w:rPr>
        <w:t xml:space="preserve"> </w:t>
      </w:r>
      <w:r w:rsidRPr="00A83C94">
        <w:rPr>
          <w:rFonts w:cs="Sylfaen"/>
          <w:b w:val="0"/>
          <w:color w:val="000000"/>
          <w:szCs w:val="22"/>
        </w:rPr>
        <w:t>ազդեցությունը</w:t>
      </w:r>
      <w:r w:rsidRPr="00A83C94">
        <w:rPr>
          <w:b w:val="0"/>
          <w:color w:val="000000"/>
          <w:szCs w:val="22"/>
        </w:rPr>
        <w:t xml:space="preserve"> </w:t>
      </w:r>
      <w:r w:rsidRPr="00A83C94">
        <w:rPr>
          <w:rFonts w:cs="Sylfaen"/>
          <w:b w:val="0"/>
          <w:color w:val="000000"/>
          <w:szCs w:val="22"/>
        </w:rPr>
        <w:t>ազգա</w:t>
      </w:r>
      <w:r w:rsidRPr="00A83C94">
        <w:rPr>
          <w:rFonts w:cs="Sylfaen"/>
          <w:b w:val="0"/>
          <w:color w:val="000000"/>
          <w:szCs w:val="22"/>
        </w:rPr>
        <w:softHyphen/>
        <w:t>յին</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սության</w:t>
      </w:r>
      <w:r w:rsidRPr="00A83C94">
        <w:rPr>
          <w:b w:val="0"/>
          <w:color w:val="000000"/>
          <w:szCs w:val="22"/>
        </w:rPr>
        <w:t xml:space="preserve"> </w:t>
      </w:r>
      <w:r w:rsidRPr="00A83C94">
        <w:rPr>
          <w:rFonts w:cs="Sylfaen"/>
          <w:b w:val="0"/>
          <w:color w:val="000000"/>
          <w:szCs w:val="22"/>
        </w:rPr>
        <w:t>զարգաց</w:t>
      </w:r>
      <w:r w:rsidRPr="00A83C94">
        <w:rPr>
          <w:rFonts w:cs="Sylfaen"/>
          <w:b w:val="0"/>
          <w:color w:val="000000"/>
          <w:szCs w:val="22"/>
        </w:rPr>
        <w:softHyphen/>
        <w:t>ման</w:t>
      </w:r>
      <w:r w:rsidRPr="00A83C94">
        <w:rPr>
          <w:b w:val="0"/>
          <w:color w:val="000000"/>
          <w:szCs w:val="22"/>
        </w:rPr>
        <w:t xml:space="preserve"> </w:t>
      </w:r>
      <w:r w:rsidRPr="00A83C94">
        <w:rPr>
          <w:rFonts w:cs="Sylfaen"/>
          <w:b w:val="0"/>
          <w:color w:val="000000"/>
          <w:szCs w:val="22"/>
        </w:rPr>
        <w:t>տեսանկյունից</w:t>
      </w:r>
      <w:r w:rsidRPr="00A83C94">
        <w:rPr>
          <w:b w:val="0"/>
          <w:color w:val="000000"/>
          <w:szCs w:val="22"/>
        </w:rPr>
        <w:t xml:space="preserve"> </w:t>
      </w:r>
      <w:r w:rsidRPr="00A83C94">
        <w:rPr>
          <w:rFonts w:cs="Sylfaen"/>
          <w:b w:val="0"/>
          <w:color w:val="000000"/>
          <w:szCs w:val="22"/>
        </w:rPr>
        <w:t>գնահատվում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ցածր</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որոնց</w:t>
      </w:r>
      <w:r w:rsidRPr="00A83C94">
        <w:rPr>
          <w:b w:val="0"/>
          <w:color w:val="000000"/>
          <w:szCs w:val="22"/>
        </w:rPr>
        <w:t xml:space="preserve"> </w:t>
      </w:r>
      <w:r w:rsidRPr="00A83C94">
        <w:rPr>
          <w:rFonts w:cs="Sylfaen"/>
          <w:b w:val="0"/>
          <w:color w:val="000000"/>
          <w:szCs w:val="22"/>
        </w:rPr>
        <w:t>կիրա</w:t>
      </w:r>
      <w:r w:rsidRPr="00A83C94">
        <w:rPr>
          <w:rFonts w:cs="Sylfaen"/>
          <w:b w:val="0"/>
          <w:color w:val="000000"/>
          <w:szCs w:val="22"/>
        </w:rPr>
        <w:softHyphen/>
        <w:t>ռու</w:t>
      </w:r>
      <w:r w:rsidRPr="00A83C94">
        <w:rPr>
          <w:rFonts w:cs="Sylfaen"/>
          <w:b w:val="0"/>
          <w:color w:val="000000"/>
          <w:szCs w:val="22"/>
        </w:rPr>
        <w:softHyphen/>
        <w:t>թյան</w:t>
      </w:r>
      <w:r w:rsidRPr="00A83C94">
        <w:rPr>
          <w:b w:val="0"/>
          <w:color w:val="000000"/>
          <w:szCs w:val="22"/>
        </w:rPr>
        <w:t xml:space="preserve"> </w:t>
      </w:r>
      <w:r w:rsidRPr="00A83C94">
        <w:rPr>
          <w:rFonts w:cs="Sylfaen"/>
          <w:b w:val="0"/>
          <w:color w:val="000000"/>
          <w:szCs w:val="22"/>
        </w:rPr>
        <w:t>նպա</w:t>
      </w:r>
      <w:r w:rsidRPr="00A83C94">
        <w:rPr>
          <w:rFonts w:cs="Sylfaen"/>
          <w:b w:val="0"/>
          <w:color w:val="000000"/>
          <w:szCs w:val="22"/>
        </w:rPr>
        <w:softHyphen/>
        <w:t>տակահարմարությունը</w:t>
      </w:r>
      <w:r w:rsidRPr="00A83C94">
        <w:rPr>
          <w:b w:val="0"/>
          <w:color w:val="000000"/>
          <w:szCs w:val="22"/>
        </w:rPr>
        <w:t xml:space="preserve"> </w:t>
      </w:r>
      <w:r w:rsidRPr="00A83C94">
        <w:rPr>
          <w:rFonts w:cs="Sylfaen"/>
          <w:b w:val="0"/>
          <w:color w:val="000000"/>
          <w:szCs w:val="22"/>
        </w:rPr>
        <w:t>չի</w:t>
      </w:r>
      <w:r w:rsidRPr="00A83C94">
        <w:rPr>
          <w:b w:val="0"/>
          <w:color w:val="000000"/>
          <w:szCs w:val="22"/>
        </w:rPr>
        <w:t xml:space="preserve"> </w:t>
      </w:r>
      <w:r w:rsidRPr="00A83C94">
        <w:rPr>
          <w:rFonts w:cs="Sylfaen"/>
          <w:b w:val="0"/>
          <w:color w:val="000000"/>
          <w:szCs w:val="22"/>
        </w:rPr>
        <w:t>հիմնավորվում</w:t>
      </w:r>
      <w:r w:rsidRPr="00A83C94">
        <w:rPr>
          <w:b w:val="0"/>
          <w:color w:val="000000"/>
          <w:szCs w:val="22"/>
        </w:rPr>
        <w:t xml:space="preserve"> «</w:t>
      </w:r>
      <w:r w:rsidRPr="00A83C94">
        <w:rPr>
          <w:rFonts w:cs="Sylfaen"/>
          <w:b w:val="0"/>
          <w:color w:val="000000"/>
          <w:szCs w:val="22"/>
        </w:rPr>
        <w:t>ծախսեր</w:t>
      </w:r>
      <w:r w:rsidRPr="00A83C94">
        <w:rPr>
          <w:b w:val="0"/>
          <w:color w:val="000000"/>
          <w:szCs w:val="22"/>
        </w:rPr>
        <w:t>-</w:t>
      </w:r>
      <w:r w:rsidRPr="00A83C94">
        <w:rPr>
          <w:rFonts w:cs="Sylfaen"/>
          <w:b w:val="0"/>
          <w:color w:val="000000"/>
          <w:szCs w:val="22"/>
        </w:rPr>
        <w:t>օգուտներ</w:t>
      </w:r>
      <w:r w:rsidRPr="00A83C94">
        <w:rPr>
          <w:b w:val="0"/>
          <w:color w:val="000000"/>
          <w:szCs w:val="22"/>
        </w:rPr>
        <w:t xml:space="preserve">» </w:t>
      </w:r>
      <w:r w:rsidRPr="00A83C94">
        <w:rPr>
          <w:rFonts w:cs="Sylfaen"/>
          <w:b w:val="0"/>
          <w:color w:val="000000"/>
          <w:szCs w:val="22"/>
        </w:rPr>
        <w:t>վերլու</w:t>
      </w:r>
      <w:r w:rsidRPr="00A83C94">
        <w:rPr>
          <w:rFonts w:cs="Sylfaen"/>
          <w:b w:val="0"/>
          <w:color w:val="000000"/>
          <w:szCs w:val="22"/>
        </w:rPr>
        <w:softHyphen/>
        <w:t>ծու</w:t>
      </w:r>
      <w:r w:rsidRPr="00A83C94">
        <w:rPr>
          <w:rFonts w:cs="Sylfaen"/>
          <w:b w:val="0"/>
          <w:color w:val="000000"/>
          <w:szCs w:val="22"/>
        </w:rPr>
        <w:softHyphen/>
        <w:t>թյուն</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արդ</w:t>
      </w:r>
      <w:r w:rsidRPr="00A83C94">
        <w:rPr>
          <w:rFonts w:cs="Sylfaen"/>
          <w:b w:val="0"/>
          <w:color w:val="000000"/>
          <w:szCs w:val="22"/>
        </w:rPr>
        <w:softHyphen/>
        <w:t>յունքներով</w:t>
      </w:r>
      <w:r w:rsidRPr="00A83C94">
        <w:rPr>
          <w:b w:val="0"/>
          <w:color w:val="000000"/>
          <w:szCs w:val="22"/>
        </w:rPr>
        <w:t xml:space="preserve">: </w:t>
      </w:r>
      <w:r w:rsidRPr="00A83C94">
        <w:rPr>
          <w:rFonts w:cs="Sylfaen"/>
          <w:b w:val="0"/>
          <w:color w:val="000000"/>
          <w:szCs w:val="22"/>
        </w:rPr>
        <w:t>Այսինքն</w:t>
      </w:r>
      <w:r w:rsidRPr="00A83C94">
        <w:rPr>
          <w:b w:val="0"/>
          <w:color w:val="000000"/>
          <w:szCs w:val="22"/>
        </w:rPr>
        <w:t xml:space="preserve">, </w:t>
      </w:r>
      <w:r w:rsidRPr="00A83C94">
        <w:rPr>
          <w:rFonts w:cs="Sylfaen"/>
          <w:b w:val="0"/>
          <w:color w:val="000000"/>
          <w:szCs w:val="22"/>
        </w:rPr>
        <w:t>բոլոր</w:t>
      </w:r>
      <w:r w:rsidRPr="00A83C94">
        <w:rPr>
          <w:b w:val="0"/>
          <w:color w:val="000000"/>
          <w:szCs w:val="22"/>
        </w:rPr>
        <w:t xml:space="preserve"> </w:t>
      </w:r>
      <w:r w:rsidRPr="00A83C94">
        <w:rPr>
          <w:rFonts w:cs="Sylfaen"/>
          <w:b w:val="0"/>
          <w:color w:val="000000"/>
          <w:szCs w:val="22"/>
        </w:rPr>
        <w:t>այն հարկային արտոնությունները</w:t>
      </w:r>
      <w:r w:rsidRPr="00A83C94">
        <w:rPr>
          <w:b w:val="0"/>
          <w:color w:val="000000"/>
          <w:szCs w:val="22"/>
        </w:rPr>
        <w:t xml:space="preserve">, </w:t>
      </w:r>
      <w:r w:rsidRPr="00A83C94">
        <w:rPr>
          <w:rFonts w:cs="Sylfaen"/>
          <w:b w:val="0"/>
          <w:color w:val="000000"/>
          <w:szCs w:val="22"/>
        </w:rPr>
        <w:t>որոնց</w:t>
      </w:r>
      <w:r w:rsidRPr="00A83C94">
        <w:rPr>
          <w:b w:val="0"/>
          <w:color w:val="000000"/>
          <w:szCs w:val="22"/>
        </w:rPr>
        <w:t xml:space="preserve"> </w:t>
      </w:r>
      <w:r w:rsidRPr="00A83C94">
        <w:rPr>
          <w:rFonts w:cs="Sylfaen"/>
          <w:b w:val="0"/>
          <w:color w:val="000000"/>
          <w:szCs w:val="22"/>
        </w:rPr>
        <w:t>կիրառու</w:t>
      </w:r>
      <w:r w:rsidRPr="00A83C94">
        <w:rPr>
          <w:rFonts w:cs="Sylfaen"/>
          <w:b w:val="0"/>
          <w:color w:val="000000"/>
          <w:szCs w:val="22"/>
        </w:rPr>
        <w:softHyphen/>
        <w:t>թյան</w:t>
      </w:r>
      <w:r w:rsidRPr="00A83C94">
        <w:rPr>
          <w:b w:val="0"/>
          <w:color w:val="000000"/>
          <w:szCs w:val="22"/>
        </w:rPr>
        <w:t xml:space="preserve"> </w:t>
      </w:r>
      <w:r w:rsidRPr="00A83C94">
        <w:rPr>
          <w:rFonts w:cs="Sylfaen"/>
          <w:b w:val="0"/>
          <w:color w:val="000000"/>
          <w:szCs w:val="22"/>
        </w:rPr>
        <w:t>արդ</w:t>
      </w:r>
      <w:r w:rsidRPr="00A83C94">
        <w:rPr>
          <w:rFonts w:cs="Sylfaen"/>
          <w:b w:val="0"/>
          <w:color w:val="000000"/>
          <w:szCs w:val="22"/>
        </w:rPr>
        <w:softHyphen/>
        <w:t>յունքում</w:t>
      </w:r>
      <w:r w:rsidRPr="00A83C94">
        <w:rPr>
          <w:b w:val="0"/>
          <w:color w:val="000000"/>
          <w:szCs w:val="22"/>
        </w:rPr>
        <w:t xml:space="preserve"> </w:t>
      </w:r>
      <w:r w:rsidRPr="00A83C94">
        <w:rPr>
          <w:rFonts w:cs="Sylfaen"/>
          <w:b w:val="0"/>
          <w:color w:val="000000"/>
          <w:szCs w:val="22"/>
        </w:rPr>
        <w:t>սպառողների</w:t>
      </w:r>
      <w:r w:rsidRPr="00A83C94">
        <w:rPr>
          <w:b w:val="0"/>
          <w:color w:val="000000"/>
          <w:szCs w:val="22"/>
        </w:rPr>
        <w:t xml:space="preserve"> </w:t>
      </w:r>
      <w:r w:rsidRPr="00A83C94">
        <w:rPr>
          <w:rFonts w:cs="Sylfaen"/>
          <w:b w:val="0"/>
          <w:color w:val="000000"/>
          <w:szCs w:val="22"/>
        </w:rPr>
        <w:t>ու</w:t>
      </w:r>
      <w:r w:rsidRPr="00A83C94">
        <w:rPr>
          <w:b w:val="0"/>
          <w:color w:val="000000"/>
          <w:szCs w:val="22"/>
        </w:rPr>
        <w:t xml:space="preserve"> </w:t>
      </w:r>
      <w:r w:rsidRPr="00A83C94">
        <w:rPr>
          <w:rFonts w:cs="Sylfaen"/>
          <w:b w:val="0"/>
          <w:color w:val="000000"/>
          <w:szCs w:val="22"/>
        </w:rPr>
        <w:t>տնտե</w:t>
      </w:r>
      <w:r w:rsidRPr="00A83C94">
        <w:rPr>
          <w:rFonts w:cs="Sylfaen"/>
          <w:b w:val="0"/>
          <w:color w:val="000000"/>
          <w:szCs w:val="22"/>
        </w:rPr>
        <w:softHyphen/>
        <w:t>սա</w:t>
      </w:r>
      <w:r w:rsidRPr="00A83C94">
        <w:rPr>
          <w:rFonts w:cs="Sylfaen"/>
          <w:b w:val="0"/>
          <w:color w:val="000000"/>
          <w:szCs w:val="22"/>
        </w:rPr>
        <w:softHyphen/>
        <w:t>վարող</w:t>
      </w:r>
      <w:r w:rsidRPr="00A83C94">
        <w:rPr>
          <w:b w:val="0"/>
          <w:color w:val="000000"/>
          <w:szCs w:val="22"/>
        </w:rPr>
        <w:t xml:space="preserve"> </w:t>
      </w:r>
      <w:r w:rsidRPr="00A83C94">
        <w:rPr>
          <w:rFonts w:cs="Sylfaen"/>
          <w:b w:val="0"/>
          <w:color w:val="000000"/>
          <w:szCs w:val="22"/>
        </w:rPr>
        <w:t>սուբյեկտների</w:t>
      </w:r>
      <w:r w:rsidRPr="00A83C94">
        <w:rPr>
          <w:b w:val="0"/>
          <w:color w:val="000000"/>
          <w:szCs w:val="22"/>
        </w:rPr>
        <w:t xml:space="preserve"> </w:t>
      </w:r>
      <w:r w:rsidRPr="00A83C94">
        <w:rPr>
          <w:rFonts w:cs="Sylfaen"/>
          <w:b w:val="0"/>
          <w:color w:val="000000"/>
          <w:szCs w:val="22"/>
        </w:rPr>
        <w:t>համար</w:t>
      </w:r>
      <w:r w:rsidRPr="00A83C94">
        <w:rPr>
          <w:b w:val="0"/>
          <w:color w:val="000000"/>
          <w:szCs w:val="22"/>
        </w:rPr>
        <w:t xml:space="preserve"> </w:t>
      </w:r>
      <w:r w:rsidRPr="00A83C94">
        <w:rPr>
          <w:rFonts w:cs="Sylfaen"/>
          <w:b w:val="0"/>
          <w:color w:val="000000"/>
          <w:szCs w:val="22"/>
        </w:rPr>
        <w:t>ստեղծվող</w:t>
      </w:r>
      <w:r w:rsidRPr="00A83C94">
        <w:rPr>
          <w:b w:val="0"/>
          <w:color w:val="000000"/>
          <w:szCs w:val="22"/>
        </w:rPr>
        <w:t xml:space="preserve"> «</w:t>
      </w:r>
      <w:r w:rsidRPr="00A83C94">
        <w:rPr>
          <w:rFonts w:cs="Sylfaen"/>
          <w:b w:val="0"/>
          <w:color w:val="000000"/>
          <w:szCs w:val="22"/>
        </w:rPr>
        <w:t>օգուտ</w:t>
      </w:r>
      <w:r w:rsidRPr="00A83C94">
        <w:rPr>
          <w:rFonts w:cs="Sylfaen"/>
          <w:b w:val="0"/>
          <w:color w:val="000000"/>
          <w:szCs w:val="22"/>
        </w:rPr>
        <w:softHyphen/>
        <w:t>ները</w:t>
      </w:r>
      <w:r w:rsidRPr="00A83C94">
        <w:rPr>
          <w:b w:val="0"/>
          <w:color w:val="000000"/>
          <w:szCs w:val="22"/>
        </w:rPr>
        <w:t xml:space="preserve">» </w:t>
      </w:r>
      <w:r w:rsidRPr="00A83C94">
        <w:rPr>
          <w:rFonts w:cs="Sylfaen"/>
          <w:b w:val="0"/>
          <w:color w:val="000000"/>
          <w:szCs w:val="22"/>
        </w:rPr>
        <w:t>համարժեք</w:t>
      </w:r>
      <w:r w:rsidRPr="00A83C94">
        <w:rPr>
          <w:b w:val="0"/>
          <w:color w:val="000000"/>
          <w:szCs w:val="22"/>
        </w:rPr>
        <w:t xml:space="preserve"> </w:t>
      </w:r>
      <w:r w:rsidRPr="00A83C94">
        <w:rPr>
          <w:rFonts w:cs="Sylfaen"/>
          <w:b w:val="0"/>
          <w:color w:val="000000"/>
          <w:szCs w:val="22"/>
        </w:rPr>
        <w:t>չեն</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կրած</w:t>
      </w:r>
      <w:r w:rsidRPr="00A83C94">
        <w:rPr>
          <w:b w:val="0"/>
          <w:color w:val="000000"/>
          <w:szCs w:val="22"/>
        </w:rPr>
        <w:t xml:space="preserve"> «</w:t>
      </w:r>
      <w:r w:rsidRPr="00A83C94">
        <w:rPr>
          <w:rFonts w:cs="Sylfaen"/>
          <w:b w:val="0"/>
          <w:color w:val="000000"/>
          <w:szCs w:val="22"/>
        </w:rPr>
        <w:t>ծախ</w:t>
      </w:r>
      <w:r w:rsidRPr="00A83C94">
        <w:rPr>
          <w:rFonts w:cs="Sylfaen"/>
          <w:b w:val="0"/>
          <w:color w:val="000000"/>
          <w:szCs w:val="22"/>
        </w:rPr>
        <w:softHyphen/>
        <w:t>սերին</w:t>
      </w:r>
      <w:r w:rsidRPr="00A83C94">
        <w:rPr>
          <w:b w:val="0"/>
          <w:color w:val="000000"/>
          <w:szCs w:val="22"/>
        </w:rPr>
        <w:t>»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կորցրած հարկային եկա</w:t>
      </w:r>
      <w:r w:rsidRPr="00A83C94">
        <w:rPr>
          <w:rFonts w:cs="Sylfaen"/>
          <w:b w:val="0"/>
          <w:color w:val="000000"/>
          <w:szCs w:val="22"/>
        </w:rPr>
        <w:softHyphen/>
        <w:t>մուտ</w:t>
      </w:r>
      <w:r w:rsidRPr="00A83C94">
        <w:rPr>
          <w:rFonts w:cs="Sylfaen"/>
          <w:b w:val="0"/>
          <w:color w:val="000000"/>
          <w:szCs w:val="22"/>
        </w:rPr>
        <w:softHyphen/>
      </w:r>
      <w:r w:rsidRPr="00A83C94">
        <w:rPr>
          <w:rFonts w:cs="Sylfaen"/>
          <w:b w:val="0"/>
          <w:color w:val="000000"/>
          <w:szCs w:val="22"/>
        </w:rPr>
        <w:softHyphen/>
        <w:t>նե</w:t>
      </w:r>
      <w:r w:rsidRPr="00A83C94">
        <w:rPr>
          <w:rFonts w:cs="Sylfaen"/>
          <w:b w:val="0"/>
          <w:color w:val="000000"/>
          <w:szCs w:val="22"/>
        </w:rPr>
        <w:softHyphen/>
        <w:t>րին</w:t>
      </w:r>
      <w:r w:rsidRPr="00A83C94">
        <w:rPr>
          <w:b w:val="0"/>
          <w:color w:val="000000"/>
          <w:szCs w:val="22"/>
        </w:rPr>
        <w:t xml:space="preserve">), </w:t>
      </w:r>
      <w:r w:rsidRPr="00A83C94">
        <w:rPr>
          <w:rFonts w:cs="Sylfaen"/>
          <w:b w:val="0"/>
          <w:color w:val="000000"/>
          <w:szCs w:val="22"/>
        </w:rPr>
        <w:t>պետք</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աստիճանաբար</w:t>
      </w:r>
      <w:r w:rsidRPr="00A83C94">
        <w:rPr>
          <w:b w:val="0"/>
          <w:color w:val="000000"/>
          <w:szCs w:val="22"/>
        </w:rPr>
        <w:t xml:space="preserve"> </w:t>
      </w:r>
      <w:r w:rsidRPr="00A83C94">
        <w:rPr>
          <w:rFonts w:cs="Sylfaen"/>
          <w:b w:val="0"/>
          <w:color w:val="000000"/>
          <w:szCs w:val="22"/>
        </w:rPr>
        <w:t>կրճատ</w:t>
      </w:r>
      <w:r w:rsidRPr="00A83C94">
        <w:rPr>
          <w:rFonts w:cs="Sylfaen"/>
          <w:b w:val="0"/>
          <w:color w:val="000000"/>
          <w:szCs w:val="22"/>
        </w:rPr>
        <w:softHyphen/>
        <w:t>վեն</w:t>
      </w:r>
      <w:r w:rsidRPr="00A83C94">
        <w:rPr>
          <w:b w:val="0"/>
          <w:color w:val="000000"/>
          <w:szCs w:val="22"/>
        </w:rPr>
        <w:t xml:space="preserve">: </w:t>
      </w:r>
      <w:r w:rsidRPr="00A83C94">
        <w:rPr>
          <w:rFonts w:cs="Sylfaen"/>
          <w:b w:val="0"/>
          <w:color w:val="000000"/>
          <w:szCs w:val="22"/>
        </w:rPr>
        <w:t>Քաղաքականության</w:t>
      </w:r>
      <w:r w:rsidRPr="00A83C94">
        <w:rPr>
          <w:b w:val="0"/>
          <w:color w:val="000000"/>
          <w:szCs w:val="22"/>
        </w:rPr>
        <w:t xml:space="preserve"> </w:t>
      </w:r>
      <w:r w:rsidRPr="00A83C94">
        <w:rPr>
          <w:rFonts w:cs="Sylfaen"/>
          <w:b w:val="0"/>
          <w:color w:val="000000"/>
          <w:szCs w:val="22"/>
        </w:rPr>
        <w:t>այսպիսի</w:t>
      </w:r>
      <w:r w:rsidRPr="00A83C94">
        <w:rPr>
          <w:b w:val="0"/>
          <w:color w:val="000000"/>
          <w:szCs w:val="22"/>
        </w:rPr>
        <w:t xml:space="preserve"> </w:t>
      </w:r>
      <w:r w:rsidRPr="00A83C94">
        <w:rPr>
          <w:rFonts w:cs="Sylfaen"/>
          <w:b w:val="0"/>
          <w:color w:val="000000"/>
          <w:szCs w:val="22"/>
        </w:rPr>
        <w:t>մոտեցումը</w:t>
      </w:r>
      <w:r w:rsidRPr="00A83C94">
        <w:rPr>
          <w:b w:val="0"/>
          <w:color w:val="000000"/>
          <w:szCs w:val="22"/>
        </w:rPr>
        <w:t xml:space="preserve"> </w:t>
      </w:r>
      <w:r w:rsidRPr="00A83C94">
        <w:rPr>
          <w:rFonts w:cs="Sylfaen"/>
          <w:b w:val="0"/>
          <w:color w:val="000000"/>
          <w:szCs w:val="22"/>
        </w:rPr>
        <w:t>հիմ</w:t>
      </w:r>
      <w:r w:rsidRPr="00A83C94">
        <w:rPr>
          <w:rFonts w:cs="Sylfaen"/>
          <w:b w:val="0"/>
          <w:color w:val="000000"/>
          <w:szCs w:val="22"/>
        </w:rPr>
        <w:softHyphen/>
      </w:r>
      <w:r w:rsidRPr="00A83C94">
        <w:rPr>
          <w:rFonts w:cs="Sylfaen"/>
          <w:b w:val="0"/>
          <w:color w:val="000000"/>
          <w:szCs w:val="22"/>
        </w:rPr>
        <w:softHyphen/>
        <w:t>նա</w:t>
      </w:r>
      <w:r w:rsidRPr="00A83C94">
        <w:rPr>
          <w:rFonts w:cs="Sylfaen"/>
          <w:b w:val="0"/>
          <w:color w:val="000000"/>
          <w:szCs w:val="22"/>
        </w:rPr>
        <w:softHyphen/>
        <w:t>վորվում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ֆինանսական</w:t>
      </w:r>
      <w:r w:rsidRPr="00A83C94">
        <w:rPr>
          <w:b w:val="0"/>
          <w:color w:val="000000"/>
          <w:szCs w:val="22"/>
        </w:rPr>
        <w:t xml:space="preserve"> </w:t>
      </w:r>
      <w:r w:rsidRPr="00A83C94">
        <w:rPr>
          <w:rFonts w:cs="Sylfaen"/>
          <w:b w:val="0"/>
          <w:color w:val="000000"/>
          <w:szCs w:val="22"/>
        </w:rPr>
        <w:t>ռեսուրս</w:t>
      </w:r>
      <w:r w:rsidRPr="00A83C94">
        <w:rPr>
          <w:rFonts w:cs="Sylfaen"/>
          <w:b w:val="0"/>
          <w:color w:val="000000"/>
          <w:szCs w:val="22"/>
        </w:rPr>
        <w:softHyphen/>
        <w:t>ներ</w:t>
      </w:r>
      <w:r w:rsidRPr="00A83C94">
        <w:rPr>
          <w:b w:val="0"/>
          <w:color w:val="000000"/>
          <w:szCs w:val="22"/>
        </w:rPr>
        <w:t xml:space="preserve"> </w:t>
      </w:r>
      <w:r w:rsidRPr="00A83C94">
        <w:rPr>
          <w:rFonts w:cs="Sylfaen"/>
          <w:b w:val="0"/>
          <w:color w:val="000000"/>
          <w:szCs w:val="22"/>
        </w:rPr>
        <w:t>կենտրոնացնելու՝</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սահմանափակ</w:t>
      </w:r>
      <w:r w:rsidRPr="00A83C94">
        <w:rPr>
          <w:b w:val="0"/>
          <w:color w:val="000000"/>
          <w:szCs w:val="22"/>
        </w:rPr>
        <w:t xml:space="preserve"> </w:t>
      </w:r>
      <w:r w:rsidRPr="00A83C94">
        <w:rPr>
          <w:rFonts w:cs="Sylfaen"/>
          <w:b w:val="0"/>
          <w:color w:val="000000"/>
          <w:szCs w:val="22"/>
        </w:rPr>
        <w:t>ներուժը</w:t>
      </w:r>
      <w:r w:rsidRPr="00A83C94">
        <w:rPr>
          <w:b w:val="0"/>
          <w:color w:val="000000"/>
          <w:szCs w:val="22"/>
        </w:rPr>
        <w:t xml:space="preserve"> </w:t>
      </w:r>
      <w:r w:rsidRPr="00A83C94">
        <w:rPr>
          <w:rFonts w:cs="Sylfaen"/>
          <w:b w:val="0"/>
          <w:color w:val="000000"/>
          <w:szCs w:val="22"/>
        </w:rPr>
        <w:t>առավել</w:t>
      </w:r>
      <w:r w:rsidRPr="00A83C94">
        <w:rPr>
          <w:b w:val="0"/>
          <w:color w:val="000000"/>
          <w:szCs w:val="22"/>
        </w:rPr>
        <w:t xml:space="preserve"> </w:t>
      </w:r>
      <w:r w:rsidRPr="00A83C94">
        <w:rPr>
          <w:rFonts w:cs="Sylfaen"/>
          <w:b w:val="0"/>
          <w:color w:val="000000"/>
          <w:szCs w:val="22"/>
        </w:rPr>
        <w:t>արդյունավետ</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առա</w:t>
      </w:r>
      <w:r w:rsidRPr="00A83C94">
        <w:rPr>
          <w:rFonts w:cs="Sylfaen"/>
          <w:b w:val="0"/>
          <w:color w:val="000000"/>
          <w:szCs w:val="22"/>
        </w:rPr>
        <w:softHyphen/>
        <w:t>վել</w:t>
      </w:r>
      <w:r w:rsidRPr="00A83C94">
        <w:rPr>
          <w:b w:val="0"/>
          <w:color w:val="000000"/>
          <w:szCs w:val="22"/>
        </w:rPr>
        <w:t xml:space="preserve"> </w:t>
      </w:r>
      <w:r w:rsidRPr="00A83C94">
        <w:rPr>
          <w:rFonts w:cs="Sylfaen"/>
          <w:b w:val="0"/>
          <w:color w:val="000000"/>
          <w:szCs w:val="22"/>
        </w:rPr>
        <w:t>հասցեական</w:t>
      </w:r>
      <w:r w:rsidRPr="00A83C94">
        <w:rPr>
          <w:b w:val="0"/>
          <w:color w:val="000000"/>
          <w:szCs w:val="22"/>
        </w:rPr>
        <w:t xml:space="preserve"> </w:t>
      </w:r>
      <w:r w:rsidRPr="00A83C94">
        <w:rPr>
          <w:rFonts w:cs="Sylfaen"/>
          <w:b w:val="0"/>
          <w:color w:val="000000"/>
          <w:szCs w:val="22"/>
        </w:rPr>
        <w:t>ձևով</w:t>
      </w:r>
      <w:r w:rsidRPr="00A83C94">
        <w:rPr>
          <w:b w:val="0"/>
          <w:color w:val="000000"/>
          <w:szCs w:val="22"/>
        </w:rPr>
        <w:t xml:space="preserve"> </w:t>
      </w:r>
      <w:r w:rsidRPr="00A83C94">
        <w:rPr>
          <w:rFonts w:cs="Sylfaen"/>
          <w:b w:val="0"/>
          <w:color w:val="000000"/>
          <w:szCs w:val="22"/>
        </w:rPr>
        <w:t>օգտագործելու</w:t>
      </w:r>
      <w:r w:rsidRPr="00A83C94">
        <w:rPr>
          <w:b w:val="0"/>
          <w:color w:val="000000"/>
          <w:szCs w:val="22"/>
        </w:rPr>
        <w:t xml:space="preserve"> </w:t>
      </w:r>
      <w:r w:rsidRPr="00A83C94">
        <w:rPr>
          <w:rFonts w:cs="Sylfaen"/>
          <w:b w:val="0"/>
          <w:color w:val="000000"/>
          <w:szCs w:val="22"/>
        </w:rPr>
        <w:t>նպատակա</w:t>
      </w:r>
      <w:r w:rsidRPr="00A83C94">
        <w:rPr>
          <w:rFonts w:cs="Sylfaen"/>
          <w:b w:val="0"/>
          <w:color w:val="000000"/>
          <w:szCs w:val="22"/>
        </w:rPr>
        <w:softHyphen/>
        <w:t>դրու</w:t>
      </w:r>
      <w:r w:rsidRPr="00A83C94">
        <w:rPr>
          <w:rFonts w:cs="Sylfaen"/>
          <w:b w:val="0"/>
          <w:color w:val="000000"/>
          <w:szCs w:val="22"/>
        </w:rPr>
        <w:softHyphen/>
      </w:r>
      <w:r w:rsidRPr="00A83C94">
        <w:rPr>
          <w:rFonts w:cs="Sylfaen"/>
          <w:b w:val="0"/>
          <w:color w:val="000000"/>
          <w:szCs w:val="22"/>
        </w:rPr>
        <w:softHyphen/>
        <w:t>մով</w:t>
      </w:r>
      <w:r w:rsidRPr="00A83C94">
        <w:rPr>
          <w:b w:val="0"/>
          <w:color w:val="000000"/>
          <w:szCs w:val="22"/>
        </w:rPr>
        <w:t xml:space="preserve">, </w:t>
      </w:r>
      <w:r w:rsidRPr="00A83C94">
        <w:rPr>
          <w:rFonts w:cs="Sylfaen"/>
          <w:b w:val="0"/>
          <w:color w:val="000000"/>
          <w:szCs w:val="22"/>
        </w:rPr>
        <w:t>քանի</w:t>
      </w:r>
      <w:r w:rsidRPr="00A83C94">
        <w:rPr>
          <w:b w:val="0"/>
          <w:color w:val="000000"/>
          <w:szCs w:val="22"/>
        </w:rPr>
        <w:t xml:space="preserve"> </w:t>
      </w:r>
      <w:r w:rsidRPr="00A83C94">
        <w:rPr>
          <w:rFonts w:cs="Sylfaen"/>
          <w:b w:val="0"/>
          <w:color w:val="000000"/>
          <w:szCs w:val="22"/>
        </w:rPr>
        <w:t>որ հարկային արտո</w:t>
      </w:r>
      <w:r w:rsidRPr="00A83C94">
        <w:rPr>
          <w:rFonts w:cs="Sylfaen"/>
          <w:b w:val="0"/>
          <w:color w:val="000000"/>
          <w:szCs w:val="22"/>
        </w:rPr>
        <w:softHyphen/>
        <w:t>նու</w:t>
      </w:r>
      <w:r w:rsidRPr="00A83C94">
        <w:rPr>
          <w:rFonts w:cs="Sylfaen"/>
          <w:b w:val="0"/>
          <w:color w:val="000000"/>
          <w:szCs w:val="22"/>
        </w:rPr>
        <w:softHyphen/>
        <w:t>թյունների</w:t>
      </w:r>
      <w:r w:rsidRPr="00A83C94">
        <w:rPr>
          <w:b w:val="0"/>
          <w:color w:val="000000"/>
          <w:szCs w:val="22"/>
        </w:rPr>
        <w:t xml:space="preserve"> </w:t>
      </w:r>
      <w:r w:rsidRPr="00A83C94">
        <w:rPr>
          <w:rFonts w:cs="Sylfaen"/>
          <w:b w:val="0"/>
          <w:color w:val="000000"/>
          <w:szCs w:val="22"/>
        </w:rPr>
        <w:t>տրամադրմամբ</w:t>
      </w:r>
      <w:r w:rsidRPr="00A83C94">
        <w:rPr>
          <w:b w:val="0"/>
          <w:color w:val="000000"/>
          <w:szCs w:val="22"/>
        </w:rPr>
        <w:t xml:space="preserve">, </w:t>
      </w:r>
      <w:r w:rsidRPr="00A83C94">
        <w:rPr>
          <w:rFonts w:cs="Sylfaen"/>
          <w:b w:val="0"/>
          <w:color w:val="000000"/>
          <w:szCs w:val="22"/>
        </w:rPr>
        <w:t>պետությունը</w:t>
      </w:r>
      <w:r w:rsidRPr="00A83C94">
        <w:rPr>
          <w:b w:val="0"/>
          <w:color w:val="000000"/>
          <w:szCs w:val="22"/>
        </w:rPr>
        <w:t xml:space="preserve">, </w:t>
      </w:r>
      <w:r w:rsidRPr="00A83C94">
        <w:rPr>
          <w:rFonts w:cs="Sylfaen"/>
          <w:b w:val="0"/>
          <w:color w:val="000000"/>
          <w:szCs w:val="22"/>
        </w:rPr>
        <w:t>ըստ</w:t>
      </w:r>
      <w:r w:rsidRPr="00A83C94">
        <w:rPr>
          <w:b w:val="0"/>
          <w:color w:val="000000"/>
          <w:szCs w:val="22"/>
        </w:rPr>
        <w:t xml:space="preserve"> </w:t>
      </w:r>
      <w:r w:rsidRPr="00A83C94">
        <w:rPr>
          <w:rFonts w:cs="Sylfaen"/>
          <w:b w:val="0"/>
          <w:color w:val="000000"/>
          <w:szCs w:val="22"/>
        </w:rPr>
        <w:t>էութ</w:t>
      </w:r>
      <w:r w:rsidRPr="00A83C94">
        <w:rPr>
          <w:rFonts w:cs="Sylfaen"/>
          <w:b w:val="0"/>
          <w:color w:val="000000"/>
          <w:szCs w:val="22"/>
        </w:rPr>
        <w:softHyphen/>
        <w:t>յան</w:t>
      </w:r>
      <w:r w:rsidRPr="00A83C94">
        <w:rPr>
          <w:b w:val="0"/>
          <w:color w:val="000000"/>
          <w:szCs w:val="22"/>
        </w:rPr>
        <w:t xml:space="preserve">, </w:t>
      </w:r>
      <w:r w:rsidRPr="00A83C94">
        <w:rPr>
          <w:rFonts w:cs="Sylfaen"/>
          <w:b w:val="0"/>
          <w:color w:val="000000"/>
          <w:szCs w:val="22"/>
        </w:rPr>
        <w:t>զրկվում</w:t>
      </w:r>
      <w:r w:rsidRPr="00A83C94">
        <w:rPr>
          <w:b w:val="0"/>
          <w:color w:val="000000"/>
          <w:szCs w:val="22"/>
        </w:rPr>
        <w:t xml:space="preserve"> </w:t>
      </w:r>
      <w:r w:rsidRPr="00A83C94">
        <w:rPr>
          <w:rFonts w:cs="Sylfaen"/>
          <w:b w:val="0"/>
          <w:color w:val="000000"/>
          <w:szCs w:val="22"/>
        </w:rPr>
        <w:t>է</w:t>
      </w:r>
      <w:r w:rsidRPr="00A83C94">
        <w:rPr>
          <w:b w:val="0"/>
          <w:color w:val="000000"/>
          <w:szCs w:val="22"/>
        </w:rPr>
        <w:t xml:space="preserve"> </w:t>
      </w:r>
      <w:r w:rsidRPr="00A83C94">
        <w:rPr>
          <w:rFonts w:cs="Sylfaen"/>
          <w:b w:val="0"/>
          <w:color w:val="000000"/>
          <w:szCs w:val="22"/>
        </w:rPr>
        <w:t>լրացուցիչ հարկային եկա</w:t>
      </w:r>
      <w:r w:rsidRPr="00A83C94">
        <w:rPr>
          <w:rFonts w:cs="Sylfaen"/>
          <w:b w:val="0"/>
          <w:color w:val="000000"/>
          <w:szCs w:val="22"/>
        </w:rPr>
        <w:softHyphen/>
        <w:t>մուտներ հավաքագրելու</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զարգացման,</w:t>
      </w:r>
      <w:r w:rsidRPr="00A83C94">
        <w:rPr>
          <w:b w:val="0"/>
          <w:color w:val="000000"/>
          <w:szCs w:val="22"/>
        </w:rPr>
        <w:t xml:space="preserve"> </w:t>
      </w:r>
      <w:r w:rsidRPr="00A83C94">
        <w:rPr>
          <w:rFonts w:cs="Sylfaen"/>
          <w:b w:val="0"/>
          <w:color w:val="000000"/>
          <w:szCs w:val="22"/>
        </w:rPr>
        <w:t>սոցիա</w:t>
      </w:r>
      <w:r w:rsidRPr="00A83C94">
        <w:rPr>
          <w:rFonts w:cs="Sylfaen"/>
          <w:b w:val="0"/>
          <w:color w:val="000000"/>
          <w:szCs w:val="22"/>
        </w:rPr>
        <w:softHyphen/>
        <w:t>լա</w:t>
      </w:r>
      <w:r w:rsidRPr="00A83C94">
        <w:rPr>
          <w:rFonts w:cs="Sylfaen"/>
          <w:b w:val="0"/>
          <w:color w:val="000000"/>
          <w:szCs w:val="22"/>
        </w:rPr>
        <w:softHyphen/>
        <w:t xml:space="preserve">կան, </w:t>
      </w:r>
      <w:r w:rsidRPr="00A83C94">
        <w:rPr>
          <w:rFonts w:cs="Sylfaen"/>
          <w:b w:val="0"/>
          <w:color w:val="000000"/>
          <w:szCs w:val="22"/>
          <w:lang w:val="en-US"/>
        </w:rPr>
        <w:t>բնապահպանական</w:t>
      </w:r>
      <w:r w:rsidRPr="00A83C94">
        <w:rPr>
          <w:rFonts w:cs="Sylfaen"/>
          <w:b w:val="0"/>
          <w:color w:val="000000"/>
          <w:szCs w:val="22"/>
        </w:rPr>
        <w:t xml:space="preserve">, </w:t>
      </w:r>
      <w:r w:rsidRPr="00A83C94">
        <w:rPr>
          <w:rFonts w:cs="Sylfaen"/>
          <w:b w:val="0"/>
          <w:color w:val="000000"/>
          <w:szCs w:val="22"/>
          <w:lang w:val="en-US"/>
        </w:rPr>
        <w:t>առողջա</w:t>
      </w:r>
      <w:r w:rsidRPr="00A83C94">
        <w:rPr>
          <w:rFonts w:cs="Sylfaen"/>
          <w:b w:val="0"/>
          <w:color w:val="000000"/>
          <w:szCs w:val="22"/>
        </w:rPr>
        <w:softHyphen/>
      </w:r>
      <w:r w:rsidRPr="00A83C94">
        <w:rPr>
          <w:rFonts w:cs="Sylfaen"/>
          <w:b w:val="0"/>
          <w:color w:val="000000"/>
          <w:szCs w:val="22"/>
          <w:lang w:val="en-US"/>
        </w:rPr>
        <w:t>պա</w:t>
      </w:r>
      <w:r w:rsidRPr="00A83C94">
        <w:rPr>
          <w:rFonts w:cs="Sylfaen"/>
          <w:b w:val="0"/>
          <w:color w:val="000000"/>
          <w:szCs w:val="22"/>
        </w:rPr>
        <w:softHyphen/>
      </w:r>
      <w:r w:rsidRPr="00A83C94">
        <w:rPr>
          <w:rFonts w:cs="Sylfaen"/>
          <w:b w:val="0"/>
          <w:color w:val="000000"/>
          <w:szCs w:val="22"/>
          <w:lang w:val="en-US"/>
        </w:rPr>
        <w:t>հական</w:t>
      </w:r>
      <w:r w:rsidRPr="00A83C94">
        <w:rPr>
          <w:rFonts w:cs="Sylfaen"/>
          <w:b w:val="0"/>
          <w:color w:val="000000"/>
          <w:szCs w:val="22"/>
        </w:rPr>
        <w:t xml:space="preserve"> </w:t>
      </w:r>
      <w:r w:rsidRPr="00A83C94">
        <w:rPr>
          <w:rFonts w:cs="Sylfaen"/>
          <w:b w:val="0"/>
          <w:color w:val="000000"/>
          <w:szCs w:val="22"/>
          <w:lang w:val="en-US"/>
        </w:rPr>
        <w:t>կամ</w:t>
      </w:r>
      <w:r w:rsidRPr="00A83C94">
        <w:rPr>
          <w:rFonts w:cs="Sylfaen"/>
          <w:b w:val="0"/>
          <w:color w:val="000000"/>
          <w:szCs w:val="22"/>
        </w:rPr>
        <w:t xml:space="preserve"> </w:t>
      </w:r>
      <w:r w:rsidRPr="00A83C94">
        <w:rPr>
          <w:rFonts w:cs="Sylfaen"/>
          <w:b w:val="0"/>
          <w:color w:val="000000"/>
          <w:szCs w:val="22"/>
          <w:lang w:val="en-US"/>
        </w:rPr>
        <w:t>այլ</w:t>
      </w:r>
      <w:r w:rsidRPr="00A83C94">
        <w:rPr>
          <w:rFonts w:cs="Sylfaen"/>
          <w:b w:val="0"/>
          <w:color w:val="000000"/>
          <w:szCs w:val="22"/>
        </w:rPr>
        <w:t xml:space="preserve"> </w:t>
      </w:r>
      <w:r w:rsidRPr="00A83C94">
        <w:rPr>
          <w:rFonts w:cs="Sylfaen"/>
          <w:b w:val="0"/>
          <w:color w:val="000000"/>
          <w:szCs w:val="22"/>
          <w:lang w:val="en-US"/>
        </w:rPr>
        <w:t>հանրօգուտ</w:t>
      </w:r>
      <w:r w:rsidRPr="00A83C94">
        <w:rPr>
          <w:rFonts w:cs="Sylfaen"/>
          <w:b w:val="0"/>
          <w:color w:val="000000"/>
          <w:szCs w:val="22"/>
        </w:rPr>
        <w:t xml:space="preserve"> </w:t>
      </w:r>
      <w:r w:rsidRPr="00A83C94">
        <w:rPr>
          <w:rFonts w:cs="Sylfaen"/>
          <w:b w:val="0"/>
          <w:color w:val="000000"/>
          <w:szCs w:val="22"/>
          <w:lang w:val="en-US"/>
        </w:rPr>
        <w:t>նպատակներով</w:t>
      </w:r>
      <w:r w:rsidRPr="00A83C94">
        <w:rPr>
          <w:b w:val="0"/>
          <w:color w:val="000000"/>
          <w:szCs w:val="22"/>
        </w:rPr>
        <w:t xml:space="preserve"> </w:t>
      </w:r>
      <w:r w:rsidRPr="00A83C94">
        <w:rPr>
          <w:rFonts w:cs="Sylfaen"/>
          <w:b w:val="0"/>
          <w:color w:val="000000"/>
          <w:szCs w:val="22"/>
        </w:rPr>
        <w:t>լրա</w:t>
      </w:r>
      <w:r w:rsidRPr="00A83C94">
        <w:rPr>
          <w:rFonts w:cs="Sylfaen"/>
          <w:b w:val="0"/>
          <w:color w:val="000000"/>
          <w:szCs w:val="22"/>
        </w:rPr>
        <w:softHyphen/>
        <w:t>ցու</w:t>
      </w:r>
      <w:r w:rsidRPr="00A83C94">
        <w:rPr>
          <w:rFonts w:cs="Sylfaen"/>
          <w:b w:val="0"/>
          <w:color w:val="000000"/>
          <w:szCs w:val="22"/>
        </w:rPr>
        <w:softHyphen/>
        <w:t>ցիչ</w:t>
      </w:r>
      <w:r w:rsidRPr="00A83C94">
        <w:rPr>
          <w:b w:val="0"/>
          <w:color w:val="000000"/>
          <w:szCs w:val="22"/>
        </w:rPr>
        <w:t xml:space="preserve"> </w:t>
      </w:r>
      <w:r w:rsidRPr="00A83C94">
        <w:rPr>
          <w:rFonts w:cs="Sylfaen"/>
          <w:b w:val="0"/>
          <w:color w:val="000000"/>
          <w:szCs w:val="22"/>
        </w:rPr>
        <w:t>ծրագրեր</w:t>
      </w:r>
      <w:r w:rsidRPr="00A83C94">
        <w:rPr>
          <w:b w:val="0"/>
          <w:color w:val="000000"/>
          <w:szCs w:val="22"/>
        </w:rPr>
        <w:t xml:space="preserve"> </w:t>
      </w:r>
      <w:r w:rsidRPr="00A83C94">
        <w:rPr>
          <w:rFonts w:cs="Sylfaen"/>
          <w:b w:val="0"/>
          <w:color w:val="000000"/>
          <w:szCs w:val="22"/>
        </w:rPr>
        <w:t>իրականացնելու</w:t>
      </w:r>
      <w:r w:rsidRPr="00A83C94">
        <w:rPr>
          <w:b w:val="0"/>
          <w:color w:val="000000"/>
          <w:szCs w:val="22"/>
        </w:rPr>
        <w:t xml:space="preserve"> </w:t>
      </w:r>
      <w:r w:rsidRPr="00A83C94">
        <w:rPr>
          <w:rFonts w:cs="Sylfaen"/>
          <w:b w:val="0"/>
          <w:color w:val="000000"/>
          <w:szCs w:val="22"/>
        </w:rPr>
        <w:t>հնա</w:t>
      </w:r>
      <w:r w:rsidRPr="00A83C94">
        <w:rPr>
          <w:rFonts w:cs="Sylfaen"/>
          <w:b w:val="0"/>
          <w:color w:val="000000"/>
          <w:szCs w:val="22"/>
        </w:rPr>
        <w:softHyphen/>
        <w:t>րա</w:t>
      </w:r>
      <w:r w:rsidRPr="00A83C94">
        <w:rPr>
          <w:rFonts w:cs="Sylfaen"/>
          <w:b w:val="0"/>
          <w:color w:val="000000"/>
          <w:szCs w:val="22"/>
        </w:rPr>
        <w:softHyphen/>
        <w:t>վորություններից</w:t>
      </w:r>
      <w:r w:rsidRPr="00A83C94">
        <w:rPr>
          <w:b w:val="0"/>
          <w:color w:val="000000"/>
          <w:szCs w:val="22"/>
        </w:rPr>
        <w:t xml:space="preserve">: </w:t>
      </w:r>
      <w:r w:rsidRPr="00A83C94">
        <w:rPr>
          <w:rFonts w:cs="Sylfaen"/>
          <w:b w:val="0"/>
          <w:color w:val="000000"/>
          <w:szCs w:val="22"/>
        </w:rPr>
        <w:t>Արդ</w:t>
      </w:r>
      <w:r w:rsidRPr="00A83C94">
        <w:rPr>
          <w:rFonts w:cs="Sylfaen"/>
          <w:b w:val="0"/>
          <w:color w:val="000000"/>
          <w:szCs w:val="22"/>
        </w:rPr>
        <w:softHyphen/>
        <w:t>յուն</w:t>
      </w:r>
      <w:r w:rsidRPr="00A83C94">
        <w:rPr>
          <w:rFonts w:cs="Sylfaen"/>
          <w:b w:val="0"/>
          <w:color w:val="000000"/>
          <w:szCs w:val="22"/>
        </w:rPr>
        <w:softHyphen/>
        <w:t>քում</w:t>
      </w:r>
      <w:r w:rsidRPr="00A83C94">
        <w:rPr>
          <w:b w:val="0"/>
          <w:color w:val="000000"/>
          <w:szCs w:val="22"/>
        </w:rPr>
        <w:t xml:space="preserve"> </w:t>
      </w:r>
      <w:r w:rsidRPr="00A83C94">
        <w:rPr>
          <w:rFonts w:cs="Sylfaen"/>
          <w:b w:val="0"/>
          <w:color w:val="000000"/>
          <w:szCs w:val="22"/>
        </w:rPr>
        <w:t>պետության</w:t>
      </w:r>
      <w:r w:rsidRPr="00A83C94">
        <w:rPr>
          <w:b w:val="0"/>
          <w:color w:val="000000"/>
          <w:szCs w:val="22"/>
        </w:rPr>
        <w:t xml:space="preserve"> </w:t>
      </w:r>
      <w:r w:rsidRPr="00A83C94">
        <w:rPr>
          <w:rFonts w:cs="Sylfaen"/>
          <w:b w:val="0"/>
          <w:color w:val="000000"/>
          <w:szCs w:val="22"/>
        </w:rPr>
        <w:t>կարևորա</w:t>
      </w:r>
      <w:r w:rsidRPr="00A83C94">
        <w:rPr>
          <w:rFonts w:cs="Sylfaen"/>
          <w:b w:val="0"/>
          <w:color w:val="000000"/>
          <w:szCs w:val="22"/>
        </w:rPr>
        <w:softHyphen/>
        <w:t>գույն</w:t>
      </w:r>
      <w:r w:rsidRPr="00A83C94">
        <w:rPr>
          <w:b w:val="0"/>
          <w:color w:val="000000"/>
          <w:szCs w:val="22"/>
        </w:rPr>
        <w:t xml:space="preserve"> </w:t>
      </w:r>
      <w:r w:rsidRPr="00A83C94">
        <w:rPr>
          <w:rFonts w:cs="Sylfaen"/>
          <w:b w:val="0"/>
          <w:color w:val="000000"/>
          <w:szCs w:val="22"/>
        </w:rPr>
        <w:t>գործառույթներից</w:t>
      </w:r>
      <w:r w:rsidRPr="00A83C94">
        <w:rPr>
          <w:b w:val="0"/>
          <w:color w:val="000000"/>
          <w:szCs w:val="22"/>
        </w:rPr>
        <w:t xml:space="preserve"> </w:t>
      </w:r>
      <w:r w:rsidRPr="00A83C94">
        <w:rPr>
          <w:rFonts w:cs="Sylfaen"/>
          <w:b w:val="0"/>
          <w:color w:val="000000"/>
          <w:szCs w:val="22"/>
        </w:rPr>
        <w:t>մեկը՝</w:t>
      </w:r>
      <w:r w:rsidRPr="00A83C94">
        <w:rPr>
          <w:b w:val="0"/>
          <w:color w:val="000000"/>
          <w:szCs w:val="22"/>
        </w:rPr>
        <w:t xml:space="preserve"> </w:t>
      </w:r>
      <w:r w:rsidRPr="00A83C94">
        <w:rPr>
          <w:rFonts w:cs="Sylfaen"/>
          <w:b w:val="0"/>
          <w:color w:val="000000"/>
          <w:szCs w:val="22"/>
        </w:rPr>
        <w:t>եկա</w:t>
      </w:r>
      <w:r w:rsidRPr="00A83C94">
        <w:rPr>
          <w:rFonts w:cs="Sylfaen"/>
          <w:b w:val="0"/>
          <w:color w:val="000000"/>
          <w:szCs w:val="22"/>
        </w:rPr>
        <w:softHyphen/>
        <w:t>մուտ</w:t>
      </w:r>
      <w:r w:rsidRPr="00A83C94">
        <w:rPr>
          <w:rFonts w:cs="Sylfaen"/>
          <w:b w:val="0"/>
          <w:color w:val="000000"/>
          <w:szCs w:val="22"/>
        </w:rPr>
        <w:softHyphen/>
        <w:t>ների</w:t>
      </w:r>
      <w:r w:rsidRPr="00A83C94">
        <w:rPr>
          <w:b w:val="0"/>
          <w:color w:val="000000"/>
          <w:szCs w:val="22"/>
        </w:rPr>
        <w:t xml:space="preserve"> </w:t>
      </w:r>
      <w:r w:rsidRPr="00A83C94">
        <w:rPr>
          <w:rFonts w:cs="Sylfaen"/>
          <w:b w:val="0"/>
          <w:color w:val="000000"/>
          <w:szCs w:val="22"/>
        </w:rPr>
        <w:t>վերաբաշխ</w:t>
      </w:r>
      <w:r w:rsidRPr="00A83C94">
        <w:rPr>
          <w:rFonts w:cs="Sylfaen"/>
          <w:b w:val="0"/>
          <w:color w:val="000000"/>
          <w:szCs w:val="22"/>
        </w:rPr>
        <w:softHyphen/>
        <w:t>ման</w:t>
      </w:r>
      <w:r w:rsidRPr="00A83C94">
        <w:rPr>
          <w:b w:val="0"/>
          <w:color w:val="000000"/>
          <w:szCs w:val="22"/>
        </w:rPr>
        <w:t xml:space="preserve"> </w:t>
      </w:r>
      <w:r w:rsidRPr="00A83C94">
        <w:rPr>
          <w:rFonts w:cs="Sylfaen"/>
          <w:b w:val="0"/>
          <w:color w:val="000000"/>
          <w:szCs w:val="22"/>
        </w:rPr>
        <w:t>գոր</w:t>
      </w:r>
      <w:r w:rsidRPr="00A83C94">
        <w:rPr>
          <w:rFonts w:cs="Sylfaen"/>
          <w:b w:val="0"/>
          <w:color w:val="000000"/>
          <w:szCs w:val="22"/>
        </w:rPr>
        <w:softHyphen/>
        <w:t>ծառույթը,</w:t>
      </w:r>
      <w:r w:rsidRPr="00A83C94">
        <w:rPr>
          <w:b w:val="0"/>
          <w:color w:val="000000"/>
          <w:szCs w:val="22"/>
        </w:rPr>
        <w:t xml:space="preserve"> </w:t>
      </w:r>
      <w:r w:rsidRPr="00A83C94">
        <w:rPr>
          <w:rFonts w:cs="Sylfaen"/>
          <w:b w:val="0"/>
          <w:color w:val="000000"/>
          <w:szCs w:val="22"/>
        </w:rPr>
        <w:t>ամբողջությամբ</w:t>
      </w:r>
      <w:r w:rsidRPr="00A83C94">
        <w:rPr>
          <w:b w:val="0"/>
          <w:color w:val="000000"/>
          <w:szCs w:val="22"/>
        </w:rPr>
        <w:t xml:space="preserve"> </w:t>
      </w:r>
      <w:r w:rsidRPr="00A83C94">
        <w:rPr>
          <w:rFonts w:cs="Sylfaen"/>
          <w:b w:val="0"/>
          <w:color w:val="000000"/>
          <w:szCs w:val="22"/>
        </w:rPr>
        <w:t>և</w:t>
      </w:r>
      <w:r w:rsidRPr="00A83C94">
        <w:rPr>
          <w:b w:val="0"/>
          <w:color w:val="000000"/>
          <w:szCs w:val="22"/>
        </w:rPr>
        <w:t xml:space="preserve"> </w:t>
      </w:r>
      <w:r w:rsidRPr="00A83C94">
        <w:rPr>
          <w:rFonts w:cs="Sylfaen"/>
          <w:b w:val="0"/>
          <w:color w:val="000000"/>
          <w:szCs w:val="22"/>
        </w:rPr>
        <w:t>հասցեական</w:t>
      </w:r>
      <w:r w:rsidRPr="00A83C94">
        <w:rPr>
          <w:b w:val="0"/>
          <w:color w:val="000000"/>
          <w:szCs w:val="22"/>
        </w:rPr>
        <w:t xml:space="preserve"> </w:t>
      </w:r>
      <w:r w:rsidRPr="00A83C94">
        <w:rPr>
          <w:rFonts w:cs="Sylfaen"/>
          <w:b w:val="0"/>
          <w:color w:val="000000"/>
          <w:szCs w:val="22"/>
        </w:rPr>
        <w:t>ձևով</w:t>
      </w:r>
      <w:r w:rsidRPr="00A83C94">
        <w:rPr>
          <w:b w:val="0"/>
          <w:color w:val="000000"/>
          <w:szCs w:val="22"/>
        </w:rPr>
        <w:t xml:space="preserve"> </w:t>
      </w:r>
      <w:r w:rsidRPr="00A83C94">
        <w:rPr>
          <w:rFonts w:cs="Sylfaen"/>
          <w:b w:val="0"/>
          <w:color w:val="000000"/>
          <w:szCs w:val="22"/>
        </w:rPr>
        <w:t>չի</w:t>
      </w:r>
      <w:r w:rsidRPr="00A83C94">
        <w:rPr>
          <w:b w:val="0"/>
          <w:color w:val="000000"/>
          <w:szCs w:val="22"/>
        </w:rPr>
        <w:t xml:space="preserve"> </w:t>
      </w:r>
      <w:r w:rsidRPr="00A83C94">
        <w:rPr>
          <w:rFonts w:cs="Sylfaen"/>
          <w:b w:val="0"/>
          <w:color w:val="000000"/>
          <w:szCs w:val="22"/>
        </w:rPr>
        <w:t>իրակա</w:t>
      </w:r>
      <w:r w:rsidRPr="00A83C94">
        <w:rPr>
          <w:rFonts w:cs="Sylfaen"/>
          <w:b w:val="0"/>
          <w:color w:val="000000"/>
          <w:szCs w:val="22"/>
        </w:rPr>
        <w:softHyphen/>
        <w:t>նաց</w:t>
      </w:r>
      <w:r w:rsidRPr="00A83C94">
        <w:rPr>
          <w:rFonts w:cs="Sylfaen"/>
          <w:b w:val="0"/>
          <w:color w:val="000000"/>
          <w:szCs w:val="22"/>
        </w:rPr>
        <w:softHyphen/>
        <w:t>վում</w:t>
      </w:r>
      <w:r w:rsidRPr="00A83C94">
        <w:rPr>
          <w:b w:val="0"/>
          <w:color w:val="000000"/>
          <w:szCs w:val="22"/>
        </w:rPr>
        <w:t>:</w:t>
      </w:r>
    </w:p>
    <w:p w14:paraId="1D2F328F"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rPr>
      </w:pPr>
    </w:p>
    <w:p w14:paraId="36B34EB9"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u w:val="single"/>
        </w:rPr>
      </w:pPr>
      <w:r w:rsidRPr="00A83C94">
        <w:rPr>
          <w:b w:val="0"/>
          <w:color w:val="000000"/>
          <w:szCs w:val="22"/>
          <w:u w:val="single"/>
          <w:lang w:val="en-US"/>
        </w:rPr>
        <w:t>Հարկային</w:t>
      </w:r>
      <w:r w:rsidRPr="00A83C94">
        <w:rPr>
          <w:b w:val="0"/>
          <w:color w:val="000000"/>
          <w:szCs w:val="22"/>
          <w:u w:val="single"/>
        </w:rPr>
        <w:t xml:space="preserve"> </w:t>
      </w:r>
      <w:r w:rsidRPr="00A83C94">
        <w:rPr>
          <w:b w:val="0"/>
          <w:color w:val="000000"/>
          <w:szCs w:val="22"/>
          <w:u w:val="single"/>
          <w:lang w:val="en-US"/>
        </w:rPr>
        <w:t>ծախսերի</w:t>
      </w:r>
      <w:r w:rsidRPr="00A83C94">
        <w:rPr>
          <w:b w:val="0"/>
          <w:color w:val="000000"/>
          <w:szCs w:val="22"/>
          <w:u w:val="single"/>
        </w:rPr>
        <w:t xml:space="preserve"> </w:t>
      </w:r>
      <w:r w:rsidRPr="00A83C94">
        <w:rPr>
          <w:b w:val="0"/>
          <w:color w:val="000000"/>
          <w:szCs w:val="22"/>
          <w:u w:val="single"/>
          <w:lang w:val="en-US"/>
        </w:rPr>
        <w:t>գնահատականները</w:t>
      </w:r>
      <w:r w:rsidRPr="00A83C94">
        <w:rPr>
          <w:b w:val="0"/>
          <w:color w:val="000000"/>
          <w:szCs w:val="22"/>
          <w:u w:val="single"/>
        </w:rPr>
        <w:t xml:space="preserve"> </w:t>
      </w:r>
      <w:r w:rsidRPr="00A83C94">
        <w:rPr>
          <w:b w:val="0"/>
          <w:color w:val="000000"/>
          <w:szCs w:val="22"/>
          <w:u w:val="single"/>
          <w:lang w:val="en-US"/>
        </w:rPr>
        <w:t>ըստ</w:t>
      </w:r>
      <w:r w:rsidRPr="00A83C94">
        <w:rPr>
          <w:b w:val="0"/>
          <w:color w:val="000000"/>
          <w:szCs w:val="22"/>
          <w:u w:val="single"/>
        </w:rPr>
        <w:t xml:space="preserve"> </w:t>
      </w:r>
      <w:r w:rsidRPr="00A83C94">
        <w:rPr>
          <w:b w:val="0"/>
          <w:color w:val="000000"/>
          <w:szCs w:val="22"/>
          <w:u w:val="single"/>
          <w:lang w:val="en-US"/>
        </w:rPr>
        <w:t>հարկատեսակների</w:t>
      </w:r>
      <w:r w:rsidRPr="00A83C94">
        <w:rPr>
          <w:b w:val="0"/>
          <w:color w:val="000000"/>
          <w:szCs w:val="22"/>
          <w:u w:val="single"/>
        </w:rPr>
        <w:t xml:space="preserve"> </w:t>
      </w:r>
      <w:r w:rsidRPr="00A83C94">
        <w:rPr>
          <w:b w:val="0"/>
          <w:color w:val="000000"/>
          <w:szCs w:val="22"/>
          <w:u w:val="single"/>
          <w:lang w:val="en-US"/>
        </w:rPr>
        <w:t>ու</w:t>
      </w:r>
      <w:r w:rsidRPr="00A83C94">
        <w:rPr>
          <w:b w:val="0"/>
          <w:color w:val="000000"/>
          <w:szCs w:val="22"/>
          <w:u w:val="single"/>
        </w:rPr>
        <w:t xml:space="preserve"> </w:t>
      </w:r>
    </w:p>
    <w:p w14:paraId="17DFE095" w14:textId="77777777" w:rsidR="00840AE8" w:rsidRPr="00A83C94" w:rsidRDefault="00840AE8" w:rsidP="00840AE8">
      <w:pPr>
        <w:pStyle w:val="NormalWeb"/>
        <w:shd w:val="clear" w:color="auto" w:fill="FFFFFF"/>
        <w:spacing w:before="0" w:beforeAutospacing="0" w:after="0" w:afterAutospacing="0" w:line="276" w:lineRule="auto"/>
        <w:rPr>
          <w:b w:val="0"/>
          <w:color w:val="000000"/>
          <w:szCs w:val="22"/>
          <w:u w:val="single"/>
        </w:rPr>
      </w:pPr>
      <w:r w:rsidRPr="00A83C94">
        <w:rPr>
          <w:b w:val="0"/>
          <w:color w:val="000000"/>
          <w:szCs w:val="22"/>
          <w:u w:val="single"/>
          <w:lang w:val="en-US"/>
        </w:rPr>
        <w:t>արտոնությունների</w:t>
      </w:r>
      <w:r w:rsidRPr="00A83C94">
        <w:rPr>
          <w:b w:val="0"/>
          <w:color w:val="000000"/>
          <w:szCs w:val="22"/>
          <w:u w:val="single"/>
        </w:rPr>
        <w:t xml:space="preserve"> </w:t>
      </w:r>
      <w:r w:rsidRPr="00A83C94">
        <w:rPr>
          <w:b w:val="0"/>
          <w:color w:val="000000"/>
          <w:szCs w:val="22"/>
          <w:u w:val="single"/>
          <w:lang w:val="en-US"/>
        </w:rPr>
        <w:t>հիմնական</w:t>
      </w:r>
      <w:r w:rsidRPr="00A83C94">
        <w:rPr>
          <w:b w:val="0"/>
          <w:color w:val="000000"/>
          <w:szCs w:val="22"/>
          <w:u w:val="single"/>
        </w:rPr>
        <w:t xml:space="preserve"> </w:t>
      </w:r>
      <w:r w:rsidRPr="00A83C94">
        <w:rPr>
          <w:b w:val="0"/>
          <w:color w:val="000000"/>
          <w:szCs w:val="22"/>
          <w:u w:val="single"/>
          <w:lang w:val="en-US"/>
        </w:rPr>
        <w:t>տեսակների</w:t>
      </w:r>
      <w:r w:rsidRPr="00A83C94">
        <w:rPr>
          <w:b w:val="0"/>
          <w:color w:val="000000"/>
          <w:szCs w:val="22"/>
          <w:u w:val="single"/>
        </w:rPr>
        <w:t>.</w:t>
      </w:r>
    </w:p>
    <w:p w14:paraId="02B771A6" w14:textId="77777777" w:rsidR="00840AE8" w:rsidRPr="00A83C94" w:rsidRDefault="00840AE8" w:rsidP="00840AE8">
      <w:pPr>
        <w:spacing w:line="276" w:lineRule="auto"/>
        <w:rPr>
          <w:rFonts w:cs="Sylfaen"/>
          <w:b w:val="0"/>
          <w:iCs/>
          <w:color w:val="000000"/>
          <w:szCs w:val="22"/>
        </w:rPr>
      </w:pPr>
      <w:r w:rsidRPr="00A83C94">
        <w:rPr>
          <w:rFonts w:cs="Sylfaen"/>
          <w:b w:val="0"/>
          <w:iCs/>
          <w:color w:val="000000"/>
          <w:szCs w:val="22"/>
        </w:rPr>
        <w:t>Սույն հաշվետվությամբ ներկայացված է հարկային արտոնությունների հետևանքով պետա</w:t>
      </w:r>
      <w:r w:rsidRPr="00A83C94">
        <w:rPr>
          <w:rFonts w:cs="Sylfaen"/>
          <w:b w:val="0"/>
          <w:iCs/>
          <w:color w:val="000000"/>
          <w:szCs w:val="22"/>
        </w:rPr>
        <w:softHyphen/>
        <w:t>կան բյուջե չգանձվող (պակաս գանձվող) հարկային եկամուտների մակրոտնտե</w:t>
      </w:r>
      <w:r w:rsidRPr="00A83C94">
        <w:rPr>
          <w:rFonts w:cs="Sylfaen"/>
          <w:b w:val="0"/>
          <w:iCs/>
          <w:color w:val="000000"/>
          <w:szCs w:val="22"/>
        </w:rPr>
        <w:softHyphen/>
        <w:t>սա</w:t>
      </w:r>
      <w:r w:rsidRPr="00A83C94">
        <w:rPr>
          <w:rFonts w:cs="Sylfaen"/>
          <w:b w:val="0"/>
          <w:iCs/>
          <w:color w:val="000000"/>
          <w:szCs w:val="22"/>
        </w:rPr>
        <w:softHyphen/>
        <w:t>կան գնահատականը՝ տնտեսության այն ոլորտների մասով, որոնք օգտվում են հարկային արտո</w:t>
      </w:r>
      <w:r w:rsidRPr="00A83C94">
        <w:rPr>
          <w:rFonts w:cs="Sylfaen"/>
          <w:b w:val="0"/>
          <w:iCs/>
          <w:color w:val="000000"/>
          <w:szCs w:val="22"/>
        </w:rPr>
        <w:softHyphen/>
        <w:t>նություններից:  Միաժամանակ, գնահատվել են մի քանի այլ հարկային արտո</w:t>
      </w:r>
      <w:r w:rsidRPr="00A83C94">
        <w:rPr>
          <w:rFonts w:cs="Sylfaen"/>
          <w:b w:val="0"/>
          <w:iCs/>
          <w:color w:val="000000"/>
          <w:szCs w:val="22"/>
        </w:rPr>
        <w:softHyphen/>
        <w:t>նու</w:t>
      </w:r>
      <w:r w:rsidRPr="00A83C94">
        <w:rPr>
          <w:rFonts w:cs="Sylfaen"/>
          <w:b w:val="0"/>
          <w:iCs/>
          <w:color w:val="000000"/>
          <w:szCs w:val="22"/>
        </w:rPr>
        <w:softHyphen/>
        <w:t>թյուն</w:t>
      </w:r>
      <w:r w:rsidRPr="00A83C94">
        <w:rPr>
          <w:rFonts w:cs="Sylfaen"/>
          <w:b w:val="0"/>
          <w:iCs/>
          <w:color w:val="000000"/>
          <w:szCs w:val="22"/>
        </w:rPr>
        <w:softHyphen/>
        <w:t>ների (ոչ ոլորտային նշանակության) կիրառության հետևանքով պետական բյուջեի հար</w:t>
      </w:r>
      <w:r w:rsidRPr="00A83C94">
        <w:rPr>
          <w:rFonts w:cs="Sylfaen"/>
          <w:b w:val="0"/>
          <w:iCs/>
          <w:color w:val="000000"/>
          <w:szCs w:val="22"/>
        </w:rPr>
        <w:softHyphen/>
        <w:t>կա</w:t>
      </w:r>
      <w:r w:rsidRPr="00A83C94">
        <w:rPr>
          <w:rFonts w:cs="Sylfaen"/>
          <w:b w:val="0"/>
          <w:iCs/>
          <w:color w:val="000000"/>
          <w:szCs w:val="22"/>
        </w:rPr>
        <w:softHyphen/>
        <w:t>յին եկամուտների կորուստները: 2022 թվականի հարկային ծախսերի գնահատականը ներառում է նաև ԱԱՀ-ի հաշվարկով արտացոլված մի շարք այլ հարկային արտոնությունների գնահատականները:</w:t>
      </w:r>
    </w:p>
    <w:p w14:paraId="528FA5A6" w14:textId="77777777" w:rsidR="00840AE8" w:rsidRPr="00A83C94" w:rsidRDefault="00840AE8" w:rsidP="00840AE8">
      <w:pPr>
        <w:spacing w:line="276" w:lineRule="auto"/>
        <w:rPr>
          <w:rFonts w:cs="Sylfaen"/>
          <w:b w:val="0"/>
          <w:iCs/>
          <w:color w:val="000000"/>
          <w:szCs w:val="22"/>
        </w:rPr>
      </w:pPr>
      <w:r w:rsidRPr="00A83C94">
        <w:rPr>
          <w:rFonts w:cs="Sylfaen"/>
          <w:b w:val="0"/>
          <w:iCs/>
          <w:color w:val="000000"/>
          <w:szCs w:val="22"/>
        </w:rPr>
        <w:t xml:space="preserve">Գնահատման արդյունքների համաձայն, հարկային ծախսերի տարեկան մեծությունը կազմել է 503,301 մլն. դրամ, </w:t>
      </w:r>
      <w:r w:rsidRPr="00A83C94">
        <w:rPr>
          <w:rFonts w:cs="Sylfaen"/>
          <w:b w:val="0"/>
          <w:iCs/>
          <w:color w:val="000000"/>
          <w:szCs w:val="22"/>
          <w:lang w:val="hy-AM"/>
        </w:rPr>
        <w:t>ինչը 52,226 մլն. դրամով կամ 11.6 տոկոսով ավելին է, քան նախորդ տարվա գնահատականը: Ա</w:t>
      </w:r>
      <w:r w:rsidRPr="00A83C94">
        <w:rPr>
          <w:rFonts w:cs="Sylfaen"/>
          <w:b w:val="0"/>
          <w:iCs/>
          <w:color w:val="000000"/>
          <w:szCs w:val="22"/>
        </w:rPr>
        <w:t>վելացված արժեքի հարկի գծով</w:t>
      </w:r>
      <w:r w:rsidRPr="00A83C94">
        <w:rPr>
          <w:rFonts w:cs="Sylfaen"/>
          <w:b w:val="0"/>
          <w:iCs/>
          <w:color w:val="000000"/>
          <w:szCs w:val="22"/>
          <w:lang w:val="hy-AM"/>
        </w:rPr>
        <w:t xml:space="preserve"> հարկային ծախսերը գնահատվել են </w:t>
      </w:r>
      <w:r w:rsidRPr="00A83C94">
        <w:rPr>
          <w:rFonts w:cs="Sylfaen"/>
          <w:b w:val="0"/>
          <w:iCs/>
          <w:color w:val="000000"/>
          <w:szCs w:val="22"/>
        </w:rPr>
        <w:t xml:space="preserve">363,296 մլն. դրամ, </w:t>
      </w:r>
      <w:r w:rsidRPr="00A83C94">
        <w:rPr>
          <w:rFonts w:cs="Sylfaen"/>
          <w:b w:val="0"/>
          <w:iCs/>
          <w:color w:val="000000"/>
          <w:szCs w:val="22"/>
          <w:lang w:val="hy-AM"/>
        </w:rPr>
        <w:t>ինչը 365 մլն. դրամով կամ 0.1 տոկոսով ավելին է, քան նախորդ տարվա գնահատականը: Շ</w:t>
      </w:r>
      <w:r w:rsidRPr="00A83C94">
        <w:rPr>
          <w:rFonts w:cs="Sylfaen"/>
          <w:b w:val="0"/>
          <w:iCs/>
          <w:color w:val="000000"/>
          <w:szCs w:val="22"/>
        </w:rPr>
        <w:t>ահութահարկի գծով</w:t>
      </w:r>
      <w:r w:rsidRPr="00A83C94">
        <w:rPr>
          <w:rFonts w:cs="Sylfaen"/>
          <w:b w:val="0"/>
          <w:iCs/>
          <w:color w:val="000000"/>
          <w:szCs w:val="22"/>
          <w:lang w:val="hy-AM"/>
        </w:rPr>
        <w:t xml:space="preserve"> հարկային ծախսերը գնահատվել են </w:t>
      </w:r>
      <w:r w:rsidRPr="00A83C94">
        <w:rPr>
          <w:b w:val="0"/>
          <w:color w:val="000000"/>
          <w:szCs w:val="22"/>
        </w:rPr>
        <w:t>78,931</w:t>
      </w:r>
      <w:r w:rsidRPr="00A83C94">
        <w:rPr>
          <w:b w:val="0"/>
          <w:i/>
          <w:szCs w:val="22"/>
        </w:rPr>
        <w:t xml:space="preserve"> </w:t>
      </w:r>
      <w:r w:rsidRPr="00A83C94">
        <w:rPr>
          <w:rFonts w:cs="Sylfaen"/>
          <w:b w:val="0"/>
          <w:iCs/>
          <w:color w:val="000000"/>
          <w:szCs w:val="22"/>
        </w:rPr>
        <w:t>մլն. դրամ,</w:t>
      </w:r>
      <w:r w:rsidRPr="00A83C94">
        <w:rPr>
          <w:rFonts w:cs="Sylfaen"/>
          <w:b w:val="0"/>
          <w:iCs/>
          <w:color w:val="000000"/>
          <w:szCs w:val="22"/>
          <w:lang w:val="hy-AM"/>
        </w:rPr>
        <w:t xml:space="preserve"> ինչը 7,192 մլն. դրամով կամ 10.0 տոկոսով ավելին է, քան նախորդ տարվա գնահատականը: Այս գնահատականում ներառված է նաև 1,500 մլն. դրամի չափով ՏՏ ոլորտի արտոնությունների գնահատականը, որը ներառված չի եղել նախորդ գնահատականում: Ե</w:t>
      </w:r>
      <w:r w:rsidRPr="00A83C94">
        <w:rPr>
          <w:rFonts w:cs="Sylfaen"/>
          <w:b w:val="0"/>
          <w:iCs/>
          <w:color w:val="000000"/>
          <w:szCs w:val="22"/>
        </w:rPr>
        <w:t>կամտային հարկի գծով</w:t>
      </w:r>
      <w:r w:rsidRPr="00A83C94">
        <w:rPr>
          <w:rFonts w:cs="Sylfaen"/>
          <w:b w:val="0"/>
          <w:iCs/>
          <w:color w:val="000000"/>
          <w:szCs w:val="22"/>
          <w:lang w:val="hy-AM"/>
        </w:rPr>
        <w:t xml:space="preserve"> հարկային ծախսերը գնահատվել են</w:t>
      </w:r>
      <w:r w:rsidRPr="00A83C94">
        <w:rPr>
          <w:rFonts w:cs="Sylfaen"/>
          <w:b w:val="0"/>
          <w:iCs/>
          <w:color w:val="000000"/>
          <w:szCs w:val="22"/>
        </w:rPr>
        <w:t xml:space="preserve"> </w:t>
      </w:r>
      <w:r w:rsidRPr="00A83C94">
        <w:rPr>
          <w:b w:val="0"/>
          <w:color w:val="000000"/>
          <w:szCs w:val="22"/>
        </w:rPr>
        <w:t>61,075</w:t>
      </w:r>
      <w:r w:rsidRPr="00A83C94">
        <w:rPr>
          <w:b w:val="0"/>
          <w:i/>
          <w:color w:val="000000"/>
          <w:szCs w:val="22"/>
        </w:rPr>
        <w:t xml:space="preserve"> </w:t>
      </w:r>
      <w:r w:rsidRPr="00A83C94">
        <w:rPr>
          <w:rFonts w:cs="Sylfaen"/>
          <w:b w:val="0"/>
          <w:iCs/>
          <w:color w:val="000000"/>
          <w:szCs w:val="22"/>
        </w:rPr>
        <w:t xml:space="preserve">մլն. </w:t>
      </w:r>
      <w:r w:rsidRPr="00A83C94">
        <w:rPr>
          <w:rFonts w:cs="Sylfaen"/>
          <w:b w:val="0"/>
          <w:iCs/>
          <w:color w:val="000000"/>
          <w:szCs w:val="22"/>
          <w:lang w:val="hy-AM"/>
        </w:rPr>
        <w:t>դ</w:t>
      </w:r>
      <w:r w:rsidRPr="00A83C94">
        <w:rPr>
          <w:rFonts w:cs="Sylfaen"/>
          <w:b w:val="0"/>
          <w:iCs/>
          <w:color w:val="000000"/>
          <w:szCs w:val="22"/>
        </w:rPr>
        <w:t>րամ</w:t>
      </w:r>
      <w:r w:rsidRPr="00A83C94">
        <w:rPr>
          <w:rFonts w:cs="Sylfaen"/>
          <w:b w:val="0"/>
          <w:iCs/>
          <w:color w:val="000000"/>
          <w:szCs w:val="22"/>
          <w:lang w:val="hy-AM"/>
        </w:rPr>
        <w:t>, ինչը 44,669 մլն. դրամով կամ 2.7 անգամ ավելին է, քան նախորդ տարվա գնահատականը: Այս գնահատականում ներառված է նաև 4,091 մլն. դրամի չափով ՏՏ ոլորտի արտոնությունների և 38,005 մլն. դրամի չափով հիպոտեկային վարկերի տոկոսների սպասարկման համար վարկառուներին և համավարկառուներին վերադարձված եկամտային հարկի գումարների գնահատականները, որոնք ներառված չեն եղել նախորդ գնահատականում:</w:t>
      </w:r>
    </w:p>
    <w:p w14:paraId="6BD2C1EC" w14:textId="77777777" w:rsidR="00840AE8" w:rsidRPr="00A83C94" w:rsidRDefault="00840AE8" w:rsidP="00786462">
      <w:pPr>
        <w:pStyle w:val="ListParagraph"/>
        <w:numPr>
          <w:ilvl w:val="0"/>
          <w:numId w:val="31"/>
        </w:numPr>
        <w:tabs>
          <w:tab w:val="left" w:pos="851"/>
        </w:tabs>
        <w:spacing w:before="240" w:line="276" w:lineRule="auto"/>
        <w:ind w:left="0" w:firstLine="567"/>
        <w:rPr>
          <w:b w:val="0"/>
          <w:i/>
          <w:szCs w:val="22"/>
        </w:rPr>
      </w:pPr>
      <w:r w:rsidRPr="00A83C94">
        <w:rPr>
          <w:rFonts w:cs="Sylfaen"/>
          <w:b w:val="0"/>
          <w:i/>
          <w:szCs w:val="22"/>
        </w:rPr>
        <w:t>ԱԱՀ</w:t>
      </w:r>
      <w:r w:rsidRPr="00A83C94">
        <w:rPr>
          <w:b w:val="0"/>
          <w:i/>
          <w:szCs w:val="22"/>
        </w:rPr>
        <w:t>-ի գծով հարկային ծախսերը.</w:t>
      </w:r>
    </w:p>
    <w:p w14:paraId="0F666BCE" w14:textId="77777777" w:rsidR="00840AE8" w:rsidRPr="00A83C94" w:rsidRDefault="00840AE8" w:rsidP="00840AE8">
      <w:pPr>
        <w:spacing w:line="276" w:lineRule="auto"/>
        <w:rPr>
          <w:rFonts w:cs="Sylfaen"/>
          <w:b w:val="0"/>
          <w:iCs/>
          <w:color w:val="000000"/>
          <w:szCs w:val="22"/>
        </w:rPr>
      </w:pPr>
      <w:r w:rsidRPr="00A83C94">
        <w:rPr>
          <w:rFonts w:cs="Sylfaen"/>
          <w:b w:val="0"/>
          <w:iCs/>
          <w:color w:val="000000"/>
          <w:szCs w:val="22"/>
        </w:rPr>
        <w:t>Ավելացված արժեքի հարկի գծով հարկային ծախսերի մեծությունը տնտեսության տար</w:t>
      </w:r>
      <w:r w:rsidRPr="00A83C94">
        <w:rPr>
          <w:rFonts w:cs="Sylfaen"/>
          <w:b w:val="0"/>
          <w:iCs/>
          <w:color w:val="000000"/>
          <w:szCs w:val="22"/>
        </w:rPr>
        <w:softHyphen/>
        <w:t>բեր ոլորտների ու առանձին հարկային արտոնությունների միջև բաշխվում է հետևյալ կերպ.</w:t>
      </w:r>
    </w:p>
    <w:p w14:paraId="6742750E"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գյուղատնտեսություն` </w:t>
      </w:r>
      <w:r w:rsidRPr="00A83C94">
        <w:rPr>
          <w:b w:val="0"/>
          <w:i/>
          <w:szCs w:val="22"/>
        </w:rPr>
        <w:t>18,444 մլն. դրամ</w:t>
      </w:r>
      <w:r w:rsidRPr="00A83C94">
        <w:rPr>
          <w:b w:val="0"/>
          <w:szCs w:val="22"/>
        </w:rPr>
        <w:t>,</w:t>
      </w:r>
    </w:p>
    <w:p w14:paraId="7B919544"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առողջապահություն` </w:t>
      </w:r>
      <w:r w:rsidRPr="00A83C94">
        <w:rPr>
          <w:b w:val="0"/>
          <w:i/>
          <w:szCs w:val="22"/>
        </w:rPr>
        <w:t>77,801 մլն. դրամ</w:t>
      </w:r>
      <w:r w:rsidRPr="00A83C94">
        <w:rPr>
          <w:b w:val="0"/>
          <w:szCs w:val="22"/>
        </w:rPr>
        <w:t>,</w:t>
      </w:r>
    </w:p>
    <w:p w14:paraId="1B184339"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կրթություն` </w:t>
      </w:r>
      <w:r w:rsidRPr="00A83C94">
        <w:rPr>
          <w:b w:val="0"/>
          <w:i/>
          <w:szCs w:val="22"/>
        </w:rPr>
        <w:t>28,521 մլն. դրամ</w:t>
      </w:r>
      <w:r w:rsidRPr="00A83C94">
        <w:rPr>
          <w:b w:val="0"/>
          <w:szCs w:val="22"/>
        </w:rPr>
        <w:t>,</w:t>
      </w:r>
    </w:p>
    <w:p w14:paraId="0CD79C61"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ֆինանսներ և ապահովագրություն` </w:t>
      </w:r>
      <w:r w:rsidRPr="00A83C94">
        <w:rPr>
          <w:b w:val="0"/>
          <w:i/>
          <w:szCs w:val="22"/>
        </w:rPr>
        <w:t>69,255 մլն. դրամ</w:t>
      </w:r>
      <w:r w:rsidRPr="00A83C94">
        <w:rPr>
          <w:b w:val="0"/>
          <w:szCs w:val="22"/>
        </w:rPr>
        <w:t>,</w:t>
      </w:r>
    </w:p>
    <w:p w14:paraId="4696F155"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խաղատների գործունեություն, շահումով խաղերի (այդ թվում՝ ինտերնետ շահումով խաղերի), տոտալիզատորի և ինտերնետ տոտալիզատորի կազմակերպում՝ </w:t>
      </w:r>
      <w:r w:rsidRPr="00A83C94">
        <w:rPr>
          <w:b w:val="0"/>
          <w:i/>
          <w:szCs w:val="22"/>
        </w:rPr>
        <w:t>44,589 մլն. դրամ</w:t>
      </w:r>
      <w:r w:rsidRPr="00A83C94">
        <w:rPr>
          <w:b w:val="0"/>
          <w:szCs w:val="22"/>
        </w:rPr>
        <w:t>,</w:t>
      </w:r>
    </w:p>
    <w:p w14:paraId="27B51748"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ոսկու և թանկարժեք քարերի իրացում՝ </w:t>
      </w:r>
      <w:r w:rsidRPr="00A83C94">
        <w:rPr>
          <w:b w:val="0"/>
          <w:i/>
          <w:szCs w:val="22"/>
        </w:rPr>
        <w:t>3,783 մլն. դրամ</w:t>
      </w:r>
      <w:r w:rsidRPr="00A83C94">
        <w:rPr>
          <w:b w:val="0"/>
          <w:szCs w:val="22"/>
        </w:rPr>
        <w:t>,</w:t>
      </w:r>
    </w:p>
    <w:p w14:paraId="694AF0FB"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մարդասիրական օգնություն՝ </w:t>
      </w:r>
      <w:r w:rsidRPr="00A83C94">
        <w:rPr>
          <w:b w:val="0"/>
          <w:i/>
          <w:szCs w:val="22"/>
        </w:rPr>
        <w:t>4,471 մլն. դրամ</w:t>
      </w:r>
      <w:r w:rsidRPr="00A83C94">
        <w:rPr>
          <w:b w:val="0"/>
          <w:szCs w:val="22"/>
        </w:rPr>
        <w:t>,</w:t>
      </w:r>
    </w:p>
    <w:p w14:paraId="7B0BC67D"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պարարտանյութերի իրացում՝ </w:t>
      </w:r>
      <w:r w:rsidRPr="00A83C94">
        <w:rPr>
          <w:b w:val="0"/>
          <w:i/>
          <w:szCs w:val="22"/>
        </w:rPr>
        <w:t>5,043 մլն. դրամ</w:t>
      </w:r>
      <w:r w:rsidRPr="00A83C94">
        <w:rPr>
          <w:b w:val="0"/>
          <w:szCs w:val="22"/>
        </w:rPr>
        <w:t>,</w:t>
      </w:r>
    </w:p>
    <w:p w14:paraId="0DCAAC8A"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ջրօգտագործողների ընկերությունների կողմից ոռոգման ջրի օտարում՝ </w:t>
      </w:r>
      <w:r w:rsidRPr="00A83C94">
        <w:rPr>
          <w:b w:val="0"/>
          <w:i/>
          <w:szCs w:val="22"/>
        </w:rPr>
        <w:t>1,977 մլն. դրամ</w:t>
      </w:r>
      <w:r w:rsidRPr="00A83C94">
        <w:rPr>
          <w:b w:val="0"/>
          <w:szCs w:val="22"/>
        </w:rPr>
        <w:t>,</w:t>
      </w:r>
    </w:p>
    <w:p w14:paraId="3349D8D0"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սուբսիդիաների, սուբվենցիաների և դրամաշնորհային ծրագրերի շրջանակներում իրականացվող` ապրանքի մատակարարում, աշխատանքի կատարում և (կամ) ծառայության մատուցում՝ </w:t>
      </w:r>
      <w:r w:rsidRPr="00A83C94">
        <w:rPr>
          <w:b w:val="0"/>
          <w:i/>
          <w:szCs w:val="22"/>
        </w:rPr>
        <w:t>1,011 մլն. դրամ</w:t>
      </w:r>
      <w:r w:rsidRPr="00A83C94">
        <w:rPr>
          <w:b w:val="0"/>
          <w:szCs w:val="22"/>
        </w:rPr>
        <w:t>,</w:t>
      </w:r>
    </w:p>
    <w:p w14:paraId="330F839F"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rPr>
        <w:t xml:space="preserve">ազատ տնտեսական գոտու կազմակերպչին և ազատ տնտեսական գոտու շահագործողին ծառայությունների մատուցում, ազատ տնտեսական գոտու կազմակերպչի և ազատ տնտեսական գոտու շահագործողի համար աշխատանքների կատարում, ազատ տնտեսական գոտու տարածքում ապրանքների մատակարարում՝ </w:t>
      </w:r>
      <w:r w:rsidRPr="00A83C94">
        <w:rPr>
          <w:b w:val="0"/>
          <w:i/>
          <w:szCs w:val="22"/>
        </w:rPr>
        <w:t>169 մլն. դրամ</w:t>
      </w:r>
      <w:r w:rsidRPr="00A83C94">
        <w:rPr>
          <w:b w:val="0"/>
          <w:szCs w:val="22"/>
        </w:rPr>
        <w:t>,</w:t>
      </w:r>
    </w:p>
    <w:p w14:paraId="75393F5A" w14:textId="77777777" w:rsidR="00840AE8" w:rsidRPr="00A83C94" w:rsidRDefault="00840AE8" w:rsidP="00786462">
      <w:pPr>
        <w:pStyle w:val="ListParagraph"/>
        <w:numPr>
          <w:ilvl w:val="0"/>
          <w:numId w:val="30"/>
        </w:numPr>
        <w:tabs>
          <w:tab w:val="left" w:pos="851"/>
        </w:tabs>
        <w:spacing w:before="0" w:line="276" w:lineRule="auto"/>
        <w:ind w:left="0" w:firstLine="567"/>
        <w:rPr>
          <w:b w:val="0"/>
          <w:szCs w:val="22"/>
        </w:rPr>
      </w:pPr>
      <w:r w:rsidRPr="00A83C94">
        <w:rPr>
          <w:b w:val="0"/>
          <w:szCs w:val="22"/>
          <w:lang w:val="hy-AM"/>
        </w:rPr>
        <w:t xml:space="preserve">օրենգրքով սահմանված </w:t>
      </w:r>
      <w:r w:rsidRPr="00A83C94">
        <w:rPr>
          <w:b w:val="0"/>
          <w:szCs w:val="22"/>
        </w:rPr>
        <w:t xml:space="preserve">վերը չնշված այլ արտոնություններ` </w:t>
      </w:r>
      <w:r w:rsidRPr="00A83C94">
        <w:rPr>
          <w:b w:val="0"/>
          <w:i/>
          <w:szCs w:val="22"/>
          <w:lang w:val="hy-AM"/>
        </w:rPr>
        <w:t>47,412</w:t>
      </w:r>
      <w:r w:rsidRPr="00A83C94">
        <w:rPr>
          <w:b w:val="0"/>
          <w:i/>
          <w:szCs w:val="22"/>
        </w:rPr>
        <w:t xml:space="preserve"> մլն. դրամ*</w:t>
      </w:r>
    </w:p>
    <w:p w14:paraId="304062AC" w14:textId="77777777" w:rsidR="00840AE8" w:rsidRPr="00A83C94" w:rsidRDefault="00840AE8" w:rsidP="00786462">
      <w:pPr>
        <w:pStyle w:val="ListParagraph"/>
        <w:numPr>
          <w:ilvl w:val="0"/>
          <w:numId w:val="30"/>
        </w:numPr>
        <w:tabs>
          <w:tab w:val="left" w:pos="900"/>
        </w:tabs>
        <w:spacing w:before="0" w:line="276" w:lineRule="auto"/>
        <w:ind w:left="0" w:firstLine="567"/>
        <w:rPr>
          <w:b w:val="0"/>
          <w:szCs w:val="22"/>
        </w:rPr>
      </w:pPr>
      <w:r w:rsidRPr="00A83C94">
        <w:rPr>
          <w:b w:val="0"/>
          <w:szCs w:val="22"/>
        </w:rPr>
        <w:t xml:space="preserve">այլ օրենքներով տրված արտոնություններ՝ </w:t>
      </w:r>
      <w:r w:rsidRPr="00A83C94">
        <w:rPr>
          <w:b w:val="0"/>
          <w:i/>
          <w:szCs w:val="22"/>
        </w:rPr>
        <w:t>335 մլն. դրամ:</w:t>
      </w:r>
    </w:p>
    <w:p w14:paraId="31162771" w14:textId="77777777" w:rsidR="00840AE8" w:rsidRPr="00A83C94" w:rsidRDefault="00840AE8" w:rsidP="00840AE8">
      <w:pPr>
        <w:spacing w:before="240" w:line="276" w:lineRule="auto"/>
        <w:rPr>
          <w:rFonts w:cs="Sylfaen"/>
          <w:b w:val="0"/>
          <w:i/>
          <w:iCs/>
          <w:color w:val="000000"/>
          <w:szCs w:val="22"/>
        </w:rPr>
      </w:pPr>
      <w:r w:rsidRPr="00A83C94">
        <w:rPr>
          <w:rFonts w:cs="Sylfaen"/>
          <w:b w:val="0"/>
          <w:iCs/>
          <w:color w:val="000000"/>
          <w:szCs w:val="22"/>
        </w:rPr>
        <w:t xml:space="preserve">* </w:t>
      </w:r>
      <w:r w:rsidRPr="00A83C94">
        <w:rPr>
          <w:rFonts w:cs="Sylfaen"/>
          <w:b w:val="0"/>
          <w:i/>
          <w:iCs/>
          <w:color w:val="000000"/>
          <w:szCs w:val="22"/>
        </w:rPr>
        <w:t>ավելացված արժեքի հարկի գծով հարկային ծախսերի մեծությունը գնահատելիս՝</w:t>
      </w:r>
    </w:p>
    <w:p w14:paraId="39F3F46A" w14:textId="77777777" w:rsidR="00840AE8" w:rsidRPr="00A83C94" w:rsidRDefault="00840AE8" w:rsidP="00786462">
      <w:pPr>
        <w:numPr>
          <w:ilvl w:val="0"/>
          <w:numId w:val="33"/>
        </w:numPr>
        <w:tabs>
          <w:tab w:val="left" w:pos="851"/>
        </w:tabs>
        <w:spacing w:before="0" w:line="276" w:lineRule="auto"/>
        <w:ind w:left="0" w:firstLine="567"/>
        <w:contextualSpacing w:val="0"/>
        <w:rPr>
          <w:rFonts w:cs="Sylfaen"/>
          <w:b w:val="0"/>
          <w:iCs/>
          <w:color w:val="000000"/>
          <w:szCs w:val="22"/>
        </w:rPr>
      </w:pPr>
      <w:r w:rsidRPr="00A83C94">
        <w:rPr>
          <w:rFonts w:cs="Sylfaen"/>
          <w:b w:val="0"/>
          <w:iCs/>
          <w:color w:val="000000"/>
          <w:szCs w:val="22"/>
        </w:rPr>
        <w:t>ավելացված արժեքի հարկի զրոյական դրույքաչափի կիրառությունը չի դիտվել որպես հարկային ծախս, քանի որ այն հիմնականում կիրառվում է արտահանվող ապրանք</w:t>
      </w:r>
      <w:r w:rsidRPr="00A83C94">
        <w:rPr>
          <w:rFonts w:cs="Sylfaen"/>
          <w:b w:val="0"/>
          <w:iCs/>
          <w:color w:val="000000"/>
          <w:szCs w:val="22"/>
        </w:rPr>
        <w:softHyphen/>
        <w:t>ների իրացման գործարքների համար, որոնց մասով ավելացված արժեքի հարկի զրոյական դրույ</w:t>
      </w:r>
      <w:r w:rsidRPr="00A83C94">
        <w:rPr>
          <w:rFonts w:cs="Sylfaen"/>
          <w:b w:val="0"/>
          <w:iCs/>
          <w:color w:val="000000"/>
          <w:szCs w:val="22"/>
        </w:rPr>
        <w:softHyphen/>
        <w:t>քաչափի կիրառությունը միջազգային պրակտիկայում ընդունված մոտեցում է, և հետևա</w:t>
      </w:r>
      <w:r w:rsidRPr="00A83C94">
        <w:rPr>
          <w:rFonts w:cs="Sylfaen"/>
          <w:b w:val="0"/>
          <w:iCs/>
          <w:color w:val="000000"/>
          <w:szCs w:val="22"/>
        </w:rPr>
        <w:softHyphen/>
        <w:t>բար, այդ գործարքներից ավելացված արժեքի հարկի հաշվարկային մեծությունը չի կարող համարվել հենանիշային հարկ,</w:t>
      </w:r>
    </w:p>
    <w:p w14:paraId="5EF46298" w14:textId="77777777" w:rsidR="00840AE8" w:rsidRPr="00A83C94" w:rsidRDefault="00840AE8" w:rsidP="00786462">
      <w:pPr>
        <w:numPr>
          <w:ilvl w:val="0"/>
          <w:numId w:val="33"/>
        </w:numPr>
        <w:tabs>
          <w:tab w:val="left" w:pos="851"/>
        </w:tabs>
        <w:spacing w:before="0" w:line="276" w:lineRule="auto"/>
        <w:ind w:left="0" w:firstLine="567"/>
        <w:contextualSpacing w:val="0"/>
        <w:rPr>
          <w:rFonts w:cs="Sylfaen"/>
          <w:b w:val="0"/>
          <w:iCs/>
          <w:color w:val="000000"/>
          <w:szCs w:val="22"/>
        </w:rPr>
      </w:pPr>
      <w:r w:rsidRPr="00A83C94">
        <w:rPr>
          <w:rFonts w:cs="Sylfaen"/>
          <w:b w:val="0"/>
          <w:iCs/>
          <w:color w:val="000000"/>
          <w:szCs w:val="22"/>
        </w:rPr>
        <w:t>հաշվարկներում չեն ներառվել նաև ներդրումային ծրագրերի շրջանակներում ներ</w:t>
      </w:r>
      <w:r w:rsidRPr="00A83C94">
        <w:rPr>
          <w:rFonts w:cs="Sylfaen"/>
          <w:b w:val="0"/>
          <w:iCs/>
          <w:color w:val="000000"/>
          <w:szCs w:val="22"/>
        </w:rPr>
        <w:softHyphen/>
        <w:t>մուծ</w:t>
      </w:r>
      <w:r w:rsidRPr="00A83C94">
        <w:rPr>
          <w:rFonts w:cs="Sylfaen"/>
          <w:b w:val="0"/>
          <w:iCs/>
          <w:color w:val="000000"/>
          <w:szCs w:val="22"/>
        </w:rPr>
        <w:softHyphen/>
        <w:t>վող ապրանքների մասով մաքսային մարմինների կողմից հաշվարկվող ավելացված արժեքի հարկի գումարները, որոնց վճարման ժամկետը հետաձգվում է օրենքով սահ</w:t>
      </w:r>
      <w:r w:rsidRPr="00A83C94">
        <w:rPr>
          <w:rFonts w:cs="Sylfaen"/>
          <w:b w:val="0"/>
          <w:iCs/>
          <w:color w:val="000000"/>
          <w:szCs w:val="22"/>
        </w:rPr>
        <w:softHyphen/>
        <w:t>ման</w:t>
      </w:r>
      <w:r w:rsidRPr="00A83C94">
        <w:rPr>
          <w:rFonts w:cs="Sylfaen"/>
          <w:b w:val="0"/>
          <w:iCs/>
          <w:color w:val="000000"/>
          <w:szCs w:val="22"/>
        </w:rPr>
        <w:softHyphen/>
        <w:t>ված համապատասխան ժամկետներով՝ հաշվի առնելով այն, որ ավելացված արժեքի հարկի գումար</w:t>
      </w:r>
      <w:r w:rsidRPr="00A83C94">
        <w:rPr>
          <w:rFonts w:cs="Sylfaen"/>
          <w:b w:val="0"/>
          <w:iCs/>
          <w:color w:val="000000"/>
          <w:szCs w:val="22"/>
        </w:rPr>
        <w:softHyphen/>
        <w:t>ների վճարման ժամկետի հետաձգումը միայն ժամանակային ազդեցություն է ունե</w:t>
      </w:r>
      <w:r w:rsidRPr="00A83C94">
        <w:rPr>
          <w:rFonts w:cs="Sylfaen"/>
          <w:b w:val="0"/>
          <w:iCs/>
          <w:color w:val="000000"/>
          <w:szCs w:val="22"/>
        </w:rPr>
        <w:softHyphen/>
        <w:t>նում պետական բյուջեի հարկային եկամուտների մեծության վրա,</w:t>
      </w:r>
    </w:p>
    <w:p w14:paraId="6077441F" w14:textId="77777777" w:rsidR="00840AE8" w:rsidRPr="00A83C94" w:rsidRDefault="00840AE8" w:rsidP="00786462">
      <w:pPr>
        <w:numPr>
          <w:ilvl w:val="0"/>
          <w:numId w:val="33"/>
        </w:numPr>
        <w:tabs>
          <w:tab w:val="left" w:pos="851"/>
        </w:tabs>
        <w:spacing w:before="0" w:line="276" w:lineRule="auto"/>
        <w:ind w:left="0" w:firstLine="567"/>
        <w:contextualSpacing w:val="0"/>
        <w:rPr>
          <w:rFonts w:cs="Sylfaen"/>
          <w:b w:val="0"/>
          <w:iCs/>
          <w:color w:val="000000"/>
          <w:szCs w:val="22"/>
        </w:rPr>
      </w:pPr>
      <w:r w:rsidRPr="00A83C94">
        <w:rPr>
          <w:rFonts w:cs="Sylfaen"/>
          <w:b w:val="0"/>
          <w:iCs/>
          <w:color w:val="000000"/>
          <w:szCs w:val="22"/>
        </w:rPr>
        <w:t>հաշվարկներում չեն ներառվել նաև այն ապրանքների ներմուծման համար ավելաց</w:t>
      </w:r>
      <w:r w:rsidRPr="00A83C94">
        <w:rPr>
          <w:rFonts w:cs="Sylfaen"/>
          <w:b w:val="0"/>
          <w:iCs/>
          <w:color w:val="000000"/>
          <w:szCs w:val="22"/>
        </w:rPr>
        <w:softHyphen/>
        <w:t>ված արժեքի հարկի հաշվարկային գումարները, որոնք ներառված են «Կազմակերպու</w:t>
      </w:r>
      <w:r w:rsidRPr="00A83C94">
        <w:rPr>
          <w:rFonts w:cs="Sylfaen"/>
          <w:b w:val="0"/>
          <w:iCs/>
          <w:color w:val="000000"/>
          <w:szCs w:val="22"/>
        </w:rPr>
        <w:softHyphen/>
        <w:t>թյուն</w:t>
      </w:r>
      <w:r w:rsidRPr="00A83C94">
        <w:rPr>
          <w:rFonts w:cs="Sylfaen"/>
          <w:b w:val="0"/>
          <w:iCs/>
          <w:color w:val="000000"/>
          <w:szCs w:val="22"/>
        </w:rPr>
        <w:softHyphen/>
        <w:t>ների և անհատ ձեռնարկատերերի կողմից ներմուծվող՝ ակցիզային հարկով հարկման ոչ ենթակա այն ապրանքների ցանկը հաստատելու մասին, որոնց ներմուծումն ազատված է ավելացված արժեքի հարկից» ՀՀ օրենքով հաստատված ցանկում, քանի որ այդ ապրանք</w:t>
      </w:r>
      <w:r w:rsidRPr="00A83C94">
        <w:rPr>
          <w:rFonts w:cs="Sylfaen"/>
          <w:b w:val="0"/>
          <w:iCs/>
          <w:color w:val="000000"/>
          <w:szCs w:val="22"/>
        </w:rPr>
        <w:softHyphen/>
        <w:t>ների մասով, տնտեսական գործունեության հետագա փուլերում կարող են ձևավորվել ավելացված արժեքով հարկման բազաներ, որոնցից ավելացված արժեքի հարկը հաշվարկվում և վճարվում է օրենքով սահմանված կարգով:</w:t>
      </w:r>
    </w:p>
    <w:p w14:paraId="5A7D5079" w14:textId="77777777" w:rsidR="00840AE8" w:rsidRPr="00A83C94" w:rsidRDefault="00840AE8" w:rsidP="00840AE8">
      <w:pPr>
        <w:spacing w:before="240" w:line="276" w:lineRule="auto"/>
        <w:rPr>
          <w:b w:val="0"/>
          <w:szCs w:val="22"/>
        </w:rPr>
      </w:pPr>
      <w:r w:rsidRPr="00A83C94">
        <w:rPr>
          <w:b w:val="0"/>
          <w:szCs w:val="22"/>
        </w:rPr>
        <w:t xml:space="preserve">Այսպիսով, 2022 թվականի ԱԱՀ-ի գծով գնահատված հարկային ծախսերը կազմում են </w:t>
      </w:r>
      <w:r w:rsidRPr="00A83C94">
        <w:rPr>
          <w:rFonts w:cs="Sylfaen"/>
          <w:b w:val="0"/>
          <w:iCs/>
          <w:color w:val="000000"/>
          <w:szCs w:val="22"/>
        </w:rPr>
        <w:t>363,</w:t>
      </w:r>
      <w:r w:rsidRPr="00A83C94">
        <w:rPr>
          <w:rFonts w:cs="Sylfaen"/>
          <w:b w:val="0"/>
          <w:iCs/>
          <w:color w:val="000000"/>
          <w:szCs w:val="22"/>
          <w:lang w:val="hy-AM"/>
        </w:rPr>
        <w:t xml:space="preserve">296 </w:t>
      </w:r>
      <w:r w:rsidRPr="00A83C94">
        <w:rPr>
          <w:b w:val="0"/>
          <w:i/>
          <w:szCs w:val="22"/>
        </w:rPr>
        <w:t>մլն. դրամ</w:t>
      </w:r>
      <w:r w:rsidRPr="00A83C94">
        <w:rPr>
          <w:b w:val="0"/>
          <w:szCs w:val="22"/>
        </w:rPr>
        <w:t xml:space="preserve">*: </w:t>
      </w:r>
    </w:p>
    <w:p w14:paraId="14850B6D" w14:textId="77777777" w:rsidR="00840AE8" w:rsidRPr="00A83C94" w:rsidRDefault="00840AE8" w:rsidP="00840AE8">
      <w:pPr>
        <w:spacing w:before="240" w:line="276" w:lineRule="auto"/>
        <w:rPr>
          <w:b w:val="0"/>
          <w:i/>
          <w:szCs w:val="22"/>
        </w:rPr>
      </w:pPr>
      <w:r w:rsidRPr="00A83C94">
        <w:rPr>
          <w:b w:val="0"/>
          <w:i/>
          <w:szCs w:val="22"/>
        </w:rPr>
        <w:t>*Տրված գնահատականում ներառված է նաև ԱԱՀ-ի շեմի կիրառության հետևան</w:t>
      </w:r>
      <w:r w:rsidRPr="00A83C94">
        <w:rPr>
          <w:b w:val="0"/>
          <w:i/>
          <w:szCs w:val="22"/>
        </w:rPr>
        <w:softHyphen/>
        <w:t>քով ԱԱՀ-ի գծով հարկային եկամուտների հաշվարկային կորուստը, որը սույն հաշվետ</w:t>
      </w:r>
      <w:r w:rsidRPr="00A83C94">
        <w:rPr>
          <w:b w:val="0"/>
          <w:i/>
          <w:szCs w:val="22"/>
        </w:rPr>
        <w:softHyphen/>
        <w:t>վու</w:t>
      </w:r>
      <w:r w:rsidRPr="00A83C94">
        <w:rPr>
          <w:b w:val="0"/>
          <w:i/>
          <w:szCs w:val="22"/>
        </w:rPr>
        <w:softHyphen/>
      </w:r>
      <w:r w:rsidRPr="00A83C94">
        <w:rPr>
          <w:b w:val="0"/>
          <w:i/>
          <w:szCs w:val="22"/>
        </w:rPr>
        <w:softHyphen/>
        <w:t xml:space="preserve">թյունում ներկայացվում է առանձին գնահատմամբ և կազմում է 47,655 մլն. դրամ, </w:t>
      </w:r>
      <w:r w:rsidRPr="00A83C94">
        <w:rPr>
          <w:b w:val="0"/>
          <w:szCs w:val="22"/>
        </w:rPr>
        <w:t xml:space="preserve">ինչպես նաև միկրոբիզնեսին տրված հարկային արտոնությունների մասով ԱԱՀ-ի գծով </w:t>
      </w:r>
      <w:r w:rsidRPr="00A83C94">
        <w:rPr>
          <w:b w:val="0"/>
          <w:i/>
          <w:szCs w:val="22"/>
        </w:rPr>
        <w:t>հարկային եկամուտների հաշվարկային կորուստը, որը սույն հաշվետ</w:t>
      </w:r>
      <w:r w:rsidRPr="00A83C94">
        <w:rPr>
          <w:b w:val="0"/>
          <w:i/>
          <w:szCs w:val="22"/>
        </w:rPr>
        <w:softHyphen/>
        <w:t>վու</w:t>
      </w:r>
      <w:r w:rsidRPr="00A83C94">
        <w:rPr>
          <w:b w:val="0"/>
          <w:i/>
          <w:szCs w:val="22"/>
        </w:rPr>
        <w:softHyphen/>
      </w:r>
      <w:r w:rsidRPr="00A83C94">
        <w:rPr>
          <w:b w:val="0"/>
          <w:i/>
          <w:szCs w:val="22"/>
        </w:rPr>
        <w:softHyphen/>
        <w:t>թյունում ներկայացվում է առանձին գնահատմամբ և կազմում է 12,830 մլն. դրամ:</w:t>
      </w:r>
    </w:p>
    <w:p w14:paraId="4F14036D" w14:textId="77777777" w:rsidR="00840AE8" w:rsidRPr="00A83C94" w:rsidRDefault="00840AE8" w:rsidP="00840AE8">
      <w:pPr>
        <w:pStyle w:val="ListParagraph"/>
        <w:tabs>
          <w:tab w:val="left" w:pos="851"/>
        </w:tabs>
        <w:spacing w:line="276" w:lineRule="auto"/>
        <w:ind w:left="567"/>
        <w:rPr>
          <w:b w:val="0"/>
          <w:i/>
          <w:szCs w:val="22"/>
        </w:rPr>
      </w:pPr>
    </w:p>
    <w:p w14:paraId="4DD45A98" w14:textId="77777777" w:rsidR="00840AE8" w:rsidRPr="00A83C94" w:rsidRDefault="00840AE8" w:rsidP="00786462">
      <w:pPr>
        <w:pStyle w:val="ListParagraph"/>
        <w:numPr>
          <w:ilvl w:val="0"/>
          <w:numId w:val="31"/>
        </w:numPr>
        <w:tabs>
          <w:tab w:val="left" w:pos="851"/>
        </w:tabs>
        <w:spacing w:before="0" w:line="276" w:lineRule="auto"/>
        <w:ind w:left="0" w:firstLine="567"/>
        <w:rPr>
          <w:b w:val="0"/>
          <w:i/>
          <w:szCs w:val="22"/>
        </w:rPr>
      </w:pPr>
      <w:r w:rsidRPr="00A83C94">
        <w:rPr>
          <w:rFonts w:cs="Sylfaen"/>
          <w:b w:val="0"/>
          <w:i/>
          <w:szCs w:val="22"/>
        </w:rPr>
        <w:t>Շահութահարկի</w:t>
      </w:r>
      <w:r w:rsidRPr="00A83C94">
        <w:rPr>
          <w:b w:val="0"/>
          <w:i/>
          <w:szCs w:val="22"/>
        </w:rPr>
        <w:t xml:space="preserve"> գծով հարկային ծախսեր.</w:t>
      </w:r>
    </w:p>
    <w:p w14:paraId="66A44592" w14:textId="77777777" w:rsidR="00840AE8" w:rsidRPr="00A83C94" w:rsidRDefault="00840AE8" w:rsidP="00840AE8">
      <w:pPr>
        <w:spacing w:line="276" w:lineRule="auto"/>
        <w:rPr>
          <w:b w:val="0"/>
          <w:szCs w:val="22"/>
        </w:rPr>
      </w:pPr>
      <w:r w:rsidRPr="00A83C94">
        <w:rPr>
          <w:b w:val="0"/>
          <w:szCs w:val="22"/>
        </w:rPr>
        <w:t xml:space="preserve">Շահութահարկի գծով հարկային ծախսերը գնահատվել են </w:t>
      </w:r>
      <w:r w:rsidRPr="00A83C94">
        <w:rPr>
          <w:b w:val="0"/>
          <w:i/>
          <w:szCs w:val="22"/>
          <w:lang w:val="hy-AM"/>
        </w:rPr>
        <w:t>78,931</w:t>
      </w:r>
      <w:r w:rsidRPr="00A83C94">
        <w:rPr>
          <w:b w:val="0"/>
          <w:i/>
          <w:szCs w:val="22"/>
        </w:rPr>
        <w:t xml:space="preserve"> մլն. դրամի չափով*</w:t>
      </w:r>
      <w:r w:rsidRPr="00A83C94">
        <w:rPr>
          <w:b w:val="0"/>
          <w:szCs w:val="22"/>
        </w:rPr>
        <w:t>: Շահու</w:t>
      </w:r>
      <w:r w:rsidRPr="00A83C94">
        <w:rPr>
          <w:b w:val="0"/>
          <w:szCs w:val="22"/>
        </w:rPr>
        <w:softHyphen/>
        <w:t>թահարկի գծով հարկային արտոնությունները գնահատվել են հետևյալ հիմնական ուղղու</w:t>
      </w:r>
      <w:r w:rsidRPr="00A83C94">
        <w:rPr>
          <w:b w:val="0"/>
          <w:szCs w:val="22"/>
        </w:rPr>
        <w:softHyphen/>
        <w:t>թյուններով.</w:t>
      </w:r>
    </w:p>
    <w:p w14:paraId="470DCF66" w14:textId="77777777" w:rsidR="00840AE8" w:rsidRPr="00A83C94" w:rsidRDefault="00840AE8" w:rsidP="00786462">
      <w:pPr>
        <w:pStyle w:val="ListParagraph"/>
        <w:numPr>
          <w:ilvl w:val="0"/>
          <w:numId w:val="32"/>
        </w:numPr>
        <w:tabs>
          <w:tab w:val="left" w:pos="851"/>
        </w:tabs>
        <w:spacing w:before="0" w:line="276" w:lineRule="auto"/>
        <w:ind w:left="0" w:firstLine="567"/>
        <w:rPr>
          <w:b w:val="0"/>
          <w:szCs w:val="22"/>
        </w:rPr>
      </w:pPr>
      <w:r w:rsidRPr="00A83C94">
        <w:rPr>
          <w:b w:val="0"/>
          <w:szCs w:val="22"/>
        </w:rPr>
        <w:t xml:space="preserve">գյուղատնտեսություն` </w:t>
      </w:r>
      <w:r w:rsidRPr="00A83C94">
        <w:rPr>
          <w:b w:val="0"/>
          <w:i/>
          <w:color w:val="000000"/>
          <w:szCs w:val="22"/>
        </w:rPr>
        <w:t>51,757</w:t>
      </w:r>
      <w:r w:rsidRPr="00A83C94">
        <w:rPr>
          <w:b w:val="0"/>
          <w:i/>
          <w:szCs w:val="22"/>
        </w:rPr>
        <w:t xml:space="preserve"> մլն. դրամ</w:t>
      </w:r>
      <w:r w:rsidRPr="00A83C94">
        <w:rPr>
          <w:b w:val="0"/>
          <w:szCs w:val="22"/>
        </w:rPr>
        <w:t xml:space="preserve">, այդ թվում՝ կազմակերպությունների շահույթից՝ </w:t>
      </w:r>
      <w:r w:rsidRPr="00A83C94">
        <w:rPr>
          <w:b w:val="0"/>
          <w:i/>
          <w:color w:val="000000"/>
          <w:szCs w:val="22"/>
        </w:rPr>
        <w:t>3,103</w:t>
      </w:r>
      <w:r w:rsidRPr="00A83C94">
        <w:rPr>
          <w:b w:val="0"/>
          <w:i/>
          <w:szCs w:val="22"/>
        </w:rPr>
        <w:t xml:space="preserve"> մլն. դրամ</w:t>
      </w:r>
      <w:r w:rsidRPr="00A83C94">
        <w:rPr>
          <w:b w:val="0"/>
          <w:szCs w:val="22"/>
        </w:rPr>
        <w:t xml:space="preserve">, և ֆիզիկական անձանց (ԱՁ-ների) շահույթից՝ </w:t>
      </w:r>
      <w:r w:rsidRPr="00A83C94">
        <w:rPr>
          <w:b w:val="0"/>
          <w:i/>
          <w:color w:val="000000"/>
          <w:szCs w:val="22"/>
        </w:rPr>
        <w:t>48,653</w:t>
      </w:r>
      <w:r w:rsidRPr="00A83C94">
        <w:rPr>
          <w:b w:val="0"/>
          <w:i/>
          <w:szCs w:val="22"/>
        </w:rPr>
        <w:t xml:space="preserve"> մլն. դրամ</w:t>
      </w:r>
      <w:r w:rsidRPr="00A83C94">
        <w:rPr>
          <w:b w:val="0"/>
          <w:szCs w:val="22"/>
        </w:rPr>
        <w:t>,</w:t>
      </w:r>
    </w:p>
    <w:p w14:paraId="77DA6254"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b w:val="0"/>
          <w:szCs w:val="22"/>
        </w:rPr>
        <w:t xml:space="preserve">հարկվող շահույթի նվազեցման արտոնություններ, բացառությամբ՝ գյուղատնտեսության՝ </w:t>
      </w:r>
      <w:r w:rsidRPr="00A83C94">
        <w:rPr>
          <w:b w:val="0"/>
          <w:i/>
          <w:color w:val="000000"/>
          <w:szCs w:val="22"/>
        </w:rPr>
        <w:t>3,864</w:t>
      </w:r>
      <w:r w:rsidRPr="00A83C94">
        <w:rPr>
          <w:b w:val="0"/>
          <w:i/>
          <w:szCs w:val="22"/>
        </w:rPr>
        <w:t xml:space="preserve"> մլն. դրամ</w:t>
      </w:r>
      <w:r w:rsidRPr="00A83C94">
        <w:rPr>
          <w:b w:val="0"/>
          <w:szCs w:val="22"/>
        </w:rPr>
        <w:t>,</w:t>
      </w:r>
    </w:p>
    <w:p w14:paraId="0FFB2E66"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b w:val="0"/>
          <w:szCs w:val="22"/>
        </w:rPr>
        <w:t xml:space="preserve">շահութահարկի նվազեցման արտոնություններ՝ </w:t>
      </w:r>
      <w:r w:rsidRPr="00A83C94">
        <w:rPr>
          <w:b w:val="0"/>
          <w:i/>
          <w:color w:val="000000"/>
          <w:szCs w:val="22"/>
        </w:rPr>
        <w:t>36</w:t>
      </w:r>
      <w:r w:rsidRPr="00A83C94">
        <w:rPr>
          <w:b w:val="0"/>
          <w:i/>
          <w:szCs w:val="22"/>
        </w:rPr>
        <w:t xml:space="preserve"> մլն. դրամ</w:t>
      </w:r>
      <w:r w:rsidRPr="00A83C94">
        <w:rPr>
          <w:b w:val="0"/>
          <w:szCs w:val="22"/>
        </w:rPr>
        <w:t>,</w:t>
      </w:r>
    </w:p>
    <w:p w14:paraId="322FB887"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rFonts w:cs="Sylfaen"/>
          <w:b w:val="0"/>
          <w:szCs w:val="22"/>
        </w:rPr>
        <w:t xml:space="preserve">ԱԱՀ-ի շեմ` </w:t>
      </w:r>
      <w:r w:rsidRPr="00A83C94">
        <w:rPr>
          <w:b w:val="0"/>
          <w:i/>
          <w:szCs w:val="22"/>
        </w:rPr>
        <w:t>17,156 մլն. դրամ,</w:t>
      </w:r>
    </w:p>
    <w:p w14:paraId="6BC6D2BB"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rFonts w:cs="Sylfaen"/>
          <w:b w:val="0"/>
          <w:szCs w:val="22"/>
        </w:rPr>
        <w:t xml:space="preserve">միկրոբիզնես՝ </w:t>
      </w:r>
      <w:r w:rsidRPr="00A83C94">
        <w:rPr>
          <w:b w:val="0"/>
          <w:i/>
          <w:szCs w:val="22"/>
        </w:rPr>
        <w:t xml:space="preserve">4,619 մլն. </w:t>
      </w:r>
      <w:r w:rsidRPr="00A83C94">
        <w:rPr>
          <w:b w:val="0"/>
          <w:i/>
          <w:szCs w:val="22"/>
          <w:lang w:val="hy-AM"/>
        </w:rPr>
        <w:t>դ</w:t>
      </w:r>
      <w:r w:rsidRPr="00A83C94">
        <w:rPr>
          <w:b w:val="0"/>
          <w:i/>
          <w:szCs w:val="22"/>
        </w:rPr>
        <w:t>րամ</w:t>
      </w:r>
      <w:r w:rsidRPr="00A83C94">
        <w:rPr>
          <w:b w:val="0"/>
          <w:i/>
          <w:szCs w:val="22"/>
          <w:lang w:val="hy-AM"/>
        </w:rPr>
        <w:t>,</w:t>
      </w:r>
    </w:p>
    <w:p w14:paraId="458F38E8" w14:textId="77777777" w:rsidR="00840AE8" w:rsidRPr="00A83C94" w:rsidRDefault="00840AE8" w:rsidP="006C390E">
      <w:pPr>
        <w:pStyle w:val="ListParagraph"/>
        <w:numPr>
          <w:ilvl w:val="0"/>
          <w:numId w:val="32"/>
        </w:numPr>
        <w:tabs>
          <w:tab w:val="left" w:pos="851"/>
        </w:tabs>
        <w:spacing w:before="0" w:line="276" w:lineRule="auto"/>
        <w:ind w:left="0" w:firstLine="567"/>
        <w:rPr>
          <w:b w:val="0"/>
          <w:szCs w:val="22"/>
        </w:rPr>
      </w:pPr>
      <w:r w:rsidRPr="00A83C94">
        <w:rPr>
          <w:b w:val="0"/>
          <w:szCs w:val="22"/>
          <w:lang w:val="hy-AM"/>
        </w:rPr>
        <w:t>ՏՏ ոլորտի արտոնություններ`</w:t>
      </w:r>
      <w:r w:rsidRPr="00A83C94">
        <w:rPr>
          <w:b w:val="0"/>
          <w:i/>
          <w:szCs w:val="22"/>
          <w:lang w:val="hy-AM"/>
        </w:rPr>
        <w:t xml:space="preserve"> 1,500 մլն. դրամ</w:t>
      </w:r>
      <w:r w:rsidRPr="00A83C94">
        <w:rPr>
          <w:b w:val="0"/>
          <w:i/>
          <w:szCs w:val="22"/>
        </w:rPr>
        <w:t>:</w:t>
      </w:r>
    </w:p>
    <w:p w14:paraId="2287088E" w14:textId="77777777" w:rsidR="00840AE8" w:rsidRPr="00A83C94" w:rsidRDefault="00840AE8" w:rsidP="006C390E">
      <w:pPr>
        <w:pStyle w:val="ListParagraph"/>
        <w:tabs>
          <w:tab w:val="left" w:pos="851"/>
        </w:tabs>
        <w:spacing w:line="276" w:lineRule="auto"/>
        <w:ind w:left="567"/>
        <w:rPr>
          <w:b w:val="0"/>
          <w:szCs w:val="22"/>
        </w:rPr>
      </w:pPr>
    </w:p>
    <w:p w14:paraId="315FF51F" w14:textId="77777777" w:rsidR="00840AE8" w:rsidRPr="00A83C94" w:rsidRDefault="00840AE8" w:rsidP="006C390E">
      <w:pPr>
        <w:pStyle w:val="ListParagraph"/>
        <w:spacing w:line="276" w:lineRule="auto"/>
        <w:ind w:left="0" w:firstLine="720"/>
        <w:rPr>
          <w:b w:val="0"/>
          <w:i/>
          <w:szCs w:val="22"/>
        </w:rPr>
      </w:pPr>
      <w:r w:rsidRPr="00A83C94">
        <w:rPr>
          <w:b w:val="0"/>
          <w:i/>
          <w:szCs w:val="22"/>
        </w:rPr>
        <w:t>*</w:t>
      </w:r>
      <w:r w:rsidRPr="00A83C94">
        <w:rPr>
          <w:b w:val="0"/>
          <w:i/>
          <w:szCs w:val="22"/>
          <w:lang w:val="hy-AM"/>
        </w:rPr>
        <w:t>Մինչև 2020 թվականը</w:t>
      </w:r>
      <w:r w:rsidRPr="00A83C94">
        <w:rPr>
          <w:b w:val="0"/>
          <w:i/>
          <w:szCs w:val="22"/>
        </w:rPr>
        <w:t xml:space="preserve"> հարկային ծախսերի գնահատականներում ֆիզիկական անձանց (ԱՁ-ների) շահույթի գծով հարկային ծախսերը ներառված էին եկամտային հարկի բաժնում:</w:t>
      </w:r>
    </w:p>
    <w:p w14:paraId="494B6F51" w14:textId="77777777" w:rsidR="00840AE8" w:rsidRPr="00A83C94" w:rsidRDefault="00840AE8" w:rsidP="006C390E">
      <w:pPr>
        <w:pStyle w:val="ListParagraph"/>
        <w:spacing w:line="276" w:lineRule="auto"/>
        <w:rPr>
          <w:b w:val="0"/>
          <w:i/>
          <w:szCs w:val="22"/>
        </w:rPr>
      </w:pPr>
    </w:p>
    <w:p w14:paraId="6DFA5415" w14:textId="77777777" w:rsidR="00840AE8" w:rsidRPr="00A83C94" w:rsidRDefault="00840AE8" w:rsidP="006C390E">
      <w:pPr>
        <w:pStyle w:val="ListParagraph"/>
        <w:numPr>
          <w:ilvl w:val="0"/>
          <w:numId w:val="31"/>
        </w:numPr>
        <w:tabs>
          <w:tab w:val="left" w:pos="993"/>
        </w:tabs>
        <w:spacing w:before="0" w:line="276" w:lineRule="auto"/>
        <w:ind w:left="0" w:firstLine="567"/>
        <w:rPr>
          <w:rFonts w:cs="Sylfaen"/>
          <w:b w:val="0"/>
          <w:i/>
          <w:szCs w:val="22"/>
        </w:rPr>
      </w:pPr>
      <w:r w:rsidRPr="00A83C94">
        <w:rPr>
          <w:rFonts w:cs="Sylfaen"/>
          <w:b w:val="0"/>
          <w:i/>
          <w:szCs w:val="22"/>
        </w:rPr>
        <w:t>Եկամտային հարկի գծով հարկային ծախսեր.</w:t>
      </w:r>
    </w:p>
    <w:p w14:paraId="3778ABC8" w14:textId="77777777" w:rsidR="00840AE8" w:rsidRPr="00A83C94" w:rsidRDefault="00840AE8" w:rsidP="006C390E">
      <w:pPr>
        <w:spacing w:line="276" w:lineRule="auto"/>
        <w:rPr>
          <w:b w:val="0"/>
          <w:szCs w:val="22"/>
        </w:rPr>
      </w:pPr>
      <w:r w:rsidRPr="00A83C94">
        <w:rPr>
          <w:b w:val="0"/>
          <w:szCs w:val="22"/>
        </w:rPr>
        <w:t xml:space="preserve">Եկամտային հարկի գծով հարկային ծախսերը գնահատվել են </w:t>
      </w:r>
      <w:r w:rsidRPr="00A83C94">
        <w:rPr>
          <w:b w:val="0"/>
          <w:szCs w:val="22"/>
          <w:lang w:val="hy-AM"/>
        </w:rPr>
        <w:t>61,075</w:t>
      </w:r>
      <w:r w:rsidRPr="00A83C94">
        <w:rPr>
          <w:b w:val="0"/>
          <w:szCs w:val="22"/>
        </w:rPr>
        <w:t xml:space="preserve"> մլն. դրամի չափով, այդ թվում՝ եկամտային հարկի գծով հարկային ծախսերը գնահատվել են գյուղատնտեսության վարձու աշխատողների աշխատանքի վարձատրության մասով, ինչպես նաև միկրոբիզնեսի մասով՝ 4,838</w:t>
      </w:r>
      <w:r w:rsidRPr="00A83C94">
        <w:rPr>
          <w:b w:val="0"/>
          <w:szCs w:val="22"/>
          <w:lang w:val="hy-AM"/>
        </w:rPr>
        <w:t xml:space="preserve"> </w:t>
      </w:r>
      <w:r w:rsidRPr="00A83C94">
        <w:rPr>
          <w:b w:val="0"/>
          <w:szCs w:val="22"/>
        </w:rPr>
        <w:t>մլն. դրամի չափով:</w:t>
      </w:r>
    </w:p>
    <w:p w14:paraId="2B62DEC4" w14:textId="77777777" w:rsidR="00840AE8" w:rsidRPr="00A83C94" w:rsidRDefault="00840AE8" w:rsidP="006C390E">
      <w:pPr>
        <w:pStyle w:val="ListParagraph"/>
        <w:spacing w:line="276" w:lineRule="auto"/>
        <w:ind w:left="0"/>
        <w:rPr>
          <w:b w:val="0"/>
          <w:i/>
        </w:rPr>
      </w:pPr>
    </w:p>
    <w:p w14:paraId="0B08C725" w14:textId="77777777" w:rsidR="00840AE8" w:rsidRPr="00A83C94" w:rsidRDefault="00840AE8" w:rsidP="006C390E">
      <w:pPr>
        <w:pStyle w:val="ListParagraph"/>
        <w:numPr>
          <w:ilvl w:val="0"/>
          <w:numId w:val="31"/>
        </w:numPr>
        <w:tabs>
          <w:tab w:val="left" w:pos="993"/>
        </w:tabs>
        <w:spacing w:before="0" w:line="276" w:lineRule="auto"/>
        <w:ind w:left="0" w:firstLine="567"/>
        <w:rPr>
          <w:rFonts w:cs="Sylfaen"/>
          <w:b w:val="0"/>
          <w:i/>
        </w:rPr>
      </w:pPr>
      <w:r w:rsidRPr="00A83C94">
        <w:rPr>
          <w:rFonts w:cs="Sylfaen"/>
          <w:b w:val="0"/>
          <w:i/>
        </w:rPr>
        <w:t>ԱԱՀ-ի շեմի գծով հարկային ծախսերը.</w:t>
      </w:r>
    </w:p>
    <w:p w14:paraId="6ACC83EC" w14:textId="77777777" w:rsidR="00840AE8" w:rsidRPr="00A83C94" w:rsidRDefault="00840AE8" w:rsidP="006C390E">
      <w:pPr>
        <w:spacing w:line="276" w:lineRule="auto"/>
        <w:rPr>
          <w:b w:val="0"/>
          <w:szCs w:val="22"/>
        </w:rPr>
      </w:pPr>
      <w:r w:rsidRPr="00A83C94">
        <w:rPr>
          <w:b w:val="0"/>
          <w:szCs w:val="22"/>
        </w:rPr>
        <w:t xml:space="preserve">ԱԱՀ-ի շեմի գծով հարկային ծախսերը գնահատվել են </w:t>
      </w:r>
      <w:r w:rsidRPr="00A83C94">
        <w:rPr>
          <w:b w:val="0"/>
          <w:i/>
          <w:szCs w:val="22"/>
        </w:rPr>
        <w:t>64,811 մլն. դրամի չափով*,</w:t>
      </w:r>
      <w:r w:rsidRPr="00A83C94">
        <w:rPr>
          <w:b w:val="0"/>
          <w:szCs w:val="22"/>
        </w:rPr>
        <w:t xml:space="preserve"> այդ թվում`</w:t>
      </w:r>
    </w:p>
    <w:p w14:paraId="42EDD864" w14:textId="77777777" w:rsidR="00840AE8" w:rsidRPr="00A83C94" w:rsidRDefault="00840AE8" w:rsidP="006C390E">
      <w:pPr>
        <w:spacing w:line="276" w:lineRule="auto"/>
        <w:rPr>
          <w:b w:val="0"/>
          <w:szCs w:val="22"/>
        </w:rPr>
      </w:pPr>
      <w:r w:rsidRPr="00A83C94">
        <w:rPr>
          <w:b w:val="0"/>
          <w:szCs w:val="22"/>
        </w:rPr>
        <w:t xml:space="preserve">ԱԱՀ` </w:t>
      </w:r>
      <w:r w:rsidRPr="00A83C94">
        <w:rPr>
          <w:b w:val="0"/>
          <w:i/>
          <w:szCs w:val="22"/>
        </w:rPr>
        <w:t>47,655 մլն. դրամ</w:t>
      </w:r>
      <w:r w:rsidRPr="00A83C94">
        <w:rPr>
          <w:b w:val="0"/>
          <w:szCs w:val="22"/>
        </w:rPr>
        <w:t>,</w:t>
      </w:r>
    </w:p>
    <w:p w14:paraId="39933E48" w14:textId="77777777" w:rsidR="00840AE8" w:rsidRPr="00A83C94" w:rsidRDefault="00840AE8" w:rsidP="006C390E">
      <w:pPr>
        <w:pStyle w:val="NormalWeb"/>
        <w:shd w:val="clear" w:color="auto" w:fill="FFFFFF"/>
        <w:spacing w:before="0" w:beforeAutospacing="0" w:after="0" w:afterAutospacing="0" w:line="276" w:lineRule="auto"/>
        <w:rPr>
          <w:b w:val="0"/>
          <w:szCs w:val="22"/>
        </w:rPr>
      </w:pPr>
      <w:r w:rsidRPr="00A83C94">
        <w:rPr>
          <w:b w:val="0"/>
          <w:szCs w:val="22"/>
        </w:rPr>
        <w:t xml:space="preserve">Շահութահարկ` </w:t>
      </w:r>
      <w:r w:rsidRPr="00A83C94">
        <w:rPr>
          <w:b w:val="0"/>
          <w:i/>
          <w:szCs w:val="22"/>
        </w:rPr>
        <w:t xml:space="preserve">17,156 </w:t>
      </w:r>
      <w:r w:rsidRPr="00A83C94">
        <w:rPr>
          <w:b w:val="0"/>
          <w:i/>
          <w:szCs w:val="22"/>
          <w:lang w:val="en-US"/>
        </w:rPr>
        <w:t>մլն</w:t>
      </w:r>
      <w:r w:rsidRPr="00A83C94">
        <w:rPr>
          <w:b w:val="0"/>
          <w:i/>
          <w:szCs w:val="22"/>
        </w:rPr>
        <w:t xml:space="preserve">. </w:t>
      </w:r>
      <w:r w:rsidRPr="00A83C94">
        <w:rPr>
          <w:b w:val="0"/>
          <w:i/>
          <w:szCs w:val="22"/>
          <w:lang w:val="en-US"/>
        </w:rPr>
        <w:t>դրամ</w:t>
      </w:r>
      <w:r w:rsidRPr="00A83C94">
        <w:rPr>
          <w:b w:val="0"/>
          <w:szCs w:val="22"/>
        </w:rPr>
        <w:t>:</w:t>
      </w:r>
    </w:p>
    <w:p w14:paraId="60C934B5" w14:textId="77777777" w:rsidR="00840AE8" w:rsidRPr="00A83C94" w:rsidRDefault="00840AE8" w:rsidP="006C390E">
      <w:pPr>
        <w:spacing w:before="240" w:line="276" w:lineRule="auto"/>
        <w:rPr>
          <w:b w:val="0"/>
          <w:i/>
          <w:szCs w:val="22"/>
        </w:rPr>
      </w:pPr>
      <w:r w:rsidRPr="00A83C94">
        <w:rPr>
          <w:b w:val="0"/>
          <w:i/>
          <w:szCs w:val="22"/>
        </w:rPr>
        <w:t>*ԱԱՀ-ի շեմի գծով հարկային ծախսերի գնահատման համար ԱԱՀ-ի շեմն ընդունվել է 115.0 մլն. դրամ:</w:t>
      </w:r>
    </w:p>
    <w:p w14:paraId="21F7FAD1" w14:textId="77777777" w:rsidR="00840AE8" w:rsidRPr="00A83C94" w:rsidRDefault="00840AE8" w:rsidP="006C390E">
      <w:pPr>
        <w:pStyle w:val="ListParagraph"/>
        <w:numPr>
          <w:ilvl w:val="0"/>
          <w:numId w:val="31"/>
        </w:numPr>
        <w:tabs>
          <w:tab w:val="left" w:pos="993"/>
        </w:tabs>
        <w:spacing w:before="0" w:line="276" w:lineRule="auto"/>
        <w:ind w:left="0" w:firstLine="567"/>
        <w:rPr>
          <w:rFonts w:cs="Sylfaen"/>
          <w:b w:val="0"/>
          <w:i/>
        </w:rPr>
      </w:pPr>
      <w:r w:rsidRPr="00A83C94">
        <w:rPr>
          <w:rFonts w:cs="Sylfaen"/>
          <w:b w:val="0"/>
          <w:i/>
        </w:rPr>
        <w:t>Միկրոբիզնեսի գծով հարկային ծախսերը.</w:t>
      </w:r>
    </w:p>
    <w:p w14:paraId="415DEF74" w14:textId="77777777" w:rsidR="00840AE8" w:rsidRPr="00A83C94" w:rsidRDefault="00840AE8" w:rsidP="006C390E">
      <w:pPr>
        <w:spacing w:line="276" w:lineRule="auto"/>
        <w:rPr>
          <w:b w:val="0"/>
          <w:szCs w:val="22"/>
        </w:rPr>
      </w:pPr>
      <w:r w:rsidRPr="00A83C94">
        <w:rPr>
          <w:b w:val="0"/>
          <w:szCs w:val="22"/>
          <w:lang w:val="hy-AM"/>
        </w:rPr>
        <w:t>Միկրոբիզնեսի</w:t>
      </w:r>
      <w:r w:rsidRPr="00A83C94">
        <w:rPr>
          <w:b w:val="0"/>
          <w:szCs w:val="22"/>
        </w:rPr>
        <w:t xml:space="preserve"> գծով հարկային ծախսերը գնահատվել են </w:t>
      </w:r>
      <w:r w:rsidRPr="00A83C94">
        <w:rPr>
          <w:b w:val="0"/>
          <w:i/>
          <w:szCs w:val="22"/>
        </w:rPr>
        <w:t>22,287 մլն. դրամի չափով*,</w:t>
      </w:r>
      <w:r w:rsidRPr="00A83C94">
        <w:rPr>
          <w:b w:val="0"/>
          <w:szCs w:val="22"/>
        </w:rPr>
        <w:t xml:space="preserve"> այդ թվում`</w:t>
      </w:r>
    </w:p>
    <w:p w14:paraId="4BB81293" w14:textId="77777777" w:rsidR="00840AE8" w:rsidRPr="00A83C94" w:rsidRDefault="00840AE8" w:rsidP="006C390E">
      <w:pPr>
        <w:spacing w:line="276" w:lineRule="auto"/>
        <w:rPr>
          <w:b w:val="0"/>
          <w:szCs w:val="22"/>
        </w:rPr>
      </w:pPr>
      <w:r w:rsidRPr="00A83C94">
        <w:rPr>
          <w:b w:val="0"/>
          <w:szCs w:val="22"/>
        </w:rPr>
        <w:t xml:space="preserve">ԱԱՀ` </w:t>
      </w:r>
      <w:r w:rsidRPr="00A83C94">
        <w:rPr>
          <w:b w:val="0"/>
          <w:i/>
          <w:szCs w:val="22"/>
        </w:rPr>
        <w:t>12,830 մլն. դրամ</w:t>
      </w:r>
      <w:r w:rsidRPr="00A83C94">
        <w:rPr>
          <w:b w:val="0"/>
          <w:szCs w:val="22"/>
        </w:rPr>
        <w:t>,</w:t>
      </w:r>
    </w:p>
    <w:p w14:paraId="6FAD7EA5" w14:textId="77777777" w:rsidR="00840AE8" w:rsidRPr="00A83C94" w:rsidRDefault="00840AE8" w:rsidP="006C390E">
      <w:pPr>
        <w:spacing w:before="240" w:line="276" w:lineRule="auto"/>
        <w:rPr>
          <w:b w:val="0"/>
          <w:szCs w:val="22"/>
        </w:rPr>
      </w:pPr>
      <w:r w:rsidRPr="00A83C94">
        <w:rPr>
          <w:b w:val="0"/>
          <w:szCs w:val="22"/>
        </w:rPr>
        <w:t xml:space="preserve">Շահութահարկ` </w:t>
      </w:r>
      <w:r w:rsidRPr="00A83C94">
        <w:rPr>
          <w:b w:val="0"/>
          <w:i/>
          <w:szCs w:val="22"/>
        </w:rPr>
        <w:t>4,619 մլն. դրամ</w:t>
      </w:r>
      <w:r w:rsidRPr="00A83C94">
        <w:rPr>
          <w:b w:val="0"/>
          <w:szCs w:val="22"/>
        </w:rPr>
        <w:t>,</w:t>
      </w:r>
    </w:p>
    <w:p w14:paraId="6DE079B3" w14:textId="77777777" w:rsidR="00840AE8" w:rsidRPr="00A83C94" w:rsidRDefault="00840AE8" w:rsidP="006C390E">
      <w:pPr>
        <w:spacing w:before="240" w:line="276" w:lineRule="auto"/>
        <w:rPr>
          <w:b w:val="0"/>
          <w:i/>
          <w:szCs w:val="22"/>
        </w:rPr>
      </w:pPr>
      <w:r w:rsidRPr="00A83C94">
        <w:rPr>
          <w:b w:val="0"/>
          <w:szCs w:val="22"/>
        </w:rPr>
        <w:t xml:space="preserve">Եկամտային հարկ՝ </w:t>
      </w:r>
      <w:r w:rsidRPr="00A83C94">
        <w:rPr>
          <w:b w:val="0"/>
          <w:i/>
          <w:szCs w:val="22"/>
        </w:rPr>
        <w:t>4,838 մլն. դրամ</w:t>
      </w:r>
      <w:r w:rsidRPr="00A83C94">
        <w:rPr>
          <w:b w:val="0"/>
          <w:szCs w:val="22"/>
        </w:rPr>
        <w:t>:</w:t>
      </w:r>
    </w:p>
    <w:p w14:paraId="57A9A84F" w14:textId="20345744" w:rsidR="00840AE8" w:rsidRPr="00A83C94" w:rsidRDefault="00840AE8" w:rsidP="006C390E">
      <w:pPr>
        <w:spacing w:before="240" w:line="276" w:lineRule="auto"/>
        <w:rPr>
          <w:b w:val="0"/>
          <w:szCs w:val="22"/>
        </w:rPr>
      </w:pPr>
      <w:r w:rsidRPr="00A83C94">
        <w:rPr>
          <w:b w:val="0"/>
          <w:szCs w:val="22"/>
        </w:rPr>
        <w:t xml:space="preserve">Ընդհանուր հարկային ծախսը գնահատվել է </w:t>
      </w:r>
      <w:r w:rsidRPr="00A83C94">
        <w:rPr>
          <w:rFonts w:cs="Sylfaen"/>
          <w:b w:val="0"/>
          <w:i/>
          <w:iCs/>
          <w:szCs w:val="22"/>
          <w:lang w:val="hy-AM"/>
        </w:rPr>
        <w:t xml:space="preserve">503,301 </w:t>
      </w:r>
      <w:r w:rsidRPr="00A83C94">
        <w:rPr>
          <w:b w:val="0"/>
          <w:i/>
          <w:szCs w:val="22"/>
        </w:rPr>
        <w:t>մլն. դրամի չափով</w:t>
      </w:r>
      <w:r w:rsidRPr="00A83C94">
        <w:rPr>
          <w:b w:val="0"/>
          <w:szCs w:val="22"/>
        </w:rPr>
        <w:t xml:space="preserve">, ինչը 2022 թվականի համար կանխատեսված հարկային եկամուտների և ՀՆԱ-ի նկատմամբ կազմում է համապատասխանաբար` </w:t>
      </w:r>
      <w:r w:rsidRPr="00A83C94">
        <w:rPr>
          <w:b w:val="0"/>
          <w:i/>
          <w:szCs w:val="22"/>
          <w:lang w:val="hy-AM"/>
        </w:rPr>
        <w:t>27.3</w:t>
      </w:r>
      <w:r w:rsidRPr="00A83C94">
        <w:rPr>
          <w:b w:val="0"/>
          <w:i/>
          <w:szCs w:val="22"/>
        </w:rPr>
        <w:t xml:space="preserve"> և 6.</w:t>
      </w:r>
      <w:r w:rsidRPr="00A83C94">
        <w:rPr>
          <w:b w:val="0"/>
          <w:i/>
          <w:szCs w:val="22"/>
          <w:lang w:val="hy-AM"/>
        </w:rPr>
        <w:t>4</w:t>
      </w:r>
      <w:r w:rsidRPr="00A83C94">
        <w:rPr>
          <w:b w:val="0"/>
          <w:i/>
          <w:szCs w:val="22"/>
        </w:rPr>
        <w:t xml:space="preserve"> տոկոս:</w:t>
      </w:r>
    </w:p>
    <w:p w14:paraId="22AAC846" w14:textId="7239B01D" w:rsidR="00840AE8" w:rsidRDefault="00840AE8" w:rsidP="006C390E">
      <w:pPr>
        <w:spacing w:line="276" w:lineRule="auto"/>
        <w:rPr>
          <w:b w:val="0"/>
          <w:szCs w:val="22"/>
        </w:rPr>
      </w:pPr>
      <w:r w:rsidRPr="00A83C94">
        <w:rPr>
          <w:b w:val="0"/>
          <w:szCs w:val="22"/>
        </w:rPr>
        <w:t>Վերլուծության ամփոփ արդյունքները ներ</w:t>
      </w:r>
      <w:r w:rsidRPr="00A83C94">
        <w:rPr>
          <w:b w:val="0"/>
          <w:szCs w:val="22"/>
        </w:rPr>
        <w:softHyphen/>
        <w:t>կա</w:t>
      </w:r>
      <w:r w:rsidRPr="00A83C94">
        <w:rPr>
          <w:b w:val="0"/>
          <w:szCs w:val="22"/>
        </w:rPr>
        <w:softHyphen/>
        <w:t>յաց</w:t>
      </w:r>
      <w:r w:rsidRPr="00A83C94">
        <w:rPr>
          <w:b w:val="0"/>
          <w:szCs w:val="22"/>
        </w:rPr>
        <w:softHyphen/>
        <w:t>ված են ստորև.</w:t>
      </w:r>
    </w:p>
    <w:p w14:paraId="2A263110" w14:textId="77777777" w:rsidR="00962F00" w:rsidRPr="00A83C94" w:rsidRDefault="00962F00" w:rsidP="006C390E">
      <w:pPr>
        <w:spacing w:line="276" w:lineRule="auto"/>
        <w:rPr>
          <w:b w:val="0"/>
          <w:szCs w:val="22"/>
        </w:rPr>
      </w:pPr>
    </w:p>
    <w:p w14:paraId="1D78A441" w14:textId="77777777" w:rsidR="00A00B8B" w:rsidRPr="00A83C94" w:rsidRDefault="00A00B8B" w:rsidP="006C390E">
      <w:pPr>
        <w:spacing w:before="0" w:line="276" w:lineRule="auto"/>
        <w:ind w:firstLine="720"/>
        <w:contextualSpacing w:val="0"/>
        <w:jc w:val="right"/>
        <w:rPr>
          <w:b w:val="0"/>
          <w:szCs w:val="22"/>
          <w:lang w:val="en-US" w:eastAsia="en-US"/>
        </w:rPr>
      </w:pPr>
      <w:r w:rsidRPr="00A83C94">
        <w:rPr>
          <w:b w:val="0"/>
          <w:szCs w:val="22"/>
          <w:lang w:val="en-US" w:eastAsia="en-US"/>
        </w:rPr>
        <w:t>մլն. դրամ</w:t>
      </w:r>
    </w:p>
    <w:tbl>
      <w:tblPr>
        <w:tblW w:w="9667" w:type="dxa"/>
        <w:tblInd w:w="1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4"/>
        <w:gridCol w:w="3443"/>
        <w:gridCol w:w="1820"/>
        <w:gridCol w:w="1820"/>
        <w:gridCol w:w="1820"/>
      </w:tblGrid>
      <w:tr w:rsidR="00A00B8B" w:rsidRPr="00A83C94" w14:paraId="05E79A3A" w14:textId="77777777" w:rsidTr="00A066BB">
        <w:trPr>
          <w:trHeight w:val="1410"/>
        </w:trPr>
        <w:tc>
          <w:tcPr>
            <w:tcW w:w="764" w:type="dxa"/>
            <w:shd w:val="clear" w:color="auto" w:fill="4F81BD" w:themeFill="accent1"/>
            <w:vAlign w:val="center"/>
            <w:hideMark/>
          </w:tcPr>
          <w:p w14:paraId="3842192C"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Հ/Հ</w:t>
            </w:r>
          </w:p>
        </w:tc>
        <w:tc>
          <w:tcPr>
            <w:tcW w:w="3443" w:type="dxa"/>
            <w:shd w:val="clear" w:color="auto" w:fill="4F81BD" w:themeFill="accent1"/>
            <w:vAlign w:val="center"/>
            <w:hideMark/>
          </w:tcPr>
          <w:p w14:paraId="5ACC725E"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Հարկային ծախսերի տեսակը</w:t>
            </w:r>
          </w:p>
        </w:tc>
        <w:tc>
          <w:tcPr>
            <w:tcW w:w="1820" w:type="dxa"/>
            <w:shd w:val="clear" w:color="auto" w:fill="4F81BD" w:themeFill="accent1"/>
            <w:vAlign w:val="center"/>
            <w:hideMark/>
          </w:tcPr>
          <w:p w14:paraId="704C61A1"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Հարկային ծախսերի չափը</w:t>
            </w:r>
          </w:p>
        </w:tc>
        <w:tc>
          <w:tcPr>
            <w:tcW w:w="1820" w:type="dxa"/>
            <w:shd w:val="clear" w:color="auto" w:fill="4F81BD" w:themeFill="accent1"/>
            <w:vAlign w:val="center"/>
            <w:hideMark/>
          </w:tcPr>
          <w:p w14:paraId="3D4A4364"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Կշիռը հարկային եկամուտների մեջ</w:t>
            </w:r>
          </w:p>
        </w:tc>
        <w:tc>
          <w:tcPr>
            <w:tcW w:w="1820" w:type="dxa"/>
            <w:shd w:val="clear" w:color="auto" w:fill="4F81BD" w:themeFill="accent1"/>
            <w:vAlign w:val="center"/>
            <w:hideMark/>
          </w:tcPr>
          <w:p w14:paraId="65082E5D" w14:textId="77777777" w:rsidR="00A00B8B" w:rsidRPr="00A83C94" w:rsidRDefault="00A00B8B"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Կշիռը ՀՆԱ-ի մեջ</w:t>
            </w:r>
          </w:p>
        </w:tc>
      </w:tr>
      <w:tr w:rsidR="00570952" w:rsidRPr="00A83C94" w14:paraId="5306F5B4" w14:textId="77777777" w:rsidTr="00570952">
        <w:trPr>
          <w:trHeight w:val="795"/>
        </w:trPr>
        <w:tc>
          <w:tcPr>
            <w:tcW w:w="764" w:type="dxa"/>
            <w:shd w:val="clear" w:color="auto" w:fill="DBE5F1" w:themeFill="accent1" w:themeFillTint="33"/>
            <w:vAlign w:val="center"/>
          </w:tcPr>
          <w:p w14:paraId="211460E3" w14:textId="753105DA"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1</w:t>
            </w:r>
          </w:p>
        </w:tc>
        <w:tc>
          <w:tcPr>
            <w:tcW w:w="3443" w:type="dxa"/>
            <w:shd w:val="clear" w:color="auto" w:fill="DBE5F1" w:themeFill="accent1" w:themeFillTint="33"/>
            <w:vAlign w:val="center"/>
          </w:tcPr>
          <w:p w14:paraId="25D5B8B0" w14:textId="74BA7726" w:rsidR="00570952" w:rsidRPr="00A83C94" w:rsidRDefault="00570952" w:rsidP="006C390E">
            <w:pPr>
              <w:spacing w:before="0" w:line="276" w:lineRule="auto"/>
              <w:ind w:firstLine="0"/>
              <w:contextualSpacing w:val="0"/>
              <w:jc w:val="left"/>
              <w:rPr>
                <w:rFonts w:cs="Calibri"/>
                <w:bCs/>
                <w:color w:val="000000"/>
                <w:szCs w:val="22"/>
                <w:lang w:val="en-US" w:eastAsia="en-US"/>
              </w:rPr>
            </w:pPr>
            <w:r w:rsidRPr="00A83C94">
              <w:rPr>
                <w:rFonts w:cs="Calibri"/>
                <w:bCs/>
                <w:color w:val="000000"/>
                <w:szCs w:val="22"/>
              </w:rPr>
              <w:t>ԱԱՀ</w:t>
            </w:r>
            <w:r w:rsidRPr="00A83C94">
              <w:rPr>
                <w:rFonts w:cs="Calibri"/>
                <w:bCs/>
                <w:color w:val="000000"/>
                <w:szCs w:val="22"/>
                <w:lang w:val="en-US"/>
              </w:rPr>
              <w:t>-</w:t>
            </w:r>
            <w:r w:rsidRPr="00A83C94">
              <w:rPr>
                <w:rFonts w:cs="Calibri"/>
                <w:bCs/>
                <w:color w:val="000000"/>
                <w:szCs w:val="22"/>
              </w:rPr>
              <w:t>ի</w:t>
            </w:r>
            <w:r w:rsidRPr="00A83C94">
              <w:rPr>
                <w:rFonts w:cs="Calibri"/>
                <w:bCs/>
                <w:color w:val="000000"/>
                <w:szCs w:val="22"/>
                <w:lang w:val="en-US"/>
              </w:rPr>
              <w:t xml:space="preserve"> </w:t>
            </w:r>
            <w:r w:rsidRPr="00A83C94">
              <w:rPr>
                <w:rFonts w:cs="Calibri"/>
                <w:bCs/>
                <w:color w:val="000000"/>
                <w:szCs w:val="22"/>
              </w:rPr>
              <w:t>գծով</w:t>
            </w:r>
            <w:r w:rsidRPr="00A83C94">
              <w:rPr>
                <w:rFonts w:cs="Calibri"/>
                <w:bCs/>
                <w:color w:val="000000"/>
                <w:szCs w:val="22"/>
                <w:lang w:val="en-US"/>
              </w:rPr>
              <w:t xml:space="preserve">, </w:t>
            </w:r>
            <w:r w:rsidRPr="00A83C94">
              <w:rPr>
                <w:rFonts w:cs="Calibri"/>
                <w:bCs/>
                <w:color w:val="000000"/>
                <w:szCs w:val="22"/>
              </w:rPr>
              <w:t>այդ</w:t>
            </w:r>
            <w:r w:rsidRPr="00A83C94">
              <w:rPr>
                <w:rFonts w:cs="Calibri"/>
                <w:bCs/>
                <w:color w:val="000000"/>
                <w:szCs w:val="22"/>
                <w:lang w:val="en-US"/>
              </w:rPr>
              <w:t xml:space="preserve"> </w:t>
            </w:r>
            <w:r w:rsidRPr="00A83C94">
              <w:rPr>
                <w:rFonts w:cs="Calibri"/>
                <w:bCs/>
                <w:color w:val="000000"/>
                <w:szCs w:val="22"/>
              </w:rPr>
              <w:t>թվում</w:t>
            </w:r>
            <w:r w:rsidRPr="00A83C94">
              <w:rPr>
                <w:rFonts w:cs="Calibri"/>
                <w:bCs/>
                <w:color w:val="000000"/>
                <w:szCs w:val="22"/>
                <w:lang w:val="en-US"/>
              </w:rPr>
              <w:t>`</w:t>
            </w:r>
          </w:p>
        </w:tc>
        <w:tc>
          <w:tcPr>
            <w:tcW w:w="1820" w:type="dxa"/>
            <w:shd w:val="clear" w:color="auto" w:fill="DBE5F1" w:themeFill="accent1" w:themeFillTint="33"/>
            <w:vAlign w:val="center"/>
          </w:tcPr>
          <w:p w14:paraId="131AF1B6" w14:textId="3079EFDB"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363,296</w:t>
            </w:r>
          </w:p>
        </w:tc>
        <w:tc>
          <w:tcPr>
            <w:tcW w:w="1820" w:type="dxa"/>
            <w:shd w:val="clear" w:color="auto" w:fill="DBE5F1" w:themeFill="accent1" w:themeFillTint="33"/>
            <w:vAlign w:val="center"/>
          </w:tcPr>
          <w:p w14:paraId="0BB78852" w14:textId="50F3728F"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19.70%</w:t>
            </w:r>
          </w:p>
        </w:tc>
        <w:tc>
          <w:tcPr>
            <w:tcW w:w="1820" w:type="dxa"/>
            <w:shd w:val="clear" w:color="auto" w:fill="DBE5F1" w:themeFill="accent1" w:themeFillTint="33"/>
            <w:vAlign w:val="center"/>
          </w:tcPr>
          <w:p w14:paraId="1AF563EB" w14:textId="267EB529"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4.62%</w:t>
            </w:r>
          </w:p>
        </w:tc>
      </w:tr>
      <w:tr w:rsidR="00570952" w:rsidRPr="00A83C94" w14:paraId="777DB941" w14:textId="77777777" w:rsidTr="00570952">
        <w:trPr>
          <w:trHeight w:val="535"/>
        </w:trPr>
        <w:tc>
          <w:tcPr>
            <w:tcW w:w="764" w:type="dxa"/>
            <w:shd w:val="clear" w:color="auto" w:fill="auto"/>
            <w:vAlign w:val="center"/>
          </w:tcPr>
          <w:p w14:paraId="4D0CD13B" w14:textId="65F8BE3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w:t>
            </w:r>
          </w:p>
        </w:tc>
        <w:tc>
          <w:tcPr>
            <w:tcW w:w="3443" w:type="dxa"/>
            <w:shd w:val="clear" w:color="auto" w:fill="auto"/>
            <w:vAlign w:val="center"/>
          </w:tcPr>
          <w:p w14:paraId="7FC3B246" w14:textId="12A6E38F"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գյուղատնտեսություն</w:t>
            </w:r>
          </w:p>
        </w:tc>
        <w:tc>
          <w:tcPr>
            <w:tcW w:w="1820" w:type="dxa"/>
            <w:shd w:val="clear" w:color="auto" w:fill="auto"/>
            <w:vAlign w:val="center"/>
          </w:tcPr>
          <w:p w14:paraId="119B3293" w14:textId="27749DAC"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18,444</w:t>
            </w:r>
          </w:p>
        </w:tc>
        <w:tc>
          <w:tcPr>
            <w:tcW w:w="1820" w:type="dxa"/>
            <w:shd w:val="clear" w:color="auto" w:fill="auto"/>
            <w:vAlign w:val="center"/>
          </w:tcPr>
          <w:p w14:paraId="09EFF0B8" w14:textId="3FD1963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1.00%</w:t>
            </w:r>
          </w:p>
        </w:tc>
        <w:tc>
          <w:tcPr>
            <w:tcW w:w="1820" w:type="dxa"/>
            <w:shd w:val="clear" w:color="auto" w:fill="auto"/>
            <w:vAlign w:val="center"/>
          </w:tcPr>
          <w:p w14:paraId="54F288FA" w14:textId="667CA7C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0.23%</w:t>
            </w:r>
          </w:p>
        </w:tc>
      </w:tr>
      <w:tr w:rsidR="00570952" w:rsidRPr="00A83C94" w14:paraId="5B64E481" w14:textId="77777777" w:rsidTr="00570952">
        <w:trPr>
          <w:trHeight w:val="447"/>
        </w:trPr>
        <w:tc>
          <w:tcPr>
            <w:tcW w:w="764" w:type="dxa"/>
            <w:shd w:val="clear" w:color="auto" w:fill="DBE5F1" w:themeFill="accent1" w:themeFillTint="33"/>
            <w:vAlign w:val="center"/>
          </w:tcPr>
          <w:p w14:paraId="2D38FC09" w14:textId="573E4BE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1.2.</w:t>
            </w:r>
          </w:p>
        </w:tc>
        <w:tc>
          <w:tcPr>
            <w:tcW w:w="3443" w:type="dxa"/>
            <w:shd w:val="clear" w:color="auto" w:fill="DBE5F1" w:themeFill="accent1" w:themeFillTint="33"/>
            <w:vAlign w:val="center"/>
          </w:tcPr>
          <w:p w14:paraId="7E299DD6" w14:textId="0BF37E85"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առողջապահություն</w:t>
            </w:r>
          </w:p>
        </w:tc>
        <w:tc>
          <w:tcPr>
            <w:tcW w:w="1820" w:type="dxa"/>
            <w:shd w:val="clear" w:color="auto" w:fill="DBE5F1" w:themeFill="accent1" w:themeFillTint="33"/>
            <w:vAlign w:val="center"/>
          </w:tcPr>
          <w:p w14:paraId="1D992044" w14:textId="1749695E"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77,801</w:t>
            </w:r>
          </w:p>
        </w:tc>
        <w:tc>
          <w:tcPr>
            <w:tcW w:w="1820" w:type="dxa"/>
            <w:shd w:val="clear" w:color="auto" w:fill="DBE5F1" w:themeFill="accent1" w:themeFillTint="33"/>
            <w:vAlign w:val="center"/>
          </w:tcPr>
          <w:p w14:paraId="16779E8E" w14:textId="765C05B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4.22%</w:t>
            </w:r>
          </w:p>
        </w:tc>
        <w:tc>
          <w:tcPr>
            <w:tcW w:w="1820" w:type="dxa"/>
            <w:shd w:val="clear" w:color="auto" w:fill="DBE5F1" w:themeFill="accent1" w:themeFillTint="33"/>
            <w:vAlign w:val="center"/>
          </w:tcPr>
          <w:p w14:paraId="060A7CDD" w14:textId="435399F7"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0.99%</w:t>
            </w:r>
          </w:p>
        </w:tc>
      </w:tr>
      <w:tr w:rsidR="00570952" w:rsidRPr="00A83C94" w14:paraId="6C75B9B0" w14:textId="77777777" w:rsidTr="00570952">
        <w:trPr>
          <w:trHeight w:val="487"/>
        </w:trPr>
        <w:tc>
          <w:tcPr>
            <w:tcW w:w="764" w:type="dxa"/>
            <w:shd w:val="clear" w:color="auto" w:fill="auto"/>
            <w:vAlign w:val="center"/>
          </w:tcPr>
          <w:p w14:paraId="489F07DF" w14:textId="79466EF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1.3.</w:t>
            </w:r>
          </w:p>
        </w:tc>
        <w:tc>
          <w:tcPr>
            <w:tcW w:w="3443" w:type="dxa"/>
            <w:shd w:val="clear" w:color="auto" w:fill="auto"/>
            <w:vAlign w:val="center"/>
          </w:tcPr>
          <w:p w14:paraId="17FDDC24" w14:textId="1E1C22EC"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կրթություն</w:t>
            </w:r>
          </w:p>
        </w:tc>
        <w:tc>
          <w:tcPr>
            <w:tcW w:w="1820" w:type="dxa"/>
            <w:shd w:val="clear" w:color="auto" w:fill="auto"/>
            <w:vAlign w:val="center"/>
          </w:tcPr>
          <w:p w14:paraId="00F31AA9" w14:textId="387470E8"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28,521</w:t>
            </w:r>
          </w:p>
        </w:tc>
        <w:tc>
          <w:tcPr>
            <w:tcW w:w="1820" w:type="dxa"/>
            <w:shd w:val="clear" w:color="auto" w:fill="auto"/>
            <w:vAlign w:val="center"/>
          </w:tcPr>
          <w:p w14:paraId="0952871C" w14:textId="661C3E7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1.55%</w:t>
            </w:r>
          </w:p>
        </w:tc>
        <w:tc>
          <w:tcPr>
            <w:tcW w:w="1820" w:type="dxa"/>
            <w:shd w:val="clear" w:color="auto" w:fill="auto"/>
            <w:vAlign w:val="center"/>
          </w:tcPr>
          <w:p w14:paraId="3E15FC1D" w14:textId="649507F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0.36%</w:t>
            </w:r>
          </w:p>
        </w:tc>
      </w:tr>
      <w:tr w:rsidR="00570952" w:rsidRPr="00A83C94" w14:paraId="7E10D65C" w14:textId="77777777" w:rsidTr="00570952">
        <w:trPr>
          <w:trHeight w:val="795"/>
        </w:trPr>
        <w:tc>
          <w:tcPr>
            <w:tcW w:w="764" w:type="dxa"/>
            <w:shd w:val="clear" w:color="auto" w:fill="DBE5F1" w:themeFill="accent1" w:themeFillTint="33"/>
            <w:vAlign w:val="center"/>
          </w:tcPr>
          <w:p w14:paraId="7B6192AA" w14:textId="445F531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1.4.</w:t>
            </w:r>
          </w:p>
        </w:tc>
        <w:tc>
          <w:tcPr>
            <w:tcW w:w="3443" w:type="dxa"/>
            <w:shd w:val="clear" w:color="auto" w:fill="DBE5F1" w:themeFill="accent1" w:themeFillTint="33"/>
            <w:vAlign w:val="center"/>
          </w:tcPr>
          <w:p w14:paraId="69447C2A" w14:textId="18027FD5"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ֆինանսներ և ապահովագրություն</w:t>
            </w:r>
          </w:p>
        </w:tc>
        <w:tc>
          <w:tcPr>
            <w:tcW w:w="1820" w:type="dxa"/>
            <w:shd w:val="clear" w:color="auto" w:fill="DBE5F1" w:themeFill="accent1" w:themeFillTint="33"/>
            <w:vAlign w:val="center"/>
          </w:tcPr>
          <w:p w14:paraId="035C5391" w14:textId="32EEBAE3"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69,255</w:t>
            </w:r>
          </w:p>
        </w:tc>
        <w:tc>
          <w:tcPr>
            <w:tcW w:w="1820" w:type="dxa"/>
            <w:shd w:val="clear" w:color="auto" w:fill="DBE5F1" w:themeFill="accent1" w:themeFillTint="33"/>
            <w:vAlign w:val="center"/>
          </w:tcPr>
          <w:p w14:paraId="07FEA245" w14:textId="0B846C4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3.76%</w:t>
            </w:r>
          </w:p>
        </w:tc>
        <w:tc>
          <w:tcPr>
            <w:tcW w:w="1820" w:type="dxa"/>
            <w:shd w:val="clear" w:color="auto" w:fill="DBE5F1" w:themeFill="accent1" w:themeFillTint="33"/>
            <w:vAlign w:val="center"/>
          </w:tcPr>
          <w:p w14:paraId="4EA3D435" w14:textId="7239F8F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0.88%</w:t>
            </w:r>
          </w:p>
        </w:tc>
      </w:tr>
      <w:tr w:rsidR="00570952" w:rsidRPr="00A83C94" w14:paraId="61401BAA" w14:textId="77777777" w:rsidTr="00570952">
        <w:trPr>
          <w:trHeight w:val="497"/>
        </w:trPr>
        <w:tc>
          <w:tcPr>
            <w:tcW w:w="764" w:type="dxa"/>
            <w:shd w:val="clear" w:color="auto" w:fill="auto"/>
            <w:vAlign w:val="center"/>
          </w:tcPr>
          <w:p w14:paraId="66FC70D8" w14:textId="3511FA0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1.5.</w:t>
            </w:r>
          </w:p>
        </w:tc>
        <w:tc>
          <w:tcPr>
            <w:tcW w:w="3443" w:type="dxa"/>
            <w:shd w:val="clear" w:color="auto" w:fill="auto"/>
            <w:vAlign w:val="center"/>
          </w:tcPr>
          <w:p w14:paraId="7D81FE2F" w14:textId="0DB17241"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ԱԱՀ-ի շեմ</w:t>
            </w:r>
          </w:p>
        </w:tc>
        <w:tc>
          <w:tcPr>
            <w:tcW w:w="1820" w:type="dxa"/>
            <w:shd w:val="clear" w:color="auto" w:fill="auto"/>
            <w:vAlign w:val="center"/>
          </w:tcPr>
          <w:p w14:paraId="7F014A9B" w14:textId="6B78D25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47,655</w:t>
            </w:r>
          </w:p>
        </w:tc>
        <w:tc>
          <w:tcPr>
            <w:tcW w:w="1820" w:type="dxa"/>
            <w:shd w:val="clear" w:color="auto" w:fill="auto"/>
            <w:vAlign w:val="center"/>
          </w:tcPr>
          <w:p w14:paraId="6F980E1F" w14:textId="15298229"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2.58%</w:t>
            </w:r>
          </w:p>
        </w:tc>
        <w:tc>
          <w:tcPr>
            <w:tcW w:w="1820" w:type="dxa"/>
            <w:shd w:val="clear" w:color="auto" w:fill="auto"/>
            <w:vAlign w:val="center"/>
          </w:tcPr>
          <w:p w14:paraId="3762B82B" w14:textId="747327C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0.61%</w:t>
            </w:r>
          </w:p>
        </w:tc>
      </w:tr>
      <w:tr w:rsidR="00570952" w:rsidRPr="00A83C94" w14:paraId="42851735" w14:textId="77777777" w:rsidTr="00570952">
        <w:trPr>
          <w:trHeight w:val="1710"/>
        </w:trPr>
        <w:tc>
          <w:tcPr>
            <w:tcW w:w="764" w:type="dxa"/>
            <w:shd w:val="clear" w:color="auto" w:fill="DBE5F1" w:themeFill="accent1" w:themeFillTint="33"/>
            <w:vAlign w:val="center"/>
          </w:tcPr>
          <w:p w14:paraId="737244FC" w14:textId="00CAB33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1.6.</w:t>
            </w:r>
          </w:p>
        </w:tc>
        <w:tc>
          <w:tcPr>
            <w:tcW w:w="3443" w:type="dxa"/>
            <w:shd w:val="clear" w:color="auto" w:fill="DBE5F1" w:themeFill="accent1" w:themeFillTint="33"/>
            <w:vAlign w:val="center"/>
          </w:tcPr>
          <w:p w14:paraId="01CD7DE6" w14:textId="7B496931"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խաղատների</w:t>
            </w:r>
            <w:r w:rsidRPr="00A83C94">
              <w:rPr>
                <w:rFonts w:cs="Calibri"/>
                <w:b w:val="0"/>
                <w:i/>
                <w:iCs/>
                <w:color w:val="000000"/>
                <w:szCs w:val="22"/>
                <w:lang w:val="en-US"/>
              </w:rPr>
              <w:t xml:space="preserve"> </w:t>
            </w:r>
            <w:r w:rsidRPr="00A83C94">
              <w:rPr>
                <w:rFonts w:cs="Calibri"/>
                <w:b w:val="0"/>
                <w:i/>
                <w:iCs/>
                <w:color w:val="000000"/>
                <w:szCs w:val="22"/>
              </w:rPr>
              <w:t>գործունեություն</w:t>
            </w:r>
            <w:r w:rsidRPr="00A83C94">
              <w:rPr>
                <w:rFonts w:cs="Calibri"/>
                <w:b w:val="0"/>
                <w:i/>
                <w:iCs/>
                <w:color w:val="000000"/>
                <w:szCs w:val="22"/>
                <w:lang w:val="en-US"/>
              </w:rPr>
              <w:t xml:space="preserve">, </w:t>
            </w:r>
            <w:r w:rsidRPr="00A83C94">
              <w:rPr>
                <w:rFonts w:cs="Calibri"/>
                <w:b w:val="0"/>
                <w:i/>
                <w:iCs/>
                <w:color w:val="000000"/>
                <w:szCs w:val="22"/>
              </w:rPr>
              <w:t>շահումով</w:t>
            </w:r>
            <w:r w:rsidRPr="00A83C94">
              <w:rPr>
                <w:rFonts w:cs="Calibri"/>
                <w:b w:val="0"/>
                <w:i/>
                <w:iCs/>
                <w:color w:val="000000"/>
                <w:szCs w:val="22"/>
                <w:lang w:val="en-US"/>
              </w:rPr>
              <w:t xml:space="preserve"> </w:t>
            </w:r>
            <w:r w:rsidRPr="00A83C94">
              <w:rPr>
                <w:rFonts w:cs="Calibri"/>
                <w:b w:val="0"/>
                <w:i/>
                <w:iCs/>
                <w:color w:val="000000"/>
                <w:szCs w:val="22"/>
              </w:rPr>
              <w:t>խաղերի</w:t>
            </w:r>
            <w:r w:rsidRPr="00A83C94">
              <w:rPr>
                <w:rFonts w:cs="Calibri"/>
                <w:b w:val="0"/>
                <w:i/>
                <w:iCs/>
                <w:color w:val="000000"/>
                <w:szCs w:val="22"/>
                <w:lang w:val="en-US"/>
              </w:rPr>
              <w:t xml:space="preserve"> (</w:t>
            </w:r>
            <w:r w:rsidRPr="00A83C94">
              <w:rPr>
                <w:rFonts w:cs="Calibri"/>
                <w:b w:val="0"/>
                <w:i/>
                <w:iCs/>
                <w:color w:val="000000"/>
                <w:szCs w:val="22"/>
              </w:rPr>
              <w:t>այդ</w:t>
            </w:r>
            <w:r w:rsidRPr="00A83C94">
              <w:rPr>
                <w:rFonts w:cs="Calibri"/>
                <w:b w:val="0"/>
                <w:i/>
                <w:iCs/>
                <w:color w:val="000000"/>
                <w:szCs w:val="22"/>
                <w:lang w:val="en-US"/>
              </w:rPr>
              <w:t xml:space="preserve"> </w:t>
            </w:r>
            <w:r w:rsidRPr="00A83C94">
              <w:rPr>
                <w:rFonts w:cs="Calibri"/>
                <w:b w:val="0"/>
                <w:i/>
                <w:iCs/>
                <w:color w:val="000000"/>
                <w:szCs w:val="22"/>
              </w:rPr>
              <w:t>թվում՝</w:t>
            </w:r>
            <w:r w:rsidRPr="00A83C94">
              <w:rPr>
                <w:rFonts w:cs="Calibri"/>
                <w:b w:val="0"/>
                <w:i/>
                <w:iCs/>
                <w:color w:val="000000"/>
                <w:szCs w:val="22"/>
                <w:lang w:val="en-US"/>
              </w:rPr>
              <w:t xml:space="preserve"> </w:t>
            </w:r>
            <w:r w:rsidRPr="00A83C94">
              <w:rPr>
                <w:rFonts w:cs="Calibri"/>
                <w:b w:val="0"/>
                <w:i/>
                <w:iCs/>
                <w:color w:val="000000"/>
                <w:szCs w:val="22"/>
              </w:rPr>
              <w:t>ինտերնետ</w:t>
            </w:r>
            <w:r w:rsidRPr="00A83C94">
              <w:rPr>
                <w:rFonts w:cs="Calibri"/>
                <w:b w:val="0"/>
                <w:i/>
                <w:iCs/>
                <w:color w:val="000000"/>
                <w:szCs w:val="22"/>
                <w:lang w:val="en-US"/>
              </w:rPr>
              <w:t xml:space="preserve"> </w:t>
            </w:r>
            <w:r w:rsidRPr="00A83C94">
              <w:rPr>
                <w:rFonts w:cs="Calibri"/>
                <w:b w:val="0"/>
                <w:i/>
                <w:iCs/>
                <w:color w:val="000000"/>
                <w:szCs w:val="22"/>
              </w:rPr>
              <w:t>շահումով</w:t>
            </w:r>
            <w:r w:rsidRPr="00A83C94">
              <w:rPr>
                <w:rFonts w:cs="Calibri"/>
                <w:b w:val="0"/>
                <w:i/>
                <w:iCs/>
                <w:color w:val="000000"/>
                <w:szCs w:val="22"/>
                <w:lang w:val="en-US"/>
              </w:rPr>
              <w:t xml:space="preserve"> </w:t>
            </w:r>
            <w:r w:rsidRPr="00A83C94">
              <w:rPr>
                <w:rFonts w:cs="Calibri"/>
                <w:b w:val="0"/>
                <w:i/>
                <w:iCs/>
                <w:color w:val="000000"/>
                <w:szCs w:val="22"/>
              </w:rPr>
              <w:t>խաղերի</w:t>
            </w:r>
            <w:r w:rsidRPr="00A83C94">
              <w:rPr>
                <w:rFonts w:cs="Calibri"/>
                <w:b w:val="0"/>
                <w:i/>
                <w:iCs/>
                <w:color w:val="000000"/>
                <w:szCs w:val="22"/>
                <w:lang w:val="en-US"/>
              </w:rPr>
              <w:t xml:space="preserve">), </w:t>
            </w:r>
            <w:r w:rsidRPr="00A83C94">
              <w:rPr>
                <w:rFonts w:cs="Calibri"/>
                <w:b w:val="0"/>
                <w:i/>
                <w:iCs/>
                <w:color w:val="000000"/>
                <w:szCs w:val="22"/>
              </w:rPr>
              <w:t>տոտալիզատորի</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ինտերնետ</w:t>
            </w:r>
            <w:r w:rsidRPr="00A83C94">
              <w:rPr>
                <w:rFonts w:cs="Calibri"/>
                <w:b w:val="0"/>
                <w:i/>
                <w:iCs/>
                <w:color w:val="000000"/>
                <w:szCs w:val="22"/>
                <w:lang w:val="en-US"/>
              </w:rPr>
              <w:t xml:space="preserve"> </w:t>
            </w:r>
            <w:r w:rsidRPr="00A83C94">
              <w:rPr>
                <w:rFonts w:cs="Calibri"/>
                <w:b w:val="0"/>
                <w:i/>
                <w:iCs/>
                <w:color w:val="000000"/>
                <w:szCs w:val="22"/>
              </w:rPr>
              <w:t>տոտալիզատորի</w:t>
            </w:r>
            <w:r w:rsidRPr="00A83C94">
              <w:rPr>
                <w:rFonts w:cs="Calibri"/>
                <w:b w:val="0"/>
                <w:i/>
                <w:iCs/>
                <w:color w:val="000000"/>
                <w:szCs w:val="22"/>
                <w:lang w:val="en-US"/>
              </w:rPr>
              <w:t xml:space="preserve"> </w:t>
            </w:r>
            <w:r w:rsidRPr="00A83C94">
              <w:rPr>
                <w:rFonts w:cs="Calibri"/>
                <w:b w:val="0"/>
                <w:i/>
                <w:iCs/>
                <w:color w:val="000000"/>
                <w:szCs w:val="22"/>
              </w:rPr>
              <w:t>կազմակերպում</w:t>
            </w:r>
          </w:p>
        </w:tc>
        <w:tc>
          <w:tcPr>
            <w:tcW w:w="1820" w:type="dxa"/>
            <w:shd w:val="clear" w:color="auto" w:fill="DBE5F1" w:themeFill="accent1" w:themeFillTint="33"/>
            <w:vAlign w:val="center"/>
          </w:tcPr>
          <w:p w14:paraId="436387E4" w14:textId="4A556973"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44,589</w:t>
            </w:r>
          </w:p>
        </w:tc>
        <w:tc>
          <w:tcPr>
            <w:tcW w:w="1820" w:type="dxa"/>
            <w:shd w:val="clear" w:color="auto" w:fill="DBE5F1" w:themeFill="accent1" w:themeFillTint="33"/>
            <w:vAlign w:val="center"/>
          </w:tcPr>
          <w:p w14:paraId="5C611D88" w14:textId="49BB2E54"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2.42%</w:t>
            </w:r>
          </w:p>
        </w:tc>
        <w:tc>
          <w:tcPr>
            <w:tcW w:w="1820" w:type="dxa"/>
            <w:shd w:val="clear" w:color="auto" w:fill="DBE5F1" w:themeFill="accent1" w:themeFillTint="33"/>
            <w:vAlign w:val="center"/>
          </w:tcPr>
          <w:p w14:paraId="14B6C3E0" w14:textId="2CED264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0.57%</w:t>
            </w:r>
          </w:p>
        </w:tc>
      </w:tr>
      <w:tr w:rsidR="00570952" w:rsidRPr="00A83C94" w14:paraId="32AF626C" w14:textId="77777777" w:rsidTr="00570952">
        <w:trPr>
          <w:trHeight w:val="795"/>
        </w:trPr>
        <w:tc>
          <w:tcPr>
            <w:tcW w:w="764" w:type="dxa"/>
            <w:shd w:val="clear" w:color="auto" w:fill="auto"/>
            <w:vAlign w:val="center"/>
          </w:tcPr>
          <w:p w14:paraId="06D813E4" w14:textId="20E262D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1.7.</w:t>
            </w:r>
          </w:p>
        </w:tc>
        <w:tc>
          <w:tcPr>
            <w:tcW w:w="3443" w:type="dxa"/>
            <w:shd w:val="clear" w:color="auto" w:fill="auto"/>
            <w:vAlign w:val="center"/>
          </w:tcPr>
          <w:p w14:paraId="2A7FB7D2" w14:textId="27F76F6F"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ոսկու</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թանկարժեք</w:t>
            </w:r>
            <w:r w:rsidRPr="00A83C94">
              <w:rPr>
                <w:rFonts w:cs="Calibri"/>
                <w:b w:val="0"/>
                <w:i/>
                <w:iCs/>
                <w:color w:val="000000"/>
                <w:szCs w:val="22"/>
                <w:lang w:val="en-US"/>
              </w:rPr>
              <w:t xml:space="preserve"> </w:t>
            </w:r>
            <w:r w:rsidRPr="00A83C94">
              <w:rPr>
                <w:rFonts w:cs="Calibri"/>
                <w:b w:val="0"/>
                <w:i/>
                <w:iCs/>
                <w:color w:val="000000"/>
                <w:szCs w:val="22"/>
              </w:rPr>
              <w:t>քարերի</w:t>
            </w:r>
            <w:r w:rsidRPr="00A83C94">
              <w:rPr>
                <w:rFonts w:cs="Calibri"/>
                <w:b w:val="0"/>
                <w:i/>
                <w:iCs/>
                <w:color w:val="000000"/>
                <w:szCs w:val="22"/>
                <w:lang w:val="en-US"/>
              </w:rPr>
              <w:t xml:space="preserve"> </w:t>
            </w:r>
            <w:r w:rsidRPr="00A83C94">
              <w:rPr>
                <w:rFonts w:cs="Calibri"/>
                <w:b w:val="0"/>
                <w:i/>
                <w:iCs/>
                <w:color w:val="000000"/>
                <w:szCs w:val="22"/>
              </w:rPr>
              <w:t>իրացում</w:t>
            </w:r>
          </w:p>
        </w:tc>
        <w:tc>
          <w:tcPr>
            <w:tcW w:w="1820" w:type="dxa"/>
            <w:shd w:val="clear" w:color="auto" w:fill="auto"/>
            <w:vAlign w:val="center"/>
          </w:tcPr>
          <w:p w14:paraId="00BBAA4A" w14:textId="5A7AC32C"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3,783</w:t>
            </w:r>
          </w:p>
        </w:tc>
        <w:tc>
          <w:tcPr>
            <w:tcW w:w="1820" w:type="dxa"/>
            <w:shd w:val="clear" w:color="auto" w:fill="auto"/>
            <w:vAlign w:val="center"/>
          </w:tcPr>
          <w:p w14:paraId="3A8098CC" w14:textId="329E649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0.21%</w:t>
            </w:r>
          </w:p>
        </w:tc>
        <w:tc>
          <w:tcPr>
            <w:tcW w:w="1820" w:type="dxa"/>
            <w:shd w:val="clear" w:color="auto" w:fill="auto"/>
            <w:vAlign w:val="center"/>
          </w:tcPr>
          <w:p w14:paraId="7272A1A0" w14:textId="01870859"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r>
      <w:tr w:rsidR="00570952" w:rsidRPr="00A83C94" w14:paraId="7AF0845A" w14:textId="77777777" w:rsidTr="00570952">
        <w:trPr>
          <w:trHeight w:val="475"/>
        </w:trPr>
        <w:tc>
          <w:tcPr>
            <w:tcW w:w="764" w:type="dxa"/>
            <w:shd w:val="clear" w:color="auto" w:fill="DBE5F1" w:themeFill="accent1" w:themeFillTint="33"/>
            <w:vAlign w:val="center"/>
          </w:tcPr>
          <w:p w14:paraId="0D5FA746" w14:textId="3457F6F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1.8.</w:t>
            </w:r>
          </w:p>
        </w:tc>
        <w:tc>
          <w:tcPr>
            <w:tcW w:w="3443" w:type="dxa"/>
            <w:shd w:val="clear" w:color="auto" w:fill="DBE5F1" w:themeFill="accent1" w:themeFillTint="33"/>
            <w:vAlign w:val="center"/>
          </w:tcPr>
          <w:p w14:paraId="29A0DA55" w14:textId="2DAABAF3"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մարդասիրական օգնություն</w:t>
            </w:r>
          </w:p>
        </w:tc>
        <w:tc>
          <w:tcPr>
            <w:tcW w:w="1820" w:type="dxa"/>
            <w:shd w:val="clear" w:color="auto" w:fill="DBE5F1" w:themeFill="accent1" w:themeFillTint="33"/>
            <w:vAlign w:val="center"/>
          </w:tcPr>
          <w:p w14:paraId="1AE4C7AC" w14:textId="09D2D15D"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4,471</w:t>
            </w:r>
          </w:p>
        </w:tc>
        <w:tc>
          <w:tcPr>
            <w:tcW w:w="1820" w:type="dxa"/>
            <w:shd w:val="clear" w:color="auto" w:fill="DBE5F1" w:themeFill="accent1" w:themeFillTint="33"/>
            <w:vAlign w:val="center"/>
          </w:tcPr>
          <w:p w14:paraId="55CCCE53" w14:textId="77B686C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0.24%</w:t>
            </w:r>
          </w:p>
        </w:tc>
        <w:tc>
          <w:tcPr>
            <w:tcW w:w="1820" w:type="dxa"/>
            <w:shd w:val="clear" w:color="auto" w:fill="DBE5F1" w:themeFill="accent1" w:themeFillTint="33"/>
            <w:vAlign w:val="center"/>
          </w:tcPr>
          <w:p w14:paraId="2D1432E0" w14:textId="305D8C5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0.06%</w:t>
            </w:r>
          </w:p>
        </w:tc>
      </w:tr>
      <w:tr w:rsidR="00570952" w:rsidRPr="00A83C94" w14:paraId="4B17F953" w14:textId="77777777" w:rsidTr="00570952">
        <w:trPr>
          <w:trHeight w:val="553"/>
        </w:trPr>
        <w:tc>
          <w:tcPr>
            <w:tcW w:w="764" w:type="dxa"/>
            <w:shd w:val="clear" w:color="auto" w:fill="auto"/>
            <w:vAlign w:val="center"/>
          </w:tcPr>
          <w:p w14:paraId="78126DBF" w14:textId="0FDEF55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1.9.</w:t>
            </w:r>
          </w:p>
        </w:tc>
        <w:tc>
          <w:tcPr>
            <w:tcW w:w="3443" w:type="dxa"/>
            <w:shd w:val="clear" w:color="auto" w:fill="auto"/>
            <w:vAlign w:val="center"/>
          </w:tcPr>
          <w:p w14:paraId="76093EBB" w14:textId="77773331"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պարարտանյութերի իրացում</w:t>
            </w:r>
          </w:p>
        </w:tc>
        <w:tc>
          <w:tcPr>
            <w:tcW w:w="1820" w:type="dxa"/>
            <w:shd w:val="clear" w:color="auto" w:fill="auto"/>
            <w:vAlign w:val="center"/>
          </w:tcPr>
          <w:p w14:paraId="5BB87FFF" w14:textId="32F3D32A"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5,043</w:t>
            </w:r>
          </w:p>
        </w:tc>
        <w:tc>
          <w:tcPr>
            <w:tcW w:w="1820" w:type="dxa"/>
            <w:shd w:val="clear" w:color="auto" w:fill="auto"/>
            <w:vAlign w:val="center"/>
          </w:tcPr>
          <w:p w14:paraId="50134169" w14:textId="4EF8CF8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0.27%</w:t>
            </w:r>
          </w:p>
        </w:tc>
        <w:tc>
          <w:tcPr>
            <w:tcW w:w="1820" w:type="dxa"/>
            <w:shd w:val="clear" w:color="auto" w:fill="auto"/>
            <w:vAlign w:val="center"/>
          </w:tcPr>
          <w:p w14:paraId="0DC148F1" w14:textId="3A3EE6C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0.06%</w:t>
            </w:r>
          </w:p>
        </w:tc>
      </w:tr>
      <w:tr w:rsidR="00570952" w:rsidRPr="00A83C94" w14:paraId="5FC25AD3" w14:textId="77777777" w:rsidTr="00570952">
        <w:trPr>
          <w:trHeight w:val="1695"/>
        </w:trPr>
        <w:tc>
          <w:tcPr>
            <w:tcW w:w="764" w:type="dxa"/>
            <w:shd w:val="clear" w:color="auto" w:fill="DBE5F1" w:themeFill="accent1" w:themeFillTint="33"/>
            <w:vAlign w:val="center"/>
          </w:tcPr>
          <w:p w14:paraId="71C4D2B2" w14:textId="1A29487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1.10.</w:t>
            </w:r>
          </w:p>
        </w:tc>
        <w:tc>
          <w:tcPr>
            <w:tcW w:w="3443" w:type="dxa"/>
            <w:shd w:val="clear" w:color="auto" w:fill="DBE5F1" w:themeFill="accent1" w:themeFillTint="33"/>
            <w:vAlign w:val="center"/>
          </w:tcPr>
          <w:p w14:paraId="26D3E5EF" w14:textId="3CCE296B"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ջրօգտագործողների</w:t>
            </w:r>
            <w:r w:rsidRPr="00A83C94">
              <w:rPr>
                <w:rFonts w:cs="Calibri"/>
                <w:b w:val="0"/>
                <w:i/>
                <w:iCs/>
                <w:color w:val="000000"/>
                <w:szCs w:val="22"/>
                <w:lang w:val="en-US"/>
              </w:rPr>
              <w:t xml:space="preserve"> </w:t>
            </w:r>
            <w:r w:rsidRPr="00A83C94">
              <w:rPr>
                <w:rFonts w:cs="Calibri"/>
                <w:b w:val="0"/>
                <w:i/>
                <w:iCs/>
                <w:color w:val="000000"/>
                <w:szCs w:val="22"/>
              </w:rPr>
              <w:t>ընկերությունների</w:t>
            </w:r>
            <w:r w:rsidRPr="00A83C94">
              <w:rPr>
                <w:rFonts w:cs="Calibri"/>
                <w:b w:val="0"/>
                <w:i/>
                <w:iCs/>
                <w:color w:val="000000"/>
                <w:szCs w:val="22"/>
                <w:lang w:val="en-US"/>
              </w:rPr>
              <w:t xml:space="preserve"> </w:t>
            </w:r>
            <w:r w:rsidRPr="00A83C94">
              <w:rPr>
                <w:rFonts w:cs="Calibri"/>
                <w:b w:val="0"/>
                <w:i/>
                <w:iCs/>
                <w:color w:val="000000"/>
                <w:szCs w:val="22"/>
              </w:rPr>
              <w:t>կողմից</w:t>
            </w:r>
            <w:r w:rsidRPr="00A83C94">
              <w:rPr>
                <w:rFonts w:cs="Calibri"/>
                <w:b w:val="0"/>
                <w:i/>
                <w:iCs/>
                <w:color w:val="000000"/>
                <w:szCs w:val="22"/>
                <w:lang w:val="en-US"/>
              </w:rPr>
              <w:t xml:space="preserve"> </w:t>
            </w:r>
            <w:r w:rsidRPr="00A83C94">
              <w:rPr>
                <w:rFonts w:cs="Calibri"/>
                <w:b w:val="0"/>
                <w:i/>
                <w:iCs/>
                <w:color w:val="000000"/>
                <w:szCs w:val="22"/>
              </w:rPr>
              <w:t>ոռոգման</w:t>
            </w:r>
            <w:r w:rsidRPr="00A83C94">
              <w:rPr>
                <w:rFonts w:cs="Calibri"/>
                <w:b w:val="0"/>
                <w:i/>
                <w:iCs/>
                <w:color w:val="000000"/>
                <w:szCs w:val="22"/>
                <w:lang w:val="en-US"/>
              </w:rPr>
              <w:t xml:space="preserve"> </w:t>
            </w:r>
            <w:r w:rsidRPr="00A83C94">
              <w:rPr>
                <w:rFonts w:cs="Calibri"/>
                <w:b w:val="0"/>
                <w:i/>
                <w:iCs/>
                <w:color w:val="000000"/>
                <w:szCs w:val="22"/>
              </w:rPr>
              <w:t>ջրի</w:t>
            </w:r>
            <w:r w:rsidRPr="00A83C94">
              <w:rPr>
                <w:rFonts w:cs="Calibri"/>
                <w:b w:val="0"/>
                <w:i/>
                <w:iCs/>
                <w:color w:val="000000"/>
                <w:szCs w:val="22"/>
                <w:lang w:val="en-US"/>
              </w:rPr>
              <w:t xml:space="preserve"> </w:t>
            </w:r>
            <w:r w:rsidRPr="00A83C94">
              <w:rPr>
                <w:rFonts w:cs="Calibri"/>
                <w:b w:val="0"/>
                <w:i/>
                <w:iCs/>
                <w:color w:val="000000"/>
                <w:szCs w:val="22"/>
              </w:rPr>
              <w:t>օտարում</w:t>
            </w:r>
          </w:p>
        </w:tc>
        <w:tc>
          <w:tcPr>
            <w:tcW w:w="1820" w:type="dxa"/>
            <w:shd w:val="clear" w:color="auto" w:fill="DBE5F1" w:themeFill="accent1" w:themeFillTint="33"/>
            <w:vAlign w:val="center"/>
          </w:tcPr>
          <w:p w14:paraId="2A28D1A0" w14:textId="4C17B115"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1,977</w:t>
            </w:r>
          </w:p>
        </w:tc>
        <w:tc>
          <w:tcPr>
            <w:tcW w:w="1820" w:type="dxa"/>
            <w:shd w:val="clear" w:color="auto" w:fill="DBE5F1" w:themeFill="accent1" w:themeFillTint="33"/>
            <w:vAlign w:val="center"/>
          </w:tcPr>
          <w:p w14:paraId="7AFEABC2" w14:textId="43F149D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0.11%</w:t>
            </w:r>
          </w:p>
        </w:tc>
        <w:tc>
          <w:tcPr>
            <w:tcW w:w="1820" w:type="dxa"/>
            <w:shd w:val="clear" w:color="auto" w:fill="DBE5F1" w:themeFill="accent1" w:themeFillTint="33"/>
            <w:vAlign w:val="center"/>
          </w:tcPr>
          <w:p w14:paraId="17101A01" w14:textId="1AAACDC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0.03%</w:t>
            </w:r>
          </w:p>
        </w:tc>
      </w:tr>
      <w:tr w:rsidR="00570952" w:rsidRPr="00A83C94" w14:paraId="46543F22" w14:textId="77777777" w:rsidTr="00570952">
        <w:trPr>
          <w:trHeight w:val="900"/>
        </w:trPr>
        <w:tc>
          <w:tcPr>
            <w:tcW w:w="764" w:type="dxa"/>
            <w:shd w:val="clear" w:color="auto" w:fill="auto"/>
            <w:vAlign w:val="center"/>
          </w:tcPr>
          <w:p w14:paraId="3E232EEA" w14:textId="25A5B4E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1.11.</w:t>
            </w:r>
          </w:p>
        </w:tc>
        <w:tc>
          <w:tcPr>
            <w:tcW w:w="3443" w:type="dxa"/>
            <w:shd w:val="clear" w:color="auto" w:fill="auto"/>
            <w:vAlign w:val="center"/>
          </w:tcPr>
          <w:p w14:paraId="66CB8DD0" w14:textId="611A82D8"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սուբսիդիաների</w:t>
            </w:r>
            <w:r w:rsidRPr="00A83C94">
              <w:rPr>
                <w:rFonts w:cs="Calibri"/>
                <w:b w:val="0"/>
                <w:i/>
                <w:iCs/>
                <w:color w:val="000000"/>
                <w:szCs w:val="22"/>
                <w:lang w:val="en-US"/>
              </w:rPr>
              <w:t xml:space="preserve">, </w:t>
            </w:r>
            <w:r w:rsidRPr="00A83C94">
              <w:rPr>
                <w:rFonts w:cs="Calibri"/>
                <w:b w:val="0"/>
                <w:i/>
                <w:iCs/>
                <w:color w:val="000000"/>
                <w:szCs w:val="22"/>
              </w:rPr>
              <w:t>սուբվենցիաների</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դրամաշնորհային</w:t>
            </w:r>
            <w:r w:rsidRPr="00A83C94">
              <w:rPr>
                <w:rFonts w:cs="Calibri"/>
                <w:b w:val="0"/>
                <w:i/>
                <w:iCs/>
                <w:color w:val="000000"/>
                <w:szCs w:val="22"/>
                <w:lang w:val="en-US"/>
              </w:rPr>
              <w:t xml:space="preserve"> </w:t>
            </w:r>
            <w:r w:rsidRPr="00A83C94">
              <w:rPr>
                <w:rFonts w:cs="Calibri"/>
                <w:b w:val="0"/>
                <w:i/>
                <w:iCs/>
                <w:color w:val="000000"/>
                <w:szCs w:val="22"/>
              </w:rPr>
              <w:t>ծրագրերի</w:t>
            </w:r>
            <w:r w:rsidRPr="00A83C94">
              <w:rPr>
                <w:rFonts w:cs="Calibri"/>
                <w:b w:val="0"/>
                <w:i/>
                <w:iCs/>
                <w:color w:val="000000"/>
                <w:szCs w:val="22"/>
                <w:lang w:val="en-US"/>
              </w:rPr>
              <w:t xml:space="preserve"> </w:t>
            </w:r>
            <w:r w:rsidRPr="00A83C94">
              <w:rPr>
                <w:rFonts w:cs="Calibri"/>
                <w:b w:val="0"/>
                <w:i/>
                <w:iCs/>
                <w:color w:val="000000"/>
                <w:szCs w:val="22"/>
              </w:rPr>
              <w:t>շրջանակներում</w:t>
            </w:r>
            <w:r w:rsidRPr="00A83C94">
              <w:rPr>
                <w:rFonts w:cs="Calibri"/>
                <w:b w:val="0"/>
                <w:i/>
                <w:iCs/>
                <w:color w:val="000000"/>
                <w:szCs w:val="22"/>
                <w:lang w:val="en-US"/>
              </w:rPr>
              <w:t xml:space="preserve"> </w:t>
            </w:r>
            <w:r w:rsidRPr="00A83C94">
              <w:rPr>
                <w:rFonts w:cs="Calibri"/>
                <w:b w:val="0"/>
                <w:i/>
                <w:iCs/>
                <w:color w:val="000000"/>
                <w:szCs w:val="22"/>
              </w:rPr>
              <w:t>իրականացվող</w:t>
            </w:r>
            <w:r w:rsidRPr="00A83C94">
              <w:rPr>
                <w:rFonts w:cs="Calibri"/>
                <w:b w:val="0"/>
                <w:i/>
                <w:iCs/>
                <w:color w:val="000000"/>
                <w:szCs w:val="22"/>
                <w:lang w:val="en-US"/>
              </w:rPr>
              <w:t xml:space="preserve">` </w:t>
            </w:r>
            <w:r w:rsidRPr="00A83C94">
              <w:rPr>
                <w:rFonts w:cs="Calibri"/>
                <w:b w:val="0"/>
                <w:i/>
                <w:iCs/>
                <w:color w:val="000000"/>
                <w:szCs w:val="22"/>
              </w:rPr>
              <w:t>ապրանքի</w:t>
            </w:r>
            <w:r w:rsidRPr="00A83C94">
              <w:rPr>
                <w:rFonts w:cs="Calibri"/>
                <w:b w:val="0"/>
                <w:i/>
                <w:iCs/>
                <w:color w:val="000000"/>
                <w:szCs w:val="22"/>
                <w:lang w:val="en-US"/>
              </w:rPr>
              <w:t xml:space="preserve"> </w:t>
            </w:r>
            <w:r w:rsidRPr="00A83C94">
              <w:rPr>
                <w:rFonts w:cs="Calibri"/>
                <w:b w:val="0"/>
                <w:i/>
                <w:iCs/>
                <w:color w:val="000000"/>
                <w:szCs w:val="22"/>
              </w:rPr>
              <w:t>մատակարարում</w:t>
            </w:r>
            <w:r w:rsidRPr="00A83C94">
              <w:rPr>
                <w:rFonts w:cs="Calibri"/>
                <w:b w:val="0"/>
                <w:i/>
                <w:iCs/>
                <w:color w:val="000000"/>
                <w:szCs w:val="22"/>
                <w:lang w:val="en-US"/>
              </w:rPr>
              <w:t xml:space="preserve">, </w:t>
            </w:r>
            <w:r w:rsidRPr="00A83C94">
              <w:rPr>
                <w:rFonts w:cs="Calibri"/>
                <w:b w:val="0"/>
                <w:i/>
                <w:iCs/>
                <w:color w:val="000000"/>
                <w:szCs w:val="22"/>
              </w:rPr>
              <w:t>աշխատանքի</w:t>
            </w:r>
            <w:r w:rsidRPr="00A83C94">
              <w:rPr>
                <w:rFonts w:cs="Calibri"/>
                <w:b w:val="0"/>
                <w:i/>
                <w:iCs/>
                <w:color w:val="000000"/>
                <w:szCs w:val="22"/>
                <w:lang w:val="en-US"/>
              </w:rPr>
              <w:t xml:space="preserve"> </w:t>
            </w:r>
            <w:r w:rsidRPr="00A83C94">
              <w:rPr>
                <w:rFonts w:cs="Calibri"/>
                <w:b w:val="0"/>
                <w:i/>
                <w:iCs/>
                <w:color w:val="000000"/>
                <w:szCs w:val="22"/>
              </w:rPr>
              <w:t>կատարում</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կամ</w:t>
            </w:r>
            <w:r w:rsidRPr="00A83C94">
              <w:rPr>
                <w:rFonts w:cs="Calibri"/>
                <w:b w:val="0"/>
                <w:i/>
                <w:iCs/>
                <w:color w:val="000000"/>
                <w:szCs w:val="22"/>
                <w:lang w:val="en-US"/>
              </w:rPr>
              <w:t xml:space="preserve">) </w:t>
            </w:r>
            <w:r w:rsidRPr="00A83C94">
              <w:rPr>
                <w:rFonts w:cs="Calibri"/>
                <w:b w:val="0"/>
                <w:i/>
                <w:iCs/>
                <w:color w:val="000000"/>
                <w:szCs w:val="22"/>
              </w:rPr>
              <w:t>ծառայության</w:t>
            </w:r>
            <w:r w:rsidRPr="00A83C94">
              <w:rPr>
                <w:rFonts w:cs="Calibri"/>
                <w:b w:val="0"/>
                <w:i/>
                <w:iCs/>
                <w:color w:val="000000"/>
                <w:szCs w:val="22"/>
                <w:lang w:val="en-US"/>
              </w:rPr>
              <w:t xml:space="preserve"> </w:t>
            </w:r>
            <w:r w:rsidRPr="00A83C94">
              <w:rPr>
                <w:rFonts w:cs="Calibri"/>
                <w:b w:val="0"/>
                <w:i/>
                <w:iCs/>
                <w:color w:val="000000"/>
                <w:szCs w:val="22"/>
              </w:rPr>
              <w:t>մատուցում</w:t>
            </w:r>
          </w:p>
        </w:tc>
        <w:tc>
          <w:tcPr>
            <w:tcW w:w="1820" w:type="dxa"/>
            <w:shd w:val="clear" w:color="auto" w:fill="auto"/>
            <w:vAlign w:val="center"/>
          </w:tcPr>
          <w:p w14:paraId="2A0C575B" w14:textId="511A92C0"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1,011</w:t>
            </w:r>
          </w:p>
        </w:tc>
        <w:tc>
          <w:tcPr>
            <w:tcW w:w="1820" w:type="dxa"/>
            <w:shd w:val="clear" w:color="auto" w:fill="auto"/>
            <w:vAlign w:val="center"/>
          </w:tcPr>
          <w:p w14:paraId="367FFC06" w14:textId="037CBA6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c>
          <w:tcPr>
            <w:tcW w:w="1820" w:type="dxa"/>
            <w:shd w:val="clear" w:color="auto" w:fill="auto"/>
            <w:vAlign w:val="center"/>
          </w:tcPr>
          <w:p w14:paraId="66F45455" w14:textId="6306BA8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0.01%</w:t>
            </w:r>
          </w:p>
        </w:tc>
      </w:tr>
      <w:tr w:rsidR="00570952" w:rsidRPr="00A83C94" w14:paraId="0ABBEF49" w14:textId="77777777" w:rsidTr="00570952">
        <w:trPr>
          <w:trHeight w:val="2430"/>
        </w:trPr>
        <w:tc>
          <w:tcPr>
            <w:tcW w:w="764" w:type="dxa"/>
            <w:shd w:val="clear" w:color="auto" w:fill="DBE5F1" w:themeFill="accent1" w:themeFillTint="33"/>
            <w:vAlign w:val="center"/>
          </w:tcPr>
          <w:p w14:paraId="2906D7AA" w14:textId="142FD6F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1.12.</w:t>
            </w:r>
          </w:p>
        </w:tc>
        <w:tc>
          <w:tcPr>
            <w:tcW w:w="3443" w:type="dxa"/>
            <w:shd w:val="clear" w:color="auto" w:fill="DBE5F1" w:themeFill="accent1" w:themeFillTint="33"/>
            <w:vAlign w:val="center"/>
          </w:tcPr>
          <w:p w14:paraId="068C6635" w14:textId="0A55B0F9"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կազմակերպչին</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շահագործողին</w:t>
            </w:r>
            <w:r w:rsidRPr="00A83C94">
              <w:rPr>
                <w:rFonts w:cs="Calibri"/>
                <w:b w:val="0"/>
                <w:i/>
                <w:iCs/>
                <w:color w:val="000000"/>
                <w:szCs w:val="22"/>
                <w:lang w:val="en-US"/>
              </w:rPr>
              <w:t xml:space="preserve"> </w:t>
            </w:r>
            <w:r w:rsidRPr="00A83C94">
              <w:rPr>
                <w:rFonts w:cs="Calibri"/>
                <w:b w:val="0"/>
                <w:i/>
                <w:iCs/>
                <w:color w:val="000000"/>
                <w:szCs w:val="22"/>
              </w:rPr>
              <w:t>ծառայությունների</w:t>
            </w:r>
            <w:r w:rsidRPr="00A83C94">
              <w:rPr>
                <w:rFonts w:cs="Calibri"/>
                <w:b w:val="0"/>
                <w:i/>
                <w:iCs/>
                <w:color w:val="000000"/>
                <w:szCs w:val="22"/>
                <w:lang w:val="en-US"/>
              </w:rPr>
              <w:t xml:space="preserve"> </w:t>
            </w:r>
            <w:r w:rsidRPr="00A83C94">
              <w:rPr>
                <w:rFonts w:cs="Calibri"/>
                <w:b w:val="0"/>
                <w:i/>
                <w:iCs/>
                <w:color w:val="000000"/>
                <w:szCs w:val="22"/>
              </w:rPr>
              <w:t>մատուցումը</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կազմակերպչի</w:t>
            </w:r>
            <w:r w:rsidRPr="00A83C94">
              <w:rPr>
                <w:rFonts w:cs="Calibri"/>
                <w:b w:val="0"/>
                <w:i/>
                <w:iCs/>
                <w:color w:val="000000"/>
                <w:szCs w:val="22"/>
                <w:lang w:val="en-US"/>
              </w:rPr>
              <w:t xml:space="preserve"> </w:t>
            </w:r>
            <w:r w:rsidRPr="00A83C94">
              <w:rPr>
                <w:rFonts w:cs="Calibri"/>
                <w:b w:val="0"/>
                <w:i/>
                <w:iCs/>
                <w:color w:val="000000"/>
                <w:szCs w:val="22"/>
              </w:rPr>
              <w:t>և</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շահագործողի</w:t>
            </w:r>
            <w:r w:rsidRPr="00A83C94">
              <w:rPr>
                <w:rFonts w:cs="Calibri"/>
                <w:b w:val="0"/>
                <w:i/>
                <w:iCs/>
                <w:color w:val="000000"/>
                <w:szCs w:val="22"/>
                <w:lang w:val="en-US"/>
              </w:rPr>
              <w:t xml:space="preserve"> </w:t>
            </w:r>
            <w:r w:rsidRPr="00A83C94">
              <w:rPr>
                <w:rFonts w:cs="Calibri"/>
                <w:b w:val="0"/>
                <w:i/>
                <w:iCs/>
                <w:color w:val="000000"/>
                <w:szCs w:val="22"/>
              </w:rPr>
              <w:t>համար</w:t>
            </w:r>
            <w:r w:rsidRPr="00A83C94">
              <w:rPr>
                <w:rFonts w:cs="Calibri"/>
                <w:b w:val="0"/>
                <w:i/>
                <w:iCs/>
                <w:color w:val="000000"/>
                <w:szCs w:val="22"/>
                <w:lang w:val="en-US"/>
              </w:rPr>
              <w:t xml:space="preserve"> </w:t>
            </w:r>
            <w:r w:rsidRPr="00A83C94">
              <w:rPr>
                <w:rFonts w:cs="Calibri"/>
                <w:b w:val="0"/>
                <w:i/>
                <w:iCs/>
                <w:color w:val="000000"/>
                <w:szCs w:val="22"/>
              </w:rPr>
              <w:t>աշխատանքների</w:t>
            </w:r>
            <w:r w:rsidRPr="00A83C94">
              <w:rPr>
                <w:rFonts w:cs="Calibri"/>
                <w:b w:val="0"/>
                <w:i/>
                <w:iCs/>
                <w:color w:val="000000"/>
                <w:szCs w:val="22"/>
                <w:lang w:val="en-US"/>
              </w:rPr>
              <w:t xml:space="preserve"> </w:t>
            </w:r>
            <w:r w:rsidRPr="00A83C94">
              <w:rPr>
                <w:rFonts w:cs="Calibri"/>
                <w:b w:val="0"/>
                <w:i/>
                <w:iCs/>
                <w:color w:val="000000"/>
                <w:szCs w:val="22"/>
              </w:rPr>
              <w:t>կատարումը</w:t>
            </w:r>
            <w:r w:rsidRPr="00A83C94">
              <w:rPr>
                <w:rFonts w:cs="Calibri"/>
                <w:b w:val="0"/>
                <w:i/>
                <w:iCs/>
                <w:color w:val="000000"/>
                <w:szCs w:val="22"/>
                <w:lang w:val="en-US"/>
              </w:rPr>
              <w:t xml:space="preserve">, </w:t>
            </w:r>
            <w:r w:rsidRPr="00A83C94">
              <w:rPr>
                <w:rFonts w:cs="Calibri"/>
                <w:b w:val="0"/>
                <w:i/>
                <w:iCs/>
                <w:color w:val="000000"/>
                <w:szCs w:val="22"/>
              </w:rPr>
              <w:t>ազատ</w:t>
            </w:r>
            <w:r w:rsidRPr="00A83C94">
              <w:rPr>
                <w:rFonts w:cs="Calibri"/>
                <w:b w:val="0"/>
                <w:i/>
                <w:iCs/>
                <w:color w:val="000000"/>
                <w:szCs w:val="22"/>
                <w:lang w:val="en-US"/>
              </w:rPr>
              <w:t xml:space="preserve"> </w:t>
            </w:r>
            <w:r w:rsidRPr="00A83C94">
              <w:rPr>
                <w:rFonts w:cs="Calibri"/>
                <w:b w:val="0"/>
                <w:i/>
                <w:iCs/>
                <w:color w:val="000000"/>
                <w:szCs w:val="22"/>
              </w:rPr>
              <w:t>տնտեսական</w:t>
            </w:r>
            <w:r w:rsidRPr="00A83C94">
              <w:rPr>
                <w:rFonts w:cs="Calibri"/>
                <w:b w:val="0"/>
                <w:i/>
                <w:iCs/>
                <w:color w:val="000000"/>
                <w:szCs w:val="22"/>
                <w:lang w:val="en-US"/>
              </w:rPr>
              <w:t xml:space="preserve"> </w:t>
            </w:r>
            <w:r w:rsidRPr="00A83C94">
              <w:rPr>
                <w:rFonts w:cs="Calibri"/>
                <w:b w:val="0"/>
                <w:i/>
                <w:iCs/>
                <w:color w:val="000000"/>
                <w:szCs w:val="22"/>
              </w:rPr>
              <w:t>գոտու</w:t>
            </w:r>
            <w:r w:rsidRPr="00A83C94">
              <w:rPr>
                <w:rFonts w:cs="Calibri"/>
                <w:b w:val="0"/>
                <w:i/>
                <w:iCs/>
                <w:color w:val="000000"/>
                <w:szCs w:val="22"/>
                <w:lang w:val="en-US"/>
              </w:rPr>
              <w:t xml:space="preserve"> </w:t>
            </w:r>
            <w:r w:rsidRPr="00A83C94">
              <w:rPr>
                <w:rFonts w:cs="Calibri"/>
                <w:b w:val="0"/>
                <w:i/>
                <w:iCs/>
                <w:color w:val="000000"/>
                <w:szCs w:val="22"/>
              </w:rPr>
              <w:t>տարածքում</w:t>
            </w:r>
            <w:r w:rsidRPr="00A83C94">
              <w:rPr>
                <w:rFonts w:cs="Calibri"/>
                <w:b w:val="0"/>
                <w:i/>
                <w:iCs/>
                <w:color w:val="000000"/>
                <w:szCs w:val="22"/>
                <w:lang w:val="en-US"/>
              </w:rPr>
              <w:t xml:space="preserve"> </w:t>
            </w:r>
            <w:r w:rsidRPr="00A83C94">
              <w:rPr>
                <w:rFonts w:cs="Calibri"/>
                <w:b w:val="0"/>
                <w:i/>
                <w:iCs/>
                <w:color w:val="000000"/>
                <w:szCs w:val="22"/>
              </w:rPr>
              <w:t>ապրանքների</w:t>
            </w:r>
            <w:r w:rsidRPr="00A83C94">
              <w:rPr>
                <w:rFonts w:cs="Calibri"/>
                <w:b w:val="0"/>
                <w:i/>
                <w:iCs/>
                <w:color w:val="000000"/>
                <w:szCs w:val="22"/>
                <w:lang w:val="en-US"/>
              </w:rPr>
              <w:t xml:space="preserve"> </w:t>
            </w:r>
            <w:r w:rsidRPr="00A83C94">
              <w:rPr>
                <w:rFonts w:cs="Calibri"/>
                <w:b w:val="0"/>
                <w:i/>
                <w:iCs/>
                <w:color w:val="000000"/>
                <w:szCs w:val="22"/>
              </w:rPr>
              <w:t>մատակարարում</w:t>
            </w:r>
          </w:p>
        </w:tc>
        <w:tc>
          <w:tcPr>
            <w:tcW w:w="1820" w:type="dxa"/>
            <w:shd w:val="clear" w:color="auto" w:fill="DBE5F1" w:themeFill="accent1" w:themeFillTint="33"/>
            <w:vAlign w:val="center"/>
          </w:tcPr>
          <w:p w14:paraId="5339C3BD" w14:textId="1472F6A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169</w:t>
            </w:r>
          </w:p>
        </w:tc>
        <w:tc>
          <w:tcPr>
            <w:tcW w:w="1820" w:type="dxa"/>
            <w:shd w:val="clear" w:color="auto" w:fill="DBE5F1" w:themeFill="accent1" w:themeFillTint="33"/>
            <w:vAlign w:val="center"/>
          </w:tcPr>
          <w:p w14:paraId="6A17043F" w14:textId="196C64D8"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0.01%</w:t>
            </w:r>
          </w:p>
        </w:tc>
        <w:tc>
          <w:tcPr>
            <w:tcW w:w="1820" w:type="dxa"/>
            <w:shd w:val="clear" w:color="auto" w:fill="DBE5F1" w:themeFill="accent1" w:themeFillTint="33"/>
            <w:vAlign w:val="center"/>
          </w:tcPr>
          <w:p w14:paraId="100AD5E2" w14:textId="6E656A9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r>
      <w:tr w:rsidR="00570952" w:rsidRPr="00A83C94" w14:paraId="3C98F1E7" w14:textId="77777777" w:rsidTr="006C390E">
        <w:trPr>
          <w:trHeight w:val="917"/>
        </w:trPr>
        <w:tc>
          <w:tcPr>
            <w:tcW w:w="764" w:type="dxa"/>
            <w:shd w:val="clear" w:color="auto" w:fill="auto"/>
            <w:vAlign w:val="center"/>
          </w:tcPr>
          <w:p w14:paraId="66D76F20" w14:textId="43B6FE9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1.13.</w:t>
            </w:r>
          </w:p>
        </w:tc>
        <w:tc>
          <w:tcPr>
            <w:tcW w:w="3443" w:type="dxa"/>
            <w:shd w:val="clear" w:color="auto" w:fill="auto"/>
            <w:vAlign w:val="center"/>
          </w:tcPr>
          <w:p w14:paraId="71CF13E3" w14:textId="5E50E71A"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Օրենսգրքով</w:t>
            </w:r>
            <w:r w:rsidRPr="00A83C94">
              <w:rPr>
                <w:rFonts w:cs="Calibri"/>
                <w:b w:val="0"/>
                <w:i/>
                <w:iCs/>
                <w:color w:val="000000"/>
                <w:szCs w:val="22"/>
                <w:lang w:val="en-US"/>
              </w:rPr>
              <w:t xml:space="preserve"> </w:t>
            </w:r>
            <w:r w:rsidRPr="00A83C94">
              <w:rPr>
                <w:rFonts w:cs="Calibri"/>
                <w:b w:val="0"/>
                <w:i/>
                <w:iCs/>
                <w:color w:val="000000"/>
                <w:szCs w:val="22"/>
              </w:rPr>
              <w:t>սահմանված</w:t>
            </w:r>
            <w:r w:rsidRPr="00A83C94">
              <w:rPr>
                <w:rFonts w:cs="Calibri"/>
                <w:b w:val="0"/>
                <w:i/>
                <w:iCs/>
                <w:color w:val="000000"/>
                <w:szCs w:val="22"/>
                <w:lang w:val="en-US"/>
              </w:rPr>
              <w:t xml:space="preserve"> </w:t>
            </w:r>
            <w:r w:rsidRPr="00A83C94">
              <w:rPr>
                <w:rFonts w:cs="Calibri"/>
                <w:b w:val="0"/>
                <w:i/>
                <w:iCs/>
                <w:color w:val="000000"/>
                <w:szCs w:val="22"/>
              </w:rPr>
              <w:t>վերը</w:t>
            </w:r>
            <w:r w:rsidRPr="00A83C94">
              <w:rPr>
                <w:rFonts w:cs="Calibri"/>
                <w:b w:val="0"/>
                <w:i/>
                <w:iCs/>
                <w:color w:val="000000"/>
                <w:szCs w:val="22"/>
                <w:lang w:val="en-US"/>
              </w:rPr>
              <w:t xml:space="preserve"> </w:t>
            </w:r>
            <w:r w:rsidRPr="00A83C94">
              <w:rPr>
                <w:rFonts w:cs="Calibri"/>
                <w:b w:val="0"/>
                <w:i/>
                <w:iCs/>
                <w:color w:val="000000"/>
                <w:szCs w:val="22"/>
              </w:rPr>
              <w:t>չնշված</w:t>
            </w:r>
            <w:r w:rsidRPr="00A83C94">
              <w:rPr>
                <w:rFonts w:cs="Calibri"/>
                <w:b w:val="0"/>
                <w:i/>
                <w:iCs/>
                <w:color w:val="000000"/>
                <w:szCs w:val="22"/>
                <w:lang w:val="en-US"/>
              </w:rPr>
              <w:t xml:space="preserve"> </w:t>
            </w:r>
            <w:r w:rsidRPr="00A83C94">
              <w:rPr>
                <w:rFonts w:cs="Calibri"/>
                <w:b w:val="0"/>
                <w:i/>
                <w:iCs/>
                <w:color w:val="000000"/>
                <w:szCs w:val="22"/>
              </w:rPr>
              <w:t>այլ</w:t>
            </w:r>
            <w:r w:rsidRPr="00A83C94">
              <w:rPr>
                <w:rFonts w:cs="Calibri"/>
                <w:b w:val="0"/>
                <w:i/>
                <w:iCs/>
                <w:color w:val="000000"/>
                <w:szCs w:val="22"/>
                <w:lang w:val="en-US"/>
              </w:rPr>
              <w:t xml:space="preserve"> </w:t>
            </w:r>
            <w:r w:rsidRPr="00A83C94">
              <w:rPr>
                <w:rFonts w:cs="Calibri"/>
                <w:b w:val="0"/>
                <w:i/>
                <w:iCs/>
                <w:color w:val="000000"/>
                <w:szCs w:val="22"/>
              </w:rPr>
              <w:t>արտոնություններ</w:t>
            </w:r>
          </w:p>
        </w:tc>
        <w:tc>
          <w:tcPr>
            <w:tcW w:w="1820" w:type="dxa"/>
            <w:shd w:val="clear" w:color="auto" w:fill="auto"/>
            <w:vAlign w:val="center"/>
          </w:tcPr>
          <w:p w14:paraId="303ACF92" w14:textId="60BEB5E6"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47,412</w:t>
            </w:r>
          </w:p>
        </w:tc>
        <w:tc>
          <w:tcPr>
            <w:tcW w:w="1820" w:type="dxa"/>
            <w:shd w:val="clear" w:color="auto" w:fill="auto"/>
            <w:vAlign w:val="center"/>
          </w:tcPr>
          <w:p w14:paraId="5B39E14A" w14:textId="0F55102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2.57%</w:t>
            </w:r>
          </w:p>
        </w:tc>
        <w:tc>
          <w:tcPr>
            <w:tcW w:w="1820" w:type="dxa"/>
            <w:shd w:val="clear" w:color="auto" w:fill="auto"/>
            <w:vAlign w:val="center"/>
          </w:tcPr>
          <w:p w14:paraId="5684B823" w14:textId="4D59423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0.60%</w:t>
            </w:r>
          </w:p>
        </w:tc>
      </w:tr>
      <w:tr w:rsidR="00570952" w:rsidRPr="00A83C94" w14:paraId="237168E5" w14:textId="77777777" w:rsidTr="00570952">
        <w:trPr>
          <w:trHeight w:val="795"/>
        </w:trPr>
        <w:tc>
          <w:tcPr>
            <w:tcW w:w="764" w:type="dxa"/>
            <w:shd w:val="clear" w:color="auto" w:fill="DBE5F1" w:themeFill="accent1" w:themeFillTint="33"/>
            <w:vAlign w:val="center"/>
          </w:tcPr>
          <w:p w14:paraId="528506EE" w14:textId="744F2674"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1.14.</w:t>
            </w:r>
          </w:p>
        </w:tc>
        <w:tc>
          <w:tcPr>
            <w:tcW w:w="3443" w:type="dxa"/>
            <w:shd w:val="clear" w:color="auto" w:fill="DBE5F1" w:themeFill="accent1" w:themeFillTint="33"/>
            <w:vAlign w:val="center"/>
          </w:tcPr>
          <w:p w14:paraId="5467B466" w14:textId="1B83197E"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այլ օրենքներով տրված արտանություններ</w:t>
            </w:r>
          </w:p>
        </w:tc>
        <w:tc>
          <w:tcPr>
            <w:tcW w:w="1820" w:type="dxa"/>
            <w:shd w:val="clear" w:color="auto" w:fill="DBE5F1" w:themeFill="accent1" w:themeFillTint="33"/>
            <w:vAlign w:val="center"/>
          </w:tcPr>
          <w:p w14:paraId="29808206" w14:textId="0F75B93D"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335</w:t>
            </w:r>
          </w:p>
        </w:tc>
        <w:tc>
          <w:tcPr>
            <w:tcW w:w="1820" w:type="dxa"/>
            <w:shd w:val="clear" w:color="auto" w:fill="DBE5F1" w:themeFill="accent1" w:themeFillTint="33"/>
            <w:vAlign w:val="center"/>
          </w:tcPr>
          <w:p w14:paraId="4208F945" w14:textId="3250110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0.02%</w:t>
            </w:r>
          </w:p>
        </w:tc>
        <w:tc>
          <w:tcPr>
            <w:tcW w:w="1820" w:type="dxa"/>
            <w:shd w:val="clear" w:color="auto" w:fill="DBE5F1" w:themeFill="accent1" w:themeFillTint="33"/>
            <w:vAlign w:val="center"/>
          </w:tcPr>
          <w:p w14:paraId="6D4FA4C7" w14:textId="44AB334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r>
      <w:tr w:rsidR="00570952" w:rsidRPr="00A83C94" w14:paraId="64268292" w14:textId="77777777" w:rsidTr="00570952">
        <w:trPr>
          <w:trHeight w:val="429"/>
        </w:trPr>
        <w:tc>
          <w:tcPr>
            <w:tcW w:w="764" w:type="dxa"/>
            <w:shd w:val="clear" w:color="auto" w:fill="auto"/>
            <w:vAlign w:val="center"/>
          </w:tcPr>
          <w:p w14:paraId="50D1E3BF" w14:textId="76DA3767"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1.15.</w:t>
            </w:r>
          </w:p>
        </w:tc>
        <w:tc>
          <w:tcPr>
            <w:tcW w:w="3443" w:type="dxa"/>
            <w:shd w:val="clear" w:color="auto" w:fill="auto"/>
            <w:vAlign w:val="center"/>
          </w:tcPr>
          <w:p w14:paraId="1F1AE5F7" w14:textId="2C8C4EC0"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Միկրոբիզնես</w:t>
            </w:r>
          </w:p>
        </w:tc>
        <w:tc>
          <w:tcPr>
            <w:tcW w:w="1820" w:type="dxa"/>
            <w:shd w:val="clear" w:color="auto" w:fill="auto"/>
            <w:vAlign w:val="center"/>
          </w:tcPr>
          <w:p w14:paraId="65F4E475" w14:textId="1DB5D79F"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12,830</w:t>
            </w:r>
          </w:p>
        </w:tc>
        <w:tc>
          <w:tcPr>
            <w:tcW w:w="1820" w:type="dxa"/>
            <w:shd w:val="clear" w:color="auto" w:fill="auto"/>
            <w:vAlign w:val="center"/>
          </w:tcPr>
          <w:p w14:paraId="7EED5163" w14:textId="641DA74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0.70%</w:t>
            </w:r>
          </w:p>
        </w:tc>
        <w:tc>
          <w:tcPr>
            <w:tcW w:w="1820" w:type="dxa"/>
            <w:shd w:val="clear" w:color="auto" w:fill="auto"/>
            <w:vAlign w:val="center"/>
          </w:tcPr>
          <w:p w14:paraId="715850F4" w14:textId="60A6672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0.16%</w:t>
            </w:r>
          </w:p>
        </w:tc>
      </w:tr>
      <w:tr w:rsidR="00570952" w:rsidRPr="00A83C94" w14:paraId="122741D9" w14:textId="77777777" w:rsidTr="00570952">
        <w:trPr>
          <w:trHeight w:val="408"/>
        </w:trPr>
        <w:tc>
          <w:tcPr>
            <w:tcW w:w="764" w:type="dxa"/>
            <w:shd w:val="clear" w:color="auto" w:fill="DBE5F1" w:themeFill="accent1" w:themeFillTint="33"/>
            <w:vAlign w:val="center"/>
          </w:tcPr>
          <w:p w14:paraId="346C0477" w14:textId="6AD0AE71" w:rsidR="00570952" w:rsidRPr="00A83C94" w:rsidRDefault="00570952" w:rsidP="006C390E">
            <w:pPr>
              <w:spacing w:before="0" w:line="276" w:lineRule="auto"/>
              <w:ind w:firstLine="0"/>
              <w:contextualSpacing w:val="0"/>
              <w:jc w:val="center"/>
              <w:rPr>
                <w:rFonts w:cs="Calibri"/>
                <w:i/>
                <w:iCs/>
                <w:color w:val="000000"/>
                <w:szCs w:val="22"/>
                <w:lang w:val="en-US" w:eastAsia="en-US"/>
              </w:rPr>
            </w:pPr>
            <w:r w:rsidRPr="00A83C94">
              <w:rPr>
                <w:rFonts w:cs="Calibri"/>
                <w:bCs/>
                <w:color w:val="000000"/>
                <w:szCs w:val="22"/>
              </w:rPr>
              <w:t>2</w:t>
            </w:r>
          </w:p>
        </w:tc>
        <w:tc>
          <w:tcPr>
            <w:tcW w:w="3443" w:type="dxa"/>
            <w:shd w:val="clear" w:color="auto" w:fill="DBE5F1" w:themeFill="accent1" w:themeFillTint="33"/>
            <w:vAlign w:val="center"/>
          </w:tcPr>
          <w:p w14:paraId="2EF41283" w14:textId="62C10C60" w:rsidR="00570952" w:rsidRPr="00A83C94" w:rsidRDefault="00570952" w:rsidP="006C390E">
            <w:pPr>
              <w:spacing w:before="0" w:line="276" w:lineRule="auto"/>
              <w:ind w:firstLine="0"/>
              <w:contextualSpacing w:val="0"/>
              <w:jc w:val="left"/>
              <w:rPr>
                <w:rFonts w:cs="Calibri"/>
                <w:i/>
                <w:iCs/>
                <w:color w:val="000000"/>
                <w:szCs w:val="22"/>
                <w:lang w:val="en-US" w:eastAsia="en-US"/>
              </w:rPr>
            </w:pPr>
            <w:r w:rsidRPr="00A83C94">
              <w:rPr>
                <w:rFonts w:cs="Calibri"/>
                <w:bCs/>
                <w:color w:val="000000"/>
                <w:szCs w:val="22"/>
              </w:rPr>
              <w:t>Շահութահարկի գծով, այդ թվում`</w:t>
            </w:r>
          </w:p>
        </w:tc>
        <w:tc>
          <w:tcPr>
            <w:tcW w:w="1820" w:type="dxa"/>
            <w:shd w:val="clear" w:color="auto" w:fill="DBE5F1" w:themeFill="accent1" w:themeFillTint="33"/>
            <w:vAlign w:val="center"/>
          </w:tcPr>
          <w:p w14:paraId="6476F7CA" w14:textId="2304AB4C" w:rsidR="00570952" w:rsidRPr="00A83C94" w:rsidRDefault="00570952" w:rsidP="006C390E">
            <w:pPr>
              <w:spacing w:before="0" w:line="276" w:lineRule="auto"/>
              <w:ind w:firstLine="0"/>
              <w:contextualSpacing w:val="0"/>
              <w:jc w:val="center"/>
              <w:rPr>
                <w:rFonts w:cs="Calibri"/>
                <w:color w:val="000000"/>
                <w:szCs w:val="22"/>
                <w:lang w:val="en-US" w:eastAsia="en-US"/>
              </w:rPr>
            </w:pPr>
            <w:r w:rsidRPr="00A83C94">
              <w:rPr>
                <w:rFonts w:cs="Calibri"/>
                <w:bCs/>
                <w:color w:val="000000"/>
                <w:szCs w:val="22"/>
              </w:rPr>
              <w:t>78,931</w:t>
            </w:r>
          </w:p>
        </w:tc>
        <w:tc>
          <w:tcPr>
            <w:tcW w:w="1820" w:type="dxa"/>
            <w:shd w:val="clear" w:color="auto" w:fill="DBE5F1" w:themeFill="accent1" w:themeFillTint="33"/>
            <w:vAlign w:val="center"/>
          </w:tcPr>
          <w:p w14:paraId="430CF62C" w14:textId="052C5615" w:rsidR="00570952" w:rsidRPr="00A83C94" w:rsidRDefault="00570952" w:rsidP="006C390E">
            <w:pPr>
              <w:spacing w:before="0" w:line="276" w:lineRule="auto"/>
              <w:ind w:firstLine="0"/>
              <w:contextualSpacing w:val="0"/>
              <w:jc w:val="center"/>
              <w:rPr>
                <w:rFonts w:cs="Calibri"/>
                <w:i/>
                <w:iCs/>
                <w:color w:val="000000"/>
                <w:szCs w:val="22"/>
                <w:lang w:val="en-US" w:eastAsia="en-US"/>
              </w:rPr>
            </w:pPr>
            <w:r w:rsidRPr="00A83C94">
              <w:rPr>
                <w:rFonts w:cs="Calibri"/>
                <w:bCs/>
                <w:i/>
                <w:iCs/>
                <w:color w:val="000000"/>
                <w:szCs w:val="22"/>
              </w:rPr>
              <w:t>4.28%</w:t>
            </w:r>
          </w:p>
        </w:tc>
        <w:tc>
          <w:tcPr>
            <w:tcW w:w="1820" w:type="dxa"/>
            <w:shd w:val="clear" w:color="auto" w:fill="DBE5F1" w:themeFill="accent1" w:themeFillTint="33"/>
            <w:vAlign w:val="center"/>
          </w:tcPr>
          <w:p w14:paraId="634CBE23" w14:textId="10EF2472" w:rsidR="00570952" w:rsidRPr="00A83C94" w:rsidRDefault="00570952" w:rsidP="006C390E">
            <w:pPr>
              <w:spacing w:before="0" w:line="276" w:lineRule="auto"/>
              <w:ind w:firstLine="0"/>
              <w:contextualSpacing w:val="0"/>
              <w:jc w:val="center"/>
              <w:rPr>
                <w:rFonts w:cs="Calibri"/>
                <w:i/>
                <w:iCs/>
                <w:color w:val="000000"/>
                <w:szCs w:val="22"/>
                <w:lang w:val="en-US" w:eastAsia="en-US"/>
              </w:rPr>
            </w:pPr>
            <w:r w:rsidRPr="00A83C94">
              <w:rPr>
                <w:rFonts w:cs="Calibri"/>
                <w:bCs/>
                <w:i/>
                <w:iCs/>
                <w:color w:val="000000"/>
                <w:szCs w:val="22"/>
              </w:rPr>
              <w:t>1.00%</w:t>
            </w:r>
          </w:p>
        </w:tc>
      </w:tr>
      <w:tr w:rsidR="00570952" w:rsidRPr="00A83C94" w14:paraId="23B256C1" w14:textId="77777777" w:rsidTr="00570952">
        <w:trPr>
          <w:trHeight w:val="795"/>
        </w:trPr>
        <w:tc>
          <w:tcPr>
            <w:tcW w:w="764" w:type="dxa"/>
            <w:shd w:val="clear" w:color="auto" w:fill="auto"/>
            <w:vAlign w:val="center"/>
          </w:tcPr>
          <w:p w14:paraId="0715E259" w14:textId="4155E176"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i/>
                <w:iCs/>
                <w:color w:val="000000"/>
                <w:szCs w:val="22"/>
              </w:rPr>
              <w:t>2.1.</w:t>
            </w:r>
          </w:p>
        </w:tc>
        <w:tc>
          <w:tcPr>
            <w:tcW w:w="3443" w:type="dxa"/>
            <w:shd w:val="clear" w:color="auto" w:fill="auto"/>
            <w:vAlign w:val="center"/>
          </w:tcPr>
          <w:p w14:paraId="6D9932DE" w14:textId="16B7409D" w:rsidR="00570952" w:rsidRPr="00A83C94" w:rsidRDefault="00570952" w:rsidP="006C390E">
            <w:pPr>
              <w:spacing w:before="0" w:line="276" w:lineRule="auto"/>
              <w:ind w:firstLine="0"/>
              <w:contextualSpacing w:val="0"/>
              <w:jc w:val="left"/>
              <w:rPr>
                <w:rFonts w:cs="Calibri"/>
                <w:b w:val="0"/>
                <w:bCs/>
                <w:color w:val="000000"/>
                <w:szCs w:val="22"/>
                <w:lang w:val="en-US" w:eastAsia="en-US"/>
              </w:rPr>
            </w:pPr>
            <w:r w:rsidRPr="00A83C94">
              <w:rPr>
                <w:rFonts w:cs="Calibri"/>
                <w:b w:val="0"/>
                <w:i/>
                <w:iCs/>
                <w:color w:val="000000"/>
                <w:szCs w:val="22"/>
              </w:rPr>
              <w:t>գյուղատնտեսություն, այդ թվում՝</w:t>
            </w:r>
          </w:p>
        </w:tc>
        <w:tc>
          <w:tcPr>
            <w:tcW w:w="1820" w:type="dxa"/>
            <w:shd w:val="clear" w:color="auto" w:fill="auto"/>
            <w:vAlign w:val="center"/>
          </w:tcPr>
          <w:p w14:paraId="294153E1" w14:textId="0F368B39"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color w:val="000000"/>
                <w:szCs w:val="22"/>
              </w:rPr>
              <w:t>51,757</w:t>
            </w:r>
          </w:p>
        </w:tc>
        <w:tc>
          <w:tcPr>
            <w:tcW w:w="1820" w:type="dxa"/>
            <w:shd w:val="clear" w:color="auto" w:fill="auto"/>
            <w:vAlign w:val="center"/>
          </w:tcPr>
          <w:p w14:paraId="4A3BA180" w14:textId="3A87C86C" w:rsidR="00570952" w:rsidRPr="00A83C94" w:rsidRDefault="00570952" w:rsidP="006C390E">
            <w:pPr>
              <w:spacing w:before="0" w:line="276" w:lineRule="auto"/>
              <w:ind w:firstLine="0"/>
              <w:contextualSpacing w:val="0"/>
              <w:jc w:val="center"/>
              <w:rPr>
                <w:rFonts w:cs="Calibri"/>
                <w:b w:val="0"/>
                <w:bCs/>
                <w:i/>
                <w:iCs/>
                <w:color w:val="000000"/>
                <w:szCs w:val="22"/>
                <w:lang w:val="en-US" w:eastAsia="en-US"/>
              </w:rPr>
            </w:pPr>
            <w:r w:rsidRPr="00A83C94">
              <w:rPr>
                <w:rFonts w:cs="Calibri"/>
                <w:b w:val="0"/>
                <w:bCs/>
                <w:i/>
                <w:iCs/>
                <w:color w:val="000000"/>
                <w:szCs w:val="22"/>
              </w:rPr>
              <w:t>2.81%</w:t>
            </w:r>
          </w:p>
        </w:tc>
        <w:tc>
          <w:tcPr>
            <w:tcW w:w="1820" w:type="dxa"/>
            <w:shd w:val="clear" w:color="auto" w:fill="auto"/>
            <w:vAlign w:val="center"/>
          </w:tcPr>
          <w:p w14:paraId="6CAF7F44" w14:textId="0620B25A" w:rsidR="00570952" w:rsidRPr="00A83C94" w:rsidRDefault="00570952" w:rsidP="006C390E">
            <w:pPr>
              <w:spacing w:before="0" w:line="276" w:lineRule="auto"/>
              <w:ind w:firstLine="0"/>
              <w:contextualSpacing w:val="0"/>
              <w:jc w:val="center"/>
              <w:rPr>
                <w:rFonts w:cs="Calibri"/>
                <w:b w:val="0"/>
                <w:bCs/>
                <w:i/>
                <w:iCs/>
                <w:color w:val="000000"/>
                <w:szCs w:val="22"/>
                <w:lang w:val="en-US" w:eastAsia="en-US"/>
              </w:rPr>
            </w:pPr>
            <w:r w:rsidRPr="00A83C94">
              <w:rPr>
                <w:rFonts w:cs="Calibri"/>
                <w:b w:val="0"/>
                <w:bCs/>
                <w:i/>
                <w:iCs/>
                <w:color w:val="000000"/>
                <w:szCs w:val="22"/>
              </w:rPr>
              <w:t>0.66%</w:t>
            </w:r>
          </w:p>
        </w:tc>
      </w:tr>
      <w:tr w:rsidR="00570952" w:rsidRPr="00A83C94" w14:paraId="116C82AE" w14:textId="77777777" w:rsidTr="00570952">
        <w:trPr>
          <w:trHeight w:val="795"/>
        </w:trPr>
        <w:tc>
          <w:tcPr>
            <w:tcW w:w="764" w:type="dxa"/>
            <w:shd w:val="clear" w:color="auto" w:fill="DBE5F1" w:themeFill="accent1" w:themeFillTint="33"/>
            <w:vAlign w:val="center"/>
          </w:tcPr>
          <w:p w14:paraId="0BB6F81E" w14:textId="2F66D56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2.1.1.</w:t>
            </w:r>
          </w:p>
        </w:tc>
        <w:tc>
          <w:tcPr>
            <w:tcW w:w="3443" w:type="dxa"/>
            <w:shd w:val="clear" w:color="auto" w:fill="DBE5F1" w:themeFill="accent1" w:themeFillTint="33"/>
            <w:vAlign w:val="center"/>
          </w:tcPr>
          <w:p w14:paraId="05594DC0" w14:textId="1714A3F0"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կազմակերպությունների շահույթից</w:t>
            </w:r>
          </w:p>
        </w:tc>
        <w:tc>
          <w:tcPr>
            <w:tcW w:w="1820" w:type="dxa"/>
            <w:shd w:val="clear" w:color="auto" w:fill="DBE5F1" w:themeFill="accent1" w:themeFillTint="33"/>
            <w:vAlign w:val="center"/>
          </w:tcPr>
          <w:p w14:paraId="4E0870BA" w14:textId="0DE1DC6C"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3,103</w:t>
            </w:r>
          </w:p>
        </w:tc>
        <w:tc>
          <w:tcPr>
            <w:tcW w:w="1820" w:type="dxa"/>
            <w:shd w:val="clear" w:color="auto" w:fill="DBE5F1" w:themeFill="accent1" w:themeFillTint="33"/>
            <w:vAlign w:val="center"/>
          </w:tcPr>
          <w:p w14:paraId="34D96F54" w14:textId="2CD1D17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0.17%</w:t>
            </w:r>
          </w:p>
        </w:tc>
        <w:tc>
          <w:tcPr>
            <w:tcW w:w="1820" w:type="dxa"/>
            <w:shd w:val="clear" w:color="auto" w:fill="DBE5F1" w:themeFill="accent1" w:themeFillTint="33"/>
            <w:vAlign w:val="center"/>
          </w:tcPr>
          <w:p w14:paraId="1490C89A" w14:textId="085E490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0.04%</w:t>
            </w:r>
          </w:p>
        </w:tc>
      </w:tr>
      <w:tr w:rsidR="00570952" w:rsidRPr="00A83C94" w14:paraId="7CE2917C" w14:textId="77777777" w:rsidTr="00570952">
        <w:trPr>
          <w:trHeight w:val="795"/>
        </w:trPr>
        <w:tc>
          <w:tcPr>
            <w:tcW w:w="764" w:type="dxa"/>
            <w:shd w:val="clear" w:color="auto" w:fill="auto"/>
            <w:vAlign w:val="center"/>
          </w:tcPr>
          <w:p w14:paraId="0ADE12AC" w14:textId="242385B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2.1.2.</w:t>
            </w:r>
          </w:p>
        </w:tc>
        <w:tc>
          <w:tcPr>
            <w:tcW w:w="3443" w:type="dxa"/>
            <w:shd w:val="clear" w:color="auto" w:fill="auto"/>
            <w:vAlign w:val="center"/>
          </w:tcPr>
          <w:p w14:paraId="047F1293" w14:textId="01CE0CA9"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ֆիզիկական</w:t>
            </w:r>
            <w:r w:rsidRPr="00A83C94">
              <w:rPr>
                <w:rFonts w:cs="Calibri"/>
                <w:b w:val="0"/>
                <w:i/>
                <w:iCs/>
                <w:color w:val="000000"/>
                <w:szCs w:val="22"/>
                <w:lang w:val="en-US"/>
              </w:rPr>
              <w:t xml:space="preserve"> </w:t>
            </w:r>
            <w:r w:rsidRPr="00A83C94">
              <w:rPr>
                <w:rFonts w:cs="Calibri"/>
                <w:b w:val="0"/>
                <w:i/>
                <w:iCs/>
                <w:color w:val="000000"/>
                <w:szCs w:val="22"/>
              </w:rPr>
              <w:t>անձանց</w:t>
            </w:r>
            <w:r w:rsidRPr="00A83C94">
              <w:rPr>
                <w:rFonts w:cs="Calibri"/>
                <w:b w:val="0"/>
                <w:i/>
                <w:iCs/>
                <w:color w:val="000000"/>
                <w:szCs w:val="22"/>
                <w:lang w:val="en-US"/>
              </w:rPr>
              <w:t xml:space="preserve"> (</w:t>
            </w:r>
            <w:r w:rsidRPr="00A83C94">
              <w:rPr>
                <w:rFonts w:cs="Calibri"/>
                <w:b w:val="0"/>
                <w:i/>
                <w:iCs/>
                <w:color w:val="000000"/>
                <w:szCs w:val="22"/>
              </w:rPr>
              <w:t>Ա</w:t>
            </w:r>
            <w:r w:rsidRPr="00A83C94">
              <w:rPr>
                <w:rFonts w:cs="Calibri"/>
                <w:b w:val="0"/>
                <w:i/>
                <w:iCs/>
                <w:color w:val="000000"/>
                <w:szCs w:val="22"/>
                <w:lang w:val="en-US"/>
              </w:rPr>
              <w:t>/</w:t>
            </w:r>
            <w:r w:rsidRPr="00A83C94">
              <w:rPr>
                <w:rFonts w:cs="Calibri"/>
                <w:b w:val="0"/>
                <w:i/>
                <w:iCs/>
                <w:color w:val="000000"/>
                <w:szCs w:val="22"/>
              </w:rPr>
              <w:t>Ձ</w:t>
            </w:r>
            <w:r w:rsidRPr="00A83C94">
              <w:rPr>
                <w:rFonts w:cs="Calibri"/>
                <w:b w:val="0"/>
                <w:i/>
                <w:iCs/>
                <w:color w:val="000000"/>
                <w:szCs w:val="22"/>
                <w:lang w:val="en-US"/>
              </w:rPr>
              <w:t>-</w:t>
            </w:r>
            <w:r w:rsidRPr="00A83C94">
              <w:rPr>
                <w:rFonts w:cs="Calibri"/>
                <w:b w:val="0"/>
                <w:i/>
                <w:iCs/>
                <w:color w:val="000000"/>
                <w:szCs w:val="22"/>
              </w:rPr>
              <w:t>ների</w:t>
            </w:r>
            <w:r w:rsidRPr="00A83C94">
              <w:rPr>
                <w:rFonts w:cs="Calibri"/>
                <w:b w:val="0"/>
                <w:i/>
                <w:iCs/>
                <w:color w:val="000000"/>
                <w:szCs w:val="22"/>
                <w:lang w:val="en-US"/>
              </w:rPr>
              <w:t xml:space="preserve">) </w:t>
            </w:r>
            <w:r w:rsidRPr="00A83C94">
              <w:rPr>
                <w:rFonts w:cs="Calibri"/>
                <w:b w:val="0"/>
                <w:i/>
                <w:iCs/>
                <w:color w:val="000000"/>
                <w:szCs w:val="22"/>
              </w:rPr>
              <w:t>շահույթից</w:t>
            </w:r>
          </w:p>
        </w:tc>
        <w:tc>
          <w:tcPr>
            <w:tcW w:w="1820" w:type="dxa"/>
            <w:shd w:val="clear" w:color="auto" w:fill="auto"/>
            <w:vAlign w:val="center"/>
          </w:tcPr>
          <w:p w14:paraId="19F84CD3" w14:textId="58C86BEF"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48,653</w:t>
            </w:r>
          </w:p>
        </w:tc>
        <w:tc>
          <w:tcPr>
            <w:tcW w:w="1820" w:type="dxa"/>
            <w:shd w:val="clear" w:color="auto" w:fill="auto"/>
            <w:vAlign w:val="center"/>
          </w:tcPr>
          <w:p w14:paraId="65A7EFB3" w14:textId="1BE1A70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2.64%</w:t>
            </w:r>
          </w:p>
        </w:tc>
        <w:tc>
          <w:tcPr>
            <w:tcW w:w="1820" w:type="dxa"/>
            <w:shd w:val="clear" w:color="auto" w:fill="auto"/>
            <w:vAlign w:val="center"/>
          </w:tcPr>
          <w:p w14:paraId="76A396F1" w14:textId="3AD1F4B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0.62%</w:t>
            </w:r>
          </w:p>
        </w:tc>
      </w:tr>
      <w:tr w:rsidR="00570952" w:rsidRPr="00A83C94" w14:paraId="6D18961D" w14:textId="77777777" w:rsidTr="00570952">
        <w:trPr>
          <w:trHeight w:val="795"/>
        </w:trPr>
        <w:tc>
          <w:tcPr>
            <w:tcW w:w="764" w:type="dxa"/>
            <w:shd w:val="clear" w:color="auto" w:fill="DBE5F1" w:themeFill="accent1" w:themeFillTint="33"/>
            <w:vAlign w:val="center"/>
          </w:tcPr>
          <w:p w14:paraId="1AF43EA8" w14:textId="23A6C2C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2.2.</w:t>
            </w:r>
          </w:p>
        </w:tc>
        <w:tc>
          <w:tcPr>
            <w:tcW w:w="3443" w:type="dxa"/>
            <w:shd w:val="clear" w:color="auto" w:fill="DBE5F1" w:themeFill="accent1" w:themeFillTint="33"/>
            <w:vAlign w:val="center"/>
          </w:tcPr>
          <w:p w14:paraId="27146935" w14:textId="4F8B87D6"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հարկվող</w:t>
            </w:r>
            <w:r w:rsidRPr="00A83C94">
              <w:rPr>
                <w:rFonts w:cs="Calibri"/>
                <w:b w:val="0"/>
                <w:i/>
                <w:iCs/>
                <w:color w:val="000000"/>
                <w:szCs w:val="22"/>
                <w:lang w:val="en-US"/>
              </w:rPr>
              <w:t xml:space="preserve"> </w:t>
            </w:r>
            <w:r w:rsidRPr="00A83C94">
              <w:rPr>
                <w:rFonts w:cs="Calibri"/>
                <w:b w:val="0"/>
                <w:i/>
                <w:iCs/>
                <w:color w:val="000000"/>
                <w:szCs w:val="22"/>
              </w:rPr>
              <w:t>շահույթի</w:t>
            </w:r>
            <w:r w:rsidRPr="00A83C94">
              <w:rPr>
                <w:rFonts w:cs="Calibri"/>
                <w:b w:val="0"/>
                <w:i/>
                <w:iCs/>
                <w:color w:val="000000"/>
                <w:szCs w:val="22"/>
                <w:lang w:val="en-US"/>
              </w:rPr>
              <w:t xml:space="preserve"> </w:t>
            </w:r>
            <w:r w:rsidRPr="00A83C94">
              <w:rPr>
                <w:rFonts w:cs="Calibri"/>
                <w:b w:val="0"/>
                <w:i/>
                <w:iCs/>
                <w:color w:val="000000"/>
                <w:szCs w:val="22"/>
              </w:rPr>
              <w:t>նվազեցման</w:t>
            </w:r>
            <w:r w:rsidRPr="00A83C94">
              <w:rPr>
                <w:rFonts w:cs="Calibri"/>
                <w:b w:val="0"/>
                <w:i/>
                <w:iCs/>
                <w:color w:val="000000"/>
                <w:szCs w:val="22"/>
                <w:lang w:val="en-US"/>
              </w:rPr>
              <w:t xml:space="preserve"> </w:t>
            </w:r>
            <w:r w:rsidRPr="00A83C94">
              <w:rPr>
                <w:rFonts w:cs="Calibri"/>
                <w:b w:val="0"/>
                <w:i/>
                <w:iCs/>
                <w:color w:val="000000"/>
                <w:szCs w:val="22"/>
              </w:rPr>
              <w:t>արտոնություններ</w:t>
            </w:r>
            <w:r w:rsidRPr="00A83C94">
              <w:rPr>
                <w:rFonts w:cs="Calibri"/>
                <w:b w:val="0"/>
                <w:i/>
                <w:iCs/>
                <w:color w:val="000000"/>
                <w:szCs w:val="22"/>
                <w:lang w:val="en-US"/>
              </w:rPr>
              <w:t xml:space="preserve">, </w:t>
            </w:r>
            <w:r w:rsidRPr="00A83C94">
              <w:rPr>
                <w:rFonts w:cs="Calibri"/>
                <w:b w:val="0"/>
                <w:i/>
                <w:iCs/>
                <w:color w:val="000000"/>
                <w:szCs w:val="22"/>
              </w:rPr>
              <w:t>բացառությամբ՝</w:t>
            </w:r>
            <w:r w:rsidRPr="00A83C94">
              <w:rPr>
                <w:rFonts w:cs="Calibri"/>
                <w:b w:val="0"/>
                <w:i/>
                <w:iCs/>
                <w:color w:val="000000"/>
                <w:szCs w:val="22"/>
                <w:lang w:val="en-US"/>
              </w:rPr>
              <w:t xml:space="preserve"> </w:t>
            </w:r>
            <w:r w:rsidRPr="00A83C94">
              <w:rPr>
                <w:rFonts w:cs="Calibri"/>
                <w:b w:val="0"/>
                <w:i/>
                <w:iCs/>
                <w:color w:val="000000"/>
                <w:szCs w:val="22"/>
              </w:rPr>
              <w:t>գյուղատնտեսության</w:t>
            </w:r>
          </w:p>
        </w:tc>
        <w:tc>
          <w:tcPr>
            <w:tcW w:w="1820" w:type="dxa"/>
            <w:shd w:val="clear" w:color="auto" w:fill="DBE5F1" w:themeFill="accent1" w:themeFillTint="33"/>
            <w:vAlign w:val="center"/>
          </w:tcPr>
          <w:p w14:paraId="5514D63E" w14:textId="36E70F6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3,864</w:t>
            </w:r>
          </w:p>
        </w:tc>
        <w:tc>
          <w:tcPr>
            <w:tcW w:w="1820" w:type="dxa"/>
            <w:shd w:val="clear" w:color="auto" w:fill="DBE5F1" w:themeFill="accent1" w:themeFillTint="33"/>
            <w:vAlign w:val="center"/>
          </w:tcPr>
          <w:p w14:paraId="1B6BE703" w14:textId="5945F8F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0.21%</w:t>
            </w:r>
          </w:p>
        </w:tc>
        <w:tc>
          <w:tcPr>
            <w:tcW w:w="1820" w:type="dxa"/>
            <w:shd w:val="clear" w:color="auto" w:fill="DBE5F1" w:themeFill="accent1" w:themeFillTint="33"/>
            <w:vAlign w:val="center"/>
          </w:tcPr>
          <w:p w14:paraId="158A1371" w14:textId="6C6E12A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r>
      <w:tr w:rsidR="00570952" w:rsidRPr="00A83C94" w14:paraId="1CFBCEFD" w14:textId="77777777" w:rsidTr="006C390E">
        <w:trPr>
          <w:trHeight w:val="791"/>
        </w:trPr>
        <w:tc>
          <w:tcPr>
            <w:tcW w:w="764" w:type="dxa"/>
            <w:shd w:val="clear" w:color="auto" w:fill="auto"/>
            <w:vAlign w:val="center"/>
          </w:tcPr>
          <w:p w14:paraId="6343BBFC" w14:textId="55CF27A0"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2.3.</w:t>
            </w:r>
          </w:p>
        </w:tc>
        <w:tc>
          <w:tcPr>
            <w:tcW w:w="3443" w:type="dxa"/>
            <w:shd w:val="clear" w:color="auto" w:fill="auto"/>
            <w:vAlign w:val="center"/>
          </w:tcPr>
          <w:p w14:paraId="388FB0A7" w14:textId="0730088F"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շահութահարկի նվազեցման արտոնություններ</w:t>
            </w:r>
          </w:p>
        </w:tc>
        <w:tc>
          <w:tcPr>
            <w:tcW w:w="1820" w:type="dxa"/>
            <w:shd w:val="clear" w:color="auto" w:fill="auto"/>
            <w:vAlign w:val="center"/>
          </w:tcPr>
          <w:p w14:paraId="7B78C50A" w14:textId="58C50AD9"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36</w:t>
            </w:r>
          </w:p>
        </w:tc>
        <w:tc>
          <w:tcPr>
            <w:tcW w:w="1820" w:type="dxa"/>
            <w:shd w:val="clear" w:color="auto" w:fill="auto"/>
            <w:vAlign w:val="center"/>
          </w:tcPr>
          <w:p w14:paraId="632C10AF" w14:textId="1A3E09D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c>
          <w:tcPr>
            <w:tcW w:w="1820" w:type="dxa"/>
            <w:shd w:val="clear" w:color="auto" w:fill="auto"/>
            <w:vAlign w:val="center"/>
          </w:tcPr>
          <w:p w14:paraId="2C88F3C0" w14:textId="590B486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0.00%</w:t>
            </w:r>
          </w:p>
        </w:tc>
      </w:tr>
      <w:tr w:rsidR="00570952" w:rsidRPr="00A83C94" w14:paraId="1822C8C6" w14:textId="77777777" w:rsidTr="00570952">
        <w:trPr>
          <w:trHeight w:val="795"/>
        </w:trPr>
        <w:tc>
          <w:tcPr>
            <w:tcW w:w="764" w:type="dxa"/>
            <w:shd w:val="clear" w:color="auto" w:fill="DBE5F1" w:themeFill="accent1" w:themeFillTint="33"/>
            <w:vAlign w:val="center"/>
          </w:tcPr>
          <w:p w14:paraId="03408945" w14:textId="20E4869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2.4.</w:t>
            </w:r>
          </w:p>
        </w:tc>
        <w:tc>
          <w:tcPr>
            <w:tcW w:w="3443" w:type="dxa"/>
            <w:shd w:val="clear" w:color="auto" w:fill="DBE5F1" w:themeFill="accent1" w:themeFillTint="33"/>
            <w:vAlign w:val="center"/>
          </w:tcPr>
          <w:p w14:paraId="5DDEC8DF" w14:textId="7A0BD7B2"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ԱԱՀ-ի շեմ</w:t>
            </w:r>
          </w:p>
        </w:tc>
        <w:tc>
          <w:tcPr>
            <w:tcW w:w="1820" w:type="dxa"/>
            <w:shd w:val="clear" w:color="auto" w:fill="DBE5F1" w:themeFill="accent1" w:themeFillTint="33"/>
            <w:vAlign w:val="center"/>
          </w:tcPr>
          <w:p w14:paraId="46CD04AE" w14:textId="335EB223"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17,156</w:t>
            </w:r>
          </w:p>
        </w:tc>
        <w:tc>
          <w:tcPr>
            <w:tcW w:w="1820" w:type="dxa"/>
            <w:shd w:val="clear" w:color="auto" w:fill="DBE5F1" w:themeFill="accent1" w:themeFillTint="33"/>
            <w:vAlign w:val="center"/>
          </w:tcPr>
          <w:p w14:paraId="423966BF" w14:textId="52E4C6E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0.93%</w:t>
            </w:r>
          </w:p>
        </w:tc>
        <w:tc>
          <w:tcPr>
            <w:tcW w:w="1820" w:type="dxa"/>
            <w:shd w:val="clear" w:color="auto" w:fill="DBE5F1" w:themeFill="accent1" w:themeFillTint="33"/>
            <w:vAlign w:val="center"/>
          </w:tcPr>
          <w:p w14:paraId="2F277791" w14:textId="2DAF4BC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0.22%</w:t>
            </w:r>
          </w:p>
        </w:tc>
      </w:tr>
      <w:tr w:rsidR="00570952" w:rsidRPr="00A83C94" w14:paraId="0A1CFE3D" w14:textId="77777777" w:rsidTr="00570952">
        <w:trPr>
          <w:trHeight w:val="427"/>
        </w:trPr>
        <w:tc>
          <w:tcPr>
            <w:tcW w:w="764" w:type="dxa"/>
            <w:shd w:val="clear" w:color="auto" w:fill="auto"/>
            <w:vAlign w:val="center"/>
          </w:tcPr>
          <w:p w14:paraId="097D1845" w14:textId="38FA2206"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2.5.</w:t>
            </w:r>
          </w:p>
        </w:tc>
        <w:tc>
          <w:tcPr>
            <w:tcW w:w="3443" w:type="dxa"/>
            <w:shd w:val="clear" w:color="auto" w:fill="auto"/>
            <w:vAlign w:val="center"/>
          </w:tcPr>
          <w:p w14:paraId="1F18B55B" w14:textId="4207F779" w:rsidR="00570952" w:rsidRPr="00A83C94" w:rsidRDefault="002F3AE0"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Մ</w:t>
            </w:r>
            <w:r w:rsidR="00570952" w:rsidRPr="00A83C94">
              <w:rPr>
                <w:rFonts w:cs="Calibri"/>
                <w:b w:val="0"/>
                <w:i/>
                <w:iCs/>
                <w:color w:val="000000"/>
                <w:szCs w:val="22"/>
              </w:rPr>
              <w:t>իկրոբիզնես</w:t>
            </w:r>
          </w:p>
        </w:tc>
        <w:tc>
          <w:tcPr>
            <w:tcW w:w="1820" w:type="dxa"/>
            <w:shd w:val="clear" w:color="auto" w:fill="auto"/>
            <w:vAlign w:val="center"/>
          </w:tcPr>
          <w:p w14:paraId="11F236EF" w14:textId="408F1208"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4,619</w:t>
            </w:r>
          </w:p>
        </w:tc>
        <w:tc>
          <w:tcPr>
            <w:tcW w:w="1820" w:type="dxa"/>
            <w:shd w:val="clear" w:color="auto" w:fill="auto"/>
            <w:vAlign w:val="center"/>
          </w:tcPr>
          <w:p w14:paraId="14321E42" w14:textId="4BB3831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0.25%</w:t>
            </w:r>
          </w:p>
        </w:tc>
        <w:tc>
          <w:tcPr>
            <w:tcW w:w="1820" w:type="dxa"/>
            <w:shd w:val="clear" w:color="auto" w:fill="auto"/>
            <w:vAlign w:val="center"/>
          </w:tcPr>
          <w:p w14:paraId="61BF7CA0" w14:textId="40B9D0F1"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0.06%</w:t>
            </w:r>
          </w:p>
        </w:tc>
      </w:tr>
      <w:tr w:rsidR="00570952" w:rsidRPr="00A83C94" w14:paraId="0AB2B5A4" w14:textId="77777777" w:rsidTr="00570952">
        <w:trPr>
          <w:trHeight w:val="438"/>
        </w:trPr>
        <w:tc>
          <w:tcPr>
            <w:tcW w:w="764" w:type="dxa"/>
            <w:shd w:val="clear" w:color="auto" w:fill="DBE5F1" w:themeFill="accent1" w:themeFillTint="33"/>
            <w:vAlign w:val="center"/>
          </w:tcPr>
          <w:p w14:paraId="15522428" w14:textId="33918C7C"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2.6.</w:t>
            </w:r>
          </w:p>
        </w:tc>
        <w:tc>
          <w:tcPr>
            <w:tcW w:w="3443" w:type="dxa"/>
            <w:shd w:val="clear" w:color="auto" w:fill="DBE5F1" w:themeFill="accent1" w:themeFillTint="33"/>
            <w:vAlign w:val="center"/>
          </w:tcPr>
          <w:p w14:paraId="0B41DCA4" w14:textId="71C75034"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ՏՏ ոլորտի արտոնություններ</w:t>
            </w:r>
          </w:p>
        </w:tc>
        <w:tc>
          <w:tcPr>
            <w:tcW w:w="1820" w:type="dxa"/>
            <w:shd w:val="clear" w:color="auto" w:fill="DBE5F1" w:themeFill="accent1" w:themeFillTint="33"/>
            <w:vAlign w:val="center"/>
          </w:tcPr>
          <w:p w14:paraId="78BA2557" w14:textId="065CCEF5"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1,500</w:t>
            </w:r>
          </w:p>
        </w:tc>
        <w:tc>
          <w:tcPr>
            <w:tcW w:w="1820" w:type="dxa"/>
            <w:shd w:val="clear" w:color="auto" w:fill="DBE5F1" w:themeFill="accent1" w:themeFillTint="33"/>
            <w:vAlign w:val="center"/>
          </w:tcPr>
          <w:p w14:paraId="1837696D" w14:textId="317C4E6B"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0.08%</w:t>
            </w:r>
          </w:p>
        </w:tc>
        <w:tc>
          <w:tcPr>
            <w:tcW w:w="1820" w:type="dxa"/>
            <w:shd w:val="clear" w:color="auto" w:fill="DBE5F1" w:themeFill="accent1" w:themeFillTint="33"/>
            <w:vAlign w:val="center"/>
          </w:tcPr>
          <w:p w14:paraId="20D446F4" w14:textId="08D9284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0.02%</w:t>
            </w:r>
          </w:p>
        </w:tc>
      </w:tr>
      <w:tr w:rsidR="00570952" w:rsidRPr="00A83C94" w14:paraId="7269D42C" w14:textId="77777777" w:rsidTr="00570952">
        <w:trPr>
          <w:trHeight w:val="795"/>
        </w:trPr>
        <w:tc>
          <w:tcPr>
            <w:tcW w:w="764" w:type="dxa"/>
            <w:shd w:val="clear" w:color="auto" w:fill="auto"/>
            <w:vAlign w:val="center"/>
          </w:tcPr>
          <w:p w14:paraId="04EF147F" w14:textId="0DEBEC1D"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3</w:t>
            </w:r>
          </w:p>
        </w:tc>
        <w:tc>
          <w:tcPr>
            <w:tcW w:w="3443" w:type="dxa"/>
            <w:shd w:val="clear" w:color="auto" w:fill="auto"/>
            <w:vAlign w:val="center"/>
          </w:tcPr>
          <w:p w14:paraId="62F1FD4A" w14:textId="2ECDDBB8" w:rsidR="00570952" w:rsidRPr="00A83C94" w:rsidRDefault="00570952" w:rsidP="006C390E">
            <w:pPr>
              <w:spacing w:before="0" w:line="276" w:lineRule="auto"/>
              <w:ind w:firstLine="0"/>
              <w:contextualSpacing w:val="0"/>
              <w:jc w:val="left"/>
              <w:rPr>
                <w:rFonts w:cs="Calibri"/>
                <w:bCs/>
                <w:color w:val="000000"/>
                <w:szCs w:val="22"/>
                <w:lang w:val="en-US" w:eastAsia="en-US"/>
              </w:rPr>
            </w:pPr>
            <w:r w:rsidRPr="00A83C94">
              <w:rPr>
                <w:rFonts w:cs="Calibri"/>
                <w:bCs/>
                <w:color w:val="000000"/>
                <w:szCs w:val="22"/>
              </w:rPr>
              <w:t>Եկամտային</w:t>
            </w:r>
            <w:r w:rsidRPr="00A83C94">
              <w:rPr>
                <w:rFonts w:cs="Calibri"/>
                <w:bCs/>
                <w:color w:val="000000"/>
                <w:szCs w:val="22"/>
                <w:lang w:val="en-US"/>
              </w:rPr>
              <w:t xml:space="preserve"> </w:t>
            </w:r>
            <w:r w:rsidRPr="00A83C94">
              <w:rPr>
                <w:rFonts w:cs="Calibri"/>
                <w:bCs/>
                <w:color w:val="000000"/>
                <w:szCs w:val="22"/>
              </w:rPr>
              <w:t>հարկի</w:t>
            </w:r>
            <w:r w:rsidRPr="00A83C94">
              <w:rPr>
                <w:rFonts w:cs="Calibri"/>
                <w:bCs/>
                <w:color w:val="000000"/>
                <w:szCs w:val="22"/>
                <w:lang w:val="en-US"/>
              </w:rPr>
              <w:t xml:space="preserve"> </w:t>
            </w:r>
            <w:r w:rsidRPr="00A83C94">
              <w:rPr>
                <w:rFonts w:cs="Calibri"/>
                <w:bCs/>
                <w:color w:val="000000"/>
                <w:szCs w:val="22"/>
              </w:rPr>
              <w:t>գծով</w:t>
            </w:r>
            <w:r w:rsidRPr="00A83C94">
              <w:rPr>
                <w:rFonts w:cs="Calibri"/>
                <w:bCs/>
                <w:color w:val="000000"/>
                <w:szCs w:val="22"/>
                <w:lang w:val="en-US"/>
              </w:rPr>
              <w:t xml:space="preserve">, </w:t>
            </w:r>
            <w:r w:rsidRPr="00A83C94">
              <w:rPr>
                <w:rFonts w:cs="Calibri"/>
                <w:bCs/>
                <w:color w:val="000000"/>
                <w:szCs w:val="22"/>
              </w:rPr>
              <w:t>այդ</w:t>
            </w:r>
            <w:r w:rsidRPr="00A83C94">
              <w:rPr>
                <w:rFonts w:cs="Calibri"/>
                <w:bCs/>
                <w:color w:val="000000"/>
                <w:szCs w:val="22"/>
                <w:lang w:val="en-US"/>
              </w:rPr>
              <w:t xml:space="preserve"> </w:t>
            </w:r>
            <w:r w:rsidRPr="00A83C94">
              <w:rPr>
                <w:rFonts w:cs="Calibri"/>
                <w:bCs/>
                <w:color w:val="000000"/>
                <w:szCs w:val="22"/>
              </w:rPr>
              <w:t>թվում</w:t>
            </w:r>
            <w:r w:rsidRPr="00A83C94">
              <w:rPr>
                <w:rFonts w:cs="Calibri"/>
                <w:bCs/>
                <w:color w:val="000000"/>
                <w:szCs w:val="22"/>
                <w:lang w:val="en-US"/>
              </w:rPr>
              <w:t>`</w:t>
            </w:r>
          </w:p>
        </w:tc>
        <w:tc>
          <w:tcPr>
            <w:tcW w:w="1820" w:type="dxa"/>
            <w:shd w:val="clear" w:color="auto" w:fill="auto"/>
            <w:vAlign w:val="center"/>
          </w:tcPr>
          <w:p w14:paraId="788EDFB7" w14:textId="2A72EAC0" w:rsidR="00570952" w:rsidRPr="00A83C94" w:rsidRDefault="00570952" w:rsidP="006C390E">
            <w:pPr>
              <w:spacing w:before="0" w:line="276" w:lineRule="auto"/>
              <w:ind w:firstLine="0"/>
              <w:contextualSpacing w:val="0"/>
              <w:jc w:val="center"/>
              <w:rPr>
                <w:rFonts w:cs="Calibri"/>
                <w:bCs/>
                <w:color w:val="000000"/>
                <w:szCs w:val="22"/>
                <w:lang w:val="en-US" w:eastAsia="en-US"/>
              </w:rPr>
            </w:pPr>
            <w:r w:rsidRPr="00A83C94">
              <w:rPr>
                <w:rFonts w:cs="Calibri"/>
                <w:bCs/>
                <w:color w:val="000000"/>
                <w:szCs w:val="22"/>
              </w:rPr>
              <w:t>61,075</w:t>
            </w:r>
          </w:p>
        </w:tc>
        <w:tc>
          <w:tcPr>
            <w:tcW w:w="1820" w:type="dxa"/>
            <w:shd w:val="clear" w:color="auto" w:fill="auto"/>
            <w:vAlign w:val="center"/>
          </w:tcPr>
          <w:p w14:paraId="1C295589" w14:textId="15A4977A"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3.31%</w:t>
            </w:r>
          </w:p>
        </w:tc>
        <w:tc>
          <w:tcPr>
            <w:tcW w:w="1820" w:type="dxa"/>
            <w:shd w:val="clear" w:color="auto" w:fill="auto"/>
            <w:vAlign w:val="center"/>
          </w:tcPr>
          <w:p w14:paraId="78C32B87" w14:textId="6653E0FC" w:rsidR="00570952" w:rsidRPr="00A83C94" w:rsidRDefault="00570952" w:rsidP="006C390E">
            <w:pPr>
              <w:spacing w:before="0" w:line="276" w:lineRule="auto"/>
              <w:ind w:firstLine="0"/>
              <w:contextualSpacing w:val="0"/>
              <w:jc w:val="center"/>
              <w:rPr>
                <w:rFonts w:cs="Calibri"/>
                <w:bCs/>
                <w:i/>
                <w:iCs/>
                <w:color w:val="000000"/>
                <w:szCs w:val="22"/>
                <w:lang w:val="en-US" w:eastAsia="en-US"/>
              </w:rPr>
            </w:pPr>
            <w:r w:rsidRPr="00A83C94">
              <w:rPr>
                <w:rFonts w:cs="Calibri"/>
                <w:bCs/>
                <w:i/>
                <w:iCs/>
                <w:color w:val="000000"/>
                <w:szCs w:val="22"/>
              </w:rPr>
              <w:t>0.78%</w:t>
            </w:r>
          </w:p>
        </w:tc>
      </w:tr>
      <w:tr w:rsidR="00570952" w:rsidRPr="00A83C94" w14:paraId="72A3CCB8" w14:textId="77777777" w:rsidTr="00570952">
        <w:trPr>
          <w:trHeight w:val="795"/>
        </w:trPr>
        <w:tc>
          <w:tcPr>
            <w:tcW w:w="764" w:type="dxa"/>
            <w:shd w:val="clear" w:color="auto" w:fill="DBE5F1" w:themeFill="accent1" w:themeFillTint="33"/>
            <w:vAlign w:val="center"/>
          </w:tcPr>
          <w:p w14:paraId="60FD9F2F" w14:textId="3AEB1032"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3.1.</w:t>
            </w:r>
          </w:p>
        </w:tc>
        <w:tc>
          <w:tcPr>
            <w:tcW w:w="3443" w:type="dxa"/>
            <w:shd w:val="clear" w:color="auto" w:fill="DBE5F1" w:themeFill="accent1" w:themeFillTint="33"/>
            <w:vAlign w:val="center"/>
          </w:tcPr>
          <w:p w14:paraId="7CD0AA02" w14:textId="66D9102D"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գյուղատնտեսության ոլորտի աշխատողների աշխատավարձ</w:t>
            </w:r>
          </w:p>
        </w:tc>
        <w:tc>
          <w:tcPr>
            <w:tcW w:w="1820" w:type="dxa"/>
            <w:shd w:val="clear" w:color="auto" w:fill="DBE5F1" w:themeFill="accent1" w:themeFillTint="33"/>
            <w:vAlign w:val="center"/>
          </w:tcPr>
          <w:p w14:paraId="6C170A0E" w14:textId="304E6929"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14,141</w:t>
            </w:r>
          </w:p>
        </w:tc>
        <w:tc>
          <w:tcPr>
            <w:tcW w:w="1820" w:type="dxa"/>
            <w:shd w:val="clear" w:color="auto" w:fill="DBE5F1" w:themeFill="accent1" w:themeFillTint="33"/>
            <w:vAlign w:val="center"/>
          </w:tcPr>
          <w:p w14:paraId="4AE9BAB0" w14:textId="4B25296E"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0.77%</w:t>
            </w:r>
          </w:p>
        </w:tc>
        <w:tc>
          <w:tcPr>
            <w:tcW w:w="1820" w:type="dxa"/>
            <w:shd w:val="clear" w:color="auto" w:fill="DBE5F1" w:themeFill="accent1" w:themeFillTint="33"/>
            <w:vAlign w:val="center"/>
          </w:tcPr>
          <w:p w14:paraId="03ABD8AB" w14:textId="6BB32B23"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0.18%</w:t>
            </w:r>
          </w:p>
        </w:tc>
      </w:tr>
      <w:tr w:rsidR="00570952" w:rsidRPr="00A83C94" w14:paraId="561A5683" w14:textId="77777777" w:rsidTr="00570952">
        <w:trPr>
          <w:trHeight w:val="795"/>
        </w:trPr>
        <w:tc>
          <w:tcPr>
            <w:tcW w:w="764" w:type="dxa"/>
            <w:shd w:val="clear" w:color="auto" w:fill="auto"/>
            <w:vAlign w:val="center"/>
          </w:tcPr>
          <w:p w14:paraId="00719063" w14:textId="538AD72C"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i/>
                <w:iCs/>
                <w:color w:val="000000"/>
                <w:szCs w:val="22"/>
              </w:rPr>
              <w:t>3.2.</w:t>
            </w:r>
          </w:p>
        </w:tc>
        <w:tc>
          <w:tcPr>
            <w:tcW w:w="3443" w:type="dxa"/>
            <w:shd w:val="clear" w:color="auto" w:fill="auto"/>
            <w:vAlign w:val="center"/>
          </w:tcPr>
          <w:p w14:paraId="1FBCC8A9" w14:textId="1DE819CA" w:rsidR="00570952" w:rsidRPr="00A83C94" w:rsidRDefault="002F3AE0" w:rsidP="006C390E">
            <w:pPr>
              <w:spacing w:before="0" w:line="276" w:lineRule="auto"/>
              <w:ind w:firstLine="0"/>
              <w:contextualSpacing w:val="0"/>
              <w:jc w:val="left"/>
              <w:rPr>
                <w:rFonts w:cs="Calibri"/>
                <w:b w:val="0"/>
                <w:bCs/>
                <w:color w:val="000000"/>
                <w:szCs w:val="22"/>
                <w:lang w:val="en-US" w:eastAsia="en-US"/>
              </w:rPr>
            </w:pPr>
            <w:r w:rsidRPr="00A83C94">
              <w:rPr>
                <w:rFonts w:cs="Calibri"/>
                <w:b w:val="0"/>
                <w:i/>
                <w:iCs/>
                <w:color w:val="000000"/>
                <w:szCs w:val="22"/>
              </w:rPr>
              <w:t>Մ</w:t>
            </w:r>
            <w:r w:rsidR="00570952" w:rsidRPr="00A83C94">
              <w:rPr>
                <w:rFonts w:cs="Calibri"/>
                <w:b w:val="0"/>
                <w:i/>
                <w:iCs/>
                <w:color w:val="000000"/>
                <w:szCs w:val="22"/>
              </w:rPr>
              <w:t>իկրոբիզնես</w:t>
            </w:r>
          </w:p>
        </w:tc>
        <w:tc>
          <w:tcPr>
            <w:tcW w:w="1820" w:type="dxa"/>
            <w:shd w:val="clear" w:color="auto" w:fill="auto"/>
            <w:vAlign w:val="center"/>
          </w:tcPr>
          <w:p w14:paraId="286AB2B2" w14:textId="5849EF18"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color w:val="000000"/>
                <w:szCs w:val="22"/>
              </w:rPr>
              <w:t>4,838</w:t>
            </w:r>
          </w:p>
        </w:tc>
        <w:tc>
          <w:tcPr>
            <w:tcW w:w="1820" w:type="dxa"/>
            <w:shd w:val="clear" w:color="auto" w:fill="auto"/>
            <w:vAlign w:val="center"/>
          </w:tcPr>
          <w:p w14:paraId="20561797" w14:textId="276660D5"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bCs/>
                <w:i/>
                <w:iCs/>
                <w:color w:val="000000"/>
                <w:szCs w:val="22"/>
              </w:rPr>
              <w:t>0.26%</w:t>
            </w:r>
          </w:p>
        </w:tc>
        <w:tc>
          <w:tcPr>
            <w:tcW w:w="1820" w:type="dxa"/>
            <w:shd w:val="clear" w:color="auto" w:fill="auto"/>
            <w:vAlign w:val="center"/>
          </w:tcPr>
          <w:p w14:paraId="21D3D18A" w14:textId="1D9DA18D" w:rsidR="00570952" w:rsidRPr="00A83C94" w:rsidRDefault="00570952" w:rsidP="006C390E">
            <w:pPr>
              <w:spacing w:before="0" w:line="276" w:lineRule="auto"/>
              <w:ind w:firstLine="0"/>
              <w:contextualSpacing w:val="0"/>
              <w:jc w:val="center"/>
              <w:rPr>
                <w:rFonts w:cs="Calibri"/>
                <w:b w:val="0"/>
                <w:bCs/>
                <w:color w:val="000000"/>
                <w:szCs w:val="22"/>
                <w:lang w:val="en-US" w:eastAsia="en-US"/>
              </w:rPr>
            </w:pPr>
            <w:r w:rsidRPr="00A83C94">
              <w:rPr>
                <w:rFonts w:cs="Calibri"/>
                <w:b w:val="0"/>
                <w:bCs/>
                <w:i/>
                <w:iCs/>
                <w:color w:val="000000"/>
                <w:szCs w:val="22"/>
              </w:rPr>
              <w:t>0.06%</w:t>
            </w:r>
          </w:p>
        </w:tc>
      </w:tr>
      <w:tr w:rsidR="00570952" w:rsidRPr="00A83C94" w14:paraId="21BF6DF2" w14:textId="77777777" w:rsidTr="00570952">
        <w:trPr>
          <w:trHeight w:val="795"/>
        </w:trPr>
        <w:tc>
          <w:tcPr>
            <w:tcW w:w="764" w:type="dxa"/>
            <w:shd w:val="clear" w:color="auto" w:fill="DBE5F1" w:themeFill="accent1" w:themeFillTint="33"/>
            <w:vAlign w:val="center"/>
          </w:tcPr>
          <w:p w14:paraId="1E462340" w14:textId="434B4D5A"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3.3.</w:t>
            </w:r>
          </w:p>
        </w:tc>
        <w:tc>
          <w:tcPr>
            <w:tcW w:w="3443" w:type="dxa"/>
            <w:shd w:val="clear" w:color="auto" w:fill="DBE5F1" w:themeFill="accent1" w:themeFillTint="33"/>
            <w:vAlign w:val="center"/>
          </w:tcPr>
          <w:p w14:paraId="03C30481" w14:textId="3AE35933"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Հիպոտեկային</w:t>
            </w:r>
            <w:r w:rsidRPr="00A83C94">
              <w:rPr>
                <w:rFonts w:cs="Calibri"/>
                <w:b w:val="0"/>
                <w:i/>
                <w:iCs/>
                <w:color w:val="000000"/>
                <w:szCs w:val="22"/>
                <w:lang w:val="en-US"/>
              </w:rPr>
              <w:t xml:space="preserve"> </w:t>
            </w:r>
            <w:r w:rsidRPr="00A83C94">
              <w:rPr>
                <w:rFonts w:cs="Calibri"/>
                <w:b w:val="0"/>
                <w:i/>
                <w:iCs/>
                <w:color w:val="000000"/>
                <w:szCs w:val="22"/>
              </w:rPr>
              <w:t>վարկերի</w:t>
            </w:r>
            <w:r w:rsidRPr="00A83C94">
              <w:rPr>
                <w:rFonts w:cs="Calibri"/>
                <w:b w:val="0"/>
                <w:i/>
                <w:iCs/>
                <w:color w:val="000000"/>
                <w:szCs w:val="22"/>
                <w:lang w:val="en-US"/>
              </w:rPr>
              <w:t xml:space="preserve"> </w:t>
            </w:r>
            <w:r w:rsidRPr="00A83C94">
              <w:rPr>
                <w:rFonts w:cs="Calibri"/>
                <w:b w:val="0"/>
                <w:i/>
                <w:iCs/>
                <w:color w:val="000000"/>
                <w:szCs w:val="22"/>
              </w:rPr>
              <w:t>տոկոսների</w:t>
            </w:r>
            <w:r w:rsidRPr="00A83C94">
              <w:rPr>
                <w:rFonts w:cs="Calibri"/>
                <w:b w:val="0"/>
                <w:i/>
                <w:iCs/>
                <w:color w:val="000000"/>
                <w:szCs w:val="22"/>
                <w:lang w:val="en-US"/>
              </w:rPr>
              <w:t xml:space="preserve"> </w:t>
            </w:r>
            <w:r w:rsidRPr="00A83C94">
              <w:rPr>
                <w:rFonts w:cs="Calibri"/>
                <w:b w:val="0"/>
                <w:i/>
                <w:iCs/>
                <w:color w:val="000000"/>
                <w:szCs w:val="22"/>
              </w:rPr>
              <w:t>սպասարկման</w:t>
            </w:r>
            <w:r w:rsidRPr="00A83C94">
              <w:rPr>
                <w:rFonts w:cs="Calibri"/>
                <w:b w:val="0"/>
                <w:i/>
                <w:iCs/>
                <w:color w:val="000000"/>
                <w:szCs w:val="22"/>
                <w:lang w:val="en-US"/>
              </w:rPr>
              <w:t xml:space="preserve"> </w:t>
            </w:r>
            <w:r w:rsidRPr="00A83C94">
              <w:rPr>
                <w:rFonts w:cs="Calibri"/>
                <w:b w:val="0"/>
                <w:i/>
                <w:iCs/>
                <w:color w:val="000000"/>
                <w:szCs w:val="22"/>
              </w:rPr>
              <w:t>համար</w:t>
            </w:r>
            <w:r w:rsidRPr="00A83C94">
              <w:rPr>
                <w:rFonts w:cs="Calibri"/>
                <w:b w:val="0"/>
                <w:i/>
                <w:iCs/>
                <w:color w:val="000000"/>
                <w:szCs w:val="22"/>
                <w:lang w:val="en-US"/>
              </w:rPr>
              <w:t xml:space="preserve"> </w:t>
            </w:r>
            <w:r w:rsidRPr="00A83C94">
              <w:rPr>
                <w:rFonts w:cs="Calibri"/>
                <w:b w:val="0"/>
                <w:i/>
                <w:iCs/>
                <w:color w:val="000000"/>
                <w:szCs w:val="22"/>
              </w:rPr>
              <w:t>վերադարձված</w:t>
            </w:r>
            <w:r w:rsidRPr="00A83C94">
              <w:rPr>
                <w:rFonts w:cs="Calibri"/>
                <w:b w:val="0"/>
                <w:i/>
                <w:iCs/>
                <w:color w:val="000000"/>
                <w:szCs w:val="22"/>
                <w:lang w:val="en-US"/>
              </w:rPr>
              <w:t xml:space="preserve"> </w:t>
            </w:r>
            <w:r w:rsidRPr="00A83C94">
              <w:rPr>
                <w:rFonts w:cs="Calibri"/>
                <w:b w:val="0"/>
                <w:i/>
                <w:iCs/>
                <w:color w:val="000000"/>
                <w:szCs w:val="22"/>
              </w:rPr>
              <w:t>եկամտային</w:t>
            </w:r>
            <w:r w:rsidRPr="00A83C94">
              <w:rPr>
                <w:rFonts w:cs="Calibri"/>
                <w:b w:val="0"/>
                <w:i/>
                <w:iCs/>
                <w:color w:val="000000"/>
                <w:szCs w:val="22"/>
                <w:lang w:val="en-US"/>
              </w:rPr>
              <w:t xml:space="preserve"> </w:t>
            </w:r>
            <w:r w:rsidRPr="00A83C94">
              <w:rPr>
                <w:rFonts w:cs="Calibri"/>
                <w:b w:val="0"/>
                <w:i/>
                <w:iCs/>
                <w:color w:val="000000"/>
                <w:szCs w:val="22"/>
              </w:rPr>
              <w:t>հարկ</w:t>
            </w:r>
            <w:r w:rsidRPr="00A83C94">
              <w:rPr>
                <w:rFonts w:cs="Calibri"/>
                <w:b w:val="0"/>
                <w:i/>
                <w:iCs/>
                <w:color w:val="000000"/>
                <w:szCs w:val="22"/>
                <w:lang w:val="en-US"/>
              </w:rPr>
              <w:t xml:space="preserve"> </w:t>
            </w:r>
          </w:p>
        </w:tc>
        <w:tc>
          <w:tcPr>
            <w:tcW w:w="1820" w:type="dxa"/>
            <w:shd w:val="clear" w:color="auto" w:fill="DBE5F1" w:themeFill="accent1" w:themeFillTint="33"/>
            <w:vAlign w:val="center"/>
          </w:tcPr>
          <w:p w14:paraId="6B906974" w14:textId="3EE1DBC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38,005</w:t>
            </w:r>
          </w:p>
        </w:tc>
        <w:tc>
          <w:tcPr>
            <w:tcW w:w="1820" w:type="dxa"/>
            <w:shd w:val="clear" w:color="auto" w:fill="DBE5F1" w:themeFill="accent1" w:themeFillTint="33"/>
            <w:vAlign w:val="center"/>
          </w:tcPr>
          <w:p w14:paraId="1E2A87DF" w14:textId="79B88055"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2.06%</w:t>
            </w:r>
          </w:p>
        </w:tc>
        <w:tc>
          <w:tcPr>
            <w:tcW w:w="1820" w:type="dxa"/>
            <w:shd w:val="clear" w:color="auto" w:fill="DBE5F1" w:themeFill="accent1" w:themeFillTint="33"/>
            <w:vAlign w:val="center"/>
          </w:tcPr>
          <w:p w14:paraId="60AB2BE2" w14:textId="36203B6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0.48%</w:t>
            </w:r>
          </w:p>
        </w:tc>
      </w:tr>
      <w:tr w:rsidR="00570952" w:rsidRPr="00A83C94" w14:paraId="629353DF" w14:textId="77777777" w:rsidTr="00570952">
        <w:trPr>
          <w:trHeight w:val="504"/>
        </w:trPr>
        <w:tc>
          <w:tcPr>
            <w:tcW w:w="764" w:type="dxa"/>
            <w:shd w:val="clear" w:color="auto" w:fill="auto"/>
            <w:vAlign w:val="center"/>
          </w:tcPr>
          <w:p w14:paraId="10F19C51" w14:textId="0D94E339"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i/>
                <w:iCs/>
                <w:color w:val="000000"/>
                <w:szCs w:val="22"/>
              </w:rPr>
              <w:t>3.4.</w:t>
            </w:r>
          </w:p>
        </w:tc>
        <w:tc>
          <w:tcPr>
            <w:tcW w:w="3443" w:type="dxa"/>
            <w:shd w:val="clear" w:color="auto" w:fill="auto"/>
            <w:vAlign w:val="center"/>
          </w:tcPr>
          <w:p w14:paraId="20069171" w14:textId="23DDC9A4" w:rsidR="00570952" w:rsidRPr="00A83C94" w:rsidRDefault="00570952" w:rsidP="006C390E">
            <w:pPr>
              <w:spacing w:before="0" w:line="276" w:lineRule="auto"/>
              <w:ind w:firstLine="0"/>
              <w:contextualSpacing w:val="0"/>
              <w:jc w:val="left"/>
              <w:rPr>
                <w:rFonts w:cs="Calibri"/>
                <w:b w:val="0"/>
                <w:i/>
                <w:iCs/>
                <w:color w:val="000000"/>
                <w:szCs w:val="22"/>
                <w:lang w:val="en-US" w:eastAsia="en-US"/>
              </w:rPr>
            </w:pPr>
            <w:r w:rsidRPr="00A83C94">
              <w:rPr>
                <w:rFonts w:cs="Calibri"/>
                <w:b w:val="0"/>
                <w:i/>
                <w:iCs/>
                <w:color w:val="000000"/>
                <w:szCs w:val="22"/>
              </w:rPr>
              <w:t>ՏՏ ոլորտի արտոնություններ</w:t>
            </w:r>
          </w:p>
        </w:tc>
        <w:tc>
          <w:tcPr>
            <w:tcW w:w="1820" w:type="dxa"/>
            <w:shd w:val="clear" w:color="auto" w:fill="auto"/>
            <w:vAlign w:val="center"/>
          </w:tcPr>
          <w:p w14:paraId="37065080" w14:textId="0E8D5A72" w:rsidR="00570952" w:rsidRPr="00A83C94" w:rsidRDefault="00570952" w:rsidP="006C390E">
            <w:pPr>
              <w:spacing w:before="0" w:line="276" w:lineRule="auto"/>
              <w:ind w:firstLine="0"/>
              <w:contextualSpacing w:val="0"/>
              <w:jc w:val="center"/>
              <w:rPr>
                <w:rFonts w:cs="Calibri"/>
                <w:b w:val="0"/>
                <w:color w:val="000000"/>
                <w:szCs w:val="22"/>
                <w:lang w:val="en-US" w:eastAsia="en-US"/>
              </w:rPr>
            </w:pPr>
            <w:r w:rsidRPr="00A83C94">
              <w:rPr>
                <w:rFonts w:cs="Calibri"/>
                <w:b w:val="0"/>
                <w:color w:val="000000"/>
                <w:szCs w:val="22"/>
              </w:rPr>
              <w:t>4,091</w:t>
            </w:r>
          </w:p>
        </w:tc>
        <w:tc>
          <w:tcPr>
            <w:tcW w:w="1820" w:type="dxa"/>
            <w:shd w:val="clear" w:color="auto" w:fill="auto"/>
            <w:vAlign w:val="center"/>
          </w:tcPr>
          <w:p w14:paraId="084B1E0A" w14:textId="5FD36DED"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0.22%</w:t>
            </w:r>
          </w:p>
        </w:tc>
        <w:tc>
          <w:tcPr>
            <w:tcW w:w="1820" w:type="dxa"/>
            <w:shd w:val="clear" w:color="auto" w:fill="auto"/>
            <w:vAlign w:val="center"/>
          </w:tcPr>
          <w:p w14:paraId="44CC0973" w14:textId="4D2D04DF" w:rsidR="00570952" w:rsidRPr="00A83C94" w:rsidRDefault="00570952" w:rsidP="006C390E">
            <w:pPr>
              <w:spacing w:before="0" w:line="276" w:lineRule="auto"/>
              <w:ind w:firstLine="0"/>
              <w:contextualSpacing w:val="0"/>
              <w:jc w:val="center"/>
              <w:rPr>
                <w:rFonts w:cs="Calibri"/>
                <w:b w:val="0"/>
                <w:i/>
                <w:iCs/>
                <w:color w:val="000000"/>
                <w:szCs w:val="22"/>
                <w:lang w:val="en-US" w:eastAsia="en-US"/>
              </w:rPr>
            </w:pPr>
            <w:r w:rsidRPr="00A83C94">
              <w:rPr>
                <w:rFonts w:cs="Calibri"/>
                <w:b w:val="0"/>
                <w:bCs/>
                <w:i/>
                <w:iCs/>
                <w:color w:val="000000"/>
                <w:szCs w:val="22"/>
              </w:rPr>
              <w:t>0.05%</w:t>
            </w:r>
          </w:p>
        </w:tc>
      </w:tr>
      <w:tr w:rsidR="00570952" w:rsidRPr="00A83C94" w14:paraId="17C91B71" w14:textId="77777777" w:rsidTr="00B86D85">
        <w:trPr>
          <w:trHeight w:val="375"/>
        </w:trPr>
        <w:tc>
          <w:tcPr>
            <w:tcW w:w="4207" w:type="dxa"/>
            <w:gridSpan w:val="2"/>
            <w:shd w:val="clear" w:color="auto" w:fill="4F81BD" w:themeFill="accent1"/>
            <w:vAlign w:val="center"/>
            <w:hideMark/>
          </w:tcPr>
          <w:p w14:paraId="49057CB6" w14:textId="77777777" w:rsidR="00570952" w:rsidRPr="00A83C94" w:rsidRDefault="00570952"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en-US" w:eastAsia="en-US"/>
              </w:rPr>
              <w:t>Ընդամենը</w:t>
            </w:r>
          </w:p>
        </w:tc>
        <w:tc>
          <w:tcPr>
            <w:tcW w:w="1820" w:type="dxa"/>
            <w:shd w:val="clear" w:color="auto" w:fill="4F81BD" w:themeFill="accent1"/>
            <w:vAlign w:val="center"/>
            <w:hideMark/>
          </w:tcPr>
          <w:p w14:paraId="728E1EC4" w14:textId="6A6EC68D" w:rsidR="00570952" w:rsidRPr="00A83C94" w:rsidRDefault="00570952" w:rsidP="006C390E">
            <w:pPr>
              <w:spacing w:before="0" w:line="276" w:lineRule="auto"/>
              <w:ind w:firstLine="0"/>
              <w:contextualSpacing w:val="0"/>
              <w:jc w:val="center"/>
              <w:rPr>
                <w:rFonts w:cs="Calibri"/>
                <w:bCs/>
                <w:color w:val="FFFFFF" w:themeColor="background1"/>
                <w:szCs w:val="22"/>
                <w:lang w:val="en-US" w:eastAsia="en-US"/>
              </w:rPr>
            </w:pPr>
            <w:r w:rsidRPr="00A83C94">
              <w:rPr>
                <w:rFonts w:cs="Calibri"/>
                <w:bCs/>
                <w:color w:val="FFFFFF" w:themeColor="background1"/>
                <w:szCs w:val="22"/>
                <w:lang w:val="hy-AM" w:eastAsia="en-US"/>
              </w:rPr>
              <w:t>503</w:t>
            </w:r>
            <w:r w:rsidRPr="00A83C94">
              <w:rPr>
                <w:rFonts w:cs="Calibri"/>
                <w:bCs/>
                <w:color w:val="FFFFFF" w:themeColor="background1"/>
                <w:szCs w:val="22"/>
                <w:lang w:val="en-US" w:eastAsia="en-US"/>
              </w:rPr>
              <w:t>,</w:t>
            </w:r>
            <w:r w:rsidRPr="00A83C94">
              <w:rPr>
                <w:rFonts w:cs="Calibri"/>
                <w:bCs/>
                <w:color w:val="FFFFFF" w:themeColor="background1"/>
                <w:szCs w:val="22"/>
                <w:lang w:val="hy-AM" w:eastAsia="en-US"/>
              </w:rPr>
              <w:t>301</w:t>
            </w:r>
          </w:p>
        </w:tc>
        <w:tc>
          <w:tcPr>
            <w:tcW w:w="1820" w:type="dxa"/>
            <w:shd w:val="clear" w:color="auto" w:fill="4F81BD" w:themeFill="accent1"/>
            <w:vAlign w:val="center"/>
            <w:hideMark/>
          </w:tcPr>
          <w:p w14:paraId="513F3E70" w14:textId="6FC35F4E" w:rsidR="00570952" w:rsidRPr="00A83C94" w:rsidRDefault="00570952" w:rsidP="006C390E">
            <w:pPr>
              <w:spacing w:before="0" w:line="276" w:lineRule="auto"/>
              <w:ind w:firstLine="0"/>
              <w:contextualSpacing w:val="0"/>
              <w:jc w:val="center"/>
              <w:rPr>
                <w:rFonts w:cs="Calibri"/>
                <w:bCs/>
                <w:i/>
                <w:iCs/>
                <w:color w:val="FFFFFF" w:themeColor="background1"/>
                <w:szCs w:val="22"/>
                <w:lang w:val="en-US" w:eastAsia="en-US"/>
              </w:rPr>
            </w:pPr>
            <w:r w:rsidRPr="00A83C94">
              <w:rPr>
                <w:rFonts w:cs="Calibri"/>
                <w:bCs/>
                <w:i/>
                <w:iCs/>
                <w:color w:val="FFFFFF" w:themeColor="background1"/>
                <w:szCs w:val="22"/>
                <w:lang w:val="hy-AM" w:eastAsia="en-US"/>
              </w:rPr>
              <w:t>27</w:t>
            </w:r>
            <w:r w:rsidRPr="00A83C94">
              <w:rPr>
                <w:rFonts w:cs="Calibri"/>
                <w:bCs/>
                <w:i/>
                <w:iCs/>
                <w:color w:val="FFFFFF" w:themeColor="background1"/>
                <w:szCs w:val="22"/>
                <w:lang w:val="en-US" w:eastAsia="en-US"/>
              </w:rPr>
              <w:t>.3</w:t>
            </w:r>
            <w:r w:rsidR="00376BD1" w:rsidRPr="00A83C94">
              <w:rPr>
                <w:rFonts w:cs="Calibri"/>
                <w:bCs/>
                <w:i/>
                <w:iCs/>
                <w:color w:val="FFFFFF" w:themeColor="background1"/>
                <w:szCs w:val="22"/>
                <w:lang w:val="en-US" w:eastAsia="en-US"/>
              </w:rPr>
              <w:t>0</w:t>
            </w:r>
            <w:r w:rsidRPr="00A83C94">
              <w:rPr>
                <w:rFonts w:cs="Calibri"/>
                <w:bCs/>
                <w:i/>
                <w:iCs/>
                <w:color w:val="FFFFFF" w:themeColor="background1"/>
                <w:szCs w:val="22"/>
                <w:lang w:val="en-US" w:eastAsia="en-US"/>
              </w:rPr>
              <w:t>%</w:t>
            </w:r>
          </w:p>
        </w:tc>
        <w:tc>
          <w:tcPr>
            <w:tcW w:w="1820" w:type="dxa"/>
            <w:shd w:val="clear" w:color="auto" w:fill="4F81BD" w:themeFill="accent1"/>
            <w:vAlign w:val="center"/>
            <w:hideMark/>
          </w:tcPr>
          <w:p w14:paraId="024B24A2" w14:textId="2F3DC042" w:rsidR="00570952" w:rsidRPr="00A83C94" w:rsidRDefault="00570952" w:rsidP="006C390E">
            <w:pPr>
              <w:spacing w:before="0" w:line="276" w:lineRule="auto"/>
              <w:ind w:firstLine="0"/>
              <w:contextualSpacing w:val="0"/>
              <w:jc w:val="center"/>
              <w:rPr>
                <w:rFonts w:cs="Calibri"/>
                <w:bCs/>
                <w:i/>
                <w:iCs/>
                <w:color w:val="FFFFFF" w:themeColor="background1"/>
                <w:szCs w:val="22"/>
                <w:lang w:val="en-US" w:eastAsia="en-US"/>
              </w:rPr>
            </w:pPr>
            <w:r w:rsidRPr="00A83C94">
              <w:rPr>
                <w:rFonts w:cs="Calibri"/>
                <w:bCs/>
                <w:i/>
                <w:iCs/>
                <w:color w:val="FFFFFF" w:themeColor="background1"/>
                <w:szCs w:val="22"/>
                <w:lang w:val="hy-AM" w:eastAsia="en-US"/>
              </w:rPr>
              <w:t>6</w:t>
            </w:r>
            <w:r w:rsidRPr="00A83C94">
              <w:rPr>
                <w:rFonts w:cs="Calibri"/>
                <w:bCs/>
                <w:i/>
                <w:iCs/>
                <w:color w:val="FFFFFF" w:themeColor="background1"/>
                <w:szCs w:val="22"/>
                <w:lang w:val="en-US" w:eastAsia="en-US"/>
              </w:rPr>
              <w:t>.4</w:t>
            </w:r>
            <w:r w:rsidR="00376BD1" w:rsidRPr="00A83C94">
              <w:rPr>
                <w:rFonts w:cs="Calibri"/>
                <w:bCs/>
                <w:i/>
                <w:iCs/>
                <w:color w:val="FFFFFF" w:themeColor="background1"/>
                <w:szCs w:val="22"/>
                <w:lang w:val="en-US" w:eastAsia="en-US"/>
              </w:rPr>
              <w:t>0</w:t>
            </w:r>
            <w:r w:rsidRPr="00A83C94">
              <w:rPr>
                <w:rFonts w:cs="Calibri"/>
                <w:bCs/>
                <w:i/>
                <w:iCs/>
                <w:color w:val="FFFFFF" w:themeColor="background1"/>
                <w:szCs w:val="22"/>
                <w:lang w:val="en-US" w:eastAsia="en-US"/>
              </w:rPr>
              <w:t>%</w:t>
            </w:r>
          </w:p>
        </w:tc>
      </w:tr>
    </w:tbl>
    <w:p w14:paraId="192E878F" w14:textId="77777777" w:rsidR="00A00B8B" w:rsidRPr="00A83C94" w:rsidRDefault="00A00B8B" w:rsidP="006C390E">
      <w:pPr>
        <w:tabs>
          <w:tab w:val="left" w:pos="588"/>
        </w:tabs>
        <w:spacing w:before="0" w:line="276" w:lineRule="auto"/>
        <w:ind w:firstLine="0"/>
        <w:contextualSpacing w:val="0"/>
        <w:jc w:val="left"/>
        <w:rPr>
          <w:b w:val="0"/>
          <w:i/>
          <w:szCs w:val="22"/>
          <w:lang w:val="en-US" w:eastAsia="en-US"/>
        </w:rPr>
      </w:pPr>
    </w:p>
    <w:p w14:paraId="1EB60531" w14:textId="77777777" w:rsidR="00570952" w:rsidRPr="00A83C94" w:rsidRDefault="00570952" w:rsidP="006C390E">
      <w:pPr>
        <w:spacing w:before="0" w:line="276" w:lineRule="auto"/>
        <w:ind w:firstLine="0"/>
        <w:contextualSpacing w:val="0"/>
        <w:jc w:val="center"/>
        <w:rPr>
          <w:szCs w:val="22"/>
          <w:lang w:val="en-US" w:eastAsia="en-US"/>
        </w:rPr>
      </w:pPr>
    </w:p>
    <w:p w14:paraId="6D29C548" w14:textId="77777777" w:rsidR="00570952" w:rsidRPr="00A83C94" w:rsidRDefault="00570952" w:rsidP="006C390E">
      <w:pPr>
        <w:spacing w:before="0" w:line="276" w:lineRule="auto"/>
        <w:ind w:firstLine="0"/>
        <w:contextualSpacing w:val="0"/>
        <w:jc w:val="center"/>
        <w:rPr>
          <w:szCs w:val="22"/>
          <w:lang w:val="en-US" w:eastAsia="en-US"/>
        </w:rPr>
      </w:pPr>
    </w:p>
    <w:p w14:paraId="0CD5FBDE" w14:textId="77777777" w:rsidR="00570952" w:rsidRPr="00A83C94" w:rsidRDefault="00570952" w:rsidP="007730AA">
      <w:pPr>
        <w:spacing w:before="0" w:line="276" w:lineRule="auto"/>
        <w:ind w:firstLine="0"/>
        <w:contextualSpacing w:val="0"/>
        <w:jc w:val="center"/>
        <w:rPr>
          <w:szCs w:val="22"/>
          <w:lang w:val="en-US" w:eastAsia="en-US"/>
        </w:rPr>
      </w:pPr>
    </w:p>
    <w:p w14:paraId="21BD2394" w14:textId="77777777" w:rsidR="00570952" w:rsidRPr="00A83C94" w:rsidRDefault="00570952" w:rsidP="007730AA">
      <w:pPr>
        <w:spacing w:before="0" w:line="276" w:lineRule="auto"/>
        <w:ind w:firstLine="0"/>
        <w:contextualSpacing w:val="0"/>
        <w:jc w:val="center"/>
        <w:rPr>
          <w:szCs w:val="22"/>
          <w:lang w:val="en-US" w:eastAsia="en-US"/>
        </w:rPr>
      </w:pPr>
    </w:p>
    <w:p w14:paraId="7CC5639F" w14:textId="77777777" w:rsidR="00570952" w:rsidRPr="00A83C94" w:rsidRDefault="00570952" w:rsidP="007730AA">
      <w:pPr>
        <w:spacing w:before="0" w:line="276" w:lineRule="auto"/>
        <w:ind w:firstLine="0"/>
        <w:contextualSpacing w:val="0"/>
        <w:jc w:val="center"/>
        <w:rPr>
          <w:szCs w:val="22"/>
          <w:lang w:val="en-US" w:eastAsia="en-US"/>
        </w:rPr>
      </w:pPr>
    </w:p>
    <w:p w14:paraId="0D987C1D" w14:textId="77777777" w:rsidR="00570952" w:rsidRPr="00A83C94" w:rsidRDefault="00570952" w:rsidP="007730AA">
      <w:pPr>
        <w:spacing w:before="0" w:line="276" w:lineRule="auto"/>
        <w:ind w:firstLine="0"/>
        <w:contextualSpacing w:val="0"/>
        <w:jc w:val="center"/>
        <w:rPr>
          <w:szCs w:val="22"/>
          <w:lang w:val="en-US" w:eastAsia="en-US"/>
        </w:rPr>
      </w:pPr>
    </w:p>
    <w:p w14:paraId="09047CF4" w14:textId="77777777" w:rsidR="00570952" w:rsidRPr="00A83C94" w:rsidRDefault="00570952" w:rsidP="007730AA">
      <w:pPr>
        <w:spacing w:before="0" w:line="276" w:lineRule="auto"/>
        <w:ind w:firstLine="0"/>
        <w:contextualSpacing w:val="0"/>
        <w:jc w:val="center"/>
        <w:rPr>
          <w:szCs w:val="22"/>
          <w:lang w:val="en-US" w:eastAsia="en-US"/>
        </w:rPr>
      </w:pPr>
    </w:p>
    <w:p w14:paraId="155FA91F" w14:textId="77777777" w:rsidR="00570952" w:rsidRPr="00A83C94" w:rsidRDefault="00570952" w:rsidP="007730AA">
      <w:pPr>
        <w:spacing w:before="0" w:line="276" w:lineRule="auto"/>
        <w:ind w:firstLine="0"/>
        <w:contextualSpacing w:val="0"/>
        <w:jc w:val="center"/>
        <w:rPr>
          <w:szCs w:val="22"/>
          <w:lang w:val="en-US" w:eastAsia="en-US"/>
        </w:rPr>
      </w:pPr>
    </w:p>
    <w:p w14:paraId="1F11220E" w14:textId="15CBABA2" w:rsidR="002B0C15" w:rsidRDefault="002B0C15">
      <w:pPr>
        <w:spacing w:before="0" w:line="240" w:lineRule="auto"/>
        <w:ind w:firstLine="0"/>
        <w:contextualSpacing w:val="0"/>
        <w:jc w:val="left"/>
        <w:rPr>
          <w:szCs w:val="22"/>
          <w:lang w:val="en-US" w:eastAsia="en-US"/>
        </w:rPr>
      </w:pPr>
      <w:r>
        <w:rPr>
          <w:szCs w:val="22"/>
          <w:lang w:val="en-US" w:eastAsia="en-US"/>
        </w:rPr>
        <w:br w:type="page"/>
      </w:r>
    </w:p>
    <w:p w14:paraId="34BB7A8A" w14:textId="2C6CF173" w:rsidR="008B76F4" w:rsidRDefault="008B76F4" w:rsidP="00C662D0">
      <w:pPr>
        <w:spacing w:before="0" w:line="276" w:lineRule="auto"/>
        <w:ind w:firstLine="0"/>
        <w:jc w:val="center"/>
        <w:outlineLvl w:val="0"/>
        <w:rPr>
          <w:bCs/>
          <w:kern w:val="28"/>
          <w:sz w:val="28"/>
          <w:szCs w:val="28"/>
        </w:rPr>
      </w:pPr>
      <w:bookmarkStart w:id="371" w:name="_Toc499827216"/>
      <w:bookmarkStart w:id="372" w:name="_Toc26174959"/>
      <w:bookmarkStart w:id="373" w:name="_Toc89428350"/>
      <w:r w:rsidRPr="00A83C94">
        <w:rPr>
          <w:bCs/>
          <w:kern w:val="28"/>
          <w:sz w:val="28"/>
          <w:szCs w:val="28"/>
        </w:rPr>
        <w:t>ԱՂՅՈՒՍԱԿՆԵՐ</w:t>
      </w:r>
      <w:bookmarkEnd w:id="371"/>
      <w:bookmarkEnd w:id="372"/>
      <w:bookmarkEnd w:id="373"/>
    </w:p>
    <w:p w14:paraId="6A779F04" w14:textId="77777777" w:rsidR="00E379BD" w:rsidRDefault="00E379BD" w:rsidP="00C662D0">
      <w:pPr>
        <w:spacing w:before="0" w:line="276" w:lineRule="auto"/>
        <w:ind w:firstLine="0"/>
        <w:jc w:val="center"/>
        <w:outlineLvl w:val="0"/>
        <w:rPr>
          <w:bCs/>
          <w:kern w:val="28"/>
          <w:sz w:val="28"/>
          <w:szCs w:val="28"/>
        </w:rPr>
      </w:pPr>
    </w:p>
    <w:p w14:paraId="72462645" w14:textId="2F4E36DC" w:rsidR="00875D10" w:rsidRDefault="003C3925">
      <w:pPr>
        <w:pStyle w:val="TableofFigures"/>
        <w:rPr>
          <w:rFonts w:asciiTheme="minorHAnsi" w:eastAsiaTheme="minorEastAsia" w:hAnsiTheme="minorHAnsi" w:cstheme="minorBidi"/>
          <w:b w:val="0"/>
          <w:noProof/>
          <w:szCs w:val="22"/>
          <w:lang w:val="en-US" w:eastAsia="en-US"/>
        </w:rPr>
      </w:pPr>
      <w:r w:rsidRPr="00A83C94">
        <w:rPr>
          <w:rFonts w:eastAsia="Calibri" w:cs="Times Armenian"/>
          <w:szCs w:val="22"/>
          <w:lang w:val="hy-AM" w:eastAsia="en-US"/>
        </w:rPr>
        <w:fldChar w:fldCharType="begin"/>
      </w:r>
      <w:r w:rsidR="008B76F4" w:rsidRPr="00A83C94">
        <w:rPr>
          <w:rFonts w:eastAsia="Calibri" w:cs="Times Armenian"/>
          <w:szCs w:val="22"/>
          <w:lang w:val="hy-AM" w:eastAsia="en-US"/>
        </w:rPr>
        <w:instrText xml:space="preserve"> TOC \h \z \c "Աղյուսակ" </w:instrText>
      </w:r>
      <w:r w:rsidRPr="00A83C94">
        <w:rPr>
          <w:rFonts w:eastAsia="Calibri" w:cs="Times Armenian"/>
          <w:szCs w:val="22"/>
          <w:lang w:val="hy-AM" w:eastAsia="en-US"/>
        </w:rPr>
        <w:fldChar w:fldCharType="separate"/>
      </w:r>
      <w:hyperlink w:anchor="_Toc89428761" w:history="1">
        <w:r w:rsidR="00875D10" w:rsidRPr="008B3947">
          <w:rPr>
            <w:rStyle w:val="Hyperlink"/>
            <w:noProof/>
            <w:lang w:val="hy-AM"/>
          </w:rPr>
          <w:t xml:space="preserve">Աղյուսակ 1. </w:t>
        </w:r>
        <w:r w:rsidR="00875D10" w:rsidRPr="008B3947">
          <w:rPr>
            <w:rStyle w:val="Hyperlink"/>
            <w:i/>
            <w:noProof/>
            <w:lang w:val="hy-AM"/>
          </w:rPr>
          <w:t>2018-2022թթ պետական բյուջեի ամփոփ ցուցանիշները (մլրդ դրամով)</w:t>
        </w:r>
        <w:r w:rsidR="00875D10">
          <w:rPr>
            <w:noProof/>
            <w:webHidden/>
          </w:rPr>
          <w:tab/>
        </w:r>
        <w:r w:rsidR="00875D10">
          <w:rPr>
            <w:noProof/>
            <w:webHidden/>
          </w:rPr>
          <w:fldChar w:fldCharType="begin"/>
        </w:r>
        <w:r w:rsidR="00875D10">
          <w:rPr>
            <w:noProof/>
            <w:webHidden/>
          </w:rPr>
          <w:instrText xml:space="preserve"> PAGEREF _Toc89428761 \h </w:instrText>
        </w:r>
        <w:r w:rsidR="00875D10">
          <w:rPr>
            <w:noProof/>
            <w:webHidden/>
          </w:rPr>
        </w:r>
        <w:r w:rsidR="00875D10">
          <w:rPr>
            <w:noProof/>
            <w:webHidden/>
          </w:rPr>
          <w:fldChar w:fldCharType="separate"/>
        </w:r>
        <w:r w:rsidR="00875D10">
          <w:rPr>
            <w:noProof/>
            <w:webHidden/>
          </w:rPr>
          <w:t>90</w:t>
        </w:r>
        <w:r w:rsidR="00875D10">
          <w:rPr>
            <w:noProof/>
            <w:webHidden/>
          </w:rPr>
          <w:fldChar w:fldCharType="end"/>
        </w:r>
      </w:hyperlink>
    </w:p>
    <w:p w14:paraId="08372BCB" w14:textId="5D3F73DF" w:rsidR="00875D10" w:rsidRDefault="00875D10">
      <w:pPr>
        <w:pStyle w:val="TableofFigures"/>
        <w:rPr>
          <w:rFonts w:asciiTheme="minorHAnsi" w:eastAsiaTheme="minorEastAsia" w:hAnsiTheme="minorHAnsi" w:cstheme="minorBidi"/>
          <w:b w:val="0"/>
          <w:noProof/>
          <w:szCs w:val="22"/>
          <w:lang w:val="en-US" w:eastAsia="en-US"/>
        </w:rPr>
      </w:pPr>
      <w:hyperlink w:anchor="_Toc89428762" w:history="1">
        <w:r w:rsidRPr="008B3947">
          <w:rPr>
            <w:rStyle w:val="Hyperlink"/>
            <w:noProof/>
          </w:rPr>
          <w:t>Աղյուսակ</w:t>
        </w:r>
        <w:r w:rsidRPr="008B3947">
          <w:rPr>
            <w:rStyle w:val="Hyperlink"/>
            <w:noProof/>
            <w:lang w:val="es-ES"/>
          </w:rPr>
          <w:t xml:space="preserve"> 2</w:t>
        </w:r>
        <w:r w:rsidRPr="008B3947">
          <w:rPr>
            <w:rStyle w:val="Hyperlink"/>
            <w:rFonts w:ascii="Cambria Math" w:hAnsi="Cambria Math" w:cs="Cambria Math"/>
            <w:noProof/>
            <w:lang w:val="hy-AM"/>
          </w:rPr>
          <w:t>․</w:t>
        </w:r>
        <w:r w:rsidRPr="008B3947">
          <w:rPr>
            <w:rStyle w:val="Hyperlink"/>
            <w:i/>
            <w:noProof/>
            <w:lang w:val="hy-AM"/>
          </w:rPr>
          <w:t xml:space="preserve"> 202</w:t>
        </w:r>
        <w:r w:rsidRPr="008B3947">
          <w:rPr>
            <w:rStyle w:val="Hyperlink"/>
            <w:i/>
            <w:noProof/>
            <w:lang w:val="es-ES"/>
          </w:rPr>
          <w:t>2</w:t>
        </w:r>
        <w:r w:rsidRPr="008B3947">
          <w:rPr>
            <w:rStyle w:val="Hyperlink"/>
            <w:i/>
            <w:noProof/>
            <w:lang w:val="hy-AM"/>
          </w:rPr>
          <w:t>թ ակնկալվող արտաքին օժանդակությունն ըստ բնույթի</w:t>
        </w:r>
        <w:r>
          <w:rPr>
            <w:noProof/>
            <w:webHidden/>
          </w:rPr>
          <w:tab/>
        </w:r>
        <w:r>
          <w:rPr>
            <w:noProof/>
            <w:webHidden/>
          </w:rPr>
          <w:fldChar w:fldCharType="begin"/>
        </w:r>
        <w:r>
          <w:rPr>
            <w:noProof/>
            <w:webHidden/>
          </w:rPr>
          <w:instrText xml:space="preserve"> PAGEREF _Toc89428762 \h </w:instrText>
        </w:r>
        <w:r>
          <w:rPr>
            <w:noProof/>
            <w:webHidden/>
          </w:rPr>
        </w:r>
        <w:r>
          <w:rPr>
            <w:noProof/>
            <w:webHidden/>
          </w:rPr>
          <w:fldChar w:fldCharType="separate"/>
        </w:r>
        <w:r>
          <w:rPr>
            <w:noProof/>
            <w:webHidden/>
          </w:rPr>
          <w:t>93</w:t>
        </w:r>
        <w:r>
          <w:rPr>
            <w:noProof/>
            <w:webHidden/>
          </w:rPr>
          <w:fldChar w:fldCharType="end"/>
        </w:r>
      </w:hyperlink>
    </w:p>
    <w:p w14:paraId="4797AEA3" w14:textId="0B62F75F" w:rsidR="00875D10" w:rsidRDefault="00875D10">
      <w:pPr>
        <w:pStyle w:val="TableofFigures"/>
        <w:rPr>
          <w:rFonts w:asciiTheme="minorHAnsi" w:eastAsiaTheme="minorEastAsia" w:hAnsiTheme="minorHAnsi" w:cstheme="minorBidi"/>
          <w:b w:val="0"/>
          <w:noProof/>
          <w:szCs w:val="22"/>
          <w:lang w:val="en-US" w:eastAsia="en-US"/>
        </w:rPr>
      </w:pPr>
      <w:hyperlink w:anchor="_Toc89428763" w:history="1">
        <w:r w:rsidRPr="008B3947">
          <w:rPr>
            <w:rStyle w:val="Hyperlink"/>
            <w:noProof/>
            <w:lang w:val="hy-AM"/>
          </w:rPr>
          <w:t>Աղյուսակ 3</w:t>
        </w:r>
        <w:r w:rsidRPr="008B3947">
          <w:rPr>
            <w:rStyle w:val="Hyperlink"/>
            <w:rFonts w:ascii="Cambria Math" w:hAnsi="Cambria Math" w:cs="Cambria Math"/>
            <w:noProof/>
            <w:lang w:val="hy-AM"/>
          </w:rPr>
          <w:t>․</w:t>
        </w:r>
        <w:r w:rsidRPr="008B3947">
          <w:rPr>
            <w:rStyle w:val="Hyperlink"/>
            <w:rFonts w:ascii="Cambria Math" w:hAnsi="Cambria Math"/>
            <w:noProof/>
            <w:lang w:val="hy-AM"/>
          </w:rPr>
          <w:t xml:space="preserve"> </w:t>
        </w:r>
        <w:r w:rsidRPr="008B3947">
          <w:rPr>
            <w:rStyle w:val="Hyperlink"/>
            <w:i/>
            <w:noProof/>
            <w:lang w:val="hy-AM"/>
          </w:rPr>
          <w:t>ՀՀ 2022 թվականի պետական բյուջեի նախագծի հաշվարկներում կիրառված տարադրամների փոխարժեքները ՀՀ դրամով</w:t>
        </w:r>
        <w:r>
          <w:rPr>
            <w:noProof/>
            <w:webHidden/>
          </w:rPr>
          <w:tab/>
        </w:r>
        <w:r>
          <w:rPr>
            <w:noProof/>
            <w:webHidden/>
          </w:rPr>
          <w:fldChar w:fldCharType="begin"/>
        </w:r>
        <w:r>
          <w:rPr>
            <w:noProof/>
            <w:webHidden/>
          </w:rPr>
          <w:instrText xml:space="preserve"> PAGEREF _Toc89428763 \h </w:instrText>
        </w:r>
        <w:r>
          <w:rPr>
            <w:noProof/>
            <w:webHidden/>
          </w:rPr>
        </w:r>
        <w:r>
          <w:rPr>
            <w:noProof/>
            <w:webHidden/>
          </w:rPr>
          <w:fldChar w:fldCharType="separate"/>
        </w:r>
        <w:r>
          <w:rPr>
            <w:noProof/>
            <w:webHidden/>
          </w:rPr>
          <w:t>93</w:t>
        </w:r>
        <w:r>
          <w:rPr>
            <w:noProof/>
            <w:webHidden/>
          </w:rPr>
          <w:fldChar w:fldCharType="end"/>
        </w:r>
      </w:hyperlink>
    </w:p>
    <w:p w14:paraId="21137D48" w14:textId="5707BDEC" w:rsidR="00875D10" w:rsidRDefault="00875D10">
      <w:pPr>
        <w:pStyle w:val="TableofFigures"/>
        <w:rPr>
          <w:rFonts w:asciiTheme="minorHAnsi" w:eastAsiaTheme="minorEastAsia" w:hAnsiTheme="minorHAnsi" w:cstheme="minorBidi"/>
          <w:b w:val="0"/>
          <w:noProof/>
          <w:szCs w:val="22"/>
          <w:lang w:val="en-US" w:eastAsia="en-US"/>
        </w:rPr>
      </w:pPr>
      <w:hyperlink w:anchor="_Toc89428764" w:history="1">
        <w:r w:rsidRPr="008B3947">
          <w:rPr>
            <w:rStyle w:val="Hyperlink"/>
            <w:noProof/>
            <w:lang w:val="hy-AM"/>
          </w:rPr>
          <w:t>Աղյուսակ 4</w:t>
        </w:r>
        <w:r w:rsidRPr="008B3947">
          <w:rPr>
            <w:rStyle w:val="Hyperlink"/>
            <w:rFonts w:ascii="Cambria Math" w:hAnsi="Cambria Math" w:cs="Cambria Math"/>
            <w:noProof/>
            <w:lang w:val="hy-AM"/>
          </w:rPr>
          <w:t>․</w:t>
        </w:r>
        <w:r w:rsidRPr="008B3947">
          <w:rPr>
            <w:rStyle w:val="Hyperlink"/>
            <w:rFonts w:ascii="Cambria Math" w:hAnsi="Cambria Math"/>
            <w:noProof/>
            <w:lang w:val="hy-AM"/>
          </w:rPr>
          <w:t xml:space="preserve"> </w:t>
        </w:r>
        <w:r w:rsidRPr="008B3947">
          <w:rPr>
            <w:rStyle w:val="Hyperlink"/>
            <w:i/>
            <w:noProof/>
            <w:lang w:val="hy-AM"/>
          </w:rPr>
          <w:t>ՀՀ 2018-2022թթ. պետական բյուջեների դեֆիցիտի ֆինանսավորման աղբյուրները (մլն դրամ)</w:t>
        </w:r>
        <w:r>
          <w:rPr>
            <w:noProof/>
            <w:webHidden/>
          </w:rPr>
          <w:tab/>
        </w:r>
        <w:r>
          <w:rPr>
            <w:noProof/>
            <w:webHidden/>
          </w:rPr>
          <w:fldChar w:fldCharType="begin"/>
        </w:r>
        <w:r>
          <w:rPr>
            <w:noProof/>
            <w:webHidden/>
          </w:rPr>
          <w:instrText xml:space="preserve"> PAGEREF _Toc89428764 \h </w:instrText>
        </w:r>
        <w:r>
          <w:rPr>
            <w:noProof/>
            <w:webHidden/>
          </w:rPr>
        </w:r>
        <w:r>
          <w:rPr>
            <w:noProof/>
            <w:webHidden/>
          </w:rPr>
          <w:fldChar w:fldCharType="separate"/>
        </w:r>
        <w:r>
          <w:rPr>
            <w:noProof/>
            <w:webHidden/>
          </w:rPr>
          <w:t>95</w:t>
        </w:r>
        <w:r>
          <w:rPr>
            <w:noProof/>
            <w:webHidden/>
          </w:rPr>
          <w:fldChar w:fldCharType="end"/>
        </w:r>
      </w:hyperlink>
    </w:p>
    <w:p w14:paraId="03B9F360" w14:textId="11C98F62" w:rsidR="00875D10" w:rsidRDefault="00875D10">
      <w:pPr>
        <w:pStyle w:val="TableofFigures"/>
        <w:rPr>
          <w:rFonts w:asciiTheme="minorHAnsi" w:eastAsiaTheme="minorEastAsia" w:hAnsiTheme="minorHAnsi" w:cstheme="minorBidi"/>
          <w:b w:val="0"/>
          <w:noProof/>
          <w:szCs w:val="22"/>
          <w:lang w:val="en-US" w:eastAsia="en-US"/>
        </w:rPr>
      </w:pPr>
      <w:hyperlink w:anchor="_Toc89428765" w:history="1">
        <w:r w:rsidRPr="008B3947">
          <w:rPr>
            <w:rStyle w:val="Hyperlink"/>
            <w:noProof/>
          </w:rPr>
          <w:t>Աղյուսակ</w:t>
        </w:r>
        <w:r w:rsidRPr="008B3947">
          <w:rPr>
            <w:rStyle w:val="Hyperlink"/>
            <w:noProof/>
            <w:lang w:val="en-US"/>
          </w:rPr>
          <w:t xml:space="preserve"> 5</w:t>
        </w:r>
        <w:r w:rsidRPr="008B3947">
          <w:rPr>
            <w:rStyle w:val="Hyperlink"/>
            <w:rFonts w:ascii="Cambria Math" w:hAnsi="Cambria Math" w:cs="Cambria Math"/>
            <w:noProof/>
            <w:lang w:val="hy-AM"/>
          </w:rPr>
          <w:t>․</w:t>
        </w:r>
        <w:r w:rsidRPr="008B3947">
          <w:rPr>
            <w:rStyle w:val="Hyperlink"/>
            <w:rFonts w:ascii="Cambria Math" w:hAnsi="Cambria Math"/>
            <w:noProof/>
            <w:lang w:val="hy-AM"/>
          </w:rPr>
          <w:t xml:space="preserve"> </w:t>
        </w:r>
        <w:r w:rsidRPr="008B3947">
          <w:rPr>
            <w:rStyle w:val="Hyperlink"/>
            <w:i/>
            <w:noProof/>
            <w:lang w:val="hy-AM"/>
          </w:rPr>
          <w:t>Ընդհանուր և առաջնային դեֆիցիտները (%-ով ՀՆԱ-ի նկատմամբ) 202</w:t>
        </w:r>
        <w:r w:rsidRPr="008B3947">
          <w:rPr>
            <w:rStyle w:val="Hyperlink"/>
            <w:i/>
            <w:noProof/>
            <w:lang w:val="en-US"/>
          </w:rPr>
          <w:t>2</w:t>
        </w:r>
        <w:r w:rsidRPr="008B3947">
          <w:rPr>
            <w:rStyle w:val="Hyperlink"/>
            <w:i/>
            <w:noProof/>
            <w:lang w:val="hy-AM"/>
          </w:rPr>
          <w:t>թ</w:t>
        </w:r>
        <w:r w:rsidRPr="008B3947">
          <w:rPr>
            <w:rStyle w:val="Hyperlink"/>
            <w:i/>
            <w:noProof/>
            <w:lang w:val="en-US"/>
          </w:rPr>
          <w:t>.</w:t>
        </w:r>
        <w:r>
          <w:rPr>
            <w:noProof/>
            <w:webHidden/>
          </w:rPr>
          <w:tab/>
        </w:r>
        <w:r>
          <w:rPr>
            <w:noProof/>
            <w:webHidden/>
          </w:rPr>
          <w:fldChar w:fldCharType="begin"/>
        </w:r>
        <w:r>
          <w:rPr>
            <w:noProof/>
            <w:webHidden/>
          </w:rPr>
          <w:instrText xml:space="preserve"> PAGEREF _Toc89428765 \h </w:instrText>
        </w:r>
        <w:r>
          <w:rPr>
            <w:noProof/>
            <w:webHidden/>
          </w:rPr>
        </w:r>
        <w:r>
          <w:rPr>
            <w:noProof/>
            <w:webHidden/>
          </w:rPr>
          <w:fldChar w:fldCharType="separate"/>
        </w:r>
        <w:r>
          <w:rPr>
            <w:noProof/>
            <w:webHidden/>
          </w:rPr>
          <w:t>95</w:t>
        </w:r>
        <w:r>
          <w:rPr>
            <w:noProof/>
            <w:webHidden/>
          </w:rPr>
          <w:fldChar w:fldCharType="end"/>
        </w:r>
      </w:hyperlink>
    </w:p>
    <w:p w14:paraId="0FBA508B" w14:textId="6A5423E9" w:rsidR="00875D10" w:rsidRDefault="00875D10">
      <w:pPr>
        <w:pStyle w:val="TableofFigures"/>
        <w:rPr>
          <w:rFonts w:asciiTheme="minorHAnsi" w:eastAsiaTheme="minorEastAsia" w:hAnsiTheme="minorHAnsi" w:cstheme="minorBidi"/>
          <w:b w:val="0"/>
          <w:noProof/>
          <w:szCs w:val="22"/>
          <w:lang w:val="en-US" w:eastAsia="en-US"/>
        </w:rPr>
      </w:pPr>
      <w:hyperlink w:anchor="_Toc89428766" w:history="1">
        <w:r w:rsidRPr="008B3947">
          <w:rPr>
            <w:rStyle w:val="Hyperlink"/>
            <w:noProof/>
            <w:lang w:val="hy-AM"/>
          </w:rPr>
          <w:t>Աղյուսակ 6</w:t>
        </w:r>
        <w:r w:rsidRPr="008B3947">
          <w:rPr>
            <w:rStyle w:val="Hyperlink"/>
            <w:rFonts w:ascii="Cambria Math" w:hAnsi="Cambria Math" w:cs="Cambria Math"/>
            <w:noProof/>
            <w:lang w:val="hy-AM"/>
          </w:rPr>
          <w:t>․</w:t>
        </w:r>
        <w:r w:rsidRPr="008B3947">
          <w:rPr>
            <w:rStyle w:val="Hyperlink"/>
            <w:rFonts w:ascii="Cambria Math" w:hAnsi="Cambria Math"/>
            <w:noProof/>
            <w:lang w:val="hy-AM"/>
          </w:rPr>
          <w:t xml:space="preserve"> </w:t>
        </w:r>
        <w:r w:rsidRPr="008B3947">
          <w:rPr>
            <w:rStyle w:val="Hyperlink"/>
            <w:i/>
            <w:noProof/>
            <w:lang w:val="hy-AM"/>
          </w:rPr>
          <w:t>2018-202</w:t>
        </w:r>
        <w:r w:rsidRPr="008B3947">
          <w:rPr>
            <w:rStyle w:val="Hyperlink"/>
            <w:i/>
            <w:noProof/>
            <w:lang w:val="fr-FR"/>
          </w:rPr>
          <w:t>2</w:t>
        </w:r>
        <w:r w:rsidRPr="008B3947">
          <w:rPr>
            <w:rStyle w:val="Hyperlink"/>
            <w:i/>
            <w:noProof/>
            <w:lang w:val="hy-AM"/>
          </w:rPr>
          <w:t>թթ փաստացի/կանխատեսումային բյուջետային եկամուտները (մլրդ դրամներով)</w:t>
        </w:r>
        <w:r>
          <w:rPr>
            <w:noProof/>
            <w:webHidden/>
          </w:rPr>
          <w:tab/>
        </w:r>
        <w:r>
          <w:rPr>
            <w:noProof/>
            <w:webHidden/>
          </w:rPr>
          <w:fldChar w:fldCharType="begin"/>
        </w:r>
        <w:r>
          <w:rPr>
            <w:noProof/>
            <w:webHidden/>
          </w:rPr>
          <w:instrText xml:space="preserve"> PAGEREF _Toc89428766 \h </w:instrText>
        </w:r>
        <w:r>
          <w:rPr>
            <w:noProof/>
            <w:webHidden/>
          </w:rPr>
        </w:r>
        <w:r>
          <w:rPr>
            <w:noProof/>
            <w:webHidden/>
          </w:rPr>
          <w:fldChar w:fldCharType="separate"/>
        </w:r>
        <w:r>
          <w:rPr>
            <w:noProof/>
            <w:webHidden/>
          </w:rPr>
          <w:t>96</w:t>
        </w:r>
        <w:r>
          <w:rPr>
            <w:noProof/>
            <w:webHidden/>
          </w:rPr>
          <w:fldChar w:fldCharType="end"/>
        </w:r>
      </w:hyperlink>
    </w:p>
    <w:p w14:paraId="79B08D7B" w14:textId="57AC1D55" w:rsidR="00875D10" w:rsidRDefault="00875D10">
      <w:pPr>
        <w:pStyle w:val="TableofFigures"/>
        <w:rPr>
          <w:rFonts w:asciiTheme="minorHAnsi" w:eastAsiaTheme="minorEastAsia" w:hAnsiTheme="minorHAnsi" w:cstheme="minorBidi"/>
          <w:b w:val="0"/>
          <w:noProof/>
          <w:szCs w:val="22"/>
          <w:lang w:val="en-US" w:eastAsia="en-US"/>
        </w:rPr>
      </w:pPr>
      <w:hyperlink w:anchor="_Toc89428767" w:history="1">
        <w:r w:rsidRPr="008B3947">
          <w:rPr>
            <w:rStyle w:val="Hyperlink"/>
            <w:noProof/>
            <w:lang w:val="hy-AM"/>
          </w:rPr>
          <w:t xml:space="preserve">Աղյուսակ 7. </w:t>
        </w:r>
        <w:r w:rsidRPr="008B3947">
          <w:rPr>
            <w:rStyle w:val="Hyperlink"/>
            <w:i/>
            <w:noProof/>
            <w:lang w:val="hy-AM"/>
          </w:rPr>
          <w:t>Պետական տուրքի կազմում հաշվառվող եկամտատեսակների գծով ՀՀ 2018-2022թթ փաստացի/կանխատեսումային ցուցանիշները (մլրդ դրամներով)</w:t>
        </w:r>
        <w:r>
          <w:rPr>
            <w:noProof/>
            <w:webHidden/>
          </w:rPr>
          <w:tab/>
        </w:r>
        <w:r>
          <w:rPr>
            <w:noProof/>
            <w:webHidden/>
          </w:rPr>
          <w:fldChar w:fldCharType="begin"/>
        </w:r>
        <w:r>
          <w:rPr>
            <w:noProof/>
            <w:webHidden/>
          </w:rPr>
          <w:instrText xml:space="preserve"> PAGEREF _Toc89428767 \h </w:instrText>
        </w:r>
        <w:r>
          <w:rPr>
            <w:noProof/>
            <w:webHidden/>
          </w:rPr>
        </w:r>
        <w:r>
          <w:rPr>
            <w:noProof/>
            <w:webHidden/>
          </w:rPr>
          <w:fldChar w:fldCharType="separate"/>
        </w:r>
        <w:r>
          <w:rPr>
            <w:noProof/>
            <w:webHidden/>
          </w:rPr>
          <w:t>99</w:t>
        </w:r>
        <w:r>
          <w:rPr>
            <w:noProof/>
            <w:webHidden/>
          </w:rPr>
          <w:fldChar w:fldCharType="end"/>
        </w:r>
      </w:hyperlink>
    </w:p>
    <w:p w14:paraId="05308F3D" w14:textId="45EA31BF" w:rsidR="00875D10" w:rsidRDefault="00875D10">
      <w:pPr>
        <w:pStyle w:val="TableofFigures"/>
        <w:rPr>
          <w:rFonts w:asciiTheme="minorHAnsi" w:eastAsiaTheme="minorEastAsia" w:hAnsiTheme="minorHAnsi" w:cstheme="minorBidi"/>
          <w:b w:val="0"/>
          <w:noProof/>
          <w:szCs w:val="22"/>
          <w:lang w:val="en-US" w:eastAsia="en-US"/>
        </w:rPr>
      </w:pPr>
      <w:hyperlink w:anchor="_Toc89428768" w:history="1">
        <w:r w:rsidRPr="008B3947">
          <w:rPr>
            <w:rStyle w:val="Hyperlink"/>
            <w:noProof/>
          </w:rPr>
          <w:t>Աղյուսակ</w:t>
        </w:r>
        <w:r w:rsidRPr="008B3947">
          <w:rPr>
            <w:rStyle w:val="Hyperlink"/>
            <w:noProof/>
            <w:lang w:val="af-ZA"/>
          </w:rPr>
          <w:t xml:space="preserve"> 8. </w:t>
        </w:r>
        <w:r w:rsidRPr="008B3947">
          <w:rPr>
            <w:rStyle w:val="Hyperlink"/>
            <w:i/>
            <w:noProof/>
            <w:lang w:val="hy-AM"/>
          </w:rPr>
          <w:t>2018-2022թթ փաստացի/կանխատեսումային պաշտոնական դրամաշնորհները (մլրդ դրամներով)</w:t>
        </w:r>
        <w:r>
          <w:rPr>
            <w:noProof/>
            <w:webHidden/>
          </w:rPr>
          <w:tab/>
        </w:r>
        <w:r>
          <w:rPr>
            <w:noProof/>
            <w:webHidden/>
          </w:rPr>
          <w:fldChar w:fldCharType="begin"/>
        </w:r>
        <w:r>
          <w:rPr>
            <w:noProof/>
            <w:webHidden/>
          </w:rPr>
          <w:instrText xml:space="preserve"> PAGEREF _Toc89428768 \h </w:instrText>
        </w:r>
        <w:r>
          <w:rPr>
            <w:noProof/>
            <w:webHidden/>
          </w:rPr>
        </w:r>
        <w:r>
          <w:rPr>
            <w:noProof/>
            <w:webHidden/>
          </w:rPr>
          <w:fldChar w:fldCharType="separate"/>
        </w:r>
        <w:r>
          <w:rPr>
            <w:noProof/>
            <w:webHidden/>
          </w:rPr>
          <w:t>104</w:t>
        </w:r>
        <w:r>
          <w:rPr>
            <w:noProof/>
            <w:webHidden/>
          </w:rPr>
          <w:fldChar w:fldCharType="end"/>
        </w:r>
      </w:hyperlink>
    </w:p>
    <w:p w14:paraId="32F3CBD6" w14:textId="5C09647A" w:rsidR="00875D10" w:rsidRDefault="00875D10">
      <w:pPr>
        <w:pStyle w:val="TableofFigures"/>
        <w:rPr>
          <w:rFonts w:asciiTheme="minorHAnsi" w:eastAsiaTheme="minorEastAsia" w:hAnsiTheme="minorHAnsi" w:cstheme="minorBidi"/>
          <w:b w:val="0"/>
          <w:noProof/>
          <w:szCs w:val="22"/>
          <w:lang w:val="en-US" w:eastAsia="en-US"/>
        </w:rPr>
      </w:pPr>
      <w:hyperlink w:anchor="_Toc89428769" w:history="1">
        <w:r w:rsidRPr="008B3947">
          <w:rPr>
            <w:rStyle w:val="Hyperlink"/>
            <w:noProof/>
          </w:rPr>
          <w:t>Աղյուսակ</w:t>
        </w:r>
        <w:r w:rsidRPr="008B3947">
          <w:rPr>
            <w:rStyle w:val="Hyperlink"/>
            <w:noProof/>
            <w:lang w:val="af-ZA"/>
          </w:rPr>
          <w:t xml:space="preserve"> 9. </w:t>
        </w:r>
        <w:r w:rsidRPr="008B3947">
          <w:rPr>
            <w:rStyle w:val="Hyperlink"/>
            <w:i/>
            <w:noProof/>
          </w:rPr>
          <w:t>Այլ</w:t>
        </w:r>
        <w:r w:rsidRPr="008B3947">
          <w:rPr>
            <w:rStyle w:val="Hyperlink"/>
            <w:i/>
            <w:noProof/>
            <w:lang w:val="af-ZA"/>
          </w:rPr>
          <w:t xml:space="preserve"> </w:t>
        </w:r>
        <w:r w:rsidRPr="008B3947">
          <w:rPr>
            <w:rStyle w:val="Hyperlink"/>
            <w:i/>
            <w:noProof/>
          </w:rPr>
          <w:t>եկամուտների</w:t>
        </w:r>
        <w:r w:rsidRPr="008B3947">
          <w:rPr>
            <w:rStyle w:val="Hyperlink"/>
            <w:i/>
            <w:noProof/>
            <w:lang w:val="af-ZA"/>
          </w:rPr>
          <w:t xml:space="preserve"> </w:t>
        </w:r>
        <w:r w:rsidRPr="008B3947">
          <w:rPr>
            <w:rStyle w:val="Hyperlink"/>
            <w:i/>
            <w:noProof/>
          </w:rPr>
          <w:t>կազմում</w:t>
        </w:r>
        <w:r w:rsidRPr="008B3947">
          <w:rPr>
            <w:rStyle w:val="Hyperlink"/>
            <w:i/>
            <w:noProof/>
            <w:lang w:val="af-ZA"/>
          </w:rPr>
          <w:t xml:space="preserve"> </w:t>
        </w:r>
        <w:r w:rsidRPr="008B3947">
          <w:rPr>
            <w:rStyle w:val="Hyperlink"/>
            <w:i/>
            <w:noProof/>
          </w:rPr>
          <w:t>հաշվառվող</w:t>
        </w:r>
        <w:r w:rsidRPr="008B3947">
          <w:rPr>
            <w:rStyle w:val="Hyperlink"/>
            <w:i/>
            <w:noProof/>
            <w:lang w:val="af-ZA"/>
          </w:rPr>
          <w:t xml:space="preserve"> </w:t>
        </w:r>
        <w:r w:rsidRPr="008B3947">
          <w:rPr>
            <w:rStyle w:val="Hyperlink"/>
            <w:i/>
            <w:noProof/>
          </w:rPr>
          <w:t>եկամտատեսակների</w:t>
        </w:r>
        <w:r w:rsidRPr="008B3947">
          <w:rPr>
            <w:rStyle w:val="Hyperlink"/>
            <w:i/>
            <w:noProof/>
            <w:lang w:val="af-ZA"/>
          </w:rPr>
          <w:t xml:space="preserve"> </w:t>
        </w:r>
        <w:r w:rsidRPr="008B3947">
          <w:rPr>
            <w:rStyle w:val="Hyperlink"/>
            <w:i/>
            <w:noProof/>
          </w:rPr>
          <w:t>գծով</w:t>
        </w:r>
        <w:r w:rsidRPr="008B3947">
          <w:rPr>
            <w:rStyle w:val="Hyperlink"/>
            <w:i/>
            <w:noProof/>
            <w:lang w:val="af-ZA"/>
          </w:rPr>
          <w:t xml:space="preserve"> </w:t>
        </w:r>
        <w:r w:rsidRPr="008B3947">
          <w:rPr>
            <w:rStyle w:val="Hyperlink"/>
            <w:i/>
            <w:noProof/>
          </w:rPr>
          <w:t>ՀՀ</w:t>
        </w:r>
        <w:r w:rsidRPr="008B3947">
          <w:rPr>
            <w:rStyle w:val="Hyperlink"/>
            <w:i/>
            <w:noProof/>
            <w:lang w:val="af-ZA"/>
          </w:rPr>
          <w:t xml:space="preserve"> 2018-2022</w:t>
        </w:r>
        <w:r w:rsidRPr="008B3947">
          <w:rPr>
            <w:rStyle w:val="Hyperlink"/>
            <w:i/>
            <w:noProof/>
          </w:rPr>
          <w:t>թթ</w:t>
        </w:r>
        <w:r w:rsidRPr="008B3947">
          <w:rPr>
            <w:rStyle w:val="Hyperlink"/>
            <w:i/>
            <w:noProof/>
            <w:lang w:val="af-ZA"/>
          </w:rPr>
          <w:t xml:space="preserve"> </w:t>
        </w:r>
        <w:r w:rsidRPr="008B3947">
          <w:rPr>
            <w:rStyle w:val="Hyperlink"/>
            <w:i/>
            <w:noProof/>
          </w:rPr>
          <w:t>փաստացի</w:t>
        </w:r>
        <w:r w:rsidRPr="008B3947">
          <w:rPr>
            <w:rStyle w:val="Hyperlink"/>
            <w:i/>
            <w:noProof/>
            <w:lang w:val="af-ZA"/>
          </w:rPr>
          <w:t>/</w:t>
        </w:r>
        <w:r w:rsidRPr="008B3947">
          <w:rPr>
            <w:rStyle w:val="Hyperlink"/>
            <w:i/>
            <w:noProof/>
          </w:rPr>
          <w:t>կանխատեսումային</w:t>
        </w:r>
        <w:r w:rsidRPr="008B3947">
          <w:rPr>
            <w:rStyle w:val="Hyperlink"/>
            <w:i/>
            <w:noProof/>
            <w:lang w:val="af-ZA"/>
          </w:rPr>
          <w:t xml:space="preserve"> </w:t>
        </w:r>
        <w:r w:rsidRPr="008B3947">
          <w:rPr>
            <w:rStyle w:val="Hyperlink"/>
            <w:i/>
            <w:noProof/>
          </w:rPr>
          <w:t>ցուցանիշները</w:t>
        </w:r>
        <w:r w:rsidRPr="008B3947">
          <w:rPr>
            <w:rStyle w:val="Hyperlink"/>
            <w:i/>
            <w:noProof/>
            <w:lang w:val="af-ZA"/>
          </w:rPr>
          <w:t xml:space="preserve"> (</w:t>
        </w:r>
        <w:r w:rsidRPr="008B3947">
          <w:rPr>
            <w:rStyle w:val="Hyperlink"/>
            <w:i/>
            <w:noProof/>
          </w:rPr>
          <w:t>մլրդ</w:t>
        </w:r>
        <w:r w:rsidRPr="008B3947">
          <w:rPr>
            <w:rStyle w:val="Hyperlink"/>
            <w:i/>
            <w:noProof/>
            <w:lang w:val="af-ZA"/>
          </w:rPr>
          <w:t xml:space="preserve"> </w:t>
        </w:r>
        <w:r w:rsidRPr="008B3947">
          <w:rPr>
            <w:rStyle w:val="Hyperlink"/>
            <w:i/>
            <w:noProof/>
          </w:rPr>
          <w:t>դրամներով</w:t>
        </w:r>
        <w:r w:rsidRPr="008B3947">
          <w:rPr>
            <w:rStyle w:val="Hyperlink"/>
            <w:i/>
            <w:noProof/>
            <w:lang w:val="af-ZA"/>
          </w:rPr>
          <w:t>)</w:t>
        </w:r>
        <w:r>
          <w:rPr>
            <w:noProof/>
            <w:webHidden/>
          </w:rPr>
          <w:tab/>
        </w:r>
        <w:r>
          <w:rPr>
            <w:noProof/>
            <w:webHidden/>
          </w:rPr>
          <w:fldChar w:fldCharType="begin"/>
        </w:r>
        <w:r>
          <w:rPr>
            <w:noProof/>
            <w:webHidden/>
          </w:rPr>
          <w:instrText xml:space="preserve"> PAGEREF _Toc89428769 \h </w:instrText>
        </w:r>
        <w:r>
          <w:rPr>
            <w:noProof/>
            <w:webHidden/>
          </w:rPr>
        </w:r>
        <w:r>
          <w:rPr>
            <w:noProof/>
            <w:webHidden/>
          </w:rPr>
          <w:fldChar w:fldCharType="separate"/>
        </w:r>
        <w:r>
          <w:rPr>
            <w:noProof/>
            <w:webHidden/>
          </w:rPr>
          <w:t>105</w:t>
        </w:r>
        <w:r>
          <w:rPr>
            <w:noProof/>
            <w:webHidden/>
          </w:rPr>
          <w:fldChar w:fldCharType="end"/>
        </w:r>
      </w:hyperlink>
    </w:p>
    <w:p w14:paraId="4DDF9ED1" w14:textId="0DC4019B" w:rsidR="00875D10" w:rsidRDefault="00875D10">
      <w:pPr>
        <w:pStyle w:val="TableofFigures"/>
        <w:rPr>
          <w:rFonts w:asciiTheme="minorHAnsi" w:eastAsiaTheme="minorEastAsia" w:hAnsiTheme="minorHAnsi" w:cstheme="minorBidi"/>
          <w:b w:val="0"/>
          <w:noProof/>
          <w:szCs w:val="22"/>
          <w:lang w:val="en-US" w:eastAsia="en-US"/>
        </w:rPr>
      </w:pPr>
      <w:hyperlink w:anchor="_Toc89428770" w:history="1">
        <w:r w:rsidRPr="008B3947">
          <w:rPr>
            <w:rStyle w:val="Hyperlink"/>
            <w:noProof/>
            <w:lang w:val="hy-AM"/>
          </w:rPr>
          <w:t>Աղյուսակ 10</w:t>
        </w:r>
        <w:r w:rsidRPr="008B3947">
          <w:rPr>
            <w:rStyle w:val="Hyperlink"/>
            <w:rFonts w:ascii="Cambria Math" w:hAnsi="Cambria Math" w:cs="Cambria Math"/>
            <w:noProof/>
            <w:lang w:val="hy-AM"/>
          </w:rPr>
          <w:t>․</w:t>
        </w:r>
        <w:r w:rsidRPr="008B3947">
          <w:rPr>
            <w:rStyle w:val="Hyperlink"/>
            <w:noProof/>
            <w:lang w:val="af-ZA"/>
          </w:rPr>
          <w:t xml:space="preserve"> </w:t>
        </w:r>
        <w:r w:rsidRPr="008B3947">
          <w:rPr>
            <w:rStyle w:val="Hyperlink"/>
            <w:i/>
            <w:noProof/>
            <w:lang w:val="af-ZA"/>
          </w:rPr>
          <w:t>2018-2022</w:t>
        </w:r>
        <w:r w:rsidRPr="008B3947">
          <w:rPr>
            <w:rStyle w:val="Hyperlink"/>
            <w:i/>
            <w:noProof/>
            <w:lang w:val="hy-AM"/>
          </w:rPr>
          <w:t>թթ</w:t>
        </w:r>
        <w:r w:rsidRPr="008B3947">
          <w:rPr>
            <w:rStyle w:val="Hyperlink"/>
            <w:i/>
            <w:noProof/>
            <w:lang w:val="af-ZA"/>
          </w:rPr>
          <w:t xml:space="preserve"> </w:t>
        </w:r>
        <w:r w:rsidRPr="008B3947">
          <w:rPr>
            <w:rStyle w:val="Hyperlink"/>
            <w:i/>
            <w:noProof/>
            <w:lang w:val="hy-AM"/>
          </w:rPr>
          <w:t>ընթացիկ</w:t>
        </w:r>
        <w:r w:rsidRPr="008B3947">
          <w:rPr>
            <w:rStyle w:val="Hyperlink"/>
            <w:i/>
            <w:noProof/>
            <w:lang w:val="af-ZA"/>
          </w:rPr>
          <w:t xml:space="preserve"> </w:t>
        </w:r>
        <w:r w:rsidRPr="008B3947">
          <w:rPr>
            <w:rStyle w:val="Hyperlink"/>
            <w:i/>
            <w:noProof/>
            <w:lang w:val="hy-AM"/>
          </w:rPr>
          <w:t>և</w:t>
        </w:r>
        <w:r w:rsidRPr="008B3947">
          <w:rPr>
            <w:rStyle w:val="Hyperlink"/>
            <w:i/>
            <w:noProof/>
            <w:lang w:val="af-ZA"/>
          </w:rPr>
          <w:t xml:space="preserve"> </w:t>
        </w:r>
        <w:r w:rsidRPr="008B3947">
          <w:rPr>
            <w:rStyle w:val="Hyperlink"/>
            <w:i/>
            <w:noProof/>
            <w:lang w:val="hy-AM"/>
          </w:rPr>
          <w:t>ոչ</w:t>
        </w:r>
        <w:r w:rsidRPr="008B3947">
          <w:rPr>
            <w:rStyle w:val="Hyperlink"/>
            <w:i/>
            <w:noProof/>
            <w:lang w:val="af-ZA"/>
          </w:rPr>
          <w:t xml:space="preserve"> </w:t>
        </w:r>
        <w:r w:rsidRPr="008B3947">
          <w:rPr>
            <w:rStyle w:val="Hyperlink"/>
            <w:i/>
            <w:noProof/>
            <w:lang w:val="hy-AM"/>
          </w:rPr>
          <w:t>ֆինանսական</w:t>
        </w:r>
        <w:r w:rsidRPr="008B3947">
          <w:rPr>
            <w:rStyle w:val="Hyperlink"/>
            <w:i/>
            <w:noProof/>
            <w:lang w:val="af-ZA"/>
          </w:rPr>
          <w:t xml:space="preserve"> </w:t>
        </w:r>
        <w:r w:rsidRPr="008B3947">
          <w:rPr>
            <w:rStyle w:val="Hyperlink"/>
            <w:i/>
            <w:noProof/>
            <w:lang w:val="hy-AM"/>
          </w:rPr>
          <w:t>ակտիվների</w:t>
        </w:r>
        <w:r w:rsidRPr="008B3947">
          <w:rPr>
            <w:rStyle w:val="Hyperlink"/>
            <w:i/>
            <w:noProof/>
            <w:lang w:val="af-ZA"/>
          </w:rPr>
          <w:t xml:space="preserve"> </w:t>
        </w:r>
        <w:r w:rsidRPr="008B3947">
          <w:rPr>
            <w:rStyle w:val="Hyperlink"/>
            <w:i/>
            <w:noProof/>
            <w:lang w:val="hy-AM"/>
          </w:rPr>
          <w:t>գծով</w:t>
        </w:r>
        <w:r w:rsidRPr="008B3947">
          <w:rPr>
            <w:rStyle w:val="Hyperlink"/>
            <w:i/>
            <w:noProof/>
            <w:lang w:val="af-ZA"/>
          </w:rPr>
          <w:t xml:space="preserve"> </w:t>
        </w:r>
        <w:r w:rsidRPr="008B3947">
          <w:rPr>
            <w:rStyle w:val="Hyperlink"/>
            <w:i/>
            <w:noProof/>
            <w:lang w:val="hy-AM"/>
          </w:rPr>
          <w:t>ծախսերի</w:t>
        </w:r>
        <w:r w:rsidRPr="008B3947">
          <w:rPr>
            <w:rStyle w:val="Hyperlink"/>
            <w:i/>
            <w:noProof/>
            <w:lang w:val="af-ZA"/>
          </w:rPr>
          <w:t xml:space="preserve"> </w:t>
        </w:r>
        <w:r w:rsidRPr="008B3947">
          <w:rPr>
            <w:rStyle w:val="Hyperlink"/>
            <w:i/>
            <w:noProof/>
            <w:lang w:val="hy-AM"/>
          </w:rPr>
          <w:t>փոփոխության</w:t>
        </w:r>
        <w:r w:rsidRPr="008B3947">
          <w:rPr>
            <w:rStyle w:val="Hyperlink"/>
            <w:i/>
            <w:noProof/>
            <w:lang w:val="af-ZA"/>
          </w:rPr>
          <w:t xml:space="preserve"> </w:t>
        </w:r>
        <w:r w:rsidRPr="008B3947">
          <w:rPr>
            <w:rStyle w:val="Hyperlink"/>
            <w:i/>
            <w:noProof/>
            <w:lang w:val="hy-AM"/>
          </w:rPr>
          <w:t>և</w:t>
        </w:r>
        <w:r w:rsidRPr="008B3947">
          <w:rPr>
            <w:rStyle w:val="Hyperlink"/>
            <w:i/>
            <w:noProof/>
            <w:lang w:val="af-ZA"/>
          </w:rPr>
          <w:t xml:space="preserve"> </w:t>
        </w:r>
        <w:r w:rsidRPr="008B3947">
          <w:rPr>
            <w:rStyle w:val="Hyperlink"/>
            <w:i/>
            <w:noProof/>
            <w:lang w:val="hy-AM"/>
          </w:rPr>
          <w:t>հարաբերակցության</w:t>
        </w:r>
        <w:r w:rsidRPr="008B3947">
          <w:rPr>
            <w:rStyle w:val="Hyperlink"/>
            <w:i/>
            <w:noProof/>
            <w:lang w:val="af-ZA"/>
          </w:rPr>
          <w:t xml:space="preserve"> </w:t>
        </w:r>
        <w:r w:rsidRPr="008B3947">
          <w:rPr>
            <w:rStyle w:val="Hyperlink"/>
            <w:i/>
            <w:noProof/>
            <w:lang w:val="hy-AM"/>
          </w:rPr>
          <w:t>միտումները</w:t>
        </w:r>
        <w:r>
          <w:rPr>
            <w:noProof/>
            <w:webHidden/>
          </w:rPr>
          <w:tab/>
        </w:r>
        <w:r>
          <w:rPr>
            <w:noProof/>
            <w:webHidden/>
          </w:rPr>
          <w:fldChar w:fldCharType="begin"/>
        </w:r>
        <w:r>
          <w:rPr>
            <w:noProof/>
            <w:webHidden/>
          </w:rPr>
          <w:instrText xml:space="preserve"> PAGEREF _Toc89428770 \h </w:instrText>
        </w:r>
        <w:r>
          <w:rPr>
            <w:noProof/>
            <w:webHidden/>
          </w:rPr>
        </w:r>
        <w:r>
          <w:rPr>
            <w:noProof/>
            <w:webHidden/>
          </w:rPr>
          <w:fldChar w:fldCharType="separate"/>
        </w:r>
        <w:r>
          <w:rPr>
            <w:noProof/>
            <w:webHidden/>
          </w:rPr>
          <w:t>109</w:t>
        </w:r>
        <w:r>
          <w:rPr>
            <w:noProof/>
            <w:webHidden/>
          </w:rPr>
          <w:fldChar w:fldCharType="end"/>
        </w:r>
      </w:hyperlink>
    </w:p>
    <w:p w14:paraId="16DC9C1C" w14:textId="3B4DAE34" w:rsidR="00875D10" w:rsidRDefault="00875D10">
      <w:pPr>
        <w:pStyle w:val="TableofFigures"/>
        <w:rPr>
          <w:rFonts w:asciiTheme="minorHAnsi" w:eastAsiaTheme="minorEastAsia" w:hAnsiTheme="minorHAnsi" w:cstheme="minorBidi"/>
          <w:b w:val="0"/>
          <w:noProof/>
          <w:szCs w:val="22"/>
          <w:lang w:val="en-US" w:eastAsia="en-US"/>
        </w:rPr>
      </w:pPr>
      <w:hyperlink w:anchor="_Toc89428771" w:history="1">
        <w:r w:rsidRPr="008B3947">
          <w:rPr>
            <w:rStyle w:val="Hyperlink"/>
            <w:noProof/>
            <w:lang w:val="hy-AM"/>
          </w:rPr>
          <w:t>Աղյուսակ 11</w:t>
        </w:r>
        <w:r w:rsidRPr="008B3947">
          <w:rPr>
            <w:rStyle w:val="Hyperlink"/>
            <w:rFonts w:ascii="Cambria Math" w:hAnsi="Cambria Math" w:cs="Cambria Math"/>
            <w:noProof/>
            <w:lang w:val="hy-AM"/>
          </w:rPr>
          <w:t>․</w:t>
        </w:r>
        <w:r w:rsidRPr="008B3947">
          <w:rPr>
            <w:rStyle w:val="Hyperlink"/>
            <w:noProof/>
            <w:lang w:val="hy-AM"/>
          </w:rPr>
          <w:t xml:space="preserve"> </w:t>
        </w:r>
        <w:r w:rsidRPr="008B3947">
          <w:rPr>
            <w:rStyle w:val="Hyperlink"/>
            <w:i/>
            <w:noProof/>
            <w:lang w:val="hy-AM"/>
          </w:rPr>
          <w:t>2018-2022թթ ընթացիկ ծախսերի ֆինանսավորման կառուցվածը ըստ տնտեսագիտական դասակարգման</w:t>
        </w:r>
        <w:r>
          <w:rPr>
            <w:noProof/>
            <w:webHidden/>
          </w:rPr>
          <w:tab/>
        </w:r>
        <w:r>
          <w:rPr>
            <w:noProof/>
            <w:webHidden/>
          </w:rPr>
          <w:fldChar w:fldCharType="begin"/>
        </w:r>
        <w:r>
          <w:rPr>
            <w:noProof/>
            <w:webHidden/>
          </w:rPr>
          <w:instrText xml:space="preserve"> PAGEREF _Toc89428771 \h </w:instrText>
        </w:r>
        <w:r>
          <w:rPr>
            <w:noProof/>
            <w:webHidden/>
          </w:rPr>
        </w:r>
        <w:r>
          <w:rPr>
            <w:noProof/>
            <w:webHidden/>
          </w:rPr>
          <w:fldChar w:fldCharType="separate"/>
        </w:r>
        <w:r>
          <w:rPr>
            <w:noProof/>
            <w:webHidden/>
          </w:rPr>
          <w:t>111</w:t>
        </w:r>
        <w:r>
          <w:rPr>
            <w:noProof/>
            <w:webHidden/>
          </w:rPr>
          <w:fldChar w:fldCharType="end"/>
        </w:r>
      </w:hyperlink>
    </w:p>
    <w:p w14:paraId="285D8C08" w14:textId="6ACEC95C" w:rsidR="00875D10" w:rsidRDefault="00875D10">
      <w:pPr>
        <w:pStyle w:val="TableofFigures"/>
        <w:rPr>
          <w:rFonts w:asciiTheme="minorHAnsi" w:eastAsiaTheme="minorEastAsia" w:hAnsiTheme="minorHAnsi" w:cstheme="minorBidi"/>
          <w:b w:val="0"/>
          <w:noProof/>
          <w:szCs w:val="22"/>
          <w:lang w:val="en-US" w:eastAsia="en-US"/>
        </w:rPr>
      </w:pPr>
      <w:hyperlink w:anchor="_Toc89428772" w:history="1">
        <w:r w:rsidRPr="008B3947">
          <w:rPr>
            <w:rStyle w:val="Hyperlink"/>
            <w:noProof/>
          </w:rPr>
          <w:t>Աղյուսակ</w:t>
        </w:r>
        <w:r w:rsidRPr="008B3947">
          <w:rPr>
            <w:rStyle w:val="Hyperlink"/>
            <w:noProof/>
            <w:lang w:val="af-ZA"/>
          </w:rPr>
          <w:t xml:space="preserve"> 12</w:t>
        </w:r>
        <w:r w:rsidRPr="008B3947">
          <w:rPr>
            <w:rStyle w:val="Hyperlink"/>
            <w:rFonts w:ascii="Cambria Math" w:hAnsi="Cambria Math" w:cs="Cambria Math"/>
            <w:noProof/>
            <w:lang w:val="hy-AM"/>
          </w:rPr>
          <w:t>․</w:t>
        </w:r>
        <w:r w:rsidRPr="008B3947">
          <w:rPr>
            <w:rStyle w:val="Hyperlink"/>
            <w:noProof/>
            <w:lang w:val="af-ZA"/>
          </w:rPr>
          <w:t xml:space="preserve"> </w:t>
        </w:r>
        <w:r w:rsidRPr="008B3947">
          <w:rPr>
            <w:rStyle w:val="Hyperlink"/>
            <w:i/>
            <w:noProof/>
          </w:rPr>
          <w:t>ՀՀ</w:t>
        </w:r>
        <w:r w:rsidRPr="008B3947">
          <w:rPr>
            <w:rStyle w:val="Hyperlink"/>
            <w:i/>
            <w:noProof/>
            <w:lang w:val="af-ZA"/>
          </w:rPr>
          <w:t xml:space="preserve"> </w:t>
        </w:r>
        <w:r w:rsidRPr="008B3947">
          <w:rPr>
            <w:rStyle w:val="Hyperlink"/>
            <w:i/>
            <w:noProof/>
          </w:rPr>
          <w:t>պետական</w:t>
        </w:r>
        <w:r w:rsidRPr="008B3947">
          <w:rPr>
            <w:rStyle w:val="Hyperlink"/>
            <w:i/>
            <w:noProof/>
            <w:lang w:val="af-ZA"/>
          </w:rPr>
          <w:t xml:space="preserve"> </w:t>
        </w:r>
        <w:r w:rsidRPr="008B3947">
          <w:rPr>
            <w:rStyle w:val="Hyperlink"/>
            <w:i/>
            <w:noProof/>
          </w:rPr>
          <w:t>բյուջեից</w:t>
        </w:r>
        <w:r w:rsidRPr="008B3947">
          <w:rPr>
            <w:rStyle w:val="Hyperlink"/>
            <w:i/>
            <w:noProof/>
            <w:lang w:val="af-ZA"/>
          </w:rPr>
          <w:t xml:space="preserve"> </w:t>
        </w:r>
        <w:r w:rsidRPr="008B3947">
          <w:rPr>
            <w:rStyle w:val="Hyperlink"/>
            <w:i/>
            <w:noProof/>
          </w:rPr>
          <w:t>համայնքներին</w:t>
        </w:r>
        <w:r w:rsidRPr="008B3947">
          <w:rPr>
            <w:rStyle w:val="Hyperlink"/>
            <w:i/>
            <w:noProof/>
            <w:lang w:val="af-ZA"/>
          </w:rPr>
          <w:t xml:space="preserve"> </w:t>
        </w:r>
        <w:r w:rsidRPr="008B3947">
          <w:rPr>
            <w:rStyle w:val="Hyperlink"/>
            <w:i/>
            <w:noProof/>
          </w:rPr>
          <w:t>տրվող</w:t>
        </w:r>
        <w:r w:rsidRPr="008B3947">
          <w:rPr>
            <w:rStyle w:val="Hyperlink"/>
            <w:i/>
            <w:noProof/>
            <w:lang w:val="af-ZA"/>
          </w:rPr>
          <w:t xml:space="preserve"> </w:t>
        </w:r>
        <w:r w:rsidRPr="008B3947">
          <w:rPr>
            <w:rStyle w:val="Hyperlink"/>
            <w:i/>
            <w:noProof/>
          </w:rPr>
          <w:t>հատկացումների</w:t>
        </w:r>
        <w:r w:rsidRPr="008B3947">
          <w:rPr>
            <w:rStyle w:val="Hyperlink"/>
            <w:i/>
            <w:noProof/>
            <w:lang w:val="af-ZA"/>
          </w:rPr>
          <w:t xml:space="preserve"> </w:t>
        </w:r>
        <w:r w:rsidRPr="008B3947">
          <w:rPr>
            <w:rStyle w:val="Hyperlink"/>
            <w:i/>
            <w:noProof/>
          </w:rPr>
          <w:t>վերաբերյալ</w:t>
        </w:r>
        <w:r>
          <w:rPr>
            <w:noProof/>
            <w:webHidden/>
          </w:rPr>
          <w:tab/>
        </w:r>
        <w:r>
          <w:rPr>
            <w:noProof/>
            <w:webHidden/>
          </w:rPr>
          <w:fldChar w:fldCharType="begin"/>
        </w:r>
        <w:r>
          <w:rPr>
            <w:noProof/>
            <w:webHidden/>
          </w:rPr>
          <w:instrText xml:space="preserve"> PAGEREF _Toc89428772 \h </w:instrText>
        </w:r>
        <w:r>
          <w:rPr>
            <w:noProof/>
            <w:webHidden/>
          </w:rPr>
        </w:r>
        <w:r>
          <w:rPr>
            <w:noProof/>
            <w:webHidden/>
          </w:rPr>
          <w:fldChar w:fldCharType="separate"/>
        </w:r>
        <w:r>
          <w:rPr>
            <w:noProof/>
            <w:webHidden/>
          </w:rPr>
          <w:t>111</w:t>
        </w:r>
        <w:r>
          <w:rPr>
            <w:noProof/>
            <w:webHidden/>
          </w:rPr>
          <w:fldChar w:fldCharType="end"/>
        </w:r>
      </w:hyperlink>
    </w:p>
    <w:p w14:paraId="27D1C8AE" w14:textId="1608E254" w:rsidR="00875D10" w:rsidRDefault="00875D10">
      <w:pPr>
        <w:pStyle w:val="TableofFigures"/>
        <w:rPr>
          <w:rFonts w:asciiTheme="minorHAnsi" w:eastAsiaTheme="minorEastAsia" w:hAnsiTheme="minorHAnsi" w:cstheme="minorBidi"/>
          <w:b w:val="0"/>
          <w:noProof/>
          <w:szCs w:val="22"/>
          <w:lang w:val="en-US" w:eastAsia="en-US"/>
        </w:rPr>
      </w:pPr>
      <w:hyperlink w:anchor="_Toc89428773" w:history="1">
        <w:r w:rsidRPr="008B3947">
          <w:rPr>
            <w:rStyle w:val="Hyperlink"/>
            <w:noProof/>
            <w:lang w:val="hy-AM"/>
          </w:rPr>
          <w:t>Աղյուսակ 13.</w:t>
        </w:r>
        <w:r w:rsidRPr="008B3947">
          <w:rPr>
            <w:rStyle w:val="Hyperlink"/>
            <w:noProof/>
            <w:lang w:val="af-ZA"/>
          </w:rPr>
          <w:t xml:space="preserve"> </w:t>
        </w:r>
        <w:r w:rsidRPr="008B3947">
          <w:rPr>
            <w:rStyle w:val="Hyperlink"/>
            <w:i/>
            <w:noProof/>
            <w:lang w:val="af-ZA"/>
          </w:rPr>
          <w:t>2018-2022</w:t>
        </w:r>
        <w:r w:rsidRPr="008B3947">
          <w:rPr>
            <w:rStyle w:val="Hyperlink"/>
            <w:i/>
            <w:noProof/>
            <w:lang w:val="it-IT"/>
          </w:rPr>
          <w:t>թթ.</w:t>
        </w:r>
        <w:r w:rsidRPr="008B3947">
          <w:rPr>
            <w:rStyle w:val="Hyperlink"/>
            <w:i/>
            <w:noProof/>
            <w:lang w:val="af-ZA"/>
          </w:rPr>
          <w:t xml:space="preserve"> </w:t>
        </w:r>
        <w:r w:rsidRPr="008B3947">
          <w:rPr>
            <w:rStyle w:val="Hyperlink"/>
            <w:rFonts w:cs="Sylfaen"/>
            <w:i/>
            <w:noProof/>
            <w:lang w:val="hy-AM"/>
          </w:rPr>
          <w:t>ոչ</w:t>
        </w:r>
        <w:r w:rsidRPr="008B3947">
          <w:rPr>
            <w:rStyle w:val="Hyperlink"/>
            <w:i/>
            <w:noProof/>
            <w:lang w:val="hy-AM"/>
          </w:rPr>
          <w:t xml:space="preserve"> </w:t>
        </w:r>
        <w:r w:rsidRPr="008B3947">
          <w:rPr>
            <w:rStyle w:val="Hyperlink"/>
            <w:rFonts w:cs="Sylfaen"/>
            <w:i/>
            <w:noProof/>
            <w:lang w:val="hy-AM"/>
          </w:rPr>
          <w:t>ֆինանսական</w:t>
        </w:r>
        <w:r w:rsidRPr="008B3947">
          <w:rPr>
            <w:rStyle w:val="Hyperlink"/>
            <w:i/>
            <w:noProof/>
            <w:lang w:val="hy-AM"/>
          </w:rPr>
          <w:t xml:space="preserve"> </w:t>
        </w:r>
        <w:r w:rsidRPr="008B3947">
          <w:rPr>
            <w:rStyle w:val="Hyperlink"/>
            <w:rFonts w:cs="Sylfaen"/>
            <w:i/>
            <w:noProof/>
            <w:lang w:val="hy-AM"/>
          </w:rPr>
          <w:t>ակտիվների</w:t>
        </w:r>
        <w:r w:rsidRPr="008B3947">
          <w:rPr>
            <w:rStyle w:val="Hyperlink"/>
            <w:i/>
            <w:noProof/>
            <w:lang w:val="hy-AM"/>
          </w:rPr>
          <w:t xml:space="preserve"> </w:t>
        </w:r>
        <w:r w:rsidRPr="008B3947">
          <w:rPr>
            <w:rStyle w:val="Hyperlink"/>
            <w:rFonts w:cs="Sylfaen"/>
            <w:i/>
            <w:noProof/>
            <w:lang w:val="hy-AM"/>
          </w:rPr>
          <w:t>գծով</w:t>
        </w:r>
        <w:r w:rsidRPr="008B3947">
          <w:rPr>
            <w:rStyle w:val="Hyperlink"/>
            <w:i/>
            <w:noProof/>
            <w:lang w:val="hy-AM"/>
          </w:rPr>
          <w:t xml:space="preserve"> </w:t>
        </w:r>
        <w:r w:rsidRPr="008B3947">
          <w:rPr>
            <w:rStyle w:val="Hyperlink"/>
            <w:rFonts w:cs="Sylfaen"/>
            <w:i/>
            <w:noProof/>
            <w:lang w:val="hy-AM"/>
          </w:rPr>
          <w:t>ծախսերի</w:t>
        </w:r>
        <w:r w:rsidRPr="008B3947">
          <w:rPr>
            <w:rStyle w:val="Hyperlink"/>
            <w:i/>
            <w:noProof/>
            <w:lang w:val="hy-AM"/>
          </w:rPr>
          <w:t xml:space="preserve"> ֆինանսավորման կառուցվածը ըստ արտաքին և ներքին աղբյուրների</w:t>
        </w:r>
        <w:r>
          <w:rPr>
            <w:noProof/>
            <w:webHidden/>
          </w:rPr>
          <w:tab/>
        </w:r>
        <w:r>
          <w:rPr>
            <w:noProof/>
            <w:webHidden/>
          </w:rPr>
          <w:fldChar w:fldCharType="begin"/>
        </w:r>
        <w:r>
          <w:rPr>
            <w:noProof/>
            <w:webHidden/>
          </w:rPr>
          <w:instrText xml:space="preserve"> PAGEREF _Toc89428773 \h </w:instrText>
        </w:r>
        <w:r>
          <w:rPr>
            <w:noProof/>
            <w:webHidden/>
          </w:rPr>
        </w:r>
        <w:r>
          <w:rPr>
            <w:noProof/>
            <w:webHidden/>
          </w:rPr>
          <w:fldChar w:fldCharType="separate"/>
        </w:r>
        <w:r>
          <w:rPr>
            <w:noProof/>
            <w:webHidden/>
          </w:rPr>
          <w:t>113</w:t>
        </w:r>
        <w:r>
          <w:rPr>
            <w:noProof/>
            <w:webHidden/>
          </w:rPr>
          <w:fldChar w:fldCharType="end"/>
        </w:r>
      </w:hyperlink>
    </w:p>
    <w:p w14:paraId="360C7069" w14:textId="7F5127D9" w:rsidR="00875D10" w:rsidRDefault="00875D10">
      <w:pPr>
        <w:pStyle w:val="TableofFigures"/>
        <w:rPr>
          <w:rFonts w:asciiTheme="minorHAnsi" w:eastAsiaTheme="minorEastAsia" w:hAnsiTheme="minorHAnsi" w:cstheme="minorBidi"/>
          <w:b w:val="0"/>
          <w:noProof/>
          <w:szCs w:val="22"/>
          <w:lang w:val="en-US" w:eastAsia="en-US"/>
        </w:rPr>
      </w:pPr>
      <w:hyperlink w:anchor="_Toc89428774" w:history="1">
        <w:r w:rsidRPr="008B3947">
          <w:rPr>
            <w:rStyle w:val="Hyperlink"/>
            <w:bCs/>
            <w:noProof/>
            <w:lang w:val="hy-AM"/>
          </w:rPr>
          <w:t>Աղյուսակ 14</w:t>
        </w:r>
        <w:r w:rsidRPr="008B3947">
          <w:rPr>
            <w:rStyle w:val="Hyperlink"/>
            <w:rFonts w:ascii="Cambria Math" w:hAnsi="Cambria Math"/>
            <w:bCs/>
            <w:noProof/>
            <w:lang w:val="hy-AM"/>
          </w:rPr>
          <w:t xml:space="preserve">․ </w:t>
        </w:r>
        <w:r w:rsidRPr="008B3947">
          <w:rPr>
            <w:rStyle w:val="Hyperlink"/>
            <w:bCs/>
            <w:i/>
            <w:noProof/>
            <w:lang w:val="hy-AM"/>
          </w:rPr>
          <w:t>ՀՀ 2018-2022թթ պետական բյուջեների ծախսերը՝ ըստ ոլորտների (մլն. դրամ)</w:t>
        </w:r>
        <w:r>
          <w:rPr>
            <w:noProof/>
            <w:webHidden/>
          </w:rPr>
          <w:tab/>
        </w:r>
        <w:r>
          <w:rPr>
            <w:noProof/>
            <w:webHidden/>
          </w:rPr>
          <w:fldChar w:fldCharType="begin"/>
        </w:r>
        <w:r>
          <w:rPr>
            <w:noProof/>
            <w:webHidden/>
          </w:rPr>
          <w:instrText xml:space="preserve"> PAGEREF _Toc89428774 \h </w:instrText>
        </w:r>
        <w:r>
          <w:rPr>
            <w:noProof/>
            <w:webHidden/>
          </w:rPr>
        </w:r>
        <w:r>
          <w:rPr>
            <w:noProof/>
            <w:webHidden/>
          </w:rPr>
          <w:fldChar w:fldCharType="separate"/>
        </w:r>
        <w:r>
          <w:rPr>
            <w:noProof/>
            <w:webHidden/>
          </w:rPr>
          <w:t>115</w:t>
        </w:r>
        <w:r>
          <w:rPr>
            <w:noProof/>
            <w:webHidden/>
          </w:rPr>
          <w:fldChar w:fldCharType="end"/>
        </w:r>
      </w:hyperlink>
    </w:p>
    <w:p w14:paraId="164144A3" w14:textId="5A1AA32C" w:rsidR="00875D10" w:rsidRDefault="00875D10">
      <w:pPr>
        <w:pStyle w:val="TableofFigures"/>
        <w:rPr>
          <w:rFonts w:asciiTheme="minorHAnsi" w:eastAsiaTheme="minorEastAsia" w:hAnsiTheme="minorHAnsi" w:cstheme="minorBidi"/>
          <w:b w:val="0"/>
          <w:noProof/>
          <w:szCs w:val="22"/>
          <w:lang w:val="en-US" w:eastAsia="en-US"/>
        </w:rPr>
      </w:pPr>
      <w:hyperlink w:anchor="_Toc89428775" w:history="1">
        <w:r w:rsidRPr="008B3947">
          <w:rPr>
            <w:rStyle w:val="Hyperlink"/>
            <w:noProof/>
            <w:lang w:val="hy-AM"/>
          </w:rPr>
          <w:t>Աղյուսակ 15</w:t>
        </w:r>
        <w:r w:rsidRPr="008B3947">
          <w:rPr>
            <w:rStyle w:val="Hyperlink"/>
            <w:rFonts w:ascii="Cambria Math" w:hAnsi="Cambria Math" w:cs="Cambria Math"/>
            <w:noProof/>
            <w:lang w:val="hy-AM"/>
          </w:rPr>
          <w:t>․</w:t>
        </w:r>
        <w:r w:rsidRPr="008B3947">
          <w:rPr>
            <w:rStyle w:val="Hyperlink"/>
            <w:rFonts w:ascii="Cambria Math" w:hAnsi="Cambria Math"/>
            <w:noProof/>
            <w:lang w:val="hy-AM"/>
          </w:rPr>
          <w:t xml:space="preserve"> </w:t>
        </w:r>
        <w:r w:rsidRPr="008B3947">
          <w:rPr>
            <w:rStyle w:val="Hyperlink"/>
            <w:rFonts w:cs="Arial"/>
            <w:i/>
            <w:noProof/>
            <w:lang w:val="hy-AM"/>
          </w:rPr>
          <w:t>Տնտեսական ոլորտի</w:t>
        </w:r>
        <w:r w:rsidRPr="008B3947">
          <w:rPr>
            <w:rStyle w:val="Hyperlink"/>
            <w:i/>
            <w:noProof/>
            <w:lang w:val="hy-AM"/>
          </w:rPr>
          <w:t xml:space="preserve"> 2018-2022</w:t>
        </w:r>
        <w:r w:rsidRPr="008B3947">
          <w:rPr>
            <w:rStyle w:val="Hyperlink"/>
            <w:rFonts w:cs="Arial"/>
            <w:i/>
            <w:noProof/>
            <w:lang w:val="hy-AM"/>
          </w:rPr>
          <w:t>թթ</w:t>
        </w:r>
        <w:r w:rsidRPr="008B3947">
          <w:rPr>
            <w:rStyle w:val="Hyperlink"/>
            <w:rFonts w:ascii="Cambria Math" w:hAnsi="Cambria Math" w:cs="Arial"/>
            <w:i/>
            <w:noProof/>
            <w:lang w:val="hy-AM"/>
          </w:rPr>
          <w:t>․</w:t>
        </w:r>
        <w:r w:rsidRPr="008B3947">
          <w:rPr>
            <w:rStyle w:val="Hyperlink"/>
            <w:i/>
            <w:noProof/>
            <w:lang w:val="hy-AM"/>
          </w:rPr>
          <w:t xml:space="preserve"> </w:t>
        </w:r>
        <w:r w:rsidRPr="008B3947">
          <w:rPr>
            <w:rStyle w:val="Hyperlink"/>
            <w:rFonts w:cs="Arial"/>
            <w:i/>
            <w:noProof/>
            <w:lang w:val="hy-AM"/>
          </w:rPr>
          <w:t>բյուջետային</w:t>
        </w:r>
        <w:r w:rsidRPr="008B3947">
          <w:rPr>
            <w:rStyle w:val="Hyperlink"/>
            <w:i/>
            <w:noProof/>
            <w:lang w:val="hy-AM"/>
          </w:rPr>
          <w:t xml:space="preserve"> </w:t>
        </w:r>
        <w:r w:rsidRPr="008B3947">
          <w:rPr>
            <w:rStyle w:val="Hyperlink"/>
            <w:rFonts w:cs="Arial"/>
            <w:i/>
            <w:noProof/>
            <w:lang w:val="hy-AM"/>
          </w:rPr>
          <w:t>ծախսերը</w:t>
        </w:r>
        <w:r w:rsidRPr="008B3947">
          <w:rPr>
            <w:rStyle w:val="Hyperlink"/>
            <w:i/>
            <w:noProof/>
            <w:lang w:val="hy-AM"/>
          </w:rPr>
          <w:t xml:space="preserve"> (</w:t>
        </w:r>
        <w:r w:rsidRPr="008B3947">
          <w:rPr>
            <w:rStyle w:val="Hyperlink"/>
            <w:rFonts w:cs="Arial"/>
            <w:i/>
            <w:noProof/>
            <w:lang w:val="hy-AM"/>
          </w:rPr>
          <w:t>մլն.</w:t>
        </w:r>
        <w:r w:rsidRPr="008B3947">
          <w:rPr>
            <w:rStyle w:val="Hyperlink"/>
            <w:i/>
            <w:noProof/>
            <w:lang w:val="hy-AM"/>
          </w:rPr>
          <w:t xml:space="preserve"> </w:t>
        </w:r>
        <w:r w:rsidRPr="008B3947">
          <w:rPr>
            <w:rStyle w:val="Hyperlink"/>
            <w:rFonts w:cs="Arial"/>
            <w:i/>
            <w:noProof/>
            <w:lang w:val="hy-AM"/>
          </w:rPr>
          <w:t>դրամ</w:t>
        </w:r>
        <w:r w:rsidRPr="008B3947">
          <w:rPr>
            <w:rStyle w:val="Hyperlink"/>
            <w:i/>
            <w:noProof/>
            <w:lang w:val="hy-AM"/>
          </w:rPr>
          <w:t>)</w:t>
        </w:r>
        <w:r>
          <w:rPr>
            <w:noProof/>
            <w:webHidden/>
          </w:rPr>
          <w:tab/>
        </w:r>
        <w:r>
          <w:rPr>
            <w:noProof/>
            <w:webHidden/>
          </w:rPr>
          <w:fldChar w:fldCharType="begin"/>
        </w:r>
        <w:r>
          <w:rPr>
            <w:noProof/>
            <w:webHidden/>
          </w:rPr>
          <w:instrText xml:space="preserve"> PAGEREF _Toc89428775 \h </w:instrText>
        </w:r>
        <w:r>
          <w:rPr>
            <w:noProof/>
            <w:webHidden/>
          </w:rPr>
        </w:r>
        <w:r>
          <w:rPr>
            <w:noProof/>
            <w:webHidden/>
          </w:rPr>
          <w:fldChar w:fldCharType="separate"/>
        </w:r>
        <w:r>
          <w:rPr>
            <w:noProof/>
            <w:webHidden/>
          </w:rPr>
          <w:t>117</w:t>
        </w:r>
        <w:r>
          <w:rPr>
            <w:noProof/>
            <w:webHidden/>
          </w:rPr>
          <w:fldChar w:fldCharType="end"/>
        </w:r>
      </w:hyperlink>
    </w:p>
    <w:p w14:paraId="60F2E88B" w14:textId="7506F084" w:rsidR="00875D10" w:rsidRDefault="00875D10">
      <w:pPr>
        <w:pStyle w:val="TableofFigures"/>
        <w:rPr>
          <w:rFonts w:asciiTheme="minorHAnsi" w:eastAsiaTheme="minorEastAsia" w:hAnsiTheme="minorHAnsi" w:cstheme="minorBidi"/>
          <w:b w:val="0"/>
          <w:noProof/>
          <w:szCs w:val="22"/>
          <w:lang w:val="en-US" w:eastAsia="en-US"/>
        </w:rPr>
      </w:pPr>
      <w:hyperlink w:anchor="_Toc89428776" w:history="1">
        <w:r w:rsidRPr="008B3947">
          <w:rPr>
            <w:rStyle w:val="Hyperlink"/>
            <w:noProof/>
            <w:lang w:val="hy-AM"/>
          </w:rPr>
          <w:t>Աղյուսակ 16</w:t>
        </w:r>
        <w:r w:rsidRPr="008B3947">
          <w:rPr>
            <w:rStyle w:val="Hyperlink"/>
            <w:rFonts w:ascii="Cambria Math" w:hAnsi="Cambria Math" w:cs="Cambria Math"/>
            <w:noProof/>
            <w:lang w:val="hy-AM"/>
          </w:rPr>
          <w:t>․</w:t>
        </w:r>
        <w:r w:rsidRPr="008B3947">
          <w:rPr>
            <w:rStyle w:val="Hyperlink"/>
            <w:rFonts w:ascii="Cambria Math" w:hAnsi="Cambria Math"/>
            <w:noProof/>
            <w:lang w:val="hy-AM"/>
          </w:rPr>
          <w:t xml:space="preserve"> </w:t>
        </w:r>
        <w:r w:rsidRPr="008B3947">
          <w:rPr>
            <w:rStyle w:val="Hyperlink"/>
            <w:i/>
            <w:noProof/>
            <w:lang w:val="hy-AM"/>
          </w:rPr>
          <w:t>Սոցիալական ոլորտի 2018-2022</w:t>
        </w:r>
        <w:r w:rsidRPr="008B3947">
          <w:rPr>
            <w:rStyle w:val="Hyperlink"/>
            <w:rFonts w:cs="Arial"/>
            <w:i/>
            <w:noProof/>
            <w:lang w:val="hy-AM"/>
          </w:rPr>
          <w:t>թթ</w:t>
        </w:r>
        <w:r w:rsidRPr="008B3947">
          <w:rPr>
            <w:rStyle w:val="Hyperlink"/>
            <w:rFonts w:ascii="Cambria Math" w:hAnsi="Cambria Math" w:cs="Arial"/>
            <w:i/>
            <w:noProof/>
            <w:lang w:val="hy-AM"/>
          </w:rPr>
          <w:t>․</w:t>
        </w:r>
        <w:r w:rsidRPr="008B3947">
          <w:rPr>
            <w:rStyle w:val="Hyperlink"/>
            <w:i/>
            <w:noProof/>
            <w:lang w:val="hy-AM"/>
          </w:rPr>
          <w:t xml:space="preserve"> բյուջետային ծախսերը  (մլն դրամ)</w:t>
        </w:r>
        <w:r>
          <w:rPr>
            <w:noProof/>
            <w:webHidden/>
          </w:rPr>
          <w:tab/>
        </w:r>
        <w:r>
          <w:rPr>
            <w:noProof/>
            <w:webHidden/>
          </w:rPr>
          <w:fldChar w:fldCharType="begin"/>
        </w:r>
        <w:r>
          <w:rPr>
            <w:noProof/>
            <w:webHidden/>
          </w:rPr>
          <w:instrText xml:space="preserve"> PAGEREF _Toc89428776 \h </w:instrText>
        </w:r>
        <w:r>
          <w:rPr>
            <w:noProof/>
            <w:webHidden/>
          </w:rPr>
        </w:r>
        <w:r>
          <w:rPr>
            <w:noProof/>
            <w:webHidden/>
          </w:rPr>
          <w:fldChar w:fldCharType="separate"/>
        </w:r>
        <w:r>
          <w:rPr>
            <w:noProof/>
            <w:webHidden/>
          </w:rPr>
          <w:t>118</w:t>
        </w:r>
        <w:r>
          <w:rPr>
            <w:noProof/>
            <w:webHidden/>
          </w:rPr>
          <w:fldChar w:fldCharType="end"/>
        </w:r>
      </w:hyperlink>
    </w:p>
    <w:p w14:paraId="61D019B3" w14:textId="4B093C54" w:rsidR="00875D10" w:rsidRDefault="00875D10">
      <w:pPr>
        <w:pStyle w:val="TableofFigures"/>
        <w:rPr>
          <w:rFonts w:asciiTheme="minorHAnsi" w:eastAsiaTheme="minorEastAsia" w:hAnsiTheme="minorHAnsi" w:cstheme="minorBidi"/>
          <w:b w:val="0"/>
          <w:noProof/>
          <w:szCs w:val="22"/>
          <w:lang w:val="en-US" w:eastAsia="en-US"/>
        </w:rPr>
      </w:pPr>
      <w:hyperlink w:anchor="_Toc89428777" w:history="1">
        <w:r w:rsidRPr="008B3947">
          <w:rPr>
            <w:rStyle w:val="Hyperlink"/>
            <w:noProof/>
          </w:rPr>
          <w:t>Աղյուսակ 17</w:t>
        </w:r>
        <w:r w:rsidRPr="008B3947">
          <w:rPr>
            <w:rStyle w:val="Hyperlink"/>
            <w:noProof/>
            <w:lang w:val="hy-AM"/>
          </w:rPr>
          <w:t xml:space="preserve">. </w:t>
        </w:r>
        <w:r w:rsidRPr="008B3947">
          <w:rPr>
            <w:rStyle w:val="Hyperlink"/>
            <w:i/>
            <w:noProof/>
            <w:lang w:val="hy-AM"/>
          </w:rPr>
          <w:t>Արտաքին աղբյուրներից 2022թ. ստացվելիք միջոցների (վարկերի և պաշտոնական դրամաշնորհներ) հաշվին ֆինանսավորվող ծախսերը</w:t>
        </w:r>
        <w:r>
          <w:rPr>
            <w:noProof/>
            <w:webHidden/>
          </w:rPr>
          <w:tab/>
        </w:r>
        <w:r>
          <w:rPr>
            <w:noProof/>
            <w:webHidden/>
          </w:rPr>
          <w:fldChar w:fldCharType="begin"/>
        </w:r>
        <w:r>
          <w:rPr>
            <w:noProof/>
            <w:webHidden/>
          </w:rPr>
          <w:instrText xml:space="preserve"> PAGEREF _Toc89428777 \h </w:instrText>
        </w:r>
        <w:r>
          <w:rPr>
            <w:noProof/>
            <w:webHidden/>
          </w:rPr>
        </w:r>
        <w:r>
          <w:rPr>
            <w:noProof/>
            <w:webHidden/>
          </w:rPr>
          <w:fldChar w:fldCharType="separate"/>
        </w:r>
        <w:r>
          <w:rPr>
            <w:noProof/>
            <w:webHidden/>
          </w:rPr>
          <w:t>120</w:t>
        </w:r>
        <w:r>
          <w:rPr>
            <w:noProof/>
            <w:webHidden/>
          </w:rPr>
          <w:fldChar w:fldCharType="end"/>
        </w:r>
      </w:hyperlink>
    </w:p>
    <w:p w14:paraId="0776D5E0" w14:textId="00E28FCB" w:rsidR="00875D10" w:rsidRDefault="00875D10">
      <w:pPr>
        <w:pStyle w:val="TableofFigures"/>
        <w:rPr>
          <w:rFonts w:asciiTheme="minorHAnsi" w:eastAsiaTheme="minorEastAsia" w:hAnsiTheme="minorHAnsi" w:cstheme="minorBidi"/>
          <w:b w:val="0"/>
          <w:noProof/>
          <w:szCs w:val="22"/>
          <w:lang w:val="en-US" w:eastAsia="en-US"/>
        </w:rPr>
      </w:pPr>
      <w:hyperlink w:anchor="_Toc89428778" w:history="1">
        <w:r w:rsidRPr="008B3947">
          <w:rPr>
            <w:rStyle w:val="Hyperlink"/>
            <w:noProof/>
            <w:lang w:val="hy-AM"/>
          </w:rPr>
          <w:t>Աղյուսակ 18. Հարկային եկամուտների վրա մակրոտնտեսական կանխատեսումների և ենթադրությունների ռիսկերի ազդեցություն</w:t>
        </w:r>
        <w:r>
          <w:rPr>
            <w:noProof/>
            <w:webHidden/>
          </w:rPr>
          <w:tab/>
        </w:r>
        <w:r>
          <w:rPr>
            <w:noProof/>
            <w:webHidden/>
          </w:rPr>
          <w:fldChar w:fldCharType="begin"/>
        </w:r>
        <w:r>
          <w:rPr>
            <w:noProof/>
            <w:webHidden/>
          </w:rPr>
          <w:instrText xml:space="preserve"> PAGEREF _Toc89428778 \h </w:instrText>
        </w:r>
        <w:r>
          <w:rPr>
            <w:noProof/>
            <w:webHidden/>
          </w:rPr>
        </w:r>
        <w:r>
          <w:rPr>
            <w:noProof/>
            <w:webHidden/>
          </w:rPr>
          <w:fldChar w:fldCharType="separate"/>
        </w:r>
        <w:r>
          <w:rPr>
            <w:noProof/>
            <w:webHidden/>
          </w:rPr>
          <w:t>201</w:t>
        </w:r>
        <w:r>
          <w:rPr>
            <w:noProof/>
            <w:webHidden/>
          </w:rPr>
          <w:fldChar w:fldCharType="end"/>
        </w:r>
      </w:hyperlink>
    </w:p>
    <w:p w14:paraId="74F7B0CA" w14:textId="5AECF174" w:rsidR="00875D10" w:rsidRDefault="00875D10">
      <w:pPr>
        <w:pStyle w:val="TableofFigures"/>
        <w:rPr>
          <w:rFonts w:asciiTheme="minorHAnsi" w:eastAsiaTheme="minorEastAsia" w:hAnsiTheme="minorHAnsi" w:cstheme="minorBidi"/>
          <w:b w:val="0"/>
          <w:noProof/>
          <w:szCs w:val="22"/>
          <w:lang w:val="en-US" w:eastAsia="en-US"/>
        </w:rPr>
      </w:pPr>
      <w:hyperlink w:anchor="_Toc89428779" w:history="1">
        <w:r w:rsidRPr="008B3947">
          <w:rPr>
            <w:rStyle w:val="Hyperlink"/>
            <w:noProof/>
            <w:lang w:val="hy-AM"/>
          </w:rPr>
          <w:t>Աղյուսակ 19. Հարկային եկամուտների զգայունությունը հիմնական տնտեսական գործոնների նկատմամբ, տոկոս</w:t>
        </w:r>
        <w:r>
          <w:rPr>
            <w:noProof/>
            <w:webHidden/>
          </w:rPr>
          <w:tab/>
        </w:r>
        <w:r>
          <w:rPr>
            <w:noProof/>
            <w:webHidden/>
          </w:rPr>
          <w:fldChar w:fldCharType="begin"/>
        </w:r>
        <w:r>
          <w:rPr>
            <w:noProof/>
            <w:webHidden/>
          </w:rPr>
          <w:instrText xml:space="preserve"> PAGEREF _Toc89428779 \h </w:instrText>
        </w:r>
        <w:r>
          <w:rPr>
            <w:noProof/>
            <w:webHidden/>
          </w:rPr>
        </w:r>
        <w:r>
          <w:rPr>
            <w:noProof/>
            <w:webHidden/>
          </w:rPr>
          <w:fldChar w:fldCharType="separate"/>
        </w:r>
        <w:r>
          <w:rPr>
            <w:noProof/>
            <w:webHidden/>
          </w:rPr>
          <w:t>202</w:t>
        </w:r>
        <w:r>
          <w:rPr>
            <w:noProof/>
            <w:webHidden/>
          </w:rPr>
          <w:fldChar w:fldCharType="end"/>
        </w:r>
      </w:hyperlink>
    </w:p>
    <w:p w14:paraId="5D461AFC" w14:textId="0EB4022C" w:rsidR="00875D10" w:rsidRDefault="00875D10">
      <w:pPr>
        <w:pStyle w:val="TableofFigures"/>
        <w:rPr>
          <w:rFonts w:asciiTheme="minorHAnsi" w:eastAsiaTheme="minorEastAsia" w:hAnsiTheme="minorHAnsi" w:cstheme="minorBidi"/>
          <w:b w:val="0"/>
          <w:noProof/>
          <w:szCs w:val="22"/>
          <w:lang w:val="en-US" w:eastAsia="en-US"/>
        </w:rPr>
      </w:pPr>
      <w:hyperlink w:anchor="_Toc89428780" w:history="1">
        <w:r w:rsidRPr="008B3947">
          <w:rPr>
            <w:rStyle w:val="Hyperlink"/>
            <w:noProof/>
            <w:lang w:val="hy-AM"/>
          </w:rPr>
          <w:t>Աղյուսակ 20.</w:t>
        </w:r>
        <w:r w:rsidRPr="008B3947">
          <w:rPr>
            <w:rStyle w:val="Hyperlink"/>
            <w:rFonts w:eastAsia="Calibri"/>
            <w:i/>
            <w:noProof/>
            <w:lang w:val="hy-AM" w:eastAsia="en-US"/>
          </w:rPr>
          <w:t xml:space="preserve"> Հարկային եկամուտների կանխատեսումների հավանականային բաշխումը</w:t>
        </w:r>
        <w:r>
          <w:rPr>
            <w:noProof/>
            <w:webHidden/>
          </w:rPr>
          <w:tab/>
        </w:r>
        <w:r>
          <w:rPr>
            <w:noProof/>
            <w:webHidden/>
          </w:rPr>
          <w:fldChar w:fldCharType="begin"/>
        </w:r>
        <w:r>
          <w:rPr>
            <w:noProof/>
            <w:webHidden/>
          </w:rPr>
          <w:instrText xml:space="preserve"> PAGEREF _Toc89428780 \h </w:instrText>
        </w:r>
        <w:r>
          <w:rPr>
            <w:noProof/>
            <w:webHidden/>
          </w:rPr>
        </w:r>
        <w:r>
          <w:rPr>
            <w:noProof/>
            <w:webHidden/>
          </w:rPr>
          <w:fldChar w:fldCharType="separate"/>
        </w:r>
        <w:r>
          <w:rPr>
            <w:noProof/>
            <w:webHidden/>
          </w:rPr>
          <w:t>203</w:t>
        </w:r>
        <w:r>
          <w:rPr>
            <w:noProof/>
            <w:webHidden/>
          </w:rPr>
          <w:fldChar w:fldCharType="end"/>
        </w:r>
      </w:hyperlink>
    </w:p>
    <w:p w14:paraId="65861B13" w14:textId="19D6C861" w:rsidR="00875D10" w:rsidRDefault="00875D10">
      <w:pPr>
        <w:pStyle w:val="TableofFigures"/>
        <w:rPr>
          <w:rFonts w:asciiTheme="minorHAnsi" w:eastAsiaTheme="minorEastAsia" w:hAnsiTheme="minorHAnsi" w:cstheme="minorBidi"/>
          <w:b w:val="0"/>
          <w:noProof/>
          <w:szCs w:val="22"/>
          <w:lang w:val="en-US" w:eastAsia="en-US"/>
        </w:rPr>
      </w:pPr>
      <w:hyperlink w:anchor="_Toc89428781" w:history="1">
        <w:r w:rsidRPr="008B3947">
          <w:rPr>
            <w:rStyle w:val="Hyperlink"/>
            <w:noProof/>
            <w:lang w:val="hy-AM"/>
          </w:rPr>
          <w:t xml:space="preserve">Աղյուսակ 21. ՀՀ պետական բյուջեի հարկային եկամուտների և ծախսերի, ինչպես նաև այլ հոսքերի գծով ռիսկերի ընդհանուր ազդեցությունը. </w:t>
        </w:r>
        <w:r w:rsidRPr="008B3947">
          <w:rPr>
            <w:rStyle w:val="Hyperlink"/>
            <w:noProof/>
          </w:rPr>
          <w:t>(ֆինանսավորման պահանջ` - պահանջի մեծացում, + պահանջի նվազում), մլրդ ՀՀ դրամ</w:t>
        </w:r>
        <w:r>
          <w:rPr>
            <w:noProof/>
            <w:webHidden/>
          </w:rPr>
          <w:tab/>
        </w:r>
        <w:r>
          <w:rPr>
            <w:noProof/>
            <w:webHidden/>
          </w:rPr>
          <w:fldChar w:fldCharType="begin"/>
        </w:r>
        <w:r>
          <w:rPr>
            <w:noProof/>
            <w:webHidden/>
          </w:rPr>
          <w:instrText xml:space="preserve"> PAGEREF _Toc89428781 \h </w:instrText>
        </w:r>
        <w:r>
          <w:rPr>
            <w:noProof/>
            <w:webHidden/>
          </w:rPr>
        </w:r>
        <w:r>
          <w:rPr>
            <w:noProof/>
            <w:webHidden/>
          </w:rPr>
          <w:fldChar w:fldCharType="separate"/>
        </w:r>
        <w:r>
          <w:rPr>
            <w:noProof/>
            <w:webHidden/>
          </w:rPr>
          <w:t>204</w:t>
        </w:r>
        <w:r>
          <w:rPr>
            <w:noProof/>
            <w:webHidden/>
          </w:rPr>
          <w:fldChar w:fldCharType="end"/>
        </w:r>
      </w:hyperlink>
    </w:p>
    <w:p w14:paraId="64C98676" w14:textId="18B0A939" w:rsidR="00875D10" w:rsidRDefault="00875D10">
      <w:pPr>
        <w:pStyle w:val="TableofFigures"/>
        <w:rPr>
          <w:rFonts w:asciiTheme="minorHAnsi" w:eastAsiaTheme="minorEastAsia" w:hAnsiTheme="minorHAnsi" w:cstheme="minorBidi"/>
          <w:b w:val="0"/>
          <w:noProof/>
          <w:szCs w:val="22"/>
          <w:lang w:val="en-US" w:eastAsia="en-US"/>
        </w:rPr>
      </w:pPr>
      <w:hyperlink w:anchor="_Toc89428782" w:history="1">
        <w:r w:rsidRPr="008B3947">
          <w:rPr>
            <w:rStyle w:val="Hyperlink"/>
            <w:noProof/>
            <w:lang w:val="hy-AM"/>
          </w:rPr>
          <w:t xml:space="preserve">Աղյուսակ 22. </w:t>
        </w:r>
        <w:r w:rsidRPr="008B3947">
          <w:rPr>
            <w:rStyle w:val="Hyperlink"/>
            <w:rFonts w:eastAsia="Calibri"/>
            <w:i/>
            <w:noProof/>
            <w:lang w:val="hy-AM" w:eastAsia="en-US"/>
          </w:rPr>
          <w:t>ՀՀ ՖՆ և այլ կառույցների կողմից ՀՀ տնտեսական աճի կանխատեսումները (%)</w:t>
        </w:r>
        <w:r>
          <w:rPr>
            <w:noProof/>
            <w:webHidden/>
          </w:rPr>
          <w:tab/>
        </w:r>
        <w:r>
          <w:rPr>
            <w:noProof/>
            <w:webHidden/>
            <w:lang w:val="hy-AM"/>
          </w:rPr>
          <w:t>...................................................................................................................</w:t>
        </w:r>
        <w:r>
          <w:rPr>
            <w:noProof/>
            <w:webHidden/>
          </w:rPr>
          <w:fldChar w:fldCharType="begin"/>
        </w:r>
        <w:r>
          <w:rPr>
            <w:noProof/>
            <w:webHidden/>
          </w:rPr>
          <w:instrText xml:space="preserve"> PAGEREF _Toc89428782 \h </w:instrText>
        </w:r>
        <w:r>
          <w:rPr>
            <w:noProof/>
            <w:webHidden/>
          </w:rPr>
        </w:r>
        <w:r>
          <w:rPr>
            <w:noProof/>
            <w:webHidden/>
          </w:rPr>
          <w:fldChar w:fldCharType="separate"/>
        </w:r>
        <w:r>
          <w:rPr>
            <w:noProof/>
            <w:webHidden/>
          </w:rPr>
          <w:t>206</w:t>
        </w:r>
        <w:r>
          <w:rPr>
            <w:noProof/>
            <w:webHidden/>
          </w:rPr>
          <w:fldChar w:fldCharType="end"/>
        </w:r>
      </w:hyperlink>
    </w:p>
    <w:p w14:paraId="53227164" w14:textId="077D7034" w:rsidR="008B76F4" w:rsidRPr="00A83C94" w:rsidRDefault="003C3925" w:rsidP="00054D48">
      <w:pPr>
        <w:tabs>
          <w:tab w:val="left" w:pos="1260"/>
        </w:tabs>
        <w:spacing w:before="0"/>
        <w:ind w:left="1440" w:hanging="1440"/>
        <w:contextualSpacing w:val="0"/>
        <w:rPr>
          <w:rFonts w:eastAsia="Calibri" w:cs="Times Armenian"/>
          <w:b w:val="0"/>
          <w:szCs w:val="22"/>
          <w:lang w:val="hy-AM" w:eastAsia="en-US"/>
        </w:rPr>
      </w:pPr>
      <w:r w:rsidRPr="00A83C94">
        <w:rPr>
          <w:rFonts w:eastAsia="Calibri" w:cs="Times Armenian"/>
          <w:b w:val="0"/>
          <w:szCs w:val="22"/>
          <w:lang w:val="hy-AM" w:eastAsia="en-US"/>
        </w:rPr>
        <w:fldChar w:fldCharType="end"/>
      </w:r>
    </w:p>
    <w:p w14:paraId="6B64DE4B" w14:textId="77777777" w:rsidR="008B76F4" w:rsidRPr="00A83C94" w:rsidRDefault="008B76F4" w:rsidP="00962F00">
      <w:pPr>
        <w:spacing w:before="0"/>
        <w:ind w:firstLine="720"/>
        <w:contextualSpacing w:val="0"/>
        <w:rPr>
          <w:rFonts w:eastAsia="Calibri" w:cs="Times Armenian"/>
          <w:b w:val="0"/>
          <w:szCs w:val="22"/>
          <w:lang w:val="hy-AM" w:eastAsia="en-US"/>
        </w:rPr>
      </w:pPr>
    </w:p>
    <w:p w14:paraId="17B0E2B4" w14:textId="77777777" w:rsidR="008B76F4" w:rsidRPr="00A83C94" w:rsidRDefault="008B76F4" w:rsidP="00962F00">
      <w:pPr>
        <w:spacing w:before="0"/>
        <w:ind w:firstLine="720"/>
        <w:contextualSpacing w:val="0"/>
        <w:rPr>
          <w:rFonts w:eastAsia="Calibri" w:cs="Times Armenian"/>
          <w:b w:val="0"/>
          <w:szCs w:val="22"/>
          <w:lang w:val="hy-AM" w:eastAsia="en-US"/>
        </w:rPr>
      </w:pPr>
    </w:p>
    <w:p w14:paraId="77F5C5D0" w14:textId="77777777" w:rsidR="008B76F4" w:rsidRPr="00A83C94" w:rsidRDefault="008B76F4" w:rsidP="00962F00">
      <w:pPr>
        <w:spacing w:before="0"/>
        <w:ind w:firstLine="720"/>
        <w:contextualSpacing w:val="0"/>
        <w:rPr>
          <w:rFonts w:eastAsia="Calibri" w:cs="Times Armenian"/>
          <w:b w:val="0"/>
          <w:szCs w:val="22"/>
          <w:lang w:val="hy-AM" w:eastAsia="en-US"/>
        </w:rPr>
      </w:pPr>
    </w:p>
    <w:p w14:paraId="2AB2C622" w14:textId="77777777" w:rsidR="008B76F4" w:rsidRPr="00A83C94" w:rsidRDefault="008B76F4" w:rsidP="00962F00">
      <w:pPr>
        <w:spacing w:before="0"/>
        <w:ind w:firstLine="720"/>
        <w:contextualSpacing w:val="0"/>
        <w:rPr>
          <w:rFonts w:eastAsia="Calibri" w:cs="Times Armenian"/>
          <w:b w:val="0"/>
          <w:szCs w:val="22"/>
          <w:lang w:val="hy-AM" w:eastAsia="en-US"/>
        </w:rPr>
      </w:pPr>
    </w:p>
    <w:p w14:paraId="2767CCB6" w14:textId="77777777" w:rsidR="008B76F4" w:rsidRPr="00A83C94" w:rsidRDefault="008B76F4" w:rsidP="00962F00">
      <w:pPr>
        <w:spacing w:before="0"/>
        <w:ind w:firstLine="720"/>
        <w:contextualSpacing w:val="0"/>
        <w:rPr>
          <w:rFonts w:eastAsia="Calibri" w:cs="Times Armenian"/>
          <w:b w:val="0"/>
          <w:szCs w:val="22"/>
          <w:lang w:val="hy-AM" w:eastAsia="en-US"/>
        </w:rPr>
      </w:pPr>
    </w:p>
    <w:p w14:paraId="54252B19" w14:textId="77777777" w:rsidR="008B76F4" w:rsidRPr="00A83C94" w:rsidRDefault="008B76F4" w:rsidP="00962F00">
      <w:pPr>
        <w:spacing w:before="0"/>
        <w:ind w:firstLine="720"/>
        <w:contextualSpacing w:val="0"/>
        <w:rPr>
          <w:rFonts w:eastAsia="Calibri" w:cs="Times Armenian"/>
          <w:b w:val="0"/>
          <w:szCs w:val="22"/>
          <w:lang w:val="hy-AM" w:eastAsia="en-US"/>
        </w:rPr>
      </w:pPr>
    </w:p>
    <w:p w14:paraId="30F334C6" w14:textId="77777777" w:rsidR="008B76F4" w:rsidRPr="00A83C94" w:rsidRDefault="008B76F4" w:rsidP="00962F00">
      <w:pPr>
        <w:spacing w:before="0"/>
        <w:ind w:firstLine="720"/>
        <w:contextualSpacing w:val="0"/>
        <w:rPr>
          <w:rFonts w:eastAsia="Calibri" w:cs="Times Armenian"/>
          <w:b w:val="0"/>
          <w:szCs w:val="22"/>
          <w:lang w:val="hy-AM" w:eastAsia="en-US"/>
        </w:rPr>
      </w:pPr>
    </w:p>
    <w:p w14:paraId="7D3C6FD6" w14:textId="5CD1D4CA" w:rsidR="008B76F4" w:rsidRPr="00A83C94" w:rsidRDefault="008B76F4" w:rsidP="00962F00">
      <w:pPr>
        <w:spacing w:before="0"/>
        <w:contextualSpacing w:val="0"/>
        <w:rPr>
          <w:rFonts w:eastAsia="Calibri" w:cs="Times Armenian"/>
          <w:b w:val="0"/>
          <w:szCs w:val="22"/>
          <w:lang w:val="hy-AM" w:eastAsia="en-US"/>
        </w:rPr>
      </w:pPr>
    </w:p>
    <w:p w14:paraId="78DD24DE" w14:textId="77777777" w:rsidR="0088088B" w:rsidRPr="00A83C94" w:rsidRDefault="0088088B" w:rsidP="00962F00">
      <w:pPr>
        <w:spacing w:before="0"/>
        <w:contextualSpacing w:val="0"/>
        <w:rPr>
          <w:rFonts w:eastAsia="Calibri" w:cs="Times Armenian"/>
          <w:b w:val="0"/>
          <w:szCs w:val="22"/>
          <w:lang w:val="hy-AM" w:eastAsia="en-US"/>
        </w:rPr>
      </w:pPr>
    </w:p>
    <w:p w14:paraId="129B51C4" w14:textId="7769FDE8" w:rsidR="008B76F4" w:rsidRDefault="008B76F4" w:rsidP="00962F00">
      <w:pPr>
        <w:spacing w:before="0"/>
        <w:contextualSpacing w:val="0"/>
        <w:rPr>
          <w:rFonts w:eastAsia="Calibri" w:cs="Times Armenian"/>
          <w:b w:val="0"/>
          <w:szCs w:val="22"/>
          <w:lang w:val="hy-AM" w:eastAsia="en-US"/>
        </w:rPr>
      </w:pPr>
    </w:p>
    <w:p w14:paraId="383E9A9A" w14:textId="6AE38D5F" w:rsidR="00D87728" w:rsidRDefault="00D87728" w:rsidP="00962F00">
      <w:pPr>
        <w:spacing w:before="0"/>
        <w:contextualSpacing w:val="0"/>
        <w:rPr>
          <w:rFonts w:eastAsia="Calibri" w:cs="Times Armenian"/>
          <w:b w:val="0"/>
          <w:szCs w:val="22"/>
          <w:lang w:val="hy-AM" w:eastAsia="en-US"/>
        </w:rPr>
      </w:pPr>
    </w:p>
    <w:p w14:paraId="36B35E56" w14:textId="7DDA199D" w:rsidR="00D87728" w:rsidRDefault="00D87728" w:rsidP="00962F00">
      <w:pPr>
        <w:spacing w:before="0"/>
        <w:contextualSpacing w:val="0"/>
        <w:rPr>
          <w:rFonts w:eastAsia="Calibri" w:cs="Times Armenian"/>
          <w:b w:val="0"/>
          <w:szCs w:val="22"/>
          <w:lang w:val="hy-AM" w:eastAsia="en-US"/>
        </w:rPr>
      </w:pPr>
    </w:p>
    <w:p w14:paraId="33159C77" w14:textId="62A73E61" w:rsidR="00D87728" w:rsidRDefault="00D87728" w:rsidP="00962F00">
      <w:pPr>
        <w:spacing w:before="0"/>
        <w:contextualSpacing w:val="0"/>
        <w:rPr>
          <w:rFonts w:eastAsia="Calibri" w:cs="Times Armenian"/>
          <w:b w:val="0"/>
          <w:szCs w:val="22"/>
          <w:lang w:val="hy-AM" w:eastAsia="en-US"/>
        </w:rPr>
      </w:pPr>
    </w:p>
    <w:p w14:paraId="45110028" w14:textId="77777777" w:rsidR="00D87728" w:rsidRPr="00A83C94" w:rsidRDefault="00D87728" w:rsidP="00962F00">
      <w:pPr>
        <w:spacing w:before="0"/>
        <w:contextualSpacing w:val="0"/>
        <w:rPr>
          <w:rFonts w:eastAsia="Calibri" w:cs="Times Armenian"/>
          <w:b w:val="0"/>
          <w:szCs w:val="22"/>
          <w:lang w:val="hy-AM" w:eastAsia="en-US"/>
        </w:rPr>
      </w:pPr>
    </w:p>
    <w:p w14:paraId="0089C7D4" w14:textId="77777777" w:rsidR="008B76F4" w:rsidRPr="00A83C94" w:rsidRDefault="008B76F4" w:rsidP="00962F00">
      <w:pPr>
        <w:spacing w:before="0"/>
        <w:contextualSpacing w:val="0"/>
        <w:rPr>
          <w:rFonts w:eastAsia="Calibri" w:cs="Times Armenian"/>
          <w:b w:val="0"/>
          <w:szCs w:val="22"/>
          <w:lang w:val="hy-AM" w:eastAsia="en-US"/>
        </w:rPr>
      </w:pPr>
    </w:p>
    <w:p w14:paraId="3C5F61CE" w14:textId="77777777" w:rsidR="000957ED" w:rsidRDefault="000957ED" w:rsidP="00962F00">
      <w:pPr>
        <w:spacing w:before="0"/>
        <w:ind w:firstLine="0"/>
        <w:contextualSpacing w:val="0"/>
        <w:jc w:val="left"/>
        <w:rPr>
          <w:bCs/>
          <w:kern w:val="28"/>
          <w:sz w:val="28"/>
          <w:szCs w:val="28"/>
        </w:rPr>
      </w:pPr>
      <w:bookmarkStart w:id="374" w:name="_Toc499827217"/>
      <w:bookmarkStart w:id="375" w:name="_Toc26174960"/>
      <w:r>
        <w:rPr>
          <w:bCs/>
          <w:kern w:val="28"/>
          <w:sz w:val="28"/>
          <w:szCs w:val="28"/>
        </w:rPr>
        <w:br w:type="page"/>
      </w:r>
    </w:p>
    <w:p w14:paraId="52DECFE3" w14:textId="0C9B4980" w:rsidR="008B76F4" w:rsidRDefault="008B76F4" w:rsidP="00962F00">
      <w:pPr>
        <w:spacing w:before="0"/>
        <w:ind w:firstLine="0"/>
        <w:jc w:val="center"/>
        <w:outlineLvl w:val="0"/>
        <w:rPr>
          <w:bCs/>
          <w:kern w:val="28"/>
          <w:sz w:val="28"/>
          <w:szCs w:val="28"/>
        </w:rPr>
      </w:pPr>
      <w:bookmarkStart w:id="376" w:name="_Toc89428351"/>
      <w:r w:rsidRPr="00A83C94">
        <w:rPr>
          <w:bCs/>
          <w:kern w:val="28"/>
          <w:sz w:val="28"/>
          <w:szCs w:val="28"/>
        </w:rPr>
        <w:t>ԳԾԱՊԱՏԿԵՐՆԵՐ</w:t>
      </w:r>
      <w:bookmarkEnd w:id="374"/>
      <w:bookmarkEnd w:id="375"/>
      <w:bookmarkEnd w:id="376"/>
    </w:p>
    <w:p w14:paraId="1938C622" w14:textId="77777777" w:rsidR="00E64B10" w:rsidRPr="00A83C94" w:rsidRDefault="00E64B10" w:rsidP="00962F00">
      <w:pPr>
        <w:spacing w:before="0"/>
        <w:ind w:firstLine="0"/>
        <w:jc w:val="center"/>
        <w:outlineLvl w:val="0"/>
        <w:rPr>
          <w:bCs/>
          <w:kern w:val="28"/>
          <w:sz w:val="28"/>
          <w:szCs w:val="28"/>
        </w:rPr>
      </w:pPr>
    </w:p>
    <w:p w14:paraId="1DBE14C0" w14:textId="6669B5F3" w:rsidR="005329B5" w:rsidRDefault="003C3925">
      <w:pPr>
        <w:pStyle w:val="TableofFigures"/>
        <w:rPr>
          <w:rFonts w:asciiTheme="minorHAnsi" w:eastAsiaTheme="minorEastAsia" w:hAnsiTheme="minorHAnsi" w:cstheme="minorBidi"/>
          <w:b w:val="0"/>
          <w:noProof/>
          <w:szCs w:val="22"/>
          <w:lang w:val="en-US" w:eastAsia="en-US"/>
        </w:rPr>
      </w:pPr>
      <w:r w:rsidRPr="00A83C94">
        <w:rPr>
          <w:rFonts w:eastAsia="Calibri" w:cs="Times Armenian"/>
          <w:szCs w:val="22"/>
          <w:lang w:val="hy-AM" w:eastAsia="en-US"/>
        </w:rPr>
        <w:fldChar w:fldCharType="begin"/>
      </w:r>
      <w:r w:rsidR="00987A1B" w:rsidRPr="00A83C94">
        <w:rPr>
          <w:rFonts w:eastAsia="Calibri" w:cs="Times Armenian"/>
          <w:szCs w:val="22"/>
          <w:lang w:val="hy-AM" w:eastAsia="en-US"/>
        </w:rPr>
        <w:instrText xml:space="preserve"> TOC \h \z \c "Գծապատկեր" </w:instrText>
      </w:r>
      <w:r w:rsidRPr="00A83C94">
        <w:rPr>
          <w:rFonts w:eastAsia="Calibri" w:cs="Times Armenian"/>
          <w:szCs w:val="22"/>
          <w:lang w:val="hy-AM" w:eastAsia="en-US"/>
        </w:rPr>
        <w:fldChar w:fldCharType="separate"/>
      </w:r>
      <w:hyperlink w:anchor="_Toc89428816" w:history="1">
        <w:r w:rsidR="005329B5" w:rsidRPr="0011261B">
          <w:rPr>
            <w:rStyle w:val="Hyperlink"/>
            <w:noProof/>
          </w:rPr>
          <w:t>Գծապատկեր</w:t>
        </w:r>
        <w:r w:rsidR="005329B5" w:rsidRPr="0011261B">
          <w:rPr>
            <w:rStyle w:val="Hyperlink"/>
            <w:noProof/>
            <w:lang w:val="af-ZA"/>
          </w:rPr>
          <w:t xml:space="preserve"> 1</w:t>
        </w:r>
        <w:r w:rsidR="005329B5" w:rsidRPr="0011261B">
          <w:rPr>
            <w:rStyle w:val="Hyperlink"/>
            <w:rFonts w:ascii="Cambria Math" w:hAnsi="Cambria Math"/>
            <w:noProof/>
            <w:lang w:val="hy-AM"/>
          </w:rPr>
          <w:t xml:space="preserve">․ </w:t>
        </w:r>
        <w:r w:rsidR="005329B5" w:rsidRPr="0011261B">
          <w:rPr>
            <w:rStyle w:val="Hyperlink"/>
            <w:i/>
            <w:noProof/>
            <w:lang w:val="hy-AM"/>
          </w:rPr>
          <w:t>ՀՀ 2018-202</w:t>
        </w:r>
        <w:r w:rsidR="005329B5" w:rsidRPr="0011261B">
          <w:rPr>
            <w:rStyle w:val="Hyperlink"/>
            <w:i/>
            <w:noProof/>
            <w:lang w:val="af-ZA"/>
          </w:rPr>
          <w:t>2</w:t>
        </w:r>
        <w:r w:rsidR="005329B5" w:rsidRPr="0011261B">
          <w:rPr>
            <w:rStyle w:val="Hyperlink"/>
            <w:i/>
            <w:noProof/>
            <w:lang w:val="hy-AM"/>
          </w:rPr>
          <w:t>թթ հարկային եկամուտները և պետական տուրքերը (մլրդ դրամով) և կշիռը ՀՆԱ-ի նկատմամբ</w:t>
        </w:r>
        <w:r w:rsidR="005329B5">
          <w:rPr>
            <w:noProof/>
            <w:webHidden/>
          </w:rPr>
          <w:tab/>
        </w:r>
        <w:r w:rsidR="005329B5">
          <w:rPr>
            <w:noProof/>
            <w:webHidden/>
          </w:rPr>
          <w:fldChar w:fldCharType="begin"/>
        </w:r>
        <w:r w:rsidR="005329B5">
          <w:rPr>
            <w:noProof/>
            <w:webHidden/>
          </w:rPr>
          <w:instrText xml:space="preserve"> PAGEREF _Toc89428816 \h </w:instrText>
        </w:r>
        <w:r w:rsidR="005329B5">
          <w:rPr>
            <w:noProof/>
            <w:webHidden/>
          </w:rPr>
        </w:r>
        <w:r w:rsidR="005329B5">
          <w:rPr>
            <w:noProof/>
            <w:webHidden/>
          </w:rPr>
          <w:fldChar w:fldCharType="separate"/>
        </w:r>
        <w:r w:rsidR="005329B5">
          <w:rPr>
            <w:noProof/>
            <w:webHidden/>
          </w:rPr>
          <w:t>98</w:t>
        </w:r>
        <w:r w:rsidR="005329B5">
          <w:rPr>
            <w:noProof/>
            <w:webHidden/>
          </w:rPr>
          <w:fldChar w:fldCharType="end"/>
        </w:r>
      </w:hyperlink>
    </w:p>
    <w:p w14:paraId="202EBD61" w14:textId="36600A60" w:rsidR="005329B5" w:rsidRDefault="005329B5">
      <w:pPr>
        <w:pStyle w:val="TableofFigures"/>
        <w:rPr>
          <w:rFonts w:asciiTheme="minorHAnsi" w:eastAsiaTheme="minorEastAsia" w:hAnsiTheme="minorHAnsi" w:cstheme="minorBidi"/>
          <w:b w:val="0"/>
          <w:noProof/>
          <w:szCs w:val="22"/>
          <w:lang w:val="en-US" w:eastAsia="en-US"/>
        </w:rPr>
      </w:pPr>
      <w:hyperlink w:anchor="_Toc89428817" w:history="1">
        <w:r w:rsidRPr="0011261B">
          <w:rPr>
            <w:rStyle w:val="Hyperlink"/>
            <w:noProof/>
          </w:rPr>
          <w:t>Գծապատկեր 2</w:t>
        </w:r>
        <w:r w:rsidRPr="0011261B">
          <w:rPr>
            <w:rStyle w:val="Hyperlink"/>
            <w:rFonts w:ascii="Cambria Math" w:hAnsi="Cambria Math"/>
            <w:noProof/>
            <w:lang w:val="hy-AM"/>
          </w:rPr>
          <w:t>․</w:t>
        </w:r>
        <w:r w:rsidRPr="0011261B">
          <w:rPr>
            <w:rStyle w:val="Hyperlink"/>
            <w:rFonts w:eastAsia="Calibri"/>
            <w:i/>
            <w:iCs/>
            <w:noProof/>
            <w:lang w:val="hy-AM" w:eastAsia="en-US"/>
          </w:rPr>
          <w:t xml:space="preserve"> </w:t>
        </w:r>
        <w:r w:rsidRPr="0011261B">
          <w:rPr>
            <w:rStyle w:val="Hyperlink"/>
            <w:i/>
            <w:noProof/>
            <w:lang w:val="af-ZA" w:eastAsia="en-US"/>
          </w:rPr>
          <w:t>2018-2022</w:t>
        </w:r>
        <w:r w:rsidRPr="0011261B">
          <w:rPr>
            <w:rStyle w:val="Hyperlink"/>
            <w:i/>
            <w:noProof/>
            <w:lang w:val="it-IT" w:eastAsia="en-US"/>
          </w:rPr>
          <w:t>թթ</w:t>
        </w:r>
        <w:r w:rsidRPr="0011261B">
          <w:rPr>
            <w:rStyle w:val="Hyperlink"/>
            <w:rFonts w:ascii="Cambria Math" w:hAnsi="Cambria Math"/>
            <w:i/>
            <w:noProof/>
            <w:lang w:val="hy-AM" w:eastAsia="en-US"/>
          </w:rPr>
          <w:t>․</w:t>
        </w:r>
        <w:r w:rsidRPr="0011261B">
          <w:rPr>
            <w:rStyle w:val="Hyperlink"/>
            <w:i/>
            <w:noProof/>
            <w:lang w:val="af-ZA" w:eastAsia="en-US"/>
          </w:rPr>
          <w:t xml:space="preserve"> </w:t>
        </w:r>
        <w:r w:rsidRPr="0011261B">
          <w:rPr>
            <w:rStyle w:val="Hyperlink"/>
            <w:rFonts w:cs="Sylfaen"/>
            <w:i/>
            <w:noProof/>
            <w:lang w:val="hy-AM" w:eastAsia="en-US"/>
          </w:rPr>
          <w:t>ընթացիկ</w:t>
        </w:r>
        <w:r w:rsidRPr="0011261B">
          <w:rPr>
            <w:rStyle w:val="Hyperlink"/>
            <w:i/>
            <w:noProof/>
            <w:lang w:val="af-ZA" w:eastAsia="en-US"/>
          </w:rPr>
          <w:t xml:space="preserve"> </w:t>
        </w:r>
        <w:r w:rsidRPr="0011261B">
          <w:rPr>
            <w:rStyle w:val="Hyperlink"/>
            <w:rFonts w:cs="Sylfaen"/>
            <w:i/>
            <w:noProof/>
            <w:lang w:val="hy-AM" w:eastAsia="en-US"/>
          </w:rPr>
          <w:t>և</w:t>
        </w:r>
        <w:r w:rsidRPr="0011261B">
          <w:rPr>
            <w:rStyle w:val="Hyperlink"/>
            <w:i/>
            <w:noProof/>
            <w:lang w:val="af-ZA" w:eastAsia="en-US"/>
          </w:rPr>
          <w:t xml:space="preserve"> </w:t>
        </w:r>
        <w:r w:rsidRPr="0011261B">
          <w:rPr>
            <w:rStyle w:val="Hyperlink"/>
            <w:rFonts w:cs="Sylfaen"/>
            <w:i/>
            <w:noProof/>
            <w:lang w:val="hy-AM" w:eastAsia="en-US"/>
          </w:rPr>
          <w:t>ոչ</w:t>
        </w:r>
        <w:r w:rsidRPr="0011261B">
          <w:rPr>
            <w:rStyle w:val="Hyperlink"/>
            <w:rFonts w:cs="Sylfaen"/>
            <w:i/>
            <w:noProof/>
            <w:lang w:val="af-ZA" w:eastAsia="en-US"/>
          </w:rPr>
          <w:t xml:space="preserve"> </w:t>
        </w:r>
        <w:r w:rsidRPr="0011261B">
          <w:rPr>
            <w:rStyle w:val="Hyperlink"/>
            <w:rFonts w:cs="Sylfaen"/>
            <w:i/>
            <w:noProof/>
            <w:lang w:val="hy-AM" w:eastAsia="en-US"/>
          </w:rPr>
          <w:t>ֆինանսական</w:t>
        </w:r>
        <w:r w:rsidRPr="0011261B">
          <w:rPr>
            <w:rStyle w:val="Hyperlink"/>
            <w:rFonts w:cs="Sylfaen"/>
            <w:i/>
            <w:noProof/>
            <w:lang w:val="af-ZA" w:eastAsia="en-US"/>
          </w:rPr>
          <w:t xml:space="preserve"> </w:t>
        </w:r>
        <w:r w:rsidRPr="0011261B">
          <w:rPr>
            <w:rStyle w:val="Hyperlink"/>
            <w:rFonts w:cs="Sylfaen"/>
            <w:i/>
            <w:noProof/>
            <w:lang w:val="hy-AM" w:eastAsia="en-US"/>
          </w:rPr>
          <w:t>ակտիվների</w:t>
        </w:r>
        <w:r w:rsidRPr="0011261B">
          <w:rPr>
            <w:rStyle w:val="Hyperlink"/>
            <w:rFonts w:cs="Sylfaen"/>
            <w:i/>
            <w:noProof/>
            <w:lang w:val="af-ZA" w:eastAsia="en-US"/>
          </w:rPr>
          <w:t xml:space="preserve"> </w:t>
        </w:r>
        <w:r w:rsidRPr="0011261B">
          <w:rPr>
            <w:rStyle w:val="Hyperlink"/>
            <w:rFonts w:cs="Sylfaen"/>
            <w:i/>
            <w:noProof/>
            <w:lang w:val="hy-AM" w:eastAsia="en-US"/>
          </w:rPr>
          <w:t>գծով</w:t>
        </w:r>
        <w:r w:rsidRPr="0011261B">
          <w:rPr>
            <w:rStyle w:val="Hyperlink"/>
            <w:rFonts w:cs="Sylfaen"/>
            <w:i/>
            <w:noProof/>
            <w:lang w:val="af-ZA" w:eastAsia="en-US"/>
          </w:rPr>
          <w:t xml:space="preserve"> </w:t>
        </w:r>
        <w:r w:rsidRPr="0011261B">
          <w:rPr>
            <w:rStyle w:val="Hyperlink"/>
            <w:rFonts w:cs="Sylfaen"/>
            <w:i/>
            <w:noProof/>
            <w:lang w:val="en-US" w:eastAsia="en-US"/>
          </w:rPr>
          <w:t>գործառնությունների</w:t>
        </w:r>
        <w:r w:rsidRPr="0011261B">
          <w:rPr>
            <w:rStyle w:val="Hyperlink"/>
            <w:i/>
            <w:noProof/>
            <w:lang w:val="af-ZA" w:eastAsia="en-US"/>
          </w:rPr>
          <w:t xml:space="preserve"> </w:t>
        </w:r>
        <w:r w:rsidRPr="0011261B">
          <w:rPr>
            <w:rStyle w:val="Hyperlink"/>
            <w:rFonts w:cs="Sylfaen"/>
            <w:i/>
            <w:noProof/>
            <w:lang w:val="hy-AM" w:eastAsia="en-US"/>
          </w:rPr>
          <w:t>փոփոխության</w:t>
        </w:r>
        <w:r w:rsidRPr="0011261B">
          <w:rPr>
            <w:rStyle w:val="Hyperlink"/>
            <w:i/>
            <w:noProof/>
            <w:lang w:val="af-ZA" w:eastAsia="en-US"/>
          </w:rPr>
          <w:t xml:space="preserve"> </w:t>
        </w:r>
        <w:r w:rsidRPr="0011261B">
          <w:rPr>
            <w:rStyle w:val="Hyperlink"/>
            <w:rFonts w:cs="Sylfaen"/>
            <w:i/>
            <w:noProof/>
            <w:lang w:val="hy-AM" w:eastAsia="en-US"/>
          </w:rPr>
          <w:t>և</w:t>
        </w:r>
        <w:r w:rsidRPr="0011261B">
          <w:rPr>
            <w:rStyle w:val="Hyperlink"/>
            <w:i/>
            <w:noProof/>
            <w:lang w:val="af-ZA" w:eastAsia="en-US"/>
          </w:rPr>
          <w:t xml:space="preserve"> </w:t>
        </w:r>
        <w:r w:rsidRPr="0011261B">
          <w:rPr>
            <w:rStyle w:val="Hyperlink"/>
            <w:rFonts w:cs="Sylfaen"/>
            <w:i/>
            <w:noProof/>
            <w:lang w:val="hy-AM" w:eastAsia="en-US"/>
          </w:rPr>
          <w:t>հարաբերակցության</w:t>
        </w:r>
        <w:r w:rsidRPr="0011261B">
          <w:rPr>
            <w:rStyle w:val="Hyperlink"/>
            <w:i/>
            <w:noProof/>
            <w:lang w:val="af-ZA" w:eastAsia="en-US"/>
          </w:rPr>
          <w:t xml:space="preserve"> </w:t>
        </w:r>
        <w:r w:rsidRPr="0011261B">
          <w:rPr>
            <w:rStyle w:val="Hyperlink"/>
            <w:rFonts w:cs="Sylfaen"/>
            <w:i/>
            <w:noProof/>
            <w:lang w:val="hy-AM" w:eastAsia="en-US"/>
          </w:rPr>
          <w:t>միտումները</w:t>
        </w:r>
        <w:r>
          <w:rPr>
            <w:noProof/>
            <w:webHidden/>
          </w:rPr>
          <w:tab/>
        </w:r>
        <w:r>
          <w:rPr>
            <w:noProof/>
            <w:webHidden/>
          </w:rPr>
          <w:fldChar w:fldCharType="begin"/>
        </w:r>
        <w:r>
          <w:rPr>
            <w:noProof/>
            <w:webHidden/>
          </w:rPr>
          <w:instrText xml:space="preserve"> PAGEREF _Toc89428817 \h </w:instrText>
        </w:r>
        <w:r>
          <w:rPr>
            <w:noProof/>
            <w:webHidden/>
          </w:rPr>
        </w:r>
        <w:r>
          <w:rPr>
            <w:noProof/>
            <w:webHidden/>
          </w:rPr>
          <w:fldChar w:fldCharType="separate"/>
        </w:r>
        <w:r>
          <w:rPr>
            <w:noProof/>
            <w:webHidden/>
          </w:rPr>
          <w:t>109</w:t>
        </w:r>
        <w:r>
          <w:rPr>
            <w:noProof/>
            <w:webHidden/>
          </w:rPr>
          <w:fldChar w:fldCharType="end"/>
        </w:r>
      </w:hyperlink>
    </w:p>
    <w:p w14:paraId="3C23EB7C" w14:textId="2E25AEAA" w:rsidR="005329B5" w:rsidRDefault="005329B5">
      <w:pPr>
        <w:pStyle w:val="TableofFigures"/>
        <w:rPr>
          <w:rFonts w:asciiTheme="minorHAnsi" w:eastAsiaTheme="minorEastAsia" w:hAnsiTheme="minorHAnsi" w:cstheme="minorBidi"/>
          <w:b w:val="0"/>
          <w:noProof/>
          <w:szCs w:val="22"/>
          <w:lang w:val="en-US" w:eastAsia="en-US"/>
        </w:rPr>
      </w:pPr>
      <w:hyperlink w:anchor="_Toc89428818" w:history="1">
        <w:r w:rsidRPr="0011261B">
          <w:rPr>
            <w:rStyle w:val="Hyperlink"/>
            <w:noProof/>
            <w:lang w:val="hy-AM"/>
          </w:rPr>
          <w:t>Գծապատկեր 3</w:t>
        </w:r>
        <w:r w:rsidRPr="0011261B">
          <w:rPr>
            <w:rStyle w:val="Hyperlink"/>
            <w:rFonts w:ascii="Cambria Math" w:hAnsi="Cambria Math"/>
            <w:noProof/>
            <w:lang w:val="hy-AM"/>
          </w:rPr>
          <w:t xml:space="preserve">․ </w:t>
        </w:r>
        <w:r w:rsidRPr="0011261B">
          <w:rPr>
            <w:rStyle w:val="Hyperlink"/>
            <w:rFonts w:cs="Sylfaen"/>
            <w:i/>
            <w:noProof/>
            <w:lang w:val="hy-AM" w:eastAsia="en-US"/>
          </w:rPr>
          <w:t>2017-2021թթ</w:t>
        </w:r>
        <w:r w:rsidRPr="0011261B">
          <w:rPr>
            <w:rStyle w:val="Hyperlink"/>
            <w:rFonts w:ascii="Cambria Math" w:hAnsi="Cambria Math" w:cs="Sylfaen"/>
            <w:i/>
            <w:noProof/>
            <w:lang w:val="hy-AM" w:eastAsia="en-US"/>
          </w:rPr>
          <w:t xml:space="preserve">․ </w:t>
        </w:r>
        <w:r w:rsidRPr="0011261B">
          <w:rPr>
            <w:rStyle w:val="Hyperlink"/>
            <w:rFonts w:cs="Sylfaen"/>
            <w:i/>
            <w:noProof/>
            <w:lang w:val="hy-AM" w:eastAsia="en-US"/>
          </w:rPr>
          <w:t>ընթացիկ ծախսերի ֆինանսավորման ըստ տնտեսագիտական դասակարգման կառուցվածքի ծախսերի հարաբերակցությունը ՀՆԱ-ի նկատմամբ</w:t>
        </w:r>
        <w:r>
          <w:rPr>
            <w:noProof/>
            <w:webHidden/>
          </w:rPr>
          <w:tab/>
        </w:r>
        <w:r>
          <w:rPr>
            <w:noProof/>
            <w:webHidden/>
          </w:rPr>
          <w:fldChar w:fldCharType="begin"/>
        </w:r>
        <w:r>
          <w:rPr>
            <w:noProof/>
            <w:webHidden/>
          </w:rPr>
          <w:instrText xml:space="preserve"> PAGEREF _Toc89428818 \h </w:instrText>
        </w:r>
        <w:r>
          <w:rPr>
            <w:noProof/>
            <w:webHidden/>
          </w:rPr>
        </w:r>
        <w:r>
          <w:rPr>
            <w:noProof/>
            <w:webHidden/>
          </w:rPr>
          <w:fldChar w:fldCharType="separate"/>
        </w:r>
        <w:r>
          <w:rPr>
            <w:noProof/>
            <w:webHidden/>
          </w:rPr>
          <w:t>110</w:t>
        </w:r>
        <w:r>
          <w:rPr>
            <w:noProof/>
            <w:webHidden/>
          </w:rPr>
          <w:fldChar w:fldCharType="end"/>
        </w:r>
      </w:hyperlink>
    </w:p>
    <w:p w14:paraId="490DC532" w14:textId="6665CD13" w:rsidR="005329B5" w:rsidRDefault="005329B5">
      <w:pPr>
        <w:pStyle w:val="TableofFigures"/>
        <w:rPr>
          <w:rFonts w:asciiTheme="minorHAnsi" w:eastAsiaTheme="minorEastAsia" w:hAnsiTheme="minorHAnsi" w:cstheme="minorBidi"/>
          <w:b w:val="0"/>
          <w:noProof/>
          <w:szCs w:val="22"/>
          <w:lang w:val="en-US" w:eastAsia="en-US"/>
        </w:rPr>
      </w:pPr>
      <w:hyperlink w:anchor="_Toc89428819" w:history="1">
        <w:r w:rsidRPr="0011261B">
          <w:rPr>
            <w:rStyle w:val="Hyperlink"/>
            <w:noProof/>
            <w:lang w:val="hy-AM"/>
          </w:rPr>
          <w:t>Գծապատկեր 4.</w:t>
        </w:r>
        <w:r w:rsidRPr="0011261B">
          <w:rPr>
            <w:rStyle w:val="Hyperlink"/>
            <w:rFonts w:eastAsia="Calibri"/>
            <w:i/>
            <w:iCs/>
            <w:noProof/>
            <w:lang w:val="hy-AM"/>
          </w:rPr>
          <w:t xml:space="preserve"> </w:t>
        </w:r>
        <w:r w:rsidRPr="0011261B">
          <w:rPr>
            <w:rStyle w:val="Hyperlink"/>
            <w:rFonts w:cs="Sylfaen"/>
            <w:i/>
            <w:noProof/>
            <w:lang w:val="hy-AM"/>
          </w:rPr>
          <w:t>2018-2022 թթ</w:t>
        </w:r>
        <w:r w:rsidRPr="0011261B">
          <w:rPr>
            <w:rStyle w:val="Hyperlink"/>
            <w:rFonts w:ascii="Cambria Math" w:hAnsi="Cambria Math" w:cs="Cambria Math"/>
            <w:i/>
            <w:noProof/>
            <w:lang w:val="hy-AM"/>
          </w:rPr>
          <w:t>․</w:t>
        </w:r>
        <w:r w:rsidRPr="0011261B">
          <w:rPr>
            <w:rStyle w:val="Hyperlink"/>
            <w:rFonts w:cs="Sylfaen"/>
            <w:i/>
            <w:noProof/>
            <w:lang w:val="hy-AM"/>
          </w:rPr>
          <w:t>ոչ ֆինանսական ակտիվների գծով ծախսերի ֆինանսավորման կառուցվածքը</w:t>
        </w:r>
        <w:r>
          <w:rPr>
            <w:noProof/>
            <w:webHidden/>
          </w:rPr>
          <w:tab/>
        </w:r>
        <w:r>
          <w:rPr>
            <w:noProof/>
            <w:webHidden/>
          </w:rPr>
          <w:fldChar w:fldCharType="begin"/>
        </w:r>
        <w:r>
          <w:rPr>
            <w:noProof/>
            <w:webHidden/>
          </w:rPr>
          <w:instrText xml:space="preserve"> PAGEREF _Toc89428819 \h </w:instrText>
        </w:r>
        <w:r>
          <w:rPr>
            <w:noProof/>
            <w:webHidden/>
          </w:rPr>
        </w:r>
        <w:r>
          <w:rPr>
            <w:noProof/>
            <w:webHidden/>
          </w:rPr>
          <w:fldChar w:fldCharType="separate"/>
        </w:r>
        <w:r>
          <w:rPr>
            <w:noProof/>
            <w:webHidden/>
          </w:rPr>
          <w:t>113</w:t>
        </w:r>
        <w:r>
          <w:rPr>
            <w:noProof/>
            <w:webHidden/>
          </w:rPr>
          <w:fldChar w:fldCharType="end"/>
        </w:r>
      </w:hyperlink>
    </w:p>
    <w:p w14:paraId="3052DE24" w14:textId="2801F92E" w:rsidR="005329B5" w:rsidRDefault="005329B5">
      <w:pPr>
        <w:pStyle w:val="TableofFigures"/>
        <w:rPr>
          <w:rFonts w:asciiTheme="minorHAnsi" w:eastAsiaTheme="minorEastAsia" w:hAnsiTheme="minorHAnsi" w:cstheme="minorBidi"/>
          <w:b w:val="0"/>
          <w:noProof/>
          <w:szCs w:val="22"/>
          <w:lang w:val="en-US" w:eastAsia="en-US"/>
        </w:rPr>
      </w:pPr>
      <w:hyperlink w:anchor="_Toc89428820" w:history="1">
        <w:r w:rsidRPr="0011261B">
          <w:rPr>
            <w:rStyle w:val="Hyperlink"/>
            <w:bCs/>
            <w:noProof/>
          </w:rPr>
          <w:t>Գծապատկեր 5</w:t>
        </w:r>
        <w:r w:rsidRPr="0011261B">
          <w:rPr>
            <w:rStyle w:val="Hyperlink"/>
            <w:bCs/>
            <w:noProof/>
            <w:lang w:val="en-US"/>
          </w:rPr>
          <w:t xml:space="preserve">. </w:t>
        </w:r>
        <w:r w:rsidRPr="0011261B">
          <w:rPr>
            <w:rStyle w:val="Hyperlink"/>
            <w:bCs/>
            <w:i/>
            <w:noProof/>
            <w:lang w:val="hy-AM"/>
          </w:rPr>
          <w:t>2018-2022թթ</w:t>
        </w:r>
        <w:r w:rsidRPr="0011261B">
          <w:rPr>
            <w:rStyle w:val="Hyperlink"/>
            <w:rFonts w:ascii="Cambria Math" w:hAnsi="Cambria Math"/>
            <w:bCs/>
            <w:i/>
            <w:noProof/>
            <w:lang w:val="hy-AM"/>
          </w:rPr>
          <w:t>․</w:t>
        </w:r>
        <w:r w:rsidRPr="0011261B">
          <w:rPr>
            <w:rStyle w:val="Hyperlink"/>
            <w:bCs/>
            <w:i/>
            <w:noProof/>
            <w:lang w:val="hy-AM"/>
          </w:rPr>
          <w:t xml:space="preserve"> ծախսերի համեմատականը</w:t>
        </w:r>
        <w:r>
          <w:rPr>
            <w:noProof/>
            <w:webHidden/>
          </w:rPr>
          <w:tab/>
        </w:r>
        <w:r>
          <w:rPr>
            <w:noProof/>
            <w:webHidden/>
          </w:rPr>
          <w:fldChar w:fldCharType="begin"/>
        </w:r>
        <w:r>
          <w:rPr>
            <w:noProof/>
            <w:webHidden/>
          </w:rPr>
          <w:instrText xml:space="preserve"> PAGEREF _Toc89428820 \h </w:instrText>
        </w:r>
        <w:r>
          <w:rPr>
            <w:noProof/>
            <w:webHidden/>
          </w:rPr>
        </w:r>
        <w:r>
          <w:rPr>
            <w:noProof/>
            <w:webHidden/>
          </w:rPr>
          <w:fldChar w:fldCharType="separate"/>
        </w:r>
        <w:r>
          <w:rPr>
            <w:noProof/>
            <w:webHidden/>
          </w:rPr>
          <w:t>115</w:t>
        </w:r>
        <w:r>
          <w:rPr>
            <w:noProof/>
            <w:webHidden/>
          </w:rPr>
          <w:fldChar w:fldCharType="end"/>
        </w:r>
      </w:hyperlink>
    </w:p>
    <w:p w14:paraId="7620CFC9" w14:textId="5F7338A4" w:rsidR="005329B5" w:rsidRDefault="005329B5">
      <w:pPr>
        <w:pStyle w:val="TableofFigures"/>
        <w:rPr>
          <w:rFonts w:asciiTheme="minorHAnsi" w:eastAsiaTheme="minorEastAsia" w:hAnsiTheme="minorHAnsi" w:cstheme="minorBidi"/>
          <w:b w:val="0"/>
          <w:noProof/>
          <w:szCs w:val="22"/>
          <w:lang w:val="en-US" w:eastAsia="en-US"/>
        </w:rPr>
      </w:pPr>
      <w:hyperlink w:anchor="_Toc89428821" w:history="1">
        <w:r w:rsidRPr="0011261B">
          <w:rPr>
            <w:rStyle w:val="Hyperlink"/>
            <w:bCs/>
            <w:noProof/>
            <w:lang w:val="hy-AM"/>
          </w:rPr>
          <w:t>Գծապատկեր 6</w:t>
        </w:r>
        <w:r w:rsidRPr="0011261B">
          <w:rPr>
            <w:rStyle w:val="Hyperlink"/>
            <w:rFonts w:ascii="Cambria Math" w:hAnsi="Cambria Math" w:cs="Cambria Math"/>
            <w:bCs/>
            <w:noProof/>
            <w:lang w:val="hy-AM"/>
          </w:rPr>
          <w:t>․</w:t>
        </w:r>
        <w:r w:rsidRPr="0011261B">
          <w:rPr>
            <w:rStyle w:val="Hyperlink"/>
            <w:bCs/>
            <w:noProof/>
            <w:lang w:val="hy-AM"/>
          </w:rPr>
          <w:t xml:space="preserve"> 2018-2022 թթ</w:t>
        </w:r>
        <w:r w:rsidRPr="0011261B">
          <w:rPr>
            <w:rStyle w:val="Hyperlink"/>
            <w:rFonts w:ascii="Cambria Math" w:hAnsi="Cambria Math" w:cs="Cambria Math"/>
            <w:bCs/>
            <w:noProof/>
            <w:lang w:val="hy-AM"/>
          </w:rPr>
          <w:t>․</w:t>
        </w:r>
        <w:r w:rsidRPr="0011261B">
          <w:rPr>
            <w:rStyle w:val="Hyperlink"/>
            <w:bCs/>
            <w:noProof/>
            <w:lang w:val="hy-AM"/>
          </w:rPr>
          <w:t xml:space="preserve"> վարկային, դրամաշնորհային միջոցների հաշվին ֆինանսավորումը, կշիռը ՀՆԱ-ում, կշիռը ընդամենը ծախսերում</w:t>
        </w:r>
        <w:r>
          <w:rPr>
            <w:noProof/>
            <w:webHidden/>
          </w:rPr>
          <w:tab/>
        </w:r>
        <w:r>
          <w:rPr>
            <w:noProof/>
            <w:webHidden/>
          </w:rPr>
          <w:fldChar w:fldCharType="begin"/>
        </w:r>
        <w:r>
          <w:rPr>
            <w:noProof/>
            <w:webHidden/>
          </w:rPr>
          <w:instrText xml:space="preserve"> PAGEREF _Toc89428821 \h </w:instrText>
        </w:r>
        <w:r>
          <w:rPr>
            <w:noProof/>
            <w:webHidden/>
          </w:rPr>
        </w:r>
        <w:r>
          <w:rPr>
            <w:noProof/>
            <w:webHidden/>
          </w:rPr>
          <w:fldChar w:fldCharType="separate"/>
        </w:r>
        <w:r>
          <w:rPr>
            <w:noProof/>
            <w:webHidden/>
          </w:rPr>
          <w:t>119</w:t>
        </w:r>
        <w:r>
          <w:rPr>
            <w:noProof/>
            <w:webHidden/>
          </w:rPr>
          <w:fldChar w:fldCharType="end"/>
        </w:r>
      </w:hyperlink>
    </w:p>
    <w:p w14:paraId="3C70EBE6" w14:textId="508F1FA6" w:rsidR="008B76F4" w:rsidRPr="008B76F4" w:rsidRDefault="003C3925" w:rsidP="00054D48">
      <w:pPr>
        <w:tabs>
          <w:tab w:val="left" w:pos="1710"/>
        </w:tabs>
        <w:spacing w:before="0"/>
        <w:ind w:left="1710" w:hanging="1710"/>
        <w:contextualSpacing w:val="0"/>
        <w:rPr>
          <w:rFonts w:eastAsia="Calibri" w:cs="Times Armenian"/>
          <w:b w:val="0"/>
          <w:szCs w:val="22"/>
          <w:lang w:val="hy-AM" w:eastAsia="en-US"/>
        </w:rPr>
      </w:pPr>
      <w:r w:rsidRPr="00A83C94">
        <w:rPr>
          <w:rFonts w:eastAsia="Calibri" w:cs="Times Armenian"/>
          <w:b w:val="0"/>
          <w:szCs w:val="22"/>
          <w:lang w:val="hy-AM" w:eastAsia="en-US"/>
        </w:rPr>
        <w:fldChar w:fldCharType="end"/>
      </w:r>
    </w:p>
    <w:sectPr w:rsidR="008B76F4" w:rsidRPr="008B76F4" w:rsidSect="00B3034A">
      <w:footerReference w:type="default" r:id="rId93"/>
      <w:pgSz w:w="11906" w:h="16838" w:code="9"/>
      <w:pgMar w:top="1134" w:right="1016" w:bottom="426" w:left="1134" w:header="720" w:footer="1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047975" w14:textId="77777777" w:rsidR="00F02CE0" w:rsidRDefault="00F02CE0" w:rsidP="00F52B25">
      <w:r>
        <w:separator/>
      </w:r>
    </w:p>
  </w:endnote>
  <w:endnote w:type="continuationSeparator" w:id="0">
    <w:p w14:paraId="17D6E89A" w14:textId="77777777" w:rsidR="00F02CE0" w:rsidRDefault="00F02CE0" w:rsidP="00F52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HEA Grapalat">
    <w:panose1 w:val="02000506050000020003"/>
    <w:charset w:val="00"/>
    <w:family w:val="modern"/>
    <w:notTrueType/>
    <w:pitch w:val="variable"/>
    <w:sig w:usb0="A00006AF" w:usb1="5000204B" w:usb2="00000000" w:usb3="00000000" w:csb0="0000009F" w:csb1="00000000"/>
  </w:font>
  <w:font w:name="Times Armenian">
    <w:panose1 w:val="02020603050405020304"/>
    <w:charset w:val="00"/>
    <w:family w:val="roman"/>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LatArm">
    <w:panose1 w:val="00000000000000000000"/>
    <w:charset w:val="00"/>
    <w:family w:val="auto"/>
    <w:pitch w:val="variable"/>
    <w:sig w:usb0="E00002FF" w:usb1="5000205A"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AMU">
    <w:charset w:val="00"/>
    <w:family w:val="swiss"/>
    <w:pitch w:val="variable"/>
    <w:sig w:usb0="800006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LatArm">
    <w:panose1 w:val="020B0604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 Sans">
    <w:charset w:val="00"/>
    <w:family w:val="auto"/>
    <w:pitch w:val="variable"/>
    <w:sig w:usb0="80000267" w:usb1="00000000" w:usb2="00000000" w:usb3="00000000" w:csb0="000001F7" w:csb1="00000000"/>
  </w:font>
  <w:font w:name="MS Mincho">
    <w:altName w:val="Yu Gothic UI"/>
    <w:panose1 w:val="02020609040205080304"/>
    <w:charset w:val="80"/>
    <w:family w:val="modern"/>
    <w:pitch w:val="fixed"/>
    <w:sig w:usb0="E00002FF" w:usb1="6AC7FDFB" w:usb2="00000012" w:usb3="00000000" w:csb0="0002009F" w:csb1="00000000"/>
  </w:font>
  <w:font w:name="Baltica">
    <w:panose1 w:val="00000000000000000000"/>
    <w:charset w:val="00"/>
    <w:family w:val="auto"/>
    <w:pitch w:val="variable"/>
    <w:sig w:usb0="00000003" w:usb1="00000000" w:usb2="00000000" w:usb3="00000000" w:csb0="00000001" w:csb1="00000000"/>
  </w:font>
  <w:font w:name="Univers">
    <w:charset w:val="00"/>
    <w:family w:val="swiss"/>
    <w:pitch w:val="variable"/>
    <w:sig w:usb0="00000287" w:usb1="00000000" w:usb2="00000000" w:usb3="00000000" w:csb0="0000009F" w:csb1="00000000"/>
  </w:font>
  <w:font w:name="Russian Baltica">
    <w:charset w:val="00"/>
    <w:family w:val="roman"/>
    <w:pitch w:val="variable"/>
    <w:sig w:usb0="00000003" w:usb1="00000000" w:usb2="00000000" w:usb3="00000000" w:csb0="00000001" w:csb1="00000000"/>
  </w:font>
  <w:font w:name="Dallak Helv">
    <w:charset w:val="00"/>
    <w:family w:val="swiss"/>
    <w:pitch w:val="variable"/>
    <w:sig w:usb0="00000003" w:usb1="00000000" w:usb2="00000000" w:usb3="00000000" w:csb0="00000001" w:csb1="00000000"/>
  </w:font>
  <w:font w:name="Arial Unicode">
    <w:panose1 w:val="020B0604020202020204"/>
    <w:charset w:val="80"/>
    <w:family w:val="swiss"/>
    <w:pitch w:val="variable"/>
    <w:sig w:usb0="F7FFAFFF" w:usb1="E9DFFFFF" w:usb2="0000003F" w:usb3="00000000" w:csb0="003F01FF" w:csb1="00000000"/>
  </w:font>
  <w:font w:name="GHEA Mariam">
    <w:panose1 w:val="02000503080000020003"/>
    <w:charset w:val="00"/>
    <w:family w:val="modern"/>
    <w:notTrueType/>
    <w:pitch w:val="variable"/>
    <w:sig w:usb0="A00006AF" w:usb1="5000204B" w:usb2="00000000" w:usb3="00000000" w:csb0="0000009F" w:csb1="00000000"/>
  </w:font>
  <w:font w:name="Liberation Sans">
    <w:altName w:val="Arial"/>
    <w:charset w:val="01"/>
    <w:family w:val="roman"/>
    <w:pitch w:val="variable"/>
  </w:font>
  <w:font w:name="ヒラギノ角ゴ Pro W3">
    <w:altName w:val="Arial Unicode MS"/>
    <w:panose1 w:val="00000000000000000000"/>
    <w:charset w:val="80"/>
    <w:family w:val="auto"/>
    <w:notTrueType/>
    <w:pitch w:val="variable"/>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K Courier">
    <w:charset w:val="00"/>
    <w:family w:val="modern"/>
    <w:pitch w:val="fixed"/>
    <w:sig w:usb0="E0002EFF" w:usb1="C0007843" w:usb2="00000009" w:usb3="00000000" w:csb0="000001FF" w:csb1="00000000"/>
  </w:font>
  <w:font w:name="Browallia New">
    <w:charset w:val="00"/>
    <w:family w:val="swiss"/>
    <w:pitch w:val="variable"/>
    <w:sig w:usb0="81000003" w:usb1="00000000" w:usb2="00000000" w:usb3="00000000" w:csb0="00010001" w:csb1="00000000"/>
  </w:font>
  <w:font w:name="Segoe UI Historic">
    <w:panose1 w:val="020B0502040204020203"/>
    <w:charset w:val="00"/>
    <w:family w:val="swiss"/>
    <w:pitch w:val="variable"/>
    <w:sig w:usb0="800001EF" w:usb1="02000002" w:usb2="0060C08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erriweather">
    <w:altName w:val="Times New Roman"/>
    <w:charset w:val="00"/>
    <w:family w:val="auto"/>
    <w:pitch w:val="default"/>
  </w:font>
  <w:font w:name="+mn-ea">
    <w:panose1 w:val="00000000000000000000"/>
    <w:charset w:val="00"/>
    <w:family w:val="roman"/>
    <w:notTrueType/>
    <w:pitch w:val="default"/>
  </w:font>
  <w:font w:name="+mn-cs">
    <w:panose1 w:val="00000000000000000000"/>
    <w:charset w:val="00"/>
    <w:family w:val="roman"/>
    <w:notTrueType/>
    <w:pitch w:val="default"/>
  </w:font>
  <w:font w:name="Microsoft JhengHei">
    <w:panose1 w:val="020B0604030504040204"/>
    <w:charset w:val="88"/>
    <w:family w:val="swiss"/>
    <w:pitch w:val="variable"/>
    <w:sig w:usb0="000002A7" w:usb1="28CF4400" w:usb2="00000016" w:usb3="00000000" w:csb0="00100009" w:csb1="00000000"/>
  </w:font>
  <w:font w:name="IRTEK Courier">
    <w:charset w:val="00"/>
    <w:family w:val="roman"/>
    <w:pitch w:val="fixed"/>
    <w:sig w:usb0="00000003" w:usb1="00000000" w:usb2="00000000" w:usb3="00000000" w:csb0="00000001" w:csb1="00000000"/>
  </w:font>
  <w:font w:name="GHEAGrapalat">
    <w:altName w:val="MS Mincho"/>
    <w:panose1 w:val="00000000000000000000"/>
    <w:charset w:val="80"/>
    <w:family w:val="auto"/>
    <w:notTrueType/>
    <w:pitch w:val="default"/>
    <w:sig w:usb0="00000001" w:usb1="08070000" w:usb2="00000010" w:usb3="00000000" w:csb0="00020000" w:csb1="00000000"/>
  </w:font>
  <w:font w:name="Arian AMU">
    <w:charset w:val="CC"/>
    <w:family w:val="auto"/>
    <w:pitch w:val="variable"/>
    <w:sig w:usb0="A1002E8F" w:usb1="10000008" w:usb2="00000000" w:usb3="00000000" w:csb0="000101FF" w:csb1="00000000"/>
  </w:font>
  <w:font w:name="Times Unicode">
    <w:panose1 w:val="020206030504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05E679" w14:textId="43C98BEF" w:rsidR="0019638A" w:rsidRPr="00560CEC" w:rsidRDefault="0019638A">
    <w:pPr>
      <w:pStyle w:val="Footer"/>
      <w:jc w:val="center"/>
      <w:rPr>
        <w:sz w:val="18"/>
        <w:szCs w:val="18"/>
      </w:rPr>
    </w:pPr>
    <w:r w:rsidRPr="00560CEC">
      <w:rPr>
        <w:sz w:val="18"/>
        <w:szCs w:val="18"/>
      </w:rPr>
      <w:fldChar w:fldCharType="begin"/>
    </w:r>
    <w:r w:rsidRPr="00560CEC">
      <w:rPr>
        <w:sz w:val="18"/>
        <w:szCs w:val="18"/>
      </w:rPr>
      <w:instrText xml:space="preserve"> PAGE   \* MERGEFORMAT </w:instrText>
    </w:r>
    <w:r w:rsidRPr="00560CEC">
      <w:rPr>
        <w:sz w:val="18"/>
        <w:szCs w:val="18"/>
      </w:rPr>
      <w:fldChar w:fldCharType="separate"/>
    </w:r>
    <w:r w:rsidR="00290EFB">
      <w:rPr>
        <w:noProof/>
        <w:sz w:val="18"/>
        <w:szCs w:val="18"/>
      </w:rPr>
      <w:t>113</w:t>
    </w:r>
    <w:r w:rsidRPr="00560CEC">
      <w:rPr>
        <w:noProof/>
        <w:sz w:val="18"/>
        <w:szCs w:val="18"/>
      </w:rPr>
      <w:fldChar w:fldCharType="end"/>
    </w:r>
  </w:p>
  <w:p w14:paraId="61676F7F" w14:textId="77777777" w:rsidR="0019638A" w:rsidRDefault="001963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2CFBB4" w14:textId="77777777" w:rsidR="00F02CE0" w:rsidRDefault="00F02CE0" w:rsidP="00F52B25">
      <w:r>
        <w:separator/>
      </w:r>
    </w:p>
  </w:footnote>
  <w:footnote w:type="continuationSeparator" w:id="0">
    <w:p w14:paraId="735190AF" w14:textId="77777777" w:rsidR="00F02CE0" w:rsidRDefault="00F02CE0" w:rsidP="00F52B25">
      <w:r>
        <w:continuationSeparator/>
      </w:r>
    </w:p>
  </w:footnote>
  <w:footnote w:id="1">
    <w:p w14:paraId="37D7CABB" w14:textId="77777777" w:rsidR="0019638A" w:rsidRPr="00500ADC" w:rsidRDefault="0019638A" w:rsidP="00027FBF">
      <w:pPr>
        <w:pStyle w:val="FootnoteText"/>
      </w:pPr>
      <w:r w:rsidRPr="00500ADC">
        <w:rPr>
          <w:rStyle w:val="FootnoteReference"/>
        </w:rPr>
        <w:footnoteRef/>
      </w:r>
      <w:r w:rsidRPr="00DE6C7D">
        <w:t>Կապիտալ ներդրումներում ներառված չէ պաշարների փոփոխությունը, ներկայացված են միայն հիմնական միջոցներում կատարված կապիտալ ներդրումները, քանի որ 2019թ.-ից ՀՀ ՎԿ կողմից պաշարների փոփոխությունը հաշվառվում է որպես հաշվեկշռող գործոն կամ այլ կերպ՝ վիճակագրական սխալները ներառվում են դրա մեջ:</w:t>
      </w:r>
    </w:p>
  </w:footnote>
  <w:footnote w:id="2">
    <w:p w14:paraId="6C894119" w14:textId="77777777" w:rsidR="0019638A" w:rsidRPr="00285F6F" w:rsidRDefault="0019638A" w:rsidP="00027FBF">
      <w:pPr>
        <w:pStyle w:val="FootnoteText"/>
        <w:rPr>
          <w:lang w:val="en-US"/>
        </w:rPr>
      </w:pPr>
      <w:r>
        <w:rPr>
          <w:rStyle w:val="FootnoteReference"/>
        </w:rPr>
        <w:footnoteRef/>
      </w:r>
      <w:r>
        <w:rPr>
          <w:rFonts w:eastAsia="Calibri"/>
          <w:szCs w:val="22"/>
          <w:lang w:val="hy-AM"/>
        </w:rPr>
        <w:t xml:space="preserve"> «</w:t>
      </w:r>
      <w:r w:rsidRPr="001F2937">
        <w:rPr>
          <w:rFonts w:eastAsia="Calibri"/>
          <w:szCs w:val="22"/>
          <w:lang w:val="hy-AM"/>
        </w:rPr>
        <w:t>Բլումբերգ</w:t>
      </w:r>
      <w:r>
        <w:rPr>
          <w:rFonts w:eastAsia="Calibri"/>
          <w:szCs w:val="22"/>
          <w:lang w:val="hy-AM"/>
        </w:rPr>
        <w:t xml:space="preserve">» </w:t>
      </w:r>
      <w:r w:rsidRPr="00586097">
        <w:t>միջազգայ</w:t>
      </w:r>
      <w:r>
        <w:t>ին հեղինակավոր կազմակերպության</w:t>
      </w:r>
      <w:r w:rsidRPr="001F2937">
        <w:rPr>
          <w:rFonts w:eastAsia="Calibri"/>
          <w:szCs w:val="22"/>
          <w:lang w:val="hy-AM"/>
        </w:rPr>
        <w:t xml:space="preserve"> 2021թ. օգոստոս</w:t>
      </w:r>
      <w:r>
        <w:rPr>
          <w:rFonts w:eastAsia="Calibri"/>
          <w:szCs w:val="22"/>
          <w:lang w:val="hy-AM"/>
        </w:rPr>
        <w:t>ի տվյալներ</w:t>
      </w:r>
      <w:r>
        <w:rPr>
          <w:rFonts w:eastAsia="Calibri"/>
          <w:szCs w:val="22"/>
          <w:lang w:val="en-US"/>
        </w:rPr>
        <w:t>:</w:t>
      </w:r>
    </w:p>
  </w:footnote>
  <w:footnote w:id="3">
    <w:p w14:paraId="68933BC3" w14:textId="77777777" w:rsidR="0019638A" w:rsidRPr="000927CC" w:rsidRDefault="0019638A" w:rsidP="00027FBF">
      <w:pPr>
        <w:pStyle w:val="FootnoteText"/>
        <w:rPr>
          <w:i/>
          <w:lang w:val="hy-AM"/>
        </w:rPr>
      </w:pPr>
      <w:r>
        <w:rPr>
          <w:rStyle w:val="FootnoteReference"/>
        </w:rPr>
        <w:footnoteRef/>
      </w:r>
      <w:r w:rsidRPr="000927CC">
        <w:rPr>
          <w:lang w:val="hy-AM"/>
        </w:rPr>
        <w:t xml:space="preserve"> </w:t>
      </w:r>
      <w:r w:rsidRPr="00544EFF">
        <w:rPr>
          <w:i/>
          <w:lang w:val="hy-AM"/>
        </w:rPr>
        <w:t>ՀՀ երկրի ռիսկի հավելավճարը՝ կորոնավիրուսի առաջին ալիքի ազդեցության որոշակի կայունացումից հետո, 2020թ</w:t>
      </w:r>
      <w:r w:rsidRPr="00544EFF">
        <w:rPr>
          <w:rFonts w:ascii="Cambria Math" w:hAnsi="Cambria Math" w:cs="Cambria Math"/>
          <w:i/>
          <w:lang w:val="hy-AM"/>
        </w:rPr>
        <w:t>․</w:t>
      </w:r>
      <w:r w:rsidRPr="00544EFF">
        <w:rPr>
          <w:i/>
          <w:lang w:val="hy-AM"/>
        </w:rPr>
        <w:t xml:space="preserve"> սեպտեմբերի 28–ից սկսել է բարձրանալ՝ պայմանավորված Արցախյան պատերազմական գործողություններով, դեկտեմբեր ամսից սկսել է կայունանալ, սակայն ավելի բարձր մակարդակում:</w:t>
      </w:r>
    </w:p>
  </w:footnote>
  <w:footnote w:id="4">
    <w:p w14:paraId="7368A664" w14:textId="77777777" w:rsidR="0019638A" w:rsidRPr="00F34E8D" w:rsidRDefault="0019638A" w:rsidP="00027FBF">
      <w:pPr>
        <w:pStyle w:val="FootnoteText"/>
        <w:rPr>
          <w:i/>
          <w:lang w:val="hy-AM"/>
        </w:rPr>
      </w:pPr>
      <w:r>
        <w:rPr>
          <w:rStyle w:val="FootnoteReference"/>
        </w:rPr>
        <w:footnoteRef/>
      </w:r>
      <w:r w:rsidRPr="00F34E8D">
        <w:rPr>
          <w:lang w:val="hy-AM"/>
        </w:rPr>
        <w:t xml:space="preserve"> </w:t>
      </w:r>
      <w:r w:rsidRPr="00F34E8D">
        <w:rPr>
          <w:i/>
          <w:lang w:val="hy-AM"/>
        </w:rPr>
        <w:t xml:space="preserve">Երկրի ռիսկի հավելավճարները հաշվարկված են որպես տվյալ երկրի եվրոպարտատոմսերի (դոլարային արժույթով) և ԱՄՆ համապատասխան ժամկետայնությամբ գանձապետական պարտատոմսերի եկամտաբերությունների տարբերություն (պարտատոմսերի մարման ժամկետները նշված են երկրների անվանումների կողքը՝ փակագծերում): </w:t>
      </w:r>
    </w:p>
  </w:footnote>
  <w:footnote w:id="5">
    <w:p w14:paraId="10C44284" w14:textId="77777777" w:rsidR="0019638A" w:rsidRDefault="0019638A" w:rsidP="00027FBF">
      <w:pPr>
        <w:pStyle w:val="FootnoteText"/>
        <w:jc w:val="left"/>
        <w:rPr>
          <w:rFonts w:cstheme="minorBidi"/>
          <w:sz w:val="18"/>
          <w:szCs w:val="18"/>
        </w:rPr>
      </w:pPr>
      <w:r>
        <w:rPr>
          <w:rStyle w:val="FootnoteReference"/>
          <w:sz w:val="18"/>
          <w:szCs w:val="18"/>
        </w:rPr>
        <w:footnoteRef/>
      </w:r>
      <w:r w:rsidRPr="00F34E8D">
        <w:rPr>
          <w:sz w:val="18"/>
          <w:szCs w:val="18"/>
          <w:lang w:val="hy-AM"/>
        </w:rPr>
        <w:t xml:space="preserve"> </w:t>
      </w:r>
      <w:r w:rsidRPr="00F34E8D">
        <w:rPr>
          <w:i/>
          <w:lang w:val="hy-AM"/>
        </w:rPr>
        <w:t>2021թ</w:t>
      </w:r>
      <w:r w:rsidRPr="00F34E8D">
        <w:rPr>
          <w:rFonts w:ascii="Cambria Math" w:hAnsi="Cambria Math" w:cs="Cambria Math"/>
          <w:i/>
          <w:lang w:val="hy-AM"/>
        </w:rPr>
        <w:t>․</w:t>
      </w:r>
      <w:r w:rsidRPr="00F34E8D">
        <w:rPr>
          <w:i/>
          <w:lang w:val="hy-AM"/>
        </w:rPr>
        <w:t xml:space="preserve"> </w:t>
      </w:r>
      <w:r>
        <w:rPr>
          <w:i/>
          <w:lang w:val="hy-AM"/>
        </w:rPr>
        <w:t>հուլիսի</w:t>
      </w:r>
      <w:r w:rsidRPr="00F34E8D">
        <w:rPr>
          <w:i/>
          <w:lang w:val="hy-AM"/>
        </w:rPr>
        <w:t xml:space="preserve"> դրությամբ։ Աղբյուրը՝ </w:t>
      </w:r>
      <w:r w:rsidRPr="00697476">
        <w:rPr>
          <w:i/>
          <w:lang w:val="hy-AM"/>
        </w:rPr>
        <w:t>Fiscal Monitor Database of Country Fiscal Measures in Response to the COVID-19 Pandemic</w:t>
      </w:r>
      <w:r w:rsidRPr="00F34E8D">
        <w:rPr>
          <w:i/>
          <w:lang w:val="hy-AM"/>
        </w:rPr>
        <w:t>.</w:t>
      </w:r>
      <w:r>
        <w:rPr>
          <w:i/>
          <w:lang w:val="hy-AM"/>
        </w:rPr>
        <w:t xml:space="preserve"> </w:t>
      </w:r>
      <w:r w:rsidRPr="00697476">
        <w:rPr>
          <w:rStyle w:val="Hyperlink"/>
        </w:rPr>
        <w:t>https://www.imf.org/en/Topics/imf-and-covid19/Fiscal-Policies-Database-in-Response-to-COVID-19</w:t>
      </w:r>
      <w:r>
        <w:t>:</w:t>
      </w:r>
      <w:r>
        <w:rPr>
          <w:sz w:val="18"/>
          <w:szCs w:val="18"/>
        </w:rPr>
        <w:t xml:space="preserve"> </w:t>
      </w:r>
    </w:p>
  </w:footnote>
  <w:footnote w:id="6">
    <w:p w14:paraId="543882EA" w14:textId="77777777" w:rsidR="0019638A" w:rsidRPr="00631206" w:rsidRDefault="0019638A" w:rsidP="00027FBF">
      <w:pPr>
        <w:pStyle w:val="FootnoteText"/>
        <w:rPr>
          <w:i/>
          <w:lang w:val="hy-AM"/>
        </w:rPr>
      </w:pPr>
      <w:r w:rsidRPr="000E6B55">
        <w:rPr>
          <w:rStyle w:val="FootnoteReference"/>
          <w:sz w:val="18"/>
          <w:szCs w:val="18"/>
        </w:rPr>
        <w:footnoteRef/>
      </w:r>
      <w:r w:rsidRPr="006D4E60">
        <w:rPr>
          <w:i/>
          <w:lang w:val="hy-AM"/>
        </w:rPr>
        <w:t>ՏԱՑ-ի աճին ճյուղերի նպաստումները ՀՀ ֆինանսների նախարարության գնահատականներն են: Գյուղատնտեսության ցուցանիշը ոչ բոլոր տեղերում է ներառված հաշվարկներում, քանի որ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7">
    <w:p w14:paraId="1703375B" w14:textId="77777777" w:rsidR="0019638A" w:rsidRPr="001D4244" w:rsidRDefault="0019638A" w:rsidP="00027FBF">
      <w:pPr>
        <w:pStyle w:val="FootnoteText"/>
        <w:rPr>
          <w:lang w:val="hy-AM"/>
        </w:rPr>
      </w:pPr>
      <w:r>
        <w:rPr>
          <w:rStyle w:val="FootnoteReference"/>
        </w:rPr>
        <w:footnoteRef/>
      </w:r>
      <w:r w:rsidRPr="007D3636">
        <w:rPr>
          <w:lang w:val="hy-AM"/>
        </w:rPr>
        <w:t xml:space="preserve"> </w:t>
      </w:r>
      <w:r>
        <w:rPr>
          <w:lang w:val="hy-AM"/>
        </w:rPr>
        <w:t>Աղբյուրը՝ ՀՀ ԿԲ, «</w:t>
      </w:r>
      <w:r w:rsidRPr="00C04300">
        <w:rPr>
          <w:rFonts w:cs="Sylfaen"/>
          <w:lang w:val="hy-AM"/>
        </w:rPr>
        <w:t xml:space="preserve">ՀՀ բանկերի միջոցով ֆիզիկական անձանց անունով արտերկրից ստացված </w:t>
      </w:r>
      <w:r>
        <w:rPr>
          <w:rFonts w:cs="Sylfaen"/>
          <w:lang w:val="hy-AM"/>
        </w:rPr>
        <w:t xml:space="preserve">և ՀՀ-ից ֆիզիկական անձանց կողմից արտերկիր իրականացված </w:t>
      </w:r>
      <w:r w:rsidRPr="00C04300">
        <w:rPr>
          <w:rFonts w:cs="Sylfaen"/>
          <w:lang w:val="hy-AM"/>
        </w:rPr>
        <w:t>փոխանցումներ</w:t>
      </w:r>
      <w:r>
        <w:rPr>
          <w:rFonts w:cs="Sylfaen"/>
          <w:lang w:val="hy-AM"/>
        </w:rPr>
        <w:t xml:space="preserve">», զուտ ներհոսք </w:t>
      </w:r>
      <w:r w:rsidRPr="001D4244">
        <w:rPr>
          <w:rFonts w:cs="Sylfaen"/>
          <w:lang w:val="hy-AM"/>
        </w:rPr>
        <w:t>(https://www.cba.am/am/SitePages/statexternalsector.aspx)</w:t>
      </w:r>
      <w:r>
        <w:rPr>
          <w:rFonts w:cs="Sylfaen"/>
          <w:lang w:val="hy-AM"/>
        </w:rPr>
        <w:t>։</w:t>
      </w:r>
    </w:p>
  </w:footnote>
  <w:footnote w:id="8">
    <w:p w14:paraId="716F6A8F" w14:textId="77777777" w:rsidR="0019638A" w:rsidRPr="009206BE" w:rsidRDefault="0019638A" w:rsidP="00027FBF">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w:t>
      </w:r>
      <w:r>
        <w:rPr>
          <w:lang w:val="hy-AM"/>
        </w:rPr>
        <w:t>կ</w:t>
      </w:r>
      <w:r w:rsidRPr="009206BE">
        <w:rPr>
          <w:lang w:val="hy-AM"/>
        </w:rPr>
        <w:t xml:space="preserve">րորդ եռամսյակում ծառայությունների արտահանման </w:t>
      </w:r>
      <w:r>
        <w:rPr>
          <w:lang w:val="hy-AM"/>
        </w:rPr>
        <w:t>աճը</w:t>
      </w:r>
      <w:r w:rsidRPr="009206BE">
        <w:rPr>
          <w:lang w:val="hy-AM"/>
        </w:rPr>
        <w:t xml:space="preserve"> գնահատվում է՝ </w:t>
      </w:r>
      <w:r>
        <w:rPr>
          <w:lang w:val="hy-AM"/>
        </w:rPr>
        <w:t>51</w:t>
      </w:r>
      <w:r w:rsidRPr="009206BE">
        <w:rPr>
          <w:lang w:val="hy-AM"/>
        </w:rPr>
        <w:t>.</w:t>
      </w:r>
      <w:r>
        <w:rPr>
          <w:lang w:val="hy-AM"/>
        </w:rPr>
        <w:t>7</w:t>
      </w:r>
      <w:r w:rsidRPr="009206BE">
        <w:rPr>
          <w:lang w:val="hy-AM"/>
        </w:rPr>
        <w:t>%, իսկ կուտակային</w:t>
      </w:r>
      <w:r>
        <w:rPr>
          <w:lang w:val="hy-AM"/>
        </w:rPr>
        <w:t xml:space="preserve"> կրճատվել է</w:t>
      </w:r>
      <w:r w:rsidRPr="009206BE">
        <w:rPr>
          <w:lang w:val="hy-AM"/>
        </w:rPr>
        <w:t xml:space="preserve"> </w:t>
      </w:r>
      <w:r>
        <w:rPr>
          <w:lang w:val="hy-AM"/>
        </w:rPr>
        <w:t>-14</w:t>
      </w:r>
      <w:r w:rsidRPr="00E61B0F">
        <w:rPr>
          <w:lang w:val="hy-AM"/>
        </w:rPr>
        <w:t>.</w:t>
      </w:r>
      <w:r>
        <w:rPr>
          <w:lang w:val="hy-AM"/>
        </w:rPr>
        <w:t>9</w:t>
      </w:r>
      <w:r w:rsidRPr="009206BE">
        <w:rPr>
          <w:lang w:val="hy-AM"/>
        </w:rPr>
        <w:t xml:space="preserve">%: </w:t>
      </w:r>
    </w:p>
  </w:footnote>
  <w:footnote w:id="9">
    <w:p w14:paraId="5A57DB3F" w14:textId="77777777" w:rsidR="0019638A" w:rsidRPr="009206BE" w:rsidRDefault="0019638A" w:rsidP="00027FBF">
      <w:pPr>
        <w:pStyle w:val="FootnoteText"/>
        <w:rPr>
          <w:lang w:val="hy-AM"/>
        </w:rPr>
      </w:pPr>
      <w:r>
        <w:rPr>
          <w:rStyle w:val="FootnoteReference"/>
        </w:rPr>
        <w:footnoteRef/>
      </w:r>
      <w:r w:rsidRPr="009206BE">
        <w:rPr>
          <w:lang w:val="hy-AM"/>
        </w:rPr>
        <w:t xml:space="preserve"> ՀՀ ՖՆ գնահատական, որը տրված է ՀՀ ՎԿ-ի ՀՆԱ-ի պաշտոնական տվյալների ըստ պահանջարկի բաղադրիչներից անցում կատարելով Վճարային հաշվեկշռի բաղադրիչների, համաձայն որի եր</w:t>
      </w:r>
      <w:r>
        <w:rPr>
          <w:lang w:val="hy-AM"/>
        </w:rPr>
        <w:t>կ</w:t>
      </w:r>
      <w:r w:rsidRPr="009206BE">
        <w:rPr>
          <w:lang w:val="hy-AM"/>
        </w:rPr>
        <w:t xml:space="preserve">րորդ եռամսյակում ծառայությունների </w:t>
      </w:r>
      <w:r>
        <w:rPr>
          <w:lang w:val="hy-AM"/>
        </w:rPr>
        <w:t>ներմուծման աճը</w:t>
      </w:r>
      <w:r w:rsidRPr="009206BE">
        <w:rPr>
          <w:lang w:val="hy-AM"/>
        </w:rPr>
        <w:t xml:space="preserve"> գնահատվում է՝ </w:t>
      </w:r>
      <w:r>
        <w:rPr>
          <w:lang w:val="hy-AM"/>
        </w:rPr>
        <w:t>53</w:t>
      </w:r>
      <w:r w:rsidRPr="009206BE">
        <w:rPr>
          <w:lang w:val="hy-AM"/>
        </w:rPr>
        <w:t>.</w:t>
      </w:r>
      <w:r>
        <w:rPr>
          <w:lang w:val="hy-AM"/>
        </w:rPr>
        <w:t>2</w:t>
      </w:r>
      <w:r w:rsidRPr="009206BE">
        <w:rPr>
          <w:lang w:val="hy-AM"/>
        </w:rPr>
        <w:t>%, իսկ կուտակային</w:t>
      </w:r>
      <w:r>
        <w:rPr>
          <w:lang w:val="hy-AM"/>
        </w:rPr>
        <w:t xml:space="preserve"> կրճատվել է</w:t>
      </w:r>
      <w:r w:rsidRPr="009206BE">
        <w:rPr>
          <w:lang w:val="hy-AM"/>
        </w:rPr>
        <w:t xml:space="preserve"> </w:t>
      </w:r>
      <w:r>
        <w:rPr>
          <w:lang w:val="hy-AM"/>
        </w:rPr>
        <w:t>-21</w:t>
      </w:r>
      <w:r w:rsidRPr="00E61B0F">
        <w:rPr>
          <w:lang w:val="hy-AM"/>
        </w:rPr>
        <w:t>.</w:t>
      </w:r>
      <w:r>
        <w:rPr>
          <w:lang w:val="hy-AM"/>
        </w:rPr>
        <w:t>6</w:t>
      </w:r>
      <w:r w:rsidRPr="009206BE">
        <w:rPr>
          <w:lang w:val="hy-AM"/>
        </w:rPr>
        <w:t xml:space="preserve">%: </w:t>
      </w:r>
    </w:p>
  </w:footnote>
  <w:footnote w:id="10">
    <w:p w14:paraId="7782DDEB" w14:textId="77777777" w:rsidR="0019638A" w:rsidRDefault="0019638A" w:rsidP="00027FBF">
      <w:pPr>
        <w:pStyle w:val="FootnoteText"/>
        <w:jc w:val="left"/>
        <w:rPr>
          <w:lang w:val="hy-AM"/>
        </w:rPr>
      </w:pPr>
      <w:r>
        <w:rPr>
          <w:rStyle w:val="FootnoteReference"/>
        </w:rPr>
        <w:footnoteRef/>
      </w:r>
      <w:r>
        <w:rPr>
          <w:lang w:val="hy-AM"/>
        </w:rPr>
        <w:t xml:space="preserve"> </w:t>
      </w:r>
      <w:r>
        <w:rPr>
          <w:i/>
          <w:lang w:val="hy-AM"/>
        </w:rPr>
        <w:t xml:space="preserve">Տե՛ս Գնաճի հաշվետվություն, 2021/2, ՀՀ ԿԲ, </w:t>
      </w:r>
      <w:r w:rsidRPr="003C6609">
        <w:rPr>
          <w:lang w:val="hy-AM"/>
        </w:rPr>
        <w:t>https://www.cba.am/Storage/AM/downloads/parberakan/DVQ/Monetary%20overview_II_2021.pdf</w:t>
      </w:r>
    </w:p>
  </w:footnote>
  <w:footnote w:id="11">
    <w:p w14:paraId="72887EFF" w14:textId="77777777" w:rsidR="0019638A" w:rsidRPr="00500ADC" w:rsidRDefault="0019638A" w:rsidP="00027FBF">
      <w:pPr>
        <w:pBdr>
          <w:top w:val="nil"/>
          <w:left w:val="nil"/>
          <w:bottom w:val="nil"/>
          <w:right w:val="nil"/>
          <w:between w:val="nil"/>
        </w:pBdr>
        <w:spacing w:line="240" w:lineRule="auto"/>
        <w:ind w:firstLine="0"/>
        <w:rPr>
          <w:rFonts w:eastAsia="Merriweather" w:cs="Merriweather"/>
          <w:color w:val="000000"/>
          <w:sz w:val="16"/>
          <w:szCs w:val="16"/>
          <w:lang w:val="hy-AM"/>
        </w:rPr>
      </w:pPr>
      <w:r w:rsidRPr="00500ADC">
        <w:rPr>
          <w:rStyle w:val="FootnoteReference"/>
          <w:sz w:val="16"/>
          <w:szCs w:val="16"/>
        </w:rPr>
        <w:footnoteRef/>
      </w:r>
      <w:r w:rsidRPr="000F0D27">
        <w:rPr>
          <w:b w:val="0"/>
          <w:i/>
          <w:iCs/>
          <w:sz w:val="16"/>
          <w:szCs w:val="16"/>
          <w:lang w:val="hy-AM" w:eastAsia="en-US"/>
        </w:rPr>
        <w:t>ՀՀ ֆինանսների նախարարության հարկաբյուջետային քաղաքականության դինամիկ ստոխաստիկ ընդհանուր հավասարակշռության մոդելը մշակվել է 2018-2020թթ. ընթացքում՝ ԱՄՀ կողմից տրամադրված տեխնիկական աջակցության շրջանակներում, Առավել մանրամասն տե՛ս ՀՀ կառավարության 2021թ. բյուջետային ուղերձ, Երևան 2020, էջ՝ 84,  ներդիր 2:</w:t>
      </w:r>
    </w:p>
  </w:footnote>
  <w:footnote w:id="12">
    <w:p w14:paraId="797CFBF0" w14:textId="77777777" w:rsidR="0019638A" w:rsidRPr="00EA45BA" w:rsidRDefault="0019638A" w:rsidP="00027FBF">
      <w:pPr>
        <w:pStyle w:val="FootnoteText"/>
        <w:rPr>
          <w:lang w:val="hy-AM"/>
        </w:rPr>
      </w:pPr>
      <w:r w:rsidRPr="00500ADC">
        <w:rPr>
          <w:rStyle w:val="FootnoteReference"/>
        </w:rPr>
        <w:footnoteRef/>
      </w:r>
      <w:r w:rsidRPr="00500ADC">
        <w:rPr>
          <w:lang w:val="hy-AM"/>
        </w:rPr>
        <w:t xml:space="preserve"> </w:t>
      </w:r>
      <w:r w:rsidRPr="00B419A1">
        <w:rPr>
          <w:i/>
          <w:lang w:val="hy-AM"/>
        </w:rPr>
        <w:t>ՀՀ գործընկեր երկրների արտաքին պահանաջարկի ցուցանիշը ՀՀ ՖՆ գնահատականն է, որը հաշվարկվել է որպես Ռուսաստանի, ԱՄՆ-ի, Չինաստանի և Եվրոգոտու տնտեսական աճերի կշռված միջին՝ ՀՀ արտահանման կառուցվածքին համապատասխան:  ՀՀ գործընկեր երկրների տնտեսական աճերի 2021 և 2022 թթ. ԱՄՀ կողմից հրապարակված կանխատեսումները ներկայացված են Աղյուսակ 1.2.-ում</w:t>
      </w:r>
    </w:p>
  </w:footnote>
  <w:footnote w:id="13">
    <w:p w14:paraId="4ADA1767" w14:textId="77777777" w:rsidR="0019638A" w:rsidRPr="000F0D27" w:rsidRDefault="0019638A" w:rsidP="00027FBF">
      <w:pPr>
        <w:spacing w:line="240" w:lineRule="auto"/>
        <w:rPr>
          <w:lang w:val="hy-AM"/>
        </w:rPr>
      </w:pPr>
      <w:r>
        <w:rPr>
          <w:rStyle w:val="FootnoteReference"/>
        </w:rPr>
        <w:footnoteRef/>
      </w:r>
      <w:r w:rsidRPr="000F0D27">
        <w:rPr>
          <w:lang w:val="hy-AM"/>
        </w:rPr>
        <w:t xml:space="preserve"> </w:t>
      </w:r>
      <w:r w:rsidRPr="000F0D27">
        <w:rPr>
          <w:b w:val="0"/>
          <w:i/>
          <w:sz w:val="16"/>
          <w:szCs w:val="16"/>
          <w:lang w:val="hy-AM"/>
        </w:rPr>
        <w:t>UNWTO, 21 հուլիսի 2021թ. (</w:t>
      </w:r>
      <w:hyperlink r:id="rId1" w:history="1">
        <w:r w:rsidRPr="000F0D27">
          <w:rPr>
            <w:rStyle w:val="Hyperlink"/>
            <w:b w:val="0"/>
            <w:i/>
            <w:sz w:val="16"/>
            <w:szCs w:val="16"/>
            <w:lang w:val="hy-AM"/>
          </w:rPr>
          <w:t>https://www.unwto.org/international-travel-largely-on-hold-despite-uptick-in-may</w:t>
        </w:r>
      </w:hyperlink>
      <w:r w:rsidRPr="000F0D27">
        <w:rPr>
          <w:i/>
          <w:sz w:val="16"/>
          <w:szCs w:val="16"/>
          <w:lang w:val="hy-AM"/>
        </w:rPr>
        <w:t>)</w:t>
      </w:r>
    </w:p>
    <w:p w14:paraId="2BC0B5F1" w14:textId="77777777" w:rsidR="0019638A" w:rsidRPr="00B60BF9" w:rsidRDefault="0019638A" w:rsidP="00027FBF">
      <w:pPr>
        <w:pStyle w:val="FootnoteText"/>
        <w:rPr>
          <w:lang w:val="hy-AM"/>
        </w:rPr>
      </w:pPr>
    </w:p>
  </w:footnote>
  <w:footnote w:id="14">
    <w:p w14:paraId="1B10AB21" w14:textId="77777777" w:rsidR="0019638A" w:rsidRPr="00E55F13" w:rsidRDefault="0019638A" w:rsidP="00027FBF">
      <w:pPr>
        <w:pStyle w:val="FootnoteText"/>
        <w:rPr>
          <w:i/>
          <w:lang w:val="hy-AM"/>
        </w:rPr>
      </w:pPr>
      <w:r w:rsidRPr="00E55F13">
        <w:rPr>
          <w:rStyle w:val="FootnoteReference"/>
        </w:rPr>
        <w:footnoteRef/>
      </w:r>
      <w:r w:rsidRPr="00E55F13">
        <w:rPr>
          <w:lang w:val="hy-AM"/>
        </w:rPr>
        <w:t xml:space="preserve"> </w:t>
      </w:r>
      <w:r w:rsidRPr="00E55F13">
        <w:rPr>
          <w:i/>
          <w:lang w:val="hy-AM"/>
        </w:rPr>
        <w:t xml:space="preserve">Տե՛ս «Տնտեսական արձագանքման ծրագիրը և գործողությունների պլանը հաստատելու մասին» ՀՀ կառավարության 2021թ. փետրվարի 4-ի թիվ </w:t>
      </w:r>
      <w:r w:rsidRPr="00B419A1">
        <w:rPr>
          <w:i/>
          <w:lang w:val="hy-AM"/>
        </w:rPr>
        <w:t>142-Լ որոշում, հավելված 1:</w:t>
      </w:r>
    </w:p>
  </w:footnote>
  <w:footnote w:id="15">
    <w:p w14:paraId="6981DCE3" w14:textId="77777777" w:rsidR="0019638A" w:rsidRPr="003A75CD" w:rsidRDefault="0019638A" w:rsidP="00027FBF">
      <w:pPr>
        <w:spacing w:line="276" w:lineRule="auto"/>
        <w:rPr>
          <w:i/>
          <w:lang w:val="hy-AM"/>
        </w:rPr>
      </w:pPr>
      <w:r w:rsidRPr="004C2E77">
        <w:rPr>
          <w:sz w:val="16"/>
          <w:szCs w:val="20"/>
          <w:vertAlign w:val="superscript"/>
          <w:lang w:val="hy-AM"/>
        </w:rPr>
        <w:footnoteRef/>
      </w:r>
      <w:r w:rsidRPr="004C2E77">
        <w:rPr>
          <w:sz w:val="16"/>
          <w:szCs w:val="20"/>
          <w:vertAlign w:val="superscript"/>
          <w:lang w:val="hy-AM"/>
        </w:rPr>
        <w:t xml:space="preserve"> </w:t>
      </w:r>
      <w:r w:rsidRPr="007E62BD">
        <w:rPr>
          <w:b w:val="0"/>
          <w:i/>
          <w:sz w:val="18"/>
          <w:szCs w:val="18"/>
          <w:lang w:val="hy-AM"/>
        </w:rPr>
        <w:t>Աղյուսակի 1-ին սյունը իրենից ներկայացնում է տնտեսական աճի հնարավոր միջա</w:t>
      </w:r>
      <w:r w:rsidRPr="007E62BD">
        <w:rPr>
          <w:b w:val="0"/>
          <w:i/>
          <w:sz w:val="18"/>
          <w:szCs w:val="18"/>
          <w:lang w:val="hy-AM"/>
        </w:rPr>
        <w:softHyphen/>
        <w:t>կայքերը, իսկ 2-ից 5-րդ սյուները` համապատասխան միջակայքերում տնտեսական աճի գտնվելու հավանականությունները։ Աղյուսակում ներկայացվել են տնտեսական աճի ամենահավանական միջակայքերը, որոնք միասին ծածկում են բաշխման ընդհանուր հավանականության շուրջ 83%-ը, այսինքն` հավանականությունը, որ տնտեսական աճը կգտնվի 1%-ից 9%  միջակայքում, կազմում է մոտ 83%:</w:t>
      </w:r>
    </w:p>
  </w:footnote>
  <w:footnote w:id="16">
    <w:p w14:paraId="7D1BEDAA" w14:textId="77777777" w:rsidR="0019638A" w:rsidRDefault="0019638A" w:rsidP="00027FBF">
      <w:pPr>
        <w:pStyle w:val="af2"/>
        <w:jc w:val="left"/>
      </w:pPr>
      <w:r>
        <w:rPr>
          <w:rStyle w:val="FootnoteReference"/>
        </w:rPr>
        <w:footnoteRef/>
      </w:r>
      <w:r>
        <w:t xml:space="preserve"> </w:t>
      </w:r>
      <w:r w:rsidRPr="002D1236">
        <w:rPr>
          <w:sz w:val="16"/>
          <w:szCs w:val="16"/>
        </w:rPr>
        <w:t>Առավել մանրամասն ներկայացված է «2.5. Հարկաբյուջետային քաղաքականության համապատասխանությունը հարկաբյուջետային կանոններին» հատվածում</w:t>
      </w:r>
    </w:p>
  </w:footnote>
  <w:footnote w:id="17">
    <w:p w14:paraId="33797E48" w14:textId="77777777" w:rsidR="0019638A" w:rsidRPr="00472D7A" w:rsidRDefault="0019638A" w:rsidP="00027FBF">
      <w:pPr>
        <w:pStyle w:val="af2"/>
        <w:ind w:firstLine="0"/>
        <w:rPr>
          <w:sz w:val="18"/>
          <w:szCs w:val="18"/>
        </w:rPr>
      </w:pPr>
      <w:r w:rsidRPr="00472D7A">
        <w:rPr>
          <w:rStyle w:val="FootnoteReference"/>
          <w:sz w:val="18"/>
          <w:szCs w:val="18"/>
        </w:rPr>
        <w:footnoteRef/>
      </w:r>
      <w:r w:rsidRPr="00472D7A">
        <w:rPr>
          <w:sz w:val="18"/>
          <w:szCs w:val="18"/>
        </w:rPr>
        <w:t xml:space="preserve"> 2021 թվականի հուլիսի դրությամբ։ Աղբյուրը՝ IMF, Fiscal Monitor Database of Country Fiscal Measures in Response to the COVID-19 Pandemic․</w:t>
      </w:r>
      <w:hyperlink r:id="rId2" w:history="1">
        <w:r w:rsidRPr="00472D7A">
          <w:rPr>
            <w:rStyle w:val="Hyperlink"/>
            <w:sz w:val="18"/>
            <w:szCs w:val="18"/>
          </w:rPr>
          <w:t>https://www.imf.org/en/Topics/imf-and-covid19/Fiscal-Policies-Database-in-Response-to-COVID-19</w:t>
        </w:r>
      </w:hyperlink>
      <w:r w:rsidRPr="00472D7A">
        <w:rPr>
          <w:sz w:val="18"/>
          <w:szCs w:val="18"/>
        </w:rPr>
        <w:t xml:space="preserve">։ </w:t>
      </w:r>
    </w:p>
  </w:footnote>
  <w:footnote w:id="18">
    <w:p w14:paraId="56EE5CCF" w14:textId="77777777" w:rsidR="0019638A" w:rsidRPr="00A96E72" w:rsidRDefault="0019638A" w:rsidP="00027FBF">
      <w:pPr>
        <w:pStyle w:val="FootnoteText"/>
        <w:rPr>
          <w:lang w:val="hy-AM"/>
        </w:rPr>
      </w:pPr>
      <w:r w:rsidRPr="00807484">
        <w:rPr>
          <w:rStyle w:val="FootnoteReference"/>
          <w:sz w:val="18"/>
          <w:szCs w:val="18"/>
        </w:rPr>
        <w:footnoteRef/>
      </w:r>
      <w:r w:rsidRPr="00A96E72">
        <w:rPr>
          <w:lang w:val="hy-AM"/>
        </w:rPr>
        <w:t xml:space="preserve"> Այս ցուցանիշը իր մեջ ներառում է համավարակի սոցիալ-տնտեսական հետևանքների չեզոքացմանն ուղղված միջոցառումների ամբողջական 150 մլրդ դրամ փաթեթը, քանի որ միջազգային համադրումների համար ԱՄՀ տվյալների բազան վերաբերում է պլանավորված ցուցանիշներին: </w:t>
      </w:r>
    </w:p>
  </w:footnote>
  <w:footnote w:id="19">
    <w:p w14:paraId="116B4413" w14:textId="77777777" w:rsidR="0019638A" w:rsidRPr="00A96E72" w:rsidRDefault="0019638A" w:rsidP="00027FBF">
      <w:pPr>
        <w:pStyle w:val="FootnoteText"/>
        <w:rPr>
          <w:lang w:val="hy-AM"/>
        </w:rPr>
      </w:pPr>
      <w:r w:rsidRPr="0038225D">
        <w:rPr>
          <w:rStyle w:val="FootnoteReference"/>
          <w:sz w:val="18"/>
          <w:szCs w:val="18"/>
        </w:rPr>
        <w:footnoteRef/>
      </w:r>
      <w:r w:rsidRPr="00A96E72">
        <w:rPr>
          <w:lang w:val="hy-AM"/>
        </w:rPr>
        <w:t xml:space="preserve"> Հարկաբյուջետային կանխատեսումների համար հիմք է հանդիսացել 202</w:t>
      </w:r>
      <w:r>
        <w:rPr>
          <w:lang w:val="hy-AM"/>
        </w:rPr>
        <w:t>1</w:t>
      </w:r>
      <w:r w:rsidRPr="00A96E72">
        <w:rPr>
          <w:lang w:val="hy-AM"/>
        </w:rPr>
        <w:t xml:space="preserve">թ.-ի </w:t>
      </w:r>
      <w:r>
        <w:rPr>
          <w:lang w:val="hy-AM"/>
        </w:rPr>
        <w:t>օգոստոսի</w:t>
      </w:r>
      <w:r w:rsidRPr="00A96E72">
        <w:rPr>
          <w:lang w:val="hy-AM"/>
        </w:rPr>
        <w:t xml:space="preserve"> վերջի դրությամբ առկա տեղեկատվությունը՝ համավարակի տարածման արագության, դրա տնտեսական ազդեցությունների, միջազգային կազմակերպությունների կանխատեսումների, ինչպես նաև հարկաբյուջետային քաղաքականության հակաճգնաժամային միջոցառումների վերաբերյալ:</w:t>
      </w:r>
    </w:p>
  </w:footnote>
  <w:footnote w:id="20">
    <w:p w14:paraId="5B1F3C55" w14:textId="77777777" w:rsidR="0019638A" w:rsidRPr="00B7540A" w:rsidRDefault="0019638A" w:rsidP="00027FBF">
      <w:pPr>
        <w:pStyle w:val="FootnoteText"/>
        <w:rPr>
          <w:lang w:val="hy-AM"/>
        </w:rPr>
      </w:pPr>
      <w:r w:rsidRPr="00E2325B">
        <w:rPr>
          <w:rStyle w:val="FootnoteReference"/>
        </w:rPr>
        <w:footnoteRef/>
      </w:r>
      <w:r w:rsidRPr="00B7540A">
        <w:rPr>
          <w:lang w:val="hy-AM"/>
        </w:rPr>
        <w:t xml:space="preserve"> Այս հատվածում նկարագրված ռիսկերի առավել մանրամասն վերլուծությունը ներկայացված է այս փաստաթղթի ՄԱՍ IV-ի «Պետական բյուջեի վրա մակրոտնտեսական կանխատեսված ցուցանիշներից շեղման ռիսկերի ազդեցության քանակական գնահատում» և «ՀՀ կառավարության պարտքի կայունության վերլուծություն» բաժիններում։ </w:t>
      </w:r>
    </w:p>
  </w:footnote>
  <w:footnote w:id="21">
    <w:p w14:paraId="767E19B3" w14:textId="77777777" w:rsidR="0019638A" w:rsidRPr="00EE1C9F" w:rsidRDefault="0019638A" w:rsidP="00EE1C9F">
      <w:pPr>
        <w:pStyle w:val="FootnoteText"/>
        <w:rPr>
          <w:lang w:val="hy-AM"/>
        </w:rPr>
      </w:pPr>
      <w:r>
        <w:rPr>
          <w:rStyle w:val="FootnoteReference"/>
          <w:rFonts w:cs="GHEA Grapalat"/>
        </w:rPr>
        <w:footnoteRef/>
      </w:r>
      <w:r w:rsidRPr="00EE1C9F">
        <w:rPr>
          <w:lang w:val="hy-AM"/>
        </w:rPr>
        <w:t xml:space="preserve"> Այս բաժնում որպես ՀՀ 20</w:t>
      </w:r>
      <w:r>
        <w:rPr>
          <w:lang w:val="ro-RO"/>
        </w:rPr>
        <w:t>21</w:t>
      </w:r>
      <w:r w:rsidRPr="00EE1C9F">
        <w:rPr>
          <w:lang w:val="hy-AM"/>
        </w:rPr>
        <w:t xml:space="preserve"> թվականի պետական բյուջեի պետական տուրքի համար հաստատված ցու</w:t>
      </w:r>
      <w:r w:rsidRPr="00EE1C9F">
        <w:rPr>
          <w:lang w:val="hy-AM"/>
        </w:rPr>
        <w:softHyphen/>
        <w:t>ցա</w:t>
      </w:r>
      <w:r w:rsidRPr="00EE1C9F">
        <w:rPr>
          <w:lang w:val="hy-AM"/>
        </w:rPr>
        <w:softHyphen/>
        <w:t>նիշ</w:t>
      </w:r>
      <w:r w:rsidRPr="00EE1C9F">
        <w:rPr>
          <w:lang w:val="hy-AM"/>
        </w:rPr>
        <w:softHyphen/>
        <w:t>ներ դիտարկվել են ՀՀ կառավարության 2020 թվականի դեկտեմբերի 30-ի N 2215-Ն որոշման N 6 հավելվածով ՀՀ 20</w:t>
      </w:r>
      <w:r>
        <w:rPr>
          <w:lang w:val="ro-RO"/>
        </w:rPr>
        <w:t>21</w:t>
      </w:r>
      <w:r w:rsidRPr="00EE1C9F">
        <w:rPr>
          <w:lang w:val="hy-AM"/>
        </w:rPr>
        <w:t xml:space="preserve"> թվականի պետական բյուջեի պետական տուրքի գծով հաս</w:t>
      </w:r>
      <w:r w:rsidRPr="00EE1C9F">
        <w:rPr>
          <w:lang w:val="hy-AM"/>
        </w:rPr>
        <w:softHyphen/>
        <w:t>տատ</w:t>
      </w:r>
      <w:r w:rsidRPr="00EE1C9F">
        <w:rPr>
          <w:lang w:val="hy-AM"/>
        </w:rPr>
        <w:softHyphen/>
        <w:t>ված ցուցանիշները:</w:t>
      </w:r>
    </w:p>
  </w:footnote>
  <w:footnote w:id="22">
    <w:p w14:paraId="5EACED79" w14:textId="77777777" w:rsidR="0019638A" w:rsidRPr="00EE1C9F" w:rsidRDefault="0019638A" w:rsidP="00EE1C9F">
      <w:pPr>
        <w:pStyle w:val="FootnoteText"/>
        <w:rPr>
          <w:lang w:val="hy-AM"/>
        </w:rPr>
      </w:pPr>
      <w:r>
        <w:rPr>
          <w:rStyle w:val="FootnoteReference"/>
          <w:rFonts w:cs="GHEA Grapalat"/>
        </w:rPr>
        <w:footnoteRef/>
      </w:r>
      <w:r>
        <w:rPr>
          <w:rStyle w:val="FootnoteReference"/>
          <w:lang w:val="hy-AM"/>
        </w:rPr>
        <w:t xml:space="preserve"> </w:t>
      </w:r>
      <w:r w:rsidRPr="00EE1C9F">
        <w:rPr>
          <w:lang w:val="hy-AM"/>
        </w:rPr>
        <w:t xml:space="preserve">Առանց ՀՀ 2020 թվականի պետական բյուջեից ծախս-եկամուտ գործառույթի եղանակով </w:t>
      </w:r>
      <w:r w:rsidRPr="00EE1C9F">
        <w:rPr>
          <w:color w:val="000000" w:themeColor="text1"/>
          <w:lang w:val="hy-AM"/>
        </w:rPr>
        <w:t xml:space="preserve">ստացված </w:t>
      </w:r>
      <w:r w:rsidRPr="00EE1C9F">
        <w:rPr>
          <w:lang w:val="hy-AM"/>
        </w:rPr>
        <w:t xml:space="preserve">237.6 մլն </w:t>
      </w:r>
      <w:r w:rsidRPr="00EE1C9F">
        <w:rPr>
          <w:color w:val="000000" w:themeColor="text1"/>
          <w:lang w:val="hy-AM"/>
        </w:rPr>
        <w:t xml:space="preserve">դրամի </w:t>
      </w:r>
      <w:r w:rsidRPr="00EE1C9F">
        <w:rPr>
          <w:lang w:val="hy-AM"/>
        </w:rPr>
        <w:t>չափով այն եկամուտների, որոնք հաշվառվում են պետական տուրքերի կազմում:</w:t>
      </w:r>
    </w:p>
    <w:p w14:paraId="2B1F2821" w14:textId="77777777" w:rsidR="0019638A" w:rsidRPr="00EE1C9F" w:rsidRDefault="0019638A" w:rsidP="00EE1C9F">
      <w:pPr>
        <w:pStyle w:val="FootnoteText"/>
        <w:rPr>
          <w:lang w:val="hy-AM"/>
        </w:rPr>
      </w:pPr>
      <w:r w:rsidRPr="00EE1C9F">
        <w:rPr>
          <w:lang w:val="hy-AM"/>
        </w:rPr>
        <w:t xml:space="preserve">   </w:t>
      </w:r>
    </w:p>
  </w:footnote>
  <w:footnote w:id="23">
    <w:p w14:paraId="35100196" w14:textId="77777777" w:rsidR="0019638A" w:rsidRPr="00980AF9" w:rsidRDefault="0019638A" w:rsidP="00FC7885">
      <w:pPr>
        <w:pStyle w:val="FootnoteText"/>
        <w:rPr>
          <w:lang w:val="hy-AM"/>
        </w:rPr>
      </w:pPr>
      <w:r>
        <w:rPr>
          <w:rStyle w:val="FootnoteReference"/>
        </w:rPr>
        <w:footnoteRef/>
      </w:r>
      <w:r w:rsidRPr="00574F8B">
        <w:rPr>
          <w:lang w:val="hy-AM"/>
        </w:rPr>
        <w:t xml:space="preserve"> </w:t>
      </w:r>
      <w:r w:rsidRPr="00FF6063">
        <w:rPr>
          <w:lang w:val="hy-AM"/>
        </w:rPr>
        <w:t>Մարդու իրավունքների պաշտպանն ունի բնույթով բացառիկ միջազգային կոնվենցիոն կարգավիճակներ՝ ամրագրված «Մարդու իրավունքների պաշտպանի մասին» սահմանադրական օրենքով: Պաշտպանը հանդիսանում է «Խոշտանգումների և այլ դաժան, անմարդկային կամ արժանապատվությունը նվաստացնող վերաբերմունքի կամ պատժի դեմ» ՄԱԿ-ի՝ 1984 թվականի կոնվենցիայի 2002 թվականի դեկտեմբերի 18-ին ընդունած կամընտիր արձանագրությամբ սահմանված կանխարգելման ազգային մեխանիզմ: «Երեխայի իրավունքների մասին» 1989 թվականի նոյեմբերի 20-ի ՄԱԿ-ի կոնվենցիայով նախատեսված մշտադիտարկում իրականացնող անկախ մարմին: «Հաշմանդամություն ունեցող անձանց իրավունքների մասին» 2006 թվականի դեկտեմբերի 13-ի ՄԱԿ-ի կոնվենցիայով նախատեսված մշտադիտարկում իրականացնող անկախ մարմին:</w:t>
      </w:r>
    </w:p>
  </w:footnote>
  <w:footnote w:id="24">
    <w:p w14:paraId="10FFE4C5" w14:textId="77777777" w:rsidR="0019638A" w:rsidRPr="002526E9" w:rsidRDefault="0019638A" w:rsidP="002526E9">
      <w:pPr>
        <w:pStyle w:val="FootnoteText"/>
        <w:rPr>
          <w:lang w:val="hy-AM"/>
        </w:rPr>
      </w:pPr>
      <w:r w:rsidRPr="00D44C5F">
        <w:rPr>
          <w:rStyle w:val="FootnoteReference"/>
          <w:sz w:val="18"/>
          <w:szCs w:val="18"/>
        </w:rPr>
        <w:footnoteRef/>
      </w:r>
      <w:r w:rsidRPr="002526E9">
        <w:rPr>
          <w:lang w:val="hy-AM"/>
        </w:rPr>
        <w:t xml:space="preserve"> 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25">
    <w:p w14:paraId="43F814C3" w14:textId="77777777" w:rsidR="0019638A" w:rsidRPr="002526E9" w:rsidRDefault="0019638A" w:rsidP="002526E9">
      <w:pPr>
        <w:pStyle w:val="FootnoteText"/>
        <w:rPr>
          <w:sz w:val="14"/>
          <w:szCs w:val="14"/>
          <w:lang w:val="hy-AM"/>
        </w:rPr>
      </w:pPr>
      <w:r w:rsidRPr="004509AB">
        <w:rPr>
          <w:rStyle w:val="FootnoteReference"/>
          <w:sz w:val="14"/>
          <w:szCs w:val="14"/>
        </w:rPr>
        <w:footnoteRef/>
      </w:r>
      <w:r w:rsidRPr="002526E9">
        <w:rPr>
          <w:sz w:val="14"/>
          <w:szCs w:val="14"/>
          <w:lang w:val="hy-AM"/>
        </w:rPr>
        <w:t xml:space="preserve"> Արտաքին վարկերի գծով պակասուրդի ֆինանսավորման և արտաքին վարկերից մասհանումների տարբերությունը պայմանավորված է համապատասխան վարկային ծրագրերի շրջանակներում բացված հատուկ հաշիվներում առկա դրամական միջոցների մնացորդներով:</w:t>
      </w:r>
    </w:p>
  </w:footnote>
  <w:footnote w:id="26">
    <w:p w14:paraId="1F41435A" w14:textId="77777777" w:rsidR="0019638A" w:rsidRPr="002526E9" w:rsidRDefault="0019638A" w:rsidP="002526E9">
      <w:pPr>
        <w:pStyle w:val="FootnoteText"/>
        <w:rPr>
          <w:rFonts w:ascii="Arial" w:hAnsi="Arial"/>
          <w:lang w:val="hy-AM"/>
        </w:rPr>
      </w:pPr>
      <w:r w:rsidRPr="000C7710">
        <w:rPr>
          <w:rStyle w:val="FootnoteReference"/>
        </w:rPr>
        <w:footnoteRef/>
      </w:r>
      <w:r w:rsidRPr="002526E9">
        <w:rPr>
          <w:lang w:val="hy-AM"/>
        </w:rPr>
        <w:t xml:space="preserve"> Ցուցանիշը ներառում է պետական գանձապետական պարտատոմսերի հետգնման համար նախատեսված </w:t>
      </w:r>
      <w:r>
        <w:rPr>
          <w:lang w:val="hy-AM"/>
        </w:rPr>
        <w:t>30</w:t>
      </w:r>
      <w:r w:rsidRPr="002526E9">
        <w:rPr>
          <w:lang w:val="hy-AM"/>
        </w:rPr>
        <w:t xml:space="preserve"> մլրդ դրամը: </w:t>
      </w:r>
      <w:r w:rsidRPr="002526E9">
        <w:rPr>
          <w:rFonts w:ascii="Arial" w:hAnsi="Arial"/>
          <w:lang w:val="hy-AM"/>
        </w:rPr>
        <w:t xml:space="preserve"> </w:t>
      </w:r>
    </w:p>
  </w:footnote>
  <w:footnote w:id="27">
    <w:p w14:paraId="53FB513F" w14:textId="77777777" w:rsidR="0019638A" w:rsidRPr="00117D85" w:rsidRDefault="0019638A" w:rsidP="0087134D">
      <w:pPr>
        <w:pStyle w:val="FootnoteText"/>
        <w:rPr>
          <w:sz w:val="14"/>
          <w:lang w:val="sk-SK"/>
        </w:rPr>
      </w:pPr>
      <w:r w:rsidRPr="00E14DDE">
        <w:rPr>
          <w:rStyle w:val="FootnoteReference"/>
          <w:sz w:val="18"/>
        </w:rPr>
        <w:footnoteRef/>
      </w:r>
      <w:r w:rsidRPr="008624F6">
        <w:rPr>
          <w:lang w:val="hy-AM"/>
        </w:rPr>
        <w:t>Սա</w:t>
      </w:r>
      <w:r w:rsidRPr="004C6A11">
        <w:rPr>
          <w:lang w:val="sk-SK"/>
        </w:rPr>
        <w:t xml:space="preserve"> </w:t>
      </w:r>
      <w:r w:rsidRPr="008624F6">
        <w:rPr>
          <w:lang w:val="hy-AM"/>
        </w:rPr>
        <w:t>որոշակիորեն</w:t>
      </w:r>
      <w:r w:rsidRPr="004C6A11">
        <w:rPr>
          <w:lang w:val="sk-SK"/>
        </w:rPr>
        <w:t xml:space="preserve"> </w:t>
      </w:r>
      <w:r w:rsidRPr="008624F6">
        <w:rPr>
          <w:lang w:val="hy-AM"/>
        </w:rPr>
        <w:t>կապված</w:t>
      </w:r>
      <w:r w:rsidRPr="004C6A11">
        <w:rPr>
          <w:lang w:val="sk-SK"/>
        </w:rPr>
        <w:t xml:space="preserve"> </w:t>
      </w:r>
      <w:r w:rsidRPr="008624F6">
        <w:rPr>
          <w:lang w:val="hy-AM"/>
        </w:rPr>
        <w:t>է</w:t>
      </w:r>
      <w:r w:rsidRPr="004C6A11">
        <w:rPr>
          <w:lang w:val="sk-SK"/>
        </w:rPr>
        <w:t xml:space="preserve"> </w:t>
      </w:r>
      <w:r w:rsidRPr="008624F6">
        <w:rPr>
          <w:lang w:val="hy-AM"/>
        </w:rPr>
        <w:t>նաև</w:t>
      </w:r>
      <w:r w:rsidRPr="004C6A11">
        <w:rPr>
          <w:lang w:val="sk-SK"/>
        </w:rPr>
        <w:t xml:space="preserve"> </w:t>
      </w:r>
      <w:r w:rsidRPr="008624F6">
        <w:rPr>
          <w:lang w:val="hy-AM"/>
        </w:rPr>
        <w:t>մոդելների</w:t>
      </w:r>
      <w:r w:rsidRPr="004C6A11">
        <w:rPr>
          <w:lang w:val="sk-SK"/>
        </w:rPr>
        <w:t xml:space="preserve"> </w:t>
      </w:r>
      <w:r w:rsidRPr="008624F6">
        <w:rPr>
          <w:lang w:val="hy-AM"/>
        </w:rPr>
        <w:t>սպեցիֆիկացիաների</w:t>
      </w:r>
      <w:r w:rsidRPr="004C6A11">
        <w:rPr>
          <w:lang w:val="sk-SK"/>
        </w:rPr>
        <w:t xml:space="preserve"> </w:t>
      </w:r>
      <w:r w:rsidRPr="008624F6">
        <w:rPr>
          <w:lang w:val="hy-AM"/>
        </w:rPr>
        <w:t>հետ</w:t>
      </w:r>
      <w:r w:rsidRPr="004C6A11">
        <w:rPr>
          <w:lang w:val="sk-SK"/>
        </w:rPr>
        <w:t xml:space="preserve">, </w:t>
      </w:r>
      <w:r w:rsidRPr="008624F6">
        <w:rPr>
          <w:lang w:val="hy-AM"/>
        </w:rPr>
        <w:t>քանի</w:t>
      </w:r>
      <w:r w:rsidRPr="004C6A11">
        <w:rPr>
          <w:lang w:val="sk-SK"/>
        </w:rPr>
        <w:t xml:space="preserve"> </w:t>
      </w:r>
      <w:r w:rsidRPr="008624F6">
        <w:rPr>
          <w:lang w:val="hy-AM"/>
        </w:rPr>
        <w:t>որ</w:t>
      </w:r>
      <w:r w:rsidRPr="004C6A11">
        <w:rPr>
          <w:lang w:val="sk-SK"/>
        </w:rPr>
        <w:t xml:space="preserve"> </w:t>
      </w:r>
      <w:r w:rsidRPr="008624F6">
        <w:rPr>
          <w:lang w:val="hy-AM"/>
        </w:rPr>
        <w:t>ժամանակային</w:t>
      </w:r>
      <w:r w:rsidRPr="004C6A11">
        <w:rPr>
          <w:lang w:val="sk-SK"/>
        </w:rPr>
        <w:t xml:space="preserve"> </w:t>
      </w:r>
      <w:r w:rsidRPr="008624F6">
        <w:rPr>
          <w:lang w:val="hy-AM"/>
        </w:rPr>
        <w:t>շարքերի</w:t>
      </w:r>
      <w:r w:rsidRPr="004C6A11">
        <w:rPr>
          <w:lang w:val="sk-SK"/>
        </w:rPr>
        <w:t xml:space="preserve"> </w:t>
      </w:r>
      <w:r w:rsidRPr="008624F6">
        <w:rPr>
          <w:lang w:val="hy-AM"/>
        </w:rPr>
        <w:t>վրա</w:t>
      </w:r>
      <w:r w:rsidRPr="004C6A11">
        <w:rPr>
          <w:lang w:val="sk-SK"/>
        </w:rPr>
        <w:t xml:space="preserve"> </w:t>
      </w:r>
      <w:r w:rsidRPr="008624F6">
        <w:rPr>
          <w:lang w:val="hy-AM"/>
        </w:rPr>
        <w:t>հիմնված</w:t>
      </w:r>
      <w:r w:rsidRPr="004C6A11">
        <w:rPr>
          <w:lang w:val="sk-SK"/>
        </w:rPr>
        <w:t xml:space="preserve"> </w:t>
      </w:r>
      <w:r w:rsidRPr="008624F6">
        <w:rPr>
          <w:lang w:val="hy-AM"/>
        </w:rPr>
        <w:t>մոդելներն</w:t>
      </w:r>
      <w:r w:rsidRPr="004C6A11">
        <w:rPr>
          <w:lang w:val="sk-SK"/>
        </w:rPr>
        <w:t xml:space="preserve"> </w:t>
      </w:r>
      <w:r w:rsidRPr="008624F6">
        <w:rPr>
          <w:lang w:val="hy-AM"/>
        </w:rPr>
        <w:t>իրենց</w:t>
      </w:r>
      <w:r w:rsidRPr="004C6A11">
        <w:rPr>
          <w:lang w:val="sk-SK"/>
        </w:rPr>
        <w:t xml:space="preserve"> </w:t>
      </w:r>
      <w:r w:rsidRPr="008624F6">
        <w:rPr>
          <w:lang w:val="hy-AM"/>
        </w:rPr>
        <w:t>մեջ</w:t>
      </w:r>
      <w:r w:rsidRPr="004C6A11">
        <w:rPr>
          <w:lang w:val="sk-SK"/>
        </w:rPr>
        <w:t xml:space="preserve"> </w:t>
      </w:r>
      <w:r w:rsidRPr="008624F6">
        <w:rPr>
          <w:lang w:val="hy-AM"/>
        </w:rPr>
        <w:t>ներառում</w:t>
      </w:r>
      <w:r w:rsidRPr="004C6A11">
        <w:rPr>
          <w:lang w:val="sk-SK"/>
        </w:rPr>
        <w:t xml:space="preserve"> </w:t>
      </w:r>
      <w:r w:rsidRPr="008624F6">
        <w:rPr>
          <w:lang w:val="hy-AM"/>
        </w:rPr>
        <w:t>են</w:t>
      </w:r>
      <w:r w:rsidRPr="004C6A11">
        <w:rPr>
          <w:lang w:val="sk-SK"/>
        </w:rPr>
        <w:t xml:space="preserve"> </w:t>
      </w:r>
      <w:r w:rsidRPr="008624F6">
        <w:rPr>
          <w:lang w:val="hy-AM"/>
        </w:rPr>
        <w:t>տնտեսության</w:t>
      </w:r>
      <w:r w:rsidRPr="004C6A11">
        <w:rPr>
          <w:lang w:val="sk-SK"/>
        </w:rPr>
        <w:t xml:space="preserve"> </w:t>
      </w:r>
      <w:r w:rsidRPr="008624F6">
        <w:rPr>
          <w:lang w:val="hy-AM"/>
        </w:rPr>
        <w:t>նախորդ</w:t>
      </w:r>
      <w:r w:rsidRPr="004C6A11">
        <w:rPr>
          <w:lang w:val="sk-SK"/>
        </w:rPr>
        <w:t xml:space="preserve"> </w:t>
      </w:r>
      <w:r w:rsidRPr="008624F6">
        <w:rPr>
          <w:lang w:val="hy-AM"/>
        </w:rPr>
        <w:t>ժամանակահատվածի</w:t>
      </w:r>
      <w:r w:rsidRPr="004C6A11">
        <w:rPr>
          <w:lang w:val="sk-SK"/>
        </w:rPr>
        <w:t xml:space="preserve"> </w:t>
      </w:r>
      <w:r w:rsidRPr="008624F6">
        <w:rPr>
          <w:lang w:val="hy-AM"/>
        </w:rPr>
        <w:t>զարգացումների</w:t>
      </w:r>
      <w:r w:rsidRPr="004C6A11">
        <w:rPr>
          <w:lang w:val="sk-SK"/>
        </w:rPr>
        <w:t xml:space="preserve"> </w:t>
      </w:r>
      <w:r w:rsidRPr="008624F6">
        <w:rPr>
          <w:lang w:val="hy-AM"/>
        </w:rPr>
        <w:t>տեղեկատվությունը</w:t>
      </w:r>
      <w:r w:rsidRPr="004C6A11">
        <w:rPr>
          <w:lang w:val="sk-SK"/>
        </w:rPr>
        <w:t xml:space="preserve">, </w:t>
      </w:r>
      <w:r w:rsidRPr="008624F6">
        <w:rPr>
          <w:lang w:val="hy-AM"/>
        </w:rPr>
        <w:t>իսկ</w:t>
      </w:r>
      <w:r w:rsidRPr="004C6A11">
        <w:rPr>
          <w:lang w:val="sk-SK"/>
        </w:rPr>
        <w:t xml:space="preserve"> </w:t>
      </w:r>
      <w:r w:rsidRPr="008624F6">
        <w:rPr>
          <w:lang w:val="hy-AM"/>
        </w:rPr>
        <w:t>կանխատեսվող</w:t>
      </w:r>
      <w:r w:rsidRPr="004C6A11">
        <w:rPr>
          <w:lang w:val="sk-SK"/>
        </w:rPr>
        <w:t xml:space="preserve"> </w:t>
      </w:r>
      <w:r w:rsidRPr="008624F6">
        <w:rPr>
          <w:lang w:val="hy-AM"/>
        </w:rPr>
        <w:t>տարում</w:t>
      </w:r>
      <w:r w:rsidRPr="004C6A11">
        <w:rPr>
          <w:lang w:val="sk-SK"/>
        </w:rPr>
        <w:t xml:space="preserve"> </w:t>
      </w:r>
      <w:r w:rsidRPr="008624F6">
        <w:rPr>
          <w:lang w:val="hy-AM"/>
        </w:rPr>
        <w:t>ի</w:t>
      </w:r>
      <w:r w:rsidRPr="004C6A11">
        <w:rPr>
          <w:lang w:val="sk-SK"/>
        </w:rPr>
        <w:t xml:space="preserve"> </w:t>
      </w:r>
      <w:r w:rsidRPr="008624F6">
        <w:rPr>
          <w:lang w:val="hy-AM"/>
        </w:rPr>
        <w:t>հայտ</w:t>
      </w:r>
      <w:r w:rsidRPr="004C6A11">
        <w:rPr>
          <w:lang w:val="sk-SK"/>
        </w:rPr>
        <w:t xml:space="preserve"> </w:t>
      </w:r>
      <w:r w:rsidRPr="008624F6">
        <w:rPr>
          <w:lang w:val="hy-AM"/>
        </w:rPr>
        <w:t>եկող</w:t>
      </w:r>
      <w:r w:rsidRPr="004C6A11">
        <w:rPr>
          <w:lang w:val="sk-SK"/>
        </w:rPr>
        <w:t xml:space="preserve"> </w:t>
      </w:r>
      <w:r w:rsidRPr="008624F6">
        <w:rPr>
          <w:lang w:val="hy-AM"/>
        </w:rPr>
        <w:t>տնտեսության</w:t>
      </w:r>
      <w:r w:rsidRPr="004C6A11">
        <w:rPr>
          <w:lang w:val="sk-SK"/>
        </w:rPr>
        <w:t xml:space="preserve"> </w:t>
      </w:r>
      <w:r w:rsidRPr="008624F6">
        <w:rPr>
          <w:lang w:val="hy-AM"/>
        </w:rPr>
        <w:t>կառուցվածքային</w:t>
      </w:r>
      <w:r w:rsidRPr="004C6A11">
        <w:rPr>
          <w:lang w:val="sk-SK"/>
        </w:rPr>
        <w:t xml:space="preserve"> </w:t>
      </w:r>
      <w:r w:rsidRPr="008624F6">
        <w:rPr>
          <w:lang w:val="hy-AM"/>
        </w:rPr>
        <w:t>տեղաշարժը</w:t>
      </w:r>
      <w:r w:rsidRPr="004C6A11">
        <w:rPr>
          <w:lang w:val="sk-SK"/>
        </w:rPr>
        <w:t xml:space="preserve"> </w:t>
      </w:r>
      <w:r w:rsidRPr="008624F6">
        <w:rPr>
          <w:lang w:val="hy-AM"/>
        </w:rPr>
        <w:t>միայն</w:t>
      </w:r>
      <w:r w:rsidRPr="004C6A11">
        <w:rPr>
          <w:lang w:val="sk-SK"/>
        </w:rPr>
        <w:t xml:space="preserve"> </w:t>
      </w:r>
      <w:r w:rsidRPr="008624F6">
        <w:rPr>
          <w:lang w:val="hy-AM"/>
        </w:rPr>
        <w:t>կարող</w:t>
      </w:r>
      <w:r w:rsidRPr="004C6A11">
        <w:rPr>
          <w:lang w:val="sk-SK"/>
        </w:rPr>
        <w:t xml:space="preserve"> </w:t>
      </w:r>
      <w:r w:rsidRPr="008624F6">
        <w:rPr>
          <w:lang w:val="hy-AM"/>
        </w:rPr>
        <w:t>է</w:t>
      </w:r>
      <w:r w:rsidRPr="004C6A11">
        <w:rPr>
          <w:lang w:val="sk-SK"/>
        </w:rPr>
        <w:t xml:space="preserve"> </w:t>
      </w:r>
      <w:r w:rsidRPr="008624F6">
        <w:rPr>
          <w:lang w:val="hy-AM"/>
        </w:rPr>
        <w:t>ներառվել</w:t>
      </w:r>
      <w:r w:rsidRPr="004C6A11">
        <w:rPr>
          <w:lang w:val="sk-SK"/>
        </w:rPr>
        <w:t xml:space="preserve"> </w:t>
      </w:r>
      <w:r w:rsidRPr="008624F6">
        <w:rPr>
          <w:lang w:val="hy-AM"/>
        </w:rPr>
        <w:t>հաջորդ</w:t>
      </w:r>
      <w:r w:rsidRPr="004C6A11">
        <w:rPr>
          <w:lang w:val="sk-SK"/>
        </w:rPr>
        <w:t xml:space="preserve"> </w:t>
      </w:r>
      <w:r w:rsidRPr="008624F6">
        <w:rPr>
          <w:lang w:val="hy-AM"/>
        </w:rPr>
        <w:t>տարվա</w:t>
      </w:r>
      <w:r w:rsidRPr="004C6A11">
        <w:rPr>
          <w:lang w:val="sk-SK"/>
        </w:rPr>
        <w:t xml:space="preserve"> </w:t>
      </w:r>
      <w:r w:rsidRPr="008624F6">
        <w:rPr>
          <w:lang w:val="hy-AM"/>
        </w:rPr>
        <w:t>կանխատեսումների</w:t>
      </w:r>
      <w:r w:rsidRPr="004C6A11">
        <w:rPr>
          <w:lang w:val="sk-SK"/>
        </w:rPr>
        <w:t xml:space="preserve"> </w:t>
      </w:r>
      <w:r w:rsidRPr="008624F6">
        <w:rPr>
          <w:lang w:val="hy-AM"/>
        </w:rPr>
        <w:t>մոդելներում</w:t>
      </w:r>
      <w:r w:rsidRPr="004C6A11">
        <w:rPr>
          <w:lang w:val="sk-SK"/>
        </w:rPr>
        <w:t>:</w:t>
      </w:r>
      <w:r w:rsidRPr="00117D85">
        <w:rPr>
          <w:sz w:val="18"/>
          <w:lang w:val="sk-SK"/>
        </w:rPr>
        <w:t xml:space="preserve"> </w:t>
      </w:r>
    </w:p>
  </w:footnote>
  <w:footnote w:id="28">
    <w:p w14:paraId="6B68CA3B" w14:textId="77777777" w:rsidR="0019638A" w:rsidRDefault="0019638A" w:rsidP="0087134D">
      <w:pPr>
        <w:pStyle w:val="FootnoteText"/>
        <w:rPr>
          <w:lang w:val="ro-RO"/>
        </w:rPr>
      </w:pPr>
      <w:r>
        <w:rPr>
          <w:rStyle w:val="FootnoteReference"/>
          <w:rFonts w:eastAsiaTheme="majorEastAsia"/>
        </w:rPr>
        <w:footnoteRef/>
      </w:r>
      <w:r w:rsidRPr="007D33E8">
        <w:rPr>
          <w:lang w:val="sk-SK"/>
        </w:rPr>
        <w:t xml:space="preserve"> </w:t>
      </w:r>
      <w:r>
        <w:t>ՀՆԱ</w:t>
      </w:r>
      <w:r>
        <w:rPr>
          <w:lang w:val="ro-RO"/>
        </w:rPr>
        <w:t xml:space="preserve">, </w:t>
      </w:r>
      <w:r>
        <w:t>ներմուծման</w:t>
      </w:r>
      <w:r>
        <w:rPr>
          <w:lang w:val="ro-RO"/>
        </w:rPr>
        <w:t xml:space="preserve">, </w:t>
      </w:r>
      <w:r>
        <w:t>փոխարժեքի</w:t>
      </w:r>
      <w:r>
        <w:rPr>
          <w:lang w:val="sk-SK"/>
        </w:rPr>
        <w:t xml:space="preserve"> </w:t>
      </w:r>
      <w:r>
        <w:t>և</w:t>
      </w:r>
      <w:r>
        <w:rPr>
          <w:lang w:val="sk-SK"/>
        </w:rPr>
        <w:t xml:space="preserve"> </w:t>
      </w:r>
      <w:r>
        <w:t>գների</w:t>
      </w:r>
      <w:r>
        <w:rPr>
          <w:lang w:val="sk-SK"/>
        </w:rPr>
        <w:t xml:space="preserve"> </w:t>
      </w:r>
      <w:r>
        <w:t>գծով</w:t>
      </w:r>
      <w:r>
        <w:rPr>
          <w:lang w:val="sk-SK"/>
        </w:rPr>
        <w:t xml:space="preserve"> </w:t>
      </w:r>
      <w:r>
        <w:t>հավանական</w:t>
      </w:r>
      <w:r>
        <w:rPr>
          <w:lang w:val="sk-SK"/>
        </w:rPr>
        <w:t xml:space="preserve"> </w:t>
      </w:r>
      <w:r>
        <w:t>ռիսկերի</w:t>
      </w:r>
      <w:r>
        <w:rPr>
          <w:lang w:val="sk-SK"/>
        </w:rPr>
        <w:t xml:space="preserve"> </w:t>
      </w:r>
      <w:r>
        <w:t>քանակային</w:t>
      </w:r>
      <w:r>
        <w:rPr>
          <w:lang w:val="sk-SK"/>
        </w:rPr>
        <w:t xml:space="preserve"> </w:t>
      </w:r>
      <w:r>
        <w:t>գնահատականը</w:t>
      </w:r>
      <w:r>
        <w:rPr>
          <w:lang w:val="sk-SK"/>
        </w:rPr>
        <w:t xml:space="preserve"> </w:t>
      </w:r>
      <w:r>
        <w:t>ստացվել</w:t>
      </w:r>
      <w:r>
        <w:rPr>
          <w:lang w:val="sk-SK"/>
        </w:rPr>
        <w:t xml:space="preserve"> </w:t>
      </w:r>
      <w:r>
        <w:t>է</w:t>
      </w:r>
      <w:r>
        <w:rPr>
          <w:lang w:val="sk-SK"/>
        </w:rPr>
        <w:t xml:space="preserve">` </w:t>
      </w:r>
      <w:r>
        <w:t>հիմք</w:t>
      </w:r>
      <w:r>
        <w:rPr>
          <w:lang w:val="sk-SK"/>
        </w:rPr>
        <w:t xml:space="preserve"> ըն</w:t>
      </w:r>
      <w:r>
        <w:t>դունելով</w:t>
      </w:r>
      <w:r>
        <w:rPr>
          <w:lang w:val="sk-SK"/>
        </w:rPr>
        <w:t xml:space="preserve"> </w:t>
      </w:r>
      <w:r>
        <w:t>այս</w:t>
      </w:r>
      <w:r>
        <w:rPr>
          <w:lang w:val="sk-SK"/>
        </w:rPr>
        <w:t xml:space="preserve"> </w:t>
      </w:r>
      <w:r>
        <w:t>գործոնների</w:t>
      </w:r>
      <w:r>
        <w:rPr>
          <w:lang w:val="sk-SK"/>
        </w:rPr>
        <w:t xml:space="preserve"> </w:t>
      </w:r>
      <w:r>
        <w:t>պատմական</w:t>
      </w:r>
      <w:r>
        <w:rPr>
          <w:lang w:val="sk-SK"/>
        </w:rPr>
        <w:t xml:space="preserve"> </w:t>
      </w:r>
      <w:r>
        <w:t>շարժի</w:t>
      </w:r>
      <w:r>
        <w:rPr>
          <w:lang w:val="sk-SK"/>
        </w:rPr>
        <w:t xml:space="preserve"> </w:t>
      </w:r>
      <w:r>
        <w:t>բացարձակ</w:t>
      </w:r>
      <w:r>
        <w:rPr>
          <w:lang w:val="sk-SK"/>
        </w:rPr>
        <w:t xml:space="preserve"> </w:t>
      </w:r>
      <w:r>
        <w:t>միջին</w:t>
      </w:r>
      <w:r>
        <w:rPr>
          <w:lang w:val="sk-SK"/>
        </w:rPr>
        <w:t xml:space="preserve"> </w:t>
      </w:r>
      <w:r>
        <w:t>սխալը</w:t>
      </w:r>
      <w:r>
        <w:rPr>
          <w:lang w:val="ro-RO"/>
        </w:rPr>
        <w:t>:</w:t>
      </w:r>
    </w:p>
  </w:footnote>
  <w:footnote w:id="29">
    <w:p w14:paraId="2E232C4D" w14:textId="77777777" w:rsidR="0019638A" w:rsidRDefault="0019638A" w:rsidP="0087134D">
      <w:pPr>
        <w:rPr>
          <w:rFonts w:cs="Sylfaen"/>
          <w:i/>
          <w:sz w:val="16"/>
          <w:szCs w:val="16"/>
          <w:lang w:val="ro-RO"/>
        </w:rPr>
      </w:pPr>
      <w:r>
        <w:rPr>
          <w:rStyle w:val="FootnoteReference"/>
          <w:sz w:val="16"/>
          <w:szCs w:val="16"/>
        </w:rPr>
        <w:footnoteRef/>
      </w:r>
      <w:r>
        <w:rPr>
          <w:rFonts w:cs="Sylfaen"/>
          <w:sz w:val="16"/>
          <w:szCs w:val="16"/>
        </w:rPr>
        <w:t>Հարկային</w:t>
      </w:r>
      <w:r>
        <w:rPr>
          <w:rFonts w:cs="Sylfaen"/>
          <w:sz w:val="16"/>
          <w:szCs w:val="16"/>
          <w:lang w:val="ro-RO"/>
        </w:rPr>
        <w:t xml:space="preserve"> </w:t>
      </w:r>
      <w:r>
        <w:rPr>
          <w:rFonts w:cs="Sylfaen"/>
          <w:sz w:val="16"/>
          <w:szCs w:val="16"/>
        </w:rPr>
        <w:t>եկամուտների</w:t>
      </w:r>
      <w:r>
        <w:rPr>
          <w:rFonts w:cs="Sylfaen"/>
          <w:sz w:val="16"/>
          <w:szCs w:val="16"/>
          <w:lang w:val="ro-RO"/>
        </w:rPr>
        <w:t xml:space="preserve"> </w:t>
      </w:r>
      <w:r>
        <w:rPr>
          <w:rFonts w:cs="Sylfaen"/>
          <w:sz w:val="16"/>
          <w:szCs w:val="16"/>
        </w:rPr>
        <w:t>գծով</w:t>
      </w:r>
      <w:r>
        <w:rPr>
          <w:rFonts w:cs="Sylfaen"/>
          <w:sz w:val="16"/>
          <w:szCs w:val="16"/>
          <w:lang w:val="ro-RO"/>
        </w:rPr>
        <w:t xml:space="preserve"> </w:t>
      </w:r>
      <w:r>
        <w:rPr>
          <w:rFonts w:cs="Sylfaen"/>
          <w:sz w:val="16"/>
          <w:szCs w:val="16"/>
        </w:rPr>
        <w:t>ռիսկերի</w:t>
      </w:r>
      <w:r>
        <w:rPr>
          <w:rFonts w:cs="Sylfaen"/>
          <w:sz w:val="16"/>
          <w:szCs w:val="16"/>
          <w:lang w:val="ro-RO"/>
        </w:rPr>
        <w:t xml:space="preserve"> ազդեցության </w:t>
      </w:r>
      <w:r>
        <w:rPr>
          <w:rFonts w:cs="Sylfaen"/>
          <w:sz w:val="16"/>
          <w:szCs w:val="16"/>
        </w:rPr>
        <w:t>գնահատականը</w:t>
      </w:r>
      <w:r>
        <w:rPr>
          <w:rFonts w:cs="Sylfaen"/>
          <w:sz w:val="16"/>
          <w:szCs w:val="16"/>
          <w:lang w:val="ro-RO"/>
        </w:rPr>
        <w:t xml:space="preserve"> </w:t>
      </w:r>
      <w:r>
        <w:rPr>
          <w:rFonts w:cs="Sylfaen"/>
          <w:sz w:val="16"/>
          <w:szCs w:val="16"/>
        </w:rPr>
        <w:t>կառուցվել</w:t>
      </w:r>
      <w:r>
        <w:rPr>
          <w:rFonts w:cs="Sylfaen"/>
          <w:sz w:val="16"/>
          <w:szCs w:val="16"/>
          <w:lang w:val="ro-RO"/>
        </w:rPr>
        <w:t xml:space="preserve"> </w:t>
      </w:r>
      <w:r>
        <w:rPr>
          <w:rFonts w:cs="Sylfaen"/>
          <w:sz w:val="16"/>
          <w:szCs w:val="16"/>
        </w:rPr>
        <w:t>է</w:t>
      </w:r>
      <w:r>
        <w:rPr>
          <w:rFonts w:cs="Sylfaen"/>
          <w:sz w:val="16"/>
          <w:szCs w:val="16"/>
          <w:lang w:val="ro-RO"/>
        </w:rPr>
        <w:t xml:space="preserve"> </w:t>
      </w:r>
      <w:r>
        <w:rPr>
          <w:rFonts w:cs="Sylfaen"/>
          <w:sz w:val="16"/>
          <w:szCs w:val="16"/>
        </w:rPr>
        <w:t>ՀՀ</w:t>
      </w:r>
      <w:r>
        <w:rPr>
          <w:rFonts w:cs="Sylfaen"/>
          <w:sz w:val="16"/>
          <w:szCs w:val="16"/>
          <w:lang w:val="ro-RO"/>
        </w:rPr>
        <w:t xml:space="preserve"> ֆ</w:t>
      </w:r>
      <w:r>
        <w:rPr>
          <w:rFonts w:cs="Sylfaen"/>
          <w:sz w:val="16"/>
          <w:szCs w:val="16"/>
        </w:rPr>
        <w:t>ինանսների</w:t>
      </w:r>
      <w:r>
        <w:rPr>
          <w:rFonts w:cs="Sylfaen"/>
          <w:sz w:val="16"/>
          <w:szCs w:val="16"/>
          <w:lang w:val="ro-RO"/>
        </w:rPr>
        <w:t xml:space="preserve"> </w:t>
      </w:r>
      <w:r>
        <w:rPr>
          <w:rFonts w:cs="Sylfaen"/>
          <w:sz w:val="16"/>
          <w:szCs w:val="16"/>
        </w:rPr>
        <w:t>նախարարության</w:t>
      </w:r>
      <w:r>
        <w:rPr>
          <w:rFonts w:cs="Sylfaen"/>
          <w:sz w:val="16"/>
          <w:szCs w:val="16"/>
          <w:lang w:val="ro-RO"/>
        </w:rPr>
        <w:t xml:space="preserve"> </w:t>
      </w:r>
      <w:r>
        <w:rPr>
          <w:rFonts w:cs="Sylfaen"/>
          <w:sz w:val="16"/>
          <w:szCs w:val="16"/>
        </w:rPr>
        <w:t>ռիսկերի</w:t>
      </w:r>
      <w:r>
        <w:rPr>
          <w:rFonts w:cs="Sylfaen"/>
          <w:sz w:val="16"/>
          <w:szCs w:val="16"/>
          <w:lang w:val="ro-RO"/>
        </w:rPr>
        <w:t xml:space="preserve"> </w:t>
      </w:r>
      <w:r>
        <w:rPr>
          <w:rFonts w:cs="Sylfaen"/>
          <w:sz w:val="16"/>
          <w:szCs w:val="16"/>
        </w:rPr>
        <w:t>գնահատման</w:t>
      </w:r>
      <w:r>
        <w:rPr>
          <w:rFonts w:cs="Sylfaen"/>
          <w:sz w:val="16"/>
          <w:szCs w:val="16"/>
          <w:lang w:val="ro-RO"/>
        </w:rPr>
        <w:t xml:space="preserve"> </w:t>
      </w:r>
      <w:r>
        <w:rPr>
          <w:rFonts w:cs="Sylfaen"/>
          <w:sz w:val="16"/>
          <w:szCs w:val="16"/>
        </w:rPr>
        <w:t>համակարգի</w:t>
      </w:r>
      <w:r>
        <w:rPr>
          <w:rFonts w:cs="Sylfaen"/>
          <w:sz w:val="16"/>
          <w:szCs w:val="16"/>
          <w:lang w:val="ro-RO"/>
        </w:rPr>
        <w:t xml:space="preserve"> </w:t>
      </w:r>
      <w:r>
        <w:rPr>
          <w:rFonts w:cs="Sylfaen"/>
          <w:sz w:val="16"/>
          <w:szCs w:val="16"/>
        </w:rPr>
        <w:t>ներքո</w:t>
      </w:r>
      <w:r>
        <w:rPr>
          <w:rFonts w:cs="Sylfaen"/>
          <w:sz w:val="16"/>
          <w:szCs w:val="16"/>
          <w:lang w:val="ro-RO"/>
        </w:rPr>
        <w:t xml:space="preserve"> </w:t>
      </w:r>
      <w:r>
        <w:rPr>
          <w:rFonts w:cs="Sylfaen"/>
          <w:sz w:val="16"/>
          <w:szCs w:val="16"/>
        </w:rPr>
        <w:t>կառուցված</w:t>
      </w:r>
      <w:r>
        <w:rPr>
          <w:rFonts w:cs="Sylfaen"/>
          <w:sz w:val="16"/>
          <w:szCs w:val="16"/>
          <w:lang w:val="ro-RO"/>
        </w:rPr>
        <w:t xml:space="preserve"> </w:t>
      </w:r>
      <w:r>
        <w:rPr>
          <w:rFonts w:cs="Sylfaen"/>
          <w:sz w:val="16"/>
          <w:szCs w:val="16"/>
        </w:rPr>
        <w:t>մոդելի</w:t>
      </w:r>
      <w:r>
        <w:rPr>
          <w:rFonts w:cs="Sylfaen"/>
          <w:sz w:val="16"/>
          <w:szCs w:val="16"/>
          <w:lang w:val="ro-RO"/>
        </w:rPr>
        <w:t xml:space="preserve"> </w:t>
      </w:r>
      <w:r>
        <w:rPr>
          <w:rFonts w:cs="Sylfaen"/>
          <w:sz w:val="16"/>
          <w:szCs w:val="16"/>
        </w:rPr>
        <w:t>հիման</w:t>
      </w:r>
      <w:r>
        <w:rPr>
          <w:rFonts w:cs="Sylfaen"/>
          <w:sz w:val="16"/>
          <w:szCs w:val="16"/>
          <w:lang w:val="ro-RO"/>
        </w:rPr>
        <w:t xml:space="preserve"> </w:t>
      </w:r>
      <w:r>
        <w:rPr>
          <w:rFonts w:cs="Sylfaen"/>
          <w:sz w:val="16"/>
          <w:szCs w:val="16"/>
        </w:rPr>
        <w:t>վրա</w:t>
      </w:r>
      <w:r>
        <w:rPr>
          <w:rFonts w:cs="Sylfaen"/>
          <w:sz w:val="16"/>
          <w:szCs w:val="16"/>
          <w:lang w:val="ro-RO"/>
        </w:rPr>
        <w:t>:</w:t>
      </w:r>
      <w:r>
        <w:rPr>
          <w:rFonts w:cs="Sylfaen"/>
          <w:i/>
          <w:sz w:val="16"/>
          <w:szCs w:val="16"/>
          <w:lang w:val="ro-RO"/>
        </w:rPr>
        <w:t xml:space="preserve"> </w:t>
      </w:r>
    </w:p>
  </w:footnote>
  <w:footnote w:id="30">
    <w:p w14:paraId="16674AFC" w14:textId="77777777" w:rsidR="0019638A" w:rsidRPr="00CA4440" w:rsidRDefault="0019638A" w:rsidP="0087134D">
      <w:pPr>
        <w:pStyle w:val="FootnoteText"/>
        <w:rPr>
          <w:sz w:val="14"/>
          <w:lang w:val="ro-RO"/>
        </w:rPr>
      </w:pPr>
      <w:r w:rsidRPr="00CA4440">
        <w:rPr>
          <w:rStyle w:val="FootnoteReference"/>
          <w:rFonts w:eastAsiaTheme="majorEastAsia"/>
          <w:sz w:val="18"/>
        </w:rPr>
        <w:footnoteRef/>
      </w:r>
      <w:r w:rsidRPr="00CA4440">
        <w:rPr>
          <w:sz w:val="18"/>
        </w:rPr>
        <w:t>Հավանականային</w:t>
      </w:r>
      <w:r w:rsidRPr="00CA4440">
        <w:rPr>
          <w:sz w:val="18"/>
          <w:lang w:val="ro-RO"/>
        </w:rPr>
        <w:t xml:space="preserve"> </w:t>
      </w:r>
      <w:r w:rsidRPr="00CA4440">
        <w:rPr>
          <w:sz w:val="18"/>
        </w:rPr>
        <w:t>կանխատեսման</w:t>
      </w:r>
      <w:r w:rsidRPr="00CA4440">
        <w:rPr>
          <w:sz w:val="18"/>
          <w:lang w:val="ro-RO"/>
        </w:rPr>
        <w:t xml:space="preserve"> </w:t>
      </w:r>
      <w:r w:rsidRPr="00CA4440">
        <w:rPr>
          <w:sz w:val="18"/>
        </w:rPr>
        <w:t>գրաֆիկի</w:t>
      </w:r>
      <w:r w:rsidRPr="00CA4440">
        <w:rPr>
          <w:sz w:val="18"/>
          <w:lang w:val="ro-RO"/>
        </w:rPr>
        <w:t xml:space="preserve"> </w:t>
      </w:r>
      <w:r w:rsidRPr="00CA4440">
        <w:rPr>
          <w:sz w:val="18"/>
        </w:rPr>
        <w:t>կառուցման</w:t>
      </w:r>
      <w:r w:rsidRPr="00CA4440">
        <w:rPr>
          <w:sz w:val="18"/>
          <w:lang w:val="ro-RO"/>
        </w:rPr>
        <w:t xml:space="preserve"> </w:t>
      </w:r>
      <w:r w:rsidRPr="00CA4440">
        <w:rPr>
          <w:sz w:val="18"/>
        </w:rPr>
        <w:t>ընդհանուր</w:t>
      </w:r>
      <w:r w:rsidRPr="00CA4440">
        <w:rPr>
          <w:sz w:val="18"/>
          <w:lang w:val="ro-RO"/>
        </w:rPr>
        <w:t xml:space="preserve"> </w:t>
      </w:r>
      <w:r w:rsidRPr="00CA4440">
        <w:rPr>
          <w:sz w:val="18"/>
        </w:rPr>
        <w:t>մեթոդաբանությունը</w:t>
      </w:r>
      <w:r w:rsidRPr="00CA4440">
        <w:rPr>
          <w:sz w:val="18"/>
          <w:lang w:val="ro-RO"/>
        </w:rPr>
        <w:t xml:space="preserve"> </w:t>
      </w:r>
      <w:r w:rsidRPr="00CA4440">
        <w:rPr>
          <w:sz w:val="18"/>
        </w:rPr>
        <w:t>ներկայացված</w:t>
      </w:r>
      <w:r w:rsidRPr="00CA4440">
        <w:rPr>
          <w:sz w:val="18"/>
          <w:lang w:val="ro-RO"/>
        </w:rPr>
        <w:t xml:space="preserve"> </w:t>
      </w:r>
      <w:r w:rsidRPr="00CA4440">
        <w:rPr>
          <w:sz w:val="18"/>
        </w:rPr>
        <w:t>է</w:t>
      </w:r>
      <w:r w:rsidRPr="00CA4440">
        <w:rPr>
          <w:sz w:val="18"/>
          <w:lang w:val="ro-RO"/>
        </w:rPr>
        <w:t xml:space="preserve"> </w:t>
      </w:r>
      <w:r w:rsidRPr="00CA4440">
        <w:rPr>
          <w:sz w:val="18"/>
        </w:rPr>
        <w:t>Ներդիր</w:t>
      </w:r>
      <w:r>
        <w:rPr>
          <w:sz w:val="18"/>
          <w:lang w:val="hy-AM"/>
        </w:rPr>
        <w:t>ում</w:t>
      </w:r>
      <w:r w:rsidRPr="00CA4440">
        <w:rPr>
          <w:sz w:val="18"/>
          <w:lang w:val="ro-RO"/>
        </w:rPr>
        <w:t>:</w:t>
      </w:r>
    </w:p>
  </w:footnote>
  <w:footnote w:id="31">
    <w:p w14:paraId="13B46431" w14:textId="77777777" w:rsidR="0019638A" w:rsidRPr="00010E8E" w:rsidRDefault="0019638A" w:rsidP="0087134D">
      <w:pPr>
        <w:pStyle w:val="FootnoteText"/>
        <w:rPr>
          <w:lang w:val="ro-RO"/>
        </w:rPr>
      </w:pPr>
      <w:r w:rsidRPr="00010E8E">
        <w:rPr>
          <w:rStyle w:val="FootnoteReference"/>
        </w:rPr>
        <w:footnoteRef/>
      </w:r>
      <w:r>
        <w:rPr>
          <w:lang w:val="ro-RO"/>
        </w:rPr>
        <w:t xml:space="preserve"> </w:t>
      </w:r>
      <w:r w:rsidRPr="00010E8E">
        <w:rPr>
          <w:lang w:val="ro-RO"/>
        </w:rPr>
        <w:t>Ընդհանուր ազդեցության գնահատականը հիմնված է մակրոտնտեսական ռիսկերի առանձին հանդես գալու ենթադրության վրա:</w:t>
      </w:r>
    </w:p>
  </w:footnote>
  <w:footnote w:id="32">
    <w:p w14:paraId="66D51301" w14:textId="77777777" w:rsidR="0019638A" w:rsidRDefault="0019638A" w:rsidP="00682DEF">
      <w:pPr>
        <w:shd w:val="clear" w:color="auto" w:fill="FFFFFF"/>
        <w:ind w:right="150"/>
        <w:rPr>
          <w:color w:val="000000"/>
          <w:sz w:val="16"/>
          <w:szCs w:val="16"/>
          <w:lang w:val="hy-AM"/>
        </w:rPr>
      </w:pPr>
      <w:r>
        <w:rPr>
          <w:color w:val="000000"/>
          <w:sz w:val="16"/>
          <w:szCs w:val="16"/>
          <w:vertAlign w:val="superscript"/>
          <w:lang w:val="hy-AM"/>
        </w:rPr>
        <w:t>1 Կիրառվել է Ասիական Զարգացման Բանկի կողմից մշակված մեթոդաբանությունը՝ ինչպես և սույն փաստաթղթում ներկայացվող այլ հաշվարկների դեպքում:</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69AC5A72"/>
    <w:lvl w:ilvl="0">
      <w:start w:val="1"/>
      <w:numFmt w:val="decimal"/>
      <w:pStyle w:val="ListNumber"/>
      <w:lvlText w:val="%1."/>
      <w:lvlJc w:val="left"/>
      <w:pPr>
        <w:tabs>
          <w:tab w:val="num" w:pos="540"/>
        </w:tabs>
        <w:ind w:left="540" w:hanging="360"/>
      </w:pPr>
    </w:lvl>
  </w:abstractNum>
  <w:abstractNum w:abstractNumId="1" w15:restartNumberingAfterBreak="0">
    <w:nsid w:val="03F033D1"/>
    <w:multiLevelType w:val="hybridMultilevel"/>
    <w:tmpl w:val="28F0DDFE"/>
    <w:lvl w:ilvl="0" w:tplc="FFFFFFFF">
      <w:start w:val="1"/>
      <w:numFmt w:val="bullet"/>
      <w:pStyle w:val="num0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CD1E6F"/>
    <w:multiLevelType w:val="hybridMultilevel"/>
    <w:tmpl w:val="908CCCA0"/>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9A402E7"/>
    <w:multiLevelType w:val="hybridMultilevel"/>
    <w:tmpl w:val="FCC0E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89690A"/>
    <w:multiLevelType w:val="hybridMultilevel"/>
    <w:tmpl w:val="53BE3A02"/>
    <w:lvl w:ilvl="0" w:tplc="04090011">
      <w:start w:val="1"/>
      <w:numFmt w:val="decimal"/>
      <w:lvlText w:val="%1)"/>
      <w:lvlJc w:val="left"/>
      <w:pPr>
        <w:ind w:left="1069" w:hanging="360"/>
      </w:pPr>
      <w:rPr>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0BC77A68"/>
    <w:multiLevelType w:val="hybridMultilevel"/>
    <w:tmpl w:val="4426BC50"/>
    <w:lvl w:ilvl="0" w:tplc="A790EA68">
      <w:start w:val="1"/>
      <w:numFmt w:val="decimal"/>
      <w:lvlText w:val="%1."/>
      <w:lvlJc w:val="left"/>
      <w:pPr>
        <w:ind w:left="765" w:hanging="405"/>
      </w:pPr>
      <w:rPr>
        <w:rFonts w:hint="default"/>
        <w:color w:val="6C757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45B06"/>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B08AC"/>
    <w:multiLevelType w:val="hybridMultilevel"/>
    <w:tmpl w:val="9E582F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9E7A5A"/>
    <w:multiLevelType w:val="singleLevel"/>
    <w:tmpl w:val="4EDA947C"/>
    <w:lvl w:ilvl="0">
      <w:start w:val="1"/>
      <w:numFmt w:val="decimal"/>
      <w:pStyle w:val="a"/>
      <w:lvlText w:val="%1."/>
      <w:lvlJc w:val="left"/>
      <w:pPr>
        <w:tabs>
          <w:tab w:val="num" w:pos="360"/>
        </w:tabs>
        <w:ind w:left="360" w:hanging="360"/>
      </w:pPr>
      <w:rPr>
        <w:rFonts w:hint="default"/>
      </w:rPr>
    </w:lvl>
  </w:abstractNum>
  <w:abstractNum w:abstractNumId="10" w15:restartNumberingAfterBreak="0">
    <w:nsid w:val="14105CA9"/>
    <w:multiLevelType w:val="hybridMultilevel"/>
    <w:tmpl w:val="14A42308"/>
    <w:lvl w:ilvl="0" w:tplc="3CF28AFA">
      <w:start w:val="1"/>
      <w:numFmt w:val="decimal"/>
      <w:pStyle w:val="ParagraphNumbering"/>
      <w:lvlText w:val="%1.     "/>
      <w:lvlJc w:val="left"/>
      <w:pPr>
        <w:tabs>
          <w:tab w:val="num" w:pos="72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4E967BB"/>
    <w:multiLevelType w:val="hybridMultilevel"/>
    <w:tmpl w:val="6CA80AE6"/>
    <w:lvl w:ilvl="0" w:tplc="04090001">
      <w:start w:val="1"/>
      <w:numFmt w:val="bullet"/>
      <w:lvlText w:val=""/>
      <w:lvlJc w:val="left"/>
      <w:pPr>
        <w:ind w:left="1356" w:hanging="360"/>
      </w:pPr>
      <w:rPr>
        <w:rFonts w:ascii="Symbol" w:hAnsi="Symbol" w:hint="default"/>
      </w:rPr>
    </w:lvl>
    <w:lvl w:ilvl="1" w:tplc="04090003" w:tentative="1">
      <w:start w:val="1"/>
      <w:numFmt w:val="bullet"/>
      <w:lvlText w:val="o"/>
      <w:lvlJc w:val="left"/>
      <w:pPr>
        <w:ind w:left="2076" w:hanging="360"/>
      </w:pPr>
      <w:rPr>
        <w:rFonts w:ascii="Courier New" w:hAnsi="Courier New" w:cs="Courier New" w:hint="default"/>
      </w:rPr>
    </w:lvl>
    <w:lvl w:ilvl="2" w:tplc="04090005" w:tentative="1">
      <w:start w:val="1"/>
      <w:numFmt w:val="bullet"/>
      <w:lvlText w:val=""/>
      <w:lvlJc w:val="left"/>
      <w:pPr>
        <w:ind w:left="2796" w:hanging="360"/>
      </w:pPr>
      <w:rPr>
        <w:rFonts w:ascii="Wingdings" w:hAnsi="Wingdings" w:hint="default"/>
      </w:rPr>
    </w:lvl>
    <w:lvl w:ilvl="3" w:tplc="04090001" w:tentative="1">
      <w:start w:val="1"/>
      <w:numFmt w:val="bullet"/>
      <w:lvlText w:val=""/>
      <w:lvlJc w:val="left"/>
      <w:pPr>
        <w:ind w:left="3516" w:hanging="360"/>
      </w:pPr>
      <w:rPr>
        <w:rFonts w:ascii="Symbol" w:hAnsi="Symbol" w:hint="default"/>
      </w:rPr>
    </w:lvl>
    <w:lvl w:ilvl="4" w:tplc="04090003" w:tentative="1">
      <w:start w:val="1"/>
      <w:numFmt w:val="bullet"/>
      <w:lvlText w:val="o"/>
      <w:lvlJc w:val="left"/>
      <w:pPr>
        <w:ind w:left="4236" w:hanging="360"/>
      </w:pPr>
      <w:rPr>
        <w:rFonts w:ascii="Courier New" w:hAnsi="Courier New" w:cs="Courier New" w:hint="default"/>
      </w:rPr>
    </w:lvl>
    <w:lvl w:ilvl="5" w:tplc="04090005" w:tentative="1">
      <w:start w:val="1"/>
      <w:numFmt w:val="bullet"/>
      <w:lvlText w:val=""/>
      <w:lvlJc w:val="left"/>
      <w:pPr>
        <w:ind w:left="4956" w:hanging="360"/>
      </w:pPr>
      <w:rPr>
        <w:rFonts w:ascii="Wingdings" w:hAnsi="Wingdings" w:hint="default"/>
      </w:rPr>
    </w:lvl>
    <w:lvl w:ilvl="6" w:tplc="04090001" w:tentative="1">
      <w:start w:val="1"/>
      <w:numFmt w:val="bullet"/>
      <w:lvlText w:val=""/>
      <w:lvlJc w:val="left"/>
      <w:pPr>
        <w:ind w:left="5676" w:hanging="360"/>
      </w:pPr>
      <w:rPr>
        <w:rFonts w:ascii="Symbol" w:hAnsi="Symbol" w:hint="default"/>
      </w:rPr>
    </w:lvl>
    <w:lvl w:ilvl="7" w:tplc="04090003" w:tentative="1">
      <w:start w:val="1"/>
      <w:numFmt w:val="bullet"/>
      <w:lvlText w:val="o"/>
      <w:lvlJc w:val="left"/>
      <w:pPr>
        <w:ind w:left="6396" w:hanging="360"/>
      </w:pPr>
      <w:rPr>
        <w:rFonts w:ascii="Courier New" w:hAnsi="Courier New" w:cs="Courier New" w:hint="default"/>
      </w:rPr>
    </w:lvl>
    <w:lvl w:ilvl="8" w:tplc="04090005" w:tentative="1">
      <w:start w:val="1"/>
      <w:numFmt w:val="bullet"/>
      <w:lvlText w:val=""/>
      <w:lvlJc w:val="left"/>
      <w:pPr>
        <w:ind w:left="7116" w:hanging="360"/>
      </w:pPr>
      <w:rPr>
        <w:rFonts w:ascii="Wingdings" w:hAnsi="Wingdings" w:hint="default"/>
      </w:rPr>
    </w:lvl>
  </w:abstractNum>
  <w:abstractNum w:abstractNumId="12" w15:restartNumberingAfterBreak="0">
    <w:nsid w:val="15187AA5"/>
    <w:multiLevelType w:val="hybridMultilevel"/>
    <w:tmpl w:val="7A7C69D6"/>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871CA6"/>
    <w:multiLevelType w:val="hybridMultilevel"/>
    <w:tmpl w:val="884E997A"/>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6F572A"/>
    <w:multiLevelType w:val="hybridMultilevel"/>
    <w:tmpl w:val="6C4C41B2"/>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755021"/>
    <w:multiLevelType w:val="multilevel"/>
    <w:tmpl w:val="207550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2A707DA"/>
    <w:multiLevelType w:val="hybridMultilevel"/>
    <w:tmpl w:val="E7566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F9677B"/>
    <w:multiLevelType w:val="hybridMultilevel"/>
    <w:tmpl w:val="5FC0DC7E"/>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254D5A"/>
    <w:multiLevelType w:val="hybridMultilevel"/>
    <w:tmpl w:val="928A287C"/>
    <w:lvl w:ilvl="0" w:tplc="04190001">
      <w:start w:val="1"/>
      <w:numFmt w:val="bullet"/>
      <w:lvlText w:val=""/>
      <w:lvlJc w:val="left"/>
      <w:pPr>
        <w:ind w:left="1200" w:hanging="360"/>
      </w:pPr>
      <w:rPr>
        <w:rFonts w:ascii="Symbol" w:hAnsi="Symbol" w:hint="default"/>
      </w:rPr>
    </w:lvl>
    <w:lvl w:ilvl="1" w:tplc="04190003" w:tentative="1">
      <w:start w:val="1"/>
      <w:numFmt w:val="bullet"/>
      <w:lvlText w:val="o"/>
      <w:lvlJc w:val="left"/>
      <w:pPr>
        <w:ind w:left="1920" w:hanging="360"/>
      </w:pPr>
      <w:rPr>
        <w:rFonts w:ascii="Courier New" w:hAnsi="Courier New" w:cs="Courier New" w:hint="default"/>
      </w:rPr>
    </w:lvl>
    <w:lvl w:ilvl="2" w:tplc="04190005" w:tentative="1">
      <w:start w:val="1"/>
      <w:numFmt w:val="bullet"/>
      <w:lvlText w:val=""/>
      <w:lvlJc w:val="left"/>
      <w:pPr>
        <w:ind w:left="2640" w:hanging="360"/>
      </w:pPr>
      <w:rPr>
        <w:rFonts w:ascii="Wingdings" w:hAnsi="Wingdings" w:hint="default"/>
      </w:rPr>
    </w:lvl>
    <w:lvl w:ilvl="3" w:tplc="04190001" w:tentative="1">
      <w:start w:val="1"/>
      <w:numFmt w:val="bullet"/>
      <w:lvlText w:val=""/>
      <w:lvlJc w:val="left"/>
      <w:pPr>
        <w:ind w:left="3360" w:hanging="360"/>
      </w:pPr>
      <w:rPr>
        <w:rFonts w:ascii="Symbol" w:hAnsi="Symbol" w:hint="default"/>
      </w:rPr>
    </w:lvl>
    <w:lvl w:ilvl="4" w:tplc="04190003" w:tentative="1">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19" w15:restartNumberingAfterBreak="0">
    <w:nsid w:val="2442376F"/>
    <w:multiLevelType w:val="hybridMultilevel"/>
    <w:tmpl w:val="BBA43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9E056F"/>
    <w:multiLevelType w:val="hybridMultilevel"/>
    <w:tmpl w:val="E6782794"/>
    <w:lvl w:ilvl="0" w:tplc="4030E7EC">
      <w:numFmt w:val="bullet"/>
      <w:lvlText w:val="-"/>
      <w:lvlJc w:val="left"/>
      <w:pPr>
        <w:ind w:left="1800" w:hanging="360"/>
      </w:pPr>
      <w:rPr>
        <w:rFonts w:ascii="GHEA Grapalat" w:eastAsia="Times New Roman" w:hAnsi="GHEA Grapalat"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917017C"/>
    <w:multiLevelType w:val="hybridMultilevel"/>
    <w:tmpl w:val="6318ECA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931B24"/>
    <w:multiLevelType w:val="hybridMultilevel"/>
    <w:tmpl w:val="F0FCBE86"/>
    <w:lvl w:ilvl="0" w:tplc="933CC878">
      <w:start w:val="2"/>
      <w:numFmt w:val="bullet"/>
      <w:lvlText w:val="-"/>
      <w:lvlJc w:val="left"/>
      <w:pPr>
        <w:tabs>
          <w:tab w:val="num" w:pos="720"/>
        </w:tabs>
        <w:ind w:left="720" w:hanging="360"/>
      </w:pPr>
      <w:rPr>
        <w:rFonts w:ascii="GHEA Grapalat" w:eastAsia="Times New Roman" w:hAnsi="GHEA Grapalat" w:cs="GHEA Grapalat"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3" w15:restartNumberingAfterBreak="0">
    <w:nsid w:val="2C0D17E8"/>
    <w:multiLevelType w:val="hybridMultilevel"/>
    <w:tmpl w:val="E8280606"/>
    <w:name w:val="WW8Num43"/>
    <w:lvl w:ilvl="0" w:tplc="FFFFFFFF">
      <w:start w:val="110"/>
      <w:numFmt w:val="bullet"/>
      <w:lvlText w:val="-"/>
      <w:lvlJc w:val="left"/>
      <w:pPr>
        <w:tabs>
          <w:tab w:val="num" w:pos="1575"/>
        </w:tabs>
        <w:ind w:left="1575" w:hanging="975"/>
      </w:pPr>
      <w:rPr>
        <w:rFonts w:ascii="Times Armenian" w:eastAsia="Times New Roman" w:hAnsi="Times Armenian" w:cs="Times New Roman" w:hint="default"/>
      </w:rPr>
    </w:lvl>
    <w:lvl w:ilvl="1" w:tplc="FFFFFFFF" w:tentative="1">
      <w:start w:val="1"/>
      <w:numFmt w:val="bullet"/>
      <w:lvlText w:val="o"/>
      <w:lvlJc w:val="left"/>
      <w:pPr>
        <w:tabs>
          <w:tab w:val="num" w:pos="1680"/>
        </w:tabs>
        <w:ind w:left="1680" w:hanging="360"/>
      </w:pPr>
      <w:rPr>
        <w:rFonts w:ascii="Courier New" w:hAnsi="Courier New" w:cs="Courier New" w:hint="default"/>
      </w:rPr>
    </w:lvl>
    <w:lvl w:ilvl="2" w:tplc="FFFFFFFF" w:tentative="1">
      <w:start w:val="1"/>
      <w:numFmt w:val="bullet"/>
      <w:lvlText w:val=""/>
      <w:lvlJc w:val="left"/>
      <w:pPr>
        <w:tabs>
          <w:tab w:val="num" w:pos="2400"/>
        </w:tabs>
        <w:ind w:left="2400" w:hanging="360"/>
      </w:pPr>
      <w:rPr>
        <w:rFonts w:ascii="Wingdings" w:hAnsi="Wingdings" w:hint="default"/>
      </w:rPr>
    </w:lvl>
    <w:lvl w:ilvl="3" w:tplc="FFFFFFFF" w:tentative="1">
      <w:start w:val="1"/>
      <w:numFmt w:val="bullet"/>
      <w:lvlText w:val=""/>
      <w:lvlJc w:val="left"/>
      <w:pPr>
        <w:tabs>
          <w:tab w:val="num" w:pos="3120"/>
        </w:tabs>
        <w:ind w:left="3120" w:hanging="360"/>
      </w:pPr>
      <w:rPr>
        <w:rFonts w:ascii="Symbol" w:hAnsi="Symbol" w:hint="default"/>
      </w:rPr>
    </w:lvl>
    <w:lvl w:ilvl="4" w:tplc="FFFFFFFF" w:tentative="1">
      <w:start w:val="1"/>
      <w:numFmt w:val="bullet"/>
      <w:lvlText w:val="o"/>
      <w:lvlJc w:val="left"/>
      <w:pPr>
        <w:tabs>
          <w:tab w:val="num" w:pos="3840"/>
        </w:tabs>
        <w:ind w:left="3840" w:hanging="360"/>
      </w:pPr>
      <w:rPr>
        <w:rFonts w:ascii="Courier New" w:hAnsi="Courier New" w:cs="Courier New" w:hint="default"/>
      </w:rPr>
    </w:lvl>
    <w:lvl w:ilvl="5" w:tplc="FFFFFFFF" w:tentative="1">
      <w:start w:val="1"/>
      <w:numFmt w:val="bullet"/>
      <w:lvlText w:val=""/>
      <w:lvlJc w:val="left"/>
      <w:pPr>
        <w:tabs>
          <w:tab w:val="num" w:pos="4560"/>
        </w:tabs>
        <w:ind w:left="4560" w:hanging="360"/>
      </w:pPr>
      <w:rPr>
        <w:rFonts w:ascii="Wingdings" w:hAnsi="Wingdings" w:hint="default"/>
      </w:rPr>
    </w:lvl>
    <w:lvl w:ilvl="6" w:tplc="FFFFFFFF" w:tentative="1">
      <w:start w:val="1"/>
      <w:numFmt w:val="bullet"/>
      <w:lvlText w:val=""/>
      <w:lvlJc w:val="left"/>
      <w:pPr>
        <w:tabs>
          <w:tab w:val="num" w:pos="5280"/>
        </w:tabs>
        <w:ind w:left="5280" w:hanging="360"/>
      </w:pPr>
      <w:rPr>
        <w:rFonts w:ascii="Symbol" w:hAnsi="Symbol" w:hint="default"/>
      </w:rPr>
    </w:lvl>
    <w:lvl w:ilvl="7" w:tplc="FFFFFFFF" w:tentative="1">
      <w:start w:val="1"/>
      <w:numFmt w:val="bullet"/>
      <w:lvlText w:val="o"/>
      <w:lvlJc w:val="left"/>
      <w:pPr>
        <w:tabs>
          <w:tab w:val="num" w:pos="6000"/>
        </w:tabs>
        <w:ind w:left="6000" w:hanging="360"/>
      </w:pPr>
      <w:rPr>
        <w:rFonts w:ascii="Courier New" w:hAnsi="Courier New" w:cs="Courier New" w:hint="default"/>
      </w:rPr>
    </w:lvl>
    <w:lvl w:ilvl="8" w:tplc="FFFFFFFF" w:tentative="1">
      <w:start w:val="1"/>
      <w:numFmt w:val="bullet"/>
      <w:lvlText w:val=""/>
      <w:lvlJc w:val="left"/>
      <w:pPr>
        <w:tabs>
          <w:tab w:val="num" w:pos="6720"/>
        </w:tabs>
        <w:ind w:left="6720" w:hanging="360"/>
      </w:pPr>
      <w:rPr>
        <w:rFonts w:ascii="Wingdings" w:hAnsi="Wingdings" w:hint="default"/>
      </w:rPr>
    </w:lvl>
  </w:abstractNum>
  <w:abstractNum w:abstractNumId="24" w15:restartNumberingAfterBreak="0">
    <w:nsid w:val="2EF10E72"/>
    <w:multiLevelType w:val="multilevel"/>
    <w:tmpl w:val="AF18A748"/>
    <w:lvl w:ilvl="0">
      <w:start w:val="1"/>
      <w:numFmt w:val="bullet"/>
      <w:lvlText w:val=""/>
      <w:lvlJc w:val="left"/>
      <w:pPr>
        <w:tabs>
          <w:tab w:val="num" w:pos="0"/>
        </w:tabs>
        <w:ind w:left="1287" w:hanging="360"/>
      </w:pPr>
      <w:rPr>
        <w:rFonts w:ascii="Symbol" w:hAnsi="Symbol" w:cs="Symbol" w:hint="default"/>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5" w15:restartNumberingAfterBreak="0">
    <w:nsid w:val="30795E74"/>
    <w:multiLevelType w:val="hybridMultilevel"/>
    <w:tmpl w:val="BB52AED4"/>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3F63321"/>
    <w:multiLevelType w:val="hybridMultilevel"/>
    <w:tmpl w:val="6EC02EF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2235AC"/>
    <w:multiLevelType w:val="hybridMultilevel"/>
    <w:tmpl w:val="4F4A4EE6"/>
    <w:lvl w:ilvl="0" w:tplc="04090001">
      <w:start w:val="1"/>
      <w:numFmt w:val="bullet"/>
      <w:lvlText w:val=""/>
      <w:lvlJc w:val="left"/>
      <w:pPr>
        <w:ind w:left="1440" w:hanging="360"/>
      </w:pPr>
      <w:rPr>
        <w:rFonts w:ascii="Symbol" w:hAnsi="Symbol" w:hint="default"/>
      </w:rPr>
    </w:lvl>
    <w:lvl w:ilvl="1" w:tplc="4FEEEB46">
      <w:start w:val="1"/>
      <w:numFmt w:val="bullet"/>
      <w:lvlText w:val="-"/>
      <w:lvlJc w:val="left"/>
      <w:pPr>
        <w:ind w:left="2160" w:hanging="360"/>
      </w:pPr>
      <w:rPr>
        <w:rFonts w:ascii="MS Reference Sans Serif" w:hAnsi="MS Reference Sans Serif"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8B70647"/>
    <w:multiLevelType w:val="hybridMultilevel"/>
    <w:tmpl w:val="F044F36C"/>
    <w:lvl w:ilvl="0" w:tplc="79D8E8D2">
      <w:start w:val="1"/>
      <w:numFmt w:val="decimal"/>
      <w:pStyle w:val="StyleGHEAGrapalatJustifiedBefore12pt"/>
      <w:lvlText w:val="%1."/>
      <w:lvlJc w:val="left"/>
      <w:pPr>
        <w:ind w:left="720" w:hanging="360"/>
      </w:pPr>
    </w:lvl>
    <w:lvl w:ilvl="1" w:tplc="04090019">
      <w:start w:val="1"/>
      <w:numFmt w:val="lowerLetter"/>
      <w:pStyle w:val="KLegalHeading2"/>
      <w:lvlText w:val="%2."/>
      <w:lvlJc w:val="left"/>
      <w:pPr>
        <w:ind w:left="1440" w:hanging="360"/>
      </w:pPr>
    </w:lvl>
    <w:lvl w:ilvl="2" w:tplc="0409001B">
      <w:start w:val="1"/>
      <w:numFmt w:val="lowerRoman"/>
      <w:pStyle w:val="KLegalHeading3"/>
      <w:lvlText w:val="%3."/>
      <w:lvlJc w:val="right"/>
      <w:pPr>
        <w:ind w:left="2160" w:hanging="180"/>
      </w:pPr>
    </w:lvl>
    <w:lvl w:ilvl="3" w:tplc="0409000F">
      <w:start w:val="1"/>
      <w:numFmt w:val="decimal"/>
      <w:pStyle w:val="KLegalHeading4"/>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A8841CD"/>
    <w:multiLevelType w:val="hybridMultilevel"/>
    <w:tmpl w:val="27D202B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461B8D"/>
    <w:multiLevelType w:val="hybridMultilevel"/>
    <w:tmpl w:val="2F7C06BE"/>
    <w:lvl w:ilvl="0" w:tplc="04090011">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272D1A"/>
    <w:multiLevelType w:val="hybridMultilevel"/>
    <w:tmpl w:val="EA94F14C"/>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E4232AC"/>
    <w:multiLevelType w:val="hybridMultilevel"/>
    <w:tmpl w:val="5DEEE422"/>
    <w:lvl w:ilvl="0" w:tplc="8CF404C4">
      <w:start w:val="1"/>
      <w:numFmt w:val="bullet"/>
      <w:lvlText w:val=""/>
      <w:lvlJc w:val="center"/>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3" w15:restartNumberingAfterBreak="0">
    <w:nsid w:val="42A329F3"/>
    <w:multiLevelType w:val="hybridMultilevel"/>
    <w:tmpl w:val="789210FC"/>
    <w:lvl w:ilvl="0" w:tplc="7BF03C28">
      <w:start w:val="1"/>
      <w:numFmt w:val="decimal"/>
      <w:pStyle w:val="StyleGHEAGrapalatJustifiedAfter6ptLinespacingMultip"/>
      <w:lvlText w:val="%1)"/>
      <w:lvlJc w:val="left"/>
      <w:pPr>
        <w:ind w:left="1008" w:hanging="360"/>
      </w:pPr>
    </w:lvl>
    <w:lvl w:ilvl="1" w:tplc="EFE234DE">
      <w:start w:val="7"/>
      <w:numFmt w:val="decimal"/>
      <w:lvlText w:val="%2."/>
      <w:lvlJc w:val="left"/>
      <w:pPr>
        <w:tabs>
          <w:tab w:val="num" w:pos="1728"/>
        </w:tabs>
        <w:ind w:left="1728" w:hanging="36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34" w15:restartNumberingAfterBreak="0">
    <w:nsid w:val="43C765F3"/>
    <w:multiLevelType w:val="hybridMultilevel"/>
    <w:tmpl w:val="ED1E4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70A0543"/>
    <w:multiLevelType w:val="hybridMultilevel"/>
    <w:tmpl w:val="FCB07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B817A3"/>
    <w:multiLevelType w:val="hybridMultilevel"/>
    <w:tmpl w:val="DD160F58"/>
    <w:lvl w:ilvl="0" w:tplc="992EE318">
      <w:numFmt w:val="bullet"/>
      <w:lvlText w:val="-"/>
      <w:lvlJc w:val="left"/>
      <w:pPr>
        <w:ind w:left="1287" w:hanging="360"/>
      </w:pPr>
      <w:rPr>
        <w:rFonts w:ascii="GHEA Grapalat" w:eastAsia="Times New Roman" w:hAnsi="GHEA Grapalat" w:cs="Times New Roman"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4BF777EE"/>
    <w:multiLevelType w:val="hybridMultilevel"/>
    <w:tmpl w:val="C8804922"/>
    <w:lvl w:ilvl="0" w:tplc="FFE20F64">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4D992FB0"/>
    <w:multiLevelType w:val="hybridMultilevel"/>
    <w:tmpl w:val="6D2A6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F3D0A70"/>
    <w:multiLevelType w:val="hybridMultilevel"/>
    <w:tmpl w:val="3984F492"/>
    <w:lvl w:ilvl="0" w:tplc="33047A92">
      <w:start w:val="1"/>
      <w:numFmt w:val="bullet"/>
      <w:pStyle w:val="Bullet1"/>
      <w:lvlText w:val=""/>
      <w:lvlJc w:val="left"/>
      <w:pPr>
        <w:ind w:left="1287" w:hanging="360"/>
      </w:pPr>
      <w:rPr>
        <w:rFonts w:ascii="Symbol" w:hAnsi="Symbol" w:hint="default"/>
      </w:rPr>
    </w:lvl>
    <w:lvl w:ilvl="1" w:tplc="F2682400">
      <w:numFmt w:val="bullet"/>
      <w:lvlText w:val="•"/>
      <w:lvlJc w:val="left"/>
      <w:pPr>
        <w:ind w:left="2007" w:hanging="360"/>
      </w:pPr>
      <w:rPr>
        <w:rFonts w:ascii="GHEA Grapalat" w:eastAsia="Times New Roman" w:hAnsi="GHEA Grapalat" w:cs="Aria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0" w15:restartNumberingAfterBreak="0">
    <w:nsid w:val="51154DB5"/>
    <w:multiLevelType w:val="hybridMultilevel"/>
    <w:tmpl w:val="2FC854C2"/>
    <w:lvl w:ilvl="0" w:tplc="16E6CDD0">
      <w:start w:val="1"/>
      <w:numFmt w:val="decimal"/>
      <w:pStyle w:val="Charts"/>
      <w:lvlText w:val="Գծապատկեր %1."/>
      <w:lvlJc w:val="left"/>
      <w:pPr>
        <w:ind w:left="1170" w:hanging="360"/>
      </w:pPr>
      <w:rPr>
        <w:rFonts w:ascii="GHEA Grapalat" w:hAnsi="GHEA Grapalat" w:hint="default"/>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1" w15:restartNumberingAfterBreak="0">
    <w:nsid w:val="56247228"/>
    <w:multiLevelType w:val="hybridMultilevel"/>
    <w:tmpl w:val="69C88C5A"/>
    <w:lvl w:ilvl="0" w:tplc="04190001">
      <w:numFmt w:val="bullet"/>
      <w:pStyle w:val="BodyText1"/>
      <w:lvlText w:val="-"/>
      <w:lvlJc w:val="left"/>
      <w:pPr>
        <w:tabs>
          <w:tab w:val="num" w:pos="360"/>
        </w:tabs>
        <w:ind w:left="0" w:firstLine="0"/>
      </w:pPr>
      <w:rPr>
        <w:rFonts w:ascii="Times Armenian" w:eastAsia="Times New Roman" w:hAnsi="Times Armeni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8981591"/>
    <w:multiLevelType w:val="hybridMultilevel"/>
    <w:tmpl w:val="09A43E3A"/>
    <w:lvl w:ilvl="0" w:tplc="04190001">
      <w:start w:val="1"/>
      <w:numFmt w:val="bullet"/>
      <w:pStyle w:val="ListDash"/>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04267E"/>
    <w:multiLevelType w:val="hybridMultilevel"/>
    <w:tmpl w:val="59766380"/>
    <w:lvl w:ilvl="0" w:tplc="37A874F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9957624"/>
    <w:multiLevelType w:val="hybridMultilevel"/>
    <w:tmpl w:val="28022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A761E34"/>
    <w:multiLevelType w:val="hybridMultilevel"/>
    <w:tmpl w:val="03C02330"/>
    <w:lvl w:ilvl="0" w:tplc="49D6164E">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 w15:restartNumberingAfterBreak="0">
    <w:nsid w:val="5B0F2997"/>
    <w:multiLevelType w:val="hybridMultilevel"/>
    <w:tmpl w:val="704E02BE"/>
    <w:lvl w:ilvl="0" w:tplc="8FC4D916">
      <w:start w:val="1"/>
      <w:numFmt w:val="bullet"/>
      <w:pStyle w:val="CM31"/>
      <w:lvlText w:val=""/>
      <w:lvlJc w:val="left"/>
      <w:pPr>
        <w:tabs>
          <w:tab w:val="num" w:pos="1429"/>
        </w:tabs>
        <w:ind w:left="1429" w:hanging="360"/>
      </w:pPr>
      <w:rPr>
        <w:rFonts w:ascii="Symbol" w:hAnsi="Symbol" w:hint="default"/>
      </w:rPr>
    </w:lvl>
    <w:lvl w:ilvl="1" w:tplc="04090019" w:tentative="1">
      <w:start w:val="1"/>
      <w:numFmt w:val="bullet"/>
      <w:lvlText w:val="o"/>
      <w:lvlJc w:val="left"/>
      <w:pPr>
        <w:tabs>
          <w:tab w:val="num" w:pos="2149"/>
        </w:tabs>
        <w:ind w:left="2149" w:hanging="360"/>
      </w:pPr>
      <w:rPr>
        <w:rFonts w:ascii="Courier New" w:hAnsi="Courier New" w:cs="Courier New" w:hint="default"/>
      </w:rPr>
    </w:lvl>
    <w:lvl w:ilvl="2" w:tplc="0409001B" w:tentative="1">
      <w:start w:val="1"/>
      <w:numFmt w:val="bullet"/>
      <w:lvlText w:val=""/>
      <w:lvlJc w:val="left"/>
      <w:pPr>
        <w:tabs>
          <w:tab w:val="num" w:pos="2869"/>
        </w:tabs>
        <w:ind w:left="2869" w:hanging="360"/>
      </w:pPr>
      <w:rPr>
        <w:rFonts w:ascii="Wingdings" w:hAnsi="Wingdings" w:hint="default"/>
      </w:rPr>
    </w:lvl>
    <w:lvl w:ilvl="3" w:tplc="0409000F" w:tentative="1">
      <w:start w:val="1"/>
      <w:numFmt w:val="bullet"/>
      <w:lvlText w:val=""/>
      <w:lvlJc w:val="left"/>
      <w:pPr>
        <w:tabs>
          <w:tab w:val="num" w:pos="3589"/>
        </w:tabs>
        <w:ind w:left="3589" w:hanging="360"/>
      </w:pPr>
      <w:rPr>
        <w:rFonts w:ascii="Symbol" w:hAnsi="Symbol" w:hint="default"/>
      </w:rPr>
    </w:lvl>
    <w:lvl w:ilvl="4" w:tplc="04090019" w:tentative="1">
      <w:start w:val="1"/>
      <w:numFmt w:val="bullet"/>
      <w:lvlText w:val="o"/>
      <w:lvlJc w:val="left"/>
      <w:pPr>
        <w:tabs>
          <w:tab w:val="num" w:pos="4309"/>
        </w:tabs>
        <w:ind w:left="4309" w:hanging="360"/>
      </w:pPr>
      <w:rPr>
        <w:rFonts w:ascii="Courier New" w:hAnsi="Courier New" w:cs="Courier New" w:hint="default"/>
      </w:rPr>
    </w:lvl>
    <w:lvl w:ilvl="5" w:tplc="0409001B" w:tentative="1">
      <w:start w:val="1"/>
      <w:numFmt w:val="bullet"/>
      <w:lvlText w:val=""/>
      <w:lvlJc w:val="left"/>
      <w:pPr>
        <w:tabs>
          <w:tab w:val="num" w:pos="5029"/>
        </w:tabs>
        <w:ind w:left="5029" w:hanging="360"/>
      </w:pPr>
      <w:rPr>
        <w:rFonts w:ascii="Wingdings" w:hAnsi="Wingdings" w:hint="default"/>
      </w:rPr>
    </w:lvl>
    <w:lvl w:ilvl="6" w:tplc="0409000F" w:tentative="1">
      <w:start w:val="1"/>
      <w:numFmt w:val="bullet"/>
      <w:lvlText w:val=""/>
      <w:lvlJc w:val="left"/>
      <w:pPr>
        <w:tabs>
          <w:tab w:val="num" w:pos="5749"/>
        </w:tabs>
        <w:ind w:left="5749" w:hanging="360"/>
      </w:pPr>
      <w:rPr>
        <w:rFonts w:ascii="Symbol" w:hAnsi="Symbol" w:hint="default"/>
      </w:rPr>
    </w:lvl>
    <w:lvl w:ilvl="7" w:tplc="04090019" w:tentative="1">
      <w:start w:val="1"/>
      <w:numFmt w:val="bullet"/>
      <w:lvlText w:val="o"/>
      <w:lvlJc w:val="left"/>
      <w:pPr>
        <w:tabs>
          <w:tab w:val="num" w:pos="6469"/>
        </w:tabs>
        <w:ind w:left="6469" w:hanging="360"/>
      </w:pPr>
      <w:rPr>
        <w:rFonts w:ascii="Courier New" w:hAnsi="Courier New" w:cs="Courier New" w:hint="default"/>
      </w:rPr>
    </w:lvl>
    <w:lvl w:ilvl="8" w:tplc="0409001B" w:tentative="1">
      <w:start w:val="1"/>
      <w:numFmt w:val="bullet"/>
      <w:lvlText w:val=""/>
      <w:lvlJc w:val="left"/>
      <w:pPr>
        <w:tabs>
          <w:tab w:val="num" w:pos="7189"/>
        </w:tabs>
        <w:ind w:left="7189" w:hanging="360"/>
      </w:pPr>
      <w:rPr>
        <w:rFonts w:ascii="Wingdings" w:hAnsi="Wingdings" w:hint="default"/>
      </w:rPr>
    </w:lvl>
  </w:abstractNum>
  <w:abstractNum w:abstractNumId="48"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cs="Times New Roman" w:hint="default"/>
      </w:rPr>
    </w:lvl>
    <w:lvl w:ilvl="1">
      <w:start w:val="1"/>
      <w:numFmt w:val="lowerLetter"/>
      <w:lvlText w:val="%2."/>
      <w:lvlJc w:val="left"/>
      <w:pPr>
        <w:tabs>
          <w:tab w:val="num" w:pos="1287"/>
        </w:tabs>
        <w:ind w:left="1287" w:hanging="283"/>
      </w:pPr>
      <w:rPr>
        <w:rFonts w:cs="Times New Roman" w:hint="default"/>
      </w:rPr>
    </w:lvl>
    <w:lvl w:ilvl="2">
      <w:start w:val="1"/>
      <w:numFmt w:val="lowerRoman"/>
      <w:lvlText w:val="%3."/>
      <w:lvlJc w:val="left"/>
      <w:pPr>
        <w:tabs>
          <w:tab w:val="num" w:pos="1571"/>
        </w:tabs>
        <w:ind w:left="1571" w:hanging="284"/>
      </w:pPr>
      <w:rPr>
        <w:rFonts w:cs="Times New Roman" w:hint="default"/>
      </w:rPr>
    </w:lvl>
    <w:lvl w:ilvl="3">
      <w:start w:val="1"/>
      <w:numFmt w:val="none"/>
      <w:lvlText w:val=""/>
      <w:lvlJc w:val="left"/>
      <w:pPr>
        <w:tabs>
          <w:tab w:val="num" w:pos="1571"/>
        </w:tabs>
        <w:ind w:left="1571"/>
      </w:pPr>
      <w:rPr>
        <w:rFonts w:cs="Times New Roman" w:hint="default"/>
      </w:rPr>
    </w:lvl>
    <w:lvl w:ilvl="4">
      <w:start w:val="1"/>
      <w:numFmt w:val="none"/>
      <w:lvlText w:val=""/>
      <w:lvlJc w:val="left"/>
      <w:pPr>
        <w:tabs>
          <w:tab w:val="num" w:pos="1571"/>
        </w:tabs>
        <w:ind w:left="1571"/>
      </w:pPr>
      <w:rPr>
        <w:rFonts w:cs="Times New Roman" w:hint="default"/>
      </w:rPr>
    </w:lvl>
    <w:lvl w:ilvl="5">
      <w:start w:val="1"/>
      <w:numFmt w:val="none"/>
      <w:lvlText w:val=""/>
      <w:lvlJc w:val="left"/>
      <w:pPr>
        <w:tabs>
          <w:tab w:val="num" w:pos="1571"/>
        </w:tabs>
        <w:ind w:left="1571"/>
      </w:pPr>
      <w:rPr>
        <w:rFonts w:cs="Times New Roman" w:hint="default"/>
      </w:rPr>
    </w:lvl>
    <w:lvl w:ilvl="6">
      <w:start w:val="1"/>
      <w:numFmt w:val="none"/>
      <w:lvlText w:val=""/>
      <w:lvlJc w:val="left"/>
      <w:pPr>
        <w:tabs>
          <w:tab w:val="num" w:pos="1571"/>
        </w:tabs>
        <w:ind w:left="1571"/>
      </w:pPr>
      <w:rPr>
        <w:rFonts w:cs="Times New Roman" w:hint="default"/>
      </w:rPr>
    </w:lvl>
    <w:lvl w:ilvl="7">
      <w:start w:val="1"/>
      <w:numFmt w:val="none"/>
      <w:lvlText w:val=""/>
      <w:lvlJc w:val="left"/>
      <w:pPr>
        <w:tabs>
          <w:tab w:val="num" w:pos="1571"/>
        </w:tabs>
        <w:ind w:left="1571"/>
      </w:pPr>
      <w:rPr>
        <w:rFonts w:cs="Times New Roman" w:hint="default"/>
      </w:rPr>
    </w:lvl>
    <w:lvl w:ilvl="8">
      <w:start w:val="1"/>
      <w:numFmt w:val="none"/>
      <w:lvlRestart w:val="0"/>
      <w:lvlText w:val=""/>
      <w:lvlJc w:val="left"/>
      <w:pPr>
        <w:tabs>
          <w:tab w:val="num" w:pos="1571"/>
        </w:tabs>
        <w:ind w:left="1571"/>
      </w:pPr>
      <w:rPr>
        <w:rFonts w:cs="Times New Roman" w:hint="default"/>
      </w:rPr>
    </w:lvl>
  </w:abstractNum>
  <w:abstractNum w:abstractNumId="49" w15:restartNumberingAfterBreak="0">
    <w:nsid w:val="5E92419D"/>
    <w:multiLevelType w:val="hybridMultilevel"/>
    <w:tmpl w:val="D0D8956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9E436A"/>
    <w:multiLevelType w:val="hybridMultilevel"/>
    <w:tmpl w:val="51B28F1A"/>
    <w:lvl w:ilvl="0" w:tplc="78B647A6">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51" w15:restartNumberingAfterBreak="0">
    <w:nsid w:val="658D1367"/>
    <w:multiLevelType w:val="hybridMultilevel"/>
    <w:tmpl w:val="87FEA1AA"/>
    <w:lvl w:ilvl="0" w:tplc="A588E60C">
      <w:start w:val="1"/>
      <w:numFmt w:val="decimal"/>
      <w:pStyle w:val="Tables"/>
      <w:lvlText w:val="Աղյուսակ %1."/>
      <w:lvlJc w:val="left"/>
      <w:pPr>
        <w:ind w:left="1710" w:hanging="360"/>
      </w:pPr>
      <w:rPr>
        <w:rFonts w:ascii="GHEA Grapalat" w:hAnsi="GHEA Grapalat" w:hint="default"/>
        <w:b/>
        <w:i w:val="0"/>
        <w:sz w:val="22"/>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2" w15:restartNumberingAfterBreak="0">
    <w:nsid w:val="68DF11F3"/>
    <w:multiLevelType w:val="hybridMultilevel"/>
    <w:tmpl w:val="9FE49D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3" w15:restartNumberingAfterBreak="0">
    <w:nsid w:val="69215923"/>
    <w:multiLevelType w:val="hybridMultilevel"/>
    <w:tmpl w:val="9E92D408"/>
    <w:lvl w:ilvl="0" w:tplc="FFFFFFFF">
      <w:start w:val="110"/>
      <w:numFmt w:val="bullet"/>
      <w:pStyle w:val="PlainText"/>
      <w:lvlText w:val="-"/>
      <w:lvlJc w:val="left"/>
      <w:pPr>
        <w:tabs>
          <w:tab w:val="num" w:pos="540"/>
        </w:tabs>
        <w:ind w:left="540" w:hanging="360"/>
      </w:pPr>
      <w:rPr>
        <w:rFonts w:ascii="Times Armenian" w:eastAsia="Times New Roman" w:hAnsi="Times Armenian"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9EC513E"/>
    <w:multiLevelType w:val="hybridMultilevel"/>
    <w:tmpl w:val="F3220BE2"/>
    <w:lvl w:ilvl="0" w:tplc="B2E0EA00">
      <w:start w:val="1"/>
      <w:numFmt w:val="bullet"/>
      <w:lvlText w:val="-"/>
      <w:lvlJc w:val="left"/>
      <w:pPr>
        <w:ind w:left="720" w:hanging="360"/>
      </w:pPr>
      <w:rPr>
        <w:rFonts w:ascii="Calibri" w:eastAsia="Calibri" w:hAnsi="Calibri" w:cs="Times New Roman" w:hint="default"/>
        <w:lang w:val="hy-AM"/>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AA93615"/>
    <w:multiLevelType w:val="hybridMultilevel"/>
    <w:tmpl w:val="767E5D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6ABB4524"/>
    <w:multiLevelType w:val="hybridMultilevel"/>
    <w:tmpl w:val="831688D4"/>
    <w:lvl w:ilvl="0" w:tplc="0419000F">
      <w:start w:val="1"/>
      <w:numFmt w:val="bullet"/>
      <w:pStyle w:val="StyleHeading2ParanumTextLef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6DF945E1"/>
    <w:multiLevelType w:val="hybridMultilevel"/>
    <w:tmpl w:val="3FEA7236"/>
    <w:lvl w:ilvl="0" w:tplc="5ED8FEF2">
      <w:start w:val="1"/>
      <w:numFmt w:val="bullet"/>
      <w:pStyle w:val="ListBullet2"/>
      <w:lvlText w:val="-"/>
      <w:lvlJc w:val="left"/>
      <w:pPr>
        <w:ind w:left="720" w:hanging="360"/>
      </w:pPr>
      <w:rPr>
        <w:rFonts w:ascii="Times Armenian" w:eastAsia="Times New Roman" w:hAnsi="Times Armeni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1005C77"/>
    <w:multiLevelType w:val="hybridMultilevel"/>
    <w:tmpl w:val="03CCEA02"/>
    <w:lvl w:ilvl="0" w:tplc="933CC878">
      <w:start w:val="2"/>
      <w:numFmt w:val="bullet"/>
      <w:lvlText w:val="-"/>
      <w:lvlJc w:val="left"/>
      <w:pPr>
        <w:ind w:left="1287" w:hanging="360"/>
      </w:pPr>
      <w:rPr>
        <w:rFonts w:ascii="GHEA Grapalat" w:eastAsia="Times New Roman" w:hAnsi="GHEA Grapalat" w:cs="GHEA Grapalat"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9" w15:restartNumberingAfterBreak="0">
    <w:nsid w:val="72865D68"/>
    <w:multiLevelType w:val="hybridMultilevel"/>
    <w:tmpl w:val="61F69DC6"/>
    <w:lvl w:ilvl="0" w:tplc="59E4F234">
      <w:start w:val="2022"/>
      <w:numFmt w:val="bullet"/>
      <w:lvlText w:val="-"/>
      <w:lvlJc w:val="left"/>
      <w:pPr>
        <w:ind w:left="1080" w:hanging="360"/>
      </w:pPr>
      <w:rPr>
        <w:rFonts w:ascii="GHEA Grapalat" w:eastAsia="Calibri" w:hAnsi="GHEA Grapala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72E75BA7"/>
    <w:multiLevelType w:val="hybridMultilevel"/>
    <w:tmpl w:val="BA2EFF28"/>
    <w:lvl w:ilvl="0" w:tplc="C56688C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5A752B0"/>
    <w:multiLevelType w:val="hybridMultilevel"/>
    <w:tmpl w:val="E92010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6A856C3"/>
    <w:multiLevelType w:val="hybridMultilevel"/>
    <w:tmpl w:val="763E87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042C27"/>
    <w:multiLevelType w:val="hybridMultilevel"/>
    <w:tmpl w:val="1F30DB82"/>
    <w:lvl w:ilvl="0" w:tplc="0A5229AC">
      <w:start w:val="1"/>
      <w:numFmt w:val="decimal"/>
      <w:pStyle w:val="Tex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B6F1633"/>
    <w:multiLevelType w:val="hybridMultilevel"/>
    <w:tmpl w:val="D974D19C"/>
    <w:lvl w:ilvl="0" w:tplc="453C851A">
      <w:numFmt w:val="bullet"/>
      <w:lvlText w:val="•"/>
      <w:lvlJc w:val="left"/>
      <w:pPr>
        <w:ind w:left="1069" w:hanging="360"/>
      </w:pPr>
      <w:rPr>
        <w:rFonts w:ascii="GHEA Grapalat" w:eastAsia="Times New Roman" w:hAnsi="GHEA Grapalat"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7"/>
  </w:num>
  <w:num w:numId="3">
    <w:abstractNumId w:val="63"/>
  </w:num>
  <w:num w:numId="4">
    <w:abstractNumId w:val="56"/>
  </w:num>
  <w:num w:numId="5">
    <w:abstractNumId w:val="47"/>
  </w:num>
  <w:num w:numId="6">
    <w:abstractNumId w:val="43"/>
  </w:num>
  <w:num w:numId="7">
    <w:abstractNumId w:val="41"/>
  </w:num>
  <w:num w:numId="8">
    <w:abstractNumId w:val="1"/>
  </w:num>
  <w:num w:numId="9">
    <w:abstractNumId w:val="0"/>
  </w:num>
  <w:num w:numId="10">
    <w:abstractNumId w:val="48"/>
  </w:num>
  <w:num w:numId="11">
    <w:abstractNumId w:val="33"/>
  </w:num>
  <w:num w:numId="12">
    <w:abstractNumId w:val="53"/>
  </w:num>
  <w:num w:numId="13">
    <w:abstractNumId w:val="39"/>
  </w:num>
  <w:num w:numId="14">
    <w:abstractNumId w:val="34"/>
  </w:num>
  <w:num w:numId="15">
    <w:abstractNumId w:val="10"/>
  </w:num>
  <w:num w:numId="16">
    <w:abstractNumId w:val="51"/>
  </w:num>
  <w:num w:numId="17">
    <w:abstractNumId w:val="40"/>
  </w:num>
  <w:num w:numId="18">
    <w:abstractNumId w:val="25"/>
  </w:num>
  <w:num w:numId="19">
    <w:abstractNumId w:val="31"/>
  </w:num>
  <w:num w:numId="20">
    <w:abstractNumId w:val="13"/>
  </w:num>
  <w:num w:numId="21">
    <w:abstractNumId w:val="54"/>
  </w:num>
  <w:num w:numId="22">
    <w:abstractNumId w:val="21"/>
  </w:num>
  <w:num w:numId="23">
    <w:abstractNumId w:val="8"/>
  </w:num>
  <w:num w:numId="24">
    <w:abstractNumId w:val="17"/>
  </w:num>
  <w:num w:numId="25">
    <w:abstractNumId w:val="49"/>
  </w:num>
  <w:num w:numId="26">
    <w:abstractNumId w:val="60"/>
  </w:num>
  <w:num w:numId="27">
    <w:abstractNumId w:val="14"/>
  </w:num>
  <w:num w:numId="28">
    <w:abstractNumId w:val="38"/>
  </w:num>
  <w:num w:numId="29">
    <w:abstractNumId w:val="9"/>
  </w:num>
  <w:num w:numId="30">
    <w:abstractNumId w:val="5"/>
  </w:num>
  <w:num w:numId="31">
    <w:abstractNumId w:val="44"/>
  </w:num>
  <w:num w:numId="32">
    <w:abstractNumId w:val="30"/>
  </w:num>
  <w:num w:numId="33">
    <w:abstractNumId w:val="45"/>
  </w:num>
  <w:num w:numId="34">
    <w:abstractNumId w:val="46"/>
  </w:num>
  <w:num w:numId="35">
    <w:abstractNumId w:val="7"/>
  </w:num>
  <w:num w:numId="36">
    <w:abstractNumId w:val="62"/>
  </w:num>
  <w:num w:numId="37">
    <w:abstractNumId w:val="4"/>
  </w:num>
  <w:num w:numId="38">
    <w:abstractNumId w:val="27"/>
  </w:num>
  <w:num w:numId="39">
    <w:abstractNumId w:val="42"/>
  </w:num>
  <w:num w:numId="40">
    <w:abstractNumId w:val="12"/>
  </w:num>
  <w:num w:numId="41">
    <w:abstractNumId w:val="26"/>
  </w:num>
  <w:num w:numId="42">
    <w:abstractNumId w:val="24"/>
  </w:num>
  <w:num w:numId="43">
    <w:abstractNumId w:val="36"/>
  </w:num>
  <w:num w:numId="44">
    <w:abstractNumId w:val="22"/>
  </w:num>
  <w:num w:numId="45">
    <w:abstractNumId w:val="19"/>
  </w:num>
  <w:num w:numId="46">
    <w:abstractNumId w:val="64"/>
  </w:num>
  <w:num w:numId="47">
    <w:abstractNumId w:val="37"/>
  </w:num>
  <w:num w:numId="48">
    <w:abstractNumId w:val="59"/>
  </w:num>
  <w:num w:numId="49">
    <w:abstractNumId w:val="32"/>
  </w:num>
  <w:num w:numId="50">
    <w:abstractNumId w:val="35"/>
  </w:num>
  <w:num w:numId="51">
    <w:abstractNumId w:val="2"/>
  </w:num>
  <w:num w:numId="52">
    <w:abstractNumId w:val="52"/>
  </w:num>
  <w:num w:numId="53">
    <w:abstractNumId w:val="3"/>
  </w:num>
  <w:num w:numId="54">
    <w:abstractNumId w:val="16"/>
  </w:num>
  <w:num w:numId="55">
    <w:abstractNumId w:val="11"/>
  </w:num>
  <w:num w:numId="56">
    <w:abstractNumId w:val="29"/>
  </w:num>
  <w:num w:numId="57">
    <w:abstractNumId w:val="18"/>
  </w:num>
  <w:num w:numId="58">
    <w:abstractNumId w:val="61"/>
  </w:num>
  <w:num w:numId="59">
    <w:abstractNumId w:val="15"/>
  </w:num>
  <w:num w:numId="60">
    <w:abstractNumId w:val="6"/>
  </w:num>
  <w:num w:numId="61">
    <w:abstractNumId w:val="58"/>
  </w:num>
  <w:num w:numId="62">
    <w:abstractNumId w:val="20"/>
  </w:num>
  <w:num w:numId="63">
    <w:abstractNumId w:val="55"/>
  </w:num>
  <w:num w:numId="64">
    <w:abstractNumId w:val="5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6" w:nlCheck="1" w:checkStyle="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fr-FR" w:vendorID="64" w:dllVersion="131078" w:nlCheck="1" w:checkStyle="0"/>
  <w:activeWritingStyle w:appName="MSWord" w:lang="en-US" w:vendorID="64" w:dllVersion="131078" w:nlCheck="1" w:checkStyle="1"/>
  <w:activeWritingStyle w:appName="MSWord" w:lang="ru-RU" w:vendorID="64" w:dllVersion="131078" w:nlCheck="1" w:checkStyle="0"/>
  <w:activeWritingStyle w:appName="MSWord" w:lang="es-ES" w:vendorID="64" w:dllVersion="131078" w:nlCheck="1" w:checkStyle="0"/>
  <w:activeWritingStyle w:appName="MSWord" w:lang="en-GB"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712"/>
    <w:rsid w:val="00000C04"/>
    <w:rsid w:val="00000E2D"/>
    <w:rsid w:val="0000131E"/>
    <w:rsid w:val="00001792"/>
    <w:rsid w:val="00001EB0"/>
    <w:rsid w:val="00002163"/>
    <w:rsid w:val="00002289"/>
    <w:rsid w:val="00002BFC"/>
    <w:rsid w:val="000030DA"/>
    <w:rsid w:val="00003327"/>
    <w:rsid w:val="00003D9B"/>
    <w:rsid w:val="000045D9"/>
    <w:rsid w:val="00004807"/>
    <w:rsid w:val="000048AC"/>
    <w:rsid w:val="00004A4C"/>
    <w:rsid w:val="00004B36"/>
    <w:rsid w:val="00004B4A"/>
    <w:rsid w:val="000056C3"/>
    <w:rsid w:val="00005BEA"/>
    <w:rsid w:val="00005DA7"/>
    <w:rsid w:val="00006265"/>
    <w:rsid w:val="000068F4"/>
    <w:rsid w:val="00006BCE"/>
    <w:rsid w:val="00006FF5"/>
    <w:rsid w:val="0000757E"/>
    <w:rsid w:val="000076AD"/>
    <w:rsid w:val="0000784F"/>
    <w:rsid w:val="00007A08"/>
    <w:rsid w:val="00007BB6"/>
    <w:rsid w:val="000102B4"/>
    <w:rsid w:val="00010660"/>
    <w:rsid w:val="000108DE"/>
    <w:rsid w:val="0001133C"/>
    <w:rsid w:val="00011747"/>
    <w:rsid w:val="00011C4D"/>
    <w:rsid w:val="00011E49"/>
    <w:rsid w:val="00012290"/>
    <w:rsid w:val="000123D5"/>
    <w:rsid w:val="0001311A"/>
    <w:rsid w:val="0001324E"/>
    <w:rsid w:val="00013413"/>
    <w:rsid w:val="00013809"/>
    <w:rsid w:val="000139F0"/>
    <w:rsid w:val="00013F46"/>
    <w:rsid w:val="000144D6"/>
    <w:rsid w:val="000147A7"/>
    <w:rsid w:val="000148FC"/>
    <w:rsid w:val="00014A35"/>
    <w:rsid w:val="00014FD2"/>
    <w:rsid w:val="00015B69"/>
    <w:rsid w:val="00015BFA"/>
    <w:rsid w:val="0001623D"/>
    <w:rsid w:val="000163F7"/>
    <w:rsid w:val="000169D1"/>
    <w:rsid w:val="00016AEC"/>
    <w:rsid w:val="000173AD"/>
    <w:rsid w:val="000177C6"/>
    <w:rsid w:val="0002016C"/>
    <w:rsid w:val="00020693"/>
    <w:rsid w:val="00020CD6"/>
    <w:rsid w:val="00020E3C"/>
    <w:rsid w:val="0002109A"/>
    <w:rsid w:val="00021391"/>
    <w:rsid w:val="000213D2"/>
    <w:rsid w:val="0002170C"/>
    <w:rsid w:val="00023171"/>
    <w:rsid w:val="00023246"/>
    <w:rsid w:val="0002346F"/>
    <w:rsid w:val="0002358C"/>
    <w:rsid w:val="0002364A"/>
    <w:rsid w:val="00023799"/>
    <w:rsid w:val="000237F2"/>
    <w:rsid w:val="00023911"/>
    <w:rsid w:val="000243EB"/>
    <w:rsid w:val="000243F4"/>
    <w:rsid w:val="00024F24"/>
    <w:rsid w:val="0002572A"/>
    <w:rsid w:val="000257D7"/>
    <w:rsid w:val="00025BE2"/>
    <w:rsid w:val="00025DF2"/>
    <w:rsid w:val="00025E82"/>
    <w:rsid w:val="000266F4"/>
    <w:rsid w:val="00026AFA"/>
    <w:rsid w:val="000271C2"/>
    <w:rsid w:val="00027FBF"/>
    <w:rsid w:val="00030424"/>
    <w:rsid w:val="00030DB1"/>
    <w:rsid w:val="0003153D"/>
    <w:rsid w:val="00031D3A"/>
    <w:rsid w:val="000321E8"/>
    <w:rsid w:val="000322A5"/>
    <w:rsid w:val="00032581"/>
    <w:rsid w:val="00032B9B"/>
    <w:rsid w:val="00033370"/>
    <w:rsid w:val="00033572"/>
    <w:rsid w:val="00033587"/>
    <w:rsid w:val="00033984"/>
    <w:rsid w:val="00033C8B"/>
    <w:rsid w:val="00033D44"/>
    <w:rsid w:val="0003413E"/>
    <w:rsid w:val="00034178"/>
    <w:rsid w:val="00034648"/>
    <w:rsid w:val="000346B3"/>
    <w:rsid w:val="000347CE"/>
    <w:rsid w:val="000347E3"/>
    <w:rsid w:val="00034A9D"/>
    <w:rsid w:val="0003558C"/>
    <w:rsid w:val="000355C9"/>
    <w:rsid w:val="00035D1C"/>
    <w:rsid w:val="0003612A"/>
    <w:rsid w:val="00036E13"/>
    <w:rsid w:val="00037081"/>
    <w:rsid w:val="000371D5"/>
    <w:rsid w:val="000372BA"/>
    <w:rsid w:val="00037AB5"/>
    <w:rsid w:val="00037AFC"/>
    <w:rsid w:val="00037B1F"/>
    <w:rsid w:val="00037D17"/>
    <w:rsid w:val="00037F8A"/>
    <w:rsid w:val="00040371"/>
    <w:rsid w:val="000410F9"/>
    <w:rsid w:val="000414CA"/>
    <w:rsid w:val="000414CC"/>
    <w:rsid w:val="00042787"/>
    <w:rsid w:val="000427F7"/>
    <w:rsid w:val="00042B2E"/>
    <w:rsid w:val="00042C07"/>
    <w:rsid w:val="00042CD9"/>
    <w:rsid w:val="00043388"/>
    <w:rsid w:val="00043421"/>
    <w:rsid w:val="000434B1"/>
    <w:rsid w:val="00043F36"/>
    <w:rsid w:val="0004480B"/>
    <w:rsid w:val="00045E3A"/>
    <w:rsid w:val="0004603A"/>
    <w:rsid w:val="0004655D"/>
    <w:rsid w:val="000466B1"/>
    <w:rsid w:val="00046959"/>
    <w:rsid w:val="000473D4"/>
    <w:rsid w:val="00047B46"/>
    <w:rsid w:val="00047C7F"/>
    <w:rsid w:val="000500D2"/>
    <w:rsid w:val="000501A7"/>
    <w:rsid w:val="00050EFF"/>
    <w:rsid w:val="000515D9"/>
    <w:rsid w:val="000516CC"/>
    <w:rsid w:val="0005179C"/>
    <w:rsid w:val="00052380"/>
    <w:rsid w:val="0005274F"/>
    <w:rsid w:val="00052F87"/>
    <w:rsid w:val="00053116"/>
    <w:rsid w:val="00053709"/>
    <w:rsid w:val="00053CF6"/>
    <w:rsid w:val="0005404C"/>
    <w:rsid w:val="000540D6"/>
    <w:rsid w:val="0005461A"/>
    <w:rsid w:val="00054D48"/>
    <w:rsid w:val="00055F53"/>
    <w:rsid w:val="00056009"/>
    <w:rsid w:val="00056182"/>
    <w:rsid w:val="0005665D"/>
    <w:rsid w:val="00056866"/>
    <w:rsid w:val="00056F87"/>
    <w:rsid w:val="000572A2"/>
    <w:rsid w:val="000573ED"/>
    <w:rsid w:val="00057632"/>
    <w:rsid w:val="00057BA9"/>
    <w:rsid w:val="000601EE"/>
    <w:rsid w:val="00060470"/>
    <w:rsid w:val="0006050F"/>
    <w:rsid w:val="00061422"/>
    <w:rsid w:val="000616C1"/>
    <w:rsid w:val="0006181E"/>
    <w:rsid w:val="00061877"/>
    <w:rsid w:val="0006190C"/>
    <w:rsid w:val="00061BFA"/>
    <w:rsid w:val="00061E00"/>
    <w:rsid w:val="00061EB6"/>
    <w:rsid w:val="000621D1"/>
    <w:rsid w:val="00063142"/>
    <w:rsid w:val="00063485"/>
    <w:rsid w:val="00063D12"/>
    <w:rsid w:val="00063F7A"/>
    <w:rsid w:val="000648E7"/>
    <w:rsid w:val="000652C0"/>
    <w:rsid w:val="000656F0"/>
    <w:rsid w:val="00065E90"/>
    <w:rsid w:val="00066B40"/>
    <w:rsid w:val="0006727C"/>
    <w:rsid w:val="0006757C"/>
    <w:rsid w:val="000707D9"/>
    <w:rsid w:val="00070CAE"/>
    <w:rsid w:val="00070FC3"/>
    <w:rsid w:val="0007137A"/>
    <w:rsid w:val="0007188C"/>
    <w:rsid w:val="00071A75"/>
    <w:rsid w:val="00071C2A"/>
    <w:rsid w:val="000725F0"/>
    <w:rsid w:val="00072BEF"/>
    <w:rsid w:val="00072C98"/>
    <w:rsid w:val="00073A85"/>
    <w:rsid w:val="00075040"/>
    <w:rsid w:val="000750BE"/>
    <w:rsid w:val="00075431"/>
    <w:rsid w:val="000761B0"/>
    <w:rsid w:val="0007665D"/>
    <w:rsid w:val="0007672E"/>
    <w:rsid w:val="00076CE9"/>
    <w:rsid w:val="00076FEA"/>
    <w:rsid w:val="000771B3"/>
    <w:rsid w:val="000776D9"/>
    <w:rsid w:val="000777B6"/>
    <w:rsid w:val="000777E1"/>
    <w:rsid w:val="00080951"/>
    <w:rsid w:val="00081260"/>
    <w:rsid w:val="000813B9"/>
    <w:rsid w:val="000822AA"/>
    <w:rsid w:val="000825DA"/>
    <w:rsid w:val="000834DF"/>
    <w:rsid w:val="000838D8"/>
    <w:rsid w:val="00083F38"/>
    <w:rsid w:val="00083F9C"/>
    <w:rsid w:val="00084A46"/>
    <w:rsid w:val="00085490"/>
    <w:rsid w:val="00085674"/>
    <w:rsid w:val="00085A0D"/>
    <w:rsid w:val="00085C56"/>
    <w:rsid w:val="00085D43"/>
    <w:rsid w:val="000864E5"/>
    <w:rsid w:val="00086994"/>
    <w:rsid w:val="00086B99"/>
    <w:rsid w:val="00086E52"/>
    <w:rsid w:val="00086F85"/>
    <w:rsid w:val="000873BC"/>
    <w:rsid w:val="00087A4B"/>
    <w:rsid w:val="00087CB3"/>
    <w:rsid w:val="00087E63"/>
    <w:rsid w:val="000901E7"/>
    <w:rsid w:val="000902F4"/>
    <w:rsid w:val="000904DB"/>
    <w:rsid w:val="00090937"/>
    <w:rsid w:val="00090D23"/>
    <w:rsid w:val="00090E74"/>
    <w:rsid w:val="00091448"/>
    <w:rsid w:val="000915B0"/>
    <w:rsid w:val="00091F97"/>
    <w:rsid w:val="00092701"/>
    <w:rsid w:val="000930EC"/>
    <w:rsid w:val="00093193"/>
    <w:rsid w:val="0009342F"/>
    <w:rsid w:val="00093B3A"/>
    <w:rsid w:val="00093B64"/>
    <w:rsid w:val="00094160"/>
    <w:rsid w:val="00095686"/>
    <w:rsid w:val="00095699"/>
    <w:rsid w:val="000956EC"/>
    <w:rsid w:val="000957ED"/>
    <w:rsid w:val="00095F7E"/>
    <w:rsid w:val="00096AEA"/>
    <w:rsid w:val="00097DA7"/>
    <w:rsid w:val="000A0FD9"/>
    <w:rsid w:val="000A10A8"/>
    <w:rsid w:val="000A16DA"/>
    <w:rsid w:val="000A1ACB"/>
    <w:rsid w:val="000A1ED4"/>
    <w:rsid w:val="000A24F1"/>
    <w:rsid w:val="000A2F61"/>
    <w:rsid w:val="000A311D"/>
    <w:rsid w:val="000A40F8"/>
    <w:rsid w:val="000A452F"/>
    <w:rsid w:val="000A48F4"/>
    <w:rsid w:val="000A4CA2"/>
    <w:rsid w:val="000A4ED8"/>
    <w:rsid w:val="000A590C"/>
    <w:rsid w:val="000A5D25"/>
    <w:rsid w:val="000A5F92"/>
    <w:rsid w:val="000A601C"/>
    <w:rsid w:val="000A61AD"/>
    <w:rsid w:val="000A6BA3"/>
    <w:rsid w:val="000A724B"/>
    <w:rsid w:val="000A7435"/>
    <w:rsid w:val="000A7B14"/>
    <w:rsid w:val="000B0278"/>
    <w:rsid w:val="000B0329"/>
    <w:rsid w:val="000B03B5"/>
    <w:rsid w:val="000B0C32"/>
    <w:rsid w:val="000B0FAC"/>
    <w:rsid w:val="000B158C"/>
    <w:rsid w:val="000B15F2"/>
    <w:rsid w:val="000B25DD"/>
    <w:rsid w:val="000B289D"/>
    <w:rsid w:val="000B3179"/>
    <w:rsid w:val="000B32C2"/>
    <w:rsid w:val="000B3300"/>
    <w:rsid w:val="000B3E21"/>
    <w:rsid w:val="000B4927"/>
    <w:rsid w:val="000B4BCE"/>
    <w:rsid w:val="000B509C"/>
    <w:rsid w:val="000B52C3"/>
    <w:rsid w:val="000B58F0"/>
    <w:rsid w:val="000B5CD7"/>
    <w:rsid w:val="000B5DB4"/>
    <w:rsid w:val="000B6107"/>
    <w:rsid w:val="000B63EA"/>
    <w:rsid w:val="000B6441"/>
    <w:rsid w:val="000B65F1"/>
    <w:rsid w:val="000B6D9D"/>
    <w:rsid w:val="000B7FF5"/>
    <w:rsid w:val="000C0823"/>
    <w:rsid w:val="000C192F"/>
    <w:rsid w:val="000C1D88"/>
    <w:rsid w:val="000C2585"/>
    <w:rsid w:val="000C2B0B"/>
    <w:rsid w:val="000C2B15"/>
    <w:rsid w:val="000C2DB0"/>
    <w:rsid w:val="000C2E00"/>
    <w:rsid w:val="000C2FAA"/>
    <w:rsid w:val="000C41A9"/>
    <w:rsid w:val="000C4318"/>
    <w:rsid w:val="000C45CA"/>
    <w:rsid w:val="000C4759"/>
    <w:rsid w:val="000C48F0"/>
    <w:rsid w:val="000C4DD5"/>
    <w:rsid w:val="000C52B6"/>
    <w:rsid w:val="000C59A3"/>
    <w:rsid w:val="000C5B3C"/>
    <w:rsid w:val="000C5EB8"/>
    <w:rsid w:val="000C6882"/>
    <w:rsid w:val="000C6AA3"/>
    <w:rsid w:val="000C6B4C"/>
    <w:rsid w:val="000C6C6A"/>
    <w:rsid w:val="000C6F33"/>
    <w:rsid w:val="000C70BB"/>
    <w:rsid w:val="000C7250"/>
    <w:rsid w:val="000C75CA"/>
    <w:rsid w:val="000D0270"/>
    <w:rsid w:val="000D0B4B"/>
    <w:rsid w:val="000D0D59"/>
    <w:rsid w:val="000D1829"/>
    <w:rsid w:val="000D18CE"/>
    <w:rsid w:val="000D1CA7"/>
    <w:rsid w:val="000D2248"/>
    <w:rsid w:val="000D242E"/>
    <w:rsid w:val="000D289E"/>
    <w:rsid w:val="000D36C9"/>
    <w:rsid w:val="000D3DE3"/>
    <w:rsid w:val="000D427D"/>
    <w:rsid w:val="000D4925"/>
    <w:rsid w:val="000D492A"/>
    <w:rsid w:val="000D4B3C"/>
    <w:rsid w:val="000D529E"/>
    <w:rsid w:val="000D57AF"/>
    <w:rsid w:val="000D57C2"/>
    <w:rsid w:val="000D6082"/>
    <w:rsid w:val="000D6631"/>
    <w:rsid w:val="000D6650"/>
    <w:rsid w:val="000D6A06"/>
    <w:rsid w:val="000E01FF"/>
    <w:rsid w:val="000E047D"/>
    <w:rsid w:val="000E11D7"/>
    <w:rsid w:val="000E124F"/>
    <w:rsid w:val="000E1796"/>
    <w:rsid w:val="000E1ACF"/>
    <w:rsid w:val="000E1B09"/>
    <w:rsid w:val="000E266A"/>
    <w:rsid w:val="000E2AFD"/>
    <w:rsid w:val="000E2C2E"/>
    <w:rsid w:val="000E2C52"/>
    <w:rsid w:val="000E2D3F"/>
    <w:rsid w:val="000E304E"/>
    <w:rsid w:val="000E3398"/>
    <w:rsid w:val="000E364E"/>
    <w:rsid w:val="000E42B3"/>
    <w:rsid w:val="000E4FB1"/>
    <w:rsid w:val="000E5840"/>
    <w:rsid w:val="000E5B74"/>
    <w:rsid w:val="000E61BB"/>
    <w:rsid w:val="000E628B"/>
    <w:rsid w:val="000E65CF"/>
    <w:rsid w:val="000E6666"/>
    <w:rsid w:val="000E742F"/>
    <w:rsid w:val="000E74D0"/>
    <w:rsid w:val="000E76D9"/>
    <w:rsid w:val="000E7B84"/>
    <w:rsid w:val="000E7C99"/>
    <w:rsid w:val="000E7C9B"/>
    <w:rsid w:val="000F0E34"/>
    <w:rsid w:val="000F11D1"/>
    <w:rsid w:val="000F1571"/>
    <w:rsid w:val="000F16EF"/>
    <w:rsid w:val="000F170B"/>
    <w:rsid w:val="000F18AB"/>
    <w:rsid w:val="000F1B14"/>
    <w:rsid w:val="000F261B"/>
    <w:rsid w:val="000F279F"/>
    <w:rsid w:val="000F2BE9"/>
    <w:rsid w:val="000F2EC9"/>
    <w:rsid w:val="000F2EF7"/>
    <w:rsid w:val="000F30ED"/>
    <w:rsid w:val="000F35D3"/>
    <w:rsid w:val="000F38D0"/>
    <w:rsid w:val="000F3F9C"/>
    <w:rsid w:val="000F449D"/>
    <w:rsid w:val="000F464F"/>
    <w:rsid w:val="000F4657"/>
    <w:rsid w:val="000F509C"/>
    <w:rsid w:val="000F5235"/>
    <w:rsid w:val="000F54F8"/>
    <w:rsid w:val="000F5883"/>
    <w:rsid w:val="000F5B01"/>
    <w:rsid w:val="000F61C2"/>
    <w:rsid w:val="000F64C4"/>
    <w:rsid w:val="000F6825"/>
    <w:rsid w:val="000F6D3E"/>
    <w:rsid w:val="000F6D9A"/>
    <w:rsid w:val="000F6FF9"/>
    <w:rsid w:val="000F70B6"/>
    <w:rsid w:val="000F719C"/>
    <w:rsid w:val="000F7200"/>
    <w:rsid w:val="000F75FC"/>
    <w:rsid w:val="000F7976"/>
    <w:rsid w:val="000F7DDA"/>
    <w:rsid w:val="00100580"/>
    <w:rsid w:val="001008FA"/>
    <w:rsid w:val="00100A6A"/>
    <w:rsid w:val="00100C82"/>
    <w:rsid w:val="001012CC"/>
    <w:rsid w:val="00101E4C"/>
    <w:rsid w:val="00101E68"/>
    <w:rsid w:val="00102199"/>
    <w:rsid w:val="0010284D"/>
    <w:rsid w:val="00102CDE"/>
    <w:rsid w:val="001030CD"/>
    <w:rsid w:val="00103791"/>
    <w:rsid w:val="00103C56"/>
    <w:rsid w:val="0010468C"/>
    <w:rsid w:val="001048A0"/>
    <w:rsid w:val="00105401"/>
    <w:rsid w:val="00105608"/>
    <w:rsid w:val="0010572B"/>
    <w:rsid w:val="00105BD3"/>
    <w:rsid w:val="00105D71"/>
    <w:rsid w:val="00105E7D"/>
    <w:rsid w:val="0010649A"/>
    <w:rsid w:val="00106992"/>
    <w:rsid w:val="00106B70"/>
    <w:rsid w:val="00106C90"/>
    <w:rsid w:val="00107185"/>
    <w:rsid w:val="001071BD"/>
    <w:rsid w:val="001075C3"/>
    <w:rsid w:val="00107D3A"/>
    <w:rsid w:val="001103B6"/>
    <w:rsid w:val="00110C45"/>
    <w:rsid w:val="00110CA3"/>
    <w:rsid w:val="00111284"/>
    <w:rsid w:val="001112F4"/>
    <w:rsid w:val="00111420"/>
    <w:rsid w:val="00111D6D"/>
    <w:rsid w:val="00111DD9"/>
    <w:rsid w:val="00112578"/>
    <w:rsid w:val="001127C9"/>
    <w:rsid w:val="00112D7E"/>
    <w:rsid w:val="00112FFA"/>
    <w:rsid w:val="00113925"/>
    <w:rsid w:val="00113982"/>
    <w:rsid w:val="0011441B"/>
    <w:rsid w:val="00114D7E"/>
    <w:rsid w:val="0011549E"/>
    <w:rsid w:val="0011558E"/>
    <w:rsid w:val="00115637"/>
    <w:rsid w:val="00115664"/>
    <w:rsid w:val="00115728"/>
    <w:rsid w:val="001159DC"/>
    <w:rsid w:val="00115AFA"/>
    <w:rsid w:val="00115E01"/>
    <w:rsid w:val="00116136"/>
    <w:rsid w:val="00116524"/>
    <w:rsid w:val="0011656D"/>
    <w:rsid w:val="0011689D"/>
    <w:rsid w:val="00116E97"/>
    <w:rsid w:val="00117380"/>
    <w:rsid w:val="001203B6"/>
    <w:rsid w:val="00120BC8"/>
    <w:rsid w:val="00120F10"/>
    <w:rsid w:val="00121268"/>
    <w:rsid w:val="0012288D"/>
    <w:rsid w:val="001233BD"/>
    <w:rsid w:val="0012366A"/>
    <w:rsid w:val="00123F2C"/>
    <w:rsid w:val="00124431"/>
    <w:rsid w:val="00124894"/>
    <w:rsid w:val="00124D7E"/>
    <w:rsid w:val="00124E5B"/>
    <w:rsid w:val="00124FAE"/>
    <w:rsid w:val="0012581D"/>
    <w:rsid w:val="001259BD"/>
    <w:rsid w:val="00125DBD"/>
    <w:rsid w:val="00126071"/>
    <w:rsid w:val="0012607D"/>
    <w:rsid w:val="0012680E"/>
    <w:rsid w:val="0012683B"/>
    <w:rsid w:val="00126929"/>
    <w:rsid w:val="00127BFD"/>
    <w:rsid w:val="00130070"/>
    <w:rsid w:val="00130243"/>
    <w:rsid w:val="0013106F"/>
    <w:rsid w:val="001311F4"/>
    <w:rsid w:val="00131BF9"/>
    <w:rsid w:val="00131E98"/>
    <w:rsid w:val="00132111"/>
    <w:rsid w:val="0013281A"/>
    <w:rsid w:val="00132EB6"/>
    <w:rsid w:val="001336A5"/>
    <w:rsid w:val="001336E7"/>
    <w:rsid w:val="00133B15"/>
    <w:rsid w:val="00133E5A"/>
    <w:rsid w:val="00134360"/>
    <w:rsid w:val="001348D3"/>
    <w:rsid w:val="00134A7A"/>
    <w:rsid w:val="00134AC3"/>
    <w:rsid w:val="00135663"/>
    <w:rsid w:val="00135A72"/>
    <w:rsid w:val="00135FF8"/>
    <w:rsid w:val="001367AD"/>
    <w:rsid w:val="00136A0B"/>
    <w:rsid w:val="00136A8C"/>
    <w:rsid w:val="00136E24"/>
    <w:rsid w:val="0013717F"/>
    <w:rsid w:val="001378BB"/>
    <w:rsid w:val="00137B5C"/>
    <w:rsid w:val="00137B74"/>
    <w:rsid w:val="00140251"/>
    <w:rsid w:val="00140A93"/>
    <w:rsid w:val="00141785"/>
    <w:rsid w:val="00141D6E"/>
    <w:rsid w:val="001429A5"/>
    <w:rsid w:val="00142AC3"/>
    <w:rsid w:val="0014388D"/>
    <w:rsid w:val="00143F46"/>
    <w:rsid w:val="0014478B"/>
    <w:rsid w:val="00145A8A"/>
    <w:rsid w:val="00145BAD"/>
    <w:rsid w:val="00145D78"/>
    <w:rsid w:val="00146920"/>
    <w:rsid w:val="00147119"/>
    <w:rsid w:val="001473BB"/>
    <w:rsid w:val="00147C59"/>
    <w:rsid w:val="00150088"/>
    <w:rsid w:val="00150740"/>
    <w:rsid w:val="0015105B"/>
    <w:rsid w:val="00151218"/>
    <w:rsid w:val="001514D2"/>
    <w:rsid w:val="0015274B"/>
    <w:rsid w:val="00152838"/>
    <w:rsid w:val="00152974"/>
    <w:rsid w:val="00152A51"/>
    <w:rsid w:val="00152A78"/>
    <w:rsid w:val="0015327B"/>
    <w:rsid w:val="00153334"/>
    <w:rsid w:val="0015392B"/>
    <w:rsid w:val="00153EE6"/>
    <w:rsid w:val="00154F3D"/>
    <w:rsid w:val="00155004"/>
    <w:rsid w:val="00155302"/>
    <w:rsid w:val="001554FA"/>
    <w:rsid w:val="00155864"/>
    <w:rsid w:val="00155BC3"/>
    <w:rsid w:val="00155C9D"/>
    <w:rsid w:val="00156327"/>
    <w:rsid w:val="00156B66"/>
    <w:rsid w:val="00156C26"/>
    <w:rsid w:val="001604B0"/>
    <w:rsid w:val="00160C41"/>
    <w:rsid w:val="00161D5E"/>
    <w:rsid w:val="00162306"/>
    <w:rsid w:val="0016274B"/>
    <w:rsid w:val="00162A72"/>
    <w:rsid w:val="00162C29"/>
    <w:rsid w:val="00162C8B"/>
    <w:rsid w:val="00162D6A"/>
    <w:rsid w:val="00162F8D"/>
    <w:rsid w:val="00163034"/>
    <w:rsid w:val="00163138"/>
    <w:rsid w:val="0016318A"/>
    <w:rsid w:val="00163CE1"/>
    <w:rsid w:val="00163ECF"/>
    <w:rsid w:val="00163FF4"/>
    <w:rsid w:val="00165198"/>
    <w:rsid w:val="00166272"/>
    <w:rsid w:val="00166379"/>
    <w:rsid w:val="001664B1"/>
    <w:rsid w:val="00167130"/>
    <w:rsid w:val="001672A7"/>
    <w:rsid w:val="00167E80"/>
    <w:rsid w:val="00167FD2"/>
    <w:rsid w:val="00170230"/>
    <w:rsid w:val="00170619"/>
    <w:rsid w:val="001706DF"/>
    <w:rsid w:val="00170ABF"/>
    <w:rsid w:val="001711CF"/>
    <w:rsid w:val="001713E8"/>
    <w:rsid w:val="00171833"/>
    <w:rsid w:val="00171BF7"/>
    <w:rsid w:val="0017201C"/>
    <w:rsid w:val="001721D8"/>
    <w:rsid w:val="00172338"/>
    <w:rsid w:val="001725C5"/>
    <w:rsid w:val="00172871"/>
    <w:rsid w:val="00172E4B"/>
    <w:rsid w:val="001731BB"/>
    <w:rsid w:val="00173D07"/>
    <w:rsid w:val="00173DCF"/>
    <w:rsid w:val="00173EF6"/>
    <w:rsid w:val="001744BF"/>
    <w:rsid w:val="00174812"/>
    <w:rsid w:val="00174970"/>
    <w:rsid w:val="001752CC"/>
    <w:rsid w:val="001752DE"/>
    <w:rsid w:val="00175819"/>
    <w:rsid w:val="00175E2C"/>
    <w:rsid w:val="001764EE"/>
    <w:rsid w:val="00176541"/>
    <w:rsid w:val="0017730C"/>
    <w:rsid w:val="001774AD"/>
    <w:rsid w:val="0017782F"/>
    <w:rsid w:val="00177907"/>
    <w:rsid w:val="00177AC5"/>
    <w:rsid w:val="00177B99"/>
    <w:rsid w:val="00177C2A"/>
    <w:rsid w:val="001800E1"/>
    <w:rsid w:val="001802CC"/>
    <w:rsid w:val="00180703"/>
    <w:rsid w:val="0018094E"/>
    <w:rsid w:val="001820D2"/>
    <w:rsid w:val="001825BF"/>
    <w:rsid w:val="00182F20"/>
    <w:rsid w:val="0018345B"/>
    <w:rsid w:val="00183CF8"/>
    <w:rsid w:val="00184B53"/>
    <w:rsid w:val="00184D37"/>
    <w:rsid w:val="00184D71"/>
    <w:rsid w:val="00184E2A"/>
    <w:rsid w:val="00184E41"/>
    <w:rsid w:val="0018604C"/>
    <w:rsid w:val="001865AB"/>
    <w:rsid w:val="00186639"/>
    <w:rsid w:val="0018689C"/>
    <w:rsid w:val="00186AD7"/>
    <w:rsid w:val="001873ED"/>
    <w:rsid w:val="001878B0"/>
    <w:rsid w:val="00190476"/>
    <w:rsid w:val="00190624"/>
    <w:rsid w:val="00190889"/>
    <w:rsid w:val="001914CE"/>
    <w:rsid w:val="00191748"/>
    <w:rsid w:val="0019238A"/>
    <w:rsid w:val="001923CD"/>
    <w:rsid w:val="001928AC"/>
    <w:rsid w:val="00192C46"/>
    <w:rsid w:val="00193220"/>
    <w:rsid w:val="00193290"/>
    <w:rsid w:val="001939B2"/>
    <w:rsid w:val="00193EFF"/>
    <w:rsid w:val="001945B5"/>
    <w:rsid w:val="001945DE"/>
    <w:rsid w:val="00194984"/>
    <w:rsid w:val="001949DC"/>
    <w:rsid w:val="00194EA6"/>
    <w:rsid w:val="00194EC7"/>
    <w:rsid w:val="00195BE3"/>
    <w:rsid w:val="00195EE4"/>
    <w:rsid w:val="001960C3"/>
    <w:rsid w:val="0019638A"/>
    <w:rsid w:val="001964C0"/>
    <w:rsid w:val="00196F75"/>
    <w:rsid w:val="00197081"/>
    <w:rsid w:val="001971B9"/>
    <w:rsid w:val="0019732E"/>
    <w:rsid w:val="00197E16"/>
    <w:rsid w:val="001A0083"/>
    <w:rsid w:val="001A0815"/>
    <w:rsid w:val="001A0BDA"/>
    <w:rsid w:val="001A0BE7"/>
    <w:rsid w:val="001A0C44"/>
    <w:rsid w:val="001A1138"/>
    <w:rsid w:val="001A1210"/>
    <w:rsid w:val="001A1527"/>
    <w:rsid w:val="001A21D2"/>
    <w:rsid w:val="001A22B8"/>
    <w:rsid w:val="001A2353"/>
    <w:rsid w:val="001A2CC1"/>
    <w:rsid w:val="001A2FF7"/>
    <w:rsid w:val="001A34F3"/>
    <w:rsid w:val="001A3676"/>
    <w:rsid w:val="001A3784"/>
    <w:rsid w:val="001A3916"/>
    <w:rsid w:val="001A3C83"/>
    <w:rsid w:val="001A3CF8"/>
    <w:rsid w:val="001A48CC"/>
    <w:rsid w:val="001A4D8E"/>
    <w:rsid w:val="001A4DD3"/>
    <w:rsid w:val="001A5273"/>
    <w:rsid w:val="001A54EF"/>
    <w:rsid w:val="001A577F"/>
    <w:rsid w:val="001A5CD0"/>
    <w:rsid w:val="001A6E7C"/>
    <w:rsid w:val="001A75DA"/>
    <w:rsid w:val="001B011D"/>
    <w:rsid w:val="001B0A03"/>
    <w:rsid w:val="001B0FCA"/>
    <w:rsid w:val="001B1137"/>
    <w:rsid w:val="001B130B"/>
    <w:rsid w:val="001B2074"/>
    <w:rsid w:val="001B22F8"/>
    <w:rsid w:val="001B35E5"/>
    <w:rsid w:val="001B36A8"/>
    <w:rsid w:val="001B3A52"/>
    <w:rsid w:val="001B3CC7"/>
    <w:rsid w:val="001B3E1F"/>
    <w:rsid w:val="001B3E36"/>
    <w:rsid w:val="001B40CA"/>
    <w:rsid w:val="001B41F5"/>
    <w:rsid w:val="001B445D"/>
    <w:rsid w:val="001B485B"/>
    <w:rsid w:val="001B4A6D"/>
    <w:rsid w:val="001B514B"/>
    <w:rsid w:val="001B5347"/>
    <w:rsid w:val="001B683D"/>
    <w:rsid w:val="001B68C9"/>
    <w:rsid w:val="001B7564"/>
    <w:rsid w:val="001B78F8"/>
    <w:rsid w:val="001B7B6C"/>
    <w:rsid w:val="001B7BB2"/>
    <w:rsid w:val="001B7E49"/>
    <w:rsid w:val="001C02EC"/>
    <w:rsid w:val="001C0583"/>
    <w:rsid w:val="001C066F"/>
    <w:rsid w:val="001C0A3C"/>
    <w:rsid w:val="001C0C59"/>
    <w:rsid w:val="001C17F0"/>
    <w:rsid w:val="001C1854"/>
    <w:rsid w:val="001C1CD8"/>
    <w:rsid w:val="001C2610"/>
    <w:rsid w:val="001C30A7"/>
    <w:rsid w:val="001C3747"/>
    <w:rsid w:val="001C3E0B"/>
    <w:rsid w:val="001C46DF"/>
    <w:rsid w:val="001C56C9"/>
    <w:rsid w:val="001C643D"/>
    <w:rsid w:val="001C65EE"/>
    <w:rsid w:val="001C66FD"/>
    <w:rsid w:val="001C6822"/>
    <w:rsid w:val="001C6A30"/>
    <w:rsid w:val="001C6A4E"/>
    <w:rsid w:val="001C6FFB"/>
    <w:rsid w:val="001C7A69"/>
    <w:rsid w:val="001C7A9B"/>
    <w:rsid w:val="001C7BEE"/>
    <w:rsid w:val="001C7F64"/>
    <w:rsid w:val="001C7F6A"/>
    <w:rsid w:val="001D0B65"/>
    <w:rsid w:val="001D11EB"/>
    <w:rsid w:val="001D1B6B"/>
    <w:rsid w:val="001D1EC6"/>
    <w:rsid w:val="001D1F2F"/>
    <w:rsid w:val="001D24A1"/>
    <w:rsid w:val="001D24E3"/>
    <w:rsid w:val="001D2554"/>
    <w:rsid w:val="001D26FC"/>
    <w:rsid w:val="001D270B"/>
    <w:rsid w:val="001D299A"/>
    <w:rsid w:val="001D2A28"/>
    <w:rsid w:val="001D2D6A"/>
    <w:rsid w:val="001D3173"/>
    <w:rsid w:val="001D35B8"/>
    <w:rsid w:val="001D3BA8"/>
    <w:rsid w:val="001D3CEB"/>
    <w:rsid w:val="001D4B96"/>
    <w:rsid w:val="001D4CC8"/>
    <w:rsid w:val="001D5638"/>
    <w:rsid w:val="001D5698"/>
    <w:rsid w:val="001D6154"/>
    <w:rsid w:val="001D7BC1"/>
    <w:rsid w:val="001D7E5B"/>
    <w:rsid w:val="001E0582"/>
    <w:rsid w:val="001E0D08"/>
    <w:rsid w:val="001E17A2"/>
    <w:rsid w:val="001E1C18"/>
    <w:rsid w:val="001E249B"/>
    <w:rsid w:val="001E2D33"/>
    <w:rsid w:val="001E2DAC"/>
    <w:rsid w:val="001E2F32"/>
    <w:rsid w:val="001E3307"/>
    <w:rsid w:val="001E3572"/>
    <w:rsid w:val="001E3933"/>
    <w:rsid w:val="001E428B"/>
    <w:rsid w:val="001E4584"/>
    <w:rsid w:val="001E4745"/>
    <w:rsid w:val="001E4747"/>
    <w:rsid w:val="001E4BCE"/>
    <w:rsid w:val="001E4C35"/>
    <w:rsid w:val="001E54B9"/>
    <w:rsid w:val="001E5B24"/>
    <w:rsid w:val="001E6956"/>
    <w:rsid w:val="001E6978"/>
    <w:rsid w:val="001E7613"/>
    <w:rsid w:val="001E7D5A"/>
    <w:rsid w:val="001F02B2"/>
    <w:rsid w:val="001F0332"/>
    <w:rsid w:val="001F0A7F"/>
    <w:rsid w:val="001F12F7"/>
    <w:rsid w:val="001F1356"/>
    <w:rsid w:val="001F198C"/>
    <w:rsid w:val="001F1A6F"/>
    <w:rsid w:val="001F212F"/>
    <w:rsid w:val="001F2781"/>
    <w:rsid w:val="001F2D2D"/>
    <w:rsid w:val="001F32BC"/>
    <w:rsid w:val="001F386C"/>
    <w:rsid w:val="001F40A8"/>
    <w:rsid w:val="001F437C"/>
    <w:rsid w:val="001F4D61"/>
    <w:rsid w:val="001F5277"/>
    <w:rsid w:val="001F5923"/>
    <w:rsid w:val="001F627F"/>
    <w:rsid w:val="001F6AE9"/>
    <w:rsid w:val="001F6B1D"/>
    <w:rsid w:val="001F6C95"/>
    <w:rsid w:val="001F6D9F"/>
    <w:rsid w:val="001F7090"/>
    <w:rsid w:val="001F7173"/>
    <w:rsid w:val="001F771B"/>
    <w:rsid w:val="00200023"/>
    <w:rsid w:val="002007E2"/>
    <w:rsid w:val="0020092B"/>
    <w:rsid w:val="002009B4"/>
    <w:rsid w:val="00200AA8"/>
    <w:rsid w:val="00200D05"/>
    <w:rsid w:val="00200DEF"/>
    <w:rsid w:val="00200E0C"/>
    <w:rsid w:val="00201B66"/>
    <w:rsid w:val="00201F42"/>
    <w:rsid w:val="002020DC"/>
    <w:rsid w:val="002025BB"/>
    <w:rsid w:val="002026A8"/>
    <w:rsid w:val="00203537"/>
    <w:rsid w:val="002038E3"/>
    <w:rsid w:val="002042F1"/>
    <w:rsid w:val="002045FB"/>
    <w:rsid w:val="002048F4"/>
    <w:rsid w:val="002049F3"/>
    <w:rsid w:val="00204C2B"/>
    <w:rsid w:val="00204CF7"/>
    <w:rsid w:val="0020537B"/>
    <w:rsid w:val="002055B2"/>
    <w:rsid w:val="002059ED"/>
    <w:rsid w:val="0020651E"/>
    <w:rsid w:val="00206921"/>
    <w:rsid w:val="0020706B"/>
    <w:rsid w:val="00207220"/>
    <w:rsid w:val="002074FA"/>
    <w:rsid w:val="00207CD2"/>
    <w:rsid w:val="0021005F"/>
    <w:rsid w:val="0021089F"/>
    <w:rsid w:val="00210CBB"/>
    <w:rsid w:val="00210D02"/>
    <w:rsid w:val="00210EBE"/>
    <w:rsid w:val="0021126A"/>
    <w:rsid w:val="00211965"/>
    <w:rsid w:val="00211B71"/>
    <w:rsid w:val="0021231F"/>
    <w:rsid w:val="00212BDE"/>
    <w:rsid w:val="00212C86"/>
    <w:rsid w:val="002137ED"/>
    <w:rsid w:val="00213A81"/>
    <w:rsid w:val="002146B8"/>
    <w:rsid w:val="002156E6"/>
    <w:rsid w:val="00215B44"/>
    <w:rsid w:val="002163FE"/>
    <w:rsid w:val="002169B7"/>
    <w:rsid w:val="00216D23"/>
    <w:rsid w:val="0021758F"/>
    <w:rsid w:val="0021770F"/>
    <w:rsid w:val="00217A73"/>
    <w:rsid w:val="00217BEE"/>
    <w:rsid w:val="002202FE"/>
    <w:rsid w:val="0022080F"/>
    <w:rsid w:val="00221B73"/>
    <w:rsid w:val="0022284E"/>
    <w:rsid w:val="0022365C"/>
    <w:rsid w:val="00223B83"/>
    <w:rsid w:val="0022425C"/>
    <w:rsid w:val="00224384"/>
    <w:rsid w:val="002244D1"/>
    <w:rsid w:val="00224509"/>
    <w:rsid w:val="0022465E"/>
    <w:rsid w:val="00225E3A"/>
    <w:rsid w:val="00226230"/>
    <w:rsid w:val="0022631D"/>
    <w:rsid w:val="00226F26"/>
    <w:rsid w:val="00227F1C"/>
    <w:rsid w:val="002301AE"/>
    <w:rsid w:val="002304F9"/>
    <w:rsid w:val="00230713"/>
    <w:rsid w:val="002307B8"/>
    <w:rsid w:val="00231265"/>
    <w:rsid w:val="0023176E"/>
    <w:rsid w:val="00231A27"/>
    <w:rsid w:val="00232D75"/>
    <w:rsid w:val="00232DA0"/>
    <w:rsid w:val="00232EAF"/>
    <w:rsid w:val="0023356E"/>
    <w:rsid w:val="002338DE"/>
    <w:rsid w:val="0023395F"/>
    <w:rsid w:val="002339ED"/>
    <w:rsid w:val="00233CAE"/>
    <w:rsid w:val="002346EF"/>
    <w:rsid w:val="002347BC"/>
    <w:rsid w:val="002349F5"/>
    <w:rsid w:val="00234C84"/>
    <w:rsid w:val="00234CE7"/>
    <w:rsid w:val="0023511B"/>
    <w:rsid w:val="0023516A"/>
    <w:rsid w:val="002355DE"/>
    <w:rsid w:val="00235A12"/>
    <w:rsid w:val="00236B20"/>
    <w:rsid w:val="00236CD8"/>
    <w:rsid w:val="002374F3"/>
    <w:rsid w:val="00237570"/>
    <w:rsid w:val="002379EF"/>
    <w:rsid w:val="0024006C"/>
    <w:rsid w:val="0024045A"/>
    <w:rsid w:val="00240582"/>
    <w:rsid w:val="002410C7"/>
    <w:rsid w:val="00241306"/>
    <w:rsid w:val="00241D37"/>
    <w:rsid w:val="00241D6C"/>
    <w:rsid w:val="00241D78"/>
    <w:rsid w:val="00242117"/>
    <w:rsid w:val="002439DF"/>
    <w:rsid w:val="00243A0B"/>
    <w:rsid w:val="00243D2C"/>
    <w:rsid w:val="00243DE8"/>
    <w:rsid w:val="00244760"/>
    <w:rsid w:val="0024496F"/>
    <w:rsid w:val="00244B02"/>
    <w:rsid w:val="00244CD1"/>
    <w:rsid w:val="00244EBE"/>
    <w:rsid w:val="00244FB6"/>
    <w:rsid w:val="00245027"/>
    <w:rsid w:val="002456B8"/>
    <w:rsid w:val="002464FE"/>
    <w:rsid w:val="00246EFE"/>
    <w:rsid w:val="00247119"/>
    <w:rsid w:val="002471CB"/>
    <w:rsid w:val="002476A0"/>
    <w:rsid w:val="00247907"/>
    <w:rsid w:val="00247BF5"/>
    <w:rsid w:val="00247CE1"/>
    <w:rsid w:val="00250404"/>
    <w:rsid w:val="002506B6"/>
    <w:rsid w:val="00250E4E"/>
    <w:rsid w:val="00251048"/>
    <w:rsid w:val="002510B9"/>
    <w:rsid w:val="002519E6"/>
    <w:rsid w:val="00252070"/>
    <w:rsid w:val="002525C6"/>
    <w:rsid w:val="002526E9"/>
    <w:rsid w:val="0025299D"/>
    <w:rsid w:val="00253FF1"/>
    <w:rsid w:val="00254A25"/>
    <w:rsid w:val="00254F7C"/>
    <w:rsid w:val="00255482"/>
    <w:rsid w:val="00255904"/>
    <w:rsid w:val="00257149"/>
    <w:rsid w:val="002576F3"/>
    <w:rsid w:val="002577A6"/>
    <w:rsid w:val="0025796E"/>
    <w:rsid w:val="00257B95"/>
    <w:rsid w:val="002602E3"/>
    <w:rsid w:val="00260C8B"/>
    <w:rsid w:val="00260CB4"/>
    <w:rsid w:val="00260EB6"/>
    <w:rsid w:val="002612A3"/>
    <w:rsid w:val="002620C0"/>
    <w:rsid w:val="00262201"/>
    <w:rsid w:val="0026235D"/>
    <w:rsid w:val="002624FE"/>
    <w:rsid w:val="00262870"/>
    <w:rsid w:val="002629E3"/>
    <w:rsid w:val="00262CA8"/>
    <w:rsid w:val="002634E1"/>
    <w:rsid w:val="0026369B"/>
    <w:rsid w:val="00263AA1"/>
    <w:rsid w:val="00263EE6"/>
    <w:rsid w:val="002641BD"/>
    <w:rsid w:val="0026439D"/>
    <w:rsid w:val="00264B73"/>
    <w:rsid w:val="00264CBE"/>
    <w:rsid w:val="00264F54"/>
    <w:rsid w:val="0026503C"/>
    <w:rsid w:val="00265FDD"/>
    <w:rsid w:val="002669B9"/>
    <w:rsid w:val="00266B3B"/>
    <w:rsid w:val="00266FDF"/>
    <w:rsid w:val="00267029"/>
    <w:rsid w:val="002672FE"/>
    <w:rsid w:val="00267E00"/>
    <w:rsid w:val="002707C1"/>
    <w:rsid w:val="00270883"/>
    <w:rsid w:val="00270C3A"/>
    <w:rsid w:val="00271180"/>
    <w:rsid w:val="00271612"/>
    <w:rsid w:val="00271763"/>
    <w:rsid w:val="00271978"/>
    <w:rsid w:val="00271C83"/>
    <w:rsid w:val="0027241E"/>
    <w:rsid w:val="002724FD"/>
    <w:rsid w:val="002727C9"/>
    <w:rsid w:val="00272B3F"/>
    <w:rsid w:val="00272F2F"/>
    <w:rsid w:val="0027509E"/>
    <w:rsid w:val="00275406"/>
    <w:rsid w:val="0027542D"/>
    <w:rsid w:val="00275669"/>
    <w:rsid w:val="00275722"/>
    <w:rsid w:val="00275883"/>
    <w:rsid w:val="00275A2B"/>
    <w:rsid w:val="00275AEB"/>
    <w:rsid w:val="0027623A"/>
    <w:rsid w:val="00276825"/>
    <w:rsid w:val="00276C1D"/>
    <w:rsid w:val="0027710C"/>
    <w:rsid w:val="0027712E"/>
    <w:rsid w:val="002771A4"/>
    <w:rsid w:val="00277648"/>
    <w:rsid w:val="00277C56"/>
    <w:rsid w:val="00280343"/>
    <w:rsid w:val="00280C7D"/>
    <w:rsid w:val="00280E50"/>
    <w:rsid w:val="00281618"/>
    <w:rsid w:val="00281A5D"/>
    <w:rsid w:val="00281C00"/>
    <w:rsid w:val="00281F1C"/>
    <w:rsid w:val="00281F68"/>
    <w:rsid w:val="0028254F"/>
    <w:rsid w:val="00282BB4"/>
    <w:rsid w:val="00282BED"/>
    <w:rsid w:val="00282FE0"/>
    <w:rsid w:val="002833BE"/>
    <w:rsid w:val="00283590"/>
    <w:rsid w:val="00283A77"/>
    <w:rsid w:val="00284395"/>
    <w:rsid w:val="0028499B"/>
    <w:rsid w:val="00284C38"/>
    <w:rsid w:val="0028559A"/>
    <w:rsid w:val="00285C87"/>
    <w:rsid w:val="00285DBC"/>
    <w:rsid w:val="00285DD5"/>
    <w:rsid w:val="00285EB5"/>
    <w:rsid w:val="0028679A"/>
    <w:rsid w:val="00286DD7"/>
    <w:rsid w:val="00290A99"/>
    <w:rsid w:val="00290C75"/>
    <w:rsid w:val="00290EFB"/>
    <w:rsid w:val="0029179A"/>
    <w:rsid w:val="002918E2"/>
    <w:rsid w:val="00291C2D"/>
    <w:rsid w:val="00291D7C"/>
    <w:rsid w:val="00291F83"/>
    <w:rsid w:val="002924A6"/>
    <w:rsid w:val="002926EC"/>
    <w:rsid w:val="00292E7F"/>
    <w:rsid w:val="00292F5A"/>
    <w:rsid w:val="002933EF"/>
    <w:rsid w:val="0029352A"/>
    <w:rsid w:val="00293FAC"/>
    <w:rsid w:val="00294E1B"/>
    <w:rsid w:val="00294FB3"/>
    <w:rsid w:val="002953B5"/>
    <w:rsid w:val="002958DC"/>
    <w:rsid w:val="0029630E"/>
    <w:rsid w:val="00296448"/>
    <w:rsid w:val="00296883"/>
    <w:rsid w:val="00296C42"/>
    <w:rsid w:val="00296CDB"/>
    <w:rsid w:val="002970A8"/>
    <w:rsid w:val="002977B8"/>
    <w:rsid w:val="002979B9"/>
    <w:rsid w:val="00297F7D"/>
    <w:rsid w:val="002A0374"/>
    <w:rsid w:val="002A046C"/>
    <w:rsid w:val="002A0608"/>
    <w:rsid w:val="002A0709"/>
    <w:rsid w:val="002A0A12"/>
    <w:rsid w:val="002A0E28"/>
    <w:rsid w:val="002A0F20"/>
    <w:rsid w:val="002A1C7B"/>
    <w:rsid w:val="002A201B"/>
    <w:rsid w:val="002A203C"/>
    <w:rsid w:val="002A233E"/>
    <w:rsid w:val="002A2A62"/>
    <w:rsid w:val="002A2B64"/>
    <w:rsid w:val="002A303B"/>
    <w:rsid w:val="002A38A0"/>
    <w:rsid w:val="002A38EB"/>
    <w:rsid w:val="002A3A23"/>
    <w:rsid w:val="002A3E77"/>
    <w:rsid w:val="002A42C6"/>
    <w:rsid w:val="002A42FD"/>
    <w:rsid w:val="002A4390"/>
    <w:rsid w:val="002A456D"/>
    <w:rsid w:val="002A47A5"/>
    <w:rsid w:val="002A4B5D"/>
    <w:rsid w:val="002A51A9"/>
    <w:rsid w:val="002A545D"/>
    <w:rsid w:val="002A54DA"/>
    <w:rsid w:val="002A5B7D"/>
    <w:rsid w:val="002A5C84"/>
    <w:rsid w:val="002A5E9A"/>
    <w:rsid w:val="002A67A8"/>
    <w:rsid w:val="002A6ADF"/>
    <w:rsid w:val="002A716C"/>
    <w:rsid w:val="002B0592"/>
    <w:rsid w:val="002B0C15"/>
    <w:rsid w:val="002B0EF3"/>
    <w:rsid w:val="002B10FF"/>
    <w:rsid w:val="002B1926"/>
    <w:rsid w:val="002B20F1"/>
    <w:rsid w:val="002B3A54"/>
    <w:rsid w:val="002B3AC2"/>
    <w:rsid w:val="002B457C"/>
    <w:rsid w:val="002B4810"/>
    <w:rsid w:val="002B4A2D"/>
    <w:rsid w:val="002B4D6F"/>
    <w:rsid w:val="002B507C"/>
    <w:rsid w:val="002B50E2"/>
    <w:rsid w:val="002B53D4"/>
    <w:rsid w:val="002B545C"/>
    <w:rsid w:val="002B577D"/>
    <w:rsid w:val="002B59F8"/>
    <w:rsid w:val="002B5B0C"/>
    <w:rsid w:val="002B5BC2"/>
    <w:rsid w:val="002B61C3"/>
    <w:rsid w:val="002B69CB"/>
    <w:rsid w:val="002B6EAC"/>
    <w:rsid w:val="002B72F9"/>
    <w:rsid w:val="002B76E7"/>
    <w:rsid w:val="002B7752"/>
    <w:rsid w:val="002B7C68"/>
    <w:rsid w:val="002C0A36"/>
    <w:rsid w:val="002C0E1B"/>
    <w:rsid w:val="002C1464"/>
    <w:rsid w:val="002C18AA"/>
    <w:rsid w:val="002C1BFA"/>
    <w:rsid w:val="002C22B2"/>
    <w:rsid w:val="002C26F9"/>
    <w:rsid w:val="002C3EE1"/>
    <w:rsid w:val="002C3FE0"/>
    <w:rsid w:val="002C40EE"/>
    <w:rsid w:val="002C4B85"/>
    <w:rsid w:val="002C4C5E"/>
    <w:rsid w:val="002C51C0"/>
    <w:rsid w:val="002C6C9A"/>
    <w:rsid w:val="002C6E46"/>
    <w:rsid w:val="002C725E"/>
    <w:rsid w:val="002C7ACC"/>
    <w:rsid w:val="002C7C54"/>
    <w:rsid w:val="002C7D52"/>
    <w:rsid w:val="002D0458"/>
    <w:rsid w:val="002D0583"/>
    <w:rsid w:val="002D06BB"/>
    <w:rsid w:val="002D0DA8"/>
    <w:rsid w:val="002D1349"/>
    <w:rsid w:val="002D1A70"/>
    <w:rsid w:val="002D1D77"/>
    <w:rsid w:val="002D2B7C"/>
    <w:rsid w:val="002D2E24"/>
    <w:rsid w:val="002D2E75"/>
    <w:rsid w:val="002D3584"/>
    <w:rsid w:val="002D3E49"/>
    <w:rsid w:val="002D4587"/>
    <w:rsid w:val="002D48B9"/>
    <w:rsid w:val="002D4E9C"/>
    <w:rsid w:val="002D52AD"/>
    <w:rsid w:val="002D5518"/>
    <w:rsid w:val="002D68A2"/>
    <w:rsid w:val="002D6F9A"/>
    <w:rsid w:val="002D70C9"/>
    <w:rsid w:val="002D7116"/>
    <w:rsid w:val="002D7273"/>
    <w:rsid w:val="002D7AC1"/>
    <w:rsid w:val="002D7FB2"/>
    <w:rsid w:val="002E039C"/>
    <w:rsid w:val="002E0DCB"/>
    <w:rsid w:val="002E17DC"/>
    <w:rsid w:val="002E1E40"/>
    <w:rsid w:val="002E2142"/>
    <w:rsid w:val="002E2273"/>
    <w:rsid w:val="002E280F"/>
    <w:rsid w:val="002E290B"/>
    <w:rsid w:val="002E304A"/>
    <w:rsid w:val="002E31C8"/>
    <w:rsid w:val="002E341E"/>
    <w:rsid w:val="002E4191"/>
    <w:rsid w:val="002E424C"/>
    <w:rsid w:val="002E45DF"/>
    <w:rsid w:val="002E4CFF"/>
    <w:rsid w:val="002E4F68"/>
    <w:rsid w:val="002E585F"/>
    <w:rsid w:val="002E5F08"/>
    <w:rsid w:val="002E5F91"/>
    <w:rsid w:val="002E6064"/>
    <w:rsid w:val="002E614C"/>
    <w:rsid w:val="002E63E2"/>
    <w:rsid w:val="002E6724"/>
    <w:rsid w:val="002E6DBA"/>
    <w:rsid w:val="002E6EC3"/>
    <w:rsid w:val="002E7089"/>
    <w:rsid w:val="002E7284"/>
    <w:rsid w:val="002E780F"/>
    <w:rsid w:val="002E7CC8"/>
    <w:rsid w:val="002E7F7A"/>
    <w:rsid w:val="002F01B8"/>
    <w:rsid w:val="002F02BD"/>
    <w:rsid w:val="002F0339"/>
    <w:rsid w:val="002F08B0"/>
    <w:rsid w:val="002F11FE"/>
    <w:rsid w:val="002F17C7"/>
    <w:rsid w:val="002F193A"/>
    <w:rsid w:val="002F1AF4"/>
    <w:rsid w:val="002F2965"/>
    <w:rsid w:val="002F2D4B"/>
    <w:rsid w:val="002F2ED2"/>
    <w:rsid w:val="002F3176"/>
    <w:rsid w:val="002F35FE"/>
    <w:rsid w:val="002F3AE0"/>
    <w:rsid w:val="002F3DD1"/>
    <w:rsid w:val="002F3EAE"/>
    <w:rsid w:val="002F3F31"/>
    <w:rsid w:val="002F45D3"/>
    <w:rsid w:val="002F485D"/>
    <w:rsid w:val="002F4B29"/>
    <w:rsid w:val="002F4C1A"/>
    <w:rsid w:val="002F5005"/>
    <w:rsid w:val="002F5141"/>
    <w:rsid w:val="002F5A0A"/>
    <w:rsid w:val="002F5E26"/>
    <w:rsid w:val="002F61CD"/>
    <w:rsid w:val="002F64B3"/>
    <w:rsid w:val="002F66EF"/>
    <w:rsid w:val="002F68EE"/>
    <w:rsid w:val="002F6E2E"/>
    <w:rsid w:val="002F6F66"/>
    <w:rsid w:val="002F7255"/>
    <w:rsid w:val="002F744B"/>
    <w:rsid w:val="002F74BB"/>
    <w:rsid w:val="002F78C0"/>
    <w:rsid w:val="003002B1"/>
    <w:rsid w:val="00300CD7"/>
    <w:rsid w:val="00300E0F"/>
    <w:rsid w:val="0030166F"/>
    <w:rsid w:val="00301D49"/>
    <w:rsid w:val="0030213D"/>
    <w:rsid w:val="00302494"/>
    <w:rsid w:val="00303162"/>
    <w:rsid w:val="003038D3"/>
    <w:rsid w:val="00303BB0"/>
    <w:rsid w:val="00303C44"/>
    <w:rsid w:val="0030413B"/>
    <w:rsid w:val="003041A4"/>
    <w:rsid w:val="003043A1"/>
    <w:rsid w:val="0030457C"/>
    <w:rsid w:val="00304C08"/>
    <w:rsid w:val="00305006"/>
    <w:rsid w:val="00305248"/>
    <w:rsid w:val="00305787"/>
    <w:rsid w:val="0030587D"/>
    <w:rsid w:val="00305C19"/>
    <w:rsid w:val="003061D2"/>
    <w:rsid w:val="00307B4B"/>
    <w:rsid w:val="00307EBF"/>
    <w:rsid w:val="0031023D"/>
    <w:rsid w:val="00310354"/>
    <w:rsid w:val="003104AF"/>
    <w:rsid w:val="00310925"/>
    <w:rsid w:val="00310A7E"/>
    <w:rsid w:val="00311476"/>
    <w:rsid w:val="00311C8E"/>
    <w:rsid w:val="00311F2E"/>
    <w:rsid w:val="003122A2"/>
    <w:rsid w:val="003129B4"/>
    <w:rsid w:val="003129C7"/>
    <w:rsid w:val="0031319D"/>
    <w:rsid w:val="00313428"/>
    <w:rsid w:val="0031369C"/>
    <w:rsid w:val="00313921"/>
    <w:rsid w:val="00313D9B"/>
    <w:rsid w:val="00314D94"/>
    <w:rsid w:val="00314EF0"/>
    <w:rsid w:val="00314F13"/>
    <w:rsid w:val="0031578D"/>
    <w:rsid w:val="00315E9D"/>
    <w:rsid w:val="003160DE"/>
    <w:rsid w:val="00316C53"/>
    <w:rsid w:val="0031707E"/>
    <w:rsid w:val="0031781D"/>
    <w:rsid w:val="003200A0"/>
    <w:rsid w:val="0032024F"/>
    <w:rsid w:val="0032034F"/>
    <w:rsid w:val="003205FD"/>
    <w:rsid w:val="003208FC"/>
    <w:rsid w:val="003209E0"/>
    <w:rsid w:val="00321190"/>
    <w:rsid w:val="00321830"/>
    <w:rsid w:val="00321961"/>
    <w:rsid w:val="00322803"/>
    <w:rsid w:val="003235BC"/>
    <w:rsid w:val="00323B0A"/>
    <w:rsid w:val="00323D40"/>
    <w:rsid w:val="00324357"/>
    <w:rsid w:val="0032485F"/>
    <w:rsid w:val="003249B0"/>
    <w:rsid w:val="00325307"/>
    <w:rsid w:val="00325B4C"/>
    <w:rsid w:val="003278EA"/>
    <w:rsid w:val="00327924"/>
    <w:rsid w:val="00327B25"/>
    <w:rsid w:val="00330669"/>
    <w:rsid w:val="0033079D"/>
    <w:rsid w:val="003309FF"/>
    <w:rsid w:val="003310B6"/>
    <w:rsid w:val="003318D4"/>
    <w:rsid w:val="00331F4F"/>
    <w:rsid w:val="00331FAD"/>
    <w:rsid w:val="0033204F"/>
    <w:rsid w:val="003327BC"/>
    <w:rsid w:val="003328FD"/>
    <w:rsid w:val="00332988"/>
    <w:rsid w:val="0033347E"/>
    <w:rsid w:val="00333A1E"/>
    <w:rsid w:val="00333A3B"/>
    <w:rsid w:val="00333A4A"/>
    <w:rsid w:val="00333B4B"/>
    <w:rsid w:val="003342DF"/>
    <w:rsid w:val="00334BDD"/>
    <w:rsid w:val="00334CC3"/>
    <w:rsid w:val="00335D64"/>
    <w:rsid w:val="00335E0E"/>
    <w:rsid w:val="00335FB8"/>
    <w:rsid w:val="00335FBB"/>
    <w:rsid w:val="00335FEC"/>
    <w:rsid w:val="00336326"/>
    <w:rsid w:val="00336692"/>
    <w:rsid w:val="0033683F"/>
    <w:rsid w:val="00336BCB"/>
    <w:rsid w:val="00336DC9"/>
    <w:rsid w:val="00336FA9"/>
    <w:rsid w:val="00337CA7"/>
    <w:rsid w:val="00337D00"/>
    <w:rsid w:val="00337EE8"/>
    <w:rsid w:val="00340B52"/>
    <w:rsid w:val="00340C59"/>
    <w:rsid w:val="00341847"/>
    <w:rsid w:val="00341DA4"/>
    <w:rsid w:val="00342243"/>
    <w:rsid w:val="003428DE"/>
    <w:rsid w:val="0034298C"/>
    <w:rsid w:val="00342E7D"/>
    <w:rsid w:val="00343776"/>
    <w:rsid w:val="00343999"/>
    <w:rsid w:val="00343A16"/>
    <w:rsid w:val="00343ABB"/>
    <w:rsid w:val="003443E1"/>
    <w:rsid w:val="00344506"/>
    <w:rsid w:val="00344A66"/>
    <w:rsid w:val="00344AA3"/>
    <w:rsid w:val="00344F81"/>
    <w:rsid w:val="00345288"/>
    <w:rsid w:val="003454FB"/>
    <w:rsid w:val="00345DBA"/>
    <w:rsid w:val="00346615"/>
    <w:rsid w:val="00347CCA"/>
    <w:rsid w:val="00347E96"/>
    <w:rsid w:val="003507A7"/>
    <w:rsid w:val="00350A76"/>
    <w:rsid w:val="00351448"/>
    <w:rsid w:val="003519C7"/>
    <w:rsid w:val="00351A9F"/>
    <w:rsid w:val="0035264B"/>
    <w:rsid w:val="00352D46"/>
    <w:rsid w:val="00352DBB"/>
    <w:rsid w:val="003538BD"/>
    <w:rsid w:val="00353E92"/>
    <w:rsid w:val="00353F48"/>
    <w:rsid w:val="003540E0"/>
    <w:rsid w:val="003544A2"/>
    <w:rsid w:val="00355573"/>
    <w:rsid w:val="00355AE7"/>
    <w:rsid w:val="00356099"/>
    <w:rsid w:val="00356541"/>
    <w:rsid w:val="0035664C"/>
    <w:rsid w:val="003574DA"/>
    <w:rsid w:val="00357704"/>
    <w:rsid w:val="00357788"/>
    <w:rsid w:val="00357AA7"/>
    <w:rsid w:val="00357AB9"/>
    <w:rsid w:val="003604D4"/>
    <w:rsid w:val="00360620"/>
    <w:rsid w:val="00360809"/>
    <w:rsid w:val="0036082B"/>
    <w:rsid w:val="0036103F"/>
    <w:rsid w:val="00361264"/>
    <w:rsid w:val="00361AEA"/>
    <w:rsid w:val="00361F62"/>
    <w:rsid w:val="00362158"/>
    <w:rsid w:val="00362263"/>
    <w:rsid w:val="00362383"/>
    <w:rsid w:val="00363133"/>
    <w:rsid w:val="0036350D"/>
    <w:rsid w:val="00363586"/>
    <w:rsid w:val="0036381A"/>
    <w:rsid w:val="00363C5C"/>
    <w:rsid w:val="0036434B"/>
    <w:rsid w:val="00364E15"/>
    <w:rsid w:val="00365098"/>
    <w:rsid w:val="00365395"/>
    <w:rsid w:val="003653C2"/>
    <w:rsid w:val="0036582A"/>
    <w:rsid w:val="003659A3"/>
    <w:rsid w:val="00365A88"/>
    <w:rsid w:val="00366262"/>
    <w:rsid w:val="0036683A"/>
    <w:rsid w:val="00366B0D"/>
    <w:rsid w:val="0036732D"/>
    <w:rsid w:val="00367FEB"/>
    <w:rsid w:val="00370552"/>
    <w:rsid w:val="00371270"/>
    <w:rsid w:val="003717D9"/>
    <w:rsid w:val="0037191B"/>
    <w:rsid w:val="00371E8C"/>
    <w:rsid w:val="00371FDB"/>
    <w:rsid w:val="00372280"/>
    <w:rsid w:val="003724EE"/>
    <w:rsid w:val="003725C2"/>
    <w:rsid w:val="00372DA0"/>
    <w:rsid w:val="00372F27"/>
    <w:rsid w:val="00372F5A"/>
    <w:rsid w:val="00373550"/>
    <w:rsid w:val="00373658"/>
    <w:rsid w:val="00373751"/>
    <w:rsid w:val="00373EA1"/>
    <w:rsid w:val="00374210"/>
    <w:rsid w:val="003749CF"/>
    <w:rsid w:val="00374E17"/>
    <w:rsid w:val="00374F50"/>
    <w:rsid w:val="003752EA"/>
    <w:rsid w:val="00375597"/>
    <w:rsid w:val="003756C3"/>
    <w:rsid w:val="003758BB"/>
    <w:rsid w:val="00375A5E"/>
    <w:rsid w:val="00375AF5"/>
    <w:rsid w:val="00376058"/>
    <w:rsid w:val="00376BD1"/>
    <w:rsid w:val="0037727D"/>
    <w:rsid w:val="0038034F"/>
    <w:rsid w:val="003804DB"/>
    <w:rsid w:val="00380B2E"/>
    <w:rsid w:val="00381A98"/>
    <w:rsid w:val="00381AB9"/>
    <w:rsid w:val="00381D19"/>
    <w:rsid w:val="00381DE4"/>
    <w:rsid w:val="00382355"/>
    <w:rsid w:val="003824B8"/>
    <w:rsid w:val="00382D52"/>
    <w:rsid w:val="00382FB8"/>
    <w:rsid w:val="003831A5"/>
    <w:rsid w:val="0038337B"/>
    <w:rsid w:val="00383988"/>
    <w:rsid w:val="00383BAD"/>
    <w:rsid w:val="003840A2"/>
    <w:rsid w:val="00384CEB"/>
    <w:rsid w:val="00384E5E"/>
    <w:rsid w:val="00384EC5"/>
    <w:rsid w:val="00385583"/>
    <w:rsid w:val="00386697"/>
    <w:rsid w:val="00386C26"/>
    <w:rsid w:val="00386E0F"/>
    <w:rsid w:val="003871F7"/>
    <w:rsid w:val="00387486"/>
    <w:rsid w:val="00387B4C"/>
    <w:rsid w:val="00387D6C"/>
    <w:rsid w:val="00387E06"/>
    <w:rsid w:val="0039003E"/>
    <w:rsid w:val="0039021F"/>
    <w:rsid w:val="00390705"/>
    <w:rsid w:val="00390A1C"/>
    <w:rsid w:val="00390BDA"/>
    <w:rsid w:val="00390E26"/>
    <w:rsid w:val="00390EEC"/>
    <w:rsid w:val="0039140F"/>
    <w:rsid w:val="0039161E"/>
    <w:rsid w:val="003918F4"/>
    <w:rsid w:val="00391ED2"/>
    <w:rsid w:val="00391FEB"/>
    <w:rsid w:val="003922B0"/>
    <w:rsid w:val="0039268F"/>
    <w:rsid w:val="0039361C"/>
    <w:rsid w:val="00393C67"/>
    <w:rsid w:val="0039408F"/>
    <w:rsid w:val="0039418B"/>
    <w:rsid w:val="00394290"/>
    <w:rsid w:val="003947A5"/>
    <w:rsid w:val="00394D57"/>
    <w:rsid w:val="00395C24"/>
    <w:rsid w:val="00395CC5"/>
    <w:rsid w:val="00395EE2"/>
    <w:rsid w:val="00396D6B"/>
    <w:rsid w:val="00396DE3"/>
    <w:rsid w:val="003974ED"/>
    <w:rsid w:val="00397C50"/>
    <w:rsid w:val="00397C8A"/>
    <w:rsid w:val="00397D39"/>
    <w:rsid w:val="003A04D6"/>
    <w:rsid w:val="003A080A"/>
    <w:rsid w:val="003A199A"/>
    <w:rsid w:val="003A2F0B"/>
    <w:rsid w:val="003A35A4"/>
    <w:rsid w:val="003A35A6"/>
    <w:rsid w:val="003A375C"/>
    <w:rsid w:val="003A3C3D"/>
    <w:rsid w:val="003A427F"/>
    <w:rsid w:val="003A49EB"/>
    <w:rsid w:val="003A4C67"/>
    <w:rsid w:val="003A5721"/>
    <w:rsid w:val="003A596B"/>
    <w:rsid w:val="003A5A6F"/>
    <w:rsid w:val="003A5B54"/>
    <w:rsid w:val="003A5D07"/>
    <w:rsid w:val="003A6841"/>
    <w:rsid w:val="003A6909"/>
    <w:rsid w:val="003A713E"/>
    <w:rsid w:val="003A72B2"/>
    <w:rsid w:val="003B0D1D"/>
    <w:rsid w:val="003B14BD"/>
    <w:rsid w:val="003B16C9"/>
    <w:rsid w:val="003B19DD"/>
    <w:rsid w:val="003B2428"/>
    <w:rsid w:val="003B24C0"/>
    <w:rsid w:val="003B27F0"/>
    <w:rsid w:val="003B2B20"/>
    <w:rsid w:val="003B2C15"/>
    <w:rsid w:val="003B2DB7"/>
    <w:rsid w:val="003B302B"/>
    <w:rsid w:val="003B33DD"/>
    <w:rsid w:val="003B3630"/>
    <w:rsid w:val="003B3730"/>
    <w:rsid w:val="003B3775"/>
    <w:rsid w:val="003B3EC4"/>
    <w:rsid w:val="003B415F"/>
    <w:rsid w:val="003B4252"/>
    <w:rsid w:val="003B4395"/>
    <w:rsid w:val="003B47B1"/>
    <w:rsid w:val="003B4A44"/>
    <w:rsid w:val="003B4AED"/>
    <w:rsid w:val="003B4E58"/>
    <w:rsid w:val="003B5D00"/>
    <w:rsid w:val="003B5F66"/>
    <w:rsid w:val="003B6641"/>
    <w:rsid w:val="003B66C2"/>
    <w:rsid w:val="003B69B3"/>
    <w:rsid w:val="003B6B24"/>
    <w:rsid w:val="003B6CFA"/>
    <w:rsid w:val="003B72C4"/>
    <w:rsid w:val="003B7313"/>
    <w:rsid w:val="003C0BC9"/>
    <w:rsid w:val="003C0C22"/>
    <w:rsid w:val="003C0C2C"/>
    <w:rsid w:val="003C0E20"/>
    <w:rsid w:val="003C1268"/>
    <w:rsid w:val="003C189A"/>
    <w:rsid w:val="003C1950"/>
    <w:rsid w:val="003C199E"/>
    <w:rsid w:val="003C1BBA"/>
    <w:rsid w:val="003C1DC3"/>
    <w:rsid w:val="003C1E75"/>
    <w:rsid w:val="003C278D"/>
    <w:rsid w:val="003C3333"/>
    <w:rsid w:val="003C370E"/>
    <w:rsid w:val="003C38A3"/>
    <w:rsid w:val="003C3925"/>
    <w:rsid w:val="003C3DBF"/>
    <w:rsid w:val="003C46BB"/>
    <w:rsid w:val="003C4847"/>
    <w:rsid w:val="003C4AD3"/>
    <w:rsid w:val="003C4BB9"/>
    <w:rsid w:val="003C4C31"/>
    <w:rsid w:val="003C4DE1"/>
    <w:rsid w:val="003C5774"/>
    <w:rsid w:val="003C60C0"/>
    <w:rsid w:val="003C631A"/>
    <w:rsid w:val="003C6949"/>
    <w:rsid w:val="003C6A92"/>
    <w:rsid w:val="003C6D47"/>
    <w:rsid w:val="003C6DD6"/>
    <w:rsid w:val="003C7317"/>
    <w:rsid w:val="003C7A10"/>
    <w:rsid w:val="003C7FCA"/>
    <w:rsid w:val="003D0018"/>
    <w:rsid w:val="003D0097"/>
    <w:rsid w:val="003D00DF"/>
    <w:rsid w:val="003D0C28"/>
    <w:rsid w:val="003D0DE4"/>
    <w:rsid w:val="003D1705"/>
    <w:rsid w:val="003D1DCA"/>
    <w:rsid w:val="003D21E2"/>
    <w:rsid w:val="003D2564"/>
    <w:rsid w:val="003D2A00"/>
    <w:rsid w:val="003D2AA0"/>
    <w:rsid w:val="003D2CDF"/>
    <w:rsid w:val="003D30F9"/>
    <w:rsid w:val="003D3195"/>
    <w:rsid w:val="003D3317"/>
    <w:rsid w:val="003D3B96"/>
    <w:rsid w:val="003D3C19"/>
    <w:rsid w:val="003D3C8B"/>
    <w:rsid w:val="003D422A"/>
    <w:rsid w:val="003D4B03"/>
    <w:rsid w:val="003D53C4"/>
    <w:rsid w:val="003D54C3"/>
    <w:rsid w:val="003D5661"/>
    <w:rsid w:val="003D5936"/>
    <w:rsid w:val="003D5B03"/>
    <w:rsid w:val="003D5D4C"/>
    <w:rsid w:val="003D6EC7"/>
    <w:rsid w:val="003D719D"/>
    <w:rsid w:val="003D771F"/>
    <w:rsid w:val="003D7EBA"/>
    <w:rsid w:val="003E00FA"/>
    <w:rsid w:val="003E0895"/>
    <w:rsid w:val="003E0C40"/>
    <w:rsid w:val="003E0F13"/>
    <w:rsid w:val="003E1011"/>
    <w:rsid w:val="003E10B9"/>
    <w:rsid w:val="003E22A2"/>
    <w:rsid w:val="003E2AAB"/>
    <w:rsid w:val="003E2BC2"/>
    <w:rsid w:val="003E32B2"/>
    <w:rsid w:val="003E36D0"/>
    <w:rsid w:val="003E3953"/>
    <w:rsid w:val="003E44D0"/>
    <w:rsid w:val="003E47F8"/>
    <w:rsid w:val="003E5798"/>
    <w:rsid w:val="003E5909"/>
    <w:rsid w:val="003E613E"/>
    <w:rsid w:val="003E64F3"/>
    <w:rsid w:val="003E6818"/>
    <w:rsid w:val="003E71C9"/>
    <w:rsid w:val="003E7504"/>
    <w:rsid w:val="003E7664"/>
    <w:rsid w:val="003E7979"/>
    <w:rsid w:val="003E7A03"/>
    <w:rsid w:val="003E7D1A"/>
    <w:rsid w:val="003E7D5A"/>
    <w:rsid w:val="003E7FA5"/>
    <w:rsid w:val="003F0255"/>
    <w:rsid w:val="003F04B8"/>
    <w:rsid w:val="003F0BCE"/>
    <w:rsid w:val="003F0D60"/>
    <w:rsid w:val="003F1E13"/>
    <w:rsid w:val="003F1E88"/>
    <w:rsid w:val="003F23A3"/>
    <w:rsid w:val="003F31B5"/>
    <w:rsid w:val="003F379E"/>
    <w:rsid w:val="003F382C"/>
    <w:rsid w:val="003F3E0E"/>
    <w:rsid w:val="003F3FBB"/>
    <w:rsid w:val="003F410A"/>
    <w:rsid w:val="003F4F19"/>
    <w:rsid w:val="003F52FE"/>
    <w:rsid w:val="003F5960"/>
    <w:rsid w:val="003F626A"/>
    <w:rsid w:val="003F68A9"/>
    <w:rsid w:val="003F6933"/>
    <w:rsid w:val="003F6F3A"/>
    <w:rsid w:val="003F74AC"/>
    <w:rsid w:val="003F7A75"/>
    <w:rsid w:val="003F7B9B"/>
    <w:rsid w:val="003F7DDA"/>
    <w:rsid w:val="0040029F"/>
    <w:rsid w:val="0040039A"/>
    <w:rsid w:val="004006BC"/>
    <w:rsid w:val="00400A08"/>
    <w:rsid w:val="00401468"/>
    <w:rsid w:val="0040162F"/>
    <w:rsid w:val="00401833"/>
    <w:rsid w:val="0040195E"/>
    <w:rsid w:val="00401A79"/>
    <w:rsid w:val="00402144"/>
    <w:rsid w:val="00402570"/>
    <w:rsid w:val="00402B76"/>
    <w:rsid w:val="00402D19"/>
    <w:rsid w:val="004030A5"/>
    <w:rsid w:val="004032DF"/>
    <w:rsid w:val="00403BB0"/>
    <w:rsid w:val="00403CBB"/>
    <w:rsid w:val="00404097"/>
    <w:rsid w:val="00404363"/>
    <w:rsid w:val="00404444"/>
    <w:rsid w:val="00404810"/>
    <w:rsid w:val="004048E3"/>
    <w:rsid w:val="00404BE6"/>
    <w:rsid w:val="00404C34"/>
    <w:rsid w:val="004051EE"/>
    <w:rsid w:val="004052C4"/>
    <w:rsid w:val="004052C6"/>
    <w:rsid w:val="0040599D"/>
    <w:rsid w:val="004059F9"/>
    <w:rsid w:val="00405AAE"/>
    <w:rsid w:val="004061ED"/>
    <w:rsid w:val="00406820"/>
    <w:rsid w:val="00407119"/>
    <w:rsid w:val="00407D31"/>
    <w:rsid w:val="00410240"/>
    <w:rsid w:val="0041048F"/>
    <w:rsid w:val="00410C78"/>
    <w:rsid w:val="00411131"/>
    <w:rsid w:val="004114AA"/>
    <w:rsid w:val="004118EA"/>
    <w:rsid w:val="00411C8F"/>
    <w:rsid w:val="00411FA9"/>
    <w:rsid w:val="004120FA"/>
    <w:rsid w:val="00412142"/>
    <w:rsid w:val="0041224E"/>
    <w:rsid w:val="0041269A"/>
    <w:rsid w:val="00412D40"/>
    <w:rsid w:val="00412DCC"/>
    <w:rsid w:val="004134C9"/>
    <w:rsid w:val="004136C8"/>
    <w:rsid w:val="004138DA"/>
    <w:rsid w:val="00413BA6"/>
    <w:rsid w:val="00413BC4"/>
    <w:rsid w:val="00413FD4"/>
    <w:rsid w:val="00413FFC"/>
    <w:rsid w:val="00414443"/>
    <w:rsid w:val="00414B25"/>
    <w:rsid w:val="00414E79"/>
    <w:rsid w:val="004157D2"/>
    <w:rsid w:val="0041592B"/>
    <w:rsid w:val="004161F0"/>
    <w:rsid w:val="004163F2"/>
    <w:rsid w:val="004167BE"/>
    <w:rsid w:val="00417679"/>
    <w:rsid w:val="00417890"/>
    <w:rsid w:val="00417903"/>
    <w:rsid w:val="00417A01"/>
    <w:rsid w:val="00417C2C"/>
    <w:rsid w:val="00417EA9"/>
    <w:rsid w:val="00420245"/>
    <w:rsid w:val="0042040A"/>
    <w:rsid w:val="0042053E"/>
    <w:rsid w:val="00421163"/>
    <w:rsid w:val="004211E6"/>
    <w:rsid w:val="00421C4F"/>
    <w:rsid w:val="00421E69"/>
    <w:rsid w:val="00422097"/>
    <w:rsid w:val="00422191"/>
    <w:rsid w:val="00422677"/>
    <w:rsid w:val="00422E02"/>
    <w:rsid w:val="00423D07"/>
    <w:rsid w:val="00423DAC"/>
    <w:rsid w:val="00424A4B"/>
    <w:rsid w:val="004258E1"/>
    <w:rsid w:val="00425E64"/>
    <w:rsid w:val="00425ED8"/>
    <w:rsid w:val="00426B9F"/>
    <w:rsid w:val="00426ECB"/>
    <w:rsid w:val="004275DF"/>
    <w:rsid w:val="00427D1F"/>
    <w:rsid w:val="004306DE"/>
    <w:rsid w:val="00430B82"/>
    <w:rsid w:val="00430D4B"/>
    <w:rsid w:val="00430DF7"/>
    <w:rsid w:val="004314FC"/>
    <w:rsid w:val="00431A86"/>
    <w:rsid w:val="00431B29"/>
    <w:rsid w:val="00431C18"/>
    <w:rsid w:val="00431E7A"/>
    <w:rsid w:val="00432192"/>
    <w:rsid w:val="0043233E"/>
    <w:rsid w:val="00432515"/>
    <w:rsid w:val="004326A1"/>
    <w:rsid w:val="00432865"/>
    <w:rsid w:val="00432AD3"/>
    <w:rsid w:val="00432B9D"/>
    <w:rsid w:val="004336E5"/>
    <w:rsid w:val="00433FD0"/>
    <w:rsid w:val="004340D4"/>
    <w:rsid w:val="00434536"/>
    <w:rsid w:val="004349F3"/>
    <w:rsid w:val="00434F34"/>
    <w:rsid w:val="0043500B"/>
    <w:rsid w:val="004355C7"/>
    <w:rsid w:val="004358D9"/>
    <w:rsid w:val="00435EEF"/>
    <w:rsid w:val="00435F53"/>
    <w:rsid w:val="00436047"/>
    <w:rsid w:val="004362B6"/>
    <w:rsid w:val="0043632A"/>
    <w:rsid w:val="004363A2"/>
    <w:rsid w:val="0043661E"/>
    <w:rsid w:val="00436635"/>
    <w:rsid w:val="00436CA8"/>
    <w:rsid w:val="00436F1F"/>
    <w:rsid w:val="004376A1"/>
    <w:rsid w:val="004376BE"/>
    <w:rsid w:val="0043793A"/>
    <w:rsid w:val="004379DB"/>
    <w:rsid w:val="00437B66"/>
    <w:rsid w:val="00437B7A"/>
    <w:rsid w:val="00440511"/>
    <w:rsid w:val="0044060F"/>
    <w:rsid w:val="004408AD"/>
    <w:rsid w:val="00440944"/>
    <w:rsid w:val="0044097E"/>
    <w:rsid w:val="0044180B"/>
    <w:rsid w:val="0044183D"/>
    <w:rsid w:val="004418F2"/>
    <w:rsid w:val="004418F7"/>
    <w:rsid w:val="00441D5C"/>
    <w:rsid w:val="00441E62"/>
    <w:rsid w:val="004420EA"/>
    <w:rsid w:val="004422A9"/>
    <w:rsid w:val="0044269C"/>
    <w:rsid w:val="00442735"/>
    <w:rsid w:val="004429E8"/>
    <w:rsid w:val="00442B9E"/>
    <w:rsid w:val="00442C1C"/>
    <w:rsid w:val="00442DED"/>
    <w:rsid w:val="00443014"/>
    <w:rsid w:val="00443450"/>
    <w:rsid w:val="004436C9"/>
    <w:rsid w:val="0044376F"/>
    <w:rsid w:val="0044396A"/>
    <w:rsid w:val="0044444B"/>
    <w:rsid w:val="004444B3"/>
    <w:rsid w:val="00444576"/>
    <w:rsid w:val="0044463F"/>
    <w:rsid w:val="004448D2"/>
    <w:rsid w:val="00445B94"/>
    <w:rsid w:val="00445C1F"/>
    <w:rsid w:val="00445CAD"/>
    <w:rsid w:val="00445E66"/>
    <w:rsid w:val="00445EFC"/>
    <w:rsid w:val="00446509"/>
    <w:rsid w:val="0044789A"/>
    <w:rsid w:val="00447FE3"/>
    <w:rsid w:val="004505D0"/>
    <w:rsid w:val="0045069B"/>
    <w:rsid w:val="004507E8"/>
    <w:rsid w:val="00450A2B"/>
    <w:rsid w:val="00450C90"/>
    <w:rsid w:val="00451422"/>
    <w:rsid w:val="00451EAC"/>
    <w:rsid w:val="004528E6"/>
    <w:rsid w:val="00452B1F"/>
    <w:rsid w:val="00452B68"/>
    <w:rsid w:val="00452F95"/>
    <w:rsid w:val="0045330D"/>
    <w:rsid w:val="004534BE"/>
    <w:rsid w:val="0045383B"/>
    <w:rsid w:val="00453A6A"/>
    <w:rsid w:val="00453AB0"/>
    <w:rsid w:val="00453C96"/>
    <w:rsid w:val="00453D56"/>
    <w:rsid w:val="00453EB9"/>
    <w:rsid w:val="00454241"/>
    <w:rsid w:val="004549D0"/>
    <w:rsid w:val="004550D6"/>
    <w:rsid w:val="00455842"/>
    <w:rsid w:val="00455A19"/>
    <w:rsid w:val="00456A5C"/>
    <w:rsid w:val="00457531"/>
    <w:rsid w:val="00457711"/>
    <w:rsid w:val="004579A5"/>
    <w:rsid w:val="00457A58"/>
    <w:rsid w:val="0046026B"/>
    <w:rsid w:val="0046026E"/>
    <w:rsid w:val="004606BD"/>
    <w:rsid w:val="00460ADC"/>
    <w:rsid w:val="00460D7A"/>
    <w:rsid w:val="00460E4A"/>
    <w:rsid w:val="00461345"/>
    <w:rsid w:val="00461390"/>
    <w:rsid w:val="004614A8"/>
    <w:rsid w:val="004617A0"/>
    <w:rsid w:val="00461A55"/>
    <w:rsid w:val="004621C9"/>
    <w:rsid w:val="00462B40"/>
    <w:rsid w:val="00462FA0"/>
    <w:rsid w:val="004630AC"/>
    <w:rsid w:val="004637DE"/>
    <w:rsid w:val="004638ED"/>
    <w:rsid w:val="00463BE2"/>
    <w:rsid w:val="00463C97"/>
    <w:rsid w:val="004640FF"/>
    <w:rsid w:val="00464172"/>
    <w:rsid w:val="00464390"/>
    <w:rsid w:val="004647A2"/>
    <w:rsid w:val="00464B7E"/>
    <w:rsid w:val="004653BD"/>
    <w:rsid w:val="00465430"/>
    <w:rsid w:val="00465A67"/>
    <w:rsid w:val="00465ED9"/>
    <w:rsid w:val="00466DB3"/>
    <w:rsid w:val="00467026"/>
    <w:rsid w:val="00467762"/>
    <w:rsid w:val="00467D1C"/>
    <w:rsid w:val="00467ECF"/>
    <w:rsid w:val="004700B1"/>
    <w:rsid w:val="004707F0"/>
    <w:rsid w:val="00470CBC"/>
    <w:rsid w:val="00470EE5"/>
    <w:rsid w:val="0047142C"/>
    <w:rsid w:val="0047188F"/>
    <w:rsid w:val="00471BB8"/>
    <w:rsid w:val="00471FD6"/>
    <w:rsid w:val="00472162"/>
    <w:rsid w:val="0047224A"/>
    <w:rsid w:val="004722D9"/>
    <w:rsid w:val="00472C29"/>
    <w:rsid w:val="00472C7F"/>
    <w:rsid w:val="00473302"/>
    <w:rsid w:val="00473393"/>
    <w:rsid w:val="004735F4"/>
    <w:rsid w:val="004739F9"/>
    <w:rsid w:val="004742FE"/>
    <w:rsid w:val="00474D12"/>
    <w:rsid w:val="00474E61"/>
    <w:rsid w:val="004755C9"/>
    <w:rsid w:val="004755D4"/>
    <w:rsid w:val="00475958"/>
    <w:rsid w:val="004761A7"/>
    <w:rsid w:val="004764C5"/>
    <w:rsid w:val="00476E7B"/>
    <w:rsid w:val="0047727E"/>
    <w:rsid w:val="004774CD"/>
    <w:rsid w:val="00477888"/>
    <w:rsid w:val="004779EC"/>
    <w:rsid w:val="00477AFD"/>
    <w:rsid w:val="004801A7"/>
    <w:rsid w:val="00480290"/>
    <w:rsid w:val="00480417"/>
    <w:rsid w:val="00480B2A"/>
    <w:rsid w:val="00481211"/>
    <w:rsid w:val="00481A34"/>
    <w:rsid w:val="00482141"/>
    <w:rsid w:val="004825C0"/>
    <w:rsid w:val="0048299A"/>
    <w:rsid w:val="004832ED"/>
    <w:rsid w:val="0048330F"/>
    <w:rsid w:val="0048339B"/>
    <w:rsid w:val="00483DD1"/>
    <w:rsid w:val="00484748"/>
    <w:rsid w:val="00484846"/>
    <w:rsid w:val="00484C81"/>
    <w:rsid w:val="00485995"/>
    <w:rsid w:val="00485C0B"/>
    <w:rsid w:val="00486393"/>
    <w:rsid w:val="0048676D"/>
    <w:rsid w:val="00486E49"/>
    <w:rsid w:val="0048751D"/>
    <w:rsid w:val="00487E7A"/>
    <w:rsid w:val="00490032"/>
    <w:rsid w:val="004900E7"/>
    <w:rsid w:val="00490754"/>
    <w:rsid w:val="0049081D"/>
    <w:rsid w:val="00490CE1"/>
    <w:rsid w:val="0049126B"/>
    <w:rsid w:val="004919AD"/>
    <w:rsid w:val="004919DD"/>
    <w:rsid w:val="00491D48"/>
    <w:rsid w:val="004920AC"/>
    <w:rsid w:val="004921F4"/>
    <w:rsid w:val="0049233C"/>
    <w:rsid w:val="004926B4"/>
    <w:rsid w:val="00492A92"/>
    <w:rsid w:val="00492F8A"/>
    <w:rsid w:val="004933C8"/>
    <w:rsid w:val="00493A6C"/>
    <w:rsid w:val="00493A7B"/>
    <w:rsid w:val="00493AC0"/>
    <w:rsid w:val="00493B7E"/>
    <w:rsid w:val="00493D53"/>
    <w:rsid w:val="004943BE"/>
    <w:rsid w:val="00494A58"/>
    <w:rsid w:val="00494AAB"/>
    <w:rsid w:val="00494D7F"/>
    <w:rsid w:val="004968C6"/>
    <w:rsid w:val="004970E3"/>
    <w:rsid w:val="00497681"/>
    <w:rsid w:val="0049797D"/>
    <w:rsid w:val="00497A64"/>
    <w:rsid w:val="00497FD4"/>
    <w:rsid w:val="004A00B9"/>
    <w:rsid w:val="004A0258"/>
    <w:rsid w:val="004A08DF"/>
    <w:rsid w:val="004A0939"/>
    <w:rsid w:val="004A1484"/>
    <w:rsid w:val="004A2024"/>
    <w:rsid w:val="004A2026"/>
    <w:rsid w:val="004A214D"/>
    <w:rsid w:val="004A2450"/>
    <w:rsid w:val="004A2783"/>
    <w:rsid w:val="004A28DC"/>
    <w:rsid w:val="004A2DBF"/>
    <w:rsid w:val="004A2EA6"/>
    <w:rsid w:val="004A33C7"/>
    <w:rsid w:val="004A3509"/>
    <w:rsid w:val="004A359D"/>
    <w:rsid w:val="004A39B9"/>
    <w:rsid w:val="004A3D19"/>
    <w:rsid w:val="004A4189"/>
    <w:rsid w:val="004A51C4"/>
    <w:rsid w:val="004A534C"/>
    <w:rsid w:val="004A53E8"/>
    <w:rsid w:val="004A566C"/>
    <w:rsid w:val="004A585E"/>
    <w:rsid w:val="004A62FC"/>
    <w:rsid w:val="004A6960"/>
    <w:rsid w:val="004A6F35"/>
    <w:rsid w:val="004A7264"/>
    <w:rsid w:val="004A727C"/>
    <w:rsid w:val="004A7529"/>
    <w:rsid w:val="004B072C"/>
    <w:rsid w:val="004B081A"/>
    <w:rsid w:val="004B0AD7"/>
    <w:rsid w:val="004B0E71"/>
    <w:rsid w:val="004B0F76"/>
    <w:rsid w:val="004B16C6"/>
    <w:rsid w:val="004B1B68"/>
    <w:rsid w:val="004B237E"/>
    <w:rsid w:val="004B2417"/>
    <w:rsid w:val="004B27EB"/>
    <w:rsid w:val="004B2A3A"/>
    <w:rsid w:val="004B32D6"/>
    <w:rsid w:val="004B345B"/>
    <w:rsid w:val="004B3A6E"/>
    <w:rsid w:val="004B3CB8"/>
    <w:rsid w:val="004B432B"/>
    <w:rsid w:val="004B44E2"/>
    <w:rsid w:val="004B4F9E"/>
    <w:rsid w:val="004B5546"/>
    <w:rsid w:val="004B579A"/>
    <w:rsid w:val="004B5FEE"/>
    <w:rsid w:val="004B63C9"/>
    <w:rsid w:val="004B65F1"/>
    <w:rsid w:val="004B6791"/>
    <w:rsid w:val="004B67EC"/>
    <w:rsid w:val="004B6C25"/>
    <w:rsid w:val="004B6E1A"/>
    <w:rsid w:val="004B7738"/>
    <w:rsid w:val="004B78C8"/>
    <w:rsid w:val="004B7A45"/>
    <w:rsid w:val="004B7DE5"/>
    <w:rsid w:val="004C00D9"/>
    <w:rsid w:val="004C09EF"/>
    <w:rsid w:val="004C1034"/>
    <w:rsid w:val="004C1094"/>
    <w:rsid w:val="004C1114"/>
    <w:rsid w:val="004C12B2"/>
    <w:rsid w:val="004C1A06"/>
    <w:rsid w:val="004C23B0"/>
    <w:rsid w:val="004C2438"/>
    <w:rsid w:val="004C2863"/>
    <w:rsid w:val="004C30A5"/>
    <w:rsid w:val="004C3338"/>
    <w:rsid w:val="004C3558"/>
    <w:rsid w:val="004C36E3"/>
    <w:rsid w:val="004C403A"/>
    <w:rsid w:val="004C4043"/>
    <w:rsid w:val="004C4095"/>
    <w:rsid w:val="004C5196"/>
    <w:rsid w:val="004C534C"/>
    <w:rsid w:val="004C5626"/>
    <w:rsid w:val="004C5659"/>
    <w:rsid w:val="004C58DB"/>
    <w:rsid w:val="004C5996"/>
    <w:rsid w:val="004C5B06"/>
    <w:rsid w:val="004C5E8C"/>
    <w:rsid w:val="004C6710"/>
    <w:rsid w:val="004C69BB"/>
    <w:rsid w:val="004C6A24"/>
    <w:rsid w:val="004C6CA4"/>
    <w:rsid w:val="004C7911"/>
    <w:rsid w:val="004C7C45"/>
    <w:rsid w:val="004D0137"/>
    <w:rsid w:val="004D0346"/>
    <w:rsid w:val="004D035B"/>
    <w:rsid w:val="004D052A"/>
    <w:rsid w:val="004D0D36"/>
    <w:rsid w:val="004D2181"/>
    <w:rsid w:val="004D241C"/>
    <w:rsid w:val="004D2841"/>
    <w:rsid w:val="004D2CB0"/>
    <w:rsid w:val="004D3861"/>
    <w:rsid w:val="004D3D48"/>
    <w:rsid w:val="004D3FAC"/>
    <w:rsid w:val="004D4019"/>
    <w:rsid w:val="004D4146"/>
    <w:rsid w:val="004D41E3"/>
    <w:rsid w:val="004D42F6"/>
    <w:rsid w:val="004D443B"/>
    <w:rsid w:val="004D44EA"/>
    <w:rsid w:val="004D4627"/>
    <w:rsid w:val="004D49AF"/>
    <w:rsid w:val="004D4C68"/>
    <w:rsid w:val="004D4E66"/>
    <w:rsid w:val="004D4EC5"/>
    <w:rsid w:val="004D4EF8"/>
    <w:rsid w:val="004D4FD3"/>
    <w:rsid w:val="004D50CA"/>
    <w:rsid w:val="004D52D1"/>
    <w:rsid w:val="004D58A0"/>
    <w:rsid w:val="004D58E3"/>
    <w:rsid w:val="004D640B"/>
    <w:rsid w:val="004D6BCD"/>
    <w:rsid w:val="004D6DBE"/>
    <w:rsid w:val="004D6E4C"/>
    <w:rsid w:val="004D72A9"/>
    <w:rsid w:val="004D739D"/>
    <w:rsid w:val="004D74E6"/>
    <w:rsid w:val="004D7F68"/>
    <w:rsid w:val="004E056E"/>
    <w:rsid w:val="004E0BC5"/>
    <w:rsid w:val="004E0CFA"/>
    <w:rsid w:val="004E1048"/>
    <w:rsid w:val="004E126C"/>
    <w:rsid w:val="004E12E8"/>
    <w:rsid w:val="004E12F9"/>
    <w:rsid w:val="004E19A1"/>
    <w:rsid w:val="004E19E0"/>
    <w:rsid w:val="004E24A6"/>
    <w:rsid w:val="004E25DA"/>
    <w:rsid w:val="004E3188"/>
    <w:rsid w:val="004E3204"/>
    <w:rsid w:val="004E4E65"/>
    <w:rsid w:val="004E6953"/>
    <w:rsid w:val="004E69F8"/>
    <w:rsid w:val="004E6E00"/>
    <w:rsid w:val="004E7012"/>
    <w:rsid w:val="004E7591"/>
    <w:rsid w:val="004E7662"/>
    <w:rsid w:val="004E77CB"/>
    <w:rsid w:val="004E7950"/>
    <w:rsid w:val="004E7C08"/>
    <w:rsid w:val="004E7CE1"/>
    <w:rsid w:val="004F016A"/>
    <w:rsid w:val="004F0188"/>
    <w:rsid w:val="004F0254"/>
    <w:rsid w:val="004F0434"/>
    <w:rsid w:val="004F05A4"/>
    <w:rsid w:val="004F0682"/>
    <w:rsid w:val="004F0CE9"/>
    <w:rsid w:val="004F0D32"/>
    <w:rsid w:val="004F0DBC"/>
    <w:rsid w:val="004F1565"/>
    <w:rsid w:val="004F2BC1"/>
    <w:rsid w:val="004F2C5D"/>
    <w:rsid w:val="004F3439"/>
    <w:rsid w:val="004F498C"/>
    <w:rsid w:val="004F4AF7"/>
    <w:rsid w:val="004F610E"/>
    <w:rsid w:val="004F6948"/>
    <w:rsid w:val="004F6CFF"/>
    <w:rsid w:val="004F79FF"/>
    <w:rsid w:val="004F7C4B"/>
    <w:rsid w:val="004F7D69"/>
    <w:rsid w:val="004F7EC2"/>
    <w:rsid w:val="00500235"/>
    <w:rsid w:val="005003F8"/>
    <w:rsid w:val="0050059A"/>
    <w:rsid w:val="00501304"/>
    <w:rsid w:val="00501610"/>
    <w:rsid w:val="005019E8"/>
    <w:rsid w:val="00501DD2"/>
    <w:rsid w:val="005021E9"/>
    <w:rsid w:val="0050235D"/>
    <w:rsid w:val="005023A7"/>
    <w:rsid w:val="005023FB"/>
    <w:rsid w:val="00502473"/>
    <w:rsid w:val="0050291B"/>
    <w:rsid w:val="00502A79"/>
    <w:rsid w:val="00502F47"/>
    <w:rsid w:val="005037D0"/>
    <w:rsid w:val="00503918"/>
    <w:rsid w:val="00503A4A"/>
    <w:rsid w:val="00504637"/>
    <w:rsid w:val="0050471B"/>
    <w:rsid w:val="00504ACD"/>
    <w:rsid w:val="00504B62"/>
    <w:rsid w:val="005052A4"/>
    <w:rsid w:val="00505318"/>
    <w:rsid w:val="0050551C"/>
    <w:rsid w:val="0050552E"/>
    <w:rsid w:val="0050568C"/>
    <w:rsid w:val="00505E86"/>
    <w:rsid w:val="00506A15"/>
    <w:rsid w:val="00506A60"/>
    <w:rsid w:val="00506B6F"/>
    <w:rsid w:val="00506E52"/>
    <w:rsid w:val="00507259"/>
    <w:rsid w:val="0050770B"/>
    <w:rsid w:val="00507E44"/>
    <w:rsid w:val="00507EFE"/>
    <w:rsid w:val="0051077F"/>
    <w:rsid w:val="005109E1"/>
    <w:rsid w:val="00510F37"/>
    <w:rsid w:val="005110DE"/>
    <w:rsid w:val="00511180"/>
    <w:rsid w:val="00511F60"/>
    <w:rsid w:val="00512631"/>
    <w:rsid w:val="00512AC7"/>
    <w:rsid w:val="00512C5A"/>
    <w:rsid w:val="00512ED2"/>
    <w:rsid w:val="00513314"/>
    <w:rsid w:val="00513DF0"/>
    <w:rsid w:val="00513F63"/>
    <w:rsid w:val="00514349"/>
    <w:rsid w:val="0051438E"/>
    <w:rsid w:val="00514700"/>
    <w:rsid w:val="00514786"/>
    <w:rsid w:val="005147F8"/>
    <w:rsid w:val="0051486C"/>
    <w:rsid w:val="00514E94"/>
    <w:rsid w:val="005150E5"/>
    <w:rsid w:val="0051518B"/>
    <w:rsid w:val="005153B6"/>
    <w:rsid w:val="005157E1"/>
    <w:rsid w:val="00515D44"/>
    <w:rsid w:val="00515EFD"/>
    <w:rsid w:val="00516973"/>
    <w:rsid w:val="005172E3"/>
    <w:rsid w:val="00517C75"/>
    <w:rsid w:val="00517DAC"/>
    <w:rsid w:val="00517E1B"/>
    <w:rsid w:val="005206A7"/>
    <w:rsid w:val="005208E3"/>
    <w:rsid w:val="005219A5"/>
    <w:rsid w:val="0052254A"/>
    <w:rsid w:val="0052294F"/>
    <w:rsid w:val="0052299C"/>
    <w:rsid w:val="005232B8"/>
    <w:rsid w:val="005235A1"/>
    <w:rsid w:val="00523612"/>
    <w:rsid w:val="005243F7"/>
    <w:rsid w:val="00525032"/>
    <w:rsid w:val="00525709"/>
    <w:rsid w:val="0052588F"/>
    <w:rsid w:val="00525CE5"/>
    <w:rsid w:val="005262A8"/>
    <w:rsid w:val="00526375"/>
    <w:rsid w:val="00526461"/>
    <w:rsid w:val="00526612"/>
    <w:rsid w:val="00526749"/>
    <w:rsid w:val="0052698F"/>
    <w:rsid w:val="00526A4E"/>
    <w:rsid w:val="00526C0D"/>
    <w:rsid w:val="00526FB3"/>
    <w:rsid w:val="0052721C"/>
    <w:rsid w:val="005276F4"/>
    <w:rsid w:val="00527726"/>
    <w:rsid w:val="00530463"/>
    <w:rsid w:val="00530721"/>
    <w:rsid w:val="005309C4"/>
    <w:rsid w:val="00530C8D"/>
    <w:rsid w:val="0053124E"/>
    <w:rsid w:val="0053165C"/>
    <w:rsid w:val="00531762"/>
    <w:rsid w:val="00531D4A"/>
    <w:rsid w:val="00531F0B"/>
    <w:rsid w:val="005329B5"/>
    <w:rsid w:val="00532FED"/>
    <w:rsid w:val="00533654"/>
    <w:rsid w:val="00533B40"/>
    <w:rsid w:val="00533EF2"/>
    <w:rsid w:val="0053431A"/>
    <w:rsid w:val="00534A50"/>
    <w:rsid w:val="00534DB3"/>
    <w:rsid w:val="00535686"/>
    <w:rsid w:val="00535EF3"/>
    <w:rsid w:val="0053628D"/>
    <w:rsid w:val="00536510"/>
    <w:rsid w:val="00536EDA"/>
    <w:rsid w:val="00537842"/>
    <w:rsid w:val="00537A1A"/>
    <w:rsid w:val="00537A9E"/>
    <w:rsid w:val="00540156"/>
    <w:rsid w:val="005402C0"/>
    <w:rsid w:val="00540D28"/>
    <w:rsid w:val="00540DAA"/>
    <w:rsid w:val="00540EFE"/>
    <w:rsid w:val="005423C6"/>
    <w:rsid w:val="005427C8"/>
    <w:rsid w:val="00542A77"/>
    <w:rsid w:val="00542A9F"/>
    <w:rsid w:val="00543451"/>
    <w:rsid w:val="0054382C"/>
    <w:rsid w:val="005441B4"/>
    <w:rsid w:val="00545BB0"/>
    <w:rsid w:val="0054671F"/>
    <w:rsid w:val="00546D02"/>
    <w:rsid w:val="00547180"/>
    <w:rsid w:val="00547295"/>
    <w:rsid w:val="005472AB"/>
    <w:rsid w:val="005474E7"/>
    <w:rsid w:val="00547542"/>
    <w:rsid w:val="005476C4"/>
    <w:rsid w:val="00547D41"/>
    <w:rsid w:val="0055078E"/>
    <w:rsid w:val="00550AE7"/>
    <w:rsid w:val="00550F48"/>
    <w:rsid w:val="005514DD"/>
    <w:rsid w:val="00551865"/>
    <w:rsid w:val="00551BF5"/>
    <w:rsid w:val="00552024"/>
    <w:rsid w:val="005525A4"/>
    <w:rsid w:val="00552631"/>
    <w:rsid w:val="00553C7A"/>
    <w:rsid w:val="0055409D"/>
    <w:rsid w:val="00554212"/>
    <w:rsid w:val="0055441B"/>
    <w:rsid w:val="00554A21"/>
    <w:rsid w:val="00554B46"/>
    <w:rsid w:val="00554FBE"/>
    <w:rsid w:val="00555EC9"/>
    <w:rsid w:val="0055617A"/>
    <w:rsid w:val="00556C90"/>
    <w:rsid w:val="00556D8C"/>
    <w:rsid w:val="005572BF"/>
    <w:rsid w:val="00557891"/>
    <w:rsid w:val="005578F9"/>
    <w:rsid w:val="00557C19"/>
    <w:rsid w:val="00560279"/>
    <w:rsid w:val="005603BB"/>
    <w:rsid w:val="00560A31"/>
    <w:rsid w:val="00560CEC"/>
    <w:rsid w:val="005612F5"/>
    <w:rsid w:val="00561DBE"/>
    <w:rsid w:val="00562DD8"/>
    <w:rsid w:val="00562EE7"/>
    <w:rsid w:val="00562F9D"/>
    <w:rsid w:val="00563470"/>
    <w:rsid w:val="0056361F"/>
    <w:rsid w:val="005639DF"/>
    <w:rsid w:val="00563B19"/>
    <w:rsid w:val="00563D38"/>
    <w:rsid w:val="00563D76"/>
    <w:rsid w:val="00564083"/>
    <w:rsid w:val="005641FB"/>
    <w:rsid w:val="0056518E"/>
    <w:rsid w:val="00565264"/>
    <w:rsid w:val="00565647"/>
    <w:rsid w:val="00565DF7"/>
    <w:rsid w:val="005661AC"/>
    <w:rsid w:val="00566252"/>
    <w:rsid w:val="00566315"/>
    <w:rsid w:val="00566BBB"/>
    <w:rsid w:val="00566D75"/>
    <w:rsid w:val="00567581"/>
    <w:rsid w:val="00567617"/>
    <w:rsid w:val="00567A7B"/>
    <w:rsid w:val="00567B89"/>
    <w:rsid w:val="00570247"/>
    <w:rsid w:val="00570952"/>
    <w:rsid w:val="00570A47"/>
    <w:rsid w:val="00570FD1"/>
    <w:rsid w:val="005712C6"/>
    <w:rsid w:val="005715B3"/>
    <w:rsid w:val="0057173F"/>
    <w:rsid w:val="00571CB5"/>
    <w:rsid w:val="00572622"/>
    <w:rsid w:val="005727DD"/>
    <w:rsid w:val="00572B79"/>
    <w:rsid w:val="005733B2"/>
    <w:rsid w:val="0057451B"/>
    <w:rsid w:val="00574924"/>
    <w:rsid w:val="00574DD5"/>
    <w:rsid w:val="00574F8B"/>
    <w:rsid w:val="00575273"/>
    <w:rsid w:val="00575405"/>
    <w:rsid w:val="00575E30"/>
    <w:rsid w:val="00575E9E"/>
    <w:rsid w:val="005769C1"/>
    <w:rsid w:val="00576F04"/>
    <w:rsid w:val="0057746C"/>
    <w:rsid w:val="00577484"/>
    <w:rsid w:val="00577AF6"/>
    <w:rsid w:val="00577C5A"/>
    <w:rsid w:val="00577CFA"/>
    <w:rsid w:val="00580974"/>
    <w:rsid w:val="00580ECC"/>
    <w:rsid w:val="00581BBE"/>
    <w:rsid w:val="00581F74"/>
    <w:rsid w:val="005822F4"/>
    <w:rsid w:val="00582ADE"/>
    <w:rsid w:val="00582DEF"/>
    <w:rsid w:val="0058318B"/>
    <w:rsid w:val="0058335B"/>
    <w:rsid w:val="005837A4"/>
    <w:rsid w:val="00583904"/>
    <w:rsid w:val="00583948"/>
    <w:rsid w:val="00583C6E"/>
    <w:rsid w:val="00583D27"/>
    <w:rsid w:val="00583D65"/>
    <w:rsid w:val="005841BD"/>
    <w:rsid w:val="0058422F"/>
    <w:rsid w:val="0058479D"/>
    <w:rsid w:val="00584A0F"/>
    <w:rsid w:val="005850C1"/>
    <w:rsid w:val="00585947"/>
    <w:rsid w:val="00585D59"/>
    <w:rsid w:val="00585EAA"/>
    <w:rsid w:val="00590241"/>
    <w:rsid w:val="00590AC8"/>
    <w:rsid w:val="0059116C"/>
    <w:rsid w:val="005911B8"/>
    <w:rsid w:val="00591D72"/>
    <w:rsid w:val="00593E06"/>
    <w:rsid w:val="005957A4"/>
    <w:rsid w:val="00596E66"/>
    <w:rsid w:val="0059701B"/>
    <w:rsid w:val="005970A6"/>
    <w:rsid w:val="00597F50"/>
    <w:rsid w:val="005A07E3"/>
    <w:rsid w:val="005A09C3"/>
    <w:rsid w:val="005A0F58"/>
    <w:rsid w:val="005A15E2"/>
    <w:rsid w:val="005A16FC"/>
    <w:rsid w:val="005A1EBC"/>
    <w:rsid w:val="005A209E"/>
    <w:rsid w:val="005A2924"/>
    <w:rsid w:val="005A3169"/>
    <w:rsid w:val="005A319E"/>
    <w:rsid w:val="005A3A83"/>
    <w:rsid w:val="005A3B8A"/>
    <w:rsid w:val="005A3F0B"/>
    <w:rsid w:val="005A3F8B"/>
    <w:rsid w:val="005A528C"/>
    <w:rsid w:val="005A53D2"/>
    <w:rsid w:val="005A5832"/>
    <w:rsid w:val="005A59D0"/>
    <w:rsid w:val="005A5B77"/>
    <w:rsid w:val="005A5C22"/>
    <w:rsid w:val="005A5FF0"/>
    <w:rsid w:val="005A63D5"/>
    <w:rsid w:val="005A696B"/>
    <w:rsid w:val="005A6CD4"/>
    <w:rsid w:val="005A6EB5"/>
    <w:rsid w:val="005A7525"/>
    <w:rsid w:val="005A7A0B"/>
    <w:rsid w:val="005A7A6B"/>
    <w:rsid w:val="005A7E7A"/>
    <w:rsid w:val="005B0795"/>
    <w:rsid w:val="005B1143"/>
    <w:rsid w:val="005B2800"/>
    <w:rsid w:val="005B28C4"/>
    <w:rsid w:val="005B2DF9"/>
    <w:rsid w:val="005B3419"/>
    <w:rsid w:val="005B3497"/>
    <w:rsid w:val="005B3526"/>
    <w:rsid w:val="005B3D57"/>
    <w:rsid w:val="005B41B3"/>
    <w:rsid w:val="005B4A2A"/>
    <w:rsid w:val="005B4DA3"/>
    <w:rsid w:val="005B556E"/>
    <w:rsid w:val="005B5803"/>
    <w:rsid w:val="005B5891"/>
    <w:rsid w:val="005B58DF"/>
    <w:rsid w:val="005B6323"/>
    <w:rsid w:val="005B63D0"/>
    <w:rsid w:val="005B656E"/>
    <w:rsid w:val="005B7050"/>
    <w:rsid w:val="005B7218"/>
    <w:rsid w:val="005B73F7"/>
    <w:rsid w:val="005B7858"/>
    <w:rsid w:val="005B7C71"/>
    <w:rsid w:val="005B7D8E"/>
    <w:rsid w:val="005C0624"/>
    <w:rsid w:val="005C06FA"/>
    <w:rsid w:val="005C0D9A"/>
    <w:rsid w:val="005C173E"/>
    <w:rsid w:val="005C1B9C"/>
    <w:rsid w:val="005C2181"/>
    <w:rsid w:val="005C29C5"/>
    <w:rsid w:val="005C35A0"/>
    <w:rsid w:val="005C35AB"/>
    <w:rsid w:val="005C3F9E"/>
    <w:rsid w:val="005C4A7F"/>
    <w:rsid w:val="005C4EBE"/>
    <w:rsid w:val="005C506A"/>
    <w:rsid w:val="005C5099"/>
    <w:rsid w:val="005C50BE"/>
    <w:rsid w:val="005C5161"/>
    <w:rsid w:val="005C54B9"/>
    <w:rsid w:val="005C5576"/>
    <w:rsid w:val="005C559F"/>
    <w:rsid w:val="005C5A01"/>
    <w:rsid w:val="005C5EB6"/>
    <w:rsid w:val="005C5FAF"/>
    <w:rsid w:val="005C6069"/>
    <w:rsid w:val="005C624A"/>
    <w:rsid w:val="005C686B"/>
    <w:rsid w:val="005C6E1E"/>
    <w:rsid w:val="005C6E75"/>
    <w:rsid w:val="005C724A"/>
    <w:rsid w:val="005C783F"/>
    <w:rsid w:val="005C7E87"/>
    <w:rsid w:val="005D0528"/>
    <w:rsid w:val="005D0750"/>
    <w:rsid w:val="005D09ED"/>
    <w:rsid w:val="005D0B42"/>
    <w:rsid w:val="005D14BE"/>
    <w:rsid w:val="005D1508"/>
    <w:rsid w:val="005D164E"/>
    <w:rsid w:val="005D17B1"/>
    <w:rsid w:val="005D1B61"/>
    <w:rsid w:val="005D1E5A"/>
    <w:rsid w:val="005D2424"/>
    <w:rsid w:val="005D2546"/>
    <w:rsid w:val="005D2928"/>
    <w:rsid w:val="005D2C25"/>
    <w:rsid w:val="005D2C99"/>
    <w:rsid w:val="005D311D"/>
    <w:rsid w:val="005D36B1"/>
    <w:rsid w:val="005D36B9"/>
    <w:rsid w:val="005D3AF5"/>
    <w:rsid w:val="005D3EF4"/>
    <w:rsid w:val="005D422E"/>
    <w:rsid w:val="005D4CA2"/>
    <w:rsid w:val="005D58AC"/>
    <w:rsid w:val="005D65E4"/>
    <w:rsid w:val="005D6B52"/>
    <w:rsid w:val="005D70C0"/>
    <w:rsid w:val="005D7740"/>
    <w:rsid w:val="005D7844"/>
    <w:rsid w:val="005D7939"/>
    <w:rsid w:val="005E02D0"/>
    <w:rsid w:val="005E051D"/>
    <w:rsid w:val="005E0D97"/>
    <w:rsid w:val="005E0F9E"/>
    <w:rsid w:val="005E2632"/>
    <w:rsid w:val="005E2A8C"/>
    <w:rsid w:val="005E2CC5"/>
    <w:rsid w:val="005E3065"/>
    <w:rsid w:val="005E322A"/>
    <w:rsid w:val="005E37D6"/>
    <w:rsid w:val="005E4042"/>
    <w:rsid w:val="005E40B4"/>
    <w:rsid w:val="005E4527"/>
    <w:rsid w:val="005E4659"/>
    <w:rsid w:val="005E5AD4"/>
    <w:rsid w:val="005E5E48"/>
    <w:rsid w:val="005E735C"/>
    <w:rsid w:val="005E79EF"/>
    <w:rsid w:val="005F01C0"/>
    <w:rsid w:val="005F03EE"/>
    <w:rsid w:val="005F0686"/>
    <w:rsid w:val="005F093D"/>
    <w:rsid w:val="005F097F"/>
    <w:rsid w:val="005F0E55"/>
    <w:rsid w:val="005F13DB"/>
    <w:rsid w:val="005F226A"/>
    <w:rsid w:val="005F26E8"/>
    <w:rsid w:val="005F279D"/>
    <w:rsid w:val="005F3915"/>
    <w:rsid w:val="005F3DAE"/>
    <w:rsid w:val="005F3F20"/>
    <w:rsid w:val="005F3FEB"/>
    <w:rsid w:val="005F40EF"/>
    <w:rsid w:val="005F4601"/>
    <w:rsid w:val="005F464E"/>
    <w:rsid w:val="005F48F3"/>
    <w:rsid w:val="005F4AA6"/>
    <w:rsid w:val="005F4B76"/>
    <w:rsid w:val="005F514B"/>
    <w:rsid w:val="005F516C"/>
    <w:rsid w:val="005F5C4A"/>
    <w:rsid w:val="005F6468"/>
    <w:rsid w:val="005F65A4"/>
    <w:rsid w:val="005F65BC"/>
    <w:rsid w:val="005F6C4D"/>
    <w:rsid w:val="005F77C2"/>
    <w:rsid w:val="00600646"/>
    <w:rsid w:val="00600728"/>
    <w:rsid w:val="0060079E"/>
    <w:rsid w:val="00600A34"/>
    <w:rsid w:val="00600AEB"/>
    <w:rsid w:val="00601307"/>
    <w:rsid w:val="0060175E"/>
    <w:rsid w:val="006019EF"/>
    <w:rsid w:val="00601A83"/>
    <w:rsid w:val="00601F0F"/>
    <w:rsid w:val="00602D31"/>
    <w:rsid w:val="00602E9B"/>
    <w:rsid w:val="00603257"/>
    <w:rsid w:val="00603B06"/>
    <w:rsid w:val="00604538"/>
    <w:rsid w:val="0060458C"/>
    <w:rsid w:val="0060525A"/>
    <w:rsid w:val="0060619A"/>
    <w:rsid w:val="00606720"/>
    <w:rsid w:val="00606DEB"/>
    <w:rsid w:val="006070D6"/>
    <w:rsid w:val="0060746B"/>
    <w:rsid w:val="006103C2"/>
    <w:rsid w:val="006109AA"/>
    <w:rsid w:val="00610A16"/>
    <w:rsid w:val="00610DAE"/>
    <w:rsid w:val="00610E1E"/>
    <w:rsid w:val="0061113D"/>
    <w:rsid w:val="006114B9"/>
    <w:rsid w:val="00612742"/>
    <w:rsid w:val="0061328B"/>
    <w:rsid w:val="00613587"/>
    <w:rsid w:val="0061381D"/>
    <w:rsid w:val="00613BF7"/>
    <w:rsid w:val="00613FAB"/>
    <w:rsid w:val="0061419F"/>
    <w:rsid w:val="00614619"/>
    <w:rsid w:val="00614865"/>
    <w:rsid w:val="00614B17"/>
    <w:rsid w:val="00614CED"/>
    <w:rsid w:val="00615445"/>
    <w:rsid w:val="00615556"/>
    <w:rsid w:val="006155F1"/>
    <w:rsid w:val="00615A87"/>
    <w:rsid w:val="00615D37"/>
    <w:rsid w:val="006166A1"/>
    <w:rsid w:val="00616B4D"/>
    <w:rsid w:val="006179C4"/>
    <w:rsid w:val="00617EC9"/>
    <w:rsid w:val="006204E2"/>
    <w:rsid w:val="006206C9"/>
    <w:rsid w:val="0062077F"/>
    <w:rsid w:val="00620839"/>
    <w:rsid w:val="00620A79"/>
    <w:rsid w:val="00620B5C"/>
    <w:rsid w:val="00620CC5"/>
    <w:rsid w:val="00620D0D"/>
    <w:rsid w:val="00621031"/>
    <w:rsid w:val="00621BA8"/>
    <w:rsid w:val="00621CB4"/>
    <w:rsid w:val="00621E3F"/>
    <w:rsid w:val="006230E3"/>
    <w:rsid w:val="0062380E"/>
    <w:rsid w:val="006238DA"/>
    <w:rsid w:val="00623AA7"/>
    <w:rsid w:val="006243DC"/>
    <w:rsid w:val="00624FB7"/>
    <w:rsid w:val="00625095"/>
    <w:rsid w:val="0062522F"/>
    <w:rsid w:val="006254F3"/>
    <w:rsid w:val="00625C09"/>
    <w:rsid w:val="00626976"/>
    <w:rsid w:val="00626D9F"/>
    <w:rsid w:val="0062721A"/>
    <w:rsid w:val="0062762A"/>
    <w:rsid w:val="0062793A"/>
    <w:rsid w:val="00627ADA"/>
    <w:rsid w:val="00627DFA"/>
    <w:rsid w:val="00627E79"/>
    <w:rsid w:val="00630DB3"/>
    <w:rsid w:val="00631A2B"/>
    <w:rsid w:val="00632A05"/>
    <w:rsid w:val="00632A9E"/>
    <w:rsid w:val="00632E76"/>
    <w:rsid w:val="00633169"/>
    <w:rsid w:val="0063330E"/>
    <w:rsid w:val="0063338D"/>
    <w:rsid w:val="00633C6E"/>
    <w:rsid w:val="00634110"/>
    <w:rsid w:val="0063412F"/>
    <w:rsid w:val="006344C3"/>
    <w:rsid w:val="0063455B"/>
    <w:rsid w:val="0063485D"/>
    <w:rsid w:val="00634F4B"/>
    <w:rsid w:val="006350AA"/>
    <w:rsid w:val="006350AC"/>
    <w:rsid w:val="006358FA"/>
    <w:rsid w:val="006359B2"/>
    <w:rsid w:val="00635DE8"/>
    <w:rsid w:val="00636166"/>
    <w:rsid w:val="00636AB7"/>
    <w:rsid w:val="006378E5"/>
    <w:rsid w:val="00637E0B"/>
    <w:rsid w:val="00640206"/>
    <w:rsid w:val="0064037A"/>
    <w:rsid w:val="00640470"/>
    <w:rsid w:val="00640ECA"/>
    <w:rsid w:val="006422D2"/>
    <w:rsid w:val="006427FF"/>
    <w:rsid w:val="0064311C"/>
    <w:rsid w:val="00643149"/>
    <w:rsid w:val="006431AC"/>
    <w:rsid w:val="00643778"/>
    <w:rsid w:val="00643CCF"/>
    <w:rsid w:val="00643CD4"/>
    <w:rsid w:val="006440B1"/>
    <w:rsid w:val="0064418F"/>
    <w:rsid w:val="00644B7D"/>
    <w:rsid w:val="006450C3"/>
    <w:rsid w:val="0064516E"/>
    <w:rsid w:val="00645243"/>
    <w:rsid w:val="006452D8"/>
    <w:rsid w:val="0064555C"/>
    <w:rsid w:val="00645D90"/>
    <w:rsid w:val="006460D8"/>
    <w:rsid w:val="00646472"/>
    <w:rsid w:val="0064687E"/>
    <w:rsid w:val="00646BCB"/>
    <w:rsid w:val="00646C65"/>
    <w:rsid w:val="006471C9"/>
    <w:rsid w:val="006475E9"/>
    <w:rsid w:val="00647B32"/>
    <w:rsid w:val="00647B60"/>
    <w:rsid w:val="00650B4A"/>
    <w:rsid w:val="0065176A"/>
    <w:rsid w:val="006521F0"/>
    <w:rsid w:val="00652479"/>
    <w:rsid w:val="00652AF4"/>
    <w:rsid w:val="0065322E"/>
    <w:rsid w:val="006533BE"/>
    <w:rsid w:val="0065352B"/>
    <w:rsid w:val="00653872"/>
    <w:rsid w:val="00653FAC"/>
    <w:rsid w:val="0065459A"/>
    <w:rsid w:val="0065527C"/>
    <w:rsid w:val="00655948"/>
    <w:rsid w:val="00655AFE"/>
    <w:rsid w:val="00655DC5"/>
    <w:rsid w:val="00656094"/>
    <w:rsid w:val="006571C2"/>
    <w:rsid w:val="00657D18"/>
    <w:rsid w:val="00657DAE"/>
    <w:rsid w:val="00657E14"/>
    <w:rsid w:val="00657F47"/>
    <w:rsid w:val="00660048"/>
    <w:rsid w:val="00660B21"/>
    <w:rsid w:val="00660EEA"/>
    <w:rsid w:val="006616DF"/>
    <w:rsid w:val="00661ADA"/>
    <w:rsid w:val="00661B82"/>
    <w:rsid w:val="00661F3D"/>
    <w:rsid w:val="00661FE1"/>
    <w:rsid w:val="006622A5"/>
    <w:rsid w:val="0066271B"/>
    <w:rsid w:val="00662F78"/>
    <w:rsid w:val="00663041"/>
    <w:rsid w:val="006633B4"/>
    <w:rsid w:val="006637B8"/>
    <w:rsid w:val="006637BA"/>
    <w:rsid w:val="006637C2"/>
    <w:rsid w:val="006639F8"/>
    <w:rsid w:val="00663FA5"/>
    <w:rsid w:val="00664516"/>
    <w:rsid w:val="00664744"/>
    <w:rsid w:val="00665103"/>
    <w:rsid w:val="0066532D"/>
    <w:rsid w:val="0066585C"/>
    <w:rsid w:val="0066632F"/>
    <w:rsid w:val="006665E1"/>
    <w:rsid w:val="00666765"/>
    <w:rsid w:val="006667C0"/>
    <w:rsid w:val="00667224"/>
    <w:rsid w:val="0066725E"/>
    <w:rsid w:val="0066731A"/>
    <w:rsid w:val="00667613"/>
    <w:rsid w:val="006679A6"/>
    <w:rsid w:val="00670662"/>
    <w:rsid w:val="00670812"/>
    <w:rsid w:val="00670B50"/>
    <w:rsid w:val="00670D18"/>
    <w:rsid w:val="00671681"/>
    <w:rsid w:val="00671693"/>
    <w:rsid w:val="00671925"/>
    <w:rsid w:val="00671949"/>
    <w:rsid w:val="00671DB7"/>
    <w:rsid w:val="006722CE"/>
    <w:rsid w:val="00672326"/>
    <w:rsid w:val="00672606"/>
    <w:rsid w:val="00672C77"/>
    <w:rsid w:val="00672F2F"/>
    <w:rsid w:val="006732C8"/>
    <w:rsid w:val="006735B4"/>
    <w:rsid w:val="00673CBF"/>
    <w:rsid w:val="00673E75"/>
    <w:rsid w:val="00674003"/>
    <w:rsid w:val="00674269"/>
    <w:rsid w:val="0067501D"/>
    <w:rsid w:val="006756A5"/>
    <w:rsid w:val="00675BCC"/>
    <w:rsid w:val="00675E5A"/>
    <w:rsid w:val="00675F16"/>
    <w:rsid w:val="00676164"/>
    <w:rsid w:val="006767A0"/>
    <w:rsid w:val="006767AE"/>
    <w:rsid w:val="006769EE"/>
    <w:rsid w:val="00676B39"/>
    <w:rsid w:val="006778BE"/>
    <w:rsid w:val="00677C2F"/>
    <w:rsid w:val="00680BA5"/>
    <w:rsid w:val="00680C30"/>
    <w:rsid w:val="00680C86"/>
    <w:rsid w:val="0068125A"/>
    <w:rsid w:val="00681773"/>
    <w:rsid w:val="00681A26"/>
    <w:rsid w:val="00681B4C"/>
    <w:rsid w:val="00681D39"/>
    <w:rsid w:val="00681E45"/>
    <w:rsid w:val="00681E80"/>
    <w:rsid w:val="00682053"/>
    <w:rsid w:val="00682085"/>
    <w:rsid w:val="00682233"/>
    <w:rsid w:val="006825E7"/>
    <w:rsid w:val="00682849"/>
    <w:rsid w:val="00682BCC"/>
    <w:rsid w:val="00682DEF"/>
    <w:rsid w:val="006832A7"/>
    <w:rsid w:val="0068341F"/>
    <w:rsid w:val="00683BE0"/>
    <w:rsid w:val="00683DA8"/>
    <w:rsid w:val="00683DF5"/>
    <w:rsid w:val="00683FD6"/>
    <w:rsid w:val="00685627"/>
    <w:rsid w:val="00685A84"/>
    <w:rsid w:val="00685EA8"/>
    <w:rsid w:val="00685FB6"/>
    <w:rsid w:val="0068712A"/>
    <w:rsid w:val="0068712E"/>
    <w:rsid w:val="006879AA"/>
    <w:rsid w:val="00687A30"/>
    <w:rsid w:val="00687A9B"/>
    <w:rsid w:val="00690E64"/>
    <w:rsid w:val="006915EE"/>
    <w:rsid w:val="0069161A"/>
    <w:rsid w:val="00691AFE"/>
    <w:rsid w:val="00692D2D"/>
    <w:rsid w:val="00693262"/>
    <w:rsid w:val="0069396C"/>
    <w:rsid w:val="00693B3B"/>
    <w:rsid w:val="00693BFC"/>
    <w:rsid w:val="00693C8C"/>
    <w:rsid w:val="00694073"/>
    <w:rsid w:val="00694574"/>
    <w:rsid w:val="0069533F"/>
    <w:rsid w:val="00695720"/>
    <w:rsid w:val="006957C0"/>
    <w:rsid w:val="00695F48"/>
    <w:rsid w:val="00696158"/>
    <w:rsid w:val="00696AF0"/>
    <w:rsid w:val="006972F0"/>
    <w:rsid w:val="00697391"/>
    <w:rsid w:val="0069756F"/>
    <w:rsid w:val="00697BF5"/>
    <w:rsid w:val="006A0096"/>
    <w:rsid w:val="006A066A"/>
    <w:rsid w:val="006A0680"/>
    <w:rsid w:val="006A07AF"/>
    <w:rsid w:val="006A092A"/>
    <w:rsid w:val="006A0BDD"/>
    <w:rsid w:val="006A11E8"/>
    <w:rsid w:val="006A12EE"/>
    <w:rsid w:val="006A1A48"/>
    <w:rsid w:val="006A1D0E"/>
    <w:rsid w:val="006A2386"/>
    <w:rsid w:val="006A240F"/>
    <w:rsid w:val="006A25D8"/>
    <w:rsid w:val="006A296B"/>
    <w:rsid w:val="006A2A91"/>
    <w:rsid w:val="006A2C19"/>
    <w:rsid w:val="006A2F3A"/>
    <w:rsid w:val="006A3483"/>
    <w:rsid w:val="006A37D4"/>
    <w:rsid w:val="006A387E"/>
    <w:rsid w:val="006A3F6B"/>
    <w:rsid w:val="006A4078"/>
    <w:rsid w:val="006A5267"/>
    <w:rsid w:val="006A5790"/>
    <w:rsid w:val="006A5D34"/>
    <w:rsid w:val="006A5DB5"/>
    <w:rsid w:val="006A5E3E"/>
    <w:rsid w:val="006A635C"/>
    <w:rsid w:val="006A63D8"/>
    <w:rsid w:val="006A6553"/>
    <w:rsid w:val="006A6668"/>
    <w:rsid w:val="006A6D57"/>
    <w:rsid w:val="006A6EEA"/>
    <w:rsid w:val="006A6F7F"/>
    <w:rsid w:val="006A7542"/>
    <w:rsid w:val="006A7AFC"/>
    <w:rsid w:val="006B010C"/>
    <w:rsid w:val="006B05A7"/>
    <w:rsid w:val="006B0ABA"/>
    <w:rsid w:val="006B0FA8"/>
    <w:rsid w:val="006B1281"/>
    <w:rsid w:val="006B1401"/>
    <w:rsid w:val="006B144A"/>
    <w:rsid w:val="006B167B"/>
    <w:rsid w:val="006B1688"/>
    <w:rsid w:val="006B1A70"/>
    <w:rsid w:val="006B1A86"/>
    <w:rsid w:val="006B28BF"/>
    <w:rsid w:val="006B28FB"/>
    <w:rsid w:val="006B2B74"/>
    <w:rsid w:val="006B3118"/>
    <w:rsid w:val="006B3A3F"/>
    <w:rsid w:val="006B44AD"/>
    <w:rsid w:val="006B4D30"/>
    <w:rsid w:val="006B52F0"/>
    <w:rsid w:val="006B55A7"/>
    <w:rsid w:val="006B58E0"/>
    <w:rsid w:val="006B599B"/>
    <w:rsid w:val="006B5C04"/>
    <w:rsid w:val="006B63E2"/>
    <w:rsid w:val="006B753A"/>
    <w:rsid w:val="006C03C2"/>
    <w:rsid w:val="006C0999"/>
    <w:rsid w:val="006C11AC"/>
    <w:rsid w:val="006C1529"/>
    <w:rsid w:val="006C160C"/>
    <w:rsid w:val="006C1623"/>
    <w:rsid w:val="006C2DA2"/>
    <w:rsid w:val="006C2E87"/>
    <w:rsid w:val="006C35C0"/>
    <w:rsid w:val="006C3768"/>
    <w:rsid w:val="006C390E"/>
    <w:rsid w:val="006C4079"/>
    <w:rsid w:val="006C479D"/>
    <w:rsid w:val="006C57FE"/>
    <w:rsid w:val="006C58E9"/>
    <w:rsid w:val="006C599D"/>
    <w:rsid w:val="006C5FEF"/>
    <w:rsid w:val="006C6231"/>
    <w:rsid w:val="006C6E30"/>
    <w:rsid w:val="006C72C7"/>
    <w:rsid w:val="006C7627"/>
    <w:rsid w:val="006C76BB"/>
    <w:rsid w:val="006C7760"/>
    <w:rsid w:val="006C7C18"/>
    <w:rsid w:val="006C7F21"/>
    <w:rsid w:val="006D0522"/>
    <w:rsid w:val="006D05C4"/>
    <w:rsid w:val="006D0AD8"/>
    <w:rsid w:val="006D0B83"/>
    <w:rsid w:val="006D1361"/>
    <w:rsid w:val="006D19B4"/>
    <w:rsid w:val="006D1B1C"/>
    <w:rsid w:val="006D21E4"/>
    <w:rsid w:val="006D24C5"/>
    <w:rsid w:val="006D29A2"/>
    <w:rsid w:val="006D2B5B"/>
    <w:rsid w:val="006D2BCF"/>
    <w:rsid w:val="006D389E"/>
    <w:rsid w:val="006D3A10"/>
    <w:rsid w:val="006D3F3C"/>
    <w:rsid w:val="006D4037"/>
    <w:rsid w:val="006D48F8"/>
    <w:rsid w:val="006D4B9A"/>
    <w:rsid w:val="006D4E4D"/>
    <w:rsid w:val="006D52BA"/>
    <w:rsid w:val="006D5842"/>
    <w:rsid w:val="006D5D0F"/>
    <w:rsid w:val="006D5E06"/>
    <w:rsid w:val="006D6610"/>
    <w:rsid w:val="006D67FA"/>
    <w:rsid w:val="006D6F04"/>
    <w:rsid w:val="006D7230"/>
    <w:rsid w:val="006D7583"/>
    <w:rsid w:val="006D76DC"/>
    <w:rsid w:val="006E0113"/>
    <w:rsid w:val="006E01A4"/>
    <w:rsid w:val="006E038E"/>
    <w:rsid w:val="006E0AE4"/>
    <w:rsid w:val="006E0B4E"/>
    <w:rsid w:val="006E12CF"/>
    <w:rsid w:val="006E1373"/>
    <w:rsid w:val="006E18E1"/>
    <w:rsid w:val="006E205A"/>
    <w:rsid w:val="006E210A"/>
    <w:rsid w:val="006E2163"/>
    <w:rsid w:val="006E264D"/>
    <w:rsid w:val="006E28FE"/>
    <w:rsid w:val="006E2925"/>
    <w:rsid w:val="006E2AAA"/>
    <w:rsid w:val="006E2BDC"/>
    <w:rsid w:val="006E2C05"/>
    <w:rsid w:val="006E2F94"/>
    <w:rsid w:val="006E377B"/>
    <w:rsid w:val="006E3D20"/>
    <w:rsid w:val="006E3D34"/>
    <w:rsid w:val="006E4405"/>
    <w:rsid w:val="006E4577"/>
    <w:rsid w:val="006E5492"/>
    <w:rsid w:val="006E5509"/>
    <w:rsid w:val="006E613A"/>
    <w:rsid w:val="006E6208"/>
    <w:rsid w:val="006E6C03"/>
    <w:rsid w:val="006E7CE6"/>
    <w:rsid w:val="006E7E1F"/>
    <w:rsid w:val="006F02BB"/>
    <w:rsid w:val="006F06C4"/>
    <w:rsid w:val="006F08BF"/>
    <w:rsid w:val="006F0ABF"/>
    <w:rsid w:val="006F1495"/>
    <w:rsid w:val="006F16AF"/>
    <w:rsid w:val="006F28BB"/>
    <w:rsid w:val="006F3019"/>
    <w:rsid w:val="006F329C"/>
    <w:rsid w:val="006F3A8B"/>
    <w:rsid w:val="006F3E3D"/>
    <w:rsid w:val="006F406E"/>
    <w:rsid w:val="006F4095"/>
    <w:rsid w:val="006F4500"/>
    <w:rsid w:val="006F4644"/>
    <w:rsid w:val="006F4DC8"/>
    <w:rsid w:val="006F504A"/>
    <w:rsid w:val="006F5687"/>
    <w:rsid w:val="006F5F49"/>
    <w:rsid w:val="006F629C"/>
    <w:rsid w:val="006F6704"/>
    <w:rsid w:val="006F6AE3"/>
    <w:rsid w:val="006F6C6C"/>
    <w:rsid w:val="006F7165"/>
    <w:rsid w:val="006F7634"/>
    <w:rsid w:val="006F7653"/>
    <w:rsid w:val="006F7CDD"/>
    <w:rsid w:val="007000F7"/>
    <w:rsid w:val="007003E4"/>
    <w:rsid w:val="00700614"/>
    <w:rsid w:val="00701411"/>
    <w:rsid w:val="007023E1"/>
    <w:rsid w:val="0070408C"/>
    <w:rsid w:val="007042D1"/>
    <w:rsid w:val="00704A5E"/>
    <w:rsid w:val="00704B94"/>
    <w:rsid w:val="00705192"/>
    <w:rsid w:val="007051E9"/>
    <w:rsid w:val="00705506"/>
    <w:rsid w:val="007076C6"/>
    <w:rsid w:val="007101A4"/>
    <w:rsid w:val="007104A2"/>
    <w:rsid w:val="0071069C"/>
    <w:rsid w:val="00711282"/>
    <w:rsid w:val="00711840"/>
    <w:rsid w:val="0071195B"/>
    <w:rsid w:val="00711A5C"/>
    <w:rsid w:val="00711B3B"/>
    <w:rsid w:val="00711EF0"/>
    <w:rsid w:val="00711F60"/>
    <w:rsid w:val="007128FB"/>
    <w:rsid w:val="00712B79"/>
    <w:rsid w:val="007134FA"/>
    <w:rsid w:val="0071360F"/>
    <w:rsid w:val="00713FF9"/>
    <w:rsid w:val="00714067"/>
    <w:rsid w:val="0071407D"/>
    <w:rsid w:val="00714AA9"/>
    <w:rsid w:val="00714D52"/>
    <w:rsid w:val="00714E72"/>
    <w:rsid w:val="007154E7"/>
    <w:rsid w:val="007159FC"/>
    <w:rsid w:val="00715A2F"/>
    <w:rsid w:val="00715B3E"/>
    <w:rsid w:val="00715E66"/>
    <w:rsid w:val="0071677B"/>
    <w:rsid w:val="00717387"/>
    <w:rsid w:val="00717AB0"/>
    <w:rsid w:val="00717AB2"/>
    <w:rsid w:val="00717B43"/>
    <w:rsid w:val="00717D05"/>
    <w:rsid w:val="00717DE8"/>
    <w:rsid w:val="00717EA1"/>
    <w:rsid w:val="00717EAC"/>
    <w:rsid w:val="007204A7"/>
    <w:rsid w:val="00720A58"/>
    <w:rsid w:val="00720A86"/>
    <w:rsid w:val="00720C36"/>
    <w:rsid w:val="00720E2C"/>
    <w:rsid w:val="0072114D"/>
    <w:rsid w:val="00721910"/>
    <w:rsid w:val="00722D7A"/>
    <w:rsid w:val="00722FC7"/>
    <w:rsid w:val="00723124"/>
    <w:rsid w:val="0072364C"/>
    <w:rsid w:val="007236E8"/>
    <w:rsid w:val="00724307"/>
    <w:rsid w:val="0072438B"/>
    <w:rsid w:val="00724408"/>
    <w:rsid w:val="007249E2"/>
    <w:rsid w:val="00724AD2"/>
    <w:rsid w:val="00724BBF"/>
    <w:rsid w:val="00726037"/>
    <w:rsid w:val="0072688D"/>
    <w:rsid w:val="00726895"/>
    <w:rsid w:val="00726D53"/>
    <w:rsid w:val="0072775A"/>
    <w:rsid w:val="00727810"/>
    <w:rsid w:val="00727A31"/>
    <w:rsid w:val="0073080F"/>
    <w:rsid w:val="00730A1D"/>
    <w:rsid w:val="00730B04"/>
    <w:rsid w:val="00730C5A"/>
    <w:rsid w:val="00730CB7"/>
    <w:rsid w:val="00730CE1"/>
    <w:rsid w:val="007315A1"/>
    <w:rsid w:val="00731F45"/>
    <w:rsid w:val="00732003"/>
    <w:rsid w:val="0073204E"/>
    <w:rsid w:val="007325C7"/>
    <w:rsid w:val="00733211"/>
    <w:rsid w:val="00733935"/>
    <w:rsid w:val="00733D1E"/>
    <w:rsid w:val="00734224"/>
    <w:rsid w:val="00734596"/>
    <w:rsid w:val="00735055"/>
    <w:rsid w:val="0073509B"/>
    <w:rsid w:val="0073597E"/>
    <w:rsid w:val="00735DDA"/>
    <w:rsid w:val="00736D0A"/>
    <w:rsid w:val="00737172"/>
    <w:rsid w:val="007373BD"/>
    <w:rsid w:val="0073783B"/>
    <w:rsid w:val="00737A9E"/>
    <w:rsid w:val="00740685"/>
    <w:rsid w:val="00740706"/>
    <w:rsid w:val="00740A59"/>
    <w:rsid w:val="00740BCB"/>
    <w:rsid w:val="00740D0C"/>
    <w:rsid w:val="00740FEF"/>
    <w:rsid w:val="00741123"/>
    <w:rsid w:val="00741A86"/>
    <w:rsid w:val="00742042"/>
    <w:rsid w:val="00742100"/>
    <w:rsid w:val="007425B1"/>
    <w:rsid w:val="0074278E"/>
    <w:rsid w:val="00742B40"/>
    <w:rsid w:val="00742C07"/>
    <w:rsid w:val="00742D90"/>
    <w:rsid w:val="00743527"/>
    <w:rsid w:val="007440BE"/>
    <w:rsid w:val="007449E1"/>
    <w:rsid w:val="00744D45"/>
    <w:rsid w:val="00745222"/>
    <w:rsid w:val="007452F8"/>
    <w:rsid w:val="007454C4"/>
    <w:rsid w:val="00746597"/>
    <w:rsid w:val="007468DB"/>
    <w:rsid w:val="00746E07"/>
    <w:rsid w:val="00746F98"/>
    <w:rsid w:val="00746F9F"/>
    <w:rsid w:val="007476C5"/>
    <w:rsid w:val="00747958"/>
    <w:rsid w:val="0075062E"/>
    <w:rsid w:val="0075101B"/>
    <w:rsid w:val="007513D5"/>
    <w:rsid w:val="0075145A"/>
    <w:rsid w:val="00751A80"/>
    <w:rsid w:val="00751A8B"/>
    <w:rsid w:val="0075265B"/>
    <w:rsid w:val="00752669"/>
    <w:rsid w:val="00753144"/>
    <w:rsid w:val="00753A7F"/>
    <w:rsid w:val="00753AE0"/>
    <w:rsid w:val="007545A4"/>
    <w:rsid w:val="007546B8"/>
    <w:rsid w:val="00755057"/>
    <w:rsid w:val="0075599B"/>
    <w:rsid w:val="00756120"/>
    <w:rsid w:val="00756D8F"/>
    <w:rsid w:val="00756E46"/>
    <w:rsid w:val="007570A8"/>
    <w:rsid w:val="007574F9"/>
    <w:rsid w:val="00757FBA"/>
    <w:rsid w:val="00760526"/>
    <w:rsid w:val="0076089F"/>
    <w:rsid w:val="007620DE"/>
    <w:rsid w:val="0076257B"/>
    <w:rsid w:val="0076264F"/>
    <w:rsid w:val="00762904"/>
    <w:rsid w:val="00762EFA"/>
    <w:rsid w:val="0076388B"/>
    <w:rsid w:val="00763AAA"/>
    <w:rsid w:val="00763B5F"/>
    <w:rsid w:val="00763F6C"/>
    <w:rsid w:val="00763FD0"/>
    <w:rsid w:val="0076429C"/>
    <w:rsid w:val="00764DB5"/>
    <w:rsid w:val="007656C9"/>
    <w:rsid w:val="007656F6"/>
    <w:rsid w:val="0076574E"/>
    <w:rsid w:val="007657DA"/>
    <w:rsid w:val="00765E34"/>
    <w:rsid w:val="007660E4"/>
    <w:rsid w:val="007662FE"/>
    <w:rsid w:val="00766551"/>
    <w:rsid w:val="0076670F"/>
    <w:rsid w:val="00767C12"/>
    <w:rsid w:val="007701BF"/>
    <w:rsid w:val="0077040C"/>
    <w:rsid w:val="007705D1"/>
    <w:rsid w:val="00771734"/>
    <w:rsid w:val="0077275D"/>
    <w:rsid w:val="007728D3"/>
    <w:rsid w:val="00772DCD"/>
    <w:rsid w:val="00772E1D"/>
    <w:rsid w:val="007730AA"/>
    <w:rsid w:val="0077327B"/>
    <w:rsid w:val="0077345C"/>
    <w:rsid w:val="0077355D"/>
    <w:rsid w:val="00773D5E"/>
    <w:rsid w:val="00773EF8"/>
    <w:rsid w:val="00773F1D"/>
    <w:rsid w:val="00774781"/>
    <w:rsid w:val="007749D1"/>
    <w:rsid w:val="00775330"/>
    <w:rsid w:val="007753E1"/>
    <w:rsid w:val="007762E3"/>
    <w:rsid w:val="007762E5"/>
    <w:rsid w:val="00776560"/>
    <w:rsid w:val="0077672E"/>
    <w:rsid w:val="0077683C"/>
    <w:rsid w:val="00776CD8"/>
    <w:rsid w:val="00776CF0"/>
    <w:rsid w:val="00776D17"/>
    <w:rsid w:val="00777061"/>
    <w:rsid w:val="007771B6"/>
    <w:rsid w:val="00777AB7"/>
    <w:rsid w:val="00780369"/>
    <w:rsid w:val="007805F6"/>
    <w:rsid w:val="0078078C"/>
    <w:rsid w:val="0078139C"/>
    <w:rsid w:val="007814FE"/>
    <w:rsid w:val="0078263C"/>
    <w:rsid w:val="00783594"/>
    <w:rsid w:val="007836B0"/>
    <w:rsid w:val="00783E29"/>
    <w:rsid w:val="00783F5A"/>
    <w:rsid w:val="00784802"/>
    <w:rsid w:val="0078530B"/>
    <w:rsid w:val="00785394"/>
    <w:rsid w:val="00785686"/>
    <w:rsid w:val="00785828"/>
    <w:rsid w:val="00785ABE"/>
    <w:rsid w:val="00785C42"/>
    <w:rsid w:val="00785E93"/>
    <w:rsid w:val="00786462"/>
    <w:rsid w:val="0078695B"/>
    <w:rsid w:val="0078718A"/>
    <w:rsid w:val="00787739"/>
    <w:rsid w:val="00787BD8"/>
    <w:rsid w:val="0079061F"/>
    <w:rsid w:val="00790F21"/>
    <w:rsid w:val="00790F49"/>
    <w:rsid w:val="00790FBA"/>
    <w:rsid w:val="0079172E"/>
    <w:rsid w:val="00791D3F"/>
    <w:rsid w:val="00791E4C"/>
    <w:rsid w:val="00792095"/>
    <w:rsid w:val="007921A2"/>
    <w:rsid w:val="00792590"/>
    <w:rsid w:val="00792EB5"/>
    <w:rsid w:val="00793099"/>
    <w:rsid w:val="007938F6"/>
    <w:rsid w:val="00793D3C"/>
    <w:rsid w:val="00793F7A"/>
    <w:rsid w:val="0079404B"/>
    <w:rsid w:val="007943E3"/>
    <w:rsid w:val="00794AC2"/>
    <w:rsid w:val="00794C65"/>
    <w:rsid w:val="00795205"/>
    <w:rsid w:val="00795525"/>
    <w:rsid w:val="00795714"/>
    <w:rsid w:val="00795737"/>
    <w:rsid w:val="00795AC1"/>
    <w:rsid w:val="00796B16"/>
    <w:rsid w:val="007973F8"/>
    <w:rsid w:val="007A0019"/>
    <w:rsid w:val="007A07A1"/>
    <w:rsid w:val="007A0DCD"/>
    <w:rsid w:val="007A1459"/>
    <w:rsid w:val="007A1E81"/>
    <w:rsid w:val="007A2206"/>
    <w:rsid w:val="007A2576"/>
    <w:rsid w:val="007A3170"/>
    <w:rsid w:val="007A3991"/>
    <w:rsid w:val="007A3B72"/>
    <w:rsid w:val="007A4136"/>
    <w:rsid w:val="007A41DF"/>
    <w:rsid w:val="007A4281"/>
    <w:rsid w:val="007A46BD"/>
    <w:rsid w:val="007A4E24"/>
    <w:rsid w:val="007A4EC3"/>
    <w:rsid w:val="007A5371"/>
    <w:rsid w:val="007A5392"/>
    <w:rsid w:val="007A5C0C"/>
    <w:rsid w:val="007A5F0F"/>
    <w:rsid w:val="007A6021"/>
    <w:rsid w:val="007A64FD"/>
    <w:rsid w:val="007A6688"/>
    <w:rsid w:val="007A68B6"/>
    <w:rsid w:val="007A6CCF"/>
    <w:rsid w:val="007A6D55"/>
    <w:rsid w:val="007A7599"/>
    <w:rsid w:val="007A7E47"/>
    <w:rsid w:val="007B0182"/>
    <w:rsid w:val="007B0235"/>
    <w:rsid w:val="007B0B14"/>
    <w:rsid w:val="007B120D"/>
    <w:rsid w:val="007B1577"/>
    <w:rsid w:val="007B19C8"/>
    <w:rsid w:val="007B222F"/>
    <w:rsid w:val="007B23F2"/>
    <w:rsid w:val="007B2A46"/>
    <w:rsid w:val="007B2ADC"/>
    <w:rsid w:val="007B2B5B"/>
    <w:rsid w:val="007B2CB4"/>
    <w:rsid w:val="007B41DF"/>
    <w:rsid w:val="007B45E0"/>
    <w:rsid w:val="007B45F3"/>
    <w:rsid w:val="007B4B38"/>
    <w:rsid w:val="007B4CC7"/>
    <w:rsid w:val="007B5022"/>
    <w:rsid w:val="007B51B1"/>
    <w:rsid w:val="007B539C"/>
    <w:rsid w:val="007B580D"/>
    <w:rsid w:val="007B581C"/>
    <w:rsid w:val="007B5A07"/>
    <w:rsid w:val="007B5BF4"/>
    <w:rsid w:val="007B61DC"/>
    <w:rsid w:val="007B636A"/>
    <w:rsid w:val="007B6C9A"/>
    <w:rsid w:val="007B70A7"/>
    <w:rsid w:val="007B7942"/>
    <w:rsid w:val="007B7C28"/>
    <w:rsid w:val="007B7C71"/>
    <w:rsid w:val="007C0022"/>
    <w:rsid w:val="007C01B0"/>
    <w:rsid w:val="007C02ED"/>
    <w:rsid w:val="007C063B"/>
    <w:rsid w:val="007C08AC"/>
    <w:rsid w:val="007C0959"/>
    <w:rsid w:val="007C097D"/>
    <w:rsid w:val="007C0C35"/>
    <w:rsid w:val="007C1037"/>
    <w:rsid w:val="007C14F4"/>
    <w:rsid w:val="007C1530"/>
    <w:rsid w:val="007C1B96"/>
    <w:rsid w:val="007C2376"/>
    <w:rsid w:val="007C29D3"/>
    <w:rsid w:val="007C2D2A"/>
    <w:rsid w:val="007C3743"/>
    <w:rsid w:val="007C3751"/>
    <w:rsid w:val="007C3A9C"/>
    <w:rsid w:val="007C42A9"/>
    <w:rsid w:val="007C4574"/>
    <w:rsid w:val="007C48F6"/>
    <w:rsid w:val="007C4D41"/>
    <w:rsid w:val="007C4DA8"/>
    <w:rsid w:val="007C4E2F"/>
    <w:rsid w:val="007C51C0"/>
    <w:rsid w:val="007C52D9"/>
    <w:rsid w:val="007C53D8"/>
    <w:rsid w:val="007C58A5"/>
    <w:rsid w:val="007C5BDD"/>
    <w:rsid w:val="007C5F65"/>
    <w:rsid w:val="007C60A9"/>
    <w:rsid w:val="007C6268"/>
    <w:rsid w:val="007C650D"/>
    <w:rsid w:val="007C65A5"/>
    <w:rsid w:val="007C6A2A"/>
    <w:rsid w:val="007C6CB5"/>
    <w:rsid w:val="007C6E53"/>
    <w:rsid w:val="007C70C7"/>
    <w:rsid w:val="007C7D19"/>
    <w:rsid w:val="007C7EB2"/>
    <w:rsid w:val="007C7FD0"/>
    <w:rsid w:val="007D0F12"/>
    <w:rsid w:val="007D11AF"/>
    <w:rsid w:val="007D1591"/>
    <w:rsid w:val="007D163B"/>
    <w:rsid w:val="007D16E6"/>
    <w:rsid w:val="007D1801"/>
    <w:rsid w:val="007D1B9F"/>
    <w:rsid w:val="007D1ED6"/>
    <w:rsid w:val="007D2196"/>
    <w:rsid w:val="007D2ACE"/>
    <w:rsid w:val="007D2D79"/>
    <w:rsid w:val="007D3C0A"/>
    <w:rsid w:val="007D49B4"/>
    <w:rsid w:val="007D511F"/>
    <w:rsid w:val="007D54AB"/>
    <w:rsid w:val="007D55FB"/>
    <w:rsid w:val="007D596C"/>
    <w:rsid w:val="007D5EAE"/>
    <w:rsid w:val="007D61EB"/>
    <w:rsid w:val="007D6BB5"/>
    <w:rsid w:val="007D7248"/>
    <w:rsid w:val="007D7298"/>
    <w:rsid w:val="007D7966"/>
    <w:rsid w:val="007E0441"/>
    <w:rsid w:val="007E047B"/>
    <w:rsid w:val="007E0866"/>
    <w:rsid w:val="007E0A41"/>
    <w:rsid w:val="007E1361"/>
    <w:rsid w:val="007E1821"/>
    <w:rsid w:val="007E18DB"/>
    <w:rsid w:val="007E1AA5"/>
    <w:rsid w:val="007E1DA8"/>
    <w:rsid w:val="007E258D"/>
    <w:rsid w:val="007E26CB"/>
    <w:rsid w:val="007E2B43"/>
    <w:rsid w:val="007E34AD"/>
    <w:rsid w:val="007E3549"/>
    <w:rsid w:val="007E3C6E"/>
    <w:rsid w:val="007E3E4E"/>
    <w:rsid w:val="007E430F"/>
    <w:rsid w:val="007E4719"/>
    <w:rsid w:val="007E474B"/>
    <w:rsid w:val="007E4800"/>
    <w:rsid w:val="007E4A53"/>
    <w:rsid w:val="007E4C6D"/>
    <w:rsid w:val="007E4E83"/>
    <w:rsid w:val="007E51A4"/>
    <w:rsid w:val="007E61D3"/>
    <w:rsid w:val="007E6284"/>
    <w:rsid w:val="007E680E"/>
    <w:rsid w:val="007E6D3A"/>
    <w:rsid w:val="007E6DD0"/>
    <w:rsid w:val="007E742D"/>
    <w:rsid w:val="007E790B"/>
    <w:rsid w:val="007E7951"/>
    <w:rsid w:val="007F0683"/>
    <w:rsid w:val="007F13D5"/>
    <w:rsid w:val="007F1942"/>
    <w:rsid w:val="007F1A4A"/>
    <w:rsid w:val="007F1AEE"/>
    <w:rsid w:val="007F21D5"/>
    <w:rsid w:val="007F2ED2"/>
    <w:rsid w:val="007F31AF"/>
    <w:rsid w:val="007F4243"/>
    <w:rsid w:val="007F43DB"/>
    <w:rsid w:val="007F48F3"/>
    <w:rsid w:val="007F4DBC"/>
    <w:rsid w:val="007F5120"/>
    <w:rsid w:val="007F51C7"/>
    <w:rsid w:val="007F564E"/>
    <w:rsid w:val="007F6227"/>
    <w:rsid w:val="007F6A4C"/>
    <w:rsid w:val="007F6B6E"/>
    <w:rsid w:val="007F776B"/>
    <w:rsid w:val="007F7C44"/>
    <w:rsid w:val="007F7CEB"/>
    <w:rsid w:val="0080082C"/>
    <w:rsid w:val="00800940"/>
    <w:rsid w:val="00800C86"/>
    <w:rsid w:val="0080106A"/>
    <w:rsid w:val="00801AC1"/>
    <w:rsid w:val="00801F9D"/>
    <w:rsid w:val="00802285"/>
    <w:rsid w:val="0080249D"/>
    <w:rsid w:val="008024DE"/>
    <w:rsid w:val="00802B1C"/>
    <w:rsid w:val="00802FB1"/>
    <w:rsid w:val="008035AD"/>
    <w:rsid w:val="00803E36"/>
    <w:rsid w:val="00804794"/>
    <w:rsid w:val="0080498D"/>
    <w:rsid w:val="00804B35"/>
    <w:rsid w:val="00804BEB"/>
    <w:rsid w:val="0080500E"/>
    <w:rsid w:val="00805E5C"/>
    <w:rsid w:val="00805FF2"/>
    <w:rsid w:val="0080619A"/>
    <w:rsid w:val="008071C6"/>
    <w:rsid w:val="00807C06"/>
    <w:rsid w:val="00807C5C"/>
    <w:rsid w:val="0081028B"/>
    <w:rsid w:val="008109F9"/>
    <w:rsid w:val="0081133C"/>
    <w:rsid w:val="0081142F"/>
    <w:rsid w:val="008114DD"/>
    <w:rsid w:val="00811B8D"/>
    <w:rsid w:val="00812173"/>
    <w:rsid w:val="008121B5"/>
    <w:rsid w:val="0081237B"/>
    <w:rsid w:val="008127CF"/>
    <w:rsid w:val="008127F0"/>
    <w:rsid w:val="00812809"/>
    <w:rsid w:val="0081296F"/>
    <w:rsid w:val="00813328"/>
    <w:rsid w:val="00813A99"/>
    <w:rsid w:val="00813C80"/>
    <w:rsid w:val="00813F88"/>
    <w:rsid w:val="00813FE7"/>
    <w:rsid w:val="00814564"/>
    <w:rsid w:val="008146A8"/>
    <w:rsid w:val="00814C55"/>
    <w:rsid w:val="00814DC3"/>
    <w:rsid w:val="008150A1"/>
    <w:rsid w:val="008152DD"/>
    <w:rsid w:val="008153EA"/>
    <w:rsid w:val="008156B6"/>
    <w:rsid w:val="00815858"/>
    <w:rsid w:val="00816DAF"/>
    <w:rsid w:val="00817472"/>
    <w:rsid w:val="00817CE6"/>
    <w:rsid w:val="008203EE"/>
    <w:rsid w:val="00820FBE"/>
    <w:rsid w:val="00821455"/>
    <w:rsid w:val="00821BC6"/>
    <w:rsid w:val="00822075"/>
    <w:rsid w:val="0082274E"/>
    <w:rsid w:val="00823002"/>
    <w:rsid w:val="008239DE"/>
    <w:rsid w:val="00823AD6"/>
    <w:rsid w:val="00823D17"/>
    <w:rsid w:val="00823DD2"/>
    <w:rsid w:val="00824525"/>
    <w:rsid w:val="008248A6"/>
    <w:rsid w:val="00824A8D"/>
    <w:rsid w:val="00824F16"/>
    <w:rsid w:val="00825371"/>
    <w:rsid w:val="008256F5"/>
    <w:rsid w:val="008258C8"/>
    <w:rsid w:val="00825DCB"/>
    <w:rsid w:val="00826134"/>
    <w:rsid w:val="00826563"/>
    <w:rsid w:val="00826A39"/>
    <w:rsid w:val="00826CF4"/>
    <w:rsid w:val="00827355"/>
    <w:rsid w:val="0082786F"/>
    <w:rsid w:val="00827BF2"/>
    <w:rsid w:val="008300B3"/>
    <w:rsid w:val="00830614"/>
    <w:rsid w:val="00830814"/>
    <w:rsid w:val="00830AF7"/>
    <w:rsid w:val="0083141D"/>
    <w:rsid w:val="008322BF"/>
    <w:rsid w:val="00832373"/>
    <w:rsid w:val="00832409"/>
    <w:rsid w:val="00832819"/>
    <w:rsid w:val="00832856"/>
    <w:rsid w:val="00832A79"/>
    <w:rsid w:val="00832F28"/>
    <w:rsid w:val="0083330F"/>
    <w:rsid w:val="008335F7"/>
    <w:rsid w:val="00833919"/>
    <w:rsid w:val="00833A5A"/>
    <w:rsid w:val="00833B06"/>
    <w:rsid w:val="00833D74"/>
    <w:rsid w:val="008341AC"/>
    <w:rsid w:val="00834823"/>
    <w:rsid w:val="00834A9C"/>
    <w:rsid w:val="00834C4A"/>
    <w:rsid w:val="00835200"/>
    <w:rsid w:val="00835569"/>
    <w:rsid w:val="00835653"/>
    <w:rsid w:val="00835F50"/>
    <w:rsid w:val="00836530"/>
    <w:rsid w:val="00836619"/>
    <w:rsid w:val="008368EB"/>
    <w:rsid w:val="00836A58"/>
    <w:rsid w:val="00836B0B"/>
    <w:rsid w:val="00836C0B"/>
    <w:rsid w:val="00837650"/>
    <w:rsid w:val="008378CA"/>
    <w:rsid w:val="0084046F"/>
    <w:rsid w:val="00840543"/>
    <w:rsid w:val="008408B0"/>
    <w:rsid w:val="00840AE8"/>
    <w:rsid w:val="00840BB3"/>
    <w:rsid w:val="00840BEC"/>
    <w:rsid w:val="008411F9"/>
    <w:rsid w:val="008414EE"/>
    <w:rsid w:val="008417C0"/>
    <w:rsid w:val="008418CD"/>
    <w:rsid w:val="00841A02"/>
    <w:rsid w:val="00841CB0"/>
    <w:rsid w:val="008423A3"/>
    <w:rsid w:val="00842511"/>
    <w:rsid w:val="00842607"/>
    <w:rsid w:val="00842772"/>
    <w:rsid w:val="00842A26"/>
    <w:rsid w:val="00842D01"/>
    <w:rsid w:val="00842DD9"/>
    <w:rsid w:val="0084358D"/>
    <w:rsid w:val="00843ADF"/>
    <w:rsid w:val="00843EB9"/>
    <w:rsid w:val="00844D80"/>
    <w:rsid w:val="0084568C"/>
    <w:rsid w:val="00845960"/>
    <w:rsid w:val="00845A09"/>
    <w:rsid w:val="00845FD8"/>
    <w:rsid w:val="0084619E"/>
    <w:rsid w:val="0084681D"/>
    <w:rsid w:val="00846A30"/>
    <w:rsid w:val="00846F8E"/>
    <w:rsid w:val="00847165"/>
    <w:rsid w:val="0084731A"/>
    <w:rsid w:val="0084738C"/>
    <w:rsid w:val="00847AC9"/>
    <w:rsid w:val="00847BA2"/>
    <w:rsid w:val="00847CDC"/>
    <w:rsid w:val="00847E66"/>
    <w:rsid w:val="00847EE3"/>
    <w:rsid w:val="008512B6"/>
    <w:rsid w:val="008527E7"/>
    <w:rsid w:val="008535A3"/>
    <w:rsid w:val="008537AB"/>
    <w:rsid w:val="00853C56"/>
    <w:rsid w:val="0085469B"/>
    <w:rsid w:val="00854DDE"/>
    <w:rsid w:val="00855195"/>
    <w:rsid w:val="00855247"/>
    <w:rsid w:val="0085621A"/>
    <w:rsid w:val="008563A7"/>
    <w:rsid w:val="008564FF"/>
    <w:rsid w:val="008565BD"/>
    <w:rsid w:val="00856CC6"/>
    <w:rsid w:val="00857ED6"/>
    <w:rsid w:val="008604C4"/>
    <w:rsid w:val="008608D1"/>
    <w:rsid w:val="00860C3D"/>
    <w:rsid w:val="00860FEA"/>
    <w:rsid w:val="008619A2"/>
    <w:rsid w:val="008619B9"/>
    <w:rsid w:val="00861C57"/>
    <w:rsid w:val="00861CA3"/>
    <w:rsid w:val="008624F6"/>
    <w:rsid w:val="00862FDF"/>
    <w:rsid w:val="008632BD"/>
    <w:rsid w:val="0086339F"/>
    <w:rsid w:val="008639D7"/>
    <w:rsid w:val="008643A3"/>
    <w:rsid w:val="0086441C"/>
    <w:rsid w:val="008645FC"/>
    <w:rsid w:val="00864681"/>
    <w:rsid w:val="008651ED"/>
    <w:rsid w:val="0086545B"/>
    <w:rsid w:val="00865714"/>
    <w:rsid w:val="00865BCD"/>
    <w:rsid w:val="00865D5C"/>
    <w:rsid w:val="008661B8"/>
    <w:rsid w:val="0086698B"/>
    <w:rsid w:val="00866D47"/>
    <w:rsid w:val="00866D50"/>
    <w:rsid w:val="00866F8F"/>
    <w:rsid w:val="008672B7"/>
    <w:rsid w:val="00870AA1"/>
    <w:rsid w:val="0087134D"/>
    <w:rsid w:val="00871FE2"/>
    <w:rsid w:val="00872014"/>
    <w:rsid w:val="0087270A"/>
    <w:rsid w:val="0087273A"/>
    <w:rsid w:val="00873CC8"/>
    <w:rsid w:val="00873DB2"/>
    <w:rsid w:val="00875831"/>
    <w:rsid w:val="00875D10"/>
    <w:rsid w:val="0087609C"/>
    <w:rsid w:val="008760D2"/>
    <w:rsid w:val="00876979"/>
    <w:rsid w:val="008778FC"/>
    <w:rsid w:val="00880392"/>
    <w:rsid w:val="0088088B"/>
    <w:rsid w:val="00880EC4"/>
    <w:rsid w:val="00881527"/>
    <w:rsid w:val="00881647"/>
    <w:rsid w:val="00881C5B"/>
    <w:rsid w:val="0088232E"/>
    <w:rsid w:val="00882881"/>
    <w:rsid w:val="00882A67"/>
    <w:rsid w:val="00883A33"/>
    <w:rsid w:val="00883CD9"/>
    <w:rsid w:val="00883E93"/>
    <w:rsid w:val="00884385"/>
    <w:rsid w:val="0088445B"/>
    <w:rsid w:val="00884B98"/>
    <w:rsid w:val="00884D97"/>
    <w:rsid w:val="00885240"/>
    <w:rsid w:val="00885973"/>
    <w:rsid w:val="00885B84"/>
    <w:rsid w:val="00886106"/>
    <w:rsid w:val="008873EE"/>
    <w:rsid w:val="00887C7A"/>
    <w:rsid w:val="00887FCA"/>
    <w:rsid w:val="00890221"/>
    <w:rsid w:val="00890388"/>
    <w:rsid w:val="00890730"/>
    <w:rsid w:val="00891392"/>
    <w:rsid w:val="008915C6"/>
    <w:rsid w:val="00891833"/>
    <w:rsid w:val="00891B2F"/>
    <w:rsid w:val="00891EF3"/>
    <w:rsid w:val="008922B1"/>
    <w:rsid w:val="0089267E"/>
    <w:rsid w:val="00892AE2"/>
    <w:rsid w:val="00892B40"/>
    <w:rsid w:val="0089348C"/>
    <w:rsid w:val="0089475A"/>
    <w:rsid w:val="00894AB7"/>
    <w:rsid w:val="00894B93"/>
    <w:rsid w:val="00894C62"/>
    <w:rsid w:val="00894D5F"/>
    <w:rsid w:val="008950EE"/>
    <w:rsid w:val="0089541F"/>
    <w:rsid w:val="0089578D"/>
    <w:rsid w:val="008959B9"/>
    <w:rsid w:val="00895B5E"/>
    <w:rsid w:val="008964EE"/>
    <w:rsid w:val="0089656A"/>
    <w:rsid w:val="00896B5B"/>
    <w:rsid w:val="0089754F"/>
    <w:rsid w:val="008A0341"/>
    <w:rsid w:val="008A06B1"/>
    <w:rsid w:val="008A07C4"/>
    <w:rsid w:val="008A0DF3"/>
    <w:rsid w:val="008A0E09"/>
    <w:rsid w:val="008A1339"/>
    <w:rsid w:val="008A1520"/>
    <w:rsid w:val="008A211B"/>
    <w:rsid w:val="008A21AF"/>
    <w:rsid w:val="008A23F0"/>
    <w:rsid w:val="008A2988"/>
    <w:rsid w:val="008A2AE7"/>
    <w:rsid w:val="008A2E2C"/>
    <w:rsid w:val="008A2FF2"/>
    <w:rsid w:val="008A37BD"/>
    <w:rsid w:val="008A3E66"/>
    <w:rsid w:val="008A40E7"/>
    <w:rsid w:val="008A4438"/>
    <w:rsid w:val="008A462F"/>
    <w:rsid w:val="008A5267"/>
    <w:rsid w:val="008A5268"/>
    <w:rsid w:val="008A5A95"/>
    <w:rsid w:val="008A5B38"/>
    <w:rsid w:val="008A6057"/>
    <w:rsid w:val="008A7228"/>
    <w:rsid w:val="008A7549"/>
    <w:rsid w:val="008A7648"/>
    <w:rsid w:val="008A76EA"/>
    <w:rsid w:val="008A77D6"/>
    <w:rsid w:val="008A7B29"/>
    <w:rsid w:val="008A7CBB"/>
    <w:rsid w:val="008A7D45"/>
    <w:rsid w:val="008B0A2F"/>
    <w:rsid w:val="008B10CB"/>
    <w:rsid w:val="008B1219"/>
    <w:rsid w:val="008B127E"/>
    <w:rsid w:val="008B1D49"/>
    <w:rsid w:val="008B2130"/>
    <w:rsid w:val="008B2220"/>
    <w:rsid w:val="008B2660"/>
    <w:rsid w:val="008B2C7A"/>
    <w:rsid w:val="008B3208"/>
    <w:rsid w:val="008B4293"/>
    <w:rsid w:val="008B4A69"/>
    <w:rsid w:val="008B4CA4"/>
    <w:rsid w:val="008B4CD5"/>
    <w:rsid w:val="008B5551"/>
    <w:rsid w:val="008B5603"/>
    <w:rsid w:val="008B5706"/>
    <w:rsid w:val="008B5BD5"/>
    <w:rsid w:val="008B5F4E"/>
    <w:rsid w:val="008B602D"/>
    <w:rsid w:val="008B6825"/>
    <w:rsid w:val="008B6852"/>
    <w:rsid w:val="008B6B3C"/>
    <w:rsid w:val="008B6F4F"/>
    <w:rsid w:val="008B70C2"/>
    <w:rsid w:val="008B71CE"/>
    <w:rsid w:val="008B76F4"/>
    <w:rsid w:val="008B7909"/>
    <w:rsid w:val="008B7F6E"/>
    <w:rsid w:val="008C00B8"/>
    <w:rsid w:val="008C06A1"/>
    <w:rsid w:val="008C0AE3"/>
    <w:rsid w:val="008C148A"/>
    <w:rsid w:val="008C1789"/>
    <w:rsid w:val="008C1AFB"/>
    <w:rsid w:val="008C1D97"/>
    <w:rsid w:val="008C22B4"/>
    <w:rsid w:val="008C2B58"/>
    <w:rsid w:val="008C2BAD"/>
    <w:rsid w:val="008C2F84"/>
    <w:rsid w:val="008C313A"/>
    <w:rsid w:val="008C31B9"/>
    <w:rsid w:val="008C350B"/>
    <w:rsid w:val="008C3D85"/>
    <w:rsid w:val="008C485C"/>
    <w:rsid w:val="008C49D6"/>
    <w:rsid w:val="008C4BE7"/>
    <w:rsid w:val="008C62F3"/>
    <w:rsid w:val="008C66B0"/>
    <w:rsid w:val="008C694F"/>
    <w:rsid w:val="008C6A4B"/>
    <w:rsid w:val="008C6BC8"/>
    <w:rsid w:val="008C6BF5"/>
    <w:rsid w:val="008C6CFD"/>
    <w:rsid w:val="008C79A3"/>
    <w:rsid w:val="008C7AFD"/>
    <w:rsid w:val="008C7C10"/>
    <w:rsid w:val="008C7D55"/>
    <w:rsid w:val="008C7F97"/>
    <w:rsid w:val="008D0165"/>
    <w:rsid w:val="008D0686"/>
    <w:rsid w:val="008D1671"/>
    <w:rsid w:val="008D1B11"/>
    <w:rsid w:val="008D1CCC"/>
    <w:rsid w:val="008D1DDF"/>
    <w:rsid w:val="008D246B"/>
    <w:rsid w:val="008D2DDA"/>
    <w:rsid w:val="008D2E8B"/>
    <w:rsid w:val="008D3366"/>
    <w:rsid w:val="008D3FA9"/>
    <w:rsid w:val="008D419D"/>
    <w:rsid w:val="008D4430"/>
    <w:rsid w:val="008D4850"/>
    <w:rsid w:val="008D56AD"/>
    <w:rsid w:val="008D5F16"/>
    <w:rsid w:val="008D6780"/>
    <w:rsid w:val="008D6AED"/>
    <w:rsid w:val="008D7739"/>
    <w:rsid w:val="008D7790"/>
    <w:rsid w:val="008D782E"/>
    <w:rsid w:val="008D79DD"/>
    <w:rsid w:val="008E01B6"/>
    <w:rsid w:val="008E0BCD"/>
    <w:rsid w:val="008E0C5F"/>
    <w:rsid w:val="008E1700"/>
    <w:rsid w:val="008E19C3"/>
    <w:rsid w:val="008E1DB9"/>
    <w:rsid w:val="008E2381"/>
    <w:rsid w:val="008E24C4"/>
    <w:rsid w:val="008E2536"/>
    <w:rsid w:val="008E2B44"/>
    <w:rsid w:val="008E2D57"/>
    <w:rsid w:val="008E2D96"/>
    <w:rsid w:val="008E349A"/>
    <w:rsid w:val="008E37FC"/>
    <w:rsid w:val="008E3994"/>
    <w:rsid w:val="008E3CEB"/>
    <w:rsid w:val="008E3DEF"/>
    <w:rsid w:val="008E459B"/>
    <w:rsid w:val="008E483E"/>
    <w:rsid w:val="008E4885"/>
    <w:rsid w:val="008E50BF"/>
    <w:rsid w:val="008E54BF"/>
    <w:rsid w:val="008E5BC4"/>
    <w:rsid w:val="008E6F4A"/>
    <w:rsid w:val="008F0208"/>
    <w:rsid w:val="008F0D40"/>
    <w:rsid w:val="008F0EEF"/>
    <w:rsid w:val="008F0FCF"/>
    <w:rsid w:val="008F105D"/>
    <w:rsid w:val="008F17CE"/>
    <w:rsid w:val="008F1944"/>
    <w:rsid w:val="008F1B14"/>
    <w:rsid w:val="008F33A3"/>
    <w:rsid w:val="008F33D0"/>
    <w:rsid w:val="008F37A1"/>
    <w:rsid w:val="008F38A2"/>
    <w:rsid w:val="008F3987"/>
    <w:rsid w:val="008F3A05"/>
    <w:rsid w:val="008F3AE2"/>
    <w:rsid w:val="008F3B9C"/>
    <w:rsid w:val="008F3BCA"/>
    <w:rsid w:val="008F4181"/>
    <w:rsid w:val="008F46D3"/>
    <w:rsid w:val="008F4A8F"/>
    <w:rsid w:val="008F4B75"/>
    <w:rsid w:val="008F4E0A"/>
    <w:rsid w:val="008F5072"/>
    <w:rsid w:val="008F52AF"/>
    <w:rsid w:val="008F5335"/>
    <w:rsid w:val="008F5D62"/>
    <w:rsid w:val="008F6527"/>
    <w:rsid w:val="008F68E4"/>
    <w:rsid w:val="008F68FC"/>
    <w:rsid w:val="008F6C12"/>
    <w:rsid w:val="008F6D96"/>
    <w:rsid w:val="008F6E78"/>
    <w:rsid w:val="008F7233"/>
    <w:rsid w:val="008F72B5"/>
    <w:rsid w:val="008F7A9E"/>
    <w:rsid w:val="008F7B23"/>
    <w:rsid w:val="008F7BD5"/>
    <w:rsid w:val="008F7CD1"/>
    <w:rsid w:val="008F7DB9"/>
    <w:rsid w:val="00900636"/>
    <w:rsid w:val="00900998"/>
    <w:rsid w:val="00900D17"/>
    <w:rsid w:val="00900D6B"/>
    <w:rsid w:val="009011D1"/>
    <w:rsid w:val="009012A6"/>
    <w:rsid w:val="00902204"/>
    <w:rsid w:val="009026F3"/>
    <w:rsid w:val="0090295F"/>
    <w:rsid w:val="00902FAF"/>
    <w:rsid w:val="00903212"/>
    <w:rsid w:val="009032E3"/>
    <w:rsid w:val="009034A9"/>
    <w:rsid w:val="00903723"/>
    <w:rsid w:val="00904689"/>
    <w:rsid w:val="009046D9"/>
    <w:rsid w:val="00905EF6"/>
    <w:rsid w:val="0090601A"/>
    <w:rsid w:val="00906151"/>
    <w:rsid w:val="0090618E"/>
    <w:rsid w:val="009061B5"/>
    <w:rsid w:val="00906743"/>
    <w:rsid w:val="00906B22"/>
    <w:rsid w:val="00906EEE"/>
    <w:rsid w:val="00906FFE"/>
    <w:rsid w:val="009070BD"/>
    <w:rsid w:val="00907111"/>
    <w:rsid w:val="00907596"/>
    <w:rsid w:val="009075D3"/>
    <w:rsid w:val="00907E98"/>
    <w:rsid w:val="0091099D"/>
    <w:rsid w:val="00910AA5"/>
    <w:rsid w:val="00910FF6"/>
    <w:rsid w:val="0091173A"/>
    <w:rsid w:val="00911AE3"/>
    <w:rsid w:val="00911CC2"/>
    <w:rsid w:val="00912049"/>
    <w:rsid w:val="00912182"/>
    <w:rsid w:val="0091227A"/>
    <w:rsid w:val="009122D6"/>
    <w:rsid w:val="00913571"/>
    <w:rsid w:val="00913660"/>
    <w:rsid w:val="00914620"/>
    <w:rsid w:val="00915151"/>
    <w:rsid w:val="0091541C"/>
    <w:rsid w:val="009156EA"/>
    <w:rsid w:val="00915AF0"/>
    <w:rsid w:val="00915E88"/>
    <w:rsid w:val="00916037"/>
    <w:rsid w:val="009169E7"/>
    <w:rsid w:val="009170A9"/>
    <w:rsid w:val="0091725B"/>
    <w:rsid w:val="0091765A"/>
    <w:rsid w:val="00917B21"/>
    <w:rsid w:val="00917E2B"/>
    <w:rsid w:val="009206BE"/>
    <w:rsid w:val="00920DE9"/>
    <w:rsid w:val="00921443"/>
    <w:rsid w:val="009214FB"/>
    <w:rsid w:val="009215EC"/>
    <w:rsid w:val="0092168E"/>
    <w:rsid w:val="00921CC1"/>
    <w:rsid w:val="00921F05"/>
    <w:rsid w:val="00922479"/>
    <w:rsid w:val="009224A8"/>
    <w:rsid w:val="00922CF5"/>
    <w:rsid w:val="00923016"/>
    <w:rsid w:val="00923073"/>
    <w:rsid w:val="00923096"/>
    <w:rsid w:val="0092339A"/>
    <w:rsid w:val="0092342F"/>
    <w:rsid w:val="00923481"/>
    <w:rsid w:val="00923D07"/>
    <w:rsid w:val="00923F9C"/>
    <w:rsid w:val="00924E27"/>
    <w:rsid w:val="0092509F"/>
    <w:rsid w:val="009251DF"/>
    <w:rsid w:val="009252F3"/>
    <w:rsid w:val="009255DF"/>
    <w:rsid w:val="00925642"/>
    <w:rsid w:val="00925694"/>
    <w:rsid w:val="00925FDB"/>
    <w:rsid w:val="0092655B"/>
    <w:rsid w:val="00926E4D"/>
    <w:rsid w:val="009272E0"/>
    <w:rsid w:val="0092745C"/>
    <w:rsid w:val="009302D8"/>
    <w:rsid w:val="00930860"/>
    <w:rsid w:val="009308A1"/>
    <w:rsid w:val="00930BB2"/>
    <w:rsid w:val="00930DDE"/>
    <w:rsid w:val="0093148B"/>
    <w:rsid w:val="00931D14"/>
    <w:rsid w:val="00932158"/>
    <w:rsid w:val="00932A00"/>
    <w:rsid w:val="00932F48"/>
    <w:rsid w:val="00933049"/>
    <w:rsid w:val="00933091"/>
    <w:rsid w:val="00933216"/>
    <w:rsid w:val="009332DE"/>
    <w:rsid w:val="0093331A"/>
    <w:rsid w:val="009333E9"/>
    <w:rsid w:val="00933B4A"/>
    <w:rsid w:val="00933B51"/>
    <w:rsid w:val="00933E8C"/>
    <w:rsid w:val="00934125"/>
    <w:rsid w:val="00934442"/>
    <w:rsid w:val="00934695"/>
    <w:rsid w:val="009347BF"/>
    <w:rsid w:val="00934880"/>
    <w:rsid w:val="00934CDC"/>
    <w:rsid w:val="00934F82"/>
    <w:rsid w:val="0093559E"/>
    <w:rsid w:val="00935D35"/>
    <w:rsid w:val="009360C4"/>
    <w:rsid w:val="0093631F"/>
    <w:rsid w:val="0093658F"/>
    <w:rsid w:val="0093728A"/>
    <w:rsid w:val="009375FB"/>
    <w:rsid w:val="00937C75"/>
    <w:rsid w:val="00940241"/>
    <w:rsid w:val="0094025C"/>
    <w:rsid w:val="00940526"/>
    <w:rsid w:val="00940CDE"/>
    <w:rsid w:val="00940EB3"/>
    <w:rsid w:val="00941455"/>
    <w:rsid w:val="0094176E"/>
    <w:rsid w:val="00941819"/>
    <w:rsid w:val="00942C7D"/>
    <w:rsid w:val="00943135"/>
    <w:rsid w:val="00943255"/>
    <w:rsid w:val="00943487"/>
    <w:rsid w:val="00943E08"/>
    <w:rsid w:val="00944499"/>
    <w:rsid w:val="009444FD"/>
    <w:rsid w:val="00944511"/>
    <w:rsid w:val="00944693"/>
    <w:rsid w:val="00944BAA"/>
    <w:rsid w:val="00944F55"/>
    <w:rsid w:val="00945AAA"/>
    <w:rsid w:val="0094620E"/>
    <w:rsid w:val="00946942"/>
    <w:rsid w:val="00946CF6"/>
    <w:rsid w:val="00947025"/>
    <w:rsid w:val="0094725D"/>
    <w:rsid w:val="009473A9"/>
    <w:rsid w:val="00947406"/>
    <w:rsid w:val="009475C0"/>
    <w:rsid w:val="00947974"/>
    <w:rsid w:val="00947EF1"/>
    <w:rsid w:val="009501AD"/>
    <w:rsid w:val="009506DE"/>
    <w:rsid w:val="009509D2"/>
    <w:rsid w:val="00950E9A"/>
    <w:rsid w:val="009512F7"/>
    <w:rsid w:val="00951376"/>
    <w:rsid w:val="00951EB3"/>
    <w:rsid w:val="00951F44"/>
    <w:rsid w:val="00952539"/>
    <w:rsid w:val="009526B6"/>
    <w:rsid w:val="00952A01"/>
    <w:rsid w:val="00952B32"/>
    <w:rsid w:val="00953496"/>
    <w:rsid w:val="00954656"/>
    <w:rsid w:val="009548A4"/>
    <w:rsid w:val="00954983"/>
    <w:rsid w:val="00954B84"/>
    <w:rsid w:val="00954DA7"/>
    <w:rsid w:val="0095510F"/>
    <w:rsid w:val="00955483"/>
    <w:rsid w:val="0095550E"/>
    <w:rsid w:val="00955562"/>
    <w:rsid w:val="0095587F"/>
    <w:rsid w:val="009559BF"/>
    <w:rsid w:val="00955B7C"/>
    <w:rsid w:val="00955F9E"/>
    <w:rsid w:val="009560E4"/>
    <w:rsid w:val="00956324"/>
    <w:rsid w:val="00957BB3"/>
    <w:rsid w:val="00957FD7"/>
    <w:rsid w:val="009601A4"/>
    <w:rsid w:val="00960451"/>
    <w:rsid w:val="00960B32"/>
    <w:rsid w:val="00961127"/>
    <w:rsid w:val="00961150"/>
    <w:rsid w:val="0096122A"/>
    <w:rsid w:val="0096133D"/>
    <w:rsid w:val="00961398"/>
    <w:rsid w:val="00961432"/>
    <w:rsid w:val="00961602"/>
    <w:rsid w:val="009617FB"/>
    <w:rsid w:val="00961B35"/>
    <w:rsid w:val="00961CAE"/>
    <w:rsid w:val="00962EEE"/>
    <w:rsid w:val="00962F00"/>
    <w:rsid w:val="00963088"/>
    <w:rsid w:val="00963592"/>
    <w:rsid w:val="00963E9E"/>
    <w:rsid w:val="00963EB8"/>
    <w:rsid w:val="0096443A"/>
    <w:rsid w:val="00964659"/>
    <w:rsid w:val="00964C55"/>
    <w:rsid w:val="009652C7"/>
    <w:rsid w:val="009654D4"/>
    <w:rsid w:val="00965856"/>
    <w:rsid w:val="00965CDC"/>
    <w:rsid w:val="0096686F"/>
    <w:rsid w:val="00966F0A"/>
    <w:rsid w:val="009672D0"/>
    <w:rsid w:val="00967355"/>
    <w:rsid w:val="00967A21"/>
    <w:rsid w:val="00967C37"/>
    <w:rsid w:val="00967C99"/>
    <w:rsid w:val="00967D81"/>
    <w:rsid w:val="00967F2D"/>
    <w:rsid w:val="009700A0"/>
    <w:rsid w:val="009700FB"/>
    <w:rsid w:val="009703E6"/>
    <w:rsid w:val="00970D80"/>
    <w:rsid w:val="00970DA1"/>
    <w:rsid w:val="009712D0"/>
    <w:rsid w:val="00971726"/>
    <w:rsid w:val="00971861"/>
    <w:rsid w:val="0097199E"/>
    <w:rsid w:val="00971A2C"/>
    <w:rsid w:val="00971EB0"/>
    <w:rsid w:val="00971EBA"/>
    <w:rsid w:val="00971F88"/>
    <w:rsid w:val="0097236C"/>
    <w:rsid w:val="009723D3"/>
    <w:rsid w:val="0097270C"/>
    <w:rsid w:val="00972B5E"/>
    <w:rsid w:val="009732A0"/>
    <w:rsid w:val="00973455"/>
    <w:rsid w:val="00974663"/>
    <w:rsid w:val="00975273"/>
    <w:rsid w:val="00975502"/>
    <w:rsid w:val="00975ABC"/>
    <w:rsid w:val="00975BC0"/>
    <w:rsid w:val="0097606C"/>
    <w:rsid w:val="0097666A"/>
    <w:rsid w:val="00976687"/>
    <w:rsid w:val="00976DEF"/>
    <w:rsid w:val="0097780A"/>
    <w:rsid w:val="00977AD2"/>
    <w:rsid w:val="009801F0"/>
    <w:rsid w:val="0098023C"/>
    <w:rsid w:val="00980A02"/>
    <w:rsid w:val="00980A17"/>
    <w:rsid w:val="00980AC8"/>
    <w:rsid w:val="00980E93"/>
    <w:rsid w:val="009810B1"/>
    <w:rsid w:val="00981662"/>
    <w:rsid w:val="00981D12"/>
    <w:rsid w:val="0098295D"/>
    <w:rsid w:val="0098296D"/>
    <w:rsid w:val="00982E78"/>
    <w:rsid w:val="009838A3"/>
    <w:rsid w:val="009841E9"/>
    <w:rsid w:val="00984426"/>
    <w:rsid w:val="009847B2"/>
    <w:rsid w:val="00985221"/>
    <w:rsid w:val="00985CDD"/>
    <w:rsid w:val="00985CEF"/>
    <w:rsid w:val="009861FD"/>
    <w:rsid w:val="0098688A"/>
    <w:rsid w:val="00986C9A"/>
    <w:rsid w:val="00986CAA"/>
    <w:rsid w:val="00986ECB"/>
    <w:rsid w:val="00987A1B"/>
    <w:rsid w:val="00987AF5"/>
    <w:rsid w:val="00987E02"/>
    <w:rsid w:val="0099003B"/>
    <w:rsid w:val="009904FB"/>
    <w:rsid w:val="00991055"/>
    <w:rsid w:val="0099111E"/>
    <w:rsid w:val="00992669"/>
    <w:rsid w:val="0099275E"/>
    <w:rsid w:val="009928D2"/>
    <w:rsid w:val="00992BDA"/>
    <w:rsid w:val="009934A5"/>
    <w:rsid w:val="00993526"/>
    <w:rsid w:val="00993753"/>
    <w:rsid w:val="009937EF"/>
    <w:rsid w:val="00993A22"/>
    <w:rsid w:val="00993AED"/>
    <w:rsid w:val="00993CB9"/>
    <w:rsid w:val="00994399"/>
    <w:rsid w:val="009953B3"/>
    <w:rsid w:val="00995667"/>
    <w:rsid w:val="0099569A"/>
    <w:rsid w:val="009958F0"/>
    <w:rsid w:val="00995CDC"/>
    <w:rsid w:val="00995F9F"/>
    <w:rsid w:val="009962DD"/>
    <w:rsid w:val="009966B8"/>
    <w:rsid w:val="00996A49"/>
    <w:rsid w:val="00997154"/>
    <w:rsid w:val="009971D9"/>
    <w:rsid w:val="009975BE"/>
    <w:rsid w:val="009A0189"/>
    <w:rsid w:val="009A0832"/>
    <w:rsid w:val="009A0A80"/>
    <w:rsid w:val="009A0F65"/>
    <w:rsid w:val="009A1774"/>
    <w:rsid w:val="009A1A32"/>
    <w:rsid w:val="009A1A86"/>
    <w:rsid w:val="009A27A2"/>
    <w:rsid w:val="009A2A0D"/>
    <w:rsid w:val="009A37DB"/>
    <w:rsid w:val="009A3A8C"/>
    <w:rsid w:val="009A3C6A"/>
    <w:rsid w:val="009A405F"/>
    <w:rsid w:val="009A4518"/>
    <w:rsid w:val="009A456B"/>
    <w:rsid w:val="009A4756"/>
    <w:rsid w:val="009A490B"/>
    <w:rsid w:val="009A4D05"/>
    <w:rsid w:val="009A5165"/>
    <w:rsid w:val="009A5777"/>
    <w:rsid w:val="009A59AC"/>
    <w:rsid w:val="009A5E17"/>
    <w:rsid w:val="009A68FD"/>
    <w:rsid w:val="009A6929"/>
    <w:rsid w:val="009A6B43"/>
    <w:rsid w:val="009A6B45"/>
    <w:rsid w:val="009A72E4"/>
    <w:rsid w:val="009A7677"/>
    <w:rsid w:val="009A779D"/>
    <w:rsid w:val="009A7816"/>
    <w:rsid w:val="009A7B1E"/>
    <w:rsid w:val="009B02D8"/>
    <w:rsid w:val="009B128F"/>
    <w:rsid w:val="009B13A8"/>
    <w:rsid w:val="009B1523"/>
    <w:rsid w:val="009B1EA8"/>
    <w:rsid w:val="009B23B6"/>
    <w:rsid w:val="009B2791"/>
    <w:rsid w:val="009B29EC"/>
    <w:rsid w:val="009B2A8A"/>
    <w:rsid w:val="009B2F15"/>
    <w:rsid w:val="009B3505"/>
    <w:rsid w:val="009B35E6"/>
    <w:rsid w:val="009B363A"/>
    <w:rsid w:val="009B3790"/>
    <w:rsid w:val="009B3F20"/>
    <w:rsid w:val="009B459D"/>
    <w:rsid w:val="009B4A8F"/>
    <w:rsid w:val="009B5A21"/>
    <w:rsid w:val="009B5E00"/>
    <w:rsid w:val="009B5EAD"/>
    <w:rsid w:val="009B63FF"/>
    <w:rsid w:val="009B67F2"/>
    <w:rsid w:val="009B6BFD"/>
    <w:rsid w:val="009B6D68"/>
    <w:rsid w:val="009B6F24"/>
    <w:rsid w:val="009B7194"/>
    <w:rsid w:val="009B72CB"/>
    <w:rsid w:val="009B733F"/>
    <w:rsid w:val="009B773C"/>
    <w:rsid w:val="009B7839"/>
    <w:rsid w:val="009B7868"/>
    <w:rsid w:val="009B7F1B"/>
    <w:rsid w:val="009C0028"/>
    <w:rsid w:val="009C08BE"/>
    <w:rsid w:val="009C0AA0"/>
    <w:rsid w:val="009C12ED"/>
    <w:rsid w:val="009C1495"/>
    <w:rsid w:val="009C1900"/>
    <w:rsid w:val="009C1B75"/>
    <w:rsid w:val="009C1BFA"/>
    <w:rsid w:val="009C1C1A"/>
    <w:rsid w:val="009C1D34"/>
    <w:rsid w:val="009C2097"/>
    <w:rsid w:val="009C218A"/>
    <w:rsid w:val="009C24E6"/>
    <w:rsid w:val="009C2FC3"/>
    <w:rsid w:val="009C3259"/>
    <w:rsid w:val="009C3EA0"/>
    <w:rsid w:val="009C3EC4"/>
    <w:rsid w:val="009C4310"/>
    <w:rsid w:val="009C4480"/>
    <w:rsid w:val="009C45C0"/>
    <w:rsid w:val="009C46EE"/>
    <w:rsid w:val="009C47B0"/>
    <w:rsid w:val="009C497D"/>
    <w:rsid w:val="009C4CF3"/>
    <w:rsid w:val="009C4D45"/>
    <w:rsid w:val="009C520F"/>
    <w:rsid w:val="009C5D2A"/>
    <w:rsid w:val="009C5F26"/>
    <w:rsid w:val="009C60C8"/>
    <w:rsid w:val="009C6D3D"/>
    <w:rsid w:val="009C7050"/>
    <w:rsid w:val="009C7076"/>
    <w:rsid w:val="009C72D3"/>
    <w:rsid w:val="009D0058"/>
    <w:rsid w:val="009D00D1"/>
    <w:rsid w:val="009D0AB0"/>
    <w:rsid w:val="009D0B24"/>
    <w:rsid w:val="009D0DA8"/>
    <w:rsid w:val="009D0EF5"/>
    <w:rsid w:val="009D1463"/>
    <w:rsid w:val="009D14B7"/>
    <w:rsid w:val="009D1F77"/>
    <w:rsid w:val="009D263C"/>
    <w:rsid w:val="009D2753"/>
    <w:rsid w:val="009D2872"/>
    <w:rsid w:val="009D2BE9"/>
    <w:rsid w:val="009D2C0A"/>
    <w:rsid w:val="009D2D2E"/>
    <w:rsid w:val="009D400F"/>
    <w:rsid w:val="009D4092"/>
    <w:rsid w:val="009D4204"/>
    <w:rsid w:val="009D4487"/>
    <w:rsid w:val="009D4595"/>
    <w:rsid w:val="009D46AA"/>
    <w:rsid w:val="009D490E"/>
    <w:rsid w:val="009D4C7A"/>
    <w:rsid w:val="009D4D88"/>
    <w:rsid w:val="009D50C6"/>
    <w:rsid w:val="009D5247"/>
    <w:rsid w:val="009D5678"/>
    <w:rsid w:val="009D573D"/>
    <w:rsid w:val="009D587C"/>
    <w:rsid w:val="009D5C88"/>
    <w:rsid w:val="009D60F8"/>
    <w:rsid w:val="009D61DE"/>
    <w:rsid w:val="009D62C0"/>
    <w:rsid w:val="009D6A9A"/>
    <w:rsid w:val="009D7203"/>
    <w:rsid w:val="009D72B4"/>
    <w:rsid w:val="009D74C7"/>
    <w:rsid w:val="009E015A"/>
    <w:rsid w:val="009E0655"/>
    <w:rsid w:val="009E0DDC"/>
    <w:rsid w:val="009E1D8D"/>
    <w:rsid w:val="009E20B5"/>
    <w:rsid w:val="009E2C78"/>
    <w:rsid w:val="009E2D24"/>
    <w:rsid w:val="009E3156"/>
    <w:rsid w:val="009E31C5"/>
    <w:rsid w:val="009E3E27"/>
    <w:rsid w:val="009E3F29"/>
    <w:rsid w:val="009E433C"/>
    <w:rsid w:val="009E4C0F"/>
    <w:rsid w:val="009E59AA"/>
    <w:rsid w:val="009E5E16"/>
    <w:rsid w:val="009E6BBC"/>
    <w:rsid w:val="009E6DF4"/>
    <w:rsid w:val="009E6FC2"/>
    <w:rsid w:val="009E706B"/>
    <w:rsid w:val="009E760B"/>
    <w:rsid w:val="009E77EC"/>
    <w:rsid w:val="009E7EB9"/>
    <w:rsid w:val="009F028C"/>
    <w:rsid w:val="009F04C0"/>
    <w:rsid w:val="009F0A25"/>
    <w:rsid w:val="009F0B00"/>
    <w:rsid w:val="009F1047"/>
    <w:rsid w:val="009F1241"/>
    <w:rsid w:val="009F264D"/>
    <w:rsid w:val="009F2792"/>
    <w:rsid w:val="009F2C44"/>
    <w:rsid w:val="009F3152"/>
    <w:rsid w:val="009F346F"/>
    <w:rsid w:val="009F3C47"/>
    <w:rsid w:val="009F3C84"/>
    <w:rsid w:val="009F3F57"/>
    <w:rsid w:val="009F402A"/>
    <w:rsid w:val="009F4121"/>
    <w:rsid w:val="009F4194"/>
    <w:rsid w:val="009F44CC"/>
    <w:rsid w:val="009F4A0C"/>
    <w:rsid w:val="009F5579"/>
    <w:rsid w:val="009F5BDC"/>
    <w:rsid w:val="009F5F37"/>
    <w:rsid w:val="009F6ED5"/>
    <w:rsid w:val="009F7662"/>
    <w:rsid w:val="00A00023"/>
    <w:rsid w:val="00A00029"/>
    <w:rsid w:val="00A004F9"/>
    <w:rsid w:val="00A009B6"/>
    <w:rsid w:val="00A00B8B"/>
    <w:rsid w:val="00A00D66"/>
    <w:rsid w:val="00A01170"/>
    <w:rsid w:val="00A012AA"/>
    <w:rsid w:val="00A01559"/>
    <w:rsid w:val="00A01ED8"/>
    <w:rsid w:val="00A02036"/>
    <w:rsid w:val="00A02F03"/>
    <w:rsid w:val="00A031CA"/>
    <w:rsid w:val="00A036E1"/>
    <w:rsid w:val="00A038BB"/>
    <w:rsid w:val="00A03DB5"/>
    <w:rsid w:val="00A03FB4"/>
    <w:rsid w:val="00A0445F"/>
    <w:rsid w:val="00A04517"/>
    <w:rsid w:val="00A049A1"/>
    <w:rsid w:val="00A04A43"/>
    <w:rsid w:val="00A0504E"/>
    <w:rsid w:val="00A0529B"/>
    <w:rsid w:val="00A055A8"/>
    <w:rsid w:val="00A066BB"/>
    <w:rsid w:val="00A068AA"/>
    <w:rsid w:val="00A069CC"/>
    <w:rsid w:val="00A069E1"/>
    <w:rsid w:val="00A06AA9"/>
    <w:rsid w:val="00A06DB4"/>
    <w:rsid w:val="00A06DD6"/>
    <w:rsid w:val="00A07444"/>
    <w:rsid w:val="00A075FC"/>
    <w:rsid w:val="00A07DE4"/>
    <w:rsid w:val="00A10BCD"/>
    <w:rsid w:val="00A10D4F"/>
    <w:rsid w:val="00A1115D"/>
    <w:rsid w:val="00A1134E"/>
    <w:rsid w:val="00A1190C"/>
    <w:rsid w:val="00A11D7D"/>
    <w:rsid w:val="00A11E36"/>
    <w:rsid w:val="00A127E4"/>
    <w:rsid w:val="00A13018"/>
    <w:rsid w:val="00A13033"/>
    <w:rsid w:val="00A138C7"/>
    <w:rsid w:val="00A13BC6"/>
    <w:rsid w:val="00A13CE6"/>
    <w:rsid w:val="00A14621"/>
    <w:rsid w:val="00A146C4"/>
    <w:rsid w:val="00A14B5B"/>
    <w:rsid w:val="00A15448"/>
    <w:rsid w:val="00A162FE"/>
    <w:rsid w:val="00A16426"/>
    <w:rsid w:val="00A16623"/>
    <w:rsid w:val="00A16795"/>
    <w:rsid w:val="00A175B5"/>
    <w:rsid w:val="00A17671"/>
    <w:rsid w:val="00A17D19"/>
    <w:rsid w:val="00A204F1"/>
    <w:rsid w:val="00A20CD8"/>
    <w:rsid w:val="00A21045"/>
    <w:rsid w:val="00A2113F"/>
    <w:rsid w:val="00A21A24"/>
    <w:rsid w:val="00A21ED7"/>
    <w:rsid w:val="00A22793"/>
    <w:rsid w:val="00A229F1"/>
    <w:rsid w:val="00A22D05"/>
    <w:rsid w:val="00A23DD4"/>
    <w:rsid w:val="00A242F7"/>
    <w:rsid w:val="00A2436E"/>
    <w:rsid w:val="00A24573"/>
    <w:rsid w:val="00A245DC"/>
    <w:rsid w:val="00A2480A"/>
    <w:rsid w:val="00A2491B"/>
    <w:rsid w:val="00A2499C"/>
    <w:rsid w:val="00A2507B"/>
    <w:rsid w:val="00A25FD1"/>
    <w:rsid w:val="00A261F1"/>
    <w:rsid w:val="00A263C8"/>
    <w:rsid w:val="00A2658D"/>
    <w:rsid w:val="00A267C2"/>
    <w:rsid w:val="00A26A26"/>
    <w:rsid w:val="00A2725E"/>
    <w:rsid w:val="00A272A4"/>
    <w:rsid w:val="00A2746C"/>
    <w:rsid w:val="00A274C6"/>
    <w:rsid w:val="00A27C01"/>
    <w:rsid w:val="00A30679"/>
    <w:rsid w:val="00A30B27"/>
    <w:rsid w:val="00A30D6C"/>
    <w:rsid w:val="00A30EDC"/>
    <w:rsid w:val="00A317DB"/>
    <w:rsid w:val="00A32068"/>
    <w:rsid w:val="00A32610"/>
    <w:rsid w:val="00A3274E"/>
    <w:rsid w:val="00A32B20"/>
    <w:rsid w:val="00A33004"/>
    <w:rsid w:val="00A3309A"/>
    <w:rsid w:val="00A33969"/>
    <w:rsid w:val="00A33BAF"/>
    <w:rsid w:val="00A33DAF"/>
    <w:rsid w:val="00A34375"/>
    <w:rsid w:val="00A344BF"/>
    <w:rsid w:val="00A3496E"/>
    <w:rsid w:val="00A35286"/>
    <w:rsid w:val="00A35740"/>
    <w:rsid w:val="00A3581B"/>
    <w:rsid w:val="00A35C30"/>
    <w:rsid w:val="00A36274"/>
    <w:rsid w:val="00A3690C"/>
    <w:rsid w:val="00A3708B"/>
    <w:rsid w:val="00A377A2"/>
    <w:rsid w:val="00A37D08"/>
    <w:rsid w:val="00A37F7C"/>
    <w:rsid w:val="00A40708"/>
    <w:rsid w:val="00A40AFF"/>
    <w:rsid w:val="00A40BC3"/>
    <w:rsid w:val="00A41621"/>
    <w:rsid w:val="00A419BF"/>
    <w:rsid w:val="00A41A2D"/>
    <w:rsid w:val="00A41A44"/>
    <w:rsid w:val="00A41AB4"/>
    <w:rsid w:val="00A41C76"/>
    <w:rsid w:val="00A42330"/>
    <w:rsid w:val="00A42590"/>
    <w:rsid w:val="00A4292A"/>
    <w:rsid w:val="00A42B5E"/>
    <w:rsid w:val="00A42D8A"/>
    <w:rsid w:val="00A42F71"/>
    <w:rsid w:val="00A43509"/>
    <w:rsid w:val="00A444A6"/>
    <w:rsid w:val="00A44806"/>
    <w:rsid w:val="00A449F1"/>
    <w:rsid w:val="00A44D18"/>
    <w:rsid w:val="00A44DC8"/>
    <w:rsid w:val="00A45317"/>
    <w:rsid w:val="00A45BD7"/>
    <w:rsid w:val="00A45C1C"/>
    <w:rsid w:val="00A4600C"/>
    <w:rsid w:val="00A46702"/>
    <w:rsid w:val="00A46817"/>
    <w:rsid w:val="00A46ADD"/>
    <w:rsid w:val="00A46D13"/>
    <w:rsid w:val="00A472C9"/>
    <w:rsid w:val="00A503EB"/>
    <w:rsid w:val="00A50534"/>
    <w:rsid w:val="00A50CA2"/>
    <w:rsid w:val="00A50F0A"/>
    <w:rsid w:val="00A51152"/>
    <w:rsid w:val="00A513F9"/>
    <w:rsid w:val="00A51476"/>
    <w:rsid w:val="00A5199F"/>
    <w:rsid w:val="00A51A2F"/>
    <w:rsid w:val="00A525A6"/>
    <w:rsid w:val="00A5266F"/>
    <w:rsid w:val="00A528A6"/>
    <w:rsid w:val="00A52E20"/>
    <w:rsid w:val="00A52FCB"/>
    <w:rsid w:val="00A53A91"/>
    <w:rsid w:val="00A54189"/>
    <w:rsid w:val="00A54798"/>
    <w:rsid w:val="00A54D5D"/>
    <w:rsid w:val="00A54DCE"/>
    <w:rsid w:val="00A5526B"/>
    <w:rsid w:val="00A5536B"/>
    <w:rsid w:val="00A5558B"/>
    <w:rsid w:val="00A556C2"/>
    <w:rsid w:val="00A5580E"/>
    <w:rsid w:val="00A55890"/>
    <w:rsid w:val="00A56052"/>
    <w:rsid w:val="00A56250"/>
    <w:rsid w:val="00A5654A"/>
    <w:rsid w:val="00A56937"/>
    <w:rsid w:val="00A5739F"/>
    <w:rsid w:val="00A57893"/>
    <w:rsid w:val="00A60B0A"/>
    <w:rsid w:val="00A6149F"/>
    <w:rsid w:val="00A61B5E"/>
    <w:rsid w:val="00A63006"/>
    <w:rsid w:val="00A63177"/>
    <w:rsid w:val="00A632EB"/>
    <w:rsid w:val="00A639E8"/>
    <w:rsid w:val="00A639F0"/>
    <w:rsid w:val="00A641F2"/>
    <w:rsid w:val="00A647AD"/>
    <w:rsid w:val="00A64F33"/>
    <w:rsid w:val="00A65186"/>
    <w:rsid w:val="00A655E1"/>
    <w:rsid w:val="00A656C7"/>
    <w:rsid w:val="00A656D1"/>
    <w:rsid w:val="00A6581D"/>
    <w:rsid w:val="00A65A36"/>
    <w:rsid w:val="00A65BC2"/>
    <w:rsid w:val="00A6600A"/>
    <w:rsid w:val="00A662AD"/>
    <w:rsid w:val="00A6641C"/>
    <w:rsid w:val="00A666B1"/>
    <w:rsid w:val="00A66926"/>
    <w:rsid w:val="00A66BA2"/>
    <w:rsid w:val="00A66DFC"/>
    <w:rsid w:val="00A67293"/>
    <w:rsid w:val="00A673AC"/>
    <w:rsid w:val="00A6761D"/>
    <w:rsid w:val="00A67B58"/>
    <w:rsid w:val="00A71C23"/>
    <w:rsid w:val="00A727C8"/>
    <w:rsid w:val="00A73EDC"/>
    <w:rsid w:val="00A74227"/>
    <w:rsid w:val="00A747D5"/>
    <w:rsid w:val="00A74AE1"/>
    <w:rsid w:val="00A74CAA"/>
    <w:rsid w:val="00A752A7"/>
    <w:rsid w:val="00A75370"/>
    <w:rsid w:val="00A764E5"/>
    <w:rsid w:val="00A76A17"/>
    <w:rsid w:val="00A76D56"/>
    <w:rsid w:val="00A77529"/>
    <w:rsid w:val="00A81025"/>
    <w:rsid w:val="00A816D0"/>
    <w:rsid w:val="00A819EA"/>
    <w:rsid w:val="00A81D68"/>
    <w:rsid w:val="00A82659"/>
    <w:rsid w:val="00A826BC"/>
    <w:rsid w:val="00A82A6A"/>
    <w:rsid w:val="00A82AC5"/>
    <w:rsid w:val="00A82E09"/>
    <w:rsid w:val="00A82F7A"/>
    <w:rsid w:val="00A8339A"/>
    <w:rsid w:val="00A83410"/>
    <w:rsid w:val="00A836A5"/>
    <w:rsid w:val="00A836D7"/>
    <w:rsid w:val="00A83B03"/>
    <w:rsid w:val="00A83B3B"/>
    <w:rsid w:val="00A83C94"/>
    <w:rsid w:val="00A84783"/>
    <w:rsid w:val="00A84A8B"/>
    <w:rsid w:val="00A852DA"/>
    <w:rsid w:val="00A856B5"/>
    <w:rsid w:val="00A857D3"/>
    <w:rsid w:val="00A85BA2"/>
    <w:rsid w:val="00A85D35"/>
    <w:rsid w:val="00A862E8"/>
    <w:rsid w:val="00A867B4"/>
    <w:rsid w:val="00A867D3"/>
    <w:rsid w:val="00A86A42"/>
    <w:rsid w:val="00A87076"/>
    <w:rsid w:val="00A87251"/>
    <w:rsid w:val="00A87D76"/>
    <w:rsid w:val="00A87DEE"/>
    <w:rsid w:val="00A90732"/>
    <w:rsid w:val="00A90844"/>
    <w:rsid w:val="00A908F8"/>
    <w:rsid w:val="00A908F9"/>
    <w:rsid w:val="00A9118C"/>
    <w:rsid w:val="00A913A2"/>
    <w:rsid w:val="00A913AB"/>
    <w:rsid w:val="00A9164D"/>
    <w:rsid w:val="00A91AAF"/>
    <w:rsid w:val="00A92244"/>
    <w:rsid w:val="00A922CA"/>
    <w:rsid w:val="00A922D3"/>
    <w:rsid w:val="00A92DF0"/>
    <w:rsid w:val="00A93483"/>
    <w:rsid w:val="00A93735"/>
    <w:rsid w:val="00A93A45"/>
    <w:rsid w:val="00A93A6C"/>
    <w:rsid w:val="00A94210"/>
    <w:rsid w:val="00A94AEF"/>
    <w:rsid w:val="00A94EB1"/>
    <w:rsid w:val="00A95C6F"/>
    <w:rsid w:val="00A95E22"/>
    <w:rsid w:val="00A963B7"/>
    <w:rsid w:val="00A96785"/>
    <w:rsid w:val="00A967A9"/>
    <w:rsid w:val="00A96A2C"/>
    <w:rsid w:val="00A976F3"/>
    <w:rsid w:val="00A97763"/>
    <w:rsid w:val="00A97E8D"/>
    <w:rsid w:val="00AA0599"/>
    <w:rsid w:val="00AA077D"/>
    <w:rsid w:val="00AA07E2"/>
    <w:rsid w:val="00AA090E"/>
    <w:rsid w:val="00AA0B44"/>
    <w:rsid w:val="00AA1061"/>
    <w:rsid w:val="00AA1753"/>
    <w:rsid w:val="00AA1993"/>
    <w:rsid w:val="00AA2052"/>
    <w:rsid w:val="00AA23AA"/>
    <w:rsid w:val="00AA2588"/>
    <w:rsid w:val="00AA26A7"/>
    <w:rsid w:val="00AA2ADD"/>
    <w:rsid w:val="00AA2B00"/>
    <w:rsid w:val="00AA2B34"/>
    <w:rsid w:val="00AA2BAF"/>
    <w:rsid w:val="00AA2E57"/>
    <w:rsid w:val="00AA38ED"/>
    <w:rsid w:val="00AA419A"/>
    <w:rsid w:val="00AA433A"/>
    <w:rsid w:val="00AA4507"/>
    <w:rsid w:val="00AA4872"/>
    <w:rsid w:val="00AA6019"/>
    <w:rsid w:val="00AA625A"/>
    <w:rsid w:val="00AA68C2"/>
    <w:rsid w:val="00AA6E3F"/>
    <w:rsid w:val="00AA77C8"/>
    <w:rsid w:val="00AA785B"/>
    <w:rsid w:val="00AB033E"/>
    <w:rsid w:val="00AB1172"/>
    <w:rsid w:val="00AB1891"/>
    <w:rsid w:val="00AB23B9"/>
    <w:rsid w:val="00AB2466"/>
    <w:rsid w:val="00AB2A1C"/>
    <w:rsid w:val="00AB3122"/>
    <w:rsid w:val="00AB361E"/>
    <w:rsid w:val="00AB372F"/>
    <w:rsid w:val="00AB3B01"/>
    <w:rsid w:val="00AB3EFB"/>
    <w:rsid w:val="00AB4436"/>
    <w:rsid w:val="00AB47BC"/>
    <w:rsid w:val="00AB4CC1"/>
    <w:rsid w:val="00AB56B7"/>
    <w:rsid w:val="00AB5979"/>
    <w:rsid w:val="00AB5A61"/>
    <w:rsid w:val="00AB5E25"/>
    <w:rsid w:val="00AB5FC2"/>
    <w:rsid w:val="00AB630D"/>
    <w:rsid w:val="00AB6C54"/>
    <w:rsid w:val="00AB6F54"/>
    <w:rsid w:val="00AB7355"/>
    <w:rsid w:val="00AB745D"/>
    <w:rsid w:val="00AB7ADF"/>
    <w:rsid w:val="00AB7F8E"/>
    <w:rsid w:val="00AC03F8"/>
    <w:rsid w:val="00AC0979"/>
    <w:rsid w:val="00AC1088"/>
    <w:rsid w:val="00AC141F"/>
    <w:rsid w:val="00AC1662"/>
    <w:rsid w:val="00AC17A6"/>
    <w:rsid w:val="00AC1BE7"/>
    <w:rsid w:val="00AC27DD"/>
    <w:rsid w:val="00AC3502"/>
    <w:rsid w:val="00AC3643"/>
    <w:rsid w:val="00AC3945"/>
    <w:rsid w:val="00AC39ED"/>
    <w:rsid w:val="00AC3BAD"/>
    <w:rsid w:val="00AC3DC2"/>
    <w:rsid w:val="00AC3DD1"/>
    <w:rsid w:val="00AC43F6"/>
    <w:rsid w:val="00AC4592"/>
    <w:rsid w:val="00AC4C17"/>
    <w:rsid w:val="00AC52D5"/>
    <w:rsid w:val="00AC655E"/>
    <w:rsid w:val="00AC6B2F"/>
    <w:rsid w:val="00AC709D"/>
    <w:rsid w:val="00AC711F"/>
    <w:rsid w:val="00AC72B1"/>
    <w:rsid w:val="00AD03E5"/>
    <w:rsid w:val="00AD12D7"/>
    <w:rsid w:val="00AD172E"/>
    <w:rsid w:val="00AD174B"/>
    <w:rsid w:val="00AD1B1A"/>
    <w:rsid w:val="00AD22F7"/>
    <w:rsid w:val="00AD2499"/>
    <w:rsid w:val="00AD262A"/>
    <w:rsid w:val="00AD27CB"/>
    <w:rsid w:val="00AD2E53"/>
    <w:rsid w:val="00AD3826"/>
    <w:rsid w:val="00AD3A99"/>
    <w:rsid w:val="00AD432B"/>
    <w:rsid w:val="00AD50B5"/>
    <w:rsid w:val="00AD54BA"/>
    <w:rsid w:val="00AD5C12"/>
    <w:rsid w:val="00AD5F3C"/>
    <w:rsid w:val="00AD643E"/>
    <w:rsid w:val="00AD653F"/>
    <w:rsid w:val="00AD6AD0"/>
    <w:rsid w:val="00AD6B28"/>
    <w:rsid w:val="00AD6B9C"/>
    <w:rsid w:val="00AD6C5F"/>
    <w:rsid w:val="00AD7078"/>
    <w:rsid w:val="00AD76C0"/>
    <w:rsid w:val="00AE066D"/>
    <w:rsid w:val="00AE088E"/>
    <w:rsid w:val="00AE0E3F"/>
    <w:rsid w:val="00AE0E75"/>
    <w:rsid w:val="00AE0F80"/>
    <w:rsid w:val="00AE0F94"/>
    <w:rsid w:val="00AE1193"/>
    <w:rsid w:val="00AE1295"/>
    <w:rsid w:val="00AE1F37"/>
    <w:rsid w:val="00AE2194"/>
    <w:rsid w:val="00AE232F"/>
    <w:rsid w:val="00AE267F"/>
    <w:rsid w:val="00AE2A75"/>
    <w:rsid w:val="00AE2CFA"/>
    <w:rsid w:val="00AE328D"/>
    <w:rsid w:val="00AE32B2"/>
    <w:rsid w:val="00AE371A"/>
    <w:rsid w:val="00AE3DCB"/>
    <w:rsid w:val="00AE460D"/>
    <w:rsid w:val="00AE497C"/>
    <w:rsid w:val="00AE541A"/>
    <w:rsid w:val="00AE5CC7"/>
    <w:rsid w:val="00AE5E7A"/>
    <w:rsid w:val="00AE6718"/>
    <w:rsid w:val="00AE6930"/>
    <w:rsid w:val="00AE6A84"/>
    <w:rsid w:val="00AE6DE4"/>
    <w:rsid w:val="00AE7CFE"/>
    <w:rsid w:val="00AF017D"/>
    <w:rsid w:val="00AF0AB5"/>
    <w:rsid w:val="00AF0CBF"/>
    <w:rsid w:val="00AF11C9"/>
    <w:rsid w:val="00AF1ACE"/>
    <w:rsid w:val="00AF1CC4"/>
    <w:rsid w:val="00AF1F75"/>
    <w:rsid w:val="00AF2421"/>
    <w:rsid w:val="00AF2436"/>
    <w:rsid w:val="00AF2446"/>
    <w:rsid w:val="00AF2807"/>
    <w:rsid w:val="00AF2A37"/>
    <w:rsid w:val="00AF2ED1"/>
    <w:rsid w:val="00AF3659"/>
    <w:rsid w:val="00AF3DE8"/>
    <w:rsid w:val="00AF457A"/>
    <w:rsid w:val="00AF4847"/>
    <w:rsid w:val="00AF53E8"/>
    <w:rsid w:val="00AF5815"/>
    <w:rsid w:val="00AF5BBA"/>
    <w:rsid w:val="00AF5C5A"/>
    <w:rsid w:val="00AF6C04"/>
    <w:rsid w:val="00AF6C8F"/>
    <w:rsid w:val="00AF6E26"/>
    <w:rsid w:val="00AF6FF3"/>
    <w:rsid w:val="00AF7161"/>
    <w:rsid w:val="00AF7413"/>
    <w:rsid w:val="00AF74D3"/>
    <w:rsid w:val="00AF7855"/>
    <w:rsid w:val="00AF7BBF"/>
    <w:rsid w:val="00AF7D1F"/>
    <w:rsid w:val="00B0034E"/>
    <w:rsid w:val="00B00731"/>
    <w:rsid w:val="00B00C58"/>
    <w:rsid w:val="00B00CFF"/>
    <w:rsid w:val="00B00D53"/>
    <w:rsid w:val="00B011F6"/>
    <w:rsid w:val="00B01999"/>
    <w:rsid w:val="00B01F87"/>
    <w:rsid w:val="00B02883"/>
    <w:rsid w:val="00B028FD"/>
    <w:rsid w:val="00B02F74"/>
    <w:rsid w:val="00B030DE"/>
    <w:rsid w:val="00B03419"/>
    <w:rsid w:val="00B0356C"/>
    <w:rsid w:val="00B0373B"/>
    <w:rsid w:val="00B03A6A"/>
    <w:rsid w:val="00B04425"/>
    <w:rsid w:val="00B04CD3"/>
    <w:rsid w:val="00B05181"/>
    <w:rsid w:val="00B051FD"/>
    <w:rsid w:val="00B053CE"/>
    <w:rsid w:val="00B058EA"/>
    <w:rsid w:val="00B05BC3"/>
    <w:rsid w:val="00B0631A"/>
    <w:rsid w:val="00B06BF8"/>
    <w:rsid w:val="00B06CE7"/>
    <w:rsid w:val="00B075C4"/>
    <w:rsid w:val="00B07A6F"/>
    <w:rsid w:val="00B10B41"/>
    <w:rsid w:val="00B10C7C"/>
    <w:rsid w:val="00B1109A"/>
    <w:rsid w:val="00B111A8"/>
    <w:rsid w:val="00B114A1"/>
    <w:rsid w:val="00B11621"/>
    <w:rsid w:val="00B11A4F"/>
    <w:rsid w:val="00B12CF6"/>
    <w:rsid w:val="00B12D62"/>
    <w:rsid w:val="00B12D7D"/>
    <w:rsid w:val="00B138C5"/>
    <w:rsid w:val="00B138F8"/>
    <w:rsid w:val="00B13F83"/>
    <w:rsid w:val="00B13FAA"/>
    <w:rsid w:val="00B14935"/>
    <w:rsid w:val="00B1531E"/>
    <w:rsid w:val="00B16699"/>
    <w:rsid w:val="00B166D8"/>
    <w:rsid w:val="00B16AD2"/>
    <w:rsid w:val="00B16D6E"/>
    <w:rsid w:val="00B172BB"/>
    <w:rsid w:val="00B17571"/>
    <w:rsid w:val="00B175D8"/>
    <w:rsid w:val="00B177D1"/>
    <w:rsid w:val="00B17E7A"/>
    <w:rsid w:val="00B2026F"/>
    <w:rsid w:val="00B206AB"/>
    <w:rsid w:val="00B20840"/>
    <w:rsid w:val="00B215A4"/>
    <w:rsid w:val="00B21A6B"/>
    <w:rsid w:val="00B21D6A"/>
    <w:rsid w:val="00B22754"/>
    <w:rsid w:val="00B22816"/>
    <w:rsid w:val="00B229A6"/>
    <w:rsid w:val="00B22B64"/>
    <w:rsid w:val="00B22BAC"/>
    <w:rsid w:val="00B22BD3"/>
    <w:rsid w:val="00B22FB9"/>
    <w:rsid w:val="00B2368C"/>
    <w:rsid w:val="00B23DB6"/>
    <w:rsid w:val="00B240CB"/>
    <w:rsid w:val="00B246D1"/>
    <w:rsid w:val="00B24C87"/>
    <w:rsid w:val="00B25205"/>
    <w:rsid w:val="00B25604"/>
    <w:rsid w:val="00B25652"/>
    <w:rsid w:val="00B26764"/>
    <w:rsid w:val="00B2694F"/>
    <w:rsid w:val="00B26CC4"/>
    <w:rsid w:val="00B27712"/>
    <w:rsid w:val="00B3034A"/>
    <w:rsid w:val="00B30580"/>
    <w:rsid w:val="00B30581"/>
    <w:rsid w:val="00B3076E"/>
    <w:rsid w:val="00B30C66"/>
    <w:rsid w:val="00B31101"/>
    <w:rsid w:val="00B31142"/>
    <w:rsid w:val="00B3251E"/>
    <w:rsid w:val="00B32789"/>
    <w:rsid w:val="00B330BE"/>
    <w:rsid w:val="00B33238"/>
    <w:rsid w:val="00B348F0"/>
    <w:rsid w:val="00B35127"/>
    <w:rsid w:val="00B35E53"/>
    <w:rsid w:val="00B35E57"/>
    <w:rsid w:val="00B35F62"/>
    <w:rsid w:val="00B368CE"/>
    <w:rsid w:val="00B36947"/>
    <w:rsid w:val="00B36A46"/>
    <w:rsid w:val="00B3738B"/>
    <w:rsid w:val="00B375B8"/>
    <w:rsid w:val="00B37C20"/>
    <w:rsid w:val="00B37FA5"/>
    <w:rsid w:val="00B37FAD"/>
    <w:rsid w:val="00B40225"/>
    <w:rsid w:val="00B405D2"/>
    <w:rsid w:val="00B4067E"/>
    <w:rsid w:val="00B4141B"/>
    <w:rsid w:val="00B41BB3"/>
    <w:rsid w:val="00B41E45"/>
    <w:rsid w:val="00B41E67"/>
    <w:rsid w:val="00B42DEE"/>
    <w:rsid w:val="00B43084"/>
    <w:rsid w:val="00B447CC"/>
    <w:rsid w:val="00B44ABE"/>
    <w:rsid w:val="00B44E2C"/>
    <w:rsid w:val="00B44F76"/>
    <w:rsid w:val="00B45765"/>
    <w:rsid w:val="00B45B70"/>
    <w:rsid w:val="00B45C05"/>
    <w:rsid w:val="00B45C5B"/>
    <w:rsid w:val="00B462C1"/>
    <w:rsid w:val="00B4692E"/>
    <w:rsid w:val="00B46AEC"/>
    <w:rsid w:val="00B46BF0"/>
    <w:rsid w:val="00B47495"/>
    <w:rsid w:val="00B479F3"/>
    <w:rsid w:val="00B501B6"/>
    <w:rsid w:val="00B50D92"/>
    <w:rsid w:val="00B50EC7"/>
    <w:rsid w:val="00B50F0D"/>
    <w:rsid w:val="00B52188"/>
    <w:rsid w:val="00B5229C"/>
    <w:rsid w:val="00B52402"/>
    <w:rsid w:val="00B5255A"/>
    <w:rsid w:val="00B52802"/>
    <w:rsid w:val="00B53048"/>
    <w:rsid w:val="00B534E5"/>
    <w:rsid w:val="00B5372F"/>
    <w:rsid w:val="00B53B08"/>
    <w:rsid w:val="00B53F63"/>
    <w:rsid w:val="00B53F71"/>
    <w:rsid w:val="00B541B4"/>
    <w:rsid w:val="00B54356"/>
    <w:rsid w:val="00B546A3"/>
    <w:rsid w:val="00B54E6D"/>
    <w:rsid w:val="00B54EE1"/>
    <w:rsid w:val="00B551F8"/>
    <w:rsid w:val="00B556EC"/>
    <w:rsid w:val="00B56A7D"/>
    <w:rsid w:val="00B56BEC"/>
    <w:rsid w:val="00B56E55"/>
    <w:rsid w:val="00B57243"/>
    <w:rsid w:val="00B5740E"/>
    <w:rsid w:val="00B57889"/>
    <w:rsid w:val="00B57FF3"/>
    <w:rsid w:val="00B6007E"/>
    <w:rsid w:val="00B60358"/>
    <w:rsid w:val="00B6056F"/>
    <w:rsid w:val="00B60669"/>
    <w:rsid w:val="00B60F35"/>
    <w:rsid w:val="00B61260"/>
    <w:rsid w:val="00B614CE"/>
    <w:rsid w:val="00B615C7"/>
    <w:rsid w:val="00B61A4D"/>
    <w:rsid w:val="00B61D7D"/>
    <w:rsid w:val="00B61F40"/>
    <w:rsid w:val="00B61F90"/>
    <w:rsid w:val="00B62797"/>
    <w:rsid w:val="00B62AB0"/>
    <w:rsid w:val="00B62E01"/>
    <w:rsid w:val="00B63629"/>
    <w:rsid w:val="00B63B9D"/>
    <w:rsid w:val="00B63F78"/>
    <w:rsid w:val="00B63FFD"/>
    <w:rsid w:val="00B6431A"/>
    <w:rsid w:val="00B646D6"/>
    <w:rsid w:val="00B64746"/>
    <w:rsid w:val="00B648C2"/>
    <w:rsid w:val="00B6634F"/>
    <w:rsid w:val="00B66381"/>
    <w:rsid w:val="00B669C7"/>
    <w:rsid w:val="00B6734D"/>
    <w:rsid w:val="00B67569"/>
    <w:rsid w:val="00B70184"/>
    <w:rsid w:val="00B70211"/>
    <w:rsid w:val="00B718AF"/>
    <w:rsid w:val="00B71B91"/>
    <w:rsid w:val="00B71C6F"/>
    <w:rsid w:val="00B71EAD"/>
    <w:rsid w:val="00B7271E"/>
    <w:rsid w:val="00B72F53"/>
    <w:rsid w:val="00B73769"/>
    <w:rsid w:val="00B7447E"/>
    <w:rsid w:val="00B74E8C"/>
    <w:rsid w:val="00B75018"/>
    <w:rsid w:val="00B752BE"/>
    <w:rsid w:val="00B7536A"/>
    <w:rsid w:val="00B75622"/>
    <w:rsid w:val="00B75A37"/>
    <w:rsid w:val="00B75DBA"/>
    <w:rsid w:val="00B7601B"/>
    <w:rsid w:val="00B7698A"/>
    <w:rsid w:val="00B76F30"/>
    <w:rsid w:val="00B7715F"/>
    <w:rsid w:val="00B771AD"/>
    <w:rsid w:val="00B778E9"/>
    <w:rsid w:val="00B77E0B"/>
    <w:rsid w:val="00B77F2D"/>
    <w:rsid w:val="00B80152"/>
    <w:rsid w:val="00B801F2"/>
    <w:rsid w:val="00B8062C"/>
    <w:rsid w:val="00B814B9"/>
    <w:rsid w:val="00B81AF6"/>
    <w:rsid w:val="00B81D11"/>
    <w:rsid w:val="00B81D44"/>
    <w:rsid w:val="00B81E6B"/>
    <w:rsid w:val="00B82023"/>
    <w:rsid w:val="00B82791"/>
    <w:rsid w:val="00B8279F"/>
    <w:rsid w:val="00B8295E"/>
    <w:rsid w:val="00B829DD"/>
    <w:rsid w:val="00B829EB"/>
    <w:rsid w:val="00B82B0C"/>
    <w:rsid w:val="00B82D71"/>
    <w:rsid w:val="00B82D7F"/>
    <w:rsid w:val="00B8385D"/>
    <w:rsid w:val="00B84182"/>
    <w:rsid w:val="00B842DB"/>
    <w:rsid w:val="00B84434"/>
    <w:rsid w:val="00B84A5C"/>
    <w:rsid w:val="00B84B4D"/>
    <w:rsid w:val="00B84BAA"/>
    <w:rsid w:val="00B84C50"/>
    <w:rsid w:val="00B85005"/>
    <w:rsid w:val="00B857F9"/>
    <w:rsid w:val="00B85980"/>
    <w:rsid w:val="00B85B7E"/>
    <w:rsid w:val="00B85CCC"/>
    <w:rsid w:val="00B85E0F"/>
    <w:rsid w:val="00B86237"/>
    <w:rsid w:val="00B86644"/>
    <w:rsid w:val="00B86962"/>
    <w:rsid w:val="00B86D4C"/>
    <w:rsid w:val="00B86D85"/>
    <w:rsid w:val="00B86DEA"/>
    <w:rsid w:val="00B877F7"/>
    <w:rsid w:val="00B8792F"/>
    <w:rsid w:val="00B87C85"/>
    <w:rsid w:val="00B87D67"/>
    <w:rsid w:val="00B87E40"/>
    <w:rsid w:val="00B902B2"/>
    <w:rsid w:val="00B91157"/>
    <w:rsid w:val="00B91451"/>
    <w:rsid w:val="00B91846"/>
    <w:rsid w:val="00B92394"/>
    <w:rsid w:val="00B929E8"/>
    <w:rsid w:val="00B92F8C"/>
    <w:rsid w:val="00B93384"/>
    <w:rsid w:val="00B93AC5"/>
    <w:rsid w:val="00B93BD3"/>
    <w:rsid w:val="00B93D88"/>
    <w:rsid w:val="00B94180"/>
    <w:rsid w:val="00B94FC5"/>
    <w:rsid w:val="00B95116"/>
    <w:rsid w:val="00B95315"/>
    <w:rsid w:val="00B9545F"/>
    <w:rsid w:val="00B95A4A"/>
    <w:rsid w:val="00B95B44"/>
    <w:rsid w:val="00B95EB3"/>
    <w:rsid w:val="00B961B2"/>
    <w:rsid w:val="00B96607"/>
    <w:rsid w:val="00B9661D"/>
    <w:rsid w:val="00B96733"/>
    <w:rsid w:val="00B96812"/>
    <w:rsid w:val="00B96E49"/>
    <w:rsid w:val="00B971C5"/>
    <w:rsid w:val="00B972DD"/>
    <w:rsid w:val="00B9798D"/>
    <w:rsid w:val="00B979C4"/>
    <w:rsid w:val="00B97A1F"/>
    <w:rsid w:val="00B97DE5"/>
    <w:rsid w:val="00BA061B"/>
    <w:rsid w:val="00BA09C3"/>
    <w:rsid w:val="00BA0D4D"/>
    <w:rsid w:val="00BA0EF3"/>
    <w:rsid w:val="00BA1041"/>
    <w:rsid w:val="00BA14F7"/>
    <w:rsid w:val="00BA2072"/>
    <w:rsid w:val="00BA21E8"/>
    <w:rsid w:val="00BA2216"/>
    <w:rsid w:val="00BA25B9"/>
    <w:rsid w:val="00BA2D53"/>
    <w:rsid w:val="00BA2E96"/>
    <w:rsid w:val="00BA3327"/>
    <w:rsid w:val="00BA3B05"/>
    <w:rsid w:val="00BA4C37"/>
    <w:rsid w:val="00BA4DD0"/>
    <w:rsid w:val="00BA572A"/>
    <w:rsid w:val="00BA5843"/>
    <w:rsid w:val="00BA5913"/>
    <w:rsid w:val="00BA5EC2"/>
    <w:rsid w:val="00BA62FE"/>
    <w:rsid w:val="00BA638A"/>
    <w:rsid w:val="00BA6B08"/>
    <w:rsid w:val="00BA6EF9"/>
    <w:rsid w:val="00BB06C4"/>
    <w:rsid w:val="00BB0C8F"/>
    <w:rsid w:val="00BB132E"/>
    <w:rsid w:val="00BB1F69"/>
    <w:rsid w:val="00BB24BE"/>
    <w:rsid w:val="00BB24FB"/>
    <w:rsid w:val="00BB2677"/>
    <w:rsid w:val="00BB2D69"/>
    <w:rsid w:val="00BB3044"/>
    <w:rsid w:val="00BB3288"/>
    <w:rsid w:val="00BB3382"/>
    <w:rsid w:val="00BB3729"/>
    <w:rsid w:val="00BB416E"/>
    <w:rsid w:val="00BB4651"/>
    <w:rsid w:val="00BB46B9"/>
    <w:rsid w:val="00BB489E"/>
    <w:rsid w:val="00BB5156"/>
    <w:rsid w:val="00BB575F"/>
    <w:rsid w:val="00BB57CD"/>
    <w:rsid w:val="00BB6667"/>
    <w:rsid w:val="00BB6A69"/>
    <w:rsid w:val="00BB6CFB"/>
    <w:rsid w:val="00BB7550"/>
    <w:rsid w:val="00BB766B"/>
    <w:rsid w:val="00BC021E"/>
    <w:rsid w:val="00BC089B"/>
    <w:rsid w:val="00BC0A80"/>
    <w:rsid w:val="00BC167A"/>
    <w:rsid w:val="00BC1730"/>
    <w:rsid w:val="00BC1C38"/>
    <w:rsid w:val="00BC1D0C"/>
    <w:rsid w:val="00BC2447"/>
    <w:rsid w:val="00BC245A"/>
    <w:rsid w:val="00BC2EAF"/>
    <w:rsid w:val="00BC2EF8"/>
    <w:rsid w:val="00BC4AA7"/>
    <w:rsid w:val="00BC5583"/>
    <w:rsid w:val="00BC55D6"/>
    <w:rsid w:val="00BC565E"/>
    <w:rsid w:val="00BC574F"/>
    <w:rsid w:val="00BC5928"/>
    <w:rsid w:val="00BC5F70"/>
    <w:rsid w:val="00BC5FA6"/>
    <w:rsid w:val="00BC6063"/>
    <w:rsid w:val="00BC6297"/>
    <w:rsid w:val="00BC63C0"/>
    <w:rsid w:val="00BC6520"/>
    <w:rsid w:val="00BC722E"/>
    <w:rsid w:val="00BC72CB"/>
    <w:rsid w:val="00BC770C"/>
    <w:rsid w:val="00BC7F00"/>
    <w:rsid w:val="00BD00A9"/>
    <w:rsid w:val="00BD032A"/>
    <w:rsid w:val="00BD043A"/>
    <w:rsid w:val="00BD0AA6"/>
    <w:rsid w:val="00BD0C63"/>
    <w:rsid w:val="00BD11E2"/>
    <w:rsid w:val="00BD127E"/>
    <w:rsid w:val="00BD14F5"/>
    <w:rsid w:val="00BD1E44"/>
    <w:rsid w:val="00BD2453"/>
    <w:rsid w:val="00BD3813"/>
    <w:rsid w:val="00BD3D19"/>
    <w:rsid w:val="00BD3F6A"/>
    <w:rsid w:val="00BD41F9"/>
    <w:rsid w:val="00BD4619"/>
    <w:rsid w:val="00BD4698"/>
    <w:rsid w:val="00BD4E26"/>
    <w:rsid w:val="00BD4F98"/>
    <w:rsid w:val="00BD54D1"/>
    <w:rsid w:val="00BD55F7"/>
    <w:rsid w:val="00BD68B1"/>
    <w:rsid w:val="00BD6999"/>
    <w:rsid w:val="00BD69B1"/>
    <w:rsid w:val="00BD6F7E"/>
    <w:rsid w:val="00BD781E"/>
    <w:rsid w:val="00BD7AA2"/>
    <w:rsid w:val="00BE0873"/>
    <w:rsid w:val="00BE0F97"/>
    <w:rsid w:val="00BE0FAD"/>
    <w:rsid w:val="00BE142B"/>
    <w:rsid w:val="00BE150C"/>
    <w:rsid w:val="00BE18E5"/>
    <w:rsid w:val="00BE1CF6"/>
    <w:rsid w:val="00BE2941"/>
    <w:rsid w:val="00BE297E"/>
    <w:rsid w:val="00BE2A84"/>
    <w:rsid w:val="00BE34C6"/>
    <w:rsid w:val="00BE35F8"/>
    <w:rsid w:val="00BE3819"/>
    <w:rsid w:val="00BE3AAF"/>
    <w:rsid w:val="00BE3F05"/>
    <w:rsid w:val="00BE41B4"/>
    <w:rsid w:val="00BE45D6"/>
    <w:rsid w:val="00BE54B7"/>
    <w:rsid w:val="00BE58AD"/>
    <w:rsid w:val="00BE5FF9"/>
    <w:rsid w:val="00BE6664"/>
    <w:rsid w:val="00BE6C44"/>
    <w:rsid w:val="00BE6EE2"/>
    <w:rsid w:val="00BE708B"/>
    <w:rsid w:val="00BE7F7D"/>
    <w:rsid w:val="00BF0429"/>
    <w:rsid w:val="00BF08B1"/>
    <w:rsid w:val="00BF1163"/>
    <w:rsid w:val="00BF139B"/>
    <w:rsid w:val="00BF18C1"/>
    <w:rsid w:val="00BF1E0A"/>
    <w:rsid w:val="00BF2292"/>
    <w:rsid w:val="00BF2605"/>
    <w:rsid w:val="00BF27E2"/>
    <w:rsid w:val="00BF28A5"/>
    <w:rsid w:val="00BF28E1"/>
    <w:rsid w:val="00BF2934"/>
    <w:rsid w:val="00BF2D25"/>
    <w:rsid w:val="00BF2E2B"/>
    <w:rsid w:val="00BF3049"/>
    <w:rsid w:val="00BF3209"/>
    <w:rsid w:val="00BF3AB7"/>
    <w:rsid w:val="00BF4115"/>
    <w:rsid w:val="00BF4744"/>
    <w:rsid w:val="00BF47A0"/>
    <w:rsid w:val="00BF4AC0"/>
    <w:rsid w:val="00BF4BA1"/>
    <w:rsid w:val="00BF4DB8"/>
    <w:rsid w:val="00BF59AC"/>
    <w:rsid w:val="00BF5AED"/>
    <w:rsid w:val="00BF5CE6"/>
    <w:rsid w:val="00BF5D96"/>
    <w:rsid w:val="00BF5F2D"/>
    <w:rsid w:val="00BF5F43"/>
    <w:rsid w:val="00BF65D2"/>
    <w:rsid w:val="00BF6715"/>
    <w:rsid w:val="00BF6802"/>
    <w:rsid w:val="00BF6994"/>
    <w:rsid w:val="00BF769B"/>
    <w:rsid w:val="00BF7827"/>
    <w:rsid w:val="00BF7BB5"/>
    <w:rsid w:val="00BF7C8D"/>
    <w:rsid w:val="00BF7CB6"/>
    <w:rsid w:val="00BF7D25"/>
    <w:rsid w:val="00C00653"/>
    <w:rsid w:val="00C00E3D"/>
    <w:rsid w:val="00C01447"/>
    <w:rsid w:val="00C014EA"/>
    <w:rsid w:val="00C0169F"/>
    <w:rsid w:val="00C01E75"/>
    <w:rsid w:val="00C023A8"/>
    <w:rsid w:val="00C02919"/>
    <w:rsid w:val="00C02E28"/>
    <w:rsid w:val="00C02F60"/>
    <w:rsid w:val="00C0312F"/>
    <w:rsid w:val="00C03648"/>
    <w:rsid w:val="00C03734"/>
    <w:rsid w:val="00C04498"/>
    <w:rsid w:val="00C04607"/>
    <w:rsid w:val="00C04708"/>
    <w:rsid w:val="00C04F42"/>
    <w:rsid w:val="00C05295"/>
    <w:rsid w:val="00C05929"/>
    <w:rsid w:val="00C0596F"/>
    <w:rsid w:val="00C05C20"/>
    <w:rsid w:val="00C05F96"/>
    <w:rsid w:val="00C06A64"/>
    <w:rsid w:val="00C06FFE"/>
    <w:rsid w:val="00C071F6"/>
    <w:rsid w:val="00C079F2"/>
    <w:rsid w:val="00C07AEA"/>
    <w:rsid w:val="00C07F76"/>
    <w:rsid w:val="00C10199"/>
    <w:rsid w:val="00C10590"/>
    <w:rsid w:val="00C107FA"/>
    <w:rsid w:val="00C1090D"/>
    <w:rsid w:val="00C10939"/>
    <w:rsid w:val="00C10AA6"/>
    <w:rsid w:val="00C10BC6"/>
    <w:rsid w:val="00C11061"/>
    <w:rsid w:val="00C112A0"/>
    <w:rsid w:val="00C11424"/>
    <w:rsid w:val="00C11790"/>
    <w:rsid w:val="00C11EC3"/>
    <w:rsid w:val="00C120C5"/>
    <w:rsid w:val="00C1223D"/>
    <w:rsid w:val="00C122D3"/>
    <w:rsid w:val="00C12ABF"/>
    <w:rsid w:val="00C12CB6"/>
    <w:rsid w:val="00C12D58"/>
    <w:rsid w:val="00C134D4"/>
    <w:rsid w:val="00C13762"/>
    <w:rsid w:val="00C1389D"/>
    <w:rsid w:val="00C138A8"/>
    <w:rsid w:val="00C13B9A"/>
    <w:rsid w:val="00C1414E"/>
    <w:rsid w:val="00C14EAF"/>
    <w:rsid w:val="00C15221"/>
    <w:rsid w:val="00C1562E"/>
    <w:rsid w:val="00C157EE"/>
    <w:rsid w:val="00C15EA0"/>
    <w:rsid w:val="00C163DB"/>
    <w:rsid w:val="00C1673D"/>
    <w:rsid w:val="00C1684C"/>
    <w:rsid w:val="00C17325"/>
    <w:rsid w:val="00C1734D"/>
    <w:rsid w:val="00C175A0"/>
    <w:rsid w:val="00C17D83"/>
    <w:rsid w:val="00C205DB"/>
    <w:rsid w:val="00C20A3E"/>
    <w:rsid w:val="00C20D3F"/>
    <w:rsid w:val="00C20FA5"/>
    <w:rsid w:val="00C213D3"/>
    <w:rsid w:val="00C2158E"/>
    <w:rsid w:val="00C2182C"/>
    <w:rsid w:val="00C21EA5"/>
    <w:rsid w:val="00C21ECF"/>
    <w:rsid w:val="00C22455"/>
    <w:rsid w:val="00C2298D"/>
    <w:rsid w:val="00C22A7D"/>
    <w:rsid w:val="00C22F49"/>
    <w:rsid w:val="00C23030"/>
    <w:rsid w:val="00C232FB"/>
    <w:rsid w:val="00C23561"/>
    <w:rsid w:val="00C2378D"/>
    <w:rsid w:val="00C23B19"/>
    <w:rsid w:val="00C23CB4"/>
    <w:rsid w:val="00C23FF4"/>
    <w:rsid w:val="00C24549"/>
    <w:rsid w:val="00C24628"/>
    <w:rsid w:val="00C24BA2"/>
    <w:rsid w:val="00C253FE"/>
    <w:rsid w:val="00C25448"/>
    <w:rsid w:val="00C25576"/>
    <w:rsid w:val="00C25807"/>
    <w:rsid w:val="00C25808"/>
    <w:rsid w:val="00C25C42"/>
    <w:rsid w:val="00C25FC9"/>
    <w:rsid w:val="00C2622D"/>
    <w:rsid w:val="00C26541"/>
    <w:rsid w:val="00C2670C"/>
    <w:rsid w:val="00C26C03"/>
    <w:rsid w:val="00C2714B"/>
    <w:rsid w:val="00C27459"/>
    <w:rsid w:val="00C2752D"/>
    <w:rsid w:val="00C27FC1"/>
    <w:rsid w:val="00C300DF"/>
    <w:rsid w:val="00C301C8"/>
    <w:rsid w:val="00C30340"/>
    <w:rsid w:val="00C30D1E"/>
    <w:rsid w:val="00C31461"/>
    <w:rsid w:val="00C31589"/>
    <w:rsid w:val="00C3178A"/>
    <w:rsid w:val="00C317A5"/>
    <w:rsid w:val="00C31D3A"/>
    <w:rsid w:val="00C325CE"/>
    <w:rsid w:val="00C32759"/>
    <w:rsid w:val="00C328F0"/>
    <w:rsid w:val="00C32C28"/>
    <w:rsid w:val="00C32D2F"/>
    <w:rsid w:val="00C333D1"/>
    <w:rsid w:val="00C3343D"/>
    <w:rsid w:val="00C3358E"/>
    <w:rsid w:val="00C3365C"/>
    <w:rsid w:val="00C34503"/>
    <w:rsid w:val="00C346AA"/>
    <w:rsid w:val="00C3480F"/>
    <w:rsid w:val="00C34895"/>
    <w:rsid w:val="00C34A4E"/>
    <w:rsid w:val="00C34A99"/>
    <w:rsid w:val="00C34EE6"/>
    <w:rsid w:val="00C36196"/>
    <w:rsid w:val="00C36B49"/>
    <w:rsid w:val="00C36F1B"/>
    <w:rsid w:val="00C3777C"/>
    <w:rsid w:val="00C377C1"/>
    <w:rsid w:val="00C40201"/>
    <w:rsid w:val="00C406F1"/>
    <w:rsid w:val="00C4096A"/>
    <w:rsid w:val="00C409D6"/>
    <w:rsid w:val="00C40BD1"/>
    <w:rsid w:val="00C40E0F"/>
    <w:rsid w:val="00C40E19"/>
    <w:rsid w:val="00C40F0D"/>
    <w:rsid w:val="00C4102F"/>
    <w:rsid w:val="00C41D0C"/>
    <w:rsid w:val="00C41EFA"/>
    <w:rsid w:val="00C428BA"/>
    <w:rsid w:val="00C42D34"/>
    <w:rsid w:val="00C43537"/>
    <w:rsid w:val="00C4409E"/>
    <w:rsid w:val="00C445F9"/>
    <w:rsid w:val="00C4471B"/>
    <w:rsid w:val="00C44B16"/>
    <w:rsid w:val="00C4529E"/>
    <w:rsid w:val="00C4552E"/>
    <w:rsid w:val="00C45753"/>
    <w:rsid w:val="00C457B5"/>
    <w:rsid w:val="00C4641F"/>
    <w:rsid w:val="00C46AFA"/>
    <w:rsid w:val="00C476FB"/>
    <w:rsid w:val="00C50305"/>
    <w:rsid w:val="00C503D3"/>
    <w:rsid w:val="00C5058D"/>
    <w:rsid w:val="00C50779"/>
    <w:rsid w:val="00C50DE0"/>
    <w:rsid w:val="00C51185"/>
    <w:rsid w:val="00C51D87"/>
    <w:rsid w:val="00C51F43"/>
    <w:rsid w:val="00C51FCC"/>
    <w:rsid w:val="00C5237D"/>
    <w:rsid w:val="00C52445"/>
    <w:rsid w:val="00C5252C"/>
    <w:rsid w:val="00C526FE"/>
    <w:rsid w:val="00C52D6C"/>
    <w:rsid w:val="00C52E31"/>
    <w:rsid w:val="00C537C7"/>
    <w:rsid w:val="00C53A7A"/>
    <w:rsid w:val="00C53E84"/>
    <w:rsid w:val="00C53FEE"/>
    <w:rsid w:val="00C54ADF"/>
    <w:rsid w:val="00C54EB2"/>
    <w:rsid w:val="00C55640"/>
    <w:rsid w:val="00C55818"/>
    <w:rsid w:val="00C55EAC"/>
    <w:rsid w:val="00C56BA5"/>
    <w:rsid w:val="00C56F47"/>
    <w:rsid w:val="00C57359"/>
    <w:rsid w:val="00C57C1C"/>
    <w:rsid w:val="00C57CAF"/>
    <w:rsid w:val="00C57D7B"/>
    <w:rsid w:val="00C57EAE"/>
    <w:rsid w:val="00C6068A"/>
    <w:rsid w:val="00C60787"/>
    <w:rsid w:val="00C616B6"/>
    <w:rsid w:val="00C61CD8"/>
    <w:rsid w:val="00C625BA"/>
    <w:rsid w:val="00C62629"/>
    <w:rsid w:val="00C6276C"/>
    <w:rsid w:val="00C62EBB"/>
    <w:rsid w:val="00C63015"/>
    <w:rsid w:val="00C63155"/>
    <w:rsid w:val="00C634ED"/>
    <w:rsid w:val="00C635B3"/>
    <w:rsid w:val="00C639DE"/>
    <w:rsid w:val="00C63A9B"/>
    <w:rsid w:val="00C63B4F"/>
    <w:rsid w:val="00C63DB1"/>
    <w:rsid w:val="00C6417C"/>
    <w:rsid w:val="00C64493"/>
    <w:rsid w:val="00C6546A"/>
    <w:rsid w:val="00C65563"/>
    <w:rsid w:val="00C65795"/>
    <w:rsid w:val="00C65A09"/>
    <w:rsid w:val="00C65DC2"/>
    <w:rsid w:val="00C661DB"/>
    <w:rsid w:val="00C662D0"/>
    <w:rsid w:val="00C670C6"/>
    <w:rsid w:val="00C67C18"/>
    <w:rsid w:val="00C67F1C"/>
    <w:rsid w:val="00C70EE4"/>
    <w:rsid w:val="00C711DB"/>
    <w:rsid w:val="00C71352"/>
    <w:rsid w:val="00C71640"/>
    <w:rsid w:val="00C719CB"/>
    <w:rsid w:val="00C71AE2"/>
    <w:rsid w:val="00C71DB9"/>
    <w:rsid w:val="00C72188"/>
    <w:rsid w:val="00C72F2F"/>
    <w:rsid w:val="00C7312D"/>
    <w:rsid w:val="00C735CA"/>
    <w:rsid w:val="00C73E2F"/>
    <w:rsid w:val="00C74B45"/>
    <w:rsid w:val="00C74D8B"/>
    <w:rsid w:val="00C74DE0"/>
    <w:rsid w:val="00C75108"/>
    <w:rsid w:val="00C7531B"/>
    <w:rsid w:val="00C75370"/>
    <w:rsid w:val="00C7540A"/>
    <w:rsid w:val="00C76420"/>
    <w:rsid w:val="00C7671B"/>
    <w:rsid w:val="00C767CE"/>
    <w:rsid w:val="00C76814"/>
    <w:rsid w:val="00C769AF"/>
    <w:rsid w:val="00C76AEB"/>
    <w:rsid w:val="00C76BF0"/>
    <w:rsid w:val="00C76D91"/>
    <w:rsid w:val="00C7711A"/>
    <w:rsid w:val="00C77580"/>
    <w:rsid w:val="00C80233"/>
    <w:rsid w:val="00C8038C"/>
    <w:rsid w:val="00C8088D"/>
    <w:rsid w:val="00C81089"/>
    <w:rsid w:val="00C816BA"/>
    <w:rsid w:val="00C81924"/>
    <w:rsid w:val="00C823FC"/>
    <w:rsid w:val="00C82E6E"/>
    <w:rsid w:val="00C831BC"/>
    <w:rsid w:val="00C833B8"/>
    <w:rsid w:val="00C83E44"/>
    <w:rsid w:val="00C83FAD"/>
    <w:rsid w:val="00C8407D"/>
    <w:rsid w:val="00C8488C"/>
    <w:rsid w:val="00C848A9"/>
    <w:rsid w:val="00C85125"/>
    <w:rsid w:val="00C85997"/>
    <w:rsid w:val="00C85B13"/>
    <w:rsid w:val="00C85B7F"/>
    <w:rsid w:val="00C85F10"/>
    <w:rsid w:val="00C8647F"/>
    <w:rsid w:val="00C86AD7"/>
    <w:rsid w:val="00C87101"/>
    <w:rsid w:val="00C871DD"/>
    <w:rsid w:val="00C87BE8"/>
    <w:rsid w:val="00C87CB2"/>
    <w:rsid w:val="00C87DB9"/>
    <w:rsid w:val="00C906F6"/>
    <w:rsid w:val="00C90E2E"/>
    <w:rsid w:val="00C910F1"/>
    <w:rsid w:val="00C92220"/>
    <w:rsid w:val="00C92F7D"/>
    <w:rsid w:val="00C93040"/>
    <w:rsid w:val="00C932FB"/>
    <w:rsid w:val="00C93BE4"/>
    <w:rsid w:val="00C93E79"/>
    <w:rsid w:val="00C93FF2"/>
    <w:rsid w:val="00C9440D"/>
    <w:rsid w:val="00C947B2"/>
    <w:rsid w:val="00C95245"/>
    <w:rsid w:val="00C954F8"/>
    <w:rsid w:val="00C95916"/>
    <w:rsid w:val="00C95A29"/>
    <w:rsid w:val="00C9600C"/>
    <w:rsid w:val="00C96057"/>
    <w:rsid w:val="00C9631A"/>
    <w:rsid w:val="00C96B9E"/>
    <w:rsid w:val="00C9743C"/>
    <w:rsid w:val="00C976DC"/>
    <w:rsid w:val="00C97DA9"/>
    <w:rsid w:val="00CA0781"/>
    <w:rsid w:val="00CA07B7"/>
    <w:rsid w:val="00CA0B43"/>
    <w:rsid w:val="00CA0C81"/>
    <w:rsid w:val="00CA0FE9"/>
    <w:rsid w:val="00CA1032"/>
    <w:rsid w:val="00CA1790"/>
    <w:rsid w:val="00CA1FB8"/>
    <w:rsid w:val="00CA207C"/>
    <w:rsid w:val="00CA2133"/>
    <w:rsid w:val="00CA215C"/>
    <w:rsid w:val="00CA21F0"/>
    <w:rsid w:val="00CA24DF"/>
    <w:rsid w:val="00CA2643"/>
    <w:rsid w:val="00CA368D"/>
    <w:rsid w:val="00CA3B63"/>
    <w:rsid w:val="00CA3CD0"/>
    <w:rsid w:val="00CA42A2"/>
    <w:rsid w:val="00CA4424"/>
    <w:rsid w:val="00CA4646"/>
    <w:rsid w:val="00CA4697"/>
    <w:rsid w:val="00CA4BC1"/>
    <w:rsid w:val="00CA5ADB"/>
    <w:rsid w:val="00CA5CAB"/>
    <w:rsid w:val="00CA606A"/>
    <w:rsid w:val="00CA663D"/>
    <w:rsid w:val="00CA7851"/>
    <w:rsid w:val="00CA7901"/>
    <w:rsid w:val="00CA7A6D"/>
    <w:rsid w:val="00CB03E0"/>
    <w:rsid w:val="00CB05DA"/>
    <w:rsid w:val="00CB0797"/>
    <w:rsid w:val="00CB09BF"/>
    <w:rsid w:val="00CB0D6C"/>
    <w:rsid w:val="00CB1C52"/>
    <w:rsid w:val="00CB203F"/>
    <w:rsid w:val="00CB221C"/>
    <w:rsid w:val="00CB261E"/>
    <w:rsid w:val="00CB2A62"/>
    <w:rsid w:val="00CB3DB9"/>
    <w:rsid w:val="00CB4288"/>
    <w:rsid w:val="00CB42AE"/>
    <w:rsid w:val="00CB42C1"/>
    <w:rsid w:val="00CB432B"/>
    <w:rsid w:val="00CB47D8"/>
    <w:rsid w:val="00CB60CF"/>
    <w:rsid w:val="00CB6471"/>
    <w:rsid w:val="00CB64F0"/>
    <w:rsid w:val="00CB6CBD"/>
    <w:rsid w:val="00CB73F3"/>
    <w:rsid w:val="00CB7485"/>
    <w:rsid w:val="00CB76EC"/>
    <w:rsid w:val="00CB7EE3"/>
    <w:rsid w:val="00CB7F06"/>
    <w:rsid w:val="00CB7F37"/>
    <w:rsid w:val="00CC061F"/>
    <w:rsid w:val="00CC0825"/>
    <w:rsid w:val="00CC12BE"/>
    <w:rsid w:val="00CC140D"/>
    <w:rsid w:val="00CC15D2"/>
    <w:rsid w:val="00CC1C8D"/>
    <w:rsid w:val="00CC1D7B"/>
    <w:rsid w:val="00CC1EF6"/>
    <w:rsid w:val="00CC2205"/>
    <w:rsid w:val="00CC22F7"/>
    <w:rsid w:val="00CC2C3D"/>
    <w:rsid w:val="00CC34DB"/>
    <w:rsid w:val="00CC3F0E"/>
    <w:rsid w:val="00CC3F93"/>
    <w:rsid w:val="00CC4B4F"/>
    <w:rsid w:val="00CC5045"/>
    <w:rsid w:val="00CC526B"/>
    <w:rsid w:val="00CC5373"/>
    <w:rsid w:val="00CC67CE"/>
    <w:rsid w:val="00CC69DA"/>
    <w:rsid w:val="00CC6F9F"/>
    <w:rsid w:val="00CC749F"/>
    <w:rsid w:val="00CC7EDC"/>
    <w:rsid w:val="00CC7FEE"/>
    <w:rsid w:val="00CD029E"/>
    <w:rsid w:val="00CD0624"/>
    <w:rsid w:val="00CD073B"/>
    <w:rsid w:val="00CD08C0"/>
    <w:rsid w:val="00CD098E"/>
    <w:rsid w:val="00CD0A92"/>
    <w:rsid w:val="00CD0E1B"/>
    <w:rsid w:val="00CD0F32"/>
    <w:rsid w:val="00CD10C2"/>
    <w:rsid w:val="00CD1403"/>
    <w:rsid w:val="00CD1469"/>
    <w:rsid w:val="00CD1847"/>
    <w:rsid w:val="00CD1BA0"/>
    <w:rsid w:val="00CD2425"/>
    <w:rsid w:val="00CD2463"/>
    <w:rsid w:val="00CD2C79"/>
    <w:rsid w:val="00CD3E9D"/>
    <w:rsid w:val="00CD4256"/>
    <w:rsid w:val="00CD4A51"/>
    <w:rsid w:val="00CD4F7C"/>
    <w:rsid w:val="00CD51B8"/>
    <w:rsid w:val="00CD52D4"/>
    <w:rsid w:val="00CD5BFB"/>
    <w:rsid w:val="00CD6921"/>
    <w:rsid w:val="00CD6C5F"/>
    <w:rsid w:val="00CD7119"/>
    <w:rsid w:val="00CD7463"/>
    <w:rsid w:val="00CD76A7"/>
    <w:rsid w:val="00CD7817"/>
    <w:rsid w:val="00CD789D"/>
    <w:rsid w:val="00CD7D53"/>
    <w:rsid w:val="00CD7DE8"/>
    <w:rsid w:val="00CE07D2"/>
    <w:rsid w:val="00CE0B5D"/>
    <w:rsid w:val="00CE0B78"/>
    <w:rsid w:val="00CE0C54"/>
    <w:rsid w:val="00CE0E00"/>
    <w:rsid w:val="00CE1547"/>
    <w:rsid w:val="00CE1696"/>
    <w:rsid w:val="00CE1B59"/>
    <w:rsid w:val="00CE1BF0"/>
    <w:rsid w:val="00CE213C"/>
    <w:rsid w:val="00CE2C5A"/>
    <w:rsid w:val="00CE2CAC"/>
    <w:rsid w:val="00CE30E9"/>
    <w:rsid w:val="00CE3275"/>
    <w:rsid w:val="00CE39AD"/>
    <w:rsid w:val="00CE3A84"/>
    <w:rsid w:val="00CE3CC7"/>
    <w:rsid w:val="00CE3D09"/>
    <w:rsid w:val="00CE400D"/>
    <w:rsid w:val="00CE4716"/>
    <w:rsid w:val="00CE471B"/>
    <w:rsid w:val="00CE51FF"/>
    <w:rsid w:val="00CE6285"/>
    <w:rsid w:val="00CE662E"/>
    <w:rsid w:val="00CE6B66"/>
    <w:rsid w:val="00CE6CA9"/>
    <w:rsid w:val="00CE72A5"/>
    <w:rsid w:val="00CE73EB"/>
    <w:rsid w:val="00CE75C8"/>
    <w:rsid w:val="00CE7C12"/>
    <w:rsid w:val="00CF00A7"/>
    <w:rsid w:val="00CF00F7"/>
    <w:rsid w:val="00CF03C3"/>
    <w:rsid w:val="00CF0AE7"/>
    <w:rsid w:val="00CF0AE9"/>
    <w:rsid w:val="00CF0CF1"/>
    <w:rsid w:val="00CF0E00"/>
    <w:rsid w:val="00CF14E4"/>
    <w:rsid w:val="00CF16FA"/>
    <w:rsid w:val="00CF1934"/>
    <w:rsid w:val="00CF2524"/>
    <w:rsid w:val="00CF2B2C"/>
    <w:rsid w:val="00CF2E05"/>
    <w:rsid w:val="00CF2FF1"/>
    <w:rsid w:val="00CF33DE"/>
    <w:rsid w:val="00CF3B3B"/>
    <w:rsid w:val="00CF3C7B"/>
    <w:rsid w:val="00CF3C99"/>
    <w:rsid w:val="00CF428A"/>
    <w:rsid w:val="00CF4F6C"/>
    <w:rsid w:val="00CF5C91"/>
    <w:rsid w:val="00CF5CF2"/>
    <w:rsid w:val="00CF61FB"/>
    <w:rsid w:val="00CF6299"/>
    <w:rsid w:val="00CF6FF9"/>
    <w:rsid w:val="00CF70D8"/>
    <w:rsid w:val="00CF740B"/>
    <w:rsid w:val="00CF7470"/>
    <w:rsid w:val="00CF7820"/>
    <w:rsid w:val="00CF7AB4"/>
    <w:rsid w:val="00CF7FC4"/>
    <w:rsid w:val="00D0021B"/>
    <w:rsid w:val="00D004B1"/>
    <w:rsid w:val="00D008DD"/>
    <w:rsid w:val="00D011E8"/>
    <w:rsid w:val="00D01228"/>
    <w:rsid w:val="00D0142B"/>
    <w:rsid w:val="00D02335"/>
    <w:rsid w:val="00D0243C"/>
    <w:rsid w:val="00D02A2D"/>
    <w:rsid w:val="00D02C3E"/>
    <w:rsid w:val="00D02D71"/>
    <w:rsid w:val="00D032F5"/>
    <w:rsid w:val="00D038BD"/>
    <w:rsid w:val="00D03B29"/>
    <w:rsid w:val="00D03C63"/>
    <w:rsid w:val="00D041AA"/>
    <w:rsid w:val="00D04636"/>
    <w:rsid w:val="00D04A24"/>
    <w:rsid w:val="00D04AFF"/>
    <w:rsid w:val="00D04F3F"/>
    <w:rsid w:val="00D05162"/>
    <w:rsid w:val="00D0519F"/>
    <w:rsid w:val="00D05401"/>
    <w:rsid w:val="00D0543E"/>
    <w:rsid w:val="00D05D53"/>
    <w:rsid w:val="00D064E2"/>
    <w:rsid w:val="00D0654E"/>
    <w:rsid w:val="00D06AD5"/>
    <w:rsid w:val="00D07E61"/>
    <w:rsid w:val="00D1025D"/>
    <w:rsid w:val="00D108E5"/>
    <w:rsid w:val="00D1132E"/>
    <w:rsid w:val="00D119B9"/>
    <w:rsid w:val="00D11CCF"/>
    <w:rsid w:val="00D11E79"/>
    <w:rsid w:val="00D1245D"/>
    <w:rsid w:val="00D1298F"/>
    <w:rsid w:val="00D130EA"/>
    <w:rsid w:val="00D132CA"/>
    <w:rsid w:val="00D13F38"/>
    <w:rsid w:val="00D140A4"/>
    <w:rsid w:val="00D15094"/>
    <w:rsid w:val="00D15759"/>
    <w:rsid w:val="00D158C9"/>
    <w:rsid w:val="00D15930"/>
    <w:rsid w:val="00D15A25"/>
    <w:rsid w:val="00D15B16"/>
    <w:rsid w:val="00D15E0D"/>
    <w:rsid w:val="00D16050"/>
    <w:rsid w:val="00D1643E"/>
    <w:rsid w:val="00D16564"/>
    <w:rsid w:val="00D16945"/>
    <w:rsid w:val="00D16DC2"/>
    <w:rsid w:val="00D16EC7"/>
    <w:rsid w:val="00D172CB"/>
    <w:rsid w:val="00D17ACE"/>
    <w:rsid w:val="00D17B85"/>
    <w:rsid w:val="00D17CF5"/>
    <w:rsid w:val="00D2074D"/>
    <w:rsid w:val="00D21544"/>
    <w:rsid w:val="00D219C7"/>
    <w:rsid w:val="00D21BE3"/>
    <w:rsid w:val="00D21FF1"/>
    <w:rsid w:val="00D2267B"/>
    <w:rsid w:val="00D226D1"/>
    <w:rsid w:val="00D22749"/>
    <w:rsid w:val="00D227C6"/>
    <w:rsid w:val="00D22F1F"/>
    <w:rsid w:val="00D23031"/>
    <w:rsid w:val="00D233C3"/>
    <w:rsid w:val="00D237C1"/>
    <w:rsid w:val="00D2426A"/>
    <w:rsid w:val="00D250A6"/>
    <w:rsid w:val="00D2512D"/>
    <w:rsid w:val="00D252CA"/>
    <w:rsid w:val="00D25594"/>
    <w:rsid w:val="00D258B3"/>
    <w:rsid w:val="00D25BFD"/>
    <w:rsid w:val="00D25E73"/>
    <w:rsid w:val="00D25FE8"/>
    <w:rsid w:val="00D269EA"/>
    <w:rsid w:val="00D26B13"/>
    <w:rsid w:val="00D272B6"/>
    <w:rsid w:val="00D274C1"/>
    <w:rsid w:val="00D30B30"/>
    <w:rsid w:val="00D3136A"/>
    <w:rsid w:val="00D31C45"/>
    <w:rsid w:val="00D31ECB"/>
    <w:rsid w:val="00D3287D"/>
    <w:rsid w:val="00D32A03"/>
    <w:rsid w:val="00D337FF"/>
    <w:rsid w:val="00D3396E"/>
    <w:rsid w:val="00D33ACF"/>
    <w:rsid w:val="00D33B44"/>
    <w:rsid w:val="00D33BA6"/>
    <w:rsid w:val="00D33C70"/>
    <w:rsid w:val="00D33CD3"/>
    <w:rsid w:val="00D33F3B"/>
    <w:rsid w:val="00D34226"/>
    <w:rsid w:val="00D34892"/>
    <w:rsid w:val="00D34CA7"/>
    <w:rsid w:val="00D34CF7"/>
    <w:rsid w:val="00D356C9"/>
    <w:rsid w:val="00D35DB7"/>
    <w:rsid w:val="00D362DA"/>
    <w:rsid w:val="00D367E0"/>
    <w:rsid w:val="00D36F4D"/>
    <w:rsid w:val="00D3744B"/>
    <w:rsid w:val="00D37562"/>
    <w:rsid w:val="00D379EC"/>
    <w:rsid w:val="00D37BA0"/>
    <w:rsid w:val="00D4076C"/>
    <w:rsid w:val="00D4089E"/>
    <w:rsid w:val="00D40B93"/>
    <w:rsid w:val="00D40DB0"/>
    <w:rsid w:val="00D4109F"/>
    <w:rsid w:val="00D411D4"/>
    <w:rsid w:val="00D41C5E"/>
    <w:rsid w:val="00D42444"/>
    <w:rsid w:val="00D426D3"/>
    <w:rsid w:val="00D428F7"/>
    <w:rsid w:val="00D42BD9"/>
    <w:rsid w:val="00D4327D"/>
    <w:rsid w:val="00D43712"/>
    <w:rsid w:val="00D43892"/>
    <w:rsid w:val="00D43F6D"/>
    <w:rsid w:val="00D45DAB"/>
    <w:rsid w:val="00D45F3E"/>
    <w:rsid w:val="00D4645A"/>
    <w:rsid w:val="00D46462"/>
    <w:rsid w:val="00D467C9"/>
    <w:rsid w:val="00D46A87"/>
    <w:rsid w:val="00D46B1D"/>
    <w:rsid w:val="00D46ECE"/>
    <w:rsid w:val="00D471FC"/>
    <w:rsid w:val="00D47749"/>
    <w:rsid w:val="00D47B8E"/>
    <w:rsid w:val="00D47BDF"/>
    <w:rsid w:val="00D50C31"/>
    <w:rsid w:val="00D50DF4"/>
    <w:rsid w:val="00D51409"/>
    <w:rsid w:val="00D51A8D"/>
    <w:rsid w:val="00D522D2"/>
    <w:rsid w:val="00D526E7"/>
    <w:rsid w:val="00D5321C"/>
    <w:rsid w:val="00D53723"/>
    <w:rsid w:val="00D5376C"/>
    <w:rsid w:val="00D5389B"/>
    <w:rsid w:val="00D53C4F"/>
    <w:rsid w:val="00D5487B"/>
    <w:rsid w:val="00D5531B"/>
    <w:rsid w:val="00D557F6"/>
    <w:rsid w:val="00D55B8F"/>
    <w:rsid w:val="00D55F0C"/>
    <w:rsid w:val="00D561CD"/>
    <w:rsid w:val="00D5663D"/>
    <w:rsid w:val="00D5708C"/>
    <w:rsid w:val="00D57592"/>
    <w:rsid w:val="00D57F7B"/>
    <w:rsid w:val="00D6013E"/>
    <w:rsid w:val="00D603EA"/>
    <w:rsid w:val="00D60418"/>
    <w:rsid w:val="00D60693"/>
    <w:rsid w:val="00D60A95"/>
    <w:rsid w:val="00D6236A"/>
    <w:rsid w:val="00D62473"/>
    <w:rsid w:val="00D62BBA"/>
    <w:rsid w:val="00D6329B"/>
    <w:rsid w:val="00D637F3"/>
    <w:rsid w:val="00D6388A"/>
    <w:rsid w:val="00D647CE"/>
    <w:rsid w:val="00D649A0"/>
    <w:rsid w:val="00D64A06"/>
    <w:rsid w:val="00D64F14"/>
    <w:rsid w:val="00D657F1"/>
    <w:rsid w:val="00D659E0"/>
    <w:rsid w:val="00D66158"/>
    <w:rsid w:val="00D661E6"/>
    <w:rsid w:val="00D666EA"/>
    <w:rsid w:val="00D66BFC"/>
    <w:rsid w:val="00D66F05"/>
    <w:rsid w:val="00D6722B"/>
    <w:rsid w:val="00D673B3"/>
    <w:rsid w:val="00D67E34"/>
    <w:rsid w:val="00D701CC"/>
    <w:rsid w:val="00D7022D"/>
    <w:rsid w:val="00D707EA"/>
    <w:rsid w:val="00D709DB"/>
    <w:rsid w:val="00D70B31"/>
    <w:rsid w:val="00D70D5B"/>
    <w:rsid w:val="00D70E46"/>
    <w:rsid w:val="00D71023"/>
    <w:rsid w:val="00D715EE"/>
    <w:rsid w:val="00D71D11"/>
    <w:rsid w:val="00D72022"/>
    <w:rsid w:val="00D7233A"/>
    <w:rsid w:val="00D72773"/>
    <w:rsid w:val="00D73ABB"/>
    <w:rsid w:val="00D73D18"/>
    <w:rsid w:val="00D73D77"/>
    <w:rsid w:val="00D73D7C"/>
    <w:rsid w:val="00D73DA9"/>
    <w:rsid w:val="00D73E43"/>
    <w:rsid w:val="00D73EDF"/>
    <w:rsid w:val="00D745F9"/>
    <w:rsid w:val="00D747F3"/>
    <w:rsid w:val="00D7483E"/>
    <w:rsid w:val="00D74DC6"/>
    <w:rsid w:val="00D7562B"/>
    <w:rsid w:val="00D75BB5"/>
    <w:rsid w:val="00D75E51"/>
    <w:rsid w:val="00D75F4D"/>
    <w:rsid w:val="00D760D7"/>
    <w:rsid w:val="00D761E5"/>
    <w:rsid w:val="00D7695B"/>
    <w:rsid w:val="00D76A63"/>
    <w:rsid w:val="00D76B30"/>
    <w:rsid w:val="00D76F61"/>
    <w:rsid w:val="00D771EC"/>
    <w:rsid w:val="00D772B6"/>
    <w:rsid w:val="00D7760C"/>
    <w:rsid w:val="00D776CA"/>
    <w:rsid w:val="00D77BD1"/>
    <w:rsid w:val="00D80105"/>
    <w:rsid w:val="00D8071F"/>
    <w:rsid w:val="00D80E66"/>
    <w:rsid w:val="00D8100D"/>
    <w:rsid w:val="00D81589"/>
    <w:rsid w:val="00D815F5"/>
    <w:rsid w:val="00D8183F"/>
    <w:rsid w:val="00D81DDF"/>
    <w:rsid w:val="00D826A4"/>
    <w:rsid w:val="00D828A9"/>
    <w:rsid w:val="00D83985"/>
    <w:rsid w:val="00D83CD7"/>
    <w:rsid w:val="00D84388"/>
    <w:rsid w:val="00D845CE"/>
    <w:rsid w:val="00D8461C"/>
    <w:rsid w:val="00D8483F"/>
    <w:rsid w:val="00D853D8"/>
    <w:rsid w:val="00D8565F"/>
    <w:rsid w:val="00D859F3"/>
    <w:rsid w:val="00D85BAA"/>
    <w:rsid w:val="00D85CA2"/>
    <w:rsid w:val="00D85CB6"/>
    <w:rsid w:val="00D86383"/>
    <w:rsid w:val="00D86F66"/>
    <w:rsid w:val="00D8708A"/>
    <w:rsid w:val="00D871C5"/>
    <w:rsid w:val="00D8769F"/>
    <w:rsid w:val="00D87728"/>
    <w:rsid w:val="00D87DE9"/>
    <w:rsid w:val="00D90464"/>
    <w:rsid w:val="00D907FB"/>
    <w:rsid w:val="00D90B11"/>
    <w:rsid w:val="00D90C9B"/>
    <w:rsid w:val="00D90CCA"/>
    <w:rsid w:val="00D9163C"/>
    <w:rsid w:val="00D91C62"/>
    <w:rsid w:val="00D92956"/>
    <w:rsid w:val="00D92F49"/>
    <w:rsid w:val="00D92F88"/>
    <w:rsid w:val="00D93400"/>
    <w:rsid w:val="00D93B54"/>
    <w:rsid w:val="00D94602"/>
    <w:rsid w:val="00D9486A"/>
    <w:rsid w:val="00D949CF"/>
    <w:rsid w:val="00D94D7A"/>
    <w:rsid w:val="00D95356"/>
    <w:rsid w:val="00D95366"/>
    <w:rsid w:val="00D956B2"/>
    <w:rsid w:val="00D957A0"/>
    <w:rsid w:val="00D95950"/>
    <w:rsid w:val="00D968B4"/>
    <w:rsid w:val="00D96CBB"/>
    <w:rsid w:val="00D96E41"/>
    <w:rsid w:val="00D97435"/>
    <w:rsid w:val="00D9795A"/>
    <w:rsid w:val="00D97ADC"/>
    <w:rsid w:val="00DA0335"/>
    <w:rsid w:val="00DA0A65"/>
    <w:rsid w:val="00DA1B75"/>
    <w:rsid w:val="00DA1BC6"/>
    <w:rsid w:val="00DA250D"/>
    <w:rsid w:val="00DA2AA1"/>
    <w:rsid w:val="00DA32AE"/>
    <w:rsid w:val="00DA34B4"/>
    <w:rsid w:val="00DA3913"/>
    <w:rsid w:val="00DA39DA"/>
    <w:rsid w:val="00DA3EA0"/>
    <w:rsid w:val="00DA52F2"/>
    <w:rsid w:val="00DA54A9"/>
    <w:rsid w:val="00DA587A"/>
    <w:rsid w:val="00DA58DE"/>
    <w:rsid w:val="00DA5DA5"/>
    <w:rsid w:val="00DA6EA2"/>
    <w:rsid w:val="00DA6FAF"/>
    <w:rsid w:val="00DA70E5"/>
    <w:rsid w:val="00DA7209"/>
    <w:rsid w:val="00DA73BA"/>
    <w:rsid w:val="00DA73ED"/>
    <w:rsid w:val="00DA7C3D"/>
    <w:rsid w:val="00DB0E6A"/>
    <w:rsid w:val="00DB0E70"/>
    <w:rsid w:val="00DB0F78"/>
    <w:rsid w:val="00DB1083"/>
    <w:rsid w:val="00DB1411"/>
    <w:rsid w:val="00DB179A"/>
    <w:rsid w:val="00DB1BD4"/>
    <w:rsid w:val="00DB1D9B"/>
    <w:rsid w:val="00DB1FB2"/>
    <w:rsid w:val="00DB22CD"/>
    <w:rsid w:val="00DB27B0"/>
    <w:rsid w:val="00DB2904"/>
    <w:rsid w:val="00DB2D33"/>
    <w:rsid w:val="00DB2F94"/>
    <w:rsid w:val="00DB301C"/>
    <w:rsid w:val="00DB34BD"/>
    <w:rsid w:val="00DB483F"/>
    <w:rsid w:val="00DB4AEC"/>
    <w:rsid w:val="00DB4EA0"/>
    <w:rsid w:val="00DB53F0"/>
    <w:rsid w:val="00DB5B38"/>
    <w:rsid w:val="00DB5CDE"/>
    <w:rsid w:val="00DB606B"/>
    <w:rsid w:val="00DB618F"/>
    <w:rsid w:val="00DB6921"/>
    <w:rsid w:val="00DB69EB"/>
    <w:rsid w:val="00DB6A4E"/>
    <w:rsid w:val="00DB6BBD"/>
    <w:rsid w:val="00DB7001"/>
    <w:rsid w:val="00DB7543"/>
    <w:rsid w:val="00DB7621"/>
    <w:rsid w:val="00DB78B1"/>
    <w:rsid w:val="00DB7ADF"/>
    <w:rsid w:val="00DB7C3D"/>
    <w:rsid w:val="00DC05AA"/>
    <w:rsid w:val="00DC062F"/>
    <w:rsid w:val="00DC150F"/>
    <w:rsid w:val="00DC159C"/>
    <w:rsid w:val="00DC15AC"/>
    <w:rsid w:val="00DC2137"/>
    <w:rsid w:val="00DC2823"/>
    <w:rsid w:val="00DC2A8C"/>
    <w:rsid w:val="00DC2BE5"/>
    <w:rsid w:val="00DC2F62"/>
    <w:rsid w:val="00DC30C1"/>
    <w:rsid w:val="00DC312E"/>
    <w:rsid w:val="00DC3494"/>
    <w:rsid w:val="00DC35CC"/>
    <w:rsid w:val="00DC3B87"/>
    <w:rsid w:val="00DC3F44"/>
    <w:rsid w:val="00DC5579"/>
    <w:rsid w:val="00DC5ADD"/>
    <w:rsid w:val="00DC5C4D"/>
    <w:rsid w:val="00DC6C4E"/>
    <w:rsid w:val="00DC7365"/>
    <w:rsid w:val="00DC772C"/>
    <w:rsid w:val="00DC7B2B"/>
    <w:rsid w:val="00DC7EED"/>
    <w:rsid w:val="00DD009A"/>
    <w:rsid w:val="00DD019C"/>
    <w:rsid w:val="00DD0A10"/>
    <w:rsid w:val="00DD0A60"/>
    <w:rsid w:val="00DD14EE"/>
    <w:rsid w:val="00DD1989"/>
    <w:rsid w:val="00DD19E6"/>
    <w:rsid w:val="00DD1B33"/>
    <w:rsid w:val="00DD256E"/>
    <w:rsid w:val="00DD2648"/>
    <w:rsid w:val="00DD2C81"/>
    <w:rsid w:val="00DD3367"/>
    <w:rsid w:val="00DD33AF"/>
    <w:rsid w:val="00DD33B1"/>
    <w:rsid w:val="00DD3732"/>
    <w:rsid w:val="00DD421A"/>
    <w:rsid w:val="00DD427F"/>
    <w:rsid w:val="00DD43BD"/>
    <w:rsid w:val="00DD49E2"/>
    <w:rsid w:val="00DD49EF"/>
    <w:rsid w:val="00DD4A52"/>
    <w:rsid w:val="00DD4D30"/>
    <w:rsid w:val="00DD50C9"/>
    <w:rsid w:val="00DD51A8"/>
    <w:rsid w:val="00DD5781"/>
    <w:rsid w:val="00DD5CB1"/>
    <w:rsid w:val="00DD60A4"/>
    <w:rsid w:val="00DD63F2"/>
    <w:rsid w:val="00DD64A9"/>
    <w:rsid w:val="00DD6D02"/>
    <w:rsid w:val="00DD6D76"/>
    <w:rsid w:val="00DD7298"/>
    <w:rsid w:val="00DD7761"/>
    <w:rsid w:val="00DD780F"/>
    <w:rsid w:val="00DD7A0F"/>
    <w:rsid w:val="00DD7F34"/>
    <w:rsid w:val="00DE0457"/>
    <w:rsid w:val="00DE0633"/>
    <w:rsid w:val="00DE0A91"/>
    <w:rsid w:val="00DE0B5F"/>
    <w:rsid w:val="00DE0C5A"/>
    <w:rsid w:val="00DE1536"/>
    <w:rsid w:val="00DE1BBC"/>
    <w:rsid w:val="00DE1C3C"/>
    <w:rsid w:val="00DE1D01"/>
    <w:rsid w:val="00DE1D37"/>
    <w:rsid w:val="00DE2344"/>
    <w:rsid w:val="00DE2392"/>
    <w:rsid w:val="00DE23F3"/>
    <w:rsid w:val="00DE2933"/>
    <w:rsid w:val="00DE2A11"/>
    <w:rsid w:val="00DE2FEC"/>
    <w:rsid w:val="00DE36EF"/>
    <w:rsid w:val="00DE3730"/>
    <w:rsid w:val="00DE3A5E"/>
    <w:rsid w:val="00DE4218"/>
    <w:rsid w:val="00DE4347"/>
    <w:rsid w:val="00DE44FB"/>
    <w:rsid w:val="00DE4521"/>
    <w:rsid w:val="00DE47A7"/>
    <w:rsid w:val="00DE47EC"/>
    <w:rsid w:val="00DE4889"/>
    <w:rsid w:val="00DE50DB"/>
    <w:rsid w:val="00DE5B9D"/>
    <w:rsid w:val="00DE6B15"/>
    <w:rsid w:val="00DE6C7D"/>
    <w:rsid w:val="00DE6F86"/>
    <w:rsid w:val="00DE76B2"/>
    <w:rsid w:val="00DE76C3"/>
    <w:rsid w:val="00DE79E8"/>
    <w:rsid w:val="00DF032F"/>
    <w:rsid w:val="00DF0A41"/>
    <w:rsid w:val="00DF106F"/>
    <w:rsid w:val="00DF2B94"/>
    <w:rsid w:val="00DF2C64"/>
    <w:rsid w:val="00DF3013"/>
    <w:rsid w:val="00DF3125"/>
    <w:rsid w:val="00DF3391"/>
    <w:rsid w:val="00DF3529"/>
    <w:rsid w:val="00DF3AE1"/>
    <w:rsid w:val="00DF3D3C"/>
    <w:rsid w:val="00DF4230"/>
    <w:rsid w:val="00DF450B"/>
    <w:rsid w:val="00DF4F1B"/>
    <w:rsid w:val="00DF5BE8"/>
    <w:rsid w:val="00DF5EBF"/>
    <w:rsid w:val="00DF6138"/>
    <w:rsid w:val="00DF6238"/>
    <w:rsid w:val="00DF631B"/>
    <w:rsid w:val="00DF63B4"/>
    <w:rsid w:val="00DF65A8"/>
    <w:rsid w:val="00DF66F7"/>
    <w:rsid w:val="00DF6BD9"/>
    <w:rsid w:val="00DF6C0C"/>
    <w:rsid w:val="00DF7348"/>
    <w:rsid w:val="00DF769F"/>
    <w:rsid w:val="00DF774F"/>
    <w:rsid w:val="00DF7A3A"/>
    <w:rsid w:val="00DF7EE9"/>
    <w:rsid w:val="00E000EC"/>
    <w:rsid w:val="00E0072F"/>
    <w:rsid w:val="00E00C35"/>
    <w:rsid w:val="00E00E21"/>
    <w:rsid w:val="00E01097"/>
    <w:rsid w:val="00E011D0"/>
    <w:rsid w:val="00E01353"/>
    <w:rsid w:val="00E01C6E"/>
    <w:rsid w:val="00E01E87"/>
    <w:rsid w:val="00E01F99"/>
    <w:rsid w:val="00E02121"/>
    <w:rsid w:val="00E0291A"/>
    <w:rsid w:val="00E02B52"/>
    <w:rsid w:val="00E02CC2"/>
    <w:rsid w:val="00E03A4F"/>
    <w:rsid w:val="00E03DDF"/>
    <w:rsid w:val="00E042BA"/>
    <w:rsid w:val="00E0510E"/>
    <w:rsid w:val="00E05D47"/>
    <w:rsid w:val="00E05DD8"/>
    <w:rsid w:val="00E061C6"/>
    <w:rsid w:val="00E06AA5"/>
    <w:rsid w:val="00E06DF8"/>
    <w:rsid w:val="00E07312"/>
    <w:rsid w:val="00E075D1"/>
    <w:rsid w:val="00E1079A"/>
    <w:rsid w:val="00E10ADC"/>
    <w:rsid w:val="00E10C87"/>
    <w:rsid w:val="00E10F5E"/>
    <w:rsid w:val="00E1124E"/>
    <w:rsid w:val="00E11584"/>
    <w:rsid w:val="00E120DE"/>
    <w:rsid w:val="00E13682"/>
    <w:rsid w:val="00E14614"/>
    <w:rsid w:val="00E14C87"/>
    <w:rsid w:val="00E14D70"/>
    <w:rsid w:val="00E14DDE"/>
    <w:rsid w:val="00E14FEC"/>
    <w:rsid w:val="00E15797"/>
    <w:rsid w:val="00E160D6"/>
    <w:rsid w:val="00E16807"/>
    <w:rsid w:val="00E16A4E"/>
    <w:rsid w:val="00E2034D"/>
    <w:rsid w:val="00E206A5"/>
    <w:rsid w:val="00E20F5B"/>
    <w:rsid w:val="00E2113A"/>
    <w:rsid w:val="00E21340"/>
    <w:rsid w:val="00E2180C"/>
    <w:rsid w:val="00E235F7"/>
    <w:rsid w:val="00E238AD"/>
    <w:rsid w:val="00E240C2"/>
    <w:rsid w:val="00E245E1"/>
    <w:rsid w:val="00E25101"/>
    <w:rsid w:val="00E25402"/>
    <w:rsid w:val="00E254BF"/>
    <w:rsid w:val="00E25591"/>
    <w:rsid w:val="00E25F6E"/>
    <w:rsid w:val="00E25F94"/>
    <w:rsid w:val="00E26C4F"/>
    <w:rsid w:val="00E26FF5"/>
    <w:rsid w:val="00E27341"/>
    <w:rsid w:val="00E273FA"/>
    <w:rsid w:val="00E27941"/>
    <w:rsid w:val="00E27F1D"/>
    <w:rsid w:val="00E30157"/>
    <w:rsid w:val="00E307A1"/>
    <w:rsid w:val="00E307F1"/>
    <w:rsid w:val="00E310AD"/>
    <w:rsid w:val="00E314D1"/>
    <w:rsid w:val="00E31794"/>
    <w:rsid w:val="00E3192C"/>
    <w:rsid w:val="00E31ACC"/>
    <w:rsid w:val="00E31E26"/>
    <w:rsid w:val="00E321ED"/>
    <w:rsid w:val="00E327C2"/>
    <w:rsid w:val="00E3291F"/>
    <w:rsid w:val="00E32950"/>
    <w:rsid w:val="00E3399D"/>
    <w:rsid w:val="00E34C7D"/>
    <w:rsid w:val="00E34E04"/>
    <w:rsid w:val="00E35474"/>
    <w:rsid w:val="00E3576C"/>
    <w:rsid w:val="00E35BBF"/>
    <w:rsid w:val="00E36BD9"/>
    <w:rsid w:val="00E36C17"/>
    <w:rsid w:val="00E37014"/>
    <w:rsid w:val="00E379BD"/>
    <w:rsid w:val="00E37D33"/>
    <w:rsid w:val="00E4055F"/>
    <w:rsid w:val="00E40977"/>
    <w:rsid w:val="00E409E2"/>
    <w:rsid w:val="00E4110B"/>
    <w:rsid w:val="00E41629"/>
    <w:rsid w:val="00E42994"/>
    <w:rsid w:val="00E42A17"/>
    <w:rsid w:val="00E43196"/>
    <w:rsid w:val="00E437E5"/>
    <w:rsid w:val="00E44544"/>
    <w:rsid w:val="00E445D5"/>
    <w:rsid w:val="00E454E9"/>
    <w:rsid w:val="00E45A95"/>
    <w:rsid w:val="00E45B1F"/>
    <w:rsid w:val="00E46BF2"/>
    <w:rsid w:val="00E47000"/>
    <w:rsid w:val="00E471B5"/>
    <w:rsid w:val="00E472EB"/>
    <w:rsid w:val="00E47B23"/>
    <w:rsid w:val="00E47B31"/>
    <w:rsid w:val="00E47BAC"/>
    <w:rsid w:val="00E50595"/>
    <w:rsid w:val="00E506DB"/>
    <w:rsid w:val="00E50C6D"/>
    <w:rsid w:val="00E513E7"/>
    <w:rsid w:val="00E525DE"/>
    <w:rsid w:val="00E52D4A"/>
    <w:rsid w:val="00E530DF"/>
    <w:rsid w:val="00E5336E"/>
    <w:rsid w:val="00E5396F"/>
    <w:rsid w:val="00E53F9E"/>
    <w:rsid w:val="00E543BC"/>
    <w:rsid w:val="00E54662"/>
    <w:rsid w:val="00E54EFC"/>
    <w:rsid w:val="00E54F60"/>
    <w:rsid w:val="00E552B2"/>
    <w:rsid w:val="00E5596C"/>
    <w:rsid w:val="00E564FD"/>
    <w:rsid w:val="00E565EC"/>
    <w:rsid w:val="00E56D57"/>
    <w:rsid w:val="00E56FFF"/>
    <w:rsid w:val="00E5792E"/>
    <w:rsid w:val="00E57A36"/>
    <w:rsid w:val="00E600B2"/>
    <w:rsid w:val="00E60486"/>
    <w:rsid w:val="00E6095D"/>
    <w:rsid w:val="00E60BDE"/>
    <w:rsid w:val="00E6116F"/>
    <w:rsid w:val="00E61789"/>
    <w:rsid w:val="00E61905"/>
    <w:rsid w:val="00E61D02"/>
    <w:rsid w:val="00E62150"/>
    <w:rsid w:val="00E622DF"/>
    <w:rsid w:val="00E624F5"/>
    <w:rsid w:val="00E626E8"/>
    <w:rsid w:val="00E62A8D"/>
    <w:rsid w:val="00E631EE"/>
    <w:rsid w:val="00E63472"/>
    <w:rsid w:val="00E63988"/>
    <w:rsid w:val="00E63D97"/>
    <w:rsid w:val="00E63FF8"/>
    <w:rsid w:val="00E64051"/>
    <w:rsid w:val="00E64B10"/>
    <w:rsid w:val="00E64DF5"/>
    <w:rsid w:val="00E651EB"/>
    <w:rsid w:val="00E65AB8"/>
    <w:rsid w:val="00E65BE6"/>
    <w:rsid w:val="00E65CFF"/>
    <w:rsid w:val="00E660A7"/>
    <w:rsid w:val="00E6614B"/>
    <w:rsid w:val="00E66675"/>
    <w:rsid w:val="00E6684B"/>
    <w:rsid w:val="00E66928"/>
    <w:rsid w:val="00E66B09"/>
    <w:rsid w:val="00E6724B"/>
    <w:rsid w:val="00E67CF0"/>
    <w:rsid w:val="00E70622"/>
    <w:rsid w:val="00E70A1C"/>
    <w:rsid w:val="00E70DCC"/>
    <w:rsid w:val="00E70F6D"/>
    <w:rsid w:val="00E70FE7"/>
    <w:rsid w:val="00E71684"/>
    <w:rsid w:val="00E7182F"/>
    <w:rsid w:val="00E71BB4"/>
    <w:rsid w:val="00E7255D"/>
    <w:rsid w:val="00E72F72"/>
    <w:rsid w:val="00E73B48"/>
    <w:rsid w:val="00E74295"/>
    <w:rsid w:val="00E743AB"/>
    <w:rsid w:val="00E743C8"/>
    <w:rsid w:val="00E74881"/>
    <w:rsid w:val="00E74ECD"/>
    <w:rsid w:val="00E75290"/>
    <w:rsid w:val="00E759BC"/>
    <w:rsid w:val="00E75A18"/>
    <w:rsid w:val="00E75DF3"/>
    <w:rsid w:val="00E76050"/>
    <w:rsid w:val="00E76156"/>
    <w:rsid w:val="00E769C1"/>
    <w:rsid w:val="00E77160"/>
    <w:rsid w:val="00E772CA"/>
    <w:rsid w:val="00E775F5"/>
    <w:rsid w:val="00E77B34"/>
    <w:rsid w:val="00E77BC0"/>
    <w:rsid w:val="00E77F99"/>
    <w:rsid w:val="00E80261"/>
    <w:rsid w:val="00E80B31"/>
    <w:rsid w:val="00E8115B"/>
    <w:rsid w:val="00E8167C"/>
    <w:rsid w:val="00E81AEF"/>
    <w:rsid w:val="00E81B58"/>
    <w:rsid w:val="00E8282C"/>
    <w:rsid w:val="00E83359"/>
    <w:rsid w:val="00E839A5"/>
    <w:rsid w:val="00E83AA9"/>
    <w:rsid w:val="00E83FD8"/>
    <w:rsid w:val="00E845B3"/>
    <w:rsid w:val="00E84D99"/>
    <w:rsid w:val="00E84EFF"/>
    <w:rsid w:val="00E85441"/>
    <w:rsid w:val="00E85612"/>
    <w:rsid w:val="00E85963"/>
    <w:rsid w:val="00E85F5D"/>
    <w:rsid w:val="00E863AF"/>
    <w:rsid w:val="00E86707"/>
    <w:rsid w:val="00E867F5"/>
    <w:rsid w:val="00E87F7B"/>
    <w:rsid w:val="00E901B6"/>
    <w:rsid w:val="00E903B3"/>
    <w:rsid w:val="00E904D1"/>
    <w:rsid w:val="00E90956"/>
    <w:rsid w:val="00E90AF0"/>
    <w:rsid w:val="00E90E02"/>
    <w:rsid w:val="00E913F4"/>
    <w:rsid w:val="00E91AA3"/>
    <w:rsid w:val="00E91E42"/>
    <w:rsid w:val="00E91EC5"/>
    <w:rsid w:val="00E92054"/>
    <w:rsid w:val="00E92097"/>
    <w:rsid w:val="00E92111"/>
    <w:rsid w:val="00E92AB2"/>
    <w:rsid w:val="00E9387F"/>
    <w:rsid w:val="00E93945"/>
    <w:rsid w:val="00E939F5"/>
    <w:rsid w:val="00E93CC4"/>
    <w:rsid w:val="00E93F75"/>
    <w:rsid w:val="00E94049"/>
    <w:rsid w:val="00E944CA"/>
    <w:rsid w:val="00E9530A"/>
    <w:rsid w:val="00E95F6F"/>
    <w:rsid w:val="00E961F1"/>
    <w:rsid w:val="00E972C7"/>
    <w:rsid w:val="00E97875"/>
    <w:rsid w:val="00E979BF"/>
    <w:rsid w:val="00E97D88"/>
    <w:rsid w:val="00EA058F"/>
    <w:rsid w:val="00EA066B"/>
    <w:rsid w:val="00EA08C6"/>
    <w:rsid w:val="00EA0A92"/>
    <w:rsid w:val="00EA0BFB"/>
    <w:rsid w:val="00EA0DE1"/>
    <w:rsid w:val="00EA1644"/>
    <w:rsid w:val="00EA17F9"/>
    <w:rsid w:val="00EA1A8B"/>
    <w:rsid w:val="00EA2106"/>
    <w:rsid w:val="00EA33A3"/>
    <w:rsid w:val="00EA3679"/>
    <w:rsid w:val="00EA4088"/>
    <w:rsid w:val="00EA447A"/>
    <w:rsid w:val="00EA468A"/>
    <w:rsid w:val="00EA4F83"/>
    <w:rsid w:val="00EA525C"/>
    <w:rsid w:val="00EA53A3"/>
    <w:rsid w:val="00EA5563"/>
    <w:rsid w:val="00EA62BB"/>
    <w:rsid w:val="00EA7341"/>
    <w:rsid w:val="00EA7842"/>
    <w:rsid w:val="00EA7A71"/>
    <w:rsid w:val="00EA7CC1"/>
    <w:rsid w:val="00EB0A85"/>
    <w:rsid w:val="00EB0CC9"/>
    <w:rsid w:val="00EB1039"/>
    <w:rsid w:val="00EB1666"/>
    <w:rsid w:val="00EB1788"/>
    <w:rsid w:val="00EB1870"/>
    <w:rsid w:val="00EB1BA5"/>
    <w:rsid w:val="00EB1CA9"/>
    <w:rsid w:val="00EB3520"/>
    <w:rsid w:val="00EB3F91"/>
    <w:rsid w:val="00EB4352"/>
    <w:rsid w:val="00EB54E0"/>
    <w:rsid w:val="00EB5829"/>
    <w:rsid w:val="00EB6B08"/>
    <w:rsid w:val="00EB6D14"/>
    <w:rsid w:val="00EB6F6B"/>
    <w:rsid w:val="00EB73A3"/>
    <w:rsid w:val="00EB7423"/>
    <w:rsid w:val="00EB76F5"/>
    <w:rsid w:val="00EB774C"/>
    <w:rsid w:val="00EC020A"/>
    <w:rsid w:val="00EC0544"/>
    <w:rsid w:val="00EC0816"/>
    <w:rsid w:val="00EC094B"/>
    <w:rsid w:val="00EC0CD0"/>
    <w:rsid w:val="00EC0EB7"/>
    <w:rsid w:val="00EC1A49"/>
    <w:rsid w:val="00EC1A4F"/>
    <w:rsid w:val="00EC2554"/>
    <w:rsid w:val="00EC2929"/>
    <w:rsid w:val="00EC2ACF"/>
    <w:rsid w:val="00EC2E68"/>
    <w:rsid w:val="00EC2FC2"/>
    <w:rsid w:val="00EC39B8"/>
    <w:rsid w:val="00EC4086"/>
    <w:rsid w:val="00EC56BC"/>
    <w:rsid w:val="00EC5D61"/>
    <w:rsid w:val="00EC5FB6"/>
    <w:rsid w:val="00EC60AF"/>
    <w:rsid w:val="00EC626F"/>
    <w:rsid w:val="00EC64EA"/>
    <w:rsid w:val="00EC6AD0"/>
    <w:rsid w:val="00EC6C1C"/>
    <w:rsid w:val="00EC6DBF"/>
    <w:rsid w:val="00EC6F75"/>
    <w:rsid w:val="00EC73EF"/>
    <w:rsid w:val="00EC74F9"/>
    <w:rsid w:val="00EC7900"/>
    <w:rsid w:val="00EC7F41"/>
    <w:rsid w:val="00ED0FEB"/>
    <w:rsid w:val="00ED1024"/>
    <w:rsid w:val="00ED2028"/>
    <w:rsid w:val="00ED2AFB"/>
    <w:rsid w:val="00ED2E47"/>
    <w:rsid w:val="00ED2E81"/>
    <w:rsid w:val="00ED2E9F"/>
    <w:rsid w:val="00ED3452"/>
    <w:rsid w:val="00ED395B"/>
    <w:rsid w:val="00ED3A60"/>
    <w:rsid w:val="00ED4175"/>
    <w:rsid w:val="00ED4252"/>
    <w:rsid w:val="00ED43E5"/>
    <w:rsid w:val="00ED454F"/>
    <w:rsid w:val="00ED4822"/>
    <w:rsid w:val="00ED4923"/>
    <w:rsid w:val="00ED51D4"/>
    <w:rsid w:val="00ED537F"/>
    <w:rsid w:val="00ED53A1"/>
    <w:rsid w:val="00ED56A7"/>
    <w:rsid w:val="00ED6AD3"/>
    <w:rsid w:val="00ED6B3C"/>
    <w:rsid w:val="00ED6C3A"/>
    <w:rsid w:val="00ED6E3D"/>
    <w:rsid w:val="00ED6F98"/>
    <w:rsid w:val="00ED785B"/>
    <w:rsid w:val="00ED7D7F"/>
    <w:rsid w:val="00EE081C"/>
    <w:rsid w:val="00EE0BEF"/>
    <w:rsid w:val="00EE1295"/>
    <w:rsid w:val="00EE1807"/>
    <w:rsid w:val="00EE1C9F"/>
    <w:rsid w:val="00EE26A0"/>
    <w:rsid w:val="00EE2716"/>
    <w:rsid w:val="00EE2921"/>
    <w:rsid w:val="00EE2F49"/>
    <w:rsid w:val="00EE2FA9"/>
    <w:rsid w:val="00EE303C"/>
    <w:rsid w:val="00EE30D1"/>
    <w:rsid w:val="00EE3294"/>
    <w:rsid w:val="00EE3383"/>
    <w:rsid w:val="00EE3876"/>
    <w:rsid w:val="00EE3B08"/>
    <w:rsid w:val="00EE408E"/>
    <w:rsid w:val="00EE4129"/>
    <w:rsid w:val="00EE442C"/>
    <w:rsid w:val="00EE46DD"/>
    <w:rsid w:val="00EE4903"/>
    <w:rsid w:val="00EE636E"/>
    <w:rsid w:val="00EE648C"/>
    <w:rsid w:val="00EE669F"/>
    <w:rsid w:val="00EE7134"/>
    <w:rsid w:val="00EE73C5"/>
    <w:rsid w:val="00EE7603"/>
    <w:rsid w:val="00EE766D"/>
    <w:rsid w:val="00EE7687"/>
    <w:rsid w:val="00EE78B4"/>
    <w:rsid w:val="00EF00D4"/>
    <w:rsid w:val="00EF0B64"/>
    <w:rsid w:val="00EF1123"/>
    <w:rsid w:val="00EF192D"/>
    <w:rsid w:val="00EF2EC9"/>
    <w:rsid w:val="00EF3B8C"/>
    <w:rsid w:val="00EF40DC"/>
    <w:rsid w:val="00EF41E1"/>
    <w:rsid w:val="00EF44AF"/>
    <w:rsid w:val="00EF4699"/>
    <w:rsid w:val="00EF5009"/>
    <w:rsid w:val="00EF51A2"/>
    <w:rsid w:val="00EF58CF"/>
    <w:rsid w:val="00EF5C2F"/>
    <w:rsid w:val="00EF6421"/>
    <w:rsid w:val="00EF6605"/>
    <w:rsid w:val="00EF6C9F"/>
    <w:rsid w:val="00EF6F81"/>
    <w:rsid w:val="00EF7344"/>
    <w:rsid w:val="00EF7966"/>
    <w:rsid w:val="00EF7D24"/>
    <w:rsid w:val="00F001C2"/>
    <w:rsid w:val="00F002CC"/>
    <w:rsid w:val="00F00826"/>
    <w:rsid w:val="00F00EC4"/>
    <w:rsid w:val="00F00FFC"/>
    <w:rsid w:val="00F018CD"/>
    <w:rsid w:val="00F0259A"/>
    <w:rsid w:val="00F02A08"/>
    <w:rsid w:val="00F02CE0"/>
    <w:rsid w:val="00F02FC6"/>
    <w:rsid w:val="00F031E8"/>
    <w:rsid w:val="00F03455"/>
    <w:rsid w:val="00F036B1"/>
    <w:rsid w:val="00F04010"/>
    <w:rsid w:val="00F04217"/>
    <w:rsid w:val="00F04289"/>
    <w:rsid w:val="00F051B6"/>
    <w:rsid w:val="00F05292"/>
    <w:rsid w:val="00F054E5"/>
    <w:rsid w:val="00F054ED"/>
    <w:rsid w:val="00F05CA0"/>
    <w:rsid w:val="00F0615A"/>
    <w:rsid w:val="00F06232"/>
    <w:rsid w:val="00F06371"/>
    <w:rsid w:val="00F06C8E"/>
    <w:rsid w:val="00F06F73"/>
    <w:rsid w:val="00F0734C"/>
    <w:rsid w:val="00F076C1"/>
    <w:rsid w:val="00F07C7C"/>
    <w:rsid w:val="00F07FFE"/>
    <w:rsid w:val="00F108C0"/>
    <w:rsid w:val="00F10DD2"/>
    <w:rsid w:val="00F1114D"/>
    <w:rsid w:val="00F1150E"/>
    <w:rsid w:val="00F11607"/>
    <w:rsid w:val="00F11C0E"/>
    <w:rsid w:val="00F12538"/>
    <w:rsid w:val="00F12641"/>
    <w:rsid w:val="00F13D69"/>
    <w:rsid w:val="00F14033"/>
    <w:rsid w:val="00F1409B"/>
    <w:rsid w:val="00F14116"/>
    <w:rsid w:val="00F14340"/>
    <w:rsid w:val="00F147BF"/>
    <w:rsid w:val="00F14A8D"/>
    <w:rsid w:val="00F14F5A"/>
    <w:rsid w:val="00F151E5"/>
    <w:rsid w:val="00F15320"/>
    <w:rsid w:val="00F15439"/>
    <w:rsid w:val="00F1591D"/>
    <w:rsid w:val="00F15ECB"/>
    <w:rsid w:val="00F16145"/>
    <w:rsid w:val="00F1634E"/>
    <w:rsid w:val="00F16411"/>
    <w:rsid w:val="00F164FC"/>
    <w:rsid w:val="00F16670"/>
    <w:rsid w:val="00F168AB"/>
    <w:rsid w:val="00F16A7E"/>
    <w:rsid w:val="00F16EC7"/>
    <w:rsid w:val="00F176D2"/>
    <w:rsid w:val="00F17A4A"/>
    <w:rsid w:val="00F17FF8"/>
    <w:rsid w:val="00F2007B"/>
    <w:rsid w:val="00F205EF"/>
    <w:rsid w:val="00F207BD"/>
    <w:rsid w:val="00F208B4"/>
    <w:rsid w:val="00F212AC"/>
    <w:rsid w:val="00F215DD"/>
    <w:rsid w:val="00F21EC6"/>
    <w:rsid w:val="00F21F45"/>
    <w:rsid w:val="00F229D3"/>
    <w:rsid w:val="00F22FA5"/>
    <w:rsid w:val="00F2379C"/>
    <w:rsid w:val="00F23ED6"/>
    <w:rsid w:val="00F24A4D"/>
    <w:rsid w:val="00F24E32"/>
    <w:rsid w:val="00F25F35"/>
    <w:rsid w:val="00F263BD"/>
    <w:rsid w:val="00F265D4"/>
    <w:rsid w:val="00F26F1D"/>
    <w:rsid w:val="00F271AF"/>
    <w:rsid w:val="00F2753A"/>
    <w:rsid w:val="00F2760B"/>
    <w:rsid w:val="00F304D5"/>
    <w:rsid w:val="00F31BCB"/>
    <w:rsid w:val="00F31E19"/>
    <w:rsid w:val="00F32067"/>
    <w:rsid w:val="00F321C5"/>
    <w:rsid w:val="00F32C46"/>
    <w:rsid w:val="00F33C36"/>
    <w:rsid w:val="00F342C1"/>
    <w:rsid w:val="00F34B05"/>
    <w:rsid w:val="00F34FEA"/>
    <w:rsid w:val="00F3543F"/>
    <w:rsid w:val="00F355DD"/>
    <w:rsid w:val="00F360B8"/>
    <w:rsid w:val="00F360D2"/>
    <w:rsid w:val="00F363B7"/>
    <w:rsid w:val="00F36708"/>
    <w:rsid w:val="00F3694E"/>
    <w:rsid w:val="00F36E04"/>
    <w:rsid w:val="00F37694"/>
    <w:rsid w:val="00F379C0"/>
    <w:rsid w:val="00F37A73"/>
    <w:rsid w:val="00F37D25"/>
    <w:rsid w:val="00F40041"/>
    <w:rsid w:val="00F40868"/>
    <w:rsid w:val="00F40CFE"/>
    <w:rsid w:val="00F40DCF"/>
    <w:rsid w:val="00F41887"/>
    <w:rsid w:val="00F41901"/>
    <w:rsid w:val="00F41A2F"/>
    <w:rsid w:val="00F42189"/>
    <w:rsid w:val="00F42305"/>
    <w:rsid w:val="00F425F9"/>
    <w:rsid w:val="00F429D6"/>
    <w:rsid w:val="00F432CC"/>
    <w:rsid w:val="00F43702"/>
    <w:rsid w:val="00F43C84"/>
    <w:rsid w:val="00F4482A"/>
    <w:rsid w:val="00F451E7"/>
    <w:rsid w:val="00F454F7"/>
    <w:rsid w:val="00F45BC8"/>
    <w:rsid w:val="00F46255"/>
    <w:rsid w:val="00F46258"/>
    <w:rsid w:val="00F463D7"/>
    <w:rsid w:val="00F46522"/>
    <w:rsid w:val="00F47346"/>
    <w:rsid w:val="00F473DA"/>
    <w:rsid w:val="00F478CB"/>
    <w:rsid w:val="00F50727"/>
    <w:rsid w:val="00F5074B"/>
    <w:rsid w:val="00F509BE"/>
    <w:rsid w:val="00F50FC2"/>
    <w:rsid w:val="00F515CB"/>
    <w:rsid w:val="00F523A4"/>
    <w:rsid w:val="00F52486"/>
    <w:rsid w:val="00F524A7"/>
    <w:rsid w:val="00F52733"/>
    <w:rsid w:val="00F52946"/>
    <w:rsid w:val="00F52A7C"/>
    <w:rsid w:val="00F52B25"/>
    <w:rsid w:val="00F544CA"/>
    <w:rsid w:val="00F54877"/>
    <w:rsid w:val="00F5497B"/>
    <w:rsid w:val="00F54B49"/>
    <w:rsid w:val="00F54D26"/>
    <w:rsid w:val="00F54D73"/>
    <w:rsid w:val="00F55323"/>
    <w:rsid w:val="00F55661"/>
    <w:rsid w:val="00F56787"/>
    <w:rsid w:val="00F56A92"/>
    <w:rsid w:val="00F56CD4"/>
    <w:rsid w:val="00F61980"/>
    <w:rsid w:val="00F623E0"/>
    <w:rsid w:val="00F62592"/>
    <w:rsid w:val="00F62E01"/>
    <w:rsid w:val="00F62E1C"/>
    <w:rsid w:val="00F6368E"/>
    <w:rsid w:val="00F6389B"/>
    <w:rsid w:val="00F638C7"/>
    <w:rsid w:val="00F639F2"/>
    <w:rsid w:val="00F64EFE"/>
    <w:rsid w:val="00F656B2"/>
    <w:rsid w:val="00F65CE9"/>
    <w:rsid w:val="00F65DA6"/>
    <w:rsid w:val="00F65F0C"/>
    <w:rsid w:val="00F65FA4"/>
    <w:rsid w:val="00F6645C"/>
    <w:rsid w:val="00F66461"/>
    <w:rsid w:val="00F66726"/>
    <w:rsid w:val="00F676B9"/>
    <w:rsid w:val="00F67D03"/>
    <w:rsid w:val="00F707F8"/>
    <w:rsid w:val="00F714FF"/>
    <w:rsid w:val="00F737AF"/>
    <w:rsid w:val="00F744E0"/>
    <w:rsid w:val="00F74596"/>
    <w:rsid w:val="00F745A9"/>
    <w:rsid w:val="00F74819"/>
    <w:rsid w:val="00F74847"/>
    <w:rsid w:val="00F74CAE"/>
    <w:rsid w:val="00F74EFB"/>
    <w:rsid w:val="00F758E0"/>
    <w:rsid w:val="00F768BF"/>
    <w:rsid w:val="00F76CD8"/>
    <w:rsid w:val="00F76DF0"/>
    <w:rsid w:val="00F76E85"/>
    <w:rsid w:val="00F772D4"/>
    <w:rsid w:val="00F77CCE"/>
    <w:rsid w:val="00F80642"/>
    <w:rsid w:val="00F80C86"/>
    <w:rsid w:val="00F80F93"/>
    <w:rsid w:val="00F81082"/>
    <w:rsid w:val="00F8113B"/>
    <w:rsid w:val="00F81171"/>
    <w:rsid w:val="00F816D9"/>
    <w:rsid w:val="00F817E3"/>
    <w:rsid w:val="00F81ACA"/>
    <w:rsid w:val="00F81BB2"/>
    <w:rsid w:val="00F81F14"/>
    <w:rsid w:val="00F82562"/>
    <w:rsid w:val="00F82D0E"/>
    <w:rsid w:val="00F82D13"/>
    <w:rsid w:val="00F82D5B"/>
    <w:rsid w:val="00F834A1"/>
    <w:rsid w:val="00F838DA"/>
    <w:rsid w:val="00F8511F"/>
    <w:rsid w:val="00F85228"/>
    <w:rsid w:val="00F85A7D"/>
    <w:rsid w:val="00F85FF9"/>
    <w:rsid w:val="00F86366"/>
    <w:rsid w:val="00F8646B"/>
    <w:rsid w:val="00F86670"/>
    <w:rsid w:val="00F8675E"/>
    <w:rsid w:val="00F869E4"/>
    <w:rsid w:val="00F870DB"/>
    <w:rsid w:val="00F874E9"/>
    <w:rsid w:val="00F87650"/>
    <w:rsid w:val="00F9035D"/>
    <w:rsid w:val="00F90B3C"/>
    <w:rsid w:val="00F90BF0"/>
    <w:rsid w:val="00F90F85"/>
    <w:rsid w:val="00F90F94"/>
    <w:rsid w:val="00F912C0"/>
    <w:rsid w:val="00F91617"/>
    <w:rsid w:val="00F916B7"/>
    <w:rsid w:val="00F919C4"/>
    <w:rsid w:val="00F91E5E"/>
    <w:rsid w:val="00F921FF"/>
    <w:rsid w:val="00F92715"/>
    <w:rsid w:val="00F92D91"/>
    <w:rsid w:val="00F92DB6"/>
    <w:rsid w:val="00F930B4"/>
    <w:rsid w:val="00F936A8"/>
    <w:rsid w:val="00F939DE"/>
    <w:rsid w:val="00F9486A"/>
    <w:rsid w:val="00F949B9"/>
    <w:rsid w:val="00F94A9F"/>
    <w:rsid w:val="00F94B65"/>
    <w:rsid w:val="00F94DAE"/>
    <w:rsid w:val="00F94EE9"/>
    <w:rsid w:val="00F95010"/>
    <w:rsid w:val="00F95CAD"/>
    <w:rsid w:val="00F96E02"/>
    <w:rsid w:val="00F97581"/>
    <w:rsid w:val="00F9797A"/>
    <w:rsid w:val="00F97F39"/>
    <w:rsid w:val="00FA02DB"/>
    <w:rsid w:val="00FA099C"/>
    <w:rsid w:val="00FA0A6D"/>
    <w:rsid w:val="00FA0C2D"/>
    <w:rsid w:val="00FA0FC3"/>
    <w:rsid w:val="00FA10B9"/>
    <w:rsid w:val="00FA123B"/>
    <w:rsid w:val="00FA1720"/>
    <w:rsid w:val="00FA1A3B"/>
    <w:rsid w:val="00FA1ECA"/>
    <w:rsid w:val="00FA2199"/>
    <w:rsid w:val="00FA3134"/>
    <w:rsid w:val="00FA339D"/>
    <w:rsid w:val="00FA358A"/>
    <w:rsid w:val="00FA4271"/>
    <w:rsid w:val="00FA456F"/>
    <w:rsid w:val="00FA482C"/>
    <w:rsid w:val="00FA4983"/>
    <w:rsid w:val="00FA55C6"/>
    <w:rsid w:val="00FA5E2C"/>
    <w:rsid w:val="00FA620D"/>
    <w:rsid w:val="00FA639D"/>
    <w:rsid w:val="00FA67A9"/>
    <w:rsid w:val="00FA68AD"/>
    <w:rsid w:val="00FA69D0"/>
    <w:rsid w:val="00FA7BEF"/>
    <w:rsid w:val="00FB0142"/>
    <w:rsid w:val="00FB0289"/>
    <w:rsid w:val="00FB04F3"/>
    <w:rsid w:val="00FB0970"/>
    <w:rsid w:val="00FB0A7D"/>
    <w:rsid w:val="00FB1AF9"/>
    <w:rsid w:val="00FB2A7F"/>
    <w:rsid w:val="00FB2D62"/>
    <w:rsid w:val="00FB304E"/>
    <w:rsid w:val="00FB319A"/>
    <w:rsid w:val="00FB391A"/>
    <w:rsid w:val="00FB3CBB"/>
    <w:rsid w:val="00FB4119"/>
    <w:rsid w:val="00FB44C8"/>
    <w:rsid w:val="00FB4520"/>
    <w:rsid w:val="00FB4640"/>
    <w:rsid w:val="00FB4B92"/>
    <w:rsid w:val="00FB4F68"/>
    <w:rsid w:val="00FB509F"/>
    <w:rsid w:val="00FB5620"/>
    <w:rsid w:val="00FB569E"/>
    <w:rsid w:val="00FB5F97"/>
    <w:rsid w:val="00FB619C"/>
    <w:rsid w:val="00FB6959"/>
    <w:rsid w:val="00FB6995"/>
    <w:rsid w:val="00FB709C"/>
    <w:rsid w:val="00FB7788"/>
    <w:rsid w:val="00FC00CC"/>
    <w:rsid w:val="00FC04D4"/>
    <w:rsid w:val="00FC0616"/>
    <w:rsid w:val="00FC0B20"/>
    <w:rsid w:val="00FC0EA0"/>
    <w:rsid w:val="00FC1634"/>
    <w:rsid w:val="00FC21E0"/>
    <w:rsid w:val="00FC2BAB"/>
    <w:rsid w:val="00FC312A"/>
    <w:rsid w:val="00FC3C19"/>
    <w:rsid w:val="00FC4161"/>
    <w:rsid w:val="00FC44D9"/>
    <w:rsid w:val="00FC4A1E"/>
    <w:rsid w:val="00FC4B76"/>
    <w:rsid w:val="00FC524D"/>
    <w:rsid w:val="00FC544C"/>
    <w:rsid w:val="00FC5A66"/>
    <w:rsid w:val="00FC5AB8"/>
    <w:rsid w:val="00FC5B0B"/>
    <w:rsid w:val="00FC5C0F"/>
    <w:rsid w:val="00FC5C2F"/>
    <w:rsid w:val="00FC5F45"/>
    <w:rsid w:val="00FC6062"/>
    <w:rsid w:val="00FC6197"/>
    <w:rsid w:val="00FC6393"/>
    <w:rsid w:val="00FC690A"/>
    <w:rsid w:val="00FC6A35"/>
    <w:rsid w:val="00FC6B8A"/>
    <w:rsid w:val="00FC7625"/>
    <w:rsid w:val="00FC7784"/>
    <w:rsid w:val="00FC7885"/>
    <w:rsid w:val="00FC7CDF"/>
    <w:rsid w:val="00FC7DB9"/>
    <w:rsid w:val="00FD0BFD"/>
    <w:rsid w:val="00FD0D4E"/>
    <w:rsid w:val="00FD1676"/>
    <w:rsid w:val="00FD1924"/>
    <w:rsid w:val="00FD1AD5"/>
    <w:rsid w:val="00FD204E"/>
    <w:rsid w:val="00FD37C1"/>
    <w:rsid w:val="00FD3D3F"/>
    <w:rsid w:val="00FD4074"/>
    <w:rsid w:val="00FD45BD"/>
    <w:rsid w:val="00FD4B0D"/>
    <w:rsid w:val="00FD4C04"/>
    <w:rsid w:val="00FD4C22"/>
    <w:rsid w:val="00FD4DC3"/>
    <w:rsid w:val="00FD5274"/>
    <w:rsid w:val="00FD537E"/>
    <w:rsid w:val="00FD53A2"/>
    <w:rsid w:val="00FD642D"/>
    <w:rsid w:val="00FD675E"/>
    <w:rsid w:val="00FD6B10"/>
    <w:rsid w:val="00FD6FAB"/>
    <w:rsid w:val="00FD74CB"/>
    <w:rsid w:val="00FD7C98"/>
    <w:rsid w:val="00FD7CC7"/>
    <w:rsid w:val="00FD7D5C"/>
    <w:rsid w:val="00FE03F9"/>
    <w:rsid w:val="00FE0781"/>
    <w:rsid w:val="00FE1932"/>
    <w:rsid w:val="00FE19BB"/>
    <w:rsid w:val="00FE1C1B"/>
    <w:rsid w:val="00FE221D"/>
    <w:rsid w:val="00FE22E0"/>
    <w:rsid w:val="00FE23A8"/>
    <w:rsid w:val="00FE2543"/>
    <w:rsid w:val="00FE2EED"/>
    <w:rsid w:val="00FE2F2E"/>
    <w:rsid w:val="00FE3109"/>
    <w:rsid w:val="00FE3339"/>
    <w:rsid w:val="00FE3C31"/>
    <w:rsid w:val="00FE3E01"/>
    <w:rsid w:val="00FE490C"/>
    <w:rsid w:val="00FE492D"/>
    <w:rsid w:val="00FE4981"/>
    <w:rsid w:val="00FE4ABA"/>
    <w:rsid w:val="00FE5341"/>
    <w:rsid w:val="00FE564D"/>
    <w:rsid w:val="00FE56ED"/>
    <w:rsid w:val="00FE5814"/>
    <w:rsid w:val="00FE5A2F"/>
    <w:rsid w:val="00FE5BF1"/>
    <w:rsid w:val="00FE5C86"/>
    <w:rsid w:val="00FE5D67"/>
    <w:rsid w:val="00FE601A"/>
    <w:rsid w:val="00FE6075"/>
    <w:rsid w:val="00FE6291"/>
    <w:rsid w:val="00FE6588"/>
    <w:rsid w:val="00FE6CD1"/>
    <w:rsid w:val="00FE7271"/>
    <w:rsid w:val="00FE7AB0"/>
    <w:rsid w:val="00FE7AE9"/>
    <w:rsid w:val="00FE7BC6"/>
    <w:rsid w:val="00FE7CD2"/>
    <w:rsid w:val="00FF0091"/>
    <w:rsid w:val="00FF0425"/>
    <w:rsid w:val="00FF05AE"/>
    <w:rsid w:val="00FF0CB6"/>
    <w:rsid w:val="00FF0DEF"/>
    <w:rsid w:val="00FF12A1"/>
    <w:rsid w:val="00FF1741"/>
    <w:rsid w:val="00FF2032"/>
    <w:rsid w:val="00FF291F"/>
    <w:rsid w:val="00FF2AB3"/>
    <w:rsid w:val="00FF2BFC"/>
    <w:rsid w:val="00FF2CB0"/>
    <w:rsid w:val="00FF3059"/>
    <w:rsid w:val="00FF3247"/>
    <w:rsid w:val="00FF327E"/>
    <w:rsid w:val="00FF362A"/>
    <w:rsid w:val="00FF37C1"/>
    <w:rsid w:val="00FF46E8"/>
    <w:rsid w:val="00FF48EA"/>
    <w:rsid w:val="00FF4CE5"/>
    <w:rsid w:val="00FF4EAE"/>
    <w:rsid w:val="00FF5630"/>
    <w:rsid w:val="00FF56EA"/>
    <w:rsid w:val="00FF5A0E"/>
    <w:rsid w:val="00FF5DC1"/>
    <w:rsid w:val="00FF6B3A"/>
    <w:rsid w:val="00FF6D70"/>
    <w:rsid w:val="00FF70AC"/>
    <w:rsid w:val="00FF79EA"/>
    <w:rsid w:val="00FF7A2F"/>
    <w:rsid w:val="00FF7E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2922C96"/>
  <w15:docId w15:val="{97B6720A-BDA2-4179-85E7-4B17A4512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99"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iPriority="99" w:unhideWhenUsed="1"/>
    <w:lsdException w:name="Table Grid 1" w:semiHidden="1" w:uiPriority="99" w:unhideWhenUsed="1"/>
    <w:lsdException w:name="Table Grid 2" w:semiHidden="1" w:unhideWhenUsed="1"/>
    <w:lsdException w:name="Table Grid 3" w:semiHidden="1" w:uiPriority="99" w:unhideWhenUsed="1"/>
    <w:lsdException w:name="Table Grid 4" w:semiHidden="1" w:unhideWhenUsed="1"/>
    <w:lsdException w:name="Table Grid 5" w:semiHidden="1" w:uiPriority="99" w:unhideWhenUsed="1"/>
    <w:lsdException w:name="Table Grid 6" w:semiHidden="1"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99" w:unhideWhenUsed="1"/>
    <w:lsdException w:name="Table List 8" w:semiHidden="1" w:unhideWhenUsed="1"/>
    <w:lsdException w:name="Table 3D effects 1" w:semiHidden="1" w:unhideWhenUsed="1"/>
    <w:lsdException w:name="Table 3D effects 2" w:semiHidden="1"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1Normal"/>
    <w:qFormat/>
    <w:rsid w:val="005402C0"/>
    <w:pPr>
      <w:spacing w:before="120" w:line="360" w:lineRule="auto"/>
      <w:ind w:firstLine="567"/>
      <w:contextualSpacing/>
      <w:jc w:val="both"/>
    </w:pPr>
    <w:rPr>
      <w:rFonts w:ascii="GHEA Grapalat" w:hAnsi="GHEA Grapalat"/>
      <w:b/>
      <w:sz w:val="22"/>
      <w:szCs w:val="24"/>
      <w:lang w:val="ru-RU" w:eastAsia="ru-RU"/>
    </w:rPr>
  </w:style>
  <w:style w:type="paragraph" w:styleId="Heading1">
    <w:name w:val="heading 1"/>
    <w:aliases w:val="(Text),(Section),Section Heading,1, 1,Chapter,head3"/>
    <w:basedOn w:val="Normal"/>
    <w:next w:val="Normal"/>
    <w:link w:val="Heading1Char"/>
    <w:autoRedefine/>
    <w:uiPriority w:val="9"/>
    <w:qFormat/>
    <w:rsid w:val="00A30EDC"/>
    <w:pPr>
      <w:keepNext/>
      <w:tabs>
        <w:tab w:val="left" w:pos="567"/>
      </w:tabs>
      <w:spacing w:before="0" w:line="276" w:lineRule="auto"/>
      <w:ind w:firstLine="426"/>
      <w:jc w:val="center"/>
      <w:outlineLvl w:val="0"/>
    </w:pPr>
    <w:rPr>
      <w:sz w:val="28"/>
      <w:szCs w:val="20"/>
      <w:lang w:val="en-US"/>
    </w:rPr>
  </w:style>
  <w:style w:type="paragraph" w:styleId="Heading2">
    <w:name w:val="heading 2"/>
    <w:aliases w:val="(Chapter),Paranum,Body"/>
    <w:basedOn w:val="Normal"/>
    <w:next w:val="Normal"/>
    <w:link w:val="Heading2Char"/>
    <w:autoRedefine/>
    <w:uiPriority w:val="9"/>
    <w:qFormat/>
    <w:rsid w:val="002F7255"/>
    <w:pPr>
      <w:keepNext/>
      <w:spacing w:before="0" w:line="276" w:lineRule="auto"/>
      <w:jc w:val="center"/>
      <w:outlineLvl w:val="1"/>
    </w:pPr>
    <w:rPr>
      <w:rFonts w:eastAsia="Calibri" w:cs="Times LatArm"/>
      <w:sz w:val="24"/>
      <w:lang w:val="hy-AM" w:eastAsia="en-US"/>
    </w:rPr>
  </w:style>
  <w:style w:type="paragraph" w:styleId="Heading3">
    <w:name w:val="heading 3"/>
    <w:aliases w:val="Centered,(text),(Sub-Chapter),Heading 3 Char Char Char Char Char Char"/>
    <w:basedOn w:val="Normal"/>
    <w:next w:val="Normal"/>
    <w:link w:val="Heading3Char"/>
    <w:autoRedefine/>
    <w:uiPriority w:val="9"/>
    <w:qFormat/>
    <w:rsid w:val="002F7255"/>
    <w:pPr>
      <w:keepNext/>
      <w:tabs>
        <w:tab w:val="left" w:pos="709"/>
      </w:tabs>
      <w:spacing w:before="0"/>
      <w:ind w:firstLine="0"/>
      <w:jc w:val="center"/>
      <w:outlineLvl w:val="2"/>
    </w:pPr>
    <w:rPr>
      <w:rFonts w:eastAsia="Calibri" w:cs="GHEA Grapalat"/>
      <w:bCs/>
      <w:sz w:val="24"/>
      <w:szCs w:val="26"/>
      <w:lang w:val="af-ZA" w:eastAsia="en-US"/>
    </w:rPr>
  </w:style>
  <w:style w:type="paragraph" w:styleId="Heading4">
    <w:name w:val="heading 4"/>
    <w:aliases w:val="Centred"/>
    <w:basedOn w:val="Normal"/>
    <w:next w:val="Normal"/>
    <w:link w:val="Heading4Char"/>
    <w:autoRedefine/>
    <w:qFormat/>
    <w:rsid w:val="004D4C68"/>
    <w:pPr>
      <w:keepNext/>
      <w:spacing w:before="360" w:after="120"/>
      <w:ind w:left="397" w:firstLine="0"/>
      <w:outlineLvl w:val="3"/>
    </w:pPr>
    <w:rPr>
      <w:szCs w:val="20"/>
      <w:lang w:val="en-GB" w:eastAsia="en-US"/>
    </w:rPr>
  </w:style>
  <w:style w:type="paragraph" w:styleId="Heading5">
    <w:name w:val="heading 5"/>
    <w:aliases w:val="Side"/>
    <w:basedOn w:val="Normal"/>
    <w:next w:val="Normal"/>
    <w:link w:val="Heading5Char"/>
    <w:autoRedefine/>
    <w:qFormat/>
    <w:rsid w:val="00785686"/>
    <w:pPr>
      <w:tabs>
        <w:tab w:val="left" w:pos="720"/>
      </w:tabs>
      <w:spacing w:before="240" w:after="360" w:line="240" w:lineRule="auto"/>
      <w:ind w:left="851" w:firstLine="0"/>
      <w:jc w:val="center"/>
      <w:outlineLvl w:val="4"/>
    </w:pPr>
    <w:rPr>
      <w:b w:val="0"/>
      <w:bCs/>
      <w:i/>
      <w:spacing w:val="60"/>
      <w:szCs w:val="20"/>
      <w:lang w:val="hy-AM" w:eastAsia="en-US"/>
    </w:rPr>
  </w:style>
  <w:style w:type="paragraph" w:styleId="Heading6">
    <w:name w:val="heading 6"/>
    <w:basedOn w:val="Normal"/>
    <w:next w:val="Normal"/>
    <w:link w:val="Heading6Char"/>
    <w:qFormat/>
    <w:rsid w:val="003B72C4"/>
    <w:pPr>
      <w:spacing w:before="240"/>
      <w:outlineLvl w:val="5"/>
    </w:pPr>
    <w:rPr>
      <w:b w:val="0"/>
      <w:bCs/>
      <w:szCs w:val="22"/>
      <w:lang w:val="en-GB" w:eastAsia="en-US"/>
    </w:rPr>
  </w:style>
  <w:style w:type="paragraph" w:styleId="Heading7">
    <w:name w:val="heading 7"/>
    <w:basedOn w:val="Normal"/>
    <w:next w:val="BodyText"/>
    <w:link w:val="Heading7Char"/>
    <w:qFormat/>
    <w:rsid w:val="008E54BF"/>
    <w:pPr>
      <w:framePr w:w="3780" w:hSpace="240" w:wrap="auto" w:vAnchor="text" w:hAnchor="page" w:x="1489" w:y="1"/>
      <w:widowControl w:val="0"/>
      <w:pBdr>
        <w:top w:val="single" w:sz="6" w:space="12" w:color="FFFFFF"/>
        <w:left w:val="single" w:sz="6" w:space="12" w:color="FFFFFF"/>
        <w:bottom w:val="single" w:sz="6" w:space="12" w:color="FFFFFF"/>
        <w:right w:val="single" w:sz="6" w:space="12" w:color="FFFFFF"/>
      </w:pBdr>
      <w:shd w:val="pct5" w:color="auto" w:fill="auto"/>
      <w:spacing w:before="60"/>
      <w:ind w:firstLine="0"/>
      <w:contextualSpacing w:val="0"/>
      <w:outlineLvl w:val="6"/>
    </w:pPr>
    <w:rPr>
      <w:rFonts w:ascii="Times Armenian" w:hAnsi="Times Armenian"/>
      <w:spacing w:val="-5"/>
      <w:sz w:val="24"/>
      <w:szCs w:val="20"/>
      <w:lang w:val="en-GB" w:eastAsia="en-US"/>
    </w:rPr>
  </w:style>
  <w:style w:type="paragraph" w:styleId="Heading8">
    <w:name w:val="heading 8"/>
    <w:basedOn w:val="Normal"/>
    <w:next w:val="BodyText"/>
    <w:link w:val="Heading8Char"/>
    <w:qFormat/>
    <w:rsid w:val="00060470"/>
    <w:pPr>
      <w:keepNext/>
      <w:framePr w:w="1860" w:wrap="auto" w:vAnchor="text" w:hAnchor="page" w:x="1201" w:y="1"/>
      <w:widowControl w:val="0"/>
      <w:pBdr>
        <w:top w:val="single" w:sz="24" w:space="0" w:color="auto"/>
        <w:bottom w:val="single" w:sz="6" w:space="0" w:color="auto"/>
      </w:pBdr>
      <w:tabs>
        <w:tab w:val="left" w:pos="720"/>
      </w:tabs>
      <w:spacing w:before="60" w:line="320" w:lineRule="exact"/>
      <w:ind w:left="720" w:hanging="720"/>
      <w:contextualSpacing w:val="0"/>
      <w:jc w:val="center"/>
      <w:outlineLvl w:val="7"/>
    </w:pPr>
    <w:rPr>
      <w:rFonts w:ascii="Arial Black" w:hAnsi="Arial Black"/>
      <w:caps/>
      <w:spacing w:val="60"/>
      <w:position w:val="4"/>
      <w:sz w:val="14"/>
      <w:szCs w:val="20"/>
      <w:lang w:val="en-GB"/>
    </w:rPr>
  </w:style>
  <w:style w:type="paragraph" w:styleId="Heading9">
    <w:name w:val="heading 9"/>
    <w:basedOn w:val="Normal"/>
    <w:next w:val="BodyText"/>
    <w:link w:val="Heading9Char"/>
    <w:qFormat/>
    <w:rsid w:val="00060470"/>
    <w:pPr>
      <w:keepNext/>
      <w:widowControl w:val="0"/>
      <w:tabs>
        <w:tab w:val="left" w:pos="720"/>
      </w:tabs>
      <w:spacing w:before="80" w:line="240" w:lineRule="auto"/>
      <w:ind w:left="720" w:hanging="720"/>
      <w:contextualSpacing w:val="0"/>
      <w:jc w:val="left"/>
      <w:outlineLvl w:val="8"/>
    </w:pPr>
    <w:rPr>
      <w:rFonts w:ascii="Garamond" w:hAnsi="Garamond"/>
      <w:b w:val="0"/>
      <w:i/>
      <w:kern w:val="28"/>
      <w:sz w:val="16"/>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
    <w:name w:val="Char Char"/>
    <w:basedOn w:val="Normal"/>
    <w:uiPriority w:val="99"/>
    <w:rsid w:val="00C52D6C"/>
    <w:pPr>
      <w:spacing w:after="160" w:line="240" w:lineRule="exact"/>
    </w:pPr>
    <w:rPr>
      <w:rFonts w:ascii="Arial" w:hAnsi="Arial" w:cs="Arial"/>
      <w:sz w:val="20"/>
      <w:szCs w:val="20"/>
      <w:lang w:val="en-US" w:eastAsia="en-US"/>
    </w:rPr>
  </w:style>
  <w:style w:type="paragraph" w:styleId="BodyText">
    <w:name w:val="Body Text"/>
    <w:aliases w:val="(Main Text),date,Body Text (Main text)"/>
    <w:basedOn w:val="Normal"/>
    <w:link w:val="BodyTextChar"/>
    <w:rsid w:val="005F5C4A"/>
    <w:pPr>
      <w:jc w:val="center"/>
    </w:pPr>
    <w:rPr>
      <w:rFonts w:ascii="Times Armenian" w:hAnsi="Times Armenian"/>
      <w:sz w:val="52"/>
      <w:szCs w:val="20"/>
    </w:rPr>
  </w:style>
  <w:style w:type="paragraph" w:styleId="NormalWeb">
    <w:name w:val="Normal (Web)"/>
    <w:aliases w:val="Обычный (веб) Знак Знак,Знак Знак Знак Знак,Обычный (веб) Знак Знак Знак,Знак Знак Знак1 Знак Знак Знак Знак Знак,Знак1,Знак,webb, webb"/>
    <w:basedOn w:val="Normal"/>
    <w:link w:val="NormalWebChar"/>
    <w:qFormat/>
    <w:rsid w:val="00425E64"/>
    <w:pPr>
      <w:spacing w:before="100" w:beforeAutospacing="1" w:after="100" w:afterAutospacing="1"/>
    </w:pPr>
  </w:style>
  <w:style w:type="paragraph" w:styleId="Footer">
    <w:name w:val="footer"/>
    <w:basedOn w:val="Normal"/>
    <w:link w:val="FooterChar"/>
    <w:uiPriority w:val="99"/>
    <w:rsid w:val="00335FBB"/>
    <w:pPr>
      <w:tabs>
        <w:tab w:val="center" w:pos="4677"/>
        <w:tab w:val="right" w:pos="9355"/>
      </w:tabs>
    </w:pPr>
  </w:style>
  <w:style w:type="character" w:styleId="PageNumber">
    <w:name w:val="page number"/>
    <w:basedOn w:val="DefaultParagraphFont"/>
    <w:rsid w:val="00335FBB"/>
  </w:style>
  <w:style w:type="paragraph" w:styleId="BodyTextIndent">
    <w:name w:val="Body Text Indent"/>
    <w:aliases w:val=" (Table Source),(Table Source),(Table Source)1,(Table Source)11,Body Text 21"/>
    <w:basedOn w:val="Normal"/>
    <w:link w:val="BodyTextIndentChar"/>
    <w:rsid w:val="00335FBB"/>
    <w:pPr>
      <w:ind w:firstLine="708"/>
    </w:pPr>
    <w:rPr>
      <w:rFonts w:ascii="Arial Armenian" w:hAnsi="Arial Armenian"/>
    </w:rPr>
  </w:style>
  <w:style w:type="paragraph" w:styleId="Header">
    <w:name w:val="header"/>
    <w:aliases w:val="Header Char Char Char Char Char Char Char Char Char Char,Header Char Char Char Char Char Char Char Char Char Char Char Char,h"/>
    <w:basedOn w:val="Normal"/>
    <w:link w:val="HeaderChar"/>
    <w:uiPriority w:val="99"/>
    <w:rsid w:val="00D008DD"/>
    <w:pPr>
      <w:tabs>
        <w:tab w:val="center" w:pos="4677"/>
        <w:tab w:val="right" w:pos="9355"/>
      </w:tabs>
    </w:pPr>
    <w:rPr>
      <w:sz w:val="20"/>
      <w:szCs w:val="20"/>
      <w:lang w:val="en-AU" w:eastAsia="en-US"/>
    </w:rPr>
  </w:style>
  <w:style w:type="character" w:styleId="Hyperlink">
    <w:name w:val="Hyperlink"/>
    <w:uiPriority w:val="99"/>
    <w:rsid w:val="00D008DD"/>
    <w:rPr>
      <w:color w:val="0000FF"/>
      <w:u w:val="single"/>
    </w:rPr>
  </w:style>
  <w:style w:type="paragraph" w:styleId="BodyText2">
    <w:name w:val="Body Text 2"/>
    <w:aliases w:val="1Text"/>
    <w:basedOn w:val="Normal"/>
    <w:link w:val="BodyText2Char"/>
    <w:autoRedefine/>
    <w:qFormat/>
    <w:rsid w:val="00A5558B"/>
    <w:pPr>
      <w:spacing w:before="0" w:line="276" w:lineRule="auto"/>
      <w:ind w:firstLine="720"/>
    </w:pPr>
    <w:rPr>
      <w:rFonts w:eastAsia="Calibri"/>
      <w:b w:val="0"/>
      <w:szCs w:val="22"/>
      <w:lang w:val="hy-AM" w:eastAsia="en-US"/>
    </w:rPr>
  </w:style>
  <w:style w:type="paragraph" w:styleId="BodyTextIndent2">
    <w:name w:val="Body Text Indent 2"/>
    <w:basedOn w:val="Normal"/>
    <w:link w:val="BodyTextIndent2Char"/>
    <w:rsid w:val="00473302"/>
    <w:pPr>
      <w:ind w:firstLine="720"/>
    </w:pPr>
    <w:rPr>
      <w:rFonts w:ascii="Arial Armenian" w:hAnsi="Arial Armenian"/>
      <w:bCs/>
      <w:szCs w:val="20"/>
      <w:lang w:val="en-US" w:eastAsia="en-US"/>
    </w:rPr>
  </w:style>
  <w:style w:type="paragraph" w:styleId="BlockText">
    <w:name w:val="Block Text"/>
    <w:basedOn w:val="Normal"/>
    <w:rsid w:val="00473302"/>
    <w:pPr>
      <w:ind w:left="360" w:right="-810"/>
    </w:pPr>
    <w:rPr>
      <w:rFonts w:ascii="Times Armenian" w:hAnsi="Times Armenian"/>
      <w:bCs/>
      <w:szCs w:val="20"/>
      <w:lang w:val="en-US" w:eastAsia="en-US"/>
    </w:rPr>
  </w:style>
  <w:style w:type="paragraph" w:styleId="BodyText3">
    <w:name w:val="Body Text 3"/>
    <w:basedOn w:val="Normal"/>
    <w:link w:val="BodyText3Char"/>
    <w:rsid w:val="00473302"/>
    <w:rPr>
      <w:rFonts w:ascii="Times Armenian" w:hAnsi="Times Armenian"/>
      <w:bCs/>
      <w:szCs w:val="20"/>
      <w:lang w:val="en-US" w:eastAsia="en-US"/>
    </w:rPr>
  </w:style>
  <w:style w:type="paragraph" w:customStyle="1" w:styleId="CharCharCharCharCharCharCharCharCharCharCharChar">
    <w:name w:val="Char Char Char Char Char Char Char Char Char Char Char Char"/>
    <w:basedOn w:val="Normal"/>
    <w:rsid w:val="00473302"/>
    <w:pPr>
      <w:spacing w:after="160" w:line="240" w:lineRule="exact"/>
    </w:pPr>
    <w:rPr>
      <w:rFonts w:ascii="Arial" w:hAnsi="Arial" w:cs="Arial"/>
      <w:sz w:val="20"/>
      <w:szCs w:val="20"/>
      <w:lang w:val="en-US" w:eastAsia="en-US"/>
    </w:rPr>
  </w:style>
  <w:style w:type="paragraph" w:customStyle="1" w:styleId="Char">
    <w:name w:val="Char"/>
    <w:basedOn w:val="Normal"/>
    <w:rsid w:val="00473302"/>
    <w:pPr>
      <w:spacing w:after="160" w:line="240" w:lineRule="exact"/>
    </w:pPr>
    <w:rPr>
      <w:rFonts w:ascii="Arial" w:hAnsi="Arial" w:cs="Arial"/>
      <w:sz w:val="20"/>
      <w:szCs w:val="20"/>
      <w:lang w:val="en-US" w:eastAsia="en-US"/>
    </w:rPr>
  </w:style>
  <w:style w:type="paragraph" w:styleId="Subtitle">
    <w:name w:val="Subtitle"/>
    <w:basedOn w:val="Normal"/>
    <w:link w:val="SubtitleChar"/>
    <w:qFormat/>
    <w:rsid w:val="003B72C4"/>
    <w:pPr>
      <w:jc w:val="center"/>
    </w:pPr>
    <w:rPr>
      <w:rFonts w:ascii="Times Armenian" w:hAnsi="Times Armenian"/>
      <w:bCs/>
      <w:i/>
      <w:sz w:val="26"/>
      <w:szCs w:val="20"/>
      <w:lang w:val="en-US" w:eastAsia="en-US"/>
    </w:rPr>
  </w:style>
  <w:style w:type="paragraph" w:customStyle="1" w:styleId="CharCharCharCharCharChar1CharCharCharCharCharCharCharCharChar">
    <w:name w:val="Char Char Char Char Char Char1 Char Char Char Char Char Char Char Char Char Знак Знак"/>
    <w:basedOn w:val="Normal"/>
    <w:rsid w:val="003B72C4"/>
    <w:pPr>
      <w:spacing w:after="160" w:line="240" w:lineRule="exact"/>
    </w:pPr>
    <w:rPr>
      <w:rFonts w:ascii="Arial" w:hAnsi="Arial" w:cs="Arial"/>
      <w:sz w:val="20"/>
      <w:szCs w:val="20"/>
      <w:lang w:val="en-US" w:eastAsia="en-US"/>
    </w:rPr>
  </w:style>
  <w:style w:type="paragraph" w:customStyle="1" w:styleId="a0">
    <w:name w:val="Знак Знак"/>
    <w:basedOn w:val="Normal"/>
    <w:link w:val="Char0"/>
    <w:rsid w:val="003B72C4"/>
    <w:pPr>
      <w:spacing w:after="160" w:line="240" w:lineRule="exact"/>
    </w:pPr>
    <w:rPr>
      <w:rFonts w:ascii="Arial" w:hAnsi="Arial" w:cs="Arial"/>
      <w:sz w:val="20"/>
      <w:szCs w:val="20"/>
      <w:lang w:val="en-US" w:eastAsia="en-US"/>
    </w:rPr>
  </w:style>
  <w:style w:type="paragraph" w:customStyle="1" w:styleId="Char9">
    <w:name w:val="Char9"/>
    <w:basedOn w:val="Normal"/>
    <w:rsid w:val="003B72C4"/>
    <w:pPr>
      <w:spacing w:after="160" w:line="240" w:lineRule="exact"/>
    </w:pPr>
    <w:rPr>
      <w:rFonts w:ascii="Arial" w:hAnsi="Arial" w:cs="Arial"/>
      <w:sz w:val="20"/>
      <w:szCs w:val="20"/>
      <w:lang w:val="en-US" w:eastAsia="en-US"/>
    </w:rPr>
  </w:style>
  <w:style w:type="paragraph" w:customStyle="1" w:styleId="Style1">
    <w:name w:val="Style1"/>
    <w:basedOn w:val="Normal"/>
    <w:link w:val="Style1Char"/>
    <w:qFormat/>
    <w:rsid w:val="003B72C4"/>
    <w:pPr>
      <w:widowControl w:val="0"/>
      <w:autoSpaceDE w:val="0"/>
      <w:autoSpaceDN w:val="0"/>
      <w:adjustRightInd w:val="0"/>
    </w:pPr>
    <w:rPr>
      <w:rFonts w:ascii="Sylfaen" w:hAnsi="Sylfaen"/>
      <w:lang w:val="en-US" w:eastAsia="en-US"/>
    </w:rPr>
  </w:style>
  <w:style w:type="paragraph" w:customStyle="1" w:styleId="Style2">
    <w:name w:val="Style2"/>
    <w:basedOn w:val="Normal"/>
    <w:rsid w:val="003B72C4"/>
    <w:pPr>
      <w:widowControl w:val="0"/>
      <w:autoSpaceDE w:val="0"/>
      <w:autoSpaceDN w:val="0"/>
      <w:adjustRightInd w:val="0"/>
    </w:pPr>
    <w:rPr>
      <w:rFonts w:ascii="Sylfaen" w:hAnsi="Sylfaen"/>
      <w:lang w:val="en-US" w:eastAsia="en-US"/>
    </w:rPr>
  </w:style>
  <w:style w:type="paragraph" w:customStyle="1" w:styleId="Style3">
    <w:name w:val="Style3"/>
    <w:basedOn w:val="Normal"/>
    <w:rsid w:val="003B72C4"/>
    <w:pPr>
      <w:widowControl w:val="0"/>
      <w:autoSpaceDE w:val="0"/>
      <w:autoSpaceDN w:val="0"/>
      <w:adjustRightInd w:val="0"/>
    </w:pPr>
    <w:rPr>
      <w:rFonts w:ascii="Sylfaen" w:hAnsi="Sylfaen"/>
      <w:lang w:val="en-US" w:eastAsia="en-US"/>
    </w:rPr>
  </w:style>
  <w:style w:type="paragraph" w:customStyle="1" w:styleId="Style4">
    <w:name w:val="Style4"/>
    <w:basedOn w:val="Normal"/>
    <w:rsid w:val="003B72C4"/>
    <w:pPr>
      <w:widowControl w:val="0"/>
      <w:autoSpaceDE w:val="0"/>
      <w:autoSpaceDN w:val="0"/>
      <w:adjustRightInd w:val="0"/>
    </w:pPr>
    <w:rPr>
      <w:rFonts w:ascii="Sylfaen" w:hAnsi="Sylfaen"/>
      <w:lang w:val="en-US" w:eastAsia="en-US"/>
    </w:rPr>
  </w:style>
  <w:style w:type="paragraph" w:customStyle="1" w:styleId="CharCharCharChar">
    <w:name w:val="Char Char Char Char"/>
    <w:basedOn w:val="Normal"/>
    <w:rsid w:val="003B72C4"/>
    <w:pPr>
      <w:spacing w:after="160" w:line="240" w:lineRule="exact"/>
    </w:pPr>
    <w:rPr>
      <w:rFonts w:ascii="Arial" w:hAnsi="Arial" w:cs="Arial"/>
      <w:sz w:val="20"/>
      <w:szCs w:val="20"/>
      <w:lang w:val="en-US" w:eastAsia="en-US"/>
    </w:rPr>
  </w:style>
  <w:style w:type="paragraph" w:customStyle="1" w:styleId="Text">
    <w:name w:val="Text"/>
    <w:basedOn w:val="Normal"/>
    <w:link w:val="TextChar"/>
    <w:autoRedefine/>
    <w:rsid w:val="0002358C"/>
    <w:pPr>
      <w:numPr>
        <w:numId w:val="3"/>
      </w:numPr>
      <w:overflowPunct w:val="0"/>
      <w:autoSpaceDE w:val="0"/>
      <w:autoSpaceDN w:val="0"/>
      <w:adjustRightInd w:val="0"/>
      <w:spacing w:after="220"/>
    </w:pPr>
    <w:rPr>
      <w:szCs w:val="20"/>
      <w:lang w:val="en-GB" w:eastAsia="en-US"/>
    </w:rPr>
  </w:style>
  <w:style w:type="character" w:customStyle="1" w:styleId="FontStyle11">
    <w:name w:val="Font Style11"/>
    <w:rsid w:val="003B72C4"/>
    <w:rPr>
      <w:rFonts w:ascii="Sylfaen" w:hAnsi="Sylfaen" w:cs="Sylfaen" w:hint="default"/>
      <w:b/>
      <w:bCs/>
      <w:sz w:val="26"/>
      <w:szCs w:val="26"/>
    </w:rPr>
  </w:style>
  <w:style w:type="character" w:customStyle="1" w:styleId="FontStyle12">
    <w:name w:val="Font Style12"/>
    <w:rsid w:val="003B72C4"/>
    <w:rPr>
      <w:rFonts w:ascii="Sylfaen" w:hAnsi="Sylfaen" w:cs="Sylfaen" w:hint="default"/>
      <w:b/>
      <w:bCs/>
      <w:spacing w:val="10"/>
      <w:sz w:val="32"/>
      <w:szCs w:val="32"/>
    </w:rPr>
  </w:style>
  <w:style w:type="character" w:customStyle="1" w:styleId="FontStyle13">
    <w:name w:val="Font Style13"/>
    <w:rsid w:val="003B72C4"/>
    <w:rPr>
      <w:rFonts w:ascii="Sylfaen" w:hAnsi="Sylfaen" w:cs="Sylfaen" w:hint="default"/>
      <w:b/>
      <w:bCs/>
      <w:sz w:val="14"/>
      <w:szCs w:val="14"/>
    </w:rPr>
  </w:style>
  <w:style w:type="character" w:customStyle="1" w:styleId="FontStyle14">
    <w:name w:val="Font Style14"/>
    <w:rsid w:val="003B72C4"/>
    <w:rPr>
      <w:rFonts w:ascii="Sylfaen" w:hAnsi="Sylfaen" w:cs="Sylfaen" w:hint="default"/>
      <w:b/>
      <w:bCs/>
      <w:sz w:val="16"/>
      <w:szCs w:val="16"/>
    </w:rPr>
  </w:style>
  <w:style w:type="character" w:customStyle="1" w:styleId="Heading3CharCharCharCharCharCharChar">
    <w:name w:val="Heading 3 Char Char Char Char Char Char Char"/>
    <w:rsid w:val="003B72C4"/>
    <w:rPr>
      <w:rFonts w:ascii="Times Armenian" w:hAnsi="Times Armenian" w:hint="default"/>
      <w:b/>
      <w:bCs/>
      <w:sz w:val="24"/>
      <w:szCs w:val="24"/>
      <w:lang w:val="en-GB" w:eastAsia="en-US" w:bidi="ar-SA"/>
    </w:rPr>
  </w:style>
  <w:style w:type="character" w:styleId="FollowedHyperlink">
    <w:name w:val="FollowedHyperlink"/>
    <w:rsid w:val="003B72C4"/>
    <w:rPr>
      <w:color w:val="0000FF"/>
      <w:u w:val="single"/>
    </w:rPr>
  </w:style>
  <w:style w:type="paragraph" w:styleId="BalloonText">
    <w:name w:val="Balloon Text"/>
    <w:basedOn w:val="Normal"/>
    <w:link w:val="BalloonTextChar"/>
    <w:rsid w:val="000776D9"/>
    <w:rPr>
      <w:rFonts w:ascii="Tahoma" w:hAnsi="Tahoma" w:cs="Tahoma"/>
      <w:sz w:val="16"/>
      <w:szCs w:val="16"/>
    </w:rPr>
  </w:style>
  <w:style w:type="paragraph" w:styleId="ListParagraph">
    <w:name w:val="List Paragraph"/>
    <w:aliases w:val="List_Paragraph,Multilevel para_II,List Paragraph1,Akapit z listą BS,Bullet1,Bullets,List Paragraph 1,References,List Paragraph (numbered (a)),IBL List Paragraph,List Paragraph nowy,Numbered List Paragraph,List Paragraph11,Ha,OBC Bullet"/>
    <w:basedOn w:val="Normal"/>
    <w:link w:val="ListParagraphChar"/>
    <w:qFormat/>
    <w:rsid w:val="00DA54A9"/>
    <w:pPr>
      <w:ind w:left="720"/>
    </w:pPr>
  </w:style>
  <w:style w:type="paragraph" w:customStyle="1" w:styleId="CM2">
    <w:name w:val="CM2"/>
    <w:basedOn w:val="Normal"/>
    <w:next w:val="Normal"/>
    <w:rsid w:val="00093193"/>
    <w:pPr>
      <w:widowControl w:val="0"/>
      <w:autoSpaceDE w:val="0"/>
      <w:autoSpaceDN w:val="0"/>
      <w:adjustRightInd w:val="0"/>
      <w:spacing w:line="356" w:lineRule="atLeast"/>
    </w:pPr>
    <w:rPr>
      <w:rFonts w:ascii="Arial Armenian" w:hAnsi="Arial Armenian"/>
      <w:lang w:val="en-US" w:eastAsia="en-US"/>
    </w:rPr>
  </w:style>
  <w:style w:type="paragraph" w:customStyle="1" w:styleId="Default">
    <w:name w:val="Default"/>
    <w:link w:val="DefaultChar"/>
    <w:rsid w:val="00193290"/>
    <w:pPr>
      <w:widowControl w:val="0"/>
      <w:autoSpaceDE w:val="0"/>
      <w:autoSpaceDN w:val="0"/>
      <w:adjustRightInd w:val="0"/>
    </w:pPr>
    <w:rPr>
      <w:rFonts w:ascii="Sylfaen" w:hAnsi="Sylfaen" w:cs="Sylfaen"/>
      <w:color w:val="000000"/>
      <w:sz w:val="24"/>
      <w:szCs w:val="24"/>
    </w:rPr>
  </w:style>
  <w:style w:type="paragraph" w:customStyle="1" w:styleId="CM32">
    <w:name w:val="CM32"/>
    <w:basedOn w:val="Normal"/>
    <w:next w:val="Normal"/>
    <w:rsid w:val="00B16699"/>
    <w:pPr>
      <w:widowControl w:val="0"/>
      <w:autoSpaceDE w:val="0"/>
      <w:autoSpaceDN w:val="0"/>
      <w:adjustRightInd w:val="0"/>
      <w:spacing w:after="233"/>
    </w:pPr>
    <w:rPr>
      <w:rFonts w:ascii="Arial Armenian" w:hAnsi="Arial Armenian"/>
      <w:lang w:val="en-US" w:eastAsia="en-US"/>
    </w:rPr>
  </w:style>
  <w:style w:type="paragraph" w:customStyle="1" w:styleId="CM4">
    <w:name w:val="CM4"/>
    <w:basedOn w:val="Default"/>
    <w:next w:val="Default"/>
    <w:uiPriority w:val="99"/>
    <w:rsid w:val="00627DFA"/>
    <w:pPr>
      <w:spacing w:line="248" w:lineRule="atLeast"/>
    </w:pPr>
    <w:rPr>
      <w:rFonts w:ascii="Arial Armenian" w:hAnsi="Arial Armenian" w:cs="Times New Roman"/>
      <w:color w:val="auto"/>
    </w:rPr>
  </w:style>
  <w:style w:type="paragraph" w:customStyle="1" w:styleId="1">
    <w:name w:val="Знак Знак1"/>
    <w:basedOn w:val="Normal"/>
    <w:rsid w:val="005769C1"/>
    <w:pPr>
      <w:spacing w:after="160" w:line="240" w:lineRule="exact"/>
    </w:pPr>
    <w:rPr>
      <w:rFonts w:ascii="Arial" w:hAnsi="Arial" w:cs="Arial"/>
      <w:sz w:val="20"/>
      <w:szCs w:val="20"/>
      <w:lang w:val="en-GB" w:eastAsia="en-US"/>
    </w:rPr>
  </w:style>
  <w:style w:type="paragraph" w:customStyle="1" w:styleId="2">
    <w:name w:val="Знак Знак2"/>
    <w:basedOn w:val="Normal"/>
    <w:rsid w:val="00A836D7"/>
    <w:pPr>
      <w:spacing w:after="160"/>
      <w:ind w:firstLine="709"/>
    </w:pPr>
    <w:rPr>
      <w:rFonts w:ascii="Arial AMU" w:hAnsi="Arial AMU" w:cs="Arial"/>
      <w:szCs w:val="20"/>
      <w:lang w:val="en-US" w:eastAsia="en-US"/>
    </w:rPr>
  </w:style>
  <w:style w:type="paragraph" w:customStyle="1" w:styleId="14">
    <w:name w:val="Знак Знак14"/>
    <w:basedOn w:val="Normal"/>
    <w:rsid w:val="00513314"/>
    <w:pPr>
      <w:spacing w:after="160" w:line="240" w:lineRule="exact"/>
    </w:pPr>
    <w:rPr>
      <w:rFonts w:ascii="Arial" w:hAnsi="Arial" w:cs="Arial"/>
      <w:sz w:val="20"/>
      <w:szCs w:val="20"/>
      <w:lang w:val="en-GB" w:eastAsia="en-US"/>
    </w:rPr>
  </w:style>
  <w:style w:type="paragraph" w:customStyle="1" w:styleId="CharCharCharCharCharCharCharCharCharCharChar">
    <w:name w:val="Char Char Char Знак Char Char Char Char Char Знак Char Char Char"/>
    <w:basedOn w:val="Normal"/>
    <w:rsid w:val="004900E7"/>
    <w:pPr>
      <w:spacing w:after="160" w:line="240" w:lineRule="exact"/>
    </w:pPr>
    <w:rPr>
      <w:rFonts w:ascii="Arial" w:hAnsi="Arial" w:cs="Arial"/>
      <w:sz w:val="20"/>
      <w:szCs w:val="20"/>
      <w:lang w:val="en-US" w:eastAsia="en-US"/>
    </w:rPr>
  </w:style>
  <w:style w:type="paragraph" w:customStyle="1" w:styleId="mechtex">
    <w:name w:val="mechtex"/>
    <w:basedOn w:val="Normal"/>
    <w:link w:val="mechtexChar"/>
    <w:uiPriority w:val="99"/>
    <w:rsid w:val="00C719CB"/>
    <w:pPr>
      <w:jc w:val="center"/>
    </w:pPr>
    <w:rPr>
      <w:rFonts w:ascii="Arial Armenian" w:hAnsi="Arial Armenian"/>
      <w:szCs w:val="20"/>
      <w:lang w:val="en-US"/>
    </w:rPr>
  </w:style>
  <w:style w:type="character" w:customStyle="1" w:styleId="mechtexChar">
    <w:name w:val="mechtex Char"/>
    <w:link w:val="mechtex"/>
    <w:uiPriority w:val="99"/>
    <w:rsid w:val="00C719CB"/>
    <w:rPr>
      <w:rFonts w:ascii="Arial Armenian" w:hAnsi="Arial Armenian"/>
      <w:sz w:val="22"/>
      <w:lang w:val="en-US" w:eastAsia="ru-RU" w:bidi="ar-SA"/>
    </w:rPr>
  </w:style>
  <w:style w:type="character" w:styleId="Strong">
    <w:name w:val="Strong"/>
    <w:qFormat/>
    <w:rsid w:val="003A5A6F"/>
    <w:rPr>
      <w:b/>
      <w:bCs/>
    </w:rPr>
  </w:style>
  <w:style w:type="character" w:customStyle="1" w:styleId="apple-converted-space">
    <w:name w:val="apple-converted-space"/>
    <w:rsid w:val="00680C30"/>
  </w:style>
  <w:style w:type="paragraph" w:styleId="DocumentMap">
    <w:name w:val="Document Map"/>
    <w:basedOn w:val="Normal"/>
    <w:link w:val="DocumentMapChar"/>
    <w:uiPriority w:val="99"/>
    <w:rsid w:val="00A503EB"/>
    <w:pPr>
      <w:shd w:val="clear" w:color="auto" w:fill="000080"/>
    </w:pPr>
    <w:rPr>
      <w:rFonts w:ascii="Tahoma" w:hAnsi="Tahoma" w:cs="Tahoma"/>
      <w:sz w:val="20"/>
      <w:szCs w:val="20"/>
    </w:rPr>
  </w:style>
  <w:style w:type="paragraph" w:customStyle="1" w:styleId="CharCharChar">
    <w:name w:val="Char Char Char Знак"/>
    <w:basedOn w:val="Normal"/>
    <w:next w:val="Normal"/>
    <w:rsid w:val="002A51A9"/>
    <w:pPr>
      <w:spacing w:after="160" w:line="240" w:lineRule="exact"/>
    </w:pPr>
    <w:rPr>
      <w:rFonts w:ascii="Tahoma" w:hAnsi="Tahoma"/>
      <w:szCs w:val="20"/>
      <w:lang w:val="en-US" w:eastAsia="en-US"/>
    </w:rPr>
  </w:style>
  <w:style w:type="paragraph" w:customStyle="1" w:styleId="Graphic">
    <w:name w:val="Graphic"/>
    <w:basedOn w:val="Normal"/>
    <w:rsid w:val="00C947B2"/>
    <w:pPr>
      <w:keepNext/>
      <w:overflowPunct w:val="0"/>
      <w:autoSpaceDE w:val="0"/>
      <w:autoSpaceDN w:val="0"/>
      <w:adjustRightInd w:val="0"/>
      <w:spacing w:after="130"/>
      <w:jc w:val="center"/>
      <w:textAlignment w:val="baseline"/>
    </w:pPr>
    <w:rPr>
      <w:szCs w:val="20"/>
      <w:lang w:val="en-GB" w:eastAsia="en-US"/>
    </w:rPr>
  </w:style>
  <w:style w:type="character" w:customStyle="1" w:styleId="StyleGHEAGrapalatJustifiedBefore12ptChar">
    <w:name w:val="Style GHEA Grapalat Justified Before:  12 pt Char"/>
    <w:link w:val="StyleGHEAGrapalatJustifiedBefore12pt"/>
    <w:locked/>
    <w:rsid w:val="00E472EB"/>
    <w:rPr>
      <w:rFonts w:ascii="GHEA Grapalat" w:hAnsi="GHEA Grapalat"/>
      <w:b/>
      <w:noProof/>
      <w:sz w:val="22"/>
      <w:lang w:val="ru-RU" w:eastAsia="ru-RU"/>
    </w:rPr>
  </w:style>
  <w:style w:type="paragraph" w:customStyle="1" w:styleId="StyleGHEAGrapalatJustifiedBefore12pt">
    <w:name w:val="Style GHEA Grapalat Justified Before:  12 pt"/>
    <w:basedOn w:val="Normal"/>
    <w:link w:val="StyleGHEAGrapalatJustifiedBefore12ptChar"/>
    <w:rsid w:val="00E472EB"/>
    <w:pPr>
      <w:numPr>
        <w:numId w:val="1"/>
      </w:numPr>
      <w:spacing w:before="240" w:after="240"/>
    </w:pPr>
    <w:rPr>
      <w:noProof/>
      <w:szCs w:val="20"/>
    </w:rPr>
  </w:style>
  <w:style w:type="paragraph" w:customStyle="1" w:styleId="Bullet1">
    <w:name w:val="Bullet 1"/>
    <w:basedOn w:val="Normal"/>
    <w:autoRedefine/>
    <w:qFormat/>
    <w:rsid w:val="004D4C68"/>
    <w:pPr>
      <w:numPr>
        <w:numId w:val="13"/>
      </w:numPr>
      <w:tabs>
        <w:tab w:val="left" w:pos="851"/>
      </w:tabs>
      <w:overflowPunct w:val="0"/>
      <w:autoSpaceDE w:val="0"/>
      <w:autoSpaceDN w:val="0"/>
      <w:adjustRightInd w:val="0"/>
      <w:spacing w:before="0"/>
      <w:ind w:left="1248" w:hanging="397"/>
      <w:textAlignment w:val="baseline"/>
    </w:pPr>
    <w:rPr>
      <w:b w:val="0"/>
      <w:szCs w:val="20"/>
      <w:lang w:val="en-GB" w:eastAsia="en-US"/>
    </w:rPr>
  </w:style>
  <w:style w:type="character" w:customStyle="1" w:styleId="longtext">
    <w:name w:val="long_text"/>
    <w:basedOn w:val="DefaultParagraphFont"/>
    <w:rsid w:val="00115664"/>
  </w:style>
  <w:style w:type="character" w:customStyle="1" w:styleId="CharChar6">
    <w:name w:val="Char Char6"/>
    <w:uiPriority w:val="99"/>
    <w:rsid w:val="00B5740E"/>
    <w:rPr>
      <w:rFonts w:ascii="Arial Armenian" w:hAnsi="Arial Armenian" w:cs="Arial Armenian"/>
      <w:b/>
      <w:bCs/>
      <w:sz w:val="18"/>
      <w:szCs w:val="18"/>
      <w:lang w:eastAsia="ru-RU"/>
    </w:rPr>
  </w:style>
  <w:style w:type="character" w:customStyle="1" w:styleId="BodyTextIndentChar">
    <w:name w:val="Body Text Indent Char"/>
    <w:aliases w:val=" (Table Source) Char,(Table Source) Char,(Table Source)1 Char,(Table Source)11 Char,Body Text 21 Char"/>
    <w:link w:val="BodyTextIndent"/>
    <w:rsid w:val="00275883"/>
    <w:rPr>
      <w:rFonts w:ascii="Arial Armenian" w:hAnsi="Arial Armenian"/>
      <w:sz w:val="24"/>
      <w:szCs w:val="24"/>
      <w:lang w:eastAsia="ru-RU"/>
    </w:rPr>
  </w:style>
  <w:style w:type="character" w:customStyle="1" w:styleId="BodyTextChar">
    <w:name w:val="Body Text Char"/>
    <w:aliases w:val="(Main Text) Char,date Char,Body Text (Main text) Char"/>
    <w:link w:val="BodyText"/>
    <w:locked/>
    <w:rsid w:val="007F6A4C"/>
    <w:rPr>
      <w:rFonts w:ascii="Times Armenian" w:hAnsi="Times Armenian"/>
      <w:sz w:val="52"/>
      <w:lang w:eastAsia="ru-RU"/>
    </w:rPr>
  </w:style>
  <w:style w:type="character" w:customStyle="1" w:styleId="FooterChar">
    <w:name w:val="Footer Char"/>
    <w:link w:val="Footer"/>
    <w:uiPriority w:val="99"/>
    <w:rsid w:val="00F52B25"/>
    <w:rPr>
      <w:sz w:val="24"/>
      <w:szCs w:val="24"/>
      <w:lang w:val="ru-RU" w:eastAsia="ru-RU"/>
    </w:rPr>
  </w:style>
  <w:style w:type="character" w:customStyle="1" w:styleId="ListParagraphChar">
    <w:name w:val="List Paragraph Char"/>
    <w:aliases w:val="List_Paragraph Char,Multilevel para_II Char,List Paragraph1 Char,Akapit z listą BS Char,Bullet1 Char,Bullets Char,List Paragraph 1 Char,References Char,List Paragraph (numbered (a)) Char,IBL List Paragraph Char,List Paragraph11 Char"/>
    <w:link w:val="ListParagraph"/>
    <w:qFormat/>
    <w:locked/>
    <w:rsid w:val="00C3777C"/>
    <w:rPr>
      <w:sz w:val="24"/>
      <w:szCs w:val="24"/>
    </w:rPr>
  </w:style>
  <w:style w:type="paragraph" w:styleId="BodyTextIndent3">
    <w:name w:val="Body Text Indent 3"/>
    <w:basedOn w:val="Normal"/>
    <w:link w:val="BodyTextIndent3Char"/>
    <w:rsid w:val="00101E4C"/>
    <w:pPr>
      <w:spacing w:after="120"/>
      <w:ind w:left="360"/>
    </w:pPr>
    <w:rPr>
      <w:sz w:val="16"/>
      <w:szCs w:val="16"/>
    </w:rPr>
  </w:style>
  <w:style w:type="character" w:customStyle="1" w:styleId="BodyTextIndent3Char">
    <w:name w:val="Body Text Indent 3 Char"/>
    <w:link w:val="BodyTextIndent3"/>
    <w:rsid w:val="00101E4C"/>
    <w:rPr>
      <w:sz w:val="16"/>
      <w:szCs w:val="16"/>
      <w:lang w:val="ru-RU" w:eastAsia="ru-RU"/>
    </w:rPr>
  </w:style>
  <w:style w:type="paragraph" w:styleId="Title">
    <w:name w:val="Title"/>
    <w:basedOn w:val="Normal"/>
    <w:next w:val="Normal"/>
    <w:link w:val="TitleChar"/>
    <w:autoRedefine/>
    <w:qFormat/>
    <w:rsid w:val="00D6329B"/>
    <w:pPr>
      <w:spacing w:before="720" w:after="720"/>
      <w:ind w:firstLine="0"/>
      <w:jc w:val="center"/>
      <w:outlineLvl w:val="0"/>
    </w:pPr>
    <w:rPr>
      <w:b w:val="0"/>
      <w:bCs/>
      <w:kern w:val="28"/>
      <w:sz w:val="32"/>
      <w:szCs w:val="32"/>
    </w:rPr>
  </w:style>
  <w:style w:type="character" w:customStyle="1" w:styleId="TitleChar">
    <w:name w:val="Title Char"/>
    <w:link w:val="Title"/>
    <w:rsid w:val="00D6329B"/>
    <w:rPr>
      <w:rFonts w:ascii="GHEA Grapalat" w:hAnsi="GHEA Grapalat"/>
      <w:b/>
      <w:bCs/>
      <w:kern w:val="28"/>
      <w:sz w:val="32"/>
      <w:szCs w:val="32"/>
      <w:lang w:val="ru-RU" w:eastAsia="ru-RU"/>
    </w:rPr>
  </w:style>
  <w:style w:type="paragraph" w:styleId="TOC2">
    <w:name w:val="toc 2"/>
    <w:basedOn w:val="Normal"/>
    <w:next w:val="Normal"/>
    <w:autoRedefine/>
    <w:uiPriority w:val="39"/>
    <w:qFormat/>
    <w:rsid w:val="007F21D5"/>
    <w:pPr>
      <w:tabs>
        <w:tab w:val="left" w:pos="1134"/>
        <w:tab w:val="left" w:pos="1276"/>
        <w:tab w:val="right" w:leader="dot" w:pos="10065"/>
      </w:tabs>
      <w:spacing w:after="100"/>
      <w:ind w:left="284" w:firstLine="0"/>
      <w:jc w:val="left"/>
    </w:pPr>
  </w:style>
  <w:style w:type="paragraph" w:styleId="TOC1">
    <w:name w:val="toc 1"/>
    <w:basedOn w:val="Normal"/>
    <w:next w:val="Normal"/>
    <w:autoRedefine/>
    <w:uiPriority w:val="39"/>
    <w:qFormat/>
    <w:rsid w:val="003F3E0E"/>
    <w:pPr>
      <w:tabs>
        <w:tab w:val="right" w:leader="dot" w:pos="10065"/>
      </w:tabs>
      <w:spacing w:after="100"/>
      <w:ind w:firstLine="0"/>
    </w:pPr>
  </w:style>
  <w:style w:type="paragraph" w:styleId="TOC3">
    <w:name w:val="toc 3"/>
    <w:basedOn w:val="Normal"/>
    <w:next w:val="Normal"/>
    <w:autoRedefine/>
    <w:uiPriority w:val="39"/>
    <w:qFormat/>
    <w:rsid w:val="004D4C68"/>
    <w:pPr>
      <w:tabs>
        <w:tab w:val="left" w:pos="1276"/>
        <w:tab w:val="right" w:leader="dot" w:pos="10055"/>
      </w:tabs>
      <w:spacing w:after="100"/>
      <w:ind w:left="567" w:firstLine="0"/>
      <w:jc w:val="left"/>
    </w:pPr>
  </w:style>
  <w:style w:type="paragraph" w:customStyle="1" w:styleId="Tables">
    <w:name w:val="Tables"/>
    <w:basedOn w:val="Normal"/>
    <w:autoRedefine/>
    <w:qFormat/>
    <w:rsid w:val="00866D50"/>
    <w:pPr>
      <w:keepNext/>
      <w:numPr>
        <w:numId w:val="16"/>
      </w:numPr>
      <w:spacing w:before="0" w:line="276" w:lineRule="auto"/>
      <w:ind w:hanging="1350"/>
      <w:contextualSpacing w:val="0"/>
      <w:jc w:val="left"/>
    </w:pPr>
    <w:rPr>
      <w:rFonts w:cs="Sylfaen"/>
      <w:szCs w:val="22"/>
      <w:lang w:val="af-ZA"/>
    </w:rPr>
  </w:style>
  <w:style w:type="paragraph" w:customStyle="1" w:styleId="Charts">
    <w:name w:val="Charts"/>
    <w:basedOn w:val="Normal"/>
    <w:autoRedefine/>
    <w:qFormat/>
    <w:rsid w:val="00263EE6"/>
    <w:pPr>
      <w:keepNext/>
      <w:numPr>
        <w:numId w:val="17"/>
      </w:numPr>
      <w:tabs>
        <w:tab w:val="left" w:pos="795"/>
      </w:tabs>
      <w:spacing w:before="360" w:after="120" w:line="240" w:lineRule="auto"/>
    </w:pPr>
    <w:rPr>
      <w:rFonts w:cs="Sylfaen"/>
      <w:szCs w:val="22"/>
      <w:u w:val="single"/>
      <w:lang w:val="it-IT"/>
    </w:rPr>
  </w:style>
  <w:style w:type="paragraph" w:styleId="Caption">
    <w:name w:val="caption"/>
    <w:aliases w:val="(Table Title),(Table Title) Char Char Char Char Char Char Char Char Char Char, (Table Title), (Table Title) Char Char Char Char Char Char Char Char Char Char"/>
    <w:basedOn w:val="Normal"/>
    <w:next w:val="Normal"/>
    <w:uiPriority w:val="35"/>
    <w:unhideWhenUsed/>
    <w:qFormat/>
    <w:rsid w:val="00C93040"/>
    <w:pPr>
      <w:spacing w:after="200"/>
    </w:pPr>
    <w:rPr>
      <w:b w:val="0"/>
      <w:bCs/>
      <w:color w:val="4F81BD" w:themeColor="accent1"/>
      <w:sz w:val="18"/>
      <w:szCs w:val="18"/>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rsid w:val="00BB1F69"/>
    <w:rPr>
      <w:rFonts w:ascii="Arial Armenian" w:hAnsi="Arial Armenian"/>
      <w:sz w:val="20"/>
      <w:szCs w:val="20"/>
      <w:vertAlign w:val="superscript"/>
    </w:rPr>
  </w:style>
  <w:style w:type="paragraph" w:styleId="FootnoteText">
    <w:name w:val="footnote text"/>
    <w:aliases w:val="fn,ADB,single space,footnote text Char,fn Char,ADB Char,single space Char Char,footnote text,FOOTNOTES Char,FOOTNOTES Char Char Char,FOOTNOTES,Footnote Text Char Char Char,Footnote Text Char Char Char Char Char,f,Footnote Text Char2 Char"/>
    <w:basedOn w:val="Normal"/>
    <w:link w:val="FootnoteTextChar1"/>
    <w:autoRedefine/>
    <w:qFormat/>
    <w:rsid w:val="00DE6C7D"/>
    <w:pPr>
      <w:spacing w:before="0" w:line="240" w:lineRule="auto"/>
      <w:ind w:firstLine="0"/>
    </w:pPr>
    <w:rPr>
      <w:b w:val="0"/>
      <w:iCs/>
      <w:sz w:val="16"/>
      <w:szCs w:val="16"/>
      <w:lang w:val="en-GB" w:eastAsia="en-US"/>
    </w:rPr>
  </w:style>
  <w:style w:type="character" w:customStyle="1" w:styleId="FootnoteTextChar">
    <w:name w:val="Footnote Text Char"/>
    <w:aliases w:val="footnote text Char3,FOOTNOTES Char Char1,FOOTNOTES Char Char Char Char1,FOOTNOTES Char2,Footnote Text Char2 Char Char,fn Char2,ADB Char2,single space Char1,footnote text Char Char1,fn Char Char1,ADB Char Char1,footnote text Char2"/>
    <w:basedOn w:val="DefaultParagraphFont"/>
    <w:rsid w:val="00BB1F69"/>
    <w:rPr>
      <w:lang w:val="ru-RU" w:eastAsia="ru-RU"/>
    </w:rPr>
  </w:style>
  <w:style w:type="character" w:customStyle="1" w:styleId="FootnoteTextChar1">
    <w:name w:val="Footnote Text Char1"/>
    <w:aliases w:val="fn Char1,ADB Char1,single space Char,footnote text Char Char,fn Char Char,ADB Char Char,single space Char Char Char,footnote text Char1,FOOTNOTES Char Char,FOOTNOTES Char Char Char Char,FOOTNOTES Char1,f Char"/>
    <w:link w:val="FootnoteText"/>
    <w:rsid w:val="00DE6C7D"/>
    <w:rPr>
      <w:rFonts w:ascii="GHEA Grapalat" w:hAnsi="GHEA Grapalat"/>
      <w:iCs/>
      <w:sz w:val="16"/>
      <w:szCs w:val="16"/>
      <w:lang w:val="en-GB"/>
    </w:rPr>
  </w:style>
  <w:style w:type="paragraph" w:styleId="Revision">
    <w:name w:val="Revision"/>
    <w:hidden/>
    <w:uiPriority w:val="99"/>
    <w:semiHidden/>
    <w:rsid w:val="00E759BC"/>
    <w:rPr>
      <w:sz w:val="24"/>
      <w:szCs w:val="24"/>
      <w:lang w:val="ru-RU" w:eastAsia="ru-RU"/>
    </w:rPr>
  </w:style>
  <w:style w:type="paragraph" w:customStyle="1" w:styleId="Bullet2">
    <w:name w:val="Bullet 2"/>
    <w:basedOn w:val="Normal"/>
    <w:autoRedefine/>
    <w:qFormat/>
    <w:rsid w:val="00FD4074"/>
    <w:pPr>
      <w:widowControl w:val="0"/>
      <w:spacing w:before="0" w:line="276" w:lineRule="auto"/>
      <w:ind w:firstLine="720"/>
    </w:pPr>
    <w:rPr>
      <w:rFonts w:eastAsia="Calibri" w:cs="Sylfaen"/>
      <w:b w:val="0"/>
      <w:szCs w:val="22"/>
      <w:lang w:val="af-ZA"/>
    </w:rPr>
  </w:style>
  <w:style w:type="paragraph" w:customStyle="1" w:styleId="StyleLeft1cmFirstline0cmRight032cm">
    <w:name w:val="Style Left:  1 cm First line:  0 cm Right:  0.32 cm"/>
    <w:basedOn w:val="Normal"/>
    <w:autoRedefine/>
    <w:rsid w:val="00735DDA"/>
    <w:pPr>
      <w:ind w:left="567" w:right="180" w:firstLine="0"/>
    </w:pPr>
    <w:rPr>
      <w:szCs w:val="20"/>
    </w:rPr>
  </w:style>
  <w:style w:type="character" w:styleId="CommentReference">
    <w:name w:val="annotation reference"/>
    <w:basedOn w:val="DefaultParagraphFont"/>
    <w:uiPriority w:val="99"/>
    <w:rsid w:val="00FA0FC3"/>
    <w:rPr>
      <w:sz w:val="16"/>
      <w:szCs w:val="16"/>
    </w:rPr>
  </w:style>
  <w:style w:type="paragraph" w:styleId="CommentText">
    <w:name w:val="annotation text"/>
    <w:basedOn w:val="Normal"/>
    <w:link w:val="CommentTextChar"/>
    <w:uiPriority w:val="99"/>
    <w:rsid w:val="00FA0FC3"/>
    <w:pPr>
      <w:spacing w:line="240" w:lineRule="auto"/>
    </w:pPr>
    <w:rPr>
      <w:sz w:val="20"/>
      <w:szCs w:val="20"/>
    </w:rPr>
  </w:style>
  <w:style w:type="character" w:customStyle="1" w:styleId="CommentTextChar">
    <w:name w:val="Comment Text Char"/>
    <w:basedOn w:val="DefaultParagraphFont"/>
    <w:link w:val="CommentText"/>
    <w:uiPriority w:val="99"/>
    <w:rsid w:val="00FA0FC3"/>
    <w:rPr>
      <w:rFonts w:ascii="GHEA Grapalat" w:hAnsi="GHEA Grapalat"/>
      <w:lang w:val="ru-RU" w:eastAsia="ru-RU"/>
    </w:rPr>
  </w:style>
  <w:style w:type="paragraph" w:styleId="CommentSubject">
    <w:name w:val="annotation subject"/>
    <w:basedOn w:val="CommentText"/>
    <w:next w:val="CommentText"/>
    <w:link w:val="CommentSubjectChar"/>
    <w:uiPriority w:val="99"/>
    <w:rsid w:val="00FA0FC3"/>
    <w:rPr>
      <w:b w:val="0"/>
      <w:bCs/>
    </w:rPr>
  </w:style>
  <w:style w:type="character" w:customStyle="1" w:styleId="CommentSubjectChar">
    <w:name w:val="Comment Subject Char"/>
    <w:basedOn w:val="CommentTextChar"/>
    <w:link w:val="CommentSubject"/>
    <w:uiPriority w:val="99"/>
    <w:rsid w:val="00FA0FC3"/>
    <w:rPr>
      <w:rFonts w:ascii="GHEA Grapalat" w:hAnsi="GHEA Grapalat"/>
      <w:b/>
      <w:bCs/>
      <w:lang w:val="ru-RU" w:eastAsia="ru-RU"/>
    </w:rPr>
  </w:style>
  <w:style w:type="character" w:customStyle="1" w:styleId="Heading5Char">
    <w:name w:val="Heading 5 Char"/>
    <w:aliases w:val="Side Char"/>
    <w:basedOn w:val="DefaultParagraphFont"/>
    <w:link w:val="Heading5"/>
    <w:rsid w:val="00785686"/>
    <w:rPr>
      <w:rFonts w:ascii="GHEA Grapalat" w:hAnsi="GHEA Grapalat"/>
      <w:b/>
      <w:bCs/>
      <w:i/>
      <w:spacing w:val="60"/>
      <w:sz w:val="22"/>
      <w:lang w:val="hy-AM"/>
    </w:rPr>
  </w:style>
  <w:style w:type="character" w:customStyle="1" w:styleId="Heading7Char">
    <w:name w:val="Heading 7 Char"/>
    <w:basedOn w:val="DefaultParagraphFont"/>
    <w:link w:val="Heading7"/>
    <w:rsid w:val="008E54BF"/>
    <w:rPr>
      <w:rFonts w:ascii="Times Armenian" w:hAnsi="Times Armenian"/>
      <w:spacing w:val="-5"/>
      <w:sz w:val="24"/>
      <w:shd w:val="pct5" w:color="auto" w:fill="auto"/>
      <w:lang w:val="en-GB"/>
    </w:rPr>
  </w:style>
  <w:style w:type="paragraph" w:styleId="NormalIndent">
    <w:name w:val="Normal Indent"/>
    <w:basedOn w:val="Normal"/>
    <w:rsid w:val="008E54BF"/>
    <w:pPr>
      <w:spacing w:before="0"/>
      <w:ind w:left="720" w:firstLine="0"/>
      <w:contextualSpacing w:val="0"/>
    </w:pPr>
    <w:rPr>
      <w:rFonts w:ascii="Times Armenian" w:hAnsi="Times Armenian"/>
      <w:sz w:val="24"/>
      <w:lang w:val="en-US" w:eastAsia="en-US"/>
    </w:rPr>
  </w:style>
  <w:style w:type="paragraph" w:styleId="TOC4">
    <w:name w:val="toc 4"/>
    <w:basedOn w:val="Normal"/>
    <w:next w:val="Normal"/>
    <w:autoRedefine/>
    <w:uiPriority w:val="39"/>
    <w:rsid w:val="00BA2D53"/>
    <w:pPr>
      <w:tabs>
        <w:tab w:val="left" w:pos="540"/>
        <w:tab w:val="left" w:pos="960"/>
        <w:tab w:val="right" w:leader="dot" w:pos="10065"/>
      </w:tabs>
      <w:spacing w:before="0"/>
      <w:ind w:left="1134" w:firstLine="0"/>
      <w:contextualSpacing w:val="0"/>
      <w:jc w:val="left"/>
    </w:pPr>
    <w:rPr>
      <w:noProof/>
      <w:sz w:val="21"/>
      <w:szCs w:val="22"/>
      <w:lang w:val="hy-AM" w:eastAsia="en-US"/>
    </w:rPr>
  </w:style>
  <w:style w:type="paragraph" w:styleId="Index1">
    <w:name w:val="index 1"/>
    <w:basedOn w:val="Normal"/>
    <w:next w:val="Normal"/>
    <w:autoRedefine/>
    <w:rsid w:val="008E54BF"/>
    <w:pPr>
      <w:spacing w:before="0" w:line="240" w:lineRule="auto"/>
      <w:ind w:left="220" w:hanging="220"/>
    </w:pPr>
  </w:style>
  <w:style w:type="paragraph" w:styleId="IndexHeading">
    <w:name w:val="index heading"/>
    <w:basedOn w:val="Normal"/>
    <w:next w:val="Index1"/>
    <w:rsid w:val="008E54BF"/>
    <w:pPr>
      <w:tabs>
        <w:tab w:val="left" w:pos="720"/>
      </w:tabs>
      <w:spacing w:before="0"/>
      <w:ind w:left="9" w:firstLine="0"/>
      <w:contextualSpacing w:val="0"/>
    </w:pPr>
    <w:rPr>
      <w:rFonts w:ascii="Times Armenian" w:hAnsi="Times Armenian"/>
      <w:szCs w:val="20"/>
      <w:lang w:val="hy-AM" w:eastAsia="en-US"/>
    </w:rPr>
  </w:style>
  <w:style w:type="paragraph" w:customStyle="1" w:styleId="xl43">
    <w:name w:val="xl43"/>
    <w:basedOn w:val="Normal"/>
    <w:rsid w:val="008E54BF"/>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paragraph" w:customStyle="1" w:styleId="xl44">
    <w:name w:val="xl44"/>
    <w:basedOn w:val="Normal"/>
    <w:rsid w:val="008E54BF"/>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Cs w:val="22"/>
      <w:lang w:val="en-US" w:eastAsia="en-US"/>
    </w:rPr>
  </w:style>
  <w:style w:type="character" w:styleId="EndnoteReference">
    <w:name w:val="endnote reference"/>
    <w:rsid w:val="008E54BF"/>
    <w:rPr>
      <w:vertAlign w:val="superscript"/>
    </w:rPr>
  </w:style>
  <w:style w:type="table" w:styleId="TableGrid">
    <w:name w:val="Table Grid"/>
    <w:basedOn w:val="TableNormal"/>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8">
    <w:name w:val="Char8"/>
    <w:basedOn w:val="Normal"/>
    <w:rsid w:val="008E54BF"/>
    <w:pPr>
      <w:spacing w:before="0" w:line="240" w:lineRule="auto"/>
      <w:ind w:firstLine="0"/>
      <w:contextualSpacing w:val="0"/>
      <w:jc w:val="left"/>
    </w:pPr>
    <w:rPr>
      <w:rFonts w:ascii="Times New Roman" w:hAnsi="Times New Roman"/>
      <w:sz w:val="24"/>
      <w:lang w:val="pl-PL" w:eastAsia="pl-PL"/>
    </w:rPr>
  </w:style>
  <w:style w:type="character" w:customStyle="1" w:styleId="NormalWebChar">
    <w:name w:val="Normal (Web) Char"/>
    <w:aliases w:val="Обычный (веб) Знак Знак Char,Знак Знак Знак Знак Char,Обычный (веб) Знак Знак Знак Char,Знак Знак Знак1 Знак Знак Знак Знак Знак Char,Знак1 Char,Знак Char,webb Char, webb Char"/>
    <w:link w:val="NormalWeb"/>
    <w:locked/>
    <w:rsid w:val="008E54BF"/>
    <w:rPr>
      <w:rFonts w:ascii="GHEA Grapalat" w:hAnsi="GHEA Grapalat"/>
      <w:sz w:val="22"/>
      <w:szCs w:val="24"/>
      <w:lang w:val="ru-RU" w:eastAsia="ru-RU"/>
    </w:rPr>
  </w:style>
  <w:style w:type="numbering" w:customStyle="1" w:styleId="NoList1">
    <w:name w:val="No List1"/>
    <w:next w:val="NoList"/>
    <w:uiPriority w:val="99"/>
    <w:semiHidden/>
    <w:unhideWhenUsed/>
    <w:rsid w:val="008E54BF"/>
  </w:style>
  <w:style w:type="character" w:customStyle="1" w:styleId="Heading1Char">
    <w:name w:val="Heading 1 Char"/>
    <w:aliases w:val="(Text) Char,(Section) Char,Section Heading Char,1 Char, 1 Char,Chapter Char,head3 Char"/>
    <w:link w:val="Heading1"/>
    <w:uiPriority w:val="9"/>
    <w:rsid w:val="00A30EDC"/>
    <w:rPr>
      <w:rFonts w:ascii="GHEA Grapalat" w:hAnsi="GHEA Grapalat"/>
      <w:b/>
      <w:sz w:val="28"/>
      <w:lang w:eastAsia="ru-RU"/>
    </w:rPr>
  </w:style>
  <w:style w:type="character" w:customStyle="1" w:styleId="Heading2Char">
    <w:name w:val="Heading 2 Char"/>
    <w:aliases w:val="(Chapter) Char,Paranum Char,Body Char"/>
    <w:link w:val="Heading2"/>
    <w:uiPriority w:val="9"/>
    <w:rsid w:val="002F7255"/>
    <w:rPr>
      <w:rFonts w:ascii="GHEA Grapalat" w:eastAsia="Calibri" w:hAnsi="GHEA Grapalat" w:cs="Times LatArm"/>
      <w:b/>
      <w:sz w:val="24"/>
      <w:szCs w:val="24"/>
      <w:lang w:val="hy-AM"/>
    </w:rPr>
  </w:style>
  <w:style w:type="character" w:customStyle="1" w:styleId="Heading3Char">
    <w:name w:val="Heading 3 Char"/>
    <w:aliases w:val="Centered Char2,(text) Char2,(Sub-Chapter) Char2,Heading 3 Char Char Char Char Char Char Char2"/>
    <w:link w:val="Heading3"/>
    <w:uiPriority w:val="9"/>
    <w:rsid w:val="002F7255"/>
    <w:rPr>
      <w:rFonts w:ascii="GHEA Grapalat" w:eastAsia="Calibri" w:hAnsi="GHEA Grapalat" w:cs="GHEA Grapalat"/>
      <w:b/>
      <w:bCs/>
      <w:sz w:val="24"/>
      <w:szCs w:val="26"/>
      <w:lang w:val="af-ZA"/>
    </w:rPr>
  </w:style>
  <w:style w:type="character" w:customStyle="1" w:styleId="Heading4Char">
    <w:name w:val="Heading 4 Char"/>
    <w:aliases w:val="Centred Char"/>
    <w:link w:val="Heading4"/>
    <w:rsid w:val="004D4C68"/>
    <w:rPr>
      <w:rFonts w:ascii="GHEA Grapalat" w:hAnsi="GHEA Grapalat"/>
      <w:b/>
      <w:sz w:val="22"/>
      <w:lang w:val="en-GB"/>
    </w:rPr>
  </w:style>
  <w:style w:type="character" w:customStyle="1" w:styleId="Heading6Char">
    <w:name w:val="Heading 6 Char"/>
    <w:link w:val="Heading6"/>
    <w:rsid w:val="008E54BF"/>
    <w:rPr>
      <w:rFonts w:ascii="GHEA Grapalat" w:hAnsi="GHEA Grapalat"/>
      <w:b/>
      <w:bCs/>
      <w:sz w:val="22"/>
      <w:szCs w:val="22"/>
      <w:lang w:val="en-GB"/>
    </w:rPr>
  </w:style>
  <w:style w:type="numbering" w:customStyle="1" w:styleId="NoList11">
    <w:name w:val="No List11"/>
    <w:next w:val="NoList"/>
    <w:semiHidden/>
    <w:rsid w:val="008E54BF"/>
  </w:style>
  <w:style w:type="character" w:customStyle="1" w:styleId="BodyText2Char">
    <w:name w:val="Body Text 2 Char"/>
    <w:aliases w:val="1Text Char"/>
    <w:link w:val="BodyText2"/>
    <w:rsid w:val="00A5558B"/>
    <w:rPr>
      <w:rFonts w:ascii="GHEA Grapalat" w:eastAsia="Calibri" w:hAnsi="GHEA Grapalat"/>
      <w:sz w:val="22"/>
      <w:szCs w:val="22"/>
      <w:lang w:val="hy-AM"/>
    </w:rPr>
  </w:style>
  <w:style w:type="character" w:customStyle="1" w:styleId="BodyText3Char">
    <w:name w:val="Body Text 3 Char"/>
    <w:link w:val="BodyText3"/>
    <w:rsid w:val="008E54BF"/>
    <w:rPr>
      <w:rFonts w:ascii="Times Armenian" w:hAnsi="Times Armenian"/>
      <w:bCs/>
      <w:sz w:val="22"/>
    </w:rPr>
  </w:style>
  <w:style w:type="character" w:customStyle="1" w:styleId="HeaderChar">
    <w:name w:val="Header Char"/>
    <w:aliases w:val="Header Char Char Char Char Char Char Char Char Char Char Char1,Header Char Char Char Char Char Char Char Char Char Char Char Char Char1,h Char1"/>
    <w:link w:val="Header"/>
    <w:uiPriority w:val="99"/>
    <w:rsid w:val="008E54BF"/>
    <w:rPr>
      <w:rFonts w:ascii="GHEA Grapalat" w:hAnsi="GHEA Grapalat"/>
      <w:lang w:val="en-AU"/>
    </w:rPr>
  </w:style>
  <w:style w:type="character" w:customStyle="1" w:styleId="BodyTextIndent2Char">
    <w:name w:val="Body Text Indent 2 Char"/>
    <w:link w:val="BodyTextIndent2"/>
    <w:rsid w:val="008E54BF"/>
    <w:rPr>
      <w:rFonts w:ascii="Arial Armenian" w:hAnsi="Arial Armenian"/>
      <w:bCs/>
      <w:sz w:val="22"/>
    </w:rPr>
  </w:style>
  <w:style w:type="character" w:customStyle="1" w:styleId="BalloonTextChar">
    <w:name w:val="Balloon Text Char"/>
    <w:link w:val="BalloonText"/>
    <w:rsid w:val="008E54BF"/>
    <w:rPr>
      <w:rFonts w:ascii="Tahoma" w:hAnsi="Tahoma" w:cs="Tahoma"/>
      <w:sz w:val="16"/>
      <w:szCs w:val="16"/>
      <w:lang w:val="ru-RU" w:eastAsia="ru-RU"/>
    </w:rPr>
  </w:style>
  <w:style w:type="table" w:customStyle="1" w:styleId="TableGrid1">
    <w:name w:val="Table Grid1"/>
    <w:basedOn w:val="TableNormal"/>
    <w:next w:val="TableGrid"/>
    <w:uiPriority w:val="39"/>
    <w:rsid w:val="008E54B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semiHidden/>
    <w:rsid w:val="008E54BF"/>
  </w:style>
  <w:style w:type="paragraph" w:styleId="TableofFigures">
    <w:name w:val="table of figures"/>
    <w:basedOn w:val="Normal"/>
    <w:next w:val="Normal"/>
    <w:autoRedefine/>
    <w:uiPriority w:val="99"/>
    <w:rsid w:val="00054D48"/>
    <w:pPr>
      <w:tabs>
        <w:tab w:val="left" w:pos="1843"/>
        <w:tab w:val="right" w:leader="dot" w:pos="9923"/>
      </w:tabs>
      <w:spacing w:before="0"/>
      <w:ind w:left="1440" w:hanging="1440"/>
      <w:jc w:val="left"/>
    </w:pPr>
  </w:style>
  <w:style w:type="character" w:styleId="PlaceholderText">
    <w:name w:val="Placeholder Text"/>
    <w:basedOn w:val="DefaultParagraphFont"/>
    <w:uiPriority w:val="99"/>
    <w:semiHidden/>
    <w:rsid w:val="00D43712"/>
    <w:rPr>
      <w:color w:val="808080"/>
    </w:rPr>
  </w:style>
  <w:style w:type="character" w:customStyle="1" w:styleId="Heading8Char">
    <w:name w:val="Heading 8 Char"/>
    <w:basedOn w:val="DefaultParagraphFont"/>
    <w:link w:val="Heading8"/>
    <w:rsid w:val="00060470"/>
    <w:rPr>
      <w:rFonts w:ascii="Arial Black" w:hAnsi="Arial Black"/>
      <w:caps/>
      <w:spacing w:val="60"/>
      <w:position w:val="4"/>
      <w:sz w:val="14"/>
      <w:lang w:val="en-GB"/>
    </w:rPr>
  </w:style>
  <w:style w:type="character" w:customStyle="1" w:styleId="Heading9Char">
    <w:name w:val="Heading 9 Char"/>
    <w:basedOn w:val="DefaultParagraphFont"/>
    <w:link w:val="Heading9"/>
    <w:rsid w:val="00060470"/>
    <w:rPr>
      <w:rFonts w:ascii="Garamond" w:hAnsi="Garamond"/>
      <w:b/>
      <w:i/>
      <w:kern w:val="28"/>
      <w:sz w:val="16"/>
      <w:lang w:val="en-GB"/>
    </w:rPr>
  </w:style>
  <w:style w:type="character" w:customStyle="1" w:styleId="FooterChar1">
    <w:name w:val="Footer Char1"/>
    <w:locked/>
    <w:rsid w:val="00060470"/>
    <w:rPr>
      <w:lang w:val="en-GB" w:eastAsia="en-US" w:bidi="ar-SA"/>
    </w:rPr>
  </w:style>
  <w:style w:type="paragraph" w:customStyle="1" w:styleId="CharChar7">
    <w:name w:val="Char Char7"/>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overSubTitle">
    <w:name w:val="Cover SubTitle"/>
    <w:basedOn w:val="Normal"/>
    <w:rsid w:val="00060470"/>
    <w:pPr>
      <w:spacing w:before="0" w:line="440" w:lineRule="exact"/>
      <w:ind w:firstLine="0"/>
      <w:contextualSpacing w:val="0"/>
      <w:jc w:val="center"/>
    </w:pPr>
    <w:rPr>
      <w:rFonts w:ascii="Times New Roman" w:hAnsi="Times New Roman"/>
      <w:sz w:val="32"/>
      <w:szCs w:val="20"/>
      <w:lang w:val="en-US" w:eastAsia="en-US"/>
    </w:rPr>
  </w:style>
  <w:style w:type="paragraph" w:customStyle="1" w:styleId="xl25">
    <w:name w:val="xl25"/>
    <w:basedOn w:val="Normal"/>
    <w:rsid w:val="00060470"/>
    <w:pPr>
      <w:spacing w:before="100" w:after="100" w:line="240" w:lineRule="auto"/>
      <w:ind w:firstLine="0"/>
      <w:contextualSpacing w:val="0"/>
      <w:jc w:val="center"/>
    </w:pPr>
    <w:rPr>
      <w:rFonts w:ascii="Times Armenian" w:hAnsi="Times Armenian"/>
      <w:sz w:val="24"/>
      <w:szCs w:val="20"/>
      <w:lang w:val="en-US" w:eastAsia="en-US"/>
    </w:rPr>
  </w:style>
  <w:style w:type="paragraph" w:customStyle="1" w:styleId="ModelSingleNoIndent">
    <w:name w:val="ModelSingleNoIndent"/>
    <w:basedOn w:val="Normal"/>
    <w:rsid w:val="00060470"/>
    <w:pPr>
      <w:spacing w:before="0" w:after="240" w:line="240" w:lineRule="auto"/>
      <w:ind w:firstLine="0"/>
      <w:contextualSpacing w:val="0"/>
    </w:pPr>
    <w:rPr>
      <w:rFonts w:ascii="Times New Roman" w:hAnsi="Times New Roman"/>
      <w:szCs w:val="20"/>
      <w:lang w:val="en-US" w:eastAsia="en-US"/>
    </w:rPr>
  </w:style>
  <w:style w:type="paragraph" w:customStyle="1" w:styleId="Head4">
    <w:name w:val="Head 4"/>
    <w:basedOn w:val="Heading4"/>
    <w:rsid w:val="00060470"/>
    <w:pPr>
      <w:widowControl w:val="0"/>
      <w:tabs>
        <w:tab w:val="left" w:pos="624"/>
      </w:tabs>
      <w:spacing w:before="0"/>
      <w:ind w:left="0" w:firstLine="624"/>
      <w:contextualSpacing w:val="0"/>
      <w:jc w:val="left"/>
    </w:pPr>
    <w:rPr>
      <w:rFonts w:ascii="Arial Armenian" w:hAnsi="Arial Armenian"/>
      <w:i/>
      <w:spacing w:val="-5"/>
      <w:sz w:val="24"/>
      <w:u w:val="single"/>
      <w:lang w:val="fr-FR"/>
    </w:rPr>
  </w:style>
  <w:style w:type="paragraph" w:customStyle="1" w:styleId="BodyTextMainTextdate">
    <w:name w:val="Body Text.(Main Text).date"/>
    <w:basedOn w:val="Normal"/>
    <w:rsid w:val="00060470"/>
    <w:pPr>
      <w:spacing w:before="0" w:line="240" w:lineRule="auto"/>
      <w:ind w:firstLine="0"/>
      <w:contextualSpacing w:val="0"/>
      <w:jc w:val="center"/>
    </w:pPr>
    <w:rPr>
      <w:rFonts w:ascii="Times LatArm" w:hAnsi="Times LatArm"/>
      <w:b w:val="0"/>
      <w:i/>
      <w:sz w:val="28"/>
      <w:szCs w:val="20"/>
      <w:lang w:val="en-US" w:eastAsia="en-US"/>
    </w:rPr>
  </w:style>
  <w:style w:type="paragraph" w:customStyle="1" w:styleId="Char7">
    <w:name w:val="Char7"/>
    <w:basedOn w:val="Normal"/>
    <w:next w:val="Normal"/>
    <w:rsid w:val="00060470"/>
    <w:pPr>
      <w:spacing w:before="0" w:after="160" w:line="240" w:lineRule="exact"/>
      <w:ind w:firstLine="0"/>
      <w:contextualSpacing w:val="0"/>
      <w:jc w:val="left"/>
    </w:pPr>
    <w:rPr>
      <w:rFonts w:ascii="Tahoma" w:hAnsi="Tahoma"/>
      <w:sz w:val="24"/>
      <w:szCs w:val="20"/>
      <w:lang w:val="en-US" w:eastAsia="en-US"/>
    </w:rPr>
  </w:style>
  <w:style w:type="paragraph" w:customStyle="1" w:styleId="a1">
    <w:name w:val="???????"/>
    <w:link w:val="Char1"/>
    <w:rsid w:val="00060470"/>
    <w:rPr>
      <w:lang w:val="ru-RU" w:eastAsia="ru-RU"/>
    </w:rPr>
  </w:style>
  <w:style w:type="paragraph" w:customStyle="1" w:styleId="Char1CharCharCharCharCharCharCharCharCharCharCharChar">
    <w:name w:val="Char1 Char Char Char Char Char Char Char Char Char 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Armenian">
    <w:name w:val="Armenian"/>
    <w:basedOn w:val="Normal"/>
    <w:rsid w:val="00060470"/>
    <w:pPr>
      <w:spacing w:before="0" w:line="240" w:lineRule="auto"/>
      <w:ind w:firstLine="0"/>
      <w:contextualSpacing w:val="0"/>
      <w:jc w:val="left"/>
    </w:pPr>
    <w:rPr>
      <w:rFonts w:ascii="Times LatArm" w:hAnsi="Times LatArm"/>
      <w:sz w:val="24"/>
      <w:lang w:val="en-US"/>
    </w:rPr>
  </w:style>
  <w:style w:type="paragraph" w:customStyle="1" w:styleId="CharCharChar0">
    <w:name w:val="Char Char Char"/>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ModelNrmlDouble">
    <w:name w:val="ModelNrmlDouble"/>
    <w:basedOn w:val="Normal"/>
    <w:rsid w:val="00060470"/>
    <w:pPr>
      <w:overflowPunct w:val="0"/>
      <w:autoSpaceDE w:val="0"/>
      <w:autoSpaceDN w:val="0"/>
      <w:adjustRightInd w:val="0"/>
      <w:spacing w:before="0" w:after="360" w:line="480" w:lineRule="auto"/>
      <w:ind w:firstLine="720"/>
      <w:contextualSpacing w:val="0"/>
      <w:textAlignment w:val="baseline"/>
    </w:pPr>
    <w:rPr>
      <w:rFonts w:ascii="Times New Roman" w:hAnsi="Times New Roman"/>
      <w:szCs w:val="20"/>
      <w:lang w:val="en-US" w:eastAsia="en-US"/>
    </w:rPr>
  </w:style>
  <w:style w:type="paragraph" w:customStyle="1" w:styleId="norm">
    <w:name w:val="norm"/>
    <w:basedOn w:val="Normal"/>
    <w:link w:val="normChar"/>
    <w:rsid w:val="00060470"/>
    <w:pPr>
      <w:spacing w:before="0" w:line="480" w:lineRule="auto"/>
      <w:ind w:firstLine="709"/>
      <w:contextualSpacing w:val="0"/>
    </w:pPr>
    <w:rPr>
      <w:rFonts w:ascii="Arial Armenian" w:hAnsi="Arial Armenian"/>
      <w:szCs w:val="20"/>
      <w:lang w:val="en-US"/>
    </w:rPr>
  </w:style>
  <w:style w:type="paragraph" w:styleId="ListBullet">
    <w:name w:val="List Bullet"/>
    <w:basedOn w:val="Normal"/>
    <w:autoRedefine/>
    <w:qFormat/>
    <w:rsid w:val="00060470"/>
    <w:pPr>
      <w:overflowPunct w:val="0"/>
      <w:autoSpaceDE w:val="0"/>
      <w:autoSpaceDN w:val="0"/>
      <w:adjustRightInd w:val="0"/>
      <w:spacing w:before="130" w:line="240" w:lineRule="auto"/>
      <w:ind w:left="928" w:hanging="360"/>
      <w:contextualSpacing w:val="0"/>
      <w:textAlignment w:val="baseline"/>
    </w:pPr>
    <w:rPr>
      <w:rFonts w:ascii="Times New Roman" w:hAnsi="Times New Roman"/>
      <w:szCs w:val="20"/>
      <w:lang w:val="en-GB" w:eastAsia="en-US"/>
    </w:rPr>
  </w:style>
  <w:style w:type="paragraph" w:styleId="PlainText">
    <w:name w:val="Plain Text"/>
    <w:basedOn w:val="Normal"/>
    <w:link w:val="PlainTextChar"/>
    <w:rsid w:val="00060470"/>
    <w:pPr>
      <w:numPr>
        <w:numId w:val="12"/>
      </w:numPr>
      <w:tabs>
        <w:tab w:val="clear" w:pos="540"/>
      </w:tabs>
      <w:spacing w:before="0" w:line="240" w:lineRule="auto"/>
      <w:ind w:left="0" w:firstLine="0"/>
      <w:contextualSpacing w:val="0"/>
      <w:jc w:val="left"/>
    </w:pPr>
    <w:rPr>
      <w:rFonts w:ascii="Courier New" w:hAnsi="Courier New"/>
      <w:sz w:val="20"/>
      <w:szCs w:val="20"/>
    </w:rPr>
  </w:style>
  <w:style w:type="character" w:customStyle="1" w:styleId="PlainTextChar">
    <w:name w:val="Plain Text Char"/>
    <w:basedOn w:val="DefaultParagraphFont"/>
    <w:link w:val="PlainText"/>
    <w:rsid w:val="00060470"/>
    <w:rPr>
      <w:rFonts w:ascii="Courier New" w:hAnsi="Courier New"/>
      <w:b/>
      <w:lang w:val="ru-RU" w:eastAsia="ru-RU"/>
    </w:rPr>
  </w:style>
  <w:style w:type="paragraph" w:customStyle="1" w:styleId="Tabletext">
    <w:name w:val="Tabletext"/>
    <w:basedOn w:val="Normal"/>
    <w:rsid w:val="00060470"/>
    <w:pPr>
      <w:overflowPunct w:val="0"/>
      <w:autoSpaceDE w:val="0"/>
      <w:autoSpaceDN w:val="0"/>
      <w:adjustRightInd w:val="0"/>
      <w:spacing w:before="0" w:line="240" w:lineRule="auto"/>
      <w:ind w:left="153" w:hanging="153"/>
      <w:contextualSpacing w:val="0"/>
      <w:jc w:val="left"/>
      <w:textAlignment w:val="baseline"/>
    </w:pPr>
    <w:rPr>
      <w:rFonts w:ascii="Times New Roman" w:hAnsi="Times New Roman"/>
      <w:sz w:val="18"/>
      <w:szCs w:val="20"/>
      <w:lang w:val="en-GB" w:eastAsia="en-US"/>
    </w:rPr>
  </w:style>
  <w:style w:type="paragraph" w:styleId="ListBullet2">
    <w:name w:val="List Bullet 2"/>
    <w:basedOn w:val="Normal"/>
    <w:autoRedefine/>
    <w:rsid w:val="00060470"/>
    <w:pPr>
      <w:numPr>
        <w:numId w:val="2"/>
      </w:numPr>
      <w:spacing w:before="0" w:line="240" w:lineRule="auto"/>
      <w:contextualSpacing w:val="0"/>
      <w:jc w:val="left"/>
    </w:pPr>
    <w:rPr>
      <w:rFonts w:ascii="Times New Roman" w:hAnsi="Times New Roman"/>
      <w:sz w:val="24"/>
      <w:lang w:val="en-US" w:eastAsia="en-US"/>
    </w:rPr>
  </w:style>
  <w:style w:type="paragraph" w:styleId="ListContinue2">
    <w:name w:val="List Continue 2"/>
    <w:basedOn w:val="Normal"/>
    <w:rsid w:val="00060470"/>
    <w:pPr>
      <w:spacing w:before="0" w:after="120" w:line="240" w:lineRule="auto"/>
      <w:ind w:left="720" w:firstLine="0"/>
      <w:contextualSpacing w:val="0"/>
      <w:jc w:val="left"/>
    </w:pPr>
    <w:rPr>
      <w:rFonts w:ascii="Times New Roman" w:hAnsi="Times New Roman"/>
      <w:sz w:val="24"/>
      <w:lang w:val="en-US" w:eastAsia="en-US"/>
    </w:rPr>
  </w:style>
  <w:style w:type="paragraph" w:customStyle="1" w:styleId="GlossaryHeader">
    <w:name w:val="Glossary Header"/>
    <w:next w:val="Normal"/>
    <w:rsid w:val="00060470"/>
    <w:pPr>
      <w:pageBreakBefore/>
      <w:overflowPunct w:val="0"/>
      <w:autoSpaceDE w:val="0"/>
      <w:autoSpaceDN w:val="0"/>
      <w:adjustRightInd w:val="0"/>
      <w:textAlignment w:val="baseline"/>
    </w:pPr>
    <w:rPr>
      <w:noProof/>
      <w:sz w:val="36"/>
      <w:lang w:val="en-GB"/>
    </w:rPr>
  </w:style>
  <w:style w:type="paragraph" w:customStyle="1" w:styleId="CaptionSubtitle">
    <w:name w:val="Caption: Subtitle"/>
    <w:rsid w:val="00060470"/>
    <w:rPr>
      <w:rFonts w:ascii="Arial" w:hAnsi="Arial"/>
      <w:noProof/>
      <w:sz w:val="18"/>
    </w:rPr>
  </w:style>
  <w:style w:type="paragraph" w:customStyle="1" w:styleId="KLegalHeading3">
    <w:name w:val="KLegal Heading 3"/>
    <w:basedOn w:val="Normal"/>
    <w:next w:val="Text"/>
    <w:rsid w:val="00060470"/>
    <w:pPr>
      <w:keepNext/>
      <w:numPr>
        <w:ilvl w:val="2"/>
        <w:numId w:val="1"/>
      </w:numPr>
      <w:overflowPunct w:val="0"/>
      <w:autoSpaceDE w:val="0"/>
      <w:autoSpaceDN w:val="0"/>
      <w:adjustRightInd w:val="0"/>
      <w:spacing w:before="0" w:after="220" w:line="240" w:lineRule="auto"/>
      <w:ind w:left="1440" w:hanging="720"/>
      <w:contextualSpacing w:val="0"/>
      <w:textAlignment w:val="baseline"/>
    </w:pPr>
    <w:rPr>
      <w:rFonts w:ascii="Times New Roman" w:hAnsi="Times New Roman"/>
      <w:b w:val="0"/>
      <w:szCs w:val="20"/>
      <w:lang w:val="en-GB" w:eastAsia="en-US"/>
    </w:rPr>
  </w:style>
  <w:style w:type="paragraph" w:customStyle="1" w:styleId="KLegalHeading4">
    <w:name w:val="KLegal Heading 4"/>
    <w:basedOn w:val="Normal"/>
    <w:next w:val="Text"/>
    <w:rsid w:val="00060470"/>
    <w:pPr>
      <w:keepNext/>
      <w:numPr>
        <w:ilvl w:val="3"/>
        <w:numId w:val="1"/>
      </w:numPr>
      <w:overflowPunct w:val="0"/>
      <w:autoSpaceDE w:val="0"/>
      <w:autoSpaceDN w:val="0"/>
      <w:adjustRightInd w:val="0"/>
      <w:spacing w:before="0" w:after="220" w:line="240" w:lineRule="auto"/>
      <w:ind w:left="2160" w:hanging="720"/>
      <w:contextualSpacing w:val="0"/>
      <w:textAlignment w:val="baseline"/>
    </w:pPr>
    <w:rPr>
      <w:rFonts w:ascii="Times New Roman" w:hAnsi="Times New Roman"/>
      <w:b w:val="0"/>
      <w:i/>
      <w:szCs w:val="20"/>
      <w:lang w:val="en-GB" w:eastAsia="en-US"/>
    </w:rPr>
  </w:style>
  <w:style w:type="paragraph" w:customStyle="1" w:styleId="KLegalHeading1">
    <w:name w:val="KLegal Heading 1"/>
    <w:basedOn w:val="Normal"/>
    <w:next w:val="KLegalHeading2"/>
    <w:rsid w:val="00060470"/>
    <w:pPr>
      <w:keepNext/>
      <w:pageBreakBefore/>
      <w:overflowPunct w:val="0"/>
      <w:autoSpaceDE w:val="0"/>
      <w:autoSpaceDN w:val="0"/>
      <w:adjustRightInd w:val="0"/>
      <w:spacing w:before="0" w:after="440" w:line="240" w:lineRule="auto"/>
      <w:ind w:left="851" w:hanging="851"/>
      <w:contextualSpacing w:val="0"/>
      <w:textAlignment w:val="baseline"/>
      <w:outlineLvl w:val="0"/>
    </w:pPr>
    <w:rPr>
      <w:rFonts w:ascii="Times New Roman" w:hAnsi="Times New Roman"/>
      <w:b w:val="0"/>
      <w:sz w:val="32"/>
      <w:szCs w:val="20"/>
      <w:lang w:val="en-GB" w:eastAsia="en-US"/>
    </w:rPr>
  </w:style>
  <w:style w:type="paragraph" w:customStyle="1" w:styleId="KLegalHeading2">
    <w:name w:val="KLegal Heading 2"/>
    <w:basedOn w:val="Normal"/>
    <w:next w:val="KLegalHeading3"/>
    <w:rsid w:val="00060470"/>
    <w:pPr>
      <w:keepNext/>
      <w:numPr>
        <w:ilvl w:val="1"/>
        <w:numId w:val="1"/>
      </w:numPr>
      <w:overflowPunct w:val="0"/>
      <w:autoSpaceDE w:val="0"/>
      <w:autoSpaceDN w:val="0"/>
      <w:adjustRightInd w:val="0"/>
      <w:spacing w:before="0" w:after="220" w:line="240" w:lineRule="auto"/>
      <w:ind w:left="851" w:hanging="851"/>
      <w:contextualSpacing w:val="0"/>
      <w:textAlignment w:val="baseline"/>
      <w:outlineLvl w:val="1"/>
    </w:pPr>
    <w:rPr>
      <w:rFonts w:ascii="Times New Roman" w:hAnsi="Times New Roman"/>
      <w:b w:val="0"/>
      <w:sz w:val="28"/>
      <w:szCs w:val="20"/>
      <w:lang w:val="en-GB" w:eastAsia="en-US"/>
    </w:rPr>
  </w:style>
  <w:style w:type="paragraph" w:customStyle="1" w:styleId="font5">
    <w:name w:val="font5"/>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6">
    <w:name w:val="font6"/>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font7">
    <w:name w:val="font7"/>
    <w:basedOn w:val="Normal"/>
    <w:rsid w:val="00060470"/>
    <w:pPr>
      <w:spacing w:before="100" w:beforeAutospacing="1" w:after="100" w:afterAutospacing="1" w:line="240" w:lineRule="auto"/>
      <w:ind w:firstLine="0"/>
      <w:contextualSpacing w:val="0"/>
      <w:jc w:val="left"/>
    </w:pPr>
    <w:rPr>
      <w:rFonts w:ascii="Times Armenian" w:hAnsi="Times Armenian"/>
      <w:color w:val="000000"/>
      <w:sz w:val="20"/>
      <w:szCs w:val="20"/>
      <w:lang w:val="en-US" w:eastAsia="en-US"/>
    </w:rPr>
  </w:style>
  <w:style w:type="paragraph" w:customStyle="1" w:styleId="font8">
    <w:name w:val="font8"/>
    <w:basedOn w:val="Normal"/>
    <w:rsid w:val="00060470"/>
    <w:pPr>
      <w:spacing w:before="100" w:beforeAutospacing="1" w:after="100" w:afterAutospacing="1" w:line="240" w:lineRule="auto"/>
      <w:ind w:firstLine="0"/>
      <w:contextualSpacing w:val="0"/>
      <w:jc w:val="left"/>
    </w:pPr>
    <w:rPr>
      <w:rFonts w:ascii="Times Armenian" w:hAnsi="Times Armenian"/>
      <w:color w:val="000000"/>
      <w:sz w:val="16"/>
      <w:szCs w:val="16"/>
      <w:lang w:val="en-US" w:eastAsia="en-US"/>
    </w:rPr>
  </w:style>
  <w:style w:type="paragraph" w:customStyle="1" w:styleId="font9">
    <w:name w:val="font9"/>
    <w:basedOn w:val="Normal"/>
    <w:rsid w:val="00060470"/>
    <w:pPr>
      <w:spacing w:before="100" w:beforeAutospacing="1" w:after="100" w:afterAutospacing="1" w:line="240" w:lineRule="auto"/>
      <w:ind w:firstLine="0"/>
      <w:contextualSpacing w:val="0"/>
      <w:jc w:val="left"/>
    </w:pPr>
    <w:rPr>
      <w:rFonts w:ascii="Times Armenian" w:hAnsi="Times Armenian"/>
      <w:color w:val="000000"/>
      <w:szCs w:val="22"/>
      <w:lang w:val="en-US" w:eastAsia="en-US"/>
    </w:rPr>
  </w:style>
  <w:style w:type="paragraph" w:customStyle="1" w:styleId="font10">
    <w:name w:val="font10"/>
    <w:basedOn w:val="Normal"/>
    <w:rsid w:val="00060470"/>
    <w:pPr>
      <w:spacing w:before="100" w:beforeAutospacing="1" w:after="100" w:afterAutospacing="1" w:line="240" w:lineRule="auto"/>
      <w:ind w:firstLine="0"/>
      <w:contextualSpacing w:val="0"/>
      <w:jc w:val="left"/>
    </w:pPr>
    <w:rPr>
      <w:rFonts w:ascii="Times Armenian" w:hAnsi="Times Armenian"/>
      <w:b w:val="0"/>
      <w:bCs/>
      <w:color w:val="000000"/>
      <w:sz w:val="16"/>
      <w:szCs w:val="16"/>
      <w:lang w:val="en-US" w:eastAsia="en-US"/>
    </w:rPr>
  </w:style>
  <w:style w:type="paragraph" w:customStyle="1" w:styleId="xl65">
    <w:name w:val="xl65"/>
    <w:basedOn w:val="Normal"/>
    <w:rsid w:val="00060470"/>
    <w:pPr>
      <w:spacing w:before="100" w:beforeAutospacing="1" w:after="100" w:afterAutospacing="1" w:line="240" w:lineRule="auto"/>
      <w:ind w:firstLine="0"/>
      <w:contextualSpacing w:val="0"/>
      <w:jc w:val="left"/>
      <w:textAlignment w:val="center"/>
    </w:pPr>
    <w:rPr>
      <w:rFonts w:ascii="Times New Roman" w:hAnsi="Times New Roman"/>
      <w:sz w:val="24"/>
      <w:lang w:val="en-US" w:eastAsia="en-US"/>
    </w:rPr>
  </w:style>
  <w:style w:type="paragraph" w:customStyle="1" w:styleId="xl66">
    <w:name w:val="xl66"/>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67">
    <w:name w:val="xl67"/>
    <w:basedOn w:val="Normal"/>
    <w:rsid w:val="00060470"/>
    <w:pPr>
      <w:spacing w:before="100" w:beforeAutospacing="1" w:after="100" w:afterAutospacing="1" w:line="240" w:lineRule="auto"/>
      <w:ind w:firstLine="0"/>
      <w:contextualSpacing w:val="0"/>
      <w:jc w:val="center"/>
      <w:textAlignment w:val="center"/>
    </w:pPr>
    <w:rPr>
      <w:rFonts w:ascii="Times New Roman" w:hAnsi="Times New Roman"/>
      <w:sz w:val="24"/>
      <w:lang w:val="en-US" w:eastAsia="en-US"/>
    </w:rPr>
  </w:style>
  <w:style w:type="paragraph" w:customStyle="1" w:styleId="xl68">
    <w:name w:val="xl68"/>
    <w:basedOn w:val="Normal"/>
    <w:rsid w:val="00060470"/>
    <w:pPr>
      <w:spacing w:before="100" w:beforeAutospacing="1" w:after="100" w:afterAutospacing="1" w:line="240" w:lineRule="auto"/>
      <w:ind w:firstLine="0"/>
      <w:contextualSpacing w:val="0"/>
      <w:jc w:val="right"/>
      <w:textAlignment w:val="top"/>
    </w:pPr>
    <w:rPr>
      <w:rFonts w:ascii="Times Armenian" w:hAnsi="Times Armenian"/>
      <w:sz w:val="18"/>
      <w:szCs w:val="18"/>
      <w:lang w:val="en-US" w:eastAsia="en-US"/>
    </w:rPr>
  </w:style>
  <w:style w:type="paragraph" w:customStyle="1" w:styleId="xl69">
    <w:name w:val="xl69"/>
    <w:basedOn w:val="Normal"/>
    <w:rsid w:val="00060470"/>
    <w:pPr>
      <w:spacing w:before="100" w:beforeAutospacing="1" w:after="100" w:afterAutospacing="1" w:line="240" w:lineRule="auto"/>
      <w:ind w:firstLine="0"/>
      <w:contextualSpacing w:val="0"/>
      <w:textAlignment w:val="top"/>
    </w:pPr>
    <w:rPr>
      <w:rFonts w:ascii="Times Armenian" w:hAnsi="Times Armenian"/>
      <w:sz w:val="18"/>
      <w:szCs w:val="18"/>
      <w:lang w:val="en-US" w:eastAsia="en-US"/>
    </w:rPr>
  </w:style>
  <w:style w:type="paragraph" w:customStyle="1" w:styleId="xl70">
    <w:name w:val="xl70"/>
    <w:basedOn w:val="Normal"/>
    <w:rsid w:val="00060470"/>
    <w:pPr>
      <w:pBdr>
        <w:top w:val="double" w:sz="6"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1">
    <w:name w:val="xl71"/>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2">
    <w:name w:val="xl72"/>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3">
    <w:name w:val="xl73"/>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4">
    <w:name w:val="xl74"/>
    <w:basedOn w:val="Normal"/>
    <w:rsid w:val="00060470"/>
    <w:pPr>
      <w:pBdr>
        <w:top w:val="double" w:sz="6" w:space="0" w:color="auto"/>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5">
    <w:name w:val="xl75"/>
    <w:basedOn w:val="Normal"/>
    <w:rsid w:val="00060470"/>
    <w:pPr>
      <w:pBdr>
        <w:top w:val="double" w:sz="6"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6">
    <w:name w:val="xl76"/>
    <w:basedOn w:val="Normal"/>
    <w:rsid w:val="00060470"/>
    <w:pPr>
      <w:pBdr>
        <w:top w:val="double" w:sz="6"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7">
    <w:name w:val="xl77"/>
    <w:basedOn w:val="Normal"/>
    <w:rsid w:val="00060470"/>
    <w:pPr>
      <w:pBdr>
        <w:left w:val="double" w:sz="6"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8">
    <w:name w:val="xl78"/>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79">
    <w:name w:val="xl79"/>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0">
    <w:name w:val="xl80"/>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81">
    <w:name w:val="xl81"/>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2">
    <w:name w:val="xl82"/>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b w:val="0"/>
      <w:bCs/>
      <w:sz w:val="16"/>
      <w:szCs w:val="16"/>
      <w:lang w:val="en-US" w:eastAsia="en-US"/>
    </w:rPr>
  </w:style>
  <w:style w:type="paragraph" w:customStyle="1" w:styleId="xl83">
    <w:name w:val="xl83"/>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4">
    <w:name w:val="xl84"/>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5">
    <w:name w:val="xl85"/>
    <w:basedOn w:val="Normal"/>
    <w:rsid w:val="00060470"/>
    <w:pPr>
      <w:pBdr>
        <w:top w:val="double" w:sz="6"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6">
    <w:name w:val="xl86"/>
    <w:basedOn w:val="Normal"/>
    <w:rsid w:val="00060470"/>
    <w:pPr>
      <w:pBdr>
        <w:top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87">
    <w:name w:val="xl87"/>
    <w:basedOn w:val="Normal"/>
    <w:rsid w:val="00060470"/>
    <w:pPr>
      <w:pBdr>
        <w:lef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8">
    <w:name w:val="xl88"/>
    <w:basedOn w:val="Normal"/>
    <w:rsid w:val="00060470"/>
    <w:pPr>
      <w:pBdr>
        <w:right w:val="single" w:sz="8" w:space="0" w:color="auto"/>
      </w:pBdr>
      <w:spacing w:before="100" w:beforeAutospacing="1" w:after="100" w:afterAutospacing="1" w:line="240" w:lineRule="auto"/>
      <w:ind w:firstLine="0"/>
      <w:contextualSpacing w:val="0"/>
      <w:jc w:val="left"/>
      <w:textAlignment w:val="center"/>
    </w:pPr>
    <w:rPr>
      <w:rFonts w:ascii="Times Armenian" w:hAnsi="Times Armenian"/>
      <w:color w:val="FF0000"/>
      <w:sz w:val="16"/>
      <w:szCs w:val="16"/>
      <w:lang w:val="en-US" w:eastAsia="en-US"/>
    </w:rPr>
  </w:style>
  <w:style w:type="paragraph" w:customStyle="1" w:styleId="xl89">
    <w:name w:val="xl89"/>
    <w:basedOn w:val="Normal"/>
    <w:rsid w:val="00060470"/>
    <w:pPr>
      <w:pBdr>
        <w:left w:val="single" w:sz="8" w:space="0" w:color="auto"/>
        <w:bottom w:val="double" w:sz="6"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0">
    <w:name w:val="xl90"/>
    <w:basedOn w:val="Normal"/>
    <w:rsid w:val="00060470"/>
    <w:pPr>
      <w:pBdr>
        <w:bottom w:val="double" w:sz="6"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1">
    <w:name w:val="xl91"/>
    <w:basedOn w:val="Normal"/>
    <w:rsid w:val="00060470"/>
    <w:pPr>
      <w:pBdr>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92">
    <w:name w:val="xl92"/>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3">
    <w:name w:val="xl93"/>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94">
    <w:name w:val="xl94"/>
    <w:basedOn w:val="Normal"/>
    <w:rsid w:val="00060470"/>
    <w:pPr>
      <w:pBdr>
        <w:top w:val="single" w:sz="8" w:space="0" w:color="auto"/>
        <w:lef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5">
    <w:name w:val="xl95"/>
    <w:basedOn w:val="Normal"/>
    <w:rsid w:val="00060470"/>
    <w:pPr>
      <w:pBdr>
        <w:top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6">
    <w:name w:val="xl96"/>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7">
    <w:name w:val="xl97"/>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98">
    <w:name w:val="xl98"/>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99">
    <w:name w:val="xl99"/>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00">
    <w:name w:val="xl100"/>
    <w:basedOn w:val="Normal"/>
    <w:rsid w:val="00060470"/>
    <w:pPr>
      <w:pBdr>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1">
    <w:name w:val="xl101"/>
    <w:basedOn w:val="Normal"/>
    <w:rsid w:val="00060470"/>
    <w:pPr>
      <w:pBdr>
        <w:lef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2">
    <w:name w:val="xl102"/>
    <w:basedOn w:val="Normal"/>
    <w:rsid w:val="00060470"/>
    <w:pPr>
      <w:pBdr>
        <w:right w:val="single" w:sz="8" w:space="0" w:color="auto"/>
      </w:pBdr>
      <w:spacing w:before="100" w:beforeAutospacing="1" w:after="100" w:afterAutospacing="1" w:line="240" w:lineRule="auto"/>
      <w:ind w:firstLine="0"/>
      <w:contextualSpacing w:val="0"/>
      <w:textAlignment w:val="center"/>
    </w:pPr>
    <w:rPr>
      <w:rFonts w:ascii="Times Armenian" w:hAnsi="Times Armenian"/>
      <w:color w:val="FF0000"/>
      <w:sz w:val="16"/>
      <w:szCs w:val="16"/>
      <w:lang w:val="en-US" w:eastAsia="en-US"/>
    </w:rPr>
  </w:style>
  <w:style w:type="paragraph" w:customStyle="1" w:styleId="xl103">
    <w:name w:val="xl103"/>
    <w:basedOn w:val="Normal"/>
    <w:rsid w:val="00060470"/>
    <w:pPr>
      <w:pBdr>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04">
    <w:name w:val="xl104"/>
    <w:basedOn w:val="Normal"/>
    <w:rsid w:val="00060470"/>
    <w:pPr>
      <w:spacing w:before="100" w:beforeAutospacing="1" w:after="100" w:afterAutospacing="1" w:line="240" w:lineRule="auto"/>
      <w:ind w:firstLine="0"/>
      <w:contextualSpacing w:val="0"/>
      <w:jc w:val="left"/>
      <w:textAlignment w:val="center"/>
    </w:pPr>
    <w:rPr>
      <w:rFonts w:ascii="Calibri" w:hAnsi="Calibri"/>
      <w:sz w:val="24"/>
      <w:lang w:val="en-US" w:eastAsia="en-US"/>
    </w:rPr>
  </w:style>
  <w:style w:type="paragraph" w:customStyle="1" w:styleId="xl105">
    <w:name w:val="xl105"/>
    <w:basedOn w:val="Normal"/>
    <w:rsid w:val="00060470"/>
    <w:pPr>
      <w:pBdr>
        <w:top w:val="single" w:sz="8" w:space="0" w:color="auto"/>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6">
    <w:name w:val="xl106"/>
    <w:basedOn w:val="Normal"/>
    <w:rsid w:val="00060470"/>
    <w:pPr>
      <w:pBdr>
        <w:top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7">
    <w:name w:val="xl107"/>
    <w:basedOn w:val="Normal"/>
    <w:rsid w:val="00060470"/>
    <w:pPr>
      <w:pBdr>
        <w:top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08">
    <w:name w:val="xl108"/>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09">
    <w:name w:val="xl109"/>
    <w:basedOn w:val="Normal"/>
    <w:rsid w:val="00060470"/>
    <w:pPr>
      <w:pBdr>
        <w:top w:val="double" w:sz="6"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0">
    <w:name w:val="xl110"/>
    <w:basedOn w:val="Normal"/>
    <w:rsid w:val="00060470"/>
    <w:pPr>
      <w:pBdr>
        <w:top w:val="double" w:sz="6"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1">
    <w:name w:val="xl111"/>
    <w:basedOn w:val="Normal"/>
    <w:rsid w:val="00060470"/>
    <w:pPr>
      <w:pBdr>
        <w:top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2">
    <w:name w:val="xl112"/>
    <w:basedOn w:val="Normal"/>
    <w:rsid w:val="00060470"/>
    <w:pPr>
      <w:pBdr>
        <w:top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3">
    <w:name w:val="xl113"/>
    <w:basedOn w:val="Normal"/>
    <w:rsid w:val="00060470"/>
    <w:pPr>
      <w:pBdr>
        <w:left w:val="single" w:sz="8" w:space="0" w:color="auto"/>
        <w:bottom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4">
    <w:name w:val="xl114"/>
    <w:basedOn w:val="Normal"/>
    <w:rsid w:val="00060470"/>
    <w:pPr>
      <w:pBdr>
        <w:left w:val="single" w:sz="8" w:space="0" w:color="auto"/>
        <w:bottom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5">
    <w:name w:val="xl115"/>
    <w:basedOn w:val="Normal"/>
    <w:rsid w:val="00060470"/>
    <w:pPr>
      <w:pBdr>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16">
    <w:name w:val="xl116"/>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7">
    <w:name w:val="xl117"/>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8">
    <w:name w:val="xl118"/>
    <w:basedOn w:val="Normal"/>
    <w:rsid w:val="00060470"/>
    <w:pPr>
      <w:pBdr>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19">
    <w:name w:val="xl119"/>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0">
    <w:name w:val="xl120"/>
    <w:basedOn w:val="Normal"/>
    <w:rsid w:val="00060470"/>
    <w:pPr>
      <w:pBdr>
        <w:left w:val="double" w:sz="6"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1">
    <w:name w:val="xl12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2">
    <w:name w:val="xl122"/>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3">
    <w:name w:val="xl123"/>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4">
    <w:name w:val="xl124"/>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5">
    <w:name w:val="xl125"/>
    <w:basedOn w:val="Normal"/>
    <w:rsid w:val="00060470"/>
    <w:pPr>
      <w:pBdr>
        <w:top w:val="single" w:sz="8" w:space="0" w:color="auto"/>
        <w:left w:val="double" w:sz="6"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26">
    <w:name w:val="xl126"/>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27">
    <w:name w:val="xl127"/>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8">
    <w:name w:val="xl128"/>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29">
    <w:name w:val="xl129"/>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0">
    <w:name w:val="xl130"/>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31">
    <w:name w:val="xl13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32">
    <w:name w:val="xl132"/>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3">
    <w:name w:val="xl133"/>
    <w:basedOn w:val="Normal"/>
    <w:rsid w:val="00060470"/>
    <w:pPr>
      <w:pBdr>
        <w:top w:val="single" w:sz="8" w:space="0" w:color="auto"/>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4">
    <w:name w:val="xl134"/>
    <w:basedOn w:val="Normal"/>
    <w:rsid w:val="00060470"/>
    <w:pPr>
      <w:pBdr>
        <w:top w:val="single" w:sz="8" w:space="0" w:color="auto"/>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5">
    <w:name w:val="xl135"/>
    <w:basedOn w:val="Normal"/>
    <w:rsid w:val="00060470"/>
    <w:pPr>
      <w:pBdr>
        <w:top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6">
    <w:name w:val="xl136"/>
    <w:basedOn w:val="Normal"/>
    <w:rsid w:val="00060470"/>
    <w:pPr>
      <w:pBdr>
        <w:top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7">
    <w:name w:val="xl137"/>
    <w:basedOn w:val="Normal"/>
    <w:rsid w:val="00060470"/>
    <w:pPr>
      <w:pBdr>
        <w:left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38">
    <w:name w:val="xl138"/>
    <w:basedOn w:val="Normal"/>
    <w:rsid w:val="00060470"/>
    <w:pPr>
      <w:pBdr>
        <w:left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39">
    <w:name w:val="xl139"/>
    <w:basedOn w:val="Normal"/>
    <w:rsid w:val="00060470"/>
    <w:pPr>
      <w:pBdr>
        <w:lef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0">
    <w:name w:val="xl140"/>
    <w:basedOn w:val="Normal"/>
    <w:rsid w:val="00060470"/>
    <w:pPr>
      <w:pBdr>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1">
    <w:name w:val="xl141"/>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textAlignment w:val="center"/>
    </w:pPr>
    <w:rPr>
      <w:rFonts w:ascii="Times Armenian" w:hAnsi="Times Armenian"/>
      <w:sz w:val="16"/>
      <w:szCs w:val="16"/>
      <w:lang w:val="en-US" w:eastAsia="en-US"/>
    </w:rPr>
  </w:style>
  <w:style w:type="paragraph" w:customStyle="1" w:styleId="xl142">
    <w:name w:val="xl142"/>
    <w:basedOn w:val="Normal"/>
    <w:rsid w:val="00060470"/>
    <w:pPr>
      <w:pBdr>
        <w:left w:val="single" w:sz="8" w:space="0" w:color="auto"/>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3">
    <w:name w:val="xl143"/>
    <w:basedOn w:val="Normal"/>
    <w:rsid w:val="00060470"/>
    <w:pPr>
      <w:pBdr>
        <w:left w:val="single" w:sz="8" w:space="0" w:color="auto"/>
        <w:bottom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4">
    <w:name w:val="xl144"/>
    <w:basedOn w:val="Normal"/>
    <w:rsid w:val="00060470"/>
    <w:pPr>
      <w:pBdr>
        <w:bottom w:val="single" w:sz="8" w:space="0" w:color="auto"/>
        <w:right w:val="single" w:sz="8"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5">
    <w:name w:val="xl145"/>
    <w:basedOn w:val="Normal"/>
    <w:rsid w:val="00060470"/>
    <w:pPr>
      <w:pBdr>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6">
    <w:name w:val="xl146"/>
    <w:basedOn w:val="Normal"/>
    <w:rsid w:val="00060470"/>
    <w:pPr>
      <w:pBdr>
        <w:left w:val="single" w:sz="8" w:space="0" w:color="auto"/>
        <w:bottom w:val="single" w:sz="8"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47">
    <w:name w:val="xl147"/>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8">
    <w:name w:val="xl148"/>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49">
    <w:name w:val="xl14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0">
    <w:name w:val="xl150"/>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1">
    <w:name w:val="xl151"/>
    <w:basedOn w:val="Normal"/>
    <w:rsid w:val="00060470"/>
    <w:pPr>
      <w:pBdr>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2">
    <w:name w:val="xl152"/>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3">
    <w:name w:val="xl153"/>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4">
    <w:name w:val="xl154"/>
    <w:basedOn w:val="Normal"/>
    <w:rsid w:val="00060470"/>
    <w:pPr>
      <w:spacing w:before="100" w:beforeAutospacing="1" w:after="100" w:afterAutospacing="1" w:line="240" w:lineRule="auto"/>
      <w:ind w:firstLine="0"/>
      <w:contextualSpacing w:val="0"/>
      <w:jc w:val="center"/>
      <w:textAlignment w:val="center"/>
    </w:pPr>
    <w:rPr>
      <w:rFonts w:ascii="Calibri" w:hAnsi="Calibri"/>
      <w:sz w:val="24"/>
      <w:lang w:val="en-US" w:eastAsia="en-US"/>
    </w:rPr>
  </w:style>
  <w:style w:type="paragraph" w:customStyle="1" w:styleId="xl155">
    <w:name w:val="xl155"/>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lang w:val="en-US" w:eastAsia="en-US"/>
    </w:rPr>
  </w:style>
  <w:style w:type="paragraph" w:customStyle="1" w:styleId="xl156">
    <w:name w:val="xl156"/>
    <w:basedOn w:val="Normal"/>
    <w:rsid w:val="00060470"/>
    <w:pPr>
      <w:pBdr>
        <w:top w:val="single" w:sz="8" w:space="0" w:color="auto"/>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sz w:val="16"/>
      <w:szCs w:val="16"/>
      <w:lang w:val="en-US" w:eastAsia="en-US"/>
    </w:rPr>
  </w:style>
  <w:style w:type="paragraph" w:customStyle="1" w:styleId="xl157">
    <w:name w:val="xl157"/>
    <w:basedOn w:val="Normal"/>
    <w:rsid w:val="00060470"/>
    <w:pPr>
      <w:pBdr>
        <w:left w:val="single" w:sz="8" w:space="0" w:color="auto"/>
        <w:bottom w:val="double" w:sz="6" w:space="0" w:color="auto"/>
        <w:right w:val="double" w:sz="6" w:space="0" w:color="auto"/>
      </w:pBdr>
      <w:spacing w:before="100" w:beforeAutospacing="1" w:after="100" w:afterAutospacing="1" w:line="240" w:lineRule="auto"/>
      <w:ind w:firstLine="0"/>
      <w:contextualSpacing w:val="0"/>
      <w:jc w:val="center"/>
      <w:textAlignment w:val="center"/>
    </w:pPr>
    <w:rPr>
      <w:rFonts w:ascii="Times Armenian" w:hAnsi="Times Armenian"/>
      <w:b w:val="0"/>
      <w:bCs/>
      <w:sz w:val="16"/>
      <w:szCs w:val="16"/>
      <w:lang w:val="en-US" w:eastAsia="en-US"/>
    </w:rPr>
  </w:style>
  <w:style w:type="paragraph" w:customStyle="1" w:styleId="xl158">
    <w:name w:val="xl158"/>
    <w:basedOn w:val="Normal"/>
    <w:rsid w:val="00060470"/>
    <w:pPr>
      <w:pBdr>
        <w:top w:val="double" w:sz="6"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59">
    <w:name w:val="xl159"/>
    <w:basedOn w:val="Normal"/>
    <w:rsid w:val="00060470"/>
    <w:pPr>
      <w:pBdr>
        <w:left w:val="single" w:sz="8" w:space="0" w:color="auto"/>
        <w:bottom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0">
    <w:name w:val="xl160"/>
    <w:basedOn w:val="Normal"/>
    <w:rsid w:val="00060470"/>
    <w:pPr>
      <w:pBdr>
        <w:top w:val="single" w:sz="8" w:space="0" w:color="auto"/>
        <w:left w:val="single" w:sz="8" w:space="0" w:color="auto"/>
        <w:right w:val="double" w:sz="6" w:space="0" w:color="auto"/>
      </w:pBdr>
      <w:spacing w:before="100" w:beforeAutospacing="1" w:after="100" w:afterAutospacing="1" w:line="240" w:lineRule="auto"/>
      <w:ind w:firstLine="0"/>
      <w:contextualSpacing w:val="0"/>
      <w:textAlignment w:val="center"/>
    </w:pPr>
    <w:rPr>
      <w:rFonts w:ascii="Times Armenian" w:hAnsi="Times Armenian"/>
      <w:b w:val="0"/>
      <w:bCs/>
      <w:sz w:val="16"/>
      <w:szCs w:val="16"/>
      <w:lang w:val="en-US" w:eastAsia="en-US"/>
    </w:rPr>
  </w:style>
  <w:style w:type="paragraph" w:customStyle="1" w:styleId="xl161">
    <w:name w:val="xl161"/>
    <w:basedOn w:val="Normal"/>
    <w:rsid w:val="00060470"/>
    <w:pPr>
      <w:spacing w:before="100" w:beforeAutospacing="1" w:after="100" w:afterAutospacing="1" w:line="240" w:lineRule="auto"/>
      <w:ind w:firstLine="0"/>
      <w:contextualSpacing w:val="0"/>
      <w:jc w:val="left"/>
      <w:textAlignment w:val="center"/>
    </w:pPr>
    <w:rPr>
      <w:rFonts w:ascii="Times Armenian" w:hAnsi="Times Armenian"/>
      <w:b w:val="0"/>
      <w:bCs/>
      <w:sz w:val="18"/>
      <w:szCs w:val="18"/>
      <w:u w:val="single"/>
      <w:lang w:val="en-US" w:eastAsia="en-US"/>
    </w:rPr>
  </w:style>
  <w:style w:type="paragraph" w:customStyle="1" w:styleId="xl24">
    <w:name w:val="xl24"/>
    <w:basedOn w:val="Normal"/>
    <w:rsid w:val="00060470"/>
    <w:pP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6">
    <w:name w:val="xl26"/>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27">
    <w:name w:val="xl27"/>
    <w:basedOn w:val="Normal"/>
    <w:rsid w:val="00060470"/>
    <w:pPr>
      <w:pBdr>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8">
    <w:name w:val="xl28"/>
    <w:basedOn w:val="Normal"/>
    <w:rsid w:val="00060470"/>
    <w:pPr>
      <w:pBdr>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Cs w:val="22"/>
      <w:lang w:val="en-US" w:eastAsia="en-US"/>
    </w:rPr>
  </w:style>
  <w:style w:type="paragraph" w:customStyle="1" w:styleId="xl29">
    <w:name w:val="xl29"/>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Cs w:val="22"/>
      <w:lang w:val="en-US" w:eastAsia="en-US"/>
    </w:rPr>
  </w:style>
  <w:style w:type="paragraph" w:customStyle="1" w:styleId="xl30">
    <w:name w:val="xl30"/>
    <w:basedOn w:val="Normal"/>
    <w:rsid w:val="00060470"/>
    <w:pPr>
      <w:pBdr>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Cs w:val="22"/>
      <w:lang w:val="en-US" w:eastAsia="en-US"/>
    </w:rPr>
  </w:style>
  <w:style w:type="paragraph" w:customStyle="1" w:styleId="xl31">
    <w:name w:val="xl31"/>
    <w:basedOn w:val="Normal"/>
    <w:rsid w:val="00060470"/>
    <w:pPr>
      <w:pBdr>
        <w:left w:val="single" w:sz="4" w:space="0" w:color="auto"/>
        <w:bottom w:val="single" w:sz="4" w:space="0" w:color="auto"/>
      </w:pBdr>
      <w:spacing w:before="100" w:beforeAutospacing="1" w:after="100" w:afterAutospacing="1" w:line="240" w:lineRule="auto"/>
      <w:ind w:firstLine="0"/>
      <w:contextualSpacing w:val="0"/>
      <w:jc w:val="center"/>
      <w:textAlignment w:val="top"/>
    </w:pPr>
    <w:rPr>
      <w:rFonts w:ascii="Times Armenian" w:eastAsia="Arial Unicode MS" w:hAnsi="Times Armenian" w:cs="Arial Unicode MS"/>
      <w:b w:val="0"/>
      <w:bCs/>
      <w:sz w:val="24"/>
      <w:lang w:val="en-US" w:eastAsia="en-US"/>
    </w:rPr>
  </w:style>
  <w:style w:type="paragraph" w:customStyle="1" w:styleId="xl32">
    <w:name w:val="xl32"/>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3">
    <w:name w:val="xl33"/>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34">
    <w:name w:val="xl34"/>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5">
    <w:name w:val="xl35"/>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b w:val="0"/>
      <w:bCs/>
      <w:sz w:val="24"/>
      <w:lang w:val="en-US" w:eastAsia="en-US"/>
    </w:rPr>
  </w:style>
  <w:style w:type="paragraph" w:customStyle="1" w:styleId="xl36">
    <w:name w:val="xl36"/>
    <w:basedOn w:val="Normal"/>
    <w:rsid w:val="00060470"/>
    <w:pPr>
      <w:pBdr>
        <w:top w:val="single" w:sz="4" w:space="0" w:color="auto"/>
        <w:left w:val="single" w:sz="4" w:space="0" w:color="auto"/>
        <w:bottom w:val="single" w:sz="4" w:space="0" w:color="auto"/>
      </w:pBdr>
      <w:spacing w:before="100" w:beforeAutospacing="1" w:after="100" w:afterAutospacing="1" w:line="240" w:lineRule="auto"/>
      <w:ind w:firstLine="0"/>
      <w:contextualSpacing w:val="0"/>
      <w:jc w:val="left"/>
      <w:textAlignment w:val="top"/>
    </w:pPr>
    <w:rPr>
      <w:rFonts w:ascii="Times Armenian" w:eastAsia="Arial Unicode MS" w:hAnsi="Times Armenian" w:cs="Arial Unicode MS"/>
      <w:sz w:val="24"/>
      <w:lang w:val="en-US" w:eastAsia="en-US"/>
    </w:rPr>
  </w:style>
  <w:style w:type="paragraph" w:customStyle="1" w:styleId="xl23">
    <w:name w:val="xl23"/>
    <w:basedOn w:val="Normal"/>
    <w:rsid w:val="00060470"/>
    <w:pPr>
      <w:spacing w:before="100" w:beforeAutospacing="1" w:after="100" w:afterAutospacing="1" w:line="240" w:lineRule="auto"/>
      <w:ind w:firstLine="0"/>
      <w:contextualSpacing w:val="0"/>
      <w:jc w:val="center"/>
      <w:textAlignment w:val="center"/>
    </w:pPr>
    <w:rPr>
      <w:rFonts w:ascii="Times Armenian" w:hAnsi="Times Armenian"/>
      <w:sz w:val="24"/>
      <w:lang w:val="en-US" w:eastAsia="en-US"/>
    </w:rPr>
  </w:style>
  <w:style w:type="paragraph" w:customStyle="1" w:styleId="xl37">
    <w:name w:val="xl37"/>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xl38">
    <w:name w:val="xl38"/>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39">
    <w:name w:val="xl39"/>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0">
    <w:name w:val="xl40"/>
    <w:basedOn w:val="Normal"/>
    <w:rsid w:val="00060470"/>
    <w:pPr>
      <w:pBdr>
        <w:bottom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1">
    <w:name w:val="xl41"/>
    <w:basedOn w:val="Normal"/>
    <w:rsid w:val="00060470"/>
    <w:pPr>
      <w:pBdr>
        <w:top w:val="single" w:sz="4" w:space="0" w:color="auto"/>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2">
    <w:name w:val="xl42"/>
    <w:basedOn w:val="Normal"/>
    <w:rsid w:val="00060470"/>
    <w:pPr>
      <w:pBdr>
        <w:left w:val="single" w:sz="4" w:space="0" w:color="auto"/>
        <w:right w:val="single" w:sz="4" w:space="0" w:color="auto"/>
      </w:pBdr>
      <w:spacing w:before="100" w:beforeAutospacing="1" w:after="100" w:afterAutospacing="1" w:line="240" w:lineRule="auto"/>
      <w:ind w:firstLine="0"/>
      <w:contextualSpacing w:val="0"/>
      <w:jc w:val="left"/>
      <w:textAlignment w:val="center"/>
    </w:pPr>
    <w:rPr>
      <w:rFonts w:ascii="Times Armenian" w:eastAsia="Arial Unicode MS" w:hAnsi="Times Armenian" w:cs="Arial Unicode MS"/>
      <w:sz w:val="24"/>
      <w:lang w:val="en-US" w:eastAsia="en-US"/>
    </w:rPr>
  </w:style>
  <w:style w:type="paragraph" w:customStyle="1" w:styleId="xl45">
    <w:name w:val="xl45"/>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 w:val="24"/>
      <w:lang w:val="en-US" w:eastAsia="en-US"/>
    </w:rPr>
  </w:style>
  <w:style w:type="paragraph" w:customStyle="1" w:styleId="xl46">
    <w:name w:val="xl46"/>
    <w:basedOn w:val="Normal"/>
    <w:rsid w:val="00060470"/>
    <w:pP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b w:val="0"/>
      <w:bCs/>
      <w:szCs w:val="22"/>
      <w:u w:val="single"/>
      <w:lang w:val="en-US" w:eastAsia="en-US"/>
    </w:rPr>
  </w:style>
  <w:style w:type="paragraph" w:customStyle="1" w:styleId="xl47">
    <w:name w:val="xl47"/>
    <w:basedOn w:val="Normal"/>
    <w:rsid w:val="0006047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contextualSpacing w:val="0"/>
      <w:jc w:val="center"/>
      <w:textAlignment w:val="center"/>
    </w:pPr>
    <w:rPr>
      <w:rFonts w:ascii="Times Armenian" w:eastAsia="Arial Unicode MS" w:hAnsi="Times Armenian" w:cs="Arial Unicode MS"/>
      <w:sz w:val="24"/>
      <w:lang w:val="en-US" w:eastAsia="en-US"/>
    </w:rPr>
  </w:style>
  <w:style w:type="paragraph" w:customStyle="1" w:styleId="xl48">
    <w:name w:val="xl48"/>
    <w:basedOn w:val="Normal"/>
    <w:rsid w:val="00060470"/>
    <w:pPr>
      <w:spacing w:before="100" w:beforeAutospacing="1" w:after="100" w:afterAutospacing="1" w:line="240" w:lineRule="auto"/>
      <w:ind w:firstLine="0"/>
      <w:contextualSpacing w:val="0"/>
      <w:jc w:val="right"/>
      <w:textAlignment w:val="center"/>
    </w:pPr>
    <w:rPr>
      <w:rFonts w:ascii="Times Armenian" w:eastAsia="Arial Unicode MS" w:hAnsi="Times Armenian" w:cs="Arial Unicode MS"/>
      <w:szCs w:val="22"/>
      <w:lang w:val="en-US" w:eastAsia="en-US"/>
    </w:rPr>
  </w:style>
  <w:style w:type="paragraph" w:customStyle="1" w:styleId="StyleBodyTextArialAMChar">
    <w:name w:val="Style Body Text + Arial AM Char"/>
    <w:basedOn w:val="BodyText"/>
    <w:rsid w:val="00060470"/>
    <w:pPr>
      <w:spacing w:before="0" w:after="240" w:line="240" w:lineRule="auto"/>
      <w:ind w:firstLine="0"/>
      <w:contextualSpacing w:val="0"/>
      <w:jc w:val="both"/>
    </w:pPr>
    <w:rPr>
      <w:rFonts w:ascii="Arial AM" w:hAnsi="Arial AM"/>
      <w:spacing w:val="-5"/>
      <w:sz w:val="24"/>
      <w:lang w:val="en-GB" w:eastAsia="en-US"/>
    </w:rPr>
  </w:style>
  <w:style w:type="paragraph" w:customStyle="1" w:styleId="CharCharChar1">
    <w:name w:val="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
    <w:name w:val="Char Char Char Char Char Знак Знак"/>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10">
    <w:name w:val="Абзац списка1"/>
    <w:basedOn w:val="Normal"/>
    <w:uiPriority w:val="99"/>
    <w:qFormat/>
    <w:rsid w:val="00060470"/>
    <w:pPr>
      <w:spacing w:before="0" w:after="200" w:line="276" w:lineRule="auto"/>
      <w:ind w:left="720" w:firstLine="0"/>
      <w:jc w:val="left"/>
    </w:pPr>
    <w:rPr>
      <w:rFonts w:ascii="Calibri" w:eastAsia="Calibri" w:hAnsi="Calibri"/>
      <w:szCs w:val="22"/>
      <w:lang w:eastAsia="en-US"/>
    </w:rPr>
  </w:style>
  <w:style w:type="paragraph" w:styleId="NoSpacing">
    <w:name w:val="No Spacing"/>
    <w:link w:val="NoSpacingChar"/>
    <w:qFormat/>
    <w:rsid w:val="00060470"/>
    <w:rPr>
      <w:rFonts w:ascii="Calibri" w:eastAsia="Calibri" w:hAnsi="Calibri"/>
      <w:sz w:val="22"/>
      <w:szCs w:val="22"/>
    </w:rPr>
  </w:style>
  <w:style w:type="paragraph" w:customStyle="1" w:styleId="5">
    <w:name w:val="Знак Знак5"/>
    <w:basedOn w:val="Normal"/>
    <w:link w:val="Char2"/>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ubhead3">
    <w:name w:val="sub_head3"/>
    <w:basedOn w:val="Normal"/>
    <w:rsid w:val="00060470"/>
    <w:pPr>
      <w:spacing w:before="0" w:after="120"/>
      <w:ind w:firstLine="0"/>
      <w:contextualSpacing w:val="0"/>
    </w:pPr>
    <w:rPr>
      <w:rFonts w:ascii="Times Armenian" w:hAnsi="Times Armenian"/>
      <w:i/>
      <w:szCs w:val="22"/>
      <w:u w:val="single"/>
      <w:lang w:val="en-US"/>
    </w:rPr>
  </w:style>
  <w:style w:type="paragraph" w:customStyle="1" w:styleId="StyleHeading2ParanumTextLeft">
    <w:name w:val="Style Heading 2ParanumText + Left"/>
    <w:basedOn w:val="Heading2"/>
    <w:rsid w:val="00060470"/>
    <w:pPr>
      <w:widowControl w:val="0"/>
      <w:numPr>
        <w:numId w:val="4"/>
      </w:numPr>
      <w:tabs>
        <w:tab w:val="clear" w:pos="720"/>
        <w:tab w:val="num" w:pos="1440"/>
      </w:tabs>
      <w:spacing w:before="120" w:after="120" w:line="240" w:lineRule="auto"/>
      <w:ind w:left="1440"/>
      <w:contextualSpacing w:val="0"/>
      <w:jc w:val="left"/>
    </w:pPr>
    <w:rPr>
      <w:rFonts w:ascii="Times Armenian" w:hAnsi="Times Armenian"/>
      <w:bCs/>
      <w:kern w:val="28"/>
      <w:szCs w:val="20"/>
      <w:lang w:val="en-GB"/>
    </w:rPr>
  </w:style>
  <w:style w:type="paragraph" w:customStyle="1" w:styleId="annexedhead">
    <w:name w:val="annexed head"/>
    <w:basedOn w:val="Heading2"/>
    <w:rsid w:val="00060470"/>
    <w:pPr>
      <w:widowControl w:val="0"/>
      <w:spacing w:before="120" w:after="120" w:line="240" w:lineRule="auto"/>
      <w:ind w:left="928" w:hanging="360"/>
      <w:contextualSpacing w:val="0"/>
      <w:jc w:val="left"/>
    </w:pPr>
    <w:rPr>
      <w:rFonts w:ascii="Times Armenian" w:hAnsi="Times Armenian"/>
      <w:kern w:val="28"/>
      <w:szCs w:val="20"/>
      <w:lang w:val="en-GB"/>
    </w:rPr>
  </w:style>
  <w:style w:type="paragraph" w:customStyle="1" w:styleId="Tabletitle">
    <w:name w:val="Table_title"/>
    <w:basedOn w:val="Normal"/>
    <w:rsid w:val="00060470"/>
    <w:pPr>
      <w:tabs>
        <w:tab w:val="left" w:pos="9626"/>
        <w:tab w:val="left" w:pos="10916"/>
        <w:tab w:val="left" w:pos="12206"/>
        <w:tab w:val="left" w:pos="13496"/>
      </w:tabs>
      <w:spacing w:before="0" w:line="240" w:lineRule="auto"/>
      <w:ind w:left="108" w:firstLine="0"/>
      <w:contextualSpacing w:val="0"/>
      <w:jc w:val="left"/>
    </w:pPr>
    <w:rPr>
      <w:rFonts w:ascii="Times Armenian" w:hAnsi="Times Armenian" w:cs="Arial"/>
      <w:b w:val="0"/>
      <w:bCs/>
      <w:szCs w:val="22"/>
      <w:lang w:val="en-US"/>
    </w:rPr>
  </w:style>
  <w:style w:type="paragraph" w:customStyle="1" w:styleId="StyleHeading3CenteredtextLinespacingsingle">
    <w:name w:val="Style Heading 3Centered(text) + Line spacing:  single"/>
    <w:basedOn w:val="Heading3"/>
    <w:rsid w:val="00060470"/>
    <w:pPr>
      <w:widowControl w:val="0"/>
      <w:ind w:left="928" w:hanging="360"/>
      <w:contextualSpacing w:val="0"/>
    </w:pPr>
    <w:rPr>
      <w:rFonts w:ascii="Times Armenian" w:hAnsi="Times Armenian" w:cs="Times New Roman"/>
      <w:bCs w:val="0"/>
      <w:i/>
      <w:iCs/>
      <w:spacing w:val="-5"/>
      <w:szCs w:val="20"/>
    </w:rPr>
  </w:style>
  <w:style w:type="paragraph" w:customStyle="1" w:styleId="Titlefigure">
    <w:name w:val="Title_figure"/>
    <w:basedOn w:val="Caption"/>
    <w:next w:val="Normal"/>
    <w:rsid w:val="00060470"/>
    <w:pPr>
      <w:keepNext/>
      <w:spacing w:before="0" w:after="60" w:line="240" w:lineRule="auto"/>
      <w:ind w:firstLine="0"/>
      <w:contextualSpacing w:val="0"/>
      <w:jc w:val="left"/>
    </w:pPr>
    <w:rPr>
      <w:rFonts w:ascii="Times Armenian" w:hAnsi="Times Armenian"/>
      <w:color w:val="auto"/>
      <w:sz w:val="22"/>
      <w:szCs w:val="20"/>
      <w:lang w:val="en-US"/>
    </w:rPr>
  </w:style>
  <w:style w:type="paragraph" w:customStyle="1" w:styleId="ModelNrmlSingle">
    <w:name w:val="ModelNrmlSingle"/>
    <w:basedOn w:val="Normal"/>
    <w:rsid w:val="00060470"/>
    <w:pPr>
      <w:spacing w:before="0" w:after="240" w:line="240" w:lineRule="auto"/>
      <w:ind w:firstLine="720"/>
      <w:contextualSpacing w:val="0"/>
    </w:pPr>
    <w:rPr>
      <w:rFonts w:ascii="Times New Roman" w:hAnsi="Times New Roman"/>
      <w:szCs w:val="20"/>
      <w:lang w:val="en-US" w:eastAsia="en-US"/>
    </w:rPr>
  </w:style>
  <w:style w:type="paragraph" w:customStyle="1" w:styleId="CharCharCharCharCharCharCharCharCharCharCharCharCharCharChar">
    <w:name w:val="Char Char Char Char Знак Char Знак Char Char Char Char Char Char Char Char Char Char"/>
    <w:basedOn w:val="Normal"/>
    <w:uiPriority w:val="99"/>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hps">
    <w:name w:val="hps"/>
    <w:basedOn w:val="DefaultParagraphFont"/>
    <w:rsid w:val="00060470"/>
  </w:style>
  <w:style w:type="character" w:customStyle="1" w:styleId="CharChar4">
    <w:name w:val="Char Char4"/>
    <w:locked/>
    <w:rsid w:val="00060470"/>
    <w:rPr>
      <w:rFonts w:ascii="Times Armenian" w:hAnsi="Times Armenian"/>
      <w:lang w:val="hy-AM" w:eastAsia="en-US" w:bidi="ar-SA"/>
    </w:rPr>
  </w:style>
  <w:style w:type="character" w:customStyle="1" w:styleId="normChar">
    <w:name w:val="norm Char"/>
    <w:link w:val="norm"/>
    <w:locked/>
    <w:rsid w:val="00060470"/>
    <w:rPr>
      <w:rFonts w:ascii="Arial Armenian" w:hAnsi="Arial Armenian"/>
      <w:sz w:val="22"/>
      <w:lang w:eastAsia="ru-RU"/>
    </w:rPr>
  </w:style>
  <w:style w:type="character" w:customStyle="1" w:styleId="Heading3Char1">
    <w:name w:val="Heading 3 Char1"/>
    <w:aliases w:val="Centered Char,(text) Char,(Sub-Chapter) Char,Heading 3 Char Char Char Char Char Char Char1,Centered Char1,(text) Char1,(Sub-Chapter) Char1,Heading 3 Char2"/>
    <w:rsid w:val="00060470"/>
    <w:rPr>
      <w:rFonts w:ascii="Times Armenian" w:hAnsi="Times Armenian"/>
      <w:sz w:val="24"/>
      <w:lang w:val="fr-FR" w:eastAsia="en-US" w:bidi="ar-SA"/>
    </w:rPr>
  </w:style>
  <w:style w:type="character" w:customStyle="1" w:styleId="CharChar16">
    <w:name w:val="Char Char16"/>
    <w:uiPriority w:val="99"/>
    <w:rsid w:val="00060470"/>
    <w:rPr>
      <w:b/>
      <w:sz w:val="32"/>
      <w:lang w:val="en-GB" w:eastAsia="en-US" w:bidi="ar-SA"/>
    </w:rPr>
  </w:style>
  <w:style w:type="character" w:customStyle="1" w:styleId="CharChar14">
    <w:name w:val="Char Char14"/>
    <w:uiPriority w:val="99"/>
    <w:rsid w:val="00060470"/>
    <w:rPr>
      <w:sz w:val="22"/>
      <w:lang w:val="en-GB" w:eastAsia="en-US" w:bidi="ar-SA"/>
    </w:rPr>
  </w:style>
  <w:style w:type="character" w:customStyle="1" w:styleId="CharChar15">
    <w:name w:val="Char Char15"/>
    <w:uiPriority w:val="99"/>
    <w:rsid w:val="00060470"/>
    <w:rPr>
      <w:sz w:val="36"/>
      <w:lang w:val="en-GB" w:eastAsia="en-US" w:bidi="ar-SA"/>
    </w:rPr>
  </w:style>
  <w:style w:type="character" w:customStyle="1" w:styleId="CharChar13">
    <w:name w:val="Char Char13"/>
    <w:uiPriority w:val="99"/>
    <w:rsid w:val="00060470"/>
    <w:rPr>
      <w:sz w:val="22"/>
      <w:lang w:val="en-GB" w:eastAsia="en-US" w:bidi="ar-SA"/>
    </w:rPr>
  </w:style>
  <w:style w:type="character" w:customStyle="1" w:styleId="CharChar12">
    <w:name w:val="Char Char12"/>
    <w:uiPriority w:val="99"/>
    <w:rsid w:val="00060470"/>
    <w:rPr>
      <w:sz w:val="22"/>
      <w:lang w:val="en-GB" w:eastAsia="en-US" w:bidi="ar-SA"/>
    </w:rPr>
  </w:style>
  <w:style w:type="character" w:customStyle="1" w:styleId="CharChar11">
    <w:name w:val="Char Char11"/>
    <w:uiPriority w:val="99"/>
    <w:rsid w:val="00060470"/>
    <w:rPr>
      <w:rFonts w:ascii="Times Armenian" w:hAnsi="Times Armenian"/>
      <w:b/>
      <w:bCs/>
      <w:sz w:val="32"/>
      <w:szCs w:val="24"/>
      <w:lang w:val="fr-FR" w:eastAsia="en-US" w:bidi="ar-SA"/>
    </w:rPr>
  </w:style>
  <w:style w:type="character" w:customStyle="1" w:styleId="CharChar10">
    <w:name w:val="Char Char10"/>
    <w:uiPriority w:val="99"/>
    <w:rsid w:val="00060470"/>
    <w:rPr>
      <w:rFonts w:ascii="Times Armenian" w:hAnsi="Times Armenian"/>
      <w:color w:val="993300"/>
      <w:sz w:val="22"/>
      <w:szCs w:val="24"/>
      <w:lang w:val="hy-AM" w:eastAsia="en-US" w:bidi="ar-SA"/>
    </w:rPr>
  </w:style>
  <w:style w:type="character" w:styleId="Emphasis">
    <w:name w:val="Emphasis"/>
    <w:qFormat/>
    <w:rsid w:val="00060470"/>
    <w:rPr>
      <w:i/>
      <w:iCs/>
    </w:rPr>
  </w:style>
  <w:style w:type="character" w:customStyle="1" w:styleId="CharChar9">
    <w:name w:val="Char Char9"/>
    <w:uiPriority w:val="99"/>
    <w:rsid w:val="00060470"/>
    <w:rPr>
      <w:rFonts w:ascii="Times Armenian" w:hAnsi="Times Armenian"/>
      <w:b/>
      <w:i/>
      <w:sz w:val="24"/>
      <w:u w:val="single"/>
      <w:lang w:val="hy-AM" w:eastAsia="en-US" w:bidi="ar-SA"/>
    </w:rPr>
  </w:style>
  <w:style w:type="character" w:customStyle="1" w:styleId="BodyTextChar1">
    <w:name w:val="Body Text Char1"/>
    <w:aliases w:val="(Main Text) Char1,date Char1,Body Text (Main text) Char1,Body Text Char4,Body Text (Main text) Char4"/>
    <w:uiPriority w:val="99"/>
    <w:rsid w:val="00060470"/>
    <w:rPr>
      <w:rFonts w:eastAsia="Batang"/>
      <w:sz w:val="24"/>
      <w:szCs w:val="24"/>
    </w:rPr>
  </w:style>
  <w:style w:type="character" w:customStyle="1" w:styleId="NoSpacingChar">
    <w:name w:val="No Spacing Char"/>
    <w:link w:val="NoSpacing"/>
    <w:rsid w:val="00060470"/>
    <w:rPr>
      <w:rFonts w:ascii="Calibri" w:eastAsia="Calibri" w:hAnsi="Calibri"/>
      <w:sz w:val="22"/>
      <w:szCs w:val="22"/>
    </w:rPr>
  </w:style>
  <w:style w:type="character" w:customStyle="1" w:styleId="Heading4Char1">
    <w:name w:val="Heading 4 Char1"/>
    <w:aliases w:val="Centred Char1,Heading 4 Char2"/>
    <w:rsid w:val="00060470"/>
    <w:rPr>
      <w:rFonts w:ascii="Cambria" w:eastAsia="Times New Roman" w:hAnsi="Cambria" w:cs="Times New Roman"/>
      <w:b/>
      <w:bCs/>
      <w:i/>
      <w:iCs/>
      <w:color w:val="4F81BD"/>
      <w:sz w:val="24"/>
      <w:szCs w:val="24"/>
    </w:rPr>
  </w:style>
  <w:style w:type="character" w:customStyle="1" w:styleId="Heading5Char1">
    <w:name w:val="Heading 5 Char1"/>
    <w:aliases w:val="Side Char1"/>
    <w:rsid w:val="00060470"/>
    <w:rPr>
      <w:rFonts w:ascii="Cambria" w:eastAsia="Times New Roman" w:hAnsi="Cambria" w:cs="Times New Roman"/>
      <w:color w:val="243F60"/>
      <w:sz w:val="24"/>
      <w:szCs w:val="24"/>
    </w:rPr>
  </w:style>
  <w:style w:type="character" w:customStyle="1" w:styleId="SubtitleChar">
    <w:name w:val="Subtitle Char"/>
    <w:link w:val="Subtitle"/>
    <w:rsid w:val="00060470"/>
    <w:rPr>
      <w:rFonts w:ascii="Times Armenian" w:hAnsi="Times Armenian"/>
      <w:bCs/>
      <w:i/>
      <w:sz w:val="26"/>
    </w:rPr>
  </w:style>
  <w:style w:type="character" w:customStyle="1" w:styleId="BodyTextIndentChar2">
    <w:name w:val="Body Text Indent Char2"/>
    <w:aliases w:val="(Table Source)1 Char1"/>
    <w:locked/>
    <w:rsid w:val="00060470"/>
    <w:rPr>
      <w:rFonts w:ascii="Times New Roman" w:hAnsi="Times New Roman" w:cs="Times New Roman"/>
      <w:sz w:val="20"/>
      <w:szCs w:val="20"/>
      <w:lang w:val="en-GB"/>
    </w:rPr>
  </w:style>
  <w:style w:type="paragraph" w:customStyle="1" w:styleId="Char1CharCharCharCharCharCharCharCharCharCharCharChar2">
    <w:name w:val="Char1 Char Char Char Char Char Char Char Char Char 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0">
    <w:name w:val="Char1"/>
    <w:basedOn w:val="Normal"/>
    <w:uiPriority w:val="99"/>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Char2">
    <w:name w:val="Char Char Char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20">
    <w:name w:val="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2">
    <w:name w:val="Char Char Char Char Char Знак Знак2"/>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3">
    <w:name w:val="Char Char Char Char Знак Char Знак Char Char Char Char Char Char Char Char Char Char3"/>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2">
    <w:name w:val="Char Char162"/>
    <w:rsid w:val="00060470"/>
    <w:rPr>
      <w:b/>
      <w:sz w:val="32"/>
      <w:lang w:val="en-GB" w:eastAsia="en-US"/>
    </w:rPr>
  </w:style>
  <w:style w:type="character" w:customStyle="1" w:styleId="CharChar142">
    <w:name w:val="Char Char142"/>
    <w:uiPriority w:val="99"/>
    <w:rsid w:val="00060470"/>
    <w:rPr>
      <w:sz w:val="22"/>
      <w:lang w:val="en-GB" w:eastAsia="en-US"/>
    </w:rPr>
  </w:style>
  <w:style w:type="character" w:customStyle="1" w:styleId="CharChar152">
    <w:name w:val="Char Char152"/>
    <w:rsid w:val="00060470"/>
    <w:rPr>
      <w:sz w:val="36"/>
      <w:lang w:val="en-GB" w:eastAsia="en-US"/>
    </w:rPr>
  </w:style>
  <w:style w:type="character" w:customStyle="1" w:styleId="CharChar132">
    <w:name w:val="Char Char132"/>
    <w:rsid w:val="00060470"/>
    <w:rPr>
      <w:sz w:val="22"/>
      <w:lang w:val="en-GB" w:eastAsia="en-US"/>
    </w:rPr>
  </w:style>
  <w:style w:type="character" w:customStyle="1" w:styleId="CharChar122">
    <w:name w:val="Char Char122"/>
    <w:rsid w:val="00060470"/>
    <w:rPr>
      <w:sz w:val="22"/>
      <w:lang w:val="en-GB" w:eastAsia="en-US"/>
    </w:rPr>
  </w:style>
  <w:style w:type="character" w:customStyle="1" w:styleId="CharChar112">
    <w:name w:val="Char Char112"/>
    <w:uiPriority w:val="99"/>
    <w:rsid w:val="00060470"/>
    <w:rPr>
      <w:rFonts w:ascii="Times Armenian" w:hAnsi="Times Armenian"/>
      <w:b/>
      <w:sz w:val="24"/>
      <w:lang w:val="fr-FR" w:eastAsia="en-US"/>
    </w:rPr>
  </w:style>
  <w:style w:type="character" w:customStyle="1" w:styleId="CharChar102">
    <w:name w:val="Char Char102"/>
    <w:rsid w:val="00060470"/>
    <w:rPr>
      <w:rFonts w:ascii="Times Armenian" w:hAnsi="Times Armenian"/>
      <w:color w:val="993300"/>
      <w:sz w:val="24"/>
      <w:lang w:val="hy-AM" w:eastAsia="en-US"/>
    </w:rPr>
  </w:style>
  <w:style w:type="character" w:customStyle="1" w:styleId="CharChar92">
    <w:name w:val="Char Char92"/>
    <w:rsid w:val="00060470"/>
    <w:rPr>
      <w:rFonts w:ascii="Times Armenian" w:hAnsi="Times Armenian"/>
      <w:b/>
      <w:i/>
      <w:sz w:val="24"/>
      <w:u w:val="single"/>
      <w:lang w:val="hy-AM" w:eastAsia="en-US"/>
    </w:rPr>
  </w:style>
  <w:style w:type="character" w:customStyle="1" w:styleId="BodyText2Char1">
    <w:name w:val="Body Text 2 Char1"/>
    <w:aliases w:val="1Text Char1"/>
    <w:link w:val="1Text1"/>
    <w:locked/>
    <w:rsid w:val="00060470"/>
    <w:rPr>
      <w:rFonts w:cs="Times New Roman"/>
    </w:rPr>
  </w:style>
  <w:style w:type="paragraph" w:customStyle="1" w:styleId="11">
    <w:name w:val="Рецензия1"/>
    <w:hidden/>
    <w:uiPriority w:val="99"/>
    <w:semiHidden/>
    <w:rsid w:val="00060470"/>
    <w:rPr>
      <w:rFonts w:ascii="Arial Armenian" w:hAnsi="Arial Armenian"/>
      <w:sz w:val="22"/>
      <w:szCs w:val="22"/>
      <w:lang w:eastAsia="ru-RU"/>
    </w:rPr>
  </w:style>
  <w:style w:type="character" w:customStyle="1" w:styleId="DocumentMapChar">
    <w:name w:val="Document Map Char"/>
    <w:link w:val="DocumentMap"/>
    <w:uiPriority w:val="99"/>
    <w:rsid w:val="00060470"/>
    <w:rPr>
      <w:rFonts w:ascii="Tahoma" w:hAnsi="Tahoma" w:cs="Tahoma"/>
      <w:shd w:val="clear" w:color="auto" w:fill="000080"/>
      <w:lang w:val="ru-RU" w:eastAsia="ru-RU"/>
    </w:rPr>
  </w:style>
  <w:style w:type="paragraph" w:customStyle="1" w:styleId="font11">
    <w:name w:val="font11"/>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2">
    <w:name w:val="font12"/>
    <w:basedOn w:val="Normal"/>
    <w:rsid w:val="00060470"/>
    <w:pPr>
      <w:spacing w:before="100" w:after="100" w:line="240" w:lineRule="auto"/>
      <w:ind w:firstLine="0"/>
      <w:contextualSpacing w:val="0"/>
      <w:jc w:val="left"/>
    </w:pPr>
    <w:rPr>
      <w:rFonts w:ascii="Times New Roman" w:eastAsia="SimSun" w:hAnsi="Times New Roman"/>
      <w:color w:val="000000"/>
      <w:sz w:val="16"/>
      <w:szCs w:val="16"/>
      <w:lang w:val="en-US" w:eastAsia="en-US"/>
    </w:rPr>
  </w:style>
  <w:style w:type="paragraph" w:customStyle="1" w:styleId="font13">
    <w:name w:val="font13"/>
    <w:basedOn w:val="Normal"/>
    <w:rsid w:val="00060470"/>
    <w:pPr>
      <w:spacing w:before="100" w:after="100" w:line="240" w:lineRule="auto"/>
      <w:ind w:firstLine="0"/>
      <w:contextualSpacing w:val="0"/>
      <w:jc w:val="left"/>
    </w:pPr>
    <w:rPr>
      <w:rFonts w:ascii="Times New Roman" w:eastAsia="SimSun" w:hAnsi="Times New Roman"/>
      <w:b w:val="0"/>
      <w:bCs/>
      <w:color w:val="000000"/>
      <w:sz w:val="16"/>
      <w:szCs w:val="16"/>
      <w:lang w:val="en-US" w:eastAsia="en-US"/>
    </w:rPr>
  </w:style>
  <w:style w:type="paragraph" w:customStyle="1" w:styleId="font14">
    <w:name w:val="font14"/>
    <w:basedOn w:val="Normal"/>
    <w:rsid w:val="00060470"/>
    <w:pPr>
      <w:spacing w:before="100" w:after="100" w:line="240" w:lineRule="auto"/>
      <w:ind w:firstLine="0"/>
      <w:contextualSpacing w:val="0"/>
      <w:jc w:val="left"/>
    </w:pPr>
    <w:rPr>
      <w:rFonts w:ascii="Times New Roman" w:eastAsia="SimSun" w:hAnsi="Times New Roman"/>
      <w:i/>
      <w:iCs/>
      <w:sz w:val="20"/>
      <w:szCs w:val="20"/>
      <w:lang w:val="en-US" w:eastAsia="en-US"/>
    </w:rPr>
  </w:style>
  <w:style w:type="paragraph" w:customStyle="1" w:styleId="font15">
    <w:name w:val="font15"/>
    <w:basedOn w:val="Normal"/>
    <w:rsid w:val="00060470"/>
    <w:pPr>
      <w:spacing w:before="100" w:after="100" w:line="240" w:lineRule="auto"/>
      <w:ind w:firstLine="0"/>
      <w:contextualSpacing w:val="0"/>
      <w:jc w:val="left"/>
    </w:pPr>
    <w:rPr>
      <w:rFonts w:ascii="Times New Roman" w:eastAsia="SimSun" w:hAnsi="Times New Roman"/>
      <w:i/>
      <w:iCs/>
      <w:sz w:val="28"/>
      <w:szCs w:val="28"/>
      <w:lang w:val="en-US" w:eastAsia="en-US"/>
    </w:rPr>
  </w:style>
  <w:style w:type="paragraph" w:customStyle="1" w:styleId="xl49">
    <w:name w:val="xl49"/>
    <w:basedOn w:val="Normal"/>
    <w:rsid w:val="00060470"/>
    <w:pPr>
      <w:pBdr>
        <w:top w:val="single" w:sz="4" w:space="0" w:color="auto"/>
        <w:left w:val="single" w:sz="8" w:space="2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0">
    <w:name w:val="xl50"/>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1">
    <w:name w:val="xl51"/>
    <w:basedOn w:val="Normal"/>
    <w:rsid w:val="00060470"/>
    <w:pPr>
      <w:pBdr>
        <w:top w:val="single" w:sz="4" w:space="0" w:color="auto"/>
        <w:left w:val="single" w:sz="8" w:space="2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xl52">
    <w:name w:val="xl52"/>
    <w:basedOn w:val="Normal"/>
    <w:rsid w:val="00060470"/>
    <w:pPr>
      <w:pBdr>
        <w:top w:val="single" w:sz="4" w:space="0" w:color="auto"/>
        <w:left w:val="single" w:sz="8" w:space="2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53">
    <w:name w:val="xl53"/>
    <w:basedOn w:val="Normal"/>
    <w:rsid w:val="00060470"/>
    <w:pPr>
      <w:pBdr>
        <w:top w:val="single" w:sz="4" w:space="0" w:color="auto"/>
        <w:left w:val="single" w:sz="8" w:space="31" w:color="auto"/>
        <w:bottom w:val="single" w:sz="4" w:space="0" w:color="auto"/>
        <w:right w:val="single" w:sz="4" w:space="0" w:color="auto"/>
      </w:pBdr>
      <w:shd w:val="clear" w:color="auto" w:fill="FFFFFF"/>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4">
    <w:name w:val="xl54"/>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5">
    <w:name w:val="xl55"/>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6">
    <w:name w:val="xl56"/>
    <w:basedOn w:val="Normal"/>
    <w:rsid w:val="00060470"/>
    <w:pPr>
      <w:pBdr>
        <w:top w:val="single" w:sz="4" w:space="0" w:color="auto"/>
        <w:left w:val="single" w:sz="8" w:space="3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7">
    <w:name w:val="xl57"/>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8">
    <w:name w:val="xl58"/>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59">
    <w:name w:val="xl59"/>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0">
    <w:name w:val="xl60"/>
    <w:basedOn w:val="Normal"/>
    <w:rsid w:val="00060470"/>
    <w:pPr>
      <w:pBdr>
        <w:top w:val="single" w:sz="4" w:space="0" w:color="auto"/>
        <w:left w:val="single" w:sz="8" w:space="3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1">
    <w:name w:val="xl61"/>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i/>
      <w:iCs/>
      <w:sz w:val="24"/>
      <w:lang w:val="en-US" w:eastAsia="en-US"/>
    </w:rPr>
  </w:style>
  <w:style w:type="paragraph" w:customStyle="1" w:styleId="xl62">
    <w:name w:val="xl62"/>
    <w:basedOn w:val="Normal"/>
    <w:rsid w:val="00060470"/>
    <w:pPr>
      <w:pBdr>
        <w:top w:val="single" w:sz="4" w:space="0" w:color="auto"/>
        <w:left w:val="single" w:sz="8" w:space="11"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b w:val="0"/>
      <w:bCs/>
      <w:sz w:val="24"/>
      <w:lang w:val="en-US" w:eastAsia="en-US"/>
    </w:rPr>
  </w:style>
  <w:style w:type="paragraph" w:customStyle="1" w:styleId="xl63">
    <w:name w:val="xl63"/>
    <w:basedOn w:val="Normal"/>
    <w:rsid w:val="00060470"/>
    <w:pPr>
      <w:pBdr>
        <w:top w:val="single" w:sz="4" w:space="0" w:color="auto"/>
        <w:left w:val="single" w:sz="8" w:space="0" w:color="auto"/>
        <w:bottom w:val="single" w:sz="4" w:space="0" w:color="auto"/>
        <w:right w:val="single" w:sz="4" w:space="0" w:color="auto"/>
      </w:pBdr>
      <w:spacing w:before="100" w:after="100" w:line="240" w:lineRule="auto"/>
      <w:ind w:firstLine="0"/>
      <w:contextualSpacing w:val="0"/>
      <w:jc w:val="left"/>
    </w:pPr>
    <w:rPr>
      <w:rFonts w:ascii="Times New Roman" w:eastAsia="SimSun" w:hAnsi="Times New Roman"/>
      <w:sz w:val="24"/>
      <w:lang w:val="en-US" w:eastAsia="en-US"/>
    </w:rPr>
  </w:style>
  <w:style w:type="paragraph" w:customStyle="1" w:styleId="xl64">
    <w:name w:val="xl64"/>
    <w:basedOn w:val="Normal"/>
    <w:rsid w:val="00060470"/>
    <w:pPr>
      <w:pBdr>
        <w:top w:val="single" w:sz="4" w:space="0" w:color="auto"/>
        <w:left w:val="single" w:sz="8" w:space="11" w:color="auto"/>
        <w:bottom w:val="single" w:sz="4" w:space="0" w:color="auto"/>
        <w:right w:val="single" w:sz="4" w:space="0" w:color="auto"/>
      </w:pBdr>
      <w:shd w:val="clear" w:color="auto" w:fill="C0C0C0"/>
      <w:spacing w:before="100" w:after="100" w:line="240" w:lineRule="auto"/>
      <w:ind w:firstLine="0"/>
      <w:contextualSpacing w:val="0"/>
      <w:jc w:val="left"/>
    </w:pPr>
    <w:rPr>
      <w:rFonts w:ascii="Times New Roman" w:eastAsia="SimSun" w:hAnsi="Times New Roman"/>
      <w:i/>
      <w:iCs/>
      <w:sz w:val="24"/>
      <w:lang w:val="en-US" w:eastAsia="en-US"/>
    </w:rPr>
  </w:style>
  <w:style w:type="paragraph" w:customStyle="1" w:styleId="paragraph">
    <w:name w:val="paragraph"/>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normaltextrun">
    <w:name w:val="normaltextrun"/>
    <w:rsid w:val="00060470"/>
  </w:style>
  <w:style w:type="character" w:customStyle="1" w:styleId="BodyText2Char2">
    <w:name w:val="Body Text 2 Char2"/>
    <w:aliases w:val="1Text Char2"/>
    <w:uiPriority w:val="99"/>
    <w:rsid w:val="00060470"/>
    <w:rPr>
      <w:sz w:val="24"/>
      <w:szCs w:val="24"/>
    </w:rPr>
  </w:style>
  <w:style w:type="numbering" w:customStyle="1" w:styleId="NoList2">
    <w:name w:val="No List2"/>
    <w:next w:val="NoList"/>
    <w:semiHidden/>
    <w:rsid w:val="00060470"/>
  </w:style>
  <w:style w:type="paragraph" w:customStyle="1" w:styleId="12">
    <w:name w:val="Рецензия1"/>
    <w:hidden/>
    <w:uiPriority w:val="99"/>
    <w:semiHidden/>
    <w:rsid w:val="00060470"/>
    <w:rPr>
      <w:rFonts w:ascii="Arial Armenian" w:hAnsi="Arial Armenian"/>
      <w:sz w:val="22"/>
      <w:szCs w:val="22"/>
      <w:lang w:eastAsia="ru-RU"/>
    </w:rPr>
  </w:style>
  <w:style w:type="character" w:customStyle="1" w:styleId="showhide1">
    <w:name w:val="showhide1"/>
    <w:rsid w:val="00060470"/>
    <w:rPr>
      <w:b/>
      <w:bCs/>
      <w:color w:val="000000"/>
      <w:sz w:val="21"/>
      <w:szCs w:val="21"/>
      <w:u w:val="single"/>
    </w:rPr>
  </w:style>
  <w:style w:type="paragraph" w:customStyle="1" w:styleId="alignright">
    <w:name w:val="alignrigh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BodyTextIndentChar3">
    <w:name w:val="Body Text Indent Char3"/>
    <w:aliases w:val="(Table Source)1 Char2,(Table Source)11 Char1"/>
    <w:uiPriority w:val="99"/>
    <w:locked/>
    <w:rsid w:val="00060470"/>
    <w:rPr>
      <w:rFonts w:ascii="Times New Roman" w:hAnsi="Times New Roman" w:cs="Times New Roman"/>
      <w:sz w:val="20"/>
      <w:szCs w:val="20"/>
      <w:lang w:val="en-GB" w:eastAsia="en-US"/>
    </w:rPr>
  </w:style>
  <w:style w:type="paragraph" w:customStyle="1" w:styleId="Char20">
    <w:name w:val="Char2"/>
    <w:basedOn w:val="Normal"/>
    <w:locked/>
    <w:rsid w:val="00060470"/>
    <w:pPr>
      <w:spacing w:before="0" w:after="160" w:line="240" w:lineRule="auto"/>
      <w:ind w:firstLine="0"/>
      <w:contextualSpacing w:val="0"/>
      <w:jc w:val="left"/>
    </w:pPr>
    <w:rPr>
      <w:rFonts w:ascii="Verdana" w:eastAsia="Batang" w:hAnsi="Verdana" w:cs="Verdana"/>
      <w:sz w:val="24"/>
      <w:lang w:val="en-US" w:eastAsia="en-US"/>
    </w:rPr>
  </w:style>
  <w:style w:type="paragraph" w:customStyle="1" w:styleId="CharChar1">
    <w:name w:val="Char Char1"/>
    <w:basedOn w:val="Normal"/>
    <w:uiPriority w:val="99"/>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1CharCharCharCharCharCharCharCharCharCharCharChar1">
    <w:name w:val="Char1 Char Char Char Char Char Char Char Char Char 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0">
    <w:name w:val="Char Char Char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11">
    <w:name w:val="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1">
    <w:name w:val="Char Char Char Char Char Знак Знак1"/>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CharCharCharCharCharCharCharCharChar1">
    <w:name w:val="Char Char Char Char Знак Char Знак Char Char Char Char Char Char Char Char Char Char1"/>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Char161">
    <w:name w:val="Char Char161"/>
    <w:rsid w:val="00060470"/>
    <w:rPr>
      <w:b/>
      <w:sz w:val="32"/>
      <w:lang w:val="en-GB" w:eastAsia="en-US"/>
    </w:rPr>
  </w:style>
  <w:style w:type="character" w:customStyle="1" w:styleId="CharChar141">
    <w:name w:val="Char Char141"/>
    <w:rsid w:val="00060470"/>
    <w:rPr>
      <w:sz w:val="22"/>
      <w:lang w:val="en-GB" w:eastAsia="en-US"/>
    </w:rPr>
  </w:style>
  <w:style w:type="character" w:customStyle="1" w:styleId="CharChar151">
    <w:name w:val="Char Char151"/>
    <w:rsid w:val="00060470"/>
    <w:rPr>
      <w:sz w:val="36"/>
      <w:lang w:val="en-GB" w:eastAsia="en-US"/>
    </w:rPr>
  </w:style>
  <w:style w:type="character" w:customStyle="1" w:styleId="CharChar131">
    <w:name w:val="Char Char131"/>
    <w:rsid w:val="00060470"/>
    <w:rPr>
      <w:sz w:val="22"/>
      <w:lang w:val="en-GB" w:eastAsia="en-US"/>
    </w:rPr>
  </w:style>
  <w:style w:type="character" w:customStyle="1" w:styleId="CharChar121">
    <w:name w:val="Char Char121"/>
    <w:rsid w:val="00060470"/>
    <w:rPr>
      <w:sz w:val="22"/>
      <w:lang w:val="en-GB" w:eastAsia="en-US"/>
    </w:rPr>
  </w:style>
  <w:style w:type="character" w:customStyle="1" w:styleId="CharChar111">
    <w:name w:val="Char Char111"/>
    <w:rsid w:val="00060470"/>
    <w:rPr>
      <w:rFonts w:ascii="Times Armenian" w:hAnsi="Times Armenian"/>
      <w:b/>
      <w:sz w:val="24"/>
      <w:lang w:val="fr-FR" w:eastAsia="en-US"/>
    </w:rPr>
  </w:style>
  <w:style w:type="character" w:customStyle="1" w:styleId="CharChar101">
    <w:name w:val="Char Char101"/>
    <w:rsid w:val="00060470"/>
    <w:rPr>
      <w:rFonts w:ascii="Times Armenian" w:hAnsi="Times Armenian"/>
      <w:color w:val="993300"/>
      <w:sz w:val="24"/>
      <w:lang w:val="hy-AM" w:eastAsia="en-US"/>
    </w:rPr>
  </w:style>
  <w:style w:type="character" w:customStyle="1" w:styleId="CharChar91">
    <w:name w:val="Char Char91"/>
    <w:rsid w:val="00060470"/>
    <w:rPr>
      <w:rFonts w:ascii="Times Armenian" w:hAnsi="Times Armenian"/>
      <w:b/>
      <w:i/>
      <w:sz w:val="24"/>
      <w:u w:val="single"/>
      <w:lang w:val="hy-AM" w:eastAsia="en-US"/>
    </w:rPr>
  </w:style>
  <w:style w:type="character" w:customStyle="1" w:styleId="BodyText2Char3">
    <w:name w:val="Body Text 2 Char3"/>
    <w:uiPriority w:val="99"/>
    <w:semiHidden/>
    <w:rsid w:val="00060470"/>
  </w:style>
  <w:style w:type="character" w:customStyle="1" w:styleId="CharChar24">
    <w:name w:val="Char Char24"/>
    <w:rsid w:val="00060470"/>
    <w:rPr>
      <w:rFonts w:ascii="Garamond" w:hAnsi="Garamond"/>
      <w:sz w:val="16"/>
      <w:lang w:val="en-GB"/>
    </w:rPr>
  </w:style>
  <w:style w:type="character" w:customStyle="1" w:styleId="CharChar23">
    <w:name w:val="Char Char23"/>
    <w:rsid w:val="00060470"/>
    <w:rPr>
      <w:rFonts w:ascii="Garamond" w:hAnsi="Garamond"/>
      <w:i/>
      <w:spacing w:val="-5"/>
      <w:sz w:val="28"/>
      <w:shd w:val="pct5" w:color="auto" w:fill="auto"/>
      <w:lang w:val="en-GB"/>
    </w:rPr>
  </w:style>
  <w:style w:type="character" w:customStyle="1" w:styleId="CharChar22">
    <w:name w:val="Char Char22"/>
    <w:rsid w:val="00060470"/>
    <w:rPr>
      <w:rFonts w:ascii="Arial Black" w:hAnsi="Arial Black"/>
      <w:caps/>
      <w:spacing w:val="60"/>
      <w:position w:val="4"/>
      <w:sz w:val="14"/>
      <w:lang w:val="en-GB"/>
    </w:rPr>
  </w:style>
  <w:style w:type="character" w:customStyle="1" w:styleId="CharChar21">
    <w:name w:val="Char Char21"/>
    <w:rsid w:val="00060470"/>
    <w:rPr>
      <w:rFonts w:ascii="Garamond" w:hAnsi="Garamond"/>
      <w:b/>
      <w:i/>
      <w:kern w:val="28"/>
      <w:sz w:val="16"/>
      <w:lang w:val="en-GB"/>
    </w:rPr>
  </w:style>
  <w:style w:type="character" w:customStyle="1" w:styleId="CharChar17">
    <w:name w:val="Char Char17"/>
    <w:rsid w:val="00060470"/>
    <w:rPr>
      <w:lang w:val="en-GB" w:eastAsia="en-US" w:bidi="ar-SA"/>
    </w:rPr>
  </w:style>
  <w:style w:type="character" w:customStyle="1" w:styleId="CharChar20">
    <w:name w:val="Char Char20"/>
    <w:rsid w:val="00060470"/>
    <w:rPr>
      <w:rFonts w:ascii="Times Armenian" w:hAnsi="Times Armenian"/>
      <w:i/>
      <w:sz w:val="24"/>
      <w:lang w:val="hy-AM"/>
    </w:rPr>
  </w:style>
  <w:style w:type="character" w:customStyle="1" w:styleId="CharChar19">
    <w:name w:val="Char Char19"/>
    <w:locked/>
    <w:rsid w:val="00060470"/>
    <w:rPr>
      <w:rFonts w:ascii="Times Armenian" w:hAnsi="Times Armenian"/>
      <w:sz w:val="24"/>
      <w:u w:val="single"/>
    </w:rPr>
  </w:style>
  <w:style w:type="character" w:customStyle="1" w:styleId="CharChar18">
    <w:name w:val="Char Char18"/>
    <w:rsid w:val="00060470"/>
    <w:rPr>
      <w:sz w:val="16"/>
      <w:szCs w:val="16"/>
      <w:lang w:val="en-GB"/>
    </w:rPr>
  </w:style>
  <w:style w:type="numbering" w:customStyle="1" w:styleId="NoList3">
    <w:name w:val="No List3"/>
    <w:next w:val="NoList"/>
    <w:semiHidden/>
    <w:unhideWhenUsed/>
    <w:rsid w:val="00060470"/>
  </w:style>
  <w:style w:type="paragraph" w:customStyle="1" w:styleId="CharCharCharCharCharCharCharCharCharCharCharCharCharCharCharCharChar">
    <w:name w:val="Char Char Char Знак Char Char Char Char Char Знак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apple-style-span">
    <w:name w:val="apple-style-span"/>
    <w:rsid w:val="00060470"/>
    <w:rPr>
      <w:rFonts w:cs="Times New Roman"/>
    </w:rPr>
  </w:style>
  <w:style w:type="character" w:customStyle="1" w:styleId="Style1Char">
    <w:name w:val="Style1 Char"/>
    <w:link w:val="Style1"/>
    <w:rsid w:val="00060470"/>
    <w:rPr>
      <w:rFonts w:ascii="Sylfaen" w:hAnsi="Sylfaen"/>
      <w:sz w:val="22"/>
      <w:szCs w:val="24"/>
    </w:rPr>
  </w:style>
  <w:style w:type="character" w:customStyle="1" w:styleId="FontStyle17">
    <w:name w:val="Font Style17"/>
    <w:rsid w:val="00060470"/>
    <w:rPr>
      <w:rFonts w:ascii="Arial Unicode MS" w:eastAsia="Arial Unicode MS" w:cs="Arial Unicode MS"/>
      <w:b/>
      <w:bCs/>
      <w:sz w:val="24"/>
      <w:szCs w:val="24"/>
    </w:rPr>
  </w:style>
  <w:style w:type="character" w:customStyle="1" w:styleId="Heading6Char1">
    <w:name w:val="Heading 6 Char1"/>
    <w:rsid w:val="00060470"/>
    <w:rPr>
      <w:rFonts w:ascii="Arial Armenian" w:eastAsia="Times New Roman" w:hAnsi="Arial Armenian" w:cs="Times New Roman"/>
      <w:i/>
      <w:szCs w:val="20"/>
      <w:u w:val="single"/>
      <w:lang w:val="en-GB"/>
    </w:rPr>
  </w:style>
  <w:style w:type="character" w:customStyle="1" w:styleId="Heading7Char1">
    <w:name w:val="Heading 7 Char1"/>
    <w:rsid w:val="00060470"/>
    <w:rPr>
      <w:rFonts w:ascii="Garamond" w:eastAsia="Times New Roman" w:hAnsi="Garamond" w:cs="Times New Roman"/>
      <w:i/>
      <w:spacing w:val="-5"/>
      <w:sz w:val="28"/>
      <w:szCs w:val="20"/>
      <w:shd w:val="pct5" w:color="auto" w:fill="auto"/>
      <w:lang w:val="en-GB"/>
    </w:rPr>
  </w:style>
  <w:style w:type="character" w:customStyle="1" w:styleId="Heading8Char1">
    <w:name w:val="Heading 8 Char1"/>
    <w:rsid w:val="00060470"/>
    <w:rPr>
      <w:rFonts w:ascii="Arial Black" w:eastAsia="Times New Roman" w:hAnsi="Arial Black" w:cs="Times New Roman"/>
      <w:caps/>
      <w:spacing w:val="60"/>
      <w:position w:val="4"/>
      <w:sz w:val="14"/>
      <w:szCs w:val="20"/>
      <w:lang w:val="en-GB"/>
    </w:rPr>
  </w:style>
  <w:style w:type="character" w:customStyle="1" w:styleId="Heading9Char1">
    <w:name w:val="Heading 9 Char1"/>
    <w:rsid w:val="00060470"/>
    <w:rPr>
      <w:rFonts w:ascii="Garamond" w:eastAsia="Times New Roman" w:hAnsi="Garamond" w:cs="Times New Roman"/>
      <w:b/>
      <w:i/>
      <w:kern w:val="28"/>
      <w:sz w:val="20"/>
      <w:szCs w:val="20"/>
      <w:lang w:val="en-GB"/>
    </w:rPr>
  </w:style>
  <w:style w:type="paragraph" w:customStyle="1" w:styleId="Tablefigure">
    <w:name w:val="Table_figure"/>
    <w:basedOn w:val="Normal"/>
    <w:rsid w:val="00060470"/>
    <w:pPr>
      <w:spacing w:before="60" w:line="240" w:lineRule="auto"/>
      <w:ind w:firstLine="0"/>
      <w:contextualSpacing w:val="0"/>
      <w:jc w:val="right"/>
    </w:pPr>
    <w:rPr>
      <w:rFonts w:ascii="Arial Armenian" w:hAnsi="Arial Armenian"/>
      <w:sz w:val="16"/>
      <w:szCs w:val="20"/>
      <w:lang w:val="en-GB" w:eastAsia="en-US"/>
    </w:rPr>
  </w:style>
  <w:style w:type="character" w:customStyle="1" w:styleId="BodyTextIndent2Char1">
    <w:name w:val="Body Text Indent 2 Char1"/>
    <w:link w:val="BodyTextIndent21"/>
    <w:rsid w:val="00060470"/>
    <w:rPr>
      <w:rFonts w:ascii="Arial Armenian" w:eastAsia="Times New Roman" w:hAnsi="Arial Armenian" w:cs="Times New Roman"/>
      <w:sz w:val="20"/>
      <w:szCs w:val="20"/>
      <w:lang w:val="en-GB"/>
    </w:rPr>
  </w:style>
  <w:style w:type="paragraph" w:customStyle="1" w:styleId="Specialnormal">
    <w:name w:val="Special normal"/>
    <w:basedOn w:val="Normal"/>
    <w:rsid w:val="00060470"/>
    <w:pPr>
      <w:overflowPunct w:val="0"/>
      <w:autoSpaceDE w:val="0"/>
      <w:autoSpaceDN w:val="0"/>
      <w:adjustRightInd w:val="0"/>
      <w:spacing w:before="0" w:line="240" w:lineRule="auto"/>
      <w:ind w:firstLine="0"/>
      <w:contextualSpacing w:val="0"/>
      <w:jc w:val="center"/>
      <w:textAlignment w:val="baseline"/>
    </w:pPr>
    <w:rPr>
      <w:rFonts w:ascii="Times New Roman" w:hAnsi="Times New Roman"/>
      <w:sz w:val="20"/>
      <w:szCs w:val="20"/>
      <w:lang w:val="en-GB" w:eastAsia="en-US"/>
    </w:rPr>
  </w:style>
  <w:style w:type="paragraph" w:customStyle="1" w:styleId="a2">
    <w:name w:val="???????? ????? ? ????????"/>
    <w:basedOn w:val="Normal"/>
    <w:rsid w:val="00060470"/>
    <w:pPr>
      <w:spacing w:before="0" w:line="240" w:lineRule="auto"/>
      <w:ind w:left="360" w:hanging="360"/>
      <w:contextualSpacing w:val="0"/>
    </w:pPr>
    <w:rPr>
      <w:rFonts w:ascii="Times Armenian" w:hAnsi="Times Armenian"/>
      <w:sz w:val="24"/>
      <w:szCs w:val="20"/>
      <w:lang w:val="en-US"/>
    </w:rPr>
  </w:style>
  <w:style w:type="character" w:customStyle="1" w:styleId="Char1">
    <w:name w:val="??????? Char"/>
    <w:link w:val="a1"/>
    <w:rsid w:val="00060470"/>
    <w:rPr>
      <w:lang w:val="ru-RU" w:eastAsia="ru-RU"/>
    </w:rPr>
  </w:style>
  <w:style w:type="paragraph" w:customStyle="1" w:styleId="20">
    <w:name w:val="???????2"/>
    <w:rsid w:val="00060470"/>
    <w:rPr>
      <w:rFonts w:ascii="Times Armenian" w:hAnsi="Times Armenian"/>
      <w:sz w:val="24"/>
      <w:lang w:eastAsia="ru-RU"/>
    </w:rPr>
  </w:style>
  <w:style w:type="paragraph" w:customStyle="1" w:styleId="a3">
    <w:name w:val="???????? ?????"/>
    <w:basedOn w:val="a1"/>
    <w:rsid w:val="00060470"/>
    <w:pPr>
      <w:jc w:val="center"/>
    </w:pPr>
    <w:rPr>
      <w:rFonts w:ascii="Times Armenian" w:hAnsi="Times Armenian"/>
      <w:i/>
      <w:sz w:val="32"/>
      <w:lang w:val="en-US"/>
    </w:rPr>
  </w:style>
  <w:style w:type="paragraph" w:customStyle="1" w:styleId="31">
    <w:name w:val="???????? ????? ? ???????? 31"/>
    <w:basedOn w:val="20"/>
    <w:rsid w:val="00060470"/>
    <w:pPr>
      <w:spacing w:line="360" w:lineRule="auto"/>
      <w:ind w:firstLine="360"/>
      <w:jc w:val="both"/>
    </w:pPr>
  </w:style>
  <w:style w:type="paragraph" w:customStyle="1" w:styleId="a4">
    <w:name w:val="??????"/>
    <w:basedOn w:val="20"/>
    <w:rsid w:val="00060470"/>
    <w:pPr>
      <w:spacing w:line="360" w:lineRule="auto"/>
      <w:ind w:left="-426" w:right="-619" w:firstLine="710"/>
      <w:jc w:val="both"/>
    </w:pPr>
    <w:rPr>
      <w:rFonts w:ascii="Arial LatArm" w:hAnsi="Arial LatArm"/>
      <w:i/>
      <w:lang w:val="en-AU"/>
    </w:rPr>
  </w:style>
  <w:style w:type="paragraph" w:customStyle="1" w:styleId="3">
    <w:name w:val="???????? ????? 3"/>
    <w:basedOn w:val="Normal"/>
    <w:rsid w:val="00060470"/>
    <w:pPr>
      <w:spacing w:before="0" w:line="240" w:lineRule="auto"/>
      <w:ind w:firstLine="0"/>
      <w:contextualSpacing w:val="0"/>
    </w:pPr>
    <w:rPr>
      <w:rFonts w:ascii="Times Armenian" w:hAnsi="Times Armenian"/>
      <w:sz w:val="24"/>
      <w:szCs w:val="20"/>
    </w:rPr>
  </w:style>
  <w:style w:type="paragraph" w:customStyle="1" w:styleId="21">
    <w:name w:val="???????? ????? ? ????????2"/>
    <w:basedOn w:val="20"/>
    <w:rsid w:val="00060470"/>
    <w:pPr>
      <w:spacing w:line="360" w:lineRule="auto"/>
      <w:ind w:firstLine="720"/>
      <w:jc w:val="both"/>
    </w:pPr>
    <w:rPr>
      <w:sz w:val="28"/>
    </w:rPr>
  </w:style>
  <w:style w:type="paragraph" w:customStyle="1" w:styleId="110">
    <w:name w:val="????????? 11"/>
    <w:basedOn w:val="20"/>
    <w:next w:val="20"/>
    <w:rsid w:val="00060470"/>
    <w:pPr>
      <w:keepNext/>
      <w:spacing w:line="360" w:lineRule="auto"/>
      <w:outlineLvl w:val="0"/>
    </w:pPr>
    <w:rPr>
      <w:rFonts w:ascii="Times LatArm" w:hAnsi="Times LatArm"/>
    </w:rPr>
  </w:style>
  <w:style w:type="paragraph" w:customStyle="1" w:styleId="13">
    <w:name w:val="????????1"/>
    <w:basedOn w:val="a1"/>
    <w:rsid w:val="00060470"/>
    <w:pPr>
      <w:jc w:val="center"/>
    </w:pPr>
    <w:rPr>
      <w:rFonts w:ascii="Times Armenian" w:hAnsi="Times Armenian"/>
      <w:i/>
      <w:sz w:val="28"/>
      <w:lang w:val="en-US"/>
    </w:rPr>
  </w:style>
  <w:style w:type="paragraph" w:customStyle="1" w:styleId="22">
    <w:name w:val="???????? ????? ? ???????? 2"/>
    <w:basedOn w:val="a1"/>
    <w:rsid w:val="00060470"/>
    <w:pPr>
      <w:ind w:right="-141" w:firstLine="567"/>
      <w:jc w:val="both"/>
    </w:pPr>
    <w:rPr>
      <w:rFonts w:ascii="Times Armenian" w:hAnsi="Times Armenian"/>
      <w:sz w:val="24"/>
    </w:rPr>
  </w:style>
  <w:style w:type="paragraph" w:customStyle="1" w:styleId="23">
    <w:name w:val="???????? ????? 2"/>
    <w:basedOn w:val="a1"/>
    <w:rsid w:val="00060470"/>
    <w:pPr>
      <w:spacing w:line="360" w:lineRule="auto"/>
      <w:jc w:val="both"/>
    </w:pPr>
    <w:rPr>
      <w:rFonts w:ascii="Times LatArm" w:hAnsi="Times LatArm"/>
      <w:b/>
      <w:i/>
      <w:sz w:val="28"/>
      <w:lang w:val="en-US"/>
    </w:rPr>
  </w:style>
  <w:style w:type="paragraph" w:customStyle="1" w:styleId="15">
    <w:name w:val="???????1"/>
    <w:rsid w:val="00060470"/>
    <w:rPr>
      <w:lang w:val="ru-RU" w:eastAsia="ru-RU"/>
    </w:rPr>
  </w:style>
  <w:style w:type="paragraph" w:customStyle="1" w:styleId="30">
    <w:name w:val="???????? ????? ? ????????3"/>
    <w:basedOn w:val="a1"/>
    <w:rsid w:val="00060470"/>
    <w:pPr>
      <w:ind w:left="360" w:hanging="360"/>
      <w:jc w:val="both"/>
    </w:pPr>
    <w:rPr>
      <w:rFonts w:ascii="Times Armenian" w:hAnsi="Times Armenian"/>
      <w:sz w:val="24"/>
      <w:lang w:val="en-US"/>
    </w:rPr>
  </w:style>
  <w:style w:type="paragraph" w:customStyle="1" w:styleId="StyleHeading2ChapterParanumTextSylfaen1">
    <w:name w:val="Style Heading 2.(Chapter).Paranum.Text + Sylfaen1"/>
    <w:basedOn w:val="Heading2ChapterParanumText"/>
    <w:link w:val="StyleHeading2ChapterParanumTextSylfaen1Char"/>
    <w:autoRedefine/>
    <w:rsid w:val="00060470"/>
    <w:pPr>
      <w:spacing w:before="240" w:after="120" w:line="240" w:lineRule="auto"/>
      <w:ind w:firstLine="567"/>
      <w:jc w:val="both"/>
    </w:pPr>
    <w:rPr>
      <w:rFonts w:ascii="GHEA Grapalat" w:hAnsi="GHEA Grapalat"/>
      <w:sz w:val="22"/>
      <w:szCs w:val="22"/>
      <w:lang w:val="pt-BR"/>
    </w:rPr>
  </w:style>
  <w:style w:type="paragraph" w:customStyle="1" w:styleId="Heading2ChapterParanumText">
    <w:name w:val="Heading 2.(Chapter).Paranum.Text"/>
    <w:basedOn w:val="Normal"/>
    <w:next w:val="BodyTextMainTextdateBodyTextMaintext"/>
    <w:link w:val="Heading2ChapterParanumTextChar"/>
    <w:rsid w:val="00060470"/>
    <w:pPr>
      <w:keepNext/>
      <w:widowControl w:val="0"/>
      <w:spacing w:before="0" w:after="240"/>
      <w:ind w:firstLine="0"/>
      <w:contextualSpacing w:val="0"/>
      <w:jc w:val="left"/>
      <w:outlineLvl w:val="1"/>
    </w:pPr>
    <w:rPr>
      <w:rFonts w:ascii="Times Armenian" w:hAnsi="Times Armenian"/>
      <w:b w:val="0"/>
      <w:spacing w:val="24"/>
      <w:kern w:val="28"/>
      <w:sz w:val="24"/>
      <w:lang w:val="it-IT" w:eastAsia="en-US"/>
    </w:rPr>
  </w:style>
  <w:style w:type="paragraph" w:customStyle="1" w:styleId="BodyTextMainTextdateBodyTextMaintext">
    <w:name w:val="Body Text.(Main Text).date.Body Text (Main text)"/>
    <w:basedOn w:val="Normal"/>
    <w:rsid w:val="00060470"/>
    <w:pPr>
      <w:widowControl w:val="0"/>
      <w:spacing w:before="0" w:after="120"/>
      <w:ind w:firstLine="652"/>
      <w:contextualSpacing w:val="0"/>
    </w:pPr>
    <w:rPr>
      <w:rFonts w:ascii="Arial Armenian" w:hAnsi="Arial Armenian"/>
      <w:sz w:val="20"/>
      <w:lang w:val="en-GB" w:eastAsia="en-US"/>
    </w:rPr>
  </w:style>
  <w:style w:type="character" w:customStyle="1" w:styleId="Heading2ChapterParanumTextChar">
    <w:name w:val="Heading 2.(Chapter).Paranum.Text Char"/>
    <w:link w:val="Heading2ChapterParanumText"/>
    <w:rsid w:val="00060470"/>
    <w:rPr>
      <w:rFonts w:ascii="Times Armenian" w:hAnsi="Times Armenian"/>
      <w:b/>
      <w:spacing w:val="24"/>
      <w:kern w:val="28"/>
      <w:sz w:val="24"/>
      <w:szCs w:val="24"/>
      <w:lang w:val="it-IT"/>
    </w:rPr>
  </w:style>
  <w:style w:type="character" w:customStyle="1" w:styleId="StyleHeading2ChapterParanumTextSylfaen1Char">
    <w:name w:val="Style Heading 2.(Chapter).Paranum.Text + Sylfaen1 Char"/>
    <w:link w:val="StyleHeading2ChapterParanumTextSylfaen1"/>
    <w:rsid w:val="00060470"/>
    <w:rPr>
      <w:rFonts w:ascii="GHEA Grapalat" w:hAnsi="GHEA Grapalat"/>
      <w:b/>
      <w:spacing w:val="24"/>
      <w:kern w:val="28"/>
      <w:sz w:val="22"/>
      <w:szCs w:val="22"/>
      <w:lang w:val="pt-BR"/>
    </w:rPr>
  </w:style>
  <w:style w:type="paragraph" w:customStyle="1" w:styleId="8">
    <w:name w:val="????????? 8"/>
    <w:basedOn w:val="a1"/>
    <w:next w:val="a1"/>
    <w:rsid w:val="00060470"/>
    <w:pPr>
      <w:keepNext/>
      <w:ind w:firstLine="426"/>
      <w:outlineLvl w:val="7"/>
    </w:pPr>
    <w:rPr>
      <w:rFonts w:ascii="Times Armenian" w:hAnsi="Times Armenian"/>
      <w:b/>
      <w:sz w:val="24"/>
      <w:lang w:val="en-US"/>
    </w:rPr>
  </w:style>
  <w:style w:type="paragraph" w:customStyle="1" w:styleId="210">
    <w:name w:val="???????? ????? ? ???????? 21"/>
    <w:basedOn w:val="20"/>
    <w:rsid w:val="00060470"/>
    <w:pPr>
      <w:spacing w:line="360" w:lineRule="auto"/>
      <w:ind w:firstLine="840"/>
      <w:jc w:val="both"/>
    </w:pPr>
    <w:rPr>
      <w:rFonts w:ascii="Arial LatArm" w:hAnsi="Arial LatArm"/>
    </w:rPr>
  </w:style>
  <w:style w:type="character" w:customStyle="1" w:styleId="BodyText3Char1">
    <w:name w:val="Body Text 3 Char1"/>
    <w:link w:val="BodyText31"/>
    <w:rsid w:val="00060470"/>
    <w:rPr>
      <w:rFonts w:ascii="Times New Roman" w:eastAsia="Times New Roman" w:hAnsi="Times New Roman" w:cs="Times New Roman"/>
      <w:sz w:val="16"/>
      <w:szCs w:val="16"/>
      <w:lang w:val="ru-RU" w:eastAsia="ru-RU"/>
    </w:rPr>
  </w:style>
  <w:style w:type="paragraph" w:customStyle="1" w:styleId="BSAPtext">
    <w:name w:val="BSAP text"/>
    <w:basedOn w:val="Normal"/>
    <w:rsid w:val="00060470"/>
    <w:pPr>
      <w:spacing w:before="0" w:line="312" w:lineRule="auto"/>
      <w:ind w:firstLine="0"/>
      <w:contextualSpacing w:val="0"/>
    </w:pPr>
    <w:rPr>
      <w:rFonts w:ascii="Bookman Old Style" w:hAnsi="Bookman Old Style"/>
      <w:szCs w:val="22"/>
      <w:lang w:val="en-US" w:eastAsia="en-US"/>
    </w:rPr>
  </w:style>
  <w:style w:type="paragraph" w:styleId="EndnoteText">
    <w:name w:val="endnote text"/>
    <w:basedOn w:val="Normal"/>
    <w:link w:val="EndnoteTextChar"/>
    <w:rsid w:val="00060470"/>
    <w:pPr>
      <w:spacing w:before="0" w:line="240" w:lineRule="auto"/>
      <w:ind w:firstLine="0"/>
      <w:contextualSpacing w:val="0"/>
      <w:jc w:val="left"/>
    </w:pPr>
    <w:rPr>
      <w:rFonts w:ascii="Times New Roman" w:hAnsi="Times New Roman"/>
      <w:sz w:val="20"/>
      <w:szCs w:val="20"/>
      <w:lang w:val="en-GB" w:eastAsia="en-US"/>
    </w:rPr>
  </w:style>
  <w:style w:type="character" w:customStyle="1" w:styleId="EndnoteTextChar">
    <w:name w:val="Endnote Text Char"/>
    <w:basedOn w:val="DefaultParagraphFont"/>
    <w:link w:val="EndnoteText"/>
    <w:rsid w:val="00060470"/>
    <w:rPr>
      <w:lang w:val="en-GB"/>
    </w:rPr>
  </w:style>
  <w:style w:type="character" w:customStyle="1" w:styleId="FooterChar2">
    <w:name w:val="Footer Char2"/>
    <w:uiPriority w:val="99"/>
    <w:rsid w:val="00060470"/>
    <w:rPr>
      <w:rFonts w:ascii="Times New Roman" w:eastAsia="Times New Roman" w:hAnsi="Times New Roman" w:cs="Times New Roman"/>
      <w:lang w:val="en-GB"/>
    </w:rPr>
  </w:style>
  <w:style w:type="paragraph" w:customStyle="1" w:styleId="CaptionTable">
    <w:name w:val="Caption_Table"/>
    <w:basedOn w:val="Caption"/>
    <w:qFormat/>
    <w:rsid w:val="00060470"/>
    <w:pPr>
      <w:keepNext/>
      <w:widowControl w:val="0"/>
      <w:spacing w:before="0" w:after="0" w:line="240" w:lineRule="auto"/>
      <w:ind w:left="1325" w:hanging="1325"/>
      <w:contextualSpacing w:val="0"/>
      <w:jc w:val="left"/>
    </w:pPr>
    <w:rPr>
      <w:rFonts w:ascii="Arial Armenian" w:hAnsi="Arial Armenian" w:cs="Sylfaen"/>
      <w:color w:val="auto"/>
      <w:sz w:val="20"/>
      <w:szCs w:val="20"/>
      <w:lang w:val="en-GB" w:eastAsia="en-US"/>
    </w:rPr>
  </w:style>
  <w:style w:type="paragraph" w:customStyle="1" w:styleId="Tablefirstcolumn">
    <w:name w:val="Table_first column"/>
    <w:basedOn w:val="Normal"/>
    <w:rsid w:val="00060470"/>
    <w:pPr>
      <w:spacing w:before="60" w:line="240" w:lineRule="auto"/>
      <w:ind w:firstLine="0"/>
      <w:contextualSpacing w:val="0"/>
      <w:jc w:val="left"/>
    </w:pPr>
    <w:rPr>
      <w:rFonts w:ascii="Arial Armenian" w:hAnsi="Arial Armenian"/>
      <w:sz w:val="16"/>
      <w:szCs w:val="20"/>
      <w:lang w:val="en-GB" w:eastAsia="en-US"/>
    </w:rPr>
  </w:style>
  <w:style w:type="paragraph" w:customStyle="1" w:styleId="BodyTextIndentTableSourceTableSourceCharBodyTextIndentChar">
    <w:name w:val="Body Text Indent.(Table Source).(Table Source) Char.Body Text Indent Char"/>
    <w:basedOn w:val="BodyTextMainTextdateBodyTextMaintext"/>
    <w:next w:val="Normal"/>
    <w:rsid w:val="00060470"/>
    <w:pPr>
      <w:spacing w:before="60" w:after="60" w:line="240" w:lineRule="auto"/>
    </w:pPr>
    <w:rPr>
      <w:i/>
      <w:sz w:val="16"/>
    </w:rPr>
  </w:style>
  <w:style w:type="paragraph" w:customStyle="1" w:styleId="Tablefirstrow">
    <w:name w:val="Table_first row"/>
    <w:basedOn w:val="Normal"/>
    <w:rsid w:val="00060470"/>
    <w:pPr>
      <w:widowControl w:val="0"/>
      <w:spacing w:before="60" w:line="240" w:lineRule="auto"/>
      <w:ind w:firstLine="0"/>
      <w:contextualSpacing w:val="0"/>
      <w:jc w:val="right"/>
    </w:pPr>
    <w:rPr>
      <w:rFonts w:ascii="Arial Armenian" w:hAnsi="Arial Armenian"/>
      <w:b w:val="0"/>
      <w:sz w:val="16"/>
      <w:szCs w:val="20"/>
      <w:lang w:val="en-GB" w:eastAsia="en-US"/>
    </w:rPr>
  </w:style>
  <w:style w:type="paragraph" w:customStyle="1" w:styleId="FootnoteTextfnADBsinglespacefootnotetextCharFootnoteTextCharfnCharADBCharsinglespaceCharChar">
    <w:name w:val="Footnote Text.fn.ADB.single space.footnote text Char.Footnote Text Char.fn Char.ADB Char.single space Char Char"/>
    <w:basedOn w:val="Normal"/>
    <w:rsid w:val="00060470"/>
    <w:pPr>
      <w:spacing w:before="0" w:line="240" w:lineRule="auto"/>
      <w:ind w:firstLine="0"/>
      <w:contextualSpacing w:val="0"/>
    </w:pPr>
    <w:rPr>
      <w:rFonts w:ascii="Arial Armenian" w:hAnsi="Arial Armenian"/>
      <w:i/>
      <w:sz w:val="18"/>
      <w:lang w:val="en-GB" w:eastAsia="en-US"/>
    </w:rPr>
  </w:style>
  <w:style w:type="character" w:customStyle="1" w:styleId="HeaderChar1">
    <w:name w:val="Header Char1"/>
    <w:aliases w:val="Header Char Char Char Char Char Char Char Char Char Char Char,Header Char Char Char Char Char Char Char Char Char Char Char Char Char,h Char"/>
    <w:uiPriority w:val="99"/>
    <w:rsid w:val="00060470"/>
    <w:rPr>
      <w:rFonts w:ascii="Times New Roman" w:eastAsia="Times New Roman" w:hAnsi="Times New Roman" w:cs="Times New Roman"/>
      <w:sz w:val="24"/>
      <w:szCs w:val="24"/>
    </w:rPr>
  </w:style>
  <w:style w:type="paragraph" w:styleId="TOC5">
    <w:name w:val="toc 5"/>
    <w:basedOn w:val="Normal"/>
    <w:next w:val="Normal"/>
    <w:autoRedefine/>
    <w:uiPriority w:val="39"/>
    <w:rsid w:val="00060470"/>
    <w:pPr>
      <w:tabs>
        <w:tab w:val="right" w:leader="dot" w:pos="9072"/>
      </w:tabs>
      <w:spacing w:before="0" w:after="100" w:line="240" w:lineRule="auto"/>
      <w:ind w:left="851" w:firstLine="0"/>
      <w:contextualSpacing w:val="0"/>
      <w:jc w:val="left"/>
    </w:pPr>
    <w:rPr>
      <w:rFonts w:ascii="Times Armenian" w:hAnsi="Times Armenian"/>
      <w:b w:val="0"/>
      <w:sz w:val="18"/>
      <w:lang w:val="en-US" w:eastAsia="en-US"/>
    </w:rPr>
  </w:style>
  <w:style w:type="paragraph" w:customStyle="1" w:styleId="H1-intro">
    <w:name w:val="H1-intro"/>
    <w:basedOn w:val="Heading1"/>
    <w:autoRedefine/>
    <w:rsid w:val="00060470"/>
    <w:pPr>
      <w:widowControl w:val="0"/>
      <w:tabs>
        <w:tab w:val="left" w:pos="-284"/>
      </w:tabs>
      <w:spacing w:line="240" w:lineRule="auto"/>
      <w:ind w:right="-51"/>
      <w:contextualSpacing w:val="0"/>
    </w:pPr>
    <w:rPr>
      <w:rFonts w:ascii="Times Armenian" w:hAnsi="Times Armenian"/>
      <w:iCs/>
      <w:spacing w:val="60"/>
      <w:kern w:val="28"/>
      <w:szCs w:val="28"/>
      <w:lang w:val="es-ES" w:eastAsia="en-US"/>
    </w:rPr>
  </w:style>
  <w:style w:type="character" w:customStyle="1" w:styleId="TitleChar1">
    <w:name w:val="Title Char1"/>
    <w:rsid w:val="00060470"/>
    <w:rPr>
      <w:rFonts w:ascii="Arial Armenian" w:eastAsia="Times New Roman" w:hAnsi="Arial Armenian" w:cs="Times New Roman"/>
      <w:b/>
      <w:bCs/>
      <w:sz w:val="24"/>
      <w:szCs w:val="24"/>
      <w:lang w:val="fr-FR"/>
    </w:rPr>
  </w:style>
  <w:style w:type="paragraph" w:customStyle="1" w:styleId="CaptionGraph">
    <w:name w:val="Caption_Graph"/>
    <w:basedOn w:val="Caption"/>
    <w:rsid w:val="00060470"/>
    <w:pPr>
      <w:keepNext/>
      <w:keepLines/>
      <w:widowControl w:val="0"/>
      <w:spacing w:after="0" w:line="240" w:lineRule="auto"/>
      <w:ind w:left="1325" w:hanging="1325"/>
      <w:contextualSpacing w:val="0"/>
    </w:pPr>
    <w:rPr>
      <w:rFonts w:cs="Sylfaen"/>
      <w:bCs w:val="0"/>
      <w:color w:val="auto"/>
      <w:sz w:val="20"/>
      <w:szCs w:val="20"/>
      <w:lang w:val="it-IT" w:eastAsia="en-US"/>
    </w:rPr>
  </w:style>
  <w:style w:type="paragraph" w:customStyle="1" w:styleId="graphtable">
    <w:name w:val="graph&amp;table"/>
    <w:basedOn w:val="BodyText"/>
    <w:next w:val="BodyTextIndent"/>
    <w:rsid w:val="00060470"/>
    <w:pPr>
      <w:widowControl w:val="0"/>
      <w:spacing w:before="60" w:line="240" w:lineRule="auto"/>
      <w:ind w:firstLine="0"/>
      <w:contextualSpacing w:val="0"/>
      <w:jc w:val="both"/>
    </w:pPr>
    <w:rPr>
      <w:rFonts w:ascii="Arial Armenian" w:hAnsi="Arial Armenian"/>
      <w:sz w:val="20"/>
      <w:lang w:val="en-GB"/>
    </w:rPr>
  </w:style>
  <w:style w:type="paragraph" w:customStyle="1" w:styleId="BodyTextdate">
    <w:name w:val="Body Text.date"/>
    <w:basedOn w:val="Normal"/>
    <w:rsid w:val="00060470"/>
    <w:pPr>
      <w:widowControl w:val="0"/>
      <w:spacing w:before="0" w:after="120"/>
      <w:ind w:firstLine="0"/>
      <w:contextualSpacing w:val="0"/>
    </w:pPr>
    <w:rPr>
      <w:rFonts w:ascii="Arial Armenian" w:hAnsi="Arial Armenian"/>
      <w:spacing w:val="-5"/>
      <w:sz w:val="20"/>
      <w:szCs w:val="20"/>
      <w:lang w:val="en-GB" w:eastAsia="en-US"/>
    </w:rPr>
  </w:style>
  <w:style w:type="character" w:customStyle="1" w:styleId="CaptionGraphChar">
    <w:name w:val="Caption_Graph Char"/>
    <w:rsid w:val="00060470"/>
    <w:rPr>
      <w:rFonts w:ascii="Arial Armenian" w:hAnsi="Arial Armenian"/>
      <w:b/>
      <w:sz w:val="20"/>
    </w:rPr>
  </w:style>
  <w:style w:type="paragraph" w:customStyle="1" w:styleId="Heading5Side">
    <w:name w:val="Heading 5.Side"/>
    <w:basedOn w:val="Normal"/>
    <w:next w:val="Normal"/>
    <w:rsid w:val="00060470"/>
    <w:pPr>
      <w:keepNext/>
      <w:spacing w:before="0"/>
      <w:ind w:firstLine="0"/>
      <w:contextualSpacing w:val="0"/>
      <w:outlineLvl w:val="4"/>
    </w:pPr>
    <w:rPr>
      <w:rFonts w:ascii="Times LatArm" w:hAnsi="Times LatArm"/>
      <w:sz w:val="24"/>
      <w:szCs w:val="20"/>
      <w:lang w:val="en-NZ" w:eastAsia="en-US"/>
    </w:rPr>
  </w:style>
  <w:style w:type="paragraph" w:customStyle="1" w:styleId="24">
    <w:name w:val="çàãîëîâîê 2"/>
    <w:basedOn w:val="Normal"/>
    <w:next w:val="Normal"/>
    <w:rsid w:val="00060470"/>
    <w:pPr>
      <w:keepNext/>
      <w:overflowPunct w:val="0"/>
      <w:autoSpaceDE w:val="0"/>
      <w:autoSpaceDN w:val="0"/>
      <w:adjustRightInd w:val="0"/>
      <w:spacing w:before="0" w:line="240" w:lineRule="auto"/>
      <w:ind w:firstLine="0"/>
      <w:contextualSpacing w:val="0"/>
    </w:pPr>
    <w:rPr>
      <w:rFonts w:ascii="Arial Armenian" w:hAnsi="Arial Armenian"/>
      <w:sz w:val="24"/>
      <w:szCs w:val="20"/>
      <w:lang w:val="en-US" w:eastAsia="en-US"/>
    </w:rPr>
  </w:style>
  <w:style w:type="paragraph" w:customStyle="1" w:styleId="CaptionAnnexedTable">
    <w:name w:val="Caption_Annexed Table"/>
    <w:basedOn w:val="Caption"/>
    <w:rsid w:val="00060470"/>
    <w:pPr>
      <w:keepNext/>
      <w:keepLines/>
      <w:widowControl w:val="0"/>
      <w:spacing w:after="0" w:line="240" w:lineRule="auto"/>
      <w:ind w:left="1325" w:hanging="1325"/>
      <w:contextualSpacing w:val="0"/>
    </w:pPr>
    <w:rPr>
      <w:rFonts w:cs="Sylfaen"/>
      <w:bCs w:val="0"/>
      <w:color w:val="auto"/>
      <w:sz w:val="20"/>
      <w:szCs w:val="20"/>
      <w:lang w:val="en-US" w:eastAsia="en-US"/>
    </w:rPr>
  </w:style>
  <w:style w:type="paragraph" w:customStyle="1" w:styleId="Vernagir">
    <w:name w:val="Vernagir"/>
    <w:basedOn w:val="Normal"/>
    <w:next w:val="Normal"/>
    <w:rsid w:val="00060470"/>
    <w:pPr>
      <w:autoSpaceDE w:val="0"/>
      <w:autoSpaceDN w:val="0"/>
      <w:spacing w:before="240" w:after="120" w:line="240" w:lineRule="auto"/>
      <w:ind w:firstLine="0"/>
      <w:contextualSpacing w:val="0"/>
      <w:jc w:val="center"/>
    </w:pPr>
    <w:rPr>
      <w:rFonts w:ascii="Times Armenian" w:hAnsi="Times Armenian"/>
      <w:b w:val="0"/>
      <w:bCs/>
      <w:sz w:val="20"/>
      <w:lang w:val="en-US" w:eastAsia="en-US"/>
    </w:rPr>
  </w:style>
  <w:style w:type="paragraph" w:customStyle="1" w:styleId="Heading3Sub-ChapterCenteredtext">
    <w:name w:val="Heading 3.(Sub-Chapter).Centered.(text)"/>
    <w:basedOn w:val="Normal"/>
    <w:next w:val="BodyTextMainTextdateBodyTextMaintext"/>
    <w:rsid w:val="00060470"/>
    <w:pPr>
      <w:keepNext/>
      <w:widowControl w:val="0"/>
      <w:tabs>
        <w:tab w:val="left" w:pos="624"/>
      </w:tabs>
      <w:spacing w:before="240" w:after="240" w:line="240" w:lineRule="auto"/>
      <w:ind w:firstLine="0"/>
      <w:contextualSpacing w:val="0"/>
      <w:jc w:val="left"/>
      <w:outlineLvl w:val="2"/>
    </w:pPr>
    <w:rPr>
      <w:rFonts w:ascii="Times Armenian" w:hAnsi="Times Armenian"/>
      <w:b w:val="0"/>
      <w:lang w:val="af-ZA" w:eastAsia="en-US"/>
    </w:rPr>
  </w:style>
  <w:style w:type="paragraph" w:customStyle="1" w:styleId="BoxTitle">
    <w:name w:val="Box_Title"/>
    <w:basedOn w:val="Caption"/>
    <w:rsid w:val="00060470"/>
    <w:pPr>
      <w:keepNext/>
      <w:keepLines/>
      <w:widowControl w:val="0"/>
      <w:spacing w:before="60" w:after="120" w:line="240" w:lineRule="auto"/>
      <w:ind w:left="1325" w:hanging="1325"/>
      <w:contextualSpacing w:val="0"/>
    </w:pPr>
    <w:rPr>
      <w:rFonts w:cs="Sylfaen"/>
      <w:bCs w:val="0"/>
      <w:color w:val="auto"/>
      <w:sz w:val="20"/>
      <w:szCs w:val="20"/>
      <w:lang w:val="fr-FR" w:eastAsia="en-US"/>
    </w:rPr>
  </w:style>
  <w:style w:type="paragraph" w:styleId="TOC6">
    <w:name w:val="toc 6"/>
    <w:basedOn w:val="Normal"/>
    <w:next w:val="Normal"/>
    <w:autoRedefine/>
    <w:uiPriority w:val="39"/>
    <w:rsid w:val="00060470"/>
    <w:pPr>
      <w:spacing w:before="0" w:line="240" w:lineRule="auto"/>
      <w:ind w:left="1200" w:firstLine="0"/>
      <w:contextualSpacing w:val="0"/>
      <w:jc w:val="left"/>
    </w:pPr>
    <w:rPr>
      <w:rFonts w:ascii="Times New Roman" w:hAnsi="Times New Roman"/>
      <w:sz w:val="24"/>
      <w:lang w:val="en-US" w:eastAsia="en-US"/>
    </w:rPr>
  </w:style>
  <w:style w:type="paragraph" w:styleId="TOC7">
    <w:name w:val="toc 7"/>
    <w:basedOn w:val="Normal"/>
    <w:next w:val="Normal"/>
    <w:autoRedefine/>
    <w:uiPriority w:val="39"/>
    <w:rsid w:val="00060470"/>
    <w:pPr>
      <w:spacing w:before="0" w:line="240" w:lineRule="auto"/>
      <w:ind w:left="1440" w:firstLine="0"/>
      <w:contextualSpacing w:val="0"/>
      <w:jc w:val="left"/>
    </w:pPr>
    <w:rPr>
      <w:rFonts w:ascii="Times New Roman" w:hAnsi="Times New Roman"/>
      <w:sz w:val="24"/>
      <w:lang w:val="en-US" w:eastAsia="en-US"/>
    </w:rPr>
  </w:style>
  <w:style w:type="paragraph" w:styleId="TOC8">
    <w:name w:val="toc 8"/>
    <w:basedOn w:val="Normal"/>
    <w:next w:val="Normal"/>
    <w:autoRedefine/>
    <w:uiPriority w:val="39"/>
    <w:rsid w:val="00060470"/>
    <w:pPr>
      <w:spacing w:before="0" w:line="240" w:lineRule="auto"/>
      <w:ind w:left="1680" w:firstLine="0"/>
      <w:contextualSpacing w:val="0"/>
      <w:jc w:val="left"/>
    </w:pPr>
    <w:rPr>
      <w:rFonts w:ascii="Times New Roman" w:hAnsi="Times New Roman"/>
      <w:sz w:val="24"/>
      <w:lang w:val="en-US" w:eastAsia="en-US"/>
    </w:rPr>
  </w:style>
  <w:style w:type="paragraph" w:styleId="TOC9">
    <w:name w:val="toc 9"/>
    <w:basedOn w:val="Normal"/>
    <w:next w:val="Normal"/>
    <w:autoRedefine/>
    <w:uiPriority w:val="39"/>
    <w:rsid w:val="00060470"/>
    <w:pPr>
      <w:spacing w:before="0" w:line="240" w:lineRule="auto"/>
      <w:ind w:left="1920" w:firstLine="0"/>
      <w:contextualSpacing w:val="0"/>
      <w:jc w:val="left"/>
    </w:pPr>
    <w:rPr>
      <w:rFonts w:ascii="Times New Roman" w:hAnsi="Times New Roman"/>
      <w:sz w:val="24"/>
      <w:lang w:val="en-US" w:eastAsia="en-US"/>
    </w:rPr>
  </w:style>
  <w:style w:type="table" w:styleId="TableList7">
    <w:name w:val="Table List 7"/>
    <w:basedOn w:val="TableNormal"/>
    <w:uiPriority w:val="99"/>
    <w:rsid w:val="0006047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Web3">
    <w:name w:val="Table Web 3"/>
    <w:basedOn w:val="TableNormal"/>
    <w:uiPriority w:val="99"/>
    <w:rsid w:val="0006047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Elegant">
    <w:name w:val="Table Elegant"/>
    <w:basedOn w:val="TableNormal"/>
    <w:uiPriority w:val="99"/>
    <w:rsid w:val="0006047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Base">
    <w:name w:val="TOC Base"/>
    <w:basedOn w:val="Normal"/>
    <w:rsid w:val="00060470"/>
    <w:pPr>
      <w:tabs>
        <w:tab w:val="right" w:leader="dot" w:pos="8505"/>
      </w:tabs>
      <w:overflowPunct w:val="0"/>
      <w:autoSpaceDE w:val="0"/>
      <w:autoSpaceDN w:val="0"/>
      <w:adjustRightInd w:val="0"/>
      <w:spacing w:before="0" w:line="240" w:lineRule="auto"/>
      <w:ind w:firstLine="0"/>
      <w:contextualSpacing w:val="0"/>
      <w:jc w:val="left"/>
      <w:textAlignment w:val="baseline"/>
    </w:pPr>
    <w:rPr>
      <w:rFonts w:ascii="Gill Sans" w:hAnsi="Gill Sans"/>
      <w:sz w:val="24"/>
      <w:szCs w:val="20"/>
      <w:lang w:val="en-US" w:eastAsia="en-US"/>
    </w:rPr>
  </w:style>
  <w:style w:type="paragraph" w:customStyle="1" w:styleId="Bulets">
    <w:name w:val="Bulets"/>
    <w:basedOn w:val="Normal"/>
    <w:next w:val="Normal"/>
    <w:rsid w:val="00060470"/>
    <w:pPr>
      <w:tabs>
        <w:tab w:val="num" w:pos="360"/>
      </w:tabs>
      <w:spacing w:before="0" w:line="240" w:lineRule="auto"/>
      <w:ind w:left="357" w:hanging="357"/>
      <w:contextualSpacing w:val="0"/>
    </w:pPr>
    <w:rPr>
      <w:rFonts w:ascii="Times Armenian" w:hAnsi="Times Armenian"/>
      <w:sz w:val="20"/>
      <w:szCs w:val="20"/>
      <w:lang w:val="en-US" w:eastAsia="en-US"/>
    </w:rPr>
  </w:style>
  <w:style w:type="paragraph" w:customStyle="1" w:styleId="Numbering1">
    <w:name w:val="Numbering 1"/>
    <w:basedOn w:val="Normal"/>
    <w:next w:val="Normal"/>
    <w:autoRedefine/>
    <w:qFormat/>
    <w:rsid w:val="003C4BB9"/>
    <w:pPr>
      <w:keepNext/>
      <w:spacing w:after="120" w:line="240" w:lineRule="auto"/>
      <w:ind w:left="567" w:firstLine="0"/>
      <w:contextualSpacing w:val="0"/>
      <w:jc w:val="left"/>
    </w:pPr>
    <w:rPr>
      <w:b w:val="0"/>
      <w:i/>
      <w:szCs w:val="20"/>
      <w:lang w:val="en-US" w:eastAsia="en-US"/>
    </w:rPr>
  </w:style>
  <w:style w:type="paragraph" w:customStyle="1" w:styleId="Bulet-2">
    <w:name w:val="Bulet-2"/>
    <w:basedOn w:val="Normal"/>
    <w:rsid w:val="00060470"/>
    <w:pPr>
      <w:tabs>
        <w:tab w:val="num" w:pos="454"/>
      </w:tabs>
      <w:spacing w:before="0" w:line="240" w:lineRule="auto"/>
      <w:ind w:left="454" w:hanging="454"/>
      <w:contextualSpacing w:val="0"/>
      <w:jc w:val="left"/>
    </w:pPr>
    <w:rPr>
      <w:rFonts w:ascii="Times Armenian" w:hAnsi="Times Armenian"/>
      <w:sz w:val="24"/>
      <w:lang w:val="en-US" w:eastAsia="en-US"/>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060470"/>
    <w:pPr>
      <w:spacing w:before="0" w:after="120" w:line="240" w:lineRule="auto"/>
      <w:ind w:left="360" w:firstLine="0"/>
      <w:contextualSpacing w:val="0"/>
      <w:jc w:val="left"/>
    </w:pPr>
    <w:rPr>
      <w:rFonts w:ascii="Times New Roman" w:hAnsi="Times New Roman"/>
      <w:sz w:val="20"/>
      <w:lang w:val="en-US" w:eastAsia="en-US"/>
    </w:rPr>
  </w:style>
  <w:style w:type="paragraph" w:customStyle="1" w:styleId="StyleHeading120pt">
    <w:name w:val="Style Heading 1 + 20 pt"/>
    <w:basedOn w:val="Heading1"/>
    <w:rsid w:val="00060470"/>
    <w:pPr>
      <w:spacing w:line="240" w:lineRule="auto"/>
      <w:contextualSpacing w:val="0"/>
    </w:pPr>
    <w:rPr>
      <w:rFonts w:ascii="Times Armenian" w:hAnsi="Times Armenian"/>
      <w:b w:val="0"/>
      <w:sz w:val="40"/>
      <w:szCs w:val="24"/>
      <w:lang w:eastAsia="en-US"/>
    </w:rPr>
  </w:style>
  <w:style w:type="paragraph" w:customStyle="1" w:styleId="StyleHeading216ptBoldLightBlueLeft025">
    <w:name w:val="Style Heading 2 + 16 pt Bold Light Blue Left:  0.25&quot;"/>
    <w:basedOn w:val="Heading2"/>
    <w:rsid w:val="00060470"/>
    <w:pPr>
      <w:tabs>
        <w:tab w:val="num" w:pos="0"/>
        <w:tab w:val="left" w:pos="993"/>
        <w:tab w:val="num" w:pos="1080"/>
        <w:tab w:val="right" w:pos="10208"/>
      </w:tabs>
      <w:ind w:left="360" w:firstLine="540"/>
      <w:jc w:val="left"/>
    </w:pPr>
    <w:rPr>
      <w:color w:val="3366FF"/>
      <w:spacing w:val="24"/>
      <w:kern w:val="16"/>
      <w:sz w:val="32"/>
      <w:lang w:val="en-US"/>
    </w:rPr>
  </w:style>
  <w:style w:type="paragraph" w:styleId="Index2">
    <w:name w:val="index 2"/>
    <w:basedOn w:val="Normal"/>
    <w:next w:val="Normal"/>
    <w:autoRedefine/>
    <w:rsid w:val="00060470"/>
    <w:pPr>
      <w:spacing w:before="0" w:line="240" w:lineRule="auto"/>
      <w:ind w:left="480" w:hanging="240"/>
      <w:contextualSpacing w:val="0"/>
      <w:jc w:val="left"/>
    </w:pPr>
    <w:rPr>
      <w:rFonts w:ascii="Times New Roman" w:hAnsi="Times New Roman"/>
      <w:sz w:val="24"/>
      <w:lang w:val="en-US" w:eastAsia="en-US"/>
    </w:rPr>
  </w:style>
  <w:style w:type="paragraph" w:styleId="Index3">
    <w:name w:val="index 3"/>
    <w:basedOn w:val="Normal"/>
    <w:next w:val="Normal"/>
    <w:autoRedefine/>
    <w:rsid w:val="00060470"/>
    <w:pPr>
      <w:spacing w:before="0" w:line="240" w:lineRule="auto"/>
      <w:ind w:left="720" w:hanging="240"/>
      <w:contextualSpacing w:val="0"/>
      <w:jc w:val="left"/>
    </w:pPr>
    <w:rPr>
      <w:rFonts w:ascii="Times New Roman" w:hAnsi="Times New Roman"/>
      <w:sz w:val="24"/>
      <w:lang w:val="en-US" w:eastAsia="en-US"/>
    </w:rPr>
  </w:style>
  <w:style w:type="paragraph" w:styleId="Index4">
    <w:name w:val="index 4"/>
    <w:basedOn w:val="Normal"/>
    <w:next w:val="Normal"/>
    <w:autoRedefine/>
    <w:rsid w:val="00060470"/>
    <w:pPr>
      <w:spacing w:before="0" w:line="240" w:lineRule="auto"/>
      <w:ind w:left="960" w:hanging="240"/>
      <w:contextualSpacing w:val="0"/>
      <w:jc w:val="left"/>
    </w:pPr>
    <w:rPr>
      <w:rFonts w:ascii="Times New Roman" w:hAnsi="Times New Roman"/>
      <w:sz w:val="24"/>
      <w:lang w:val="en-US" w:eastAsia="en-US"/>
    </w:rPr>
  </w:style>
  <w:style w:type="paragraph" w:styleId="Index5">
    <w:name w:val="index 5"/>
    <w:basedOn w:val="Normal"/>
    <w:next w:val="Normal"/>
    <w:autoRedefine/>
    <w:rsid w:val="00060470"/>
    <w:pPr>
      <w:spacing w:before="0" w:line="240" w:lineRule="auto"/>
      <w:ind w:left="1200" w:hanging="240"/>
      <w:contextualSpacing w:val="0"/>
      <w:jc w:val="left"/>
    </w:pPr>
    <w:rPr>
      <w:rFonts w:ascii="Times New Roman" w:hAnsi="Times New Roman"/>
      <w:sz w:val="24"/>
      <w:lang w:val="en-US" w:eastAsia="en-US"/>
    </w:rPr>
  </w:style>
  <w:style w:type="paragraph" w:styleId="Index6">
    <w:name w:val="index 6"/>
    <w:basedOn w:val="Normal"/>
    <w:next w:val="Normal"/>
    <w:autoRedefine/>
    <w:rsid w:val="00060470"/>
    <w:pPr>
      <w:spacing w:before="0" w:line="240" w:lineRule="auto"/>
      <w:ind w:left="1440" w:hanging="240"/>
      <w:contextualSpacing w:val="0"/>
      <w:jc w:val="left"/>
    </w:pPr>
    <w:rPr>
      <w:rFonts w:ascii="Times New Roman" w:hAnsi="Times New Roman"/>
      <w:sz w:val="24"/>
      <w:lang w:val="en-US" w:eastAsia="en-US"/>
    </w:rPr>
  </w:style>
  <w:style w:type="paragraph" w:styleId="Index7">
    <w:name w:val="index 7"/>
    <w:basedOn w:val="Normal"/>
    <w:next w:val="Normal"/>
    <w:autoRedefine/>
    <w:rsid w:val="00060470"/>
    <w:pPr>
      <w:spacing w:before="0" w:line="240" w:lineRule="auto"/>
      <w:ind w:left="1680" w:hanging="240"/>
      <w:contextualSpacing w:val="0"/>
      <w:jc w:val="left"/>
    </w:pPr>
    <w:rPr>
      <w:rFonts w:ascii="Times New Roman" w:hAnsi="Times New Roman"/>
      <w:sz w:val="24"/>
      <w:lang w:val="en-US" w:eastAsia="en-US"/>
    </w:rPr>
  </w:style>
  <w:style w:type="paragraph" w:styleId="Index8">
    <w:name w:val="index 8"/>
    <w:basedOn w:val="Normal"/>
    <w:next w:val="Normal"/>
    <w:autoRedefine/>
    <w:rsid w:val="00060470"/>
    <w:pPr>
      <w:spacing w:before="0" w:line="240" w:lineRule="auto"/>
      <w:ind w:left="1920" w:hanging="240"/>
      <w:contextualSpacing w:val="0"/>
      <w:jc w:val="left"/>
    </w:pPr>
    <w:rPr>
      <w:rFonts w:ascii="Times New Roman" w:hAnsi="Times New Roman"/>
      <w:sz w:val="24"/>
      <w:lang w:val="en-US" w:eastAsia="en-US"/>
    </w:rPr>
  </w:style>
  <w:style w:type="paragraph" w:styleId="Index9">
    <w:name w:val="index 9"/>
    <w:basedOn w:val="Normal"/>
    <w:next w:val="Normal"/>
    <w:autoRedefine/>
    <w:rsid w:val="00060470"/>
    <w:pPr>
      <w:spacing w:before="0" w:line="240" w:lineRule="auto"/>
      <w:ind w:left="2160" w:hanging="240"/>
      <w:contextualSpacing w:val="0"/>
      <w:jc w:val="left"/>
    </w:pPr>
    <w:rPr>
      <w:rFonts w:ascii="Times New Roman" w:hAnsi="Times New Roman"/>
      <w:sz w:val="24"/>
      <w:lang w:val="en-US" w:eastAsia="en-US"/>
    </w:rPr>
  </w:style>
  <w:style w:type="paragraph" w:customStyle="1" w:styleId="BodyTextIndentTableSource">
    <w:name w:val="Body Text Indent.(Table Source)"/>
    <w:basedOn w:val="Normal"/>
    <w:rsid w:val="00060470"/>
    <w:pPr>
      <w:spacing w:before="0"/>
      <w:ind w:firstLine="540"/>
      <w:contextualSpacing w:val="0"/>
      <w:jc w:val="left"/>
    </w:pPr>
    <w:rPr>
      <w:rFonts w:ascii="Times LatArm" w:hAnsi="Times LatArm"/>
      <w:szCs w:val="20"/>
      <w:lang w:val="en-US" w:eastAsia="en-US"/>
    </w:rPr>
  </w:style>
  <w:style w:type="character" w:customStyle="1" w:styleId="TableTitleCharCharCharCharCharCharCharCharCharCharChar">
    <w:name w:val="(Table Title) Char Char Char Char Char Char Char Char Char Char Char"/>
    <w:aliases w:val="Caption1,(Table Title)1"/>
    <w:rsid w:val="00060470"/>
    <w:rPr>
      <w:rFonts w:ascii="Arial Armenian" w:hAnsi="Arial Armenian"/>
      <w:b/>
      <w:noProof w:val="0"/>
      <w:lang w:val="en-GB" w:eastAsia="en-US" w:bidi="ar-SA"/>
    </w:rPr>
  </w:style>
  <w:style w:type="paragraph" w:customStyle="1" w:styleId="BoxText">
    <w:name w:val="Box Text"/>
    <w:basedOn w:val="BodyText"/>
    <w:rsid w:val="00060470"/>
    <w:pPr>
      <w:framePr w:w="9639" w:h="6855" w:hRule="exact" w:hSpace="181" w:wrap="notBeside" w:vAnchor="text" w:hAnchor="page" w:x="1124" w:y="7"/>
      <w:widowControl w:val="0"/>
      <w:pBdr>
        <w:top w:val="single" w:sz="12" w:space="7" w:color="auto"/>
        <w:left w:val="single" w:sz="12" w:space="7" w:color="auto"/>
        <w:bottom w:val="single" w:sz="12" w:space="7" w:color="auto"/>
        <w:right w:val="single" w:sz="12" w:space="7" w:color="auto"/>
      </w:pBdr>
      <w:spacing w:before="0" w:after="120"/>
      <w:ind w:firstLine="652"/>
      <w:contextualSpacing w:val="0"/>
      <w:suppressOverlap/>
      <w:jc w:val="both"/>
    </w:pPr>
    <w:rPr>
      <w:rFonts w:ascii="Arial Armenian" w:hAnsi="Arial Armenian"/>
      <w:noProof/>
      <w:sz w:val="20"/>
      <w:lang w:val="it-IT"/>
    </w:rPr>
  </w:style>
  <w:style w:type="paragraph" w:customStyle="1" w:styleId="BulletAB1">
    <w:name w:val="Bullet AB1"/>
    <w:basedOn w:val="Normal"/>
    <w:rsid w:val="00060470"/>
    <w:pPr>
      <w:tabs>
        <w:tab w:val="num" w:pos="360"/>
        <w:tab w:val="left" w:pos="1008"/>
      </w:tabs>
      <w:spacing w:before="0" w:line="240" w:lineRule="auto"/>
      <w:ind w:left="360" w:hanging="360"/>
      <w:contextualSpacing w:val="0"/>
    </w:pPr>
    <w:rPr>
      <w:rFonts w:ascii="Times New Roman" w:hAnsi="Times New Roman"/>
      <w:sz w:val="21"/>
      <w:szCs w:val="20"/>
      <w:lang w:val="en-GB" w:eastAsia="en-US"/>
    </w:rPr>
  </w:style>
  <w:style w:type="paragraph" w:customStyle="1" w:styleId="wolort">
    <w:name w:val="wolort"/>
    <w:basedOn w:val="Normal"/>
    <w:rsid w:val="00060470"/>
    <w:pPr>
      <w:spacing w:before="0" w:line="240" w:lineRule="auto"/>
      <w:ind w:firstLine="0"/>
      <w:contextualSpacing w:val="0"/>
      <w:jc w:val="center"/>
    </w:pPr>
    <w:rPr>
      <w:rFonts w:ascii="Arial Armenian" w:hAnsi="Arial Armenian"/>
      <w:b w:val="0"/>
      <w:sz w:val="24"/>
      <w:lang w:val="en-US" w:eastAsia="en-US"/>
    </w:rPr>
  </w:style>
  <w:style w:type="paragraph" w:customStyle="1" w:styleId="Tabletext0">
    <w:name w:val="Table text"/>
    <w:basedOn w:val="Normal"/>
    <w:rsid w:val="00060470"/>
    <w:pPr>
      <w:overflowPunct w:val="0"/>
      <w:autoSpaceDE w:val="0"/>
      <w:autoSpaceDN w:val="0"/>
      <w:adjustRightInd w:val="0"/>
      <w:spacing w:before="60" w:line="240" w:lineRule="atLeast"/>
      <w:ind w:firstLine="0"/>
      <w:contextualSpacing w:val="0"/>
      <w:jc w:val="left"/>
      <w:textAlignment w:val="baseline"/>
    </w:pPr>
    <w:rPr>
      <w:rFonts w:ascii="Times New Roman" w:hAnsi="Times New Roman"/>
      <w:sz w:val="18"/>
      <w:szCs w:val="20"/>
      <w:lang w:val="en-GB" w:eastAsia="en-US"/>
    </w:rPr>
  </w:style>
  <w:style w:type="paragraph" w:customStyle="1" w:styleId="MessageText">
    <w:name w:val="Message Text"/>
    <w:basedOn w:val="BodyText"/>
    <w:rsid w:val="00060470"/>
    <w:pPr>
      <w:widowControl w:val="0"/>
      <w:spacing w:before="0" w:after="120"/>
      <w:ind w:firstLine="652"/>
      <w:contextualSpacing w:val="0"/>
      <w:jc w:val="both"/>
    </w:pPr>
    <w:rPr>
      <w:rFonts w:ascii="Arial Armenian" w:hAnsi="Arial Armenian"/>
      <w:sz w:val="22"/>
      <w:lang w:val="en-GB"/>
    </w:rPr>
  </w:style>
  <w:style w:type="paragraph" w:customStyle="1" w:styleId="Heading41">
    <w:name w:val="Heading 41"/>
    <w:aliases w:val="Centred1"/>
    <w:basedOn w:val="Normal"/>
    <w:rsid w:val="00060470"/>
    <w:pPr>
      <w:widowControl w:val="0"/>
      <w:tabs>
        <w:tab w:val="num" w:pos="1080"/>
      </w:tabs>
      <w:spacing w:before="0" w:line="240" w:lineRule="auto"/>
      <w:ind w:left="737" w:hanging="737"/>
      <w:contextualSpacing w:val="0"/>
      <w:jc w:val="left"/>
    </w:pPr>
    <w:rPr>
      <w:rFonts w:ascii="Arial Armenian" w:hAnsi="Arial Armenian"/>
      <w:sz w:val="20"/>
      <w:szCs w:val="20"/>
      <w:lang w:val="en-GB" w:eastAsia="en-US"/>
    </w:rPr>
  </w:style>
  <w:style w:type="paragraph" w:customStyle="1" w:styleId="PRAMO">
    <w:name w:val="PRAMO"/>
    <w:basedOn w:val="Normal"/>
    <w:rsid w:val="00060470"/>
    <w:pPr>
      <w:tabs>
        <w:tab w:val="left" w:pos="216"/>
        <w:tab w:val="left" w:pos="360"/>
        <w:tab w:val="left" w:pos="1418"/>
        <w:tab w:val="left" w:pos="1800"/>
        <w:tab w:val="left" w:pos="2835"/>
        <w:tab w:val="left" w:pos="3240"/>
        <w:tab w:val="left" w:pos="3960"/>
        <w:tab w:val="left" w:pos="4680"/>
        <w:tab w:val="left" w:pos="5400"/>
        <w:tab w:val="left" w:pos="6120"/>
        <w:tab w:val="left" w:pos="6840"/>
        <w:tab w:val="left" w:pos="7560"/>
        <w:tab w:val="left" w:pos="8280"/>
      </w:tabs>
      <w:spacing w:before="0" w:line="240" w:lineRule="auto"/>
      <w:ind w:firstLine="0"/>
      <w:contextualSpacing w:val="0"/>
    </w:pPr>
    <w:rPr>
      <w:rFonts w:ascii="Arial" w:hAnsi="Arial"/>
      <w:sz w:val="24"/>
      <w:lang w:val="en-GB" w:eastAsia="en-US"/>
    </w:rPr>
  </w:style>
  <w:style w:type="paragraph" w:customStyle="1" w:styleId="bullet10">
    <w:name w:val="bullet1"/>
    <w:basedOn w:val="NormalIndent"/>
    <w:rsid w:val="00060470"/>
    <w:pPr>
      <w:tabs>
        <w:tab w:val="left" w:pos="1418"/>
        <w:tab w:val="left" w:pos="2835"/>
        <w:tab w:val="left" w:pos="5103"/>
        <w:tab w:val="left" w:pos="7371"/>
        <w:tab w:val="right" w:pos="9639"/>
      </w:tabs>
      <w:spacing w:line="240" w:lineRule="auto"/>
      <w:ind w:left="0"/>
      <w:jc w:val="left"/>
    </w:pPr>
    <w:rPr>
      <w:rFonts w:ascii="Times New Roman" w:hAnsi="Times New Roman"/>
      <w:sz w:val="22"/>
      <w:lang w:val="en-GB"/>
    </w:rPr>
  </w:style>
  <w:style w:type="paragraph" w:customStyle="1" w:styleId="a5">
    <w:name w:val="????????"/>
    <w:basedOn w:val="Normal"/>
    <w:rsid w:val="00060470"/>
    <w:pPr>
      <w:spacing w:before="0" w:line="240" w:lineRule="auto"/>
      <w:ind w:firstLine="0"/>
      <w:contextualSpacing w:val="0"/>
      <w:jc w:val="center"/>
    </w:pPr>
    <w:rPr>
      <w:rFonts w:ascii="Times Armenian" w:hAnsi="Times Armenian"/>
      <w:i/>
      <w:sz w:val="28"/>
      <w:szCs w:val="20"/>
      <w:lang w:val="en-US"/>
    </w:rPr>
  </w:style>
  <w:style w:type="paragraph" w:customStyle="1" w:styleId="16">
    <w:name w:val="???????? ????? ? ????????1"/>
    <w:basedOn w:val="20"/>
    <w:rsid w:val="00060470"/>
    <w:pPr>
      <w:spacing w:line="360" w:lineRule="auto"/>
      <w:ind w:firstLine="720"/>
      <w:jc w:val="both"/>
    </w:pPr>
    <w:rPr>
      <w:sz w:val="28"/>
    </w:rPr>
  </w:style>
  <w:style w:type="paragraph" w:customStyle="1" w:styleId="BodyTextIndentTableSource1">
    <w:name w:val="Body Text Indent.(Table Source)1"/>
    <w:basedOn w:val="Normal"/>
    <w:rsid w:val="00060470"/>
    <w:pPr>
      <w:spacing w:before="0" w:line="240" w:lineRule="auto"/>
      <w:ind w:firstLine="3"/>
      <w:contextualSpacing w:val="0"/>
    </w:pPr>
    <w:rPr>
      <w:rFonts w:ascii="Times Armenian" w:hAnsi="Times Armenian"/>
      <w:szCs w:val="20"/>
      <w:lang w:val="fr-FR" w:eastAsia="en-US"/>
    </w:rPr>
  </w:style>
  <w:style w:type="character" w:customStyle="1" w:styleId="Normal1">
    <w:name w:val="Normal1"/>
    <w:rsid w:val="00060470"/>
    <w:rPr>
      <w:rFonts w:ascii="Arial" w:hAnsi="Arial"/>
      <w:sz w:val="24"/>
      <w:szCs w:val="24"/>
    </w:rPr>
  </w:style>
  <w:style w:type="paragraph" w:customStyle="1" w:styleId="BulletblBulletL1bl1">
    <w:name w:val="Bullet.bl.Bullet L1.bl1"/>
    <w:basedOn w:val="Normal"/>
    <w:rsid w:val="00060470"/>
    <w:pPr>
      <w:tabs>
        <w:tab w:val="num" w:pos="360"/>
      </w:tabs>
      <w:autoSpaceDE w:val="0"/>
      <w:autoSpaceDN w:val="0"/>
      <w:spacing w:before="0" w:after="130" w:line="240" w:lineRule="auto"/>
      <w:ind w:left="360" w:hanging="360"/>
      <w:contextualSpacing w:val="0"/>
    </w:pPr>
    <w:rPr>
      <w:rFonts w:ascii="Times Armenian" w:hAnsi="Times Armenian"/>
      <w:szCs w:val="22"/>
      <w:lang w:val="en-GB"/>
    </w:rPr>
  </w:style>
  <w:style w:type="paragraph" w:customStyle="1" w:styleId="Heading3Centeredtext">
    <w:name w:val="Heading 3.Centered.(text)"/>
    <w:basedOn w:val="Normal"/>
    <w:next w:val="Heading2"/>
    <w:rsid w:val="00060470"/>
    <w:pPr>
      <w:keepNext/>
      <w:autoSpaceDE w:val="0"/>
      <w:autoSpaceDN w:val="0"/>
      <w:spacing w:before="0" w:after="220" w:line="240" w:lineRule="auto"/>
      <w:ind w:firstLine="0"/>
      <w:contextualSpacing w:val="0"/>
      <w:jc w:val="left"/>
      <w:outlineLvl w:val="2"/>
    </w:pPr>
    <w:rPr>
      <w:rFonts w:ascii="Times Armenian" w:hAnsi="Times Armenian"/>
      <w:b w:val="0"/>
      <w:bCs/>
      <w:sz w:val="24"/>
      <w:lang w:val="en-GB"/>
    </w:rPr>
  </w:style>
  <w:style w:type="paragraph" w:customStyle="1" w:styleId="17">
    <w:name w:val="çàãîëîâîê 1"/>
    <w:basedOn w:val="Normal"/>
    <w:next w:val="Normal"/>
    <w:rsid w:val="00060470"/>
    <w:pPr>
      <w:keepNext/>
      <w:overflowPunct w:val="0"/>
      <w:autoSpaceDE w:val="0"/>
      <w:autoSpaceDN w:val="0"/>
      <w:adjustRightInd w:val="0"/>
      <w:spacing w:before="0" w:line="240" w:lineRule="auto"/>
      <w:ind w:firstLine="0"/>
      <w:contextualSpacing w:val="0"/>
      <w:jc w:val="center"/>
    </w:pPr>
    <w:rPr>
      <w:rFonts w:ascii="Arial Armenian" w:hAnsi="Arial Armenian"/>
      <w:sz w:val="24"/>
      <w:szCs w:val="20"/>
      <w:lang w:val="en-US" w:eastAsia="en-US"/>
    </w:rPr>
  </w:style>
  <w:style w:type="paragraph" w:customStyle="1" w:styleId="BalloonText2">
    <w:name w:val="Balloon Text2"/>
    <w:basedOn w:val="Normal"/>
    <w:semiHidden/>
    <w:rsid w:val="00060470"/>
    <w:pPr>
      <w:spacing w:before="0" w:line="240" w:lineRule="auto"/>
      <w:ind w:left="2157" w:hanging="180"/>
      <w:contextualSpacing w:val="0"/>
      <w:jc w:val="left"/>
    </w:pPr>
    <w:rPr>
      <w:rFonts w:ascii="Tahoma" w:hAnsi="Tahoma" w:cs="Tahoma"/>
      <w:sz w:val="16"/>
      <w:szCs w:val="16"/>
      <w:lang w:val="en-US" w:eastAsia="en-US"/>
    </w:rPr>
  </w:style>
  <w:style w:type="paragraph" w:customStyle="1" w:styleId="WW-BodyText3">
    <w:name w:val="WW-Body Text 3"/>
    <w:basedOn w:val="Normal"/>
    <w:rsid w:val="00060470"/>
    <w:pPr>
      <w:suppressAutoHyphens/>
      <w:spacing w:before="0" w:line="240" w:lineRule="auto"/>
      <w:ind w:firstLine="0"/>
      <w:contextualSpacing w:val="0"/>
    </w:pPr>
    <w:rPr>
      <w:rFonts w:ascii="Times Armenian" w:hAnsi="Times Armenian"/>
      <w:sz w:val="24"/>
      <w:lang w:val="en-US" w:eastAsia="ar-SA"/>
    </w:rPr>
  </w:style>
  <w:style w:type="paragraph" w:customStyle="1" w:styleId="WW-BodyTextIndent2">
    <w:name w:val="WW-Body Text Indent 2"/>
    <w:basedOn w:val="Normal"/>
    <w:rsid w:val="00060470"/>
    <w:pPr>
      <w:suppressAutoHyphens/>
      <w:spacing w:before="0" w:line="240" w:lineRule="auto"/>
      <w:ind w:firstLine="720"/>
      <w:contextualSpacing w:val="0"/>
      <w:jc w:val="left"/>
    </w:pPr>
    <w:rPr>
      <w:rFonts w:ascii="Times LatArm" w:hAnsi="Times LatArm"/>
      <w:i/>
      <w:iCs/>
      <w:sz w:val="24"/>
      <w:lang w:val="en-US" w:eastAsia="ar-SA"/>
    </w:rPr>
  </w:style>
  <w:style w:type="paragraph" w:customStyle="1" w:styleId="BalloonText1">
    <w:name w:val="Balloon Text1"/>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BalloonText3">
    <w:name w:val="Balloon Text3"/>
    <w:basedOn w:val="Normal"/>
    <w:semiHidden/>
    <w:rsid w:val="00060470"/>
    <w:pPr>
      <w:spacing w:before="0" w:line="240" w:lineRule="auto"/>
      <w:ind w:firstLine="0"/>
      <w:contextualSpacing w:val="0"/>
      <w:jc w:val="left"/>
    </w:pPr>
    <w:rPr>
      <w:rFonts w:ascii="Tahoma" w:hAnsi="Tahoma" w:cs="Tahoma"/>
      <w:sz w:val="16"/>
      <w:szCs w:val="16"/>
      <w:lang w:val="en-US" w:eastAsia="en-US"/>
    </w:rPr>
  </w:style>
  <w:style w:type="paragraph" w:customStyle="1" w:styleId="StyleHeading5SideItalic">
    <w:name w:val="Style Heading 5Side + Italic"/>
    <w:basedOn w:val="Heading5"/>
    <w:rsid w:val="00060470"/>
    <w:pPr>
      <w:keepNext/>
      <w:widowControl w:val="0"/>
      <w:tabs>
        <w:tab w:val="clear" w:pos="720"/>
        <w:tab w:val="left" w:pos="1021"/>
      </w:tabs>
      <w:spacing w:after="120"/>
      <w:jc w:val="left"/>
    </w:pPr>
    <w:rPr>
      <w:bCs w:val="0"/>
      <w:i w:val="0"/>
      <w:iCs/>
      <w:spacing w:val="0"/>
      <w:sz w:val="20"/>
      <w:u w:val="single"/>
      <w:lang w:val="en-GB"/>
    </w:rPr>
  </w:style>
  <w:style w:type="paragraph" w:customStyle="1" w:styleId="CaptionTableTitle">
    <w:name w:val="Caption.(Table Title)"/>
    <w:basedOn w:val="Normal"/>
    <w:next w:val="Normal"/>
    <w:rsid w:val="00060470"/>
    <w:pPr>
      <w:keepNext/>
      <w:keepLines/>
      <w:spacing w:before="130" w:after="130" w:line="240" w:lineRule="auto"/>
      <w:ind w:firstLine="0"/>
      <w:contextualSpacing w:val="0"/>
      <w:jc w:val="left"/>
    </w:pPr>
    <w:rPr>
      <w:rFonts w:ascii="Times New Roman" w:hAnsi="Times New Roman"/>
      <w:b w:val="0"/>
      <w:szCs w:val="20"/>
      <w:lang w:val="en-GB" w:eastAsia="en-US"/>
    </w:rPr>
  </w:style>
  <w:style w:type="paragraph" w:customStyle="1" w:styleId="StyleHeading2ChapterParanumText10pt">
    <w:name w:val="Style Heading 2(Chapter)ParanumText + 10 pt"/>
    <w:basedOn w:val="Heading2"/>
    <w:rsid w:val="00060470"/>
    <w:pPr>
      <w:widowControl w:val="0"/>
      <w:tabs>
        <w:tab w:val="num" w:pos="0"/>
        <w:tab w:val="left" w:pos="993"/>
        <w:tab w:val="num" w:pos="1080"/>
        <w:tab w:val="right" w:pos="10208"/>
      </w:tabs>
      <w:ind w:firstLine="540"/>
    </w:pPr>
    <w:rPr>
      <w:kern w:val="16"/>
      <w:lang w:val="af-ZA"/>
    </w:rPr>
  </w:style>
  <w:style w:type="paragraph" w:customStyle="1" w:styleId="BodyText1">
    <w:name w:val="Body Text1"/>
    <w:basedOn w:val="Normal"/>
    <w:rsid w:val="00060470"/>
    <w:pPr>
      <w:numPr>
        <w:numId w:val="7"/>
      </w:numPr>
      <w:tabs>
        <w:tab w:val="clear" w:pos="360"/>
        <w:tab w:val="num" w:pos="0"/>
      </w:tabs>
      <w:spacing w:before="0" w:after="240" w:line="240" w:lineRule="auto"/>
      <w:contextualSpacing w:val="0"/>
    </w:pPr>
    <w:rPr>
      <w:rFonts w:ascii="Times Armenian" w:hAnsi="Times Armenian"/>
      <w:sz w:val="24"/>
      <w:lang w:val="en-US"/>
    </w:rPr>
  </w:style>
  <w:style w:type="table" w:styleId="TableWeb2">
    <w:name w:val="Table Web 2"/>
    <w:basedOn w:val="TableNormal"/>
    <w:uiPriority w:val="99"/>
    <w:rsid w:val="0006047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1">
    <w:name w:val="Table Web 1"/>
    <w:basedOn w:val="TableNormal"/>
    <w:uiPriority w:val="99"/>
    <w:rsid w:val="0006047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letable">
    <w:name w:val="Title_table"/>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onsNonformat">
    <w:name w:val="ConsNonformat"/>
    <w:rsid w:val="00060470"/>
    <w:pPr>
      <w:widowControl w:val="0"/>
      <w:autoSpaceDE w:val="0"/>
      <w:autoSpaceDN w:val="0"/>
      <w:adjustRightInd w:val="0"/>
    </w:pPr>
    <w:rPr>
      <w:rFonts w:ascii="Courier New" w:hAnsi="Courier New"/>
      <w:lang w:val="ru-RU"/>
    </w:rPr>
  </w:style>
  <w:style w:type="paragraph" w:customStyle="1" w:styleId="Znak">
    <w:name w:val="Znak"/>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Char0">
    <w:name w:val="Знак Знак Char"/>
    <w:link w:val="a0"/>
    <w:locked/>
    <w:rsid w:val="00060470"/>
    <w:rPr>
      <w:rFonts w:ascii="Arial" w:hAnsi="Arial" w:cs="Arial"/>
    </w:rPr>
  </w:style>
  <w:style w:type="character" w:customStyle="1" w:styleId="ParanumCharChar">
    <w:name w:val="Paranum Char Char"/>
    <w:rsid w:val="00060470"/>
    <w:rPr>
      <w:rFonts w:ascii="Arial" w:hAnsi="Arial" w:cs="Arial"/>
      <w:b/>
      <w:bCs/>
      <w:i/>
      <w:iCs/>
      <w:sz w:val="28"/>
      <w:szCs w:val="28"/>
      <w:lang w:val="en-US" w:eastAsia="en-US" w:bidi="ar-SA"/>
    </w:rPr>
  </w:style>
  <w:style w:type="character" w:customStyle="1" w:styleId="textinfo1">
    <w:name w:val="textinfo1"/>
    <w:rsid w:val="00060470"/>
    <w:rPr>
      <w:rFonts w:ascii="Arial AM" w:hAnsi="Arial AM" w:hint="default"/>
      <w:color w:val="000000"/>
      <w:sz w:val="18"/>
      <w:szCs w:val="18"/>
    </w:rPr>
  </w:style>
  <w:style w:type="paragraph" w:customStyle="1" w:styleId="CharCharCharCharCharCharCharChar">
    <w:name w:val="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Report-Title">
    <w:name w:val="Report-Title"/>
    <w:rsid w:val="00060470"/>
    <w:pPr>
      <w:spacing w:after="240"/>
    </w:pPr>
    <w:rPr>
      <w:rFonts w:ascii="Arial" w:eastAsia="MS Mincho" w:hAnsi="Arial" w:cs="Arial"/>
      <w:b/>
      <w:bCs/>
      <w:sz w:val="36"/>
      <w:szCs w:val="36"/>
    </w:rPr>
  </w:style>
  <w:style w:type="paragraph" w:customStyle="1" w:styleId="msonormalcxspmiddle">
    <w:name w:val="msonormal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a6">
    <w:name w:val="Стиль"/>
    <w:rsid w:val="00060470"/>
    <w:rPr>
      <w:rFonts w:ascii="Baltica" w:hAnsi="Baltica"/>
      <w:lang w:eastAsia="ru-RU"/>
    </w:rPr>
  </w:style>
  <w:style w:type="paragraph" w:customStyle="1" w:styleId="ConsNormal">
    <w:name w:val="ConsNormal"/>
    <w:rsid w:val="00060470"/>
    <w:pPr>
      <w:widowControl w:val="0"/>
      <w:autoSpaceDE w:val="0"/>
      <w:autoSpaceDN w:val="0"/>
      <w:adjustRightInd w:val="0"/>
      <w:ind w:firstLine="720"/>
    </w:pPr>
    <w:rPr>
      <w:rFonts w:ascii="Arial" w:hAnsi="Arial"/>
      <w:lang w:val="ru-RU"/>
    </w:rPr>
  </w:style>
  <w:style w:type="paragraph" w:customStyle="1" w:styleId="ListDash">
    <w:name w:val="List Dash"/>
    <w:basedOn w:val="Normal"/>
    <w:rsid w:val="00060470"/>
    <w:pPr>
      <w:numPr>
        <w:numId w:val="6"/>
      </w:numPr>
      <w:spacing w:after="120" w:line="240" w:lineRule="auto"/>
      <w:contextualSpacing w:val="0"/>
    </w:pPr>
    <w:rPr>
      <w:rFonts w:ascii="Times New Roman" w:hAnsi="Times New Roman"/>
      <w:sz w:val="24"/>
      <w:szCs w:val="20"/>
      <w:lang w:val="en-GB" w:eastAsia="en-US"/>
    </w:rPr>
  </w:style>
  <w:style w:type="paragraph" w:customStyle="1" w:styleId="CharCharCharCharCharCharChar">
    <w:name w:val="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2ndheading">
    <w:name w:val="2nd heading"/>
    <w:basedOn w:val="Normal"/>
    <w:next w:val="Normal"/>
    <w:rsid w:val="00060470"/>
    <w:pPr>
      <w:spacing w:before="0" w:line="240" w:lineRule="auto"/>
      <w:ind w:firstLine="0"/>
      <w:contextualSpacing w:val="0"/>
      <w:jc w:val="left"/>
    </w:pPr>
    <w:rPr>
      <w:rFonts w:ascii="Univers" w:hAnsi="Univers"/>
      <w:bCs/>
      <w:sz w:val="28"/>
      <w:szCs w:val="20"/>
      <w:lang w:val="en-GB" w:eastAsia="en-US"/>
    </w:rPr>
  </w:style>
  <w:style w:type="paragraph" w:styleId="BodyTextFirstIndent">
    <w:name w:val="Body Text First Indent"/>
    <w:basedOn w:val="BodyText"/>
    <w:link w:val="BodyTextFirstIndentChar2"/>
    <w:rsid w:val="00060470"/>
    <w:pPr>
      <w:spacing w:before="0" w:after="120" w:line="240" w:lineRule="auto"/>
      <w:ind w:firstLine="210"/>
      <w:contextualSpacing w:val="0"/>
      <w:jc w:val="left"/>
    </w:pPr>
    <w:rPr>
      <w:rFonts w:ascii="Times New Roman" w:hAnsi="Times New Roman"/>
      <w:sz w:val="24"/>
      <w:szCs w:val="24"/>
    </w:rPr>
  </w:style>
  <w:style w:type="character" w:customStyle="1" w:styleId="BodyTextFirstIndentChar">
    <w:name w:val="Body Text First Indent Char"/>
    <w:basedOn w:val="BodyTextChar"/>
    <w:rsid w:val="00060470"/>
    <w:rPr>
      <w:rFonts w:ascii="GHEA Grapalat" w:hAnsi="GHEA Grapalat"/>
      <w:sz w:val="22"/>
      <w:szCs w:val="24"/>
      <w:lang w:val="ru-RU" w:eastAsia="ru-RU"/>
    </w:rPr>
  </w:style>
  <w:style w:type="character" w:customStyle="1" w:styleId="BodyTextFirstIndentChar2">
    <w:name w:val="Body Text First Indent Char2"/>
    <w:link w:val="BodyTextFirstIndent"/>
    <w:rsid w:val="00060470"/>
    <w:rPr>
      <w:sz w:val="24"/>
      <w:szCs w:val="24"/>
      <w:lang w:val="ru-RU" w:eastAsia="ru-RU"/>
    </w:rPr>
  </w:style>
  <w:style w:type="character" w:customStyle="1" w:styleId="CommentSubjectChar2">
    <w:name w:val="Comment Subject Char2"/>
    <w:uiPriority w:val="99"/>
    <w:rsid w:val="00060470"/>
    <w:rPr>
      <w:rFonts w:ascii="Courier New" w:hAnsi="Courier New"/>
      <w:b/>
      <w:bCs/>
    </w:rPr>
  </w:style>
  <w:style w:type="table" w:styleId="TableGrid8">
    <w:name w:val="Table Grid 8"/>
    <w:basedOn w:val="TableNormal"/>
    <w:uiPriority w:val="99"/>
    <w:rsid w:val="0006047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ntemporary">
    <w:name w:val="Table Contemporary"/>
    <w:basedOn w:val="TableNormal"/>
    <w:uiPriority w:val="99"/>
    <w:rsid w:val="0006047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LineNumber">
    <w:name w:val="line number"/>
    <w:rsid w:val="00060470"/>
  </w:style>
  <w:style w:type="paragraph" w:customStyle="1" w:styleId="a7">
    <w:name w:val="Заголовок таблицы"/>
    <w:basedOn w:val="a8"/>
    <w:rsid w:val="00060470"/>
  </w:style>
  <w:style w:type="paragraph" w:customStyle="1" w:styleId="a8">
    <w:name w:val="Содержимое таблицы"/>
    <w:basedOn w:val="Normal"/>
    <w:rsid w:val="00060470"/>
    <w:pPr>
      <w:suppressLineNumbers/>
      <w:suppressAutoHyphens/>
      <w:spacing w:before="0" w:line="240" w:lineRule="auto"/>
      <w:ind w:firstLine="0"/>
      <w:contextualSpacing w:val="0"/>
      <w:jc w:val="left"/>
    </w:pPr>
    <w:rPr>
      <w:rFonts w:ascii="Times New Roman" w:hAnsi="Times New Roman"/>
      <w:sz w:val="24"/>
      <w:szCs w:val="20"/>
      <w:lang w:val="en-US" w:eastAsia="en-US"/>
    </w:rPr>
  </w:style>
  <w:style w:type="paragraph" w:customStyle="1" w:styleId="a9">
    <w:name w:val="??????? ??????????"/>
    <w:basedOn w:val="a1"/>
    <w:rsid w:val="00060470"/>
    <w:pPr>
      <w:tabs>
        <w:tab w:val="center" w:pos="4320"/>
        <w:tab w:val="right" w:pos="8640"/>
      </w:tabs>
    </w:pPr>
    <w:rPr>
      <w:rFonts w:ascii="Times Armenian" w:hAnsi="Times Armenian"/>
      <w:sz w:val="24"/>
      <w:lang w:val="en-US"/>
    </w:rPr>
  </w:style>
  <w:style w:type="paragraph" w:customStyle="1" w:styleId="BodyText22">
    <w:name w:val="Body Text 22"/>
    <w:basedOn w:val="Normal"/>
    <w:rsid w:val="00060470"/>
    <w:pPr>
      <w:overflowPunct w:val="0"/>
      <w:autoSpaceDE w:val="0"/>
      <w:autoSpaceDN w:val="0"/>
      <w:adjustRightInd w:val="0"/>
      <w:spacing w:before="0" w:line="240" w:lineRule="auto"/>
      <w:ind w:firstLine="0"/>
      <w:contextualSpacing w:val="0"/>
      <w:textAlignment w:val="baseline"/>
    </w:pPr>
    <w:rPr>
      <w:rFonts w:ascii="Times LatArm" w:hAnsi="Times LatArm"/>
      <w:szCs w:val="20"/>
      <w:lang w:val="en-GB"/>
    </w:rPr>
  </w:style>
  <w:style w:type="paragraph" w:customStyle="1" w:styleId="CM31">
    <w:name w:val="CM31"/>
    <w:basedOn w:val="Default"/>
    <w:next w:val="Default"/>
    <w:rsid w:val="00060470"/>
    <w:pPr>
      <w:widowControl/>
      <w:numPr>
        <w:numId w:val="5"/>
      </w:numPr>
      <w:tabs>
        <w:tab w:val="clear" w:pos="1429"/>
      </w:tabs>
      <w:ind w:left="0" w:firstLine="0"/>
    </w:pPr>
    <w:rPr>
      <w:rFonts w:ascii="GHEA Grapalat" w:hAnsi="GHEA Grapalat" w:cs="GHEA Grapalat"/>
      <w:lang w:val="ru-RU" w:eastAsia="ru-RU"/>
    </w:rPr>
  </w:style>
  <w:style w:type="paragraph" w:customStyle="1" w:styleId="StyleCaptionTimesArmenian11pt">
    <w:name w:val="Style Caption + Times Armenian 11 pt"/>
    <w:basedOn w:val="Caption"/>
    <w:link w:val="StyleCaptionTimesArmenian11ptChar"/>
    <w:rsid w:val="00060470"/>
    <w:pPr>
      <w:overflowPunct w:val="0"/>
      <w:autoSpaceDE w:val="0"/>
      <w:autoSpaceDN w:val="0"/>
      <w:adjustRightInd w:val="0"/>
      <w:spacing w:before="0" w:after="120" w:line="240" w:lineRule="auto"/>
      <w:ind w:firstLine="0"/>
      <w:contextualSpacing w:val="0"/>
      <w:jc w:val="left"/>
      <w:textAlignment w:val="baseline"/>
    </w:pPr>
    <w:rPr>
      <w:rFonts w:ascii="Arial Armenian" w:hAnsi="Arial Armenian"/>
      <w:color w:val="auto"/>
      <w:sz w:val="26"/>
      <w:szCs w:val="26"/>
      <w:lang w:val="en-US" w:eastAsia="en-US"/>
    </w:rPr>
  </w:style>
  <w:style w:type="character" w:customStyle="1" w:styleId="StyleCaptionTimesArmenian11ptChar">
    <w:name w:val="Style Caption + Times Armenian 11 pt Char"/>
    <w:link w:val="StyleCaptionTimesArmenian11pt"/>
    <w:rsid w:val="00060470"/>
    <w:rPr>
      <w:rFonts w:ascii="Arial Armenian" w:hAnsi="Arial Armenian"/>
      <w:b/>
      <w:bCs/>
      <w:sz w:val="26"/>
      <w:szCs w:val="26"/>
    </w:rPr>
  </w:style>
  <w:style w:type="paragraph" w:customStyle="1" w:styleId="StyleHeading120ptBlue">
    <w:name w:val="Style Heading 1 + 20 pt Blue"/>
    <w:basedOn w:val="Heading1"/>
    <w:rsid w:val="00060470"/>
    <w:pPr>
      <w:spacing w:before="240" w:after="60"/>
      <w:ind w:firstLine="720"/>
      <w:contextualSpacing w:val="0"/>
    </w:pPr>
    <w:rPr>
      <w:rFonts w:ascii="Arial" w:hAnsi="Arial" w:cs="Arial"/>
      <w:bCs/>
      <w:kern w:val="32"/>
      <w:sz w:val="40"/>
      <w:szCs w:val="40"/>
      <w:lang w:val="en-GB" w:eastAsia="en-US"/>
    </w:rPr>
  </w:style>
  <w:style w:type="paragraph" w:customStyle="1" w:styleId="StyleHeading1TimesArmenian10ptNotBoldUnderline1">
    <w:name w:val="Style Heading 1 + Times Armenian 10 pt Not Bold Underline1"/>
    <w:basedOn w:val="Heading1"/>
    <w:autoRedefine/>
    <w:rsid w:val="00060470"/>
    <w:pPr>
      <w:tabs>
        <w:tab w:val="center" w:pos="-180"/>
        <w:tab w:val="left" w:pos="450"/>
      </w:tabs>
      <w:spacing w:before="240" w:after="60"/>
      <w:contextualSpacing w:val="0"/>
    </w:pPr>
    <w:rPr>
      <w:rFonts w:cs="Sylfaen"/>
      <w:b w:val="0"/>
      <w:sz w:val="24"/>
      <w:szCs w:val="24"/>
      <w:lang w:eastAsia="en-US"/>
    </w:rPr>
  </w:style>
  <w:style w:type="paragraph" w:customStyle="1" w:styleId="CharCharCharCharCharCharCharCharCharChar">
    <w:name w:val="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Titlechart">
    <w:name w:val="Title_chart"/>
    <w:basedOn w:val="Caption"/>
    <w:rsid w:val="00060470"/>
    <w:pPr>
      <w:keepNext/>
      <w:spacing w:before="0" w:after="60" w:line="240" w:lineRule="auto"/>
      <w:ind w:firstLine="0"/>
      <w:contextualSpacing w:val="0"/>
      <w:jc w:val="left"/>
    </w:pPr>
    <w:rPr>
      <w:rFonts w:cs="Sylfaen"/>
      <w:color w:val="auto"/>
      <w:sz w:val="22"/>
      <w:szCs w:val="20"/>
      <w:lang w:val="en-US"/>
    </w:rPr>
  </w:style>
  <w:style w:type="paragraph" w:customStyle="1" w:styleId="CharCharCharCharCharCharCharCharCharCharCharCharChar">
    <w:name w:val="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1SectionSectionHeadingText11Chapterhead3">
    <w:name w:val="Style Heading 1(Section)Section Heading(Text)1 1Chapterhead3..."/>
    <w:basedOn w:val="Heading1"/>
    <w:link w:val="StyleHeading1SectionSectionHeadingText11Chapterhead3Char"/>
    <w:autoRedefine/>
    <w:rsid w:val="00060470"/>
    <w:pPr>
      <w:contextualSpacing w:val="0"/>
    </w:pPr>
    <w:rPr>
      <w:bCs/>
      <w:kern w:val="32"/>
      <w:szCs w:val="28"/>
      <w:lang w:val="es-ES"/>
    </w:rPr>
  </w:style>
  <w:style w:type="character" w:customStyle="1" w:styleId="StyleHeading1SectionSectionHeadingText11Chapterhead3Char">
    <w:name w:val="Style Heading 1(Section)Section Heading(Text)1 1Chapterhead3... Char"/>
    <w:link w:val="StyleHeading1SectionSectionHeadingText11Chapterhead3"/>
    <w:rsid w:val="00060470"/>
    <w:rPr>
      <w:rFonts w:ascii="GHEA Grapalat" w:hAnsi="GHEA Grapalat"/>
      <w:b/>
      <w:bCs/>
      <w:kern w:val="32"/>
      <w:sz w:val="28"/>
      <w:szCs w:val="28"/>
      <w:lang w:val="es-ES"/>
    </w:rPr>
  </w:style>
  <w:style w:type="paragraph" w:customStyle="1" w:styleId="StyleHeading2ChapterParanumTextSylfaen">
    <w:name w:val="Style Heading 2.(Chapter).Paranum.Text + Sylfaen"/>
    <w:basedOn w:val="Heading2ChapterParanumText"/>
    <w:link w:val="StyleHeading2ChapterParanumTextSylfaenChar"/>
    <w:autoRedefine/>
    <w:rsid w:val="00060470"/>
    <w:pPr>
      <w:spacing w:before="120" w:after="120"/>
      <w:ind w:left="576" w:hanging="576"/>
    </w:pPr>
    <w:rPr>
      <w:rFonts w:ascii="Sylfaen" w:hAnsi="Sylfaen"/>
      <w:bCs/>
    </w:rPr>
  </w:style>
  <w:style w:type="character" w:customStyle="1" w:styleId="StyleHeading2ChapterParanumTextSylfaenChar">
    <w:name w:val="Style Heading 2.(Chapter).Paranum.Text + Sylfaen Char"/>
    <w:link w:val="StyleHeading2ChapterParanumTextSylfaen"/>
    <w:rsid w:val="00060470"/>
    <w:rPr>
      <w:rFonts w:ascii="Sylfaen" w:hAnsi="Sylfaen"/>
      <w:b/>
      <w:bCs/>
      <w:spacing w:val="24"/>
      <w:kern w:val="28"/>
      <w:sz w:val="24"/>
      <w:szCs w:val="24"/>
      <w:lang w:val="it-IT"/>
    </w:rPr>
  </w:style>
  <w:style w:type="paragraph" w:customStyle="1" w:styleId="StyleHeading3Sub-ChapterCenteredtextHeading3CharCharC">
    <w:name w:val="Style Heading 3(Sub-Chapter)Centered(text)Heading 3 Char Char C..."/>
    <w:basedOn w:val="Heading3"/>
    <w:autoRedefine/>
    <w:rsid w:val="00060470"/>
    <w:pPr>
      <w:widowControl w:val="0"/>
      <w:tabs>
        <w:tab w:val="left" w:pos="624"/>
      </w:tabs>
      <w:spacing w:before="120"/>
      <w:ind w:right="302"/>
      <w:contextualSpacing w:val="0"/>
    </w:pPr>
    <w:rPr>
      <w:rFonts w:cs="Times New Roman"/>
      <w:color w:val="000000"/>
      <w:szCs w:val="24"/>
      <w:lang w:val="es-ES"/>
    </w:rPr>
  </w:style>
  <w:style w:type="paragraph" w:customStyle="1" w:styleId="StyleStyleHeading1SectionSectionHeadingText11Chapterhead3">
    <w:name w:val="Style Style Heading 1(Section)Section Heading(Text)1 1Chapterhead3...."/>
    <w:basedOn w:val="StyleHeading1SectionSectionHeadingText11Chapterhead3"/>
    <w:link w:val="StyleStyleHeading1SectionSectionHeadingText11Chapterhead3Char"/>
    <w:autoRedefine/>
    <w:rsid w:val="00060470"/>
  </w:style>
  <w:style w:type="character" w:customStyle="1" w:styleId="StyleStyleHeading1SectionSectionHeadingText11Chapterhead3Char">
    <w:name w:val="Style Style Heading 1(Section)Section Heading(Text)1 1Chapterhead3.... Char"/>
    <w:link w:val="StyleStyleHeading1SectionSectionHeadingText11Chapterhead3"/>
    <w:rsid w:val="00060470"/>
    <w:rPr>
      <w:rFonts w:ascii="GHEA Grapalat" w:hAnsi="GHEA Grapalat"/>
      <w:b/>
      <w:bCs/>
      <w:kern w:val="32"/>
      <w:sz w:val="28"/>
      <w:szCs w:val="28"/>
      <w:lang w:val="es-ES"/>
    </w:rPr>
  </w:style>
  <w:style w:type="paragraph" w:customStyle="1" w:styleId="211">
    <w:name w:val="???????? ????? 21"/>
    <w:basedOn w:val="20"/>
    <w:rsid w:val="00060470"/>
    <w:pPr>
      <w:jc w:val="center"/>
    </w:pPr>
    <w:rPr>
      <w:b/>
      <w:sz w:val="28"/>
    </w:rPr>
  </w:style>
  <w:style w:type="paragraph" w:customStyle="1" w:styleId="Style15">
    <w:name w:val="Style1.5"/>
    <w:basedOn w:val="Normal"/>
    <w:rsid w:val="00060470"/>
    <w:pPr>
      <w:spacing w:before="0"/>
      <w:ind w:firstLine="709"/>
      <w:contextualSpacing w:val="0"/>
    </w:pPr>
    <w:rPr>
      <w:rFonts w:ascii="Arial Armenian" w:hAnsi="Arial Armenian"/>
      <w:lang w:val="en-US" w:eastAsia="en-US"/>
    </w:rPr>
  </w:style>
  <w:style w:type="paragraph" w:customStyle="1" w:styleId="russtyle">
    <w:name w:val="russtyle"/>
    <w:basedOn w:val="Normal"/>
    <w:rsid w:val="00060470"/>
    <w:pPr>
      <w:spacing w:before="0" w:line="240" w:lineRule="auto"/>
      <w:ind w:firstLine="0"/>
      <w:contextualSpacing w:val="0"/>
      <w:jc w:val="left"/>
    </w:pPr>
    <w:rPr>
      <w:rFonts w:ascii="Russian Baltica" w:hAnsi="Russian Baltica"/>
      <w:lang w:val="en-US" w:eastAsia="en-US"/>
    </w:rPr>
  </w:style>
  <w:style w:type="paragraph" w:customStyle="1" w:styleId="Style6">
    <w:name w:val="Style6"/>
    <w:basedOn w:val="mechtex"/>
    <w:rsid w:val="00060470"/>
    <w:pPr>
      <w:spacing w:before="0" w:line="240" w:lineRule="auto"/>
      <w:ind w:firstLine="0"/>
      <w:contextualSpacing w:val="0"/>
    </w:pPr>
    <w:rPr>
      <w:rFonts w:ascii="Times New Roman" w:hAnsi="Times New Roman"/>
      <w:szCs w:val="24"/>
      <w:lang w:eastAsia="en-US"/>
    </w:rPr>
  </w:style>
  <w:style w:type="paragraph" w:customStyle="1" w:styleId="1CharChar">
    <w:name w:val="Знак Знак1 Char Char Знак Знак"/>
    <w:basedOn w:val="Normal"/>
    <w:rsid w:val="00060470"/>
    <w:pPr>
      <w:tabs>
        <w:tab w:val="num" w:pos="840"/>
      </w:tabs>
      <w:spacing w:before="0" w:after="160" w:line="240" w:lineRule="exact"/>
      <w:ind w:left="840" w:hanging="360"/>
      <w:contextualSpacing w:val="0"/>
    </w:pPr>
    <w:rPr>
      <w:rFonts w:ascii="Verdana" w:hAnsi="Verdana"/>
      <w:sz w:val="20"/>
      <w:szCs w:val="20"/>
      <w:lang w:eastAsia="en-US"/>
    </w:rPr>
  </w:style>
  <w:style w:type="paragraph" w:customStyle="1" w:styleId="CharCharCharChar0">
    <w:name w:val="Знак Знак Char Char Знак Знак Char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18">
    <w:name w:val="Обычный1"/>
    <w:rsid w:val="00060470"/>
    <w:pPr>
      <w:autoSpaceDE w:val="0"/>
      <w:autoSpaceDN w:val="0"/>
    </w:pPr>
    <w:rPr>
      <w:lang w:val="ru-RU" w:eastAsia="ru-RU"/>
    </w:rPr>
  </w:style>
  <w:style w:type="paragraph" w:customStyle="1" w:styleId="Char3">
    <w:name w:val="Знак Знак Знак Знак Знак Знак Знак Знак Знак Знак Знак Знак Знак Знак Знак Знак Знак Знак Char Знак Знак"/>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TitlePageHeader">
    <w:name w:val="TitlePage_Header"/>
    <w:basedOn w:val="Normal"/>
    <w:rsid w:val="00060470"/>
    <w:pPr>
      <w:spacing w:before="240" w:after="240" w:line="288" w:lineRule="auto"/>
      <w:ind w:left="3240" w:firstLine="0"/>
      <w:contextualSpacing w:val="0"/>
      <w:jc w:val="left"/>
    </w:pPr>
    <w:rPr>
      <w:rFonts w:ascii="Verdana" w:hAnsi="Verdana"/>
      <w:b w:val="0"/>
      <w:sz w:val="32"/>
      <w:szCs w:val="20"/>
      <w:lang w:val="en-US" w:eastAsia="fr-FR"/>
    </w:rPr>
  </w:style>
  <w:style w:type="character" w:customStyle="1" w:styleId="t101">
    <w:name w:val="t101"/>
    <w:rsid w:val="00060470"/>
    <w:rPr>
      <w:b/>
      <w:bCs/>
      <w:color w:val="0000FF"/>
    </w:rPr>
  </w:style>
  <w:style w:type="paragraph" w:customStyle="1" w:styleId="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40">
    <w:name w:val="Style 4"/>
    <w:basedOn w:val="Normal"/>
    <w:rsid w:val="00060470"/>
    <w:pPr>
      <w:tabs>
        <w:tab w:val="num" w:pos="1531"/>
      </w:tabs>
      <w:spacing w:before="0" w:after="240" w:line="240" w:lineRule="atLeast"/>
      <w:ind w:left="1531" w:hanging="1531"/>
      <w:contextualSpacing w:val="0"/>
      <w:jc w:val="left"/>
    </w:pPr>
    <w:rPr>
      <w:rFonts w:ascii="Garamond" w:hAnsi="Garamond"/>
      <w:szCs w:val="20"/>
      <w:lang w:val="en-US" w:eastAsia="en-US"/>
    </w:rPr>
  </w:style>
  <w:style w:type="paragraph" w:customStyle="1" w:styleId="NormalWeb1">
    <w:name w:val="Normal (Web)1"/>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CharCharChar1Char">
    <w:name w:val="Char Char Char1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1CharCharChar1Char">
    <w:name w:val="Char Char1 Char Char Char1 Char"/>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
    <w:name w:val="Знак Знак4"/>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4">
    <w:name w:val="Знак Char Знак"/>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
    <w:name w:val="Знак Знак Char Char Знак Знак Char Char Знак Знак Char Char"/>
    <w:basedOn w:val="Normal"/>
    <w:autoRedefine/>
    <w:rsid w:val="00060470"/>
    <w:pPr>
      <w:spacing w:before="0" w:after="160" w:line="240" w:lineRule="exact"/>
      <w:ind w:firstLine="0"/>
      <w:contextualSpacing w:val="0"/>
      <w:jc w:val="left"/>
    </w:pPr>
    <w:rPr>
      <w:rFonts w:ascii="Times New Roman" w:hAnsi="Times New Roman"/>
      <w:sz w:val="28"/>
      <w:szCs w:val="20"/>
      <w:lang w:val="en-US" w:eastAsia="en-US"/>
    </w:rPr>
  </w:style>
  <w:style w:type="paragraph" w:customStyle="1" w:styleId="hodvats">
    <w:name w:val="hodvats"/>
    <w:basedOn w:val="Normal"/>
    <w:rsid w:val="00060470"/>
    <w:pPr>
      <w:tabs>
        <w:tab w:val="left" w:pos="993"/>
        <w:tab w:val="left" w:pos="1985"/>
      </w:tabs>
      <w:spacing w:before="113" w:after="57" w:line="220" w:lineRule="exact"/>
      <w:contextualSpacing w:val="0"/>
    </w:pPr>
    <w:rPr>
      <w:rFonts w:ascii="Dallak Helv" w:hAnsi="Dallak Helv"/>
      <w:b w:val="0"/>
      <w:noProof/>
      <w:sz w:val="18"/>
      <w:szCs w:val="20"/>
      <w:lang w:val="en-US" w:eastAsia="en-US"/>
    </w:rPr>
  </w:style>
  <w:style w:type="paragraph" w:customStyle="1" w:styleId="CharCharCharCharChar0">
    <w:name w:val="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StyleHeading4CentredArialUnicode105pt">
    <w:name w:val="Style Heading 4Centred + Arial Unicode 10.5 pt"/>
    <w:basedOn w:val="Heading4"/>
    <w:link w:val="StyleHeading4CentredArialUnicode105ptChar"/>
    <w:autoRedefine/>
    <w:rsid w:val="00060470"/>
    <w:pPr>
      <w:spacing w:before="120"/>
      <w:ind w:left="0"/>
      <w:contextualSpacing w:val="0"/>
    </w:pPr>
    <w:rPr>
      <w:rFonts w:ascii="Arial Unicode" w:hAnsi="Arial Unicode"/>
      <w:bCs/>
      <w:szCs w:val="22"/>
      <w:lang w:val="af-ZA"/>
    </w:rPr>
  </w:style>
  <w:style w:type="character" w:customStyle="1" w:styleId="StyleHeading4CentredArialUnicode105ptChar">
    <w:name w:val="Style Heading 4Centred + Arial Unicode 10.5 pt Char"/>
    <w:link w:val="StyleHeading4CentredArialUnicode105pt"/>
    <w:rsid w:val="00060470"/>
    <w:rPr>
      <w:rFonts w:ascii="Arial Unicode" w:hAnsi="Arial Unicode"/>
      <w:b/>
      <w:bCs/>
      <w:sz w:val="22"/>
      <w:szCs w:val="22"/>
      <w:lang w:val="af-ZA"/>
    </w:rPr>
  </w:style>
  <w:style w:type="paragraph" w:customStyle="1" w:styleId="StyleStyleHeading3Sub-ChapterCenteredtextHeading3CharChar">
    <w:name w:val="Style Style Heading 3(Sub-Chapter)Centered(text)Heading 3 Char Char..."/>
    <w:basedOn w:val="StyleHeading3Sub-ChapterCenteredtextHeading3CharCharC"/>
    <w:autoRedefine/>
    <w:rsid w:val="00060470"/>
    <w:pPr>
      <w:tabs>
        <w:tab w:val="clear" w:pos="624"/>
        <w:tab w:val="left" w:pos="360"/>
      </w:tabs>
      <w:spacing w:before="240" w:after="240"/>
      <w:ind w:right="0"/>
    </w:pPr>
    <w:rPr>
      <w:caps/>
    </w:rPr>
  </w:style>
  <w:style w:type="paragraph" w:customStyle="1" w:styleId="StyleStyleHeading2ChapterParanumTextSylfaen1ArialUni">
    <w:name w:val="Style Style Heading 2.(Chapter).Paranum.Text + Sylfaen1 + Arial Uni..."/>
    <w:basedOn w:val="StyleHeading2ChapterParanumTextSylfaen1"/>
    <w:link w:val="StyleStyleHeading2ChapterParanumTextSylfaen1ArialUniChar"/>
    <w:autoRedefine/>
    <w:rsid w:val="00060470"/>
    <w:pPr>
      <w:spacing w:before="120"/>
    </w:pPr>
    <w:rPr>
      <w:bCs/>
      <w:sz w:val="24"/>
      <w:szCs w:val="24"/>
      <w:lang w:val="af-ZA"/>
    </w:rPr>
  </w:style>
  <w:style w:type="character" w:customStyle="1" w:styleId="StyleStyleHeading2ChapterParanumTextSylfaen1ArialUniChar">
    <w:name w:val="Style Style Heading 2.(Chapter).Paranum.Text + Sylfaen1 + Arial Uni... Char"/>
    <w:link w:val="StyleStyleHeading2ChapterParanumTextSylfaen1ArialUni"/>
    <w:rsid w:val="00060470"/>
    <w:rPr>
      <w:rFonts w:ascii="GHEA Grapalat" w:hAnsi="GHEA Grapalat"/>
      <w:b/>
      <w:bCs/>
      <w:spacing w:val="24"/>
      <w:kern w:val="28"/>
      <w:sz w:val="24"/>
      <w:szCs w:val="24"/>
      <w:lang w:val="af-ZA"/>
    </w:rPr>
  </w:style>
  <w:style w:type="paragraph" w:customStyle="1" w:styleId="StyleBodyTextMainTextdateBodyTextMaintextGHEAGrapa">
    <w:name w:val="Style Body Text(Main Text)dateBody Text (Main text) + GHEA Grapa..."/>
    <w:basedOn w:val="BodyText"/>
    <w:autoRedefine/>
    <w:rsid w:val="00060470"/>
    <w:pPr>
      <w:spacing w:before="0" w:after="120"/>
      <w:ind w:firstLine="0"/>
      <w:contextualSpacing w:val="0"/>
      <w:jc w:val="both"/>
    </w:pPr>
    <w:rPr>
      <w:rFonts w:ascii="GHEA Grapalat" w:hAnsi="GHEA Grapalat"/>
      <w:sz w:val="22"/>
      <w:szCs w:val="22"/>
    </w:rPr>
  </w:style>
  <w:style w:type="paragraph" w:customStyle="1" w:styleId="StyleStyleHeading2ChapterParanumTextSylfaen1ArialUni1">
    <w:name w:val="Style Style Heading 2.(Chapter).Paranum.Text + Sylfaen1 + Arial Uni...1"/>
    <w:basedOn w:val="StyleHeading2ChapterParanumTextSylfaen1"/>
    <w:autoRedefine/>
    <w:rsid w:val="00060470"/>
    <w:rPr>
      <w:bCs/>
      <w:sz w:val="24"/>
    </w:rPr>
  </w:style>
  <w:style w:type="paragraph" w:customStyle="1" w:styleId="StyleStyleHeading1SectionSectionHeadingText11Chapterhead31">
    <w:name w:val="Style Style Heading 1(Section)Section Heading(Text)1 1Chapterhead3....1"/>
    <w:basedOn w:val="StyleHeading1SectionSectionHeadingText11Chapterhead3"/>
    <w:rsid w:val="00060470"/>
    <w:rPr>
      <w:b w:val="0"/>
      <w:bCs w:val="0"/>
      <w:spacing w:val="40"/>
    </w:rPr>
  </w:style>
  <w:style w:type="paragraph" w:customStyle="1" w:styleId="StyleStyleHeading2ChapterParanumTextSylfaen1GHEAGrap">
    <w:name w:val="Style Style Heading 2.(Chapter).Paranum.Text + Sylfaen1 + GHEA Grap..."/>
    <w:basedOn w:val="StyleHeading2ChapterParanumTextSylfaen1"/>
    <w:link w:val="StyleStyleHeading2ChapterParanumTextSylfaen1GHEAGrapChar"/>
    <w:rsid w:val="00060470"/>
    <w:rPr>
      <w:bCs/>
    </w:rPr>
  </w:style>
  <w:style w:type="character" w:customStyle="1" w:styleId="StyleStyleHeading2ChapterParanumTextSylfaen1GHEAGrapChar">
    <w:name w:val="Style Style Heading 2.(Chapter).Paranum.Text + Sylfaen1 + GHEA Grap... Char"/>
    <w:link w:val="StyleStyleHeading2ChapterParanumTextSylfaen1GHEAGrap"/>
    <w:rsid w:val="00060470"/>
    <w:rPr>
      <w:rFonts w:ascii="GHEA Grapalat" w:hAnsi="GHEA Grapalat"/>
      <w:b/>
      <w:bCs/>
      <w:spacing w:val="24"/>
      <w:kern w:val="28"/>
      <w:sz w:val="22"/>
      <w:szCs w:val="22"/>
      <w:lang w:val="pt-BR"/>
    </w:rPr>
  </w:style>
  <w:style w:type="character" w:customStyle="1" w:styleId="CharChar181">
    <w:name w:val="Char Char181"/>
    <w:rsid w:val="00060470"/>
    <w:rPr>
      <w:rFonts w:ascii="Arial Armenian" w:eastAsia="Times New Roman" w:hAnsi="Arial Armenian"/>
      <w:i/>
      <w:sz w:val="22"/>
      <w:u w:val="single"/>
      <w:lang w:val="en-GB"/>
    </w:rPr>
  </w:style>
  <w:style w:type="character" w:customStyle="1" w:styleId="FontStyle29">
    <w:name w:val="Font Style29"/>
    <w:rsid w:val="00060470"/>
    <w:rPr>
      <w:rFonts w:ascii="Tahoma" w:hAnsi="Tahoma" w:cs="Tahoma"/>
      <w:color w:val="000000"/>
      <w:sz w:val="16"/>
      <w:szCs w:val="16"/>
    </w:rPr>
  </w:style>
  <w:style w:type="character" w:customStyle="1" w:styleId="CharChar191">
    <w:name w:val="Char Char191"/>
    <w:rsid w:val="00060470"/>
    <w:rPr>
      <w:b/>
      <w:sz w:val="32"/>
      <w:lang w:val="en-GB" w:eastAsia="en-US" w:bidi="ar-SA"/>
    </w:rPr>
  </w:style>
  <w:style w:type="paragraph" w:customStyle="1" w:styleId="rmcptlkhmsonormal">
    <w:name w:val="rmcptlkh msonormal"/>
    <w:basedOn w:val="Normal"/>
    <w:rsid w:val="00060470"/>
    <w:pPr>
      <w:spacing w:before="100" w:beforeAutospacing="1" w:after="100" w:afterAutospacing="1" w:line="240" w:lineRule="auto"/>
      <w:ind w:firstLine="0"/>
      <w:contextualSpacing w:val="0"/>
      <w:jc w:val="left"/>
    </w:pPr>
    <w:rPr>
      <w:rFonts w:ascii="Times New Roman" w:eastAsia="Batang" w:hAnsi="Times New Roman"/>
      <w:sz w:val="24"/>
      <w:lang w:eastAsia="ko-KR"/>
    </w:rPr>
  </w:style>
  <w:style w:type="character" w:customStyle="1" w:styleId="CharChar211">
    <w:name w:val="Char Char211"/>
    <w:rsid w:val="00060470"/>
    <w:rPr>
      <w:rFonts w:ascii="Arial Armenian" w:hAnsi="Arial Armenian"/>
      <w:i/>
      <w:sz w:val="22"/>
      <w:u w:val="single"/>
      <w:lang w:val="en-GB" w:eastAsia="en-US" w:bidi="ar-SA"/>
    </w:rPr>
  </w:style>
  <w:style w:type="character" w:customStyle="1" w:styleId="CharChar201">
    <w:name w:val="Char Char201"/>
    <w:rsid w:val="00060470"/>
    <w:rPr>
      <w:rFonts w:ascii="Garamond" w:hAnsi="Garamond"/>
      <w:i/>
      <w:spacing w:val="-5"/>
      <w:sz w:val="28"/>
      <w:lang w:val="en-GB" w:eastAsia="en-US" w:bidi="ar-SA"/>
    </w:rPr>
  </w:style>
  <w:style w:type="paragraph" w:customStyle="1" w:styleId="CM33">
    <w:name w:val="CM33"/>
    <w:basedOn w:val="Normal"/>
    <w:next w:val="Normal"/>
    <w:rsid w:val="00060470"/>
    <w:pPr>
      <w:widowControl w:val="0"/>
      <w:autoSpaceDE w:val="0"/>
      <w:autoSpaceDN w:val="0"/>
      <w:adjustRightInd w:val="0"/>
      <w:spacing w:before="0" w:after="343" w:line="240" w:lineRule="auto"/>
      <w:ind w:firstLine="0"/>
      <w:contextualSpacing w:val="0"/>
      <w:jc w:val="left"/>
    </w:pPr>
    <w:rPr>
      <w:rFonts w:ascii="Arial Armenian" w:hAnsi="Arial Armenian" w:cs="Arial Armenian"/>
      <w:sz w:val="24"/>
      <w:lang w:val="en-US" w:eastAsia="en-US"/>
    </w:rPr>
  </w:style>
  <w:style w:type="paragraph" w:customStyle="1" w:styleId="listparagraphcxspmiddle">
    <w:name w:val="listparagraphcxspmiddl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listparagraphcxsplast">
    <w:name w:val="listparagraphcxsplast"/>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CharCharCharCharChar3">
    <w:name w:val="Знак Char Char Знак Char Char Char"/>
    <w:aliases w:val=" Знак Char Char Знак Char Char1 Знак,Знак Char Char Знак Char Char1 Знак, Знак Char Char Знак Char Char Char,Знак Char Char Знак Char Char Char1"/>
    <w:basedOn w:val="Normal"/>
    <w:next w:val="Normal"/>
    <w:semiHidden/>
    <w:rsid w:val="00060470"/>
    <w:pPr>
      <w:spacing w:before="0" w:after="160" w:line="240" w:lineRule="exact"/>
      <w:ind w:firstLine="0"/>
      <w:contextualSpacing w:val="0"/>
    </w:pPr>
    <w:rPr>
      <w:rFonts w:ascii="Arial" w:hAnsi="Arial" w:cs="Arial"/>
      <w:b w:val="0"/>
      <w:sz w:val="20"/>
      <w:szCs w:val="20"/>
      <w:lang w:val="en-GB" w:eastAsia="en-US"/>
    </w:rPr>
  </w:style>
  <w:style w:type="character" w:customStyle="1" w:styleId="BodyTextFirstIndentChar1">
    <w:name w:val="Body Text First Indent Char1"/>
    <w:rsid w:val="00060470"/>
    <w:rPr>
      <w:rFonts w:ascii="Times Armenian" w:hAnsi="Times Armenian"/>
      <w:sz w:val="24"/>
      <w:szCs w:val="24"/>
      <w:lang w:val="ru-RU" w:eastAsia="ru-RU" w:bidi="ar-SA"/>
    </w:rPr>
  </w:style>
  <w:style w:type="character" w:customStyle="1" w:styleId="CommentSubjectChar1">
    <w:name w:val="Comment Subject Char1"/>
    <w:rsid w:val="00060470"/>
    <w:rPr>
      <w:rFonts w:ascii="Courier New" w:hAnsi="Courier New"/>
      <w:b/>
      <w:bCs/>
      <w:lang w:val="en-US" w:eastAsia="en-US" w:bidi="ar-SA"/>
    </w:rPr>
  </w:style>
  <w:style w:type="paragraph" w:customStyle="1" w:styleId="CharCharChar1CharCharCharCharCharCharCharCharCharCharCharCharCharCharChar">
    <w:name w:val="Char Char Char1 Char Char Char Char Char Char Char Char Char Char Char Char Char Char Char"/>
    <w:basedOn w:val="Normal"/>
    <w:rsid w:val="00060470"/>
    <w:pPr>
      <w:spacing w:before="0" w:after="160" w:line="240" w:lineRule="exact"/>
      <w:ind w:firstLine="0"/>
      <w:contextualSpacing w:val="0"/>
      <w:jc w:val="left"/>
    </w:pPr>
    <w:rPr>
      <w:rFonts w:ascii="Verdana" w:eastAsia="MS Mincho" w:hAnsi="Verdana"/>
      <w:sz w:val="20"/>
      <w:szCs w:val="20"/>
      <w:lang w:val="en-GB" w:eastAsia="en-US"/>
    </w:rPr>
  </w:style>
  <w:style w:type="character" w:customStyle="1" w:styleId="textexposedshow">
    <w:name w:val="text_exposed_show"/>
    <w:rsid w:val="00060470"/>
    <w:rPr>
      <w:rFonts w:cs="Times New Roman"/>
    </w:rPr>
  </w:style>
  <w:style w:type="paragraph" w:customStyle="1" w:styleId="formtext">
    <w:name w:val="formtext"/>
    <w:basedOn w:val="Normal"/>
    <w:rsid w:val="00060470"/>
    <w:pPr>
      <w:spacing w:after="120" w:line="240" w:lineRule="exact"/>
      <w:ind w:firstLine="0"/>
      <w:contextualSpacing w:val="0"/>
      <w:jc w:val="left"/>
    </w:pPr>
    <w:rPr>
      <w:rFonts w:ascii="Arial" w:eastAsia="SimSun" w:hAnsi="Arial"/>
      <w:szCs w:val="22"/>
      <w:lang w:val="en-US" w:eastAsia="fr-FR"/>
    </w:rPr>
  </w:style>
  <w:style w:type="paragraph" w:customStyle="1" w:styleId="italic">
    <w:name w:val="italic"/>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ecxmsonormal">
    <w:name w:val="ecxmsonormal"/>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paragraph" w:customStyle="1" w:styleId="CharCharChar3">
    <w:name w:val="Char Char Char Знак Знак Знак Знак Знак"/>
    <w:basedOn w:val="Normal"/>
    <w:rsid w:val="00060470"/>
    <w:pPr>
      <w:spacing w:before="0" w:after="160" w:line="240" w:lineRule="exact"/>
      <w:ind w:firstLine="0"/>
      <w:contextualSpacing w:val="0"/>
      <w:jc w:val="left"/>
    </w:pPr>
    <w:rPr>
      <w:rFonts w:ascii="Arial" w:hAnsi="Arial" w:cs="Arial"/>
      <w:color w:val="000000"/>
      <w:sz w:val="20"/>
      <w:szCs w:val="20"/>
      <w:lang w:val="en-GB" w:eastAsia="en-US"/>
    </w:rPr>
  </w:style>
  <w:style w:type="character" w:customStyle="1" w:styleId="title1">
    <w:name w:val="title1"/>
    <w:rsid w:val="00060470"/>
    <w:rPr>
      <w:rFonts w:ascii="Verdana" w:hAnsi="Verdana"/>
      <w:b/>
      <w:color w:val="000000"/>
      <w:sz w:val="12"/>
      <w:u w:val="none"/>
      <w:effect w:val="none"/>
    </w:rPr>
  </w:style>
  <w:style w:type="character" w:customStyle="1" w:styleId="st">
    <w:name w:val="st"/>
    <w:rsid w:val="00060470"/>
    <w:rPr>
      <w:rFonts w:cs="Times New Roman"/>
    </w:rPr>
  </w:style>
  <w:style w:type="paragraph" w:customStyle="1" w:styleId="bodytext0">
    <w:name w:val="bodytext"/>
    <w:basedOn w:val="Normal"/>
    <w:rsid w:val="00060470"/>
    <w:pPr>
      <w:spacing w:before="100" w:beforeAutospacing="1" w:after="100" w:afterAutospacing="1" w:line="240" w:lineRule="auto"/>
      <w:ind w:firstLine="0"/>
      <w:contextualSpacing w:val="0"/>
      <w:jc w:val="left"/>
    </w:pPr>
    <w:rPr>
      <w:rFonts w:ascii="Calibri" w:hAnsi="Calibri" w:cs="Calibri"/>
      <w:sz w:val="24"/>
      <w:lang w:val="en-US" w:eastAsia="en-US"/>
    </w:rPr>
  </w:style>
  <w:style w:type="character" w:customStyle="1" w:styleId="CharChar2">
    <w:name w:val="Char Char2"/>
    <w:rsid w:val="00060470"/>
    <w:rPr>
      <w:rFonts w:ascii="Calibri" w:hAnsi="Calibri" w:cs="Calibri"/>
      <w:sz w:val="22"/>
      <w:szCs w:val="22"/>
      <w:lang w:val="en-US" w:eastAsia="en-US"/>
    </w:rPr>
  </w:style>
  <w:style w:type="paragraph" w:customStyle="1" w:styleId="num02">
    <w:name w:val="Énum02"/>
    <w:basedOn w:val="Normal"/>
    <w:rsid w:val="00060470"/>
    <w:pPr>
      <w:numPr>
        <w:numId w:val="8"/>
      </w:numPr>
      <w:spacing w:before="0" w:after="120" w:line="260" w:lineRule="exact"/>
      <w:contextualSpacing w:val="0"/>
    </w:pPr>
    <w:rPr>
      <w:rFonts w:ascii="Arial" w:hAnsi="Arial" w:cs="Arial"/>
      <w:szCs w:val="22"/>
      <w:lang w:val="en-US" w:eastAsia="fr-FR"/>
    </w:rPr>
  </w:style>
  <w:style w:type="character" w:customStyle="1" w:styleId="arg">
    <w:name w:val="arg"/>
    <w:rsid w:val="00060470"/>
    <w:rPr>
      <w:rFonts w:cs="Times New Roman"/>
    </w:rPr>
  </w:style>
  <w:style w:type="character" w:customStyle="1" w:styleId="fulltext">
    <w:name w:val="fulltext"/>
    <w:rsid w:val="00060470"/>
    <w:rPr>
      <w:rFonts w:cs="Times New Roman"/>
    </w:rPr>
  </w:style>
  <w:style w:type="paragraph" w:customStyle="1" w:styleId="innewsdate">
    <w:name w:val="in_news_date"/>
    <w:basedOn w:val="Normal"/>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character" w:customStyle="1" w:styleId="gr">
    <w:name w:val="gr"/>
    <w:rsid w:val="00060470"/>
    <w:rPr>
      <w:rFonts w:cs="Times New Roman"/>
    </w:rPr>
  </w:style>
  <w:style w:type="character" w:customStyle="1" w:styleId="opennewstext">
    <w:name w:val="opennewstext"/>
    <w:rsid w:val="00060470"/>
    <w:rPr>
      <w:rFonts w:cs="Times New Roman"/>
    </w:rPr>
  </w:style>
  <w:style w:type="character" w:customStyle="1" w:styleId="fulltext0">
    <w:name w:val="full_text"/>
    <w:rsid w:val="00060470"/>
    <w:rPr>
      <w:rFonts w:cs="Times New Roman"/>
    </w:rPr>
  </w:style>
  <w:style w:type="character" w:customStyle="1" w:styleId="wrc116">
    <w:name w:val="wrc116"/>
    <w:rsid w:val="00060470"/>
    <w:rPr>
      <w:rFonts w:cs="Times New Roman"/>
      <w:vanish/>
    </w:rPr>
  </w:style>
  <w:style w:type="character" w:customStyle="1" w:styleId="editsection">
    <w:name w:val="editsection"/>
    <w:rsid w:val="00060470"/>
    <w:rPr>
      <w:rFonts w:cs="Times New Roman"/>
    </w:rPr>
  </w:style>
  <w:style w:type="character" w:customStyle="1" w:styleId="mw-headline">
    <w:name w:val="mw-headline"/>
    <w:rsid w:val="00060470"/>
    <w:rPr>
      <w:rFonts w:cs="Times New Roman"/>
    </w:rPr>
  </w:style>
  <w:style w:type="paragraph" w:styleId="ListNumber">
    <w:name w:val="List Number"/>
    <w:basedOn w:val="Normal"/>
    <w:rsid w:val="00060470"/>
    <w:pPr>
      <w:numPr>
        <w:numId w:val="9"/>
      </w:numPr>
      <w:spacing w:before="0" w:line="240" w:lineRule="auto"/>
      <w:contextualSpacing w:val="0"/>
      <w:jc w:val="left"/>
    </w:pPr>
    <w:rPr>
      <w:rFonts w:ascii="Times New Roman" w:hAnsi="Times New Roman"/>
      <w:sz w:val="24"/>
      <w:lang w:val="en-US" w:eastAsia="en-US"/>
    </w:rPr>
  </w:style>
  <w:style w:type="character" w:customStyle="1" w:styleId="il">
    <w:name w:val="il"/>
    <w:rsid w:val="00060470"/>
  </w:style>
  <w:style w:type="paragraph" w:customStyle="1" w:styleId="Listenabsatz">
    <w:name w:val="Listenabsatz"/>
    <w:basedOn w:val="Normal"/>
    <w:rsid w:val="00060470"/>
    <w:pPr>
      <w:spacing w:before="0" w:line="240" w:lineRule="auto"/>
      <w:ind w:left="720" w:firstLine="0"/>
      <w:jc w:val="left"/>
    </w:pPr>
    <w:rPr>
      <w:rFonts w:ascii="Cambria" w:hAnsi="Cambria"/>
      <w:sz w:val="24"/>
      <w:lang w:val="de-DE" w:eastAsia="en-US"/>
    </w:rPr>
  </w:style>
  <w:style w:type="paragraph" w:customStyle="1" w:styleId="Style5">
    <w:name w:val="Style5"/>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7">
    <w:name w:val="Style7"/>
    <w:basedOn w:val="TOC3"/>
    <w:autoRedefine/>
    <w:rsid w:val="00060470"/>
    <w:pPr>
      <w:tabs>
        <w:tab w:val="right" w:leader="dot" w:pos="10200"/>
      </w:tabs>
      <w:spacing w:before="0" w:line="240" w:lineRule="auto"/>
      <w:ind w:left="142"/>
      <w:contextualSpacing w:val="0"/>
    </w:pPr>
    <w:rPr>
      <w:rFonts w:cs="Sylfaen"/>
      <w:b w:val="0"/>
      <w:noProof/>
      <w:sz w:val="20"/>
      <w:lang w:val="en-US" w:eastAsia="en-US"/>
    </w:rPr>
  </w:style>
  <w:style w:type="paragraph" w:customStyle="1" w:styleId="Style8">
    <w:name w:val="Style8"/>
    <w:basedOn w:val="TOC1"/>
    <w:autoRedefine/>
    <w:rsid w:val="00060470"/>
    <w:pPr>
      <w:tabs>
        <w:tab w:val="right" w:leader="dot" w:pos="10200"/>
      </w:tabs>
      <w:spacing w:before="240" w:after="120" w:line="240" w:lineRule="auto"/>
      <w:contextualSpacing w:val="0"/>
      <w:jc w:val="left"/>
    </w:pPr>
    <w:rPr>
      <w:b w:val="0"/>
      <w:i/>
      <w:noProof/>
      <w:sz w:val="24"/>
      <w:lang w:val="en-US" w:eastAsia="en-US"/>
    </w:rPr>
  </w:style>
  <w:style w:type="paragraph" w:customStyle="1" w:styleId="Style9">
    <w:name w:val="Style9"/>
    <w:basedOn w:val="TOC1"/>
    <w:autoRedefine/>
    <w:rsid w:val="00060470"/>
    <w:pPr>
      <w:tabs>
        <w:tab w:val="right" w:leader="dot" w:pos="10200"/>
      </w:tabs>
      <w:spacing w:before="240" w:after="120" w:line="240" w:lineRule="auto"/>
      <w:contextualSpacing w:val="0"/>
      <w:jc w:val="left"/>
    </w:pPr>
    <w:rPr>
      <w:b w:val="0"/>
      <w:noProof/>
      <w:sz w:val="24"/>
      <w:lang w:val="en-US" w:eastAsia="en-US"/>
    </w:rPr>
  </w:style>
  <w:style w:type="character" w:customStyle="1" w:styleId="CharChar5">
    <w:name w:val="Char Char5"/>
    <w:rsid w:val="00060470"/>
    <w:rPr>
      <w:rFonts w:ascii="Arial Armenian" w:hAnsi="Arial Armenian" w:cs="Sylfaen"/>
      <w:sz w:val="24"/>
      <w:szCs w:val="24"/>
      <w:lang w:val="ru-RU" w:eastAsia="ru-RU"/>
    </w:rPr>
  </w:style>
  <w:style w:type="character" w:customStyle="1" w:styleId="CharChar171">
    <w:name w:val="Char Char171"/>
    <w:rsid w:val="00060470"/>
    <w:rPr>
      <w:rFonts w:ascii="Arial Armenian" w:hAnsi="Arial Armenian"/>
      <w:i/>
      <w:sz w:val="22"/>
      <w:u w:val="single"/>
      <w:lang w:val="en-GB" w:eastAsia="en-US" w:bidi="ar-SA"/>
    </w:rPr>
  </w:style>
  <w:style w:type="paragraph" w:customStyle="1" w:styleId="text0">
    <w:name w:val="text"/>
    <w:basedOn w:val="Normal"/>
    <w:link w:val="textChar0"/>
    <w:rsid w:val="00060470"/>
    <w:pPr>
      <w:spacing w:before="0" w:line="240" w:lineRule="auto"/>
      <w:ind w:firstLine="454"/>
      <w:contextualSpacing w:val="0"/>
    </w:pPr>
    <w:rPr>
      <w:rFonts w:ascii="GHEA Mariam" w:hAnsi="GHEA Mariam"/>
      <w:sz w:val="20"/>
      <w:szCs w:val="20"/>
      <w:lang w:val="en-GB"/>
    </w:rPr>
  </w:style>
  <w:style w:type="character" w:customStyle="1" w:styleId="textChar0">
    <w:name w:val="text Char"/>
    <w:link w:val="text0"/>
    <w:rsid w:val="00060470"/>
    <w:rPr>
      <w:rFonts w:ascii="GHEA Mariam" w:hAnsi="GHEA Mariam"/>
      <w:lang w:val="en-GB" w:eastAsia="ru-RU"/>
    </w:rPr>
  </w:style>
  <w:style w:type="paragraph" w:customStyle="1" w:styleId="Char40">
    <w:name w:val="Char4"/>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p2">
    <w:name w:val="p2"/>
    <w:basedOn w:val="Normal"/>
    <w:rsid w:val="00060470"/>
    <w:pPr>
      <w:spacing w:before="100" w:beforeAutospacing="1" w:after="100" w:afterAutospacing="1" w:line="240" w:lineRule="auto"/>
      <w:ind w:firstLine="0"/>
      <w:contextualSpacing w:val="0"/>
      <w:jc w:val="left"/>
    </w:pPr>
    <w:rPr>
      <w:rFonts w:ascii="Times New Roman" w:eastAsia="Calibri" w:hAnsi="Times New Roman"/>
      <w:sz w:val="24"/>
      <w:lang w:val="en-US" w:eastAsia="en-US"/>
    </w:rPr>
  </w:style>
  <w:style w:type="paragraph" w:customStyle="1" w:styleId="Char30">
    <w:name w:val="Char3"/>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character" w:customStyle="1" w:styleId="32ptExact">
    <w:name w:val="Основной текст (3) + Интервал 2 pt Exact"/>
    <w:rsid w:val="00060470"/>
    <w:rPr>
      <w:rFonts w:ascii="Sylfaen" w:hAnsi="Sylfaen" w:cs="Sylfaen"/>
      <w:spacing w:val="40"/>
      <w:sz w:val="20"/>
      <w:szCs w:val="20"/>
      <w:u w:val="none"/>
      <w:lang w:val="ru-RU" w:eastAsia="ru-RU"/>
    </w:rPr>
  </w:style>
  <w:style w:type="paragraph" w:customStyle="1" w:styleId="CharCharCharCharChar4">
    <w:name w:val="Char Char Char 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CharCharCharChar0">
    <w:name w:val="Char Char Char Char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character" w:customStyle="1" w:styleId="BodyTextIndent3Char1">
    <w:name w:val="Body Text Indent 3 Char1"/>
    <w:uiPriority w:val="99"/>
    <w:locked/>
    <w:rsid w:val="00060470"/>
    <w:rPr>
      <w:rFonts w:ascii="Times New Roman" w:hAnsi="Times New Roman"/>
      <w:sz w:val="16"/>
    </w:rPr>
  </w:style>
  <w:style w:type="character" w:customStyle="1" w:styleId="PlainTextChar1">
    <w:name w:val="Plain Text Char1"/>
    <w:uiPriority w:val="99"/>
    <w:locked/>
    <w:rsid w:val="00060470"/>
    <w:rPr>
      <w:rFonts w:ascii="Courier New" w:hAnsi="Courier New"/>
      <w:sz w:val="20"/>
    </w:rPr>
  </w:style>
  <w:style w:type="character" w:customStyle="1" w:styleId="CommentTextChar1">
    <w:name w:val="Comment Text Char1"/>
    <w:uiPriority w:val="99"/>
    <w:locked/>
    <w:rsid w:val="00060470"/>
    <w:rPr>
      <w:rFonts w:ascii="Times New Roman" w:hAnsi="Times New Roman"/>
      <w:sz w:val="20"/>
      <w:lang w:val="en-GB"/>
    </w:rPr>
  </w:style>
  <w:style w:type="character" w:customStyle="1" w:styleId="SubtitleChar1">
    <w:name w:val="Subtitle Char1"/>
    <w:uiPriority w:val="99"/>
    <w:locked/>
    <w:rsid w:val="00060470"/>
    <w:rPr>
      <w:rFonts w:ascii="Times LatArm" w:hAnsi="Times LatArm"/>
      <w:b/>
      <w:sz w:val="24"/>
    </w:rPr>
  </w:style>
  <w:style w:type="character" w:customStyle="1" w:styleId="BalloonTextChar1">
    <w:name w:val="Balloon Text Char1"/>
    <w:uiPriority w:val="99"/>
    <w:locked/>
    <w:rsid w:val="00060470"/>
    <w:rPr>
      <w:rFonts w:ascii="Tahoma" w:hAnsi="Tahoma"/>
      <w:sz w:val="16"/>
    </w:rPr>
  </w:style>
  <w:style w:type="character" w:customStyle="1" w:styleId="EndnoteTextChar1">
    <w:name w:val="Endnote Text Char1"/>
    <w:uiPriority w:val="99"/>
    <w:semiHidden/>
    <w:locked/>
    <w:rsid w:val="00060470"/>
    <w:rPr>
      <w:rFonts w:ascii="Times New Roman" w:hAnsi="Times New Roman"/>
      <w:sz w:val="20"/>
      <w:lang w:val="en-GB"/>
    </w:rPr>
  </w:style>
  <w:style w:type="character" w:customStyle="1" w:styleId="estilo2">
    <w:name w:val="estilo2"/>
    <w:uiPriority w:val="99"/>
    <w:rsid w:val="00060470"/>
  </w:style>
  <w:style w:type="character" w:customStyle="1" w:styleId="CharChar3">
    <w:name w:val="Char Char3"/>
    <w:uiPriority w:val="99"/>
    <w:locked/>
    <w:rsid w:val="00060470"/>
    <w:rPr>
      <w:rFonts w:cs="Times New Roman"/>
      <w:sz w:val="22"/>
      <w:lang w:val="en-GB" w:eastAsia="en-US" w:bidi="ar-SA"/>
    </w:rPr>
  </w:style>
  <w:style w:type="character" w:customStyle="1" w:styleId="CharChar51">
    <w:name w:val="Char Char51"/>
    <w:uiPriority w:val="99"/>
    <w:locked/>
    <w:rsid w:val="00060470"/>
    <w:rPr>
      <w:sz w:val="22"/>
      <w:lang w:val="en-GB" w:eastAsia="en-US"/>
    </w:rPr>
  </w:style>
  <w:style w:type="paragraph" w:customStyle="1" w:styleId="Numberedtext">
    <w:name w:val="Numbered text"/>
    <w:basedOn w:val="BodyText"/>
    <w:uiPriority w:val="99"/>
    <w:rsid w:val="00060470"/>
    <w:pPr>
      <w:numPr>
        <w:numId w:val="10"/>
      </w:numPr>
      <w:tabs>
        <w:tab w:val="clear" w:pos="1004"/>
        <w:tab w:val="num" w:pos="360"/>
      </w:tabs>
      <w:spacing w:before="0" w:after="120" w:line="240" w:lineRule="auto"/>
      <w:ind w:left="0" w:firstLine="0"/>
      <w:contextualSpacing w:val="0"/>
      <w:jc w:val="both"/>
    </w:pPr>
    <w:rPr>
      <w:rFonts w:ascii="Calibri" w:hAnsi="Calibri" w:cs="Calibri"/>
      <w:sz w:val="24"/>
      <w:szCs w:val="24"/>
      <w:lang w:eastAsia="en-NZ"/>
    </w:rPr>
  </w:style>
  <w:style w:type="character" w:customStyle="1" w:styleId="DocumentMapChar1">
    <w:name w:val="Document Map Char1"/>
    <w:link w:val="DocumentMap1"/>
    <w:uiPriority w:val="99"/>
    <w:locked/>
    <w:rsid w:val="00060470"/>
    <w:rPr>
      <w:rFonts w:ascii="Tahoma" w:eastAsia="Times New Roman" w:hAnsi="Tahoma" w:cs="Times New Roman"/>
      <w:sz w:val="24"/>
      <w:szCs w:val="20"/>
      <w:shd w:val="clear" w:color="auto" w:fill="000080"/>
      <w:lang w:val="en-GB" w:eastAsia="ru-RU"/>
    </w:rPr>
  </w:style>
  <w:style w:type="paragraph" w:styleId="TOCHeading">
    <w:name w:val="TOC Heading"/>
    <w:basedOn w:val="Heading1"/>
    <w:next w:val="Normal"/>
    <w:uiPriority w:val="39"/>
    <w:qFormat/>
    <w:rsid w:val="00060470"/>
    <w:pPr>
      <w:keepLines/>
      <w:spacing w:before="480"/>
      <w:contextualSpacing w:val="0"/>
      <w:outlineLvl w:val="9"/>
    </w:pPr>
    <w:rPr>
      <w:rFonts w:ascii="Cambria" w:hAnsi="Cambria"/>
      <w:bCs/>
      <w:color w:val="365F91"/>
      <w:szCs w:val="28"/>
      <w:lang w:eastAsia="en-US"/>
    </w:rPr>
  </w:style>
  <w:style w:type="character" w:customStyle="1" w:styleId="FontStyle32">
    <w:name w:val="Font Style32"/>
    <w:uiPriority w:val="99"/>
    <w:rsid w:val="00060470"/>
    <w:rPr>
      <w:rFonts w:ascii="Tahoma" w:hAnsi="Tahoma" w:cs="Tahoma"/>
      <w:sz w:val="20"/>
      <w:szCs w:val="20"/>
    </w:rPr>
  </w:style>
  <w:style w:type="paragraph" w:customStyle="1" w:styleId="Text2">
    <w:name w:val="Text 2"/>
    <w:basedOn w:val="Normal"/>
    <w:rsid w:val="00060470"/>
    <w:pPr>
      <w:spacing w:after="120" w:line="240" w:lineRule="auto"/>
      <w:ind w:left="850" w:firstLine="0"/>
      <w:contextualSpacing w:val="0"/>
    </w:pPr>
    <w:rPr>
      <w:rFonts w:ascii="Times New Roman" w:hAnsi="Times New Roman"/>
      <w:sz w:val="24"/>
      <w:lang w:val="en-GB" w:eastAsia="zh-CN"/>
    </w:rPr>
  </w:style>
  <w:style w:type="paragraph" w:customStyle="1" w:styleId="article-type">
    <w:name w:val="article-typ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wpn-byline">
    <w:name w:val="wpn-byline"/>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paragraph" w:customStyle="1" w:styleId="headline10margin-bottom-20">
    <w:name w:val="headline10 margin-bottom-20"/>
    <w:basedOn w:val="Normal"/>
    <w:rsid w:val="00060470"/>
    <w:pPr>
      <w:spacing w:before="100" w:beforeAutospacing="1" w:after="100" w:afterAutospacing="1" w:line="240" w:lineRule="auto"/>
      <w:ind w:firstLine="0"/>
      <w:contextualSpacing w:val="0"/>
      <w:jc w:val="left"/>
    </w:pPr>
    <w:rPr>
      <w:rFonts w:ascii="Times New Roman" w:hAnsi="Times New Roman"/>
      <w:sz w:val="24"/>
    </w:rPr>
  </w:style>
  <w:style w:type="character" w:customStyle="1" w:styleId="published">
    <w:name w:val="published"/>
    <w:rsid w:val="00060470"/>
  </w:style>
  <w:style w:type="character" w:customStyle="1" w:styleId="divider">
    <w:name w:val="divider"/>
    <w:rsid w:val="00060470"/>
  </w:style>
  <w:style w:type="character" w:customStyle="1" w:styleId="authorvcard">
    <w:name w:val="author vcard"/>
    <w:rsid w:val="00060470"/>
  </w:style>
  <w:style w:type="character" w:customStyle="1" w:styleId="category">
    <w:name w:val="category"/>
    <w:rsid w:val="00060470"/>
  </w:style>
  <w:style w:type="character" w:customStyle="1" w:styleId="before">
    <w:name w:val="before"/>
    <w:rsid w:val="00060470"/>
  </w:style>
  <w:style w:type="character" w:customStyle="1" w:styleId="aqj">
    <w:name w:val="aqj"/>
    <w:rsid w:val="00060470"/>
  </w:style>
  <w:style w:type="character" w:customStyle="1" w:styleId="gd">
    <w:name w:val="gd"/>
    <w:rsid w:val="00060470"/>
  </w:style>
  <w:style w:type="character" w:customStyle="1" w:styleId="g3">
    <w:name w:val="g3"/>
    <w:rsid w:val="00060470"/>
  </w:style>
  <w:style w:type="character" w:customStyle="1" w:styleId="goa1h">
    <w:name w:val="go a1h"/>
    <w:rsid w:val="00060470"/>
  </w:style>
  <w:style w:type="character" w:customStyle="1" w:styleId="hb">
    <w:name w:val="hb"/>
    <w:rsid w:val="00060470"/>
  </w:style>
  <w:style w:type="character" w:customStyle="1" w:styleId="g2">
    <w:name w:val="g2"/>
    <w:rsid w:val="00060470"/>
  </w:style>
  <w:style w:type="character" w:customStyle="1" w:styleId="sizzle">
    <w:name w:val="sizzle"/>
    <w:rsid w:val="00060470"/>
  </w:style>
  <w:style w:type="paragraph" w:customStyle="1" w:styleId="19">
    <w:name w:val="Абзац списка1"/>
    <w:basedOn w:val="Normal"/>
    <w:qFormat/>
    <w:rsid w:val="00060470"/>
    <w:pPr>
      <w:spacing w:before="0" w:line="240" w:lineRule="auto"/>
      <w:ind w:left="720" w:firstLine="0"/>
      <w:contextualSpacing w:val="0"/>
      <w:jc w:val="left"/>
    </w:pPr>
    <w:rPr>
      <w:rFonts w:ascii="Times New Roman" w:hAnsi="Times New Roman"/>
      <w:sz w:val="24"/>
      <w:lang w:val="en-US" w:eastAsia="en-US"/>
    </w:rPr>
  </w:style>
  <w:style w:type="paragraph" w:customStyle="1" w:styleId="StyleGHEAGrapalatJustifiedAfter6ptLinespacingMultip">
    <w:name w:val="Style GHEA Grapalat Justified After:  6 pt Line spacing:  Multip..."/>
    <w:basedOn w:val="Normal"/>
    <w:rsid w:val="00060470"/>
    <w:pPr>
      <w:numPr>
        <w:numId w:val="11"/>
      </w:numPr>
      <w:spacing w:before="240" w:after="240" w:line="240" w:lineRule="auto"/>
      <w:contextualSpacing w:val="0"/>
    </w:pPr>
    <w:rPr>
      <w:sz w:val="24"/>
      <w:szCs w:val="20"/>
      <w:lang w:val="hy-AM"/>
    </w:rPr>
  </w:style>
  <w:style w:type="paragraph" w:customStyle="1" w:styleId="StyleStyleHeading2ChapterParanumTextSylfaenGHEAGrapa">
    <w:name w:val="Style Style Heading 2.(Chapter).Paranum.Text + Sylfaen + GHEA Grapa..."/>
    <w:basedOn w:val="StyleHeading2ChapterParanumTextSylfaen"/>
    <w:qFormat/>
    <w:rsid w:val="00060470"/>
    <w:rPr>
      <w:rFonts w:ascii="GHEA Grapalat" w:hAnsi="GHEA Grapalat"/>
      <w:sz w:val="22"/>
    </w:rPr>
  </w:style>
  <w:style w:type="paragraph" w:customStyle="1" w:styleId="1a">
    <w:name w:val="Без интервала1"/>
    <w:link w:val="aa"/>
    <w:uiPriority w:val="1"/>
    <w:qFormat/>
    <w:rsid w:val="00060470"/>
    <w:rPr>
      <w:rFonts w:ascii="Calibri" w:hAnsi="Calibri"/>
      <w:sz w:val="22"/>
      <w:szCs w:val="22"/>
    </w:rPr>
  </w:style>
  <w:style w:type="character" w:customStyle="1" w:styleId="aa">
    <w:name w:val="Без интервала Знак"/>
    <w:link w:val="1a"/>
    <w:rsid w:val="00060470"/>
    <w:rPr>
      <w:rFonts w:ascii="Calibri" w:hAnsi="Calibri"/>
      <w:sz w:val="22"/>
      <w:szCs w:val="22"/>
    </w:rPr>
  </w:style>
  <w:style w:type="paragraph" w:customStyle="1" w:styleId="1b">
    <w:name w:val="Обычный1"/>
    <w:rsid w:val="00060470"/>
    <w:pPr>
      <w:autoSpaceDE w:val="0"/>
      <w:autoSpaceDN w:val="0"/>
    </w:pPr>
    <w:rPr>
      <w:lang w:val="ru-RU" w:eastAsia="ru-RU"/>
    </w:rPr>
  </w:style>
  <w:style w:type="paragraph" w:customStyle="1" w:styleId="32">
    <w:name w:val="???????? ????? ? ???????? 3"/>
    <w:basedOn w:val="a1"/>
    <w:uiPriority w:val="99"/>
    <w:rsid w:val="00060470"/>
    <w:pPr>
      <w:ind w:firstLine="360"/>
      <w:jc w:val="both"/>
    </w:pPr>
    <w:rPr>
      <w:rFonts w:ascii="Times Armenian" w:hAnsi="Times Armenian"/>
      <w:sz w:val="24"/>
      <w:lang w:val="af-ZA"/>
    </w:rPr>
  </w:style>
  <w:style w:type="paragraph" w:customStyle="1" w:styleId="6">
    <w:name w:val="????????? 6"/>
    <w:basedOn w:val="a1"/>
    <w:next w:val="a1"/>
    <w:uiPriority w:val="99"/>
    <w:rsid w:val="00060470"/>
    <w:pPr>
      <w:keepNext/>
      <w:jc w:val="center"/>
      <w:outlineLvl w:val="5"/>
    </w:pPr>
    <w:rPr>
      <w:rFonts w:ascii="Times Armenian" w:hAnsi="Times Armenian"/>
      <w:i/>
      <w:lang w:val="en-US"/>
    </w:rPr>
  </w:style>
  <w:style w:type="paragraph" w:customStyle="1" w:styleId="310">
    <w:name w:val="???????? ????? 31"/>
    <w:basedOn w:val="a1"/>
    <w:uiPriority w:val="99"/>
    <w:rsid w:val="00060470"/>
    <w:pPr>
      <w:jc w:val="center"/>
    </w:pPr>
    <w:rPr>
      <w:rFonts w:ascii="Arial Armenian" w:hAnsi="Arial Armenian"/>
      <w:sz w:val="24"/>
      <w:lang w:val="en-AU"/>
    </w:rPr>
  </w:style>
  <w:style w:type="paragraph" w:customStyle="1" w:styleId="25">
    <w:name w:val="????????? 2"/>
    <w:basedOn w:val="a1"/>
    <w:next w:val="a1"/>
    <w:uiPriority w:val="99"/>
    <w:rsid w:val="00060470"/>
    <w:pPr>
      <w:keepNext/>
      <w:ind w:firstLine="720"/>
      <w:outlineLvl w:val="1"/>
    </w:pPr>
    <w:rPr>
      <w:rFonts w:ascii="Times LatArm" w:hAnsi="Times LatArm"/>
      <w:b/>
      <w:i/>
      <w:sz w:val="28"/>
      <w:lang w:val="en-US"/>
    </w:rPr>
  </w:style>
  <w:style w:type="paragraph" w:customStyle="1" w:styleId="40">
    <w:name w:val="????????? 4"/>
    <w:basedOn w:val="a1"/>
    <w:next w:val="a1"/>
    <w:uiPriority w:val="99"/>
    <w:rsid w:val="00060470"/>
    <w:pPr>
      <w:keepNext/>
      <w:spacing w:line="360" w:lineRule="auto"/>
      <w:ind w:firstLine="360"/>
      <w:jc w:val="both"/>
      <w:outlineLvl w:val="3"/>
    </w:pPr>
    <w:rPr>
      <w:rFonts w:ascii="Times LatArm" w:hAnsi="Times LatArm"/>
      <w:i/>
      <w:noProof/>
      <w:sz w:val="24"/>
    </w:rPr>
  </w:style>
  <w:style w:type="paragraph" w:customStyle="1" w:styleId="1c">
    <w:name w:val="????????? 1"/>
    <w:basedOn w:val="Normal"/>
    <w:next w:val="Normal"/>
    <w:rsid w:val="00060470"/>
    <w:pPr>
      <w:keepNext/>
      <w:spacing w:before="0" w:line="240" w:lineRule="auto"/>
      <w:ind w:firstLine="0"/>
      <w:contextualSpacing w:val="0"/>
      <w:outlineLvl w:val="0"/>
    </w:pPr>
    <w:rPr>
      <w:rFonts w:ascii="Times Armenian" w:hAnsi="Times Armenian"/>
      <w:i/>
      <w:sz w:val="24"/>
      <w:szCs w:val="20"/>
      <w:lang w:val="en-US"/>
    </w:rPr>
  </w:style>
  <w:style w:type="paragraph" w:customStyle="1" w:styleId="CharChar0">
    <w:name w:val="Знак Знак Char Char"/>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CharChar8">
    <w:name w:val="Знак Знак Char Char Знак Знак"/>
    <w:basedOn w:val="Normal"/>
    <w:rsid w:val="00060470"/>
    <w:pPr>
      <w:spacing w:before="0" w:after="160" w:line="240" w:lineRule="exact"/>
      <w:ind w:firstLine="0"/>
      <w:contextualSpacing w:val="0"/>
      <w:jc w:val="left"/>
    </w:pPr>
    <w:rPr>
      <w:rFonts w:ascii="Arial" w:hAnsi="Arial" w:cs="Arial"/>
      <w:sz w:val="20"/>
      <w:szCs w:val="20"/>
      <w:lang w:val="en-US" w:eastAsia="en-US"/>
    </w:rPr>
  </w:style>
  <w:style w:type="paragraph" w:customStyle="1" w:styleId="Para">
    <w:name w:val="Para"/>
    <w:basedOn w:val="Normal"/>
    <w:autoRedefine/>
    <w:rsid w:val="00060470"/>
    <w:pPr>
      <w:suppressAutoHyphens/>
      <w:spacing w:before="0" w:line="240" w:lineRule="auto"/>
      <w:ind w:firstLine="0"/>
      <w:contextualSpacing w:val="0"/>
    </w:pPr>
    <w:rPr>
      <w:rFonts w:eastAsia="Calibri" w:cs="Sylfaen"/>
      <w:bCs/>
      <w:kern w:val="1"/>
      <w:sz w:val="24"/>
      <w:lang w:val="hy-AM" w:eastAsia="en-US"/>
    </w:rPr>
  </w:style>
  <w:style w:type="paragraph" w:customStyle="1" w:styleId="Char5">
    <w:name w:val="Char5"/>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33">
    <w:name w:val="Знак Знак3"/>
    <w:basedOn w:val="Normal"/>
    <w:link w:val="Char11"/>
    <w:rsid w:val="00060470"/>
    <w:pPr>
      <w:spacing w:before="0" w:after="160" w:line="240" w:lineRule="exact"/>
      <w:ind w:firstLine="0"/>
      <w:contextualSpacing w:val="0"/>
      <w:jc w:val="left"/>
    </w:pPr>
    <w:rPr>
      <w:rFonts w:ascii="Arial" w:eastAsia="Calibri" w:hAnsi="Arial"/>
      <w:sz w:val="20"/>
      <w:szCs w:val="20"/>
      <w:lang w:val="en-GB"/>
    </w:rPr>
  </w:style>
  <w:style w:type="character" w:customStyle="1" w:styleId="Char11">
    <w:name w:val="Знак Знак Char1"/>
    <w:link w:val="33"/>
    <w:locked/>
    <w:rsid w:val="00060470"/>
    <w:rPr>
      <w:rFonts w:ascii="Arial" w:eastAsia="Calibri" w:hAnsi="Arial"/>
      <w:lang w:val="en-GB"/>
    </w:rPr>
  </w:style>
  <w:style w:type="paragraph" w:customStyle="1" w:styleId="Znak1">
    <w:name w:val="Znak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CharCharCharCharCharChar1">
    <w:name w:val="Char Char Char 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12">
    <w:name w:val="Знак Знак Знак Знак Знак Знак Знак Знак Знак Знак Знак Знак Знак Знак Знак Знак Знак Знак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2">
    <w:name w:val="Char Char Char Знак1"/>
    <w:basedOn w:val="Normal"/>
    <w:next w:val="Normal"/>
    <w:rsid w:val="00060470"/>
    <w:pPr>
      <w:spacing w:before="0" w:after="160" w:line="240" w:lineRule="exact"/>
      <w:ind w:firstLine="0"/>
      <w:contextualSpacing w:val="0"/>
      <w:jc w:val="left"/>
    </w:pPr>
    <w:rPr>
      <w:rFonts w:ascii="Tahoma" w:eastAsia="Calibri" w:hAnsi="Tahoma"/>
      <w:sz w:val="24"/>
      <w:szCs w:val="20"/>
      <w:lang w:val="en-US" w:eastAsia="en-US"/>
    </w:rPr>
  </w:style>
  <w:style w:type="paragraph" w:customStyle="1" w:styleId="CharCharCharCharCharCharCharChar1">
    <w:name w:val="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CharCharCharCharChar2">
    <w:name w:val="Char Char Char Char Знак Char Знак Char Char Char Char Char Char Char Char Char Char2"/>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CharCharCharCharCharChar1">
    <w:name w:val="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CharCharCharCharChar1">
    <w:name w:val="Char Char Char Char Char 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CharChar1">
    <w:name w:val="Знак Знак1 Char Char Знак Знак1"/>
    <w:basedOn w:val="Normal"/>
    <w:rsid w:val="00060470"/>
    <w:pPr>
      <w:tabs>
        <w:tab w:val="num" w:pos="840"/>
      </w:tabs>
      <w:spacing w:before="0" w:after="160" w:line="240" w:lineRule="exact"/>
      <w:ind w:left="840" w:hanging="360"/>
      <w:contextualSpacing w:val="0"/>
    </w:pPr>
    <w:rPr>
      <w:rFonts w:ascii="Verdana" w:eastAsia="Calibri" w:hAnsi="Verdana"/>
      <w:sz w:val="20"/>
      <w:szCs w:val="20"/>
      <w:lang w:eastAsia="en-US"/>
    </w:rPr>
  </w:style>
  <w:style w:type="paragraph" w:customStyle="1" w:styleId="CharCharCharChar1">
    <w:name w:val="Знак Знак Char Char Знак Знак Char Char Знак Знак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CharCharChar1Char1">
    <w:name w:val="Char Char Char1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111">
    <w:name w:val="Знак Знак11"/>
    <w:basedOn w:val="Normal"/>
    <w:rsid w:val="00060470"/>
    <w:pPr>
      <w:spacing w:before="0" w:after="160" w:line="240" w:lineRule="exact"/>
      <w:ind w:firstLine="0"/>
      <w:contextualSpacing w:val="0"/>
      <w:jc w:val="left"/>
    </w:pPr>
    <w:rPr>
      <w:rFonts w:ascii="Arial" w:eastAsia="MS Mincho" w:hAnsi="Arial" w:cs="Arial"/>
      <w:sz w:val="20"/>
      <w:szCs w:val="20"/>
      <w:lang w:val="en-US" w:eastAsia="en-US"/>
    </w:rPr>
  </w:style>
  <w:style w:type="paragraph" w:customStyle="1" w:styleId="CharChar1CharCharChar1Char1">
    <w:name w:val="Char Char1 Char Char Char1 Char1"/>
    <w:basedOn w:val="Normal"/>
    <w:autoRedefine/>
    <w:rsid w:val="00060470"/>
    <w:pPr>
      <w:spacing w:before="0" w:line="240" w:lineRule="auto"/>
      <w:ind w:firstLine="0"/>
      <w:contextualSpacing w:val="0"/>
      <w:jc w:val="left"/>
    </w:pPr>
    <w:rPr>
      <w:rFonts w:ascii="Times New Roman" w:eastAsia="SimSun" w:hAnsi="Times New Roman"/>
      <w:sz w:val="20"/>
      <w:szCs w:val="20"/>
      <w:lang w:val="en-US"/>
    </w:rPr>
  </w:style>
  <w:style w:type="paragraph" w:customStyle="1" w:styleId="41">
    <w:name w:val="Знак Знак41"/>
    <w:basedOn w:val="Normal"/>
    <w:rsid w:val="00060470"/>
    <w:pPr>
      <w:tabs>
        <w:tab w:val="left" w:pos="709"/>
      </w:tabs>
      <w:spacing w:before="0" w:line="240" w:lineRule="auto"/>
      <w:ind w:firstLine="0"/>
      <w:contextualSpacing w:val="0"/>
      <w:jc w:val="left"/>
    </w:pPr>
    <w:rPr>
      <w:rFonts w:ascii="Tahoma" w:eastAsia="Calibri" w:hAnsi="Tahoma"/>
      <w:sz w:val="24"/>
      <w:lang w:val="pl-PL" w:eastAsia="pl-PL"/>
    </w:rPr>
  </w:style>
  <w:style w:type="paragraph" w:customStyle="1" w:styleId="Char13">
    <w:name w:val="Знак Char Знак1"/>
    <w:basedOn w:val="Normal"/>
    <w:rsid w:val="00060470"/>
    <w:pPr>
      <w:spacing w:before="0" w:after="160" w:line="240" w:lineRule="exact"/>
      <w:ind w:firstLine="0"/>
      <w:contextualSpacing w:val="0"/>
      <w:jc w:val="left"/>
    </w:pPr>
    <w:rPr>
      <w:rFonts w:ascii="Arial" w:eastAsia="Batang" w:hAnsi="Arial" w:cs="Arial"/>
      <w:sz w:val="20"/>
      <w:szCs w:val="20"/>
      <w:lang w:val="en-US" w:eastAsia="en-US"/>
    </w:rPr>
  </w:style>
  <w:style w:type="paragraph" w:customStyle="1" w:styleId="CharCharCharCharCharChar1">
    <w:name w:val="Знак Знак Char Char Знак Знак Char Char Знак Знак Char Char1"/>
    <w:basedOn w:val="Normal"/>
    <w:autoRedefine/>
    <w:rsid w:val="00060470"/>
    <w:pPr>
      <w:spacing w:before="0" w:after="160" w:line="240" w:lineRule="exact"/>
      <w:ind w:firstLine="0"/>
      <w:contextualSpacing w:val="0"/>
      <w:jc w:val="left"/>
    </w:pPr>
    <w:rPr>
      <w:rFonts w:ascii="Times New Roman" w:eastAsia="Calibri" w:hAnsi="Times New Roman"/>
      <w:sz w:val="28"/>
      <w:szCs w:val="20"/>
      <w:lang w:val="en-US" w:eastAsia="en-US"/>
    </w:rPr>
  </w:style>
  <w:style w:type="paragraph" w:customStyle="1" w:styleId="212">
    <w:name w:val="Знак Знак2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customStyle="1" w:styleId="CharCharCharCharChar10">
    <w:name w:val="Char Char Char Char Char1"/>
    <w:basedOn w:val="Normal"/>
    <w:rsid w:val="00060470"/>
    <w:pPr>
      <w:spacing w:before="0" w:after="160" w:line="240" w:lineRule="exact"/>
      <w:ind w:firstLine="0"/>
      <w:contextualSpacing w:val="0"/>
      <w:jc w:val="left"/>
    </w:pPr>
    <w:rPr>
      <w:rFonts w:ascii="Arial" w:eastAsia="Calibri" w:hAnsi="Arial" w:cs="Arial"/>
      <w:sz w:val="20"/>
      <w:szCs w:val="20"/>
      <w:lang w:val="en-US" w:eastAsia="en-US"/>
    </w:rPr>
  </w:style>
  <w:style w:type="paragraph" w:styleId="Quote">
    <w:name w:val="Quote"/>
    <w:basedOn w:val="Normal"/>
    <w:next w:val="Normal"/>
    <w:link w:val="QuoteChar"/>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QuoteChar">
    <w:name w:val="Quote Char"/>
    <w:basedOn w:val="DefaultParagraphFont"/>
    <w:link w:val="Quote"/>
    <w:uiPriority w:val="29"/>
    <w:rsid w:val="00060470"/>
    <w:rPr>
      <w:i/>
      <w:iCs/>
      <w:color w:val="000000"/>
      <w:sz w:val="24"/>
      <w:szCs w:val="24"/>
    </w:rPr>
  </w:style>
  <w:style w:type="character" w:styleId="IntenseEmphasis">
    <w:name w:val="Intense Emphasis"/>
    <w:uiPriority w:val="21"/>
    <w:qFormat/>
    <w:rsid w:val="00060470"/>
    <w:rPr>
      <w:b/>
      <w:bCs/>
      <w:i/>
      <w:iCs/>
      <w:color w:val="4F81BD"/>
    </w:rPr>
  </w:style>
  <w:style w:type="table" w:styleId="LightList-Accent1">
    <w:name w:val="Light List Accent 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ableGrid7">
    <w:name w:val="Table Grid 7"/>
    <w:basedOn w:val="TableNormal"/>
    <w:uiPriority w:val="99"/>
    <w:rsid w:val="0006047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ColorfulGrid-Accent1">
    <w:name w:val="Colorful Grid Accent 1"/>
    <w:basedOn w:val="TableNormal"/>
    <w:uiPriority w:val="73"/>
    <w:rsid w:val="0006047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LightList-Accent5">
    <w:name w:val="Light List Accent 5"/>
    <w:basedOn w:val="TableNormal"/>
    <w:uiPriority w:val="61"/>
    <w:rsid w:val="0006047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TableSimple3">
    <w:name w:val="Table Simple 3"/>
    <w:basedOn w:val="TableNormal"/>
    <w:uiPriority w:val="99"/>
    <w:rsid w:val="0006047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Grid5">
    <w:name w:val="Table Grid 5"/>
    <w:basedOn w:val="TableNormal"/>
    <w:uiPriority w:val="99"/>
    <w:rsid w:val="0006047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3">
    <w:name w:val="Table Grid 3"/>
    <w:basedOn w:val="TableNormal"/>
    <w:uiPriority w:val="99"/>
    <w:rsid w:val="0006047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uiPriority w:val="99"/>
    <w:rsid w:val="0006047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olumns5">
    <w:name w:val="Table Columns 5"/>
    <w:basedOn w:val="TableNormal"/>
    <w:uiPriority w:val="99"/>
    <w:rsid w:val="0006047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ListParagraph2">
    <w:name w:val="List Paragraph2"/>
    <w:basedOn w:val="Normal"/>
    <w:qFormat/>
    <w:rsid w:val="00060470"/>
    <w:pPr>
      <w:spacing w:before="0" w:line="240" w:lineRule="auto"/>
      <w:ind w:left="720" w:firstLine="0"/>
      <w:jc w:val="left"/>
    </w:pPr>
    <w:rPr>
      <w:rFonts w:ascii="Times New Roman" w:hAnsi="Times New Roman"/>
      <w:sz w:val="24"/>
    </w:rPr>
  </w:style>
  <w:style w:type="character" w:customStyle="1" w:styleId="A00">
    <w:name w:val="A0"/>
    <w:rsid w:val="00060470"/>
    <w:rPr>
      <w:color w:val="000000"/>
      <w:sz w:val="56"/>
      <w:szCs w:val="56"/>
    </w:rPr>
  </w:style>
  <w:style w:type="character" w:customStyle="1" w:styleId="1d">
    <w:name w:val="Текст сноски Знак1"/>
    <w:semiHidden/>
    <w:rsid w:val="00060470"/>
    <w:rPr>
      <w:sz w:val="20"/>
      <w:szCs w:val="20"/>
    </w:rPr>
  </w:style>
  <w:style w:type="character" w:customStyle="1" w:styleId="CharChar28">
    <w:name w:val="Char Char28"/>
    <w:rsid w:val="00060470"/>
    <w:rPr>
      <w:rFonts w:ascii="Arial Armenian" w:hAnsi="Arial Armenian"/>
      <w:i/>
      <w:sz w:val="22"/>
      <w:u w:val="single"/>
      <w:lang w:val="en-GB"/>
    </w:rPr>
  </w:style>
  <w:style w:type="character" w:customStyle="1" w:styleId="CharChar27">
    <w:name w:val="Char Char27"/>
    <w:rsid w:val="00060470"/>
    <w:rPr>
      <w:rFonts w:ascii="Garamond" w:hAnsi="Garamond"/>
      <w:i/>
      <w:spacing w:val="-5"/>
      <w:sz w:val="28"/>
      <w:shd w:val="pct5" w:color="auto" w:fill="auto"/>
      <w:lang w:val="en-GB"/>
    </w:rPr>
  </w:style>
  <w:style w:type="character" w:customStyle="1" w:styleId="CharChar26">
    <w:name w:val="Char Char26"/>
    <w:rsid w:val="00060470"/>
    <w:rPr>
      <w:rFonts w:ascii="Arial Black" w:hAnsi="Arial Black"/>
      <w:caps/>
      <w:spacing w:val="60"/>
      <w:position w:val="4"/>
      <w:sz w:val="14"/>
      <w:lang w:val="en-GB"/>
    </w:rPr>
  </w:style>
  <w:style w:type="character" w:customStyle="1" w:styleId="CharChar25">
    <w:name w:val="Char Char25"/>
    <w:rsid w:val="00060470"/>
    <w:rPr>
      <w:rFonts w:ascii="Garamond" w:hAnsi="Garamond"/>
      <w:b/>
      <w:i/>
      <w:kern w:val="28"/>
      <w:lang w:val="en-GB"/>
    </w:rPr>
  </w:style>
  <w:style w:type="character" w:customStyle="1" w:styleId="CharChar241">
    <w:name w:val="Char Char241"/>
    <w:rsid w:val="00060470"/>
    <w:rPr>
      <w:rFonts w:ascii="Arial Armenian" w:hAnsi="Arial Armenian"/>
      <w:noProof/>
      <w:lang w:val="en-US" w:eastAsia="en-US" w:bidi="ar-SA"/>
    </w:rPr>
  </w:style>
  <w:style w:type="character" w:customStyle="1" w:styleId="CharChar231">
    <w:name w:val="Char Char231"/>
    <w:rsid w:val="00060470"/>
    <w:rPr>
      <w:rFonts w:ascii="Arial Armenian" w:hAnsi="Arial Armenian"/>
      <w:lang w:val="en-GB" w:eastAsia="en-US" w:bidi="ar-SA"/>
    </w:rPr>
  </w:style>
  <w:style w:type="character" w:customStyle="1" w:styleId="CharChar221">
    <w:name w:val="Char Char221"/>
    <w:rsid w:val="00060470"/>
    <w:rPr>
      <w:rFonts w:ascii="Arial Armenian" w:hAnsi="Arial Armenian"/>
      <w:lang w:val="ru-RU" w:eastAsia="ru-RU" w:bidi="ar-SA"/>
    </w:rPr>
  </w:style>
  <w:style w:type="paragraph" w:customStyle="1" w:styleId="Outline">
    <w:name w:val="Outline"/>
    <w:basedOn w:val="Normal"/>
    <w:rsid w:val="00060470"/>
    <w:pPr>
      <w:spacing w:before="240" w:line="240" w:lineRule="auto"/>
      <w:ind w:firstLine="0"/>
      <w:contextualSpacing w:val="0"/>
      <w:jc w:val="left"/>
    </w:pPr>
    <w:rPr>
      <w:rFonts w:ascii="Times New Roman" w:hAnsi="Times New Roman"/>
      <w:kern w:val="28"/>
      <w:sz w:val="24"/>
      <w:szCs w:val="20"/>
      <w:lang w:val="en-US" w:eastAsia="en-US"/>
    </w:rPr>
  </w:style>
  <w:style w:type="paragraph" w:customStyle="1" w:styleId="ab">
    <w:name w:val="Îáû÷íûé"/>
    <w:rsid w:val="00060470"/>
    <w:rPr>
      <w:rFonts w:ascii="Times Armenian" w:hAnsi="Times Armenian"/>
      <w:sz w:val="24"/>
    </w:rPr>
  </w:style>
  <w:style w:type="paragraph" w:customStyle="1" w:styleId="Style13">
    <w:name w:val="Style13"/>
    <w:basedOn w:val="Normal"/>
    <w:rsid w:val="00060470"/>
    <w:pPr>
      <w:widowControl w:val="0"/>
      <w:autoSpaceDE w:val="0"/>
      <w:autoSpaceDN w:val="0"/>
      <w:adjustRightInd w:val="0"/>
      <w:spacing w:before="0" w:line="240" w:lineRule="auto"/>
      <w:ind w:firstLine="0"/>
      <w:contextualSpacing w:val="0"/>
      <w:jc w:val="left"/>
    </w:pPr>
    <w:rPr>
      <w:rFonts w:ascii="Tahoma" w:eastAsia="SimSun" w:hAnsi="Tahoma" w:cs="Tahoma"/>
      <w:sz w:val="24"/>
      <w:lang w:val="en-US" w:eastAsia="en-US"/>
    </w:rPr>
  </w:style>
  <w:style w:type="character" w:customStyle="1" w:styleId="FontStyle27">
    <w:name w:val="Font Style27"/>
    <w:rsid w:val="00060470"/>
    <w:rPr>
      <w:rFonts w:ascii="Tahoma" w:hAnsi="Tahoma" w:cs="Tahoma" w:hint="default"/>
      <w:sz w:val="14"/>
      <w:szCs w:val="14"/>
    </w:rPr>
  </w:style>
  <w:style w:type="paragraph" w:customStyle="1" w:styleId="Style14">
    <w:name w:val="Style14"/>
    <w:basedOn w:val="Normal"/>
    <w:rsid w:val="00060470"/>
    <w:pPr>
      <w:widowControl w:val="0"/>
      <w:autoSpaceDE w:val="0"/>
      <w:autoSpaceDN w:val="0"/>
      <w:adjustRightInd w:val="0"/>
      <w:spacing w:before="0" w:line="211" w:lineRule="exact"/>
      <w:ind w:firstLine="0"/>
      <w:contextualSpacing w:val="0"/>
      <w:jc w:val="left"/>
    </w:pPr>
    <w:rPr>
      <w:rFonts w:ascii="Tahoma" w:eastAsia="SimSun" w:hAnsi="Tahoma" w:cs="Tahoma"/>
      <w:sz w:val="24"/>
      <w:lang w:val="en-US" w:eastAsia="en-US"/>
    </w:rPr>
  </w:style>
  <w:style w:type="character" w:customStyle="1" w:styleId="FontStyle26">
    <w:name w:val="Font Style26"/>
    <w:rsid w:val="00060470"/>
    <w:rPr>
      <w:rFonts w:ascii="Tahoma" w:hAnsi="Tahoma" w:cs="Tahoma" w:hint="default"/>
      <w:i/>
      <w:iCs/>
      <w:spacing w:val="10"/>
      <w:sz w:val="16"/>
      <w:szCs w:val="16"/>
    </w:rPr>
  </w:style>
  <w:style w:type="character" w:customStyle="1" w:styleId="FontStyle53">
    <w:name w:val="Font Style53"/>
    <w:rsid w:val="00060470"/>
    <w:rPr>
      <w:rFonts w:ascii="Sylfaen" w:hAnsi="Sylfaen"/>
      <w:sz w:val="18"/>
    </w:rPr>
  </w:style>
  <w:style w:type="character" w:customStyle="1" w:styleId="shorttext">
    <w:name w:val="short_text"/>
    <w:rsid w:val="00060470"/>
    <w:rPr>
      <w:rFonts w:cs="Times New Roman"/>
    </w:rPr>
  </w:style>
  <w:style w:type="table" w:customStyle="1" w:styleId="LightList-Accent11">
    <w:name w:val="Light List - Accent 11"/>
    <w:basedOn w:val="TableNormal"/>
    <w:uiPriority w:val="61"/>
    <w:rsid w:val="0006047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e">
    <w:name w:val="Нет списка1"/>
    <w:next w:val="NoList"/>
    <w:semiHidden/>
    <w:unhideWhenUsed/>
    <w:rsid w:val="00060470"/>
  </w:style>
  <w:style w:type="paragraph" w:customStyle="1" w:styleId="NoSpacing1">
    <w:name w:val="No Spacing1"/>
    <w:qFormat/>
    <w:rsid w:val="00060470"/>
    <w:rPr>
      <w:rFonts w:ascii="Calibri" w:hAnsi="Calibri"/>
      <w:sz w:val="22"/>
      <w:szCs w:val="22"/>
    </w:rPr>
  </w:style>
  <w:style w:type="paragraph" w:customStyle="1" w:styleId="26">
    <w:name w:val="Обычный2"/>
    <w:rsid w:val="00060470"/>
    <w:pPr>
      <w:autoSpaceDE w:val="0"/>
      <w:autoSpaceDN w:val="0"/>
    </w:pPr>
    <w:rPr>
      <w:lang w:val="ru-RU" w:eastAsia="ru-RU"/>
    </w:rPr>
  </w:style>
  <w:style w:type="paragraph" w:customStyle="1" w:styleId="Revision1">
    <w:name w:val="Revision1"/>
    <w:hidden/>
    <w:semiHidden/>
    <w:rsid w:val="00060470"/>
    <w:rPr>
      <w:rFonts w:ascii="Arial Armenian" w:hAnsi="Arial Armenian" w:cs="Sylfaen"/>
      <w:sz w:val="24"/>
      <w:szCs w:val="24"/>
      <w:lang w:val="ru-RU" w:eastAsia="ru-RU"/>
    </w:rPr>
  </w:style>
  <w:style w:type="paragraph" w:customStyle="1" w:styleId="TOCHeading1">
    <w:name w:val="TOC Heading1"/>
    <w:basedOn w:val="Heading1"/>
    <w:next w:val="Normal"/>
    <w:qFormat/>
    <w:rsid w:val="00060470"/>
    <w:pPr>
      <w:keepLines/>
      <w:spacing w:before="480"/>
      <w:contextualSpacing w:val="0"/>
      <w:outlineLvl w:val="9"/>
    </w:pPr>
    <w:rPr>
      <w:rFonts w:ascii="Cambria" w:hAnsi="Cambria"/>
      <w:bCs/>
      <w:color w:val="365F91"/>
      <w:szCs w:val="28"/>
      <w:lang w:eastAsia="en-US"/>
    </w:rPr>
  </w:style>
  <w:style w:type="character" w:customStyle="1" w:styleId="NoSpacingChar1">
    <w:name w:val="No Spacing Char1"/>
    <w:rsid w:val="00060470"/>
    <w:rPr>
      <w:rFonts w:ascii="Calibri" w:eastAsia="Times New Roman" w:hAnsi="Calibri" w:cs="Times New Roman"/>
      <w:lang w:val="en-US"/>
    </w:rPr>
  </w:style>
  <w:style w:type="paragraph" w:customStyle="1" w:styleId="Quote1">
    <w:name w:val="Quote1"/>
    <w:basedOn w:val="Normal"/>
    <w:next w:val="Normal"/>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IntenseEmphasis1">
    <w:name w:val="Intense Emphasis1"/>
    <w:qFormat/>
    <w:rsid w:val="00060470"/>
    <w:rPr>
      <w:b/>
      <w:bCs/>
      <w:i/>
      <w:iCs/>
      <w:color w:val="4F81BD"/>
    </w:rPr>
  </w:style>
  <w:style w:type="table" w:customStyle="1" w:styleId="ColorfulGrid-Accent11">
    <w:name w:val="Colorful Grid - Accent 11"/>
    <w:basedOn w:val="TableNormal"/>
    <w:rsid w:val="0006047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
    <w:name w:val="Light List - Accent 51"/>
    <w:basedOn w:val="TableNormal"/>
    <w:rsid w:val="0006047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andard">
    <w:name w:val="Standard"/>
    <w:rsid w:val="00060470"/>
    <w:pPr>
      <w:widowControl w:val="0"/>
      <w:suppressAutoHyphens/>
      <w:autoSpaceDN w:val="0"/>
      <w:textAlignment w:val="baseline"/>
    </w:pPr>
    <w:rPr>
      <w:rFonts w:ascii="Calibri" w:hAnsi="Calibri"/>
      <w:kern w:val="3"/>
      <w:sz w:val="24"/>
      <w:szCs w:val="24"/>
    </w:rPr>
  </w:style>
  <w:style w:type="character" w:customStyle="1" w:styleId="PageNumber1">
    <w:name w:val="Page Number1"/>
    <w:rsid w:val="00060470"/>
    <w:rPr>
      <w:rFonts w:cs="Times New Roman"/>
    </w:rPr>
  </w:style>
  <w:style w:type="character" w:customStyle="1" w:styleId="ac">
    <w:name w:val="Основной текст_"/>
    <w:link w:val="50"/>
    <w:rsid w:val="00060470"/>
    <w:rPr>
      <w:rFonts w:ascii="Sylfaen" w:hAnsi="Sylfaen" w:cs="Sylfaen"/>
      <w:spacing w:val="20"/>
      <w:w w:val="80"/>
      <w:shd w:val="clear" w:color="auto" w:fill="FFFFFF"/>
    </w:rPr>
  </w:style>
  <w:style w:type="character" w:customStyle="1" w:styleId="27">
    <w:name w:val="Основной текст (2)_"/>
    <w:rsid w:val="00060470"/>
    <w:rPr>
      <w:rFonts w:ascii="Sylfaen" w:hAnsi="Sylfaen" w:cs="Sylfaen"/>
      <w:i/>
      <w:iCs/>
      <w:shd w:val="clear" w:color="auto" w:fill="FFFFFF"/>
    </w:rPr>
  </w:style>
  <w:style w:type="character" w:customStyle="1" w:styleId="34">
    <w:name w:val="Основной текст (3)_"/>
    <w:rsid w:val="00060470"/>
    <w:rPr>
      <w:rFonts w:ascii="Sylfaen" w:hAnsi="Sylfaen" w:cs="Sylfaen"/>
      <w:spacing w:val="20"/>
      <w:w w:val="80"/>
      <w:sz w:val="21"/>
      <w:szCs w:val="21"/>
      <w:shd w:val="clear" w:color="auto" w:fill="FFFFFF"/>
    </w:rPr>
  </w:style>
  <w:style w:type="character" w:customStyle="1" w:styleId="311pt">
    <w:name w:val="Основной текст (3) + 11 pt"/>
    <w:rsid w:val="00060470"/>
    <w:rPr>
      <w:rFonts w:ascii="Sylfaen" w:hAnsi="Sylfaen" w:cs="Sylfaen"/>
      <w:i/>
      <w:iCs/>
      <w:spacing w:val="0"/>
      <w:w w:val="100"/>
      <w:sz w:val="22"/>
      <w:szCs w:val="22"/>
      <w:shd w:val="clear" w:color="auto" w:fill="FFFFFF"/>
    </w:rPr>
  </w:style>
  <w:style w:type="character" w:customStyle="1" w:styleId="311pt1">
    <w:name w:val="Основной текст (3) + 11 pt1"/>
    <w:rsid w:val="00060470"/>
    <w:rPr>
      <w:rFonts w:ascii="Sylfaen" w:hAnsi="Sylfaen" w:cs="Sylfaen"/>
      <w:spacing w:val="0"/>
      <w:w w:val="100"/>
      <w:sz w:val="22"/>
      <w:szCs w:val="22"/>
      <w:shd w:val="clear" w:color="auto" w:fill="FFFFFF"/>
    </w:rPr>
  </w:style>
  <w:style w:type="character" w:customStyle="1" w:styleId="28">
    <w:name w:val="Основной текст2"/>
    <w:rsid w:val="00060470"/>
  </w:style>
  <w:style w:type="character" w:customStyle="1" w:styleId="42">
    <w:name w:val="Основной текст (4)_"/>
    <w:rsid w:val="00060470"/>
    <w:rPr>
      <w:rFonts w:ascii="Sylfaen" w:hAnsi="Sylfaen" w:cs="Sylfaen"/>
      <w:spacing w:val="20"/>
      <w:w w:val="80"/>
      <w:shd w:val="clear" w:color="auto" w:fill="FFFFFF"/>
    </w:rPr>
  </w:style>
  <w:style w:type="character" w:customStyle="1" w:styleId="4pt">
    <w:name w:val="Основной текст + 4 pt"/>
    <w:rsid w:val="00060470"/>
    <w:rPr>
      <w:rFonts w:ascii="Sylfaen" w:hAnsi="Sylfaen" w:cs="Sylfaen"/>
      <w:i/>
      <w:iCs/>
      <w:spacing w:val="0"/>
      <w:w w:val="100"/>
      <w:sz w:val="8"/>
      <w:szCs w:val="8"/>
      <w:shd w:val="clear" w:color="auto" w:fill="FFFFFF"/>
    </w:rPr>
  </w:style>
  <w:style w:type="character" w:customStyle="1" w:styleId="1f">
    <w:name w:val="Заголовок №1_"/>
    <w:rsid w:val="00060470"/>
    <w:rPr>
      <w:rFonts w:ascii="Sylfaen" w:hAnsi="Sylfaen" w:cs="Sylfaen"/>
      <w:i/>
      <w:iCs/>
      <w:spacing w:val="-30"/>
      <w:sz w:val="31"/>
      <w:szCs w:val="31"/>
      <w:shd w:val="clear" w:color="auto" w:fill="FFFFFF"/>
    </w:rPr>
  </w:style>
  <w:style w:type="character" w:customStyle="1" w:styleId="1110">
    <w:name w:val="Заголовок №1 + 11"/>
    <w:rsid w:val="00060470"/>
    <w:rPr>
      <w:rFonts w:ascii="Sylfaen" w:hAnsi="Sylfaen" w:cs="Sylfaen"/>
      <w:i/>
      <w:iCs/>
      <w:spacing w:val="-20"/>
      <w:sz w:val="23"/>
      <w:szCs w:val="23"/>
      <w:shd w:val="clear" w:color="auto" w:fill="FFFFFF"/>
    </w:rPr>
  </w:style>
  <w:style w:type="character" w:customStyle="1" w:styleId="Sylfaen2">
    <w:name w:val="Основной текст + Sylfaen2"/>
    <w:rsid w:val="00060470"/>
    <w:rPr>
      <w:rFonts w:ascii="Sylfaen" w:hAnsi="Sylfaen" w:cs="Sylfaen"/>
      <w:spacing w:val="20"/>
      <w:w w:val="80"/>
      <w:sz w:val="22"/>
      <w:szCs w:val="22"/>
      <w:u w:val="none"/>
      <w:shd w:val="clear" w:color="auto" w:fill="FFFFFF"/>
    </w:rPr>
  </w:style>
  <w:style w:type="character" w:customStyle="1" w:styleId="Sylfaen1">
    <w:name w:val="Основной текст + Sylfaen1"/>
    <w:rsid w:val="00060470"/>
    <w:rPr>
      <w:rFonts w:ascii="Sylfaen" w:hAnsi="Sylfaen" w:cs="Sylfaen"/>
      <w:spacing w:val="20"/>
      <w:w w:val="80"/>
      <w:sz w:val="20"/>
      <w:szCs w:val="20"/>
      <w:u w:val="none"/>
      <w:shd w:val="clear" w:color="auto" w:fill="FFFFFF"/>
    </w:rPr>
  </w:style>
  <w:style w:type="character" w:customStyle="1" w:styleId="ad">
    <w:name w:val="Основной текст + Полужирный"/>
    <w:rsid w:val="00060470"/>
    <w:rPr>
      <w:rFonts w:ascii="Sylfaen" w:hAnsi="Sylfaen" w:cs="Sylfaen"/>
      <w:b/>
      <w:bCs/>
      <w:spacing w:val="20"/>
      <w:w w:val="80"/>
      <w:sz w:val="21"/>
      <w:szCs w:val="21"/>
      <w:u w:val="none"/>
      <w:shd w:val="clear" w:color="auto" w:fill="FFFFFF"/>
    </w:rPr>
  </w:style>
  <w:style w:type="character" w:customStyle="1" w:styleId="ListLabel1">
    <w:name w:val="ListLabel 1"/>
    <w:rsid w:val="00060470"/>
    <w:rPr>
      <w:rFonts w:eastAsia="Times New Roman"/>
      <w:color w:val="000000"/>
    </w:rPr>
  </w:style>
  <w:style w:type="character" w:customStyle="1" w:styleId="ListLabel2">
    <w:name w:val="ListLabel 2"/>
    <w:rsid w:val="00060470"/>
  </w:style>
  <w:style w:type="character" w:customStyle="1" w:styleId="ListLabel3">
    <w:name w:val="ListLabel 3"/>
    <w:rsid w:val="00060470"/>
  </w:style>
  <w:style w:type="character" w:customStyle="1" w:styleId="ListLabel4">
    <w:name w:val="ListLabel 4"/>
    <w:rsid w:val="00060470"/>
  </w:style>
  <w:style w:type="character" w:customStyle="1" w:styleId="ListLabel5">
    <w:name w:val="ListLabel 5"/>
    <w:rsid w:val="00060470"/>
    <w:rPr>
      <w:color w:val="auto"/>
    </w:rPr>
  </w:style>
  <w:style w:type="character" w:customStyle="1" w:styleId="ListLabel6">
    <w:name w:val="ListLabel 6"/>
    <w:rsid w:val="00060470"/>
    <w:rPr>
      <w:b/>
      <w:i/>
    </w:rPr>
  </w:style>
  <w:style w:type="character" w:customStyle="1" w:styleId="ListLabel7">
    <w:name w:val="ListLabel 7"/>
    <w:rsid w:val="00060470"/>
    <w:rPr>
      <w:sz w:val="24"/>
    </w:rPr>
  </w:style>
  <w:style w:type="character" w:customStyle="1" w:styleId="ListLabel8">
    <w:name w:val="ListLabel 8"/>
    <w:rsid w:val="00060470"/>
    <w:rPr>
      <w:rFonts w:eastAsia="Times New Roman"/>
    </w:rPr>
  </w:style>
  <w:style w:type="paragraph" w:customStyle="1" w:styleId="Heading">
    <w:name w:val="Heading"/>
    <w:basedOn w:val="Normal"/>
    <w:next w:val="BodyText"/>
    <w:rsid w:val="00060470"/>
    <w:pPr>
      <w:keepNext/>
      <w:suppressAutoHyphens/>
      <w:spacing w:before="240" w:after="120" w:line="276" w:lineRule="auto"/>
      <w:ind w:firstLine="0"/>
      <w:contextualSpacing w:val="0"/>
      <w:jc w:val="left"/>
    </w:pPr>
    <w:rPr>
      <w:rFonts w:ascii="Liberation Sans" w:hAnsi="Liberation Sans" w:cs="Liberation Sans"/>
      <w:kern w:val="1"/>
      <w:sz w:val="28"/>
      <w:szCs w:val="28"/>
      <w:lang w:val="en-US" w:eastAsia="en-US"/>
    </w:rPr>
  </w:style>
  <w:style w:type="paragraph" w:styleId="List">
    <w:name w:val="List"/>
    <w:basedOn w:val="BodyText"/>
    <w:rsid w:val="00060470"/>
    <w:pPr>
      <w:suppressAutoHyphens/>
      <w:spacing w:before="0" w:after="120" w:line="288" w:lineRule="auto"/>
      <w:ind w:firstLine="0"/>
      <w:contextualSpacing w:val="0"/>
      <w:jc w:val="left"/>
    </w:pPr>
    <w:rPr>
      <w:rFonts w:ascii="GHEA Grapalat" w:hAnsi="GHEA Grapalat" w:cs="GHEA Grapalat"/>
      <w:kern w:val="1"/>
      <w:sz w:val="22"/>
      <w:szCs w:val="22"/>
    </w:rPr>
  </w:style>
  <w:style w:type="paragraph" w:customStyle="1" w:styleId="Index">
    <w:name w:val="Index"/>
    <w:basedOn w:val="Normal"/>
    <w:rsid w:val="00060470"/>
    <w:pPr>
      <w:suppressLineNumbers/>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ae">
    <w:name w:val="Стиль Знак"/>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1f0">
    <w:name w:val="Без интервала1"/>
    <w:qFormat/>
    <w:rsid w:val="00060470"/>
    <w:pPr>
      <w:suppressAutoHyphens/>
    </w:pPr>
    <w:rPr>
      <w:rFonts w:ascii="GHEA Grapalat" w:hAnsi="GHEA Grapalat" w:cs="GHEA Grapalat"/>
      <w:kern w:val="1"/>
      <w:sz w:val="22"/>
      <w:szCs w:val="22"/>
    </w:rPr>
  </w:style>
  <w:style w:type="paragraph" w:customStyle="1" w:styleId="Iacaaiea">
    <w:name w:val="Iacaaiea"/>
    <w:basedOn w:val="Normal"/>
    <w:rsid w:val="00060470"/>
    <w:pPr>
      <w:widowControl w:val="0"/>
      <w:suppressAutoHyphens/>
      <w:spacing w:before="0" w:line="240" w:lineRule="auto"/>
      <w:ind w:firstLine="0"/>
      <w:contextualSpacing w:val="0"/>
      <w:jc w:val="center"/>
    </w:pPr>
    <w:rPr>
      <w:rFonts w:ascii="Times LatArm" w:hAnsi="Times LatArm" w:cs="Times LatArm"/>
      <w:kern w:val="1"/>
      <w:sz w:val="24"/>
      <w:lang w:val="en-US" w:eastAsia="en-US"/>
    </w:rPr>
  </w:style>
  <w:style w:type="paragraph" w:customStyle="1" w:styleId="1f1">
    <w:name w:val="Основной текст1"/>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29">
    <w:name w:val="Основной текст (2)"/>
    <w:basedOn w:val="Normal"/>
    <w:rsid w:val="00060470"/>
    <w:pPr>
      <w:suppressAutoHyphens/>
      <w:spacing w:before="0" w:after="200" w:line="276" w:lineRule="auto"/>
      <w:ind w:firstLine="0"/>
      <w:contextualSpacing w:val="0"/>
      <w:jc w:val="left"/>
    </w:pPr>
    <w:rPr>
      <w:rFonts w:ascii="Sylfaen" w:hAnsi="Sylfaen" w:cs="Sylfaen"/>
      <w:i/>
      <w:iCs/>
      <w:kern w:val="1"/>
      <w:sz w:val="20"/>
      <w:szCs w:val="20"/>
      <w:shd w:val="clear" w:color="auto" w:fill="FFFFFF"/>
    </w:rPr>
  </w:style>
  <w:style w:type="paragraph" w:customStyle="1" w:styleId="35">
    <w:name w:val="Основной текст (3)"/>
    <w:basedOn w:val="Normal"/>
    <w:rsid w:val="00060470"/>
    <w:pPr>
      <w:suppressAutoHyphens/>
      <w:spacing w:before="0" w:after="200" w:line="276" w:lineRule="auto"/>
      <w:ind w:firstLine="0"/>
      <w:contextualSpacing w:val="0"/>
      <w:jc w:val="left"/>
    </w:pPr>
    <w:rPr>
      <w:rFonts w:ascii="Sylfaen" w:hAnsi="Sylfaen" w:cs="Sylfaen"/>
      <w:spacing w:val="20"/>
      <w:w w:val="80"/>
      <w:kern w:val="1"/>
      <w:sz w:val="21"/>
      <w:szCs w:val="21"/>
      <w:shd w:val="clear" w:color="auto" w:fill="FFFFFF"/>
    </w:rPr>
  </w:style>
  <w:style w:type="paragraph" w:customStyle="1" w:styleId="43">
    <w:name w:val="Основной текст (4)"/>
    <w:basedOn w:val="Normal"/>
    <w:rsid w:val="00060470"/>
    <w:pPr>
      <w:suppressAutoHyphens/>
      <w:spacing w:before="0" w:after="200" w:line="276" w:lineRule="auto"/>
      <w:ind w:firstLine="0"/>
      <w:contextualSpacing w:val="0"/>
      <w:jc w:val="left"/>
    </w:pPr>
    <w:rPr>
      <w:rFonts w:ascii="Sylfaen" w:hAnsi="Sylfaen" w:cs="Sylfaen"/>
      <w:spacing w:val="20"/>
      <w:w w:val="80"/>
      <w:kern w:val="1"/>
      <w:sz w:val="20"/>
      <w:szCs w:val="20"/>
      <w:shd w:val="clear" w:color="auto" w:fill="FFFFFF"/>
    </w:rPr>
  </w:style>
  <w:style w:type="paragraph" w:customStyle="1" w:styleId="1f2">
    <w:name w:val="Заголовок №1"/>
    <w:basedOn w:val="Normal"/>
    <w:rsid w:val="00060470"/>
    <w:pPr>
      <w:suppressAutoHyphens/>
      <w:spacing w:before="0" w:after="200" w:line="276" w:lineRule="auto"/>
      <w:ind w:firstLine="0"/>
      <w:contextualSpacing w:val="0"/>
      <w:jc w:val="left"/>
    </w:pPr>
    <w:rPr>
      <w:rFonts w:ascii="Sylfaen" w:hAnsi="Sylfaen" w:cs="Sylfaen"/>
      <w:i/>
      <w:iCs/>
      <w:spacing w:val="-30"/>
      <w:kern w:val="1"/>
      <w:sz w:val="31"/>
      <w:szCs w:val="31"/>
      <w:shd w:val="clear" w:color="auto" w:fill="FFFFFF"/>
    </w:rPr>
  </w:style>
  <w:style w:type="paragraph" w:customStyle="1" w:styleId="CharCharCharCharChar11">
    <w:name w:val="Char Char Char Знак Знак Char Char Знак Знак1"/>
    <w:basedOn w:val="Normal"/>
    <w:rsid w:val="00060470"/>
    <w:pPr>
      <w:suppressAutoHyphens/>
      <w:spacing w:before="0" w:after="160" w:line="240" w:lineRule="exact"/>
      <w:ind w:firstLine="0"/>
      <w:contextualSpacing w:val="0"/>
      <w:jc w:val="left"/>
    </w:pPr>
    <w:rPr>
      <w:rFonts w:ascii="Arial" w:hAnsi="Arial" w:cs="Arial"/>
      <w:kern w:val="1"/>
      <w:sz w:val="20"/>
      <w:szCs w:val="20"/>
      <w:lang w:val="en-US" w:eastAsia="en-US"/>
    </w:rPr>
  </w:style>
  <w:style w:type="paragraph" w:customStyle="1" w:styleId="FrameContents">
    <w:name w:val="Frame Contents"/>
    <w:basedOn w:val="Normal"/>
    <w:rsid w:val="00060470"/>
    <w:pPr>
      <w:suppressAutoHyphens/>
      <w:spacing w:before="0" w:after="200" w:line="276" w:lineRule="auto"/>
      <w:ind w:firstLine="0"/>
      <w:contextualSpacing w:val="0"/>
      <w:jc w:val="left"/>
    </w:pPr>
    <w:rPr>
      <w:rFonts w:ascii="Calibri" w:hAnsi="Calibri" w:cs="Calibri"/>
      <w:kern w:val="1"/>
      <w:szCs w:val="22"/>
      <w:lang w:val="en-US" w:eastAsia="en-US"/>
    </w:rPr>
  </w:style>
  <w:style w:type="paragraph" w:customStyle="1" w:styleId="NoSpacing2">
    <w:name w:val="No Spacing2"/>
    <w:rsid w:val="00060470"/>
    <w:rPr>
      <w:rFonts w:ascii="Arial Armenian" w:hAnsi="Arial Armenian" w:cs="Arial Armenian"/>
      <w:sz w:val="24"/>
      <w:szCs w:val="24"/>
      <w:lang w:val="ru-RU"/>
    </w:rPr>
  </w:style>
  <w:style w:type="character" w:customStyle="1" w:styleId="user-name">
    <w:name w:val="user-name"/>
    <w:rsid w:val="00060470"/>
    <w:rPr>
      <w:rFonts w:cs="Times New Roman"/>
    </w:rPr>
  </w:style>
  <w:style w:type="character" w:customStyle="1" w:styleId="Heading2Char2">
    <w:name w:val="Heading 2 Char2"/>
    <w:aliases w:val="Paranum Char2,(Chapter) Char2,(Chapter) Char Char"/>
    <w:locked/>
    <w:rsid w:val="00060470"/>
    <w:rPr>
      <w:rFonts w:ascii="Cambria" w:hAnsi="Cambria" w:cs="Times New Roman"/>
      <w:b/>
      <w:color w:val="4F81BD"/>
      <w:sz w:val="26"/>
    </w:rPr>
  </w:style>
  <w:style w:type="character" w:customStyle="1" w:styleId="BodyTextChar3">
    <w:name w:val="Body Text Char3"/>
    <w:aliases w:val="(Main Text) Char3,date Char3,Body Text (Main text) Char3,Body Text (Main text) Char Char"/>
    <w:semiHidden/>
    <w:locked/>
    <w:rsid w:val="00060470"/>
    <w:rPr>
      <w:rFonts w:ascii="Times New Roman" w:hAnsi="Times New Roman" w:cs="Times New Roman"/>
      <w:sz w:val="24"/>
      <w:szCs w:val="24"/>
    </w:rPr>
  </w:style>
  <w:style w:type="character" w:customStyle="1" w:styleId="BodyTextChar2">
    <w:name w:val="Body Text Char2"/>
    <w:aliases w:val="(Main Text) Char2,date Char2,Body Text (Main text) Char2"/>
    <w:locked/>
    <w:rsid w:val="00060470"/>
    <w:rPr>
      <w:rFonts w:ascii="Times New Roman" w:hAnsi="Times New Roman" w:cs="Times New Roman"/>
      <w:sz w:val="24"/>
    </w:rPr>
  </w:style>
  <w:style w:type="character" w:customStyle="1" w:styleId="fsl">
    <w:name w:val="fsl"/>
    <w:rsid w:val="00060470"/>
  </w:style>
  <w:style w:type="paragraph" w:styleId="IntenseQuote">
    <w:name w:val="Intense Quote"/>
    <w:basedOn w:val="Normal"/>
    <w:next w:val="Normal"/>
    <w:link w:val="IntenseQuoteChar"/>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IntenseQuoteChar">
    <w:name w:val="Intense Quote Char"/>
    <w:basedOn w:val="DefaultParagraphFont"/>
    <w:link w:val="IntenseQuote"/>
    <w:rsid w:val="00060470"/>
    <w:rPr>
      <w:b/>
      <w:bCs/>
      <w:i/>
      <w:iCs/>
      <w:color w:val="4F81BD"/>
      <w:sz w:val="24"/>
      <w:szCs w:val="24"/>
    </w:rPr>
  </w:style>
  <w:style w:type="character" w:styleId="SubtleEmphasis">
    <w:name w:val="Subtle Emphasis"/>
    <w:qFormat/>
    <w:rsid w:val="00060470"/>
    <w:rPr>
      <w:rFonts w:cs="Times New Roman"/>
      <w:i/>
      <w:iCs/>
      <w:color w:val="808080"/>
    </w:rPr>
  </w:style>
  <w:style w:type="character" w:styleId="SubtleReference">
    <w:name w:val="Subtle Reference"/>
    <w:qFormat/>
    <w:rsid w:val="00060470"/>
    <w:rPr>
      <w:rFonts w:cs="Times New Roman"/>
      <w:smallCaps/>
      <w:color w:val="C0504D"/>
      <w:u w:val="single"/>
    </w:rPr>
  </w:style>
  <w:style w:type="character" w:styleId="IntenseReference">
    <w:name w:val="Intense Reference"/>
    <w:qFormat/>
    <w:rsid w:val="00060470"/>
    <w:rPr>
      <w:rFonts w:cs="Times New Roman"/>
      <w:b/>
      <w:bCs/>
      <w:smallCaps/>
      <w:color w:val="C0504D"/>
      <w:spacing w:val="5"/>
      <w:u w:val="single"/>
    </w:rPr>
  </w:style>
  <w:style w:type="character" w:styleId="BookTitle">
    <w:name w:val="Book Title"/>
    <w:qFormat/>
    <w:rsid w:val="00060470"/>
    <w:rPr>
      <w:rFonts w:cs="Times New Roman"/>
      <w:b/>
      <w:bCs/>
      <w:smallCaps/>
      <w:spacing w:val="5"/>
    </w:rPr>
  </w:style>
  <w:style w:type="paragraph" w:customStyle="1" w:styleId="ColorfulList-Accent11">
    <w:name w:val="Colorful List - Accent 11"/>
    <w:basedOn w:val="Normal"/>
    <w:qFormat/>
    <w:rsid w:val="00060470"/>
    <w:pPr>
      <w:spacing w:before="0" w:after="200" w:line="276" w:lineRule="auto"/>
      <w:ind w:left="720" w:firstLine="0"/>
      <w:jc w:val="left"/>
    </w:pPr>
    <w:rPr>
      <w:rFonts w:ascii="Calibri" w:eastAsia="Calibri" w:hAnsi="Calibri"/>
      <w:szCs w:val="22"/>
      <w:lang w:eastAsia="en-US"/>
    </w:rPr>
  </w:style>
  <w:style w:type="character" w:customStyle="1" w:styleId="spellingerror">
    <w:name w:val="spellingerror"/>
    <w:rsid w:val="00060470"/>
  </w:style>
  <w:style w:type="character" w:customStyle="1" w:styleId="CharChar31">
    <w:name w:val="Char Char31"/>
    <w:locked/>
    <w:rsid w:val="00060470"/>
    <w:rPr>
      <w:sz w:val="22"/>
      <w:lang w:val="en-GB" w:eastAsia="en-US"/>
    </w:rPr>
  </w:style>
  <w:style w:type="character" w:customStyle="1" w:styleId="red-block">
    <w:name w:val="red-block"/>
    <w:rsid w:val="00060470"/>
    <w:rPr>
      <w:rFonts w:cs="Times New Roman"/>
    </w:rPr>
  </w:style>
  <w:style w:type="character" w:customStyle="1" w:styleId="accent">
    <w:name w:val="accent"/>
    <w:rsid w:val="00060470"/>
    <w:rPr>
      <w:rFonts w:cs="Times New Roman"/>
    </w:rPr>
  </w:style>
  <w:style w:type="character" w:customStyle="1" w:styleId="FontStyle37">
    <w:name w:val="Font Style37"/>
    <w:rsid w:val="00060470"/>
    <w:rPr>
      <w:rFonts w:ascii="Sylfaen" w:hAnsi="Sylfaen"/>
      <w:sz w:val="22"/>
    </w:rPr>
  </w:style>
  <w:style w:type="numbering" w:customStyle="1" w:styleId="NoList4">
    <w:name w:val="No List4"/>
    <w:next w:val="NoList"/>
    <w:semiHidden/>
    <w:rsid w:val="00060470"/>
  </w:style>
  <w:style w:type="paragraph" w:customStyle="1" w:styleId="StyleHeading3Sub-ChapterCenteredtextHeading3CharCharC1">
    <w:name w:val="Style Heading 3(Sub-Chapter)Centered(text)Heading 3 Char Char C...1"/>
    <w:basedOn w:val="Heading3"/>
    <w:rsid w:val="00060470"/>
    <w:pPr>
      <w:widowControl w:val="0"/>
      <w:tabs>
        <w:tab w:val="left" w:pos="624"/>
      </w:tabs>
      <w:spacing w:before="120"/>
      <w:ind w:right="301"/>
      <w:contextualSpacing w:val="0"/>
    </w:pPr>
    <w:rPr>
      <w:rFonts w:cs="Times New Roman"/>
      <w:color w:val="000000"/>
      <w:szCs w:val="22"/>
      <w:u w:val="single"/>
      <w:lang w:val="es-ES"/>
    </w:rPr>
  </w:style>
  <w:style w:type="paragraph" w:customStyle="1" w:styleId="1MTEF">
    <w:name w:val="1. MTEF"/>
    <w:basedOn w:val="StyleStyleHeading1SectionSectionHeadingText11Chapterhead31"/>
    <w:rsid w:val="00060470"/>
    <w:rPr>
      <w:b/>
      <w:bCs/>
    </w:rPr>
  </w:style>
  <w:style w:type="character" w:customStyle="1" w:styleId="CharChar35">
    <w:name w:val="Char Char35"/>
    <w:rsid w:val="00060470"/>
    <w:rPr>
      <w:rFonts w:ascii="Arial Armenian" w:hAnsi="Arial Armenian"/>
      <w:i/>
      <w:sz w:val="22"/>
      <w:u w:val="single"/>
      <w:lang w:val="en-GB"/>
    </w:rPr>
  </w:style>
  <w:style w:type="character" w:customStyle="1" w:styleId="CharChar34">
    <w:name w:val="Char Char34"/>
    <w:rsid w:val="00060470"/>
    <w:rPr>
      <w:rFonts w:ascii="Garamond" w:hAnsi="Garamond"/>
      <w:i/>
      <w:spacing w:val="-5"/>
      <w:sz w:val="28"/>
      <w:shd w:val="pct5" w:color="auto" w:fill="auto"/>
      <w:lang w:val="en-GB"/>
    </w:rPr>
  </w:style>
  <w:style w:type="character" w:customStyle="1" w:styleId="CharChar33">
    <w:name w:val="Char Char33"/>
    <w:rsid w:val="00060470"/>
    <w:rPr>
      <w:rFonts w:ascii="Arial Black" w:hAnsi="Arial Black"/>
      <w:caps/>
      <w:spacing w:val="60"/>
      <w:position w:val="4"/>
      <w:sz w:val="14"/>
      <w:lang w:val="en-GB"/>
    </w:rPr>
  </w:style>
  <w:style w:type="character" w:customStyle="1" w:styleId="CharChar32">
    <w:name w:val="Char Char32"/>
    <w:rsid w:val="00060470"/>
    <w:rPr>
      <w:rFonts w:ascii="Garamond" w:hAnsi="Garamond"/>
      <w:b/>
      <w:i/>
      <w:kern w:val="28"/>
      <w:lang w:val="en-GB"/>
    </w:rPr>
  </w:style>
  <w:style w:type="character" w:customStyle="1" w:styleId="CharChar30">
    <w:name w:val="Char Char30"/>
    <w:rsid w:val="00060470"/>
    <w:rPr>
      <w:rFonts w:ascii="Arial Armenian" w:hAnsi="Arial Armenian"/>
      <w:lang w:val="en-GB" w:eastAsia="en-US" w:bidi="ar-SA"/>
    </w:rPr>
  </w:style>
  <w:style w:type="character" w:customStyle="1" w:styleId="CharChar29">
    <w:name w:val="Char Char29"/>
    <w:rsid w:val="00060470"/>
    <w:rPr>
      <w:rFonts w:ascii="Arial Armenian" w:hAnsi="Arial Armenian"/>
      <w:lang w:val="ru-RU" w:eastAsia="ru-RU" w:bidi="ar-SA"/>
    </w:rPr>
  </w:style>
  <w:style w:type="paragraph" w:customStyle="1" w:styleId="CharChar5CharCharCharCharCharChar">
    <w:name w:val="Char Char5 Char Char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paragraph" w:customStyle="1" w:styleId="CharChar5CharCharCharChar">
    <w:name w:val="Char Char5 Char Char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table" w:styleId="Table3Deffects3">
    <w:name w:val="Table 3D effects 3"/>
    <w:basedOn w:val="TableNormal"/>
    <w:uiPriority w:val="99"/>
    <w:rsid w:val="0006047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harChar5CharChar">
    <w:name w:val="Char Char5 Char Char"/>
    <w:basedOn w:val="Normal"/>
    <w:rsid w:val="00060470"/>
    <w:pPr>
      <w:tabs>
        <w:tab w:val="left" w:pos="709"/>
      </w:tabs>
      <w:spacing w:before="0" w:line="240" w:lineRule="auto"/>
      <w:ind w:firstLine="0"/>
      <w:contextualSpacing w:val="0"/>
      <w:jc w:val="left"/>
    </w:pPr>
    <w:rPr>
      <w:rFonts w:ascii="Tahoma" w:hAnsi="Tahoma"/>
      <w:sz w:val="24"/>
      <w:lang w:val="pl-PL" w:eastAsia="pl-PL"/>
    </w:rPr>
  </w:style>
  <w:style w:type="character" w:customStyle="1" w:styleId="tocnumber">
    <w:name w:val="tocnumber"/>
    <w:rsid w:val="00060470"/>
  </w:style>
  <w:style w:type="character" w:customStyle="1" w:styleId="toctext">
    <w:name w:val="toctext"/>
    <w:rsid w:val="00060470"/>
  </w:style>
  <w:style w:type="character" w:customStyle="1" w:styleId="mw-editsection">
    <w:name w:val="mw-editsection"/>
    <w:rsid w:val="00060470"/>
  </w:style>
  <w:style w:type="character" w:customStyle="1" w:styleId="mw-editsection-bracket">
    <w:name w:val="mw-editsection-bracket"/>
    <w:rsid w:val="00060470"/>
  </w:style>
  <w:style w:type="character" w:customStyle="1" w:styleId="mw-editsection-divider">
    <w:name w:val="mw-editsection-divider"/>
    <w:rsid w:val="00060470"/>
  </w:style>
  <w:style w:type="character" w:customStyle="1" w:styleId="reference-text">
    <w:name w:val="reference-text"/>
    <w:rsid w:val="00060470"/>
  </w:style>
  <w:style w:type="paragraph" w:styleId="z-TopofForm">
    <w:name w:val="HTML Top of Form"/>
    <w:basedOn w:val="Normal"/>
    <w:next w:val="Normal"/>
    <w:link w:val="z-TopofFormChar"/>
    <w:hidden/>
    <w:uiPriority w:val="99"/>
    <w:unhideWhenUsed/>
    <w:rsid w:val="00060470"/>
    <w:pPr>
      <w:pBdr>
        <w:bottom w:val="single" w:sz="6" w:space="1" w:color="auto"/>
      </w:pBdr>
      <w:spacing w:before="0" w:line="240" w:lineRule="auto"/>
      <w:ind w:firstLine="0"/>
      <w:contextualSpacing w:val="0"/>
      <w:jc w:val="center"/>
    </w:pPr>
    <w:rPr>
      <w:rFonts w:ascii="Arial" w:hAnsi="Arial"/>
      <w:vanish/>
      <w:sz w:val="16"/>
      <w:szCs w:val="16"/>
    </w:rPr>
  </w:style>
  <w:style w:type="character" w:customStyle="1" w:styleId="z-TopofFormChar">
    <w:name w:val="z-Top of Form Char"/>
    <w:basedOn w:val="DefaultParagraphFont"/>
    <w:link w:val="z-TopofForm"/>
    <w:uiPriority w:val="99"/>
    <w:rsid w:val="00060470"/>
    <w:rPr>
      <w:rFonts w:ascii="Arial" w:hAnsi="Arial"/>
      <w:vanish/>
      <w:sz w:val="16"/>
      <w:szCs w:val="16"/>
    </w:rPr>
  </w:style>
  <w:style w:type="paragraph" w:styleId="z-BottomofForm">
    <w:name w:val="HTML Bottom of Form"/>
    <w:basedOn w:val="Normal"/>
    <w:next w:val="Normal"/>
    <w:link w:val="z-BottomofFormChar"/>
    <w:hidden/>
    <w:uiPriority w:val="99"/>
    <w:unhideWhenUsed/>
    <w:rsid w:val="00060470"/>
    <w:pPr>
      <w:pBdr>
        <w:top w:val="single" w:sz="6" w:space="1" w:color="auto"/>
      </w:pBdr>
      <w:spacing w:before="0" w:line="240" w:lineRule="auto"/>
      <w:ind w:firstLine="0"/>
      <w:contextualSpacing w:val="0"/>
      <w:jc w:val="center"/>
    </w:pPr>
    <w:rPr>
      <w:rFonts w:ascii="Arial" w:hAnsi="Arial"/>
      <w:vanish/>
      <w:sz w:val="16"/>
      <w:szCs w:val="16"/>
    </w:rPr>
  </w:style>
  <w:style w:type="character" w:customStyle="1" w:styleId="z-BottomofFormChar">
    <w:name w:val="z-Bottom of Form Char"/>
    <w:basedOn w:val="DefaultParagraphFont"/>
    <w:link w:val="z-BottomofForm"/>
    <w:uiPriority w:val="99"/>
    <w:rsid w:val="00060470"/>
    <w:rPr>
      <w:rFonts w:ascii="Arial" w:hAnsi="Arial"/>
      <w:vanish/>
      <w:sz w:val="16"/>
      <w:szCs w:val="16"/>
    </w:rPr>
  </w:style>
  <w:style w:type="character" w:customStyle="1" w:styleId="wb-langlinks-edit">
    <w:name w:val="wb-langlinks-edit"/>
    <w:rsid w:val="00060470"/>
  </w:style>
  <w:style w:type="character" w:customStyle="1" w:styleId="noprint">
    <w:name w:val="noprint"/>
    <w:rsid w:val="00060470"/>
  </w:style>
  <w:style w:type="character" w:customStyle="1" w:styleId="pg">
    <w:name w:val="pg"/>
    <w:rsid w:val="00060470"/>
  </w:style>
  <w:style w:type="paragraph" w:customStyle="1" w:styleId="DecimalAligned">
    <w:name w:val="Decimal Aligned"/>
    <w:basedOn w:val="Normal"/>
    <w:uiPriority w:val="40"/>
    <w:qFormat/>
    <w:rsid w:val="00060470"/>
    <w:pPr>
      <w:tabs>
        <w:tab w:val="decimal" w:pos="360"/>
      </w:tabs>
      <w:spacing w:before="0" w:after="200" w:line="276" w:lineRule="auto"/>
      <w:ind w:firstLine="0"/>
      <w:contextualSpacing w:val="0"/>
      <w:jc w:val="left"/>
    </w:pPr>
    <w:rPr>
      <w:rFonts w:ascii="Calibri" w:eastAsia="Calibri" w:hAnsi="Calibri"/>
      <w:szCs w:val="22"/>
      <w:lang w:val="en-US" w:eastAsia="ja-JP"/>
    </w:rPr>
  </w:style>
  <w:style w:type="paragraph" w:styleId="HTMLPreformatted">
    <w:name w:val="HTML Preformatted"/>
    <w:basedOn w:val="Normal"/>
    <w:link w:val="HTMLPreformattedChar"/>
    <w:uiPriority w:val="99"/>
    <w:unhideWhenUsed/>
    <w:rsid w:val="000604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ind w:firstLine="0"/>
      <w:contextualSpacing w:val="0"/>
      <w:jc w:val="left"/>
    </w:pPr>
    <w:rPr>
      <w:rFonts w:ascii="Arial Unicode" w:hAnsi="Arial Unicode"/>
      <w:sz w:val="20"/>
      <w:szCs w:val="20"/>
    </w:rPr>
  </w:style>
  <w:style w:type="character" w:customStyle="1" w:styleId="HTMLPreformattedChar">
    <w:name w:val="HTML Preformatted Char"/>
    <w:basedOn w:val="DefaultParagraphFont"/>
    <w:link w:val="HTMLPreformatted"/>
    <w:uiPriority w:val="99"/>
    <w:rsid w:val="00060470"/>
    <w:rPr>
      <w:rFonts w:ascii="Arial Unicode" w:hAnsi="Arial Unicode"/>
    </w:rPr>
  </w:style>
  <w:style w:type="paragraph" w:customStyle="1" w:styleId="StyleCaption11pt">
    <w:name w:val="Style Caption + 11 pt"/>
    <w:basedOn w:val="Caption"/>
    <w:link w:val="StyleCaption11ptChar"/>
    <w:rsid w:val="00060470"/>
    <w:pPr>
      <w:spacing w:before="360" w:after="120" w:line="240" w:lineRule="auto"/>
      <w:ind w:left="1350" w:hanging="1350"/>
      <w:contextualSpacing w:val="0"/>
      <w:jc w:val="left"/>
    </w:pPr>
    <w:rPr>
      <w:color w:val="auto"/>
      <w:sz w:val="20"/>
      <w:szCs w:val="20"/>
    </w:rPr>
  </w:style>
  <w:style w:type="character" w:customStyle="1" w:styleId="StyleCaption11ptChar">
    <w:name w:val="Style Caption + 11 pt Char"/>
    <w:link w:val="StyleCaption11pt"/>
    <w:rsid w:val="00060470"/>
    <w:rPr>
      <w:rFonts w:ascii="GHEA Grapalat" w:hAnsi="GHEA Grapalat"/>
      <w:b/>
      <w:bCs/>
      <w:lang w:eastAsia="ru-RU"/>
    </w:rPr>
  </w:style>
  <w:style w:type="paragraph" w:customStyle="1" w:styleId="StyleHeading3GHEAGrapalatJustified">
    <w:name w:val="Style Heading 3 + GHEA Grapalat Justified"/>
    <w:basedOn w:val="Heading3"/>
    <w:rsid w:val="00060470"/>
    <w:pPr>
      <w:tabs>
        <w:tab w:val="num" w:pos="384"/>
        <w:tab w:val="num" w:pos="737"/>
      </w:tabs>
      <w:spacing w:after="240"/>
      <w:ind w:left="1248" w:hanging="708"/>
      <w:contextualSpacing w:val="0"/>
    </w:pPr>
    <w:rPr>
      <w:rFonts w:cs="Times New Roman"/>
      <w:szCs w:val="22"/>
      <w:lang w:eastAsia="ru-RU"/>
    </w:rPr>
  </w:style>
  <w:style w:type="paragraph" w:customStyle="1" w:styleId="TitleNew">
    <w:name w:val="Title New"/>
    <w:basedOn w:val="Normal"/>
    <w:rsid w:val="00060470"/>
    <w:pPr>
      <w:widowControl w:val="0"/>
      <w:spacing w:before="0" w:line="360" w:lineRule="atLeast"/>
      <w:ind w:firstLine="0"/>
      <w:contextualSpacing w:val="0"/>
    </w:pPr>
    <w:rPr>
      <w:rFonts w:ascii="Times New Roman" w:eastAsia="ヒラギノ角ゴ Pro W3" w:hAnsi="Times New Roman"/>
      <w:b w:val="0"/>
      <w:color w:val="000000"/>
      <w:sz w:val="44"/>
      <w:lang w:val="en-US" w:eastAsia="en-US"/>
    </w:rPr>
  </w:style>
  <w:style w:type="paragraph" w:customStyle="1" w:styleId="36">
    <w:name w:val="Абзац списка3"/>
    <w:basedOn w:val="Normal"/>
    <w:uiPriority w:val="99"/>
    <w:qFormat/>
    <w:rsid w:val="00060470"/>
    <w:pPr>
      <w:spacing w:before="0" w:line="240" w:lineRule="auto"/>
      <w:ind w:left="720" w:firstLine="0"/>
      <w:jc w:val="left"/>
    </w:pPr>
    <w:rPr>
      <w:rFonts w:ascii="Times New Roman" w:hAnsi="Times New Roman"/>
      <w:sz w:val="24"/>
    </w:rPr>
  </w:style>
  <w:style w:type="character" w:customStyle="1" w:styleId="37">
    <w:name w:val="Основной текст3"/>
    <w:rsid w:val="00060470"/>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NormalGHEAGrapalat">
    <w:name w:val="Normal + GHEA Grapalat"/>
    <w:aliases w:val="11 pt,Bold,Italic"/>
    <w:basedOn w:val="Normal"/>
    <w:rsid w:val="00060470"/>
    <w:pPr>
      <w:autoSpaceDE w:val="0"/>
      <w:autoSpaceDN w:val="0"/>
      <w:adjustRightInd w:val="0"/>
      <w:spacing w:before="0" w:line="240" w:lineRule="auto"/>
      <w:ind w:firstLine="180"/>
      <w:contextualSpacing w:val="0"/>
    </w:pPr>
    <w:rPr>
      <w:b w:val="0"/>
      <w:i/>
      <w:szCs w:val="22"/>
      <w:lang w:val="hy-AM"/>
    </w:rPr>
  </w:style>
  <w:style w:type="character" w:customStyle="1" w:styleId="CommentTextChar2">
    <w:name w:val="Comment Text Char2"/>
    <w:rsid w:val="00060470"/>
    <w:rPr>
      <w:rFonts w:ascii="Arial Armenian" w:hAnsi="Arial Armenian"/>
      <w:lang w:val="ru-RU" w:eastAsia="ru-RU" w:bidi="ar-SA"/>
    </w:rPr>
  </w:style>
  <w:style w:type="character" w:customStyle="1" w:styleId="BalloonTextChar2">
    <w:name w:val="Balloon Text Char2"/>
    <w:rsid w:val="00060470"/>
    <w:rPr>
      <w:rFonts w:ascii="Tahoma" w:hAnsi="Tahoma"/>
      <w:sz w:val="16"/>
      <w:szCs w:val="16"/>
      <w:lang w:bidi="ar-SA"/>
    </w:rPr>
  </w:style>
  <w:style w:type="character" w:customStyle="1" w:styleId="Bodytext20">
    <w:name w:val="Body text (2)_"/>
    <w:link w:val="Bodytext21"/>
    <w:uiPriority w:val="99"/>
    <w:locked/>
    <w:rsid w:val="00060470"/>
    <w:rPr>
      <w:rFonts w:ascii="Tahoma" w:hAnsi="Tahoma" w:cs="Tahoma"/>
      <w:sz w:val="21"/>
      <w:szCs w:val="21"/>
      <w:shd w:val="clear" w:color="auto" w:fill="FFFFFF"/>
    </w:rPr>
  </w:style>
  <w:style w:type="paragraph" w:customStyle="1" w:styleId="Bodytext21">
    <w:name w:val="Body text (2)"/>
    <w:basedOn w:val="Normal"/>
    <w:link w:val="Bodytext20"/>
    <w:uiPriority w:val="99"/>
    <w:rsid w:val="00060470"/>
    <w:pPr>
      <w:widowControl w:val="0"/>
      <w:shd w:val="clear" w:color="auto" w:fill="FFFFFF"/>
      <w:spacing w:before="720" w:line="485" w:lineRule="exact"/>
      <w:ind w:firstLine="0"/>
      <w:contextualSpacing w:val="0"/>
    </w:pPr>
    <w:rPr>
      <w:rFonts w:ascii="Tahoma" w:hAnsi="Tahoma" w:cs="Tahoma"/>
      <w:sz w:val="21"/>
      <w:szCs w:val="21"/>
      <w:lang w:val="en-US" w:eastAsia="en-US"/>
    </w:rPr>
  </w:style>
  <w:style w:type="paragraph" w:customStyle="1" w:styleId="Appendix">
    <w:name w:val="Appendix"/>
    <w:basedOn w:val="Normal"/>
    <w:next w:val="Normal"/>
    <w:uiPriority w:val="6"/>
    <w:qFormat/>
    <w:rsid w:val="00060470"/>
    <w:pPr>
      <w:spacing w:before="0" w:after="240" w:line="264" w:lineRule="auto"/>
      <w:ind w:firstLine="0"/>
      <w:contextualSpacing w:val="0"/>
      <w:jc w:val="center"/>
    </w:pPr>
    <w:rPr>
      <w:rFonts w:ascii="Segoe UI" w:eastAsia="SimSun" w:hAnsi="Segoe UI"/>
      <w:b w:val="0"/>
      <w:color w:val="C45911"/>
      <w:sz w:val="32"/>
      <w:szCs w:val="20"/>
      <w:lang w:val="en-US" w:eastAsia="en-US"/>
    </w:rPr>
  </w:style>
  <w:style w:type="paragraph" w:customStyle="1" w:styleId="dec-date">
    <w:name w:val="dec-date"/>
    <w:basedOn w:val="Normal"/>
    <w:uiPriority w:val="99"/>
    <w:rsid w:val="00060470"/>
    <w:pPr>
      <w:spacing w:before="100" w:beforeAutospacing="1" w:after="100" w:afterAutospacing="1" w:line="240" w:lineRule="auto"/>
      <w:ind w:firstLine="0"/>
      <w:contextualSpacing w:val="0"/>
      <w:jc w:val="left"/>
    </w:pPr>
    <w:rPr>
      <w:rFonts w:ascii="Times New Roman" w:hAnsi="Times New Roman"/>
      <w:sz w:val="24"/>
      <w:lang w:val="en-US" w:eastAsia="en-US"/>
    </w:rPr>
  </w:style>
  <w:style w:type="paragraph" w:customStyle="1" w:styleId="38">
    <w:name w:val="Обычный3"/>
    <w:rsid w:val="00060470"/>
    <w:pPr>
      <w:autoSpaceDE w:val="0"/>
      <w:autoSpaceDN w:val="0"/>
    </w:pPr>
    <w:rPr>
      <w:lang w:val="ru-RU" w:eastAsia="ru-RU"/>
    </w:rPr>
  </w:style>
  <w:style w:type="paragraph" w:customStyle="1" w:styleId="1f3">
    <w:name w:val="Заголовок оглавления1"/>
    <w:basedOn w:val="Heading1"/>
    <w:next w:val="Normal"/>
    <w:uiPriority w:val="39"/>
    <w:unhideWhenUsed/>
    <w:qFormat/>
    <w:rsid w:val="00060470"/>
    <w:pPr>
      <w:keepLines/>
      <w:spacing w:before="480"/>
      <w:contextualSpacing w:val="0"/>
      <w:outlineLvl w:val="9"/>
    </w:pPr>
    <w:rPr>
      <w:rFonts w:ascii="Cambria" w:hAnsi="Cambria"/>
      <w:bCs/>
      <w:color w:val="365F91"/>
      <w:szCs w:val="28"/>
      <w:lang w:eastAsia="en-US"/>
    </w:rPr>
  </w:style>
  <w:style w:type="paragraph" w:customStyle="1" w:styleId="213">
    <w:name w:val="Цитата 21"/>
    <w:basedOn w:val="Normal"/>
    <w:next w:val="Normal"/>
    <w:uiPriority w:val="29"/>
    <w:qFormat/>
    <w:rsid w:val="00060470"/>
    <w:pPr>
      <w:spacing w:before="0" w:line="240" w:lineRule="auto"/>
      <w:ind w:firstLine="0"/>
      <w:contextualSpacing w:val="0"/>
      <w:jc w:val="left"/>
    </w:pPr>
    <w:rPr>
      <w:rFonts w:ascii="Times New Roman" w:hAnsi="Times New Roman"/>
      <w:i/>
      <w:iCs/>
      <w:color w:val="000000"/>
      <w:sz w:val="24"/>
    </w:rPr>
  </w:style>
  <w:style w:type="character" w:customStyle="1" w:styleId="1f4">
    <w:name w:val="Сильное выделение1"/>
    <w:uiPriority w:val="21"/>
    <w:qFormat/>
    <w:rsid w:val="00060470"/>
    <w:rPr>
      <w:b/>
      <w:bCs/>
      <w:i/>
      <w:iCs/>
      <w:color w:val="4F81BD"/>
    </w:rPr>
  </w:style>
  <w:style w:type="numbering" w:customStyle="1" w:styleId="112">
    <w:name w:val="Нет списка11"/>
    <w:next w:val="NoList"/>
    <w:semiHidden/>
    <w:unhideWhenUsed/>
    <w:rsid w:val="00060470"/>
  </w:style>
  <w:style w:type="paragraph" w:customStyle="1" w:styleId="1f5">
    <w:name w:val="Выделенная цитата1"/>
    <w:basedOn w:val="Normal"/>
    <w:next w:val="Normal"/>
    <w:qFormat/>
    <w:rsid w:val="00060470"/>
    <w:pPr>
      <w:pBdr>
        <w:bottom w:val="single" w:sz="4" w:space="4" w:color="4F81BD"/>
      </w:pBdr>
      <w:spacing w:before="200" w:after="280" w:line="240" w:lineRule="auto"/>
      <w:ind w:left="936" w:right="936" w:firstLine="0"/>
      <w:contextualSpacing w:val="0"/>
      <w:jc w:val="left"/>
    </w:pPr>
    <w:rPr>
      <w:rFonts w:ascii="Times New Roman" w:hAnsi="Times New Roman"/>
      <w:b w:val="0"/>
      <w:bCs/>
      <w:i/>
      <w:iCs/>
      <w:color w:val="4F81BD"/>
      <w:sz w:val="24"/>
    </w:rPr>
  </w:style>
  <w:style w:type="character" w:customStyle="1" w:styleId="1f6">
    <w:name w:val="Слабое выделение1"/>
    <w:qFormat/>
    <w:rsid w:val="00060470"/>
    <w:rPr>
      <w:rFonts w:cs="Times New Roman"/>
      <w:i/>
      <w:iCs/>
      <w:color w:val="808080"/>
    </w:rPr>
  </w:style>
  <w:style w:type="character" w:customStyle="1" w:styleId="1f7">
    <w:name w:val="Слабая ссылка1"/>
    <w:qFormat/>
    <w:rsid w:val="00060470"/>
    <w:rPr>
      <w:rFonts w:cs="Times New Roman"/>
      <w:smallCaps/>
      <w:color w:val="C0504D"/>
      <w:u w:val="single"/>
    </w:rPr>
  </w:style>
  <w:style w:type="character" w:customStyle="1" w:styleId="1f8">
    <w:name w:val="Сильная ссылка1"/>
    <w:qFormat/>
    <w:rsid w:val="00060470"/>
    <w:rPr>
      <w:rFonts w:cs="Times New Roman"/>
      <w:b/>
      <w:bCs/>
      <w:smallCaps/>
      <w:color w:val="C0504D"/>
      <w:spacing w:val="5"/>
      <w:u w:val="single"/>
    </w:rPr>
  </w:style>
  <w:style w:type="character" w:customStyle="1" w:styleId="1f9">
    <w:name w:val="Название книги1"/>
    <w:qFormat/>
    <w:rsid w:val="00060470"/>
    <w:rPr>
      <w:rFonts w:cs="Times New Roman"/>
      <w:b/>
      <w:bCs/>
      <w:smallCaps/>
      <w:spacing w:val="5"/>
    </w:rPr>
  </w:style>
  <w:style w:type="character" w:customStyle="1" w:styleId="SubtitleChar2">
    <w:name w:val="Subtitle Char2"/>
    <w:rsid w:val="00060470"/>
    <w:rPr>
      <w:rFonts w:ascii="Times Armenian" w:hAnsi="Times Armenian"/>
      <w:b/>
      <w:sz w:val="28"/>
      <w:szCs w:val="24"/>
      <w:lang w:eastAsia="ru-RU"/>
    </w:rPr>
  </w:style>
  <w:style w:type="paragraph" w:customStyle="1" w:styleId="2a">
    <w:name w:val="Рецензия2"/>
    <w:hidden/>
    <w:semiHidden/>
    <w:rsid w:val="00060470"/>
    <w:rPr>
      <w:rFonts w:ascii="Arial Armenian" w:hAnsi="Arial Armenian"/>
      <w:sz w:val="22"/>
      <w:szCs w:val="22"/>
      <w:lang w:eastAsia="ru-RU"/>
    </w:rPr>
  </w:style>
  <w:style w:type="character" w:customStyle="1" w:styleId="TextChar">
    <w:name w:val="Text Char"/>
    <w:link w:val="Text"/>
    <w:locked/>
    <w:rsid w:val="00060470"/>
    <w:rPr>
      <w:rFonts w:ascii="GHEA Grapalat" w:hAnsi="GHEA Grapalat"/>
      <w:b/>
      <w:sz w:val="22"/>
      <w:lang w:val="en-GB"/>
    </w:rPr>
  </w:style>
  <w:style w:type="numbering" w:customStyle="1" w:styleId="NoList5">
    <w:name w:val="No List5"/>
    <w:next w:val="NoList"/>
    <w:uiPriority w:val="99"/>
    <w:semiHidden/>
    <w:unhideWhenUsed/>
    <w:rsid w:val="004D6E4C"/>
  </w:style>
  <w:style w:type="numbering" w:customStyle="1" w:styleId="NoList12">
    <w:name w:val="No List12"/>
    <w:next w:val="NoList"/>
    <w:uiPriority w:val="99"/>
    <w:semiHidden/>
    <w:rsid w:val="004D6E4C"/>
  </w:style>
  <w:style w:type="paragraph" w:customStyle="1" w:styleId="Bullet">
    <w:name w:val="Bullet"/>
    <w:aliases w:val="bl,Bullet L1,bl1"/>
    <w:basedOn w:val="Normal"/>
    <w:rsid w:val="004D6E4C"/>
    <w:pPr>
      <w:overflowPunct w:val="0"/>
      <w:autoSpaceDE w:val="0"/>
      <w:autoSpaceDN w:val="0"/>
      <w:adjustRightInd w:val="0"/>
      <w:spacing w:before="0" w:after="130" w:line="240" w:lineRule="auto"/>
      <w:ind w:left="283" w:hanging="283"/>
      <w:contextualSpacing w:val="0"/>
      <w:textAlignment w:val="baseline"/>
    </w:pPr>
    <w:rPr>
      <w:rFonts w:ascii="Times New Roman" w:hAnsi="Times New Roman"/>
      <w:szCs w:val="20"/>
      <w:lang w:val="en-GB" w:eastAsia="en-US"/>
    </w:rPr>
  </w:style>
  <w:style w:type="numbering" w:customStyle="1" w:styleId="NoList112">
    <w:name w:val="No List112"/>
    <w:next w:val="NoList"/>
    <w:semiHidden/>
    <w:rsid w:val="004D6E4C"/>
  </w:style>
  <w:style w:type="numbering" w:customStyle="1" w:styleId="NoList1111">
    <w:name w:val="No List1111"/>
    <w:next w:val="NoList"/>
    <w:semiHidden/>
    <w:rsid w:val="004D6E4C"/>
  </w:style>
  <w:style w:type="numbering" w:customStyle="1" w:styleId="NoList21">
    <w:name w:val="No List21"/>
    <w:next w:val="NoList"/>
    <w:semiHidden/>
    <w:rsid w:val="004D6E4C"/>
  </w:style>
  <w:style w:type="table" w:customStyle="1" w:styleId="TableGrid2">
    <w:name w:val="Table Grid2"/>
    <w:basedOn w:val="TableNormal"/>
    <w:next w:val="TableGrid"/>
    <w:rsid w:val="004D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4D6E4C"/>
  </w:style>
  <w:style w:type="paragraph" w:customStyle="1" w:styleId="Char6">
    <w:name w:val="Char6"/>
    <w:basedOn w:val="Normal"/>
    <w:rsid w:val="008F52AF"/>
    <w:pPr>
      <w:spacing w:before="0" w:after="160" w:line="240" w:lineRule="exact"/>
      <w:ind w:firstLine="0"/>
      <w:contextualSpacing w:val="0"/>
      <w:jc w:val="left"/>
    </w:pPr>
    <w:rPr>
      <w:rFonts w:ascii="Arial" w:hAnsi="Arial" w:cs="Arial"/>
      <w:sz w:val="20"/>
      <w:szCs w:val="20"/>
      <w:lang w:val="en-US" w:eastAsia="en-US"/>
    </w:rPr>
  </w:style>
  <w:style w:type="paragraph" w:customStyle="1" w:styleId="1fa">
    <w:name w:val="1.Աղյուսակ Տեքստ"/>
    <w:basedOn w:val="Normal"/>
    <w:link w:val="1Char"/>
    <w:qFormat/>
    <w:rsid w:val="00681E45"/>
    <w:pPr>
      <w:spacing w:before="0" w:line="240" w:lineRule="auto"/>
      <w:ind w:firstLine="0"/>
      <w:jc w:val="center"/>
    </w:pPr>
    <w:rPr>
      <w:rFonts w:cs="Courier New"/>
      <w:b w:val="0"/>
      <w:color w:val="000000"/>
      <w:sz w:val="20"/>
      <w:szCs w:val="22"/>
      <w:lang w:val="en-US"/>
    </w:rPr>
  </w:style>
  <w:style w:type="character" w:customStyle="1" w:styleId="1Char">
    <w:name w:val="1.Աղյուսակ Տեքստ Char"/>
    <w:basedOn w:val="DefaultParagraphFont"/>
    <w:link w:val="1fa"/>
    <w:rsid w:val="00681E45"/>
    <w:rPr>
      <w:rFonts w:ascii="GHEA Grapalat" w:hAnsi="GHEA Grapalat" w:cs="Courier New"/>
      <w:color w:val="000000"/>
      <w:szCs w:val="22"/>
      <w:lang w:eastAsia="ru-RU"/>
    </w:rPr>
  </w:style>
  <w:style w:type="paragraph" w:customStyle="1" w:styleId="N">
    <w:name w:val="Աղյուսակ N"/>
    <w:basedOn w:val="BodyText2"/>
    <w:link w:val="NChar"/>
    <w:qFormat/>
    <w:rsid w:val="00FF291F"/>
  </w:style>
  <w:style w:type="character" w:customStyle="1" w:styleId="NChar">
    <w:name w:val="Աղյուսակ N Char"/>
    <w:basedOn w:val="BodyText2Char"/>
    <w:link w:val="N"/>
    <w:rsid w:val="00FF291F"/>
    <w:rPr>
      <w:rFonts w:ascii="GHEA Grapalat" w:eastAsia="Calibri" w:hAnsi="GHEA Grapalat"/>
      <w:sz w:val="22"/>
      <w:szCs w:val="24"/>
      <w:lang w:val="hy-AM" w:eastAsia="ru-RU"/>
    </w:rPr>
  </w:style>
  <w:style w:type="numbering" w:customStyle="1" w:styleId="NoList6">
    <w:name w:val="No List6"/>
    <w:next w:val="NoList"/>
    <w:uiPriority w:val="99"/>
    <w:semiHidden/>
    <w:unhideWhenUsed/>
    <w:rsid w:val="004163F2"/>
  </w:style>
  <w:style w:type="character" w:customStyle="1" w:styleId="BodyTextIndentChar1">
    <w:name w:val="Body Text Indent Char1"/>
    <w:aliases w:val="(Table Source) Char1,(Table Source) Char Char"/>
    <w:rsid w:val="004163F2"/>
    <w:rPr>
      <w:rFonts w:eastAsia="Batang"/>
      <w:sz w:val="24"/>
    </w:rPr>
  </w:style>
  <w:style w:type="numbering" w:customStyle="1" w:styleId="NoList7">
    <w:name w:val="No List7"/>
    <w:next w:val="NoList"/>
    <w:uiPriority w:val="99"/>
    <w:semiHidden/>
    <w:unhideWhenUsed/>
    <w:rsid w:val="003E71C9"/>
  </w:style>
  <w:style w:type="table" w:customStyle="1" w:styleId="TableGrid30">
    <w:name w:val="Table Grid3"/>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semiHidden/>
    <w:unhideWhenUsed/>
    <w:rsid w:val="003E71C9"/>
  </w:style>
  <w:style w:type="numbering" w:customStyle="1" w:styleId="NoList113">
    <w:name w:val="No List113"/>
    <w:next w:val="NoList"/>
    <w:semiHidden/>
    <w:rsid w:val="003E71C9"/>
  </w:style>
  <w:style w:type="table" w:customStyle="1" w:styleId="TableGrid11">
    <w:name w:val="Table Grid11"/>
    <w:basedOn w:val="TableNormal"/>
    <w:next w:val="TableGrid"/>
    <w:rsid w:val="003E71C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
    <w:name w:val="No List1112"/>
    <w:next w:val="NoList"/>
    <w:semiHidden/>
    <w:rsid w:val="003E71C9"/>
  </w:style>
  <w:style w:type="numbering" w:customStyle="1" w:styleId="NoList22">
    <w:name w:val="No List22"/>
    <w:next w:val="NoList"/>
    <w:semiHidden/>
    <w:rsid w:val="003E71C9"/>
  </w:style>
  <w:style w:type="numbering" w:customStyle="1" w:styleId="NoList32">
    <w:name w:val="No List32"/>
    <w:next w:val="NoList"/>
    <w:semiHidden/>
    <w:unhideWhenUsed/>
    <w:rsid w:val="003E71C9"/>
  </w:style>
  <w:style w:type="table" w:customStyle="1" w:styleId="TableList71">
    <w:name w:val="Table List 71"/>
    <w:basedOn w:val="TableNormal"/>
    <w:next w:val="TableList7"/>
    <w:rsid w:val="003E71C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
    <w:name w:val="Table Web 31"/>
    <w:basedOn w:val="TableNormal"/>
    <w:next w:val="TableWeb3"/>
    <w:rsid w:val="003E71C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3E71C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rsid w:val="003E71C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
    <w:name w:val="Table Web 11"/>
    <w:basedOn w:val="TableNormal"/>
    <w:next w:val="TableWeb1"/>
    <w:rsid w:val="003E71C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
    <w:name w:val="Table Grid 81"/>
    <w:basedOn w:val="TableNormal"/>
    <w:next w:val="TableGrid8"/>
    <w:rsid w:val="003E71C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
    <w:name w:val="Table Contemporary1"/>
    <w:basedOn w:val="TableNormal"/>
    <w:next w:val="TableContemporary"/>
    <w:rsid w:val="003E71C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
    <w:name w:val="Light List - Accent 12"/>
    <w:basedOn w:val="TableNormal"/>
    <w:next w:val="LightList-Accent1"/>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
    <w:name w:val="Table Grid 71"/>
    <w:basedOn w:val="TableNormal"/>
    <w:next w:val="TableGrid7"/>
    <w:rsid w:val="003E71C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
    <w:name w:val="Colorful Grid - Accent 12"/>
    <w:basedOn w:val="TableNormal"/>
    <w:next w:val="ColorfulGrid-Accent1"/>
    <w:rsid w:val="003E71C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
    <w:name w:val="Light List - Accent 52"/>
    <w:basedOn w:val="TableNormal"/>
    <w:next w:val="LightList-Accent5"/>
    <w:rsid w:val="003E71C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
    <w:name w:val="Table Simple 31"/>
    <w:basedOn w:val="TableNormal"/>
    <w:next w:val="TableSimple3"/>
    <w:rsid w:val="003E71C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
    <w:name w:val="Table Grid 51"/>
    <w:basedOn w:val="TableNormal"/>
    <w:next w:val="TableGrid5"/>
    <w:rsid w:val="003E71C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
    <w:name w:val="Table Grid 31"/>
    <w:basedOn w:val="TableNormal"/>
    <w:next w:val="TableGrid3"/>
    <w:rsid w:val="003E71C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
    <w:name w:val="Table Grid 11"/>
    <w:basedOn w:val="TableNormal"/>
    <w:next w:val="TableGrid10"/>
    <w:rsid w:val="003E71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
    <w:name w:val="Table Columns 51"/>
    <w:basedOn w:val="TableNormal"/>
    <w:next w:val="TableColumns5"/>
    <w:rsid w:val="003E71C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
    <w:name w:val="Light List - Accent 111"/>
    <w:basedOn w:val="TableNormal"/>
    <w:uiPriority w:val="61"/>
    <w:rsid w:val="003E71C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0">
    <w:name w:val="Нет списка12"/>
    <w:next w:val="NoList"/>
    <w:uiPriority w:val="99"/>
    <w:semiHidden/>
    <w:unhideWhenUsed/>
    <w:rsid w:val="003E71C9"/>
  </w:style>
  <w:style w:type="table" w:customStyle="1" w:styleId="ColorfulGrid-Accent111">
    <w:name w:val="Colorful Grid - Accent 111"/>
    <w:basedOn w:val="TableNormal"/>
    <w:rsid w:val="003E71C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
    <w:name w:val="Light List - Accent 511"/>
    <w:basedOn w:val="TableNormal"/>
    <w:rsid w:val="003E71C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
    <w:name w:val="No List41"/>
    <w:next w:val="NoList"/>
    <w:semiHidden/>
    <w:rsid w:val="003E71C9"/>
  </w:style>
  <w:style w:type="table" w:customStyle="1" w:styleId="Table3Deffects31">
    <w:name w:val="Table 3D effects 31"/>
    <w:basedOn w:val="TableNormal"/>
    <w:next w:val="Table3Deffects3"/>
    <w:rsid w:val="003E71C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
    <w:name w:val="Нет списка111"/>
    <w:next w:val="NoList"/>
    <w:semiHidden/>
    <w:unhideWhenUsed/>
    <w:rsid w:val="003E71C9"/>
  </w:style>
  <w:style w:type="numbering" w:customStyle="1" w:styleId="NoList51">
    <w:name w:val="No List51"/>
    <w:next w:val="NoList"/>
    <w:uiPriority w:val="99"/>
    <w:semiHidden/>
    <w:unhideWhenUsed/>
    <w:rsid w:val="003E71C9"/>
  </w:style>
  <w:style w:type="numbering" w:customStyle="1" w:styleId="NoList121">
    <w:name w:val="No List121"/>
    <w:next w:val="NoList"/>
    <w:uiPriority w:val="99"/>
    <w:semiHidden/>
    <w:rsid w:val="003E71C9"/>
  </w:style>
  <w:style w:type="numbering" w:customStyle="1" w:styleId="NoList1121">
    <w:name w:val="No List1121"/>
    <w:next w:val="NoList"/>
    <w:semiHidden/>
    <w:rsid w:val="003E71C9"/>
  </w:style>
  <w:style w:type="numbering" w:customStyle="1" w:styleId="NoList11111">
    <w:name w:val="No List11111"/>
    <w:next w:val="NoList"/>
    <w:semiHidden/>
    <w:rsid w:val="003E71C9"/>
  </w:style>
  <w:style w:type="numbering" w:customStyle="1" w:styleId="NoList211">
    <w:name w:val="No List211"/>
    <w:next w:val="NoList"/>
    <w:semiHidden/>
    <w:rsid w:val="003E71C9"/>
  </w:style>
  <w:style w:type="table" w:customStyle="1" w:styleId="TableGrid21">
    <w:name w:val="Table Grid21"/>
    <w:basedOn w:val="TableNormal"/>
    <w:next w:val="TableGrid"/>
    <w:rsid w:val="003E71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semiHidden/>
    <w:unhideWhenUsed/>
    <w:rsid w:val="003E71C9"/>
  </w:style>
  <w:style w:type="numbering" w:customStyle="1" w:styleId="NoList8">
    <w:name w:val="No List8"/>
    <w:next w:val="NoList"/>
    <w:uiPriority w:val="99"/>
    <w:semiHidden/>
    <w:unhideWhenUsed/>
    <w:rsid w:val="00243A0B"/>
  </w:style>
  <w:style w:type="numbering" w:customStyle="1" w:styleId="NoList9">
    <w:name w:val="No List9"/>
    <w:next w:val="NoList"/>
    <w:uiPriority w:val="99"/>
    <w:semiHidden/>
    <w:unhideWhenUsed/>
    <w:rsid w:val="000E5840"/>
  </w:style>
  <w:style w:type="table" w:customStyle="1" w:styleId="TableGrid4">
    <w:name w:val="Table Grid4"/>
    <w:basedOn w:val="TableNormal"/>
    <w:next w:val="TableGrid"/>
    <w:uiPriority w:val="39"/>
    <w:rsid w:val="000E5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
    <w:name w:val="Table List 72"/>
    <w:basedOn w:val="TableNormal"/>
    <w:next w:val="TableList7"/>
    <w:rsid w:val="000E584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
    <w:name w:val="Table Web 32"/>
    <w:basedOn w:val="TableNormal"/>
    <w:next w:val="TableWeb3"/>
    <w:rsid w:val="000E584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0E584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Numbering">
    <w:name w:val="Numbering"/>
    <w:basedOn w:val="Normal"/>
    <w:next w:val="Normal"/>
    <w:rsid w:val="000E5840"/>
    <w:pPr>
      <w:tabs>
        <w:tab w:val="num" w:pos="360"/>
      </w:tabs>
      <w:spacing w:before="0" w:line="240" w:lineRule="auto"/>
      <w:ind w:left="360" w:hanging="360"/>
      <w:contextualSpacing w:val="0"/>
      <w:jc w:val="left"/>
    </w:pPr>
    <w:rPr>
      <w:rFonts w:ascii="Times Armenian" w:hAnsi="Times Armenian"/>
      <w:b w:val="0"/>
      <w:sz w:val="20"/>
      <w:szCs w:val="20"/>
      <w:lang w:val="en-US" w:eastAsia="en-US"/>
    </w:rPr>
  </w:style>
  <w:style w:type="table" w:customStyle="1" w:styleId="TableWeb22">
    <w:name w:val="Table Web 22"/>
    <w:basedOn w:val="TableNormal"/>
    <w:next w:val="TableWeb2"/>
    <w:rsid w:val="000E584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
    <w:name w:val="Table Web 12"/>
    <w:basedOn w:val="TableNormal"/>
    <w:next w:val="TableWeb1"/>
    <w:rsid w:val="000E584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
    <w:name w:val="Table Grid 82"/>
    <w:basedOn w:val="TableNormal"/>
    <w:next w:val="TableGrid8"/>
    <w:rsid w:val="000E58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
    <w:name w:val="Table Contemporary2"/>
    <w:basedOn w:val="TableNormal"/>
    <w:next w:val="TableContemporary"/>
    <w:rsid w:val="000E584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
    <w:name w:val="No List14"/>
    <w:next w:val="NoList"/>
    <w:semiHidden/>
    <w:unhideWhenUsed/>
    <w:rsid w:val="000E5840"/>
  </w:style>
  <w:style w:type="numbering" w:customStyle="1" w:styleId="NoList23">
    <w:name w:val="No List23"/>
    <w:next w:val="NoList"/>
    <w:semiHidden/>
    <w:unhideWhenUsed/>
    <w:rsid w:val="000E5840"/>
  </w:style>
  <w:style w:type="numbering" w:customStyle="1" w:styleId="NoList33">
    <w:name w:val="No List33"/>
    <w:next w:val="NoList"/>
    <w:semiHidden/>
    <w:unhideWhenUsed/>
    <w:rsid w:val="000E5840"/>
  </w:style>
  <w:style w:type="character" w:customStyle="1" w:styleId="Heading1Char1">
    <w:name w:val="Heading 1 Char1"/>
    <w:aliases w:val="(Section) Char1,Section Heading Char1,(Text) Char1,1 Char1,Chapter Char1,head3 Char1"/>
    <w:uiPriority w:val="99"/>
    <w:locked/>
    <w:rsid w:val="000E5840"/>
    <w:rPr>
      <w:rFonts w:ascii="Arial" w:hAnsi="Arial"/>
      <w:b/>
      <w:kern w:val="32"/>
      <w:sz w:val="32"/>
    </w:rPr>
  </w:style>
  <w:style w:type="table" w:customStyle="1" w:styleId="LightList-Accent13">
    <w:name w:val="Light List - Accent 13"/>
    <w:basedOn w:val="TableNormal"/>
    <w:next w:val="LightList-Accent1"/>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
    <w:name w:val="Table Grid 72"/>
    <w:basedOn w:val="TableNormal"/>
    <w:next w:val="TableGrid7"/>
    <w:rsid w:val="000E584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
    <w:name w:val="Colorful Grid - Accent 13"/>
    <w:basedOn w:val="TableNormal"/>
    <w:next w:val="ColorfulGrid-Accent1"/>
    <w:uiPriority w:val="73"/>
    <w:rsid w:val="000E5840"/>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
    <w:name w:val="Light List - Accent 53"/>
    <w:basedOn w:val="TableNormal"/>
    <w:next w:val="LightList-Accent5"/>
    <w:uiPriority w:val="61"/>
    <w:rsid w:val="000E584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
    <w:name w:val="Table Simple 32"/>
    <w:basedOn w:val="TableNormal"/>
    <w:next w:val="TableSimple3"/>
    <w:rsid w:val="000E584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
    <w:name w:val="Table Grid 52"/>
    <w:basedOn w:val="TableNormal"/>
    <w:next w:val="TableGrid5"/>
    <w:rsid w:val="000E584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
    <w:name w:val="Table Grid 32"/>
    <w:basedOn w:val="TableNormal"/>
    <w:next w:val="TableGrid3"/>
    <w:rsid w:val="000E584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
    <w:name w:val="Table Grid 12"/>
    <w:basedOn w:val="TableNormal"/>
    <w:next w:val="TableGrid10"/>
    <w:rsid w:val="000E584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
    <w:name w:val="Table Columns 52"/>
    <w:basedOn w:val="TableNormal"/>
    <w:next w:val="TableColumns5"/>
    <w:rsid w:val="000E584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
    <w:name w:val="Light List - Accent 112"/>
    <w:basedOn w:val="TableNormal"/>
    <w:uiPriority w:val="61"/>
    <w:rsid w:val="000E5840"/>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0">
    <w:name w:val="Нет списка13"/>
    <w:next w:val="NoList"/>
    <w:semiHidden/>
    <w:unhideWhenUsed/>
    <w:rsid w:val="000E5840"/>
  </w:style>
  <w:style w:type="table" w:customStyle="1" w:styleId="ColorfulGrid-Accent112">
    <w:name w:val="Colorful Grid - Accent 112"/>
    <w:basedOn w:val="TableNormal"/>
    <w:rsid w:val="000E5840"/>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
    <w:name w:val="Light List - Accent 512"/>
    <w:basedOn w:val="TableNormal"/>
    <w:rsid w:val="000E5840"/>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
    <w:name w:val="No List42"/>
    <w:next w:val="NoList"/>
    <w:semiHidden/>
    <w:rsid w:val="000E5840"/>
  </w:style>
  <w:style w:type="numbering" w:customStyle="1" w:styleId="NoList114">
    <w:name w:val="No List114"/>
    <w:next w:val="NoList"/>
    <w:semiHidden/>
    <w:unhideWhenUsed/>
    <w:rsid w:val="000E5840"/>
  </w:style>
  <w:style w:type="table" w:customStyle="1" w:styleId="Table3Deffects32">
    <w:name w:val="Table 3D effects 32"/>
    <w:basedOn w:val="TableNormal"/>
    <w:next w:val="Table3Deffects3"/>
    <w:rsid w:val="000E584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0">
    <w:name w:val="Нет списка112"/>
    <w:next w:val="NoList"/>
    <w:semiHidden/>
    <w:unhideWhenUsed/>
    <w:rsid w:val="000E5840"/>
  </w:style>
  <w:style w:type="numbering" w:customStyle="1" w:styleId="NoList10">
    <w:name w:val="No List10"/>
    <w:next w:val="NoList"/>
    <w:uiPriority w:val="99"/>
    <w:semiHidden/>
    <w:unhideWhenUsed/>
    <w:rsid w:val="00BD032A"/>
  </w:style>
  <w:style w:type="table" w:customStyle="1" w:styleId="TableGrid50">
    <w:name w:val="Table Grid5"/>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BD032A"/>
  </w:style>
  <w:style w:type="numbering" w:customStyle="1" w:styleId="NoList115">
    <w:name w:val="No List115"/>
    <w:next w:val="NoList"/>
    <w:semiHidden/>
    <w:rsid w:val="00BD032A"/>
  </w:style>
  <w:style w:type="table" w:customStyle="1" w:styleId="TableGrid120">
    <w:name w:val="Table Grid12"/>
    <w:basedOn w:val="TableNormal"/>
    <w:next w:val="TableGrid"/>
    <w:uiPriority w:val="39"/>
    <w:rsid w:val="00BD032A"/>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semiHidden/>
    <w:rsid w:val="00BD032A"/>
  </w:style>
  <w:style w:type="numbering" w:customStyle="1" w:styleId="NoList24">
    <w:name w:val="No List24"/>
    <w:next w:val="NoList"/>
    <w:semiHidden/>
    <w:rsid w:val="00BD032A"/>
  </w:style>
  <w:style w:type="numbering" w:customStyle="1" w:styleId="NoList34">
    <w:name w:val="No List34"/>
    <w:next w:val="NoList"/>
    <w:semiHidden/>
    <w:unhideWhenUsed/>
    <w:rsid w:val="00BD032A"/>
  </w:style>
  <w:style w:type="table" w:customStyle="1" w:styleId="TableList73">
    <w:name w:val="Table List 73"/>
    <w:basedOn w:val="TableNormal"/>
    <w:next w:val="TableList7"/>
    <w:rsid w:val="00BD032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
    <w:name w:val="Table Web 33"/>
    <w:basedOn w:val="TableNormal"/>
    <w:next w:val="TableWeb3"/>
    <w:rsid w:val="00BD032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BD032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
    <w:name w:val="Table Web 23"/>
    <w:basedOn w:val="TableNormal"/>
    <w:next w:val="TableWeb2"/>
    <w:rsid w:val="00BD032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
    <w:name w:val="Table Web 13"/>
    <w:basedOn w:val="TableNormal"/>
    <w:next w:val="TableWeb1"/>
    <w:rsid w:val="00BD032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
    <w:name w:val="Table Grid 83"/>
    <w:basedOn w:val="TableNormal"/>
    <w:next w:val="TableGrid8"/>
    <w:rsid w:val="00BD03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
    <w:name w:val="Table Contemporary3"/>
    <w:basedOn w:val="TableNormal"/>
    <w:next w:val="TableContemporary"/>
    <w:rsid w:val="00BD032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
    <w:name w:val="Light List - Accent 14"/>
    <w:basedOn w:val="TableNormal"/>
    <w:next w:val="LightList-Accent1"/>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
    <w:name w:val="Table Grid 73"/>
    <w:basedOn w:val="TableNormal"/>
    <w:next w:val="TableGrid7"/>
    <w:rsid w:val="00BD032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
    <w:name w:val="Colorful Grid - Accent 14"/>
    <w:basedOn w:val="TableNormal"/>
    <w:next w:val="ColorfulGrid-Accent1"/>
    <w:uiPriority w:val="73"/>
    <w:rsid w:val="00BD032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
    <w:name w:val="Light List - Accent 54"/>
    <w:basedOn w:val="TableNormal"/>
    <w:next w:val="LightList-Accent5"/>
    <w:uiPriority w:val="61"/>
    <w:rsid w:val="00BD032A"/>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
    <w:name w:val="Table Simple 33"/>
    <w:basedOn w:val="TableNormal"/>
    <w:next w:val="TableSimple3"/>
    <w:rsid w:val="00BD032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
    <w:name w:val="Table Grid 53"/>
    <w:basedOn w:val="TableNormal"/>
    <w:next w:val="TableGrid5"/>
    <w:rsid w:val="00BD032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
    <w:name w:val="Table Grid 33"/>
    <w:basedOn w:val="TableNormal"/>
    <w:next w:val="TableGrid3"/>
    <w:rsid w:val="00BD032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
    <w:name w:val="Table Grid 13"/>
    <w:basedOn w:val="TableNormal"/>
    <w:next w:val="TableGrid10"/>
    <w:rsid w:val="00BD032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
    <w:name w:val="Table Columns 53"/>
    <w:basedOn w:val="TableNormal"/>
    <w:next w:val="TableColumns5"/>
    <w:rsid w:val="00BD032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
    <w:name w:val="Light List - Accent 113"/>
    <w:basedOn w:val="TableNormal"/>
    <w:uiPriority w:val="61"/>
    <w:rsid w:val="00BD032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0">
    <w:name w:val="Нет списка14"/>
    <w:next w:val="NoList"/>
    <w:semiHidden/>
    <w:unhideWhenUsed/>
    <w:rsid w:val="00BD032A"/>
  </w:style>
  <w:style w:type="table" w:customStyle="1" w:styleId="ColorfulGrid-Accent113">
    <w:name w:val="Colorful Grid - Accent 113"/>
    <w:basedOn w:val="TableNormal"/>
    <w:rsid w:val="00BD032A"/>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
    <w:name w:val="Light List - Accent 513"/>
    <w:basedOn w:val="TableNormal"/>
    <w:rsid w:val="00BD032A"/>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
    <w:name w:val="No List43"/>
    <w:next w:val="NoList"/>
    <w:semiHidden/>
    <w:rsid w:val="00BD032A"/>
  </w:style>
  <w:style w:type="table" w:customStyle="1" w:styleId="Table3Deffects33">
    <w:name w:val="Table 3D effects 33"/>
    <w:basedOn w:val="TableNormal"/>
    <w:next w:val="Table3Deffects3"/>
    <w:rsid w:val="00BD032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
    <w:name w:val="Нет списка113"/>
    <w:next w:val="NoList"/>
    <w:semiHidden/>
    <w:unhideWhenUsed/>
    <w:rsid w:val="00BD032A"/>
  </w:style>
  <w:style w:type="numbering" w:customStyle="1" w:styleId="NoList52">
    <w:name w:val="No List52"/>
    <w:next w:val="NoList"/>
    <w:uiPriority w:val="99"/>
    <w:semiHidden/>
    <w:unhideWhenUsed/>
    <w:rsid w:val="00BD032A"/>
  </w:style>
  <w:style w:type="numbering" w:customStyle="1" w:styleId="NoList122">
    <w:name w:val="No List122"/>
    <w:next w:val="NoList"/>
    <w:uiPriority w:val="99"/>
    <w:semiHidden/>
    <w:rsid w:val="00BD032A"/>
  </w:style>
  <w:style w:type="numbering" w:customStyle="1" w:styleId="NoList1122">
    <w:name w:val="No List1122"/>
    <w:next w:val="NoList"/>
    <w:semiHidden/>
    <w:rsid w:val="00BD032A"/>
  </w:style>
  <w:style w:type="numbering" w:customStyle="1" w:styleId="NoList11112">
    <w:name w:val="No List11112"/>
    <w:next w:val="NoList"/>
    <w:semiHidden/>
    <w:rsid w:val="00BD032A"/>
  </w:style>
  <w:style w:type="numbering" w:customStyle="1" w:styleId="NoList212">
    <w:name w:val="No List212"/>
    <w:next w:val="NoList"/>
    <w:semiHidden/>
    <w:rsid w:val="00BD032A"/>
  </w:style>
  <w:style w:type="table" w:customStyle="1" w:styleId="TableGrid22">
    <w:name w:val="Table Grid22"/>
    <w:basedOn w:val="TableNormal"/>
    <w:next w:val="TableGrid"/>
    <w:uiPriority w:val="39"/>
    <w:rsid w:val="00BD03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
    <w:name w:val="No List312"/>
    <w:next w:val="NoList"/>
    <w:semiHidden/>
    <w:unhideWhenUsed/>
    <w:rsid w:val="00BD032A"/>
  </w:style>
  <w:style w:type="table" w:styleId="LightShading-Accent1">
    <w:name w:val="Light Shading Accent 1"/>
    <w:basedOn w:val="TableNormal"/>
    <w:uiPriority w:val="60"/>
    <w:rsid w:val="007660E4"/>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Grid2-Accent1">
    <w:name w:val="Medium Grid 2 Accent 1"/>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5">
    <w:name w:val="Medium List 2 Accent 5"/>
    <w:basedOn w:val="TableNormal"/>
    <w:uiPriority w:val="66"/>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5">
    <w:name w:val="Light List - Accent 15"/>
    <w:basedOn w:val="TableNormal"/>
    <w:next w:val="LightList-Accent1"/>
    <w:uiPriority w:val="61"/>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3-Accent5">
    <w:name w:val="Medium Grid 3 Accent 5"/>
    <w:basedOn w:val="TableNormal"/>
    <w:uiPriority w:val="69"/>
    <w:rsid w:val="007660E4"/>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7660E4"/>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Grid2-Accent5">
    <w:name w:val="Medium Grid 2 Accent 5"/>
    <w:basedOn w:val="TableNormal"/>
    <w:uiPriority w:val="68"/>
    <w:rsid w:val="007660E4"/>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7660E4"/>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eList4">
    <w:name w:val="Table List 4"/>
    <w:basedOn w:val="TableNormal"/>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ParagraphNumbering">
    <w:name w:val="Paragraph Numbering"/>
    <w:basedOn w:val="Normal"/>
    <w:link w:val="ParagraphNumberingChar"/>
    <w:qFormat/>
    <w:rsid w:val="0086441C"/>
    <w:pPr>
      <w:numPr>
        <w:numId w:val="15"/>
      </w:numPr>
      <w:spacing w:before="0" w:after="240" w:line="240" w:lineRule="auto"/>
      <w:contextualSpacing w:val="0"/>
      <w:jc w:val="left"/>
    </w:pPr>
    <w:rPr>
      <w:rFonts w:ascii="Segoe UI" w:eastAsia="MS Mincho" w:hAnsi="Segoe UI"/>
      <w:b w:val="0"/>
      <w:sz w:val="21"/>
      <w:lang w:val="en-US" w:eastAsia="en-US"/>
    </w:rPr>
  </w:style>
  <w:style w:type="character" w:customStyle="1" w:styleId="ParagraphNumberingChar">
    <w:name w:val="Paragraph Numbering Char"/>
    <w:link w:val="ParagraphNumbering"/>
    <w:rsid w:val="0086441C"/>
    <w:rPr>
      <w:rFonts w:ascii="Segoe UI" w:eastAsia="MS Mincho" w:hAnsi="Segoe UI"/>
      <w:sz w:val="21"/>
      <w:szCs w:val="24"/>
    </w:rPr>
  </w:style>
  <w:style w:type="table" w:customStyle="1" w:styleId="TableList41">
    <w:name w:val="Table List 4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Theme">
    <w:name w:val="Table Theme"/>
    <w:basedOn w:val="TableNormal"/>
    <w:rsid w:val="00864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rsid w:val="0086441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6">
    <w:name w:val="Table Grid 6"/>
    <w:basedOn w:val="TableNormal"/>
    <w:rsid w:val="0086441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
    <w:name w:val="Table List 42"/>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
    <w:name w:val="Table List 411"/>
    <w:basedOn w:val="TableNormal"/>
    <w:next w:val="TableList4"/>
    <w:rsid w:val="0086441C"/>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
    <w:name w:val="Style11"/>
    <w:basedOn w:val="TableElegant"/>
    <w:uiPriority w:val="99"/>
    <w:rsid w:val="0086441C"/>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
    <w:name w:val="Style2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
    <w:name w:val="Style211"/>
    <w:basedOn w:val="TableGrid5"/>
    <w:uiPriority w:val="99"/>
    <w:rsid w:val="0086441C"/>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
    <w:name w:val="No List16"/>
    <w:next w:val="NoList"/>
    <w:semiHidden/>
    <w:unhideWhenUsed/>
    <w:rsid w:val="0006050F"/>
  </w:style>
  <w:style w:type="table" w:customStyle="1" w:styleId="TableGrid60">
    <w:name w:val="Table Grid6"/>
    <w:basedOn w:val="TableNormal"/>
    <w:next w:val="TableGrid"/>
    <w:uiPriority w:val="39"/>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06050F"/>
  </w:style>
  <w:style w:type="numbering" w:customStyle="1" w:styleId="NoList116">
    <w:name w:val="No List116"/>
    <w:next w:val="NoList"/>
    <w:semiHidden/>
    <w:rsid w:val="0006050F"/>
  </w:style>
  <w:style w:type="table" w:customStyle="1" w:styleId="TableGrid130">
    <w:name w:val="Table Grid13"/>
    <w:basedOn w:val="TableNormal"/>
    <w:next w:val="TableGrid"/>
    <w:rsid w:val="000605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10572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1">
    <w:name w:val="Medium Grid 2 - Accent 11"/>
    <w:basedOn w:val="TableNormal"/>
    <w:next w:val="MediumGrid2-Accent1"/>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1">
    <w:name w:val="Medium List 2 - Accent 51"/>
    <w:basedOn w:val="TableNormal"/>
    <w:next w:val="MediumList2-Accent5"/>
    <w:uiPriority w:val="66"/>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6">
    <w:name w:val="Light List - Accent 16"/>
    <w:basedOn w:val="TableNormal"/>
    <w:next w:val="LightList-Accent1"/>
    <w:uiPriority w:val="61"/>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1">
    <w:name w:val="Medium Grid 3 - Accent 51"/>
    <w:basedOn w:val="TableNormal"/>
    <w:next w:val="MediumGrid3-Accent5"/>
    <w:uiPriority w:val="69"/>
    <w:rsid w:val="0010572B"/>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
    <w:name w:val="Light Shading - Accent 51"/>
    <w:basedOn w:val="TableNormal"/>
    <w:next w:val="LightShading-Accent5"/>
    <w:uiPriority w:val="60"/>
    <w:rsid w:val="0010572B"/>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
    <w:name w:val="Medium Grid 2 - Accent 51"/>
    <w:basedOn w:val="TableNormal"/>
    <w:next w:val="MediumGrid2-Accent5"/>
    <w:uiPriority w:val="68"/>
    <w:rsid w:val="0010572B"/>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1">
    <w:name w:val="Light Grid - Accent 11"/>
    <w:basedOn w:val="TableNormal"/>
    <w:next w:val="LightGrid-Accent1"/>
    <w:uiPriority w:val="62"/>
    <w:rsid w:val="0010572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2">
    <w:name w:val="Light Shading - Accent 12"/>
    <w:basedOn w:val="TableNormal"/>
    <w:next w:val="LightShading-Accent1"/>
    <w:uiPriority w:val="60"/>
    <w:rsid w:val="00360620"/>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2">
    <w:name w:val="Medium Grid 2 - Accent 12"/>
    <w:basedOn w:val="TableNormal"/>
    <w:next w:val="MediumGrid2-Accent1"/>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2">
    <w:name w:val="Medium List 2 - Accent 52"/>
    <w:basedOn w:val="TableNormal"/>
    <w:next w:val="MediumList2-Accent5"/>
    <w:uiPriority w:val="66"/>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7">
    <w:name w:val="Light List - Accent 17"/>
    <w:basedOn w:val="TableNormal"/>
    <w:next w:val="LightList-Accent1"/>
    <w:uiPriority w:val="61"/>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2">
    <w:name w:val="Medium Grid 3 - Accent 52"/>
    <w:basedOn w:val="TableNormal"/>
    <w:next w:val="MediumGrid3-Accent5"/>
    <w:uiPriority w:val="69"/>
    <w:rsid w:val="00360620"/>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2">
    <w:name w:val="Light Shading - Accent 52"/>
    <w:basedOn w:val="TableNormal"/>
    <w:next w:val="LightShading-Accent5"/>
    <w:uiPriority w:val="60"/>
    <w:rsid w:val="00360620"/>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2">
    <w:name w:val="Medium Grid 2 - Accent 52"/>
    <w:basedOn w:val="TableNormal"/>
    <w:next w:val="MediumGrid2-Accent5"/>
    <w:uiPriority w:val="68"/>
    <w:rsid w:val="00360620"/>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2">
    <w:name w:val="Light Grid - Accent 12"/>
    <w:basedOn w:val="TableNormal"/>
    <w:next w:val="LightGrid-Accent1"/>
    <w:uiPriority w:val="62"/>
    <w:rsid w:val="00360620"/>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18">
    <w:name w:val="No List18"/>
    <w:next w:val="NoList"/>
    <w:semiHidden/>
    <w:unhideWhenUsed/>
    <w:rsid w:val="00006BCE"/>
  </w:style>
  <w:style w:type="table" w:customStyle="1" w:styleId="TableGrid70">
    <w:name w:val="Table Grid7"/>
    <w:basedOn w:val="TableNormal"/>
    <w:next w:val="TableGrid"/>
    <w:uiPriority w:val="39"/>
    <w:rsid w:val="00006B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
    <w:name w:val="Table List 74"/>
    <w:basedOn w:val="TableNormal"/>
    <w:next w:val="TableList7"/>
    <w:rsid w:val="00006BC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
    <w:name w:val="Table Web 34"/>
    <w:basedOn w:val="TableNormal"/>
    <w:next w:val="TableWeb3"/>
    <w:rsid w:val="00006BC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
    <w:name w:val="Table Elegant4"/>
    <w:basedOn w:val="TableNormal"/>
    <w:next w:val="TableElegant"/>
    <w:rsid w:val="00006BC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
    <w:name w:val="Table Web 24"/>
    <w:basedOn w:val="TableNormal"/>
    <w:next w:val="TableWeb2"/>
    <w:rsid w:val="00006BC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
    <w:name w:val="Table Web 14"/>
    <w:basedOn w:val="TableNormal"/>
    <w:next w:val="TableWeb1"/>
    <w:rsid w:val="00006BC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
    <w:name w:val="Table Grid 84"/>
    <w:basedOn w:val="TableNormal"/>
    <w:next w:val="TableGrid8"/>
    <w:rsid w:val="00006BC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
    <w:name w:val="Table Contemporary4"/>
    <w:basedOn w:val="TableNormal"/>
    <w:next w:val="TableContemporary"/>
    <w:rsid w:val="00006BC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
    <w:name w:val="No List19"/>
    <w:next w:val="NoList"/>
    <w:semiHidden/>
    <w:unhideWhenUsed/>
    <w:rsid w:val="00006BCE"/>
  </w:style>
  <w:style w:type="numbering" w:customStyle="1" w:styleId="NoList25">
    <w:name w:val="No List25"/>
    <w:next w:val="NoList"/>
    <w:semiHidden/>
    <w:unhideWhenUsed/>
    <w:rsid w:val="00006BCE"/>
  </w:style>
  <w:style w:type="numbering" w:customStyle="1" w:styleId="NoList35">
    <w:name w:val="No List35"/>
    <w:next w:val="NoList"/>
    <w:semiHidden/>
    <w:unhideWhenUsed/>
    <w:rsid w:val="00006BCE"/>
  </w:style>
  <w:style w:type="table" w:customStyle="1" w:styleId="LightList-Accent18">
    <w:name w:val="Light List - Accent 18"/>
    <w:basedOn w:val="TableNormal"/>
    <w:next w:val="LightList-Accent1"/>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
    <w:name w:val="Table Grid 74"/>
    <w:basedOn w:val="TableNormal"/>
    <w:next w:val="TableGrid7"/>
    <w:rsid w:val="00006BC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
    <w:name w:val="Colorful Grid - Accent 15"/>
    <w:basedOn w:val="TableNormal"/>
    <w:next w:val="ColorfulGrid-Accent1"/>
    <w:uiPriority w:val="73"/>
    <w:rsid w:val="00006BC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
    <w:name w:val="Light List - Accent 55"/>
    <w:basedOn w:val="TableNormal"/>
    <w:next w:val="LightList-Accent5"/>
    <w:uiPriority w:val="61"/>
    <w:rsid w:val="00006BC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
    <w:name w:val="Table Simple 34"/>
    <w:basedOn w:val="TableNormal"/>
    <w:next w:val="TableSimple3"/>
    <w:rsid w:val="00006BC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
    <w:name w:val="Table Grid 54"/>
    <w:basedOn w:val="TableNormal"/>
    <w:next w:val="TableGrid5"/>
    <w:rsid w:val="00006BC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
    <w:name w:val="Table Grid 34"/>
    <w:basedOn w:val="TableNormal"/>
    <w:next w:val="TableGrid3"/>
    <w:rsid w:val="00006BC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
    <w:name w:val="Table Grid 14"/>
    <w:basedOn w:val="TableNormal"/>
    <w:next w:val="TableGrid10"/>
    <w:rsid w:val="00006BC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
    <w:name w:val="Table Columns 54"/>
    <w:basedOn w:val="TableNormal"/>
    <w:next w:val="TableColumns5"/>
    <w:rsid w:val="00006BC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
    <w:name w:val="Light List - Accent 114"/>
    <w:basedOn w:val="TableNormal"/>
    <w:uiPriority w:val="61"/>
    <w:rsid w:val="00006BC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0">
    <w:name w:val="Нет списка15"/>
    <w:next w:val="NoList"/>
    <w:semiHidden/>
    <w:unhideWhenUsed/>
    <w:rsid w:val="00006BCE"/>
  </w:style>
  <w:style w:type="table" w:customStyle="1" w:styleId="ColorfulGrid-Accent114">
    <w:name w:val="Colorful Grid - Accent 114"/>
    <w:basedOn w:val="TableNormal"/>
    <w:rsid w:val="00006BCE"/>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
    <w:name w:val="Light List - Accent 514"/>
    <w:basedOn w:val="TableNormal"/>
    <w:rsid w:val="00006BCE"/>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
    <w:name w:val="No List44"/>
    <w:next w:val="NoList"/>
    <w:semiHidden/>
    <w:rsid w:val="00006BCE"/>
  </w:style>
  <w:style w:type="numbering" w:customStyle="1" w:styleId="NoList117">
    <w:name w:val="No List117"/>
    <w:next w:val="NoList"/>
    <w:semiHidden/>
    <w:unhideWhenUsed/>
    <w:rsid w:val="00006BCE"/>
  </w:style>
  <w:style w:type="table" w:customStyle="1" w:styleId="Table3Deffects34">
    <w:name w:val="Table 3D effects 34"/>
    <w:basedOn w:val="TableNormal"/>
    <w:next w:val="Table3Deffects3"/>
    <w:rsid w:val="00006BC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
    <w:name w:val="Нет списка114"/>
    <w:next w:val="NoList"/>
    <w:semiHidden/>
    <w:unhideWhenUsed/>
    <w:rsid w:val="00006BCE"/>
  </w:style>
  <w:style w:type="table" w:customStyle="1" w:styleId="Style111">
    <w:name w:val="Style111"/>
    <w:basedOn w:val="TableElegant"/>
    <w:uiPriority w:val="99"/>
    <w:rsid w:val="00BC5928"/>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
    <w:name w:val="Style212"/>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
    <w:name w:val="Style2111"/>
    <w:basedOn w:val="TableGrid5"/>
    <w:uiPriority w:val="99"/>
    <w:rsid w:val="00BC5928"/>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
    <w:name w:val="Style112"/>
    <w:basedOn w:val="TableElegant"/>
    <w:uiPriority w:val="99"/>
    <w:rsid w:val="00D70E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
    <w:name w:val="Style213"/>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
    <w:name w:val="Style2112"/>
    <w:basedOn w:val="TableGrid5"/>
    <w:uiPriority w:val="99"/>
    <w:rsid w:val="00D70E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
    <w:name w:val="No List20"/>
    <w:next w:val="NoList"/>
    <w:uiPriority w:val="99"/>
    <w:semiHidden/>
    <w:unhideWhenUsed/>
    <w:rsid w:val="009526B6"/>
  </w:style>
  <w:style w:type="numbering" w:customStyle="1" w:styleId="NoList110">
    <w:name w:val="No List110"/>
    <w:next w:val="NoList"/>
    <w:uiPriority w:val="99"/>
    <w:semiHidden/>
    <w:unhideWhenUsed/>
    <w:rsid w:val="009526B6"/>
  </w:style>
  <w:style w:type="paragraph" w:customStyle="1" w:styleId="TableTitleCharCharCharCharCharCharCharCharCharChar1">
    <w:name w:val="(Table Title) Char Char Char Char Char Char Char Char Char Char1"/>
    <w:basedOn w:val="Normal"/>
    <w:next w:val="Normal"/>
    <w:unhideWhenUsed/>
    <w:qFormat/>
    <w:rsid w:val="009526B6"/>
    <w:pPr>
      <w:spacing w:after="200"/>
    </w:pPr>
    <w:rPr>
      <w:b w:val="0"/>
      <w:bCs/>
      <w:color w:val="4F81BD"/>
      <w:sz w:val="18"/>
      <w:szCs w:val="18"/>
    </w:rPr>
  </w:style>
  <w:style w:type="table" w:customStyle="1" w:styleId="TableGrid80">
    <w:name w:val="Table Grid8"/>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semiHidden/>
    <w:unhideWhenUsed/>
    <w:rsid w:val="009526B6"/>
  </w:style>
  <w:style w:type="numbering" w:customStyle="1" w:styleId="NoList1114">
    <w:name w:val="No List1114"/>
    <w:next w:val="NoList"/>
    <w:semiHidden/>
    <w:rsid w:val="009526B6"/>
  </w:style>
  <w:style w:type="table" w:customStyle="1" w:styleId="TableGrid140">
    <w:name w:val="Table Grid14"/>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semiHidden/>
    <w:rsid w:val="009526B6"/>
  </w:style>
  <w:style w:type="numbering" w:customStyle="1" w:styleId="NoList26">
    <w:name w:val="No List26"/>
    <w:next w:val="NoList"/>
    <w:semiHidden/>
    <w:rsid w:val="009526B6"/>
  </w:style>
  <w:style w:type="numbering" w:customStyle="1" w:styleId="NoList36">
    <w:name w:val="No List36"/>
    <w:next w:val="NoList"/>
    <w:semiHidden/>
    <w:unhideWhenUsed/>
    <w:rsid w:val="009526B6"/>
  </w:style>
  <w:style w:type="table" w:customStyle="1" w:styleId="TableList75">
    <w:name w:val="Table List 75"/>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
    <w:name w:val="Table Web 35"/>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
    <w:name w:val="Table Elegant5"/>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
    <w:name w:val="Table Web 25"/>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
    <w:name w:val="Table Web 15"/>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
    <w:name w:val="Table Grid 85"/>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
    <w:name w:val="Table Contemporary5"/>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
    <w:name w:val="Light List - Accent 19"/>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
    <w:name w:val="Table Grid 75"/>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
    <w:name w:val="Colorful Grid - Accent 16"/>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
    <w:name w:val="Light List - Accent 56"/>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
    <w:name w:val="Table Simple 35"/>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
    <w:name w:val="Table Grid 55"/>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
    <w:name w:val="Table Grid 35"/>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
    <w:name w:val="Table Grid 15"/>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
    <w:name w:val="Table Columns 55"/>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
    <w:name w:val="Light List - Accent 115"/>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0">
    <w:name w:val="Нет списка16"/>
    <w:next w:val="NoList"/>
    <w:semiHidden/>
    <w:unhideWhenUsed/>
    <w:rsid w:val="009526B6"/>
  </w:style>
  <w:style w:type="table" w:customStyle="1" w:styleId="ColorfulGrid-Accent115">
    <w:name w:val="Colorful Grid - Accent 115"/>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
    <w:name w:val="Light List - Accent 515"/>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
    <w:name w:val="No List45"/>
    <w:next w:val="NoList"/>
    <w:semiHidden/>
    <w:rsid w:val="009526B6"/>
  </w:style>
  <w:style w:type="table" w:customStyle="1" w:styleId="Table3Deffects35">
    <w:name w:val="Table 3D effects 35"/>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
    <w:name w:val="Нет списка115"/>
    <w:next w:val="NoList"/>
    <w:semiHidden/>
    <w:unhideWhenUsed/>
    <w:rsid w:val="009526B6"/>
  </w:style>
  <w:style w:type="numbering" w:customStyle="1" w:styleId="NoList53">
    <w:name w:val="No List53"/>
    <w:next w:val="NoList"/>
    <w:uiPriority w:val="99"/>
    <w:semiHidden/>
    <w:unhideWhenUsed/>
    <w:rsid w:val="009526B6"/>
  </w:style>
  <w:style w:type="numbering" w:customStyle="1" w:styleId="NoList123">
    <w:name w:val="No List123"/>
    <w:next w:val="NoList"/>
    <w:semiHidden/>
    <w:rsid w:val="009526B6"/>
  </w:style>
  <w:style w:type="numbering" w:customStyle="1" w:styleId="NoList1123">
    <w:name w:val="No List1123"/>
    <w:next w:val="NoList"/>
    <w:semiHidden/>
    <w:rsid w:val="009526B6"/>
  </w:style>
  <w:style w:type="numbering" w:customStyle="1" w:styleId="NoList111111">
    <w:name w:val="No List111111"/>
    <w:next w:val="NoList"/>
    <w:semiHidden/>
    <w:rsid w:val="009526B6"/>
  </w:style>
  <w:style w:type="numbering" w:customStyle="1" w:styleId="NoList213">
    <w:name w:val="No List213"/>
    <w:next w:val="NoList"/>
    <w:semiHidden/>
    <w:rsid w:val="009526B6"/>
  </w:style>
  <w:style w:type="table" w:customStyle="1" w:styleId="TableGrid23">
    <w:name w:val="Table Grid23"/>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9526B6"/>
  </w:style>
  <w:style w:type="numbering" w:customStyle="1" w:styleId="NoList61">
    <w:name w:val="No List61"/>
    <w:next w:val="NoList"/>
    <w:uiPriority w:val="99"/>
    <w:semiHidden/>
    <w:unhideWhenUsed/>
    <w:rsid w:val="009526B6"/>
  </w:style>
  <w:style w:type="numbering" w:customStyle="1" w:styleId="NoList71">
    <w:name w:val="No List71"/>
    <w:next w:val="NoList"/>
    <w:uiPriority w:val="99"/>
    <w:semiHidden/>
    <w:unhideWhenUsed/>
    <w:rsid w:val="009526B6"/>
  </w:style>
  <w:style w:type="table" w:customStyle="1" w:styleId="TableGrid310">
    <w:name w:val="Table Grid3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semiHidden/>
    <w:unhideWhenUsed/>
    <w:rsid w:val="009526B6"/>
  </w:style>
  <w:style w:type="numbering" w:customStyle="1" w:styleId="NoList1131">
    <w:name w:val="No List1131"/>
    <w:next w:val="NoList"/>
    <w:semiHidden/>
    <w:rsid w:val="009526B6"/>
  </w:style>
  <w:style w:type="table" w:customStyle="1" w:styleId="TableGrid111">
    <w:name w:val="Table Grid111"/>
    <w:basedOn w:val="TableNormal"/>
    <w:next w:val="TableGrid"/>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semiHidden/>
    <w:rsid w:val="009526B6"/>
  </w:style>
  <w:style w:type="numbering" w:customStyle="1" w:styleId="NoList221">
    <w:name w:val="No List221"/>
    <w:next w:val="NoList"/>
    <w:semiHidden/>
    <w:rsid w:val="009526B6"/>
  </w:style>
  <w:style w:type="numbering" w:customStyle="1" w:styleId="NoList321">
    <w:name w:val="No List321"/>
    <w:next w:val="NoList"/>
    <w:semiHidden/>
    <w:unhideWhenUsed/>
    <w:rsid w:val="009526B6"/>
  </w:style>
  <w:style w:type="table" w:customStyle="1" w:styleId="TableList711">
    <w:name w:val="Table List 71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
    <w:name w:val="Table Web 31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
    <w:name w:val="Table Elegant1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
    <w:name w:val="Table Web 21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
    <w:name w:val="Table Web 11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
    <w:name w:val="Table Grid 81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
    <w:name w:val="Table Contemporary1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
    <w:name w:val="Light List - Accent 12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
    <w:name w:val="Table Grid 71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
    <w:name w:val="Colorful Grid - Accent 121"/>
    <w:basedOn w:val="TableNormal"/>
    <w:next w:val="ColorfulGrid-Accent1"/>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
    <w:name w:val="Light List - Accent 521"/>
    <w:basedOn w:val="TableNormal"/>
    <w:next w:val="LightList-Accent5"/>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
    <w:name w:val="Table Simple 31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
    <w:name w:val="Table Grid 51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
    <w:name w:val="Table Grid 31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0">
    <w:name w:val="Table Grid 11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
    <w:name w:val="Table Columns 51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
    <w:name w:val="Light List - Accent 111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
    <w:name w:val="Нет списка121"/>
    <w:next w:val="NoList"/>
    <w:uiPriority w:val="99"/>
    <w:semiHidden/>
    <w:unhideWhenUsed/>
    <w:rsid w:val="009526B6"/>
  </w:style>
  <w:style w:type="table" w:customStyle="1" w:styleId="ColorfulGrid-Accent1111">
    <w:name w:val="Colorful Grid - Accent 111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
    <w:name w:val="Light List - Accent 511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
    <w:name w:val="No List411"/>
    <w:next w:val="NoList"/>
    <w:semiHidden/>
    <w:rsid w:val="009526B6"/>
  </w:style>
  <w:style w:type="table" w:customStyle="1" w:styleId="Table3Deffects311">
    <w:name w:val="Table 3D effects 31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NoList"/>
    <w:semiHidden/>
    <w:unhideWhenUsed/>
    <w:rsid w:val="009526B6"/>
  </w:style>
  <w:style w:type="numbering" w:customStyle="1" w:styleId="NoList511">
    <w:name w:val="No List511"/>
    <w:next w:val="NoList"/>
    <w:uiPriority w:val="99"/>
    <w:semiHidden/>
    <w:unhideWhenUsed/>
    <w:rsid w:val="009526B6"/>
  </w:style>
  <w:style w:type="numbering" w:customStyle="1" w:styleId="NoList1211">
    <w:name w:val="No List1211"/>
    <w:next w:val="NoList"/>
    <w:uiPriority w:val="99"/>
    <w:semiHidden/>
    <w:rsid w:val="009526B6"/>
  </w:style>
  <w:style w:type="numbering" w:customStyle="1" w:styleId="NoList11211">
    <w:name w:val="No List11211"/>
    <w:next w:val="NoList"/>
    <w:semiHidden/>
    <w:rsid w:val="009526B6"/>
  </w:style>
  <w:style w:type="numbering" w:customStyle="1" w:styleId="NoList1111111">
    <w:name w:val="No List1111111"/>
    <w:next w:val="NoList"/>
    <w:semiHidden/>
    <w:rsid w:val="009526B6"/>
  </w:style>
  <w:style w:type="numbering" w:customStyle="1" w:styleId="NoList2111">
    <w:name w:val="No List2111"/>
    <w:next w:val="NoList"/>
    <w:semiHidden/>
    <w:rsid w:val="009526B6"/>
  </w:style>
  <w:style w:type="table" w:customStyle="1" w:styleId="TableGrid211">
    <w:name w:val="Table Grid211"/>
    <w:basedOn w:val="TableNormal"/>
    <w:next w:val="TableGrid"/>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semiHidden/>
    <w:unhideWhenUsed/>
    <w:rsid w:val="009526B6"/>
  </w:style>
  <w:style w:type="numbering" w:customStyle="1" w:styleId="NoList81">
    <w:name w:val="No List81"/>
    <w:next w:val="NoList"/>
    <w:uiPriority w:val="99"/>
    <w:semiHidden/>
    <w:unhideWhenUsed/>
    <w:rsid w:val="009526B6"/>
  </w:style>
  <w:style w:type="numbering" w:customStyle="1" w:styleId="NoList91">
    <w:name w:val="No List91"/>
    <w:next w:val="NoList"/>
    <w:uiPriority w:val="99"/>
    <w:semiHidden/>
    <w:unhideWhenUsed/>
    <w:rsid w:val="009526B6"/>
  </w:style>
  <w:style w:type="table" w:customStyle="1" w:styleId="TableGrid41">
    <w:name w:val="Table Grid4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
    <w:name w:val="Table List 72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
    <w:name w:val="Table Web 32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
    <w:name w:val="Table Elegant2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
    <w:name w:val="Table Web 22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
    <w:name w:val="Table Web 12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
    <w:name w:val="Table Grid 82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
    <w:name w:val="Table Contemporary2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
    <w:name w:val="No List141"/>
    <w:next w:val="NoList"/>
    <w:semiHidden/>
    <w:unhideWhenUsed/>
    <w:rsid w:val="009526B6"/>
  </w:style>
  <w:style w:type="numbering" w:customStyle="1" w:styleId="NoList231">
    <w:name w:val="No List231"/>
    <w:next w:val="NoList"/>
    <w:semiHidden/>
    <w:unhideWhenUsed/>
    <w:rsid w:val="009526B6"/>
  </w:style>
  <w:style w:type="numbering" w:customStyle="1" w:styleId="NoList331">
    <w:name w:val="No List331"/>
    <w:next w:val="NoList"/>
    <w:semiHidden/>
    <w:unhideWhenUsed/>
    <w:rsid w:val="009526B6"/>
  </w:style>
  <w:style w:type="table" w:customStyle="1" w:styleId="LightList-Accent131">
    <w:name w:val="Light List - Accent 13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
    <w:name w:val="Table Grid 72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
    <w:name w:val="Colorful Grid - Accent 13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
    <w:name w:val="Light List - Accent 53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
    <w:name w:val="Table Simple 32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
    <w:name w:val="Table Grid 52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
    <w:name w:val="Table Grid 32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
    <w:name w:val="Table Grid 12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
    <w:name w:val="Table Columns 52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
    <w:name w:val="Light List - Accent 112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
    <w:name w:val="Нет списка131"/>
    <w:next w:val="NoList"/>
    <w:semiHidden/>
    <w:unhideWhenUsed/>
    <w:rsid w:val="009526B6"/>
  </w:style>
  <w:style w:type="table" w:customStyle="1" w:styleId="ColorfulGrid-Accent1121">
    <w:name w:val="Colorful Grid - Accent 112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
    <w:name w:val="Light List - Accent 512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
    <w:name w:val="No List421"/>
    <w:next w:val="NoList"/>
    <w:semiHidden/>
    <w:rsid w:val="009526B6"/>
  </w:style>
  <w:style w:type="numbering" w:customStyle="1" w:styleId="NoList1141">
    <w:name w:val="No List1141"/>
    <w:next w:val="NoList"/>
    <w:semiHidden/>
    <w:unhideWhenUsed/>
    <w:rsid w:val="009526B6"/>
  </w:style>
  <w:style w:type="table" w:customStyle="1" w:styleId="Table3Deffects321">
    <w:name w:val="Table 3D effects 32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NoList"/>
    <w:semiHidden/>
    <w:unhideWhenUsed/>
    <w:rsid w:val="009526B6"/>
  </w:style>
  <w:style w:type="numbering" w:customStyle="1" w:styleId="NoList101">
    <w:name w:val="No List101"/>
    <w:next w:val="NoList"/>
    <w:uiPriority w:val="99"/>
    <w:semiHidden/>
    <w:unhideWhenUsed/>
    <w:rsid w:val="009526B6"/>
  </w:style>
  <w:style w:type="table" w:customStyle="1" w:styleId="TableGrid510">
    <w:name w:val="Table Grid5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unhideWhenUsed/>
    <w:rsid w:val="009526B6"/>
  </w:style>
  <w:style w:type="numbering" w:customStyle="1" w:styleId="NoList1151">
    <w:name w:val="No List1151"/>
    <w:next w:val="NoList"/>
    <w:semiHidden/>
    <w:rsid w:val="009526B6"/>
  </w:style>
  <w:style w:type="table" w:customStyle="1" w:styleId="TableGrid1210">
    <w:name w:val="Table Grid121"/>
    <w:basedOn w:val="TableNormal"/>
    <w:next w:val="TableGrid"/>
    <w:uiPriority w:val="39"/>
    <w:rsid w:val="009526B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semiHidden/>
    <w:rsid w:val="009526B6"/>
  </w:style>
  <w:style w:type="numbering" w:customStyle="1" w:styleId="NoList241">
    <w:name w:val="No List241"/>
    <w:next w:val="NoList"/>
    <w:semiHidden/>
    <w:rsid w:val="009526B6"/>
  </w:style>
  <w:style w:type="numbering" w:customStyle="1" w:styleId="NoList341">
    <w:name w:val="No List341"/>
    <w:next w:val="NoList"/>
    <w:semiHidden/>
    <w:unhideWhenUsed/>
    <w:rsid w:val="009526B6"/>
  </w:style>
  <w:style w:type="table" w:customStyle="1" w:styleId="TableList731">
    <w:name w:val="Table List 731"/>
    <w:basedOn w:val="TableNormal"/>
    <w:next w:val="TableList7"/>
    <w:rsid w:val="009526B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
    <w:name w:val="Table Web 331"/>
    <w:basedOn w:val="TableNormal"/>
    <w:next w:val="TableWeb3"/>
    <w:rsid w:val="009526B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
    <w:name w:val="Table Elegant31"/>
    <w:basedOn w:val="TableNormal"/>
    <w:next w:val="TableElegant"/>
    <w:rsid w:val="009526B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
    <w:name w:val="Table Web 231"/>
    <w:basedOn w:val="TableNormal"/>
    <w:next w:val="TableWeb2"/>
    <w:rsid w:val="009526B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
    <w:name w:val="Table Web 131"/>
    <w:basedOn w:val="TableNormal"/>
    <w:next w:val="TableWeb1"/>
    <w:rsid w:val="009526B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
    <w:name w:val="Table Grid 831"/>
    <w:basedOn w:val="TableNormal"/>
    <w:next w:val="TableGrid8"/>
    <w:rsid w:val="009526B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
    <w:name w:val="Table Contemporary31"/>
    <w:basedOn w:val="TableNormal"/>
    <w:next w:val="TableContemporary"/>
    <w:rsid w:val="009526B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
    <w:name w:val="Light List - Accent 141"/>
    <w:basedOn w:val="TableNormal"/>
    <w:next w:val="LightList-Accent1"/>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
    <w:name w:val="Table Grid 731"/>
    <w:basedOn w:val="TableNormal"/>
    <w:next w:val="TableGrid7"/>
    <w:rsid w:val="009526B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
    <w:name w:val="Colorful Grid - Accent 141"/>
    <w:basedOn w:val="TableNormal"/>
    <w:next w:val="ColorfulGrid-Accent1"/>
    <w:uiPriority w:val="73"/>
    <w:rsid w:val="009526B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
    <w:name w:val="Light List - Accent 541"/>
    <w:basedOn w:val="TableNormal"/>
    <w:next w:val="LightList-Accent5"/>
    <w:uiPriority w:val="61"/>
    <w:rsid w:val="009526B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
    <w:name w:val="Table Simple 331"/>
    <w:basedOn w:val="TableNormal"/>
    <w:next w:val="TableSimple3"/>
    <w:rsid w:val="009526B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
    <w:name w:val="Table Grid 531"/>
    <w:basedOn w:val="TableNormal"/>
    <w:next w:val="TableGrid5"/>
    <w:rsid w:val="009526B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
    <w:name w:val="Table Grid 331"/>
    <w:basedOn w:val="TableNormal"/>
    <w:next w:val="TableGrid3"/>
    <w:rsid w:val="009526B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
    <w:name w:val="Table Grid 131"/>
    <w:basedOn w:val="TableNormal"/>
    <w:next w:val="TableGrid10"/>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
    <w:name w:val="Table Columns 531"/>
    <w:basedOn w:val="TableNormal"/>
    <w:next w:val="TableColumns5"/>
    <w:rsid w:val="009526B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
    <w:name w:val="Light List - Accent 1131"/>
    <w:basedOn w:val="TableNormal"/>
    <w:uiPriority w:val="61"/>
    <w:rsid w:val="009526B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
    <w:name w:val="Нет списка141"/>
    <w:next w:val="NoList"/>
    <w:semiHidden/>
    <w:unhideWhenUsed/>
    <w:rsid w:val="009526B6"/>
  </w:style>
  <w:style w:type="table" w:customStyle="1" w:styleId="ColorfulGrid-Accent1131">
    <w:name w:val="Colorful Grid - Accent 1131"/>
    <w:basedOn w:val="TableNormal"/>
    <w:rsid w:val="009526B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
    <w:name w:val="Light List - Accent 5131"/>
    <w:basedOn w:val="TableNormal"/>
    <w:rsid w:val="009526B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
    <w:name w:val="No List431"/>
    <w:next w:val="NoList"/>
    <w:semiHidden/>
    <w:rsid w:val="009526B6"/>
  </w:style>
  <w:style w:type="table" w:customStyle="1" w:styleId="Table3Deffects331">
    <w:name w:val="Table 3D effects 331"/>
    <w:basedOn w:val="TableNormal"/>
    <w:next w:val="Table3Deffects3"/>
    <w:rsid w:val="009526B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NoList"/>
    <w:semiHidden/>
    <w:unhideWhenUsed/>
    <w:rsid w:val="009526B6"/>
  </w:style>
  <w:style w:type="numbering" w:customStyle="1" w:styleId="NoList521">
    <w:name w:val="No List521"/>
    <w:next w:val="NoList"/>
    <w:uiPriority w:val="99"/>
    <w:semiHidden/>
    <w:unhideWhenUsed/>
    <w:rsid w:val="009526B6"/>
  </w:style>
  <w:style w:type="numbering" w:customStyle="1" w:styleId="NoList1221">
    <w:name w:val="No List1221"/>
    <w:next w:val="NoList"/>
    <w:semiHidden/>
    <w:rsid w:val="009526B6"/>
  </w:style>
  <w:style w:type="numbering" w:customStyle="1" w:styleId="NoList11221">
    <w:name w:val="No List11221"/>
    <w:next w:val="NoList"/>
    <w:semiHidden/>
    <w:rsid w:val="009526B6"/>
  </w:style>
  <w:style w:type="numbering" w:customStyle="1" w:styleId="NoList111121">
    <w:name w:val="No List111121"/>
    <w:next w:val="NoList"/>
    <w:semiHidden/>
    <w:rsid w:val="009526B6"/>
  </w:style>
  <w:style w:type="numbering" w:customStyle="1" w:styleId="NoList2121">
    <w:name w:val="No List2121"/>
    <w:next w:val="NoList"/>
    <w:semiHidden/>
    <w:rsid w:val="009526B6"/>
  </w:style>
  <w:style w:type="table" w:customStyle="1" w:styleId="TableGrid221">
    <w:name w:val="Table Grid22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
    <w:name w:val="No List3121"/>
    <w:next w:val="NoList"/>
    <w:uiPriority w:val="99"/>
    <w:semiHidden/>
    <w:unhideWhenUsed/>
    <w:rsid w:val="009526B6"/>
  </w:style>
  <w:style w:type="table" w:customStyle="1" w:styleId="LightShading-Accent111">
    <w:name w:val="Light Shading - Accent 111"/>
    <w:basedOn w:val="TableNormal"/>
    <w:next w:val="LightShading-Accent1"/>
    <w:uiPriority w:val="60"/>
    <w:rsid w:val="009526B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
    <w:name w:val="Medium Grid 2 - Accent 111"/>
    <w:basedOn w:val="TableNormal"/>
    <w:next w:val="MediumGrid2-Accent1"/>
    <w:uiPriority w:val="68"/>
    <w:rsid w:val="009526B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
    <w:name w:val="Medium List 2 - Accent 511"/>
    <w:basedOn w:val="TableNormal"/>
    <w:next w:val="MediumList2-Accent5"/>
    <w:uiPriority w:val="66"/>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
    <w:name w:val="Light List - Accent 15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
    <w:name w:val="Medium Grid 3 - Accent 511"/>
    <w:basedOn w:val="TableNormal"/>
    <w:next w:val="MediumGrid3-Accent5"/>
    <w:uiPriority w:val="69"/>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
    <w:name w:val="Light Shading - Accent 511"/>
    <w:basedOn w:val="TableNormal"/>
    <w:next w:val="LightShading-Accent5"/>
    <w:uiPriority w:val="60"/>
    <w:rsid w:val="009526B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
    <w:name w:val="Medium Grid 2 - Accent 511"/>
    <w:basedOn w:val="TableNormal"/>
    <w:next w:val="MediumGrid2-Accent5"/>
    <w:uiPriority w:val="68"/>
    <w:rsid w:val="009526B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
    <w:name w:val="Light Grid - Accent 111"/>
    <w:basedOn w:val="TableNormal"/>
    <w:next w:val="LightGrid-Accent1"/>
    <w:uiPriority w:val="62"/>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
    <w:name w:val="Table List 43"/>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
    <w:name w:val="Table List 412"/>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
    <w:name w:val="Table Theme1"/>
    <w:basedOn w:val="TableNormal"/>
    <w:next w:val="TableTheme"/>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
    <w:name w:val="Table Professional1"/>
    <w:basedOn w:val="TableNormal"/>
    <w:next w:val="TableProfessional"/>
    <w:rsid w:val="009526B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
    <w:name w:val="Table Grid 61"/>
    <w:basedOn w:val="TableNormal"/>
    <w:next w:val="TableGrid6"/>
    <w:rsid w:val="009526B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
    <w:name w:val="Table List 42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
    <w:name w:val="Table List 4111"/>
    <w:basedOn w:val="TableNormal"/>
    <w:next w:val="TableList4"/>
    <w:rsid w:val="009526B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
    <w:name w:val="Style113"/>
    <w:basedOn w:val="TableElegant"/>
    <w:uiPriority w:val="99"/>
    <w:rsid w:val="009526B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
    <w:name w:val="Style214"/>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
    <w:name w:val="Style2113"/>
    <w:basedOn w:val="TableGrid5"/>
    <w:uiPriority w:val="99"/>
    <w:rsid w:val="009526B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
    <w:name w:val="No List161"/>
    <w:next w:val="NoList"/>
    <w:uiPriority w:val="99"/>
    <w:semiHidden/>
    <w:unhideWhenUsed/>
    <w:rsid w:val="009526B6"/>
  </w:style>
  <w:style w:type="table" w:customStyle="1" w:styleId="TableGrid610">
    <w:name w:val="Table Grid61"/>
    <w:basedOn w:val="TableNormal"/>
    <w:next w:val="TableGrid"/>
    <w:uiPriority w:val="3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9526B6"/>
  </w:style>
  <w:style w:type="numbering" w:customStyle="1" w:styleId="NoList1161">
    <w:name w:val="No List1161"/>
    <w:next w:val="NoList"/>
    <w:semiHidden/>
    <w:rsid w:val="009526B6"/>
  </w:style>
  <w:style w:type="table" w:customStyle="1" w:styleId="TableGrid1310">
    <w:name w:val="Table Grid131"/>
    <w:basedOn w:val="TableNormal"/>
    <w:next w:val="TableGrid"/>
    <w:uiPriority w:val="59"/>
    <w:rsid w:val="0095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
    <w:name w:val="Light List - Accent 161"/>
    <w:basedOn w:val="TableNormal"/>
    <w:next w:val="LightList-Accent1"/>
    <w:uiPriority w:val="61"/>
    <w:rsid w:val="009526B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
    <w:name w:val="Light Shading - Accent 13"/>
    <w:basedOn w:val="TableNormal"/>
    <w:next w:val="LightShading-Accent1"/>
    <w:uiPriority w:val="60"/>
    <w:semiHidden/>
    <w:unhideWhenUsed/>
    <w:rsid w:val="009526B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
    <w:name w:val="Medium Grid 2 - Accent 13"/>
    <w:basedOn w:val="TableNormal"/>
    <w:next w:val="MediumGrid2-Accent1"/>
    <w:uiPriority w:val="68"/>
    <w:semiHidden/>
    <w:unhideWhenUsed/>
    <w:rsid w:val="009526B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
    <w:name w:val="Medium List 2 - Accent 53"/>
    <w:basedOn w:val="TableNormal"/>
    <w:next w:val="MediumList2-Accent5"/>
    <w:uiPriority w:val="66"/>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
    <w:name w:val="Medium Grid 3 - Accent 53"/>
    <w:basedOn w:val="TableNormal"/>
    <w:next w:val="MediumGrid3-Accent5"/>
    <w:uiPriority w:val="69"/>
    <w:semiHidden/>
    <w:unhideWhenUsed/>
    <w:rsid w:val="009526B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
    <w:name w:val="Light Shading - Accent 53"/>
    <w:basedOn w:val="TableNormal"/>
    <w:next w:val="LightShading-Accent5"/>
    <w:uiPriority w:val="60"/>
    <w:semiHidden/>
    <w:unhideWhenUsed/>
    <w:rsid w:val="009526B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
    <w:name w:val="Medium Grid 2 - Accent 53"/>
    <w:basedOn w:val="TableNormal"/>
    <w:next w:val="MediumGrid2-Accent5"/>
    <w:uiPriority w:val="68"/>
    <w:semiHidden/>
    <w:unhideWhenUsed/>
    <w:rsid w:val="009526B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
    <w:name w:val="Light Grid - Accent 13"/>
    <w:basedOn w:val="TableNormal"/>
    <w:next w:val="LightGrid-Accent1"/>
    <w:uiPriority w:val="62"/>
    <w:semiHidden/>
    <w:unhideWhenUsed/>
    <w:rsid w:val="009526B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
    <w:name w:val="Light Shading - Accent 14"/>
    <w:basedOn w:val="TableNormal"/>
    <w:next w:val="LightShading-Accent1"/>
    <w:uiPriority w:val="60"/>
    <w:rsid w:val="002D7AC1"/>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4">
    <w:name w:val="Medium Grid 2 - Accent 14"/>
    <w:basedOn w:val="TableNormal"/>
    <w:next w:val="MediumGrid2-Accent1"/>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4">
    <w:name w:val="Medium List 2 - Accent 54"/>
    <w:basedOn w:val="TableNormal"/>
    <w:next w:val="MediumList2-Accent5"/>
    <w:uiPriority w:val="66"/>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0">
    <w:name w:val="Light List - Accent 110"/>
    <w:basedOn w:val="TableNormal"/>
    <w:next w:val="LightList-Accent1"/>
    <w:uiPriority w:val="61"/>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4">
    <w:name w:val="Medium Grid 3 - Accent 54"/>
    <w:basedOn w:val="TableNormal"/>
    <w:next w:val="MediumGrid3-Accent5"/>
    <w:uiPriority w:val="69"/>
    <w:rsid w:val="002D7AC1"/>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4">
    <w:name w:val="Light Shading - Accent 54"/>
    <w:basedOn w:val="TableNormal"/>
    <w:next w:val="LightShading-Accent5"/>
    <w:uiPriority w:val="60"/>
    <w:rsid w:val="002D7AC1"/>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4">
    <w:name w:val="Medium Grid 2 - Accent 54"/>
    <w:basedOn w:val="TableNormal"/>
    <w:next w:val="MediumGrid2-Accent5"/>
    <w:uiPriority w:val="68"/>
    <w:rsid w:val="002D7AC1"/>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4">
    <w:name w:val="Light Grid - Accent 14"/>
    <w:basedOn w:val="TableNormal"/>
    <w:next w:val="LightGrid-Accent1"/>
    <w:uiPriority w:val="62"/>
    <w:rsid w:val="002D7AC1"/>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5">
    <w:name w:val="Light Shading - Accent 15"/>
    <w:basedOn w:val="TableNormal"/>
    <w:next w:val="LightShading-Accent1"/>
    <w:uiPriority w:val="60"/>
    <w:rsid w:val="00EF5C2F"/>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5">
    <w:name w:val="Medium Grid 2 - Accent 15"/>
    <w:basedOn w:val="TableNormal"/>
    <w:next w:val="MediumGrid2-Accent1"/>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5">
    <w:name w:val="Medium List 2 - Accent 55"/>
    <w:basedOn w:val="TableNormal"/>
    <w:next w:val="MediumList2-Accent5"/>
    <w:uiPriority w:val="66"/>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6">
    <w:name w:val="Light List - Accent 116"/>
    <w:basedOn w:val="TableNormal"/>
    <w:next w:val="LightList-Accent1"/>
    <w:uiPriority w:val="61"/>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5">
    <w:name w:val="Medium Grid 3 - Accent 55"/>
    <w:basedOn w:val="TableNormal"/>
    <w:next w:val="MediumGrid3-Accent5"/>
    <w:uiPriority w:val="69"/>
    <w:rsid w:val="00EF5C2F"/>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5">
    <w:name w:val="Light Shading - Accent 55"/>
    <w:basedOn w:val="TableNormal"/>
    <w:next w:val="LightShading-Accent5"/>
    <w:uiPriority w:val="60"/>
    <w:rsid w:val="00EF5C2F"/>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5">
    <w:name w:val="Medium Grid 2 - Accent 55"/>
    <w:basedOn w:val="TableNormal"/>
    <w:next w:val="MediumGrid2-Accent5"/>
    <w:uiPriority w:val="68"/>
    <w:rsid w:val="00EF5C2F"/>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5">
    <w:name w:val="Light Grid - Accent 15"/>
    <w:basedOn w:val="TableNormal"/>
    <w:next w:val="LightGrid-Accent1"/>
    <w:uiPriority w:val="62"/>
    <w:rsid w:val="00EF5C2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27">
    <w:name w:val="No List27"/>
    <w:next w:val="NoList"/>
    <w:uiPriority w:val="99"/>
    <w:semiHidden/>
    <w:unhideWhenUsed/>
    <w:rsid w:val="00CD7119"/>
  </w:style>
  <w:style w:type="table" w:customStyle="1" w:styleId="TableGrid9">
    <w:name w:val="Table Grid9"/>
    <w:basedOn w:val="TableNormal"/>
    <w:next w:val="TableGrid"/>
    <w:uiPriority w:val="39"/>
    <w:rsid w:val="00CD7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
    <w:name w:val="Table List 76"/>
    <w:basedOn w:val="TableNormal"/>
    <w:next w:val="TableList7"/>
    <w:rsid w:val="00CD711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
    <w:name w:val="Table Web 36"/>
    <w:basedOn w:val="TableNormal"/>
    <w:next w:val="TableWeb3"/>
    <w:rsid w:val="00CD711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
    <w:name w:val="Table Elegant6"/>
    <w:basedOn w:val="TableNormal"/>
    <w:next w:val="TableElegant"/>
    <w:rsid w:val="00CD71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
    <w:name w:val="Table Web 26"/>
    <w:basedOn w:val="TableNormal"/>
    <w:next w:val="TableWeb2"/>
    <w:rsid w:val="00CD711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
    <w:name w:val="Table Web 16"/>
    <w:basedOn w:val="TableNormal"/>
    <w:next w:val="TableWeb1"/>
    <w:rsid w:val="00CD711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
    <w:name w:val="Table Grid 86"/>
    <w:basedOn w:val="TableNormal"/>
    <w:next w:val="TableGrid8"/>
    <w:rsid w:val="00CD711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
    <w:name w:val="Table Contemporary6"/>
    <w:basedOn w:val="TableNormal"/>
    <w:next w:val="TableContemporary"/>
    <w:rsid w:val="00CD711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
    <w:name w:val="No List119"/>
    <w:next w:val="NoList"/>
    <w:semiHidden/>
    <w:unhideWhenUsed/>
    <w:rsid w:val="00CD7119"/>
  </w:style>
  <w:style w:type="numbering" w:customStyle="1" w:styleId="NoList28">
    <w:name w:val="No List28"/>
    <w:next w:val="NoList"/>
    <w:semiHidden/>
    <w:unhideWhenUsed/>
    <w:rsid w:val="00CD7119"/>
  </w:style>
  <w:style w:type="numbering" w:customStyle="1" w:styleId="NoList37">
    <w:name w:val="No List37"/>
    <w:next w:val="NoList"/>
    <w:semiHidden/>
    <w:unhideWhenUsed/>
    <w:rsid w:val="00CD7119"/>
  </w:style>
  <w:style w:type="table" w:customStyle="1" w:styleId="LightList-Accent117">
    <w:name w:val="Light List - Accent 117"/>
    <w:basedOn w:val="TableNormal"/>
    <w:next w:val="LightList-Accent1"/>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
    <w:name w:val="Table Grid 76"/>
    <w:basedOn w:val="TableNormal"/>
    <w:next w:val="TableGrid7"/>
    <w:rsid w:val="00CD711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
    <w:name w:val="Colorful Grid - Accent 17"/>
    <w:basedOn w:val="TableNormal"/>
    <w:next w:val="ColorfulGrid-Accent1"/>
    <w:uiPriority w:val="73"/>
    <w:rsid w:val="00CD711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
    <w:name w:val="Light List - Accent 57"/>
    <w:basedOn w:val="TableNormal"/>
    <w:next w:val="LightList-Accent5"/>
    <w:uiPriority w:val="61"/>
    <w:rsid w:val="00CD711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
    <w:name w:val="Table Simple 36"/>
    <w:basedOn w:val="TableNormal"/>
    <w:next w:val="TableSimple3"/>
    <w:rsid w:val="00CD711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
    <w:name w:val="Table Grid 56"/>
    <w:basedOn w:val="TableNormal"/>
    <w:next w:val="TableGrid5"/>
    <w:rsid w:val="00CD711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
    <w:name w:val="Table Grid 36"/>
    <w:basedOn w:val="TableNormal"/>
    <w:next w:val="TableGrid3"/>
    <w:rsid w:val="00CD711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
    <w:name w:val="Table Grid 16"/>
    <w:basedOn w:val="TableNormal"/>
    <w:next w:val="TableGrid10"/>
    <w:rsid w:val="00CD711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
    <w:name w:val="Table Columns 56"/>
    <w:basedOn w:val="TableNormal"/>
    <w:next w:val="TableColumns5"/>
    <w:rsid w:val="00CD711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
    <w:name w:val="Light List - Accent 118"/>
    <w:basedOn w:val="TableNormal"/>
    <w:uiPriority w:val="61"/>
    <w:rsid w:val="00CD711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0">
    <w:name w:val="Нет списка17"/>
    <w:next w:val="NoList"/>
    <w:semiHidden/>
    <w:unhideWhenUsed/>
    <w:rsid w:val="00CD7119"/>
  </w:style>
  <w:style w:type="table" w:customStyle="1" w:styleId="ColorfulGrid-Accent116">
    <w:name w:val="Colorful Grid - Accent 116"/>
    <w:basedOn w:val="TableNormal"/>
    <w:rsid w:val="00CD711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
    <w:name w:val="Light List - Accent 516"/>
    <w:basedOn w:val="TableNormal"/>
    <w:rsid w:val="00CD711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
    <w:name w:val="No List46"/>
    <w:next w:val="NoList"/>
    <w:semiHidden/>
    <w:rsid w:val="00CD7119"/>
  </w:style>
  <w:style w:type="numbering" w:customStyle="1" w:styleId="NoList1110">
    <w:name w:val="No List1110"/>
    <w:next w:val="NoList"/>
    <w:semiHidden/>
    <w:unhideWhenUsed/>
    <w:rsid w:val="00CD7119"/>
  </w:style>
  <w:style w:type="table" w:customStyle="1" w:styleId="Table3Deffects36">
    <w:name w:val="Table 3D effects 36"/>
    <w:basedOn w:val="TableNormal"/>
    <w:next w:val="Table3Deffects3"/>
    <w:rsid w:val="00CD711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
    <w:name w:val="Нет списка116"/>
    <w:next w:val="NoList"/>
    <w:semiHidden/>
    <w:unhideWhenUsed/>
    <w:rsid w:val="00CD7119"/>
  </w:style>
  <w:style w:type="character" w:customStyle="1" w:styleId="39">
    <w:name w:val="Основной текст3"/>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paragraph" w:customStyle="1" w:styleId="msonormal0">
    <w:name w:val="msonormal"/>
    <w:basedOn w:val="Normal"/>
    <w:rsid w:val="00291C2D"/>
    <w:pPr>
      <w:spacing w:before="100" w:beforeAutospacing="1" w:after="100" w:afterAutospacing="1" w:line="240" w:lineRule="auto"/>
      <w:ind w:firstLine="0"/>
      <w:contextualSpacing w:val="0"/>
      <w:jc w:val="left"/>
    </w:pPr>
    <w:rPr>
      <w:rFonts w:ascii="Times New Roman" w:hAnsi="Times New Roman"/>
      <w:b w:val="0"/>
      <w:sz w:val="24"/>
      <w:lang w:val="en-US" w:eastAsia="en-US"/>
    </w:rPr>
  </w:style>
  <w:style w:type="paragraph" w:customStyle="1" w:styleId="2b">
    <w:name w:val="Абзац списка2"/>
    <w:basedOn w:val="Normal"/>
    <w:uiPriority w:val="99"/>
    <w:qFormat/>
    <w:rsid w:val="00291C2D"/>
    <w:pPr>
      <w:spacing w:before="0" w:after="200" w:line="276" w:lineRule="auto"/>
      <w:ind w:left="720" w:firstLine="0"/>
      <w:jc w:val="left"/>
    </w:pPr>
    <w:rPr>
      <w:rFonts w:ascii="Calibri" w:eastAsia="Calibri" w:hAnsi="Calibri"/>
      <w:szCs w:val="22"/>
      <w:lang w:eastAsia="en-US"/>
    </w:rPr>
  </w:style>
  <w:style w:type="paragraph" w:customStyle="1" w:styleId="3a">
    <w:name w:val="Рецензия3"/>
    <w:hidden/>
    <w:uiPriority w:val="99"/>
    <w:semiHidden/>
    <w:rsid w:val="00291C2D"/>
    <w:rPr>
      <w:rFonts w:ascii="Arial Armenian" w:hAnsi="Arial Armenian"/>
      <w:sz w:val="22"/>
      <w:szCs w:val="22"/>
      <w:lang w:eastAsia="ru-RU"/>
    </w:rPr>
  </w:style>
  <w:style w:type="paragraph" w:customStyle="1" w:styleId="44">
    <w:name w:val="Обычный4"/>
    <w:rsid w:val="00291C2D"/>
    <w:pPr>
      <w:autoSpaceDE w:val="0"/>
      <w:autoSpaceDN w:val="0"/>
    </w:pPr>
    <w:rPr>
      <w:lang w:val="ru-RU" w:eastAsia="ru-RU"/>
    </w:rPr>
  </w:style>
  <w:style w:type="paragraph" w:customStyle="1" w:styleId="2c">
    <w:name w:val="Без интервала2"/>
    <w:uiPriority w:val="1"/>
    <w:qFormat/>
    <w:rsid w:val="00291C2D"/>
    <w:rPr>
      <w:rFonts w:ascii="Calibri" w:hAnsi="Calibri"/>
      <w:sz w:val="22"/>
      <w:szCs w:val="22"/>
    </w:rPr>
  </w:style>
  <w:style w:type="character" w:customStyle="1" w:styleId="45">
    <w:name w:val="Основной текст4"/>
    <w:rsid w:val="00291C2D"/>
    <w:rPr>
      <w:rFonts w:ascii="Arial Unicode MS" w:eastAsia="Arial Unicode MS" w:hAnsi="Arial Unicode MS" w:cs="Arial Unicode MS"/>
      <w:b w:val="0"/>
      <w:bCs w:val="0"/>
      <w:i w:val="0"/>
      <w:iCs w:val="0"/>
      <w:smallCaps w:val="0"/>
      <w:strike w:val="0"/>
      <w:color w:val="000000"/>
      <w:spacing w:val="0"/>
      <w:w w:val="100"/>
      <w:position w:val="0"/>
      <w:sz w:val="30"/>
      <w:szCs w:val="30"/>
      <w:u w:val="none"/>
      <w:lang w:val="hy-AM"/>
    </w:rPr>
  </w:style>
  <w:style w:type="table" w:customStyle="1" w:styleId="LightShading-Accent16">
    <w:name w:val="Light Shading - Accent 16"/>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
    <w:name w:val="Medium Grid 2 - Accent 16"/>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
    <w:name w:val="Medium List 2 - Accent 56"/>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
    <w:name w:val="Light List - Accent 15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
    <w:name w:val="Medium Grid 3 - Accent 56"/>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
    <w:name w:val="Light Shading - Accent 56"/>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
    <w:name w:val="Medium Grid 2 - Accent 56"/>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
    <w:name w:val="Light Grid - Accent 16"/>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
    <w:name w:val="Style114"/>
    <w:basedOn w:val="TableElegant"/>
    <w:uiPriority w:val="99"/>
    <w:rsid w:val="00291C2D"/>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
    <w:name w:val="Style215"/>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
    <w:name w:val="Style2114"/>
    <w:basedOn w:val="TableGrid5"/>
    <w:uiPriority w:val="99"/>
    <w:rsid w:val="00291C2D"/>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
    <w:name w:val="Light Shading - Accent 112"/>
    <w:basedOn w:val="TableNormal"/>
    <w:next w:val="LightShading-Accent1"/>
    <w:uiPriority w:val="60"/>
    <w:rsid w:val="00291C2D"/>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
    <w:name w:val="Medium Grid 2 - Accent 112"/>
    <w:basedOn w:val="TableNormal"/>
    <w:next w:val="MediumGrid2-Accent1"/>
    <w:uiPriority w:val="68"/>
    <w:rsid w:val="00291C2D"/>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
    <w:name w:val="Medium List 2 - Accent 512"/>
    <w:basedOn w:val="TableNormal"/>
    <w:next w:val="MediumList2-Accent5"/>
    <w:uiPriority w:val="66"/>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
    <w:name w:val="Light List - Accent 162"/>
    <w:basedOn w:val="TableNormal"/>
    <w:next w:val="LightList-Accent1"/>
    <w:uiPriority w:val="61"/>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
    <w:name w:val="Medium Grid 3 - Accent 512"/>
    <w:basedOn w:val="TableNormal"/>
    <w:next w:val="MediumGrid3-Accent5"/>
    <w:uiPriority w:val="69"/>
    <w:rsid w:val="00291C2D"/>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
    <w:name w:val="Light Shading - Accent 512"/>
    <w:basedOn w:val="TableNormal"/>
    <w:next w:val="LightShading-Accent5"/>
    <w:uiPriority w:val="60"/>
    <w:rsid w:val="00291C2D"/>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
    <w:name w:val="Medium Grid 2 - Accent 512"/>
    <w:basedOn w:val="TableNormal"/>
    <w:next w:val="MediumGrid2-Accent5"/>
    <w:uiPriority w:val="68"/>
    <w:rsid w:val="00291C2D"/>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
    <w:name w:val="Light Grid - Accent 112"/>
    <w:basedOn w:val="TableNormal"/>
    <w:next w:val="LightGrid-Accent1"/>
    <w:uiPriority w:val="62"/>
    <w:rsid w:val="00291C2D"/>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
    <w:name w:val="No List29"/>
    <w:next w:val="NoList"/>
    <w:uiPriority w:val="99"/>
    <w:semiHidden/>
    <w:unhideWhenUsed/>
    <w:rsid w:val="00CC15D2"/>
  </w:style>
  <w:style w:type="table" w:customStyle="1" w:styleId="TableGrid100">
    <w:name w:val="Table Grid10"/>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C15D2"/>
  </w:style>
  <w:style w:type="numbering" w:customStyle="1" w:styleId="NoList1115">
    <w:name w:val="No List1115"/>
    <w:next w:val="NoList"/>
    <w:semiHidden/>
    <w:rsid w:val="00CC15D2"/>
  </w:style>
  <w:style w:type="table" w:customStyle="1" w:styleId="TableGrid150">
    <w:name w:val="Table Grid15"/>
    <w:basedOn w:val="TableNormal"/>
    <w:next w:val="TableGrid"/>
    <w:uiPriority w:val="39"/>
    <w:rsid w:val="00CC15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unhideWhenUsed/>
    <w:rsid w:val="00941455"/>
  </w:style>
  <w:style w:type="table" w:customStyle="1" w:styleId="LightShading-Accent17">
    <w:name w:val="Light Shading - Accent 17"/>
    <w:basedOn w:val="TableNormal"/>
    <w:next w:val="LightShading-Accent1"/>
    <w:uiPriority w:val="60"/>
    <w:rsid w:val="00372F27"/>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7">
    <w:name w:val="Medium Grid 2 - Accent 17"/>
    <w:basedOn w:val="TableNormal"/>
    <w:next w:val="MediumGrid2-Accent1"/>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7">
    <w:name w:val="Medium List 2 - Accent 57"/>
    <w:basedOn w:val="TableNormal"/>
    <w:next w:val="MediumList2-Accent5"/>
    <w:uiPriority w:val="66"/>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19">
    <w:name w:val="Light List - Accent 119"/>
    <w:basedOn w:val="TableNormal"/>
    <w:next w:val="LightList-Accent1"/>
    <w:uiPriority w:val="61"/>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7">
    <w:name w:val="Medium Grid 3 - Accent 57"/>
    <w:basedOn w:val="TableNormal"/>
    <w:next w:val="MediumGrid3-Accent5"/>
    <w:uiPriority w:val="69"/>
    <w:rsid w:val="00372F27"/>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7">
    <w:name w:val="Light Shading - Accent 57"/>
    <w:basedOn w:val="TableNormal"/>
    <w:next w:val="LightShading-Accent5"/>
    <w:uiPriority w:val="60"/>
    <w:rsid w:val="00372F27"/>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7">
    <w:name w:val="Medium Grid 2 - Accent 57"/>
    <w:basedOn w:val="TableNormal"/>
    <w:next w:val="MediumGrid2-Accent5"/>
    <w:uiPriority w:val="68"/>
    <w:rsid w:val="00372F27"/>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7">
    <w:name w:val="Light Grid - Accent 17"/>
    <w:basedOn w:val="TableNormal"/>
    <w:next w:val="LightGrid-Accent1"/>
    <w:uiPriority w:val="62"/>
    <w:rsid w:val="00372F27"/>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38">
    <w:name w:val="No List38"/>
    <w:next w:val="NoList"/>
    <w:uiPriority w:val="99"/>
    <w:semiHidden/>
    <w:unhideWhenUsed/>
    <w:rsid w:val="00CD51B8"/>
  </w:style>
  <w:style w:type="table" w:customStyle="1" w:styleId="TableGrid160">
    <w:name w:val="Table Grid16"/>
    <w:basedOn w:val="TableNormal"/>
    <w:next w:val="TableGrid"/>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CD51B8"/>
  </w:style>
  <w:style w:type="numbering" w:customStyle="1" w:styleId="NoList1116">
    <w:name w:val="No List1116"/>
    <w:next w:val="NoList"/>
    <w:semiHidden/>
    <w:rsid w:val="00CD51B8"/>
  </w:style>
  <w:style w:type="table" w:customStyle="1" w:styleId="TableGrid17">
    <w:name w:val="Table Grid17"/>
    <w:basedOn w:val="TableNormal"/>
    <w:next w:val="TableGrid"/>
    <w:uiPriority w:val="59"/>
    <w:rsid w:val="00CD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34536"/>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8">
    <w:name w:val="Medium Grid 2 - Accent 18"/>
    <w:basedOn w:val="TableNormal"/>
    <w:next w:val="MediumGrid2-Accent1"/>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8">
    <w:name w:val="Medium List 2 - Accent 58"/>
    <w:basedOn w:val="TableNormal"/>
    <w:next w:val="MediumList2-Accent5"/>
    <w:uiPriority w:val="66"/>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0">
    <w:name w:val="Light List - Accent 120"/>
    <w:basedOn w:val="TableNormal"/>
    <w:next w:val="LightList-Accent1"/>
    <w:uiPriority w:val="61"/>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8">
    <w:name w:val="Medium Grid 3 - Accent 58"/>
    <w:basedOn w:val="TableNormal"/>
    <w:next w:val="MediumGrid3-Accent5"/>
    <w:uiPriority w:val="69"/>
    <w:rsid w:val="00434536"/>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8">
    <w:name w:val="Light Shading - Accent 58"/>
    <w:basedOn w:val="TableNormal"/>
    <w:next w:val="LightShading-Accent5"/>
    <w:uiPriority w:val="60"/>
    <w:rsid w:val="00434536"/>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8">
    <w:name w:val="Medium Grid 2 - Accent 58"/>
    <w:basedOn w:val="TableNormal"/>
    <w:next w:val="MediumGrid2-Accent5"/>
    <w:uiPriority w:val="68"/>
    <w:rsid w:val="00434536"/>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8">
    <w:name w:val="Light Grid - Accent 18"/>
    <w:basedOn w:val="TableNormal"/>
    <w:next w:val="LightGrid-Accent1"/>
    <w:uiPriority w:val="62"/>
    <w:rsid w:val="00434536"/>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9">
    <w:name w:val="Light Shading - Accent 19"/>
    <w:basedOn w:val="TableNormal"/>
    <w:next w:val="LightShading-Accent1"/>
    <w:uiPriority w:val="60"/>
    <w:rsid w:val="00E81B58"/>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Grid2-Accent19">
    <w:name w:val="Medium Grid 2 - Accent 19"/>
    <w:basedOn w:val="TableNormal"/>
    <w:next w:val="MediumGrid2-Accent1"/>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List2-Accent59">
    <w:name w:val="Medium List 2 - Accent 59"/>
    <w:basedOn w:val="TableNormal"/>
    <w:next w:val="MediumList2-Accent5"/>
    <w:uiPriority w:val="66"/>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2">
    <w:name w:val="Light List - Accent 122"/>
    <w:basedOn w:val="TableNormal"/>
    <w:next w:val="LightList-Accent1"/>
    <w:uiPriority w:val="61"/>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Grid3-Accent59">
    <w:name w:val="Medium Grid 3 - Accent 59"/>
    <w:basedOn w:val="TableNormal"/>
    <w:next w:val="MediumGrid3-Accent5"/>
    <w:uiPriority w:val="69"/>
    <w:rsid w:val="00E81B58"/>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9">
    <w:name w:val="Light Shading - Accent 59"/>
    <w:basedOn w:val="TableNormal"/>
    <w:next w:val="LightShading-Accent5"/>
    <w:uiPriority w:val="60"/>
    <w:rsid w:val="00E81B58"/>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9">
    <w:name w:val="Medium Grid 2 - Accent 59"/>
    <w:basedOn w:val="TableNormal"/>
    <w:next w:val="MediumGrid2-Accent5"/>
    <w:uiPriority w:val="68"/>
    <w:rsid w:val="00E81B58"/>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customStyle="1" w:styleId="LightGrid-Accent19">
    <w:name w:val="Light Grid - Accent 19"/>
    <w:basedOn w:val="TableNormal"/>
    <w:next w:val="LightGrid-Accent1"/>
    <w:uiPriority w:val="62"/>
    <w:rsid w:val="00E81B58"/>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tyle115">
    <w:name w:val="Style115"/>
    <w:basedOn w:val="TableElegant"/>
    <w:uiPriority w:val="99"/>
    <w:rsid w:val="00CF7470"/>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
    <w:name w:val="Style2115"/>
    <w:basedOn w:val="TableGrid5"/>
    <w:uiPriority w:val="99"/>
    <w:rsid w:val="00CF7470"/>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
    <w:name w:val="No List39"/>
    <w:next w:val="NoList"/>
    <w:uiPriority w:val="99"/>
    <w:semiHidden/>
    <w:unhideWhenUsed/>
    <w:rsid w:val="008B1219"/>
  </w:style>
  <w:style w:type="table" w:customStyle="1" w:styleId="TableGrid18">
    <w:name w:val="Table Grid18"/>
    <w:basedOn w:val="TableNormal"/>
    <w:next w:val="TableGrid"/>
    <w:uiPriority w:val="3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8B1219"/>
  </w:style>
  <w:style w:type="numbering" w:customStyle="1" w:styleId="NoList1117">
    <w:name w:val="No List1117"/>
    <w:next w:val="NoList"/>
    <w:semiHidden/>
    <w:rsid w:val="008B1219"/>
  </w:style>
  <w:style w:type="table" w:customStyle="1" w:styleId="TableGrid19">
    <w:name w:val="Table Grid19"/>
    <w:basedOn w:val="TableNormal"/>
    <w:next w:val="TableGrid"/>
    <w:uiPriority w:val="59"/>
    <w:rsid w:val="008B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
    <w:name w:val="Style1151"/>
    <w:basedOn w:val="TableElegant"/>
    <w:uiPriority w:val="99"/>
    <w:rsid w:val="008B121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
    <w:name w:val="Style216"/>
    <w:basedOn w:val="TableGrid5"/>
    <w:uiPriority w:val="99"/>
    <w:rsid w:val="008B121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
    <w:name w:val="No List40"/>
    <w:next w:val="NoList"/>
    <w:uiPriority w:val="99"/>
    <w:semiHidden/>
    <w:unhideWhenUsed/>
    <w:rsid w:val="008B1219"/>
  </w:style>
  <w:style w:type="table" w:customStyle="1" w:styleId="TableGrid20">
    <w:name w:val="Table Grid20"/>
    <w:basedOn w:val="TableNormal"/>
    <w:next w:val="TableGrid"/>
    <w:uiPriority w:val="59"/>
    <w:rsid w:val="008B1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
    <w:name w:val="Light Shading - Accent 110"/>
    <w:basedOn w:val="TableNormal"/>
    <w:next w:val="LightShading-Accent1"/>
    <w:uiPriority w:val="60"/>
    <w:rsid w:val="008B1219"/>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58">
    <w:name w:val="Light List - Accent 58"/>
    <w:basedOn w:val="TableNormal"/>
    <w:next w:val="LightList-Accent5"/>
    <w:uiPriority w:val="61"/>
    <w:rsid w:val="008B1219"/>
    <w:rPr>
      <w:rFonts w:asciiTheme="minorHAnsi" w:eastAsiaTheme="minorHAnsi" w:hAnsiTheme="minorHAnsi" w:cstheme="minorBidi"/>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List2-Accent1">
    <w:name w:val="Medium List 2 Accent 1"/>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Grid2-Accent110">
    <w:name w:val="Medium Grid 2 - Accent 110"/>
    <w:basedOn w:val="TableNormal"/>
    <w:next w:val="MediumGrid2-Accent1"/>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3-Accent6">
    <w:name w:val="Medium Grid 3 Accent 6"/>
    <w:basedOn w:val="TableNormal"/>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2-Accent510">
    <w:name w:val="Medium List 2 - Accent 510"/>
    <w:basedOn w:val="TableNormal"/>
    <w:next w:val="MediumList2-Accent5"/>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List-Accent123">
    <w:name w:val="Light List - Accent 123"/>
    <w:basedOn w:val="TableNormal"/>
    <w:next w:val="LightList-Accent1"/>
    <w:uiPriority w:val="61"/>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List1-Accent5">
    <w:name w:val="Medium List 1 Accent 5"/>
    <w:basedOn w:val="TableNormal"/>
    <w:uiPriority w:val="65"/>
    <w:rsid w:val="008B1219"/>
    <w:rPr>
      <w:rFonts w:asciiTheme="minorHAnsi" w:eastAsiaTheme="minorHAnsi" w:hAnsiTheme="minorHAnsi" w:cstheme="minorBidi"/>
      <w:color w:val="000000" w:themeColor="text1"/>
      <w:sz w:val="22"/>
      <w:szCs w:val="22"/>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customStyle="1" w:styleId="MediumGrid3-Accent510">
    <w:name w:val="Medium Grid 3 - Accent 510"/>
    <w:basedOn w:val="TableNormal"/>
    <w:next w:val="MediumGrid3-Accent5"/>
    <w:uiPriority w:val="69"/>
    <w:rsid w:val="008B1219"/>
    <w:rPr>
      <w:rFonts w:asciiTheme="minorHAnsi" w:eastAsiaTheme="minorHAnsi" w:hAnsiTheme="minorHAnsi" w:cstheme="minorBidi"/>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510">
    <w:name w:val="Light Shading - Accent 510"/>
    <w:basedOn w:val="TableNormal"/>
    <w:next w:val="LightShading-Accent5"/>
    <w:uiPriority w:val="60"/>
    <w:rsid w:val="008B1219"/>
    <w:rPr>
      <w:rFonts w:asciiTheme="minorHAnsi" w:eastAsiaTheme="minorHAnsi" w:hAnsiTheme="minorHAnsi" w:cstheme="minorBidi"/>
      <w:color w:val="31849B" w:themeColor="accent5" w:themeShade="BF"/>
      <w:sz w:val="22"/>
      <w:szCs w:val="22"/>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Grid2-Accent510">
    <w:name w:val="Medium Grid 2 - Accent 510"/>
    <w:basedOn w:val="TableNormal"/>
    <w:next w:val="MediumGrid2-Accent5"/>
    <w:uiPriority w:val="68"/>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LightList-Accent3">
    <w:name w:val="Light List Accent 3"/>
    <w:basedOn w:val="TableNormal"/>
    <w:uiPriority w:val="61"/>
    <w:rsid w:val="008B1219"/>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3">
    <w:name w:val="Medium List 2 Accent 3"/>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B1219"/>
    <w:rPr>
      <w:rFonts w:asciiTheme="majorHAnsi" w:eastAsiaTheme="majorEastAsia" w:hAnsiTheme="majorHAnsi" w:cstheme="majorBidi"/>
      <w:color w:val="000000" w:themeColor="text1"/>
      <w:sz w:val="22"/>
      <w:szCs w:val="22"/>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Grid-Accent110">
    <w:name w:val="Light Grid - Accent 110"/>
    <w:basedOn w:val="TableNormal"/>
    <w:next w:val="LightGrid-Accent1"/>
    <w:uiPriority w:val="62"/>
    <w:rsid w:val="008B1219"/>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numbering" w:customStyle="1" w:styleId="NoList47">
    <w:name w:val="No List47"/>
    <w:next w:val="NoList"/>
    <w:uiPriority w:val="99"/>
    <w:semiHidden/>
    <w:unhideWhenUsed/>
    <w:rsid w:val="00961B35"/>
  </w:style>
  <w:style w:type="table" w:customStyle="1" w:styleId="TableGrid24">
    <w:name w:val="Table Grid24"/>
    <w:basedOn w:val="TableNormal"/>
    <w:next w:val="TableGrid"/>
    <w:uiPriority w:val="3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961B35"/>
  </w:style>
  <w:style w:type="numbering" w:customStyle="1" w:styleId="NoList1118">
    <w:name w:val="No List1118"/>
    <w:next w:val="NoList"/>
    <w:semiHidden/>
    <w:rsid w:val="00961B35"/>
  </w:style>
  <w:style w:type="table" w:customStyle="1" w:styleId="TableGrid1100">
    <w:name w:val="Table Grid110"/>
    <w:basedOn w:val="TableNormal"/>
    <w:next w:val="TableGrid"/>
    <w:uiPriority w:val="59"/>
    <w:rsid w:val="00961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semiHidden/>
    <w:rsid w:val="001725C5"/>
  </w:style>
  <w:style w:type="paragraph" w:customStyle="1" w:styleId="CharChara">
    <w:name w:val="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a">
    <w:name w:val="Char"/>
    <w:basedOn w:val="Normal"/>
    <w:next w:val="Normal"/>
    <w:rsid w:val="001725C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1CharCharCharCharCharCharCharCharCharCharCharChar0">
    <w:name w:val="Char1 Char Char Char Char Char Char Char Char Char 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4">
    <w:name w:val="Char Char Char"/>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5">
    <w:name w:val="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5">
    <w:name w:val="Char Char Char Char Char 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af">
    <w:name w:val="Знак Знак"/>
    <w:basedOn w:val="Normal"/>
    <w:rsid w:val="001725C5"/>
    <w:pPr>
      <w:spacing w:before="0" w:after="160" w:line="240" w:lineRule="exact"/>
      <w:ind w:firstLine="0"/>
      <w:contextualSpacing w:val="0"/>
      <w:jc w:val="left"/>
    </w:pPr>
    <w:rPr>
      <w:rFonts w:ascii="Arial" w:hAnsi="Arial" w:cs="Arial"/>
      <w:b w:val="0"/>
      <w:sz w:val="20"/>
      <w:szCs w:val="20"/>
      <w:lang w:val="en-US" w:eastAsia="en-US"/>
    </w:rPr>
  </w:style>
  <w:style w:type="numbering" w:customStyle="1" w:styleId="NoList127">
    <w:name w:val="No List127"/>
    <w:next w:val="NoList"/>
    <w:semiHidden/>
    <w:rsid w:val="001725C5"/>
  </w:style>
  <w:style w:type="paragraph" w:customStyle="1" w:styleId="CharCharCharCharCharCharCharCharCharCharCharCharCharCharChar0">
    <w:name w:val="Char Char Char Char Знак Char Знак Char Char Char Char Char Char Char Char Char Char"/>
    <w:basedOn w:val="Normal"/>
    <w:rsid w:val="001725C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160">
    <w:name w:val="Char Char16"/>
    <w:rsid w:val="001725C5"/>
    <w:rPr>
      <w:b/>
      <w:sz w:val="32"/>
      <w:lang w:val="en-GB" w:eastAsia="en-US" w:bidi="ar-SA"/>
    </w:rPr>
  </w:style>
  <w:style w:type="character" w:customStyle="1" w:styleId="CharChar140">
    <w:name w:val="Char Char14"/>
    <w:rsid w:val="001725C5"/>
    <w:rPr>
      <w:sz w:val="22"/>
      <w:lang w:val="en-GB" w:eastAsia="en-US" w:bidi="ar-SA"/>
    </w:rPr>
  </w:style>
  <w:style w:type="character" w:customStyle="1" w:styleId="CharChar150">
    <w:name w:val="Char Char15"/>
    <w:rsid w:val="001725C5"/>
    <w:rPr>
      <w:sz w:val="36"/>
      <w:lang w:val="en-GB" w:eastAsia="en-US" w:bidi="ar-SA"/>
    </w:rPr>
  </w:style>
  <w:style w:type="character" w:customStyle="1" w:styleId="CharChar130">
    <w:name w:val="Char Char13"/>
    <w:rsid w:val="001725C5"/>
    <w:rPr>
      <w:sz w:val="22"/>
      <w:lang w:val="en-GB" w:eastAsia="en-US" w:bidi="ar-SA"/>
    </w:rPr>
  </w:style>
  <w:style w:type="character" w:customStyle="1" w:styleId="CharChar120">
    <w:name w:val="Char Char12"/>
    <w:uiPriority w:val="99"/>
    <w:rsid w:val="001725C5"/>
    <w:rPr>
      <w:sz w:val="22"/>
      <w:lang w:val="en-GB" w:eastAsia="en-US" w:bidi="ar-SA"/>
    </w:rPr>
  </w:style>
  <w:style w:type="character" w:customStyle="1" w:styleId="CharChar110">
    <w:name w:val="Char Char11"/>
    <w:uiPriority w:val="99"/>
    <w:rsid w:val="001725C5"/>
    <w:rPr>
      <w:rFonts w:ascii="Times Armenian" w:hAnsi="Times Armenian"/>
      <w:b/>
      <w:bCs/>
      <w:sz w:val="32"/>
      <w:szCs w:val="24"/>
      <w:lang w:val="fr-FR" w:eastAsia="en-US" w:bidi="ar-SA"/>
    </w:rPr>
  </w:style>
  <w:style w:type="character" w:customStyle="1" w:styleId="CharChar100">
    <w:name w:val="Char Char10"/>
    <w:rsid w:val="001725C5"/>
    <w:rPr>
      <w:rFonts w:ascii="Times Armenian" w:hAnsi="Times Armenian"/>
      <w:color w:val="993300"/>
      <w:sz w:val="22"/>
      <w:szCs w:val="24"/>
      <w:lang w:val="hy-AM" w:eastAsia="en-US" w:bidi="ar-SA"/>
    </w:rPr>
  </w:style>
  <w:style w:type="character" w:customStyle="1" w:styleId="CharChar90">
    <w:name w:val="Char Char9"/>
    <w:rsid w:val="001725C5"/>
    <w:rPr>
      <w:rFonts w:ascii="Times Armenian" w:hAnsi="Times Armenian"/>
      <w:b/>
      <w:i/>
      <w:sz w:val="24"/>
      <w:u w:val="single"/>
      <w:lang w:val="hy-AM" w:eastAsia="en-US" w:bidi="ar-SA"/>
    </w:rPr>
  </w:style>
  <w:style w:type="numbering" w:customStyle="1" w:styleId="NoList210">
    <w:name w:val="No List210"/>
    <w:next w:val="NoList"/>
    <w:semiHidden/>
    <w:rsid w:val="001725C5"/>
  </w:style>
  <w:style w:type="numbering" w:customStyle="1" w:styleId="NoList49">
    <w:name w:val="No List49"/>
    <w:next w:val="NoList"/>
    <w:uiPriority w:val="99"/>
    <w:semiHidden/>
    <w:unhideWhenUsed/>
    <w:rsid w:val="002C0A36"/>
  </w:style>
  <w:style w:type="table" w:customStyle="1" w:styleId="TableGrid25">
    <w:name w:val="Table Grid25"/>
    <w:basedOn w:val="TableNormal"/>
    <w:next w:val="TableGrid"/>
    <w:uiPriority w:val="39"/>
    <w:rsid w:val="002C0A36"/>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2C0A36"/>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
    <w:name w:val="Table Grid26"/>
    <w:basedOn w:val="TableNormal"/>
    <w:next w:val="TableGrid"/>
    <w:uiPriority w:val="39"/>
    <w:rsid w:val="00BA6B0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
    <w:name w:val="No List50"/>
    <w:next w:val="NoList"/>
    <w:uiPriority w:val="99"/>
    <w:semiHidden/>
    <w:unhideWhenUsed/>
    <w:rsid w:val="00B36A46"/>
  </w:style>
  <w:style w:type="numbering" w:customStyle="1" w:styleId="NoList128">
    <w:name w:val="No List128"/>
    <w:next w:val="NoList"/>
    <w:uiPriority w:val="99"/>
    <w:semiHidden/>
    <w:unhideWhenUsed/>
    <w:rsid w:val="00B36A46"/>
  </w:style>
  <w:style w:type="table" w:customStyle="1" w:styleId="TableGrid27">
    <w:name w:val="Table Grid27"/>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semiHidden/>
    <w:unhideWhenUsed/>
    <w:rsid w:val="00B36A46"/>
  </w:style>
  <w:style w:type="numbering" w:customStyle="1" w:styleId="NoList11110">
    <w:name w:val="No List11110"/>
    <w:next w:val="NoList"/>
    <w:semiHidden/>
    <w:rsid w:val="00B36A46"/>
  </w:style>
  <w:style w:type="table" w:customStyle="1" w:styleId="TableGrid112">
    <w:name w:val="Table Grid11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semiHidden/>
    <w:rsid w:val="00B36A46"/>
  </w:style>
  <w:style w:type="numbering" w:customStyle="1" w:styleId="NoList214">
    <w:name w:val="No List214"/>
    <w:next w:val="NoList"/>
    <w:semiHidden/>
    <w:rsid w:val="00B36A46"/>
  </w:style>
  <w:style w:type="numbering" w:customStyle="1" w:styleId="NoList310">
    <w:name w:val="No List310"/>
    <w:next w:val="NoList"/>
    <w:semiHidden/>
    <w:unhideWhenUsed/>
    <w:rsid w:val="00B36A46"/>
  </w:style>
  <w:style w:type="table" w:customStyle="1" w:styleId="TableList77">
    <w:name w:val="Table List 77"/>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
    <w:name w:val="Table Web 37"/>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
    <w:name w:val="Table Elegant7"/>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
    <w:name w:val="Table Web 27"/>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
    <w:name w:val="Table Web 17"/>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
    <w:name w:val="Table Grid 87"/>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
    <w:name w:val="Table Contemporary7"/>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
    <w:name w:val="Light List - Accent 124"/>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
    <w:name w:val="Table Grid 77"/>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
    <w:name w:val="Colorful Grid - Accent 18"/>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
    <w:name w:val="Light List - Accent 59"/>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
    <w:name w:val="Table Simple 37"/>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
    <w:name w:val="Table Grid 57"/>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
    <w:name w:val="Table Grid 37"/>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0">
    <w:name w:val="Table Grid 17"/>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
    <w:name w:val="Table Columns 57"/>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
    <w:name w:val="Light List - Accent 1110"/>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0">
    <w:name w:val="Нет списка18"/>
    <w:next w:val="NoList"/>
    <w:semiHidden/>
    <w:unhideWhenUsed/>
    <w:rsid w:val="00B36A46"/>
  </w:style>
  <w:style w:type="table" w:customStyle="1" w:styleId="ColorfulGrid-Accent117">
    <w:name w:val="Colorful Grid - Accent 117"/>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
    <w:name w:val="Light List - Accent 517"/>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
    <w:name w:val="No List410"/>
    <w:next w:val="NoList"/>
    <w:semiHidden/>
    <w:rsid w:val="00B36A46"/>
  </w:style>
  <w:style w:type="table" w:customStyle="1" w:styleId="Table3Deffects37">
    <w:name w:val="Table 3D effects 37"/>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
    <w:name w:val="Нет списка117"/>
    <w:next w:val="NoList"/>
    <w:semiHidden/>
    <w:unhideWhenUsed/>
    <w:rsid w:val="00B36A46"/>
  </w:style>
  <w:style w:type="numbering" w:customStyle="1" w:styleId="NoList54">
    <w:name w:val="No List54"/>
    <w:next w:val="NoList"/>
    <w:uiPriority w:val="99"/>
    <w:semiHidden/>
    <w:unhideWhenUsed/>
    <w:rsid w:val="00B36A46"/>
  </w:style>
  <w:style w:type="numbering" w:customStyle="1" w:styleId="NoList129">
    <w:name w:val="No List129"/>
    <w:next w:val="NoList"/>
    <w:semiHidden/>
    <w:rsid w:val="00B36A46"/>
  </w:style>
  <w:style w:type="numbering" w:customStyle="1" w:styleId="NoList1124">
    <w:name w:val="No List1124"/>
    <w:next w:val="NoList"/>
    <w:semiHidden/>
    <w:rsid w:val="00B36A46"/>
  </w:style>
  <w:style w:type="numbering" w:customStyle="1" w:styleId="NoList111112">
    <w:name w:val="No List111112"/>
    <w:next w:val="NoList"/>
    <w:semiHidden/>
    <w:rsid w:val="00B36A46"/>
  </w:style>
  <w:style w:type="numbering" w:customStyle="1" w:styleId="NoList215">
    <w:name w:val="No List215"/>
    <w:next w:val="NoList"/>
    <w:semiHidden/>
    <w:rsid w:val="00B36A46"/>
  </w:style>
  <w:style w:type="table" w:customStyle="1" w:styleId="TableGrid28">
    <w:name w:val="Table Grid28"/>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B36A46"/>
  </w:style>
  <w:style w:type="numbering" w:customStyle="1" w:styleId="NoList62">
    <w:name w:val="No List62"/>
    <w:next w:val="NoList"/>
    <w:uiPriority w:val="99"/>
    <w:semiHidden/>
    <w:unhideWhenUsed/>
    <w:rsid w:val="00B36A46"/>
  </w:style>
  <w:style w:type="numbering" w:customStyle="1" w:styleId="NoList72">
    <w:name w:val="No List72"/>
    <w:next w:val="NoList"/>
    <w:uiPriority w:val="99"/>
    <w:semiHidden/>
    <w:unhideWhenUsed/>
    <w:rsid w:val="00B36A46"/>
  </w:style>
  <w:style w:type="table" w:customStyle="1" w:styleId="TableGrid320">
    <w:name w:val="Table Grid3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semiHidden/>
    <w:unhideWhenUsed/>
    <w:rsid w:val="00B36A46"/>
  </w:style>
  <w:style w:type="numbering" w:customStyle="1" w:styleId="NoList1132">
    <w:name w:val="No List1132"/>
    <w:next w:val="NoList"/>
    <w:semiHidden/>
    <w:rsid w:val="00B36A46"/>
  </w:style>
  <w:style w:type="table" w:customStyle="1" w:styleId="TableGrid113">
    <w:name w:val="Table Grid113"/>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semiHidden/>
    <w:rsid w:val="00B36A46"/>
  </w:style>
  <w:style w:type="numbering" w:customStyle="1" w:styleId="NoList222">
    <w:name w:val="No List222"/>
    <w:next w:val="NoList"/>
    <w:semiHidden/>
    <w:rsid w:val="00B36A46"/>
  </w:style>
  <w:style w:type="numbering" w:customStyle="1" w:styleId="NoList322">
    <w:name w:val="No List322"/>
    <w:next w:val="NoList"/>
    <w:semiHidden/>
    <w:unhideWhenUsed/>
    <w:rsid w:val="00B36A46"/>
  </w:style>
  <w:style w:type="table" w:customStyle="1" w:styleId="TableList712">
    <w:name w:val="Table List 71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
    <w:name w:val="Table Web 31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
    <w:name w:val="Table Elegant1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
    <w:name w:val="Table Web 21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
    <w:name w:val="Table Web 11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
    <w:name w:val="Table Grid 81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
    <w:name w:val="Table Contemporary1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
    <w:name w:val="Light List - Accent 125"/>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
    <w:name w:val="Table Grid 71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
    <w:name w:val="Colorful Grid - Accent 122"/>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
    <w:name w:val="Light List - Accent 522"/>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
    <w:name w:val="Table Simple 31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
    <w:name w:val="Table Grid 51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
    <w:name w:val="Table Grid 31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0">
    <w:name w:val="Table Grid 11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
    <w:name w:val="Table Columns 51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
    <w:name w:val="Light List - Accent 111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
    <w:name w:val="Нет списка122"/>
    <w:next w:val="NoList"/>
    <w:uiPriority w:val="99"/>
    <w:semiHidden/>
    <w:unhideWhenUsed/>
    <w:rsid w:val="00B36A46"/>
  </w:style>
  <w:style w:type="table" w:customStyle="1" w:styleId="ColorfulGrid-Accent1112">
    <w:name w:val="Colorful Grid - Accent 111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
    <w:name w:val="Light List - Accent 511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
    <w:name w:val="No List412"/>
    <w:next w:val="NoList"/>
    <w:semiHidden/>
    <w:rsid w:val="00B36A46"/>
  </w:style>
  <w:style w:type="table" w:customStyle="1" w:styleId="Table3Deffects312">
    <w:name w:val="Table 3D effects 31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
    <w:name w:val="Нет списка1112"/>
    <w:next w:val="NoList"/>
    <w:semiHidden/>
    <w:unhideWhenUsed/>
    <w:rsid w:val="00B36A46"/>
  </w:style>
  <w:style w:type="numbering" w:customStyle="1" w:styleId="NoList512">
    <w:name w:val="No List512"/>
    <w:next w:val="NoList"/>
    <w:uiPriority w:val="99"/>
    <w:semiHidden/>
    <w:unhideWhenUsed/>
    <w:rsid w:val="00B36A46"/>
  </w:style>
  <w:style w:type="numbering" w:customStyle="1" w:styleId="NoList1212">
    <w:name w:val="No List1212"/>
    <w:next w:val="NoList"/>
    <w:semiHidden/>
    <w:rsid w:val="00B36A46"/>
  </w:style>
  <w:style w:type="numbering" w:customStyle="1" w:styleId="NoList11212">
    <w:name w:val="No List11212"/>
    <w:next w:val="NoList"/>
    <w:semiHidden/>
    <w:rsid w:val="00B36A46"/>
  </w:style>
  <w:style w:type="numbering" w:customStyle="1" w:styleId="NoList1111112">
    <w:name w:val="No List1111112"/>
    <w:next w:val="NoList"/>
    <w:semiHidden/>
    <w:rsid w:val="00B36A46"/>
  </w:style>
  <w:style w:type="numbering" w:customStyle="1" w:styleId="NoList2112">
    <w:name w:val="No List2112"/>
    <w:next w:val="NoList"/>
    <w:semiHidden/>
    <w:rsid w:val="00B36A46"/>
  </w:style>
  <w:style w:type="table" w:customStyle="1" w:styleId="TableGrid212">
    <w:name w:val="Table Grid21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
    <w:name w:val="No List3112"/>
    <w:next w:val="NoList"/>
    <w:uiPriority w:val="99"/>
    <w:semiHidden/>
    <w:unhideWhenUsed/>
    <w:rsid w:val="00B36A46"/>
  </w:style>
  <w:style w:type="numbering" w:customStyle="1" w:styleId="NoList82">
    <w:name w:val="No List82"/>
    <w:next w:val="NoList"/>
    <w:uiPriority w:val="99"/>
    <w:semiHidden/>
    <w:unhideWhenUsed/>
    <w:rsid w:val="00B36A46"/>
  </w:style>
  <w:style w:type="numbering" w:customStyle="1" w:styleId="NoList92">
    <w:name w:val="No List92"/>
    <w:next w:val="NoList"/>
    <w:uiPriority w:val="99"/>
    <w:semiHidden/>
    <w:unhideWhenUsed/>
    <w:rsid w:val="00B36A46"/>
  </w:style>
  <w:style w:type="table" w:customStyle="1" w:styleId="TableGrid42">
    <w:name w:val="Table Grid4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
    <w:name w:val="Table List 72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
    <w:name w:val="Table Web 32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
    <w:name w:val="Table Elegant2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
    <w:name w:val="Table Web 22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
    <w:name w:val="Table Web 12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
    <w:name w:val="Table Grid 82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
    <w:name w:val="Table Contemporary2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
    <w:name w:val="No List142"/>
    <w:next w:val="NoList"/>
    <w:semiHidden/>
    <w:unhideWhenUsed/>
    <w:rsid w:val="00B36A46"/>
  </w:style>
  <w:style w:type="numbering" w:customStyle="1" w:styleId="NoList232">
    <w:name w:val="No List232"/>
    <w:next w:val="NoList"/>
    <w:semiHidden/>
    <w:unhideWhenUsed/>
    <w:rsid w:val="00B36A46"/>
  </w:style>
  <w:style w:type="numbering" w:customStyle="1" w:styleId="NoList332">
    <w:name w:val="No List332"/>
    <w:next w:val="NoList"/>
    <w:semiHidden/>
    <w:unhideWhenUsed/>
    <w:rsid w:val="00B36A46"/>
  </w:style>
  <w:style w:type="table" w:customStyle="1" w:styleId="LightList-Accent132">
    <w:name w:val="Light List - Accent 13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
    <w:name w:val="Table Grid 72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
    <w:name w:val="Colorful Grid - Accent 13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
    <w:name w:val="Light List - Accent 53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
    <w:name w:val="Table Simple 32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
    <w:name w:val="Table Grid 52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
    <w:name w:val="Table Grid 32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
    <w:name w:val="Table Grid 12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
    <w:name w:val="Table Columns 52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
    <w:name w:val="Light List - Accent 112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
    <w:name w:val="Нет списка132"/>
    <w:next w:val="NoList"/>
    <w:semiHidden/>
    <w:unhideWhenUsed/>
    <w:rsid w:val="00B36A46"/>
  </w:style>
  <w:style w:type="table" w:customStyle="1" w:styleId="ColorfulGrid-Accent1122">
    <w:name w:val="Colorful Grid - Accent 112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
    <w:name w:val="Light List - Accent 512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
    <w:name w:val="No List422"/>
    <w:next w:val="NoList"/>
    <w:semiHidden/>
    <w:rsid w:val="00B36A46"/>
  </w:style>
  <w:style w:type="numbering" w:customStyle="1" w:styleId="NoList1142">
    <w:name w:val="No List1142"/>
    <w:next w:val="NoList"/>
    <w:semiHidden/>
    <w:unhideWhenUsed/>
    <w:rsid w:val="00B36A46"/>
  </w:style>
  <w:style w:type="table" w:customStyle="1" w:styleId="Table3Deffects322">
    <w:name w:val="Table 3D effects 32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
    <w:name w:val="Нет списка1122"/>
    <w:next w:val="NoList"/>
    <w:semiHidden/>
    <w:unhideWhenUsed/>
    <w:rsid w:val="00B36A46"/>
  </w:style>
  <w:style w:type="numbering" w:customStyle="1" w:styleId="NoList102">
    <w:name w:val="No List102"/>
    <w:next w:val="NoList"/>
    <w:uiPriority w:val="99"/>
    <w:semiHidden/>
    <w:unhideWhenUsed/>
    <w:rsid w:val="00B36A46"/>
  </w:style>
  <w:style w:type="table" w:customStyle="1" w:styleId="TableGrid520">
    <w:name w:val="Table Grid5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unhideWhenUsed/>
    <w:rsid w:val="00B36A46"/>
  </w:style>
  <w:style w:type="numbering" w:customStyle="1" w:styleId="NoList1152">
    <w:name w:val="No List1152"/>
    <w:next w:val="NoList"/>
    <w:semiHidden/>
    <w:rsid w:val="00B36A46"/>
  </w:style>
  <w:style w:type="table" w:customStyle="1" w:styleId="TableGrid1220">
    <w:name w:val="Table Grid122"/>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semiHidden/>
    <w:rsid w:val="00B36A46"/>
  </w:style>
  <w:style w:type="numbering" w:customStyle="1" w:styleId="NoList242">
    <w:name w:val="No List242"/>
    <w:next w:val="NoList"/>
    <w:semiHidden/>
    <w:rsid w:val="00B36A46"/>
  </w:style>
  <w:style w:type="numbering" w:customStyle="1" w:styleId="NoList342">
    <w:name w:val="No List342"/>
    <w:next w:val="NoList"/>
    <w:semiHidden/>
    <w:unhideWhenUsed/>
    <w:rsid w:val="00B36A46"/>
  </w:style>
  <w:style w:type="table" w:customStyle="1" w:styleId="TableList732">
    <w:name w:val="Table List 732"/>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
    <w:name w:val="Table Web 332"/>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
    <w:name w:val="Table Elegant32"/>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
    <w:name w:val="Table Web 232"/>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
    <w:name w:val="Table Web 132"/>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
    <w:name w:val="Table Grid 832"/>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
    <w:name w:val="Table Contemporary32"/>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
    <w:name w:val="Light List - Accent 142"/>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
    <w:name w:val="Table Grid 732"/>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
    <w:name w:val="Colorful Grid - Accent 142"/>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
    <w:name w:val="Light List - Accent 542"/>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
    <w:name w:val="Table Simple 332"/>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
    <w:name w:val="Table Grid 532"/>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
    <w:name w:val="Table Grid 332"/>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
    <w:name w:val="Table Grid 132"/>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
    <w:name w:val="Table Columns 532"/>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
    <w:name w:val="Light List - Accent 1132"/>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
    <w:name w:val="Нет списка142"/>
    <w:next w:val="NoList"/>
    <w:semiHidden/>
    <w:unhideWhenUsed/>
    <w:rsid w:val="00B36A46"/>
  </w:style>
  <w:style w:type="table" w:customStyle="1" w:styleId="ColorfulGrid-Accent1132">
    <w:name w:val="Colorful Grid - Accent 1132"/>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
    <w:name w:val="Light List - Accent 5132"/>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
    <w:name w:val="No List432"/>
    <w:next w:val="NoList"/>
    <w:semiHidden/>
    <w:rsid w:val="00B36A46"/>
  </w:style>
  <w:style w:type="table" w:customStyle="1" w:styleId="Table3Deffects332">
    <w:name w:val="Table 3D effects 332"/>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
    <w:name w:val="Нет списка1132"/>
    <w:next w:val="NoList"/>
    <w:semiHidden/>
    <w:unhideWhenUsed/>
    <w:rsid w:val="00B36A46"/>
  </w:style>
  <w:style w:type="numbering" w:customStyle="1" w:styleId="NoList522">
    <w:name w:val="No List522"/>
    <w:next w:val="NoList"/>
    <w:uiPriority w:val="99"/>
    <w:semiHidden/>
    <w:unhideWhenUsed/>
    <w:rsid w:val="00B36A46"/>
  </w:style>
  <w:style w:type="numbering" w:customStyle="1" w:styleId="NoList1222">
    <w:name w:val="No List1222"/>
    <w:next w:val="NoList"/>
    <w:semiHidden/>
    <w:rsid w:val="00B36A46"/>
  </w:style>
  <w:style w:type="numbering" w:customStyle="1" w:styleId="NoList11222">
    <w:name w:val="No List11222"/>
    <w:next w:val="NoList"/>
    <w:semiHidden/>
    <w:rsid w:val="00B36A46"/>
  </w:style>
  <w:style w:type="numbering" w:customStyle="1" w:styleId="NoList111122">
    <w:name w:val="No List111122"/>
    <w:next w:val="NoList"/>
    <w:semiHidden/>
    <w:rsid w:val="00B36A46"/>
  </w:style>
  <w:style w:type="numbering" w:customStyle="1" w:styleId="NoList2122">
    <w:name w:val="No List2122"/>
    <w:next w:val="NoList"/>
    <w:semiHidden/>
    <w:rsid w:val="00B36A46"/>
  </w:style>
  <w:style w:type="table" w:customStyle="1" w:styleId="TableGrid222">
    <w:name w:val="Table Grid222"/>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
    <w:name w:val="No List3122"/>
    <w:next w:val="NoList"/>
    <w:uiPriority w:val="99"/>
    <w:semiHidden/>
    <w:unhideWhenUsed/>
    <w:rsid w:val="00B36A46"/>
  </w:style>
  <w:style w:type="table" w:customStyle="1" w:styleId="LightShading-Accent113">
    <w:name w:val="Light Shading - Accent 113"/>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
    <w:name w:val="Medium Grid 2 - Accent 113"/>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
    <w:name w:val="Medium List 2 - Accent 513"/>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
    <w:name w:val="Light List - Accent 15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
    <w:name w:val="Medium Grid 3 - Accent 513"/>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
    <w:name w:val="Light Shading - Accent 513"/>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
    <w:name w:val="Medium Grid 2 - Accent 513"/>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
    <w:name w:val="Light Grid - Accent 113"/>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
    <w:name w:val="Table List 44"/>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
    <w:name w:val="Table List 413"/>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
    <w:name w:val="Table Theme2"/>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
    <w:name w:val="Table Professional2"/>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
    <w:name w:val="Table Grid 62"/>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
    <w:name w:val="Table List 42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
    <w:name w:val="Table List 4112"/>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
    <w:name w:val="Style116"/>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
    <w:name w:val="Style217"/>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
    <w:name w:val="Style2116"/>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
    <w:name w:val="No List162"/>
    <w:next w:val="NoList"/>
    <w:uiPriority w:val="99"/>
    <w:semiHidden/>
    <w:unhideWhenUsed/>
    <w:rsid w:val="00B36A46"/>
  </w:style>
  <w:style w:type="table" w:customStyle="1" w:styleId="TableGrid620">
    <w:name w:val="Table Grid62"/>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B36A46"/>
  </w:style>
  <w:style w:type="numbering" w:customStyle="1" w:styleId="NoList1162">
    <w:name w:val="No List1162"/>
    <w:next w:val="NoList"/>
    <w:semiHidden/>
    <w:rsid w:val="00B36A46"/>
  </w:style>
  <w:style w:type="table" w:customStyle="1" w:styleId="TableGrid1320">
    <w:name w:val="Table Grid132"/>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
    <w:name w:val="Light List - Accent 163"/>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
    <w:name w:val="Light Shading - Accent 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
    <w:name w:val="Medium Grid 2 - Accent 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
    <w:name w:val="Medium List 2 - Accent 5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
    <w:name w:val="Light List - Accent 17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
    <w:name w:val="Medium Grid 3 - Accent 5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
    <w:name w:val="Light Shading - Accent 5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
    <w:name w:val="Medium Grid 2 - Accent 5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
    <w:name w:val="Light Grid - Accent 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
    <w:name w:val="No List181"/>
    <w:next w:val="NoList"/>
    <w:uiPriority w:val="99"/>
    <w:semiHidden/>
    <w:unhideWhenUsed/>
    <w:rsid w:val="00B36A46"/>
  </w:style>
  <w:style w:type="table" w:customStyle="1" w:styleId="TableGrid710">
    <w:name w:val="Table Grid7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
    <w:name w:val="Table List 74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
    <w:name w:val="Table Web 34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
    <w:name w:val="Table Elegant4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
    <w:name w:val="Table Web 24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
    <w:name w:val="Table Web 14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
    <w:name w:val="Table Grid 84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
    <w:name w:val="Table Contemporary4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
    <w:name w:val="No List191"/>
    <w:next w:val="NoList"/>
    <w:semiHidden/>
    <w:unhideWhenUsed/>
    <w:rsid w:val="00B36A46"/>
  </w:style>
  <w:style w:type="numbering" w:customStyle="1" w:styleId="NoList251">
    <w:name w:val="No List251"/>
    <w:next w:val="NoList"/>
    <w:semiHidden/>
    <w:unhideWhenUsed/>
    <w:rsid w:val="00B36A46"/>
  </w:style>
  <w:style w:type="numbering" w:customStyle="1" w:styleId="NoList351">
    <w:name w:val="No List351"/>
    <w:next w:val="NoList"/>
    <w:semiHidden/>
    <w:unhideWhenUsed/>
    <w:rsid w:val="00B36A46"/>
  </w:style>
  <w:style w:type="table" w:customStyle="1" w:styleId="LightList-Accent181">
    <w:name w:val="Light List - Accent 18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
    <w:name w:val="Table Grid 74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
    <w:name w:val="Colorful Grid - Accent 15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
    <w:name w:val="Light List - Accent 55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
    <w:name w:val="Table Simple 34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
    <w:name w:val="Table Grid 54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
    <w:name w:val="Table Grid 34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
    <w:name w:val="Table Grid 14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
    <w:name w:val="Table Columns 54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
    <w:name w:val="Light List - Accent 114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
    <w:name w:val="Нет списка151"/>
    <w:next w:val="NoList"/>
    <w:semiHidden/>
    <w:unhideWhenUsed/>
    <w:rsid w:val="00B36A46"/>
  </w:style>
  <w:style w:type="table" w:customStyle="1" w:styleId="ColorfulGrid-Accent1141">
    <w:name w:val="Colorful Grid - Accent 114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
    <w:name w:val="Light List - Accent 514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
    <w:name w:val="No List441"/>
    <w:next w:val="NoList"/>
    <w:semiHidden/>
    <w:rsid w:val="00B36A46"/>
  </w:style>
  <w:style w:type="numbering" w:customStyle="1" w:styleId="NoList1171">
    <w:name w:val="No List1171"/>
    <w:next w:val="NoList"/>
    <w:semiHidden/>
    <w:unhideWhenUsed/>
    <w:rsid w:val="00B36A46"/>
  </w:style>
  <w:style w:type="table" w:customStyle="1" w:styleId="Table3Deffects341">
    <w:name w:val="Table 3D effects 34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
    <w:name w:val="Нет списка1141"/>
    <w:next w:val="NoList"/>
    <w:semiHidden/>
    <w:unhideWhenUsed/>
    <w:rsid w:val="00B36A46"/>
  </w:style>
  <w:style w:type="table" w:customStyle="1" w:styleId="Style1111">
    <w:name w:val="Style11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
    <w:name w:val="Style2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
    <w:name w:val="Style2111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
    <w:name w:val="Style112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
    <w:name w:val="Style2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
    <w:name w:val="Style2112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
    <w:name w:val="No List201"/>
    <w:next w:val="NoList"/>
    <w:uiPriority w:val="99"/>
    <w:semiHidden/>
    <w:unhideWhenUsed/>
    <w:rsid w:val="00B36A46"/>
  </w:style>
  <w:style w:type="numbering" w:customStyle="1" w:styleId="NoList1101">
    <w:name w:val="No List1101"/>
    <w:next w:val="NoList"/>
    <w:uiPriority w:val="99"/>
    <w:semiHidden/>
    <w:unhideWhenUsed/>
    <w:rsid w:val="00B36A46"/>
  </w:style>
  <w:style w:type="table" w:customStyle="1" w:styleId="TableGrid810">
    <w:name w:val="Table Grid8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semiHidden/>
    <w:unhideWhenUsed/>
    <w:rsid w:val="00B36A46"/>
  </w:style>
  <w:style w:type="numbering" w:customStyle="1" w:styleId="NoList11141">
    <w:name w:val="No List11141"/>
    <w:next w:val="NoList"/>
    <w:semiHidden/>
    <w:rsid w:val="00B36A46"/>
  </w:style>
  <w:style w:type="table" w:customStyle="1" w:styleId="TableGrid1410">
    <w:name w:val="Table Grid14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
    <w:name w:val="No List111131"/>
    <w:next w:val="NoList"/>
    <w:semiHidden/>
    <w:rsid w:val="00B36A46"/>
  </w:style>
  <w:style w:type="numbering" w:customStyle="1" w:styleId="NoList261">
    <w:name w:val="No List261"/>
    <w:next w:val="NoList"/>
    <w:semiHidden/>
    <w:rsid w:val="00B36A46"/>
  </w:style>
  <w:style w:type="numbering" w:customStyle="1" w:styleId="NoList361">
    <w:name w:val="No List361"/>
    <w:next w:val="NoList"/>
    <w:semiHidden/>
    <w:unhideWhenUsed/>
    <w:rsid w:val="00B36A46"/>
  </w:style>
  <w:style w:type="table" w:customStyle="1" w:styleId="TableList751">
    <w:name w:val="Table List 75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
    <w:name w:val="Table Web 35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
    <w:name w:val="Table Elegant5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
    <w:name w:val="Table Web 25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
    <w:name w:val="Table Web 15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
    <w:name w:val="Table Grid 85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
    <w:name w:val="Table Contemporary5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
    <w:name w:val="Light List - Accent 19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
    <w:name w:val="Table Grid 75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
    <w:name w:val="Colorful Grid - Accent 16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
    <w:name w:val="Light List - Accent 56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
    <w:name w:val="Table Simple 35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
    <w:name w:val="Table Grid 55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
    <w:name w:val="Table Grid 35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
    <w:name w:val="Table Grid 15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
    <w:name w:val="Table Columns 55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
    <w:name w:val="Light List - Accent 115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
    <w:name w:val="Нет списка161"/>
    <w:next w:val="NoList"/>
    <w:semiHidden/>
    <w:unhideWhenUsed/>
    <w:rsid w:val="00B36A46"/>
  </w:style>
  <w:style w:type="table" w:customStyle="1" w:styleId="ColorfulGrid-Accent1151">
    <w:name w:val="Colorful Grid - Accent 115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
    <w:name w:val="Light List - Accent 515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
    <w:name w:val="No List451"/>
    <w:next w:val="NoList"/>
    <w:semiHidden/>
    <w:rsid w:val="00B36A46"/>
  </w:style>
  <w:style w:type="table" w:customStyle="1" w:styleId="Table3Deffects351">
    <w:name w:val="Table 3D effects 35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NoList"/>
    <w:semiHidden/>
    <w:unhideWhenUsed/>
    <w:rsid w:val="00B36A46"/>
  </w:style>
  <w:style w:type="numbering" w:customStyle="1" w:styleId="NoList531">
    <w:name w:val="No List531"/>
    <w:next w:val="NoList"/>
    <w:uiPriority w:val="99"/>
    <w:semiHidden/>
    <w:unhideWhenUsed/>
    <w:rsid w:val="00B36A46"/>
  </w:style>
  <w:style w:type="numbering" w:customStyle="1" w:styleId="NoList1231">
    <w:name w:val="No List1231"/>
    <w:next w:val="NoList"/>
    <w:semiHidden/>
    <w:rsid w:val="00B36A46"/>
  </w:style>
  <w:style w:type="numbering" w:customStyle="1" w:styleId="NoList11231">
    <w:name w:val="No List11231"/>
    <w:next w:val="NoList"/>
    <w:semiHidden/>
    <w:rsid w:val="00B36A46"/>
  </w:style>
  <w:style w:type="numbering" w:customStyle="1" w:styleId="NoList11111111">
    <w:name w:val="No List11111111"/>
    <w:next w:val="NoList"/>
    <w:semiHidden/>
    <w:rsid w:val="00B36A46"/>
  </w:style>
  <w:style w:type="numbering" w:customStyle="1" w:styleId="NoList2131">
    <w:name w:val="No List2131"/>
    <w:next w:val="NoList"/>
    <w:semiHidden/>
    <w:rsid w:val="00B36A46"/>
  </w:style>
  <w:style w:type="table" w:customStyle="1" w:styleId="TableGrid231">
    <w:name w:val="Table Grid23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unhideWhenUsed/>
    <w:rsid w:val="00B36A46"/>
  </w:style>
  <w:style w:type="numbering" w:customStyle="1" w:styleId="NoList611">
    <w:name w:val="No List611"/>
    <w:next w:val="NoList"/>
    <w:uiPriority w:val="99"/>
    <w:semiHidden/>
    <w:unhideWhenUsed/>
    <w:rsid w:val="00B36A46"/>
  </w:style>
  <w:style w:type="numbering" w:customStyle="1" w:styleId="NoList711">
    <w:name w:val="No List711"/>
    <w:next w:val="NoList"/>
    <w:uiPriority w:val="99"/>
    <w:semiHidden/>
    <w:unhideWhenUsed/>
    <w:rsid w:val="00B36A46"/>
  </w:style>
  <w:style w:type="table" w:customStyle="1" w:styleId="TableGrid3110">
    <w:name w:val="Table Grid3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semiHidden/>
    <w:unhideWhenUsed/>
    <w:rsid w:val="00B36A46"/>
  </w:style>
  <w:style w:type="numbering" w:customStyle="1" w:styleId="NoList11311">
    <w:name w:val="No List11311"/>
    <w:next w:val="NoList"/>
    <w:semiHidden/>
    <w:rsid w:val="00B36A46"/>
  </w:style>
  <w:style w:type="table" w:customStyle="1" w:styleId="TableGrid1111">
    <w:name w:val="Table Grid1111"/>
    <w:basedOn w:val="TableNormal"/>
    <w:next w:val="TableGrid"/>
    <w:uiPriority w:val="39"/>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
    <w:name w:val="No List111211"/>
    <w:next w:val="NoList"/>
    <w:semiHidden/>
    <w:rsid w:val="00B36A46"/>
  </w:style>
  <w:style w:type="numbering" w:customStyle="1" w:styleId="NoList2211">
    <w:name w:val="No List2211"/>
    <w:next w:val="NoList"/>
    <w:semiHidden/>
    <w:rsid w:val="00B36A46"/>
  </w:style>
  <w:style w:type="numbering" w:customStyle="1" w:styleId="NoList3211">
    <w:name w:val="No List3211"/>
    <w:next w:val="NoList"/>
    <w:semiHidden/>
    <w:unhideWhenUsed/>
    <w:rsid w:val="00B36A46"/>
  </w:style>
  <w:style w:type="table" w:customStyle="1" w:styleId="TableList7111">
    <w:name w:val="Table List 71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
    <w:name w:val="Table Web 31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
    <w:name w:val="Table Elegant1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
    <w:name w:val="Table Web 21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
    <w:name w:val="Table Web 11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
    <w:name w:val="Table Grid 81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
    <w:name w:val="Table Contemporary1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
    <w:name w:val="Light List - Accent 12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
    <w:name w:val="Table Grid 71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
    <w:name w:val="Colorful Grid - Accent 1211"/>
    <w:basedOn w:val="TableNormal"/>
    <w:next w:val="ColorfulGrid-Accent1"/>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
    <w:name w:val="Light List - Accent 5211"/>
    <w:basedOn w:val="TableNormal"/>
    <w:next w:val="LightList-Accent5"/>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
    <w:name w:val="Table Simple 31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
    <w:name w:val="Table Grid 51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
    <w:name w:val="Table Grid 31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0">
    <w:name w:val="Table Grid 11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
    <w:name w:val="Table Columns 51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
    <w:name w:val="Light List - Accent 111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
    <w:name w:val="Нет списка1211"/>
    <w:next w:val="NoList"/>
    <w:uiPriority w:val="99"/>
    <w:semiHidden/>
    <w:unhideWhenUsed/>
    <w:rsid w:val="00B36A46"/>
  </w:style>
  <w:style w:type="table" w:customStyle="1" w:styleId="ColorfulGrid-Accent11111">
    <w:name w:val="Colorful Grid - Accent 111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
    <w:name w:val="Light List - Accent 511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
    <w:name w:val="No List4111"/>
    <w:next w:val="NoList"/>
    <w:semiHidden/>
    <w:rsid w:val="00B36A46"/>
  </w:style>
  <w:style w:type="table" w:customStyle="1" w:styleId="Table3Deffects3111">
    <w:name w:val="Table 3D effects 31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
    <w:name w:val="Нет списка11111"/>
    <w:next w:val="NoList"/>
    <w:semiHidden/>
    <w:unhideWhenUsed/>
    <w:rsid w:val="00B36A46"/>
  </w:style>
  <w:style w:type="numbering" w:customStyle="1" w:styleId="NoList5111">
    <w:name w:val="No List5111"/>
    <w:next w:val="NoList"/>
    <w:uiPriority w:val="99"/>
    <w:semiHidden/>
    <w:unhideWhenUsed/>
    <w:rsid w:val="00B36A46"/>
  </w:style>
  <w:style w:type="numbering" w:customStyle="1" w:styleId="NoList12111">
    <w:name w:val="No List12111"/>
    <w:next w:val="NoList"/>
    <w:semiHidden/>
    <w:rsid w:val="00B36A46"/>
  </w:style>
  <w:style w:type="numbering" w:customStyle="1" w:styleId="NoList112111">
    <w:name w:val="No List112111"/>
    <w:next w:val="NoList"/>
    <w:semiHidden/>
    <w:rsid w:val="00B36A46"/>
  </w:style>
  <w:style w:type="numbering" w:customStyle="1" w:styleId="NoList111111111">
    <w:name w:val="No List111111111"/>
    <w:next w:val="NoList"/>
    <w:semiHidden/>
    <w:rsid w:val="00B36A46"/>
  </w:style>
  <w:style w:type="numbering" w:customStyle="1" w:styleId="NoList21111">
    <w:name w:val="No List21111"/>
    <w:next w:val="NoList"/>
    <w:semiHidden/>
    <w:rsid w:val="00B36A46"/>
  </w:style>
  <w:style w:type="table" w:customStyle="1" w:styleId="TableGrid2111">
    <w:name w:val="Table Grid21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
    <w:name w:val="No List31111"/>
    <w:next w:val="NoList"/>
    <w:uiPriority w:val="99"/>
    <w:semiHidden/>
    <w:unhideWhenUsed/>
    <w:rsid w:val="00B36A46"/>
  </w:style>
  <w:style w:type="numbering" w:customStyle="1" w:styleId="NoList811">
    <w:name w:val="No List811"/>
    <w:next w:val="NoList"/>
    <w:uiPriority w:val="99"/>
    <w:semiHidden/>
    <w:unhideWhenUsed/>
    <w:rsid w:val="00B36A46"/>
  </w:style>
  <w:style w:type="numbering" w:customStyle="1" w:styleId="NoList911">
    <w:name w:val="No List911"/>
    <w:next w:val="NoList"/>
    <w:uiPriority w:val="99"/>
    <w:semiHidden/>
    <w:unhideWhenUsed/>
    <w:rsid w:val="00B36A46"/>
  </w:style>
  <w:style w:type="table" w:customStyle="1" w:styleId="TableGrid411">
    <w:name w:val="Table Grid4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
    <w:name w:val="Table List 72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
    <w:name w:val="Table Web 32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
    <w:name w:val="Table Elegant2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
    <w:name w:val="Table Web 22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
    <w:name w:val="Table Web 12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
    <w:name w:val="Table Grid 82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
    <w:name w:val="Table Contemporary2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
    <w:name w:val="No List1411"/>
    <w:next w:val="NoList"/>
    <w:semiHidden/>
    <w:unhideWhenUsed/>
    <w:rsid w:val="00B36A46"/>
  </w:style>
  <w:style w:type="numbering" w:customStyle="1" w:styleId="NoList2311">
    <w:name w:val="No List2311"/>
    <w:next w:val="NoList"/>
    <w:semiHidden/>
    <w:unhideWhenUsed/>
    <w:rsid w:val="00B36A46"/>
  </w:style>
  <w:style w:type="numbering" w:customStyle="1" w:styleId="NoList3311">
    <w:name w:val="No List3311"/>
    <w:next w:val="NoList"/>
    <w:semiHidden/>
    <w:unhideWhenUsed/>
    <w:rsid w:val="00B36A46"/>
  </w:style>
  <w:style w:type="table" w:customStyle="1" w:styleId="LightList-Accent1311">
    <w:name w:val="Light List - Accent 13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
    <w:name w:val="Table Grid 72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
    <w:name w:val="Colorful Grid - Accent 13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
    <w:name w:val="Light List - Accent 53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
    <w:name w:val="Table Simple 32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
    <w:name w:val="Table Grid 52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
    <w:name w:val="Table Grid 32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
    <w:name w:val="Table Grid 12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
    <w:name w:val="Table Columns 52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
    <w:name w:val="Light List - Accent 112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
    <w:name w:val="Нет списка1311"/>
    <w:next w:val="NoList"/>
    <w:semiHidden/>
    <w:unhideWhenUsed/>
    <w:rsid w:val="00B36A46"/>
  </w:style>
  <w:style w:type="table" w:customStyle="1" w:styleId="ColorfulGrid-Accent11211">
    <w:name w:val="Colorful Grid - Accent 112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
    <w:name w:val="Light List - Accent 512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
    <w:name w:val="No List4211"/>
    <w:next w:val="NoList"/>
    <w:semiHidden/>
    <w:rsid w:val="00B36A46"/>
  </w:style>
  <w:style w:type="numbering" w:customStyle="1" w:styleId="NoList11411">
    <w:name w:val="No List11411"/>
    <w:next w:val="NoList"/>
    <w:semiHidden/>
    <w:unhideWhenUsed/>
    <w:rsid w:val="00B36A46"/>
  </w:style>
  <w:style w:type="table" w:customStyle="1" w:styleId="Table3Deffects3211">
    <w:name w:val="Table 3D effects 32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
    <w:name w:val="Нет списка11211"/>
    <w:next w:val="NoList"/>
    <w:semiHidden/>
    <w:unhideWhenUsed/>
    <w:rsid w:val="00B36A46"/>
  </w:style>
  <w:style w:type="numbering" w:customStyle="1" w:styleId="NoList1011">
    <w:name w:val="No List1011"/>
    <w:next w:val="NoList"/>
    <w:uiPriority w:val="99"/>
    <w:semiHidden/>
    <w:unhideWhenUsed/>
    <w:rsid w:val="00B36A46"/>
  </w:style>
  <w:style w:type="table" w:customStyle="1" w:styleId="TableGrid5110">
    <w:name w:val="Table Grid5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unhideWhenUsed/>
    <w:rsid w:val="00B36A46"/>
  </w:style>
  <w:style w:type="numbering" w:customStyle="1" w:styleId="NoList11511">
    <w:name w:val="No List11511"/>
    <w:next w:val="NoList"/>
    <w:semiHidden/>
    <w:rsid w:val="00B36A46"/>
  </w:style>
  <w:style w:type="table" w:customStyle="1" w:styleId="TableGrid12110">
    <w:name w:val="Table Grid1211"/>
    <w:basedOn w:val="TableNormal"/>
    <w:next w:val="TableGrid"/>
    <w:rsid w:val="00B36A46"/>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semiHidden/>
    <w:rsid w:val="00B36A46"/>
  </w:style>
  <w:style w:type="numbering" w:customStyle="1" w:styleId="NoList2411">
    <w:name w:val="No List2411"/>
    <w:next w:val="NoList"/>
    <w:semiHidden/>
    <w:rsid w:val="00B36A46"/>
  </w:style>
  <w:style w:type="numbering" w:customStyle="1" w:styleId="NoList3411">
    <w:name w:val="No List3411"/>
    <w:next w:val="NoList"/>
    <w:semiHidden/>
    <w:unhideWhenUsed/>
    <w:rsid w:val="00B36A46"/>
  </w:style>
  <w:style w:type="table" w:customStyle="1" w:styleId="TableList7311">
    <w:name w:val="Table List 731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
    <w:name w:val="Table Web 331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
    <w:name w:val="Table Elegant31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
    <w:name w:val="Table Web 231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
    <w:name w:val="Table Web 131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
    <w:name w:val="Table Grid 831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
    <w:name w:val="Table Contemporary31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
    <w:name w:val="Light List - Accent 141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
    <w:name w:val="Table Grid 731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
    <w:name w:val="Colorful Grid - Accent 141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
    <w:name w:val="Light List - Accent 541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
    <w:name w:val="Table Simple 331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
    <w:name w:val="Table Grid 531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
    <w:name w:val="Table Grid 331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
    <w:name w:val="Table Grid 131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
    <w:name w:val="Table Columns 531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
    <w:name w:val="Light List - Accent 1131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
    <w:name w:val="Нет списка1411"/>
    <w:next w:val="NoList"/>
    <w:semiHidden/>
    <w:unhideWhenUsed/>
    <w:rsid w:val="00B36A46"/>
  </w:style>
  <w:style w:type="table" w:customStyle="1" w:styleId="ColorfulGrid-Accent11311">
    <w:name w:val="Colorful Grid - Accent 1131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
    <w:name w:val="Light List - Accent 5131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
    <w:name w:val="No List4311"/>
    <w:next w:val="NoList"/>
    <w:semiHidden/>
    <w:rsid w:val="00B36A46"/>
  </w:style>
  <w:style w:type="table" w:customStyle="1" w:styleId="Table3Deffects3311">
    <w:name w:val="Table 3D effects 331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
    <w:name w:val="Нет списка11311"/>
    <w:next w:val="NoList"/>
    <w:semiHidden/>
    <w:unhideWhenUsed/>
    <w:rsid w:val="00B36A46"/>
  </w:style>
  <w:style w:type="numbering" w:customStyle="1" w:styleId="NoList5211">
    <w:name w:val="No List5211"/>
    <w:next w:val="NoList"/>
    <w:uiPriority w:val="99"/>
    <w:semiHidden/>
    <w:unhideWhenUsed/>
    <w:rsid w:val="00B36A46"/>
  </w:style>
  <w:style w:type="numbering" w:customStyle="1" w:styleId="NoList12211">
    <w:name w:val="No List12211"/>
    <w:next w:val="NoList"/>
    <w:semiHidden/>
    <w:rsid w:val="00B36A46"/>
  </w:style>
  <w:style w:type="numbering" w:customStyle="1" w:styleId="NoList112211">
    <w:name w:val="No List112211"/>
    <w:next w:val="NoList"/>
    <w:semiHidden/>
    <w:rsid w:val="00B36A46"/>
  </w:style>
  <w:style w:type="numbering" w:customStyle="1" w:styleId="NoList1111211">
    <w:name w:val="No List1111211"/>
    <w:next w:val="NoList"/>
    <w:semiHidden/>
    <w:rsid w:val="00B36A46"/>
  </w:style>
  <w:style w:type="numbering" w:customStyle="1" w:styleId="NoList21211">
    <w:name w:val="No List21211"/>
    <w:next w:val="NoList"/>
    <w:semiHidden/>
    <w:rsid w:val="00B36A46"/>
  </w:style>
  <w:style w:type="table" w:customStyle="1" w:styleId="TableGrid2211">
    <w:name w:val="Table Grid2211"/>
    <w:basedOn w:val="TableNormal"/>
    <w:next w:val="TableGrid"/>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
    <w:name w:val="No List31211"/>
    <w:next w:val="NoList"/>
    <w:uiPriority w:val="99"/>
    <w:semiHidden/>
    <w:unhideWhenUsed/>
    <w:rsid w:val="00B36A46"/>
  </w:style>
  <w:style w:type="table" w:customStyle="1" w:styleId="LightShading-Accent1111">
    <w:name w:val="Light Shading - Accent 111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
    <w:name w:val="Medium Grid 2 - Accent 111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
    <w:name w:val="Medium List 2 - Accent 511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
    <w:name w:val="Light List - Accent 15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
    <w:name w:val="Medium Grid 3 - Accent 511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
    <w:name w:val="Light Shading - Accent 511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
    <w:name w:val="Medium Grid 2 - Accent 511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
    <w:name w:val="Light Grid - Accent 111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
    <w:name w:val="Table List 43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
    <w:name w:val="Table List 412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
    <w:name w:val="Table Theme11"/>
    <w:basedOn w:val="TableNormal"/>
    <w:next w:val="TableTheme"/>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
    <w:name w:val="Table Professional11"/>
    <w:basedOn w:val="TableNormal"/>
    <w:next w:val="TableProfessional"/>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
    <w:name w:val="Table Grid 611"/>
    <w:basedOn w:val="TableNormal"/>
    <w:next w:val="TableGrid6"/>
    <w:rsid w:val="00B36A4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
    <w:name w:val="Table List 42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
    <w:name w:val="Table List 41111"/>
    <w:basedOn w:val="TableNormal"/>
    <w:next w:val="TableList4"/>
    <w:rsid w:val="00B36A46"/>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
    <w:name w:val="Style113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
    <w:name w:val="Style2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
    <w:name w:val="Style2113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
    <w:name w:val="No List1611"/>
    <w:next w:val="NoList"/>
    <w:uiPriority w:val="99"/>
    <w:semiHidden/>
    <w:unhideWhenUsed/>
    <w:rsid w:val="00B36A46"/>
  </w:style>
  <w:style w:type="table" w:customStyle="1" w:styleId="TableGrid6110">
    <w:name w:val="Table Grid61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B36A46"/>
  </w:style>
  <w:style w:type="numbering" w:customStyle="1" w:styleId="NoList11611">
    <w:name w:val="No List11611"/>
    <w:next w:val="NoList"/>
    <w:semiHidden/>
    <w:rsid w:val="00B36A46"/>
  </w:style>
  <w:style w:type="table" w:customStyle="1" w:styleId="TableGrid13110">
    <w:name w:val="Table Grid131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
    <w:name w:val="Light List - Accent 161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
    <w:name w:val="Light Shading - Accent 131"/>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
    <w:name w:val="Medium Grid 2 - Accent 131"/>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
    <w:name w:val="Medium List 2 - Accent 531"/>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
    <w:name w:val="Medium Grid 3 - Accent 531"/>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
    <w:name w:val="Light Shading - Accent 531"/>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
    <w:name w:val="Medium Grid 2 - Accent 531"/>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
    <w:name w:val="Light Grid - Accent 131"/>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
    <w:name w:val="Light Shading - Accent 14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
    <w:name w:val="Medium Grid 2 - Accent 14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
    <w:name w:val="Medium List 2 - Accent 54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
    <w:name w:val="Light List - Accent 11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
    <w:name w:val="Medium Grid 3 - Accent 54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
    <w:name w:val="Light Shading - Accent 54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
    <w:name w:val="Medium Grid 2 - Accent 54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
    <w:name w:val="Light Grid - Accent 14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
    <w:name w:val="Light Shading - Accent 15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
    <w:name w:val="Medium Grid 2 - Accent 15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
    <w:name w:val="Medium List 2 - Accent 55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
    <w:name w:val="Light List - Accent 116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
    <w:name w:val="Medium Grid 3 - Accent 55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
    <w:name w:val="Light Shading - Accent 55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
    <w:name w:val="Medium Grid 2 - Accent 55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
    <w:name w:val="Light Grid - Accent 15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
    <w:name w:val="No List271"/>
    <w:next w:val="NoList"/>
    <w:uiPriority w:val="99"/>
    <w:semiHidden/>
    <w:unhideWhenUsed/>
    <w:rsid w:val="00B36A46"/>
  </w:style>
  <w:style w:type="table" w:customStyle="1" w:styleId="TableGrid91">
    <w:name w:val="Table Grid9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
    <w:name w:val="Table List 761"/>
    <w:basedOn w:val="TableNormal"/>
    <w:next w:val="TableList7"/>
    <w:rsid w:val="00B36A4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
    <w:name w:val="Table Web 361"/>
    <w:basedOn w:val="TableNormal"/>
    <w:next w:val="TableWeb3"/>
    <w:rsid w:val="00B36A4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
    <w:name w:val="Table Elegant61"/>
    <w:basedOn w:val="TableNormal"/>
    <w:next w:val="TableElegant"/>
    <w:rsid w:val="00B36A4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
    <w:name w:val="Table Web 261"/>
    <w:basedOn w:val="TableNormal"/>
    <w:next w:val="TableWeb2"/>
    <w:rsid w:val="00B36A4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
    <w:name w:val="Table Web 161"/>
    <w:basedOn w:val="TableNormal"/>
    <w:next w:val="TableWeb1"/>
    <w:rsid w:val="00B36A4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
    <w:name w:val="Table Grid 861"/>
    <w:basedOn w:val="TableNormal"/>
    <w:next w:val="TableGrid8"/>
    <w:rsid w:val="00B36A4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
    <w:name w:val="Table Contemporary61"/>
    <w:basedOn w:val="TableNormal"/>
    <w:next w:val="TableContemporary"/>
    <w:rsid w:val="00B36A4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
    <w:name w:val="No List1191"/>
    <w:next w:val="NoList"/>
    <w:semiHidden/>
    <w:unhideWhenUsed/>
    <w:rsid w:val="00B36A46"/>
  </w:style>
  <w:style w:type="numbering" w:customStyle="1" w:styleId="NoList281">
    <w:name w:val="No List281"/>
    <w:next w:val="NoList"/>
    <w:semiHidden/>
    <w:unhideWhenUsed/>
    <w:rsid w:val="00B36A46"/>
  </w:style>
  <w:style w:type="numbering" w:customStyle="1" w:styleId="NoList371">
    <w:name w:val="No List371"/>
    <w:next w:val="NoList"/>
    <w:semiHidden/>
    <w:unhideWhenUsed/>
    <w:rsid w:val="00B36A46"/>
  </w:style>
  <w:style w:type="table" w:customStyle="1" w:styleId="LightList-Accent1171">
    <w:name w:val="Light List - Accent 1171"/>
    <w:basedOn w:val="TableNormal"/>
    <w:next w:val="LightList-Accent1"/>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
    <w:name w:val="Table Grid 761"/>
    <w:basedOn w:val="TableNormal"/>
    <w:next w:val="TableGrid7"/>
    <w:rsid w:val="00B36A4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
    <w:name w:val="Colorful Grid - Accent 171"/>
    <w:basedOn w:val="TableNormal"/>
    <w:next w:val="ColorfulGrid-Accent1"/>
    <w:uiPriority w:val="73"/>
    <w:rsid w:val="00B36A46"/>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
    <w:name w:val="Light List - Accent 571"/>
    <w:basedOn w:val="TableNormal"/>
    <w:next w:val="LightList-Accent5"/>
    <w:uiPriority w:val="61"/>
    <w:rsid w:val="00B36A46"/>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
    <w:name w:val="Table Simple 361"/>
    <w:basedOn w:val="TableNormal"/>
    <w:next w:val="TableSimple3"/>
    <w:rsid w:val="00B36A4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
    <w:name w:val="Table Grid 561"/>
    <w:basedOn w:val="TableNormal"/>
    <w:next w:val="TableGrid5"/>
    <w:rsid w:val="00B36A4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
    <w:name w:val="Table Grid 361"/>
    <w:basedOn w:val="TableNormal"/>
    <w:next w:val="TableGrid3"/>
    <w:rsid w:val="00B36A4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
    <w:name w:val="Table Grid 161"/>
    <w:basedOn w:val="TableNormal"/>
    <w:next w:val="TableGrid10"/>
    <w:rsid w:val="00B36A4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
    <w:name w:val="Table Columns 561"/>
    <w:basedOn w:val="TableNormal"/>
    <w:next w:val="TableColumns5"/>
    <w:rsid w:val="00B36A4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
    <w:name w:val="Light List - Accent 1181"/>
    <w:basedOn w:val="TableNormal"/>
    <w:uiPriority w:val="61"/>
    <w:rsid w:val="00B36A4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
    <w:name w:val="Нет списка171"/>
    <w:next w:val="NoList"/>
    <w:semiHidden/>
    <w:unhideWhenUsed/>
    <w:rsid w:val="00B36A46"/>
  </w:style>
  <w:style w:type="table" w:customStyle="1" w:styleId="ColorfulGrid-Accent1161">
    <w:name w:val="Colorful Grid - Accent 1161"/>
    <w:basedOn w:val="TableNormal"/>
    <w:rsid w:val="00B36A46"/>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
    <w:name w:val="Light List - Accent 5161"/>
    <w:basedOn w:val="TableNormal"/>
    <w:rsid w:val="00B36A46"/>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
    <w:name w:val="No List461"/>
    <w:next w:val="NoList"/>
    <w:semiHidden/>
    <w:rsid w:val="00B36A46"/>
  </w:style>
  <w:style w:type="numbering" w:customStyle="1" w:styleId="NoList11101">
    <w:name w:val="No List11101"/>
    <w:next w:val="NoList"/>
    <w:semiHidden/>
    <w:unhideWhenUsed/>
    <w:rsid w:val="00B36A46"/>
  </w:style>
  <w:style w:type="table" w:customStyle="1" w:styleId="Table3Deffects361">
    <w:name w:val="Table 3D effects 361"/>
    <w:basedOn w:val="TableNormal"/>
    <w:next w:val="Table3Deffects3"/>
    <w:rsid w:val="00B36A4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
    <w:name w:val="Нет списка1161"/>
    <w:next w:val="NoList"/>
    <w:semiHidden/>
    <w:unhideWhenUsed/>
    <w:rsid w:val="00B36A46"/>
  </w:style>
  <w:style w:type="table" w:customStyle="1" w:styleId="LightShading-Accent161">
    <w:name w:val="Light Shading - Accent 16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
    <w:name w:val="Medium Grid 2 - Accent 16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
    <w:name w:val="Medium List 2 - Accent 56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
    <w:name w:val="Light List - Accent 15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
    <w:name w:val="Medium Grid 3 - Accent 56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
    <w:name w:val="Light Shading - Accent 56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
    <w:name w:val="Medium Grid 2 - Accent 56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
    <w:name w:val="Light Grid - Accent 16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
    <w:name w:val="Style114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
    <w:name w:val="Style2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
    <w:name w:val="Style2114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
    <w:name w:val="Light Shading - Accent 112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
    <w:name w:val="Medium Grid 2 - Accent 112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
    <w:name w:val="Medium List 2 - Accent 512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
    <w:name w:val="Light List - Accent 16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
    <w:name w:val="Medium Grid 3 - Accent 512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
    <w:name w:val="Light Shading - Accent 512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
    <w:name w:val="Medium Grid 2 - Accent 512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
    <w:name w:val="Light Grid - Accent 112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
    <w:name w:val="No List291"/>
    <w:next w:val="NoList"/>
    <w:uiPriority w:val="99"/>
    <w:semiHidden/>
    <w:unhideWhenUsed/>
    <w:rsid w:val="00B36A46"/>
  </w:style>
  <w:style w:type="table" w:customStyle="1" w:styleId="TableGrid101">
    <w:name w:val="Table Grid10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B36A46"/>
  </w:style>
  <w:style w:type="numbering" w:customStyle="1" w:styleId="NoList11151">
    <w:name w:val="No List11151"/>
    <w:next w:val="NoList"/>
    <w:semiHidden/>
    <w:rsid w:val="00B36A46"/>
  </w:style>
  <w:style w:type="table" w:customStyle="1" w:styleId="TableGrid1510">
    <w:name w:val="Table Grid15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B36A46"/>
  </w:style>
  <w:style w:type="table" w:customStyle="1" w:styleId="LightShading-Accent171">
    <w:name w:val="Light Shading - Accent 17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
    <w:name w:val="Medium Grid 2 - Accent 17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
    <w:name w:val="Medium List 2 - Accent 57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
    <w:name w:val="Light List - Accent 119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
    <w:name w:val="Medium Grid 3 - Accent 57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
    <w:name w:val="Light Shading - Accent 57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
    <w:name w:val="Medium Grid 2 - Accent 57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
    <w:name w:val="Light Grid - Accent 17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
    <w:name w:val="No List381"/>
    <w:next w:val="NoList"/>
    <w:uiPriority w:val="99"/>
    <w:semiHidden/>
    <w:unhideWhenUsed/>
    <w:rsid w:val="00B36A46"/>
  </w:style>
  <w:style w:type="table" w:customStyle="1" w:styleId="TableGrid1610">
    <w:name w:val="Table Grid16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B36A46"/>
  </w:style>
  <w:style w:type="numbering" w:customStyle="1" w:styleId="NoList11161">
    <w:name w:val="No List11161"/>
    <w:next w:val="NoList"/>
    <w:semiHidden/>
    <w:rsid w:val="00B36A46"/>
  </w:style>
  <w:style w:type="table" w:customStyle="1" w:styleId="TableGrid171">
    <w:name w:val="Table Grid17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
    <w:name w:val="Light Shading - Accent 18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
    <w:name w:val="Medium Grid 2 - Accent 18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
    <w:name w:val="Medium List 2 - Accent 58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
    <w:name w:val="Light List - Accent 120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
    <w:name w:val="Medium Grid 3 - Accent 58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
    <w:name w:val="Light Shading - Accent 58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
    <w:name w:val="Medium Grid 2 - Accent 58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
    <w:name w:val="Light Grid - Accent 18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
    <w:name w:val="Light Shading - Accent 19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
    <w:name w:val="Medium Grid 2 - Accent 19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
    <w:name w:val="Medium List 2 - Accent 59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
    <w:name w:val="Light List - Accent 122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
    <w:name w:val="Medium Grid 3 - Accent 59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
    <w:name w:val="Light Shading - Accent 59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
    <w:name w:val="Medium Grid 2 - Accent 59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
    <w:name w:val="Light Grid - Accent 19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
    <w:name w:val="Style1152"/>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
    <w:name w:val="Style2115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
    <w:name w:val="No List391"/>
    <w:next w:val="NoList"/>
    <w:uiPriority w:val="99"/>
    <w:semiHidden/>
    <w:unhideWhenUsed/>
    <w:rsid w:val="00B36A46"/>
  </w:style>
  <w:style w:type="table" w:customStyle="1" w:styleId="TableGrid181">
    <w:name w:val="Table Grid18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B36A46"/>
  </w:style>
  <w:style w:type="numbering" w:customStyle="1" w:styleId="NoList11171">
    <w:name w:val="No List11171"/>
    <w:next w:val="NoList"/>
    <w:semiHidden/>
    <w:rsid w:val="00B36A46"/>
  </w:style>
  <w:style w:type="table" w:customStyle="1" w:styleId="TableGrid191">
    <w:name w:val="Table Grid19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
    <w:name w:val="Style11511"/>
    <w:basedOn w:val="TableElegant"/>
    <w:uiPriority w:val="99"/>
    <w:rsid w:val="00B36A46"/>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
    <w:name w:val="Style2161"/>
    <w:basedOn w:val="TableGrid5"/>
    <w:uiPriority w:val="99"/>
    <w:rsid w:val="00B36A46"/>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
    <w:name w:val="No List401"/>
    <w:next w:val="NoList"/>
    <w:uiPriority w:val="99"/>
    <w:semiHidden/>
    <w:unhideWhenUsed/>
    <w:rsid w:val="00B36A46"/>
  </w:style>
  <w:style w:type="table" w:customStyle="1" w:styleId="TableGrid201">
    <w:name w:val="Table Grid201"/>
    <w:basedOn w:val="TableNormal"/>
    <w:next w:val="TableGrid"/>
    <w:uiPriority w:val="59"/>
    <w:rsid w:val="00B36A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
    <w:name w:val="Light Shading - Accent 1101"/>
    <w:basedOn w:val="TableNormal"/>
    <w:next w:val="LightShading-Accent1"/>
    <w:uiPriority w:val="60"/>
    <w:rsid w:val="00B36A46"/>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
    <w:name w:val="Light List - Accent 581"/>
    <w:basedOn w:val="TableNormal"/>
    <w:next w:val="LightList-Accent5"/>
    <w:uiPriority w:val="61"/>
    <w:rsid w:val="00B36A46"/>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
    <w:name w:val="Medium List 2 - Accent 11"/>
    <w:basedOn w:val="TableNormal"/>
    <w:next w:val="MediumList2-Accent1"/>
    <w:uiPriority w:val="66"/>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
    <w:name w:val="Medium Grid 2 - Accent 1101"/>
    <w:basedOn w:val="TableNormal"/>
    <w:next w:val="MediumGrid2-Accent1"/>
    <w:uiPriority w:val="68"/>
    <w:rsid w:val="00B36A4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
    <w:name w:val="Medium Grid 3 - Accent 61"/>
    <w:basedOn w:val="TableNormal"/>
    <w:next w:val="MediumGrid3-Accent6"/>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
    <w:name w:val="Medium List 2 - Accent 5101"/>
    <w:basedOn w:val="TableNormal"/>
    <w:next w:val="MediumList2-Accent5"/>
    <w:uiPriority w:val="66"/>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
    <w:name w:val="Light List - Accent 1231"/>
    <w:basedOn w:val="TableNormal"/>
    <w:next w:val="LightList-Accent1"/>
    <w:uiPriority w:val="61"/>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
    <w:name w:val="Medium List 1 - Accent 51"/>
    <w:basedOn w:val="TableNormal"/>
    <w:next w:val="MediumList1-Accent5"/>
    <w:uiPriority w:val="65"/>
    <w:rsid w:val="00B36A46"/>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
    <w:name w:val="Medium Grid 3 - Accent 5101"/>
    <w:basedOn w:val="TableNormal"/>
    <w:next w:val="MediumGrid3-Accent5"/>
    <w:uiPriority w:val="69"/>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
    <w:name w:val="Light Shading - Accent 5101"/>
    <w:basedOn w:val="TableNormal"/>
    <w:next w:val="LightShading-Accent5"/>
    <w:uiPriority w:val="60"/>
    <w:rsid w:val="00B36A46"/>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
    <w:name w:val="Medium Grid 2 - Accent 5101"/>
    <w:basedOn w:val="TableNormal"/>
    <w:next w:val="MediumGrid2-Accent5"/>
    <w:uiPriority w:val="68"/>
    <w:rsid w:val="00B36A46"/>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
    <w:name w:val="Light List - Accent 31"/>
    <w:basedOn w:val="TableNormal"/>
    <w:next w:val="LightList-Accent3"/>
    <w:uiPriority w:val="61"/>
    <w:rsid w:val="00B36A46"/>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
    <w:name w:val="Medium List 2 - Accent 31"/>
    <w:basedOn w:val="TableNormal"/>
    <w:next w:val="MediumList2-Accent3"/>
    <w:uiPriority w:val="66"/>
    <w:rsid w:val="00B36A46"/>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rsid w:val="00B36A46"/>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
    <w:name w:val="Light Grid - Accent 1101"/>
    <w:basedOn w:val="TableNormal"/>
    <w:next w:val="LightGrid-Accent1"/>
    <w:uiPriority w:val="62"/>
    <w:rsid w:val="00B36A46"/>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
    <w:name w:val="No List471"/>
    <w:next w:val="NoList"/>
    <w:uiPriority w:val="99"/>
    <w:semiHidden/>
    <w:unhideWhenUsed/>
    <w:rsid w:val="00B36A46"/>
  </w:style>
  <w:style w:type="table" w:customStyle="1" w:styleId="TableGrid241">
    <w:name w:val="Table Grid241"/>
    <w:basedOn w:val="TableNormal"/>
    <w:next w:val="TableGrid"/>
    <w:uiPriority w:val="3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B36A46"/>
  </w:style>
  <w:style w:type="numbering" w:customStyle="1" w:styleId="NoList11181">
    <w:name w:val="No List11181"/>
    <w:next w:val="NoList"/>
    <w:semiHidden/>
    <w:rsid w:val="00B36A46"/>
  </w:style>
  <w:style w:type="table" w:customStyle="1" w:styleId="TableGrid1101">
    <w:name w:val="Table Grid1101"/>
    <w:basedOn w:val="TableNormal"/>
    <w:next w:val="TableGrid"/>
    <w:uiPriority w:val="59"/>
    <w:rsid w:val="00B36A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next w:val="LightShading-Accent1"/>
    <w:uiPriority w:val="60"/>
    <w:semiHidden/>
    <w:unhideWhenUsed/>
    <w:rsid w:val="00B36A46"/>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
    <w:name w:val="Medium Grid 2 - Accent 114"/>
    <w:basedOn w:val="TableNormal"/>
    <w:next w:val="MediumGrid2-Accent1"/>
    <w:uiPriority w:val="68"/>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
    <w:name w:val="Medium List 2 - Accent 514"/>
    <w:basedOn w:val="TableNormal"/>
    <w:next w:val="MediumList2-Accent5"/>
    <w:uiPriority w:val="66"/>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
    <w:name w:val="Medium Grid 3 - Accent 514"/>
    <w:basedOn w:val="TableNormal"/>
    <w:next w:val="MediumGrid3-Accent5"/>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
    <w:name w:val="Light Shading - Accent 514"/>
    <w:basedOn w:val="TableNormal"/>
    <w:next w:val="LightShading-Accent5"/>
    <w:uiPriority w:val="60"/>
    <w:semiHidden/>
    <w:unhideWhenUsed/>
    <w:rsid w:val="00B36A46"/>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
    <w:name w:val="Medium Grid 2 - Accent 514"/>
    <w:basedOn w:val="TableNormal"/>
    <w:next w:val="MediumGrid2-Accent5"/>
    <w:uiPriority w:val="68"/>
    <w:semiHidden/>
    <w:unhideWhenUsed/>
    <w:rsid w:val="00B36A46"/>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
    <w:name w:val="Light Grid - Accent 114"/>
    <w:basedOn w:val="TableNormal"/>
    <w:next w:val="LightGrid-Accent1"/>
    <w:uiPriority w:val="62"/>
    <w:semiHidden/>
    <w:unhideWhenUsed/>
    <w:rsid w:val="00B36A46"/>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
    <w:name w:val="Medium List 2 - Accent 12"/>
    <w:basedOn w:val="TableNormal"/>
    <w:next w:val="MediumList2-Accent1"/>
    <w:uiPriority w:val="66"/>
    <w:semiHidden/>
    <w:unhideWhenUsed/>
    <w:rsid w:val="00B36A46"/>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
    <w:name w:val="Medium Grid 3 - Accent 62"/>
    <w:basedOn w:val="TableNormal"/>
    <w:next w:val="MediumGrid3-Accent6"/>
    <w:uiPriority w:val="69"/>
    <w:semiHidden/>
    <w:unhideWhenUsed/>
    <w:rsid w:val="00B36A46"/>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
    <w:name w:val="Medium List 1 - Accent 52"/>
    <w:basedOn w:val="TableNormal"/>
    <w:next w:val="MediumList1-Accent5"/>
    <w:uiPriority w:val="65"/>
    <w:semiHidden/>
    <w:unhideWhenUsed/>
    <w:rsid w:val="00B36A46"/>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
    <w:name w:val="Light List - Accent 32"/>
    <w:basedOn w:val="TableNormal"/>
    <w:next w:val="LightList-Accent3"/>
    <w:uiPriority w:val="61"/>
    <w:semiHidden/>
    <w:unhideWhenUsed/>
    <w:rsid w:val="00B36A46"/>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
    <w:name w:val="Medium List 2 - Accent 32"/>
    <w:basedOn w:val="TableNormal"/>
    <w:next w:val="MediumList2-Accent3"/>
    <w:uiPriority w:val="66"/>
    <w:semiHidden/>
    <w:unhideWhenUsed/>
    <w:rsid w:val="00B36A46"/>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
    <w:name w:val="Medium List 2 - Accent 42"/>
    <w:basedOn w:val="TableNormal"/>
    <w:next w:val="MediumList2-Accent4"/>
    <w:uiPriority w:val="66"/>
    <w:semiHidden/>
    <w:unhideWhenUsed/>
    <w:rsid w:val="00B36A46"/>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
    <w:name w:val="No List55"/>
    <w:next w:val="NoList"/>
    <w:uiPriority w:val="99"/>
    <w:semiHidden/>
    <w:unhideWhenUsed/>
    <w:rsid w:val="005150E5"/>
  </w:style>
  <w:style w:type="table" w:customStyle="1" w:styleId="TableGrid29">
    <w:name w:val="Table Grid29"/>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5150E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paragraph" w:customStyle="1" w:styleId="Side1">
    <w:name w:val="Side1"/>
    <w:basedOn w:val="Normal"/>
    <w:next w:val="Normal"/>
    <w:unhideWhenUsed/>
    <w:qFormat/>
    <w:rsid w:val="005150E5"/>
    <w:pPr>
      <w:spacing w:before="200" w:line="312" w:lineRule="auto"/>
      <w:contextualSpacing w:val="0"/>
      <w:outlineLvl w:val="4"/>
    </w:pPr>
    <w:rPr>
      <w:rFonts w:ascii="Cambria" w:hAnsi="Cambria"/>
      <w:bCs/>
      <w:color w:val="7F7F7F"/>
      <w:szCs w:val="22"/>
      <w:lang w:val="en-US" w:eastAsia="en-US"/>
    </w:rPr>
  </w:style>
  <w:style w:type="paragraph" w:customStyle="1" w:styleId="Heading61">
    <w:name w:val="Heading 61"/>
    <w:basedOn w:val="Normal"/>
    <w:next w:val="Normal"/>
    <w:unhideWhenUsed/>
    <w:qFormat/>
    <w:rsid w:val="005150E5"/>
    <w:pPr>
      <w:spacing w:before="40" w:line="271" w:lineRule="auto"/>
      <w:contextualSpacing w:val="0"/>
      <w:outlineLvl w:val="5"/>
    </w:pPr>
    <w:rPr>
      <w:rFonts w:ascii="Cambria" w:hAnsi="Cambria"/>
      <w:bCs/>
      <w:i/>
      <w:iCs/>
      <w:color w:val="7F7F7F"/>
      <w:szCs w:val="22"/>
      <w:lang w:val="en-US" w:eastAsia="en-US"/>
    </w:rPr>
  </w:style>
  <w:style w:type="paragraph" w:customStyle="1" w:styleId="Heading71">
    <w:name w:val="Heading 71"/>
    <w:basedOn w:val="Normal"/>
    <w:next w:val="Normal"/>
    <w:unhideWhenUsed/>
    <w:qFormat/>
    <w:rsid w:val="005150E5"/>
    <w:pPr>
      <w:spacing w:before="40" w:line="312" w:lineRule="auto"/>
      <w:contextualSpacing w:val="0"/>
      <w:outlineLvl w:val="6"/>
    </w:pPr>
    <w:rPr>
      <w:rFonts w:ascii="Cambria" w:hAnsi="Cambria"/>
      <w:b w:val="0"/>
      <w:i/>
      <w:iCs/>
      <w:szCs w:val="22"/>
      <w:lang w:val="en-US" w:eastAsia="en-US"/>
    </w:rPr>
  </w:style>
  <w:style w:type="paragraph" w:customStyle="1" w:styleId="Heading81">
    <w:name w:val="Heading 81"/>
    <w:basedOn w:val="Normal"/>
    <w:next w:val="Normal"/>
    <w:unhideWhenUsed/>
    <w:qFormat/>
    <w:rsid w:val="005150E5"/>
    <w:pPr>
      <w:spacing w:before="40" w:line="312" w:lineRule="auto"/>
      <w:contextualSpacing w:val="0"/>
      <w:outlineLvl w:val="7"/>
    </w:pPr>
    <w:rPr>
      <w:rFonts w:ascii="Cambria" w:hAnsi="Cambria"/>
      <w:b w:val="0"/>
      <w:sz w:val="20"/>
      <w:szCs w:val="20"/>
      <w:lang w:val="en-US" w:eastAsia="en-US"/>
    </w:rPr>
  </w:style>
  <w:style w:type="paragraph" w:customStyle="1" w:styleId="Heading91">
    <w:name w:val="Heading 91"/>
    <w:basedOn w:val="Normal"/>
    <w:next w:val="Normal"/>
    <w:unhideWhenUsed/>
    <w:qFormat/>
    <w:rsid w:val="005150E5"/>
    <w:pPr>
      <w:spacing w:before="40" w:line="312" w:lineRule="auto"/>
      <w:contextualSpacing w:val="0"/>
      <w:outlineLvl w:val="8"/>
    </w:pPr>
    <w:rPr>
      <w:rFonts w:ascii="Cambria" w:hAnsi="Cambria"/>
      <w:b w:val="0"/>
      <w:i/>
      <w:iCs/>
      <w:spacing w:val="5"/>
      <w:sz w:val="20"/>
      <w:szCs w:val="20"/>
      <w:lang w:val="en-US" w:eastAsia="en-US"/>
    </w:rPr>
  </w:style>
  <w:style w:type="numbering" w:customStyle="1" w:styleId="NoList130">
    <w:name w:val="No List130"/>
    <w:next w:val="NoList"/>
    <w:uiPriority w:val="99"/>
    <w:semiHidden/>
    <w:unhideWhenUsed/>
    <w:rsid w:val="005150E5"/>
  </w:style>
  <w:style w:type="paragraph" w:customStyle="1" w:styleId="BodyTextMaintext1">
    <w:name w:val="Body Text (Main text)1"/>
    <w:basedOn w:val="Normal"/>
    <w:next w:val="BodyText"/>
    <w:rsid w:val="005150E5"/>
    <w:pPr>
      <w:spacing w:before="40" w:after="120" w:line="312" w:lineRule="auto"/>
      <w:contextualSpacing w:val="0"/>
    </w:pPr>
    <w:rPr>
      <w:rFonts w:eastAsia="Calibri"/>
      <w:b w:val="0"/>
      <w:szCs w:val="22"/>
      <w:lang w:val="en-US" w:eastAsia="en-US"/>
    </w:rPr>
  </w:style>
  <w:style w:type="paragraph" w:customStyle="1" w:styleId="BodyTextIndent31">
    <w:name w:val="Body Text Indent 31"/>
    <w:basedOn w:val="Normal"/>
    <w:next w:val="BodyTextIndent3"/>
    <w:rsid w:val="005150E5"/>
    <w:pPr>
      <w:spacing w:before="40" w:after="60" w:line="312" w:lineRule="auto"/>
      <w:contextualSpacing w:val="0"/>
    </w:pPr>
    <w:rPr>
      <w:rFonts w:ascii="Arial Armenian" w:eastAsia="Calibri" w:hAnsi="Arial Armenian"/>
      <w:b w:val="0"/>
      <w:noProof/>
      <w:sz w:val="20"/>
      <w:szCs w:val="20"/>
      <w:lang w:val="en-US" w:eastAsia="en-US"/>
    </w:rPr>
  </w:style>
  <w:style w:type="paragraph" w:customStyle="1" w:styleId="BodyTextIndent21">
    <w:name w:val="Body Text Indent 21"/>
    <w:basedOn w:val="Normal"/>
    <w:next w:val="BodyTextIndent2"/>
    <w:link w:val="BodyTextIndent2Char1"/>
    <w:rsid w:val="005150E5"/>
    <w:pPr>
      <w:widowControl w:val="0"/>
      <w:spacing w:before="40" w:after="120" w:line="312" w:lineRule="auto"/>
      <w:ind w:left="720" w:firstLine="720"/>
      <w:contextualSpacing w:val="0"/>
    </w:pPr>
    <w:rPr>
      <w:rFonts w:ascii="Arial Armenian" w:hAnsi="Arial Armenian"/>
      <w:b w:val="0"/>
      <w:sz w:val="20"/>
      <w:szCs w:val="20"/>
      <w:lang w:val="en-GB" w:eastAsia="en-US"/>
    </w:rPr>
  </w:style>
  <w:style w:type="paragraph" w:customStyle="1" w:styleId="1Text1">
    <w:name w:val="1Text1"/>
    <w:basedOn w:val="Normal"/>
    <w:next w:val="BodyText2"/>
    <w:link w:val="BodyText2Char1"/>
    <w:qFormat/>
    <w:rsid w:val="005150E5"/>
    <w:pPr>
      <w:spacing w:before="40" w:after="120" w:line="480" w:lineRule="auto"/>
      <w:contextualSpacing w:val="0"/>
    </w:pPr>
    <w:rPr>
      <w:rFonts w:ascii="Times New Roman" w:hAnsi="Times New Roman"/>
      <w:b w:val="0"/>
      <w:sz w:val="20"/>
      <w:szCs w:val="20"/>
      <w:lang w:val="en-US" w:eastAsia="en-US"/>
    </w:rPr>
  </w:style>
  <w:style w:type="paragraph" w:customStyle="1" w:styleId="BodyText31">
    <w:name w:val="Body Text 31"/>
    <w:basedOn w:val="Normal"/>
    <w:next w:val="BodyText3"/>
    <w:link w:val="BodyText3Char1"/>
    <w:rsid w:val="005150E5"/>
    <w:pPr>
      <w:spacing w:before="40" w:after="120" w:line="312" w:lineRule="auto"/>
      <w:contextualSpacing w:val="0"/>
    </w:pPr>
    <w:rPr>
      <w:rFonts w:ascii="Times New Roman" w:hAnsi="Times New Roman"/>
      <w:b w:val="0"/>
      <w:sz w:val="16"/>
      <w:szCs w:val="16"/>
    </w:rPr>
  </w:style>
  <w:style w:type="paragraph" w:customStyle="1" w:styleId="ListBullet1">
    <w:name w:val="List Bullet1"/>
    <w:basedOn w:val="Normal"/>
    <w:next w:val="ListBullet"/>
    <w:autoRedefine/>
    <w:qFormat/>
    <w:rsid w:val="005150E5"/>
    <w:pPr>
      <w:tabs>
        <w:tab w:val="num" w:pos="360"/>
      </w:tabs>
      <w:overflowPunct w:val="0"/>
      <w:autoSpaceDE w:val="0"/>
      <w:autoSpaceDN w:val="0"/>
      <w:adjustRightInd w:val="0"/>
      <w:spacing w:before="130" w:after="60" w:line="312" w:lineRule="auto"/>
      <w:ind w:left="360" w:hanging="360"/>
      <w:contextualSpacing w:val="0"/>
      <w:textAlignment w:val="baseline"/>
    </w:pPr>
    <w:rPr>
      <w:b w:val="0"/>
      <w:szCs w:val="22"/>
      <w:lang w:val="en-GB" w:eastAsia="en-US"/>
    </w:rPr>
  </w:style>
  <w:style w:type="paragraph" w:customStyle="1" w:styleId="EndnoteText1">
    <w:name w:val="Endnote Text1"/>
    <w:basedOn w:val="Normal"/>
    <w:next w:val="EndnoteText"/>
    <w:rsid w:val="005150E5"/>
    <w:pPr>
      <w:spacing w:before="40" w:after="60" w:line="312" w:lineRule="auto"/>
      <w:contextualSpacing w:val="0"/>
    </w:pPr>
    <w:rPr>
      <w:rFonts w:eastAsia="Calibri"/>
      <w:b w:val="0"/>
      <w:sz w:val="20"/>
      <w:szCs w:val="20"/>
      <w:lang w:val="en-GB" w:eastAsia="en-US"/>
    </w:rPr>
  </w:style>
  <w:style w:type="table" w:customStyle="1" w:styleId="TableGrid114">
    <w:name w:val="Table Grid114"/>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Text1">
    <w:name w:val="Block Text1"/>
    <w:basedOn w:val="Normal"/>
    <w:next w:val="BlockText"/>
    <w:rsid w:val="005150E5"/>
    <w:pPr>
      <w:spacing w:before="40" w:after="60"/>
      <w:ind w:left="-709" w:right="-483"/>
      <w:contextualSpacing w:val="0"/>
    </w:pPr>
    <w:rPr>
      <w:rFonts w:ascii="Times Armenian" w:hAnsi="Times Armenian"/>
      <w:b w:val="0"/>
      <w:szCs w:val="20"/>
      <w:lang w:val="en-US" w:eastAsia="en-US"/>
    </w:rPr>
  </w:style>
  <w:style w:type="paragraph" w:customStyle="1" w:styleId="TOC41">
    <w:name w:val="TOC 41"/>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1">
    <w:name w:val="TOC 51"/>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itle10">
    <w:name w:val="Title1"/>
    <w:basedOn w:val="Normal"/>
    <w:next w:val="Normal"/>
    <w:qFormat/>
    <w:rsid w:val="005150E5"/>
    <w:pPr>
      <w:pBdr>
        <w:bottom w:val="single" w:sz="4" w:space="1" w:color="auto"/>
      </w:pBdr>
      <w:spacing w:before="40" w:after="60" w:line="240" w:lineRule="auto"/>
    </w:pPr>
    <w:rPr>
      <w:rFonts w:ascii="Cambria" w:hAnsi="Cambria"/>
      <w:b w:val="0"/>
      <w:spacing w:val="5"/>
      <w:sz w:val="52"/>
      <w:szCs w:val="52"/>
      <w:lang w:val="en-US" w:eastAsia="en-US"/>
    </w:rPr>
  </w:style>
  <w:style w:type="paragraph" w:customStyle="1" w:styleId="PlainText1">
    <w:name w:val="Plain Text1"/>
    <w:basedOn w:val="Normal"/>
    <w:next w:val="PlainText"/>
    <w:rsid w:val="005150E5"/>
    <w:pPr>
      <w:spacing w:after="60" w:line="312" w:lineRule="auto"/>
      <w:contextualSpacing w:val="0"/>
    </w:pPr>
    <w:rPr>
      <w:rFonts w:ascii="Courier New" w:eastAsia="Calibri" w:hAnsi="Courier New"/>
      <w:b w:val="0"/>
      <w:sz w:val="20"/>
      <w:szCs w:val="20"/>
      <w:lang w:val="en-US" w:eastAsia="en-US"/>
    </w:rPr>
  </w:style>
  <w:style w:type="paragraph" w:customStyle="1" w:styleId="TOC61">
    <w:name w:val="TOC 61"/>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1">
    <w:name w:val="TOC 71"/>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1">
    <w:name w:val="TOC 81"/>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1">
    <w:name w:val="TOC 91"/>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13">
    <w:name w:val="Table List 71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
    <w:name w:val="Table Web 31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
    <w:name w:val="Table Elegant1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1">
    <w:name w:val="Table of Figures1"/>
    <w:basedOn w:val="Normal"/>
    <w:next w:val="Normal"/>
    <w:rsid w:val="005150E5"/>
    <w:pPr>
      <w:spacing w:before="40" w:after="60" w:line="312" w:lineRule="auto"/>
      <w:ind w:left="480" w:hanging="480"/>
      <w:contextualSpacing w:val="0"/>
    </w:pPr>
    <w:rPr>
      <w:b w:val="0"/>
      <w:sz w:val="20"/>
      <w:szCs w:val="22"/>
      <w:lang w:val="en-US" w:eastAsia="en-US"/>
    </w:rPr>
  </w:style>
  <w:style w:type="paragraph" w:customStyle="1" w:styleId="Subtitle1">
    <w:name w:val="Subtitle1"/>
    <w:basedOn w:val="Normal"/>
    <w:next w:val="Normal"/>
    <w:qFormat/>
    <w:rsid w:val="005150E5"/>
    <w:pPr>
      <w:spacing w:before="40" w:after="600" w:line="312" w:lineRule="auto"/>
      <w:contextualSpacing w:val="0"/>
    </w:pPr>
    <w:rPr>
      <w:rFonts w:ascii="Cambria" w:hAnsi="Cambria"/>
      <w:b w:val="0"/>
      <w:i/>
      <w:iCs/>
      <w:spacing w:val="13"/>
      <w:sz w:val="24"/>
      <w:lang w:val="en-US" w:eastAsia="en-US"/>
    </w:rPr>
  </w:style>
  <w:style w:type="paragraph" w:customStyle="1" w:styleId="Index11">
    <w:name w:val="Index 11"/>
    <w:basedOn w:val="Normal"/>
    <w:next w:val="Normal"/>
    <w:autoRedefine/>
    <w:rsid w:val="005150E5"/>
    <w:pPr>
      <w:spacing w:before="40" w:after="60" w:line="312" w:lineRule="auto"/>
      <w:ind w:left="240" w:hanging="240"/>
      <w:contextualSpacing w:val="0"/>
    </w:pPr>
    <w:rPr>
      <w:b w:val="0"/>
      <w:szCs w:val="22"/>
      <w:lang w:val="en-US" w:eastAsia="en-US"/>
    </w:rPr>
  </w:style>
  <w:style w:type="paragraph" w:customStyle="1" w:styleId="Index21">
    <w:name w:val="Index 21"/>
    <w:basedOn w:val="Normal"/>
    <w:next w:val="Normal"/>
    <w:autoRedefine/>
    <w:rsid w:val="005150E5"/>
    <w:pPr>
      <w:spacing w:before="40" w:after="60" w:line="312" w:lineRule="auto"/>
      <w:ind w:left="480" w:hanging="240"/>
      <w:contextualSpacing w:val="0"/>
    </w:pPr>
    <w:rPr>
      <w:b w:val="0"/>
      <w:szCs w:val="22"/>
      <w:lang w:val="en-US" w:eastAsia="en-US"/>
    </w:rPr>
  </w:style>
  <w:style w:type="paragraph" w:customStyle="1" w:styleId="Index31">
    <w:name w:val="Index 31"/>
    <w:basedOn w:val="Normal"/>
    <w:next w:val="Normal"/>
    <w:autoRedefine/>
    <w:rsid w:val="005150E5"/>
    <w:pPr>
      <w:spacing w:before="40" w:after="60" w:line="312" w:lineRule="auto"/>
      <w:ind w:left="720" w:hanging="240"/>
      <w:contextualSpacing w:val="0"/>
    </w:pPr>
    <w:rPr>
      <w:b w:val="0"/>
      <w:szCs w:val="22"/>
      <w:lang w:val="en-US" w:eastAsia="en-US"/>
    </w:rPr>
  </w:style>
  <w:style w:type="paragraph" w:customStyle="1" w:styleId="Index41">
    <w:name w:val="Index 41"/>
    <w:basedOn w:val="Normal"/>
    <w:next w:val="Normal"/>
    <w:autoRedefine/>
    <w:rsid w:val="005150E5"/>
    <w:pPr>
      <w:spacing w:before="40" w:after="60" w:line="312" w:lineRule="auto"/>
      <w:ind w:left="960" w:hanging="240"/>
      <w:contextualSpacing w:val="0"/>
    </w:pPr>
    <w:rPr>
      <w:b w:val="0"/>
      <w:szCs w:val="22"/>
      <w:lang w:val="en-US" w:eastAsia="en-US"/>
    </w:rPr>
  </w:style>
  <w:style w:type="paragraph" w:customStyle="1" w:styleId="Index51">
    <w:name w:val="Index 51"/>
    <w:basedOn w:val="Normal"/>
    <w:next w:val="Normal"/>
    <w:autoRedefine/>
    <w:rsid w:val="005150E5"/>
    <w:pPr>
      <w:spacing w:before="40" w:after="60" w:line="312" w:lineRule="auto"/>
      <w:ind w:left="1200" w:hanging="240"/>
      <w:contextualSpacing w:val="0"/>
    </w:pPr>
    <w:rPr>
      <w:b w:val="0"/>
      <w:szCs w:val="22"/>
      <w:lang w:val="en-US" w:eastAsia="en-US"/>
    </w:rPr>
  </w:style>
  <w:style w:type="paragraph" w:customStyle="1" w:styleId="Index61">
    <w:name w:val="Index 61"/>
    <w:basedOn w:val="Normal"/>
    <w:next w:val="Normal"/>
    <w:autoRedefine/>
    <w:rsid w:val="005150E5"/>
    <w:pPr>
      <w:spacing w:before="40" w:after="60" w:line="312" w:lineRule="auto"/>
      <w:ind w:left="1440" w:hanging="240"/>
      <w:contextualSpacing w:val="0"/>
    </w:pPr>
    <w:rPr>
      <w:b w:val="0"/>
      <w:szCs w:val="22"/>
      <w:lang w:val="en-US" w:eastAsia="en-US"/>
    </w:rPr>
  </w:style>
  <w:style w:type="paragraph" w:customStyle="1" w:styleId="Index71">
    <w:name w:val="Index 71"/>
    <w:basedOn w:val="Normal"/>
    <w:next w:val="Normal"/>
    <w:autoRedefine/>
    <w:rsid w:val="005150E5"/>
    <w:pPr>
      <w:spacing w:before="40" w:after="60" w:line="312" w:lineRule="auto"/>
      <w:ind w:left="1680" w:hanging="240"/>
      <w:contextualSpacing w:val="0"/>
    </w:pPr>
    <w:rPr>
      <w:b w:val="0"/>
      <w:szCs w:val="22"/>
      <w:lang w:val="en-US" w:eastAsia="en-US"/>
    </w:rPr>
  </w:style>
  <w:style w:type="paragraph" w:customStyle="1" w:styleId="Index81">
    <w:name w:val="Index 81"/>
    <w:basedOn w:val="Normal"/>
    <w:next w:val="Normal"/>
    <w:autoRedefine/>
    <w:rsid w:val="005150E5"/>
    <w:pPr>
      <w:spacing w:before="40" w:after="60" w:line="312" w:lineRule="auto"/>
      <w:ind w:left="1920" w:hanging="240"/>
      <w:contextualSpacing w:val="0"/>
    </w:pPr>
    <w:rPr>
      <w:b w:val="0"/>
      <w:szCs w:val="22"/>
      <w:lang w:val="en-US" w:eastAsia="en-US"/>
    </w:rPr>
  </w:style>
  <w:style w:type="paragraph" w:customStyle="1" w:styleId="Index91">
    <w:name w:val="Index 91"/>
    <w:basedOn w:val="Normal"/>
    <w:next w:val="Normal"/>
    <w:autoRedefine/>
    <w:rsid w:val="005150E5"/>
    <w:pPr>
      <w:spacing w:before="40" w:after="60" w:line="312" w:lineRule="auto"/>
      <w:ind w:left="2160" w:hanging="240"/>
      <w:contextualSpacing w:val="0"/>
    </w:pPr>
    <w:rPr>
      <w:b w:val="0"/>
      <w:szCs w:val="22"/>
      <w:lang w:val="en-US" w:eastAsia="en-US"/>
    </w:rPr>
  </w:style>
  <w:style w:type="paragraph" w:customStyle="1" w:styleId="IndexHeading1">
    <w:name w:val="Index Heading1"/>
    <w:basedOn w:val="Normal"/>
    <w:next w:val="Index1"/>
    <w:rsid w:val="005150E5"/>
    <w:pPr>
      <w:spacing w:before="40" w:after="60" w:line="312" w:lineRule="auto"/>
      <w:contextualSpacing w:val="0"/>
    </w:pPr>
    <w:rPr>
      <w:b w:val="0"/>
      <w:szCs w:val="22"/>
      <w:lang w:val="en-US" w:eastAsia="en-US"/>
    </w:rPr>
  </w:style>
  <w:style w:type="paragraph" w:customStyle="1" w:styleId="NormalIndent1">
    <w:name w:val="Normal Indent1"/>
    <w:basedOn w:val="Normal"/>
    <w:next w:val="NormalIndent"/>
    <w:rsid w:val="005150E5"/>
    <w:pPr>
      <w:tabs>
        <w:tab w:val="left" w:pos="1134"/>
        <w:tab w:val="left" w:pos="1701"/>
        <w:tab w:val="left" w:pos="2835"/>
        <w:tab w:val="left" w:pos="5103"/>
        <w:tab w:val="left" w:pos="7371"/>
        <w:tab w:val="right" w:pos="9639"/>
      </w:tabs>
      <w:spacing w:before="40" w:after="60" w:line="312" w:lineRule="auto"/>
      <w:ind w:left="1134"/>
      <w:contextualSpacing w:val="0"/>
    </w:pPr>
    <w:rPr>
      <w:b w:val="0"/>
      <w:szCs w:val="22"/>
      <w:lang w:val="en-GB" w:eastAsia="en-US"/>
    </w:rPr>
  </w:style>
  <w:style w:type="paragraph" w:customStyle="1" w:styleId="webb1">
    <w:name w:val="webb1"/>
    <w:basedOn w:val="Normal"/>
    <w:next w:val="NormalWeb"/>
    <w:uiPriority w:val="99"/>
    <w:qFormat/>
    <w:rsid w:val="005150E5"/>
    <w:pPr>
      <w:spacing w:before="100" w:after="100" w:line="312" w:lineRule="auto"/>
      <w:contextualSpacing w:val="0"/>
    </w:pPr>
    <w:rPr>
      <w:b w:val="0"/>
      <w:szCs w:val="20"/>
      <w:lang w:val="en-US" w:eastAsia="en-US"/>
    </w:rPr>
  </w:style>
  <w:style w:type="table" w:customStyle="1" w:styleId="TableWeb213">
    <w:name w:val="Table Web 21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
    <w:name w:val="Table Web 11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istBullet21">
    <w:name w:val="List Bullet 21"/>
    <w:basedOn w:val="Normal"/>
    <w:next w:val="ListBullet2"/>
    <w:autoRedefine/>
    <w:rsid w:val="005150E5"/>
    <w:pPr>
      <w:spacing w:before="40" w:after="60" w:line="312" w:lineRule="auto"/>
      <w:ind w:left="720" w:hanging="360"/>
      <w:contextualSpacing w:val="0"/>
    </w:pPr>
    <w:rPr>
      <w:b w:val="0"/>
      <w:szCs w:val="22"/>
      <w:lang w:val="en-US" w:eastAsia="en-US"/>
    </w:rPr>
  </w:style>
  <w:style w:type="paragraph" w:customStyle="1" w:styleId="BodyTextFirstIndent1">
    <w:name w:val="Body Text First Indent1"/>
    <w:basedOn w:val="BodyText"/>
    <w:next w:val="BodyTextFirstIndent"/>
    <w:rsid w:val="005150E5"/>
    <w:pPr>
      <w:spacing w:before="40" w:after="120" w:line="312" w:lineRule="auto"/>
      <w:ind w:firstLine="210"/>
      <w:contextualSpacing w:val="0"/>
      <w:jc w:val="both"/>
    </w:pPr>
    <w:rPr>
      <w:rFonts w:ascii="GHEA Grapalat" w:eastAsia="Calibri" w:hAnsi="GHEA Grapalat"/>
      <w:b w:val="0"/>
      <w:sz w:val="22"/>
      <w:szCs w:val="22"/>
    </w:rPr>
  </w:style>
  <w:style w:type="table" w:customStyle="1" w:styleId="TableGrid813">
    <w:name w:val="Table Grid 81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
    <w:name w:val="Table Contemporary1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60">
    <w:name w:val="Знак Знак6"/>
    <w:basedOn w:val="Normal"/>
    <w:link w:val="Char31"/>
    <w:rsid w:val="005150E5"/>
    <w:pPr>
      <w:spacing w:before="40" w:after="60" w:line="240" w:lineRule="exact"/>
      <w:contextualSpacing w:val="0"/>
    </w:pPr>
    <w:rPr>
      <w:rFonts w:ascii="Arial" w:hAnsi="Arial" w:cs="Arial"/>
      <w:b w:val="0"/>
      <w:sz w:val="20"/>
      <w:szCs w:val="20"/>
      <w:lang w:val="en-GB" w:eastAsia="en-US"/>
    </w:rPr>
  </w:style>
  <w:style w:type="character" w:customStyle="1" w:styleId="Char31">
    <w:name w:val="Знак Знак Char3"/>
    <w:link w:val="60"/>
    <w:rsid w:val="005150E5"/>
    <w:rPr>
      <w:rFonts w:ascii="Arial" w:hAnsi="Arial" w:cs="Arial"/>
      <w:lang w:val="en-GB"/>
    </w:rPr>
  </w:style>
  <w:style w:type="paragraph" w:customStyle="1" w:styleId="DocumentMap1">
    <w:name w:val="Document Map1"/>
    <w:basedOn w:val="Normal"/>
    <w:next w:val="DocumentMap"/>
    <w:link w:val="DocumentMapChar1"/>
    <w:uiPriority w:val="99"/>
    <w:rsid w:val="005150E5"/>
    <w:pPr>
      <w:shd w:val="clear" w:color="auto" w:fill="000080"/>
      <w:overflowPunct w:val="0"/>
      <w:autoSpaceDE w:val="0"/>
      <w:autoSpaceDN w:val="0"/>
      <w:adjustRightInd w:val="0"/>
      <w:spacing w:before="40" w:after="60" w:line="312" w:lineRule="auto"/>
      <w:contextualSpacing w:val="0"/>
      <w:textAlignment w:val="baseline"/>
    </w:pPr>
    <w:rPr>
      <w:rFonts w:ascii="Tahoma" w:hAnsi="Tahoma"/>
      <w:b w:val="0"/>
      <w:sz w:val="24"/>
      <w:szCs w:val="20"/>
      <w:lang w:val="en-GB"/>
    </w:rPr>
  </w:style>
  <w:style w:type="paragraph" w:customStyle="1" w:styleId="CharChar39">
    <w:name w:val="Char Char39"/>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0">
    <w:name w:val="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Znak3">
    <w:name w:val="Znak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CharCharCharCharCharChar3">
    <w:name w:val="Char Char Char 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32">
    <w:name w:val="Знак Знак Знак Знак Знак Знак Знак Знак Знак Знак Знак Знак Знак Знак Знак Знак Знак Знак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31">
    <w:name w:val="Char Char Char Знак3"/>
    <w:basedOn w:val="Normal"/>
    <w:next w:val="Normal"/>
    <w:rsid w:val="005150E5"/>
    <w:pPr>
      <w:spacing w:before="40" w:after="60" w:line="240" w:lineRule="exact"/>
      <w:contextualSpacing w:val="0"/>
    </w:pPr>
    <w:rPr>
      <w:rFonts w:ascii="Tahoma" w:hAnsi="Tahoma"/>
      <w:b w:val="0"/>
      <w:szCs w:val="20"/>
      <w:lang w:val="en-US" w:eastAsia="en-US"/>
    </w:rPr>
  </w:style>
  <w:style w:type="paragraph" w:customStyle="1" w:styleId="ListContinue21">
    <w:name w:val="List Continue 21"/>
    <w:basedOn w:val="Normal"/>
    <w:next w:val="ListContinue2"/>
    <w:rsid w:val="005150E5"/>
    <w:pPr>
      <w:spacing w:before="40" w:after="120" w:line="312" w:lineRule="auto"/>
      <w:ind w:left="720"/>
      <w:contextualSpacing w:val="0"/>
    </w:pPr>
    <w:rPr>
      <w:b w:val="0"/>
      <w:szCs w:val="22"/>
      <w:lang w:val="en-US" w:eastAsia="en-US"/>
    </w:rPr>
  </w:style>
  <w:style w:type="paragraph" w:customStyle="1" w:styleId="CharCharCharCharCharCharCharChar3">
    <w:name w:val="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CharCharCharCharChar6">
    <w:name w:val="Char Char Char Char Знак Char Знак Char Char Char Char Char Char Char Char Char Char6"/>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CharCharCharCharChar3">
    <w:name w:val="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32">
    <w:name w:val="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CharCharCharCharChar3">
    <w:name w:val="Char Char Char Char Char 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CharChar3">
    <w:name w:val="Знак Знак1 Char Char Знак Знак3"/>
    <w:basedOn w:val="Normal"/>
    <w:rsid w:val="005150E5"/>
    <w:pPr>
      <w:tabs>
        <w:tab w:val="num" w:pos="840"/>
      </w:tabs>
      <w:spacing w:before="40" w:after="60" w:line="240" w:lineRule="exact"/>
      <w:ind w:left="840" w:hanging="360"/>
      <w:contextualSpacing w:val="0"/>
    </w:pPr>
    <w:rPr>
      <w:rFonts w:ascii="Verdana" w:hAnsi="Verdana"/>
      <w:b w:val="0"/>
      <w:sz w:val="20"/>
      <w:szCs w:val="20"/>
      <w:lang w:eastAsia="en-US"/>
    </w:rPr>
  </w:style>
  <w:style w:type="paragraph" w:customStyle="1" w:styleId="CharCharCharChar3">
    <w:name w:val="Знак Знак Char Char Знак Знак Char Char Знак Знак3"/>
    <w:basedOn w:val="Normal"/>
    <w:autoRedefine/>
    <w:rsid w:val="005150E5"/>
    <w:pPr>
      <w:spacing w:before="40" w:after="60" w:line="240" w:lineRule="exact"/>
      <w:contextualSpacing w:val="0"/>
    </w:pPr>
    <w:rPr>
      <w:b w:val="0"/>
      <w:sz w:val="28"/>
      <w:szCs w:val="20"/>
      <w:lang w:val="en-US" w:eastAsia="en-US"/>
    </w:rPr>
  </w:style>
  <w:style w:type="paragraph" w:customStyle="1" w:styleId="CharCharChar1Char3">
    <w:name w:val="Char Char Char1 Char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133">
    <w:name w:val="Знак Знак13"/>
    <w:basedOn w:val="Normal"/>
    <w:rsid w:val="005150E5"/>
    <w:pPr>
      <w:spacing w:before="40" w:after="60" w:line="240" w:lineRule="exact"/>
      <w:contextualSpacing w:val="0"/>
    </w:pPr>
    <w:rPr>
      <w:rFonts w:ascii="Arial" w:eastAsia="MS Mincho" w:hAnsi="Arial" w:cs="Arial"/>
      <w:b w:val="0"/>
      <w:sz w:val="20"/>
      <w:szCs w:val="20"/>
      <w:lang w:val="en-US" w:eastAsia="en-US"/>
    </w:rPr>
  </w:style>
  <w:style w:type="paragraph" w:customStyle="1" w:styleId="CharCharCharCharChar30">
    <w:name w:val="Char Char Char Char Char Знак Знак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1CharCharChar1Char3">
    <w:name w:val="Char Char1 Char Char Char1 Char3"/>
    <w:basedOn w:val="Normal"/>
    <w:autoRedefine/>
    <w:rsid w:val="005150E5"/>
    <w:pPr>
      <w:spacing w:before="40" w:after="60" w:line="312" w:lineRule="auto"/>
      <w:contextualSpacing w:val="0"/>
    </w:pPr>
    <w:rPr>
      <w:rFonts w:eastAsia="SimSun"/>
      <w:b w:val="0"/>
      <w:sz w:val="20"/>
      <w:szCs w:val="20"/>
      <w:lang w:val="en-US"/>
    </w:rPr>
  </w:style>
  <w:style w:type="paragraph" w:customStyle="1" w:styleId="430">
    <w:name w:val="Знак Знак43"/>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33">
    <w:name w:val="Знак Char Знак3"/>
    <w:basedOn w:val="Normal"/>
    <w:rsid w:val="005150E5"/>
    <w:pPr>
      <w:spacing w:before="40" w:after="60" w:line="240" w:lineRule="exact"/>
      <w:contextualSpacing w:val="0"/>
    </w:pPr>
    <w:rPr>
      <w:rFonts w:ascii="Arial" w:eastAsia="Batang" w:hAnsi="Arial" w:cs="Arial"/>
      <w:b w:val="0"/>
      <w:sz w:val="20"/>
      <w:szCs w:val="20"/>
      <w:lang w:val="en-US" w:eastAsia="en-US"/>
    </w:rPr>
  </w:style>
  <w:style w:type="paragraph" w:customStyle="1" w:styleId="CharCharCharCharCharChar3">
    <w:name w:val="Знак Знак Char Char Знак Знак Char Char Знак Знак Char Char3"/>
    <w:basedOn w:val="Normal"/>
    <w:autoRedefine/>
    <w:rsid w:val="005150E5"/>
    <w:pPr>
      <w:spacing w:before="40" w:after="60" w:line="240" w:lineRule="exact"/>
      <w:contextualSpacing w:val="0"/>
    </w:pPr>
    <w:rPr>
      <w:b w:val="0"/>
      <w:sz w:val="28"/>
      <w:szCs w:val="20"/>
      <w:lang w:val="en-US" w:eastAsia="en-US"/>
    </w:rPr>
  </w:style>
  <w:style w:type="paragraph" w:customStyle="1" w:styleId="230">
    <w:name w:val="Знак Знак23"/>
    <w:basedOn w:val="Normal"/>
    <w:rsid w:val="005150E5"/>
    <w:pPr>
      <w:spacing w:before="40" w:after="60" w:line="240" w:lineRule="exact"/>
      <w:contextualSpacing w:val="0"/>
    </w:pPr>
    <w:rPr>
      <w:rFonts w:ascii="Arial" w:hAnsi="Arial" w:cs="Arial"/>
      <w:b w:val="0"/>
      <w:sz w:val="20"/>
      <w:szCs w:val="20"/>
      <w:lang w:val="en-US" w:eastAsia="en-US"/>
    </w:rPr>
  </w:style>
  <w:style w:type="paragraph" w:customStyle="1" w:styleId="CharCharCharCharChar31">
    <w:name w:val="Char Char Char Char Char3"/>
    <w:basedOn w:val="Normal"/>
    <w:rsid w:val="005150E5"/>
    <w:pPr>
      <w:spacing w:before="40" w:after="60" w:line="240" w:lineRule="exact"/>
      <w:contextualSpacing w:val="0"/>
    </w:pPr>
    <w:rPr>
      <w:rFonts w:ascii="Arial" w:hAnsi="Arial" w:cs="Arial"/>
      <w:b w:val="0"/>
      <w:sz w:val="20"/>
      <w:szCs w:val="20"/>
      <w:lang w:val="en-US" w:eastAsia="en-US"/>
    </w:rPr>
  </w:style>
  <w:style w:type="numbering" w:customStyle="1" w:styleId="NoList1120">
    <w:name w:val="No List1120"/>
    <w:next w:val="NoList"/>
    <w:semiHidden/>
    <w:unhideWhenUsed/>
    <w:rsid w:val="005150E5"/>
  </w:style>
  <w:style w:type="numbering" w:customStyle="1" w:styleId="NoList216">
    <w:name w:val="No List216"/>
    <w:next w:val="NoList"/>
    <w:semiHidden/>
    <w:unhideWhenUsed/>
    <w:rsid w:val="005150E5"/>
  </w:style>
  <w:style w:type="numbering" w:customStyle="1" w:styleId="NoList315">
    <w:name w:val="No List315"/>
    <w:next w:val="NoList"/>
    <w:semiHidden/>
    <w:unhideWhenUsed/>
    <w:rsid w:val="005150E5"/>
  </w:style>
  <w:style w:type="paragraph" w:customStyle="1" w:styleId="ListNumber1">
    <w:name w:val="List Number1"/>
    <w:basedOn w:val="Normal"/>
    <w:next w:val="ListNumber"/>
    <w:rsid w:val="005150E5"/>
    <w:pPr>
      <w:spacing w:before="40" w:after="60" w:line="312" w:lineRule="auto"/>
      <w:ind w:left="720" w:hanging="360"/>
      <w:contextualSpacing w:val="0"/>
    </w:pPr>
    <w:rPr>
      <w:b w:val="0"/>
      <w:szCs w:val="22"/>
      <w:lang w:val="en-US" w:eastAsia="en-US"/>
    </w:rPr>
  </w:style>
  <w:style w:type="paragraph" w:customStyle="1" w:styleId="CharChar113">
    <w:name w:val="Char Char113"/>
    <w:basedOn w:val="Normal"/>
    <w:rsid w:val="005150E5"/>
    <w:pPr>
      <w:spacing w:before="40" w:after="60" w:line="240" w:lineRule="exact"/>
      <w:contextualSpacing w:val="0"/>
    </w:pPr>
    <w:rPr>
      <w:rFonts w:ascii="Arial" w:hAnsi="Arial" w:cs="Arial"/>
      <w:b w:val="0"/>
      <w:sz w:val="20"/>
      <w:szCs w:val="20"/>
      <w:lang w:val="en-US" w:eastAsia="en-US"/>
    </w:rPr>
  </w:style>
  <w:style w:type="character" w:customStyle="1" w:styleId="CharChar163">
    <w:name w:val="Char Char163"/>
    <w:uiPriority w:val="99"/>
    <w:rsid w:val="005150E5"/>
    <w:rPr>
      <w:rFonts w:ascii="Times New Roman" w:hAnsi="Times New Roman"/>
      <w:b/>
      <w:sz w:val="20"/>
      <w:lang w:val="en-GB"/>
    </w:rPr>
  </w:style>
  <w:style w:type="character" w:customStyle="1" w:styleId="CharChar53">
    <w:name w:val="Char Char53"/>
    <w:uiPriority w:val="99"/>
    <w:rsid w:val="005150E5"/>
    <w:rPr>
      <w:rFonts w:ascii="Times New Roman" w:hAnsi="Times New Roman"/>
      <w:sz w:val="20"/>
      <w:lang w:val="en-GB"/>
    </w:rPr>
  </w:style>
  <w:style w:type="paragraph" w:customStyle="1" w:styleId="CharCharCharCharCharChar2">
    <w:name w:val="Char Char Char Char Char Char2"/>
    <w:basedOn w:val="Normal"/>
    <w:rsid w:val="005150E5"/>
    <w:pPr>
      <w:spacing w:before="40" w:after="60" w:line="240" w:lineRule="exact"/>
      <w:contextualSpacing w:val="0"/>
    </w:pPr>
    <w:rPr>
      <w:rFonts w:ascii="Arial" w:eastAsia="Calibri" w:hAnsi="Arial" w:cs="Arial"/>
      <w:b w:val="0"/>
      <w:sz w:val="20"/>
      <w:szCs w:val="20"/>
      <w:lang w:val="en-US" w:eastAsia="en-US"/>
    </w:rPr>
  </w:style>
  <w:style w:type="paragraph" w:customStyle="1" w:styleId="3b">
    <w:name w:val="Знак3"/>
    <w:basedOn w:val="Normal"/>
    <w:rsid w:val="005150E5"/>
    <w:pPr>
      <w:spacing w:before="40" w:after="60" w:line="240" w:lineRule="exact"/>
      <w:contextualSpacing w:val="0"/>
    </w:pPr>
    <w:rPr>
      <w:rFonts w:ascii="Arial" w:eastAsia="Calibri" w:hAnsi="Arial" w:cs="Arial"/>
      <w:b w:val="0"/>
      <w:sz w:val="20"/>
      <w:szCs w:val="20"/>
      <w:lang w:val="en-GB" w:eastAsia="en-US"/>
    </w:rPr>
  </w:style>
  <w:style w:type="paragraph" w:customStyle="1" w:styleId="BodyText11">
    <w:name w:val="Body Text11"/>
    <w:basedOn w:val="Normal"/>
    <w:rsid w:val="005150E5"/>
    <w:pPr>
      <w:tabs>
        <w:tab w:val="num" w:pos="0"/>
      </w:tabs>
      <w:spacing w:before="40" w:after="240" w:line="312" w:lineRule="auto"/>
      <w:contextualSpacing w:val="0"/>
    </w:pPr>
    <w:rPr>
      <w:rFonts w:ascii="Times Armenian" w:hAnsi="Times Armenian"/>
      <w:b w:val="0"/>
      <w:szCs w:val="22"/>
      <w:lang w:val="en-US"/>
    </w:rPr>
  </w:style>
  <w:style w:type="table" w:customStyle="1" w:styleId="LightList-Accent1113">
    <w:name w:val="Light List - Accent 111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
    <w:name w:val="Table Grid 71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
    <w:name w:val="Colorful Grid - Accent 118"/>
    <w:basedOn w:val="TableNormal"/>
    <w:next w:val="ColorfulGrid-Accent1"/>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
    <w:name w:val="Light List - Accent 518"/>
    <w:basedOn w:val="TableNormal"/>
    <w:next w:val="LightList-Accent5"/>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
    <w:name w:val="Table Simple 31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
    <w:name w:val="Table Grid 51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
    <w:name w:val="Table Grid 31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0">
    <w:name w:val="Table Grid 11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
    <w:name w:val="Table Columns 51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0">
    <w:name w:val="Нет списка19"/>
    <w:next w:val="NoList"/>
    <w:semiHidden/>
    <w:unhideWhenUsed/>
    <w:rsid w:val="005150E5"/>
  </w:style>
  <w:style w:type="paragraph" w:customStyle="1" w:styleId="List1">
    <w:name w:val="List1"/>
    <w:basedOn w:val="BodyText"/>
    <w:next w:val="List"/>
    <w:rsid w:val="005150E5"/>
    <w:pPr>
      <w:suppressAutoHyphens/>
      <w:spacing w:before="40" w:after="120" w:line="288" w:lineRule="auto"/>
      <w:contextualSpacing w:val="0"/>
      <w:jc w:val="both"/>
    </w:pPr>
    <w:rPr>
      <w:rFonts w:ascii="GHEA Grapalat" w:hAnsi="GHEA Grapalat" w:cs="GHEA Grapalat"/>
      <w:b w:val="0"/>
      <w:kern w:val="1"/>
      <w:sz w:val="22"/>
      <w:szCs w:val="22"/>
      <w:lang w:val="en-US" w:eastAsia="en-US"/>
    </w:rPr>
  </w:style>
  <w:style w:type="character" w:customStyle="1" w:styleId="CharChar123">
    <w:name w:val="Char Char123"/>
    <w:rsid w:val="005150E5"/>
    <w:rPr>
      <w:sz w:val="22"/>
      <w:lang w:val="en-GB" w:eastAsia="en-US" w:bidi="ar-SA"/>
    </w:rPr>
  </w:style>
  <w:style w:type="paragraph" w:customStyle="1" w:styleId="IntenseQuote1">
    <w:name w:val="Intense Quote1"/>
    <w:basedOn w:val="Normal"/>
    <w:next w:val="Normal"/>
    <w:qFormat/>
    <w:rsid w:val="005150E5"/>
    <w:pPr>
      <w:pBdr>
        <w:bottom w:val="single" w:sz="4" w:space="1" w:color="auto"/>
      </w:pBdr>
      <w:spacing w:before="200" w:after="280" w:line="312" w:lineRule="auto"/>
      <w:ind w:left="1008" w:right="1152"/>
      <w:contextualSpacing w:val="0"/>
    </w:pPr>
    <w:rPr>
      <w:bCs/>
      <w:i/>
      <w:iCs/>
      <w:szCs w:val="22"/>
      <w:lang w:val="en-US" w:eastAsia="en-US"/>
    </w:rPr>
  </w:style>
  <w:style w:type="character" w:customStyle="1" w:styleId="CharChar213">
    <w:name w:val="Char Char213"/>
    <w:locked/>
    <w:rsid w:val="005150E5"/>
    <w:rPr>
      <w:sz w:val="22"/>
      <w:lang w:val="en-GB" w:eastAsia="en-US"/>
    </w:rPr>
  </w:style>
  <w:style w:type="character" w:customStyle="1" w:styleId="CharChar222">
    <w:name w:val="Char Char222"/>
    <w:rsid w:val="005150E5"/>
    <w:rPr>
      <w:rFonts w:cs="Times New Roman"/>
      <w:lang w:val="ru-RU" w:eastAsia="ru-RU" w:bidi="ar-SA"/>
    </w:rPr>
  </w:style>
  <w:style w:type="numbering" w:customStyle="1" w:styleId="NoList413">
    <w:name w:val="No List413"/>
    <w:next w:val="NoList"/>
    <w:semiHidden/>
    <w:rsid w:val="005150E5"/>
  </w:style>
  <w:style w:type="character" w:customStyle="1" w:styleId="CharChar182">
    <w:name w:val="Char Char182"/>
    <w:rsid w:val="005150E5"/>
    <w:rPr>
      <w:rFonts w:ascii="Arial Armenian" w:eastAsia="Times New Roman" w:hAnsi="Arial Armenian"/>
      <w:i/>
      <w:sz w:val="22"/>
      <w:u w:val="single"/>
      <w:lang w:val="en-GB"/>
    </w:rPr>
  </w:style>
  <w:style w:type="character" w:customStyle="1" w:styleId="CharChar192">
    <w:name w:val="Char Char192"/>
    <w:rsid w:val="005150E5"/>
    <w:rPr>
      <w:b/>
      <w:sz w:val="32"/>
      <w:lang w:val="en-GB" w:eastAsia="en-US" w:bidi="ar-SA"/>
    </w:rPr>
  </w:style>
  <w:style w:type="character" w:customStyle="1" w:styleId="CharChar202">
    <w:name w:val="Char Char202"/>
    <w:rsid w:val="005150E5"/>
    <w:rPr>
      <w:rFonts w:ascii="Garamond" w:hAnsi="Garamond"/>
      <w:i/>
      <w:spacing w:val="-5"/>
      <w:sz w:val="28"/>
      <w:lang w:val="en-GB" w:eastAsia="en-US" w:bidi="ar-SA"/>
    </w:rPr>
  </w:style>
  <w:style w:type="numbering" w:customStyle="1" w:styleId="NoList11115">
    <w:name w:val="No List11115"/>
    <w:next w:val="NoList"/>
    <w:semiHidden/>
    <w:unhideWhenUsed/>
    <w:rsid w:val="005150E5"/>
  </w:style>
  <w:style w:type="character" w:customStyle="1" w:styleId="CharChar172">
    <w:name w:val="Char Char172"/>
    <w:rsid w:val="005150E5"/>
    <w:rPr>
      <w:rFonts w:ascii="Arial Armenian" w:hAnsi="Arial Armenian"/>
      <w:i/>
      <w:sz w:val="22"/>
      <w:u w:val="single"/>
      <w:lang w:val="en-GB" w:eastAsia="en-US" w:bidi="ar-SA"/>
    </w:rPr>
  </w:style>
  <w:style w:type="character" w:customStyle="1" w:styleId="CharChar282">
    <w:name w:val="Char Char282"/>
    <w:rsid w:val="005150E5"/>
    <w:rPr>
      <w:rFonts w:ascii="Arial Armenian" w:hAnsi="Arial Armenian"/>
      <w:i/>
      <w:sz w:val="22"/>
      <w:u w:val="single"/>
      <w:lang w:val="en-GB"/>
    </w:rPr>
  </w:style>
  <w:style w:type="character" w:customStyle="1" w:styleId="CharChar272">
    <w:name w:val="Char Char272"/>
    <w:rsid w:val="005150E5"/>
    <w:rPr>
      <w:rFonts w:ascii="Garamond" w:hAnsi="Garamond"/>
      <w:i/>
      <w:spacing w:val="-5"/>
      <w:sz w:val="28"/>
      <w:shd w:val="pct5" w:color="auto" w:fill="auto"/>
      <w:lang w:val="en-GB"/>
    </w:rPr>
  </w:style>
  <w:style w:type="character" w:customStyle="1" w:styleId="CharChar262">
    <w:name w:val="Char Char262"/>
    <w:rsid w:val="005150E5"/>
    <w:rPr>
      <w:rFonts w:ascii="Arial Black" w:hAnsi="Arial Black"/>
      <w:caps/>
      <w:spacing w:val="60"/>
      <w:position w:val="4"/>
      <w:sz w:val="14"/>
      <w:lang w:val="en-GB"/>
    </w:rPr>
  </w:style>
  <w:style w:type="character" w:customStyle="1" w:styleId="CharChar252">
    <w:name w:val="Char Char252"/>
    <w:rsid w:val="005150E5"/>
    <w:rPr>
      <w:rFonts w:ascii="Garamond" w:hAnsi="Garamond"/>
      <w:b/>
      <w:i/>
      <w:kern w:val="28"/>
      <w:lang w:val="en-GB"/>
    </w:rPr>
  </w:style>
  <w:style w:type="character" w:customStyle="1" w:styleId="CharChar242">
    <w:name w:val="Char Char242"/>
    <w:rsid w:val="005150E5"/>
    <w:rPr>
      <w:rFonts w:ascii="Arial Armenian" w:hAnsi="Arial Armenian"/>
      <w:noProof/>
      <w:lang w:val="en-US" w:eastAsia="en-US" w:bidi="ar-SA"/>
    </w:rPr>
  </w:style>
  <w:style w:type="character" w:customStyle="1" w:styleId="CharChar232">
    <w:name w:val="Char Char232"/>
    <w:rsid w:val="005150E5"/>
    <w:rPr>
      <w:rFonts w:ascii="Arial Armenian" w:hAnsi="Arial Armenian"/>
      <w:lang w:val="en-GB" w:eastAsia="en-US" w:bidi="ar-SA"/>
    </w:rPr>
  </w:style>
  <w:style w:type="character" w:customStyle="1" w:styleId="CharChar312">
    <w:name w:val="Char Char312"/>
    <w:rsid w:val="005150E5"/>
    <w:rPr>
      <w:rFonts w:ascii="Arial Armenian" w:hAnsi="Arial Armenian"/>
      <w:noProof/>
      <w:lang w:val="en-US" w:eastAsia="en-US" w:bidi="ar-SA"/>
    </w:rPr>
  </w:style>
  <w:style w:type="table" w:customStyle="1" w:styleId="Table3Deffects313">
    <w:name w:val="Table 3D effects 31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TopofForm1">
    <w:name w:val="z-Top of Form1"/>
    <w:basedOn w:val="Normal"/>
    <w:next w:val="Normal"/>
    <w:hidden/>
    <w:uiPriority w:val="99"/>
    <w:unhideWhenUsed/>
    <w:rsid w:val="005150E5"/>
    <w:pPr>
      <w:pBdr>
        <w:bottom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z-BottomofForm1">
    <w:name w:val="z-Bottom of Form1"/>
    <w:basedOn w:val="Normal"/>
    <w:next w:val="Normal"/>
    <w:hidden/>
    <w:uiPriority w:val="99"/>
    <w:unhideWhenUsed/>
    <w:rsid w:val="005150E5"/>
    <w:pPr>
      <w:pBdr>
        <w:top w:val="single" w:sz="6" w:space="1" w:color="auto"/>
      </w:pBdr>
      <w:spacing w:before="40" w:after="60" w:line="312" w:lineRule="auto"/>
      <w:contextualSpacing w:val="0"/>
      <w:jc w:val="center"/>
    </w:pPr>
    <w:rPr>
      <w:rFonts w:ascii="Arial" w:hAnsi="Arial"/>
      <w:b w:val="0"/>
      <w:vanish/>
      <w:sz w:val="16"/>
      <w:szCs w:val="16"/>
      <w:lang w:val="en-US" w:eastAsia="en-US"/>
    </w:rPr>
  </w:style>
  <w:style w:type="paragraph" w:customStyle="1" w:styleId="HTMLPreformatted1">
    <w:name w:val="HTML Preformatted1"/>
    <w:basedOn w:val="Normal"/>
    <w:next w:val="HTMLPreformatted"/>
    <w:uiPriority w:val="99"/>
    <w:unhideWhenUsed/>
    <w:rsid w:val="005150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60" w:line="312" w:lineRule="auto"/>
      <w:contextualSpacing w:val="0"/>
    </w:pPr>
    <w:rPr>
      <w:rFonts w:ascii="Arial Unicode" w:eastAsia="Calibri" w:hAnsi="Arial Unicode"/>
      <w:b w:val="0"/>
      <w:sz w:val="20"/>
      <w:szCs w:val="20"/>
      <w:lang w:val="en-US" w:eastAsia="en-US"/>
    </w:rPr>
  </w:style>
  <w:style w:type="numbering" w:customStyle="1" w:styleId="118">
    <w:name w:val="Нет списка118"/>
    <w:next w:val="NoList"/>
    <w:semiHidden/>
    <w:unhideWhenUsed/>
    <w:rsid w:val="005150E5"/>
  </w:style>
  <w:style w:type="character" w:customStyle="1" w:styleId="CharChar352">
    <w:name w:val="Char Char352"/>
    <w:rsid w:val="005150E5"/>
    <w:rPr>
      <w:rFonts w:ascii="Arial Armenian" w:hAnsi="Arial Armenian"/>
      <w:i/>
      <w:sz w:val="22"/>
      <w:u w:val="single"/>
      <w:lang w:val="en-GB"/>
    </w:rPr>
  </w:style>
  <w:style w:type="character" w:customStyle="1" w:styleId="CharChar342">
    <w:name w:val="Char Char342"/>
    <w:rsid w:val="005150E5"/>
    <w:rPr>
      <w:rFonts w:ascii="Garamond" w:hAnsi="Garamond"/>
      <w:i/>
      <w:spacing w:val="-5"/>
      <w:sz w:val="28"/>
      <w:shd w:val="pct5" w:color="auto" w:fill="auto"/>
      <w:lang w:val="en-GB"/>
    </w:rPr>
  </w:style>
  <w:style w:type="character" w:customStyle="1" w:styleId="CharChar332">
    <w:name w:val="Char Char332"/>
    <w:rsid w:val="005150E5"/>
    <w:rPr>
      <w:rFonts w:ascii="Arial Black" w:hAnsi="Arial Black"/>
      <w:caps/>
      <w:spacing w:val="60"/>
      <w:position w:val="4"/>
      <w:sz w:val="14"/>
      <w:lang w:val="en-GB"/>
    </w:rPr>
  </w:style>
  <w:style w:type="character" w:customStyle="1" w:styleId="CharChar322">
    <w:name w:val="Char Char322"/>
    <w:rsid w:val="005150E5"/>
    <w:rPr>
      <w:rFonts w:ascii="Garamond" w:hAnsi="Garamond"/>
      <w:b/>
      <w:i/>
      <w:kern w:val="28"/>
      <w:lang w:val="en-GB"/>
    </w:rPr>
  </w:style>
  <w:style w:type="character" w:customStyle="1" w:styleId="CharChar302">
    <w:name w:val="Char Char302"/>
    <w:rsid w:val="005150E5"/>
    <w:rPr>
      <w:rFonts w:ascii="Arial Armenian" w:hAnsi="Arial Armenian"/>
      <w:lang w:val="en-GB" w:eastAsia="en-US" w:bidi="ar-SA"/>
    </w:rPr>
  </w:style>
  <w:style w:type="character" w:customStyle="1" w:styleId="CharChar292">
    <w:name w:val="Char Char292"/>
    <w:rsid w:val="005150E5"/>
    <w:rPr>
      <w:rFonts w:ascii="Arial Armenian" w:hAnsi="Arial Armenian"/>
      <w:lang w:val="ru-RU" w:eastAsia="ru-RU" w:bidi="ar-SA"/>
    </w:rPr>
  </w:style>
  <w:style w:type="paragraph" w:customStyle="1" w:styleId="textbox">
    <w:name w:val="textbox"/>
    <w:basedOn w:val="Normal"/>
    <w:rsid w:val="005150E5"/>
    <w:pPr>
      <w:spacing w:before="40" w:after="60" w:line="160" w:lineRule="exact"/>
      <w:contextualSpacing w:val="0"/>
    </w:pPr>
    <w:rPr>
      <w:b w:val="0"/>
      <w:smallCaps/>
      <w:sz w:val="16"/>
      <w:szCs w:val="20"/>
      <w:lang w:val="hy-AM" w:eastAsia="en-US"/>
    </w:rPr>
  </w:style>
  <w:style w:type="character" w:customStyle="1" w:styleId="t121">
    <w:name w:val="t121"/>
    <w:rsid w:val="005150E5"/>
    <w:rPr>
      <w:b/>
      <w:bCs/>
      <w:color w:val="191970"/>
    </w:rPr>
  </w:style>
  <w:style w:type="character" w:customStyle="1" w:styleId="t61">
    <w:name w:val="t61"/>
    <w:rsid w:val="005150E5"/>
    <w:rPr>
      <w:b/>
      <w:bCs/>
      <w:color w:val="191970"/>
    </w:rPr>
  </w:style>
  <w:style w:type="table" w:customStyle="1" w:styleId="TableGrid115">
    <w:name w:val="Table Grid115"/>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CharCharCharCharCharCharCharCharCharCharCharChar4">
    <w:name w:val="Char Char Char Char Знак Char Знак Char Char Char Char Char Char Char Char Char Char4"/>
    <w:basedOn w:val="Normal"/>
    <w:rsid w:val="005150E5"/>
    <w:pPr>
      <w:tabs>
        <w:tab w:val="left" w:pos="709"/>
      </w:tabs>
      <w:spacing w:before="40" w:after="60" w:line="312" w:lineRule="auto"/>
      <w:contextualSpacing w:val="0"/>
    </w:pPr>
    <w:rPr>
      <w:rFonts w:ascii="Tahoma" w:hAnsi="Tahoma" w:cs="Tahoma"/>
      <w:b w:val="0"/>
      <w:szCs w:val="22"/>
      <w:lang w:val="pl-PL" w:eastAsia="pl-PL"/>
    </w:rPr>
  </w:style>
  <w:style w:type="character" w:customStyle="1" w:styleId="CharChar62">
    <w:name w:val="Char Char62"/>
    <w:locked/>
    <w:rsid w:val="005150E5"/>
    <w:rPr>
      <w:rFonts w:ascii="Times LatArm" w:eastAsia="Calibri" w:hAnsi="Times LatArm" w:cs="Times LatArm"/>
      <w:sz w:val="22"/>
      <w:szCs w:val="22"/>
      <w:lang w:val="en-GB" w:eastAsia="en-US" w:bidi="ar-SA"/>
    </w:rPr>
  </w:style>
  <w:style w:type="character" w:customStyle="1" w:styleId="CentredCharChar">
    <w:name w:val="Centred Char Char"/>
    <w:locked/>
    <w:rsid w:val="005150E5"/>
    <w:rPr>
      <w:rFonts w:eastAsia="Calibri"/>
      <w:b/>
      <w:bCs/>
      <w:i/>
      <w:iCs/>
      <w:sz w:val="24"/>
      <w:szCs w:val="24"/>
      <w:lang w:val="en-GB" w:eastAsia="en-US" w:bidi="ar-SA"/>
    </w:rPr>
  </w:style>
  <w:style w:type="character" w:customStyle="1" w:styleId="SideCharChar">
    <w:name w:val="Side Char Char"/>
    <w:locked/>
    <w:rsid w:val="005150E5"/>
    <w:rPr>
      <w:rFonts w:eastAsia="Calibri"/>
      <w:sz w:val="22"/>
      <w:szCs w:val="22"/>
      <w:lang w:val="en-GB" w:eastAsia="en-US" w:bidi="ar-SA"/>
    </w:rPr>
  </w:style>
  <w:style w:type="character" w:customStyle="1" w:styleId="CharChar80">
    <w:name w:val="Char Char8"/>
    <w:locked/>
    <w:rsid w:val="005150E5"/>
    <w:rPr>
      <w:rFonts w:ascii="Times Armenian" w:eastAsia="Calibri" w:hAnsi="Times Armenian" w:cs="Times Armenian"/>
      <w:color w:val="993300"/>
      <w:sz w:val="22"/>
      <w:szCs w:val="22"/>
      <w:lang w:val="hy-AM" w:eastAsia="en-US" w:bidi="ar-SA"/>
    </w:rPr>
  </w:style>
  <w:style w:type="character" w:customStyle="1" w:styleId="CharChar42">
    <w:name w:val="Char Char42"/>
    <w:locked/>
    <w:rsid w:val="005150E5"/>
    <w:rPr>
      <w:rFonts w:eastAsia="Calibri"/>
      <w:sz w:val="22"/>
      <w:szCs w:val="22"/>
      <w:lang w:val="en-GB" w:eastAsia="en-US" w:bidi="ar-SA"/>
    </w:rPr>
  </w:style>
  <w:style w:type="character" w:customStyle="1" w:styleId="CharChar38">
    <w:name w:val="Char Char38"/>
    <w:uiPriority w:val="99"/>
    <w:locked/>
    <w:rsid w:val="005150E5"/>
    <w:rPr>
      <w:rFonts w:eastAsia="Calibri"/>
      <w:sz w:val="22"/>
      <w:szCs w:val="22"/>
      <w:lang w:val="en-GB" w:eastAsia="en-US" w:bidi="ar-SA"/>
    </w:rPr>
  </w:style>
  <w:style w:type="character" w:customStyle="1" w:styleId="CharChar212">
    <w:name w:val="Char Char212"/>
    <w:locked/>
    <w:rsid w:val="005150E5"/>
    <w:rPr>
      <w:rFonts w:ascii="Times Armenian" w:eastAsia="Calibri" w:hAnsi="Times Armenian" w:cs="Times Armenian"/>
      <w:b/>
      <w:bCs/>
      <w:sz w:val="22"/>
      <w:szCs w:val="22"/>
      <w:lang w:val="en-US" w:eastAsia="en-US" w:bidi="ar-SA"/>
    </w:rPr>
  </w:style>
  <w:style w:type="numbering" w:customStyle="1" w:styleId="NoList56">
    <w:name w:val="No List56"/>
    <w:next w:val="NoList"/>
    <w:uiPriority w:val="99"/>
    <w:semiHidden/>
    <w:rsid w:val="005150E5"/>
  </w:style>
  <w:style w:type="numbering" w:customStyle="1" w:styleId="NoList63">
    <w:name w:val="No List63"/>
    <w:next w:val="NoList"/>
    <w:uiPriority w:val="99"/>
    <w:semiHidden/>
    <w:unhideWhenUsed/>
    <w:rsid w:val="005150E5"/>
  </w:style>
  <w:style w:type="table" w:customStyle="1" w:styleId="TableGrid210">
    <w:name w:val="Table Grid210"/>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amak">
    <w:name w:val="namak Знак"/>
    <w:link w:val="namak0"/>
    <w:locked/>
    <w:rsid w:val="005150E5"/>
    <w:rPr>
      <w:rFonts w:ascii="GHEA Grapalat" w:hAnsi="GHEA Grapalat"/>
      <w:spacing w:val="-4"/>
      <w:sz w:val="24"/>
      <w:szCs w:val="24"/>
    </w:rPr>
  </w:style>
  <w:style w:type="paragraph" w:customStyle="1" w:styleId="namak0">
    <w:name w:val="namak"/>
    <w:basedOn w:val="Normal"/>
    <w:link w:val="namak"/>
    <w:rsid w:val="005150E5"/>
    <w:pPr>
      <w:spacing w:before="40" w:after="60" w:line="400" w:lineRule="exact"/>
      <w:ind w:firstLine="397"/>
      <w:contextualSpacing w:val="0"/>
    </w:pPr>
    <w:rPr>
      <w:b w:val="0"/>
      <w:spacing w:val="-4"/>
      <w:sz w:val="24"/>
      <w:lang w:val="en-US" w:eastAsia="en-US"/>
    </w:rPr>
  </w:style>
  <w:style w:type="numbering" w:customStyle="1" w:styleId="NoList73">
    <w:name w:val="No List73"/>
    <w:next w:val="NoList"/>
    <w:uiPriority w:val="99"/>
    <w:semiHidden/>
    <w:unhideWhenUsed/>
    <w:rsid w:val="005150E5"/>
  </w:style>
  <w:style w:type="numbering" w:customStyle="1" w:styleId="NoList1210">
    <w:name w:val="No List1210"/>
    <w:next w:val="NoList"/>
    <w:uiPriority w:val="99"/>
    <w:semiHidden/>
    <w:unhideWhenUsed/>
    <w:rsid w:val="005150E5"/>
  </w:style>
  <w:style w:type="table" w:customStyle="1" w:styleId="TableGrid330">
    <w:name w:val="Table Grid33"/>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
    <w:name w:val="Colorful Grid - Accent 12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
    <w:name w:val="Light List - Accent 52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harChar5CharCharCharCharCharChar2">
    <w:name w:val="Char Char5 Char Char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CharChar2">
    <w:name w:val="Char Char5 Char Char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paragraph" w:customStyle="1" w:styleId="CharChar5CharChar2">
    <w:name w:val="Char Char5 Char Char2"/>
    <w:basedOn w:val="Normal"/>
    <w:rsid w:val="005150E5"/>
    <w:pPr>
      <w:tabs>
        <w:tab w:val="left" w:pos="709"/>
      </w:tabs>
      <w:spacing w:before="40" w:after="60" w:line="312" w:lineRule="auto"/>
      <w:contextualSpacing w:val="0"/>
    </w:pPr>
    <w:rPr>
      <w:rFonts w:ascii="Tahoma" w:hAnsi="Tahoma"/>
      <w:b w:val="0"/>
      <w:szCs w:val="22"/>
      <w:lang w:val="pl-PL" w:eastAsia="pl-PL"/>
    </w:rPr>
  </w:style>
  <w:style w:type="numbering" w:customStyle="1" w:styleId="NoList83">
    <w:name w:val="No List83"/>
    <w:next w:val="NoList"/>
    <w:uiPriority w:val="99"/>
    <w:semiHidden/>
    <w:unhideWhenUsed/>
    <w:rsid w:val="005150E5"/>
  </w:style>
  <w:style w:type="numbering" w:customStyle="1" w:styleId="123">
    <w:name w:val="Нет списка123"/>
    <w:next w:val="NoList"/>
    <w:semiHidden/>
    <w:unhideWhenUsed/>
    <w:rsid w:val="005150E5"/>
  </w:style>
  <w:style w:type="numbering" w:customStyle="1" w:styleId="NoList133">
    <w:name w:val="No List133"/>
    <w:next w:val="NoList"/>
    <w:semiHidden/>
    <w:unhideWhenUsed/>
    <w:rsid w:val="005150E5"/>
  </w:style>
  <w:style w:type="numbering" w:customStyle="1" w:styleId="NoList217">
    <w:name w:val="No List217"/>
    <w:next w:val="NoList"/>
    <w:semiHidden/>
    <w:unhideWhenUsed/>
    <w:rsid w:val="005150E5"/>
  </w:style>
  <w:style w:type="numbering" w:customStyle="1" w:styleId="NoList316">
    <w:name w:val="No List316"/>
    <w:next w:val="NoList"/>
    <w:semiHidden/>
    <w:unhideWhenUsed/>
    <w:rsid w:val="005150E5"/>
  </w:style>
  <w:style w:type="numbering" w:customStyle="1" w:styleId="1113">
    <w:name w:val="Нет списка1113"/>
    <w:next w:val="NoList"/>
    <w:semiHidden/>
    <w:unhideWhenUsed/>
    <w:rsid w:val="005150E5"/>
  </w:style>
  <w:style w:type="numbering" w:customStyle="1" w:styleId="NoList414">
    <w:name w:val="No List414"/>
    <w:next w:val="NoList"/>
    <w:semiHidden/>
    <w:rsid w:val="005150E5"/>
  </w:style>
  <w:style w:type="numbering" w:customStyle="1" w:styleId="NoList11116">
    <w:name w:val="No List11116"/>
    <w:next w:val="NoList"/>
    <w:semiHidden/>
    <w:unhideWhenUsed/>
    <w:rsid w:val="005150E5"/>
  </w:style>
  <w:style w:type="numbering" w:customStyle="1" w:styleId="11112">
    <w:name w:val="Нет списка11112"/>
    <w:next w:val="NoList"/>
    <w:semiHidden/>
    <w:unhideWhenUsed/>
    <w:rsid w:val="005150E5"/>
  </w:style>
  <w:style w:type="numbering" w:customStyle="1" w:styleId="NoList93">
    <w:name w:val="No List93"/>
    <w:next w:val="NoList"/>
    <w:uiPriority w:val="99"/>
    <w:semiHidden/>
    <w:unhideWhenUsed/>
    <w:rsid w:val="005150E5"/>
  </w:style>
  <w:style w:type="character" w:customStyle="1" w:styleId="newstext">
    <w:name w:val="news_text"/>
    <w:rsid w:val="005150E5"/>
  </w:style>
  <w:style w:type="table" w:customStyle="1" w:styleId="TableGrid43">
    <w:name w:val="Table Grid43"/>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har">
    <w:name w:val="Default Char"/>
    <w:link w:val="Default"/>
    <w:locked/>
    <w:rsid w:val="005150E5"/>
    <w:rPr>
      <w:rFonts w:ascii="Sylfaen" w:hAnsi="Sylfaen" w:cs="Sylfaen"/>
      <w:color w:val="000000"/>
      <w:sz w:val="24"/>
      <w:szCs w:val="24"/>
    </w:rPr>
  </w:style>
  <w:style w:type="table" w:customStyle="1" w:styleId="GridTable1Light-Accent51">
    <w:name w:val="Grid Table 1 Light - Accent 51"/>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
    <w:name w:val="Plain Table 3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
    <w:name w:val="Grid Table 4 - Accent 111"/>
    <w:basedOn w:val="TableNormal"/>
    <w:uiPriority w:val="49"/>
    <w:rsid w:val="005150E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tlid-translation">
    <w:name w:val="tlid-translation"/>
    <w:rsid w:val="005150E5"/>
  </w:style>
  <w:style w:type="numbering" w:customStyle="1" w:styleId="NoList103">
    <w:name w:val="No List103"/>
    <w:next w:val="NoList"/>
    <w:uiPriority w:val="99"/>
    <w:semiHidden/>
    <w:unhideWhenUsed/>
    <w:rsid w:val="005150E5"/>
  </w:style>
  <w:style w:type="table" w:customStyle="1" w:styleId="TableGrid530">
    <w:name w:val="Table Grid53"/>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
    <w:name w:val="Table List 7112"/>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
    <w:name w:val="Table Web 3112"/>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
    <w:name w:val="Table Elegant112"/>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
    <w:name w:val="Table Web 223"/>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
    <w:name w:val="Table Web 123"/>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
    <w:name w:val="Table Grid 823"/>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
    <w:name w:val="Table Contemporary23"/>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
    <w:name w:val="No List143"/>
    <w:next w:val="NoList"/>
    <w:semiHidden/>
    <w:unhideWhenUsed/>
    <w:rsid w:val="005150E5"/>
  </w:style>
  <w:style w:type="numbering" w:customStyle="1" w:styleId="NoList223">
    <w:name w:val="No List223"/>
    <w:next w:val="NoList"/>
    <w:semiHidden/>
    <w:unhideWhenUsed/>
    <w:rsid w:val="005150E5"/>
  </w:style>
  <w:style w:type="numbering" w:customStyle="1" w:styleId="NoList323">
    <w:name w:val="No List323"/>
    <w:next w:val="NoList"/>
    <w:semiHidden/>
    <w:unhideWhenUsed/>
    <w:rsid w:val="005150E5"/>
  </w:style>
  <w:style w:type="table" w:customStyle="1" w:styleId="LightList-Accent126">
    <w:name w:val="Light List - Accent 126"/>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
    <w:name w:val="Table Grid 7112"/>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
    <w:name w:val="Colorful Grid - Accent 133"/>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
    <w:name w:val="Light List - Accent 533"/>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
    <w:name w:val="Table Simple 3112"/>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
    <w:name w:val="Table Grid 5112"/>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
    <w:name w:val="Table Grid 3112"/>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
    <w:name w:val="Table Grid 1112"/>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
    <w:name w:val="Table Columns 5112"/>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
    <w:name w:val="Light List - Accent 1114"/>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0">
    <w:name w:val="Нет списка133"/>
    <w:next w:val="NoList"/>
    <w:semiHidden/>
    <w:unhideWhenUsed/>
    <w:rsid w:val="005150E5"/>
  </w:style>
  <w:style w:type="table" w:customStyle="1" w:styleId="ColorfulGrid-Accent1113">
    <w:name w:val="Colorful Grid - Accent 1113"/>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
    <w:name w:val="Light List - Accent 5113"/>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
    <w:name w:val="No List423"/>
    <w:next w:val="NoList"/>
    <w:semiHidden/>
    <w:rsid w:val="005150E5"/>
  </w:style>
  <w:style w:type="numbering" w:customStyle="1" w:styleId="NoList1125">
    <w:name w:val="No List1125"/>
    <w:next w:val="NoList"/>
    <w:semiHidden/>
    <w:unhideWhenUsed/>
    <w:rsid w:val="005150E5"/>
  </w:style>
  <w:style w:type="table" w:customStyle="1" w:styleId="Table3Deffects3112">
    <w:name w:val="Table 3D effects 3112"/>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
    <w:name w:val="Нет списка1123"/>
    <w:next w:val="NoList"/>
    <w:semiHidden/>
    <w:unhideWhenUsed/>
    <w:rsid w:val="005150E5"/>
  </w:style>
  <w:style w:type="table" w:customStyle="1" w:styleId="TableGrid11120">
    <w:name w:val="Table Grid1112"/>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
    <w:name w:val="No List513"/>
    <w:next w:val="NoList"/>
    <w:uiPriority w:val="99"/>
    <w:semiHidden/>
    <w:rsid w:val="005150E5"/>
  </w:style>
  <w:style w:type="numbering" w:customStyle="1" w:styleId="NoList612">
    <w:name w:val="No List612"/>
    <w:next w:val="NoList"/>
    <w:uiPriority w:val="99"/>
    <w:semiHidden/>
    <w:unhideWhenUsed/>
    <w:rsid w:val="005150E5"/>
  </w:style>
  <w:style w:type="table" w:customStyle="1" w:styleId="TableGrid213">
    <w:name w:val="Table Grid213"/>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
    <w:name w:val="No List712"/>
    <w:next w:val="NoList"/>
    <w:uiPriority w:val="99"/>
    <w:semiHidden/>
    <w:unhideWhenUsed/>
    <w:rsid w:val="005150E5"/>
  </w:style>
  <w:style w:type="numbering" w:customStyle="1" w:styleId="NoList1213">
    <w:name w:val="No List1213"/>
    <w:next w:val="NoList"/>
    <w:uiPriority w:val="99"/>
    <w:semiHidden/>
    <w:unhideWhenUsed/>
    <w:rsid w:val="005150E5"/>
  </w:style>
  <w:style w:type="table" w:customStyle="1" w:styleId="TableGrid3120">
    <w:name w:val="Table Grid312"/>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
    <w:name w:val="Table Web 21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
    <w:name w:val="Table Web 11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
    <w:name w:val="Table Grid 81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
    <w:name w:val="Table Contemporary1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
    <w:name w:val="Colorful Grid - Accent 12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
    <w:name w:val="Light List - Accent 52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
    <w:name w:val="No List812"/>
    <w:next w:val="NoList"/>
    <w:uiPriority w:val="99"/>
    <w:semiHidden/>
    <w:unhideWhenUsed/>
    <w:rsid w:val="005150E5"/>
  </w:style>
  <w:style w:type="numbering" w:customStyle="1" w:styleId="1212">
    <w:name w:val="Нет списка1212"/>
    <w:next w:val="NoList"/>
    <w:semiHidden/>
    <w:unhideWhenUsed/>
    <w:rsid w:val="005150E5"/>
  </w:style>
  <w:style w:type="numbering" w:customStyle="1" w:styleId="NoList1312">
    <w:name w:val="No List1312"/>
    <w:next w:val="NoList"/>
    <w:semiHidden/>
    <w:unhideWhenUsed/>
    <w:rsid w:val="005150E5"/>
  </w:style>
  <w:style w:type="numbering" w:customStyle="1" w:styleId="NoList2113">
    <w:name w:val="No List2113"/>
    <w:next w:val="NoList"/>
    <w:semiHidden/>
    <w:unhideWhenUsed/>
    <w:rsid w:val="005150E5"/>
  </w:style>
  <w:style w:type="numbering" w:customStyle="1" w:styleId="NoList3113">
    <w:name w:val="No List3113"/>
    <w:next w:val="NoList"/>
    <w:semiHidden/>
    <w:unhideWhenUsed/>
    <w:rsid w:val="005150E5"/>
  </w:style>
  <w:style w:type="numbering" w:customStyle="1" w:styleId="11121">
    <w:name w:val="Нет списка11121"/>
    <w:next w:val="NoList"/>
    <w:semiHidden/>
    <w:unhideWhenUsed/>
    <w:rsid w:val="005150E5"/>
  </w:style>
  <w:style w:type="numbering" w:customStyle="1" w:styleId="NoList4112">
    <w:name w:val="No List4112"/>
    <w:next w:val="NoList"/>
    <w:semiHidden/>
    <w:rsid w:val="005150E5"/>
  </w:style>
  <w:style w:type="numbering" w:customStyle="1" w:styleId="NoList111113">
    <w:name w:val="No List111113"/>
    <w:next w:val="NoList"/>
    <w:semiHidden/>
    <w:unhideWhenUsed/>
    <w:rsid w:val="005150E5"/>
  </w:style>
  <w:style w:type="numbering" w:customStyle="1" w:styleId="111111">
    <w:name w:val="Нет списка111111"/>
    <w:next w:val="NoList"/>
    <w:semiHidden/>
    <w:unhideWhenUsed/>
    <w:rsid w:val="005150E5"/>
  </w:style>
  <w:style w:type="paragraph" w:customStyle="1" w:styleId="CharChar37">
    <w:name w:val="Char Char37"/>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BodyText23">
    <w:name w:val="Body Text2"/>
    <w:basedOn w:val="Normal"/>
    <w:rsid w:val="005150E5"/>
    <w:pPr>
      <w:tabs>
        <w:tab w:val="num" w:pos="0"/>
      </w:tabs>
      <w:spacing w:before="0" w:after="240" w:line="240" w:lineRule="auto"/>
      <w:ind w:firstLine="0"/>
      <w:contextualSpacing w:val="0"/>
    </w:pPr>
    <w:rPr>
      <w:rFonts w:ascii="Times Armenian" w:hAnsi="Times Armenian"/>
      <w:b w:val="0"/>
      <w:sz w:val="24"/>
      <w:lang w:val="en-US"/>
    </w:rPr>
  </w:style>
  <w:style w:type="paragraph" w:customStyle="1" w:styleId="Znak2">
    <w:name w:val="Znak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Char2">
    <w:name w:val="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CharChar5">
    <w:name w:val="Char Char Char Char Знак Char Знак Char Char Char Char Char Char Char Char Char Char5"/>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CharCharCharCharChar2">
    <w:name w:val="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2">
    <w:name w:val="Знак Знак Char2"/>
    <w:link w:val="5"/>
    <w:rsid w:val="005150E5"/>
    <w:rPr>
      <w:rFonts w:ascii="Arial" w:hAnsi="Arial" w:cs="Arial"/>
      <w:b/>
    </w:rPr>
  </w:style>
  <w:style w:type="paragraph" w:customStyle="1" w:styleId="CharCharCharCharCharCharCharCharCharChar2">
    <w:name w:val="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CharCharCharCharCharCharCharChar2">
    <w:name w:val="Char Char Char Char Char Char Char Char 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CharChar2">
    <w:name w:val="Знак Знак1 Char Char Знак Знак2"/>
    <w:basedOn w:val="Normal"/>
    <w:rsid w:val="005150E5"/>
    <w:pPr>
      <w:tabs>
        <w:tab w:val="num" w:pos="840"/>
      </w:tabs>
      <w:spacing w:before="0" w:after="160" w:line="240" w:lineRule="exact"/>
      <w:ind w:left="840" w:hanging="360"/>
      <w:contextualSpacing w:val="0"/>
    </w:pPr>
    <w:rPr>
      <w:rFonts w:ascii="Verdana" w:hAnsi="Verdana"/>
      <w:b w:val="0"/>
      <w:sz w:val="20"/>
      <w:szCs w:val="20"/>
      <w:lang w:eastAsia="en-US"/>
    </w:rPr>
  </w:style>
  <w:style w:type="paragraph" w:customStyle="1" w:styleId="CharCharCharChar2">
    <w:name w:val="Знак Знак Char Char Знак Знак Char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21">
    <w:name w:val="Знак Знак Знак Знак Знак Знак Знак Знак Знак Знак Знак Знак Знак Знак Знак Знак Знак Знак Char Знак Знак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CharCharChar21">
    <w:name w:val="Char Char Char Знак2"/>
    <w:basedOn w:val="Normal"/>
    <w:next w:val="Normal"/>
    <w:rsid w:val="005150E5"/>
    <w:pPr>
      <w:spacing w:before="0" w:after="160" w:line="240" w:lineRule="exact"/>
      <w:ind w:firstLine="0"/>
      <w:contextualSpacing w:val="0"/>
      <w:jc w:val="left"/>
    </w:pPr>
    <w:rPr>
      <w:rFonts w:ascii="Tahoma" w:hAnsi="Tahoma"/>
      <w:b w:val="0"/>
      <w:sz w:val="24"/>
      <w:szCs w:val="20"/>
      <w:lang w:val="en-US" w:eastAsia="en-US"/>
    </w:rPr>
  </w:style>
  <w:style w:type="paragraph" w:customStyle="1" w:styleId="CharCharChar1Char2">
    <w:name w:val="Char Char Char1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124">
    <w:name w:val="Знак Знак12"/>
    <w:basedOn w:val="Normal"/>
    <w:rsid w:val="005150E5"/>
    <w:pPr>
      <w:spacing w:before="0" w:after="160" w:line="240" w:lineRule="exact"/>
      <w:ind w:firstLine="0"/>
      <w:contextualSpacing w:val="0"/>
      <w:jc w:val="left"/>
    </w:pPr>
    <w:rPr>
      <w:rFonts w:ascii="Arial" w:eastAsia="MS Mincho" w:hAnsi="Arial" w:cs="Arial"/>
      <w:b w:val="0"/>
      <w:sz w:val="20"/>
      <w:szCs w:val="20"/>
      <w:lang w:val="en-US" w:eastAsia="en-US"/>
    </w:rPr>
  </w:style>
  <w:style w:type="paragraph" w:customStyle="1" w:styleId="CharChar1CharCharChar1Char2">
    <w:name w:val="Char Char1 Char Char Char1 Char2"/>
    <w:basedOn w:val="Normal"/>
    <w:autoRedefine/>
    <w:rsid w:val="005150E5"/>
    <w:pPr>
      <w:spacing w:before="0" w:line="240" w:lineRule="auto"/>
      <w:ind w:firstLine="0"/>
      <w:contextualSpacing w:val="0"/>
      <w:jc w:val="left"/>
    </w:pPr>
    <w:rPr>
      <w:rFonts w:ascii="Times New Roman" w:eastAsia="SimSun" w:hAnsi="Times New Roman"/>
      <w:b w:val="0"/>
      <w:sz w:val="20"/>
      <w:szCs w:val="20"/>
      <w:lang w:val="en-US"/>
    </w:rPr>
  </w:style>
  <w:style w:type="paragraph" w:customStyle="1" w:styleId="420">
    <w:name w:val="Знак Знак42"/>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22">
    <w:name w:val="Знак Char Знак2"/>
    <w:basedOn w:val="Normal"/>
    <w:rsid w:val="005150E5"/>
    <w:pPr>
      <w:spacing w:before="0" w:after="160" w:line="240" w:lineRule="exact"/>
      <w:ind w:firstLine="0"/>
      <w:contextualSpacing w:val="0"/>
      <w:jc w:val="left"/>
    </w:pPr>
    <w:rPr>
      <w:rFonts w:ascii="Arial" w:eastAsia="Batang" w:hAnsi="Arial" w:cs="Arial"/>
      <w:b w:val="0"/>
      <w:sz w:val="20"/>
      <w:szCs w:val="20"/>
      <w:lang w:val="en-US" w:eastAsia="en-US"/>
    </w:rPr>
  </w:style>
  <w:style w:type="paragraph" w:customStyle="1" w:styleId="CharCharCharCharCharChar20">
    <w:name w:val="Знак Знак Char Char Знак Знак Char Char Знак Знак Char Char2"/>
    <w:basedOn w:val="Normal"/>
    <w:autoRedefine/>
    <w:rsid w:val="005150E5"/>
    <w:pPr>
      <w:spacing w:before="0" w:after="160" w:line="240" w:lineRule="exact"/>
      <w:ind w:firstLine="0"/>
      <w:contextualSpacing w:val="0"/>
      <w:jc w:val="left"/>
    </w:pPr>
    <w:rPr>
      <w:rFonts w:ascii="Times New Roman" w:hAnsi="Times New Roman"/>
      <w:b w:val="0"/>
      <w:sz w:val="28"/>
      <w:szCs w:val="20"/>
      <w:lang w:val="en-US" w:eastAsia="en-US"/>
    </w:rPr>
  </w:style>
  <w:style w:type="paragraph" w:customStyle="1" w:styleId="220">
    <w:name w:val="Знак Знак2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CharCharChar20">
    <w:name w:val="Char Char Char Char Char2"/>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character" w:customStyle="1" w:styleId="CharChar52">
    <w:name w:val="Char Char52"/>
    <w:rsid w:val="005150E5"/>
    <w:rPr>
      <w:rFonts w:ascii="Arial Armenian" w:hAnsi="Arial Armenian" w:cs="Sylfaen"/>
      <w:sz w:val="24"/>
      <w:szCs w:val="24"/>
      <w:lang w:val="ru-RU" w:eastAsia="ru-RU"/>
    </w:rPr>
  </w:style>
  <w:style w:type="paragraph" w:customStyle="1" w:styleId="CharCharCharCharCharChar10">
    <w:name w:val="Char Char Char Char Char Char1"/>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CharChar1100">
    <w:name w:val="Char Char110"/>
    <w:basedOn w:val="Normal"/>
    <w:rsid w:val="005150E5"/>
    <w:pPr>
      <w:spacing w:before="0" w:after="160" w:line="240" w:lineRule="exact"/>
      <w:ind w:firstLine="0"/>
      <w:contextualSpacing w:val="0"/>
      <w:jc w:val="left"/>
    </w:pPr>
    <w:rPr>
      <w:rFonts w:ascii="Arial" w:hAnsi="Arial" w:cs="Arial"/>
      <w:b w:val="0"/>
      <w:sz w:val="20"/>
      <w:szCs w:val="20"/>
      <w:lang w:val="en-US" w:eastAsia="en-US"/>
    </w:rPr>
  </w:style>
  <w:style w:type="paragraph" w:customStyle="1" w:styleId="2d">
    <w:name w:val="Знак2"/>
    <w:basedOn w:val="Normal"/>
    <w:rsid w:val="005150E5"/>
    <w:pPr>
      <w:spacing w:before="0" w:after="160" w:line="240" w:lineRule="exact"/>
      <w:ind w:firstLine="0"/>
      <w:contextualSpacing w:val="0"/>
      <w:jc w:val="left"/>
    </w:pPr>
    <w:rPr>
      <w:rFonts w:ascii="Arial" w:hAnsi="Arial" w:cs="Arial"/>
      <w:b w:val="0"/>
      <w:sz w:val="20"/>
      <w:szCs w:val="20"/>
      <w:lang w:val="en-GB" w:eastAsia="en-US"/>
    </w:rPr>
  </w:style>
  <w:style w:type="character" w:customStyle="1" w:styleId="CharChar281">
    <w:name w:val="Char Char281"/>
    <w:rsid w:val="005150E5"/>
    <w:rPr>
      <w:rFonts w:ascii="Arial Armenian" w:hAnsi="Arial Armenian"/>
      <w:i/>
      <w:sz w:val="22"/>
      <w:u w:val="single"/>
      <w:lang w:val="en-GB"/>
    </w:rPr>
  </w:style>
  <w:style w:type="character" w:customStyle="1" w:styleId="CharChar271">
    <w:name w:val="Char Char271"/>
    <w:rsid w:val="005150E5"/>
    <w:rPr>
      <w:rFonts w:ascii="Garamond" w:hAnsi="Garamond"/>
      <w:i/>
      <w:spacing w:val="-5"/>
      <w:sz w:val="28"/>
      <w:shd w:val="pct5" w:color="auto" w:fill="auto"/>
      <w:lang w:val="en-GB"/>
    </w:rPr>
  </w:style>
  <w:style w:type="character" w:customStyle="1" w:styleId="CharChar261">
    <w:name w:val="Char Char261"/>
    <w:rsid w:val="005150E5"/>
    <w:rPr>
      <w:rFonts w:ascii="Arial Black" w:hAnsi="Arial Black"/>
      <w:caps/>
      <w:spacing w:val="60"/>
      <w:position w:val="4"/>
      <w:sz w:val="14"/>
      <w:lang w:val="en-GB"/>
    </w:rPr>
  </w:style>
  <w:style w:type="character" w:customStyle="1" w:styleId="CharChar251">
    <w:name w:val="Char Char251"/>
    <w:rsid w:val="005150E5"/>
    <w:rPr>
      <w:rFonts w:ascii="Garamond" w:hAnsi="Garamond"/>
      <w:b/>
      <w:i/>
      <w:kern w:val="28"/>
      <w:lang w:val="en-GB"/>
    </w:rPr>
  </w:style>
  <w:style w:type="character" w:customStyle="1" w:styleId="CharChar351">
    <w:name w:val="Char Char351"/>
    <w:rsid w:val="005150E5"/>
    <w:rPr>
      <w:rFonts w:ascii="Arial Armenian" w:hAnsi="Arial Armenian"/>
      <w:i/>
      <w:sz w:val="22"/>
      <w:u w:val="single"/>
      <w:lang w:val="en-GB"/>
    </w:rPr>
  </w:style>
  <w:style w:type="character" w:customStyle="1" w:styleId="CharChar341">
    <w:name w:val="Char Char341"/>
    <w:rsid w:val="005150E5"/>
    <w:rPr>
      <w:rFonts w:ascii="Garamond" w:hAnsi="Garamond"/>
      <w:i/>
      <w:spacing w:val="-5"/>
      <w:sz w:val="28"/>
      <w:shd w:val="pct5" w:color="auto" w:fill="auto"/>
      <w:lang w:val="en-GB"/>
    </w:rPr>
  </w:style>
  <w:style w:type="character" w:customStyle="1" w:styleId="CharChar331">
    <w:name w:val="Char Char331"/>
    <w:rsid w:val="005150E5"/>
    <w:rPr>
      <w:rFonts w:ascii="Arial Black" w:hAnsi="Arial Black"/>
      <w:caps/>
      <w:spacing w:val="60"/>
      <w:position w:val="4"/>
      <w:sz w:val="14"/>
      <w:lang w:val="en-GB"/>
    </w:rPr>
  </w:style>
  <w:style w:type="character" w:customStyle="1" w:styleId="CharChar321">
    <w:name w:val="Char Char321"/>
    <w:rsid w:val="005150E5"/>
    <w:rPr>
      <w:rFonts w:ascii="Garamond" w:hAnsi="Garamond"/>
      <w:b/>
      <w:i/>
      <w:kern w:val="28"/>
      <w:lang w:val="en-GB"/>
    </w:rPr>
  </w:style>
  <w:style w:type="character" w:customStyle="1" w:styleId="CharChar311">
    <w:name w:val="Char Char311"/>
    <w:rsid w:val="005150E5"/>
    <w:rPr>
      <w:rFonts w:ascii="Arial Armenian" w:hAnsi="Arial Armenian"/>
      <w:noProof/>
      <w:lang w:val="en-US" w:eastAsia="en-US" w:bidi="ar-SA"/>
    </w:rPr>
  </w:style>
  <w:style w:type="character" w:customStyle="1" w:styleId="CharChar301">
    <w:name w:val="Char Char301"/>
    <w:rsid w:val="005150E5"/>
    <w:rPr>
      <w:rFonts w:ascii="Arial Armenian" w:hAnsi="Arial Armenian"/>
      <w:lang w:val="en-GB" w:eastAsia="en-US" w:bidi="ar-SA"/>
    </w:rPr>
  </w:style>
  <w:style w:type="character" w:customStyle="1" w:styleId="CharChar291">
    <w:name w:val="Char Char291"/>
    <w:rsid w:val="005150E5"/>
    <w:rPr>
      <w:rFonts w:ascii="Arial Armenian" w:hAnsi="Arial Armenian"/>
      <w:lang w:val="ru-RU" w:eastAsia="ru-RU" w:bidi="ar-SA"/>
    </w:rPr>
  </w:style>
  <w:style w:type="paragraph" w:customStyle="1" w:styleId="CharChar5CharCharCharCharCharChar1">
    <w:name w:val="Char Char5 Char Char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CharChar1">
    <w:name w:val="Char Char5 Char Char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paragraph" w:customStyle="1" w:styleId="CharChar5CharChar1">
    <w:name w:val="Char Char5 Char Char1"/>
    <w:basedOn w:val="Normal"/>
    <w:rsid w:val="005150E5"/>
    <w:pPr>
      <w:tabs>
        <w:tab w:val="left" w:pos="709"/>
      </w:tabs>
      <w:spacing w:before="0" w:line="240" w:lineRule="auto"/>
      <w:ind w:firstLine="0"/>
      <w:contextualSpacing w:val="0"/>
      <w:jc w:val="left"/>
    </w:pPr>
    <w:rPr>
      <w:rFonts w:ascii="Tahoma" w:hAnsi="Tahoma"/>
      <w:b w:val="0"/>
      <w:sz w:val="24"/>
      <w:lang w:val="pl-PL" w:eastAsia="pl-PL"/>
    </w:rPr>
  </w:style>
  <w:style w:type="character" w:customStyle="1" w:styleId="CharChar61">
    <w:name w:val="Char Char61"/>
    <w:locked/>
    <w:rsid w:val="005150E5"/>
    <w:rPr>
      <w:rFonts w:ascii="Times LatArm" w:eastAsia="Calibri" w:hAnsi="Times LatArm" w:cs="Times LatArm"/>
      <w:sz w:val="22"/>
      <w:szCs w:val="22"/>
      <w:lang w:val="en-GB" w:eastAsia="en-US" w:bidi="ar-SA"/>
    </w:rPr>
  </w:style>
  <w:style w:type="character" w:customStyle="1" w:styleId="CharChar81">
    <w:name w:val="Char Char81"/>
    <w:locked/>
    <w:rsid w:val="005150E5"/>
    <w:rPr>
      <w:rFonts w:ascii="Times Armenian" w:eastAsia="Calibri" w:hAnsi="Times Armenian" w:cs="Times Armenian"/>
      <w:color w:val="993300"/>
      <w:sz w:val="22"/>
      <w:szCs w:val="22"/>
      <w:lang w:val="hy-AM" w:eastAsia="en-US" w:bidi="ar-SA"/>
    </w:rPr>
  </w:style>
  <w:style w:type="character" w:customStyle="1" w:styleId="CharChar71">
    <w:name w:val="Char Char71"/>
    <w:locked/>
    <w:rsid w:val="005150E5"/>
    <w:rPr>
      <w:rFonts w:ascii="Courier New" w:eastAsia="Calibri" w:hAnsi="Courier New" w:cs="Courier New"/>
      <w:lang w:val="en-US" w:eastAsia="en-US" w:bidi="ar-SA"/>
    </w:rPr>
  </w:style>
  <w:style w:type="character" w:customStyle="1" w:styleId="CharChar41">
    <w:name w:val="Char Char41"/>
    <w:locked/>
    <w:rsid w:val="005150E5"/>
    <w:rPr>
      <w:rFonts w:eastAsia="Calibri"/>
      <w:sz w:val="22"/>
      <w:szCs w:val="22"/>
      <w:lang w:val="en-GB" w:eastAsia="en-US" w:bidi="ar-SA"/>
    </w:rPr>
  </w:style>
  <w:style w:type="character" w:customStyle="1" w:styleId="CharChar36">
    <w:name w:val="Char Char36"/>
    <w:locked/>
    <w:rsid w:val="005150E5"/>
    <w:rPr>
      <w:rFonts w:eastAsia="Calibri"/>
      <w:sz w:val="22"/>
      <w:szCs w:val="22"/>
      <w:lang w:val="en-GB" w:eastAsia="en-US" w:bidi="ar-SA"/>
    </w:rPr>
  </w:style>
  <w:style w:type="character" w:customStyle="1" w:styleId="CharChar210">
    <w:name w:val="Char Char210"/>
    <w:locked/>
    <w:rsid w:val="005150E5"/>
    <w:rPr>
      <w:rFonts w:ascii="Times Armenian" w:eastAsia="Calibri" w:hAnsi="Times Armenian" w:cs="Times Armenian"/>
      <w:b/>
      <w:bCs/>
      <w:sz w:val="22"/>
      <w:szCs w:val="22"/>
      <w:lang w:val="en-US" w:eastAsia="en-US" w:bidi="ar-SA"/>
    </w:rPr>
  </w:style>
  <w:style w:type="table" w:customStyle="1" w:styleId="TableGrid63">
    <w:name w:val="Table Grid63"/>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
    <w:name w:val="Grid Table 1 Light - Accent 5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
    <w:name w:val="Table Grid22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150E5"/>
    <w:rPr>
      <w:color w:val="605E5C"/>
      <w:shd w:val="clear" w:color="auto" w:fill="E1DFDD"/>
    </w:rPr>
  </w:style>
  <w:style w:type="table" w:customStyle="1" w:styleId="GridTable1Light-Accent11">
    <w:name w:val="Grid Table 1 Light - Accent 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character" w:customStyle="1" w:styleId="Heading5Char2">
    <w:name w:val="Heading 5 Char2"/>
    <w:basedOn w:val="DefaultParagraphFont"/>
    <w:uiPriority w:val="9"/>
    <w:semiHidden/>
    <w:rsid w:val="005150E5"/>
    <w:rPr>
      <w:rFonts w:ascii="Calibri Light" w:eastAsia="Times New Roman" w:hAnsi="Calibri Light" w:cs="Times New Roman"/>
      <w:color w:val="2E74B5"/>
      <w:sz w:val="24"/>
      <w:szCs w:val="24"/>
    </w:rPr>
  </w:style>
  <w:style w:type="character" w:customStyle="1" w:styleId="Heading6Char2">
    <w:name w:val="Heading 6 Char2"/>
    <w:basedOn w:val="DefaultParagraphFont"/>
    <w:uiPriority w:val="9"/>
    <w:semiHidden/>
    <w:rsid w:val="005150E5"/>
    <w:rPr>
      <w:rFonts w:ascii="Calibri Light" w:eastAsia="Times New Roman" w:hAnsi="Calibri Light" w:cs="Times New Roman"/>
      <w:color w:val="1F4D78"/>
      <w:sz w:val="24"/>
      <w:szCs w:val="24"/>
    </w:rPr>
  </w:style>
  <w:style w:type="character" w:customStyle="1" w:styleId="Heading7Char2">
    <w:name w:val="Heading 7 Char2"/>
    <w:basedOn w:val="DefaultParagraphFont"/>
    <w:uiPriority w:val="9"/>
    <w:semiHidden/>
    <w:rsid w:val="005150E5"/>
    <w:rPr>
      <w:rFonts w:ascii="Calibri Light" w:eastAsia="Times New Roman" w:hAnsi="Calibri Light" w:cs="Times New Roman"/>
      <w:i/>
      <w:iCs/>
      <w:color w:val="1F4D78"/>
      <w:sz w:val="24"/>
      <w:szCs w:val="24"/>
    </w:rPr>
  </w:style>
  <w:style w:type="character" w:customStyle="1" w:styleId="Heading8Char2">
    <w:name w:val="Heading 8 Char2"/>
    <w:basedOn w:val="DefaultParagraphFont"/>
    <w:uiPriority w:val="9"/>
    <w:semiHidden/>
    <w:rsid w:val="005150E5"/>
    <w:rPr>
      <w:rFonts w:ascii="Calibri Light" w:eastAsia="Times New Roman" w:hAnsi="Calibri Light" w:cs="Times New Roman"/>
      <w:color w:val="272727"/>
      <w:sz w:val="21"/>
      <w:szCs w:val="21"/>
    </w:rPr>
  </w:style>
  <w:style w:type="character" w:customStyle="1" w:styleId="Heading9Char2">
    <w:name w:val="Heading 9 Char2"/>
    <w:basedOn w:val="DefaultParagraphFont"/>
    <w:uiPriority w:val="9"/>
    <w:semiHidden/>
    <w:rsid w:val="005150E5"/>
    <w:rPr>
      <w:rFonts w:ascii="Calibri Light" w:eastAsia="Times New Roman" w:hAnsi="Calibri Light" w:cs="Times New Roman"/>
      <w:i/>
      <w:iCs/>
      <w:color w:val="272727"/>
      <w:sz w:val="21"/>
      <w:szCs w:val="21"/>
    </w:rPr>
  </w:style>
  <w:style w:type="character" w:customStyle="1" w:styleId="BodyTextIndent3Char2">
    <w:name w:val="Body Text Indent 3 Char2"/>
    <w:basedOn w:val="DefaultParagraphFont"/>
    <w:uiPriority w:val="99"/>
    <w:rsid w:val="005150E5"/>
    <w:rPr>
      <w:rFonts w:ascii="Times New Roman" w:eastAsia="Times New Roman" w:hAnsi="Times New Roman" w:cs="Times New Roman"/>
      <w:sz w:val="16"/>
      <w:szCs w:val="16"/>
    </w:rPr>
  </w:style>
  <w:style w:type="character" w:customStyle="1" w:styleId="BodyTextIndent2Char2">
    <w:name w:val="Body Text Indent 2 Char2"/>
    <w:basedOn w:val="DefaultParagraphFont"/>
    <w:uiPriority w:val="99"/>
    <w:rsid w:val="005150E5"/>
    <w:rPr>
      <w:rFonts w:ascii="Times New Roman" w:eastAsia="Times New Roman" w:hAnsi="Times New Roman" w:cs="Times New Roman"/>
      <w:sz w:val="24"/>
      <w:szCs w:val="24"/>
    </w:rPr>
  </w:style>
  <w:style w:type="character" w:customStyle="1" w:styleId="BodyText3Char2">
    <w:name w:val="Body Text 3 Char2"/>
    <w:basedOn w:val="DefaultParagraphFont"/>
    <w:uiPriority w:val="99"/>
    <w:rsid w:val="005150E5"/>
    <w:rPr>
      <w:rFonts w:ascii="Times New Roman" w:eastAsia="Times New Roman" w:hAnsi="Times New Roman" w:cs="Times New Roman"/>
      <w:sz w:val="16"/>
      <w:szCs w:val="16"/>
    </w:rPr>
  </w:style>
  <w:style w:type="character" w:customStyle="1" w:styleId="EndnoteTextChar2">
    <w:name w:val="Endnote Text Char2"/>
    <w:basedOn w:val="DefaultParagraphFont"/>
    <w:uiPriority w:val="99"/>
    <w:rsid w:val="005150E5"/>
    <w:rPr>
      <w:rFonts w:ascii="Times New Roman" w:eastAsia="Times New Roman" w:hAnsi="Times New Roman" w:cs="Times New Roman"/>
      <w:sz w:val="20"/>
      <w:szCs w:val="20"/>
    </w:rPr>
  </w:style>
  <w:style w:type="character" w:customStyle="1" w:styleId="TitleChar2">
    <w:name w:val="Title Char2"/>
    <w:basedOn w:val="DefaultParagraphFont"/>
    <w:uiPriority w:val="10"/>
    <w:rsid w:val="005150E5"/>
    <w:rPr>
      <w:rFonts w:ascii="Calibri Light" w:eastAsia="Times New Roman" w:hAnsi="Calibri Light" w:cs="Times New Roman"/>
      <w:spacing w:val="-10"/>
      <w:kern w:val="28"/>
      <w:sz w:val="56"/>
      <w:szCs w:val="56"/>
    </w:rPr>
  </w:style>
  <w:style w:type="character" w:customStyle="1" w:styleId="PlainTextChar2">
    <w:name w:val="Plain Text Char2"/>
    <w:basedOn w:val="DefaultParagraphFont"/>
    <w:uiPriority w:val="99"/>
    <w:rsid w:val="005150E5"/>
    <w:rPr>
      <w:rFonts w:ascii="Consolas" w:eastAsia="Times New Roman" w:hAnsi="Consolas" w:cs="Times New Roman"/>
      <w:sz w:val="21"/>
      <w:szCs w:val="21"/>
    </w:rPr>
  </w:style>
  <w:style w:type="table" w:customStyle="1" w:styleId="TableList78">
    <w:name w:val="Table List 78"/>
    <w:basedOn w:val="TableNormal"/>
    <w:next w:val="TableList7"/>
    <w:uiPriority w:val="99"/>
    <w:semiHidden/>
    <w:unhideWhenUsed/>
    <w:rsid w:val="005150E5"/>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
    <w:name w:val="Table Web 38"/>
    <w:basedOn w:val="TableNormal"/>
    <w:next w:val="TableWeb3"/>
    <w:uiPriority w:val="99"/>
    <w:semiHidden/>
    <w:unhideWhenUsed/>
    <w:rsid w:val="005150E5"/>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
    <w:name w:val="Table Elegant8"/>
    <w:basedOn w:val="TableNormal"/>
    <w:next w:val="TableElegant"/>
    <w:uiPriority w:val="99"/>
    <w:semiHidden/>
    <w:unhideWhenUsed/>
    <w:rsid w:val="005150E5"/>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ubtitleChar3">
    <w:name w:val="Subtitle Char3"/>
    <w:basedOn w:val="DefaultParagraphFont"/>
    <w:uiPriority w:val="11"/>
    <w:rsid w:val="005150E5"/>
    <w:rPr>
      <w:rFonts w:eastAsia="Times New Roman"/>
      <w:color w:val="5A5A5A"/>
      <w:spacing w:val="15"/>
    </w:rPr>
  </w:style>
  <w:style w:type="table" w:customStyle="1" w:styleId="TableWeb28">
    <w:name w:val="Table Web 28"/>
    <w:basedOn w:val="TableNormal"/>
    <w:next w:val="TableWeb2"/>
    <w:uiPriority w:val="99"/>
    <w:semiHidden/>
    <w:unhideWhenUsed/>
    <w:rsid w:val="005150E5"/>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
    <w:name w:val="Table Web 18"/>
    <w:basedOn w:val="TableNormal"/>
    <w:next w:val="TableWeb1"/>
    <w:uiPriority w:val="99"/>
    <w:semiHidden/>
    <w:unhideWhenUsed/>
    <w:rsid w:val="005150E5"/>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BodyTextFirstIndentChar3">
    <w:name w:val="Body Text First Indent Char3"/>
    <w:basedOn w:val="BodyTextChar1"/>
    <w:uiPriority w:val="99"/>
    <w:rsid w:val="005150E5"/>
    <w:rPr>
      <w:rFonts w:ascii="Times New Roman" w:eastAsia="Times New Roman" w:hAnsi="Times New Roman" w:cs="Times New Roman"/>
      <w:sz w:val="24"/>
      <w:szCs w:val="24"/>
    </w:rPr>
  </w:style>
  <w:style w:type="table" w:customStyle="1" w:styleId="TableGrid88">
    <w:name w:val="Table Grid 88"/>
    <w:basedOn w:val="TableNormal"/>
    <w:next w:val="TableGrid8"/>
    <w:uiPriority w:val="99"/>
    <w:semiHidden/>
    <w:unhideWhenUsed/>
    <w:rsid w:val="005150E5"/>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
    <w:name w:val="Table Contemporary8"/>
    <w:basedOn w:val="TableNormal"/>
    <w:next w:val="TableContemporary"/>
    <w:uiPriority w:val="99"/>
    <w:semiHidden/>
    <w:unhideWhenUsed/>
    <w:rsid w:val="005150E5"/>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DocumentMapChar2">
    <w:name w:val="Document Map Char2"/>
    <w:basedOn w:val="DefaultParagraphFont"/>
    <w:uiPriority w:val="99"/>
    <w:rsid w:val="005150E5"/>
    <w:rPr>
      <w:rFonts w:ascii="Segoe UI" w:eastAsia="Times New Roman" w:hAnsi="Segoe UI" w:cs="Segoe UI"/>
      <w:sz w:val="16"/>
      <w:szCs w:val="16"/>
    </w:rPr>
  </w:style>
  <w:style w:type="character" w:customStyle="1" w:styleId="QuoteChar1">
    <w:name w:val="Quote Char1"/>
    <w:basedOn w:val="DefaultParagraphFont"/>
    <w:uiPriority w:val="29"/>
    <w:rsid w:val="005150E5"/>
    <w:rPr>
      <w:rFonts w:ascii="Times New Roman" w:eastAsia="Times New Roman" w:hAnsi="Times New Roman" w:cs="Times New Roman"/>
      <w:i/>
      <w:iCs/>
      <w:color w:val="404040"/>
      <w:sz w:val="24"/>
      <w:szCs w:val="24"/>
    </w:rPr>
  </w:style>
  <w:style w:type="table" w:customStyle="1" w:styleId="LightList-Accent127">
    <w:name w:val="Light List - Accent 127"/>
    <w:basedOn w:val="TableNormal"/>
    <w:next w:val="LightList-Accent1"/>
    <w:uiPriority w:val="61"/>
    <w:semiHidden/>
    <w:unhideWhenUsed/>
    <w:rsid w:val="005150E5"/>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
    <w:name w:val="Table Grid 78"/>
    <w:basedOn w:val="TableNormal"/>
    <w:next w:val="TableGrid7"/>
    <w:uiPriority w:val="99"/>
    <w:semiHidden/>
    <w:unhideWhenUsed/>
    <w:rsid w:val="005150E5"/>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
    <w:name w:val="Colorful Grid - Accent 19"/>
    <w:basedOn w:val="TableNormal"/>
    <w:next w:val="ColorfulGrid-Accent1"/>
    <w:uiPriority w:val="73"/>
    <w:semiHidden/>
    <w:unhideWhenUsed/>
    <w:rsid w:val="005150E5"/>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
    <w:name w:val="Light List - Accent 510"/>
    <w:basedOn w:val="TableNormal"/>
    <w:next w:val="LightList-Accent5"/>
    <w:uiPriority w:val="61"/>
    <w:semiHidden/>
    <w:unhideWhenUsed/>
    <w:rsid w:val="005150E5"/>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
    <w:name w:val="Table Simple 38"/>
    <w:basedOn w:val="TableNormal"/>
    <w:next w:val="TableSimple3"/>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
    <w:name w:val="Table Grid 58"/>
    <w:basedOn w:val="TableNormal"/>
    <w:next w:val="TableGrid5"/>
    <w:uiPriority w:val="99"/>
    <w:semiHidden/>
    <w:unhideWhenUsed/>
    <w:rsid w:val="005150E5"/>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
    <w:name w:val="Table Grid 38"/>
    <w:basedOn w:val="TableNormal"/>
    <w:next w:val="TableGrid3"/>
    <w:uiPriority w:val="99"/>
    <w:semiHidden/>
    <w:unhideWhenUsed/>
    <w:rsid w:val="005150E5"/>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0">
    <w:name w:val="Table Grid 18"/>
    <w:basedOn w:val="TableNormal"/>
    <w:next w:val="TableGrid10"/>
    <w:uiPriority w:val="99"/>
    <w:semiHidden/>
    <w:unhideWhenUsed/>
    <w:rsid w:val="005150E5"/>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
    <w:name w:val="Table Columns 58"/>
    <w:basedOn w:val="TableNormal"/>
    <w:next w:val="TableColumns5"/>
    <w:uiPriority w:val="99"/>
    <w:semiHidden/>
    <w:unhideWhenUsed/>
    <w:rsid w:val="005150E5"/>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IntenseQuoteChar1">
    <w:name w:val="Intense Quote Char1"/>
    <w:basedOn w:val="DefaultParagraphFont"/>
    <w:uiPriority w:val="30"/>
    <w:rsid w:val="005150E5"/>
    <w:rPr>
      <w:rFonts w:ascii="Times New Roman" w:eastAsia="Times New Roman" w:hAnsi="Times New Roman" w:cs="Times New Roman"/>
      <w:i/>
      <w:iCs/>
      <w:color w:val="5B9BD5"/>
      <w:sz w:val="24"/>
      <w:szCs w:val="24"/>
    </w:rPr>
  </w:style>
  <w:style w:type="table" w:customStyle="1" w:styleId="Table3Deffects38">
    <w:name w:val="Table 3D effects 38"/>
    <w:basedOn w:val="TableNormal"/>
    <w:next w:val="Table3Deffects3"/>
    <w:uiPriority w:val="99"/>
    <w:semiHidden/>
    <w:unhideWhenUsed/>
    <w:rsid w:val="005150E5"/>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z-TopofFormChar1">
    <w:name w:val="z-Top of Form Char1"/>
    <w:basedOn w:val="DefaultParagraphFont"/>
    <w:uiPriority w:val="99"/>
    <w:semiHidden/>
    <w:rsid w:val="005150E5"/>
    <w:rPr>
      <w:rFonts w:ascii="Arial" w:eastAsia="Times New Roman" w:hAnsi="Arial" w:cs="Arial"/>
      <w:vanish/>
      <w:sz w:val="16"/>
      <w:szCs w:val="16"/>
    </w:rPr>
  </w:style>
  <w:style w:type="character" w:customStyle="1" w:styleId="z-BottomofFormChar1">
    <w:name w:val="z-Bottom of Form Char1"/>
    <w:basedOn w:val="DefaultParagraphFont"/>
    <w:uiPriority w:val="99"/>
    <w:semiHidden/>
    <w:rsid w:val="005150E5"/>
    <w:rPr>
      <w:rFonts w:ascii="Arial" w:eastAsia="Times New Roman" w:hAnsi="Arial" w:cs="Arial"/>
      <w:vanish/>
      <w:sz w:val="16"/>
      <w:szCs w:val="16"/>
    </w:rPr>
  </w:style>
  <w:style w:type="character" w:customStyle="1" w:styleId="HTMLPreformattedChar1">
    <w:name w:val="HTML Preformatted Char1"/>
    <w:basedOn w:val="DefaultParagraphFont"/>
    <w:uiPriority w:val="99"/>
    <w:rsid w:val="005150E5"/>
    <w:rPr>
      <w:rFonts w:ascii="Consolas" w:eastAsia="Times New Roman" w:hAnsi="Consolas" w:cs="Times New Roman"/>
      <w:sz w:val="20"/>
      <w:szCs w:val="20"/>
    </w:rPr>
  </w:style>
  <w:style w:type="numbering" w:customStyle="1" w:styleId="NoList153">
    <w:name w:val="No List153"/>
    <w:next w:val="NoList"/>
    <w:uiPriority w:val="99"/>
    <w:semiHidden/>
    <w:unhideWhenUsed/>
    <w:rsid w:val="005150E5"/>
  </w:style>
  <w:style w:type="table" w:customStyle="1" w:styleId="TableGrid123">
    <w:name w:val="Table Grid123"/>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42">
    <w:name w:val="TOC 42"/>
    <w:basedOn w:val="Normal"/>
    <w:next w:val="Normal"/>
    <w:autoRedefine/>
    <w:uiPriority w:val="39"/>
    <w:rsid w:val="005150E5"/>
    <w:pPr>
      <w:spacing w:before="0" w:line="312" w:lineRule="auto"/>
      <w:ind w:left="660"/>
      <w:contextualSpacing w:val="0"/>
      <w:jc w:val="left"/>
    </w:pPr>
    <w:rPr>
      <w:rFonts w:ascii="Calibri" w:hAnsi="Calibri" w:cs="Calibri"/>
      <w:b w:val="0"/>
      <w:sz w:val="20"/>
      <w:szCs w:val="20"/>
      <w:lang w:val="en-US" w:eastAsia="en-US"/>
    </w:rPr>
  </w:style>
  <w:style w:type="paragraph" w:customStyle="1" w:styleId="TOC52">
    <w:name w:val="TOC 52"/>
    <w:basedOn w:val="Normal"/>
    <w:next w:val="Normal"/>
    <w:autoRedefine/>
    <w:uiPriority w:val="39"/>
    <w:rsid w:val="005150E5"/>
    <w:pPr>
      <w:spacing w:before="0" w:line="312" w:lineRule="auto"/>
      <w:ind w:left="880"/>
      <w:contextualSpacing w:val="0"/>
      <w:jc w:val="left"/>
    </w:pPr>
    <w:rPr>
      <w:rFonts w:ascii="Calibri" w:hAnsi="Calibri" w:cs="Calibri"/>
      <w:b w:val="0"/>
      <w:sz w:val="20"/>
      <w:szCs w:val="20"/>
      <w:lang w:val="en-US" w:eastAsia="en-US"/>
    </w:rPr>
  </w:style>
  <w:style w:type="paragraph" w:customStyle="1" w:styleId="TOC62">
    <w:name w:val="TOC 62"/>
    <w:basedOn w:val="Normal"/>
    <w:next w:val="Normal"/>
    <w:autoRedefine/>
    <w:uiPriority w:val="39"/>
    <w:rsid w:val="005150E5"/>
    <w:pPr>
      <w:spacing w:before="0" w:line="312" w:lineRule="auto"/>
      <w:ind w:left="1100"/>
      <w:contextualSpacing w:val="0"/>
      <w:jc w:val="left"/>
    </w:pPr>
    <w:rPr>
      <w:rFonts w:ascii="Calibri" w:hAnsi="Calibri" w:cs="Calibri"/>
      <w:b w:val="0"/>
      <w:sz w:val="20"/>
      <w:szCs w:val="20"/>
      <w:lang w:val="en-US" w:eastAsia="en-US"/>
    </w:rPr>
  </w:style>
  <w:style w:type="paragraph" w:customStyle="1" w:styleId="TOC72">
    <w:name w:val="TOC 72"/>
    <w:basedOn w:val="Normal"/>
    <w:next w:val="Normal"/>
    <w:autoRedefine/>
    <w:uiPriority w:val="39"/>
    <w:rsid w:val="005150E5"/>
    <w:pPr>
      <w:spacing w:before="0" w:line="312" w:lineRule="auto"/>
      <w:ind w:left="1320"/>
      <w:contextualSpacing w:val="0"/>
      <w:jc w:val="left"/>
    </w:pPr>
    <w:rPr>
      <w:rFonts w:ascii="Calibri" w:hAnsi="Calibri" w:cs="Calibri"/>
      <w:b w:val="0"/>
      <w:sz w:val="20"/>
      <w:szCs w:val="20"/>
      <w:lang w:val="en-US" w:eastAsia="en-US"/>
    </w:rPr>
  </w:style>
  <w:style w:type="paragraph" w:customStyle="1" w:styleId="TOC82">
    <w:name w:val="TOC 82"/>
    <w:basedOn w:val="Normal"/>
    <w:next w:val="Normal"/>
    <w:autoRedefine/>
    <w:uiPriority w:val="39"/>
    <w:rsid w:val="005150E5"/>
    <w:pPr>
      <w:spacing w:before="0" w:line="312" w:lineRule="auto"/>
      <w:ind w:left="1540"/>
      <w:contextualSpacing w:val="0"/>
      <w:jc w:val="left"/>
    </w:pPr>
    <w:rPr>
      <w:rFonts w:ascii="Calibri" w:hAnsi="Calibri" w:cs="Calibri"/>
      <w:b w:val="0"/>
      <w:sz w:val="20"/>
      <w:szCs w:val="20"/>
      <w:lang w:val="en-US" w:eastAsia="en-US"/>
    </w:rPr>
  </w:style>
  <w:style w:type="paragraph" w:customStyle="1" w:styleId="TOC92">
    <w:name w:val="TOC 92"/>
    <w:basedOn w:val="Normal"/>
    <w:next w:val="Normal"/>
    <w:autoRedefine/>
    <w:uiPriority w:val="39"/>
    <w:rsid w:val="005150E5"/>
    <w:pPr>
      <w:spacing w:before="0" w:line="312" w:lineRule="auto"/>
      <w:ind w:left="1760"/>
      <w:contextualSpacing w:val="0"/>
      <w:jc w:val="left"/>
    </w:pPr>
    <w:rPr>
      <w:rFonts w:ascii="Calibri" w:hAnsi="Calibri" w:cs="Calibri"/>
      <w:b w:val="0"/>
      <w:sz w:val="20"/>
      <w:szCs w:val="20"/>
      <w:lang w:val="en-US" w:eastAsia="en-US"/>
    </w:rPr>
  </w:style>
  <w:style w:type="table" w:customStyle="1" w:styleId="TableList723">
    <w:name w:val="Table List 723"/>
    <w:basedOn w:val="TableNormal"/>
    <w:next w:val="TableList7"/>
    <w:rsid w:val="005150E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3">
    <w:name w:val="Table Web 323"/>
    <w:basedOn w:val="TableNormal"/>
    <w:next w:val="TableWeb3"/>
    <w:rsid w:val="005150E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3">
    <w:name w:val="Table Elegant23"/>
    <w:basedOn w:val="TableNormal"/>
    <w:next w:val="TableElegant"/>
    <w:rsid w:val="005150E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3">
    <w:name w:val="Table Web 233"/>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3">
    <w:name w:val="Table Web 133"/>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3">
    <w:name w:val="Table Grid 833"/>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3">
    <w:name w:val="Table Contemporary33"/>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3">
    <w:name w:val="No List163"/>
    <w:next w:val="NoList"/>
    <w:semiHidden/>
    <w:unhideWhenUsed/>
    <w:rsid w:val="005150E5"/>
  </w:style>
  <w:style w:type="numbering" w:customStyle="1" w:styleId="NoList233">
    <w:name w:val="No List233"/>
    <w:next w:val="NoList"/>
    <w:semiHidden/>
    <w:unhideWhenUsed/>
    <w:rsid w:val="005150E5"/>
  </w:style>
  <w:style w:type="numbering" w:customStyle="1" w:styleId="NoList333">
    <w:name w:val="No List333"/>
    <w:next w:val="NoList"/>
    <w:semiHidden/>
    <w:unhideWhenUsed/>
    <w:rsid w:val="005150E5"/>
  </w:style>
  <w:style w:type="table" w:customStyle="1" w:styleId="LightList-Accent133">
    <w:name w:val="Light List - Accent 133"/>
    <w:basedOn w:val="TableNormal"/>
    <w:next w:val="LightList-Accent1"/>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3">
    <w:name w:val="Table Grid 723"/>
    <w:basedOn w:val="TableNormal"/>
    <w:next w:val="TableGrid7"/>
    <w:rsid w:val="005150E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3">
    <w:name w:val="Colorful Grid - Accent 143"/>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3">
    <w:name w:val="Light List - Accent 543"/>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3">
    <w:name w:val="Table Simple 323"/>
    <w:basedOn w:val="TableNormal"/>
    <w:next w:val="TableSimple3"/>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3">
    <w:name w:val="Table Grid 523"/>
    <w:basedOn w:val="TableNormal"/>
    <w:next w:val="TableGrid5"/>
    <w:rsid w:val="005150E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3">
    <w:name w:val="Table Grid 323"/>
    <w:basedOn w:val="TableNormal"/>
    <w:next w:val="TableGrid3"/>
    <w:rsid w:val="005150E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30">
    <w:name w:val="Table Grid 123"/>
    <w:basedOn w:val="TableNormal"/>
    <w:next w:val="TableGrid10"/>
    <w:rsid w:val="005150E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3">
    <w:name w:val="Table Columns 523"/>
    <w:basedOn w:val="TableNormal"/>
    <w:next w:val="TableColumns5"/>
    <w:rsid w:val="005150E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3">
    <w:name w:val="Light List - Accent 1123"/>
    <w:basedOn w:val="TableNormal"/>
    <w:uiPriority w:val="61"/>
    <w:rsid w:val="005150E5"/>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3">
    <w:name w:val="Нет списка143"/>
    <w:next w:val="NoList"/>
    <w:semiHidden/>
    <w:unhideWhenUsed/>
    <w:rsid w:val="005150E5"/>
  </w:style>
  <w:style w:type="table" w:customStyle="1" w:styleId="ColorfulGrid-Accent1123">
    <w:name w:val="Colorful Grid - Accent 1123"/>
    <w:basedOn w:val="TableNormal"/>
    <w:rsid w:val="005150E5"/>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3">
    <w:name w:val="Light List - Accent 5123"/>
    <w:basedOn w:val="TableNormal"/>
    <w:rsid w:val="005150E5"/>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3">
    <w:name w:val="No List433"/>
    <w:next w:val="NoList"/>
    <w:semiHidden/>
    <w:rsid w:val="005150E5"/>
  </w:style>
  <w:style w:type="numbering" w:customStyle="1" w:styleId="NoList1133">
    <w:name w:val="No List1133"/>
    <w:next w:val="NoList"/>
    <w:semiHidden/>
    <w:unhideWhenUsed/>
    <w:rsid w:val="005150E5"/>
  </w:style>
  <w:style w:type="table" w:customStyle="1" w:styleId="Table3Deffects323">
    <w:name w:val="Table 3D effects 323"/>
    <w:basedOn w:val="TableNormal"/>
    <w:next w:val="Table3Deffects3"/>
    <w:rsid w:val="005150E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NoList"/>
    <w:semiHidden/>
    <w:unhideWhenUsed/>
    <w:rsid w:val="005150E5"/>
  </w:style>
  <w:style w:type="table" w:customStyle="1" w:styleId="TableGrid133">
    <w:name w:val="Table Grid133"/>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3">
    <w:name w:val="No List523"/>
    <w:next w:val="NoList"/>
    <w:uiPriority w:val="99"/>
    <w:semiHidden/>
    <w:rsid w:val="005150E5"/>
  </w:style>
  <w:style w:type="numbering" w:customStyle="1" w:styleId="NoList621">
    <w:name w:val="No List621"/>
    <w:next w:val="NoList"/>
    <w:uiPriority w:val="99"/>
    <w:semiHidden/>
    <w:unhideWhenUsed/>
    <w:rsid w:val="005150E5"/>
  </w:style>
  <w:style w:type="table" w:customStyle="1" w:styleId="TableGrid232">
    <w:name w:val="Table Grid232"/>
    <w:basedOn w:val="TableNormal"/>
    <w:next w:val="TableGrid"/>
    <w:rsid w:val="005150E5"/>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1">
    <w:name w:val="No List721"/>
    <w:next w:val="NoList"/>
    <w:uiPriority w:val="99"/>
    <w:semiHidden/>
    <w:unhideWhenUsed/>
    <w:rsid w:val="005150E5"/>
  </w:style>
  <w:style w:type="numbering" w:customStyle="1" w:styleId="NoList1223">
    <w:name w:val="No List1223"/>
    <w:next w:val="NoList"/>
    <w:uiPriority w:val="99"/>
    <w:semiHidden/>
    <w:unhideWhenUsed/>
    <w:rsid w:val="005150E5"/>
  </w:style>
  <w:style w:type="table" w:customStyle="1" w:styleId="TableGrid3210">
    <w:name w:val="Table Grid32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
    <w:name w:val="Table Web 2121"/>
    <w:basedOn w:val="TableNormal"/>
    <w:next w:val="TableWeb2"/>
    <w:rsid w:val="005150E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
    <w:name w:val="Table Web 1121"/>
    <w:basedOn w:val="TableNormal"/>
    <w:next w:val="TableWeb1"/>
    <w:rsid w:val="005150E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
    <w:name w:val="Table Grid 8121"/>
    <w:basedOn w:val="TableNormal"/>
    <w:next w:val="TableGrid8"/>
    <w:rsid w:val="005150E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
    <w:name w:val="Table Contemporary121"/>
    <w:basedOn w:val="TableNormal"/>
    <w:next w:val="TableContemporary"/>
    <w:rsid w:val="005150E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
    <w:name w:val="Colorful Grid - Accent 1221"/>
    <w:basedOn w:val="TableNormal"/>
    <w:next w:val="ColorfulGrid-Accent1"/>
    <w:uiPriority w:val="73"/>
    <w:rsid w:val="005150E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
    <w:name w:val="Light List - Accent 5221"/>
    <w:basedOn w:val="TableNormal"/>
    <w:next w:val="LightList-Accent5"/>
    <w:uiPriority w:val="61"/>
    <w:rsid w:val="005150E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
    <w:name w:val="No List821"/>
    <w:next w:val="NoList"/>
    <w:uiPriority w:val="99"/>
    <w:semiHidden/>
    <w:unhideWhenUsed/>
    <w:rsid w:val="005150E5"/>
  </w:style>
  <w:style w:type="numbering" w:customStyle="1" w:styleId="1221">
    <w:name w:val="Нет списка1221"/>
    <w:next w:val="NoList"/>
    <w:semiHidden/>
    <w:unhideWhenUsed/>
    <w:rsid w:val="005150E5"/>
  </w:style>
  <w:style w:type="numbering" w:customStyle="1" w:styleId="NoList1321">
    <w:name w:val="No List1321"/>
    <w:next w:val="NoList"/>
    <w:semiHidden/>
    <w:unhideWhenUsed/>
    <w:rsid w:val="005150E5"/>
  </w:style>
  <w:style w:type="numbering" w:customStyle="1" w:styleId="NoList2123">
    <w:name w:val="No List2123"/>
    <w:next w:val="NoList"/>
    <w:semiHidden/>
    <w:unhideWhenUsed/>
    <w:rsid w:val="005150E5"/>
  </w:style>
  <w:style w:type="numbering" w:customStyle="1" w:styleId="NoList3123">
    <w:name w:val="No List3123"/>
    <w:next w:val="NoList"/>
    <w:semiHidden/>
    <w:unhideWhenUsed/>
    <w:rsid w:val="005150E5"/>
  </w:style>
  <w:style w:type="numbering" w:customStyle="1" w:styleId="11131">
    <w:name w:val="Нет списка11131"/>
    <w:next w:val="NoList"/>
    <w:semiHidden/>
    <w:unhideWhenUsed/>
    <w:rsid w:val="005150E5"/>
  </w:style>
  <w:style w:type="numbering" w:customStyle="1" w:styleId="NoList4121">
    <w:name w:val="No List4121"/>
    <w:next w:val="NoList"/>
    <w:semiHidden/>
    <w:rsid w:val="005150E5"/>
  </w:style>
  <w:style w:type="numbering" w:customStyle="1" w:styleId="NoList11123">
    <w:name w:val="No List11123"/>
    <w:next w:val="NoList"/>
    <w:semiHidden/>
    <w:unhideWhenUsed/>
    <w:rsid w:val="005150E5"/>
  </w:style>
  <w:style w:type="numbering" w:customStyle="1" w:styleId="111121">
    <w:name w:val="Нет списка111121"/>
    <w:next w:val="NoList"/>
    <w:semiHidden/>
    <w:unhideWhenUsed/>
    <w:rsid w:val="005150E5"/>
  </w:style>
  <w:style w:type="numbering" w:customStyle="1" w:styleId="NoList912">
    <w:name w:val="No List912"/>
    <w:next w:val="NoList"/>
    <w:uiPriority w:val="99"/>
    <w:semiHidden/>
    <w:unhideWhenUsed/>
    <w:rsid w:val="005150E5"/>
  </w:style>
  <w:style w:type="table" w:customStyle="1" w:styleId="TableGrid421">
    <w:name w:val="Table Grid421"/>
    <w:basedOn w:val="TableNormal"/>
    <w:next w:val="TableGrid"/>
    <w:rsid w:val="005150E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
    <w:name w:val="Grid Table 1 Light - Accent 512"/>
    <w:basedOn w:val="TableNormal"/>
    <w:uiPriority w:val="46"/>
    <w:rsid w:val="005150E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
    <w:name w:val="Plain Table 311"/>
    <w:basedOn w:val="TableNormal"/>
    <w:uiPriority w:val="43"/>
    <w:rsid w:val="005150E5"/>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NoList1012">
    <w:name w:val="No List1012"/>
    <w:next w:val="NoList"/>
    <w:uiPriority w:val="99"/>
    <w:semiHidden/>
    <w:unhideWhenUsed/>
    <w:rsid w:val="005150E5"/>
  </w:style>
  <w:style w:type="table" w:customStyle="1" w:styleId="TableGrid5120">
    <w:name w:val="Table Grid512"/>
    <w:basedOn w:val="TableNormal"/>
    <w:next w:val="TableGrid"/>
    <w:uiPriority w:val="39"/>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
    <w:name w:val="Table List 7121"/>
    <w:basedOn w:val="TableNormal"/>
    <w:next w:val="TableList7"/>
    <w:rsid w:val="005150E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
    <w:name w:val="Table Web 3121"/>
    <w:basedOn w:val="TableNormal"/>
    <w:next w:val="TableWeb3"/>
    <w:rsid w:val="005150E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
    <w:name w:val="Table Elegant121"/>
    <w:basedOn w:val="TableNormal"/>
    <w:next w:val="TableElegant"/>
    <w:rsid w:val="005150E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2">
    <w:name w:val="Table Web 2212"/>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2">
    <w:name w:val="Table Web 1212"/>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2">
    <w:name w:val="Table Grid 8212"/>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2">
    <w:name w:val="Table Contemporary212"/>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2">
    <w:name w:val="No List1412"/>
    <w:next w:val="NoList"/>
    <w:semiHidden/>
    <w:unhideWhenUsed/>
    <w:rsid w:val="005150E5"/>
  </w:style>
  <w:style w:type="numbering" w:customStyle="1" w:styleId="NoList2212">
    <w:name w:val="No List2212"/>
    <w:next w:val="NoList"/>
    <w:semiHidden/>
    <w:unhideWhenUsed/>
    <w:rsid w:val="005150E5"/>
  </w:style>
  <w:style w:type="numbering" w:customStyle="1" w:styleId="NoList3212">
    <w:name w:val="No List3212"/>
    <w:next w:val="NoList"/>
    <w:semiHidden/>
    <w:unhideWhenUsed/>
    <w:rsid w:val="005150E5"/>
  </w:style>
  <w:style w:type="table" w:customStyle="1" w:styleId="LightList-Accent1212">
    <w:name w:val="Light List - Accent 12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1">
    <w:name w:val="Table Grid 7121"/>
    <w:basedOn w:val="TableNormal"/>
    <w:next w:val="TableGrid7"/>
    <w:rsid w:val="005150E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2">
    <w:name w:val="Colorful Grid - Accent 1312"/>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2">
    <w:name w:val="Light List - Accent 5312"/>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1">
    <w:name w:val="Table Simple 3121"/>
    <w:basedOn w:val="TableNormal"/>
    <w:next w:val="TableSimple3"/>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
    <w:name w:val="Table Grid 5121"/>
    <w:basedOn w:val="TableNormal"/>
    <w:next w:val="TableGrid5"/>
    <w:rsid w:val="005150E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
    <w:name w:val="Table Grid 3121"/>
    <w:basedOn w:val="TableNormal"/>
    <w:next w:val="TableGrid3"/>
    <w:rsid w:val="005150E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
    <w:name w:val="Table Grid 1121"/>
    <w:basedOn w:val="TableNormal"/>
    <w:next w:val="TableGrid10"/>
    <w:rsid w:val="005150E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
    <w:name w:val="Table Columns 5121"/>
    <w:basedOn w:val="TableNormal"/>
    <w:next w:val="TableColumns5"/>
    <w:rsid w:val="005150E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2">
    <w:name w:val="Light List - Accent 11112"/>
    <w:basedOn w:val="TableNormal"/>
    <w:uiPriority w:val="61"/>
    <w:rsid w:val="005150E5"/>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2">
    <w:name w:val="Нет списка1312"/>
    <w:next w:val="NoList"/>
    <w:semiHidden/>
    <w:unhideWhenUsed/>
    <w:rsid w:val="005150E5"/>
  </w:style>
  <w:style w:type="table" w:customStyle="1" w:styleId="ColorfulGrid-Accent11112">
    <w:name w:val="Colorful Grid - Accent 11112"/>
    <w:basedOn w:val="TableNormal"/>
    <w:rsid w:val="005150E5"/>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2">
    <w:name w:val="Light List - Accent 51112"/>
    <w:basedOn w:val="TableNormal"/>
    <w:rsid w:val="005150E5"/>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2">
    <w:name w:val="No List4212"/>
    <w:next w:val="NoList"/>
    <w:semiHidden/>
    <w:rsid w:val="005150E5"/>
  </w:style>
  <w:style w:type="numbering" w:customStyle="1" w:styleId="NoList11213">
    <w:name w:val="No List11213"/>
    <w:next w:val="NoList"/>
    <w:semiHidden/>
    <w:unhideWhenUsed/>
    <w:rsid w:val="005150E5"/>
  </w:style>
  <w:style w:type="table" w:customStyle="1" w:styleId="Table3Deffects3121">
    <w:name w:val="Table 3D effects 3121"/>
    <w:basedOn w:val="TableNormal"/>
    <w:next w:val="Table3Deffects3"/>
    <w:rsid w:val="005150E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2">
    <w:name w:val="Нет списка11212"/>
    <w:next w:val="NoList"/>
    <w:semiHidden/>
    <w:unhideWhenUsed/>
    <w:rsid w:val="005150E5"/>
  </w:style>
  <w:style w:type="table" w:customStyle="1" w:styleId="TableGrid11210">
    <w:name w:val="Table Grid1121"/>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2">
    <w:name w:val="No List5112"/>
    <w:next w:val="NoList"/>
    <w:uiPriority w:val="99"/>
    <w:semiHidden/>
    <w:rsid w:val="005150E5"/>
  </w:style>
  <w:style w:type="numbering" w:customStyle="1" w:styleId="NoList6111">
    <w:name w:val="No List6111"/>
    <w:next w:val="NoList"/>
    <w:uiPriority w:val="99"/>
    <w:semiHidden/>
    <w:unhideWhenUsed/>
    <w:rsid w:val="005150E5"/>
  </w:style>
  <w:style w:type="table" w:customStyle="1" w:styleId="TableGrid2112">
    <w:name w:val="Table Grid2112"/>
    <w:basedOn w:val="TableNormal"/>
    <w:next w:val="TableGrid"/>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1">
    <w:name w:val="No List7111"/>
    <w:next w:val="NoList"/>
    <w:uiPriority w:val="99"/>
    <w:semiHidden/>
    <w:unhideWhenUsed/>
    <w:rsid w:val="005150E5"/>
  </w:style>
  <w:style w:type="numbering" w:customStyle="1" w:styleId="NoList12112">
    <w:name w:val="No List12112"/>
    <w:next w:val="NoList"/>
    <w:uiPriority w:val="99"/>
    <w:semiHidden/>
    <w:unhideWhenUsed/>
    <w:rsid w:val="005150E5"/>
  </w:style>
  <w:style w:type="table" w:customStyle="1" w:styleId="TableGrid31110">
    <w:name w:val="Table Grid3111"/>
    <w:basedOn w:val="TableNormal"/>
    <w:next w:val="TableGrid"/>
    <w:rsid w:val="005150E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
    <w:name w:val="Table Web 21111"/>
    <w:basedOn w:val="TableNormal"/>
    <w:next w:val="TableWeb2"/>
    <w:rsid w:val="005150E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
    <w:name w:val="Table Web 11111"/>
    <w:basedOn w:val="TableNormal"/>
    <w:next w:val="TableWeb1"/>
    <w:rsid w:val="005150E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
    <w:name w:val="Table Grid 81111"/>
    <w:basedOn w:val="TableNormal"/>
    <w:next w:val="TableGrid8"/>
    <w:rsid w:val="005150E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
    <w:name w:val="Table Contemporary1111"/>
    <w:basedOn w:val="TableNormal"/>
    <w:next w:val="TableContemporary"/>
    <w:rsid w:val="005150E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
    <w:name w:val="Colorful Grid - Accent 12111"/>
    <w:basedOn w:val="TableNormal"/>
    <w:next w:val="ColorfulGrid-Accent1"/>
    <w:uiPriority w:val="73"/>
    <w:rsid w:val="005150E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
    <w:name w:val="Light List - Accent 52111"/>
    <w:basedOn w:val="TableNormal"/>
    <w:next w:val="LightList-Accent5"/>
    <w:uiPriority w:val="61"/>
    <w:rsid w:val="005150E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
    <w:name w:val="No List8111"/>
    <w:next w:val="NoList"/>
    <w:uiPriority w:val="99"/>
    <w:semiHidden/>
    <w:unhideWhenUsed/>
    <w:rsid w:val="005150E5"/>
  </w:style>
  <w:style w:type="numbering" w:customStyle="1" w:styleId="12111">
    <w:name w:val="Нет списка12111"/>
    <w:next w:val="NoList"/>
    <w:semiHidden/>
    <w:unhideWhenUsed/>
    <w:rsid w:val="005150E5"/>
  </w:style>
  <w:style w:type="numbering" w:customStyle="1" w:styleId="NoList13111">
    <w:name w:val="No List13111"/>
    <w:next w:val="NoList"/>
    <w:semiHidden/>
    <w:unhideWhenUsed/>
    <w:rsid w:val="005150E5"/>
  </w:style>
  <w:style w:type="numbering" w:customStyle="1" w:styleId="NoList21112">
    <w:name w:val="No List21112"/>
    <w:next w:val="NoList"/>
    <w:semiHidden/>
    <w:unhideWhenUsed/>
    <w:rsid w:val="005150E5"/>
  </w:style>
  <w:style w:type="numbering" w:customStyle="1" w:styleId="NoList31112">
    <w:name w:val="No List31112"/>
    <w:next w:val="NoList"/>
    <w:semiHidden/>
    <w:unhideWhenUsed/>
    <w:rsid w:val="005150E5"/>
  </w:style>
  <w:style w:type="numbering" w:customStyle="1" w:styleId="111211">
    <w:name w:val="Нет списка111211"/>
    <w:next w:val="NoList"/>
    <w:semiHidden/>
    <w:unhideWhenUsed/>
    <w:rsid w:val="005150E5"/>
  </w:style>
  <w:style w:type="numbering" w:customStyle="1" w:styleId="NoList41111">
    <w:name w:val="No List41111"/>
    <w:next w:val="NoList"/>
    <w:semiHidden/>
    <w:rsid w:val="005150E5"/>
  </w:style>
  <w:style w:type="numbering" w:customStyle="1" w:styleId="NoList111123">
    <w:name w:val="No List111123"/>
    <w:next w:val="NoList"/>
    <w:semiHidden/>
    <w:unhideWhenUsed/>
    <w:rsid w:val="005150E5"/>
  </w:style>
  <w:style w:type="numbering" w:customStyle="1" w:styleId="1111111">
    <w:name w:val="Нет списка1111111"/>
    <w:next w:val="NoList"/>
    <w:semiHidden/>
    <w:unhideWhenUsed/>
    <w:rsid w:val="005150E5"/>
  </w:style>
  <w:style w:type="table" w:customStyle="1" w:styleId="TableGrid612">
    <w:name w:val="Table Grid612"/>
    <w:basedOn w:val="TableNormal"/>
    <w:next w:val="TableGrid"/>
    <w:uiPriority w:val="39"/>
    <w:rsid w:val="005150E5"/>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
    <w:name w:val="Grid Table 1 Light - Accent 5111"/>
    <w:basedOn w:val="TableNormal"/>
    <w:uiPriority w:val="46"/>
    <w:rsid w:val="005150E5"/>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2">
    <w:name w:val="Table Grid2212"/>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
    <w:name w:val="Grid Table 1 Light - Accent 111"/>
    <w:basedOn w:val="TableNormal"/>
    <w:uiPriority w:val="46"/>
    <w:rsid w:val="005150E5"/>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2">
    <w:name w:val="Table Grid14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
    <w:basedOn w:val="TableNormal"/>
    <w:next w:val="TableGrid"/>
    <w:uiPriority w:val="39"/>
    <w:rsid w:val="005150E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5150E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
    <w:name w:val="Table Grid11131"/>
    <w:basedOn w:val="TableNormal"/>
    <w:next w:val="TableGrid"/>
    <w:uiPriority w:val="39"/>
    <w:rsid w:val="005150E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MediumGrid3-Accent1">
    <w:name w:val="Medium Grid 3 Accent 1"/>
    <w:basedOn w:val="TableNormal"/>
    <w:uiPriority w:val="69"/>
    <w:unhideWhenUsed/>
    <w:rsid w:val="005150E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stTable7Colorful-Accent11">
    <w:name w:val="List Table 7 Colorful - Accent 11"/>
    <w:basedOn w:val="TableNormal"/>
    <w:uiPriority w:val="52"/>
    <w:rsid w:val="001E3933"/>
    <w:rPr>
      <w:rFonts w:asciiTheme="minorHAnsi" w:eastAsiaTheme="minorHAnsi" w:hAnsiTheme="minorHAnsi" w:cstheme="minorBidi"/>
      <w:color w:val="365F91" w:themeColor="accent1"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57">
    <w:name w:val="No List57"/>
    <w:next w:val="NoList"/>
    <w:semiHidden/>
    <w:rsid w:val="00A00B8B"/>
  </w:style>
  <w:style w:type="paragraph" w:customStyle="1" w:styleId="DefaultParagraphFontParaChar">
    <w:name w:val="Default Paragraph Font Para Char"/>
    <w:basedOn w:val="Normal"/>
    <w:locked/>
    <w:rsid w:val="00A00B8B"/>
    <w:pPr>
      <w:spacing w:before="0" w:after="160" w:line="240" w:lineRule="auto"/>
      <w:ind w:firstLine="0"/>
      <w:contextualSpacing w:val="0"/>
      <w:jc w:val="left"/>
    </w:pPr>
    <w:rPr>
      <w:rFonts w:ascii="Verdana" w:eastAsia="Batang" w:hAnsi="Verdana" w:cs="Verdana"/>
      <w:b w:val="0"/>
      <w:sz w:val="24"/>
      <w:lang w:val="en-GB" w:eastAsia="en-US"/>
    </w:rPr>
  </w:style>
  <w:style w:type="table" w:customStyle="1" w:styleId="TableGrid300">
    <w:name w:val="Table Grid30"/>
    <w:basedOn w:val="TableNormal"/>
    <w:next w:val="TableGrid"/>
    <w:rsid w:val="00A00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Ամփոփոթերթ"/>
    <w:basedOn w:val="Normal"/>
    <w:rsid w:val="00A00B8B"/>
    <w:pPr>
      <w:framePr w:wrap="around" w:vAnchor="text" w:hAnchor="text" w:y="1"/>
      <w:numPr>
        <w:numId w:val="29"/>
      </w:numPr>
      <w:spacing w:before="0" w:line="240" w:lineRule="auto"/>
      <w:contextualSpacing w:val="0"/>
      <w:jc w:val="left"/>
    </w:pPr>
    <w:rPr>
      <w:rFonts w:ascii="Sylfaen" w:hAnsi="Sylfaen" w:cs="Sylfaen"/>
      <w:b w:val="0"/>
      <w:szCs w:val="22"/>
      <w:lang w:val="en-US" w:eastAsia="en-US"/>
    </w:rPr>
  </w:style>
  <w:style w:type="paragraph" w:customStyle="1" w:styleId="GHM">
    <w:name w:val="GHM"/>
    <w:rsid w:val="00A00B8B"/>
    <w:rPr>
      <w:rFonts w:ascii="GHEA Mariam" w:hAnsi="GHEA Mariam"/>
      <w:sz w:val="24"/>
      <w:szCs w:val="24"/>
      <w:lang w:val="hy-AM"/>
    </w:rPr>
  </w:style>
  <w:style w:type="paragraph" w:customStyle="1" w:styleId="Charb">
    <w:name w:val="Char"/>
    <w:basedOn w:val="Normal"/>
    <w:locked/>
    <w:rsid w:val="00A00B8B"/>
    <w:pPr>
      <w:spacing w:before="0" w:after="160" w:line="240" w:lineRule="auto"/>
      <w:ind w:firstLine="0"/>
      <w:contextualSpacing w:val="0"/>
      <w:jc w:val="left"/>
    </w:pPr>
    <w:rPr>
      <w:rFonts w:ascii="Verdana" w:eastAsia="Batang" w:hAnsi="Verdana" w:cs="Verdana"/>
      <w:b w:val="0"/>
      <w:sz w:val="24"/>
      <w:lang w:val="en-GB"/>
    </w:rPr>
  </w:style>
  <w:style w:type="table" w:customStyle="1" w:styleId="TableGrid340">
    <w:name w:val="Table Grid34"/>
    <w:basedOn w:val="TableNormal"/>
    <w:next w:val="TableGrid"/>
    <w:uiPriority w:val="39"/>
    <w:rsid w:val="00836C0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4E12E8"/>
  </w:style>
  <w:style w:type="table" w:customStyle="1" w:styleId="TableGrid350">
    <w:name w:val="Table Grid35"/>
    <w:basedOn w:val="TableNormal"/>
    <w:next w:val="TableGrid"/>
    <w:uiPriority w:val="39"/>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9">
    <w:name w:val="Table List 79"/>
    <w:basedOn w:val="TableNormal"/>
    <w:next w:val="TableList7"/>
    <w:rsid w:val="004E12E8"/>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9">
    <w:name w:val="Table Web 39"/>
    <w:basedOn w:val="TableNormal"/>
    <w:next w:val="TableWeb3"/>
    <w:rsid w:val="004E12E8"/>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9">
    <w:name w:val="Table Elegant9"/>
    <w:basedOn w:val="TableNormal"/>
    <w:next w:val="TableElegant"/>
    <w:rsid w:val="004E12E8"/>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9">
    <w:name w:val="Table Web 29"/>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9">
    <w:name w:val="Table Web 19"/>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9">
    <w:name w:val="Table Grid 89"/>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9">
    <w:name w:val="Table Contemporary9"/>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34">
    <w:name w:val="No List134"/>
    <w:next w:val="NoList"/>
    <w:semiHidden/>
    <w:unhideWhenUsed/>
    <w:rsid w:val="004E12E8"/>
  </w:style>
  <w:style w:type="numbering" w:customStyle="1" w:styleId="NoList218">
    <w:name w:val="No List218"/>
    <w:next w:val="NoList"/>
    <w:semiHidden/>
    <w:unhideWhenUsed/>
    <w:rsid w:val="004E12E8"/>
  </w:style>
  <w:style w:type="numbering" w:customStyle="1" w:styleId="NoList317">
    <w:name w:val="No List317"/>
    <w:next w:val="NoList"/>
    <w:semiHidden/>
    <w:unhideWhenUsed/>
    <w:rsid w:val="004E12E8"/>
  </w:style>
  <w:style w:type="table" w:customStyle="1" w:styleId="LightList-Accent128">
    <w:name w:val="Light List - Accent 128"/>
    <w:basedOn w:val="TableNormal"/>
    <w:next w:val="LightList-Accent1"/>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9">
    <w:name w:val="Table Grid 79"/>
    <w:basedOn w:val="TableNormal"/>
    <w:next w:val="TableGrid7"/>
    <w:rsid w:val="004E12E8"/>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0">
    <w:name w:val="Colorful Grid - Accent 110"/>
    <w:basedOn w:val="TableNormal"/>
    <w:next w:val="ColorfulGrid-Accent1"/>
    <w:uiPriority w:val="73"/>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9">
    <w:name w:val="Light List - Accent 519"/>
    <w:basedOn w:val="TableNormal"/>
    <w:next w:val="LightList-Accent5"/>
    <w:uiPriority w:val="61"/>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9">
    <w:name w:val="Table Simple 39"/>
    <w:basedOn w:val="TableNormal"/>
    <w:next w:val="TableSimple3"/>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9">
    <w:name w:val="Table Grid 59"/>
    <w:basedOn w:val="TableNormal"/>
    <w:next w:val="TableGrid5"/>
    <w:rsid w:val="004E12E8"/>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9">
    <w:name w:val="Table Grid 39"/>
    <w:basedOn w:val="TableNormal"/>
    <w:next w:val="TableGrid3"/>
    <w:rsid w:val="004E12E8"/>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90">
    <w:name w:val="Table Grid 19"/>
    <w:basedOn w:val="TableNormal"/>
    <w:next w:val="TableGrid10"/>
    <w:rsid w:val="004E12E8"/>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9">
    <w:name w:val="Table Columns 59"/>
    <w:basedOn w:val="TableNormal"/>
    <w:next w:val="TableColumns5"/>
    <w:rsid w:val="004E12E8"/>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5">
    <w:name w:val="Light List - Accent 1115"/>
    <w:basedOn w:val="TableNormal"/>
    <w:uiPriority w:val="61"/>
    <w:rsid w:val="004E12E8"/>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100">
    <w:name w:val="Нет списка110"/>
    <w:next w:val="NoList"/>
    <w:semiHidden/>
    <w:unhideWhenUsed/>
    <w:rsid w:val="004E12E8"/>
  </w:style>
  <w:style w:type="table" w:customStyle="1" w:styleId="ColorfulGrid-Accent119">
    <w:name w:val="Colorful Grid - Accent 119"/>
    <w:basedOn w:val="TableNormal"/>
    <w:rsid w:val="004E12E8"/>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0">
    <w:name w:val="Light List - Accent 5110"/>
    <w:basedOn w:val="TableNormal"/>
    <w:rsid w:val="004E12E8"/>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5">
    <w:name w:val="No List415"/>
    <w:next w:val="NoList"/>
    <w:semiHidden/>
    <w:rsid w:val="004E12E8"/>
  </w:style>
  <w:style w:type="numbering" w:customStyle="1" w:styleId="NoList1126">
    <w:name w:val="No List1126"/>
    <w:next w:val="NoList"/>
    <w:semiHidden/>
    <w:unhideWhenUsed/>
    <w:rsid w:val="004E12E8"/>
  </w:style>
  <w:style w:type="table" w:customStyle="1" w:styleId="Table3Deffects39">
    <w:name w:val="Table 3D effects 39"/>
    <w:basedOn w:val="TableNormal"/>
    <w:next w:val="Table3Deffects3"/>
    <w:rsid w:val="004E12E8"/>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
    <w:name w:val="Нет списка119"/>
    <w:next w:val="NoList"/>
    <w:semiHidden/>
    <w:unhideWhenUsed/>
    <w:rsid w:val="004E12E8"/>
  </w:style>
  <w:style w:type="table" w:customStyle="1" w:styleId="TableGrid116">
    <w:name w:val="Table Grid116"/>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9">
    <w:name w:val="No List59"/>
    <w:next w:val="NoList"/>
    <w:uiPriority w:val="99"/>
    <w:semiHidden/>
    <w:rsid w:val="004E12E8"/>
  </w:style>
  <w:style w:type="numbering" w:customStyle="1" w:styleId="NoList64">
    <w:name w:val="No List64"/>
    <w:next w:val="NoList"/>
    <w:uiPriority w:val="99"/>
    <w:semiHidden/>
    <w:unhideWhenUsed/>
    <w:rsid w:val="004E12E8"/>
  </w:style>
  <w:style w:type="table" w:customStyle="1" w:styleId="TableGrid214">
    <w:name w:val="Table Grid214"/>
    <w:basedOn w:val="TableNormal"/>
    <w:next w:val="TableGrid"/>
    <w:rsid w:val="004E12E8"/>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4">
    <w:name w:val="No List74"/>
    <w:next w:val="NoList"/>
    <w:uiPriority w:val="99"/>
    <w:semiHidden/>
    <w:unhideWhenUsed/>
    <w:rsid w:val="004E12E8"/>
  </w:style>
  <w:style w:type="numbering" w:customStyle="1" w:styleId="NoList1214">
    <w:name w:val="No List1214"/>
    <w:next w:val="NoList"/>
    <w:uiPriority w:val="99"/>
    <w:semiHidden/>
    <w:unhideWhenUsed/>
    <w:rsid w:val="004E12E8"/>
  </w:style>
  <w:style w:type="table" w:customStyle="1" w:styleId="TableGrid360">
    <w:name w:val="Table Grid36"/>
    <w:basedOn w:val="TableNormal"/>
    <w:next w:val="TableGrid"/>
    <w:rsid w:val="004E12E8"/>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4">
    <w:name w:val="Table Web 214"/>
    <w:basedOn w:val="TableNormal"/>
    <w:next w:val="TableWeb2"/>
    <w:rsid w:val="004E12E8"/>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4">
    <w:name w:val="Table Web 114"/>
    <w:basedOn w:val="TableNormal"/>
    <w:next w:val="TableWeb1"/>
    <w:rsid w:val="004E12E8"/>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4">
    <w:name w:val="Table Grid 814"/>
    <w:basedOn w:val="TableNormal"/>
    <w:next w:val="TableGrid8"/>
    <w:rsid w:val="004E12E8"/>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4">
    <w:name w:val="Table Contemporary14"/>
    <w:basedOn w:val="TableNormal"/>
    <w:next w:val="TableContemporary"/>
    <w:rsid w:val="004E12E8"/>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4">
    <w:name w:val="Colorful Grid - Accent 124"/>
    <w:basedOn w:val="TableNormal"/>
    <w:next w:val="ColorfulGrid-Accent1"/>
    <w:rsid w:val="004E12E8"/>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4">
    <w:name w:val="Light List - Accent 524"/>
    <w:basedOn w:val="TableNormal"/>
    <w:next w:val="LightList-Accent5"/>
    <w:rsid w:val="004E12E8"/>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4">
    <w:name w:val="No List84"/>
    <w:next w:val="NoList"/>
    <w:uiPriority w:val="99"/>
    <w:semiHidden/>
    <w:unhideWhenUsed/>
    <w:rsid w:val="004E12E8"/>
  </w:style>
  <w:style w:type="numbering" w:customStyle="1" w:styleId="1240">
    <w:name w:val="Нет списка124"/>
    <w:next w:val="NoList"/>
    <w:uiPriority w:val="99"/>
    <w:semiHidden/>
    <w:unhideWhenUsed/>
    <w:rsid w:val="004E12E8"/>
  </w:style>
  <w:style w:type="numbering" w:customStyle="1" w:styleId="NoList135">
    <w:name w:val="No List135"/>
    <w:next w:val="NoList"/>
    <w:semiHidden/>
    <w:unhideWhenUsed/>
    <w:rsid w:val="004E12E8"/>
  </w:style>
  <w:style w:type="numbering" w:customStyle="1" w:styleId="NoList219">
    <w:name w:val="No List219"/>
    <w:next w:val="NoList"/>
    <w:semiHidden/>
    <w:unhideWhenUsed/>
    <w:rsid w:val="004E12E8"/>
  </w:style>
  <w:style w:type="numbering" w:customStyle="1" w:styleId="NoList318">
    <w:name w:val="No List318"/>
    <w:next w:val="NoList"/>
    <w:semiHidden/>
    <w:unhideWhenUsed/>
    <w:rsid w:val="004E12E8"/>
  </w:style>
  <w:style w:type="numbering" w:customStyle="1" w:styleId="1114">
    <w:name w:val="Нет списка1114"/>
    <w:next w:val="NoList"/>
    <w:semiHidden/>
    <w:unhideWhenUsed/>
    <w:rsid w:val="004E12E8"/>
  </w:style>
  <w:style w:type="numbering" w:customStyle="1" w:styleId="NoList416">
    <w:name w:val="No List416"/>
    <w:next w:val="NoList"/>
    <w:semiHidden/>
    <w:rsid w:val="004E12E8"/>
  </w:style>
  <w:style w:type="numbering" w:customStyle="1" w:styleId="NoList11117">
    <w:name w:val="No List11117"/>
    <w:next w:val="NoList"/>
    <w:semiHidden/>
    <w:unhideWhenUsed/>
    <w:rsid w:val="004E12E8"/>
  </w:style>
  <w:style w:type="numbering" w:customStyle="1" w:styleId="11113">
    <w:name w:val="Нет списка11113"/>
    <w:next w:val="NoList"/>
    <w:semiHidden/>
    <w:unhideWhenUsed/>
    <w:rsid w:val="004E12E8"/>
  </w:style>
  <w:style w:type="numbering" w:customStyle="1" w:styleId="NoList94">
    <w:name w:val="No List94"/>
    <w:next w:val="NoList"/>
    <w:uiPriority w:val="99"/>
    <w:semiHidden/>
    <w:unhideWhenUsed/>
    <w:rsid w:val="004E12E8"/>
  </w:style>
  <w:style w:type="table" w:customStyle="1" w:styleId="TableGrid44">
    <w:name w:val="Table Grid44"/>
    <w:basedOn w:val="TableNormal"/>
    <w:next w:val="TableGrid"/>
    <w:uiPriority w:val="39"/>
    <w:rsid w:val="004E12E8"/>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3">
    <w:name w:val="Grid Table 1 Light - Accent 513"/>
    <w:basedOn w:val="TableNormal"/>
    <w:uiPriority w:val="46"/>
    <w:rsid w:val="004E12E8"/>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2">
    <w:name w:val="Plain Table 312"/>
    <w:basedOn w:val="TableNormal"/>
    <w:uiPriority w:val="43"/>
    <w:rsid w:val="004E12E8"/>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2">
    <w:name w:val="Grid Table 4 - Accent 112"/>
    <w:basedOn w:val="TableNormal"/>
    <w:uiPriority w:val="49"/>
    <w:rsid w:val="004E12E8"/>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4">
    <w:name w:val="No List104"/>
    <w:next w:val="NoList"/>
    <w:uiPriority w:val="99"/>
    <w:semiHidden/>
    <w:unhideWhenUsed/>
    <w:rsid w:val="004E12E8"/>
  </w:style>
  <w:style w:type="table" w:customStyle="1" w:styleId="TableGrid540">
    <w:name w:val="Table Grid54"/>
    <w:basedOn w:val="TableNormal"/>
    <w:next w:val="TableGrid"/>
    <w:uiPriority w:val="39"/>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4">
    <w:name w:val="Table List 714"/>
    <w:basedOn w:val="TableNormal"/>
    <w:next w:val="TableList7"/>
    <w:rsid w:val="004E12E8"/>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4">
    <w:name w:val="Table Web 314"/>
    <w:basedOn w:val="TableNormal"/>
    <w:next w:val="TableWeb3"/>
    <w:rsid w:val="004E12E8"/>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4">
    <w:name w:val="Table Elegant14"/>
    <w:basedOn w:val="TableNormal"/>
    <w:next w:val="TableElegant"/>
    <w:rsid w:val="004E12E8"/>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4">
    <w:name w:val="Table Web 224"/>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4">
    <w:name w:val="Table Web 124"/>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4">
    <w:name w:val="Table Grid 824"/>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4">
    <w:name w:val="Table Contemporary24"/>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4">
    <w:name w:val="No List144"/>
    <w:next w:val="NoList"/>
    <w:semiHidden/>
    <w:unhideWhenUsed/>
    <w:rsid w:val="004E12E8"/>
  </w:style>
  <w:style w:type="numbering" w:customStyle="1" w:styleId="NoList224">
    <w:name w:val="No List224"/>
    <w:next w:val="NoList"/>
    <w:semiHidden/>
    <w:unhideWhenUsed/>
    <w:rsid w:val="004E12E8"/>
  </w:style>
  <w:style w:type="numbering" w:customStyle="1" w:styleId="NoList324">
    <w:name w:val="No List324"/>
    <w:next w:val="NoList"/>
    <w:semiHidden/>
    <w:unhideWhenUsed/>
    <w:rsid w:val="004E12E8"/>
  </w:style>
  <w:style w:type="table" w:customStyle="1" w:styleId="LightList-Accent129">
    <w:name w:val="Light List - Accent 129"/>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4">
    <w:name w:val="Table Grid 714"/>
    <w:basedOn w:val="TableNormal"/>
    <w:next w:val="TableGrid7"/>
    <w:rsid w:val="004E12E8"/>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4">
    <w:name w:val="Colorful Grid - Accent 134"/>
    <w:basedOn w:val="TableNormal"/>
    <w:next w:val="ColorfulGrid-Accent1"/>
    <w:uiPriority w:val="73"/>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4">
    <w:name w:val="Light List - Accent 534"/>
    <w:basedOn w:val="TableNormal"/>
    <w:next w:val="LightList-Accent5"/>
    <w:uiPriority w:val="61"/>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4">
    <w:name w:val="Table Simple 314"/>
    <w:basedOn w:val="TableNormal"/>
    <w:next w:val="TableSimple3"/>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4">
    <w:name w:val="Table Grid 514"/>
    <w:basedOn w:val="TableNormal"/>
    <w:next w:val="TableGrid5"/>
    <w:rsid w:val="004E12E8"/>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4">
    <w:name w:val="Table Grid 314"/>
    <w:basedOn w:val="TableNormal"/>
    <w:next w:val="TableGrid3"/>
    <w:rsid w:val="004E12E8"/>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40">
    <w:name w:val="Table Grid 114"/>
    <w:basedOn w:val="TableNormal"/>
    <w:next w:val="TableGrid10"/>
    <w:rsid w:val="004E12E8"/>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4">
    <w:name w:val="Table Columns 514"/>
    <w:basedOn w:val="TableNormal"/>
    <w:next w:val="TableColumns5"/>
    <w:rsid w:val="004E12E8"/>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6">
    <w:name w:val="Light List - Accent 1116"/>
    <w:basedOn w:val="TableNormal"/>
    <w:uiPriority w:val="61"/>
    <w:rsid w:val="004E12E8"/>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4">
    <w:name w:val="Нет списка134"/>
    <w:next w:val="NoList"/>
    <w:semiHidden/>
    <w:unhideWhenUsed/>
    <w:rsid w:val="004E12E8"/>
  </w:style>
  <w:style w:type="table" w:customStyle="1" w:styleId="ColorfulGrid-Accent1114">
    <w:name w:val="Colorful Grid - Accent 1114"/>
    <w:basedOn w:val="TableNormal"/>
    <w:rsid w:val="004E12E8"/>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4">
    <w:name w:val="Light List - Accent 5114"/>
    <w:basedOn w:val="TableNormal"/>
    <w:rsid w:val="004E12E8"/>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4">
    <w:name w:val="No List424"/>
    <w:next w:val="NoList"/>
    <w:semiHidden/>
    <w:rsid w:val="004E12E8"/>
  </w:style>
  <w:style w:type="numbering" w:customStyle="1" w:styleId="NoList1127">
    <w:name w:val="No List1127"/>
    <w:next w:val="NoList"/>
    <w:semiHidden/>
    <w:unhideWhenUsed/>
    <w:rsid w:val="004E12E8"/>
  </w:style>
  <w:style w:type="table" w:customStyle="1" w:styleId="Table3Deffects314">
    <w:name w:val="Table 3D effects 314"/>
    <w:basedOn w:val="TableNormal"/>
    <w:next w:val="Table3Deffects3"/>
    <w:rsid w:val="004E12E8"/>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NoList"/>
    <w:semiHidden/>
    <w:unhideWhenUsed/>
    <w:rsid w:val="004E12E8"/>
  </w:style>
  <w:style w:type="table" w:customStyle="1" w:styleId="TableGrid117">
    <w:name w:val="Table Grid117"/>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4">
    <w:name w:val="No List514"/>
    <w:next w:val="NoList"/>
    <w:uiPriority w:val="99"/>
    <w:semiHidden/>
    <w:rsid w:val="004E12E8"/>
  </w:style>
  <w:style w:type="numbering" w:customStyle="1" w:styleId="NoList613">
    <w:name w:val="No List613"/>
    <w:next w:val="NoList"/>
    <w:uiPriority w:val="99"/>
    <w:semiHidden/>
    <w:unhideWhenUsed/>
    <w:rsid w:val="004E12E8"/>
  </w:style>
  <w:style w:type="table" w:customStyle="1" w:styleId="TableGrid215">
    <w:name w:val="Table Grid215"/>
    <w:basedOn w:val="TableNormal"/>
    <w:next w:val="TableGrid"/>
    <w:rsid w:val="004E12E8"/>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3">
    <w:name w:val="No List713"/>
    <w:next w:val="NoList"/>
    <w:uiPriority w:val="99"/>
    <w:semiHidden/>
    <w:unhideWhenUsed/>
    <w:rsid w:val="004E12E8"/>
  </w:style>
  <w:style w:type="numbering" w:customStyle="1" w:styleId="NoList1215">
    <w:name w:val="No List1215"/>
    <w:next w:val="NoList"/>
    <w:uiPriority w:val="99"/>
    <w:semiHidden/>
    <w:unhideWhenUsed/>
    <w:rsid w:val="004E12E8"/>
  </w:style>
  <w:style w:type="table" w:customStyle="1" w:styleId="TableGrid3130">
    <w:name w:val="Table Grid313"/>
    <w:basedOn w:val="TableNormal"/>
    <w:next w:val="TableGrid"/>
    <w:rsid w:val="004E12E8"/>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3">
    <w:name w:val="Table Web 2113"/>
    <w:basedOn w:val="TableNormal"/>
    <w:next w:val="TableWeb2"/>
    <w:rsid w:val="004E12E8"/>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3">
    <w:name w:val="Table Web 1113"/>
    <w:basedOn w:val="TableNormal"/>
    <w:next w:val="TableWeb1"/>
    <w:rsid w:val="004E12E8"/>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3">
    <w:name w:val="Table Grid 8113"/>
    <w:basedOn w:val="TableNormal"/>
    <w:next w:val="TableGrid8"/>
    <w:rsid w:val="004E12E8"/>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3">
    <w:name w:val="Table Contemporary113"/>
    <w:basedOn w:val="TableNormal"/>
    <w:next w:val="TableContemporary"/>
    <w:rsid w:val="004E12E8"/>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3">
    <w:name w:val="Colorful Grid - Accent 1213"/>
    <w:basedOn w:val="TableNormal"/>
    <w:next w:val="ColorfulGrid-Accent1"/>
    <w:rsid w:val="004E12E8"/>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3">
    <w:name w:val="Light List - Accent 5213"/>
    <w:basedOn w:val="TableNormal"/>
    <w:next w:val="LightList-Accent5"/>
    <w:rsid w:val="004E12E8"/>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3">
    <w:name w:val="No List813"/>
    <w:next w:val="NoList"/>
    <w:uiPriority w:val="99"/>
    <w:semiHidden/>
    <w:unhideWhenUsed/>
    <w:rsid w:val="004E12E8"/>
  </w:style>
  <w:style w:type="numbering" w:customStyle="1" w:styleId="1213">
    <w:name w:val="Нет списка1213"/>
    <w:next w:val="NoList"/>
    <w:uiPriority w:val="99"/>
    <w:semiHidden/>
    <w:unhideWhenUsed/>
    <w:rsid w:val="004E12E8"/>
  </w:style>
  <w:style w:type="numbering" w:customStyle="1" w:styleId="NoList1313">
    <w:name w:val="No List1313"/>
    <w:next w:val="NoList"/>
    <w:semiHidden/>
    <w:unhideWhenUsed/>
    <w:rsid w:val="004E12E8"/>
  </w:style>
  <w:style w:type="numbering" w:customStyle="1" w:styleId="NoList2114">
    <w:name w:val="No List2114"/>
    <w:next w:val="NoList"/>
    <w:semiHidden/>
    <w:unhideWhenUsed/>
    <w:rsid w:val="004E12E8"/>
  </w:style>
  <w:style w:type="numbering" w:customStyle="1" w:styleId="NoList3114">
    <w:name w:val="No List3114"/>
    <w:next w:val="NoList"/>
    <w:semiHidden/>
    <w:unhideWhenUsed/>
    <w:rsid w:val="004E12E8"/>
  </w:style>
  <w:style w:type="numbering" w:customStyle="1" w:styleId="11122">
    <w:name w:val="Нет списка11122"/>
    <w:next w:val="NoList"/>
    <w:semiHidden/>
    <w:unhideWhenUsed/>
    <w:rsid w:val="004E12E8"/>
  </w:style>
  <w:style w:type="numbering" w:customStyle="1" w:styleId="NoList4113">
    <w:name w:val="No List4113"/>
    <w:next w:val="NoList"/>
    <w:semiHidden/>
    <w:rsid w:val="004E12E8"/>
  </w:style>
  <w:style w:type="numbering" w:customStyle="1" w:styleId="NoList11118">
    <w:name w:val="No List11118"/>
    <w:next w:val="NoList"/>
    <w:semiHidden/>
    <w:unhideWhenUsed/>
    <w:rsid w:val="004E12E8"/>
  </w:style>
  <w:style w:type="numbering" w:customStyle="1" w:styleId="111112">
    <w:name w:val="Нет списка111112"/>
    <w:next w:val="NoList"/>
    <w:semiHidden/>
    <w:unhideWhenUsed/>
    <w:rsid w:val="004E12E8"/>
  </w:style>
  <w:style w:type="table" w:customStyle="1" w:styleId="TableGrid64">
    <w:name w:val="Table Grid64"/>
    <w:basedOn w:val="TableNormal"/>
    <w:next w:val="TableGrid"/>
    <w:uiPriority w:val="39"/>
    <w:rsid w:val="004E12E8"/>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2">
    <w:name w:val="Grid Table 1 Light - Accent 5112"/>
    <w:basedOn w:val="TableNormal"/>
    <w:uiPriority w:val="46"/>
    <w:rsid w:val="004E12E8"/>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4">
    <w:name w:val="Table Grid224"/>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0">
    <w:name w:val="Table Grid74"/>
    <w:basedOn w:val="TableNormal"/>
    <w:next w:val="TableGrid"/>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 Grid8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39"/>
    <w:rsid w:val="004E12E8"/>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
    <w:name w:val="Grid Table 1 Light - Accent 112"/>
    <w:basedOn w:val="TableNormal"/>
    <w:uiPriority w:val="46"/>
    <w:rsid w:val="004E12E8"/>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1Light-Accent51111">
    <w:name w:val="Grid Table 1 Light - Accent 51111"/>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3">
    <w:name w:val="Table Grid22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
    <w:name w:val="Table Grid4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uiPriority w:val="99"/>
    <w:semiHidden/>
    <w:unhideWhenUsed/>
    <w:rsid w:val="009032E3"/>
  </w:style>
  <w:style w:type="table" w:customStyle="1" w:styleId="TableGrid370">
    <w:name w:val="Table Grid37"/>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2">
    <w:name w:val="Medium Grid 3 - Accent 12"/>
    <w:basedOn w:val="TableNormal"/>
    <w:next w:val="MediumGrid3-Accent1"/>
    <w:uiPriority w:val="69"/>
    <w:rsid w:val="009032E3"/>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6">
    <w:name w:val="No List136"/>
    <w:next w:val="NoList"/>
    <w:uiPriority w:val="99"/>
    <w:semiHidden/>
    <w:unhideWhenUsed/>
    <w:rsid w:val="009032E3"/>
  </w:style>
  <w:style w:type="table" w:customStyle="1" w:styleId="TableGrid118">
    <w:name w:val="Table Grid118"/>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5">
    <w:name w:val="Table List 715"/>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5">
    <w:name w:val="Table Web 315"/>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5">
    <w:name w:val="Table Elegant15"/>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5">
    <w:name w:val="Table Web 215"/>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5">
    <w:name w:val="Table Web 115"/>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5">
    <w:name w:val="Table Grid 815"/>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5">
    <w:name w:val="Table Contemporary15"/>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8">
    <w:name w:val="No List1128"/>
    <w:next w:val="NoList"/>
    <w:semiHidden/>
    <w:unhideWhenUsed/>
    <w:rsid w:val="009032E3"/>
  </w:style>
  <w:style w:type="numbering" w:customStyle="1" w:styleId="NoList220">
    <w:name w:val="No List220"/>
    <w:next w:val="NoList"/>
    <w:semiHidden/>
    <w:unhideWhenUsed/>
    <w:rsid w:val="009032E3"/>
  </w:style>
  <w:style w:type="numbering" w:customStyle="1" w:styleId="NoList319">
    <w:name w:val="No List319"/>
    <w:next w:val="NoList"/>
    <w:semiHidden/>
    <w:unhideWhenUsed/>
    <w:rsid w:val="009032E3"/>
  </w:style>
  <w:style w:type="table" w:customStyle="1" w:styleId="LightList-Accent1117">
    <w:name w:val="Light List - Accent 1117"/>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5">
    <w:name w:val="Table Grid 715"/>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10">
    <w:name w:val="Colorful Grid - Accent 1110"/>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5">
    <w:name w:val="Light List - Accent 511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5">
    <w:name w:val="Table Simple 315"/>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5">
    <w:name w:val="Table Grid 515"/>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5">
    <w:name w:val="Table Grid 315"/>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50">
    <w:name w:val="Table Grid 115"/>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5">
    <w:name w:val="Table Columns 515"/>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200">
    <w:name w:val="Нет списка120"/>
    <w:next w:val="NoList"/>
    <w:semiHidden/>
    <w:unhideWhenUsed/>
    <w:rsid w:val="009032E3"/>
  </w:style>
  <w:style w:type="numbering" w:customStyle="1" w:styleId="NoList417">
    <w:name w:val="No List417"/>
    <w:next w:val="NoList"/>
    <w:semiHidden/>
    <w:rsid w:val="009032E3"/>
  </w:style>
  <w:style w:type="numbering" w:customStyle="1" w:styleId="NoList11119">
    <w:name w:val="No List11119"/>
    <w:next w:val="NoList"/>
    <w:semiHidden/>
    <w:unhideWhenUsed/>
    <w:rsid w:val="009032E3"/>
  </w:style>
  <w:style w:type="table" w:customStyle="1" w:styleId="Table3Deffects315">
    <w:name w:val="Table 3D effects 315"/>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NoList"/>
    <w:semiHidden/>
    <w:unhideWhenUsed/>
    <w:rsid w:val="009032E3"/>
  </w:style>
  <w:style w:type="table" w:customStyle="1" w:styleId="TableGrid119">
    <w:name w:val="Table Grid119"/>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0">
    <w:name w:val="No List510"/>
    <w:next w:val="NoList"/>
    <w:uiPriority w:val="99"/>
    <w:semiHidden/>
    <w:rsid w:val="009032E3"/>
  </w:style>
  <w:style w:type="numbering" w:customStyle="1" w:styleId="NoList65">
    <w:name w:val="No List65"/>
    <w:next w:val="NoList"/>
    <w:uiPriority w:val="99"/>
    <w:semiHidden/>
    <w:unhideWhenUsed/>
    <w:rsid w:val="009032E3"/>
  </w:style>
  <w:style w:type="table" w:customStyle="1" w:styleId="TableGrid216">
    <w:name w:val="Table Grid216"/>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5">
    <w:name w:val="No List75"/>
    <w:next w:val="NoList"/>
    <w:uiPriority w:val="99"/>
    <w:semiHidden/>
    <w:unhideWhenUsed/>
    <w:rsid w:val="009032E3"/>
  </w:style>
  <w:style w:type="numbering" w:customStyle="1" w:styleId="NoList1216">
    <w:name w:val="No List1216"/>
    <w:next w:val="NoList"/>
    <w:uiPriority w:val="99"/>
    <w:semiHidden/>
    <w:unhideWhenUsed/>
    <w:rsid w:val="009032E3"/>
  </w:style>
  <w:style w:type="table" w:customStyle="1" w:styleId="TableGrid380">
    <w:name w:val="Table Grid38"/>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5">
    <w:name w:val="Colorful Grid - Accent 125"/>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5">
    <w:name w:val="Light List - Accent 525"/>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5">
    <w:name w:val="No List85"/>
    <w:next w:val="NoList"/>
    <w:uiPriority w:val="99"/>
    <w:semiHidden/>
    <w:unhideWhenUsed/>
    <w:rsid w:val="009032E3"/>
  </w:style>
  <w:style w:type="numbering" w:customStyle="1" w:styleId="125">
    <w:name w:val="Нет списка125"/>
    <w:next w:val="NoList"/>
    <w:uiPriority w:val="99"/>
    <w:semiHidden/>
    <w:unhideWhenUsed/>
    <w:rsid w:val="009032E3"/>
  </w:style>
  <w:style w:type="numbering" w:customStyle="1" w:styleId="NoList137">
    <w:name w:val="No List137"/>
    <w:next w:val="NoList"/>
    <w:semiHidden/>
    <w:unhideWhenUsed/>
    <w:rsid w:val="009032E3"/>
  </w:style>
  <w:style w:type="numbering" w:customStyle="1" w:styleId="NoList2110">
    <w:name w:val="No List2110"/>
    <w:next w:val="NoList"/>
    <w:semiHidden/>
    <w:unhideWhenUsed/>
    <w:rsid w:val="009032E3"/>
  </w:style>
  <w:style w:type="numbering" w:customStyle="1" w:styleId="NoList3110">
    <w:name w:val="No List3110"/>
    <w:next w:val="NoList"/>
    <w:semiHidden/>
    <w:unhideWhenUsed/>
    <w:rsid w:val="009032E3"/>
  </w:style>
  <w:style w:type="numbering" w:customStyle="1" w:styleId="1115">
    <w:name w:val="Нет списка1115"/>
    <w:next w:val="NoList"/>
    <w:semiHidden/>
    <w:unhideWhenUsed/>
    <w:rsid w:val="009032E3"/>
  </w:style>
  <w:style w:type="numbering" w:customStyle="1" w:styleId="NoList418">
    <w:name w:val="No List418"/>
    <w:next w:val="NoList"/>
    <w:semiHidden/>
    <w:rsid w:val="009032E3"/>
  </w:style>
  <w:style w:type="numbering" w:customStyle="1" w:styleId="NoList111110">
    <w:name w:val="No List111110"/>
    <w:next w:val="NoList"/>
    <w:semiHidden/>
    <w:unhideWhenUsed/>
    <w:rsid w:val="009032E3"/>
  </w:style>
  <w:style w:type="numbering" w:customStyle="1" w:styleId="11114">
    <w:name w:val="Нет списка11114"/>
    <w:next w:val="NoList"/>
    <w:semiHidden/>
    <w:unhideWhenUsed/>
    <w:rsid w:val="009032E3"/>
  </w:style>
  <w:style w:type="numbering" w:customStyle="1" w:styleId="NoList95">
    <w:name w:val="No List95"/>
    <w:next w:val="NoList"/>
    <w:uiPriority w:val="99"/>
    <w:semiHidden/>
    <w:unhideWhenUsed/>
    <w:rsid w:val="009032E3"/>
  </w:style>
  <w:style w:type="table" w:customStyle="1" w:styleId="TableGrid45">
    <w:name w:val="Table Grid45"/>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4">
    <w:name w:val="Grid Table 1 Light - Accent 514"/>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3">
    <w:name w:val="Plain Table 313"/>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3">
    <w:name w:val="Grid Table 4 - Accent 113"/>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5">
    <w:name w:val="No List105"/>
    <w:next w:val="NoList"/>
    <w:uiPriority w:val="99"/>
    <w:semiHidden/>
    <w:unhideWhenUsed/>
    <w:rsid w:val="009032E3"/>
  </w:style>
  <w:style w:type="table" w:customStyle="1" w:styleId="TableGrid550">
    <w:name w:val="Table Grid55"/>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3">
    <w:name w:val="Table List 7113"/>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3">
    <w:name w:val="Table Web 3113"/>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3">
    <w:name w:val="Table Elegant113"/>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5">
    <w:name w:val="Table Web 225"/>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5">
    <w:name w:val="Table Web 125"/>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5">
    <w:name w:val="Table Grid 825"/>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5">
    <w:name w:val="Table Contemporary25"/>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5">
    <w:name w:val="No List145"/>
    <w:next w:val="NoList"/>
    <w:semiHidden/>
    <w:unhideWhenUsed/>
    <w:rsid w:val="009032E3"/>
  </w:style>
  <w:style w:type="numbering" w:customStyle="1" w:styleId="NoList225">
    <w:name w:val="No List225"/>
    <w:next w:val="NoList"/>
    <w:semiHidden/>
    <w:unhideWhenUsed/>
    <w:rsid w:val="009032E3"/>
  </w:style>
  <w:style w:type="numbering" w:customStyle="1" w:styleId="NoList325">
    <w:name w:val="No List325"/>
    <w:next w:val="NoList"/>
    <w:semiHidden/>
    <w:unhideWhenUsed/>
    <w:rsid w:val="009032E3"/>
  </w:style>
  <w:style w:type="table" w:customStyle="1" w:styleId="LightList-Accent1210">
    <w:name w:val="Light List - Accent 1210"/>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3">
    <w:name w:val="Table Grid 7113"/>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5">
    <w:name w:val="Colorful Grid - Accent 135"/>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5">
    <w:name w:val="Light List - Accent 535"/>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3">
    <w:name w:val="Table Simple 3113"/>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3">
    <w:name w:val="Table Grid 5113"/>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3">
    <w:name w:val="Table Grid 3113"/>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30">
    <w:name w:val="Table Grid 1113"/>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3">
    <w:name w:val="Table Columns 5113"/>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8">
    <w:name w:val="Light List - Accent 1118"/>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5">
    <w:name w:val="Нет списка135"/>
    <w:next w:val="NoList"/>
    <w:semiHidden/>
    <w:unhideWhenUsed/>
    <w:rsid w:val="009032E3"/>
  </w:style>
  <w:style w:type="table" w:customStyle="1" w:styleId="ColorfulGrid-Accent1115">
    <w:name w:val="Colorful Grid - Accent 1115"/>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6">
    <w:name w:val="Light List - Accent 5116"/>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5">
    <w:name w:val="No List425"/>
    <w:next w:val="NoList"/>
    <w:semiHidden/>
    <w:rsid w:val="009032E3"/>
  </w:style>
  <w:style w:type="numbering" w:customStyle="1" w:styleId="NoList1129">
    <w:name w:val="No List1129"/>
    <w:next w:val="NoList"/>
    <w:semiHidden/>
    <w:unhideWhenUsed/>
    <w:rsid w:val="009032E3"/>
  </w:style>
  <w:style w:type="table" w:customStyle="1" w:styleId="Table3Deffects3113">
    <w:name w:val="Table 3D effects 3113"/>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5">
    <w:name w:val="Нет списка1125"/>
    <w:next w:val="NoList"/>
    <w:semiHidden/>
    <w:unhideWhenUsed/>
    <w:rsid w:val="009032E3"/>
  </w:style>
  <w:style w:type="table" w:customStyle="1" w:styleId="TableGrid1115">
    <w:name w:val="Table Grid1115"/>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5">
    <w:name w:val="No List515"/>
    <w:next w:val="NoList"/>
    <w:uiPriority w:val="99"/>
    <w:semiHidden/>
    <w:rsid w:val="009032E3"/>
  </w:style>
  <w:style w:type="numbering" w:customStyle="1" w:styleId="NoList614">
    <w:name w:val="No List614"/>
    <w:next w:val="NoList"/>
    <w:uiPriority w:val="99"/>
    <w:semiHidden/>
    <w:unhideWhenUsed/>
    <w:rsid w:val="009032E3"/>
  </w:style>
  <w:style w:type="table" w:customStyle="1" w:styleId="TableGrid217">
    <w:name w:val="Table Grid217"/>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4">
    <w:name w:val="No List714"/>
    <w:next w:val="NoList"/>
    <w:uiPriority w:val="99"/>
    <w:semiHidden/>
    <w:unhideWhenUsed/>
    <w:rsid w:val="009032E3"/>
  </w:style>
  <w:style w:type="numbering" w:customStyle="1" w:styleId="NoList1217">
    <w:name w:val="No List1217"/>
    <w:next w:val="NoList"/>
    <w:uiPriority w:val="99"/>
    <w:semiHidden/>
    <w:unhideWhenUsed/>
    <w:rsid w:val="009032E3"/>
  </w:style>
  <w:style w:type="table" w:customStyle="1" w:styleId="TableGrid3140">
    <w:name w:val="Table Grid314"/>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4">
    <w:name w:val="Table Web 2114"/>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4">
    <w:name w:val="Table Web 1114"/>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4">
    <w:name w:val="Table Grid 8114"/>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4">
    <w:name w:val="Table Contemporary114"/>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4">
    <w:name w:val="Colorful Grid - Accent 1214"/>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4">
    <w:name w:val="Light List - Accent 5214"/>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4">
    <w:name w:val="No List814"/>
    <w:next w:val="NoList"/>
    <w:uiPriority w:val="99"/>
    <w:semiHidden/>
    <w:unhideWhenUsed/>
    <w:rsid w:val="009032E3"/>
  </w:style>
  <w:style w:type="numbering" w:customStyle="1" w:styleId="1214">
    <w:name w:val="Нет списка1214"/>
    <w:next w:val="NoList"/>
    <w:uiPriority w:val="99"/>
    <w:semiHidden/>
    <w:unhideWhenUsed/>
    <w:rsid w:val="009032E3"/>
  </w:style>
  <w:style w:type="numbering" w:customStyle="1" w:styleId="NoList1314">
    <w:name w:val="No List1314"/>
    <w:next w:val="NoList"/>
    <w:semiHidden/>
    <w:unhideWhenUsed/>
    <w:rsid w:val="009032E3"/>
  </w:style>
  <w:style w:type="numbering" w:customStyle="1" w:styleId="NoList2115">
    <w:name w:val="No List2115"/>
    <w:next w:val="NoList"/>
    <w:semiHidden/>
    <w:unhideWhenUsed/>
    <w:rsid w:val="009032E3"/>
  </w:style>
  <w:style w:type="numbering" w:customStyle="1" w:styleId="NoList3115">
    <w:name w:val="No List3115"/>
    <w:next w:val="NoList"/>
    <w:semiHidden/>
    <w:unhideWhenUsed/>
    <w:rsid w:val="009032E3"/>
  </w:style>
  <w:style w:type="numbering" w:customStyle="1" w:styleId="11123">
    <w:name w:val="Нет списка11123"/>
    <w:next w:val="NoList"/>
    <w:semiHidden/>
    <w:unhideWhenUsed/>
    <w:rsid w:val="009032E3"/>
  </w:style>
  <w:style w:type="numbering" w:customStyle="1" w:styleId="NoList4114">
    <w:name w:val="No List4114"/>
    <w:next w:val="NoList"/>
    <w:semiHidden/>
    <w:rsid w:val="009032E3"/>
  </w:style>
  <w:style w:type="numbering" w:customStyle="1" w:styleId="NoList111114">
    <w:name w:val="No List111114"/>
    <w:next w:val="NoList"/>
    <w:semiHidden/>
    <w:unhideWhenUsed/>
    <w:rsid w:val="009032E3"/>
  </w:style>
  <w:style w:type="numbering" w:customStyle="1" w:styleId="111113">
    <w:name w:val="Нет списка111113"/>
    <w:next w:val="NoList"/>
    <w:semiHidden/>
    <w:unhideWhenUsed/>
    <w:rsid w:val="009032E3"/>
  </w:style>
  <w:style w:type="table" w:customStyle="1" w:styleId="TableGrid65">
    <w:name w:val="Table Grid65"/>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3">
    <w:name w:val="Grid Table 1 Light - Accent 5113"/>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5">
    <w:name w:val="Table Grid22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0">
    <w:name w:val="Table Grid75"/>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 Grid8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3">
    <w:name w:val="Grid Table 1 Light - Accent 113"/>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10">
    <w:name w:val="Table List 710"/>
    <w:basedOn w:val="TableNormal"/>
    <w:next w:val="TableList7"/>
    <w:uiPriority w:val="99"/>
    <w:semiHidden/>
    <w:unhideWhenUsed/>
    <w:rsid w:val="009032E3"/>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0">
    <w:name w:val="Table Web 310"/>
    <w:basedOn w:val="TableNormal"/>
    <w:next w:val="TableWeb3"/>
    <w:uiPriority w:val="99"/>
    <w:semiHidden/>
    <w:unhideWhenUsed/>
    <w:rsid w:val="009032E3"/>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0">
    <w:name w:val="Table Elegant10"/>
    <w:basedOn w:val="TableNormal"/>
    <w:next w:val="TableElegant"/>
    <w:uiPriority w:val="99"/>
    <w:semiHidden/>
    <w:unhideWhenUsed/>
    <w:rsid w:val="009032E3"/>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0">
    <w:name w:val="Table Web 210"/>
    <w:basedOn w:val="TableNormal"/>
    <w:next w:val="TableWeb2"/>
    <w:uiPriority w:val="99"/>
    <w:semiHidden/>
    <w:unhideWhenUsed/>
    <w:rsid w:val="009032E3"/>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0">
    <w:name w:val="Table Web 110"/>
    <w:basedOn w:val="TableNormal"/>
    <w:next w:val="TableWeb1"/>
    <w:uiPriority w:val="99"/>
    <w:semiHidden/>
    <w:unhideWhenUsed/>
    <w:rsid w:val="009032E3"/>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00">
    <w:name w:val="Table Grid 810"/>
    <w:basedOn w:val="TableNormal"/>
    <w:next w:val="TableGrid8"/>
    <w:uiPriority w:val="99"/>
    <w:semiHidden/>
    <w:unhideWhenUsed/>
    <w:rsid w:val="009032E3"/>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0">
    <w:name w:val="Table Contemporary10"/>
    <w:basedOn w:val="TableNormal"/>
    <w:next w:val="TableContemporary"/>
    <w:uiPriority w:val="99"/>
    <w:semiHidden/>
    <w:unhideWhenUsed/>
    <w:rsid w:val="009032E3"/>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0">
    <w:name w:val="Light List - Accent 130"/>
    <w:basedOn w:val="TableNormal"/>
    <w:next w:val="LightList-Accent1"/>
    <w:uiPriority w:val="61"/>
    <w:semiHidden/>
    <w:unhideWhenUsed/>
    <w:rsid w:val="009032E3"/>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100">
    <w:name w:val="Table Grid 710"/>
    <w:basedOn w:val="TableNormal"/>
    <w:next w:val="TableGrid7"/>
    <w:uiPriority w:val="99"/>
    <w:semiHidden/>
    <w:unhideWhenUsed/>
    <w:rsid w:val="009032E3"/>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0">
    <w:name w:val="Colorful Grid - Accent 120"/>
    <w:basedOn w:val="TableNormal"/>
    <w:next w:val="ColorfulGrid-Accent1"/>
    <w:uiPriority w:val="73"/>
    <w:semiHidden/>
    <w:unhideWhenUsed/>
    <w:rsid w:val="009032E3"/>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20">
    <w:name w:val="Light List - Accent 520"/>
    <w:basedOn w:val="TableNormal"/>
    <w:next w:val="LightList-Accent5"/>
    <w:uiPriority w:val="61"/>
    <w:semiHidden/>
    <w:unhideWhenUsed/>
    <w:rsid w:val="009032E3"/>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10">
    <w:name w:val="Table Simple 310"/>
    <w:basedOn w:val="TableNormal"/>
    <w:next w:val="TableSimple3"/>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00">
    <w:name w:val="Table Grid 510"/>
    <w:basedOn w:val="TableNormal"/>
    <w:next w:val="TableGrid5"/>
    <w:uiPriority w:val="99"/>
    <w:semiHidden/>
    <w:unhideWhenUsed/>
    <w:rsid w:val="009032E3"/>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00">
    <w:name w:val="Table Grid 310"/>
    <w:basedOn w:val="TableNormal"/>
    <w:next w:val="TableGrid3"/>
    <w:uiPriority w:val="99"/>
    <w:semiHidden/>
    <w:unhideWhenUsed/>
    <w:rsid w:val="009032E3"/>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02">
    <w:name w:val="Table Grid 110"/>
    <w:basedOn w:val="TableNormal"/>
    <w:next w:val="TableGrid10"/>
    <w:uiPriority w:val="99"/>
    <w:semiHidden/>
    <w:unhideWhenUsed/>
    <w:rsid w:val="009032E3"/>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0">
    <w:name w:val="Table Columns 510"/>
    <w:basedOn w:val="TableNormal"/>
    <w:next w:val="TableColumns5"/>
    <w:uiPriority w:val="99"/>
    <w:semiHidden/>
    <w:unhideWhenUsed/>
    <w:rsid w:val="009032E3"/>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0">
    <w:name w:val="Table 3D effects 310"/>
    <w:basedOn w:val="TableNormal"/>
    <w:next w:val="Table3Deffects3"/>
    <w:uiPriority w:val="99"/>
    <w:semiHidden/>
    <w:unhideWhenUsed/>
    <w:rsid w:val="009032E3"/>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4">
    <w:name w:val="No List154"/>
    <w:next w:val="NoList"/>
    <w:uiPriority w:val="99"/>
    <w:semiHidden/>
    <w:unhideWhenUsed/>
    <w:rsid w:val="009032E3"/>
  </w:style>
  <w:style w:type="table" w:customStyle="1" w:styleId="TableGrid124">
    <w:name w:val="Table Grid124"/>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4">
    <w:name w:val="Table List 724"/>
    <w:basedOn w:val="TableNormal"/>
    <w:next w:val="TableList7"/>
    <w:rsid w:val="009032E3"/>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4">
    <w:name w:val="Table Web 324"/>
    <w:basedOn w:val="TableNormal"/>
    <w:next w:val="TableWeb3"/>
    <w:rsid w:val="009032E3"/>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4">
    <w:name w:val="Table Elegant24"/>
    <w:basedOn w:val="TableNormal"/>
    <w:next w:val="TableElegant"/>
    <w:rsid w:val="009032E3"/>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4">
    <w:name w:val="Table Web 234"/>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4">
    <w:name w:val="Table Web 134"/>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4">
    <w:name w:val="Table Grid 834"/>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4">
    <w:name w:val="Table Contemporary34"/>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64">
    <w:name w:val="No List164"/>
    <w:next w:val="NoList"/>
    <w:semiHidden/>
    <w:unhideWhenUsed/>
    <w:rsid w:val="009032E3"/>
  </w:style>
  <w:style w:type="numbering" w:customStyle="1" w:styleId="NoList234">
    <w:name w:val="No List234"/>
    <w:next w:val="NoList"/>
    <w:semiHidden/>
    <w:unhideWhenUsed/>
    <w:rsid w:val="009032E3"/>
  </w:style>
  <w:style w:type="numbering" w:customStyle="1" w:styleId="NoList334">
    <w:name w:val="No List334"/>
    <w:next w:val="NoList"/>
    <w:semiHidden/>
    <w:unhideWhenUsed/>
    <w:rsid w:val="009032E3"/>
  </w:style>
  <w:style w:type="table" w:customStyle="1" w:styleId="LightList-Accent134">
    <w:name w:val="Light List - Accent 134"/>
    <w:basedOn w:val="TableNormal"/>
    <w:next w:val="LightList-Accent1"/>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4">
    <w:name w:val="Table Grid 724"/>
    <w:basedOn w:val="TableNormal"/>
    <w:next w:val="TableGrid7"/>
    <w:rsid w:val="009032E3"/>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4">
    <w:name w:val="Colorful Grid - Accent 144"/>
    <w:basedOn w:val="TableNormal"/>
    <w:next w:val="ColorfulGrid-Accent1"/>
    <w:uiPriority w:val="73"/>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4">
    <w:name w:val="Light List - Accent 544"/>
    <w:basedOn w:val="TableNormal"/>
    <w:next w:val="LightList-Accent5"/>
    <w:uiPriority w:val="61"/>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4">
    <w:name w:val="Table Simple 324"/>
    <w:basedOn w:val="TableNormal"/>
    <w:next w:val="TableSimple3"/>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4">
    <w:name w:val="Table Grid 524"/>
    <w:basedOn w:val="TableNormal"/>
    <w:next w:val="TableGrid5"/>
    <w:rsid w:val="009032E3"/>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4">
    <w:name w:val="Table Grid 324"/>
    <w:basedOn w:val="TableNormal"/>
    <w:next w:val="TableGrid3"/>
    <w:rsid w:val="009032E3"/>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40">
    <w:name w:val="Table Grid 124"/>
    <w:basedOn w:val="TableNormal"/>
    <w:next w:val="TableGrid10"/>
    <w:rsid w:val="009032E3"/>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4">
    <w:name w:val="Table Columns 524"/>
    <w:basedOn w:val="TableNormal"/>
    <w:next w:val="TableColumns5"/>
    <w:rsid w:val="009032E3"/>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4">
    <w:name w:val="Light List - Accent 1124"/>
    <w:basedOn w:val="TableNormal"/>
    <w:uiPriority w:val="61"/>
    <w:rsid w:val="009032E3"/>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4">
    <w:name w:val="Нет списка144"/>
    <w:next w:val="NoList"/>
    <w:semiHidden/>
    <w:unhideWhenUsed/>
    <w:rsid w:val="009032E3"/>
  </w:style>
  <w:style w:type="table" w:customStyle="1" w:styleId="ColorfulGrid-Accent1124">
    <w:name w:val="Colorful Grid - Accent 1124"/>
    <w:basedOn w:val="TableNormal"/>
    <w:rsid w:val="009032E3"/>
    <w:pPr>
      <w:spacing w:after="200" w:line="276" w:lineRule="auto"/>
    </w:pPr>
    <w:rPr>
      <w:rFonts w:ascii="Calibri" w:hAnsi="Calibri"/>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4">
    <w:name w:val="Light List - Accent 5124"/>
    <w:basedOn w:val="TableNormal"/>
    <w:rsid w:val="009032E3"/>
    <w:pPr>
      <w:spacing w:after="200" w:line="276" w:lineRule="auto"/>
    </w:pPr>
    <w:rPr>
      <w:rFonts w:ascii="Calibri" w:hAnsi="Calibri"/>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4">
    <w:name w:val="No List434"/>
    <w:next w:val="NoList"/>
    <w:semiHidden/>
    <w:rsid w:val="009032E3"/>
  </w:style>
  <w:style w:type="numbering" w:customStyle="1" w:styleId="NoList1134">
    <w:name w:val="No List1134"/>
    <w:next w:val="NoList"/>
    <w:semiHidden/>
    <w:unhideWhenUsed/>
    <w:rsid w:val="009032E3"/>
  </w:style>
  <w:style w:type="table" w:customStyle="1" w:styleId="Table3Deffects324">
    <w:name w:val="Table 3D effects 324"/>
    <w:basedOn w:val="TableNormal"/>
    <w:next w:val="Table3Deffects3"/>
    <w:rsid w:val="009032E3"/>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NoList"/>
    <w:semiHidden/>
    <w:unhideWhenUsed/>
    <w:rsid w:val="009032E3"/>
  </w:style>
  <w:style w:type="table" w:customStyle="1" w:styleId="TableGrid134">
    <w:name w:val="Table Grid134"/>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24">
    <w:name w:val="No List524"/>
    <w:next w:val="NoList"/>
    <w:uiPriority w:val="99"/>
    <w:semiHidden/>
    <w:rsid w:val="009032E3"/>
  </w:style>
  <w:style w:type="numbering" w:customStyle="1" w:styleId="NoList622">
    <w:name w:val="No List622"/>
    <w:next w:val="NoList"/>
    <w:uiPriority w:val="99"/>
    <w:semiHidden/>
    <w:unhideWhenUsed/>
    <w:rsid w:val="009032E3"/>
  </w:style>
  <w:style w:type="table" w:customStyle="1" w:styleId="TableGrid233">
    <w:name w:val="Table Grid233"/>
    <w:basedOn w:val="TableNormal"/>
    <w:next w:val="TableGrid"/>
    <w:rsid w:val="009032E3"/>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22">
    <w:name w:val="No List722"/>
    <w:next w:val="NoList"/>
    <w:uiPriority w:val="99"/>
    <w:semiHidden/>
    <w:unhideWhenUsed/>
    <w:rsid w:val="009032E3"/>
  </w:style>
  <w:style w:type="numbering" w:customStyle="1" w:styleId="NoList1224">
    <w:name w:val="No List1224"/>
    <w:next w:val="NoList"/>
    <w:uiPriority w:val="99"/>
    <w:semiHidden/>
    <w:unhideWhenUsed/>
    <w:rsid w:val="009032E3"/>
  </w:style>
  <w:style w:type="table" w:customStyle="1" w:styleId="TableGrid3220">
    <w:name w:val="Table Grid322"/>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2">
    <w:name w:val="Table Web 2122"/>
    <w:basedOn w:val="TableNormal"/>
    <w:next w:val="TableWeb2"/>
    <w:rsid w:val="009032E3"/>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2">
    <w:name w:val="Table Web 1122"/>
    <w:basedOn w:val="TableNormal"/>
    <w:next w:val="TableWeb1"/>
    <w:rsid w:val="009032E3"/>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2">
    <w:name w:val="Table Grid 8122"/>
    <w:basedOn w:val="TableNormal"/>
    <w:next w:val="TableGrid8"/>
    <w:rsid w:val="009032E3"/>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2">
    <w:name w:val="Table Contemporary122"/>
    <w:basedOn w:val="TableNormal"/>
    <w:next w:val="TableContemporary"/>
    <w:rsid w:val="009032E3"/>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2">
    <w:name w:val="Colorful Grid - Accent 1222"/>
    <w:basedOn w:val="TableNormal"/>
    <w:next w:val="ColorfulGrid-Accent1"/>
    <w:rsid w:val="009032E3"/>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2">
    <w:name w:val="Light List - Accent 5222"/>
    <w:basedOn w:val="TableNormal"/>
    <w:next w:val="LightList-Accent5"/>
    <w:rsid w:val="009032E3"/>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2">
    <w:name w:val="No List822"/>
    <w:next w:val="NoList"/>
    <w:uiPriority w:val="99"/>
    <w:semiHidden/>
    <w:unhideWhenUsed/>
    <w:rsid w:val="009032E3"/>
  </w:style>
  <w:style w:type="numbering" w:customStyle="1" w:styleId="1222">
    <w:name w:val="Нет списка1222"/>
    <w:next w:val="NoList"/>
    <w:uiPriority w:val="99"/>
    <w:semiHidden/>
    <w:unhideWhenUsed/>
    <w:rsid w:val="009032E3"/>
  </w:style>
  <w:style w:type="numbering" w:customStyle="1" w:styleId="NoList1322">
    <w:name w:val="No List1322"/>
    <w:next w:val="NoList"/>
    <w:semiHidden/>
    <w:unhideWhenUsed/>
    <w:rsid w:val="009032E3"/>
  </w:style>
  <w:style w:type="numbering" w:customStyle="1" w:styleId="NoList2124">
    <w:name w:val="No List2124"/>
    <w:next w:val="NoList"/>
    <w:semiHidden/>
    <w:unhideWhenUsed/>
    <w:rsid w:val="009032E3"/>
  </w:style>
  <w:style w:type="numbering" w:customStyle="1" w:styleId="NoList3124">
    <w:name w:val="No List3124"/>
    <w:next w:val="NoList"/>
    <w:semiHidden/>
    <w:unhideWhenUsed/>
    <w:rsid w:val="009032E3"/>
  </w:style>
  <w:style w:type="numbering" w:customStyle="1" w:styleId="11132">
    <w:name w:val="Нет списка11132"/>
    <w:next w:val="NoList"/>
    <w:semiHidden/>
    <w:unhideWhenUsed/>
    <w:rsid w:val="009032E3"/>
  </w:style>
  <w:style w:type="numbering" w:customStyle="1" w:styleId="NoList4122">
    <w:name w:val="No List4122"/>
    <w:next w:val="NoList"/>
    <w:semiHidden/>
    <w:rsid w:val="009032E3"/>
  </w:style>
  <w:style w:type="numbering" w:customStyle="1" w:styleId="NoList11124">
    <w:name w:val="No List11124"/>
    <w:next w:val="NoList"/>
    <w:semiHidden/>
    <w:unhideWhenUsed/>
    <w:rsid w:val="009032E3"/>
  </w:style>
  <w:style w:type="numbering" w:customStyle="1" w:styleId="111122">
    <w:name w:val="Нет списка111122"/>
    <w:next w:val="NoList"/>
    <w:semiHidden/>
    <w:unhideWhenUsed/>
    <w:rsid w:val="009032E3"/>
  </w:style>
  <w:style w:type="numbering" w:customStyle="1" w:styleId="NoList913">
    <w:name w:val="No List913"/>
    <w:next w:val="NoList"/>
    <w:uiPriority w:val="99"/>
    <w:semiHidden/>
    <w:unhideWhenUsed/>
    <w:rsid w:val="009032E3"/>
  </w:style>
  <w:style w:type="table" w:customStyle="1" w:styleId="TableGrid422">
    <w:name w:val="Table Grid422"/>
    <w:basedOn w:val="TableNormal"/>
    <w:next w:val="TableGrid"/>
    <w:uiPriority w:val="39"/>
    <w:rsid w:val="009032E3"/>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
    <w:name w:val="Grid Table 1 Light - Accent 5121"/>
    <w:basedOn w:val="TableNormal"/>
    <w:uiPriority w:val="46"/>
    <w:rsid w:val="009032E3"/>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11">
    <w:name w:val="Plain Table 3111"/>
    <w:basedOn w:val="TableNormal"/>
    <w:uiPriority w:val="43"/>
    <w:rsid w:val="009032E3"/>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1">
    <w:name w:val="Grid Table 4 - Accent 1111"/>
    <w:basedOn w:val="TableNormal"/>
    <w:uiPriority w:val="49"/>
    <w:rsid w:val="009032E3"/>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13">
    <w:name w:val="No List1013"/>
    <w:next w:val="NoList"/>
    <w:uiPriority w:val="99"/>
    <w:semiHidden/>
    <w:unhideWhenUsed/>
    <w:rsid w:val="009032E3"/>
  </w:style>
  <w:style w:type="table" w:customStyle="1" w:styleId="TableGrid5130">
    <w:name w:val="Table Grid513"/>
    <w:basedOn w:val="TableNormal"/>
    <w:next w:val="TableGrid"/>
    <w:uiPriority w:val="39"/>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2">
    <w:name w:val="Table List 7122"/>
    <w:basedOn w:val="TableNormal"/>
    <w:next w:val="TableList7"/>
    <w:rsid w:val="009032E3"/>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2">
    <w:name w:val="Table Web 3122"/>
    <w:basedOn w:val="TableNormal"/>
    <w:next w:val="TableWeb3"/>
    <w:rsid w:val="009032E3"/>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2">
    <w:name w:val="Table Elegant122"/>
    <w:basedOn w:val="TableNormal"/>
    <w:next w:val="TableElegant"/>
    <w:rsid w:val="009032E3"/>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3">
    <w:name w:val="Table Web 2213"/>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3">
    <w:name w:val="Table Web 1213"/>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3">
    <w:name w:val="Table Grid 8213"/>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3">
    <w:name w:val="Table Contemporary213"/>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3">
    <w:name w:val="No List1413"/>
    <w:next w:val="NoList"/>
    <w:semiHidden/>
    <w:unhideWhenUsed/>
    <w:rsid w:val="009032E3"/>
  </w:style>
  <w:style w:type="numbering" w:customStyle="1" w:styleId="NoList2213">
    <w:name w:val="No List2213"/>
    <w:next w:val="NoList"/>
    <w:semiHidden/>
    <w:unhideWhenUsed/>
    <w:rsid w:val="009032E3"/>
  </w:style>
  <w:style w:type="numbering" w:customStyle="1" w:styleId="NoList3213">
    <w:name w:val="No List3213"/>
    <w:next w:val="NoList"/>
    <w:semiHidden/>
    <w:unhideWhenUsed/>
    <w:rsid w:val="009032E3"/>
  </w:style>
  <w:style w:type="table" w:customStyle="1" w:styleId="LightList-Accent1213">
    <w:name w:val="Light List - Accent 12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2">
    <w:name w:val="Table Grid 7122"/>
    <w:basedOn w:val="TableNormal"/>
    <w:next w:val="TableGrid7"/>
    <w:rsid w:val="009032E3"/>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3">
    <w:name w:val="Colorful Grid - Accent 1313"/>
    <w:basedOn w:val="TableNormal"/>
    <w:next w:val="ColorfulGrid-Accent1"/>
    <w:uiPriority w:val="73"/>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3">
    <w:name w:val="Light List - Accent 5313"/>
    <w:basedOn w:val="TableNormal"/>
    <w:next w:val="LightList-Accent5"/>
    <w:uiPriority w:val="61"/>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2">
    <w:name w:val="Table Simple 3122"/>
    <w:basedOn w:val="TableNormal"/>
    <w:next w:val="TableSimple3"/>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2">
    <w:name w:val="Table Grid 5122"/>
    <w:basedOn w:val="TableNormal"/>
    <w:next w:val="TableGrid5"/>
    <w:rsid w:val="009032E3"/>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2">
    <w:name w:val="Table Grid 3122"/>
    <w:basedOn w:val="TableNormal"/>
    <w:next w:val="TableGrid3"/>
    <w:rsid w:val="009032E3"/>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2">
    <w:name w:val="Table Grid 1122"/>
    <w:basedOn w:val="TableNormal"/>
    <w:next w:val="TableGrid10"/>
    <w:rsid w:val="009032E3"/>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2">
    <w:name w:val="Table Columns 5122"/>
    <w:basedOn w:val="TableNormal"/>
    <w:next w:val="TableColumns5"/>
    <w:rsid w:val="009032E3"/>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3">
    <w:name w:val="Light List - Accent 11113"/>
    <w:basedOn w:val="TableNormal"/>
    <w:uiPriority w:val="61"/>
    <w:rsid w:val="009032E3"/>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3">
    <w:name w:val="Нет списка1313"/>
    <w:next w:val="NoList"/>
    <w:semiHidden/>
    <w:unhideWhenUsed/>
    <w:rsid w:val="009032E3"/>
  </w:style>
  <w:style w:type="table" w:customStyle="1" w:styleId="ColorfulGrid-Accent11113">
    <w:name w:val="Colorful Grid - Accent 11113"/>
    <w:basedOn w:val="TableNormal"/>
    <w:rsid w:val="009032E3"/>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3">
    <w:name w:val="Light List - Accent 51113"/>
    <w:basedOn w:val="TableNormal"/>
    <w:rsid w:val="009032E3"/>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3">
    <w:name w:val="No List4213"/>
    <w:next w:val="NoList"/>
    <w:semiHidden/>
    <w:rsid w:val="009032E3"/>
  </w:style>
  <w:style w:type="numbering" w:customStyle="1" w:styleId="NoList11214">
    <w:name w:val="No List11214"/>
    <w:next w:val="NoList"/>
    <w:semiHidden/>
    <w:unhideWhenUsed/>
    <w:rsid w:val="009032E3"/>
  </w:style>
  <w:style w:type="table" w:customStyle="1" w:styleId="Table3Deffects3122">
    <w:name w:val="Table 3D effects 3122"/>
    <w:basedOn w:val="TableNormal"/>
    <w:next w:val="Table3Deffects3"/>
    <w:rsid w:val="009032E3"/>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3">
    <w:name w:val="Нет списка11213"/>
    <w:next w:val="NoList"/>
    <w:semiHidden/>
    <w:unhideWhenUsed/>
    <w:rsid w:val="009032E3"/>
  </w:style>
  <w:style w:type="table" w:customStyle="1" w:styleId="TableGrid11220">
    <w:name w:val="Table Grid1122"/>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13">
    <w:name w:val="No List5113"/>
    <w:next w:val="NoList"/>
    <w:uiPriority w:val="99"/>
    <w:semiHidden/>
    <w:rsid w:val="009032E3"/>
  </w:style>
  <w:style w:type="numbering" w:customStyle="1" w:styleId="NoList6112">
    <w:name w:val="No List6112"/>
    <w:next w:val="NoList"/>
    <w:uiPriority w:val="99"/>
    <w:semiHidden/>
    <w:unhideWhenUsed/>
    <w:rsid w:val="009032E3"/>
  </w:style>
  <w:style w:type="table" w:customStyle="1" w:styleId="TableGrid2113">
    <w:name w:val="Table Grid2113"/>
    <w:basedOn w:val="TableNormal"/>
    <w:next w:val="TableGrid"/>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12">
    <w:name w:val="No List7112"/>
    <w:next w:val="NoList"/>
    <w:uiPriority w:val="99"/>
    <w:semiHidden/>
    <w:unhideWhenUsed/>
    <w:rsid w:val="009032E3"/>
  </w:style>
  <w:style w:type="numbering" w:customStyle="1" w:styleId="NoList12113">
    <w:name w:val="No List12113"/>
    <w:next w:val="NoList"/>
    <w:uiPriority w:val="99"/>
    <w:semiHidden/>
    <w:unhideWhenUsed/>
    <w:rsid w:val="009032E3"/>
  </w:style>
  <w:style w:type="table" w:customStyle="1" w:styleId="TableGrid31120">
    <w:name w:val="Table Grid3112"/>
    <w:basedOn w:val="TableNormal"/>
    <w:next w:val="TableGrid"/>
    <w:rsid w:val="009032E3"/>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2">
    <w:name w:val="Table Web 21112"/>
    <w:basedOn w:val="TableNormal"/>
    <w:next w:val="TableWeb2"/>
    <w:rsid w:val="009032E3"/>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2">
    <w:name w:val="Table Web 11112"/>
    <w:basedOn w:val="TableNormal"/>
    <w:next w:val="TableWeb1"/>
    <w:rsid w:val="009032E3"/>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2">
    <w:name w:val="Table Grid 81112"/>
    <w:basedOn w:val="TableNormal"/>
    <w:next w:val="TableGrid8"/>
    <w:rsid w:val="009032E3"/>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2">
    <w:name w:val="Table Contemporary1112"/>
    <w:basedOn w:val="TableNormal"/>
    <w:next w:val="TableContemporary"/>
    <w:rsid w:val="009032E3"/>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2">
    <w:name w:val="Colorful Grid - Accent 12112"/>
    <w:basedOn w:val="TableNormal"/>
    <w:next w:val="ColorfulGrid-Accent1"/>
    <w:rsid w:val="009032E3"/>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2">
    <w:name w:val="Light List - Accent 52112"/>
    <w:basedOn w:val="TableNormal"/>
    <w:next w:val="LightList-Accent5"/>
    <w:rsid w:val="009032E3"/>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2">
    <w:name w:val="No List8112"/>
    <w:next w:val="NoList"/>
    <w:uiPriority w:val="99"/>
    <w:semiHidden/>
    <w:unhideWhenUsed/>
    <w:rsid w:val="009032E3"/>
  </w:style>
  <w:style w:type="numbering" w:customStyle="1" w:styleId="12112">
    <w:name w:val="Нет списка12112"/>
    <w:next w:val="NoList"/>
    <w:uiPriority w:val="99"/>
    <w:semiHidden/>
    <w:unhideWhenUsed/>
    <w:rsid w:val="009032E3"/>
  </w:style>
  <w:style w:type="numbering" w:customStyle="1" w:styleId="NoList13112">
    <w:name w:val="No List13112"/>
    <w:next w:val="NoList"/>
    <w:semiHidden/>
    <w:unhideWhenUsed/>
    <w:rsid w:val="009032E3"/>
  </w:style>
  <w:style w:type="numbering" w:customStyle="1" w:styleId="NoList21113">
    <w:name w:val="No List21113"/>
    <w:next w:val="NoList"/>
    <w:semiHidden/>
    <w:unhideWhenUsed/>
    <w:rsid w:val="009032E3"/>
  </w:style>
  <w:style w:type="numbering" w:customStyle="1" w:styleId="NoList31113">
    <w:name w:val="No List31113"/>
    <w:next w:val="NoList"/>
    <w:semiHidden/>
    <w:unhideWhenUsed/>
    <w:rsid w:val="009032E3"/>
  </w:style>
  <w:style w:type="numbering" w:customStyle="1" w:styleId="111212">
    <w:name w:val="Нет списка111212"/>
    <w:next w:val="NoList"/>
    <w:semiHidden/>
    <w:unhideWhenUsed/>
    <w:rsid w:val="009032E3"/>
  </w:style>
  <w:style w:type="numbering" w:customStyle="1" w:styleId="NoList41112">
    <w:name w:val="No List41112"/>
    <w:next w:val="NoList"/>
    <w:semiHidden/>
    <w:rsid w:val="009032E3"/>
  </w:style>
  <w:style w:type="numbering" w:customStyle="1" w:styleId="NoList111124">
    <w:name w:val="No List111124"/>
    <w:next w:val="NoList"/>
    <w:semiHidden/>
    <w:unhideWhenUsed/>
    <w:rsid w:val="009032E3"/>
  </w:style>
  <w:style w:type="numbering" w:customStyle="1" w:styleId="1111112">
    <w:name w:val="Нет списка1111112"/>
    <w:next w:val="NoList"/>
    <w:semiHidden/>
    <w:unhideWhenUsed/>
    <w:rsid w:val="009032E3"/>
  </w:style>
  <w:style w:type="table" w:customStyle="1" w:styleId="TableGrid613">
    <w:name w:val="Table Grid613"/>
    <w:basedOn w:val="TableNormal"/>
    <w:next w:val="TableGrid"/>
    <w:uiPriority w:val="39"/>
    <w:rsid w:val="009032E3"/>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12">
    <w:name w:val="Grid Table 1 Light - Accent 51112"/>
    <w:basedOn w:val="TableNormal"/>
    <w:uiPriority w:val="46"/>
    <w:rsid w:val="009032E3"/>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14">
    <w:name w:val="Table Grid2214"/>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2">
    <w:name w:val="Table Grid1112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 Grid8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11">
    <w:name w:val="Grid Table 1 Light - Accent 1111"/>
    <w:basedOn w:val="TableNormal"/>
    <w:uiPriority w:val="46"/>
    <w:rsid w:val="009032E3"/>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Grid143">
    <w:name w:val="Table Grid143"/>
    <w:basedOn w:val="TableNormal"/>
    <w:next w:val="TableGrid"/>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0">
    <w:name w:val="Table Grid731"/>
    <w:basedOn w:val="TableNormal"/>
    <w:next w:val="TableGrid"/>
    <w:uiPriority w:val="39"/>
    <w:rsid w:val="009032E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39"/>
    <w:rsid w:val="009032E3"/>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2">
    <w:name w:val="Table Grid11132"/>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
    <w:name w:val="Table Grid111311"/>
    <w:basedOn w:val="TableNormal"/>
    <w:next w:val="TableGrid"/>
    <w:uiPriority w:val="39"/>
    <w:rsid w:val="009032E3"/>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6">
    <w:name w:val="No List66"/>
    <w:next w:val="NoList"/>
    <w:uiPriority w:val="99"/>
    <w:semiHidden/>
    <w:unhideWhenUsed/>
    <w:rsid w:val="00E27F1D"/>
  </w:style>
  <w:style w:type="numbering" w:customStyle="1" w:styleId="NoList2221">
    <w:name w:val="No List2221"/>
    <w:next w:val="NoList"/>
    <w:semiHidden/>
    <w:rsid w:val="009F0A25"/>
  </w:style>
  <w:style w:type="numbering" w:customStyle="1" w:styleId="NoList3221">
    <w:name w:val="No List3221"/>
    <w:next w:val="NoList"/>
    <w:semiHidden/>
    <w:unhideWhenUsed/>
    <w:rsid w:val="009F0A25"/>
  </w:style>
  <w:style w:type="numbering" w:customStyle="1" w:styleId="NoList5121">
    <w:name w:val="No List5121"/>
    <w:next w:val="NoList"/>
    <w:uiPriority w:val="99"/>
    <w:semiHidden/>
    <w:unhideWhenUsed/>
    <w:rsid w:val="009F0A25"/>
  </w:style>
  <w:style w:type="numbering" w:customStyle="1" w:styleId="NoList12121">
    <w:name w:val="No List12121"/>
    <w:next w:val="NoList"/>
    <w:semiHidden/>
    <w:rsid w:val="009F0A25"/>
  </w:style>
  <w:style w:type="numbering" w:customStyle="1" w:styleId="NoList21121">
    <w:name w:val="No List21121"/>
    <w:next w:val="NoList"/>
    <w:semiHidden/>
    <w:rsid w:val="009F0A25"/>
  </w:style>
  <w:style w:type="numbering" w:customStyle="1" w:styleId="NoList31121">
    <w:name w:val="No List31121"/>
    <w:next w:val="NoList"/>
    <w:uiPriority w:val="99"/>
    <w:semiHidden/>
    <w:unhideWhenUsed/>
    <w:rsid w:val="009F0A25"/>
  </w:style>
  <w:style w:type="numbering" w:customStyle="1" w:styleId="NoList921">
    <w:name w:val="No List921"/>
    <w:next w:val="NoList"/>
    <w:uiPriority w:val="99"/>
    <w:semiHidden/>
    <w:unhideWhenUsed/>
    <w:rsid w:val="009F0A25"/>
  </w:style>
  <w:style w:type="numbering" w:customStyle="1" w:styleId="NoList1421">
    <w:name w:val="No List1421"/>
    <w:next w:val="NoList"/>
    <w:semiHidden/>
    <w:unhideWhenUsed/>
    <w:rsid w:val="009F0A25"/>
  </w:style>
  <w:style w:type="numbering" w:customStyle="1" w:styleId="1321">
    <w:name w:val="Нет списка1321"/>
    <w:next w:val="NoList"/>
    <w:semiHidden/>
    <w:unhideWhenUsed/>
    <w:rsid w:val="009F0A25"/>
  </w:style>
  <w:style w:type="numbering" w:customStyle="1" w:styleId="NoList4221">
    <w:name w:val="No List4221"/>
    <w:next w:val="NoList"/>
    <w:semiHidden/>
    <w:rsid w:val="009F0A25"/>
  </w:style>
  <w:style w:type="numbering" w:customStyle="1" w:styleId="11221">
    <w:name w:val="Нет списка11221"/>
    <w:next w:val="NoList"/>
    <w:semiHidden/>
    <w:unhideWhenUsed/>
    <w:rsid w:val="009F0A25"/>
  </w:style>
  <w:style w:type="numbering" w:customStyle="1" w:styleId="NoList1021">
    <w:name w:val="No List1021"/>
    <w:next w:val="NoList"/>
    <w:uiPriority w:val="99"/>
    <w:semiHidden/>
    <w:unhideWhenUsed/>
    <w:rsid w:val="009F0A25"/>
  </w:style>
  <w:style w:type="numbering" w:customStyle="1" w:styleId="NoList1811">
    <w:name w:val="No List1811"/>
    <w:next w:val="NoList"/>
    <w:uiPriority w:val="99"/>
    <w:semiHidden/>
    <w:unhideWhenUsed/>
    <w:rsid w:val="009F0A25"/>
  </w:style>
  <w:style w:type="numbering" w:customStyle="1" w:styleId="1511">
    <w:name w:val="Нет списка1511"/>
    <w:next w:val="NoList"/>
    <w:semiHidden/>
    <w:unhideWhenUsed/>
    <w:rsid w:val="009F0A25"/>
  </w:style>
  <w:style w:type="numbering" w:customStyle="1" w:styleId="NoList4411">
    <w:name w:val="No List4411"/>
    <w:next w:val="NoList"/>
    <w:semiHidden/>
    <w:rsid w:val="009F0A25"/>
  </w:style>
  <w:style w:type="numbering" w:customStyle="1" w:styleId="11411">
    <w:name w:val="Нет списка11411"/>
    <w:next w:val="NoList"/>
    <w:semiHidden/>
    <w:unhideWhenUsed/>
    <w:rsid w:val="009F0A25"/>
  </w:style>
  <w:style w:type="numbering" w:customStyle="1" w:styleId="NoList1111311">
    <w:name w:val="No List1111311"/>
    <w:next w:val="NoList"/>
    <w:semiHidden/>
    <w:rsid w:val="009F0A25"/>
  </w:style>
  <w:style w:type="numbering" w:customStyle="1" w:styleId="NoList5311">
    <w:name w:val="No List5311"/>
    <w:next w:val="NoList"/>
    <w:uiPriority w:val="99"/>
    <w:semiHidden/>
    <w:unhideWhenUsed/>
    <w:rsid w:val="009F0A25"/>
  </w:style>
  <w:style w:type="numbering" w:customStyle="1" w:styleId="NoList12311">
    <w:name w:val="No List12311"/>
    <w:next w:val="NoList"/>
    <w:semiHidden/>
    <w:rsid w:val="009F0A25"/>
  </w:style>
  <w:style w:type="numbering" w:customStyle="1" w:styleId="NoList21311">
    <w:name w:val="No List21311"/>
    <w:next w:val="NoList"/>
    <w:semiHidden/>
    <w:rsid w:val="009F0A25"/>
  </w:style>
  <w:style w:type="numbering" w:customStyle="1" w:styleId="NoList31311">
    <w:name w:val="No List31311"/>
    <w:next w:val="NoList"/>
    <w:uiPriority w:val="99"/>
    <w:semiHidden/>
    <w:unhideWhenUsed/>
    <w:rsid w:val="009F0A25"/>
  </w:style>
  <w:style w:type="numbering" w:customStyle="1" w:styleId="NoList113111">
    <w:name w:val="No List113111"/>
    <w:next w:val="NoList"/>
    <w:semiHidden/>
    <w:rsid w:val="009F0A25"/>
  </w:style>
  <w:style w:type="numbering" w:customStyle="1" w:styleId="NoList1112111">
    <w:name w:val="No List1112111"/>
    <w:next w:val="NoList"/>
    <w:semiHidden/>
    <w:rsid w:val="009F0A25"/>
  </w:style>
  <w:style w:type="numbering" w:customStyle="1" w:styleId="NoList22111">
    <w:name w:val="No List22111"/>
    <w:next w:val="NoList"/>
    <w:semiHidden/>
    <w:rsid w:val="009F0A25"/>
  </w:style>
  <w:style w:type="numbering" w:customStyle="1" w:styleId="NoList32111">
    <w:name w:val="No List32111"/>
    <w:next w:val="NoList"/>
    <w:semiHidden/>
    <w:unhideWhenUsed/>
    <w:rsid w:val="009F0A25"/>
  </w:style>
  <w:style w:type="numbering" w:customStyle="1" w:styleId="NoList51111">
    <w:name w:val="No List51111"/>
    <w:next w:val="NoList"/>
    <w:uiPriority w:val="99"/>
    <w:semiHidden/>
    <w:unhideWhenUsed/>
    <w:rsid w:val="009F0A25"/>
  </w:style>
  <w:style w:type="numbering" w:customStyle="1" w:styleId="NoList121111">
    <w:name w:val="No List121111"/>
    <w:next w:val="NoList"/>
    <w:semiHidden/>
    <w:rsid w:val="009F0A25"/>
  </w:style>
  <w:style w:type="numbering" w:customStyle="1" w:styleId="NoList1121111">
    <w:name w:val="No List1121111"/>
    <w:next w:val="NoList"/>
    <w:semiHidden/>
    <w:rsid w:val="009F0A25"/>
  </w:style>
  <w:style w:type="numbering" w:customStyle="1" w:styleId="NoList1111111111">
    <w:name w:val="No List1111111111"/>
    <w:next w:val="NoList"/>
    <w:semiHidden/>
    <w:rsid w:val="009F0A25"/>
  </w:style>
  <w:style w:type="numbering" w:customStyle="1" w:styleId="NoList211111">
    <w:name w:val="No List211111"/>
    <w:next w:val="NoList"/>
    <w:semiHidden/>
    <w:rsid w:val="009F0A25"/>
  </w:style>
  <w:style w:type="numbering" w:customStyle="1" w:styleId="NoList311111">
    <w:name w:val="No List311111"/>
    <w:next w:val="NoList"/>
    <w:uiPriority w:val="99"/>
    <w:semiHidden/>
    <w:unhideWhenUsed/>
    <w:rsid w:val="009F0A25"/>
  </w:style>
  <w:style w:type="numbering" w:customStyle="1" w:styleId="NoList9111">
    <w:name w:val="No List9111"/>
    <w:next w:val="NoList"/>
    <w:uiPriority w:val="99"/>
    <w:semiHidden/>
    <w:unhideWhenUsed/>
    <w:rsid w:val="009F0A25"/>
  </w:style>
  <w:style w:type="numbering" w:customStyle="1" w:styleId="NoList14111">
    <w:name w:val="No List14111"/>
    <w:next w:val="NoList"/>
    <w:semiHidden/>
    <w:unhideWhenUsed/>
    <w:rsid w:val="009F0A25"/>
  </w:style>
  <w:style w:type="numbering" w:customStyle="1" w:styleId="NoList23111">
    <w:name w:val="No List23111"/>
    <w:next w:val="NoList"/>
    <w:semiHidden/>
    <w:unhideWhenUsed/>
    <w:rsid w:val="009F0A25"/>
  </w:style>
  <w:style w:type="numbering" w:customStyle="1" w:styleId="NoList33111">
    <w:name w:val="No List33111"/>
    <w:next w:val="NoList"/>
    <w:semiHidden/>
    <w:unhideWhenUsed/>
    <w:rsid w:val="009F0A25"/>
  </w:style>
  <w:style w:type="numbering" w:customStyle="1" w:styleId="13111">
    <w:name w:val="Нет списка13111"/>
    <w:next w:val="NoList"/>
    <w:semiHidden/>
    <w:unhideWhenUsed/>
    <w:rsid w:val="009F0A25"/>
  </w:style>
  <w:style w:type="numbering" w:customStyle="1" w:styleId="NoList42111">
    <w:name w:val="No List42111"/>
    <w:next w:val="NoList"/>
    <w:semiHidden/>
    <w:rsid w:val="009F0A25"/>
  </w:style>
  <w:style w:type="numbering" w:customStyle="1" w:styleId="NoList114111">
    <w:name w:val="No List114111"/>
    <w:next w:val="NoList"/>
    <w:semiHidden/>
    <w:unhideWhenUsed/>
    <w:rsid w:val="009F0A25"/>
  </w:style>
  <w:style w:type="numbering" w:customStyle="1" w:styleId="112111">
    <w:name w:val="Нет списка112111"/>
    <w:next w:val="NoList"/>
    <w:semiHidden/>
    <w:unhideWhenUsed/>
    <w:rsid w:val="009F0A25"/>
  </w:style>
  <w:style w:type="numbering" w:customStyle="1" w:styleId="NoList10111">
    <w:name w:val="No List10111"/>
    <w:next w:val="NoList"/>
    <w:uiPriority w:val="99"/>
    <w:semiHidden/>
    <w:unhideWhenUsed/>
    <w:rsid w:val="009F0A25"/>
  </w:style>
  <w:style w:type="numbering" w:customStyle="1" w:styleId="NoList15111">
    <w:name w:val="No List15111"/>
    <w:next w:val="NoList"/>
    <w:semiHidden/>
    <w:unhideWhenUsed/>
    <w:rsid w:val="009F0A25"/>
  </w:style>
  <w:style w:type="numbering" w:customStyle="1" w:styleId="NoList1113111">
    <w:name w:val="No List1113111"/>
    <w:next w:val="NoList"/>
    <w:semiHidden/>
    <w:rsid w:val="009F0A25"/>
  </w:style>
  <w:style w:type="numbering" w:customStyle="1" w:styleId="NoList24111">
    <w:name w:val="No List24111"/>
    <w:next w:val="NoList"/>
    <w:semiHidden/>
    <w:rsid w:val="009F0A25"/>
  </w:style>
  <w:style w:type="numbering" w:customStyle="1" w:styleId="NoList34111">
    <w:name w:val="No List34111"/>
    <w:next w:val="NoList"/>
    <w:semiHidden/>
    <w:unhideWhenUsed/>
    <w:rsid w:val="009F0A25"/>
  </w:style>
  <w:style w:type="numbering" w:customStyle="1" w:styleId="14111">
    <w:name w:val="Нет списка14111"/>
    <w:next w:val="NoList"/>
    <w:semiHidden/>
    <w:unhideWhenUsed/>
    <w:rsid w:val="009F0A25"/>
  </w:style>
  <w:style w:type="numbering" w:customStyle="1" w:styleId="NoList43111">
    <w:name w:val="No List43111"/>
    <w:next w:val="NoList"/>
    <w:semiHidden/>
    <w:rsid w:val="009F0A25"/>
  </w:style>
  <w:style w:type="numbering" w:customStyle="1" w:styleId="113111">
    <w:name w:val="Нет списка113111"/>
    <w:next w:val="NoList"/>
    <w:semiHidden/>
    <w:unhideWhenUsed/>
    <w:rsid w:val="009F0A25"/>
  </w:style>
  <w:style w:type="numbering" w:customStyle="1" w:styleId="NoList52111">
    <w:name w:val="No List52111"/>
    <w:next w:val="NoList"/>
    <w:uiPriority w:val="99"/>
    <w:semiHidden/>
    <w:unhideWhenUsed/>
    <w:rsid w:val="009F0A25"/>
  </w:style>
  <w:style w:type="numbering" w:customStyle="1" w:styleId="NoList122111">
    <w:name w:val="No List122111"/>
    <w:next w:val="NoList"/>
    <w:semiHidden/>
    <w:rsid w:val="009F0A25"/>
  </w:style>
  <w:style w:type="numbering" w:customStyle="1" w:styleId="NoList1122111">
    <w:name w:val="No List1122111"/>
    <w:next w:val="NoList"/>
    <w:semiHidden/>
    <w:rsid w:val="009F0A25"/>
  </w:style>
  <w:style w:type="numbering" w:customStyle="1" w:styleId="NoList11112111">
    <w:name w:val="No List11112111"/>
    <w:next w:val="NoList"/>
    <w:semiHidden/>
    <w:rsid w:val="009F0A25"/>
  </w:style>
  <w:style w:type="numbering" w:customStyle="1" w:styleId="NoList212111">
    <w:name w:val="No List212111"/>
    <w:next w:val="NoList"/>
    <w:semiHidden/>
    <w:rsid w:val="009F0A25"/>
  </w:style>
  <w:style w:type="numbering" w:customStyle="1" w:styleId="NoList312111">
    <w:name w:val="No List312111"/>
    <w:next w:val="NoList"/>
    <w:uiPriority w:val="99"/>
    <w:semiHidden/>
    <w:unhideWhenUsed/>
    <w:rsid w:val="009F0A25"/>
  </w:style>
  <w:style w:type="numbering" w:customStyle="1" w:styleId="NoList16111">
    <w:name w:val="No List16111"/>
    <w:next w:val="NoList"/>
    <w:uiPriority w:val="99"/>
    <w:semiHidden/>
    <w:unhideWhenUsed/>
    <w:rsid w:val="009F0A25"/>
  </w:style>
  <w:style w:type="numbering" w:customStyle="1" w:styleId="NoList17111">
    <w:name w:val="No List17111"/>
    <w:next w:val="NoList"/>
    <w:uiPriority w:val="99"/>
    <w:semiHidden/>
    <w:unhideWhenUsed/>
    <w:rsid w:val="009F0A25"/>
  </w:style>
  <w:style w:type="table" w:customStyle="1" w:styleId="LightList-Accent12211">
    <w:name w:val="Light List - Accent 12211"/>
    <w:basedOn w:val="TableNormal"/>
    <w:next w:val="LightList-Accent1"/>
    <w:uiPriority w:val="61"/>
    <w:rsid w:val="009F0A25"/>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2-Accent111">
    <w:name w:val="Medium List 2 - Accent 111"/>
    <w:basedOn w:val="TableNormal"/>
    <w:next w:val="MediumList2-Accent1"/>
    <w:uiPriority w:val="66"/>
    <w:rsid w:val="009F0A25"/>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3-Accent611">
    <w:name w:val="Medium Grid 3 - Accent 611"/>
    <w:basedOn w:val="TableNormal"/>
    <w:next w:val="MediumGrid3-Accent6"/>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Accent511">
    <w:name w:val="Medium List 1 - Accent 511"/>
    <w:basedOn w:val="TableNormal"/>
    <w:next w:val="MediumList1-Accent5"/>
    <w:uiPriority w:val="65"/>
    <w:rsid w:val="009F0A25"/>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LightList-Accent311">
    <w:name w:val="Light List - Accent 311"/>
    <w:basedOn w:val="TableNormal"/>
    <w:next w:val="LightList-Accent3"/>
    <w:uiPriority w:val="61"/>
    <w:rsid w:val="009F0A25"/>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
    <w:name w:val="Medium List 2 - Accent 311"/>
    <w:basedOn w:val="TableNormal"/>
    <w:next w:val="MediumList2-Accent3"/>
    <w:uiPriority w:val="66"/>
    <w:rsid w:val="009F0A25"/>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
    <w:name w:val="Medium List 2 - Accent 411"/>
    <w:basedOn w:val="TableNormal"/>
    <w:next w:val="MediumList2-Accent4"/>
    <w:uiPriority w:val="66"/>
    <w:rsid w:val="009F0A25"/>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TableList7131">
    <w:name w:val="Table List 7131"/>
    <w:basedOn w:val="TableNormal"/>
    <w:next w:val="TableList7"/>
    <w:rsid w:val="009F0A25"/>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1">
    <w:name w:val="Table Web 3131"/>
    <w:basedOn w:val="TableNormal"/>
    <w:next w:val="TableWeb3"/>
    <w:rsid w:val="009F0A25"/>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1">
    <w:name w:val="Table Elegant131"/>
    <w:basedOn w:val="TableNormal"/>
    <w:next w:val="TableElegant"/>
    <w:rsid w:val="009F0A25"/>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1">
    <w:name w:val="Table Web 213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1">
    <w:name w:val="Table Web 113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1">
    <w:name w:val="Table Grid 813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1">
    <w:name w:val="Table Contemporary13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Grid7131">
    <w:name w:val="Table Grid 7131"/>
    <w:basedOn w:val="TableNormal"/>
    <w:next w:val="TableGrid7"/>
    <w:rsid w:val="009F0A25"/>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31">
    <w:name w:val="Table Simple 3131"/>
    <w:basedOn w:val="TableNormal"/>
    <w:next w:val="TableSimple3"/>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1">
    <w:name w:val="Table Grid 5131"/>
    <w:basedOn w:val="TableNormal"/>
    <w:next w:val="TableGrid5"/>
    <w:rsid w:val="009F0A25"/>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1">
    <w:name w:val="Table Grid 3131"/>
    <w:basedOn w:val="TableNormal"/>
    <w:next w:val="TableGrid3"/>
    <w:rsid w:val="009F0A25"/>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1">
    <w:name w:val="Table Grid 1131"/>
    <w:basedOn w:val="TableNormal"/>
    <w:next w:val="TableGrid10"/>
    <w:rsid w:val="009F0A25"/>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1">
    <w:name w:val="Table Columns 5131"/>
    <w:basedOn w:val="TableNormal"/>
    <w:next w:val="TableColumns5"/>
    <w:rsid w:val="009F0A25"/>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NoList4131">
    <w:name w:val="No List4131"/>
    <w:next w:val="NoList"/>
    <w:semiHidden/>
    <w:rsid w:val="009F0A25"/>
  </w:style>
  <w:style w:type="table" w:customStyle="1" w:styleId="Table3Deffects3131">
    <w:name w:val="Table 3D effects 3131"/>
    <w:basedOn w:val="TableNormal"/>
    <w:next w:val="Table3Deffects3"/>
    <w:rsid w:val="009F0A25"/>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631">
    <w:name w:val="No List631"/>
    <w:next w:val="NoList"/>
    <w:uiPriority w:val="99"/>
    <w:semiHidden/>
    <w:unhideWhenUsed/>
    <w:rsid w:val="009F0A25"/>
  </w:style>
  <w:style w:type="numbering" w:customStyle="1" w:styleId="NoList731">
    <w:name w:val="No List731"/>
    <w:next w:val="NoList"/>
    <w:uiPriority w:val="99"/>
    <w:semiHidden/>
    <w:unhideWhenUsed/>
    <w:rsid w:val="009F0A25"/>
  </w:style>
  <w:style w:type="table" w:customStyle="1" w:styleId="TableGrid3310">
    <w:name w:val="Table Grid33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1">
    <w:name w:val="Colorful Grid - Accent 123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1">
    <w:name w:val="Light List - Accent 523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1">
    <w:name w:val="No List831"/>
    <w:next w:val="NoList"/>
    <w:uiPriority w:val="99"/>
    <w:semiHidden/>
    <w:unhideWhenUsed/>
    <w:rsid w:val="009F0A25"/>
  </w:style>
  <w:style w:type="numbering" w:customStyle="1" w:styleId="1231">
    <w:name w:val="Нет списка1231"/>
    <w:next w:val="NoList"/>
    <w:uiPriority w:val="99"/>
    <w:semiHidden/>
    <w:unhideWhenUsed/>
    <w:rsid w:val="009F0A25"/>
  </w:style>
  <w:style w:type="numbering" w:customStyle="1" w:styleId="NoList1331">
    <w:name w:val="No List1331"/>
    <w:next w:val="NoList"/>
    <w:semiHidden/>
    <w:unhideWhenUsed/>
    <w:rsid w:val="009F0A25"/>
  </w:style>
  <w:style w:type="table" w:customStyle="1" w:styleId="TableGrid431">
    <w:name w:val="Table Grid43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9F0A25"/>
  </w:style>
  <w:style w:type="numbering" w:customStyle="1" w:styleId="NoList7121">
    <w:name w:val="No List7121"/>
    <w:next w:val="NoList"/>
    <w:uiPriority w:val="99"/>
    <w:semiHidden/>
    <w:unhideWhenUsed/>
    <w:rsid w:val="009F0A25"/>
  </w:style>
  <w:style w:type="table" w:customStyle="1" w:styleId="TableGrid31210">
    <w:name w:val="Table Grid312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1">
    <w:name w:val="Table Web 2112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1">
    <w:name w:val="Table Web 1112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1">
    <w:name w:val="Table Grid 8112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1">
    <w:name w:val="Table Contemporary112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1">
    <w:name w:val="Colorful Grid - Accent 1212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1">
    <w:name w:val="Light List - Accent 5212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1">
    <w:name w:val="No List8121"/>
    <w:next w:val="NoList"/>
    <w:uiPriority w:val="99"/>
    <w:semiHidden/>
    <w:unhideWhenUsed/>
    <w:rsid w:val="009F0A25"/>
  </w:style>
  <w:style w:type="numbering" w:customStyle="1" w:styleId="12121">
    <w:name w:val="Нет списка12121"/>
    <w:next w:val="NoList"/>
    <w:uiPriority w:val="99"/>
    <w:semiHidden/>
    <w:unhideWhenUsed/>
    <w:rsid w:val="009F0A25"/>
  </w:style>
  <w:style w:type="numbering" w:customStyle="1" w:styleId="NoList13121">
    <w:name w:val="No List13121"/>
    <w:next w:val="NoList"/>
    <w:semiHidden/>
    <w:unhideWhenUsed/>
    <w:rsid w:val="009F0A25"/>
  </w:style>
  <w:style w:type="numbering" w:customStyle="1" w:styleId="NoList41121">
    <w:name w:val="No List41121"/>
    <w:next w:val="NoList"/>
    <w:semiHidden/>
    <w:rsid w:val="009F0A25"/>
  </w:style>
  <w:style w:type="table" w:customStyle="1" w:styleId="TableGrid4121">
    <w:name w:val="Table Grid41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 Grid8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9F0A25"/>
  </w:style>
  <w:style w:type="numbering" w:customStyle="1" w:styleId="NoList7211">
    <w:name w:val="No List7211"/>
    <w:next w:val="NoList"/>
    <w:uiPriority w:val="99"/>
    <w:semiHidden/>
    <w:unhideWhenUsed/>
    <w:rsid w:val="009F0A25"/>
  </w:style>
  <w:style w:type="table" w:customStyle="1" w:styleId="TableGrid32110">
    <w:name w:val="Table Grid3211"/>
    <w:basedOn w:val="TableNormal"/>
    <w:next w:val="TableGrid"/>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211">
    <w:name w:val="Table Web 21211"/>
    <w:basedOn w:val="TableNormal"/>
    <w:next w:val="TableWeb2"/>
    <w:rsid w:val="009F0A25"/>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11">
    <w:name w:val="Table Web 11211"/>
    <w:basedOn w:val="TableNormal"/>
    <w:next w:val="TableWeb1"/>
    <w:rsid w:val="009F0A25"/>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11">
    <w:name w:val="Table Grid 81211"/>
    <w:basedOn w:val="TableNormal"/>
    <w:next w:val="TableGrid8"/>
    <w:rsid w:val="009F0A25"/>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11">
    <w:name w:val="Table Contemporary1211"/>
    <w:basedOn w:val="TableNormal"/>
    <w:next w:val="TableContemporary"/>
    <w:rsid w:val="009F0A25"/>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211">
    <w:name w:val="Colorful Grid - Accent 12211"/>
    <w:basedOn w:val="TableNormal"/>
    <w:next w:val="ColorfulGrid-Accent1"/>
    <w:rsid w:val="009F0A25"/>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11">
    <w:name w:val="Light List - Accent 52211"/>
    <w:basedOn w:val="TableNormal"/>
    <w:next w:val="LightList-Accent5"/>
    <w:rsid w:val="009F0A25"/>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211">
    <w:name w:val="No List8211"/>
    <w:next w:val="NoList"/>
    <w:uiPriority w:val="99"/>
    <w:semiHidden/>
    <w:unhideWhenUsed/>
    <w:rsid w:val="009F0A25"/>
  </w:style>
  <w:style w:type="numbering" w:customStyle="1" w:styleId="12211">
    <w:name w:val="Нет списка12211"/>
    <w:next w:val="NoList"/>
    <w:uiPriority w:val="99"/>
    <w:semiHidden/>
    <w:unhideWhenUsed/>
    <w:rsid w:val="009F0A25"/>
  </w:style>
  <w:style w:type="numbering" w:customStyle="1" w:styleId="NoList13211">
    <w:name w:val="No List13211"/>
    <w:next w:val="NoList"/>
    <w:semiHidden/>
    <w:unhideWhenUsed/>
    <w:rsid w:val="009F0A25"/>
  </w:style>
  <w:style w:type="numbering" w:customStyle="1" w:styleId="111311">
    <w:name w:val="Нет списка111311"/>
    <w:next w:val="NoList"/>
    <w:semiHidden/>
    <w:unhideWhenUsed/>
    <w:rsid w:val="009F0A25"/>
  </w:style>
  <w:style w:type="numbering" w:customStyle="1" w:styleId="NoList41211">
    <w:name w:val="No List41211"/>
    <w:next w:val="NoList"/>
    <w:semiHidden/>
    <w:rsid w:val="009F0A25"/>
  </w:style>
  <w:style w:type="numbering" w:customStyle="1" w:styleId="1111211">
    <w:name w:val="Нет списка1111211"/>
    <w:next w:val="NoList"/>
    <w:semiHidden/>
    <w:unhideWhenUsed/>
    <w:rsid w:val="009F0A25"/>
  </w:style>
  <w:style w:type="table" w:customStyle="1" w:styleId="TableGrid4211">
    <w:name w:val="Table Grid4211"/>
    <w:basedOn w:val="TableNormal"/>
    <w:next w:val="TableGrid"/>
    <w:uiPriority w:val="39"/>
    <w:rsid w:val="009F0A25"/>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211">
    <w:name w:val="Table List 71211"/>
    <w:basedOn w:val="TableNormal"/>
    <w:next w:val="TableList7"/>
    <w:rsid w:val="009F0A25"/>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11">
    <w:name w:val="Table Web 31211"/>
    <w:basedOn w:val="TableNormal"/>
    <w:next w:val="TableWeb3"/>
    <w:rsid w:val="009F0A25"/>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11">
    <w:name w:val="Table Elegant1211"/>
    <w:basedOn w:val="TableNormal"/>
    <w:next w:val="TableElegant"/>
    <w:rsid w:val="009F0A25"/>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71211">
    <w:name w:val="Table Grid 71211"/>
    <w:basedOn w:val="TableNormal"/>
    <w:next w:val="TableGrid7"/>
    <w:rsid w:val="009F0A25"/>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Simple31211">
    <w:name w:val="Table Simple 31211"/>
    <w:basedOn w:val="TableNormal"/>
    <w:next w:val="TableSimple3"/>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11">
    <w:name w:val="Table Grid 51211"/>
    <w:basedOn w:val="TableNormal"/>
    <w:next w:val="TableGrid5"/>
    <w:rsid w:val="009F0A25"/>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11">
    <w:name w:val="Table Grid 31211"/>
    <w:basedOn w:val="TableNormal"/>
    <w:next w:val="TableGrid3"/>
    <w:rsid w:val="009F0A25"/>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11">
    <w:name w:val="Table Grid 11211"/>
    <w:basedOn w:val="TableNormal"/>
    <w:next w:val="TableGrid10"/>
    <w:rsid w:val="009F0A25"/>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11">
    <w:name w:val="Table Columns 51211"/>
    <w:basedOn w:val="TableNormal"/>
    <w:next w:val="TableColumns5"/>
    <w:rsid w:val="009F0A25"/>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3Deffects31211">
    <w:name w:val="Table 3D effects 31211"/>
    <w:basedOn w:val="TableNormal"/>
    <w:next w:val="Table3Deffects3"/>
    <w:rsid w:val="009F0A25"/>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12110">
    <w:name w:val="Table Grid11211"/>
    <w:basedOn w:val="TableNormal"/>
    <w:next w:val="TableGrid"/>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111">
    <w:name w:val="No List61111"/>
    <w:next w:val="NoList"/>
    <w:uiPriority w:val="99"/>
    <w:semiHidden/>
    <w:unhideWhenUsed/>
    <w:rsid w:val="009F0A25"/>
  </w:style>
  <w:style w:type="numbering" w:customStyle="1" w:styleId="NoList71111">
    <w:name w:val="No List71111"/>
    <w:next w:val="NoList"/>
    <w:uiPriority w:val="99"/>
    <w:semiHidden/>
    <w:unhideWhenUsed/>
    <w:rsid w:val="009F0A25"/>
  </w:style>
  <w:style w:type="table" w:customStyle="1" w:styleId="TableGrid31111">
    <w:name w:val="Table Grid31111"/>
    <w:basedOn w:val="TableNormal"/>
    <w:next w:val="TableGrid"/>
    <w:rsid w:val="009F0A25"/>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111">
    <w:name w:val="Table Web 211111"/>
    <w:basedOn w:val="TableNormal"/>
    <w:next w:val="TableWeb2"/>
    <w:rsid w:val="009F0A25"/>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11">
    <w:name w:val="Table Web 111111"/>
    <w:basedOn w:val="TableNormal"/>
    <w:next w:val="TableWeb1"/>
    <w:rsid w:val="009F0A25"/>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11">
    <w:name w:val="Table Grid 811111"/>
    <w:basedOn w:val="TableNormal"/>
    <w:next w:val="TableGrid8"/>
    <w:rsid w:val="009F0A25"/>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11">
    <w:name w:val="Table Contemporary11111"/>
    <w:basedOn w:val="TableNormal"/>
    <w:next w:val="TableContemporary"/>
    <w:rsid w:val="009F0A25"/>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111">
    <w:name w:val="Colorful Grid - Accent 121111"/>
    <w:basedOn w:val="TableNormal"/>
    <w:next w:val="ColorfulGrid-Accent1"/>
    <w:rsid w:val="009F0A25"/>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11">
    <w:name w:val="Light List - Accent 521111"/>
    <w:basedOn w:val="TableNormal"/>
    <w:next w:val="LightList-Accent5"/>
    <w:rsid w:val="009F0A25"/>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111">
    <w:name w:val="No List81111"/>
    <w:next w:val="NoList"/>
    <w:uiPriority w:val="99"/>
    <w:semiHidden/>
    <w:unhideWhenUsed/>
    <w:rsid w:val="009F0A25"/>
  </w:style>
  <w:style w:type="numbering" w:customStyle="1" w:styleId="121111">
    <w:name w:val="Нет списка121111"/>
    <w:next w:val="NoList"/>
    <w:uiPriority w:val="99"/>
    <w:semiHidden/>
    <w:unhideWhenUsed/>
    <w:rsid w:val="009F0A25"/>
  </w:style>
  <w:style w:type="numbering" w:customStyle="1" w:styleId="NoList131111">
    <w:name w:val="No List131111"/>
    <w:next w:val="NoList"/>
    <w:semiHidden/>
    <w:unhideWhenUsed/>
    <w:rsid w:val="009F0A25"/>
  </w:style>
  <w:style w:type="numbering" w:customStyle="1" w:styleId="1112111">
    <w:name w:val="Нет списка1112111"/>
    <w:next w:val="NoList"/>
    <w:semiHidden/>
    <w:unhideWhenUsed/>
    <w:rsid w:val="009F0A25"/>
  </w:style>
  <w:style w:type="numbering" w:customStyle="1" w:styleId="NoList411111">
    <w:name w:val="No List411111"/>
    <w:next w:val="NoList"/>
    <w:semiHidden/>
    <w:rsid w:val="009F0A25"/>
  </w:style>
  <w:style w:type="numbering" w:customStyle="1" w:styleId="11111111">
    <w:name w:val="Нет списка11111111"/>
    <w:next w:val="NoList"/>
    <w:semiHidden/>
    <w:unhideWhenUsed/>
    <w:rsid w:val="009F0A25"/>
  </w:style>
  <w:style w:type="table" w:customStyle="1" w:styleId="TableGrid41111">
    <w:name w:val="Table Grid41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0">
    <w:name w:val="Table Grid8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1">
    <w:name w:val="Table Grid141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NoList"/>
    <w:semiHidden/>
    <w:unhideWhenUsed/>
    <w:rsid w:val="009F0A25"/>
  </w:style>
  <w:style w:type="numbering" w:customStyle="1" w:styleId="111131">
    <w:name w:val="Нет списка111131"/>
    <w:next w:val="NoList"/>
    <w:semiHidden/>
    <w:unhideWhenUsed/>
    <w:rsid w:val="009F0A25"/>
  </w:style>
  <w:style w:type="table" w:customStyle="1" w:styleId="GridTable4-Accent1121">
    <w:name w:val="Grid Table 4 - Accent 1121"/>
    <w:basedOn w:val="TableNormal"/>
    <w:uiPriority w:val="49"/>
    <w:rsid w:val="009F0A25"/>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111221">
    <w:name w:val="Нет списка111221"/>
    <w:next w:val="NoList"/>
    <w:semiHidden/>
    <w:unhideWhenUsed/>
    <w:rsid w:val="009F0A25"/>
  </w:style>
  <w:style w:type="numbering" w:customStyle="1" w:styleId="1111121">
    <w:name w:val="Нет списка1111121"/>
    <w:next w:val="NoList"/>
    <w:semiHidden/>
    <w:unhideWhenUsed/>
    <w:rsid w:val="009F0A25"/>
  </w:style>
  <w:style w:type="table" w:customStyle="1" w:styleId="TableGrid11141">
    <w:name w:val="Table Grid111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0">
    <w:name w:val="Table Grid74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21">
    <w:name w:val="Grid Table 1 Light - Accent 1121"/>
    <w:basedOn w:val="TableNormal"/>
    <w:uiPriority w:val="46"/>
    <w:rsid w:val="009F0A25"/>
    <w:rPr>
      <w:rFonts w:ascii="Calibri" w:eastAsia="Calibri" w:hAnsi="Calibri"/>
      <w:sz w:val="22"/>
      <w:szCs w:val="22"/>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MediumGrid3-Accent121">
    <w:name w:val="Medium Grid 3 - Accent 121"/>
    <w:basedOn w:val="TableNormal"/>
    <w:next w:val="MediumGrid3-Accent1"/>
    <w:uiPriority w:val="69"/>
    <w:rsid w:val="009F0A25"/>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TableGrid1431">
    <w:name w:val="Table Grid14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10">
    <w:name w:val="Table Grid7311"/>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1">
    <w:name w:val="Table Grid1421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1">
    <w:name w:val="Table Grid1113111"/>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131">
    <w:name w:val="Table Grid1213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211">
    <w:name w:val="Grid Table 1 Light - Accent 51211"/>
    <w:basedOn w:val="TableNormal"/>
    <w:uiPriority w:val="46"/>
    <w:rsid w:val="009F0A25"/>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1241">
    <w:name w:val="Table Grid1241"/>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
    <w:name w:val="Table Grid7312"/>
    <w:basedOn w:val="TableNormal"/>
    <w:next w:val="TableGrid"/>
    <w:uiPriority w:val="39"/>
    <w:rsid w:val="009F0A25"/>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
    <w:name w:val="Table Grid14212"/>
    <w:basedOn w:val="TableNormal"/>
    <w:next w:val="TableGrid"/>
    <w:uiPriority w:val="39"/>
    <w:rsid w:val="009F0A25"/>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
    <w:name w:val="Table Grid1113112"/>
    <w:basedOn w:val="TableNormal"/>
    <w:next w:val="TableGrid"/>
    <w:uiPriority w:val="39"/>
    <w:rsid w:val="009F0A25"/>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131121">
    <w:name w:val="Table Grid11131121"/>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21">
    <w:name w:val="Table Grid9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21">
    <w:name w:val="Table Grid73121"/>
    <w:basedOn w:val="TableNormal"/>
    <w:next w:val="TableGrid"/>
    <w:uiPriority w:val="39"/>
    <w:rsid w:val="00005BE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21">
    <w:name w:val="Table Grid142121"/>
    <w:basedOn w:val="TableNormal"/>
    <w:next w:val="TableGrid"/>
    <w:uiPriority w:val="39"/>
    <w:rsid w:val="00005BEA"/>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1122">
    <w:name w:val="Table Grid11131122"/>
    <w:basedOn w:val="TableNormal"/>
    <w:next w:val="TableGrid"/>
    <w:uiPriority w:val="39"/>
    <w:rsid w:val="00005BEA"/>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0">
    <w:name w:val="Основной текст5"/>
    <w:basedOn w:val="Normal"/>
    <w:link w:val="ac"/>
    <w:rsid w:val="00CF740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paragraph" w:customStyle="1" w:styleId="Charc">
    <w:name w:val="Char"/>
    <w:basedOn w:val="Normal"/>
    <w:locked/>
    <w:rsid w:val="00840AE8"/>
    <w:pPr>
      <w:spacing w:before="0" w:after="160" w:line="240" w:lineRule="auto"/>
      <w:ind w:firstLine="0"/>
      <w:contextualSpacing w:val="0"/>
      <w:jc w:val="left"/>
    </w:pPr>
    <w:rPr>
      <w:rFonts w:ascii="Verdana" w:eastAsia="Batang" w:hAnsi="Verdana" w:cs="Verdana"/>
      <w:b w:val="0"/>
      <w:sz w:val="24"/>
      <w:lang w:val="en-GB"/>
    </w:rPr>
  </w:style>
  <w:style w:type="paragraph" w:customStyle="1" w:styleId="61">
    <w:name w:val="Основной текст6"/>
    <w:basedOn w:val="Normal"/>
    <w:rsid w:val="00453D56"/>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1">
    <w:name w:val="Grid Table 4 - Accent 51"/>
    <w:basedOn w:val="TableNormal"/>
    <w:uiPriority w:val="49"/>
    <w:rsid w:val="00453D56"/>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af0">
    <w:name w:val="Աղյուսակներ"/>
    <w:basedOn w:val="Normal"/>
    <w:qFormat/>
    <w:rsid w:val="008624F6"/>
    <w:pPr>
      <w:spacing w:before="60" w:after="40"/>
      <w:contextualSpacing w:val="0"/>
    </w:pPr>
    <w:rPr>
      <w:rFonts w:eastAsia="Calibri" w:cs="Sylfaen"/>
      <w:bCs/>
      <w:i/>
      <w:szCs w:val="22"/>
      <w:lang w:val="hy-AM" w:eastAsia="en-US"/>
    </w:rPr>
  </w:style>
  <w:style w:type="numbering" w:customStyle="1" w:styleId="NoList11111111111">
    <w:name w:val="No List11111111111"/>
    <w:next w:val="NoList"/>
    <w:semiHidden/>
    <w:rsid w:val="009B3790"/>
  </w:style>
  <w:style w:type="character" w:customStyle="1" w:styleId="Chard">
    <w:name w:val="Գծապատկեր Char"/>
    <w:link w:val="af1"/>
    <w:locked/>
    <w:rsid w:val="009B3790"/>
    <w:rPr>
      <w:rFonts w:ascii="GHEA Grapalat" w:eastAsia="GHEA Grapalat" w:hAnsi="GHEA Grapalat" w:cs="GHEA Grapalat"/>
      <w:noProof/>
    </w:rPr>
  </w:style>
  <w:style w:type="paragraph" w:customStyle="1" w:styleId="af1">
    <w:name w:val="Գծապատկեր"/>
    <w:basedOn w:val="Normal"/>
    <w:link w:val="Chard"/>
    <w:autoRedefine/>
    <w:qFormat/>
    <w:rsid w:val="009B3790"/>
    <w:pPr>
      <w:keepNext/>
      <w:keepLines/>
      <w:tabs>
        <w:tab w:val="left" w:pos="2160"/>
        <w:tab w:val="left" w:pos="2552"/>
      </w:tabs>
      <w:autoSpaceDE w:val="0"/>
      <w:autoSpaceDN w:val="0"/>
      <w:adjustRightInd w:val="0"/>
      <w:spacing w:before="0" w:line="240" w:lineRule="auto"/>
      <w:ind w:left="360" w:firstLine="0"/>
      <w:contextualSpacing w:val="0"/>
      <w:jc w:val="center"/>
    </w:pPr>
    <w:rPr>
      <w:rFonts w:eastAsia="GHEA Grapalat" w:cs="GHEA Grapalat"/>
      <w:b w:val="0"/>
      <w:noProof/>
      <w:sz w:val="20"/>
      <w:szCs w:val="20"/>
      <w:lang w:val="en-US" w:eastAsia="en-US"/>
    </w:rPr>
  </w:style>
  <w:style w:type="paragraph" w:customStyle="1" w:styleId="af2">
    <w:name w:val="Հղումներ"/>
    <w:basedOn w:val="Normal"/>
    <w:qFormat/>
    <w:rsid w:val="009B3790"/>
    <w:pPr>
      <w:spacing w:before="60" w:after="40" w:line="240" w:lineRule="auto"/>
      <w:contextualSpacing w:val="0"/>
    </w:pPr>
    <w:rPr>
      <w:b w:val="0"/>
      <w:sz w:val="20"/>
      <w:szCs w:val="20"/>
      <w:lang w:val="hy-AM" w:eastAsia="en-US"/>
    </w:rPr>
  </w:style>
  <w:style w:type="paragraph" w:customStyle="1" w:styleId="af3">
    <w:name w:val="Գծապատկերներ"/>
    <w:basedOn w:val="Normal"/>
    <w:qFormat/>
    <w:rsid w:val="009B3790"/>
    <w:pPr>
      <w:keepNext/>
      <w:keepLines/>
      <w:spacing w:before="60" w:after="40" w:line="240" w:lineRule="auto"/>
      <w:ind w:firstLine="0"/>
      <w:contextualSpacing w:val="0"/>
      <w:jc w:val="left"/>
    </w:pPr>
    <w:rPr>
      <w:rFonts w:eastAsiaTheme="majorEastAsia"/>
      <w:i/>
      <w:szCs w:val="22"/>
      <w:lang w:val="hy-AM" w:eastAsia="en-US"/>
    </w:rPr>
  </w:style>
  <w:style w:type="numbering" w:customStyle="1" w:styleId="NoList67">
    <w:name w:val="No List67"/>
    <w:next w:val="NoList"/>
    <w:uiPriority w:val="99"/>
    <w:semiHidden/>
    <w:unhideWhenUsed/>
    <w:rsid w:val="008F7DB9"/>
  </w:style>
  <w:style w:type="numbering" w:customStyle="1" w:styleId="NoList138">
    <w:name w:val="No List138"/>
    <w:next w:val="NoList"/>
    <w:uiPriority w:val="99"/>
    <w:semiHidden/>
    <w:unhideWhenUsed/>
    <w:rsid w:val="008F7DB9"/>
  </w:style>
  <w:style w:type="table" w:customStyle="1" w:styleId="TableGrid390">
    <w:name w:val="Table Grid39"/>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unhideWhenUsed/>
    <w:rsid w:val="008F7DB9"/>
  </w:style>
  <w:style w:type="numbering" w:customStyle="1" w:styleId="NoList11120">
    <w:name w:val="No List11120"/>
    <w:next w:val="NoList"/>
    <w:semiHidden/>
    <w:rsid w:val="008F7DB9"/>
  </w:style>
  <w:style w:type="table" w:customStyle="1" w:styleId="TableGrid1200">
    <w:name w:val="Table Grid120"/>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5">
    <w:name w:val="No List111115"/>
    <w:next w:val="NoList"/>
    <w:semiHidden/>
    <w:rsid w:val="008F7DB9"/>
  </w:style>
  <w:style w:type="numbering" w:customStyle="1" w:styleId="NoList226">
    <w:name w:val="No List226"/>
    <w:next w:val="NoList"/>
    <w:semiHidden/>
    <w:rsid w:val="008F7DB9"/>
  </w:style>
  <w:style w:type="numbering" w:customStyle="1" w:styleId="NoList320">
    <w:name w:val="No List320"/>
    <w:next w:val="NoList"/>
    <w:semiHidden/>
    <w:unhideWhenUsed/>
    <w:rsid w:val="008F7DB9"/>
  </w:style>
  <w:style w:type="table" w:customStyle="1" w:styleId="TableList716">
    <w:name w:val="Table List 716"/>
    <w:basedOn w:val="TableNormal"/>
    <w:next w:val="TableList7"/>
    <w:uiPriority w:val="99"/>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6">
    <w:name w:val="Table Web 316"/>
    <w:basedOn w:val="TableNormal"/>
    <w:next w:val="TableWeb3"/>
    <w:uiPriority w:val="99"/>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6">
    <w:name w:val="Table Elegant16"/>
    <w:basedOn w:val="TableNormal"/>
    <w:next w:val="TableElegant"/>
    <w:uiPriority w:val="99"/>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6">
    <w:name w:val="Table Web 216"/>
    <w:basedOn w:val="TableNormal"/>
    <w:next w:val="TableWeb2"/>
    <w:uiPriority w:val="99"/>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6">
    <w:name w:val="Table Web 116"/>
    <w:basedOn w:val="TableNormal"/>
    <w:next w:val="TableWeb1"/>
    <w:uiPriority w:val="99"/>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6">
    <w:name w:val="Table Grid 816"/>
    <w:basedOn w:val="TableNormal"/>
    <w:next w:val="TableGrid8"/>
    <w:uiPriority w:val="99"/>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6">
    <w:name w:val="Table Contemporary16"/>
    <w:basedOn w:val="TableNormal"/>
    <w:next w:val="TableContemporary"/>
    <w:uiPriority w:val="99"/>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35">
    <w:name w:val="Light List - Accent 13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6">
    <w:name w:val="Table Grid 716"/>
    <w:basedOn w:val="TableNormal"/>
    <w:next w:val="TableGrid7"/>
    <w:uiPriority w:val="99"/>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6">
    <w:name w:val="Colorful Grid - Accent 12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6">
    <w:name w:val="Light List - Accent 52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6">
    <w:name w:val="Table Simple 316"/>
    <w:basedOn w:val="TableNormal"/>
    <w:next w:val="TableSimple3"/>
    <w:uiPriority w:val="99"/>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6">
    <w:name w:val="Table Grid 516"/>
    <w:basedOn w:val="TableNormal"/>
    <w:next w:val="TableGrid5"/>
    <w:uiPriority w:val="99"/>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6">
    <w:name w:val="Table Grid 316"/>
    <w:basedOn w:val="TableNormal"/>
    <w:next w:val="TableGrid3"/>
    <w:uiPriority w:val="99"/>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60">
    <w:name w:val="Table Grid 116"/>
    <w:basedOn w:val="TableNormal"/>
    <w:next w:val="TableGrid10"/>
    <w:uiPriority w:val="99"/>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6">
    <w:name w:val="Table Columns 516"/>
    <w:basedOn w:val="TableNormal"/>
    <w:next w:val="TableColumns5"/>
    <w:uiPriority w:val="99"/>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9">
    <w:name w:val="Light List - Accent 1119"/>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6">
    <w:name w:val="Нет списка126"/>
    <w:next w:val="NoList"/>
    <w:semiHidden/>
    <w:unhideWhenUsed/>
    <w:rsid w:val="008F7DB9"/>
  </w:style>
  <w:style w:type="table" w:customStyle="1" w:styleId="ColorfulGrid-Accent1116">
    <w:name w:val="Colorful Grid - Accent 1116"/>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7">
    <w:name w:val="Light List - Accent 5117"/>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9">
    <w:name w:val="No List419"/>
    <w:next w:val="NoList"/>
    <w:semiHidden/>
    <w:rsid w:val="008F7DB9"/>
  </w:style>
  <w:style w:type="table" w:customStyle="1" w:styleId="Table3Deffects316">
    <w:name w:val="Table 3D effects 316"/>
    <w:basedOn w:val="TableNormal"/>
    <w:next w:val="Table3Deffects3"/>
    <w:uiPriority w:val="99"/>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6"/>
    <w:next w:val="NoList"/>
    <w:semiHidden/>
    <w:unhideWhenUsed/>
    <w:rsid w:val="008F7DB9"/>
  </w:style>
  <w:style w:type="numbering" w:customStyle="1" w:styleId="NoList516">
    <w:name w:val="No List516"/>
    <w:next w:val="NoList"/>
    <w:uiPriority w:val="99"/>
    <w:semiHidden/>
    <w:unhideWhenUsed/>
    <w:rsid w:val="008F7DB9"/>
  </w:style>
  <w:style w:type="numbering" w:customStyle="1" w:styleId="NoList1218">
    <w:name w:val="No List1218"/>
    <w:next w:val="NoList"/>
    <w:uiPriority w:val="99"/>
    <w:semiHidden/>
    <w:rsid w:val="008F7DB9"/>
  </w:style>
  <w:style w:type="numbering" w:customStyle="1" w:styleId="NoList11210">
    <w:name w:val="No List11210"/>
    <w:next w:val="NoList"/>
    <w:semiHidden/>
    <w:rsid w:val="008F7DB9"/>
  </w:style>
  <w:style w:type="numbering" w:customStyle="1" w:styleId="NoList111116">
    <w:name w:val="No List111116"/>
    <w:next w:val="NoList"/>
    <w:semiHidden/>
    <w:rsid w:val="008F7DB9"/>
  </w:style>
  <w:style w:type="numbering" w:customStyle="1" w:styleId="NoList2116">
    <w:name w:val="No List2116"/>
    <w:next w:val="NoList"/>
    <w:semiHidden/>
    <w:rsid w:val="008F7DB9"/>
  </w:style>
  <w:style w:type="table" w:customStyle="1" w:styleId="TableGrid218">
    <w:name w:val="Table Grid218"/>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6">
    <w:name w:val="No List3116"/>
    <w:next w:val="NoList"/>
    <w:semiHidden/>
    <w:unhideWhenUsed/>
    <w:rsid w:val="008F7DB9"/>
  </w:style>
  <w:style w:type="numbering" w:customStyle="1" w:styleId="NoList68">
    <w:name w:val="No List68"/>
    <w:next w:val="NoList"/>
    <w:uiPriority w:val="99"/>
    <w:semiHidden/>
    <w:unhideWhenUsed/>
    <w:rsid w:val="008F7DB9"/>
  </w:style>
  <w:style w:type="numbering" w:customStyle="1" w:styleId="NoList76">
    <w:name w:val="No List76"/>
    <w:next w:val="NoList"/>
    <w:uiPriority w:val="99"/>
    <w:semiHidden/>
    <w:unhideWhenUsed/>
    <w:rsid w:val="008F7DB9"/>
  </w:style>
  <w:style w:type="table" w:customStyle="1" w:styleId="TableGrid3101">
    <w:name w:val="Table Grid3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semiHidden/>
    <w:unhideWhenUsed/>
    <w:rsid w:val="008F7DB9"/>
  </w:style>
  <w:style w:type="numbering" w:customStyle="1" w:styleId="NoList1135">
    <w:name w:val="No List1135"/>
    <w:next w:val="NoList"/>
    <w:semiHidden/>
    <w:rsid w:val="008F7DB9"/>
  </w:style>
  <w:style w:type="table" w:customStyle="1" w:styleId="TableGrid11100">
    <w:name w:val="Table Grid1110"/>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5">
    <w:name w:val="No List11125"/>
    <w:next w:val="NoList"/>
    <w:semiHidden/>
    <w:rsid w:val="008F7DB9"/>
  </w:style>
  <w:style w:type="numbering" w:customStyle="1" w:styleId="NoList227">
    <w:name w:val="No List227"/>
    <w:next w:val="NoList"/>
    <w:semiHidden/>
    <w:rsid w:val="008F7DB9"/>
  </w:style>
  <w:style w:type="numbering" w:customStyle="1" w:styleId="NoList326">
    <w:name w:val="No List326"/>
    <w:next w:val="NoList"/>
    <w:semiHidden/>
    <w:unhideWhenUsed/>
    <w:rsid w:val="008F7DB9"/>
  </w:style>
  <w:style w:type="table" w:customStyle="1" w:styleId="TableList717">
    <w:name w:val="Table List 717"/>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7">
    <w:name w:val="Table Web 317"/>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7">
    <w:name w:val="Table Elegant17"/>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7">
    <w:name w:val="Table Web 217"/>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7">
    <w:name w:val="Table Web 117"/>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7">
    <w:name w:val="Table Grid 817"/>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7">
    <w:name w:val="Table Contemporary17"/>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4">
    <w:name w:val="Light List - Accent 1214"/>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7">
    <w:name w:val="Table Grid 717"/>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7">
    <w:name w:val="Colorful Grid - Accent 127"/>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7">
    <w:name w:val="Light List - Accent 527"/>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7">
    <w:name w:val="Table Simple 317"/>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7">
    <w:name w:val="Table Grid 517"/>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7">
    <w:name w:val="Table Grid 317"/>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70">
    <w:name w:val="Table Grid 117"/>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7">
    <w:name w:val="Table Columns 517"/>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0">
    <w:name w:val="Light List - Accent 11110"/>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7">
    <w:name w:val="Нет списка127"/>
    <w:next w:val="NoList"/>
    <w:uiPriority w:val="99"/>
    <w:semiHidden/>
    <w:unhideWhenUsed/>
    <w:rsid w:val="008F7DB9"/>
  </w:style>
  <w:style w:type="table" w:customStyle="1" w:styleId="ColorfulGrid-Accent1117">
    <w:name w:val="Colorful Grid - Accent 1117"/>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8">
    <w:name w:val="Light List - Accent 5118"/>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0">
    <w:name w:val="No List4110"/>
    <w:next w:val="NoList"/>
    <w:semiHidden/>
    <w:rsid w:val="008F7DB9"/>
  </w:style>
  <w:style w:type="table" w:customStyle="1" w:styleId="Table3Deffects317">
    <w:name w:val="Table 3D effects 317"/>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
    <w:name w:val="Нет списка1117"/>
    <w:next w:val="NoList"/>
    <w:semiHidden/>
    <w:unhideWhenUsed/>
    <w:rsid w:val="008F7DB9"/>
  </w:style>
  <w:style w:type="numbering" w:customStyle="1" w:styleId="NoList517">
    <w:name w:val="No List517"/>
    <w:next w:val="NoList"/>
    <w:uiPriority w:val="99"/>
    <w:semiHidden/>
    <w:unhideWhenUsed/>
    <w:rsid w:val="008F7DB9"/>
  </w:style>
  <w:style w:type="numbering" w:customStyle="1" w:styleId="NoList1219">
    <w:name w:val="No List1219"/>
    <w:next w:val="NoList"/>
    <w:uiPriority w:val="99"/>
    <w:semiHidden/>
    <w:rsid w:val="008F7DB9"/>
  </w:style>
  <w:style w:type="numbering" w:customStyle="1" w:styleId="NoList11215">
    <w:name w:val="No List11215"/>
    <w:next w:val="NoList"/>
    <w:semiHidden/>
    <w:rsid w:val="008F7DB9"/>
  </w:style>
  <w:style w:type="numbering" w:customStyle="1" w:styleId="NoList1111113">
    <w:name w:val="No List1111113"/>
    <w:next w:val="NoList"/>
    <w:semiHidden/>
    <w:rsid w:val="008F7DB9"/>
  </w:style>
  <w:style w:type="numbering" w:customStyle="1" w:styleId="NoList2117">
    <w:name w:val="No List2117"/>
    <w:next w:val="NoList"/>
    <w:semiHidden/>
    <w:rsid w:val="008F7DB9"/>
  </w:style>
  <w:style w:type="table" w:customStyle="1" w:styleId="TableGrid219">
    <w:name w:val="Table Grid219"/>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7">
    <w:name w:val="No List3117"/>
    <w:next w:val="NoList"/>
    <w:semiHidden/>
    <w:unhideWhenUsed/>
    <w:rsid w:val="008F7DB9"/>
  </w:style>
  <w:style w:type="numbering" w:customStyle="1" w:styleId="NoList86">
    <w:name w:val="No List86"/>
    <w:next w:val="NoList"/>
    <w:uiPriority w:val="99"/>
    <w:semiHidden/>
    <w:unhideWhenUsed/>
    <w:rsid w:val="008F7DB9"/>
  </w:style>
  <w:style w:type="numbering" w:customStyle="1" w:styleId="NoList96">
    <w:name w:val="No List96"/>
    <w:next w:val="NoList"/>
    <w:uiPriority w:val="99"/>
    <w:semiHidden/>
    <w:unhideWhenUsed/>
    <w:rsid w:val="008F7DB9"/>
  </w:style>
  <w:style w:type="table" w:customStyle="1" w:styleId="TableGrid46">
    <w:name w:val="Table Grid4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5">
    <w:name w:val="Table List 725"/>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5">
    <w:name w:val="Table Web 325"/>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5">
    <w:name w:val="Table Elegant25"/>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6">
    <w:name w:val="Table Web 226"/>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6">
    <w:name w:val="Table Web 126"/>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6">
    <w:name w:val="Table Grid 826"/>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6">
    <w:name w:val="Table Contemporary26"/>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6">
    <w:name w:val="No List146"/>
    <w:next w:val="NoList"/>
    <w:semiHidden/>
    <w:unhideWhenUsed/>
    <w:rsid w:val="008F7DB9"/>
  </w:style>
  <w:style w:type="numbering" w:customStyle="1" w:styleId="NoList235">
    <w:name w:val="No List235"/>
    <w:next w:val="NoList"/>
    <w:semiHidden/>
    <w:unhideWhenUsed/>
    <w:rsid w:val="008F7DB9"/>
  </w:style>
  <w:style w:type="numbering" w:customStyle="1" w:styleId="NoList335">
    <w:name w:val="No List335"/>
    <w:next w:val="NoList"/>
    <w:semiHidden/>
    <w:unhideWhenUsed/>
    <w:rsid w:val="008F7DB9"/>
  </w:style>
  <w:style w:type="table" w:customStyle="1" w:styleId="LightList-Accent136">
    <w:name w:val="Light List - Accent 136"/>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5">
    <w:name w:val="Table Grid 725"/>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6">
    <w:name w:val="Colorful Grid - Accent 136"/>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6">
    <w:name w:val="Light List - Accent 536"/>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5">
    <w:name w:val="Table Simple 325"/>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5">
    <w:name w:val="Table Grid 525"/>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5">
    <w:name w:val="Table Grid 325"/>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5">
    <w:name w:val="Table Grid 125"/>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5">
    <w:name w:val="Table Columns 525"/>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5">
    <w:name w:val="Light List - Accent 1125"/>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6">
    <w:name w:val="Нет списка136"/>
    <w:next w:val="NoList"/>
    <w:semiHidden/>
    <w:unhideWhenUsed/>
    <w:rsid w:val="008F7DB9"/>
  </w:style>
  <w:style w:type="table" w:customStyle="1" w:styleId="ColorfulGrid-Accent1125">
    <w:name w:val="Colorful Grid - Accent 1125"/>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5">
    <w:name w:val="Light List - Accent 5125"/>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6">
    <w:name w:val="No List426"/>
    <w:next w:val="NoList"/>
    <w:semiHidden/>
    <w:rsid w:val="008F7DB9"/>
  </w:style>
  <w:style w:type="numbering" w:customStyle="1" w:styleId="NoList1143">
    <w:name w:val="No List1143"/>
    <w:next w:val="NoList"/>
    <w:semiHidden/>
    <w:unhideWhenUsed/>
    <w:rsid w:val="008F7DB9"/>
  </w:style>
  <w:style w:type="table" w:customStyle="1" w:styleId="Table3Deffects325">
    <w:name w:val="Table 3D effects 325"/>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NoList"/>
    <w:semiHidden/>
    <w:unhideWhenUsed/>
    <w:rsid w:val="008F7DB9"/>
  </w:style>
  <w:style w:type="numbering" w:customStyle="1" w:styleId="NoList106">
    <w:name w:val="No List106"/>
    <w:next w:val="NoList"/>
    <w:uiPriority w:val="99"/>
    <w:semiHidden/>
    <w:unhideWhenUsed/>
    <w:rsid w:val="008F7DB9"/>
  </w:style>
  <w:style w:type="table" w:customStyle="1" w:styleId="TableGrid560">
    <w:name w:val="Table Grid56"/>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5">
    <w:name w:val="No List155"/>
    <w:next w:val="NoList"/>
    <w:uiPriority w:val="99"/>
    <w:semiHidden/>
    <w:unhideWhenUsed/>
    <w:rsid w:val="008F7DB9"/>
  </w:style>
  <w:style w:type="numbering" w:customStyle="1" w:styleId="NoList1153">
    <w:name w:val="No List1153"/>
    <w:next w:val="NoList"/>
    <w:semiHidden/>
    <w:rsid w:val="008F7DB9"/>
  </w:style>
  <w:style w:type="table" w:customStyle="1" w:styleId="TableGrid1250">
    <w:name w:val="Table Grid12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3">
    <w:name w:val="No List11133"/>
    <w:next w:val="NoList"/>
    <w:semiHidden/>
    <w:rsid w:val="008F7DB9"/>
  </w:style>
  <w:style w:type="numbering" w:customStyle="1" w:styleId="NoList243">
    <w:name w:val="No List243"/>
    <w:next w:val="NoList"/>
    <w:semiHidden/>
    <w:rsid w:val="008F7DB9"/>
  </w:style>
  <w:style w:type="numbering" w:customStyle="1" w:styleId="NoList343">
    <w:name w:val="No List343"/>
    <w:next w:val="NoList"/>
    <w:semiHidden/>
    <w:unhideWhenUsed/>
    <w:rsid w:val="008F7DB9"/>
  </w:style>
  <w:style w:type="table" w:customStyle="1" w:styleId="TableList733">
    <w:name w:val="Table List 73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3">
    <w:name w:val="Table Web 33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3">
    <w:name w:val="Table Elegant3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5">
    <w:name w:val="Table Web 23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5">
    <w:name w:val="Table Web 13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5">
    <w:name w:val="Table Grid 83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5">
    <w:name w:val="Table Contemporary3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3">
    <w:name w:val="Light List - Accent 143"/>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3">
    <w:name w:val="Table Grid 73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5">
    <w:name w:val="Colorful Grid - Accent 145"/>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5">
    <w:name w:val="Light List - Accent 545"/>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3">
    <w:name w:val="Table Simple 33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3">
    <w:name w:val="Table Grid 53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3">
    <w:name w:val="Table Grid 33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30">
    <w:name w:val="Table Grid 13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3">
    <w:name w:val="Table Columns 53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3">
    <w:name w:val="Light List - Accent 1133"/>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5">
    <w:name w:val="Нет списка145"/>
    <w:next w:val="NoList"/>
    <w:semiHidden/>
    <w:unhideWhenUsed/>
    <w:rsid w:val="008F7DB9"/>
  </w:style>
  <w:style w:type="table" w:customStyle="1" w:styleId="ColorfulGrid-Accent1133">
    <w:name w:val="Colorful Grid - Accent 1133"/>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3">
    <w:name w:val="Light List - Accent 5133"/>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5">
    <w:name w:val="No List435"/>
    <w:next w:val="NoList"/>
    <w:semiHidden/>
    <w:rsid w:val="008F7DB9"/>
  </w:style>
  <w:style w:type="table" w:customStyle="1" w:styleId="Table3Deffects333">
    <w:name w:val="Table 3D effects 33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NoList"/>
    <w:semiHidden/>
    <w:unhideWhenUsed/>
    <w:rsid w:val="008F7DB9"/>
  </w:style>
  <w:style w:type="numbering" w:customStyle="1" w:styleId="NoList525">
    <w:name w:val="No List525"/>
    <w:next w:val="NoList"/>
    <w:uiPriority w:val="99"/>
    <w:semiHidden/>
    <w:unhideWhenUsed/>
    <w:rsid w:val="008F7DB9"/>
  </w:style>
  <w:style w:type="numbering" w:customStyle="1" w:styleId="NoList1225">
    <w:name w:val="No List1225"/>
    <w:next w:val="NoList"/>
    <w:uiPriority w:val="99"/>
    <w:semiHidden/>
    <w:rsid w:val="008F7DB9"/>
  </w:style>
  <w:style w:type="numbering" w:customStyle="1" w:styleId="NoList11223">
    <w:name w:val="No List11223"/>
    <w:next w:val="NoList"/>
    <w:semiHidden/>
    <w:rsid w:val="008F7DB9"/>
  </w:style>
  <w:style w:type="numbering" w:customStyle="1" w:styleId="NoList111125">
    <w:name w:val="No List111125"/>
    <w:next w:val="NoList"/>
    <w:semiHidden/>
    <w:rsid w:val="008F7DB9"/>
  </w:style>
  <w:style w:type="numbering" w:customStyle="1" w:styleId="NoList2125">
    <w:name w:val="No List2125"/>
    <w:next w:val="NoList"/>
    <w:semiHidden/>
    <w:rsid w:val="008F7DB9"/>
  </w:style>
  <w:style w:type="table" w:customStyle="1" w:styleId="TableGrid226">
    <w:name w:val="Table Grid22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5">
    <w:name w:val="No List3125"/>
    <w:next w:val="NoList"/>
    <w:semiHidden/>
    <w:unhideWhenUsed/>
    <w:rsid w:val="008F7DB9"/>
  </w:style>
  <w:style w:type="table" w:customStyle="1" w:styleId="LightShading-Accent115">
    <w:name w:val="Light Shading - Accent 115"/>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5">
    <w:name w:val="Medium Grid 2 - Accent 115"/>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5">
    <w:name w:val="Medium List 2 - Accent 515"/>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4">
    <w:name w:val="Light List - Accent 15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5">
    <w:name w:val="Medium Grid 3 - Accent 515"/>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5">
    <w:name w:val="Light Shading - Accent 515"/>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5">
    <w:name w:val="Medium Grid 2 - Accent 515"/>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5">
    <w:name w:val="Light Grid - Accent 115"/>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5">
    <w:name w:val="Table List 45"/>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4">
    <w:name w:val="Table List 414"/>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3">
    <w:name w:val="Table Theme3"/>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3">
    <w:name w:val="Table Professional3"/>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30">
    <w:name w:val="Table Grid 63"/>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3">
    <w:name w:val="Table List 42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3">
    <w:name w:val="Table List 4113"/>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7">
    <w:name w:val="Style117"/>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8">
    <w:name w:val="Style218"/>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7">
    <w:name w:val="Style2117"/>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5">
    <w:name w:val="No List165"/>
    <w:next w:val="NoList"/>
    <w:semiHidden/>
    <w:unhideWhenUsed/>
    <w:rsid w:val="008F7DB9"/>
  </w:style>
  <w:style w:type="table" w:customStyle="1" w:styleId="TableGrid66">
    <w:name w:val="Table Grid6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8F7DB9"/>
  </w:style>
  <w:style w:type="numbering" w:customStyle="1" w:styleId="NoList1163">
    <w:name w:val="No List1163"/>
    <w:next w:val="NoList"/>
    <w:semiHidden/>
    <w:rsid w:val="008F7DB9"/>
  </w:style>
  <w:style w:type="table" w:customStyle="1" w:styleId="TableGrid135">
    <w:name w:val="Table Grid135"/>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4">
    <w:name w:val="Light List - Accent 164"/>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2">
    <w:name w:val="Light Shading - Accent 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2">
    <w:name w:val="Medium Grid 2 - Accent 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2">
    <w:name w:val="Medium List 2 - Accent 5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2">
    <w:name w:val="Light List - Accent 17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2">
    <w:name w:val="Medium Grid 3 - Accent 5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2">
    <w:name w:val="Light Shading - Accent 5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2">
    <w:name w:val="Medium Grid 2 - Accent 5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2">
    <w:name w:val="Light Grid - Accent 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2">
    <w:name w:val="No List182"/>
    <w:next w:val="NoList"/>
    <w:semiHidden/>
    <w:unhideWhenUsed/>
    <w:rsid w:val="008F7DB9"/>
  </w:style>
  <w:style w:type="table" w:customStyle="1" w:styleId="TableGrid760">
    <w:name w:val="Table Grid76"/>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2">
    <w:name w:val="Table List 74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2">
    <w:name w:val="Table Web 34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2">
    <w:name w:val="Table Elegant4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2">
    <w:name w:val="Table Web 24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2">
    <w:name w:val="Table Web 14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2">
    <w:name w:val="Table Grid 84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2">
    <w:name w:val="Table Contemporary4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2">
    <w:name w:val="No List192"/>
    <w:next w:val="NoList"/>
    <w:semiHidden/>
    <w:unhideWhenUsed/>
    <w:rsid w:val="008F7DB9"/>
  </w:style>
  <w:style w:type="numbering" w:customStyle="1" w:styleId="NoList252">
    <w:name w:val="No List252"/>
    <w:next w:val="NoList"/>
    <w:semiHidden/>
    <w:unhideWhenUsed/>
    <w:rsid w:val="008F7DB9"/>
  </w:style>
  <w:style w:type="numbering" w:customStyle="1" w:styleId="NoList352">
    <w:name w:val="No List352"/>
    <w:next w:val="NoList"/>
    <w:semiHidden/>
    <w:unhideWhenUsed/>
    <w:rsid w:val="008F7DB9"/>
  </w:style>
  <w:style w:type="table" w:customStyle="1" w:styleId="LightList-Accent182">
    <w:name w:val="Light List - Accent 18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2">
    <w:name w:val="Table Grid 74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2">
    <w:name w:val="Colorful Grid - Accent 15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2">
    <w:name w:val="Light List - Accent 55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2">
    <w:name w:val="Table Simple 34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2">
    <w:name w:val="Table Grid 54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2">
    <w:name w:val="Table Grid 34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20">
    <w:name w:val="Table Grid 14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2">
    <w:name w:val="Table Columns 54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2">
    <w:name w:val="Light List - Accent 114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2">
    <w:name w:val="Нет списка152"/>
    <w:next w:val="NoList"/>
    <w:semiHidden/>
    <w:unhideWhenUsed/>
    <w:rsid w:val="008F7DB9"/>
  </w:style>
  <w:style w:type="table" w:customStyle="1" w:styleId="ColorfulGrid-Accent1142">
    <w:name w:val="Colorful Grid - Accent 114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2">
    <w:name w:val="Light List - Accent 514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2">
    <w:name w:val="No List442"/>
    <w:next w:val="NoList"/>
    <w:semiHidden/>
    <w:rsid w:val="008F7DB9"/>
  </w:style>
  <w:style w:type="numbering" w:customStyle="1" w:styleId="NoList1172">
    <w:name w:val="No List1172"/>
    <w:next w:val="NoList"/>
    <w:semiHidden/>
    <w:unhideWhenUsed/>
    <w:rsid w:val="008F7DB9"/>
  </w:style>
  <w:style w:type="table" w:customStyle="1" w:styleId="Table3Deffects342">
    <w:name w:val="Table 3D effects 34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NoList"/>
    <w:semiHidden/>
    <w:unhideWhenUsed/>
    <w:rsid w:val="008F7DB9"/>
  </w:style>
  <w:style w:type="table" w:customStyle="1" w:styleId="Style1112">
    <w:name w:val="Style11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2">
    <w:name w:val="Style2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2">
    <w:name w:val="Style2111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2">
    <w:name w:val="Style112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2">
    <w:name w:val="Style2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2">
    <w:name w:val="Style2112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2">
    <w:name w:val="No List202"/>
    <w:next w:val="NoList"/>
    <w:uiPriority w:val="99"/>
    <w:semiHidden/>
    <w:unhideWhenUsed/>
    <w:rsid w:val="008F7DB9"/>
  </w:style>
  <w:style w:type="numbering" w:customStyle="1" w:styleId="NoList1102">
    <w:name w:val="No List1102"/>
    <w:next w:val="NoList"/>
    <w:uiPriority w:val="99"/>
    <w:semiHidden/>
    <w:unhideWhenUsed/>
    <w:rsid w:val="008F7DB9"/>
  </w:style>
  <w:style w:type="table" w:customStyle="1" w:styleId="TableGrid850">
    <w:name w:val="Table Grid85"/>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2">
    <w:name w:val="No List1182"/>
    <w:next w:val="NoList"/>
    <w:semiHidden/>
    <w:unhideWhenUsed/>
    <w:rsid w:val="008F7DB9"/>
  </w:style>
  <w:style w:type="numbering" w:customStyle="1" w:styleId="NoList11142">
    <w:name w:val="No List11142"/>
    <w:next w:val="NoList"/>
    <w:semiHidden/>
    <w:rsid w:val="008F7DB9"/>
  </w:style>
  <w:style w:type="table" w:customStyle="1" w:styleId="TableGrid144">
    <w:name w:val="Table Grid14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semiHidden/>
    <w:rsid w:val="008F7DB9"/>
  </w:style>
  <w:style w:type="numbering" w:customStyle="1" w:styleId="NoList262">
    <w:name w:val="No List262"/>
    <w:next w:val="NoList"/>
    <w:semiHidden/>
    <w:rsid w:val="008F7DB9"/>
  </w:style>
  <w:style w:type="numbering" w:customStyle="1" w:styleId="NoList362">
    <w:name w:val="No List362"/>
    <w:next w:val="NoList"/>
    <w:semiHidden/>
    <w:unhideWhenUsed/>
    <w:rsid w:val="008F7DB9"/>
  </w:style>
  <w:style w:type="table" w:customStyle="1" w:styleId="TableList752">
    <w:name w:val="Table List 75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2">
    <w:name w:val="Table Web 35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2">
    <w:name w:val="Table Elegant5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2">
    <w:name w:val="Table Web 25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2">
    <w:name w:val="Table Web 15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2">
    <w:name w:val="Table Grid 85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2">
    <w:name w:val="Table Contemporary5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2">
    <w:name w:val="Light List - Accent 19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2">
    <w:name w:val="Table Grid 75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2">
    <w:name w:val="Colorful Grid - Accent 16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2">
    <w:name w:val="Light List - Accent 56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2">
    <w:name w:val="Table Simple 35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2">
    <w:name w:val="Table Grid 55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2">
    <w:name w:val="Table Grid 35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2">
    <w:name w:val="Table Grid 15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2">
    <w:name w:val="Table Columns 55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2">
    <w:name w:val="Light List - Accent 115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2">
    <w:name w:val="Нет списка162"/>
    <w:next w:val="NoList"/>
    <w:semiHidden/>
    <w:unhideWhenUsed/>
    <w:rsid w:val="008F7DB9"/>
  </w:style>
  <w:style w:type="table" w:customStyle="1" w:styleId="ColorfulGrid-Accent1152">
    <w:name w:val="Colorful Grid - Accent 115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2">
    <w:name w:val="Light List - Accent 515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2">
    <w:name w:val="No List452"/>
    <w:next w:val="NoList"/>
    <w:semiHidden/>
    <w:rsid w:val="008F7DB9"/>
  </w:style>
  <w:style w:type="table" w:customStyle="1" w:styleId="Table3Deffects352">
    <w:name w:val="Table 3D effects 35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
    <w:name w:val="Нет списка1152"/>
    <w:next w:val="NoList"/>
    <w:semiHidden/>
    <w:unhideWhenUsed/>
    <w:rsid w:val="008F7DB9"/>
  </w:style>
  <w:style w:type="numbering" w:customStyle="1" w:styleId="NoList532">
    <w:name w:val="No List532"/>
    <w:next w:val="NoList"/>
    <w:uiPriority w:val="99"/>
    <w:semiHidden/>
    <w:unhideWhenUsed/>
    <w:rsid w:val="008F7DB9"/>
  </w:style>
  <w:style w:type="numbering" w:customStyle="1" w:styleId="NoList1232">
    <w:name w:val="No List1232"/>
    <w:next w:val="NoList"/>
    <w:semiHidden/>
    <w:rsid w:val="008F7DB9"/>
  </w:style>
  <w:style w:type="numbering" w:customStyle="1" w:styleId="NoList11232">
    <w:name w:val="No List11232"/>
    <w:next w:val="NoList"/>
    <w:semiHidden/>
    <w:rsid w:val="008F7DB9"/>
  </w:style>
  <w:style w:type="numbering" w:customStyle="1" w:styleId="NoList11111112">
    <w:name w:val="No List11111112"/>
    <w:next w:val="NoList"/>
    <w:semiHidden/>
    <w:rsid w:val="008F7DB9"/>
  </w:style>
  <w:style w:type="numbering" w:customStyle="1" w:styleId="NoList2132">
    <w:name w:val="No List2132"/>
    <w:next w:val="NoList"/>
    <w:semiHidden/>
    <w:rsid w:val="008F7DB9"/>
  </w:style>
  <w:style w:type="table" w:customStyle="1" w:styleId="TableGrid234">
    <w:name w:val="Table Grid23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2">
    <w:name w:val="No List3132"/>
    <w:next w:val="NoList"/>
    <w:uiPriority w:val="99"/>
    <w:semiHidden/>
    <w:unhideWhenUsed/>
    <w:rsid w:val="008F7DB9"/>
  </w:style>
  <w:style w:type="numbering" w:customStyle="1" w:styleId="NoList615">
    <w:name w:val="No List615"/>
    <w:next w:val="NoList"/>
    <w:uiPriority w:val="99"/>
    <w:semiHidden/>
    <w:unhideWhenUsed/>
    <w:rsid w:val="008F7DB9"/>
  </w:style>
  <w:style w:type="numbering" w:customStyle="1" w:styleId="NoList715">
    <w:name w:val="No List715"/>
    <w:next w:val="NoList"/>
    <w:uiPriority w:val="99"/>
    <w:semiHidden/>
    <w:unhideWhenUsed/>
    <w:rsid w:val="008F7DB9"/>
  </w:style>
  <w:style w:type="table" w:customStyle="1" w:styleId="TableGrid3150">
    <w:name w:val="Table Grid315"/>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5">
    <w:name w:val="No List1315"/>
    <w:next w:val="NoList"/>
    <w:semiHidden/>
    <w:unhideWhenUsed/>
    <w:rsid w:val="008F7DB9"/>
  </w:style>
  <w:style w:type="numbering" w:customStyle="1" w:styleId="NoList11312">
    <w:name w:val="No List11312"/>
    <w:next w:val="NoList"/>
    <w:semiHidden/>
    <w:rsid w:val="008F7DB9"/>
  </w:style>
  <w:style w:type="table" w:customStyle="1" w:styleId="TableGrid1116">
    <w:name w:val="Table Grid1116"/>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2">
    <w:name w:val="No List111212"/>
    <w:next w:val="NoList"/>
    <w:semiHidden/>
    <w:rsid w:val="008F7DB9"/>
  </w:style>
  <w:style w:type="numbering" w:customStyle="1" w:styleId="NoList2214">
    <w:name w:val="No List2214"/>
    <w:next w:val="NoList"/>
    <w:semiHidden/>
    <w:rsid w:val="008F7DB9"/>
  </w:style>
  <w:style w:type="numbering" w:customStyle="1" w:styleId="NoList3214">
    <w:name w:val="No List3214"/>
    <w:next w:val="NoList"/>
    <w:semiHidden/>
    <w:unhideWhenUsed/>
    <w:rsid w:val="008F7DB9"/>
  </w:style>
  <w:style w:type="table" w:customStyle="1" w:styleId="TableList7114">
    <w:name w:val="Table List 7114"/>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4">
    <w:name w:val="Table Web 3114"/>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4">
    <w:name w:val="Table Elegant114"/>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5">
    <w:name w:val="Table Web 2115"/>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5">
    <w:name w:val="Table Web 1115"/>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5">
    <w:name w:val="Table Grid 8115"/>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5">
    <w:name w:val="Table Contemporary115"/>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5">
    <w:name w:val="Light List - Accent 1215"/>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4">
    <w:name w:val="Table Grid 7114"/>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5">
    <w:name w:val="Colorful Grid - Accent 1215"/>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5">
    <w:name w:val="Light List - Accent 5215"/>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4">
    <w:name w:val="Table Simple 3114"/>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4">
    <w:name w:val="Table Grid 5114"/>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4">
    <w:name w:val="Table Grid 3114"/>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40">
    <w:name w:val="Table Grid 1114"/>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4">
    <w:name w:val="Table Columns 5114"/>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4">
    <w:name w:val="Light List - Accent 11114"/>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5">
    <w:name w:val="Нет списка1215"/>
    <w:next w:val="NoList"/>
    <w:uiPriority w:val="99"/>
    <w:semiHidden/>
    <w:unhideWhenUsed/>
    <w:rsid w:val="008F7DB9"/>
  </w:style>
  <w:style w:type="table" w:customStyle="1" w:styleId="ColorfulGrid-Accent11114">
    <w:name w:val="Colorful Grid - Accent 11114"/>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4">
    <w:name w:val="Light List - Accent 51114"/>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5">
    <w:name w:val="No List4115"/>
    <w:next w:val="NoList"/>
    <w:semiHidden/>
    <w:rsid w:val="008F7DB9"/>
  </w:style>
  <w:style w:type="table" w:customStyle="1" w:styleId="Table3Deffects3114">
    <w:name w:val="Table 3D effects 3114"/>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NoList"/>
    <w:semiHidden/>
    <w:unhideWhenUsed/>
    <w:rsid w:val="008F7DB9"/>
  </w:style>
  <w:style w:type="numbering" w:customStyle="1" w:styleId="NoList5114">
    <w:name w:val="No List5114"/>
    <w:next w:val="NoList"/>
    <w:uiPriority w:val="99"/>
    <w:semiHidden/>
    <w:unhideWhenUsed/>
    <w:rsid w:val="008F7DB9"/>
  </w:style>
  <w:style w:type="numbering" w:customStyle="1" w:styleId="NoList12114">
    <w:name w:val="No List12114"/>
    <w:next w:val="NoList"/>
    <w:uiPriority w:val="99"/>
    <w:semiHidden/>
    <w:rsid w:val="008F7DB9"/>
  </w:style>
  <w:style w:type="numbering" w:customStyle="1" w:styleId="NoList112112">
    <w:name w:val="No List112112"/>
    <w:next w:val="NoList"/>
    <w:semiHidden/>
    <w:rsid w:val="008F7DB9"/>
  </w:style>
  <w:style w:type="numbering" w:customStyle="1" w:styleId="NoList111111112">
    <w:name w:val="No List111111112"/>
    <w:next w:val="NoList"/>
    <w:semiHidden/>
    <w:rsid w:val="008F7DB9"/>
  </w:style>
  <w:style w:type="numbering" w:customStyle="1" w:styleId="NoList21114">
    <w:name w:val="No List21114"/>
    <w:next w:val="NoList"/>
    <w:semiHidden/>
    <w:rsid w:val="008F7DB9"/>
  </w:style>
  <w:style w:type="table" w:customStyle="1" w:styleId="TableGrid2114">
    <w:name w:val="Table Grid2114"/>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4">
    <w:name w:val="No List31114"/>
    <w:next w:val="NoList"/>
    <w:semiHidden/>
    <w:unhideWhenUsed/>
    <w:rsid w:val="008F7DB9"/>
  </w:style>
  <w:style w:type="numbering" w:customStyle="1" w:styleId="NoList815">
    <w:name w:val="No List815"/>
    <w:next w:val="NoList"/>
    <w:uiPriority w:val="99"/>
    <w:semiHidden/>
    <w:unhideWhenUsed/>
    <w:rsid w:val="008F7DB9"/>
  </w:style>
  <w:style w:type="numbering" w:customStyle="1" w:styleId="NoList914">
    <w:name w:val="No List914"/>
    <w:next w:val="NoList"/>
    <w:uiPriority w:val="99"/>
    <w:semiHidden/>
    <w:unhideWhenUsed/>
    <w:rsid w:val="008F7DB9"/>
  </w:style>
  <w:style w:type="table" w:customStyle="1" w:styleId="TableGrid415">
    <w:name w:val="Table Grid4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2">
    <w:name w:val="Table List 72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2">
    <w:name w:val="Table Web 32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2">
    <w:name w:val="Table Elegant2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4">
    <w:name w:val="Table Web 2214"/>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4">
    <w:name w:val="Table Web 1214"/>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4">
    <w:name w:val="Table Grid 8214"/>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4">
    <w:name w:val="Table Contemporary214"/>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4">
    <w:name w:val="No List1414"/>
    <w:next w:val="NoList"/>
    <w:semiHidden/>
    <w:unhideWhenUsed/>
    <w:rsid w:val="008F7DB9"/>
  </w:style>
  <w:style w:type="numbering" w:customStyle="1" w:styleId="NoList2312">
    <w:name w:val="No List2312"/>
    <w:next w:val="NoList"/>
    <w:semiHidden/>
    <w:unhideWhenUsed/>
    <w:rsid w:val="008F7DB9"/>
  </w:style>
  <w:style w:type="numbering" w:customStyle="1" w:styleId="NoList3312">
    <w:name w:val="No List3312"/>
    <w:next w:val="NoList"/>
    <w:semiHidden/>
    <w:unhideWhenUsed/>
    <w:rsid w:val="008F7DB9"/>
  </w:style>
  <w:style w:type="table" w:customStyle="1" w:styleId="LightList-Accent1312">
    <w:name w:val="Light List - Accent 13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2">
    <w:name w:val="Table Grid 72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4">
    <w:name w:val="Colorful Grid - Accent 1314"/>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4">
    <w:name w:val="Light List - Accent 5314"/>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2">
    <w:name w:val="Table Simple 32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2">
    <w:name w:val="Table Grid 52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2">
    <w:name w:val="Table Grid 32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20">
    <w:name w:val="Table Grid 12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2">
    <w:name w:val="Table Columns 52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2">
    <w:name w:val="Light List - Accent 112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4">
    <w:name w:val="Нет списка1314"/>
    <w:next w:val="NoList"/>
    <w:semiHidden/>
    <w:unhideWhenUsed/>
    <w:rsid w:val="008F7DB9"/>
  </w:style>
  <w:style w:type="table" w:customStyle="1" w:styleId="ColorfulGrid-Accent11212">
    <w:name w:val="Colorful Grid - Accent 112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2">
    <w:name w:val="Light List - Accent 512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4">
    <w:name w:val="No List4214"/>
    <w:next w:val="NoList"/>
    <w:semiHidden/>
    <w:rsid w:val="008F7DB9"/>
  </w:style>
  <w:style w:type="numbering" w:customStyle="1" w:styleId="NoList11412">
    <w:name w:val="No List11412"/>
    <w:next w:val="NoList"/>
    <w:semiHidden/>
    <w:unhideWhenUsed/>
    <w:rsid w:val="008F7DB9"/>
  </w:style>
  <w:style w:type="table" w:customStyle="1" w:styleId="Table3Deffects3212">
    <w:name w:val="Table 3D effects 32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4">
    <w:name w:val="Нет списка11214"/>
    <w:next w:val="NoList"/>
    <w:semiHidden/>
    <w:unhideWhenUsed/>
    <w:rsid w:val="008F7DB9"/>
  </w:style>
  <w:style w:type="numbering" w:customStyle="1" w:styleId="NoList1014">
    <w:name w:val="No List1014"/>
    <w:next w:val="NoList"/>
    <w:uiPriority w:val="99"/>
    <w:semiHidden/>
    <w:unhideWhenUsed/>
    <w:rsid w:val="008F7DB9"/>
  </w:style>
  <w:style w:type="table" w:customStyle="1" w:styleId="TableGrid5140">
    <w:name w:val="Table Grid5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semiHidden/>
    <w:unhideWhenUsed/>
    <w:rsid w:val="008F7DB9"/>
  </w:style>
  <w:style w:type="numbering" w:customStyle="1" w:styleId="NoList11512">
    <w:name w:val="No List11512"/>
    <w:next w:val="NoList"/>
    <w:semiHidden/>
    <w:rsid w:val="008F7DB9"/>
  </w:style>
  <w:style w:type="table" w:customStyle="1" w:styleId="TableGrid1214">
    <w:name w:val="Table Grid1214"/>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2">
    <w:name w:val="No List111312"/>
    <w:next w:val="NoList"/>
    <w:semiHidden/>
    <w:rsid w:val="008F7DB9"/>
  </w:style>
  <w:style w:type="numbering" w:customStyle="1" w:styleId="NoList2412">
    <w:name w:val="No List2412"/>
    <w:next w:val="NoList"/>
    <w:semiHidden/>
    <w:rsid w:val="008F7DB9"/>
  </w:style>
  <w:style w:type="numbering" w:customStyle="1" w:styleId="NoList3412">
    <w:name w:val="No List3412"/>
    <w:next w:val="NoList"/>
    <w:semiHidden/>
    <w:unhideWhenUsed/>
    <w:rsid w:val="008F7DB9"/>
  </w:style>
  <w:style w:type="table" w:customStyle="1" w:styleId="TableList7312">
    <w:name w:val="Table List 731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2">
    <w:name w:val="Table Web 331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2">
    <w:name w:val="Table Elegant31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2">
    <w:name w:val="Table Web 231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2">
    <w:name w:val="Table Web 131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2">
    <w:name w:val="Table Grid 831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2">
    <w:name w:val="Table Contemporary31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2">
    <w:name w:val="Light List - Accent 141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20">
    <w:name w:val="Table Grid 731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2">
    <w:name w:val="Colorful Grid - Accent 141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2">
    <w:name w:val="Light List - Accent 541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2">
    <w:name w:val="Table Simple 331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2">
    <w:name w:val="Table Grid 531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2">
    <w:name w:val="Table Grid 331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2">
    <w:name w:val="Table Grid 131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2">
    <w:name w:val="Table Columns 531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2">
    <w:name w:val="Light List - Accent 1131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2">
    <w:name w:val="Нет списка1412"/>
    <w:next w:val="NoList"/>
    <w:semiHidden/>
    <w:unhideWhenUsed/>
    <w:rsid w:val="008F7DB9"/>
  </w:style>
  <w:style w:type="table" w:customStyle="1" w:styleId="ColorfulGrid-Accent11312">
    <w:name w:val="Colorful Grid - Accent 1131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2">
    <w:name w:val="Light List - Accent 5131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2">
    <w:name w:val="No List4312"/>
    <w:next w:val="NoList"/>
    <w:semiHidden/>
    <w:rsid w:val="008F7DB9"/>
  </w:style>
  <w:style w:type="table" w:customStyle="1" w:styleId="Table3Deffects3312">
    <w:name w:val="Table 3D effects 331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2">
    <w:name w:val="Нет списка11312"/>
    <w:next w:val="NoList"/>
    <w:semiHidden/>
    <w:unhideWhenUsed/>
    <w:rsid w:val="008F7DB9"/>
  </w:style>
  <w:style w:type="numbering" w:customStyle="1" w:styleId="NoList5212">
    <w:name w:val="No List5212"/>
    <w:next w:val="NoList"/>
    <w:uiPriority w:val="99"/>
    <w:semiHidden/>
    <w:unhideWhenUsed/>
    <w:rsid w:val="008F7DB9"/>
  </w:style>
  <w:style w:type="numbering" w:customStyle="1" w:styleId="NoList12212">
    <w:name w:val="No List12212"/>
    <w:next w:val="NoList"/>
    <w:semiHidden/>
    <w:rsid w:val="008F7DB9"/>
  </w:style>
  <w:style w:type="numbering" w:customStyle="1" w:styleId="NoList112212">
    <w:name w:val="No List112212"/>
    <w:next w:val="NoList"/>
    <w:semiHidden/>
    <w:rsid w:val="008F7DB9"/>
  </w:style>
  <w:style w:type="numbering" w:customStyle="1" w:styleId="NoList1111212">
    <w:name w:val="No List1111212"/>
    <w:next w:val="NoList"/>
    <w:semiHidden/>
    <w:rsid w:val="008F7DB9"/>
  </w:style>
  <w:style w:type="numbering" w:customStyle="1" w:styleId="NoList21212">
    <w:name w:val="No List21212"/>
    <w:next w:val="NoList"/>
    <w:semiHidden/>
    <w:rsid w:val="008F7DB9"/>
  </w:style>
  <w:style w:type="table" w:customStyle="1" w:styleId="TableGrid2215">
    <w:name w:val="Table Grid221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2">
    <w:name w:val="No List31212"/>
    <w:next w:val="NoList"/>
    <w:uiPriority w:val="99"/>
    <w:semiHidden/>
    <w:unhideWhenUsed/>
    <w:rsid w:val="008F7DB9"/>
  </w:style>
  <w:style w:type="table" w:customStyle="1" w:styleId="LightShading-Accent1112">
    <w:name w:val="Light Shading - Accent 111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2">
    <w:name w:val="Medium Grid 2 - Accent 111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2">
    <w:name w:val="Medium List 2 - Accent 511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2">
    <w:name w:val="Light List - Accent 15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2">
    <w:name w:val="Medium Grid 3 - Accent 511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2">
    <w:name w:val="Light Shading - Accent 511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2">
    <w:name w:val="Medium Grid 2 - Accent 511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2">
    <w:name w:val="Light Grid - Accent 111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2">
    <w:name w:val="Table List 43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2">
    <w:name w:val="Table List 412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2">
    <w:name w:val="Table Theme12"/>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2">
    <w:name w:val="Table Professional12"/>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20">
    <w:name w:val="Table Grid 612"/>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2">
    <w:name w:val="Table List 42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2">
    <w:name w:val="Table List 41112"/>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2">
    <w:name w:val="Style113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2">
    <w:name w:val="Style2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2">
    <w:name w:val="Style2113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2">
    <w:name w:val="No List1612"/>
    <w:next w:val="NoList"/>
    <w:uiPriority w:val="99"/>
    <w:semiHidden/>
    <w:unhideWhenUsed/>
    <w:rsid w:val="008F7DB9"/>
  </w:style>
  <w:style w:type="table" w:customStyle="1" w:styleId="TableGrid614">
    <w:name w:val="Table Grid6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2">
    <w:name w:val="No List1712"/>
    <w:next w:val="NoList"/>
    <w:uiPriority w:val="99"/>
    <w:semiHidden/>
    <w:unhideWhenUsed/>
    <w:rsid w:val="008F7DB9"/>
  </w:style>
  <w:style w:type="numbering" w:customStyle="1" w:styleId="NoList11612">
    <w:name w:val="No List11612"/>
    <w:next w:val="NoList"/>
    <w:semiHidden/>
    <w:rsid w:val="008F7DB9"/>
  </w:style>
  <w:style w:type="table" w:customStyle="1" w:styleId="TableGrid13120">
    <w:name w:val="Table Grid131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2">
    <w:name w:val="Light List - Accent 16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2">
    <w:name w:val="Light Shading - Accent 132"/>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2">
    <w:name w:val="Medium Grid 2 - Accent 132"/>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2">
    <w:name w:val="Medium List 2 - Accent 532"/>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2">
    <w:name w:val="Medium Grid 3 - Accent 532"/>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2">
    <w:name w:val="Light Shading - Accent 532"/>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2">
    <w:name w:val="Medium Grid 2 - Accent 532"/>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2">
    <w:name w:val="Light Grid - Accent 132"/>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2">
    <w:name w:val="Light Shading - Accent 14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2">
    <w:name w:val="Medium Grid 2 - Accent 14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2">
    <w:name w:val="Medium List 2 - Accent 54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2">
    <w:name w:val="Light List - Accent 11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2">
    <w:name w:val="Medium Grid 3 - Accent 54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2">
    <w:name w:val="Light Shading - Accent 54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2">
    <w:name w:val="Medium Grid 2 - Accent 54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2">
    <w:name w:val="Light Grid - Accent 14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2">
    <w:name w:val="Light Shading - Accent 15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2">
    <w:name w:val="Medium Grid 2 - Accent 15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2">
    <w:name w:val="Medium List 2 - Accent 55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2">
    <w:name w:val="Light List - Accent 116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2">
    <w:name w:val="Medium Grid 3 - Accent 55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2">
    <w:name w:val="Light Shading - Accent 55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2">
    <w:name w:val="Medium Grid 2 - Accent 55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2">
    <w:name w:val="Light Grid - Accent 15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2">
    <w:name w:val="No List272"/>
    <w:next w:val="NoList"/>
    <w:uiPriority w:val="99"/>
    <w:semiHidden/>
    <w:unhideWhenUsed/>
    <w:rsid w:val="008F7DB9"/>
  </w:style>
  <w:style w:type="table" w:customStyle="1" w:styleId="TableGrid95">
    <w:name w:val="Table Grid9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2">
    <w:name w:val="Table List 762"/>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2">
    <w:name w:val="Table Web 362"/>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2">
    <w:name w:val="Table Elegant62"/>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2">
    <w:name w:val="Table Web 262"/>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2">
    <w:name w:val="Table Web 162"/>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2">
    <w:name w:val="Table Grid 862"/>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2">
    <w:name w:val="Table Contemporary62"/>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2">
    <w:name w:val="No List1192"/>
    <w:next w:val="NoList"/>
    <w:semiHidden/>
    <w:unhideWhenUsed/>
    <w:rsid w:val="008F7DB9"/>
  </w:style>
  <w:style w:type="numbering" w:customStyle="1" w:styleId="NoList282">
    <w:name w:val="No List282"/>
    <w:next w:val="NoList"/>
    <w:semiHidden/>
    <w:unhideWhenUsed/>
    <w:rsid w:val="008F7DB9"/>
  </w:style>
  <w:style w:type="numbering" w:customStyle="1" w:styleId="NoList372">
    <w:name w:val="No List372"/>
    <w:next w:val="NoList"/>
    <w:semiHidden/>
    <w:unhideWhenUsed/>
    <w:rsid w:val="008F7DB9"/>
  </w:style>
  <w:style w:type="table" w:customStyle="1" w:styleId="LightList-Accent1172">
    <w:name w:val="Light List - Accent 1172"/>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2">
    <w:name w:val="Table Grid 762"/>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2">
    <w:name w:val="Colorful Grid - Accent 172"/>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2">
    <w:name w:val="Light List - Accent 572"/>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2">
    <w:name w:val="Table Simple 362"/>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2">
    <w:name w:val="Table Grid 562"/>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2">
    <w:name w:val="Table Grid 362"/>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2">
    <w:name w:val="Table Grid 162"/>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2">
    <w:name w:val="Table Columns 562"/>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2">
    <w:name w:val="Light List - Accent 1182"/>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2">
    <w:name w:val="Нет списка172"/>
    <w:next w:val="NoList"/>
    <w:semiHidden/>
    <w:unhideWhenUsed/>
    <w:rsid w:val="008F7DB9"/>
  </w:style>
  <w:style w:type="table" w:customStyle="1" w:styleId="ColorfulGrid-Accent1162">
    <w:name w:val="Colorful Grid - Accent 1162"/>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2">
    <w:name w:val="Light List - Accent 5162"/>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2">
    <w:name w:val="No List462"/>
    <w:next w:val="NoList"/>
    <w:semiHidden/>
    <w:rsid w:val="008F7DB9"/>
  </w:style>
  <w:style w:type="numbering" w:customStyle="1" w:styleId="NoList11102">
    <w:name w:val="No List11102"/>
    <w:next w:val="NoList"/>
    <w:semiHidden/>
    <w:unhideWhenUsed/>
    <w:rsid w:val="008F7DB9"/>
  </w:style>
  <w:style w:type="table" w:customStyle="1" w:styleId="Table3Deffects362">
    <w:name w:val="Table 3D effects 362"/>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NoList"/>
    <w:semiHidden/>
    <w:unhideWhenUsed/>
    <w:rsid w:val="008F7DB9"/>
  </w:style>
  <w:style w:type="table" w:customStyle="1" w:styleId="LightShading-Accent162">
    <w:name w:val="Light Shading - Accent 16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2">
    <w:name w:val="Medium Grid 2 - Accent 16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2">
    <w:name w:val="Medium List 2 - Accent 56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2">
    <w:name w:val="Light List - Accent 15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2">
    <w:name w:val="Medium Grid 3 - Accent 56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2">
    <w:name w:val="Light Shading - Accent 56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2">
    <w:name w:val="Medium Grid 2 - Accent 56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2">
    <w:name w:val="Light Grid - Accent 16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2">
    <w:name w:val="Style114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2">
    <w:name w:val="Style2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2">
    <w:name w:val="Style2114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2">
    <w:name w:val="Light Shading - Accent 112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2">
    <w:name w:val="Medium Grid 2 - Accent 112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2">
    <w:name w:val="Medium List 2 - Accent 512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2">
    <w:name w:val="Light List - Accent 16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2">
    <w:name w:val="Medium Grid 3 - Accent 512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2">
    <w:name w:val="Light Shading - Accent 512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2">
    <w:name w:val="Medium Grid 2 - Accent 512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2">
    <w:name w:val="Light Grid - Accent 112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2">
    <w:name w:val="No List292"/>
    <w:next w:val="NoList"/>
    <w:uiPriority w:val="99"/>
    <w:semiHidden/>
    <w:unhideWhenUsed/>
    <w:rsid w:val="008F7DB9"/>
  </w:style>
  <w:style w:type="table" w:customStyle="1" w:styleId="TableGrid105">
    <w:name w:val="Table Grid105"/>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2">
    <w:name w:val="No List1202"/>
    <w:next w:val="NoList"/>
    <w:uiPriority w:val="99"/>
    <w:semiHidden/>
    <w:unhideWhenUsed/>
    <w:rsid w:val="008F7DB9"/>
  </w:style>
  <w:style w:type="numbering" w:customStyle="1" w:styleId="NoList11152">
    <w:name w:val="No List11152"/>
    <w:next w:val="NoList"/>
    <w:semiHidden/>
    <w:rsid w:val="008F7DB9"/>
  </w:style>
  <w:style w:type="table" w:customStyle="1" w:styleId="TableGrid1520">
    <w:name w:val="Table Grid15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2">
    <w:name w:val="No List302"/>
    <w:next w:val="NoList"/>
    <w:uiPriority w:val="99"/>
    <w:semiHidden/>
    <w:unhideWhenUsed/>
    <w:rsid w:val="008F7DB9"/>
  </w:style>
  <w:style w:type="table" w:customStyle="1" w:styleId="LightShading-Accent172">
    <w:name w:val="Light Shading - Accent 17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2">
    <w:name w:val="Medium Grid 2 - Accent 17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2">
    <w:name w:val="Medium List 2 - Accent 57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2">
    <w:name w:val="Light List - Accent 119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2">
    <w:name w:val="Medium Grid 3 - Accent 57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2">
    <w:name w:val="Light Shading - Accent 57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2">
    <w:name w:val="Medium Grid 2 - Accent 57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2">
    <w:name w:val="Light Grid - Accent 17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2">
    <w:name w:val="No List382"/>
    <w:next w:val="NoList"/>
    <w:uiPriority w:val="99"/>
    <w:semiHidden/>
    <w:unhideWhenUsed/>
    <w:rsid w:val="008F7DB9"/>
  </w:style>
  <w:style w:type="table" w:customStyle="1" w:styleId="TableGrid1620">
    <w:name w:val="Table Grid162"/>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8F7DB9"/>
  </w:style>
  <w:style w:type="numbering" w:customStyle="1" w:styleId="NoList11162">
    <w:name w:val="No List11162"/>
    <w:next w:val="NoList"/>
    <w:semiHidden/>
    <w:rsid w:val="008F7DB9"/>
  </w:style>
  <w:style w:type="table" w:customStyle="1" w:styleId="TableGrid172">
    <w:name w:val="Table Grid17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2">
    <w:name w:val="Light Shading - Accent 18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2">
    <w:name w:val="Medium Grid 2 - Accent 18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2">
    <w:name w:val="Medium List 2 - Accent 58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2">
    <w:name w:val="Light List - Accent 120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2">
    <w:name w:val="Medium Grid 3 - Accent 58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2">
    <w:name w:val="Light Shading - Accent 58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2">
    <w:name w:val="Medium Grid 2 - Accent 58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2">
    <w:name w:val="Light Grid - Accent 18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2">
    <w:name w:val="Light Shading - Accent 19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2">
    <w:name w:val="Medium Grid 2 - Accent 19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2">
    <w:name w:val="Medium List 2 - Accent 59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2">
    <w:name w:val="Light List - Accent 122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2">
    <w:name w:val="Medium Grid 3 - Accent 59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2">
    <w:name w:val="Light Shading - Accent 59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2">
    <w:name w:val="Medium Grid 2 - Accent 59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2">
    <w:name w:val="Light Grid - Accent 19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3">
    <w:name w:val="Style1153"/>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2">
    <w:name w:val="Style2115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2">
    <w:name w:val="No List392"/>
    <w:next w:val="NoList"/>
    <w:uiPriority w:val="99"/>
    <w:semiHidden/>
    <w:unhideWhenUsed/>
    <w:rsid w:val="008F7DB9"/>
  </w:style>
  <w:style w:type="table" w:customStyle="1" w:styleId="TableGrid182">
    <w:name w:val="Table Grid18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8F7DB9"/>
  </w:style>
  <w:style w:type="numbering" w:customStyle="1" w:styleId="NoList11172">
    <w:name w:val="No List11172"/>
    <w:next w:val="NoList"/>
    <w:semiHidden/>
    <w:rsid w:val="008F7DB9"/>
  </w:style>
  <w:style w:type="table" w:customStyle="1" w:styleId="TableGrid192">
    <w:name w:val="Table Grid19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2">
    <w:name w:val="Style11512"/>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2">
    <w:name w:val="Style2162"/>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2">
    <w:name w:val="No List402"/>
    <w:next w:val="NoList"/>
    <w:uiPriority w:val="99"/>
    <w:semiHidden/>
    <w:unhideWhenUsed/>
    <w:rsid w:val="008F7DB9"/>
  </w:style>
  <w:style w:type="table" w:customStyle="1" w:styleId="TableGrid202">
    <w:name w:val="Table Grid202"/>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2">
    <w:name w:val="Light Shading - Accent 1102"/>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2">
    <w:name w:val="Light List - Accent 582"/>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2">
    <w:name w:val="Medium List 2 - Accent 112"/>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2">
    <w:name w:val="Medium Grid 2 - Accent 1102"/>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2">
    <w:name w:val="Medium Grid 3 - Accent 612"/>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2">
    <w:name w:val="Medium List 2 - Accent 5102"/>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2">
    <w:name w:val="Light List - Accent 123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2">
    <w:name w:val="Medium List 1 - Accent 512"/>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2">
    <w:name w:val="Medium Grid 3 - Accent 5102"/>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2">
    <w:name w:val="Light Shading - Accent 5102"/>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2">
    <w:name w:val="Medium Grid 2 - Accent 5102"/>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2">
    <w:name w:val="Light List - Accent 312"/>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2">
    <w:name w:val="Medium List 2 - Accent 312"/>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2">
    <w:name w:val="Medium List 2 - Accent 412"/>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2">
    <w:name w:val="Light Grid - Accent 1102"/>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2">
    <w:name w:val="No List472"/>
    <w:next w:val="NoList"/>
    <w:uiPriority w:val="99"/>
    <w:semiHidden/>
    <w:unhideWhenUsed/>
    <w:rsid w:val="008F7DB9"/>
  </w:style>
  <w:style w:type="table" w:customStyle="1" w:styleId="TableGrid242">
    <w:name w:val="Table Grid242"/>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2">
    <w:name w:val="No List1262"/>
    <w:next w:val="NoList"/>
    <w:uiPriority w:val="99"/>
    <w:semiHidden/>
    <w:unhideWhenUsed/>
    <w:rsid w:val="008F7DB9"/>
  </w:style>
  <w:style w:type="numbering" w:customStyle="1" w:styleId="NoList11182">
    <w:name w:val="No List11182"/>
    <w:next w:val="NoList"/>
    <w:semiHidden/>
    <w:rsid w:val="008F7DB9"/>
  </w:style>
  <w:style w:type="table" w:customStyle="1" w:styleId="TableGrid11020">
    <w:name w:val="Table Grid1102"/>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semiHidden/>
    <w:rsid w:val="008F7DB9"/>
  </w:style>
  <w:style w:type="numbering" w:customStyle="1" w:styleId="NoList1271">
    <w:name w:val="No List1271"/>
    <w:next w:val="NoList"/>
    <w:semiHidden/>
    <w:rsid w:val="008F7DB9"/>
  </w:style>
  <w:style w:type="numbering" w:customStyle="1" w:styleId="NoList2101">
    <w:name w:val="No List2101"/>
    <w:next w:val="NoList"/>
    <w:semiHidden/>
    <w:rsid w:val="008F7DB9"/>
  </w:style>
  <w:style w:type="numbering" w:customStyle="1" w:styleId="NoList491">
    <w:name w:val="No List491"/>
    <w:next w:val="NoList"/>
    <w:uiPriority w:val="99"/>
    <w:semiHidden/>
    <w:unhideWhenUsed/>
    <w:rsid w:val="008F7DB9"/>
  </w:style>
  <w:style w:type="table" w:customStyle="1" w:styleId="TableGrid251">
    <w:name w:val="Table Grid251"/>
    <w:basedOn w:val="TableNormal"/>
    <w:next w:val="TableGrid"/>
    <w:uiPriority w:val="39"/>
    <w:rsid w:val="008F7DB9"/>
    <w:rPr>
      <w:rFonts w:ascii="Calibri" w:eastAsia="Calibri" w:hAnsi="Calibri"/>
      <w:sz w:val="22"/>
      <w:szCs w:val="22"/>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4">
    <w:name w:val="Grid Table 4 - Accent 114"/>
    <w:basedOn w:val="TableNormal"/>
    <w:uiPriority w:val="49"/>
    <w:rsid w:val="008F7DB9"/>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261">
    <w:name w:val="Table Grid26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01">
    <w:name w:val="No List501"/>
    <w:next w:val="NoList"/>
    <w:uiPriority w:val="99"/>
    <w:semiHidden/>
    <w:unhideWhenUsed/>
    <w:rsid w:val="008F7DB9"/>
  </w:style>
  <w:style w:type="numbering" w:customStyle="1" w:styleId="NoList1281">
    <w:name w:val="No List1281"/>
    <w:next w:val="NoList"/>
    <w:uiPriority w:val="99"/>
    <w:semiHidden/>
    <w:unhideWhenUsed/>
    <w:rsid w:val="008F7DB9"/>
  </w:style>
  <w:style w:type="table" w:customStyle="1" w:styleId="TableGrid271">
    <w:name w:val="Table Grid27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semiHidden/>
    <w:unhideWhenUsed/>
    <w:rsid w:val="008F7DB9"/>
  </w:style>
  <w:style w:type="numbering" w:customStyle="1" w:styleId="NoList111101">
    <w:name w:val="No List111101"/>
    <w:next w:val="NoList"/>
    <w:semiHidden/>
    <w:rsid w:val="008F7DB9"/>
  </w:style>
  <w:style w:type="table" w:customStyle="1" w:styleId="TableGrid1123">
    <w:name w:val="Table Grid11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semiHidden/>
    <w:rsid w:val="008F7DB9"/>
  </w:style>
  <w:style w:type="numbering" w:customStyle="1" w:styleId="NoList2141">
    <w:name w:val="No List2141"/>
    <w:next w:val="NoList"/>
    <w:semiHidden/>
    <w:rsid w:val="008F7DB9"/>
  </w:style>
  <w:style w:type="numbering" w:customStyle="1" w:styleId="NoList3101">
    <w:name w:val="No List3101"/>
    <w:next w:val="NoList"/>
    <w:semiHidden/>
    <w:unhideWhenUsed/>
    <w:rsid w:val="008F7DB9"/>
  </w:style>
  <w:style w:type="table" w:customStyle="1" w:styleId="TableList771">
    <w:name w:val="Table List 77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71">
    <w:name w:val="Table Web 37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71">
    <w:name w:val="Table Elegant7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71">
    <w:name w:val="Table Web 27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71">
    <w:name w:val="Table Web 17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71">
    <w:name w:val="Table Grid 87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71">
    <w:name w:val="Table Contemporary7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41">
    <w:name w:val="Light List - Accent 124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71">
    <w:name w:val="Table Grid 77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81">
    <w:name w:val="Colorful Grid - Accent 18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91">
    <w:name w:val="Light List - Accent 59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71">
    <w:name w:val="Table Simple 37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71">
    <w:name w:val="Table Grid 57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71">
    <w:name w:val="Table Grid 37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710">
    <w:name w:val="Table Grid 17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71">
    <w:name w:val="Table Columns 57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01">
    <w:name w:val="Light List - Accent 1110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81">
    <w:name w:val="Нет списка181"/>
    <w:next w:val="NoList"/>
    <w:semiHidden/>
    <w:unhideWhenUsed/>
    <w:rsid w:val="008F7DB9"/>
  </w:style>
  <w:style w:type="table" w:customStyle="1" w:styleId="ColorfulGrid-Accent1171">
    <w:name w:val="Colorful Grid - Accent 117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71">
    <w:name w:val="Light List - Accent 517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01">
    <w:name w:val="No List4101"/>
    <w:next w:val="NoList"/>
    <w:semiHidden/>
    <w:rsid w:val="008F7DB9"/>
  </w:style>
  <w:style w:type="table" w:customStyle="1" w:styleId="Table3Deffects371">
    <w:name w:val="Table 3D effects 37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
    <w:name w:val="Нет списка1171"/>
    <w:next w:val="NoList"/>
    <w:semiHidden/>
    <w:unhideWhenUsed/>
    <w:rsid w:val="008F7DB9"/>
  </w:style>
  <w:style w:type="numbering" w:customStyle="1" w:styleId="NoList541">
    <w:name w:val="No List541"/>
    <w:next w:val="NoList"/>
    <w:uiPriority w:val="99"/>
    <w:semiHidden/>
    <w:unhideWhenUsed/>
    <w:rsid w:val="008F7DB9"/>
  </w:style>
  <w:style w:type="numbering" w:customStyle="1" w:styleId="NoList1291">
    <w:name w:val="No List1291"/>
    <w:next w:val="NoList"/>
    <w:semiHidden/>
    <w:rsid w:val="008F7DB9"/>
  </w:style>
  <w:style w:type="numbering" w:customStyle="1" w:styleId="NoList11241">
    <w:name w:val="No List11241"/>
    <w:next w:val="NoList"/>
    <w:semiHidden/>
    <w:rsid w:val="008F7DB9"/>
  </w:style>
  <w:style w:type="numbering" w:customStyle="1" w:styleId="NoList1111121">
    <w:name w:val="No List1111121"/>
    <w:next w:val="NoList"/>
    <w:semiHidden/>
    <w:rsid w:val="008F7DB9"/>
  </w:style>
  <w:style w:type="numbering" w:customStyle="1" w:styleId="NoList2151">
    <w:name w:val="No List2151"/>
    <w:next w:val="NoList"/>
    <w:semiHidden/>
    <w:rsid w:val="008F7DB9"/>
  </w:style>
  <w:style w:type="table" w:customStyle="1" w:styleId="TableGrid281">
    <w:name w:val="Table Grid28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unhideWhenUsed/>
    <w:rsid w:val="008F7DB9"/>
  </w:style>
  <w:style w:type="numbering" w:customStyle="1" w:styleId="NoList623">
    <w:name w:val="No List623"/>
    <w:next w:val="NoList"/>
    <w:uiPriority w:val="99"/>
    <w:semiHidden/>
    <w:unhideWhenUsed/>
    <w:rsid w:val="008F7DB9"/>
  </w:style>
  <w:style w:type="numbering" w:customStyle="1" w:styleId="NoList723">
    <w:name w:val="No List723"/>
    <w:next w:val="NoList"/>
    <w:uiPriority w:val="99"/>
    <w:semiHidden/>
    <w:unhideWhenUsed/>
    <w:rsid w:val="008F7DB9"/>
  </w:style>
  <w:style w:type="table" w:customStyle="1" w:styleId="TableGrid3230">
    <w:name w:val="Table Grid32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3">
    <w:name w:val="No List1323"/>
    <w:next w:val="NoList"/>
    <w:semiHidden/>
    <w:unhideWhenUsed/>
    <w:rsid w:val="008F7DB9"/>
  </w:style>
  <w:style w:type="numbering" w:customStyle="1" w:styleId="NoList11321">
    <w:name w:val="No List11321"/>
    <w:next w:val="NoList"/>
    <w:semiHidden/>
    <w:rsid w:val="008F7DB9"/>
  </w:style>
  <w:style w:type="table" w:customStyle="1" w:styleId="TableGrid11310">
    <w:name w:val="Table Grid113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1">
    <w:name w:val="No List111221"/>
    <w:next w:val="NoList"/>
    <w:semiHidden/>
    <w:rsid w:val="008F7DB9"/>
  </w:style>
  <w:style w:type="numbering" w:customStyle="1" w:styleId="NoList2222">
    <w:name w:val="No List2222"/>
    <w:next w:val="NoList"/>
    <w:semiHidden/>
    <w:rsid w:val="008F7DB9"/>
  </w:style>
  <w:style w:type="numbering" w:customStyle="1" w:styleId="NoList3222">
    <w:name w:val="No List3222"/>
    <w:next w:val="NoList"/>
    <w:semiHidden/>
    <w:unhideWhenUsed/>
    <w:rsid w:val="008F7DB9"/>
  </w:style>
  <w:style w:type="table" w:customStyle="1" w:styleId="TableList7123">
    <w:name w:val="Table List 7123"/>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23">
    <w:name w:val="Table Web 3123"/>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23">
    <w:name w:val="Table Elegant123"/>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23">
    <w:name w:val="Table Web 212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23">
    <w:name w:val="Table Web 112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23">
    <w:name w:val="Table Grid 812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23">
    <w:name w:val="Table Contemporary12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51">
    <w:name w:val="Light List - Accent 125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23">
    <w:name w:val="Table Grid 7123"/>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23">
    <w:name w:val="Colorful Grid - Accent 122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23">
    <w:name w:val="Light List - Accent 522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23">
    <w:name w:val="Table Simple 3123"/>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23">
    <w:name w:val="Table Grid 5123"/>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23">
    <w:name w:val="Table Grid 3123"/>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230">
    <w:name w:val="Table Grid 1123"/>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23">
    <w:name w:val="Table Columns 5123"/>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21">
    <w:name w:val="Light List - Accent 111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23">
    <w:name w:val="Нет списка1223"/>
    <w:next w:val="NoList"/>
    <w:uiPriority w:val="99"/>
    <w:semiHidden/>
    <w:unhideWhenUsed/>
    <w:rsid w:val="008F7DB9"/>
  </w:style>
  <w:style w:type="table" w:customStyle="1" w:styleId="ColorfulGrid-Accent11121">
    <w:name w:val="Colorful Grid - Accent 111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21">
    <w:name w:val="Light List - Accent 511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23">
    <w:name w:val="No List4123"/>
    <w:next w:val="NoList"/>
    <w:semiHidden/>
    <w:rsid w:val="008F7DB9"/>
  </w:style>
  <w:style w:type="table" w:customStyle="1" w:styleId="Table3Deffects3123">
    <w:name w:val="Table 3D effects 3123"/>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NoList"/>
    <w:semiHidden/>
    <w:unhideWhenUsed/>
    <w:rsid w:val="008F7DB9"/>
  </w:style>
  <w:style w:type="numbering" w:customStyle="1" w:styleId="NoList5122">
    <w:name w:val="No List5122"/>
    <w:next w:val="NoList"/>
    <w:uiPriority w:val="99"/>
    <w:semiHidden/>
    <w:unhideWhenUsed/>
    <w:rsid w:val="008F7DB9"/>
  </w:style>
  <w:style w:type="numbering" w:customStyle="1" w:styleId="NoList12122">
    <w:name w:val="No List12122"/>
    <w:next w:val="NoList"/>
    <w:semiHidden/>
    <w:rsid w:val="008F7DB9"/>
  </w:style>
  <w:style w:type="numbering" w:customStyle="1" w:styleId="NoList112121">
    <w:name w:val="No List112121"/>
    <w:next w:val="NoList"/>
    <w:semiHidden/>
    <w:rsid w:val="008F7DB9"/>
  </w:style>
  <w:style w:type="numbering" w:customStyle="1" w:styleId="NoList11111121">
    <w:name w:val="No List11111121"/>
    <w:next w:val="NoList"/>
    <w:semiHidden/>
    <w:rsid w:val="008F7DB9"/>
  </w:style>
  <w:style w:type="numbering" w:customStyle="1" w:styleId="NoList21122">
    <w:name w:val="No List21122"/>
    <w:next w:val="NoList"/>
    <w:semiHidden/>
    <w:rsid w:val="008F7DB9"/>
  </w:style>
  <w:style w:type="table" w:customStyle="1" w:styleId="TableGrid2121">
    <w:name w:val="Table Grid21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22">
    <w:name w:val="No List31122"/>
    <w:next w:val="NoList"/>
    <w:uiPriority w:val="99"/>
    <w:semiHidden/>
    <w:unhideWhenUsed/>
    <w:rsid w:val="008F7DB9"/>
  </w:style>
  <w:style w:type="numbering" w:customStyle="1" w:styleId="NoList823">
    <w:name w:val="No List823"/>
    <w:next w:val="NoList"/>
    <w:uiPriority w:val="99"/>
    <w:semiHidden/>
    <w:unhideWhenUsed/>
    <w:rsid w:val="008F7DB9"/>
  </w:style>
  <w:style w:type="numbering" w:customStyle="1" w:styleId="NoList922">
    <w:name w:val="No List922"/>
    <w:next w:val="NoList"/>
    <w:uiPriority w:val="99"/>
    <w:semiHidden/>
    <w:unhideWhenUsed/>
    <w:rsid w:val="008F7DB9"/>
  </w:style>
  <w:style w:type="table" w:customStyle="1" w:styleId="TableGrid423">
    <w:name w:val="Table Grid42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21">
    <w:name w:val="Table List 72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21">
    <w:name w:val="Table Web 32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21">
    <w:name w:val="Table Elegant2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21">
    <w:name w:val="Table Web 22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21">
    <w:name w:val="Table Web 12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21">
    <w:name w:val="Table Grid 82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21">
    <w:name w:val="Table Contemporary2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22">
    <w:name w:val="No List1422"/>
    <w:next w:val="NoList"/>
    <w:semiHidden/>
    <w:unhideWhenUsed/>
    <w:rsid w:val="008F7DB9"/>
  </w:style>
  <w:style w:type="numbering" w:customStyle="1" w:styleId="NoList2321">
    <w:name w:val="No List2321"/>
    <w:next w:val="NoList"/>
    <w:semiHidden/>
    <w:unhideWhenUsed/>
    <w:rsid w:val="008F7DB9"/>
  </w:style>
  <w:style w:type="numbering" w:customStyle="1" w:styleId="NoList3321">
    <w:name w:val="No List3321"/>
    <w:next w:val="NoList"/>
    <w:semiHidden/>
    <w:unhideWhenUsed/>
    <w:rsid w:val="008F7DB9"/>
  </w:style>
  <w:style w:type="table" w:customStyle="1" w:styleId="LightList-Accent1321">
    <w:name w:val="Light List - Accent 13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21">
    <w:name w:val="Table Grid 72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21">
    <w:name w:val="Colorful Grid - Accent 13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21">
    <w:name w:val="Light List - Accent 53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21">
    <w:name w:val="Table Simple 32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21">
    <w:name w:val="Table Grid 52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21">
    <w:name w:val="Table Grid 32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21">
    <w:name w:val="Table Grid 12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21">
    <w:name w:val="Table Columns 52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21">
    <w:name w:val="Light List - Accent 112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22">
    <w:name w:val="Нет списка1322"/>
    <w:next w:val="NoList"/>
    <w:semiHidden/>
    <w:unhideWhenUsed/>
    <w:rsid w:val="008F7DB9"/>
  </w:style>
  <w:style w:type="table" w:customStyle="1" w:styleId="ColorfulGrid-Accent11221">
    <w:name w:val="Colorful Grid - Accent 112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21">
    <w:name w:val="Light List - Accent 512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22">
    <w:name w:val="No List4222"/>
    <w:next w:val="NoList"/>
    <w:semiHidden/>
    <w:rsid w:val="008F7DB9"/>
  </w:style>
  <w:style w:type="numbering" w:customStyle="1" w:styleId="NoList11421">
    <w:name w:val="No List11421"/>
    <w:next w:val="NoList"/>
    <w:semiHidden/>
    <w:unhideWhenUsed/>
    <w:rsid w:val="008F7DB9"/>
  </w:style>
  <w:style w:type="table" w:customStyle="1" w:styleId="Table3Deffects3221">
    <w:name w:val="Table 3D effects 32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2">
    <w:name w:val="Нет списка11222"/>
    <w:next w:val="NoList"/>
    <w:semiHidden/>
    <w:unhideWhenUsed/>
    <w:rsid w:val="008F7DB9"/>
  </w:style>
  <w:style w:type="numbering" w:customStyle="1" w:styleId="NoList1022">
    <w:name w:val="No List1022"/>
    <w:next w:val="NoList"/>
    <w:uiPriority w:val="99"/>
    <w:semiHidden/>
    <w:unhideWhenUsed/>
    <w:rsid w:val="008F7DB9"/>
  </w:style>
  <w:style w:type="table" w:customStyle="1" w:styleId="TableGrid5210">
    <w:name w:val="Table Grid5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unhideWhenUsed/>
    <w:rsid w:val="008F7DB9"/>
  </w:style>
  <w:style w:type="numbering" w:customStyle="1" w:styleId="NoList11521">
    <w:name w:val="No List11521"/>
    <w:next w:val="NoList"/>
    <w:semiHidden/>
    <w:rsid w:val="008F7DB9"/>
  </w:style>
  <w:style w:type="table" w:customStyle="1" w:styleId="TableGrid12210">
    <w:name w:val="Table Grid122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semiHidden/>
    <w:rsid w:val="008F7DB9"/>
  </w:style>
  <w:style w:type="numbering" w:customStyle="1" w:styleId="NoList2421">
    <w:name w:val="No List2421"/>
    <w:next w:val="NoList"/>
    <w:semiHidden/>
    <w:rsid w:val="008F7DB9"/>
  </w:style>
  <w:style w:type="numbering" w:customStyle="1" w:styleId="NoList3421">
    <w:name w:val="No List3421"/>
    <w:next w:val="NoList"/>
    <w:semiHidden/>
    <w:unhideWhenUsed/>
    <w:rsid w:val="008F7DB9"/>
  </w:style>
  <w:style w:type="table" w:customStyle="1" w:styleId="TableList7321">
    <w:name w:val="Table List 732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21">
    <w:name w:val="Table Web 332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21">
    <w:name w:val="Table Elegant32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21">
    <w:name w:val="Table Web 232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21">
    <w:name w:val="Table Web 132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21">
    <w:name w:val="Table Grid 832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21">
    <w:name w:val="Table Contemporary32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21">
    <w:name w:val="Light List - Accent 142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21">
    <w:name w:val="Table Grid 732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21">
    <w:name w:val="Colorful Grid - Accent 142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21">
    <w:name w:val="Light List - Accent 542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21">
    <w:name w:val="Table Simple 332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21">
    <w:name w:val="Table Grid 532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21">
    <w:name w:val="Table Grid 332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21">
    <w:name w:val="Table Grid 132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21">
    <w:name w:val="Table Columns 532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21">
    <w:name w:val="Light List - Accent 1132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21">
    <w:name w:val="Нет списка1421"/>
    <w:next w:val="NoList"/>
    <w:semiHidden/>
    <w:unhideWhenUsed/>
    <w:rsid w:val="008F7DB9"/>
  </w:style>
  <w:style w:type="table" w:customStyle="1" w:styleId="ColorfulGrid-Accent11321">
    <w:name w:val="Colorful Grid - Accent 1132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21">
    <w:name w:val="Light List - Accent 5132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21">
    <w:name w:val="No List4321"/>
    <w:next w:val="NoList"/>
    <w:semiHidden/>
    <w:rsid w:val="008F7DB9"/>
  </w:style>
  <w:style w:type="table" w:customStyle="1" w:styleId="Table3Deffects3321">
    <w:name w:val="Table 3D effects 332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1">
    <w:name w:val="Нет списка11321"/>
    <w:next w:val="NoList"/>
    <w:semiHidden/>
    <w:unhideWhenUsed/>
    <w:rsid w:val="008F7DB9"/>
  </w:style>
  <w:style w:type="numbering" w:customStyle="1" w:styleId="NoList5221">
    <w:name w:val="No List5221"/>
    <w:next w:val="NoList"/>
    <w:uiPriority w:val="99"/>
    <w:semiHidden/>
    <w:unhideWhenUsed/>
    <w:rsid w:val="008F7DB9"/>
  </w:style>
  <w:style w:type="numbering" w:customStyle="1" w:styleId="NoList12221">
    <w:name w:val="No List12221"/>
    <w:next w:val="NoList"/>
    <w:semiHidden/>
    <w:rsid w:val="008F7DB9"/>
  </w:style>
  <w:style w:type="numbering" w:customStyle="1" w:styleId="NoList112221">
    <w:name w:val="No List112221"/>
    <w:next w:val="NoList"/>
    <w:semiHidden/>
    <w:rsid w:val="008F7DB9"/>
  </w:style>
  <w:style w:type="numbering" w:customStyle="1" w:styleId="NoList1111221">
    <w:name w:val="No List1111221"/>
    <w:next w:val="NoList"/>
    <w:semiHidden/>
    <w:rsid w:val="008F7DB9"/>
  </w:style>
  <w:style w:type="numbering" w:customStyle="1" w:styleId="NoList21221">
    <w:name w:val="No List21221"/>
    <w:next w:val="NoList"/>
    <w:semiHidden/>
    <w:rsid w:val="008F7DB9"/>
  </w:style>
  <w:style w:type="table" w:customStyle="1" w:styleId="TableGrid2221">
    <w:name w:val="Table Grid222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21">
    <w:name w:val="No List31221"/>
    <w:next w:val="NoList"/>
    <w:uiPriority w:val="99"/>
    <w:semiHidden/>
    <w:unhideWhenUsed/>
    <w:rsid w:val="008F7DB9"/>
  </w:style>
  <w:style w:type="table" w:customStyle="1" w:styleId="LightShading-Accent1131">
    <w:name w:val="Light Shading - Accent 113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31">
    <w:name w:val="Medium Grid 2 - Accent 113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31">
    <w:name w:val="Medium List 2 - Accent 513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31">
    <w:name w:val="Light List - Accent 15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31">
    <w:name w:val="Medium Grid 3 - Accent 513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31">
    <w:name w:val="Light Shading - Accent 513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31">
    <w:name w:val="Medium Grid 2 - Accent 513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31">
    <w:name w:val="Light Grid - Accent 113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41">
    <w:name w:val="Table List 44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31">
    <w:name w:val="Table List 413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21">
    <w:name w:val="Table Theme2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21">
    <w:name w:val="Table Professional2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21">
    <w:name w:val="Table Grid 62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21">
    <w:name w:val="Table List 42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21">
    <w:name w:val="Table List 4112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61">
    <w:name w:val="Style116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71">
    <w:name w:val="Style217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61">
    <w:name w:val="Style2116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21">
    <w:name w:val="No List1621"/>
    <w:next w:val="NoList"/>
    <w:uiPriority w:val="99"/>
    <w:semiHidden/>
    <w:unhideWhenUsed/>
    <w:rsid w:val="008F7DB9"/>
  </w:style>
  <w:style w:type="table" w:customStyle="1" w:styleId="TableGrid6210">
    <w:name w:val="Table Grid62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8F7DB9"/>
  </w:style>
  <w:style w:type="numbering" w:customStyle="1" w:styleId="NoList11621">
    <w:name w:val="No List11621"/>
    <w:next w:val="NoList"/>
    <w:semiHidden/>
    <w:rsid w:val="008F7DB9"/>
  </w:style>
  <w:style w:type="table" w:customStyle="1" w:styleId="TableGrid13210">
    <w:name w:val="Table Grid132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31">
    <w:name w:val="Light List - Accent 163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211">
    <w:name w:val="Light Shading - Accent 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211">
    <w:name w:val="Medium Grid 2 - Accent 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211">
    <w:name w:val="Medium List 2 - Accent 5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711">
    <w:name w:val="Light List - Accent 17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211">
    <w:name w:val="Medium Grid 3 - Accent 5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211">
    <w:name w:val="Light Shading - Accent 5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211">
    <w:name w:val="Medium Grid 2 - Accent 5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211">
    <w:name w:val="Light Grid - Accent 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1812">
    <w:name w:val="No List1812"/>
    <w:next w:val="NoList"/>
    <w:uiPriority w:val="99"/>
    <w:semiHidden/>
    <w:unhideWhenUsed/>
    <w:rsid w:val="008F7DB9"/>
  </w:style>
  <w:style w:type="table" w:customStyle="1" w:styleId="TableGrid7130">
    <w:name w:val="Table Grid7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411">
    <w:name w:val="Table List 74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411">
    <w:name w:val="Table Web 34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411">
    <w:name w:val="Table Elegant4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411">
    <w:name w:val="Table Web 24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411">
    <w:name w:val="Table Web 14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411">
    <w:name w:val="Table Grid 84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411">
    <w:name w:val="Table Contemporary4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911">
    <w:name w:val="No List1911"/>
    <w:next w:val="NoList"/>
    <w:semiHidden/>
    <w:unhideWhenUsed/>
    <w:rsid w:val="008F7DB9"/>
  </w:style>
  <w:style w:type="numbering" w:customStyle="1" w:styleId="NoList2511">
    <w:name w:val="No List2511"/>
    <w:next w:val="NoList"/>
    <w:semiHidden/>
    <w:unhideWhenUsed/>
    <w:rsid w:val="008F7DB9"/>
  </w:style>
  <w:style w:type="numbering" w:customStyle="1" w:styleId="NoList3511">
    <w:name w:val="No List3511"/>
    <w:next w:val="NoList"/>
    <w:semiHidden/>
    <w:unhideWhenUsed/>
    <w:rsid w:val="008F7DB9"/>
  </w:style>
  <w:style w:type="table" w:customStyle="1" w:styleId="LightList-Accent1811">
    <w:name w:val="Light List - Accent 18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411">
    <w:name w:val="Table Grid 74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511">
    <w:name w:val="Colorful Grid - Accent 15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511">
    <w:name w:val="Light List - Accent 55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411">
    <w:name w:val="Table Simple 34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411">
    <w:name w:val="Table Grid 54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411">
    <w:name w:val="Table Grid 34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4110">
    <w:name w:val="Table Grid 14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411">
    <w:name w:val="Table Columns 54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411">
    <w:name w:val="Light List - Accent 114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512">
    <w:name w:val="Нет списка1512"/>
    <w:next w:val="NoList"/>
    <w:semiHidden/>
    <w:unhideWhenUsed/>
    <w:rsid w:val="008F7DB9"/>
  </w:style>
  <w:style w:type="table" w:customStyle="1" w:styleId="ColorfulGrid-Accent11411">
    <w:name w:val="Colorful Grid - Accent 114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411">
    <w:name w:val="Light List - Accent 514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412">
    <w:name w:val="No List4412"/>
    <w:next w:val="NoList"/>
    <w:semiHidden/>
    <w:rsid w:val="008F7DB9"/>
  </w:style>
  <w:style w:type="numbering" w:customStyle="1" w:styleId="NoList11711">
    <w:name w:val="No List11711"/>
    <w:next w:val="NoList"/>
    <w:semiHidden/>
    <w:unhideWhenUsed/>
    <w:rsid w:val="008F7DB9"/>
  </w:style>
  <w:style w:type="table" w:customStyle="1" w:styleId="Table3Deffects3411">
    <w:name w:val="Table 3D effects 34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2">
    <w:name w:val="Нет списка11412"/>
    <w:next w:val="NoList"/>
    <w:semiHidden/>
    <w:unhideWhenUsed/>
    <w:rsid w:val="008F7DB9"/>
  </w:style>
  <w:style w:type="table" w:customStyle="1" w:styleId="Style11111">
    <w:name w:val="Style11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211">
    <w:name w:val="Style2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111">
    <w:name w:val="Style2111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11211">
    <w:name w:val="Style112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311">
    <w:name w:val="Style2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211">
    <w:name w:val="Style2112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2011">
    <w:name w:val="No List2011"/>
    <w:next w:val="NoList"/>
    <w:uiPriority w:val="99"/>
    <w:semiHidden/>
    <w:unhideWhenUsed/>
    <w:rsid w:val="008F7DB9"/>
  </w:style>
  <w:style w:type="numbering" w:customStyle="1" w:styleId="NoList11011">
    <w:name w:val="No List11011"/>
    <w:next w:val="NoList"/>
    <w:uiPriority w:val="99"/>
    <w:semiHidden/>
    <w:unhideWhenUsed/>
    <w:rsid w:val="008F7DB9"/>
  </w:style>
  <w:style w:type="table" w:customStyle="1" w:styleId="TableGrid8130">
    <w:name w:val="Table Grid8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1">
    <w:name w:val="No List11811"/>
    <w:next w:val="NoList"/>
    <w:semiHidden/>
    <w:unhideWhenUsed/>
    <w:rsid w:val="008F7DB9"/>
  </w:style>
  <w:style w:type="numbering" w:customStyle="1" w:styleId="NoList111411">
    <w:name w:val="No List111411"/>
    <w:next w:val="NoList"/>
    <w:semiHidden/>
    <w:rsid w:val="008F7DB9"/>
  </w:style>
  <w:style w:type="table" w:customStyle="1" w:styleId="TableGrid1413">
    <w:name w:val="Table Grid14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12">
    <w:name w:val="No List1111312"/>
    <w:next w:val="NoList"/>
    <w:semiHidden/>
    <w:rsid w:val="008F7DB9"/>
  </w:style>
  <w:style w:type="numbering" w:customStyle="1" w:styleId="NoList2611">
    <w:name w:val="No List2611"/>
    <w:next w:val="NoList"/>
    <w:semiHidden/>
    <w:rsid w:val="008F7DB9"/>
  </w:style>
  <w:style w:type="numbering" w:customStyle="1" w:styleId="NoList3611">
    <w:name w:val="No List3611"/>
    <w:next w:val="NoList"/>
    <w:semiHidden/>
    <w:unhideWhenUsed/>
    <w:rsid w:val="008F7DB9"/>
  </w:style>
  <w:style w:type="table" w:customStyle="1" w:styleId="TableList7511">
    <w:name w:val="Table List 75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511">
    <w:name w:val="Table Web 35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511">
    <w:name w:val="Table Elegant5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511">
    <w:name w:val="Table Web 25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511">
    <w:name w:val="Table Web 15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511">
    <w:name w:val="Table Grid 85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511">
    <w:name w:val="Table Contemporary5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911">
    <w:name w:val="Light List - Accent 19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511">
    <w:name w:val="Table Grid 75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611">
    <w:name w:val="Colorful Grid - Accent 16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611">
    <w:name w:val="Light List - Accent 56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511">
    <w:name w:val="Table Simple 35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511">
    <w:name w:val="Table Grid 55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511">
    <w:name w:val="Table Grid 35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511">
    <w:name w:val="Table Grid 15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511">
    <w:name w:val="Table Columns 55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511">
    <w:name w:val="Light List - Accent 115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611">
    <w:name w:val="Нет списка1611"/>
    <w:next w:val="NoList"/>
    <w:semiHidden/>
    <w:unhideWhenUsed/>
    <w:rsid w:val="008F7DB9"/>
  </w:style>
  <w:style w:type="table" w:customStyle="1" w:styleId="ColorfulGrid-Accent11511">
    <w:name w:val="Colorful Grid - Accent 115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511">
    <w:name w:val="Light List - Accent 515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511">
    <w:name w:val="No List4511"/>
    <w:next w:val="NoList"/>
    <w:semiHidden/>
    <w:rsid w:val="008F7DB9"/>
  </w:style>
  <w:style w:type="table" w:customStyle="1" w:styleId="Table3Deffects3511">
    <w:name w:val="Table 3D effects 35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1">
    <w:name w:val="Нет списка11511"/>
    <w:next w:val="NoList"/>
    <w:semiHidden/>
    <w:unhideWhenUsed/>
    <w:rsid w:val="008F7DB9"/>
  </w:style>
  <w:style w:type="numbering" w:customStyle="1" w:styleId="NoList5312">
    <w:name w:val="No List5312"/>
    <w:next w:val="NoList"/>
    <w:uiPriority w:val="99"/>
    <w:semiHidden/>
    <w:unhideWhenUsed/>
    <w:rsid w:val="008F7DB9"/>
  </w:style>
  <w:style w:type="numbering" w:customStyle="1" w:styleId="NoList12312">
    <w:name w:val="No List12312"/>
    <w:next w:val="NoList"/>
    <w:semiHidden/>
    <w:rsid w:val="008F7DB9"/>
  </w:style>
  <w:style w:type="numbering" w:customStyle="1" w:styleId="NoList112311">
    <w:name w:val="No List112311"/>
    <w:next w:val="NoList"/>
    <w:semiHidden/>
    <w:rsid w:val="008F7DB9"/>
  </w:style>
  <w:style w:type="numbering" w:customStyle="1" w:styleId="NoList1111111112">
    <w:name w:val="No List1111111112"/>
    <w:next w:val="NoList"/>
    <w:semiHidden/>
    <w:rsid w:val="008F7DB9"/>
  </w:style>
  <w:style w:type="numbering" w:customStyle="1" w:styleId="NoList21312">
    <w:name w:val="No List21312"/>
    <w:next w:val="NoList"/>
    <w:semiHidden/>
    <w:rsid w:val="008F7DB9"/>
  </w:style>
  <w:style w:type="table" w:customStyle="1" w:styleId="TableGrid2311">
    <w:name w:val="Table Grid23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2">
    <w:name w:val="No List31312"/>
    <w:next w:val="NoList"/>
    <w:uiPriority w:val="99"/>
    <w:semiHidden/>
    <w:unhideWhenUsed/>
    <w:rsid w:val="008F7DB9"/>
  </w:style>
  <w:style w:type="numbering" w:customStyle="1" w:styleId="NoList6113">
    <w:name w:val="No List6113"/>
    <w:next w:val="NoList"/>
    <w:uiPriority w:val="99"/>
    <w:semiHidden/>
    <w:unhideWhenUsed/>
    <w:rsid w:val="008F7DB9"/>
  </w:style>
  <w:style w:type="numbering" w:customStyle="1" w:styleId="NoList7113">
    <w:name w:val="No List7113"/>
    <w:next w:val="NoList"/>
    <w:uiPriority w:val="99"/>
    <w:semiHidden/>
    <w:unhideWhenUsed/>
    <w:rsid w:val="008F7DB9"/>
  </w:style>
  <w:style w:type="table" w:customStyle="1" w:styleId="TableGrid31130">
    <w:name w:val="Table Grid3113"/>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3">
    <w:name w:val="No List13113"/>
    <w:next w:val="NoList"/>
    <w:semiHidden/>
    <w:unhideWhenUsed/>
    <w:rsid w:val="008F7DB9"/>
  </w:style>
  <w:style w:type="numbering" w:customStyle="1" w:styleId="NoList113112">
    <w:name w:val="No List113112"/>
    <w:next w:val="NoList"/>
    <w:semiHidden/>
    <w:rsid w:val="008F7DB9"/>
  </w:style>
  <w:style w:type="table" w:customStyle="1" w:styleId="TableGrid11113">
    <w:name w:val="Table Grid11113"/>
    <w:basedOn w:val="TableNormal"/>
    <w:next w:val="TableGrid"/>
    <w:uiPriority w:val="39"/>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12">
    <w:name w:val="No List1112112"/>
    <w:next w:val="NoList"/>
    <w:semiHidden/>
    <w:rsid w:val="008F7DB9"/>
  </w:style>
  <w:style w:type="numbering" w:customStyle="1" w:styleId="NoList22112">
    <w:name w:val="No List22112"/>
    <w:next w:val="NoList"/>
    <w:semiHidden/>
    <w:rsid w:val="008F7DB9"/>
  </w:style>
  <w:style w:type="numbering" w:customStyle="1" w:styleId="NoList32112">
    <w:name w:val="No List32112"/>
    <w:next w:val="NoList"/>
    <w:semiHidden/>
    <w:unhideWhenUsed/>
    <w:rsid w:val="008F7DB9"/>
  </w:style>
  <w:style w:type="table" w:customStyle="1" w:styleId="TableList71111">
    <w:name w:val="Table List 71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11">
    <w:name w:val="Table Web 31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11">
    <w:name w:val="Table Elegant1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113">
    <w:name w:val="Table Web 21113"/>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13">
    <w:name w:val="Table Web 11113"/>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13">
    <w:name w:val="Table Grid 81113"/>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13">
    <w:name w:val="Table Contemporary1113"/>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111">
    <w:name w:val="Light List - Accent 12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11">
    <w:name w:val="Table Grid 71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2113">
    <w:name w:val="Colorful Grid - Accent 12113"/>
    <w:basedOn w:val="TableNormal"/>
    <w:next w:val="ColorfulGrid-Accent1"/>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13">
    <w:name w:val="Light List - Accent 52113"/>
    <w:basedOn w:val="TableNormal"/>
    <w:next w:val="LightList-Accent5"/>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11">
    <w:name w:val="Table Simple 31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11">
    <w:name w:val="Table Grid 51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110">
    <w:name w:val="Table Grid 31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110">
    <w:name w:val="Table Grid 11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11">
    <w:name w:val="Table Columns 51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111">
    <w:name w:val="Light List - Accent 111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2113">
    <w:name w:val="Нет списка12113"/>
    <w:next w:val="NoList"/>
    <w:uiPriority w:val="99"/>
    <w:semiHidden/>
    <w:unhideWhenUsed/>
    <w:rsid w:val="008F7DB9"/>
  </w:style>
  <w:style w:type="table" w:customStyle="1" w:styleId="ColorfulGrid-Accent111111">
    <w:name w:val="Colorful Grid - Accent 111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111">
    <w:name w:val="Light List - Accent 511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1113">
    <w:name w:val="No List41113"/>
    <w:next w:val="NoList"/>
    <w:semiHidden/>
    <w:rsid w:val="008F7DB9"/>
  </w:style>
  <w:style w:type="table" w:customStyle="1" w:styleId="Table3Deffects31111">
    <w:name w:val="Table 3D effects 31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4">
    <w:name w:val="Нет списка111114"/>
    <w:next w:val="NoList"/>
    <w:semiHidden/>
    <w:unhideWhenUsed/>
    <w:rsid w:val="008F7DB9"/>
  </w:style>
  <w:style w:type="numbering" w:customStyle="1" w:styleId="NoList51112">
    <w:name w:val="No List51112"/>
    <w:next w:val="NoList"/>
    <w:uiPriority w:val="99"/>
    <w:semiHidden/>
    <w:unhideWhenUsed/>
    <w:rsid w:val="008F7DB9"/>
  </w:style>
  <w:style w:type="numbering" w:customStyle="1" w:styleId="NoList121112">
    <w:name w:val="No List121112"/>
    <w:next w:val="NoList"/>
    <w:semiHidden/>
    <w:rsid w:val="008F7DB9"/>
  </w:style>
  <w:style w:type="numbering" w:customStyle="1" w:styleId="NoList1121112">
    <w:name w:val="No List1121112"/>
    <w:next w:val="NoList"/>
    <w:semiHidden/>
    <w:rsid w:val="008F7DB9"/>
  </w:style>
  <w:style w:type="numbering" w:customStyle="1" w:styleId="NoList11111111112">
    <w:name w:val="No List11111111112"/>
    <w:next w:val="NoList"/>
    <w:semiHidden/>
    <w:rsid w:val="008F7DB9"/>
  </w:style>
  <w:style w:type="numbering" w:customStyle="1" w:styleId="NoList211112">
    <w:name w:val="No List211112"/>
    <w:next w:val="NoList"/>
    <w:semiHidden/>
    <w:rsid w:val="008F7DB9"/>
  </w:style>
  <w:style w:type="table" w:customStyle="1" w:styleId="TableGrid21111">
    <w:name w:val="Table Grid21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12">
    <w:name w:val="No List311112"/>
    <w:next w:val="NoList"/>
    <w:uiPriority w:val="99"/>
    <w:semiHidden/>
    <w:unhideWhenUsed/>
    <w:rsid w:val="008F7DB9"/>
  </w:style>
  <w:style w:type="numbering" w:customStyle="1" w:styleId="NoList8113">
    <w:name w:val="No List8113"/>
    <w:next w:val="NoList"/>
    <w:uiPriority w:val="99"/>
    <w:semiHidden/>
    <w:unhideWhenUsed/>
    <w:rsid w:val="008F7DB9"/>
  </w:style>
  <w:style w:type="numbering" w:customStyle="1" w:styleId="NoList9112">
    <w:name w:val="No List9112"/>
    <w:next w:val="NoList"/>
    <w:uiPriority w:val="99"/>
    <w:semiHidden/>
    <w:unhideWhenUsed/>
    <w:rsid w:val="008F7DB9"/>
  </w:style>
  <w:style w:type="table" w:customStyle="1" w:styleId="TableGrid4114">
    <w:name w:val="Table Grid4114"/>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2111">
    <w:name w:val="Table List 72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2111">
    <w:name w:val="Table Web 32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2111">
    <w:name w:val="Table Elegant2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111">
    <w:name w:val="Table Web 22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111">
    <w:name w:val="Table Web 12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111">
    <w:name w:val="Table Grid 82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111">
    <w:name w:val="Table Contemporary2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112">
    <w:name w:val="No List14112"/>
    <w:next w:val="NoList"/>
    <w:semiHidden/>
    <w:unhideWhenUsed/>
    <w:rsid w:val="008F7DB9"/>
  </w:style>
  <w:style w:type="numbering" w:customStyle="1" w:styleId="NoList23112">
    <w:name w:val="No List23112"/>
    <w:next w:val="NoList"/>
    <w:semiHidden/>
    <w:unhideWhenUsed/>
    <w:rsid w:val="008F7DB9"/>
  </w:style>
  <w:style w:type="numbering" w:customStyle="1" w:styleId="NoList33112">
    <w:name w:val="No List33112"/>
    <w:next w:val="NoList"/>
    <w:semiHidden/>
    <w:unhideWhenUsed/>
    <w:rsid w:val="008F7DB9"/>
  </w:style>
  <w:style w:type="table" w:customStyle="1" w:styleId="LightList-Accent13111">
    <w:name w:val="Light List - Accent 13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2111">
    <w:name w:val="Table Grid 72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111">
    <w:name w:val="Colorful Grid - Accent 13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111">
    <w:name w:val="Light List - Accent 53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2111">
    <w:name w:val="Table Simple 32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2111">
    <w:name w:val="Table Grid 52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2111">
    <w:name w:val="Table Grid 32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2111">
    <w:name w:val="Table Grid 12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2111">
    <w:name w:val="Table Columns 52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2111">
    <w:name w:val="Light List - Accent 112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112">
    <w:name w:val="Нет списка13112"/>
    <w:next w:val="NoList"/>
    <w:semiHidden/>
    <w:unhideWhenUsed/>
    <w:rsid w:val="008F7DB9"/>
  </w:style>
  <w:style w:type="table" w:customStyle="1" w:styleId="ColorfulGrid-Accent112111">
    <w:name w:val="Colorful Grid - Accent 112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2111">
    <w:name w:val="Light List - Accent 512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112">
    <w:name w:val="No List42112"/>
    <w:next w:val="NoList"/>
    <w:semiHidden/>
    <w:rsid w:val="008F7DB9"/>
  </w:style>
  <w:style w:type="numbering" w:customStyle="1" w:styleId="NoList114112">
    <w:name w:val="No List114112"/>
    <w:next w:val="NoList"/>
    <w:semiHidden/>
    <w:unhideWhenUsed/>
    <w:rsid w:val="008F7DB9"/>
  </w:style>
  <w:style w:type="table" w:customStyle="1" w:styleId="Table3Deffects32111">
    <w:name w:val="Table 3D effects 32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NoList"/>
    <w:semiHidden/>
    <w:unhideWhenUsed/>
    <w:rsid w:val="008F7DB9"/>
  </w:style>
  <w:style w:type="numbering" w:customStyle="1" w:styleId="NoList10112">
    <w:name w:val="No List10112"/>
    <w:next w:val="NoList"/>
    <w:uiPriority w:val="99"/>
    <w:semiHidden/>
    <w:unhideWhenUsed/>
    <w:rsid w:val="008F7DB9"/>
  </w:style>
  <w:style w:type="table" w:customStyle="1" w:styleId="TableGrid51110">
    <w:name w:val="Table Grid5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2">
    <w:name w:val="No List15112"/>
    <w:next w:val="NoList"/>
    <w:semiHidden/>
    <w:unhideWhenUsed/>
    <w:rsid w:val="008F7DB9"/>
  </w:style>
  <w:style w:type="numbering" w:customStyle="1" w:styleId="NoList115111">
    <w:name w:val="No List115111"/>
    <w:next w:val="NoList"/>
    <w:semiHidden/>
    <w:rsid w:val="008F7DB9"/>
  </w:style>
  <w:style w:type="table" w:customStyle="1" w:styleId="TableGrid121110">
    <w:name w:val="Table Grid12111"/>
    <w:basedOn w:val="TableNormal"/>
    <w:next w:val="TableGrid"/>
    <w:rsid w:val="008F7DB9"/>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2">
    <w:name w:val="No List1113112"/>
    <w:next w:val="NoList"/>
    <w:semiHidden/>
    <w:rsid w:val="008F7DB9"/>
  </w:style>
  <w:style w:type="numbering" w:customStyle="1" w:styleId="NoList24112">
    <w:name w:val="No List24112"/>
    <w:next w:val="NoList"/>
    <w:semiHidden/>
    <w:rsid w:val="008F7DB9"/>
  </w:style>
  <w:style w:type="numbering" w:customStyle="1" w:styleId="NoList34112">
    <w:name w:val="No List34112"/>
    <w:next w:val="NoList"/>
    <w:semiHidden/>
    <w:unhideWhenUsed/>
    <w:rsid w:val="008F7DB9"/>
  </w:style>
  <w:style w:type="table" w:customStyle="1" w:styleId="TableList73111">
    <w:name w:val="Table List 731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3111">
    <w:name w:val="Table Web 331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3111">
    <w:name w:val="Table Elegant31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3111">
    <w:name w:val="Table Web 231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3111">
    <w:name w:val="Table Web 131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3111">
    <w:name w:val="Table Grid 831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3111">
    <w:name w:val="Table Contemporary31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4111">
    <w:name w:val="Light List - Accent 141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3111">
    <w:name w:val="Table Grid 731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4111">
    <w:name w:val="Colorful Grid - Accent 141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4111">
    <w:name w:val="Light List - Accent 541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3111">
    <w:name w:val="Table Simple 331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3111">
    <w:name w:val="Table Grid 531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3111">
    <w:name w:val="Table Grid 331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3111">
    <w:name w:val="Table Grid 131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3111">
    <w:name w:val="Table Columns 531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3111">
    <w:name w:val="Light List - Accent 1131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4112">
    <w:name w:val="Нет списка14112"/>
    <w:next w:val="NoList"/>
    <w:semiHidden/>
    <w:unhideWhenUsed/>
    <w:rsid w:val="008F7DB9"/>
  </w:style>
  <w:style w:type="table" w:customStyle="1" w:styleId="ColorfulGrid-Accent113111">
    <w:name w:val="Colorful Grid - Accent 1131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3111">
    <w:name w:val="Light List - Accent 5131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3112">
    <w:name w:val="No List43112"/>
    <w:next w:val="NoList"/>
    <w:semiHidden/>
    <w:rsid w:val="008F7DB9"/>
  </w:style>
  <w:style w:type="table" w:customStyle="1" w:styleId="Table3Deffects33111">
    <w:name w:val="Table 3D effects 331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NoList"/>
    <w:semiHidden/>
    <w:unhideWhenUsed/>
    <w:rsid w:val="008F7DB9"/>
  </w:style>
  <w:style w:type="numbering" w:customStyle="1" w:styleId="NoList52112">
    <w:name w:val="No List52112"/>
    <w:next w:val="NoList"/>
    <w:uiPriority w:val="99"/>
    <w:semiHidden/>
    <w:unhideWhenUsed/>
    <w:rsid w:val="008F7DB9"/>
  </w:style>
  <w:style w:type="numbering" w:customStyle="1" w:styleId="NoList122112">
    <w:name w:val="No List122112"/>
    <w:next w:val="NoList"/>
    <w:semiHidden/>
    <w:rsid w:val="008F7DB9"/>
  </w:style>
  <w:style w:type="numbering" w:customStyle="1" w:styleId="NoList1122112">
    <w:name w:val="No List1122112"/>
    <w:next w:val="NoList"/>
    <w:semiHidden/>
    <w:rsid w:val="008F7DB9"/>
  </w:style>
  <w:style w:type="numbering" w:customStyle="1" w:styleId="NoList11112112">
    <w:name w:val="No List11112112"/>
    <w:next w:val="NoList"/>
    <w:semiHidden/>
    <w:rsid w:val="008F7DB9"/>
  </w:style>
  <w:style w:type="numbering" w:customStyle="1" w:styleId="NoList212112">
    <w:name w:val="No List212112"/>
    <w:next w:val="NoList"/>
    <w:semiHidden/>
    <w:rsid w:val="008F7DB9"/>
  </w:style>
  <w:style w:type="table" w:customStyle="1" w:styleId="TableGrid22111">
    <w:name w:val="Table Grid22111"/>
    <w:basedOn w:val="TableNormal"/>
    <w:next w:val="TableGrid"/>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2112">
    <w:name w:val="No List312112"/>
    <w:next w:val="NoList"/>
    <w:uiPriority w:val="99"/>
    <w:semiHidden/>
    <w:unhideWhenUsed/>
    <w:rsid w:val="008F7DB9"/>
  </w:style>
  <w:style w:type="table" w:customStyle="1" w:styleId="LightShading-Accent11111">
    <w:name w:val="Light Shading - Accent 111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111">
    <w:name w:val="Medium Grid 2 - Accent 111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111">
    <w:name w:val="Medium List 2 - Accent 511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111">
    <w:name w:val="Light List - Accent 15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111">
    <w:name w:val="Medium Grid 3 - Accent 511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111">
    <w:name w:val="Light Shading - Accent 511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111">
    <w:name w:val="Medium Grid 2 - Accent 511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111">
    <w:name w:val="Light Grid - Accent 111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List4311">
    <w:name w:val="Table List 43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211">
    <w:name w:val="Table List 412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Theme111">
    <w:name w:val="Table Theme111"/>
    <w:basedOn w:val="TableNormal"/>
    <w:next w:val="TableTheme"/>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Professional111">
    <w:name w:val="Table Professional111"/>
    <w:basedOn w:val="TableNormal"/>
    <w:next w:val="TableProfessional"/>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6111">
    <w:name w:val="Table Grid 6111"/>
    <w:basedOn w:val="TableNormal"/>
    <w:next w:val="TableGrid6"/>
    <w:rsid w:val="008F7DB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t42111">
    <w:name w:val="Table List 42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411111">
    <w:name w:val="Table List 411111"/>
    <w:basedOn w:val="TableNormal"/>
    <w:next w:val="TableList4"/>
    <w:rsid w:val="008F7DB9"/>
    <w:pPr>
      <w:spacing w:after="20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Style11311">
    <w:name w:val="Style113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411">
    <w:name w:val="Style2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311">
    <w:name w:val="Style2113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16112">
    <w:name w:val="No List16112"/>
    <w:next w:val="NoList"/>
    <w:uiPriority w:val="99"/>
    <w:semiHidden/>
    <w:unhideWhenUsed/>
    <w:rsid w:val="008F7DB9"/>
  </w:style>
  <w:style w:type="table" w:customStyle="1" w:styleId="TableGrid61110">
    <w:name w:val="Table Grid61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2">
    <w:name w:val="No List17112"/>
    <w:next w:val="NoList"/>
    <w:uiPriority w:val="99"/>
    <w:semiHidden/>
    <w:unhideWhenUsed/>
    <w:rsid w:val="008F7DB9"/>
  </w:style>
  <w:style w:type="numbering" w:customStyle="1" w:styleId="NoList116111">
    <w:name w:val="No List116111"/>
    <w:next w:val="NoList"/>
    <w:semiHidden/>
    <w:rsid w:val="008F7DB9"/>
  </w:style>
  <w:style w:type="table" w:customStyle="1" w:styleId="TableGrid131110">
    <w:name w:val="Table Grid131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6111">
    <w:name w:val="Light List - Accent 161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311">
    <w:name w:val="Light Shading - Accent 131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311">
    <w:name w:val="Medium Grid 2 - Accent 131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311">
    <w:name w:val="Medium List 2 - Accent 531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311">
    <w:name w:val="Medium Grid 3 - Accent 531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311">
    <w:name w:val="Light Shading - Accent 531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311">
    <w:name w:val="Medium Grid 2 - Accent 531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311">
    <w:name w:val="Light Grid - Accent 131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Shading-Accent1411">
    <w:name w:val="Light Shading - Accent 14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411">
    <w:name w:val="Medium Grid 2 - Accent 14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411">
    <w:name w:val="Medium List 2 - Accent 54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011">
    <w:name w:val="Light List - Accent 11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411">
    <w:name w:val="Medium Grid 3 - Accent 54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411">
    <w:name w:val="Light Shading - Accent 54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411">
    <w:name w:val="Medium Grid 2 - Accent 54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411">
    <w:name w:val="Light Grid - Accent 14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511">
    <w:name w:val="Light Shading - Accent 15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511">
    <w:name w:val="Medium Grid 2 - Accent 15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511">
    <w:name w:val="Medium List 2 - Accent 55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611">
    <w:name w:val="Light List - Accent 116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511">
    <w:name w:val="Medium Grid 3 - Accent 55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511">
    <w:name w:val="Light Shading - Accent 55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511">
    <w:name w:val="Medium Grid 2 - Accent 55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511">
    <w:name w:val="Light Grid - Accent 15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711">
    <w:name w:val="No List2711"/>
    <w:next w:val="NoList"/>
    <w:uiPriority w:val="99"/>
    <w:semiHidden/>
    <w:unhideWhenUsed/>
    <w:rsid w:val="008F7DB9"/>
  </w:style>
  <w:style w:type="table" w:customStyle="1" w:styleId="TableGrid913">
    <w:name w:val="Table Grid9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611">
    <w:name w:val="Table List 7611"/>
    <w:basedOn w:val="TableNormal"/>
    <w:next w:val="TableList7"/>
    <w:rsid w:val="008F7DB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611">
    <w:name w:val="Table Web 3611"/>
    <w:basedOn w:val="TableNormal"/>
    <w:next w:val="TableWeb3"/>
    <w:rsid w:val="008F7DB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611">
    <w:name w:val="Table Elegant611"/>
    <w:basedOn w:val="TableNormal"/>
    <w:next w:val="TableElegant"/>
    <w:rsid w:val="008F7DB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611">
    <w:name w:val="Table Web 2611"/>
    <w:basedOn w:val="TableNormal"/>
    <w:next w:val="TableWeb2"/>
    <w:rsid w:val="008F7DB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611">
    <w:name w:val="Table Web 1611"/>
    <w:basedOn w:val="TableNormal"/>
    <w:next w:val="TableWeb1"/>
    <w:rsid w:val="008F7DB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611">
    <w:name w:val="Table Grid 8611"/>
    <w:basedOn w:val="TableNormal"/>
    <w:next w:val="TableGrid8"/>
    <w:rsid w:val="008F7DB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611">
    <w:name w:val="Table Contemporary611"/>
    <w:basedOn w:val="TableNormal"/>
    <w:next w:val="TableContemporary"/>
    <w:rsid w:val="008F7DB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911">
    <w:name w:val="No List11911"/>
    <w:next w:val="NoList"/>
    <w:semiHidden/>
    <w:unhideWhenUsed/>
    <w:rsid w:val="008F7DB9"/>
  </w:style>
  <w:style w:type="numbering" w:customStyle="1" w:styleId="NoList2811">
    <w:name w:val="No List2811"/>
    <w:next w:val="NoList"/>
    <w:semiHidden/>
    <w:unhideWhenUsed/>
    <w:rsid w:val="008F7DB9"/>
  </w:style>
  <w:style w:type="numbering" w:customStyle="1" w:styleId="NoList3711">
    <w:name w:val="No List3711"/>
    <w:next w:val="NoList"/>
    <w:semiHidden/>
    <w:unhideWhenUsed/>
    <w:rsid w:val="008F7DB9"/>
  </w:style>
  <w:style w:type="table" w:customStyle="1" w:styleId="LightList-Accent11711">
    <w:name w:val="Light List - Accent 11711"/>
    <w:basedOn w:val="TableNormal"/>
    <w:next w:val="LightList-Accent1"/>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611">
    <w:name w:val="Table Grid 7611"/>
    <w:basedOn w:val="TableNormal"/>
    <w:next w:val="TableGrid7"/>
    <w:rsid w:val="008F7DB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711">
    <w:name w:val="Colorful Grid - Accent 1711"/>
    <w:basedOn w:val="TableNormal"/>
    <w:next w:val="ColorfulGrid-Accent1"/>
    <w:uiPriority w:val="73"/>
    <w:rsid w:val="008F7DB9"/>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711">
    <w:name w:val="Light List - Accent 5711"/>
    <w:basedOn w:val="TableNormal"/>
    <w:next w:val="LightList-Accent5"/>
    <w:uiPriority w:val="61"/>
    <w:rsid w:val="008F7DB9"/>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611">
    <w:name w:val="Table Simple 3611"/>
    <w:basedOn w:val="TableNormal"/>
    <w:next w:val="TableSimple3"/>
    <w:rsid w:val="008F7DB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611">
    <w:name w:val="Table Grid 5611"/>
    <w:basedOn w:val="TableNormal"/>
    <w:next w:val="TableGrid5"/>
    <w:rsid w:val="008F7DB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611">
    <w:name w:val="Table Grid 3611"/>
    <w:basedOn w:val="TableNormal"/>
    <w:next w:val="TableGrid3"/>
    <w:rsid w:val="008F7DB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611">
    <w:name w:val="Table Grid 1611"/>
    <w:basedOn w:val="TableNormal"/>
    <w:next w:val="TableGrid10"/>
    <w:rsid w:val="008F7DB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611">
    <w:name w:val="Table Columns 5611"/>
    <w:basedOn w:val="TableNormal"/>
    <w:next w:val="TableColumns5"/>
    <w:rsid w:val="008F7DB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811">
    <w:name w:val="Light List - Accent 11811"/>
    <w:basedOn w:val="TableNormal"/>
    <w:uiPriority w:val="61"/>
    <w:rsid w:val="008F7DB9"/>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711">
    <w:name w:val="Нет списка1711"/>
    <w:next w:val="NoList"/>
    <w:semiHidden/>
    <w:unhideWhenUsed/>
    <w:rsid w:val="008F7DB9"/>
  </w:style>
  <w:style w:type="table" w:customStyle="1" w:styleId="ColorfulGrid-Accent11611">
    <w:name w:val="Colorful Grid - Accent 11611"/>
    <w:basedOn w:val="TableNormal"/>
    <w:rsid w:val="008F7DB9"/>
    <w:rPr>
      <w:color w:val="000000"/>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611">
    <w:name w:val="Light List - Accent 51611"/>
    <w:basedOn w:val="TableNormal"/>
    <w:rsid w:val="008F7DB9"/>
    <w:rPr>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611">
    <w:name w:val="No List4611"/>
    <w:next w:val="NoList"/>
    <w:semiHidden/>
    <w:rsid w:val="008F7DB9"/>
  </w:style>
  <w:style w:type="numbering" w:customStyle="1" w:styleId="NoList111011">
    <w:name w:val="No List111011"/>
    <w:next w:val="NoList"/>
    <w:semiHidden/>
    <w:unhideWhenUsed/>
    <w:rsid w:val="008F7DB9"/>
  </w:style>
  <w:style w:type="table" w:customStyle="1" w:styleId="Table3Deffects3611">
    <w:name w:val="Table 3D effects 3611"/>
    <w:basedOn w:val="TableNormal"/>
    <w:next w:val="Table3Deffects3"/>
    <w:rsid w:val="008F7DB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
    <w:name w:val="Нет списка11611"/>
    <w:next w:val="NoList"/>
    <w:semiHidden/>
    <w:unhideWhenUsed/>
    <w:rsid w:val="008F7DB9"/>
  </w:style>
  <w:style w:type="table" w:customStyle="1" w:styleId="LightShading-Accent1611">
    <w:name w:val="Light Shading - Accent 16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611">
    <w:name w:val="Medium Grid 2 - Accent 16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611">
    <w:name w:val="Medium List 2 - Accent 56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5211">
    <w:name w:val="Light List - Accent 15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611">
    <w:name w:val="Medium Grid 3 - Accent 56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611">
    <w:name w:val="Light Shading - Accent 56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611">
    <w:name w:val="Medium Grid 2 - Accent 56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611">
    <w:name w:val="Light Grid - Accent 16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411">
    <w:name w:val="Style114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511">
    <w:name w:val="Style2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Style211411">
    <w:name w:val="Style2114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LightShading-Accent11211">
    <w:name w:val="Light Shading - Accent 112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1211">
    <w:name w:val="Medium Grid 2 - Accent 112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1211">
    <w:name w:val="Medium List 2 - Accent 512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6211">
    <w:name w:val="Light List - Accent 162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1211">
    <w:name w:val="Medium Grid 3 - Accent 512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211">
    <w:name w:val="Light Shading - Accent 512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211">
    <w:name w:val="Medium Grid 2 - Accent 512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1211">
    <w:name w:val="Light Grid - Accent 112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Bookman Old Style" w:eastAsia="Times New Roman" w:hAnsi="Bookman Old Styl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Bookman Old Style" w:eastAsia="Times New Roman" w:hAnsi="Bookman Old Styl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Bookman Old Style" w:eastAsia="Times New Roman" w:hAnsi="Bookman Old Style" w:cs="Times New Roman"/>
        <w:b/>
        <w:bCs/>
      </w:rPr>
    </w:tblStylePr>
    <w:tblStylePr w:type="lastCol">
      <w:rPr>
        <w:rFonts w:ascii="Bookman Old Style" w:eastAsia="Times New Roman" w:hAnsi="Bookman Old Styl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2911">
    <w:name w:val="No List2911"/>
    <w:next w:val="NoList"/>
    <w:uiPriority w:val="99"/>
    <w:semiHidden/>
    <w:unhideWhenUsed/>
    <w:rsid w:val="008F7DB9"/>
  </w:style>
  <w:style w:type="table" w:customStyle="1" w:styleId="TableGrid1013">
    <w:name w:val="Table Grid1013"/>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1">
    <w:name w:val="No List12011"/>
    <w:next w:val="NoList"/>
    <w:uiPriority w:val="99"/>
    <w:semiHidden/>
    <w:unhideWhenUsed/>
    <w:rsid w:val="008F7DB9"/>
  </w:style>
  <w:style w:type="numbering" w:customStyle="1" w:styleId="NoList111511">
    <w:name w:val="No List111511"/>
    <w:next w:val="NoList"/>
    <w:semiHidden/>
    <w:rsid w:val="008F7DB9"/>
  </w:style>
  <w:style w:type="table" w:customStyle="1" w:styleId="TableGrid15110">
    <w:name w:val="Table Grid15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1">
    <w:name w:val="No List3011"/>
    <w:next w:val="NoList"/>
    <w:uiPriority w:val="99"/>
    <w:semiHidden/>
    <w:unhideWhenUsed/>
    <w:rsid w:val="008F7DB9"/>
  </w:style>
  <w:style w:type="table" w:customStyle="1" w:styleId="LightShading-Accent1711">
    <w:name w:val="Light Shading - Accent 17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711">
    <w:name w:val="Medium Grid 2 - Accent 17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711">
    <w:name w:val="Medium List 2 - Accent 57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1911">
    <w:name w:val="Light List - Accent 119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711">
    <w:name w:val="Medium Grid 3 - Accent 57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711">
    <w:name w:val="Light Shading - Accent 57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711">
    <w:name w:val="Medium Grid 2 - Accent 57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711">
    <w:name w:val="Light Grid - Accent 17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3811">
    <w:name w:val="No List3811"/>
    <w:next w:val="NoList"/>
    <w:uiPriority w:val="99"/>
    <w:semiHidden/>
    <w:unhideWhenUsed/>
    <w:rsid w:val="008F7DB9"/>
  </w:style>
  <w:style w:type="table" w:customStyle="1" w:styleId="TableGrid16110">
    <w:name w:val="Table Grid16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1">
    <w:name w:val="No List12411"/>
    <w:next w:val="NoList"/>
    <w:uiPriority w:val="99"/>
    <w:semiHidden/>
    <w:unhideWhenUsed/>
    <w:rsid w:val="008F7DB9"/>
  </w:style>
  <w:style w:type="numbering" w:customStyle="1" w:styleId="NoList111611">
    <w:name w:val="No List111611"/>
    <w:next w:val="NoList"/>
    <w:semiHidden/>
    <w:rsid w:val="008F7DB9"/>
  </w:style>
  <w:style w:type="table" w:customStyle="1" w:styleId="TableGrid1711">
    <w:name w:val="Table Grid17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11">
    <w:name w:val="Light Shading - Accent 18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811">
    <w:name w:val="Medium Grid 2 - Accent 18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811">
    <w:name w:val="Medium List 2 - Accent 58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011">
    <w:name w:val="Light List - Accent 120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811">
    <w:name w:val="Medium Grid 3 - Accent 58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811">
    <w:name w:val="Light Shading - Accent 58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811">
    <w:name w:val="Medium Grid 2 - Accent 58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811">
    <w:name w:val="Light Grid - Accent 18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911">
    <w:name w:val="Light Shading - Accent 19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2-Accent1911">
    <w:name w:val="Medium Grid 2 - Accent 19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List2-Accent5911">
    <w:name w:val="Medium List 2 - Accent 59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212">
    <w:name w:val="Light List - Accent 12212"/>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Grid3-Accent5911">
    <w:name w:val="Medium Grid 3 - Accent 59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911">
    <w:name w:val="Light Shading - Accent 59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911">
    <w:name w:val="Medium Grid 2 - Accent 59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Grid-Accent1911">
    <w:name w:val="Light Grid - Accent 19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tyle11521">
    <w:name w:val="Style1152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1511">
    <w:name w:val="Style2115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3911">
    <w:name w:val="No List3911"/>
    <w:next w:val="NoList"/>
    <w:uiPriority w:val="99"/>
    <w:semiHidden/>
    <w:unhideWhenUsed/>
    <w:rsid w:val="008F7DB9"/>
  </w:style>
  <w:style w:type="table" w:customStyle="1" w:styleId="TableGrid1811">
    <w:name w:val="Table Grid18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1">
    <w:name w:val="No List12511"/>
    <w:next w:val="NoList"/>
    <w:uiPriority w:val="99"/>
    <w:semiHidden/>
    <w:unhideWhenUsed/>
    <w:rsid w:val="008F7DB9"/>
  </w:style>
  <w:style w:type="numbering" w:customStyle="1" w:styleId="NoList111711">
    <w:name w:val="No List111711"/>
    <w:next w:val="NoList"/>
    <w:semiHidden/>
    <w:rsid w:val="008F7DB9"/>
  </w:style>
  <w:style w:type="table" w:customStyle="1" w:styleId="TableGrid1911">
    <w:name w:val="Table Grid19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15111">
    <w:name w:val="Style115111"/>
    <w:basedOn w:val="TableElegant"/>
    <w:uiPriority w:val="99"/>
    <w:rsid w:val="008F7DB9"/>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Style21611">
    <w:name w:val="Style21611"/>
    <w:basedOn w:val="TableGrid5"/>
    <w:uiPriority w:val="99"/>
    <w:rsid w:val="008F7DB9"/>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NoList4011">
    <w:name w:val="No List4011"/>
    <w:next w:val="NoList"/>
    <w:uiPriority w:val="99"/>
    <w:semiHidden/>
    <w:unhideWhenUsed/>
    <w:rsid w:val="008F7DB9"/>
  </w:style>
  <w:style w:type="table" w:customStyle="1" w:styleId="TableGrid2011">
    <w:name w:val="Table Grid2011"/>
    <w:basedOn w:val="TableNormal"/>
    <w:next w:val="TableGrid"/>
    <w:uiPriority w:val="5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011">
    <w:name w:val="Light Shading - Accent 11011"/>
    <w:basedOn w:val="TableNormal"/>
    <w:next w:val="LightShading-Accent1"/>
    <w:uiPriority w:val="60"/>
    <w:rsid w:val="008F7DB9"/>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811">
    <w:name w:val="Light List - Accent 5811"/>
    <w:basedOn w:val="TableNormal"/>
    <w:next w:val="LightList-Accent5"/>
    <w:uiPriority w:val="61"/>
    <w:rsid w:val="008F7DB9"/>
    <w:rPr>
      <w:rFonts w:ascii="Calibri" w:eastAsia="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List2-Accent1111">
    <w:name w:val="Medium List 2 - Accent 1111"/>
    <w:basedOn w:val="TableNormal"/>
    <w:next w:val="MediumList2-Accent1"/>
    <w:uiPriority w:val="66"/>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2-Accent11011">
    <w:name w:val="Medium Grid 2 - Accent 11011"/>
    <w:basedOn w:val="TableNormal"/>
    <w:next w:val="MediumGrid2-Accent1"/>
    <w:uiPriority w:val="68"/>
    <w:rsid w:val="008F7DB9"/>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MediumGrid3-Accent6111">
    <w:name w:val="Medium Grid 3 - Accent 6111"/>
    <w:basedOn w:val="TableNormal"/>
    <w:next w:val="MediumGrid3-Accent6"/>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2-Accent51011">
    <w:name w:val="Medium List 2 - Accent 51011"/>
    <w:basedOn w:val="TableNormal"/>
    <w:next w:val="MediumList2-Accent5"/>
    <w:uiPriority w:val="66"/>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LightList-Accent12311">
    <w:name w:val="Light List - Accent 12311"/>
    <w:basedOn w:val="TableNormal"/>
    <w:next w:val="LightList-Accent1"/>
    <w:uiPriority w:val="61"/>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List1-Accent5111">
    <w:name w:val="Medium List 1 - Accent 5111"/>
    <w:basedOn w:val="TableNormal"/>
    <w:next w:val="MediumList1-Accent5"/>
    <w:uiPriority w:val="65"/>
    <w:rsid w:val="008F7DB9"/>
    <w:rPr>
      <w:rFonts w:ascii="Calibri" w:eastAsia="Calibri" w:hAnsi="Calibri"/>
      <w:color w:val="000000"/>
      <w:sz w:val="22"/>
      <w:szCs w:val="22"/>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Grid3-Accent51011">
    <w:name w:val="Medium Grid 3 - Accent 51011"/>
    <w:basedOn w:val="TableNormal"/>
    <w:next w:val="MediumGrid3-Accent5"/>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Accent51011">
    <w:name w:val="Light Shading - Accent 51011"/>
    <w:basedOn w:val="TableNormal"/>
    <w:next w:val="LightShading-Accent5"/>
    <w:uiPriority w:val="60"/>
    <w:rsid w:val="008F7DB9"/>
    <w:rPr>
      <w:rFonts w:ascii="Calibri" w:eastAsia="Calibri" w:hAnsi="Calibri"/>
      <w:color w:val="31849B"/>
      <w:sz w:val="22"/>
      <w:szCs w:val="22"/>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MediumGrid2-Accent51011">
    <w:name w:val="Medium Grid 2 - Accent 51011"/>
    <w:basedOn w:val="TableNormal"/>
    <w:next w:val="MediumGrid2-Accent5"/>
    <w:uiPriority w:val="68"/>
    <w:rsid w:val="008F7DB9"/>
    <w:rPr>
      <w:rFonts w:ascii="Cambria" w:hAnsi="Cambria"/>
      <w:color w:val="000000"/>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LightList-Accent3111">
    <w:name w:val="Light List - Accent 3111"/>
    <w:basedOn w:val="TableNormal"/>
    <w:next w:val="LightList-Accent3"/>
    <w:uiPriority w:val="61"/>
    <w:rsid w:val="008F7DB9"/>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ediumList2-Accent3111">
    <w:name w:val="Medium List 2 - Accent 3111"/>
    <w:basedOn w:val="TableNormal"/>
    <w:next w:val="MediumList2-Accent3"/>
    <w:uiPriority w:val="66"/>
    <w:rsid w:val="008F7DB9"/>
    <w:rPr>
      <w:rFonts w:ascii="Cambria" w:hAnsi="Cambria"/>
      <w:color w:val="000000"/>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MediumList2-Accent4111">
    <w:name w:val="Medium List 2 - Accent 4111"/>
    <w:basedOn w:val="TableNormal"/>
    <w:next w:val="MediumList2-Accent4"/>
    <w:uiPriority w:val="66"/>
    <w:rsid w:val="008F7DB9"/>
    <w:rPr>
      <w:rFonts w:ascii="Cambria" w:hAnsi="Cambria"/>
      <w:color w:val="000000"/>
      <w:sz w:val="22"/>
      <w:szCs w:val="22"/>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LightGrid-Accent11011">
    <w:name w:val="Light Grid - Accent 11011"/>
    <w:basedOn w:val="TableNormal"/>
    <w:next w:val="LightGrid-Accent1"/>
    <w:uiPriority w:val="62"/>
    <w:rsid w:val="008F7DB9"/>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NoList4711">
    <w:name w:val="No List4711"/>
    <w:next w:val="NoList"/>
    <w:uiPriority w:val="99"/>
    <w:semiHidden/>
    <w:unhideWhenUsed/>
    <w:rsid w:val="008F7DB9"/>
  </w:style>
  <w:style w:type="table" w:customStyle="1" w:styleId="TableGrid2411">
    <w:name w:val="Table Grid2411"/>
    <w:basedOn w:val="TableNormal"/>
    <w:next w:val="TableGrid"/>
    <w:uiPriority w:val="3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1">
    <w:name w:val="No List12611"/>
    <w:next w:val="NoList"/>
    <w:uiPriority w:val="99"/>
    <w:semiHidden/>
    <w:unhideWhenUsed/>
    <w:rsid w:val="008F7DB9"/>
  </w:style>
  <w:style w:type="numbering" w:customStyle="1" w:styleId="NoList111811">
    <w:name w:val="No List111811"/>
    <w:next w:val="NoList"/>
    <w:semiHidden/>
    <w:rsid w:val="008F7DB9"/>
  </w:style>
  <w:style w:type="table" w:customStyle="1" w:styleId="TableGrid11011">
    <w:name w:val="Table Grid11011"/>
    <w:basedOn w:val="TableNormal"/>
    <w:next w:val="TableGrid"/>
    <w:uiPriority w:val="59"/>
    <w:rsid w:val="008F7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next w:val="LightShading-Accent1"/>
    <w:uiPriority w:val="60"/>
    <w:semiHidden/>
    <w:unhideWhenUsed/>
    <w:rsid w:val="008F7DB9"/>
    <w:rPr>
      <w:rFonts w:ascii="Calibri" w:eastAsia="Calibri" w:hAnsi="Calibr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MediumGrid2-Accent1141">
    <w:name w:val="Medium Grid 2 - Accent 1141"/>
    <w:basedOn w:val="TableNormal"/>
    <w:next w:val="MediumGrid2-Accent1"/>
    <w:uiPriority w:val="68"/>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customStyle="1" w:styleId="MediumList2-Accent5141">
    <w:name w:val="Medium List 2 - Accent 5141"/>
    <w:basedOn w:val="TableNormal"/>
    <w:next w:val="MediumList2-Accent5"/>
    <w:uiPriority w:val="66"/>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MediumGrid3-Accent5141">
    <w:name w:val="Medium Grid 3 - Accent 5141"/>
    <w:basedOn w:val="TableNormal"/>
    <w:next w:val="MediumGrid3-Accent5"/>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customStyle="1" w:styleId="LightShading-Accent5141">
    <w:name w:val="Light Shading - Accent 5141"/>
    <w:basedOn w:val="TableNormal"/>
    <w:next w:val="LightShading-Accent5"/>
    <w:uiPriority w:val="60"/>
    <w:semiHidden/>
    <w:unhideWhenUsed/>
    <w:rsid w:val="008F7DB9"/>
    <w:rPr>
      <w:rFonts w:ascii="Calibri" w:eastAsia="Calibri" w:hAnsi="Calibri"/>
      <w:color w:val="2F5496"/>
      <w:sz w:val="22"/>
      <w:szCs w:val="22"/>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MediumGrid2-Accent5141">
    <w:name w:val="Medium Grid 2 - Accent 5141"/>
    <w:basedOn w:val="TableNormal"/>
    <w:next w:val="MediumGrid2-Accent5"/>
    <w:uiPriority w:val="68"/>
    <w:semiHidden/>
    <w:unhideWhenUsed/>
    <w:rsid w:val="008F7DB9"/>
    <w:rPr>
      <w:rFonts w:ascii="Calibri Light" w:hAnsi="Calibri Light"/>
      <w:color w:val="000000"/>
      <w:sz w:val="22"/>
      <w:szCs w:val="22"/>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customStyle="1" w:styleId="LightGrid-Accent1141">
    <w:name w:val="Light Grid - Accent 1141"/>
    <w:basedOn w:val="TableNormal"/>
    <w:next w:val="LightGrid-Accent1"/>
    <w:uiPriority w:val="62"/>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List2-Accent121">
    <w:name w:val="Medium List 2 - Accent 121"/>
    <w:basedOn w:val="TableNormal"/>
    <w:next w:val="MediumList2-Accent1"/>
    <w:uiPriority w:val="66"/>
    <w:semiHidden/>
    <w:unhideWhenUsed/>
    <w:rsid w:val="008F7DB9"/>
    <w:rPr>
      <w:rFonts w:ascii="Calibri Light" w:hAnsi="Calibri Light"/>
      <w:color w:val="000000"/>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MediumGrid3-Accent621">
    <w:name w:val="Medium Grid 3 - Accent 621"/>
    <w:basedOn w:val="TableNormal"/>
    <w:next w:val="MediumGrid3-Accent6"/>
    <w:uiPriority w:val="69"/>
    <w:semiHidden/>
    <w:unhideWhenUsed/>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MediumList1-Accent521">
    <w:name w:val="Medium List 1 - Accent 521"/>
    <w:basedOn w:val="TableNormal"/>
    <w:next w:val="MediumList1-Accent5"/>
    <w:uiPriority w:val="65"/>
    <w:semiHidden/>
    <w:unhideWhenUsed/>
    <w:rsid w:val="008F7DB9"/>
    <w:rPr>
      <w:rFonts w:ascii="Calibri" w:eastAsia="Calibri" w:hAnsi="Calibri"/>
      <w:color w:val="000000"/>
      <w:sz w:val="22"/>
      <w:szCs w:val="22"/>
    </w:rPr>
    <w:tblPr>
      <w:tblStyleRowBandSize w:val="1"/>
      <w:tblStyleColBandSize w:val="1"/>
      <w:tblBorders>
        <w:top w:val="single" w:sz="8" w:space="0" w:color="4472C4"/>
        <w:bottom w:val="single" w:sz="8" w:space="0" w:color="4472C4"/>
      </w:tblBorders>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customStyle="1" w:styleId="LightList-Accent321">
    <w:name w:val="Light List - Accent 321"/>
    <w:basedOn w:val="TableNormal"/>
    <w:next w:val="LightList-Accent3"/>
    <w:uiPriority w:val="61"/>
    <w:semiHidden/>
    <w:unhideWhenUsed/>
    <w:rsid w:val="008F7DB9"/>
    <w:rPr>
      <w:rFonts w:ascii="Calibri" w:eastAsia="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MediumList2-Accent321">
    <w:name w:val="Medium List 2 - Accent 321"/>
    <w:basedOn w:val="TableNormal"/>
    <w:next w:val="MediumList2-Accent3"/>
    <w:uiPriority w:val="66"/>
    <w:semiHidden/>
    <w:unhideWhenUsed/>
    <w:rsid w:val="008F7DB9"/>
    <w:rPr>
      <w:rFonts w:ascii="Calibri Light" w:hAnsi="Calibri Light"/>
      <w:color w:val="000000"/>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customStyle="1" w:styleId="MediumList2-Accent421">
    <w:name w:val="Medium List 2 - Accent 421"/>
    <w:basedOn w:val="TableNormal"/>
    <w:next w:val="MediumList2-Accent4"/>
    <w:uiPriority w:val="66"/>
    <w:semiHidden/>
    <w:unhideWhenUsed/>
    <w:rsid w:val="008F7DB9"/>
    <w:rPr>
      <w:rFonts w:ascii="Calibri Light" w:hAnsi="Calibri Light"/>
      <w:color w:val="000000"/>
      <w:sz w:val="22"/>
      <w:szCs w:val="22"/>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nil"/>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numbering" w:customStyle="1" w:styleId="NoList551">
    <w:name w:val="No List551"/>
    <w:next w:val="NoList"/>
    <w:uiPriority w:val="99"/>
    <w:semiHidden/>
    <w:unhideWhenUsed/>
    <w:rsid w:val="008F7DB9"/>
  </w:style>
  <w:style w:type="table" w:customStyle="1" w:styleId="TableGrid291">
    <w:name w:val="Table Grid29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1">
    <w:name w:val="Medium Grid 3 - Accent 111"/>
    <w:basedOn w:val="TableNormal"/>
    <w:next w:val="MediumGrid3-Accent1"/>
    <w:uiPriority w:val="69"/>
    <w:rsid w:val="008F7DB9"/>
    <w:rPr>
      <w:rFonts w:ascii="Calibri" w:eastAsia="Calibri" w:hAnsi="Calibri"/>
      <w:sz w:val="22"/>
      <w:szCs w:val="22"/>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numbering" w:customStyle="1" w:styleId="NoList1301">
    <w:name w:val="No List1301"/>
    <w:next w:val="NoList"/>
    <w:uiPriority w:val="99"/>
    <w:semiHidden/>
    <w:unhideWhenUsed/>
    <w:rsid w:val="008F7DB9"/>
  </w:style>
  <w:style w:type="table" w:customStyle="1" w:styleId="TableGrid1141">
    <w:name w:val="Table Grid1141"/>
    <w:basedOn w:val="TableNormal"/>
    <w:next w:val="TableGrid"/>
    <w:uiPriority w:val="39"/>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32">
    <w:name w:val="Table List 7132"/>
    <w:basedOn w:val="TableNormal"/>
    <w:next w:val="TableList7"/>
    <w:rsid w:val="008F7DB9"/>
    <w:pPr>
      <w:spacing w:after="200" w:line="276" w:lineRule="auto"/>
    </w:pPr>
    <w:rPr>
      <w:rFonts w:ascii="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32">
    <w:name w:val="Table Web 3132"/>
    <w:basedOn w:val="TableNormal"/>
    <w:next w:val="TableWeb3"/>
    <w:rsid w:val="008F7DB9"/>
    <w:pPr>
      <w:spacing w:after="200" w:line="276" w:lineRule="auto"/>
    </w:pPr>
    <w:rPr>
      <w:rFonts w:ascii="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32">
    <w:name w:val="Table Elegant132"/>
    <w:basedOn w:val="TableNormal"/>
    <w:next w:val="TableElegant"/>
    <w:rsid w:val="008F7DB9"/>
    <w:pPr>
      <w:spacing w:after="200" w:line="276" w:lineRule="auto"/>
    </w:pPr>
    <w:rPr>
      <w:rFonts w:ascii="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132">
    <w:name w:val="Table Web 2132"/>
    <w:basedOn w:val="TableNormal"/>
    <w:next w:val="TableWeb2"/>
    <w:rsid w:val="008F7DB9"/>
    <w:pPr>
      <w:spacing w:after="200" w:line="276" w:lineRule="auto"/>
    </w:pPr>
    <w:rPr>
      <w:rFonts w:ascii="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32">
    <w:name w:val="Table Web 1132"/>
    <w:basedOn w:val="TableNormal"/>
    <w:next w:val="TableWeb1"/>
    <w:rsid w:val="008F7DB9"/>
    <w:pPr>
      <w:spacing w:after="200" w:line="276" w:lineRule="auto"/>
    </w:pPr>
    <w:rPr>
      <w:rFonts w:ascii="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32">
    <w:name w:val="Table Grid 8132"/>
    <w:basedOn w:val="TableNormal"/>
    <w:next w:val="TableGrid8"/>
    <w:rsid w:val="008F7DB9"/>
    <w:pPr>
      <w:spacing w:after="200" w:line="276" w:lineRule="auto"/>
    </w:pPr>
    <w:rPr>
      <w:rFonts w:ascii="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32">
    <w:name w:val="Table Contemporary132"/>
    <w:basedOn w:val="TableNormal"/>
    <w:next w:val="TableContemporary"/>
    <w:rsid w:val="008F7DB9"/>
    <w:pPr>
      <w:spacing w:after="200" w:line="276" w:lineRule="auto"/>
    </w:pPr>
    <w:rPr>
      <w:rFonts w:ascii="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1201">
    <w:name w:val="No List11201"/>
    <w:next w:val="NoList"/>
    <w:semiHidden/>
    <w:unhideWhenUsed/>
    <w:rsid w:val="008F7DB9"/>
  </w:style>
  <w:style w:type="numbering" w:customStyle="1" w:styleId="NoList2161">
    <w:name w:val="No List2161"/>
    <w:next w:val="NoList"/>
    <w:semiHidden/>
    <w:unhideWhenUsed/>
    <w:rsid w:val="008F7DB9"/>
  </w:style>
  <w:style w:type="numbering" w:customStyle="1" w:styleId="NoList3151">
    <w:name w:val="No List3151"/>
    <w:next w:val="NoList"/>
    <w:semiHidden/>
    <w:unhideWhenUsed/>
    <w:rsid w:val="008F7DB9"/>
  </w:style>
  <w:style w:type="table" w:customStyle="1" w:styleId="LightList-Accent11131">
    <w:name w:val="Light List - Accent 11131"/>
    <w:basedOn w:val="TableNormal"/>
    <w:next w:val="LightList-Accent1"/>
    <w:uiPriority w:val="61"/>
    <w:rsid w:val="008F7DB9"/>
    <w:pPr>
      <w:spacing w:after="200" w:line="276" w:lineRule="auto"/>
    </w:pPr>
    <w:rPr>
      <w:rFonts w:ascii="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32">
    <w:name w:val="Table Grid 7132"/>
    <w:basedOn w:val="TableNormal"/>
    <w:next w:val="TableGrid7"/>
    <w:rsid w:val="008F7DB9"/>
    <w:pPr>
      <w:spacing w:after="200" w:line="276" w:lineRule="auto"/>
    </w:pPr>
    <w:rPr>
      <w:rFonts w:ascii="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181">
    <w:name w:val="Colorful Grid - Accent 1181"/>
    <w:basedOn w:val="TableNormal"/>
    <w:next w:val="ColorfulGrid-Accent1"/>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81">
    <w:name w:val="Light List - Accent 5181"/>
    <w:basedOn w:val="TableNormal"/>
    <w:next w:val="LightList-Accent5"/>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32">
    <w:name w:val="Table Simple 3132"/>
    <w:basedOn w:val="TableNormal"/>
    <w:next w:val="TableSimple3"/>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32">
    <w:name w:val="Table Grid 5132"/>
    <w:basedOn w:val="TableNormal"/>
    <w:next w:val="TableGrid5"/>
    <w:rsid w:val="008F7DB9"/>
    <w:pPr>
      <w:spacing w:after="200" w:line="276" w:lineRule="auto"/>
    </w:pPr>
    <w:rPr>
      <w:rFonts w:ascii="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32">
    <w:name w:val="Table Grid 3132"/>
    <w:basedOn w:val="TableNormal"/>
    <w:next w:val="TableGrid3"/>
    <w:rsid w:val="008F7DB9"/>
    <w:pPr>
      <w:spacing w:after="200" w:line="276" w:lineRule="auto"/>
    </w:pPr>
    <w:rPr>
      <w:rFonts w:ascii="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32">
    <w:name w:val="Table Grid 1132"/>
    <w:basedOn w:val="TableNormal"/>
    <w:next w:val="TableGrid10"/>
    <w:rsid w:val="008F7DB9"/>
    <w:pPr>
      <w:spacing w:after="200" w:line="276" w:lineRule="auto"/>
    </w:pPr>
    <w:rPr>
      <w:rFonts w:ascii="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32">
    <w:name w:val="Table Columns 5132"/>
    <w:basedOn w:val="TableNormal"/>
    <w:next w:val="TableColumns5"/>
    <w:rsid w:val="008F7DB9"/>
    <w:pPr>
      <w:spacing w:after="200" w:line="276" w:lineRule="auto"/>
    </w:pPr>
    <w:rPr>
      <w:rFonts w:ascii="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numbering" w:customStyle="1" w:styleId="191">
    <w:name w:val="Нет списка191"/>
    <w:next w:val="NoList"/>
    <w:semiHidden/>
    <w:unhideWhenUsed/>
    <w:rsid w:val="008F7DB9"/>
  </w:style>
  <w:style w:type="numbering" w:customStyle="1" w:styleId="NoList4132">
    <w:name w:val="No List4132"/>
    <w:next w:val="NoList"/>
    <w:semiHidden/>
    <w:rsid w:val="008F7DB9"/>
  </w:style>
  <w:style w:type="numbering" w:customStyle="1" w:styleId="NoList111151">
    <w:name w:val="No List111151"/>
    <w:next w:val="NoList"/>
    <w:semiHidden/>
    <w:unhideWhenUsed/>
    <w:rsid w:val="008F7DB9"/>
  </w:style>
  <w:style w:type="table" w:customStyle="1" w:styleId="Table3Deffects3132">
    <w:name w:val="Table 3D effects 3132"/>
    <w:basedOn w:val="TableNormal"/>
    <w:next w:val="Table3Deffects3"/>
    <w:rsid w:val="008F7DB9"/>
    <w:pPr>
      <w:spacing w:after="200" w:line="276" w:lineRule="auto"/>
    </w:pPr>
    <w:rPr>
      <w:rFonts w:ascii="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81">
    <w:name w:val="Нет списка1181"/>
    <w:next w:val="NoList"/>
    <w:semiHidden/>
    <w:unhideWhenUsed/>
    <w:rsid w:val="008F7DB9"/>
  </w:style>
  <w:style w:type="table" w:customStyle="1" w:styleId="TableGrid1151">
    <w:name w:val="Table Grid115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61">
    <w:name w:val="No List561"/>
    <w:next w:val="NoList"/>
    <w:uiPriority w:val="99"/>
    <w:semiHidden/>
    <w:rsid w:val="008F7DB9"/>
  </w:style>
  <w:style w:type="numbering" w:customStyle="1" w:styleId="NoList632">
    <w:name w:val="No List632"/>
    <w:next w:val="NoList"/>
    <w:uiPriority w:val="99"/>
    <w:semiHidden/>
    <w:unhideWhenUsed/>
    <w:rsid w:val="008F7DB9"/>
  </w:style>
  <w:style w:type="table" w:customStyle="1" w:styleId="TableGrid2101">
    <w:name w:val="Table Grid2101"/>
    <w:basedOn w:val="TableNormal"/>
    <w:next w:val="TableGrid"/>
    <w:rsid w:val="008F7DB9"/>
    <w:pPr>
      <w:spacing w:after="200" w:line="276" w:lineRule="auto"/>
    </w:pPr>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32">
    <w:name w:val="No List732"/>
    <w:next w:val="NoList"/>
    <w:uiPriority w:val="99"/>
    <w:semiHidden/>
    <w:unhideWhenUsed/>
    <w:rsid w:val="008F7DB9"/>
  </w:style>
  <w:style w:type="numbering" w:customStyle="1" w:styleId="NoList12101">
    <w:name w:val="No List12101"/>
    <w:next w:val="NoList"/>
    <w:uiPriority w:val="99"/>
    <w:semiHidden/>
    <w:unhideWhenUsed/>
    <w:rsid w:val="008F7DB9"/>
  </w:style>
  <w:style w:type="table" w:customStyle="1" w:styleId="TableGrid3320">
    <w:name w:val="Table Grid332"/>
    <w:basedOn w:val="TableNormal"/>
    <w:next w:val="TableGrid"/>
    <w:rsid w:val="008F7DB9"/>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Grid-Accent1232">
    <w:name w:val="Colorful Grid - Accent 1232"/>
    <w:basedOn w:val="TableNormal"/>
    <w:next w:val="ColorfulGrid-Accent1"/>
    <w:uiPriority w:val="73"/>
    <w:rsid w:val="008F7DB9"/>
    <w:pPr>
      <w:spacing w:after="200" w:line="276" w:lineRule="auto"/>
    </w:pPr>
    <w:rPr>
      <w:rFonts w:ascii="Calibri" w:hAnsi="Calibri"/>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32">
    <w:name w:val="Light List - Accent 5232"/>
    <w:basedOn w:val="TableNormal"/>
    <w:next w:val="LightList-Accent5"/>
    <w:uiPriority w:val="61"/>
    <w:rsid w:val="008F7DB9"/>
    <w:pPr>
      <w:spacing w:after="200" w:line="276" w:lineRule="auto"/>
    </w:pPr>
    <w:rPr>
      <w:rFonts w:ascii="Calibri" w:hAnsi="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32">
    <w:name w:val="No List832"/>
    <w:next w:val="NoList"/>
    <w:uiPriority w:val="99"/>
    <w:semiHidden/>
    <w:unhideWhenUsed/>
    <w:rsid w:val="008F7DB9"/>
  </w:style>
  <w:style w:type="numbering" w:customStyle="1" w:styleId="1232">
    <w:name w:val="Нет списка1232"/>
    <w:next w:val="NoList"/>
    <w:semiHidden/>
    <w:unhideWhenUsed/>
    <w:rsid w:val="008F7DB9"/>
  </w:style>
  <w:style w:type="numbering" w:customStyle="1" w:styleId="NoList1332">
    <w:name w:val="No List1332"/>
    <w:next w:val="NoList"/>
    <w:semiHidden/>
    <w:unhideWhenUsed/>
    <w:rsid w:val="008F7DB9"/>
  </w:style>
  <w:style w:type="numbering" w:customStyle="1" w:styleId="NoList2171">
    <w:name w:val="No List2171"/>
    <w:next w:val="NoList"/>
    <w:semiHidden/>
    <w:unhideWhenUsed/>
    <w:rsid w:val="008F7DB9"/>
  </w:style>
  <w:style w:type="numbering" w:customStyle="1" w:styleId="NoList3161">
    <w:name w:val="No List3161"/>
    <w:next w:val="NoList"/>
    <w:semiHidden/>
    <w:unhideWhenUsed/>
    <w:rsid w:val="008F7DB9"/>
  </w:style>
  <w:style w:type="numbering" w:customStyle="1" w:styleId="11133">
    <w:name w:val="Нет списка11133"/>
    <w:next w:val="NoList"/>
    <w:semiHidden/>
    <w:unhideWhenUsed/>
    <w:rsid w:val="008F7DB9"/>
  </w:style>
  <w:style w:type="numbering" w:customStyle="1" w:styleId="NoList4141">
    <w:name w:val="No List4141"/>
    <w:next w:val="NoList"/>
    <w:semiHidden/>
    <w:rsid w:val="008F7DB9"/>
  </w:style>
  <w:style w:type="numbering" w:customStyle="1" w:styleId="NoList111161">
    <w:name w:val="No List111161"/>
    <w:next w:val="NoList"/>
    <w:semiHidden/>
    <w:unhideWhenUsed/>
    <w:rsid w:val="008F7DB9"/>
  </w:style>
  <w:style w:type="numbering" w:customStyle="1" w:styleId="111123">
    <w:name w:val="Нет списка111123"/>
    <w:next w:val="NoList"/>
    <w:semiHidden/>
    <w:unhideWhenUsed/>
    <w:rsid w:val="008F7DB9"/>
  </w:style>
  <w:style w:type="numbering" w:customStyle="1" w:styleId="NoList931">
    <w:name w:val="No List931"/>
    <w:next w:val="NoList"/>
    <w:uiPriority w:val="99"/>
    <w:semiHidden/>
    <w:unhideWhenUsed/>
    <w:rsid w:val="008F7DB9"/>
  </w:style>
  <w:style w:type="table" w:customStyle="1" w:styleId="TableGrid432">
    <w:name w:val="Table Grid432"/>
    <w:basedOn w:val="TableNormal"/>
    <w:next w:val="TableGrid"/>
    <w:rsid w:val="008F7DB9"/>
    <w:pPr>
      <w:spacing w:after="200" w:line="276" w:lineRule="auto"/>
    </w:pPr>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5">
    <w:name w:val="Grid Table 1 Light - Accent 515"/>
    <w:basedOn w:val="TableNormal"/>
    <w:uiPriority w:val="46"/>
    <w:rsid w:val="008F7DB9"/>
    <w:pPr>
      <w:spacing w:after="200" w:line="276" w:lineRule="auto"/>
    </w:pPr>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PlainTable314">
    <w:name w:val="Plain Table 314"/>
    <w:basedOn w:val="TableNormal"/>
    <w:uiPriority w:val="43"/>
    <w:rsid w:val="008F7DB9"/>
    <w:pPr>
      <w:spacing w:after="200" w:line="276" w:lineRule="auto"/>
    </w:pPr>
    <w:rPr>
      <w:rFonts w:ascii="Calibri" w:eastAsia="Calibri" w:hAnsi="Calibri"/>
      <w:sz w:val="24"/>
      <w:szCs w:val="24"/>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4-Accent1112">
    <w:name w:val="Grid Table 4 - Accent 1112"/>
    <w:basedOn w:val="TableNormal"/>
    <w:uiPriority w:val="49"/>
    <w:rsid w:val="008F7DB9"/>
    <w:pPr>
      <w:spacing w:after="200" w:line="276" w:lineRule="auto"/>
    </w:pPr>
    <w:rPr>
      <w:rFonts w:ascii="Calibri" w:eastAsia="Calibri" w:hAnsi="Calibri"/>
      <w:sz w:val="24"/>
      <w:szCs w:val="24"/>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031">
    <w:name w:val="No List1031"/>
    <w:next w:val="NoList"/>
    <w:uiPriority w:val="99"/>
    <w:semiHidden/>
    <w:unhideWhenUsed/>
    <w:rsid w:val="008F7DB9"/>
  </w:style>
  <w:style w:type="table" w:customStyle="1" w:styleId="TableGrid5310">
    <w:name w:val="Table Grid531"/>
    <w:basedOn w:val="TableNormal"/>
    <w:next w:val="TableGrid"/>
    <w:uiPriority w:val="39"/>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ist71121">
    <w:name w:val="Table List 71121"/>
    <w:basedOn w:val="TableNormal"/>
    <w:next w:val="TableList7"/>
    <w:rsid w:val="008F7DB9"/>
    <w:pPr>
      <w:spacing w:after="200" w:line="276" w:lineRule="auto"/>
    </w:pPr>
    <w:rPr>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1121">
    <w:name w:val="Table Web 31121"/>
    <w:basedOn w:val="TableNormal"/>
    <w:next w:val="TableWeb3"/>
    <w:rsid w:val="008F7DB9"/>
    <w:pPr>
      <w:spacing w:after="200" w:line="276" w:lineRule="auto"/>
    </w:pPr>
    <w:rPr>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1121">
    <w:name w:val="Table Elegant1121"/>
    <w:basedOn w:val="TableNormal"/>
    <w:next w:val="TableElegant"/>
    <w:rsid w:val="008F7DB9"/>
    <w:pPr>
      <w:spacing w:after="200" w:line="276" w:lineRule="auto"/>
    </w:pPr>
    <w:rPr>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231">
    <w:name w:val="Table Web 2231"/>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231">
    <w:name w:val="Table Web 1231"/>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231">
    <w:name w:val="Table Grid 8231"/>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231">
    <w:name w:val="Table Contemporary231"/>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NoList1431">
    <w:name w:val="No List1431"/>
    <w:next w:val="NoList"/>
    <w:semiHidden/>
    <w:unhideWhenUsed/>
    <w:rsid w:val="008F7DB9"/>
  </w:style>
  <w:style w:type="numbering" w:customStyle="1" w:styleId="NoList2231">
    <w:name w:val="No List2231"/>
    <w:next w:val="NoList"/>
    <w:semiHidden/>
    <w:unhideWhenUsed/>
    <w:rsid w:val="008F7DB9"/>
  </w:style>
  <w:style w:type="numbering" w:customStyle="1" w:styleId="NoList3231">
    <w:name w:val="No List3231"/>
    <w:next w:val="NoList"/>
    <w:semiHidden/>
    <w:unhideWhenUsed/>
    <w:rsid w:val="008F7DB9"/>
  </w:style>
  <w:style w:type="table" w:customStyle="1" w:styleId="LightList-Accent1261">
    <w:name w:val="Light List - Accent 126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71121">
    <w:name w:val="Table Grid 71121"/>
    <w:basedOn w:val="TableNormal"/>
    <w:next w:val="TableGrid7"/>
    <w:rsid w:val="008F7DB9"/>
    <w:pPr>
      <w:spacing w:after="200" w:line="276" w:lineRule="auto"/>
    </w:pPr>
    <w:rPr>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331">
    <w:name w:val="Colorful Grid - Accent 1331"/>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331">
    <w:name w:val="Light List - Accent 5331"/>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Simple31121">
    <w:name w:val="Table Simple 31121"/>
    <w:basedOn w:val="TableNormal"/>
    <w:next w:val="TableSimple3"/>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1121">
    <w:name w:val="Table Grid 51121"/>
    <w:basedOn w:val="TableNormal"/>
    <w:next w:val="TableGrid5"/>
    <w:rsid w:val="008F7DB9"/>
    <w:pPr>
      <w:spacing w:after="200" w:line="276" w:lineRule="auto"/>
    </w:pPr>
    <w:rPr>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1121">
    <w:name w:val="Table Grid 31121"/>
    <w:basedOn w:val="TableNormal"/>
    <w:next w:val="TableGrid3"/>
    <w:rsid w:val="008F7DB9"/>
    <w:pPr>
      <w:spacing w:after="200" w:line="276" w:lineRule="auto"/>
    </w:pPr>
    <w:rPr>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11210">
    <w:name w:val="Table Grid 11121"/>
    <w:basedOn w:val="TableNormal"/>
    <w:next w:val="TableGrid10"/>
    <w:rsid w:val="008F7DB9"/>
    <w:pPr>
      <w:spacing w:after="200" w:line="276" w:lineRule="auto"/>
    </w:pPr>
    <w:rPr>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1121">
    <w:name w:val="Table Columns 51121"/>
    <w:basedOn w:val="TableNormal"/>
    <w:next w:val="TableColumns5"/>
    <w:rsid w:val="008F7DB9"/>
    <w:pPr>
      <w:spacing w:after="200" w:line="276" w:lineRule="auto"/>
    </w:pPr>
    <w:rPr>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LightList-Accent11141">
    <w:name w:val="Light List - Accent 11141"/>
    <w:basedOn w:val="TableNormal"/>
    <w:uiPriority w:val="61"/>
    <w:rsid w:val="008F7DB9"/>
    <w:pPr>
      <w:spacing w:after="200" w:line="276" w:lineRule="auto"/>
    </w:pPr>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1331">
    <w:name w:val="Нет списка1331"/>
    <w:next w:val="NoList"/>
    <w:semiHidden/>
    <w:unhideWhenUsed/>
    <w:rsid w:val="008F7DB9"/>
  </w:style>
  <w:style w:type="table" w:customStyle="1" w:styleId="ColorfulGrid-Accent11131">
    <w:name w:val="Colorful Grid - Accent 11131"/>
    <w:basedOn w:val="TableNormal"/>
    <w:rsid w:val="008F7DB9"/>
    <w:pPr>
      <w:spacing w:after="200" w:line="276" w:lineRule="auto"/>
    </w:pPr>
    <w:rPr>
      <w:color w:val="000000"/>
      <w:sz w:val="22"/>
      <w:szCs w:val="22"/>
      <w:lang w:eastAsia="ru-RU"/>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1131">
    <w:name w:val="Light List - Accent 51131"/>
    <w:basedOn w:val="TableNormal"/>
    <w:rsid w:val="008F7DB9"/>
    <w:pPr>
      <w:spacing w:after="200" w:line="276" w:lineRule="auto"/>
    </w:pPr>
    <w:rPr>
      <w:sz w:val="22"/>
      <w:szCs w:val="22"/>
      <w:lang w:eastAsia="ru-R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4231">
    <w:name w:val="No List4231"/>
    <w:next w:val="NoList"/>
    <w:semiHidden/>
    <w:rsid w:val="008F7DB9"/>
  </w:style>
  <w:style w:type="numbering" w:customStyle="1" w:styleId="NoList11251">
    <w:name w:val="No List11251"/>
    <w:next w:val="NoList"/>
    <w:semiHidden/>
    <w:unhideWhenUsed/>
    <w:rsid w:val="008F7DB9"/>
  </w:style>
  <w:style w:type="table" w:customStyle="1" w:styleId="Table3Deffects31121">
    <w:name w:val="Table 3D effects 31121"/>
    <w:basedOn w:val="TableNormal"/>
    <w:next w:val="Table3Deffects3"/>
    <w:rsid w:val="008F7DB9"/>
    <w:pPr>
      <w:spacing w:after="200" w:line="276" w:lineRule="auto"/>
    </w:pPr>
    <w:rPr>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31">
    <w:name w:val="Нет списка11231"/>
    <w:next w:val="NoList"/>
    <w:semiHidden/>
    <w:unhideWhenUsed/>
    <w:rsid w:val="008F7DB9"/>
  </w:style>
  <w:style w:type="table" w:customStyle="1" w:styleId="TableGrid11123">
    <w:name w:val="Table Grid11123"/>
    <w:basedOn w:val="TableNormal"/>
    <w:next w:val="TableGrid"/>
    <w:uiPriority w:val="39"/>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31">
    <w:name w:val="No List5131"/>
    <w:next w:val="NoList"/>
    <w:uiPriority w:val="99"/>
    <w:semiHidden/>
    <w:rsid w:val="008F7DB9"/>
  </w:style>
  <w:style w:type="numbering" w:customStyle="1" w:styleId="NoList6122">
    <w:name w:val="No List6122"/>
    <w:next w:val="NoList"/>
    <w:uiPriority w:val="99"/>
    <w:semiHidden/>
    <w:unhideWhenUsed/>
    <w:rsid w:val="008F7DB9"/>
  </w:style>
  <w:style w:type="table" w:customStyle="1" w:styleId="TableGrid2131">
    <w:name w:val="Table Grid2131"/>
    <w:basedOn w:val="TableNormal"/>
    <w:next w:val="TableGrid"/>
    <w:rsid w:val="008F7DB9"/>
    <w:pPr>
      <w:spacing w:after="200" w:line="276" w:lineRule="auto"/>
    </w:pPr>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22">
    <w:name w:val="No List7122"/>
    <w:next w:val="NoList"/>
    <w:uiPriority w:val="99"/>
    <w:semiHidden/>
    <w:unhideWhenUsed/>
    <w:rsid w:val="008F7DB9"/>
  </w:style>
  <w:style w:type="numbering" w:customStyle="1" w:styleId="NoList12131">
    <w:name w:val="No List12131"/>
    <w:next w:val="NoList"/>
    <w:uiPriority w:val="99"/>
    <w:semiHidden/>
    <w:unhideWhenUsed/>
    <w:rsid w:val="008F7DB9"/>
  </w:style>
  <w:style w:type="table" w:customStyle="1" w:styleId="TableGrid31220">
    <w:name w:val="Table Grid3122"/>
    <w:basedOn w:val="TableNormal"/>
    <w:next w:val="TableGrid"/>
    <w:rsid w:val="008F7DB9"/>
    <w:pPr>
      <w:spacing w:after="200" w:line="276"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22">
    <w:name w:val="Table Web 21122"/>
    <w:basedOn w:val="TableNormal"/>
    <w:next w:val="TableWeb2"/>
    <w:rsid w:val="008F7DB9"/>
    <w:pPr>
      <w:spacing w:after="200" w:line="276" w:lineRule="auto"/>
    </w:pPr>
    <w:rPr>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1122">
    <w:name w:val="Table Web 11122"/>
    <w:basedOn w:val="TableNormal"/>
    <w:next w:val="TableWeb1"/>
    <w:rsid w:val="008F7DB9"/>
    <w:pPr>
      <w:spacing w:after="200" w:line="276" w:lineRule="auto"/>
    </w:pPr>
    <w:rPr>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1122">
    <w:name w:val="Table Grid 81122"/>
    <w:basedOn w:val="TableNormal"/>
    <w:next w:val="TableGrid8"/>
    <w:rsid w:val="008F7DB9"/>
    <w:pPr>
      <w:spacing w:after="200" w:line="276" w:lineRule="auto"/>
    </w:pPr>
    <w:rPr>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1122">
    <w:name w:val="Table Contemporary1122"/>
    <w:basedOn w:val="TableNormal"/>
    <w:next w:val="TableContemporary"/>
    <w:rsid w:val="008F7DB9"/>
    <w:pPr>
      <w:spacing w:after="200" w:line="276" w:lineRule="auto"/>
    </w:pPr>
    <w:rPr>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ColorfulGrid-Accent12122">
    <w:name w:val="Colorful Grid - Accent 12122"/>
    <w:basedOn w:val="TableNormal"/>
    <w:next w:val="ColorfulGrid-Accent1"/>
    <w:uiPriority w:val="73"/>
    <w:rsid w:val="008F7DB9"/>
    <w:pPr>
      <w:spacing w:after="200" w:line="276" w:lineRule="auto"/>
    </w:pPr>
    <w:rPr>
      <w:color w:val="000000"/>
      <w:sz w:val="22"/>
      <w:szCs w:val="22"/>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LightList-Accent52122">
    <w:name w:val="Light List - Accent 52122"/>
    <w:basedOn w:val="TableNormal"/>
    <w:next w:val="LightList-Accent5"/>
    <w:uiPriority w:val="61"/>
    <w:rsid w:val="008F7DB9"/>
    <w:pPr>
      <w:spacing w:after="200" w:line="276" w:lineRule="auto"/>
    </w:pPr>
    <w:rPr>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numbering" w:customStyle="1" w:styleId="NoList8122">
    <w:name w:val="No List8122"/>
    <w:next w:val="NoList"/>
    <w:uiPriority w:val="99"/>
    <w:semiHidden/>
    <w:unhideWhenUsed/>
    <w:rsid w:val="008F7DB9"/>
  </w:style>
  <w:style w:type="numbering" w:customStyle="1" w:styleId="12122">
    <w:name w:val="Нет списка12122"/>
    <w:next w:val="NoList"/>
    <w:semiHidden/>
    <w:unhideWhenUsed/>
    <w:rsid w:val="008F7DB9"/>
  </w:style>
  <w:style w:type="numbering" w:customStyle="1" w:styleId="NoList13122">
    <w:name w:val="No List13122"/>
    <w:next w:val="NoList"/>
    <w:semiHidden/>
    <w:unhideWhenUsed/>
    <w:rsid w:val="008F7DB9"/>
  </w:style>
  <w:style w:type="numbering" w:customStyle="1" w:styleId="NoList21131">
    <w:name w:val="No List21131"/>
    <w:next w:val="NoList"/>
    <w:semiHidden/>
    <w:unhideWhenUsed/>
    <w:rsid w:val="008F7DB9"/>
  </w:style>
  <w:style w:type="numbering" w:customStyle="1" w:styleId="NoList31131">
    <w:name w:val="No List31131"/>
    <w:next w:val="NoList"/>
    <w:semiHidden/>
    <w:unhideWhenUsed/>
    <w:rsid w:val="008F7DB9"/>
  </w:style>
  <w:style w:type="numbering" w:customStyle="1" w:styleId="111213">
    <w:name w:val="Нет списка111213"/>
    <w:next w:val="NoList"/>
    <w:semiHidden/>
    <w:unhideWhenUsed/>
    <w:rsid w:val="008F7DB9"/>
  </w:style>
  <w:style w:type="numbering" w:customStyle="1" w:styleId="NoList41122">
    <w:name w:val="No List41122"/>
    <w:next w:val="NoList"/>
    <w:semiHidden/>
    <w:rsid w:val="008F7DB9"/>
  </w:style>
  <w:style w:type="numbering" w:customStyle="1" w:styleId="NoList1111131">
    <w:name w:val="No List1111131"/>
    <w:next w:val="NoList"/>
    <w:semiHidden/>
    <w:unhideWhenUsed/>
    <w:rsid w:val="008F7DB9"/>
  </w:style>
  <w:style w:type="numbering" w:customStyle="1" w:styleId="1111113">
    <w:name w:val="Нет списка1111113"/>
    <w:next w:val="NoList"/>
    <w:semiHidden/>
    <w:unhideWhenUsed/>
    <w:rsid w:val="008F7DB9"/>
  </w:style>
  <w:style w:type="table" w:customStyle="1" w:styleId="TableGrid631">
    <w:name w:val="Table Grid631"/>
    <w:basedOn w:val="TableNormal"/>
    <w:next w:val="TableGrid"/>
    <w:uiPriority w:val="39"/>
    <w:rsid w:val="008F7DB9"/>
    <w:pPr>
      <w:jc w:val="center"/>
    </w:pPr>
    <w:rPr>
      <w:rFonts w:ascii="Sylfaen" w:eastAsia="Calibri" w:hAnsi="Sylfaen"/>
      <w:sz w:val="24"/>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14">
    <w:name w:val="Grid Table 1 Light - Accent 5114"/>
    <w:basedOn w:val="TableNormal"/>
    <w:uiPriority w:val="46"/>
    <w:rsid w:val="008F7DB9"/>
    <w:rPr>
      <w:rFonts w:ascii="Calibri" w:eastAsia="Calibri" w:hAnsi="Calibri" w:cs="Calibri"/>
      <w:sz w:val="22"/>
      <w:szCs w:val="22"/>
      <w:lang w:val="hy-AM"/>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eGrid2231">
    <w:name w:val="Table Grid2231"/>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2">
    <w:name w:val="Table Grid11111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0">
    <w:name w:val="Table Grid7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 Grid8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2">
    <w:name w:val="Table Grid922"/>
    <w:basedOn w:val="TableNormal"/>
    <w:next w:val="TableGrid"/>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2">
    <w:name w:val="Table Grid1022"/>
    <w:basedOn w:val="TableNormal"/>
    <w:next w:val="TableGrid"/>
    <w:uiPriority w:val="39"/>
    <w:rsid w:val="008F7DB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4">
    <w:name w:val="Grid Table 1 Light - Accent 114"/>
    <w:basedOn w:val="TableNormal"/>
    <w:uiPriority w:val="46"/>
    <w:rsid w:val="008F7DB9"/>
    <w:rPr>
      <w:rFonts w:ascii="Calibri" w:eastAsia="Calibri" w:hAnsi="Calibri"/>
      <w:sz w:val="22"/>
      <w:szCs w:val="22"/>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eList781">
    <w:name w:val="Table List 781"/>
    <w:basedOn w:val="TableNormal"/>
    <w:next w:val="TableList7"/>
    <w:uiPriority w:val="99"/>
    <w:semiHidden/>
    <w:unhideWhenUsed/>
    <w:rsid w:val="008F7DB9"/>
    <w:rPr>
      <w:rFonts w:ascii="Calibri" w:eastAsia="Calibri" w:hAnsi="Calibri"/>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Web381">
    <w:name w:val="Table Web 381"/>
    <w:basedOn w:val="TableNormal"/>
    <w:next w:val="TableWeb3"/>
    <w:uiPriority w:val="99"/>
    <w:semiHidden/>
    <w:unhideWhenUsed/>
    <w:rsid w:val="008F7DB9"/>
    <w:rPr>
      <w:rFonts w:ascii="Calibri" w:eastAsia="Calibri" w:hAnsi="Calibri"/>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Elegant81">
    <w:name w:val="Table Elegant81"/>
    <w:basedOn w:val="TableNormal"/>
    <w:next w:val="TableElegant"/>
    <w:uiPriority w:val="99"/>
    <w:semiHidden/>
    <w:unhideWhenUsed/>
    <w:rsid w:val="008F7DB9"/>
    <w:rPr>
      <w:rFonts w:ascii="Calibri" w:eastAsia="Calibri" w:hAnsi="Calibri"/>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Web281">
    <w:name w:val="Table Web 281"/>
    <w:basedOn w:val="TableNormal"/>
    <w:next w:val="TableWeb2"/>
    <w:uiPriority w:val="99"/>
    <w:semiHidden/>
    <w:unhideWhenUsed/>
    <w:rsid w:val="008F7DB9"/>
    <w:rPr>
      <w:rFonts w:ascii="Calibri" w:eastAsia="Calibri" w:hAnsi="Calibri"/>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181">
    <w:name w:val="Table Web 181"/>
    <w:basedOn w:val="TableNormal"/>
    <w:next w:val="TableWeb1"/>
    <w:uiPriority w:val="99"/>
    <w:semiHidden/>
    <w:unhideWhenUsed/>
    <w:rsid w:val="008F7DB9"/>
    <w:rPr>
      <w:rFonts w:ascii="Calibri" w:eastAsia="Calibri" w:hAnsi="Calibri"/>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881">
    <w:name w:val="Table Grid 881"/>
    <w:basedOn w:val="TableNormal"/>
    <w:next w:val="TableGrid8"/>
    <w:uiPriority w:val="99"/>
    <w:semiHidden/>
    <w:unhideWhenUsed/>
    <w:rsid w:val="008F7DB9"/>
    <w:rPr>
      <w:rFonts w:ascii="Calibri" w:eastAsia="Calibri" w:hAnsi="Calibri"/>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Contemporary81">
    <w:name w:val="Table Contemporary81"/>
    <w:basedOn w:val="TableNormal"/>
    <w:next w:val="TableContemporary"/>
    <w:uiPriority w:val="99"/>
    <w:semiHidden/>
    <w:unhideWhenUsed/>
    <w:rsid w:val="008F7DB9"/>
    <w:rPr>
      <w:rFonts w:ascii="Calibri" w:eastAsia="Calibri" w:hAnsi="Calibri"/>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List-Accent1271">
    <w:name w:val="Light List - Accent 1271"/>
    <w:basedOn w:val="TableNormal"/>
    <w:next w:val="LightList-Accent1"/>
    <w:uiPriority w:val="61"/>
    <w:semiHidden/>
    <w:unhideWhenUsed/>
    <w:rsid w:val="008F7DB9"/>
    <w:rPr>
      <w:rFonts w:ascii="Calibri" w:eastAsia="Calibri" w:hAnsi="Calibri"/>
      <w:sz w:val="22"/>
      <w:szCs w:val="22"/>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781">
    <w:name w:val="Table Grid 781"/>
    <w:basedOn w:val="TableNormal"/>
    <w:next w:val="TableGrid7"/>
    <w:uiPriority w:val="99"/>
    <w:semiHidden/>
    <w:unhideWhenUsed/>
    <w:rsid w:val="008F7DB9"/>
    <w:rPr>
      <w:rFonts w:ascii="Calibri" w:eastAsia="Calibri" w:hAnsi="Calibri"/>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ColorfulGrid-Accent191">
    <w:name w:val="Colorful Grid - Accent 191"/>
    <w:basedOn w:val="TableNormal"/>
    <w:next w:val="ColorfulGrid-Accent1"/>
    <w:uiPriority w:val="73"/>
    <w:semiHidden/>
    <w:unhideWhenUsed/>
    <w:rsid w:val="008F7DB9"/>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LightList-Accent5101">
    <w:name w:val="Light List - Accent 5101"/>
    <w:basedOn w:val="TableNormal"/>
    <w:next w:val="LightList-Accent5"/>
    <w:uiPriority w:val="61"/>
    <w:semiHidden/>
    <w:unhideWhenUsed/>
    <w:rsid w:val="008F7DB9"/>
    <w:rPr>
      <w:rFonts w:ascii="Calibri" w:eastAsia="Calibri" w:hAnsi="Calibri"/>
      <w:sz w:val="22"/>
      <w:szCs w:val="22"/>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TableSimple381">
    <w:name w:val="Table Simple 381"/>
    <w:basedOn w:val="TableNormal"/>
    <w:next w:val="TableSimple3"/>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Grid581">
    <w:name w:val="Table Grid 581"/>
    <w:basedOn w:val="TableNormal"/>
    <w:next w:val="TableGrid5"/>
    <w:uiPriority w:val="99"/>
    <w:semiHidden/>
    <w:unhideWhenUsed/>
    <w:rsid w:val="008F7DB9"/>
    <w:rPr>
      <w:rFonts w:ascii="Calibri" w:eastAsia="Calibri" w:hAnsi="Calibr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381">
    <w:name w:val="Table Grid 381"/>
    <w:basedOn w:val="TableNormal"/>
    <w:next w:val="TableGrid3"/>
    <w:uiPriority w:val="99"/>
    <w:semiHidden/>
    <w:unhideWhenUsed/>
    <w:rsid w:val="008F7DB9"/>
    <w:rPr>
      <w:rFonts w:ascii="Calibri" w:eastAsia="Calibri" w:hAnsi="Calibri"/>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1810">
    <w:name w:val="Table Grid 181"/>
    <w:basedOn w:val="TableNormal"/>
    <w:next w:val="TableGrid10"/>
    <w:uiPriority w:val="99"/>
    <w:semiHidden/>
    <w:unhideWhenUsed/>
    <w:rsid w:val="008F7DB9"/>
    <w:rPr>
      <w:rFonts w:ascii="Calibri" w:eastAsia="Calibri" w:hAnsi="Calibr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Columns581">
    <w:name w:val="Table Columns 581"/>
    <w:basedOn w:val="TableNormal"/>
    <w:next w:val="TableColumns5"/>
    <w:uiPriority w:val="99"/>
    <w:semiHidden/>
    <w:unhideWhenUsed/>
    <w:rsid w:val="008F7DB9"/>
    <w:rPr>
      <w:rFonts w:ascii="Calibri" w:eastAsia="Calibri" w:hAnsi="Calibri"/>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GridLight1">
    <w:name w:val="Table Grid Light1"/>
    <w:basedOn w:val="TableNormal"/>
    <w:uiPriority w:val="40"/>
    <w:rsid w:val="00352DBB"/>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f4">
    <w:name w:val="Основной текст"/>
    <w:basedOn w:val="Normal"/>
    <w:rsid w:val="00352DBB"/>
    <w:pPr>
      <w:widowControl w:val="0"/>
      <w:shd w:val="clear" w:color="auto" w:fill="FFFFFF"/>
      <w:spacing w:before="0" w:line="322" w:lineRule="exact"/>
      <w:ind w:hanging="440"/>
      <w:contextualSpacing w:val="0"/>
      <w:jc w:val="right"/>
    </w:pPr>
    <w:rPr>
      <w:rFonts w:ascii="Sylfaen" w:hAnsi="Sylfaen" w:cs="Sylfaen"/>
      <w:b w:val="0"/>
      <w:spacing w:val="20"/>
      <w:w w:val="80"/>
      <w:sz w:val="20"/>
      <w:szCs w:val="20"/>
      <w:lang w:val="en-US" w:eastAsia="en-US"/>
    </w:rPr>
  </w:style>
  <w:style w:type="table" w:customStyle="1" w:styleId="GridTable4-Accent52">
    <w:name w:val="Grid Table 4 - Accent 52"/>
    <w:basedOn w:val="TableNormal"/>
    <w:uiPriority w:val="49"/>
    <w:rsid w:val="00352DBB"/>
    <w:rPr>
      <w:rFonts w:asciiTheme="minorHAnsi" w:eastAsiaTheme="minorHAnsi" w:hAnsiTheme="minorHAnsi" w:cstheme="minorBidi"/>
      <w:sz w:val="22"/>
      <w:szCs w:val="22"/>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e3Deffects381">
    <w:name w:val="Table 3D effects 381"/>
    <w:basedOn w:val="TableNormal"/>
    <w:next w:val="Table3Deffects3"/>
    <w:uiPriority w:val="99"/>
    <w:semiHidden/>
    <w:unhideWhenUsed/>
    <w:rsid w:val="00352DBB"/>
    <w:rPr>
      <w:rFonts w:ascii="Calibri" w:eastAsia="Calibri" w:hAnsi="Calibri"/>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531">
    <w:name w:val="No List1531"/>
    <w:next w:val="NoList"/>
    <w:uiPriority w:val="99"/>
    <w:semiHidden/>
    <w:unhideWhenUsed/>
    <w:rsid w:val="00352DBB"/>
  </w:style>
  <w:style w:type="table" w:customStyle="1" w:styleId="TableGrid1231">
    <w:name w:val="Table Grid1231"/>
    <w:basedOn w:val="TableNormal"/>
    <w:next w:val="TableGrid"/>
    <w:uiPriority w:val="39"/>
    <w:rsid w:val="00352DBB"/>
    <w:pPr>
      <w:spacing w:after="200" w:line="276" w:lineRule="auto"/>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57107">
      <w:bodyDiv w:val="1"/>
      <w:marLeft w:val="0"/>
      <w:marRight w:val="0"/>
      <w:marTop w:val="0"/>
      <w:marBottom w:val="0"/>
      <w:divBdr>
        <w:top w:val="none" w:sz="0" w:space="0" w:color="auto"/>
        <w:left w:val="none" w:sz="0" w:space="0" w:color="auto"/>
        <w:bottom w:val="none" w:sz="0" w:space="0" w:color="auto"/>
        <w:right w:val="none" w:sz="0" w:space="0" w:color="auto"/>
      </w:divBdr>
    </w:div>
    <w:div w:id="69543490">
      <w:bodyDiv w:val="1"/>
      <w:marLeft w:val="0"/>
      <w:marRight w:val="0"/>
      <w:marTop w:val="0"/>
      <w:marBottom w:val="0"/>
      <w:divBdr>
        <w:top w:val="none" w:sz="0" w:space="0" w:color="auto"/>
        <w:left w:val="none" w:sz="0" w:space="0" w:color="auto"/>
        <w:bottom w:val="none" w:sz="0" w:space="0" w:color="auto"/>
        <w:right w:val="none" w:sz="0" w:space="0" w:color="auto"/>
      </w:divBdr>
    </w:div>
    <w:div w:id="97062946">
      <w:bodyDiv w:val="1"/>
      <w:marLeft w:val="0"/>
      <w:marRight w:val="0"/>
      <w:marTop w:val="0"/>
      <w:marBottom w:val="0"/>
      <w:divBdr>
        <w:top w:val="none" w:sz="0" w:space="0" w:color="auto"/>
        <w:left w:val="none" w:sz="0" w:space="0" w:color="auto"/>
        <w:bottom w:val="none" w:sz="0" w:space="0" w:color="auto"/>
        <w:right w:val="none" w:sz="0" w:space="0" w:color="auto"/>
      </w:divBdr>
    </w:div>
    <w:div w:id="98794014">
      <w:bodyDiv w:val="1"/>
      <w:marLeft w:val="0"/>
      <w:marRight w:val="0"/>
      <w:marTop w:val="0"/>
      <w:marBottom w:val="0"/>
      <w:divBdr>
        <w:top w:val="none" w:sz="0" w:space="0" w:color="auto"/>
        <w:left w:val="none" w:sz="0" w:space="0" w:color="auto"/>
        <w:bottom w:val="none" w:sz="0" w:space="0" w:color="auto"/>
        <w:right w:val="none" w:sz="0" w:space="0" w:color="auto"/>
      </w:divBdr>
    </w:div>
    <w:div w:id="145555845">
      <w:bodyDiv w:val="1"/>
      <w:marLeft w:val="0"/>
      <w:marRight w:val="0"/>
      <w:marTop w:val="0"/>
      <w:marBottom w:val="0"/>
      <w:divBdr>
        <w:top w:val="none" w:sz="0" w:space="0" w:color="auto"/>
        <w:left w:val="none" w:sz="0" w:space="0" w:color="auto"/>
        <w:bottom w:val="none" w:sz="0" w:space="0" w:color="auto"/>
        <w:right w:val="none" w:sz="0" w:space="0" w:color="auto"/>
      </w:divBdr>
    </w:div>
    <w:div w:id="243032163">
      <w:bodyDiv w:val="1"/>
      <w:marLeft w:val="0"/>
      <w:marRight w:val="0"/>
      <w:marTop w:val="0"/>
      <w:marBottom w:val="0"/>
      <w:divBdr>
        <w:top w:val="none" w:sz="0" w:space="0" w:color="auto"/>
        <w:left w:val="none" w:sz="0" w:space="0" w:color="auto"/>
        <w:bottom w:val="none" w:sz="0" w:space="0" w:color="auto"/>
        <w:right w:val="none" w:sz="0" w:space="0" w:color="auto"/>
      </w:divBdr>
    </w:div>
    <w:div w:id="259916422">
      <w:bodyDiv w:val="1"/>
      <w:marLeft w:val="0"/>
      <w:marRight w:val="0"/>
      <w:marTop w:val="0"/>
      <w:marBottom w:val="0"/>
      <w:divBdr>
        <w:top w:val="none" w:sz="0" w:space="0" w:color="auto"/>
        <w:left w:val="none" w:sz="0" w:space="0" w:color="auto"/>
        <w:bottom w:val="none" w:sz="0" w:space="0" w:color="auto"/>
        <w:right w:val="none" w:sz="0" w:space="0" w:color="auto"/>
      </w:divBdr>
    </w:div>
    <w:div w:id="272060592">
      <w:bodyDiv w:val="1"/>
      <w:marLeft w:val="0"/>
      <w:marRight w:val="0"/>
      <w:marTop w:val="0"/>
      <w:marBottom w:val="0"/>
      <w:divBdr>
        <w:top w:val="none" w:sz="0" w:space="0" w:color="auto"/>
        <w:left w:val="none" w:sz="0" w:space="0" w:color="auto"/>
        <w:bottom w:val="none" w:sz="0" w:space="0" w:color="auto"/>
        <w:right w:val="none" w:sz="0" w:space="0" w:color="auto"/>
      </w:divBdr>
    </w:div>
    <w:div w:id="300502754">
      <w:bodyDiv w:val="1"/>
      <w:marLeft w:val="0"/>
      <w:marRight w:val="0"/>
      <w:marTop w:val="0"/>
      <w:marBottom w:val="0"/>
      <w:divBdr>
        <w:top w:val="none" w:sz="0" w:space="0" w:color="auto"/>
        <w:left w:val="none" w:sz="0" w:space="0" w:color="auto"/>
        <w:bottom w:val="none" w:sz="0" w:space="0" w:color="auto"/>
        <w:right w:val="none" w:sz="0" w:space="0" w:color="auto"/>
      </w:divBdr>
    </w:div>
    <w:div w:id="313533215">
      <w:bodyDiv w:val="1"/>
      <w:marLeft w:val="0"/>
      <w:marRight w:val="0"/>
      <w:marTop w:val="0"/>
      <w:marBottom w:val="0"/>
      <w:divBdr>
        <w:top w:val="none" w:sz="0" w:space="0" w:color="auto"/>
        <w:left w:val="none" w:sz="0" w:space="0" w:color="auto"/>
        <w:bottom w:val="none" w:sz="0" w:space="0" w:color="auto"/>
        <w:right w:val="none" w:sz="0" w:space="0" w:color="auto"/>
      </w:divBdr>
    </w:div>
    <w:div w:id="336809432">
      <w:bodyDiv w:val="1"/>
      <w:marLeft w:val="0"/>
      <w:marRight w:val="0"/>
      <w:marTop w:val="0"/>
      <w:marBottom w:val="0"/>
      <w:divBdr>
        <w:top w:val="none" w:sz="0" w:space="0" w:color="auto"/>
        <w:left w:val="none" w:sz="0" w:space="0" w:color="auto"/>
        <w:bottom w:val="none" w:sz="0" w:space="0" w:color="auto"/>
        <w:right w:val="none" w:sz="0" w:space="0" w:color="auto"/>
      </w:divBdr>
    </w:div>
    <w:div w:id="338898078">
      <w:bodyDiv w:val="1"/>
      <w:marLeft w:val="0"/>
      <w:marRight w:val="0"/>
      <w:marTop w:val="0"/>
      <w:marBottom w:val="0"/>
      <w:divBdr>
        <w:top w:val="none" w:sz="0" w:space="0" w:color="auto"/>
        <w:left w:val="none" w:sz="0" w:space="0" w:color="auto"/>
        <w:bottom w:val="none" w:sz="0" w:space="0" w:color="auto"/>
        <w:right w:val="none" w:sz="0" w:space="0" w:color="auto"/>
      </w:divBdr>
    </w:div>
    <w:div w:id="363482288">
      <w:bodyDiv w:val="1"/>
      <w:marLeft w:val="0"/>
      <w:marRight w:val="0"/>
      <w:marTop w:val="0"/>
      <w:marBottom w:val="0"/>
      <w:divBdr>
        <w:top w:val="none" w:sz="0" w:space="0" w:color="auto"/>
        <w:left w:val="none" w:sz="0" w:space="0" w:color="auto"/>
        <w:bottom w:val="none" w:sz="0" w:space="0" w:color="auto"/>
        <w:right w:val="none" w:sz="0" w:space="0" w:color="auto"/>
      </w:divBdr>
    </w:div>
    <w:div w:id="495145514">
      <w:bodyDiv w:val="1"/>
      <w:marLeft w:val="0"/>
      <w:marRight w:val="0"/>
      <w:marTop w:val="0"/>
      <w:marBottom w:val="0"/>
      <w:divBdr>
        <w:top w:val="none" w:sz="0" w:space="0" w:color="auto"/>
        <w:left w:val="none" w:sz="0" w:space="0" w:color="auto"/>
        <w:bottom w:val="none" w:sz="0" w:space="0" w:color="auto"/>
        <w:right w:val="none" w:sz="0" w:space="0" w:color="auto"/>
      </w:divBdr>
    </w:div>
    <w:div w:id="545262789">
      <w:bodyDiv w:val="1"/>
      <w:marLeft w:val="0"/>
      <w:marRight w:val="0"/>
      <w:marTop w:val="0"/>
      <w:marBottom w:val="0"/>
      <w:divBdr>
        <w:top w:val="none" w:sz="0" w:space="0" w:color="auto"/>
        <w:left w:val="none" w:sz="0" w:space="0" w:color="auto"/>
        <w:bottom w:val="none" w:sz="0" w:space="0" w:color="auto"/>
        <w:right w:val="none" w:sz="0" w:space="0" w:color="auto"/>
      </w:divBdr>
    </w:div>
    <w:div w:id="607200544">
      <w:bodyDiv w:val="1"/>
      <w:marLeft w:val="0"/>
      <w:marRight w:val="0"/>
      <w:marTop w:val="0"/>
      <w:marBottom w:val="0"/>
      <w:divBdr>
        <w:top w:val="none" w:sz="0" w:space="0" w:color="auto"/>
        <w:left w:val="none" w:sz="0" w:space="0" w:color="auto"/>
        <w:bottom w:val="none" w:sz="0" w:space="0" w:color="auto"/>
        <w:right w:val="none" w:sz="0" w:space="0" w:color="auto"/>
      </w:divBdr>
    </w:div>
    <w:div w:id="642002085">
      <w:bodyDiv w:val="1"/>
      <w:marLeft w:val="0"/>
      <w:marRight w:val="0"/>
      <w:marTop w:val="0"/>
      <w:marBottom w:val="0"/>
      <w:divBdr>
        <w:top w:val="none" w:sz="0" w:space="0" w:color="auto"/>
        <w:left w:val="none" w:sz="0" w:space="0" w:color="auto"/>
        <w:bottom w:val="none" w:sz="0" w:space="0" w:color="auto"/>
        <w:right w:val="none" w:sz="0" w:space="0" w:color="auto"/>
      </w:divBdr>
    </w:div>
    <w:div w:id="661465204">
      <w:bodyDiv w:val="1"/>
      <w:marLeft w:val="0"/>
      <w:marRight w:val="0"/>
      <w:marTop w:val="0"/>
      <w:marBottom w:val="0"/>
      <w:divBdr>
        <w:top w:val="none" w:sz="0" w:space="0" w:color="auto"/>
        <w:left w:val="none" w:sz="0" w:space="0" w:color="auto"/>
        <w:bottom w:val="none" w:sz="0" w:space="0" w:color="auto"/>
        <w:right w:val="none" w:sz="0" w:space="0" w:color="auto"/>
      </w:divBdr>
    </w:div>
    <w:div w:id="672148981">
      <w:bodyDiv w:val="1"/>
      <w:marLeft w:val="0"/>
      <w:marRight w:val="0"/>
      <w:marTop w:val="0"/>
      <w:marBottom w:val="0"/>
      <w:divBdr>
        <w:top w:val="none" w:sz="0" w:space="0" w:color="auto"/>
        <w:left w:val="none" w:sz="0" w:space="0" w:color="auto"/>
        <w:bottom w:val="none" w:sz="0" w:space="0" w:color="auto"/>
        <w:right w:val="none" w:sz="0" w:space="0" w:color="auto"/>
      </w:divBdr>
    </w:div>
    <w:div w:id="713309798">
      <w:bodyDiv w:val="1"/>
      <w:marLeft w:val="0"/>
      <w:marRight w:val="0"/>
      <w:marTop w:val="0"/>
      <w:marBottom w:val="0"/>
      <w:divBdr>
        <w:top w:val="none" w:sz="0" w:space="0" w:color="auto"/>
        <w:left w:val="none" w:sz="0" w:space="0" w:color="auto"/>
        <w:bottom w:val="none" w:sz="0" w:space="0" w:color="auto"/>
        <w:right w:val="none" w:sz="0" w:space="0" w:color="auto"/>
      </w:divBdr>
    </w:div>
    <w:div w:id="716927086">
      <w:bodyDiv w:val="1"/>
      <w:marLeft w:val="0"/>
      <w:marRight w:val="0"/>
      <w:marTop w:val="0"/>
      <w:marBottom w:val="0"/>
      <w:divBdr>
        <w:top w:val="none" w:sz="0" w:space="0" w:color="auto"/>
        <w:left w:val="none" w:sz="0" w:space="0" w:color="auto"/>
        <w:bottom w:val="none" w:sz="0" w:space="0" w:color="auto"/>
        <w:right w:val="none" w:sz="0" w:space="0" w:color="auto"/>
      </w:divBdr>
    </w:div>
    <w:div w:id="723942746">
      <w:bodyDiv w:val="1"/>
      <w:marLeft w:val="0"/>
      <w:marRight w:val="0"/>
      <w:marTop w:val="0"/>
      <w:marBottom w:val="0"/>
      <w:divBdr>
        <w:top w:val="none" w:sz="0" w:space="0" w:color="auto"/>
        <w:left w:val="none" w:sz="0" w:space="0" w:color="auto"/>
        <w:bottom w:val="none" w:sz="0" w:space="0" w:color="auto"/>
        <w:right w:val="none" w:sz="0" w:space="0" w:color="auto"/>
      </w:divBdr>
    </w:div>
    <w:div w:id="726100770">
      <w:bodyDiv w:val="1"/>
      <w:marLeft w:val="0"/>
      <w:marRight w:val="0"/>
      <w:marTop w:val="0"/>
      <w:marBottom w:val="0"/>
      <w:divBdr>
        <w:top w:val="none" w:sz="0" w:space="0" w:color="auto"/>
        <w:left w:val="none" w:sz="0" w:space="0" w:color="auto"/>
        <w:bottom w:val="none" w:sz="0" w:space="0" w:color="auto"/>
        <w:right w:val="none" w:sz="0" w:space="0" w:color="auto"/>
      </w:divBdr>
    </w:div>
    <w:div w:id="730081290">
      <w:bodyDiv w:val="1"/>
      <w:marLeft w:val="0"/>
      <w:marRight w:val="0"/>
      <w:marTop w:val="0"/>
      <w:marBottom w:val="0"/>
      <w:divBdr>
        <w:top w:val="none" w:sz="0" w:space="0" w:color="auto"/>
        <w:left w:val="none" w:sz="0" w:space="0" w:color="auto"/>
        <w:bottom w:val="none" w:sz="0" w:space="0" w:color="auto"/>
        <w:right w:val="none" w:sz="0" w:space="0" w:color="auto"/>
      </w:divBdr>
    </w:div>
    <w:div w:id="732123155">
      <w:bodyDiv w:val="1"/>
      <w:marLeft w:val="0"/>
      <w:marRight w:val="0"/>
      <w:marTop w:val="0"/>
      <w:marBottom w:val="0"/>
      <w:divBdr>
        <w:top w:val="none" w:sz="0" w:space="0" w:color="auto"/>
        <w:left w:val="none" w:sz="0" w:space="0" w:color="auto"/>
        <w:bottom w:val="none" w:sz="0" w:space="0" w:color="auto"/>
        <w:right w:val="none" w:sz="0" w:space="0" w:color="auto"/>
      </w:divBdr>
    </w:div>
    <w:div w:id="734619232">
      <w:bodyDiv w:val="1"/>
      <w:marLeft w:val="0"/>
      <w:marRight w:val="0"/>
      <w:marTop w:val="0"/>
      <w:marBottom w:val="0"/>
      <w:divBdr>
        <w:top w:val="none" w:sz="0" w:space="0" w:color="auto"/>
        <w:left w:val="none" w:sz="0" w:space="0" w:color="auto"/>
        <w:bottom w:val="none" w:sz="0" w:space="0" w:color="auto"/>
        <w:right w:val="none" w:sz="0" w:space="0" w:color="auto"/>
      </w:divBdr>
    </w:div>
    <w:div w:id="736587001">
      <w:bodyDiv w:val="1"/>
      <w:marLeft w:val="0"/>
      <w:marRight w:val="0"/>
      <w:marTop w:val="0"/>
      <w:marBottom w:val="0"/>
      <w:divBdr>
        <w:top w:val="none" w:sz="0" w:space="0" w:color="auto"/>
        <w:left w:val="none" w:sz="0" w:space="0" w:color="auto"/>
        <w:bottom w:val="none" w:sz="0" w:space="0" w:color="auto"/>
        <w:right w:val="none" w:sz="0" w:space="0" w:color="auto"/>
      </w:divBdr>
    </w:div>
    <w:div w:id="749352696">
      <w:bodyDiv w:val="1"/>
      <w:marLeft w:val="0"/>
      <w:marRight w:val="0"/>
      <w:marTop w:val="0"/>
      <w:marBottom w:val="0"/>
      <w:divBdr>
        <w:top w:val="none" w:sz="0" w:space="0" w:color="auto"/>
        <w:left w:val="none" w:sz="0" w:space="0" w:color="auto"/>
        <w:bottom w:val="none" w:sz="0" w:space="0" w:color="auto"/>
        <w:right w:val="none" w:sz="0" w:space="0" w:color="auto"/>
      </w:divBdr>
    </w:div>
    <w:div w:id="768082022">
      <w:bodyDiv w:val="1"/>
      <w:marLeft w:val="0"/>
      <w:marRight w:val="0"/>
      <w:marTop w:val="0"/>
      <w:marBottom w:val="0"/>
      <w:divBdr>
        <w:top w:val="none" w:sz="0" w:space="0" w:color="auto"/>
        <w:left w:val="none" w:sz="0" w:space="0" w:color="auto"/>
        <w:bottom w:val="none" w:sz="0" w:space="0" w:color="auto"/>
        <w:right w:val="none" w:sz="0" w:space="0" w:color="auto"/>
      </w:divBdr>
    </w:div>
    <w:div w:id="837118536">
      <w:bodyDiv w:val="1"/>
      <w:marLeft w:val="0"/>
      <w:marRight w:val="0"/>
      <w:marTop w:val="0"/>
      <w:marBottom w:val="0"/>
      <w:divBdr>
        <w:top w:val="none" w:sz="0" w:space="0" w:color="auto"/>
        <w:left w:val="none" w:sz="0" w:space="0" w:color="auto"/>
        <w:bottom w:val="none" w:sz="0" w:space="0" w:color="auto"/>
        <w:right w:val="none" w:sz="0" w:space="0" w:color="auto"/>
      </w:divBdr>
    </w:div>
    <w:div w:id="837840740">
      <w:bodyDiv w:val="1"/>
      <w:marLeft w:val="0"/>
      <w:marRight w:val="0"/>
      <w:marTop w:val="0"/>
      <w:marBottom w:val="0"/>
      <w:divBdr>
        <w:top w:val="none" w:sz="0" w:space="0" w:color="auto"/>
        <w:left w:val="none" w:sz="0" w:space="0" w:color="auto"/>
        <w:bottom w:val="none" w:sz="0" w:space="0" w:color="auto"/>
        <w:right w:val="none" w:sz="0" w:space="0" w:color="auto"/>
      </w:divBdr>
    </w:div>
    <w:div w:id="860893093">
      <w:bodyDiv w:val="1"/>
      <w:marLeft w:val="0"/>
      <w:marRight w:val="0"/>
      <w:marTop w:val="0"/>
      <w:marBottom w:val="0"/>
      <w:divBdr>
        <w:top w:val="none" w:sz="0" w:space="0" w:color="auto"/>
        <w:left w:val="none" w:sz="0" w:space="0" w:color="auto"/>
        <w:bottom w:val="none" w:sz="0" w:space="0" w:color="auto"/>
        <w:right w:val="none" w:sz="0" w:space="0" w:color="auto"/>
      </w:divBdr>
    </w:div>
    <w:div w:id="865677390">
      <w:bodyDiv w:val="1"/>
      <w:marLeft w:val="0"/>
      <w:marRight w:val="0"/>
      <w:marTop w:val="0"/>
      <w:marBottom w:val="0"/>
      <w:divBdr>
        <w:top w:val="none" w:sz="0" w:space="0" w:color="auto"/>
        <w:left w:val="none" w:sz="0" w:space="0" w:color="auto"/>
        <w:bottom w:val="none" w:sz="0" w:space="0" w:color="auto"/>
        <w:right w:val="none" w:sz="0" w:space="0" w:color="auto"/>
      </w:divBdr>
    </w:div>
    <w:div w:id="868225871">
      <w:bodyDiv w:val="1"/>
      <w:marLeft w:val="0"/>
      <w:marRight w:val="0"/>
      <w:marTop w:val="0"/>
      <w:marBottom w:val="0"/>
      <w:divBdr>
        <w:top w:val="none" w:sz="0" w:space="0" w:color="auto"/>
        <w:left w:val="none" w:sz="0" w:space="0" w:color="auto"/>
        <w:bottom w:val="none" w:sz="0" w:space="0" w:color="auto"/>
        <w:right w:val="none" w:sz="0" w:space="0" w:color="auto"/>
      </w:divBdr>
    </w:div>
    <w:div w:id="882208889">
      <w:bodyDiv w:val="1"/>
      <w:marLeft w:val="0"/>
      <w:marRight w:val="0"/>
      <w:marTop w:val="0"/>
      <w:marBottom w:val="0"/>
      <w:divBdr>
        <w:top w:val="none" w:sz="0" w:space="0" w:color="auto"/>
        <w:left w:val="none" w:sz="0" w:space="0" w:color="auto"/>
        <w:bottom w:val="none" w:sz="0" w:space="0" w:color="auto"/>
        <w:right w:val="none" w:sz="0" w:space="0" w:color="auto"/>
      </w:divBdr>
    </w:div>
    <w:div w:id="897057614">
      <w:bodyDiv w:val="1"/>
      <w:marLeft w:val="0"/>
      <w:marRight w:val="0"/>
      <w:marTop w:val="0"/>
      <w:marBottom w:val="0"/>
      <w:divBdr>
        <w:top w:val="none" w:sz="0" w:space="0" w:color="auto"/>
        <w:left w:val="none" w:sz="0" w:space="0" w:color="auto"/>
        <w:bottom w:val="none" w:sz="0" w:space="0" w:color="auto"/>
        <w:right w:val="none" w:sz="0" w:space="0" w:color="auto"/>
      </w:divBdr>
    </w:div>
    <w:div w:id="898171275">
      <w:bodyDiv w:val="1"/>
      <w:marLeft w:val="0"/>
      <w:marRight w:val="0"/>
      <w:marTop w:val="0"/>
      <w:marBottom w:val="0"/>
      <w:divBdr>
        <w:top w:val="none" w:sz="0" w:space="0" w:color="auto"/>
        <w:left w:val="none" w:sz="0" w:space="0" w:color="auto"/>
        <w:bottom w:val="none" w:sz="0" w:space="0" w:color="auto"/>
        <w:right w:val="none" w:sz="0" w:space="0" w:color="auto"/>
      </w:divBdr>
    </w:div>
    <w:div w:id="970793711">
      <w:bodyDiv w:val="1"/>
      <w:marLeft w:val="0"/>
      <w:marRight w:val="0"/>
      <w:marTop w:val="0"/>
      <w:marBottom w:val="0"/>
      <w:divBdr>
        <w:top w:val="none" w:sz="0" w:space="0" w:color="auto"/>
        <w:left w:val="none" w:sz="0" w:space="0" w:color="auto"/>
        <w:bottom w:val="none" w:sz="0" w:space="0" w:color="auto"/>
        <w:right w:val="none" w:sz="0" w:space="0" w:color="auto"/>
      </w:divBdr>
    </w:div>
    <w:div w:id="972516997">
      <w:bodyDiv w:val="1"/>
      <w:marLeft w:val="0"/>
      <w:marRight w:val="0"/>
      <w:marTop w:val="0"/>
      <w:marBottom w:val="0"/>
      <w:divBdr>
        <w:top w:val="none" w:sz="0" w:space="0" w:color="auto"/>
        <w:left w:val="none" w:sz="0" w:space="0" w:color="auto"/>
        <w:bottom w:val="none" w:sz="0" w:space="0" w:color="auto"/>
        <w:right w:val="none" w:sz="0" w:space="0" w:color="auto"/>
      </w:divBdr>
    </w:div>
    <w:div w:id="1012679722">
      <w:bodyDiv w:val="1"/>
      <w:marLeft w:val="0"/>
      <w:marRight w:val="0"/>
      <w:marTop w:val="0"/>
      <w:marBottom w:val="0"/>
      <w:divBdr>
        <w:top w:val="none" w:sz="0" w:space="0" w:color="auto"/>
        <w:left w:val="none" w:sz="0" w:space="0" w:color="auto"/>
        <w:bottom w:val="none" w:sz="0" w:space="0" w:color="auto"/>
        <w:right w:val="none" w:sz="0" w:space="0" w:color="auto"/>
      </w:divBdr>
    </w:div>
    <w:div w:id="1018190345">
      <w:bodyDiv w:val="1"/>
      <w:marLeft w:val="0"/>
      <w:marRight w:val="0"/>
      <w:marTop w:val="0"/>
      <w:marBottom w:val="0"/>
      <w:divBdr>
        <w:top w:val="none" w:sz="0" w:space="0" w:color="auto"/>
        <w:left w:val="none" w:sz="0" w:space="0" w:color="auto"/>
        <w:bottom w:val="none" w:sz="0" w:space="0" w:color="auto"/>
        <w:right w:val="none" w:sz="0" w:space="0" w:color="auto"/>
      </w:divBdr>
    </w:div>
    <w:div w:id="1084644819">
      <w:bodyDiv w:val="1"/>
      <w:marLeft w:val="0"/>
      <w:marRight w:val="0"/>
      <w:marTop w:val="0"/>
      <w:marBottom w:val="0"/>
      <w:divBdr>
        <w:top w:val="none" w:sz="0" w:space="0" w:color="auto"/>
        <w:left w:val="none" w:sz="0" w:space="0" w:color="auto"/>
        <w:bottom w:val="none" w:sz="0" w:space="0" w:color="auto"/>
        <w:right w:val="none" w:sz="0" w:space="0" w:color="auto"/>
      </w:divBdr>
    </w:div>
    <w:div w:id="1120607710">
      <w:bodyDiv w:val="1"/>
      <w:marLeft w:val="0"/>
      <w:marRight w:val="0"/>
      <w:marTop w:val="0"/>
      <w:marBottom w:val="0"/>
      <w:divBdr>
        <w:top w:val="none" w:sz="0" w:space="0" w:color="auto"/>
        <w:left w:val="none" w:sz="0" w:space="0" w:color="auto"/>
        <w:bottom w:val="none" w:sz="0" w:space="0" w:color="auto"/>
        <w:right w:val="none" w:sz="0" w:space="0" w:color="auto"/>
      </w:divBdr>
    </w:div>
    <w:div w:id="1134130242">
      <w:bodyDiv w:val="1"/>
      <w:marLeft w:val="0"/>
      <w:marRight w:val="0"/>
      <w:marTop w:val="0"/>
      <w:marBottom w:val="0"/>
      <w:divBdr>
        <w:top w:val="none" w:sz="0" w:space="0" w:color="auto"/>
        <w:left w:val="none" w:sz="0" w:space="0" w:color="auto"/>
        <w:bottom w:val="none" w:sz="0" w:space="0" w:color="auto"/>
        <w:right w:val="none" w:sz="0" w:space="0" w:color="auto"/>
      </w:divBdr>
    </w:div>
    <w:div w:id="1154759160">
      <w:bodyDiv w:val="1"/>
      <w:marLeft w:val="0"/>
      <w:marRight w:val="0"/>
      <w:marTop w:val="0"/>
      <w:marBottom w:val="0"/>
      <w:divBdr>
        <w:top w:val="none" w:sz="0" w:space="0" w:color="auto"/>
        <w:left w:val="none" w:sz="0" w:space="0" w:color="auto"/>
        <w:bottom w:val="none" w:sz="0" w:space="0" w:color="auto"/>
        <w:right w:val="none" w:sz="0" w:space="0" w:color="auto"/>
      </w:divBdr>
    </w:div>
    <w:div w:id="1161854222">
      <w:bodyDiv w:val="1"/>
      <w:marLeft w:val="0"/>
      <w:marRight w:val="0"/>
      <w:marTop w:val="0"/>
      <w:marBottom w:val="0"/>
      <w:divBdr>
        <w:top w:val="none" w:sz="0" w:space="0" w:color="auto"/>
        <w:left w:val="none" w:sz="0" w:space="0" w:color="auto"/>
        <w:bottom w:val="none" w:sz="0" w:space="0" w:color="auto"/>
        <w:right w:val="none" w:sz="0" w:space="0" w:color="auto"/>
      </w:divBdr>
    </w:div>
    <w:div w:id="1163545497">
      <w:bodyDiv w:val="1"/>
      <w:marLeft w:val="0"/>
      <w:marRight w:val="0"/>
      <w:marTop w:val="0"/>
      <w:marBottom w:val="0"/>
      <w:divBdr>
        <w:top w:val="none" w:sz="0" w:space="0" w:color="auto"/>
        <w:left w:val="none" w:sz="0" w:space="0" w:color="auto"/>
        <w:bottom w:val="none" w:sz="0" w:space="0" w:color="auto"/>
        <w:right w:val="none" w:sz="0" w:space="0" w:color="auto"/>
      </w:divBdr>
    </w:div>
    <w:div w:id="1169834707">
      <w:bodyDiv w:val="1"/>
      <w:marLeft w:val="0"/>
      <w:marRight w:val="0"/>
      <w:marTop w:val="0"/>
      <w:marBottom w:val="0"/>
      <w:divBdr>
        <w:top w:val="none" w:sz="0" w:space="0" w:color="auto"/>
        <w:left w:val="none" w:sz="0" w:space="0" w:color="auto"/>
        <w:bottom w:val="none" w:sz="0" w:space="0" w:color="auto"/>
        <w:right w:val="none" w:sz="0" w:space="0" w:color="auto"/>
      </w:divBdr>
    </w:div>
    <w:div w:id="1195776638">
      <w:bodyDiv w:val="1"/>
      <w:marLeft w:val="0"/>
      <w:marRight w:val="0"/>
      <w:marTop w:val="0"/>
      <w:marBottom w:val="0"/>
      <w:divBdr>
        <w:top w:val="none" w:sz="0" w:space="0" w:color="auto"/>
        <w:left w:val="none" w:sz="0" w:space="0" w:color="auto"/>
        <w:bottom w:val="none" w:sz="0" w:space="0" w:color="auto"/>
        <w:right w:val="none" w:sz="0" w:space="0" w:color="auto"/>
      </w:divBdr>
    </w:div>
    <w:div w:id="1222060243">
      <w:bodyDiv w:val="1"/>
      <w:marLeft w:val="0"/>
      <w:marRight w:val="0"/>
      <w:marTop w:val="0"/>
      <w:marBottom w:val="0"/>
      <w:divBdr>
        <w:top w:val="none" w:sz="0" w:space="0" w:color="auto"/>
        <w:left w:val="none" w:sz="0" w:space="0" w:color="auto"/>
        <w:bottom w:val="none" w:sz="0" w:space="0" w:color="auto"/>
        <w:right w:val="none" w:sz="0" w:space="0" w:color="auto"/>
      </w:divBdr>
    </w:div>
    <w:div w:id="1272861352">
      <w:bodyDiv w:val="1"/>
      <w:marLeft w:val="0"/>
      <w:marRight w:val="0"/>
      <w:marTop w:val="0"/>
      <w:marBottom w:val="0"/>
      <w:divBdr>
        <w:top w:val="none" w:sz="0" w:space="0" w:color="auto"/>
        <w:left w:val="none" w:sz="0" w:space="0" w:color="auto"/>
        <w:bottom w:val="none" w:sz="0" w:space="0" w:color="auto"/>
        <w:right w:val="none" w:sz="0" w:space="0" w:color="auto"/>
      </w:divBdr>
    </w:div>
    <w:div w:id="1309239260">
      <w:bodyDiv w:val="1"/>
      <w:marLeft w:val="0"/>
      <w:marRight w:val="0"/>
      <w:marTop w:val="0"/>
      <w:marBottom w:val="0"/>
      <w:divBdr>
        <w:top w:val="none" w:sz="0" w:space="0" w:color="auto"/>
        <w:left w:val="none" w:sz="0" w:space="0" w:color="auto"/>
        <w:bottom w:val="none" w:sz="0" w:space="0" w:color="auto"/>
        <w:right w:val="none" w:sz="0" w:space="0" w:color="auto"/>
      </w:divBdr>
    </w:div>
    <w:div w:id="1338272255">
      <w:bodyDiv w:val="1"/>
      <w:marLeft w:val="0"/>
      <w:marRight w:val="0"/>
      <w:marTop w:val="0"/>
      <w:marBottom w:val="0"/>
      <w:divBdr>
        <w:top w:val="none" w:sz="0" w:space="0" w:color="auto"/>
        <w:left w:val="none" w:sz="0" w:space="0" w:color="auto"/>
        <w:bottom w:val="none" w:sz="0" w:space="0" w:color="auto"/>
        <w:right w:val="none" w:sz="0" w:space="0" w:color="auto"/>
      </w:divBdr>
    </w:div>
    <w:div w:id="1374623251">
      <w:bodyDiv w:val="1"/>
      <w:marLeft w:val="0"/>
      <w:marRight w:val="0"/>
      <w:marTop w:val="0"/>
      <w:marBottom w:val="0"/>
      <w:divBdr>
        <w:top w:val="none" w:sz="0" w:space="0" w:color="auto"/>
        <w:left w:val="none" w:sz="0" w:space="0" w:color="auto"/>
        <w:bottom w:val="none" w:sz="0" w:space="0" w:color="auto"/>
        <w:right w:val="none" w:sz="0" w:space="0" w:color="auto"/>
      </w:divBdr>
    </w:div>
    <w:div w:id="1394505736">
      <w:bodyDiv w:val="1"/>
      <w:marLeft w:val="0"/>
      <w:marRight w:val="0"/>
      <w:marTop w:val="0"/>
      <w:marBottom w:val="0"/>
      <w:divBdr>
        <w:top w:val="none" w:sz="0" w:space="0" w:color="auto"/>
        <w:left w:val="none" w:sz="0" w:space="0" w:color="auto"/>
        <w:bottom w:val="none" w:sz="0" w:space="0" w:color="auto"/>
        <w:right w:val="none" w:sz="0" w:space="0" w:color="auto"/>
      </w:divBdr>
    </w:div>
    <w:div w:id="1402023537">
      <w:bodyDiv w:val="1"/>
      <w:marLeft w:val="0"/>
      <w:marRight w:val="0"/>
      <w:marTop w:val="0"/>
      <w:marBottom w:val="0"/>
      <w:divBdr>
        <w:top w:val="none" w:sz="0" w:space="0" w:color="auto"/>
        <w:left w:val="none" w:sz="0" w:space="0" w:color="auto"/>
        <w:bottom w:val="none" w:sz="0" w:space="0" w:color="auto"/>
        <w:right w:val="none" w:sz="0" w:space="0" w:color="auto"/>
      </w:divBdr>
    </w:div>
    <w:div w:id="1404796487">
      <w:bodyDiv w:val="1"/>
      <w:marLeft w:val="0"/>
      <w:marRight w:val="0"/>
      <w:marTop w:val="0"/>
      <w:marBottom w:val="0"/>
      <w:divBdr>
        <w:top w:val="none" w:sz="0" w:space="0" w:color="auto"/>
        <w:left w:val="none" w:sz="0" w:space="0" w:color="auto"/>
        <w:bottom w:val="none" w:sz="0" w:space="0" w:color="auto"/>
        <w:right w:val="none" w:sz="0" w:space="0" w:color="auto"/>
      </w:divBdr>
    </w:div>
    <w:div w:id="1425154574">
      <w:bodyDiv w:val="1"/>
      <w:marLeft w:val="0"/>
      <w:marRight w:val="0"/>
      <w:marTop w:val="0"/>
      <w:marBottom w:val="0"/>
      <w:divBdr>
        <w:top w:val="none" w:sz="0" w:space="0" w:color="auto"/>
        <w:left w:val="none" w:sz="0" w:space="0" w:color="auto"/>
        <w:bottom w:val="none" w:sz="0" w:space="0" w:color="auto"/>
        <w:right w:val="none" w:sz="0" w:space="0" w:color="auto"/>
      </w:divBdr>
    </w:div>
    <w:div w:id="1461876761">
      <w:bodyDiv w:val="1"/>
      <w:marLeft w:val="0"/>
      <w:marRight w:val="0"/>
      <w:marTop w:val="0"/>
      <w:marBottom w:val="0"/>
      <w:divBdr>
        <w:top w:val="none" w:sz="0" w:space="0" w:color="auto"/>
        <w:left w:val="none" w:sz="0" w:space="0" w:color="auto"/>
        <w:bottom w:val="none" w:sz="0" w:space="0" w:color="auto"/>
        <w:right w:val="none" w:sz="0" w:space="0" w:color="auto"/>
      </w:divBdr>
    </w:div>
    <w:div w:id="1468086967">
      <w:bodyDiv w:val="1"/>
      <w:marLeft w:val="0"/>
      <w:marRight w:val="0"/>
      <w:marTop w:val="0"/>
      <w:marBottom w:val="0"/>
      <w:divBdr>
        <w:top w:val="none" w:sz="0" w:space="0" w:color="auto"/>
        <w:left w:val="none" w:sz="0" w:space="0" w:color="auto"/>
        <w:bottom w:val="none" w:sz="0" w:space="0" w:color="auto"/>
        <w:right w:val="none" w:sz="0" w:space="0" w:color="auto"/>
      </w:divBdr>
    </w:div>
    <w:div w:id="1482695752">
      <w:bodyDiv w:val="1"/>
      <w:marLeft w:val="0"/>
      <w:marRight w:val="0"/>
      <w:marTop w:val="0"/>
      <w:marBottom w:val="0"/>
      <w:divBdr>
        <w:top w:val="none" w:sz="0" w:space="0" w:color="auto"/>
        <w:left w:val="none" w:sz="0" w:space="0" w:color="auto"/>
        <w:bottom w:val="none" w:sz="0" w:space="0" w:color="auto"/>
        <w:right w:val="none" w:sz="0" w:space="0" w:color="auto"/>
      </w:divBdr>
    </w:div>
    <w:div w:id="1492141419">
      <w:bodyDiv w:val="1"/>
      <w:marLeft w:val="0"/>
      <w:marRight w:val="0"/>
      <w:marTop w:val="0"/>
      <w:marBottom w:val="0"/>
      <w:divBdr>
        <w:top w:val="none" w:sz="0" w:space="0" w:color="auto"/>
        <w:left w:val="none" w:sz="0" w:space="0" w:color="auto"/>
        <w:bottom w:val="none" w:sz="0" w:space="0" w:color="auto"/>
        <w:right w:val="none" w:sz="0" w:space="0" w:color="auto"/>
      </w:divBdr>
    </w:div>
    <w:div w:id="1512405994">
      <w:bodyDiv w:val="1"/>
      <w:marLeft w:val="0"/>
      <w:marRight w:val="0"/>
      <w:marTop w:val="0"/>
      <w:marBottom w:val="0"/>
      <w:divBdr>
        <w:top w:val="none" w:sz="0" w:space="0" w:color="auto"/>
        <w:left w:val="none" w:sz="0" w:space="0" w:color="auto"/>
        <w:bottom w:val="none" w:sz="0" w:space="0" w:color="auto"/>
        <w:right w:val="none" w:sz="0" w:space="0" w:color="auto"/>
      </w:divBdr>
    </w:div>
    <w:div w:id="1512603500">
      <w:bodyDiv w:val="1"/>
      <w:marLeft w:val="0"/>
      <w:marRight w:val="0"/>
      <w:marTop w:val="0"/>
      <w:marBottom w:val="0"/>
      <w:divBdr>
        <w:top w:val="none" w:sz="0" w:space="0" w:color="auto"/>
        <w:left w:val="none" w:sz="0" w:space="0" w:color="auto"/>
        <w:bottom w:val="none" w:sz="0" w:space="0" w:color="auto"/>
        <w:right w:val="none" w:sz="0" w:space="0" w:color="auto"/>
      </w:divBdr>
    </w:div>
    <w:div w:id="1543714739">
      <w:bodyDiv w:val="1"/>
      <w:marLeft w:val="0"/>
      <w:marRight w:val="0"/>
      <w:marTop w:val="0"/>
      <w:marBottom w:val="0"/>
      <w:divBdr>
        <w:top w:val="none" w:sz="0" w:space="0" w:color="auto"/>
        <w:left w:val="none" w:sz="0" w:space="0" w:color="auto"/>
        <w:bottom w:val="none" w:sz="0" w:space="0" w:color="auto"/>
        <w:right w:val="none" w:sz="0" w:space="0" w:color="auto"/>
      </w:divBdr>
    </w:div>
    <w:div w:id="1574776707">
      <w:bodyDiv w:val="1"/>
      <w:marLeft w:val="0"/>
      <w:marRight w:val="0"/>
      <w:marTop w:val="0"/>
      <w:marBottom w:val="0"/>
      <w:divBdr>
        <w:top w:val="none" w:sz="0" w:space="0" w:color="auto"/>
        <w:left w:val="none" w:sz="0" w:space="0" w:color="auto"/>
        <w:bottom w:val="none" w:sz="0" w:space="0" w:color="auto"/>
        <w:right w:val="none" w:sz="0" w:space="0" w:color="auto"/>
      </w:divBdr>
    </w:div>
    <w:div w:id="1582518203">
      <w:bodyDiv w:val="1"/>
      <w:marLeft w:val="0"/>
      <w:marRight w:val="0"/>
      <w:marTop w:val="0"/>
      <w:marBottom w:val="0"/>
      <w:divBdr>
        <w:top w:val="none" w:sz="0" w:space="0" w:color="auto"/>
        <w:left w:val="none" w:sz="0" w:space="0" w:color="auto"/>
        <w:bottom w:val="none" w:sz="0" w:space="0" w:color="auto"/>
        <w:right w:val="none" w:sz="0" w:space="0" w:color="auto"/>
      </w:divBdr>
    </w:div>
    <w:div w:id="1602687862">
      <w:bodyDiv w:val="1"/>
      <w:marLeft w:val="0"/>
      <w:marRight w:val="0"/>
      <w:marTop w:val="0"/>
      <w:marBottom w:val="0"/>
      <w:divBdr>
        <w:top w:val="none" w:sz="0" w:space="0" w:color="auto"/>
        <w:left w:val="none" w:sz="0" w:space="0" w:color="auto"/>
        <w:bottom w:val="none" w:sz="0" w:space="0" w:color="auto"/>
        <w:right w:val="none" w:sz="0" w:space="0" w:color="auto"/>
      </w:divBdr>
    </w:div>
    <w:div w:id="1610971926">
      <w:bodyDiv w:val="1"/>
      <w:marLeft w:val="0"/>
      <w:marRight w:val="0"/>
      <w:marTop w:val="0"/>
      <w:marBottom w:val="0"/>
      <w:divBdr>
        <w:top w:val="none" w:sz="0" w:space="0" w:color="auto"/>
        <w:left w:val="none" w:sz="0" w:space="0" w:color="auto"/>
        <w:bottom w:val="none" w:sz="0" w:space="0" w:color="auto"/>
        <w:right w:val="none" w:sz="0" w:space="0" w:color="auto"/>
      </w:divBdr>
    </w:div>
    <w:div w:id="1640695032">
      <w:bodyDiv w:val="1"/>
      <w:marLeft w:val="0"/>
      <w:marRight w:val="0"/>
      <w:marTop w:val="0"/>
      <w:marBottom w:val="0"/>
      <w:divBdr>
        <w:top w:val="none" w:sz="0" w:space="0" w:color="auto"/>
        <w:left w:val="none" w:sz="0" w:space="0" w:color="auto"/>
        <w:bottom w:val="none" w:sz="0" w:space="0" w:color="auto"/>
        <w:right w:val="none" w:sz="0" w:space="0" w:color="auto"/>
      </w:divBdr>
    </w:div>
    <w:div w:id="1649702469">
      <w:bodyDiv w:val="1"/>
      <w:marLeft w:val="0"/>
      <w:marRight w:val="0"/>
      <w:marTop w:val="0"/>
      <w:marBottom w:val="0"/>
      <w:divBdr>
        <w:top w:val="none" w:sz="0" w:space="0" w:color="auto"/>
        <w:left w:val="none" w:sz="0" w:space="0" w:color="auto"/>
        <w:bottom w:val="none" w:sz="0" w:space="0" w:color="auto"/>
        <w:right w:val="none" w:sz="0" w:space="0" w:color="auto"/>
      </w:divBdr>
    </w:div>
    <w:div w:id="1656256338">
      <w:bodyDiv w:val="1"/>
      <w:marLeft w:val="0"/>
      <w:marRight w:val="0"/>
      <w:marTop w:val="0"/>
      <w:marBottom w:val="0"/>
      <w:divBdr>
        <w:top w:val="none" w:sz="0" w:space="0" w:color="auto"/>
        <w:left w:val="none" w:sz="0" w:space="0" w:color="auto"/>
        <w:bottom w:val="none" w:sz="0" w:space="0" w:color="auto"/>
        <w:right w:val="none" w:sz="0" w:space="0" w:color="auto"/>
      </w:divBdr>
    </w:div>
    <w:div w:id="1656952239">
      <w:bodyDiv w:val="1"/>
      <w:marLeft w:val="0"/>
      <w:marRight w:val="0"/>
      <w:marTop w:val="0"/>
      <w:marBottom w:val="0"/>
      <w:divBdr>
        <w:top w:val="none" w:sz="0" w:space="0" w:color="auto"/>
        <w:left w:val="none" w:sz="0" w:space="0" w:color="auto"/>
        <w:bottom w:val="none" w:sz="0" w:space="0" w:color="auto"/>
        <w:right w:val="none" w:sz="0" w:space="0" w:color="auto"/>
      </w:divBdr>
    </w:div>
    <w:div w:id="1692947657">
      <w:bodyDiv w:val="1"/>
      <w:marLeft w:val="0"/>
      <w:marRight w:val="0"/>
      <w:marTop w:val="0"/>
      <w:marBottom w:val="0"/>
      <w:divBdr>
        <w:top w:val="none" w:sz="0" w:space="0" w:color="auto"/>
        <w:left w:val="none" w:sz="0" w:space="0" w:color="auto"/>
        <w:bottom w:val="none" w:sz="0" w:space="0" w:color="auto"/>
        <w:right w:val="none" w:sz="0" w:space="0" w:color="auto"/>
      </w:divBdr>
    </w:div>
    <w:div w:id="1694769276">
      <w:bodyDiv w:val="1"/>
      <w:marLeft w:val="0"/>
      <w:marRight w:val="0"/>
      <w:marTop w:val="0"/>
      <w:marBottom w:val="0"/>
      <w:divBdr>
        <w:top w:val="none" w:sz="0" w:space="0" w:color="auto"/>
        <w:left w:val="none" w:sz="0" w:space="0" w:color="auto"/>
        <w:bottom w:val="none" w:sz="0" w:space="0" w:color="auto"/>
        <w:right w:val="none" w:sz="0" w:space="0" w:color="auto"/>
      </w:divBdr>
    </w:div>
    <w:div w:id="1729835609">
      <w:bodyDiv w:val="1"/>
      <w:marLeft w:val="0"/>
      <w:marRight w:val="0"/>
      <w:marTop w:val="0"/>
      <w:marBottom w:val="0"/>
      <w:divBdr>
        <w:top w:val="none" w:sz="0" w:space="0" w:color="auto"/>
        <w:left w:val="none" w:sz="0" w:space="0" w:color="auto"/>
        <w:bottom w:val="none" w:sz="0" w:space="0" w:color="auto"/>
        <w:right w:val="none" w:sz="0" w:space="0" w:color="auto"/>
      </w:divBdr>
    </w:div>
    <w:div w:id="1738742965">
      <w:bodyDiv w:val="1"/>
      <w:marLeft w:val="0"/>
      <w:marRight w:val="0"/>
      <w:marTop w:val="0"/>
      <w:marBottom w:val="0"/>
      <w:divBdr>
        <w:top w:val="none" w:sz="0" w:space="0" w:color="auto"/>
        <w:left w:val="none" w:sz="0" w:space="0" w:color="auto"/>
        <w:bottom w:val="none" w:sz="0" w:space="0" w:color="auto"/>
        <w:right w:val="none" w:sz="0" w:space="0" w:color="auto"/>
      </w:divBdr>
    </w:div>
    <w:div w:id="1776637366">
      <w:bodyDiv w:val="1"/>
      <w:marLeft w:val="0"/>
      <w:marRight w:val="0"/>
      <w:marTop w:val="0"/>
      <w:marBottom w:val="0"/>
      <w:divBdr>
        <w:top w:val="none" w:sz="0" w:space="0" w:color="auto"/>
        <w:left w:val="none" w:sz="0" w:space="0" w:color="auto"/>
        <w:bottom w:val="none" w:sz="0" w:space="0" w:color="auto"/>
        <w:right w:val="none" w:sz="0" w:space="0" w:color="auto"/>
      </w:divBdr>
    </w:div>
    <w:div w:id="1835994144">
      <w:bodyDiv w:val="1"/>
      <w:marLeft w:val="0"/>
      <w:marRight w:val="0"/>
      <w:marTop w:val="0"/>
      <w:marBottom w:val="0"/>
      <w:divBdr>
        <w:top w:val="none" w:sz="0" w:space="0" w:color="auto"/>
        <w:left w:val="none" w:sz="0" w:space="0" w:color="auto"/>
        <w:bottom w:val="none" w:sz="0" w:space="0" w:color="auto"/>
        <w:right w:val="none" w:sz="0" w:space="0" w:color="auto"/>
      </w:divBdr>
    </w:div>
    <w:div w:id="1958679444">
      <w:bodyDiv w:val="1"/>
      <w:marLeft w:val="0"/>
      <w:marRight w:val="0"/>
      <w:marTop w:val="0"/>
      <w:marBottom w:val="0"/>
      <w:divBdr>
        <w:top w:val="none" w:sz="0" w:space="0" w:color="auto"/>
        <w:left w:val="none" w:sz="0" w:space="0" w:color="auto"/>
        <w:bottom w:val="none" w:sz="0" w:space="0" w:color="auto"/>
        <w:right w:val="none" w:sz="0" w:space="0" w:color="auto"/>
      </w:divBdr>
    </w:div>
    <w:div w:id="1990860506">
      <w:bodyDiv w:val="1"/>
      <w:marLeft w:val="0"/>
      <w:marRight w:val="0"/>
      <w:marTop w:val="0"/>
      <w:marBottom w:val="0"/>
      <w:divBdr>
        <w:top w:val="none" w:sz="0" w:space="0" w:color="auto"/>
        <w:left w:val="none" w:sz="0" w:space="0" w:color="auto"/>
        <w:bottom w:val="none" w:sz="0" w:space="0" w:color="auto"/>
        <w:right w:val="none" w:sz="0" w:space="0" w:color="auto"/>
      </w:divBdr>
    </w:div>
    <w:div w:id="2010517897">
      <w:bodyDiv w:val="1"/>
      <w:marLeft w:val="0"/>
      <w:marRight w:val="0"/>
      <w:marTop w:val="0"/>
      <w:marBottom w:val="0"/>
      <w:divBdr>
        <w:top w:val="none" w:sz="0" w:space="0" w:color="auto"/>
        <w:left w:val="none" w:sz="0" w:space="0" w:color="auto"/>
        <w:bottom w:val="none" w:sz="0" w:space="0" w:color="auto"/>
        <w:right w:val="none" w:sz="0" w:space="0" w:color="auto"/>
      </w:divBdr>
    </w:div>
    <w:div w:id="2053726300">
      <w:bodyDiv w:val="1"/>
      <w:marLeft w:val="0"/>
      <w:marRight w:val="0"/>
      <w:marTop w:val="0"/>
      <w:marBottom w:val="0"/>
      <w:divBdr>
        <w:top w:val="none" w:sz="0" w:space="0" w:color="auto"/>
        <w:left w:val="none" w:sz="0" w:space="0" w:color="auto"/>
        <w:bottom w:val="none" w:sz="0" w:space="0" w:color="auto"/>
        <w:right w:val="none" w:sz="0" w:space="0" w:color="auto"/>
      </w:divBdr>
    </w:div>
    <w:div w:id="2069262735">
      <w:bodyDiv w:val="1"/>
      <w:marLeft w:val="0"/>
      <w:marRight w:val="0"/>
      <w:marTop w:val="0"/>
      <w:marBottom w:val="0"/>
      <w:divBdr>
        <w:top w:val="none" w:sz="0" w:space="0" w:color="auto"/>
        <w:left w:val="none" w:sz="0" w:space="0" w:color="auto"/>
        <w:bottom w:val="none" w:sz="0" w:space="0" w:color="auto"/>
        <w:right w:val="none" w:sz="0" w:space="0" w:color="auto"/>
      </w:divBdr>
    </w:div>
    <w:div w:id="2070688347">
      <w:bodyDiv w:val="1"/>
      <w:marLeft w:val="0"/>
      <w:marRight w:val="0"/>
      <w:marTop w:val="0"/>
      <w:marBottom w:val="0"/>
      <w:divBdr>
        <w:top w:val="none" w:sz="0" w:space="0" w:color="auto"/>
        <w:left w:val="none" w:sz="0" w:space="0" w:color="auto"/>
        <w:bottom w:val="none" w:sz="0" w:space="0" w:color="auto"/>
        <w:right w:val="none" w:sz="0" w:space="0" w:color="auto"/>
      </w:divBdr>
    </w:div>
    <w:div w:id="2127769506">
      <w:bodyDiv w:val="1"/>
      <w:marLeft w:val="0"/>
      <w:marRight w:val="0"/>
      <w:marTop w:val="0"/>
      <w:marBottom w:val="0"/>
      <w:divBdr>
        <w:top w:val="none" w:sz="0" w:space="0" w:color="auto"/>
        <w:left w:val="none" w:sz="0" w:space="0" w:color="auto"/>
        <w:bottom w:val="none" w:sz="0" w:space="0" w:color="auto"/>
        <w:right w:val="none" w:sz="0" w:space="0" w:color="auto"/>
      </w:divBdr>
    </w:div>
    <w:div w:id="2140100829">
      <w:bodyDiv w:val="1"/>
      <w:marLeft w:val="0"/>
      <w:marRight w:val="0"/>
      <w:marTop w:val="0"/>
      <w:marBottom w:val="0"/>
      <w:divBdr>
        <w:top w:val="none" w:sz="0" w:space="0" w:color="auto"/>
        <w:left w:val="none" w:sz="0" w:space="0" w:color="auto"/>
        <w:bottom w:val="none" w:sz="0" w:space="0" w:color="auto"/>
        <w:right w:val="none" w:sz="0" w:space="0" w:color="auto"/>
      </w:divBdr>
    </w:div>
    <w:div w:id="2142838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image" Target="media/image3.png"/><Relationship Id="rId68" Type="http://schemas.openxmlformats.org/officeDocument/2006/relationships/chart" Target="charts/chart58.xml"/><Relationship Id="rId84" Type="http://schemas.openxmlformats.org/officeDocument/2006/relationships/chart" Target="charts/chart69.xml"/><Relationship Id="rId89" Type="http://schemas.openxmlformats.org/officeDocument/2006/relationships/chart" Target="charts/chart72.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4.xml"/><Relationship Id="rId79" Type="http://schemas.openxmlformats.org/officeDocument/2006/relationships/image" Target="media/image7.png"/><Relationship Id="rId5" Type="http://schemas.openxmlformats.org/officeDocument/2006/relationships/webSettings" Target="webSettings.xml"/><Relationship Id="rId90" Type="http://schemas.openxmlformats.org/officeDocument/2006/relationships/chart" Target="charts/chart73.xml"/><Relationship Id="rId95" Type="http://schemas.openxmlformats.org/officeDocument/2006/relationships/theme" Target="theme/theme1.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chart" Target="charts/chart54.xml"/><Relationship Id="rId69" Type="http://schemas.openxmlformats.org/officeDocument/2006/relationships/chart" Target="charts/chart59.xm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chart" Target="charts/chart62.xml"/><Relationship Id="rId80" Type="http://schemas.openxmlformats.org/officeDocument/2006/relationships/chart" Target="charts/chart66.xml"/><Relationship Id="rId85" Type="http://schemas.openxmlformats.org/officeDocument/2006/relationships/chart" Target="charts/chart70.xm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7.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0.xml"/><Relationship Id="rId75" Type="http://schemas.openxmlformats.org/officeDocument/2006/relationships/chart" Target="charts/chart65.xml"/><Relationship Id="rId83" Type="http://schemas.openxmlformats.org/officeDocument/2006/relationships/chart" Target="charts/chart68.xml"/><Relationship Id="rId88" Type="http://schemas.openxmlformats.org/officeDocument/2006/relationships/image" Target="media/image9.png"/><Relationship Id="rId91" Type="http://schemas.openxmlformats.org/officeDocument/2006/relationships/chart" Target="charts/chart7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5.xml"/><Relationship Id="rId73" Type="http://schemas.openxmlformats.org/officeDocument/2006/relationships/chart" Target="charts/chart63.xml"/><Relationship Id="rId78" Type="http://schemas.openxmlformats.org/officeDocument/2006/relationships/image" Target="media/image6.png"/><Relationship Id="rId81" Type="http://schemas.openxmlformats.org/officeDocument/2006/relationships/chart" Target="charts/chart67.xml"/><Relationship Id="rId86" Type="http://schemas.openxmlformats.org/officeDocument/2006/relationships/chart" Target="charts/chart71.xm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image" Target="media/image4.png"/><Relationship Id="rId7" Type="http://schemas.openxmlformats.org/officeDocument/2006/relationships/endnotes" Target="endnotes.xml"/><Relationship Id="rId71" Type="http://schemas.openxmlformats.org/officeDocument/2006/relationships/chart" Target="charts/chart61.xml"/><Relationship Id="rId92" Type="http://schemas.openxmlformats.org/officeDocument/2006/relationships/chart" Target="charts/chart75.xml"/><Relationship Id="rId2" Type="http://schemas.openxmlformats.org/officeDocument/2006/relationships/numbering" Target="numbering.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6.xml"/><Relationship Id="rId87" Type="http://schemas.openxmlformats.org/officeDocument/2006/relationships/image" Target="media/image8.png"/><Relationship Id="rId61" Type="http://schemas.openxmlformats.org/officeDocument/2006/relationships/chart" Target="charts/chart52.xml"/><Relationship Id="rId82" Type="http://schemas.openxmlformats.org/officeDocument/2006/relationships/hyperlink" Target="http://www.minfin.am" TargetMode="Externa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chart" Target="charts/chart47.xml"/><Relationship Id="rId77" Type="http://schemas.openxmlformats.org/officeDocument/2006/relationships/image" Target="media/image5.png"/></Relationships>
</file>

<file path=word/_rels/footnotes.xml.rels><?xml version="1.0" encoding="UTF-8" standalone="yes"?>
<Relationships xmlns="http://schemas.openxmlformats.org/package/2006/relationships"><Relationship Id="rId2" Type="http://schemas.openxmlformats.org/officeDocument/2006/relationships/hyperlink" Target="https://www.imf.org/en/Topics/imf-and-covid19/Fiscal-Policies-Database-in-Response-to-COVID-19" TargetMode="External"/><Relationship Id="rId1" Type="http://schemas.openxmlformats.org/officeDocument/2006/relationships/hyperlink" Target="https://www.unwto.org/international-travel-largely-on-hold-despite-uptick-in-may"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7.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9.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20.xlsx"/><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21.xlsx"/><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22.xlsx"/><Relationship Id="rId1" Type="http://schemas.openxmlformats.org/officeDocument/2006/relationships/themeOverride" Target="../theme/themeOverride20.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1.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2.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5.xlsx"/><Relationship Id="rId1" Type="http://schemas.openxmlformats.org/officeDocument/2006/relationships/themeOverride" Target="../theme/themeOverride23.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26.xlsx"/><Relationship Id="rId1" Type="http://schemas.openxmlformats.org/officeDocument/2006/relationships/themeOverride" Target="../theme/themeOverride24.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5.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9.xlsx"/><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30.xlsx"/><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31.xlsx"/><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32.xlsx"/><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Worksheet38.xlsx"/><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8.xml"/></Relationships>
</file>

<file path=word/charts/_rels/chart4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0.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Worksheet42.xlsx"/><Relationship Id="rId1" Type="http://schemas.openxmlformats.org/officeDocument/2006/relationships/themeOverride" Target="../theme/themeOverride41.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Worksheet43.xlsx"/><Relationship Id="rId1" Type="http://schemas.openxmlformats.org/officeDocument/2006/relationships/themeOverride" Target="../theme/themeOverride42.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Worksheet44.xlsx"/><Relationship Id="rId1" Type="http://schemas.openxmlformats.org/officeDocument/2006/relationships/themeOverride" Target="../theme/themeOverride43.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Worksheet45.xlsx"/><Relationship Id="rId1" Type="http://schemas.openxmlformats.org/officeDocument/2006/relationships/themeOverride" Target="../theme/themeOverride44.xml"/></Relationships>
</file>

<file path=word/charts/_rels/chart48.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Worksheet46.xlsx"/><Relationship Id="rId1" Type="http://schemas.openxmlformats.org/officeDocument/2006/relationships/themeOverride" Target="../theme/themeOverride45.xml"/></Relationships>
</file>

<file path=word/charts/_rels/chart49.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Worksheet47.xlsx"/><Relationship Id="rId1" Type="http://schemas.openxmlformats.org/officeDocument/2006/relationships/themeOverride" Target="../theme/themeOverride46.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oleObject" Target="NULL" TargetMode="External"/><Relationship Id="rId1" Type="http://schemas.openxmlformats.org/officeDocument/2006/relationships/themeOverride" Target="../theme/themeOverride47.xml"/></Relationships>
</file>

<file path=word/charts/_rels/chart51.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52.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3.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1.xml"/></Relationships>
</file>

<file path=word/charts/_rels/chart56.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Worksheet53.xlsx"/><Relationship Id="rId1" Type="http://schemas.openxmlformats.org/officeDocument/2006/relationships/themeOverride" Target="../theme/themeOverride52.xml"/></Relationships>
</file>

<file path=word/charts/_rels/chart57.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Worksheet54.xlsx"/><Relationship Id="rId1" Type="http://schemas.openxmlformats.org/officeDocument/2006/relationships/themeOverride" Target="../theme/themeOverride53.xml"/></Relationships>
</file>

<file path=word/charts/_rels/chart58.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Worksheet55.xlsx"/><Relationship Id="rId1" Type="http://schemas.openxmlformats.org/officeDocument/2006/relationships/themeOverride" Target="../theme/themeOverride54.xml"/></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1.xml"/><Relationship Id="rId1" Type="http://schemas.microsoft.com/office/2011/relationships/chartStyle" Target="style1.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5.xml"/></Relationships>
</file>

<file path=word/charts/_rels/chart62.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0.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D:\Working%20Files\Budget_2022\November\Budget%20External%20Debt.xls"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172.20.215.254\Share\macroeconomic\Armine\2021\09\&#1356;&#1387;&#1405;&#1391;&#1381;&#1408;%20&#1330;&#1397;&#1400;&#1410;&#1403;&#1381;%202022\Risks_for_Budget%202022.xlsx" TargetMode="External"/></Relationships>
</file>

<file path=word/charts/_rels/chart7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56.xml"/></Relationships>
</file>

<file path=word/charts/_rels/chart7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57.xm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84258002232482"/>
          <c:y val="7.1301466104615782E-2"/>
          <c:w val="0.81655410095014735"/>
          <c:h val="0.63586107292144023"/>
        </c:manualLayout>
      </c:layout>
      <c:barChart>
        <c:barDir val="col"/>
        <c:grouping val="clustered"/>
        <c:varyColors val="0"/>
        <c:ser>
          <c:idx val="1"/>
          <c:order val="1"/>
          <c:tx>
            <c:strRef>
              <c:f>Sheet1!$C$1</c:f>
              <c:strCache>
                <c:ptCount val="1"/>
                <c:pt idx="0">
                  <c:v>ՌԴ</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2.5</c:v>
                </c:pt>
                <c:pt idx="1">
                  <c:v>1.3</c:v>
                </c:pt>
                <c:pt idx="2">
                  <c:v>-3</c:v>
                </c:pt>
                <c:pt idx="3">
                  <c:v>4.4000000000000004</c:v>
                </c:pt>
                <c:pt idx="4">
                  <c:v>3.1</c:v>
                </c:pt>
              </c:numCache>
            </c:numRef>
          </c:val>
          <c:extLst>
            <c:ext xmlns:c16="http://schemas.microsoft.com/office/drawing/2014/chart" uri="{C3380CC4-5D6E-409C-BE32-E72D297353CC}">
              <c16:uniqueId val="{00000000-ADCA-4D70-91C0-E59C89E51EAC}"/>
            </c:ext>
          </c:extLst>
        </c:ser>
        <c:ser>
          <c:idx val="2"/>
          <c:order val="2"/>
          <c:tx>
            <c:strRef>
              <c:f>Sheet1!$D$1</c:f>
              <c:strCache>
                <c:ptCount val="1"/>
                <c:pt idx="0">
                  <c:v>Եվրոգոտի</c:v>
                </c:pt>
              </c:strCache>
            </c:strRef>
          </c:tx>
          <c:spPr>
            <a:solidFill>
              <a:schemeClr val="accent3"/>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1.9245307253744466</c:v>
                </c:pt>
                <c:pt idx="1">
                  <c:v>1.2783448122809844</c:v>
                </c:pt>
                <c:pt idx="2">
                  <c:v>-6.5</c:v>
                </c:pt>
                <c:pt idx="3">
                  <c:v>4.5999999999999996</c:v>
                </c:pt>
                <c:pt idx="4">
                  <c:v>4.3</c:v>
                </c:pt>
              </c:numCache>
            </c:numRef>
          </c:val>
          <c:extLst>
            <c:ext xmlns:c16="http://schemas.microsoft.com/office/drawing/2014/chart" uri="{C3380CC4-5D6E-409C-BE32-E72D297353CC}">
              <c16:uniqueId val="{00000001-ADCA-4D70-91C0-E59C89E51EAC}"/>
            </c:ext>
          </c:extLst>
        </c:ser>
        <c:ser>
          <c:idx val="3"/>
          <c:order val="3"/>
          <c:tx>
            <c:strRef>
              <c:f>Sheet1!$E$1</c:f>
              <c:strCache>
                <c:ptCount val="1"/>
                <c:pt idx="0">
                  <c:v>Չինաստան</c:v>
                </c:pt>
              </c:strCache>
            </c:strRef>
          </c:tx>
          <c:spPr>
            <a:solidFill>
              <a:schemeClr val="accent4"/>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Sheet1!$E$2:$E$7</c:f>
              <c:numCache>
                <c:formatCode>#,##0.0;"–"#,##0.0</c:formatCode>
                <c:ptCount val="5"/>
                <c:pt idx="0">
                  <c:v>6.7</c:v>
                </c:pt>
                <c:pt idx="1">
                  <c:v>6.1</c:v>
                </c:pt>
                <c:pt idx="2">
                  <c:v>2.2999999999999998</c:v>
                </c:pt>
                <c:pt idx="3">
                  <c:v>8.1</c:v>
                </c:pt>
                <c:pt idx="4">
                  <c:v>5.7</c:v>
                </c:pt>
              </c:numCache>
            </c:numRef>
          </c:val>
          <c:extLst>
            <c:ext xmlns:c16="http://schemas.microsoft.com/office/drawing/2014/chart" uri="{C3380CC4-5D6E-409C-BE32-E72D297353CC}">
              <c16:uniqueId val="{00000002-ADCA-4D70-91C0-E59C89E51EAC}"/>
            </c:ext>
          </c:extLst>
        </c:ser>
        <c:ser>
          <c:idx val="4"/>
          <c:order val="4"/>
          <c:tx>
            <c:strRef>
              <c:f>Sheet1!$F$1</c:f>
              <c:strCache>
                <c:ptCount val="1"/>
                <c:pt idx="0">
                  <c:v>ԱՄՆ</c:v>
                </c:pt>
              </c:strCache>
            </c:strRef>
          </c:tx>
          <c:spPr>
            <a:solidFill>
              <a:schemeClr val="accent5"/>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Sheet1!$F$2:$F$7</c:f>
              <c:numCache>
                <c:formatCode>#,##0.0;"–"#,##0.0</c:formatCode>
                <c:ptCount val="5"/>
                <c:pt idx="0">
                  <c:v>2.9</c:v>
                </c:pt>
                <c:pt idx="1">
                  <c:v>2.2000000000000002</c:v>
                </c:pt>
                <c:pt idx="2">
                  <c:v>-3.5</c:v>
                </c:pt>
                <c:pt idx="3">
                  <c:v>7</c:v>
                </c:pt>
                <c:pt idx="4">
                  <c:v>4.9000000000000004</c:v>
                </c:pt>
              </c:numCache>
            </c:numRef>
          </c:val>
          <c:extLst>
            <c:ext xmlns:c16="http://schemas.microsoft.com/office/drawing/2014/chart" uri="{C3380CC4-5D6E-409C-BE32-E72D297353CC}">
              <c16:uniqueId val="{00000003-ADCA-4D70-91C0-E59C89E51EAC}"/>
            </c:ext>
          </c:extLst>
        </c:ser>
        <c:dLbls>
          <c:showLegendKey val="0"/>
          <c:showVal val="0"/>
          <c:showCatName val="0"/>
          <c:showSerName val="0"/>
          <c:showPercent val="0"/>
          <c:showBubbleSize val="0"/>
        </c:dLbls>
        <c:gapWidth val="150"/>
        <c:axId val="165114240"/>
        <c:axId val="165115776"/>
      </c:barChart>
      <c:lineChart>
        <c:grouping val="standard"/>
        <c:varyColors val="0"/>
        <c:ser>
          <c:idx val="0"/>
          <c:order val="0"/>
          <c:tx>
            <c:strRef>
              <c:f>Sheet1!$B$1</c:f>
              <c:strCache>
                <c:ptCount val="1"/>
                <c:pt idx="0">
                  <c:v>Աշխարը</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3.5852566282283198</c:v>
                </c:pt>
                <c:pt idx="1">
                  <c:v>2.8161521911176002</c:v>
                </c:pt>
                <c:pt idx="2">
                  <c:v>-3.2</c:v>
                </c:pt>
                <c:pt idx="3">
                  <c:v>6</c:v>
                </c:pt>
                <c:pt idx="4">
                  <c:v>4.9000000000000004</c:v>
                </c:pt>
              </c:numCache>
            </c:numRef>
          </c:val>
          <c:smooth val="0"/>
          <c:extLst>
            <c:ext xmlns:c16="http://schemas.microsoft.com/office/drawing/2014/chart" uri="{C3380CC4-5D6E-409C-BE32-E72D297353CC}">
              <c16:uniqueId val="{00000004-ADCA-4D70-91C0-E59C89E51EAC}"/>
            </c:ext>
          </c:extLst>
        </c:ser>
        <c:dLbls>
          <c:showLegendKey val="0"/>
          <c:showVal val="0"/>
          <c:showCatName val="0"/>
          <c:showSerName val="0"/>
          <c:showPercent val="0"/>
          <c:showBubbleSize val="0"/>
        </c:dLbls>
        <c:marker val="1"/>
        <c:smooth val="0"/>
        <c:axId val="165114240"/>
        <c:axId val="165115776"/>
      </c:lineChart>
      <c:catAx>
        <c:axId val="16511424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15776"/>
        <c:crosses val="autoZero"/>
        <c:auto val="1"/>
        <c:lblAlgn val="ctr"/>
        <c:lblOffset val="100"/>
        <c:noMultiLvlLbl val="0"/>
      </c:catAx>
      <c:valAx>
        <c:axId val="165115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5114240"/>
        <c:crosses val="autoZero"/>
        <c:crossBetween val="between"/>
      </c:valAx>
      <c:spPr>
        <a:noFill/>
        <a:ln>
          <a:noFill/>
        </a:ln>
        <a:effectLst/>
      </c:spPr>
    </c:plotArea>
    <c:legend>
      <c:legendPos val="b"/>
      <c:layout>
        <c:manualLayout>
          <c:xMode val="edge"/>
          <c:yMode val="edge"/>
          <c:x val="9.0876097384378726E-2"/>
          <c:y val="0.83979280367731957"/>
          <c:w val="0.74601823708206683"/>
          <c:h val="0.1602071963226818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090033979737642"/>
          <c:y val="6.6493995043935883E-2"/>
          <c:w val="0.86270095598017105"/>
          <c:h val="0.72872079514650834"/>
        </c:manualLayout>
      </c:layout>
      <c:barChart>
        <c:barDir val="col"/>
        <c:grouping val="stacked"/>
        <c:varyColors val="0"/>
        <c:ser>
          <c:idx val="1"/>
          <c:order val="1"/>
          <c:tx>
            <c:strRef>
              <c:f>Sheet1!$C$1</c:f>
              <c:strCache>
                <c:ptCount val="1"/>
                <c:pt idx="0">
                  <c:v>Զուտ հարկեր</c:v>
                </c:pt>
              </c:strCache>
            </c:strRef>
          </c:tx>
          <c:spPr>
            <a:solidFill>
              <a:schemeClr val="accent2"/>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Sheet1!$C$2:$C$7</c:f>
              <c:numCache>
                <c:formatCode>0.0</c:formatCode>
                <c:ptCount val="6"/>
                <c:pt idx="0">
                  <c:v>0.10513439319595831</c:v>
                </c:pt>
                <c:pt idx="1">
                  <c:v>-1.3395221221487805</c:v>
                </c:pt>
                <c:pt idx="2">
                  <c:v>-1.2439671159377241</c:v>
                </c:pt>
                <c:pt idx="3">
                  <c:v>-1.1492890620555209</c:v>
                </c:pt>
                <c:pt idx="4">
                  <c:v>-0.60528177647684145</c:v>
                </c:pt>
                <c:pt idx="5">
                  <c:v>0.87563074285572129</c:v>
                </c:pt>
              </c:numCache>
            </c:numRef>
          </c:val>
          <c:extLst>
            <c:ext xmlns:c16="http://schemas.microsoft.com/office/drawing/2014/chart" uri="{C3380CC4-5D6E-409C-BE32-E72D297353CC}">
              <c16:uniqueId val="{00000000-B2C3-436F-BFD0-8E5EC3D0C5B6}"/>
            </c:ext>
          </c:extLst>
        </c:ser>
        <c:ser>
          <c:idx val="2"/>
          <c:order val="2"/>
          <c:tx>
            <c:strRef>
              <c:f>Sheet1!$D$1</c:f>
              <c:strCache>
                <c:ptCount val="1"/>
                <c:pt idx="0">
                  <c:v>Արդյունաբերություն</c:v>
                </c:pt>
              </c:strCache>
            </c:strRef>
          </c:tx>
          <c:spPr>
            <a:solidFill>
              <a:schemeClr val="accent3"/>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Sheet1!$D$2:$D$7</c:f>
              <c:numCache>
                <c:formatCode>0.0</c:formatCode>
                <c:ptCount val="6"/>
                <c:pt idx="0">
                  <c:v>0.61375152498404462</c:v>
                </c:pt>
                <c:pt idx="1">
                  <c:v>-0.31986461436202185</c:v>
                </c:pt>
                <c:pt idx="2">
                  <c:v>-0.3814651100430656</c:v>
                </c:pt>
                <c:pt idx="3">
                  <c:v>-0.31349257135824771</c:v>
                </c:pt>
                <c:pt idx="4">
                  <c:v>-0.72229427255206557</c:v>
                </c:pt>
                <c:pt idx="5">
                  <c:v>0.26675195195303247</c:v>
                </c:pt>
              </c:numCache>
            </c:numRef>
          </c:val>
          <c:extLst>
            <c:ext xmlns:c16="http://schemas.microsoft.com/office/drawing/2014/chart" uri="{C3380CC4-5D6E-409C-BE32-E72D297353CC}">
              <c16:uniqueId val="{00000001-B2C3-436F-BFD0-8E5EC3D0C5B6}"/>
            </c:ext>
          </c:extLst>
        </c:ser>
        <c:ser>
          <c:idx val="3"/>
          <c:order val="3"/>
          <c:tx>
            <c:strRef>
              <c:f>Sheet1!$E$1</c:f>
              <c:strCache>
                <c:ptCount val="1"/>
                <c:pt idx="0">
                  <c:v>Գյուղատնտեսություն</c:v>
                </c:pt>
              </c:strCache>
            </c:strRef>
          </c:tx>
          <c:spPr>
            <a:solidFill>
              <a:schemeClr val="accent4"/>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Sheet1!$E$2:$E$7</c:f>
              <c:numCache>
                <c:formatCode>0.0</c:formatCode>
                <c:ptCount val="6"/>
                <c:pt idx="0">
                  <c:v>0.28597042474452383</c:v>
                </c:pt>
                <c:pt idx="1">
                  <c:v>0.13849542858424765</c:v>
                </c:pt>
                <c:pt idx="2">
                  <c:v>-0.19233652712748164</c:v>
                </c:pt>
                <c:pt idx="3">
                  <c:v>-0.47428700859768752</c:v>
                </c:pt>
                <c:pt idx="4">
                  <c:v>6.5569307576807553E-2</c:v>
                </c:pt>
                <c:pt idx="5">
                  <c:v>0.53050328577073314</c:v>
                </c:pt>
              </c:numCache>
            </c:numRef>
          </c:val>
          <c:extLst>
            <c:ext xmlns:c16="http://schemas.microsoft.com/office/drawing/2014/chart" uri="{C3380CC4-5D6E-409C-BE32-E72D297353CC}">
              <c16:uniqueId val="{00000002-B2C3-436F-BFD0-8E5EC3D0C5B6}"/>
            </c:ext>
          </c:extLst>
        </c:ser>
        <c:ser>
          <c:idx val="4"/>
          <c:order val="4"/>
          <c:tx>
            <c:strRef>
              <c:f>Sheet1!$F$1</c:f>
              <c:strCache>
                <c:ptCount val="1"/>
                <c:pt idx="0">
                  <c:v>Շինարարություն</c:v>
                </c:pt>
              </c:strCache>
            </c:strRef>
          </c:tx>
          <c:spPr>
            <a:solidFill>
              <a:schemeClr val="accent5"/>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Sheet1!$F$2:$F$7</c:f>
              <c:numCache>
                <c:formatCode>0.0</c:formatCode>
                <c:ptCount val="6"/>
                <c:pt idx="0">
                  <c:v>-0.52656625296272364</c:v>
                </c:pt>
                <c:pt idx="1">
                  <c:v>-1.4600274442612291</c:v>
                </c:pt>
                <c:pt idx="2">
                  <c:v>-1.104763552087904</c:v>
                </c:pt>
                <c:pt idx="3">
                  <c:v>-0.42846070196442121</c:v>
                </c:pt>
                <c:pt idx="4">
                  <c:v>0.11687356814094271</c:v>
                </c:pt>
                <c:pt idx="5">
                  <c:v>0.22537752359982316</c:v>
                </c:pt>
              </c:numCache>
            </c:numRef>
          </c:val>
          <c:extLst>
            <c:ext xmlns:c16="http://schemas.microsoft.com/office/drawing/2014/chart" uri="{C3380CC4-5D6E-409C-BE32-E72D297353CC}">
              <c16:uniqueId val="{00000003-B2C3-436F-BFD0-8E5EC3D0C5B6}"/>
            </c:ext>
          </c:extLst>
        </c:ser>
        <c:ser>
          <c:idx val="5"/>
          <c:order val="5"/>
          <c:tx>
            <c:strRef>
              <c:f>Sheet1!$G$1</c:f>
              <c:strCache>
                <c:ptCount val="1"/>
                <c:pt idx="0">
                  <c:v>Ծառայություններ</c:v>
                </c:pt>
              </c:strCache>
            </c:strRef>
          </c:tx>
          <c:spPr>
            <a:solidFill>
              <a:schemeClr val="accent6"/>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Sheet1!$G$2:$G$7</c:f>
              <c:numCache>
                <c:formatCode>0.0</c:formatCode>
                <c:ptCount val="6"/>
                <c:pt idx="0">
                  <c:v>3.7162969068174192</c:v>
                </c:pt>
                <c:pt idx="1">
                  <c:v>-2.5346965506532286</c:v>
                </c:pt>
                <c:pt idx="2">
                  <c:v>-3.9423436582872395</c:v>
                </c:pt>
                <c:pt idx="3">
                  <c:v>-5.0598792681469451</c:v>
                </c:pt>
                <c:pt idx="4">
                  <c:v>-2.125060525873403</c:v>
                </c:pt>
                <c:pt idx="5">
                  <c:v>3.0744179925736312</c:v>
                </c:pt>
              </c:numCache>
            </c:numRef>
          </c:val>
          <c:extLst>
            <c:ext xmlns:c16="http://schemas.microsoft.com/office/drawing/2014/chart" uri="{C3380CC4-5D6E-409C-BE32-E72D297353CC}">
              <c16:uniqueId val="{00000004-B2C3-436F-BFD0-8E5EC3D0C5B6}"/>
            </c:ext>
          </c:extLst>
        </c:ser>
        <c:dLbls>
          <c:showLegendKey val="0"/>
          <c:showVal val="0"/>
          <c:showCatName val="0"/>
          <c:showSerName val="0"/>
          <c:showPercent val="0"/>
          <c:showBubbleSize val="0"/>
        </c:dLbls>
        <c:gapWidth val="219"/>
        <c:overlap val="100"/>
        <c:axId val="311699712"/>
        <c:axId val="311726080"/>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5911489466957993E-2"/>
                  <c:y val="-4.54645714583347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2C3-436F-BFD0-8E5EC3D0C5B6}"/>
                </c:ext>
              </c:extLst>
            </c:dLbl>
            <c:dLbl>
              <c:idx val="1"/>
              <c:layout>
                <c:manualLayout>
                  <c:x val="-5.5868409119017227E-2"/>
                  <c:y val="4.08167055045643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2C3-436F-BFD0-8E5EC3D0C5B6}"/>
                </c:ext>
              </c:extLst>
            </c:dLbl>
            <c:dLbl>
              <c:idx val="2"/>
              <c:layout>
                <c:manualLayout>
                  <c:x val="-6.97180195407512E-2"/>
                  <c:y val="3.7420710676911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2C3-436F-BFD0-8E5EC3D0C5B6}"/>
                </c:ext>
              </c:extLst>
            </c:dLbl>
            <c:dLbl>
              <c:idx val="3"/>
              <c:layout>
                <c:manualLayout>
                  <c:x val="-5.6629014305149106E-2"/>
                  <c:y val="3.1668625546051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2C3-436F-BFD0-8E5EC3D0C5B6}"/>
                </c:ext>
              </c:extLst>
            </c:dLbl>
            <c:dLbl>
              <c:idx val="4"/>
              <c:layout>
                <c:manualLayout>
                  <c:x val="-4.2895178024212943E-2"/>
                  <c:y val="3.25722011236947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2C3-436F-BFD0-8E5EC3D0C5B6}"/>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Sheet1!$B$2:$B$7</c:f>
              <c:numCache>
                <c:formatCode>0.0</c:formatCode>
                <c:ptCount val="6"/>
                <c:pt idx="0">
                  <c:v>4.194586996779222</c:v>
                </c:pt>
                <c:pt idx="1">
                  <c:v>-5.5156153028410131</c:v>
                </c:pt>
                <c:pt idx="2">
                  <c:v>-6.8648759634834144</c:v>
                </c:pt>
                <c:pt idx="3">
                  <c:v>-7.4254086121228227</c:v>
                </c:pt>
                <c:pt idx="4">
                  <c:v>-3.2701936991845599</c:v>
                </c:pt>
                <c:pt idx="5">
                  <c:v>4.9726814967529407</c:v>
                </c:pt>
              </c:numCache>
            </c:numRef>
          </c:val>
          <c:smooth val="0"/>
          <c:extLst>
            <c:ext xmlns:c16="http://schemas.microsoft.com/office/drawing/2014/chart" uri="{C3380CC4-5D6E-409C-BE32-E72D297353CC}">
              <c16:uniqueId val="{0000000A-B2C3-436F-BFD0-8E5EC3D0C5B6}"/>
            </c:ext>
          </c:extLst>
        </c:ser>
        <c:dLbls>
          <c:showLegendKey val="0"/>
          <c:showVal val="0"/>
          <c:showCatName val="0"/>
          <c:showSerName val="0"/>
          <c:showPercent val="0"/>
          <c:showBubbleSize val="0"/>
        </c:dLbls>
        <c:marker val="1"/>
        <c:smooth val="0"/>
        <c:axId val="311699712"/>
        <c:axId val="311726080"/>
      </c:lineChart>
      <c:catAx>
        <c:axId val="3116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311726080"/>
        <c:crosses val="autoZero"/>
        <c:auto val="1"/>
        <c:lblAlgn val="ctr"/>
        <c:lblOffset val="100"/>
        <c:noMultiLvlLbl val="0"/>
      </c:catAx>
      <c:valAx>
        <c:axId val="311726080"/>
        <c:scaling>
          <c:orientation val="minMax"/>
          <c:max val="5"/>
          <c:min val="-9"/>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311699712"/>
        <c:crosses val="autoZero"/>
        <c:crossBetween val="between"/>
        <c:majorUnit val="2"/>
        <c:minorUnit val="2"/>
      </c:valAx>
      <c:spPr>
        <a:noFill/>
        <a:ln>
          <a:noFill/>
        </a:ln>
        <a:effectLst/>
      </c:spPr>
    </c:plotArea>
    <c:legend>
      <c:legendPos val="b"/>
      <c:layout>
        <c:manualLayout>
          <c:xMode val="edge"/>
          <c:yMode val="edge"/>
          <c:x val="4.8648018769902046E-2"/>
          <c:y val="0.83925459317585294"/>
          <c:w val="0.95135189902732742"/>
          <c:h val="0.15626745406824169"/>
        </c:manualLayout>
      </c:layout>
      <c:overlay val="0"/>
      <c:spPr>
        <a:noFill/>
        <a:ln>
          <a:noFill/>
        </a:ln>
        <a:effectLst/>
      </c:spPr>
      <c:txPr>
        <a:bodyPr rot="0" vert="horz"/>
        <a:lstStyle/>
        <a:p>
          <a:pPr>
            <a:defRPr sz="5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17611554748301"/>
          <c:y val="7.0365212113800715E-2"/>
          <c:w val="0.87260540551091115"/>
          <c:h val="0.65950464129861253"/>
        </c:manualLayout>
      </c:layout>
      <c:barChart>
        <c:barDir val="col"/>
        <c:grouping val="stacked"/>
        <c:varyColors val="0"/>
        <c:ser>
          <c:idx val="1"/>
          <c:order val="1"/>
          <c:tx>
            <c:strRef>
              <c:f>Sheet1!$C$1</c:f>
              <c:strCache>
                <c:ptCount val="1"/>
                <c:pt idx="0">
                  <c:v>Սպառում</c:v>
                </c:pt>
              </c:strCache>
            </c:strRef>
          </c:tx>
          <c:spPr>
            <a:solidFill>
              <a:schemeClr val="accent2"/>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Sheet1!$C$2:$C$7</c:f>
              <c:numCache>
                <c:formatCode>0.0</c:formatCode>
                <c:ptCount val="6"/>
                <c:pt idx="0">
                  <c:v>1.9182532030876893</c:v>
                </c:pt>
                <c:pt idx="1">
                  <c:v>-6.7118940924474257</c:v>
                </c:pt>
                <c:pt idx="2">
                  <c:v>-6.7161879233366655</c:v>
                </c:pt>
                <c:pt idx="3">
                  <c:v>-9.6621603376249023</c:v>
                </c:pt>
                <c:pt idx="4">
                  <c:v>-1.051751056489413</c:v>
                </c:pt>
                <c:pt idx="5">
                  <c:v>5.4265122328947255</c:v>
                </c:pt>
              </c:numCache>
            </c:numRef>
          </c:val>
          <c:extLst>
            <c:ext xmlns:c16="http://schemas.microsoft.com/office/drawing/2014/chart" uri="{C3380CC4-5D6E-409C-BE32-E72D297353CC}">
              <c16:uniqueId val="{00000000-D626-477A-A2A7-48DC4DFE1501}"/>
            </c:ext>
          </c:extLst>
        </c:ser>
        <c:ser>
          <c:idx val="2"/>
          <c:order val="2"/>
          <c:tx>
            <c:strRef>
              <c:f>Sheet1!$D$1</c:f>
              <c:strCache>
                <c:ptCount val="1"/>
                <c:pt idx="0">
                  <c:v>Հիմնական միջոցների համախառն կուտակում</c:v>
                </c:pt>
              </c:strCache>
            </c:strRef>
          </c:tx>
          <c:spPr>
            <a:solidFill>
              <a:schemeClr val="accent3"/>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Sheet1!$D$2:$D$7</c:f>
              <c:numCache>
                <c:formatCode>0.0</c:formatCode>
                <c:ptCount val="6"/>
                <c:pt idx="0">
                  <c:v>-0.81570423869976305</c:v>
                </c:pt>
                <c:pt idx="1">
                  <c:v>-2.4230908925865666</c:v>
                </c:pt>
                <c:pt idx="2">
                  <c:v>-1.9066487214759491</c:v>
                </c:pt>
                <c:pt idx="3">
                  <c:v>-1.3615586733604275</c:v>
                </c:pt>
                <c:pt idx="4">
                  <c:v>0.44598242734524018</c:v>
                </c:pt>
                <c:pt idx="5">
                  <c:v>1.0494236518593478</c:v>
                </c:pt>
              </c:numCache>
            </c:numRef>
          </c:val>
          <c:extLst>
            <c:ext xmlns:c16="http://schemas.microsoft.com/office/drawing/2014/chart" uri="{C3380CC4-5D6E-409C-BE32-E72D297353CC}">
              <c16:uniqueId val="{00000001-D626-477A-A2A7-48DC4DFE1501}"/>
            </c:ext>
          </c:extLst>
        </c:ser>
        <c:ser>
          <c:idx val="3"/>
          <c:order val="3"/>
          <c:tx>
            <c:strRef>
              <c:f>Sheet1!$E$1</c:f>
              <c:strCache>
                <c:ptCount val="1"/>
                <c:pt idx="0">
                  <c:v>Զուտ արտահանում</c:v>
                </c:pt>
              </c:strCache>
            </c:strRef>
          </c:tx>
          <c:spPr>
            <a:solidFill>
              <a:schemeClr val="accent4"/>
            </a:solidFill>
            <a:ln>
              <a:noFill/>
            </a:ln>
            <a:effectLst/>
          </c:spPr>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Sheet1!$E$2:$E$7</c:f>
              <c:numCache>
                <c:formatCode>0.0</c:formatCode>
                <c:ptCount val="6"/>
                <c:pt idx="0">
                  <c:v>2.8090001745157323</c:v>
                </c:pt>
                <c:pt idx="1">
                  <c:v>3.3276338947452171</c:v>
                </c:pt>
                <c:pt idx="2">
                  <c:v>0.80039226873209657</c:v>
                </c:pt>
                <c:pt idx="3">
                  <c:v>3.3962372635644904</c:v>
                </c:pt>
                <c:pt idx="4">
                  <c:v>1.6177271859574347</c:v>
                </c:pt>
                <c:pt idx="5">
                  <c:v>-0.59779108469248765</c:v>
                </c:pt>
              </c:numCache>
            </c:numRef>
          </c:val>
          <c:extLst>
            <c:ext xmlns:c16="http://schemas.microsoft.com/office/drawing/2014/chart" uri="{C3380CC4-5D6E-409C-BE32-E72D297353CC}">
              <c16:uniqueId val="{00000002-D626-477A-A2A7-48DC4DFE1501}"/>
            </c:ext>
          </c:extLst>
        </c:ser>
        <c:ser>
          <c:idx val="4"/>
          <c:order val="4"/>
          <c:tx>
            <c:strRef>
              <c:f>Sheet1!$F$1</c:f>
              <c:strCache>
                <c:ptCount val="1"/>
                <c:pt idx="0">
                  <c:v>Վիճակագրական շեղում</c:v>
                </c:pt>
              </c:strCache>
            </c:strRef>
          </c:tx>
          <c:invertIfNegative val="0"/>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Sheet1!$F$2:$F$7</c:f>
              <c:numCache>
                <c:formatCode>0.0</c:formatCode>
                <c:ptCount val="6"/>
                <c:pt idx="0">
                  <c:v>0.29013153336526232</c:v>
                </c:pt>
                <c:pt idx="1">
                  <c:v>0.29142146594259</c:v>
                </c:pt>
                <c:pt idx="2">
                  <c:v>0.95263828189768351</c:v>
                </c:pt>
                <c:pt idx="3">
                  <c:v>0.19595521993567822</c:v>
                </c:pt>
                <c:pt idx="4">
                  <c:v>-4.3385714600390557</c:v>
                </c:pt>
                <c:pt idx="5">
                  <c:v>-0.89575929427393852</c:v>
                </c:pt>
              </c:numCache>
            </c:numRef>
          </c:val>
          <c:extLst>
            <c:ext xmlns:c16="http://schemas.microsoft.com/office/drawing/2014/chart" uri="{C3380CC4-5D6E-409C-BE32-E72D297353CC}">
              <c16:uniqueId val="{00000003-D626-477A-A2A7-48DC4DFE1501}"/>
            </c:ext>
          </c:extLst>
        </c:ser>
        <c:dLbls>
          <c:showLegendKey val="0"/>
          <c:showVal val="0"/>
          <c:showCatName val="0"/>
          <c:showSerName val="0"/>
          <c:showPercent val="0"/>
          <c:showBubbleSize val="0"/>
        </c:dLbls>
        <c:gapWidth val="150"/>
        <c:overlap val="100"/>
        <c:axId val="315232640"/>
        <c:axId val="315234176"/>
      </c:barChart>
      <c:lineChart>
        <c:grouping val="standard"/>
        <c:varyColors val="0"/>
        <c:ser>
          <c:idx val="0"/>
          <c:order val="0"/>
          <c:tx>
            <c:strRef>
              <c:f>Sheet1!$B$1</c:f>
              <c:strCache>
                <c:ptCount val="1"/>
                <c:pt idx="0">
                  <c:v>ՀՆԱ</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5.9585960115114231E-2"/>
                  <c:y val="-7.10409890352490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26-477A-A2A7-48DC4DFE1501}"/>
                </c:ext>
              </c:extLst>
            </c:dLbl>
            <c:dLbl>
              <c:idx val="1"/>
              <c:layout>
                <c:manualLayout>
                  <c:x val="-2.8601977027207442E-2"/>
                  <c:y val="-2.3772208229569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626-477A-A2A7-48DC4DFE1501}"/>
                </c:ext>
              </c:extLst>
            </c:dLbl>
            <c:dLbl>
              <c:idx val="2"/>
              <c:layout>
                <c:manualLayout>
                  <c:x val="-1.0981451868644954E-2"/>
                  <c:y val="-2.68921302869928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26-477A-A2A7-48DC4DFE1501}"/>
                </c:ext>
              </c:extLst>
            </c:dLbl>
            <c:dLbl>
              <c:idx val="3"/>
              <c:layout>
                <c:manualLayout>
                  <c:x val="-4.8242684317432332E-4"/>
                  <c:y val="1.33724656290267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26-477A-A2A7-48DC4DFE1501}"/>
                </c:ext>
              </c:extLst>
            </c:dLbl>
            <c:dLbl>
              <c:idx val="4"/>
              <c:layout>
                <c:manualLayout>
                  <c:x val="-3.4247582805362851E-2"/>
                  <c:y val="1.5315945731114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26-477A-A2A7-48DC4DFE1501}"/>
                </c:ext>
              </c:extLst>
            </c:dLbl>
            <c:dLbl>
              <c:idx val="5"/>
              <c:layout>
                <c:manualLayout>
                  <c:x val="0"/>
                  <c:y val="-4.485981308411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26-477A-A2A7-48DC4DFE1501}"/>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 եռ. -2020</c:v>
                </c:pt>
                <c:pt idx="1">
                  <c:v>I-II եռ. -2020</c:v>
                </c:pt>
                <c:pt idx="2">
                  <c:v>I-III եռ. -2020</c:v>
                </c:pt>
                <c:pt idx="3">
                  <c:v>I-IV եռ. -2020</c:v>
                </c:pt>
                <c:pt idx="4">
                  <c:v>I եռ. -2021</c:v>
                </c:pt>
                <c:pt idx="5">
                  <c:v>I-II եռ. -2021</c:v>
                </c:pt>
              </c:strCache>
            </c:strRef>
          </c:cat>
          <c:val>
            <c:numRef>
              <c:f>Sheet1!$B$2:$B$7</c:f>
              <c:numCache>
                <c:formatCode>0.0</c:formatCode>
                <c:ptCount val="6"/>
                <c:pt idx="0">
                  <c:v>4.2016806722689211</c:v>
                </c:pt>
                <c:pt idx="1">
                  <c:v>-5.5159296243461853</c:v>
                </c:pt>
                <c:pt idx="2">
                  <c:v>-6.8698060941828345</c:v>
                </c:pt>
                <c:pt idx="3">
                  <c:v>-7.4315265274851612</c:v>
                </c:pt>
                <c:pt idx="4">
                  <c:v>-3.3266129032257936</c:v>
                </c:pt>
                <c:pt idx="5">
                  <c:v>4.9823855057876472</c:v>
                </c:pt>
              </c:numCache>
            </c:numRef>
          </c:val>
          <c:smooth val="0"/>
          <c:extLst>
            <c:ext xmlns:c16="http://schemas.microsoft.com/office/drawing/2014/chart" uri="{C3380CC4-5D6E-409C-BE32-E72D297353CC}">
              <c16:uniqueId val="{0000000A-D626-477A-A2A7-48DC4DFE1501}"/>
            </c:ext>
          </c:extLst>
        </c:ser>
        <c:dLbls>
          <c:showLegendKey val="0"/>
          <c:showVal val="0"/>
          <c:showCatName val="0"/>
          <c:showSerName val="0"/>
          <c:showPercent val="0"/>
          <c:showBubbleSize val="0"/>
        </c:dLbls>
        <c:marker val="1"/>
        <c:smooth val="0"/>
        <c:axId val="315232640"/>
        <c:axId val="315234176"/>
      </c:lineChart>
      <c:catAx>
        <c:axId val="315232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sz="600"/>
            </a:pPr>
            <a:endParaRPr lang="en-US"/>
          </a:p>
        </c:txPr>
        <c:crossAx val="315234176"/>
        <c:crosses val="autoZero"/>
        <c:auto val="1"/>
        <c:lblAlgn val="ctr"/>
        <c:lblOffset val="100"/>
        <c:noMultiLvlLbl val="0"/>
      </c:catAx>
      <c:valAx>
        <c:axId val="315234176"/>
        <c:scaling>
          <c:orientation val="minMax"/>
          <c:max val="7"/>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sz="700"/>
            </a:pPr>
            <a:endParaRPr lang="en-US"/>
          </a:p>
        </c:txPr>
        <c:crossAx val="315232640"/>
        <c:crosses val="autoZero"/>
        <c:crossBetween val="between"/>
        <c:majorUnit val="3"/>
      </c:valAx>
      <c:spPr>
        <a:noFill/>
        <a:ln w="25400">
          <a:noFill/>
        </a:ln>
        <a:effectLst/>
      </c:spPr>
    </c:plotArea>
    <c:legend>
      <c:legendPos val="b"/>
      <c:layout>
        <c:manualLayout>
          <c:xMode val="edge"/>
          <c:yMode val="edge"/>
          <c:x val="0"/>
          <c:y val="0.76134644084071024"/>
          <c:w val="0.97208671538165703"/>
          <c:h val="0.23865355915928974"/>
        </c:manualLayout>
      </c:layout>
      <c:overlay val="0"/>
      <c:spPr>
        <a:noFill/>
        <a:ln>
          <a:noFill/>
        </a:ln>
        <a:effectLst/>
      </c:spPr>
      <c:txPr>
        <a:bodyPr rot="0" vert="horz"/>
        <a:lstStyle/>
        <a:p>
          <a:pPr>
            <a:defRPr sz="600"/>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a:solidFill>
        <a:srgbClr val="E7E6E6"/>
      </a:solidFill>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7687837896831341E-2"/>
          <c:w val="0.87658476118247253"/>
          <c:h val="0.6148588444244294"/>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Sheet1!$B$3:$I$3</c:f>
              <c:numCache>
                <c:formatCode>0.0</c:formatCode>
                <c:ptCount val="8"/>
                <c:pt idx="0">
                  <c:v>-10.799999999999997</c:v>
                </c:pt>
                <c:pt idx="1">
                  <c:v>-7.9000000000000057</c:v>
                </c:pt>
                <c:pt idx="2">
                  <c:v>-3.9000000000000057</c:v>
                </c:pt>
                <c:pt idx="3">
                  <c:v>0.90000000000000568</c:v>
                </c:pt>
                <c:pt idx="4">
                  <c:v>2.2999999999999972</c:v>
                </c:pt>
                <c:pt idx="5">
                  <c:v>2.0999999999999943</c:v>
                </c:pt>
                <c:pt idx="6">
                  <c:v>2.0999999999999943</c:v>
                </c:pt>
                <c:pt idx="7">
                  <c:v>1</c:v>
                </c:pt>
              </c:numCache>
            </c:numRef>
          </c:val>
          <c:extLst>
            <c:ext xmlns:c16="http://schemas.microsoft.com/office/drawing/2014/chart" uri="{C3380CC4-5D6E-409C-BE32-E72D297353CC}">
              <c16:uniqueId val="{00000000-96D4-447B-8F23-4C66FE62F86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-1</c:v>
                </c:pt>
                <c:pt idx="3">
                  <c:v>0</c:v>
                </c:pt>
                <c:pt idx="4">
                  <c:v>0</c:v>
                </c:pt>
                <c:pt idx="5">
                  <c:v>6.7999999999999972</c:v>
                </c:pt>
                <c:pt idx="6">
                  <c:v>0</c:v>
                </c:pt>
                <c:pt idx="7">
                  <c:v>0</c:v>
                </c:pt>
              </c:numCache>
            </c:numRef>
          </c:val>
          <c:extLst>
            <c:ext xmlns:c16="http://schemas.microsoft.com/office/drawing/2014/chart" uri="{C3380CC4-5D6E-409C-BE32-E72D297353CC}">
              <c16:uniqueId val="{00000001-96D4-447B-8F23-4C66FE62F867}"/>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Sheet1!$B$5:$I$5</c:f>
              <c:numCache>
                <c:formatCode>0.0</c:formatCode>
                <c:ptCount val="8"/>
                <c:pt idx="0">
                  <c:v>0.79999999999999716</c:v>
                </c:pt>
                <c:pt idx="1">
                  <c:v>1</c:v>
                </c:pt>
                <c:pt idx="2">
                  <c:v>4.7000000000000028</c:v>
                </c:pt>
                <c:pt idx="3">
                  <c:v>20.299999999999997</c:v>
                </c:pt>
                <c:pt idx="4">
                  <c:v>14.299999999999997</c:v>
                </c:pt>
                <c:pt idx="5">
                  <c:v>10.799999999999997</c:v>
                </c:pt>
                <c:pt idx="6">
                  <c:v>8.7999999999999972</c:v>
                </c:pt>
                <c:pt idx="7">
                  <c:v>7.2999999999999972</c:v>
                </c:pt>
              </c:numCache>
            </c:numRef>
          </c:val>
          <c:extLst>
            <c:ext xmlns:c16="http://schemas.microsoft.com/office/drawing/2014/chart" uri="{C3380CC4-5D6E-409C-BE32-E72D297353CC}">
              <c16:uniqueId val="{00000002-96D4-447B-8F23-4C66FE62F867}"/>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Sheet1!$B$6:$I$6</c:f>
              <c:numCache>
                <c:formatCode>0.0</c:formatCode>
                <c:ptCount val="8"/>
                <c:pt idx="0">
                  <c:v>-12.5</c:v>
                </c:pt>
                <c:pt idx="1">
                  <c:v>-12.398255551476083</c:v>
                </c:pt>
                <c:pt idx="2">
                  <c:v>-8.0310705725455023</c:v>
                </c:pt>
                <c:pt idx="3">
                  <c:v>-2.7655481804455206</c:v>
                </c:pt>
                <c:pt idx="4">
                  <c:v>0.97422366662934223</c:v>
                </c:pt>
                <c:pt idx="5">
                  <c:v>2.8485068635894635</c:v>
                </c:pt>
                <c:pt idx="6">
                  <c:v>4.5153118805703087</c:v>
                </c:pt>
                <c:pt idx="7">
                  <c:v>5.2999999999999972</c:v>
                </c:pt>
              </c:numCache>
            </c:numRef>
          </c:val>
          <c:extLst>
            <c:ext xmlns:c16="http://schemas.microsoft.com/office/drawing/2014/chart" uri="{C3380CC4-5D6E-409C-BE32-E72D297353CC}">
              <c16:uniqueId val="{00000003-96D4-447B-8F23-4C66FE62F867}"/>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Sheet1!$B$7:$I$7</c:f>
              <c:numCache>
                <c:formatCode>0.0</c:formatCode>
                <c:ptCount val="8"/>
                <c:pt idx="0">
                  <c:v>-14.200000000000003</c:v>
                </c:pt>
                <c:pt idx="1">
                  <c:v>-10.846408716233185</c:v>
                </c:pt>
                <c:pt idx="2">
                  <c:v>-5.5999999999999943</c:v>
                </c:pt>
                <c:pt idx="3">
                  <c:v>4.7999999999999972</c:v>
                </c:pt>
                <c:pt idx="4">
                  <c:v>7.4000000000000057</c:v>
                </c:pt>
                <c:pt idx="5">
                  <c:v>8</c:v>
                </c:pt>
                <c:pt idx="6">
                  <c:v>7.5</c:v>
                </c:pt>
                <c:pt idx="7">
                  <c:v>7.0999999999999943</c:v>
                </c:pt>
              </c:numCache>
            </c:numRef>
          </c:val>
          <c:extLst>
            <c:ext xmlns:c16="http://schemas.microsoft.com/office/drawing/2014/chart" uri="{C3380CC4-5D6E-409C-BE32-E72D297353CC}">
              <c16:uniqueId val="{00000004-96D4-447B-8F23-4C66FE62F867}"/>
            </c:ext>
          </c:extLst>
        </c:ser>
        <c:dLbls>
          <c:showLegendKey val="0"/>
          <c:showVal val="0"/>
          <c:showCatName val="0"/>
          <c:showSerName val="0"/>
          <c:showPercent val="0"/>
          <c:showBubbleSize val="0"/>
        </c:dLbls>
        <c:gapWidth val="150"/>
        <c:axId val="315274368"/>
        <c:axId val="315275904"/>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4340432891392097E-2"/>
                  <c:y val="-3.95676682467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6D4-447B-8F23-4C66FE62F867}"/>
                </c:ext>
              </c:extLst>
            </c:dLbl>
            <c:dLbl>
              <c:idx val="1"/>
              <c:layout>
                <c:manualLayout>
                  <c:x val="-7.8465072719619125E-2"/>
                  <c:y val="-3.956766824672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6D4-447B-8F23-4C66FE62F867}"/>
                </c:ext>
              </c:extLst>
            </c:dLbl>
            <c:dLbl>
              <c:idx val="2"/>
              <c:layout>
                <c:manualLayout>
                  <c:x val="-7.428136961537081E-2"/>
                  <c:y val="5.83411350802677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6D4-447B-8F23-4C66FE62F867}"/>
                </c:ext>
              </c:extLst>
            </c:dLbl>
            <c:dLbl>
              <c:idx val="3"/>
              <c:layout>
                <c:manualLayout>
                  <c:x val="-6.1868292157636798E-2"/>
                  <c:y val="-4.0601440777349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6D4-447B-8F23-4C66FE62F867}"/>
                </c:ext>
              </c:extLst>
            </c:dLbl>
            <c:dLbl>
              <c:idx val="4"/>
              <c:layout>
                <c:manualLayout>
                  <c:x val="-6.5992931985864117E-2"/>
                  <c:y val="-4.060144077734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D4-447B-8F23-4C66FE62F867}"/>
                </c:ext>
              </c:extLst>
            </c:dLbl>
            <c:dLbl>
              <c:idx val="5"/>
              <c:layout>
                <c:manualLayout>
                  <c:x val="-5.8019063406547867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96D4-447B-8F23-4C66FE62F867}"/>
                </c:ext>
              </c:extLst>
            </c:dLbl>
            <c:dLbl>
              <c:idx val="6"/>
              <c:layout>
                <c:manualLayout>
                  <c:x val="-5.3874844591794445E-2"/>
                  <c:y val="-4.66880653632915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6D4-447B-8F23-4C66FE62F867}"/>
                </c:ext>
              </c:extLst>
            </c:dLbl>
            <c:dLbl>
              <c:idx val="7"/>
              <c:layout>
                <c:manualLayout>
                  <c:x val="-4.9730625777041182E-2"/>
                  <c:y val="-4.0852057192880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6D4-447B-8F23-4C66FE62F867}"/>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 մայիս</c:v>
                </c:pt>
                <c:pt idx="5">
                  <c:v>հունվար - հունիս</c:v>
                </c:pt>
                <c:pt idx="6">
                  <c:v>հունվար - հուլիս</c:v>
                </c:pt>
                <c:pt idx="7">
                  <c:v>հունվար - օգոստոս</c:v>
                </c:pt>
              </c:strCache>
            </c:strRef>
          </c:cat>
          <c:val>
            <c:numRef>
              <c:f>Sheet1!$B$2:$I$2</c:f>
              <c:numCache>
                <c:formatCode>0.0</c:formatCode>
                <c:ptCount val="8"/>
                <c:pt idx="0">
                  <c:v>-8.4097295421886855</c:v>
                </c:pt>
                <c:pt idx="1">
                  <c:v>-7.2873162388730464</c:v>
                </c:pt>
                <c:pt idx="2">
                  <c:v>-3.4614825571698304</c:v>
                </c:pt>
                <c:pt idx="3">
                  <c:v>2.6757228183570447</c:v>
                </c:pt>
                <c:pt idx="4">
                  <c:v>4.4078401781489021</c:v>
                </c:pt>
                <c:pt idx="5">
                  <c:v>5.126609590810375</c:v>
                </c:pt>
                <c:pt idx="6">
                  <c:v>5.3110243717503067</c:v>
                </c:pt>
                <c:pt idx="7">
                  <c:v>4.9000000000000057</c:v>
                </c:pt>
              </c:numCache>
            </c:numRef>
          </c:val>
          <c:smooth val="0"/>
          <c:extLst>
            <c:ext xmlns:c16="http://schemas.microsoft.com/office/drawing/2014/chart" uri="{C3380CC4-5D6E-409C-BE32-E72D297353CC}">
              <c16:uniqueId val="{0000000D-96D4-447B-8F23-4C66FE62F867}"/>
            </c:ext>
          </c:extLst>
        </c:ser>
        <c:dLbls>
          <c:showLegendKey val="0"/>
          <c:showVal val="0"/>
          <c:showCatName val="0"/>
          <c:showSerName val="0"/>
          <c:showPercent val="0"/>
          <c:showBubbleSize val="0"/>
        </c:dLbls>
        <c:marker val="1"/>
        <c:smooth val="0"/>
        <c:axId val="315340672"/>
        <c:axId val="315339136"/>
      </c:lineChart>
      <c:catAx>
        <c:axId val="3152743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275904"/>
        <c:crosses val="autoZero"/>
        <c:auto val="1"/>
        <c:lblAlgn val="ctr"/>
        <c:lblOffset val="100"/>
        <c:noMultiLvlLbl val="0"/>
      </c:catAx>
      <c:valAx>
        <c:axId val="315275904"/>
        <c:scaling>
          <c:orientation val="minMax"/>
          <c:max val="3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274368"/>
        <c:crosses val="autoZero"/>
        <c:crossBetween val="between"/>
      </c:valAx>
      <c:valAx>
        <c:axId val="315339136"/>
        <c:scaling>
          <c:orientation val="minMax"/>
        </c:scaling>
        <c:delete val="0"/>
        <c:axPos val="r"/>
        <c:numFmt formatCode="0.0" sourceLinked="1"/>
        <c:majorTickMark val="out"/>
        <c:minorTickMark val="none"/>
        <c:tickLblPos val="nextTo"/>
        <c:crossAx val="315340672"/>
        <c:crosses val="max"/>
        <c:crossBetween val="between"/>
      </c:valAx>
      <c:catAx>
        <c:axId val="315340672"/>
        <c:scaling>
          <c:orientation val="minMax"/>
        </c:scaling>
        <c:delete val="1"/>
        <c:axPos val="b"/>
        <c:numFmt formatCode="General" sourceLinked="1"/>
        <c:majorTickMark val="out"/>
        <c:minorTickMark val="none"/>
        <c:tickLblPos val="none"/>
        <c:crossAx val="315339136"/>
        <c:crosses val="autoZero"/>
        <c:auto val="1"/>
        <c:lblAlgn val="ctr"/>
        <c:lblOffset val="100"/>
        <c:noMultiLvlLbl val="0"/>
      </c:catAx>
      <c:spPr>
        <a:no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-10.799999999999997</c:v>
                </c:pt>
                <c:pt idx="1">
                  <c:v>-5.0999999999999943</c:v>
                </c:pt>
                <c:pt idx="2">
                  <c:v>3.7999999999999972</c:v>
                </c:pt>
                <c:pt idx="3">
                  <c:v>16.900000000000006</c:v>
                </c:pt>
                <c:pt idx="4">
                  <c:v>7.9000000000000057</c:v>
                </c:pt>
                <c:pt idx="5">
                  <c:v>1.2999999999999972</c:v>
                </c:pt>
                <c:pt idx="6">
                  <c:v>1.7000000000000028</c:v>
                </c:pt>
                <c:pt idx="7">
                  <c:v>-5.2000000000000028</c:v>
                </c:pt>
              </c:numCache>
            </c:numRef>
          </c:val>
          <c:extLst>
            <c:ext xmlns:c16="http://schemas.microsoft.com/office/drawing/2014/chart" uri="{C3380CC4-5D6E-409C-BE32-E72D297353CC}">
              <c16:uniqueId val="{00000000-05EE-4B1C-9E72-1699FD1F9F2C}"/>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0.79999999999999716</c:v>
                </c:pt>
                <c:pt idx="1">
                  <c:v>1.0999999999999943</c:v>
                </c:pt>
                <c:pt idx="2">
                  <c:v>10.799999999999997</c:v>
                </c:pt>
                <c:pt idx="3">
                  <c:v>87.699999999999989</c:v>
                </c:pt>
                <c:pt idx="4">
                  <c:v>0.5</c:v>
                </c:pt>
                <c:pt idx="5">
                  <c:v>1.2999999999999972</c:v>
                </c:pt>
                <c:pt idx="6">
                  <c:v>2.2000000000000028</c:v>
                </c:pt>
                <c:pt idx="7">
                  <c:v>2.2999999999999972</c:v>
                </c:pt>
              </c:numCache>
            </c:numRef>
          </c:val>
          <c:extLst>
            <c:ext xmlns:c16="http://schemas.microsoft.com/office/drawing/2014/chart" uri="{C3380CC4-5D6E-409C-BE32-E72D297353CC}">
              <c16:uniqueId val="{00000001-05EE-4B1C-9E72-1699FD1F9F2C}"/>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-12.5</c:v>
                </c:pt>
                <c:pt idx="1">
                  <c:v>-12.299999999999997</c:v>
                </c:pt>
                <c:pt idx="2">
                  <c:v>1</c:v>
                </c:pt>
                <c:pt idx="3">
                  <c:v>15.5</c:v>
                </c:pt>
                <c:pt idx="4">
                  <c:v>17.5</c:v>
                </c:pt>
                <c:pt idx="5">
                  <c:v>12.200000000000003</c:v>
                </c:pt>
                <c:pt idx="6">
                  <c:v>14.400000000000006</c:v>
                </c:pt>
                <c:pt idx="7">
                  <c:v>10.799999999999997</c:v>
                </c:pt>
              </c:numCache>
            </c:numRef>
          </c:val>
          <c:extLst>
            <c:ext xmlns:c16="http://schemas.microsoft.com/office/drawing/2014/chart" uri="{C3380CC4-5D6E-409C-BE32-E72D297353CC}">
              <c16:uniqueId val="{00000002-05EE-4B1C-9E72-1699FD1F9F2C}"/>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-14.200000000000003</c:v>
                </c:pt>
                <c:pt idx="1">
                  <c:v>-7.7999999999999972</c:v>
                </c:pt>
                <c:pt idx="2">
                  <c:v>4.5999999999999943</c:v>
                </c:pt>
                <c:pt idx="3">
                  <c:v>47.800000000000011</c:v>
                </c:pt>
                <c:pt idx="4">
                  <c:v>17.599999999999994</c:v>
                </c:pt>
                <c:pt idx="5">
                  <c:v>10.299999999999997</c:v>
                </c:pt>
                <c:pt idx="6">
                  <c:v>5.2000000000000028</c:v>
                </c:pt>
                <c:pt idx="7">
                  <c:v>5</c:v>
                </c:pt>
              </c:numCache>
            </c:numRef>
          </c:val>
          <c:extLst>
            <c:ext xmlns:c16="http://schemas.microsoft.com/office/drawing/2014/chart" uri="{C3380CC4-5D6E-409C-BE32-E72D297353CC}">
              <c16:uniqueId val="{00000003-05EE-4B1C-9E72-1699FD1F9F2C}"/>
            </c:ext>
          </c:extLst>
        </c:ser>
        <c:dLbls>
          <c:showLegendKey val="0"/>
          <c:showVal val="0"/>
          <c:showCatName val="0"/>
          <c:showSerName val="0"/>
          <c:showPercent val="0"/>
          <c:showBubbleSize val="0"/>
        </c:dLbls>
        <c:gapWidth val="219"/>
        <c:overlap val="-27"/>
        <c:axId val="315420672"/>
        <c:axId val="315422208"/>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solidFill>
                <a:srgbClr val="4472C4">
                  <a:lumMod val="75000"/>
                </a:srgbClr>
              </a:solidFill>
              <a:ln>
                <a:solidFill>
                  <a:srgbClr val="4472C4">
                    <a:lumMod val="75000"/>
                  </a:srgbClr>
                </a:solidFill>
              </a:ln>
            </c:spPr>
          </c:marker>
          <c:dLbls>
            <c:dLbl>
              <c:idx val="0"/>
              <c:layout>
                <c:manualLayout>
                  <c:x val="-7.0390729460704182E-2"/>
                  <c:y val="-5.20832688475174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5EE-4B1C-9E72-1699FD1F9F2C}"/>
                </c:ext>
              </c:extLst>
            </c:dLbl>
            <c:dLbl>
              <c:idx val="1"/>
              <c:layout>
                <c:manualLayout>
                  <c:x val="-7.4515261064065141E-2"/>
                  <c:y val="-4.60355353158911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5EE-4B1C-9E72-1699FD1F9F2C}"/>
                </c:ext>
              </c:extLst>
            </c:dLbl>
            <c:dLbl>
              <c:idx val="2"/>
              <c:layout>
                <c:manualLayout>
                  <c:x val="-7.8571452153386484E-2"/>
                  <c:y val="-3.8845297533022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5EE-4B1C-9E72-1699FD1F9F2C}"/>
                </c:ext>
              </c:extLst>
            </c:dLbl>
            <c:dLbl>
              <c:idx val="3"/>
              <c:layout>
                <c:manualLayout>
                  <c:x val="-6.6061176315224748E-2"/>
                  <c:y val="-4.28647907193684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5EE-4B1C-9E72-1699FD1F9F2C}"/>
                </c:ext>
              </c:extLst>
            </c:dLbl>
            <c:dLbl>
              <c:idx val="4"/>
              <c:layout>
                <c:manualLayout>
                  <c:x val="-3.2449858861981873E-2"/>
                  <c:y val="-3.9688531784416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5EE-4B1C-9E72-1699FD1F9F2C}"/>
                </c:ext>
              </c:extLst>
            </c:dLbl>
            <c:dLbl>
              <c:idx val="5"/>
              <c:layout>
                <c:manualLayout>
                  <c:x val="-5.0314465408805187E-2"/>
                  <c:y val="-3.5016049022468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5EE-4B1C-9E72-1699FD1F9F2C}"/>
                </c:ext>
              </c:extLst>
            </c:dLbl>
            <c:dLbl>
              <c:idx val="6"/>
              <c:layout>
                <c:manualLayout>
                  <c:x val="-5.0314465408805034E-2"/>
                  <c:y val="-4.0852057192880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5EE-4B1C-9E72-1699FD1F9F2C}"/>
                </c:ext>
              </c:extLst>
            </c:dLbl>
            <c:dLbl>
              <c:idx val="7"/>
              <c:layout>
                <c:manualLayout>
                  <c:x val="-4.6121593291404611E-2"/>
                  <c:y val="-5.83600817041144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5EE-4B1C-9E72-1699FD1F9F2C}"/>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-8.4097295421886855</c:v>
                </c:pt>
                <c:pt idx="1">
                  <c:v>-6.2633073826779793</c:v>
                </c:pt>
                <c:pt idx="2">
                  <c:v>3.9353930794852943</c:v>
                </c:pt>
                <c:pt idx="3">
                  <c:v>23.356149985997021</c:v>
                </c:pt>
                <c:pt idx="4">
                  <c:v>11.086522476462449</c:v>
                </c:pt>
                <c:pt idx="5">
                  <c:v>8.1606857558619481</c:v>
                </c:pt>
                <c:pt idx="6">
                  <c:v>6.1902771593338173</c:v>
                </c:pt>
                <c:pt idx="7">
                  <c:v>2.2999999999999972</c:v>
                </c:pt>
              </c:numCache>
            </c:numRef>
          </c:val>
          <c:smooth val="0"/>
          <c:extLst>
            <c:ext xmlns:c16="http://schemas.microsoft.com/office/drawing/2014/chart" uri="{C3380CC4-5D6E-409C-BE32-E72D297353CC}">
              <c16:uniqueId val="{0000000C-05EE-4B1C-9E72-1699FD1F9F2C}"/>
            </c:ext>
          </c:extLst>
        </c:ser>
        <c:dLbls>
          <c:showLegendKey val="0"/>
          <c:showVal val="0"/>
          <c:showCatName val="0"/>
          <c:showSerName val="0"/>
          <c:showPercent val="0"/>
          <c:showBubbleSize val="0"/>
        </c:dLbls>
        <c:marker val="1"/>
        <c:smooth val="0"/>
        <c:axId val="315564800"/>
        <c:axId val="315423744"/>
      </c:lineChart>
      <c:catAx>
        <c:axId val="315420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422208"/>
        <c:crosses val="autoZero"/>
        <c:auto val="1"/>
        <c:lblAlgn val="ctr"/>
        <c:lblOffset val="100"/>
        <c:noMultiLvlLbl val="0"/>
      </c:catAx>
      <c:valAx>
        <c:axId val="315422208"/>
        <c:scaling>
          <c:orientation val="minMax"/>
          <c:max val="95"/>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420672"/>
        <c:crosses val="autoZero"/>
        <c:crossBetween val="between"/>
      </c:valAx>
      <c:valAx>
        <c:axId val="315423744"/>
        <c:scaling>
          <c:orientation val="minMax"/>
        </c:scaling>
        <c:delete val="0"/>
        <c:axPos val="r"/>
        <c:numFmt formatCode="0.0" sourceLinked="1"/>
        <c:majorTickMark val="out"/>
        <c:minorTickMark val="none"/>
        <c:tickLblPos val="nextTo"/>
        <c:crossAx val="315564800"/>
        <c:crosses val="max"/>
        <c:crossBetween val="between"/>
      </c:valAx>
      <c:catAx>
        <c:axId val="315564800"/>
        <c:scaling>
          <c:orientation val="minMax"/>
        </c:scaling>
        <c:delete val="1"/>
        <c:axPos val="b"/>
        <c:numFmt formatCode="General" sourceLinked="1"/>
        <c:majorTickMark val="out"/>
        <c:minorTickMark val="none"/>
        <c:tickLblPos val="none"/>
        <c:crossAx val="315423744"/>
        <c:crosses val="autoZero"/>
        <c:auto val="1"/>
        <c:lblAlgn val="ctr"/>
        <c:lblOffset val="100"/>
        <c:noMultiLvlLbl val="0"/>
      </c:catAx>
      <c:spPr>
        <a:noFill/>
        <a:ln>
          <a:noFill/>
        </a:ln>
        <a:effectLst/>
      </c:spPr>
    </c:plotArea>
    <c:legend>
      <c:legendPos val="b"/>
      <c:layout>
        <c:manualLayout>
          <c:xMode val="edge"/>
          <c:yMode val="edge"/>
          <c:x val="3.9212598425196851E-2"/>
          <c:y val="0.79446551510904051"/>
          <c:w val="0.92687606666201161"/>
          <c:h val="0.205534484890959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377"/>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Sheet1!$B$3:$I$3</c:f>
              <c:numCache>
                <c:formatCode>0.0</c:formatCode>
                <c:ptCount val="8"/>
                <c:pt idx="0">
                  <c:v>-2.3716259878127546</c:v>
                </c:pt>
                <c:pt idx="1">
                  <c:v>-1.7348004910852575</c:v>
                </c:pt>
                <c:pt idx="2">
                  <c:v>-0.85642049559905187</c:v>
                </c:pt>
                <c:pt idx="3">
                  <c:v>0.19763549898439753</c:v>
                </c:pt>
                <c:pt idx="4">
                  <c:v>0.50506849740456761</c:v>
                </c:pt>
                <c:pt idx="5">
                  <c:v>0.46114949763025675</c:v>
                </c:pt>
                <c:pt idx="6">
                  <c:v>0.46114949763025675</c:v>
                </c:pt>
                <c:pt idx="7">
                  <c:v>0.21959499887155143</c:v>
                </c:pt>
              </c:numCache>
            </c:numRef>
          </c:val>
          <c:extLst>
            <c:ext xmlns:c16="http://schemas.microsoft.com/office/drawing/2014/chart" uri="{C3380CC4-5D6E-409C-BE32-E72D297353CC}">
              <c16:uniqueId val="{00000000-A0D3-4BE9-9681-4C420B9A66A4}"/>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Sheet1!$B$4:$I$4</c:f>
              <c:numCache>
                <c:formatCode>0.0</c:formatCode>
                <c:ptCount val="8"/>
                <c:pt idx="0">
                  <c:v>0</c:v>
                </c:pt>
                <c:pt idx="1">
                  <c:v>0</c:v>
                </c:pt>
                <c:pt idx="2">
                  <c:v>-0.12265209040788619</c:v>
                </c:pt>
                <c:pt idx="3">
                  <c:v>0</c:v>
                </c:pt>
                <c:pt idx="4">
                  <c:v>0</c:v>
                </c:pt>
                <c:pt idx="5">
                  <c:v>0.83403421477362572</c:v>
                </c:pt>
                <c:pt idx="6">
                  <c:v>0</c:v>
                </c:pt>
                <c:pt idx="7">
                  <c:v>0</c:v>
                </c:pt>
              </c:numCache>
            </c:numRef>
          </c:val>
          <c:extLst>
            <c:ext xmlns:c16="http://schemas.microsoft.com/office/drawing/2014/chart" uri="{C3380CC4-5D6E-409C-BE32-E72D297353CC}">
              <c16:uniqueId val="{00000001-A0D3-4BE9-9681-4C420B9A66A4}"/>
            </c:ext>
          </c:extLst>
        </c:ser>
        <c:ser>
          <c:idx val="3"/>
          <c:order val="3"/>
          <c:tx>
            <c:strRef>
              <c:f>Sheet1!$A$5</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Sheet1!$B$5:$I$5</c:f>
              <c:numCache>
                <c:formatCode>0.0</c:formatCode>
                <c:ptCount val="8"/>
                <c:pt idx="0">
                  <c:v>6.1067394701060013E-2</c:v>
                </c:pt>
                <c:pt idx="1">
                  <c:v>7.6334243376325286E-2</c:v>
                </c:pt>
                <c:pt idx="2">
                  <c:v>0.35877094386872904</c:v>
                </c:pt>
                <c:pt idx="3">
                  <c:v>1.549585140539403</c:v>
                </c:pt>
                <c:pt idx="4">
                  <c:v>1.0915796802814515</c:v>
                </c:pt>
                <c:pt idx="5">
                  <c:v>0.82440982846431288</c:v>
                </c:pt>
                <c:pt idx="6">
                  <c:v>0.67174134171166233</c:v>
                </c:pt>
                <c:pt idx="7">
                  <c:v>0.5572399766471744</c:v>
                </c:pt>
              </c:numCache>
            </c:numRef>
          </c:val>
          <c:extLst>
            <c:ext xmlns:c16="http://schemas.microsoft.com/office/drawing/2014/chart" uri="{C3380CC4-5D6E-409C-BE32-E72D297353CC}">
              <c16:uniqueId val="{00000002-A0D3-4BE9-9681-4C420B9A66A4}"/>
            </c:ext>
          </c:extLst>
        </c:ser>
        <c:ser>
          <c:idx val="4"/>
          <c:order val="4"/>
          <c:tx>
            <c:strRef>
              <c:f>Sheet1!$A$6</c:f>
              <c:strCache>
                <c:ptCount val="1"/>
                <c:pt idx="0">
                  <c:v>ծառայություններ</c:v>
                </c:pt>
              </c:strCache>
            </c:strRef>
          </c:tx>
          <c:spPr>
            <a:solidFill>
              <a:srgbClr val="00B0F0"/>
            </a:solidFill>
            <a:ln>
              <a:solidFill>
                <a:srgbClr val="00B0F0"/>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Sheet1!$B$6:$I$6</c:f>
              <c:numCache>
                <c:formatCode>0.0</c:formatCode>
                <c:ptCount val="8"/>
                <c:pt idx="0">
                  <c:v>-5.7947100311780932</c:v>
                </c:pt>
                <c:pt idx="1">
                  <c:v>-5.7475436650598359</c:v>
                </c:pt>
                <c:pt idx="2">
                  <c:v>-3.7230180166262894</c:v>
                </c:pt>
                <c:pt idx="3">
                  <c:v>-1.2820439826347185</c:v>
                </c:pt>
                <c:pt idx="4">
                  <c:v>0.45162749229025217</c:v>
                </c:pt>
                <c:pt idx="5">
                  <c:v>1.3205017037057212</c:v>
                </c:pt>
                <c:pt idx="6">
                  <c:v>2.0931938438590714</c:v>
                </c:pt>
                <c:pt idx="7">
                  <c:v>2.4569570532195102</c:v>
                </c:pt>
              </c:numCache>
            </c:numRef>
          </c:val>
          <c:extLst>
            <c:ext xmlns:c16="http://schemas.microsoft.com/office/drawing/2014/chart" uri="{C3380CC4-5D6E-409C-BE32-E72D297353CC}">
              <c16:uniqueId val="{00000003-A0D3-4BE9-9681-4C420B9A66A4}"/>
            </c:ext>
          </c:extLst>
        </c:ser>
        <c:ser>
          <c:idx val="5"/>
          <c:order val="5"/>
          <c:tx>
            <c:strRef>
              <c:f>Sheet1!$A$7</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Sheet1!$B$7:$I$7</c:f>
              <c:numCache>
                <c:formatCode>0.0</c:formatCode>
                <c:ptCount val="8"/>
                <c:pt idx="0">
                  <c:v>-1.6733544808698553</c:v>
                </c:pt>
                <c:pt idx="1">
                  <c:v>-1.2781610300461024</c:v>
                </c:pt>
                <c:pt idx="2">
                  <c:v>-0.65991444315994219</c:v>
                </c:pt>
                <c:pt idx="3">
                  <c:v>0.56564095127995062</c:v>
                </c:pt>
                <c:pt idx="4">
                  <c:v>0.87202979988992513</c:v>
                </c:pt>
                <c:pt idx="5">
                  <c:v>0.94273491879991833</c:v>
                </c:pt>
                <c:pt idx="6">
                  <c:v>0.88381398637492348</c:v>
                </c:pt>
                <c:pt idx="7">
                  <c:v>0.83667724043492686</c:v>
                </c:pt>
              </c:numCache>
            </c:numRef>
          </c:val>
          <c:extLst>
            <c:ext xmlns:c16="http://schemas.microsoft.com/office/drawing/2014/chart" uri="{C3380CC4-5D6E-409C-BE32-E72D297353CC}">
              <c16:uniqueId val="{00000004-A0D3-4BE9-9681-4C420B9A66A4}"/>
            </c:ext>
          </c:extLst>
        </c:ser>
        <c:ser>
          <c:idx val="6"/>
          <c:order val="6"/>
          <c:tx>
            <c:strRef>
              <c:f>Sheet1!$A$8</c:f>
              <c:strCache>
                <c:ptCount val="1"/>
                <c:pt idx="0">
                  <c:v>այլ </c:v>
                </c:pt>
              </c:strCache>
            </c:strRef>
          </c:tx>
          <c:spPr>
            <a:solidFill>
              <a:srgbClr val="5B9BD5">
                <a:lumMod val="40000"/>
                <a:lumOff val="60000"/>
              </a:srgbClr>
            </a:solidFill>
          </c:spPr>
          <c:invertIfNegative val="0"/>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Sheet1!$B$8:$I$8</c:f>
              <c:numCache>
                <c:formatCode>0.0</c:formatCode>
                <c:ptCount val="8"/>
                <c:pt idx="0">
                  <c:v>1.3688935629709587</c:v>
                </c:pt>
                <c:pt idx="1">
                  <c:v>1.3968547039418233</c:v>
                </c:pt>
                <c:pt idx="2">
                  <c:v>1.54175154475461</c:v>
                </c:pt>
                <c:pt idx="3">
                  <c:v>1.6449052101880119</c:v>
                </c:pt>
                <c:pt idx="4">
                  <c:v>1.4875347082827055</c:v>
                </c:pt>
                <c:pt idx="5">
                  <c:v>0.74377942743653946</c:v>
                </c:pt>
                <c:pt idx="6">
                  <c:v>1.2011257021743926</c:v>
                </c:pt>
                <c:pt idx="7">
                  <c:v>0.8295307308268427</c:v>
                </c:pt>
              </c:numCache>
            </c:numRef>
          </c:val>
          <c:extLst>
            <c:ext xmlns:c16="http://schemas.microsoft.com/office/drawing/2014/chart" uri="{C3380CC4-5D6E-409C-BE32-E72D297353CC}">
              <c16:uniqueId val="{00000005-A0D3-4BE9-9681-4C420B9A66A4}"/>
            </c:ext>
          </c:extLst>
        </c:ser>
        <c:dLbls>
          <c:showLegendKey val="0"/>
          <c:showVal val="0"/>
          <c:showCatName val="0"/>
          <c:showSerName val="0"/>
          <c:showPercent val="0"/>
          <c:showBubbleSize val="0"/>
        </c:dLbls>
        <c:gapWidth val="150"/>
        <c:overlap val="100"/>
        <c:axId val="315673984"/>
        <c:axId val="315675776"/>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4.5370159499293398E-2"/>
                  <c:y val="-4.550030324550444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0D3-4BE9-9681-4C420B9A66A4}"/>
                </c:ext>
              </c:extLst>
            </c:dLbl>
            <c:dLbl>
              <c:idx val="1"/>
              <c:layout>
                <c:manualLayout>
                  <c:x val="-6.5948879466989699E-2"/>
                  <c:y val="-5.208358171818384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0D3-4BE9-9681-4C420B9A66A4}"/>
                </c:ext>
              </c:extLst>
            </c:dLbl>
            <c:dLbl>
              <c:idx val="2"/>
              <c:layout>
                <c:manualLayout>
                  <c:x val="-5.7435897435897512E-2"/>
                  <c:y val="-5.03688191049851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0D3-4BE9-9681-4C420B9A66A4}"/>
                </c:ext>
              </c:extLst>
            </c:dLbl>
            <c:dLbl>
              <c:idx val="3"/>
              <c:layout>
                <c:manualLayout>
                  <c:x val="-5.7699818291944274E-2"/>
                  <c:y val="-4.2529056078641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0D3-4BE9-9681-4C420B9A66A4}"/>
                </c:ext>
              </c:extLst>
            </c:dLbl>
            <c:dLbl>
              <c:idx val="4"/>
              <c:layout>
                <c:manualLayout>
                  <c:x val="-5.7457863920856195E-2"/>
                  <c:y val="-4.322485574456421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A0D3-4BE9-9681-4C420B9A66A4}"/>
                </c:ext>
              </c:extLst>
            </c:dLbl>
            <c:dLbl>
              <c:idx val="5"/>
              <c:layout>
                <c:manualLayout>
                  <c:x val="-6.153846153846154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0D3-4BE9-9681-4C420B9A66A4}"/>
                </c:ext>
              </c:extLst>
            </c:dLbl>
            <c:dLbl>
              <c:idx val="6"/>
              <c:layout>
                <c:manualLayout>
                  <c:x val="-4.9230769230769231E-2"/>
                  <c:y val="-4.760487950014876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A0D3-4BE9-9681-4C420B9A66A4}"/>
                </c:ext>
              </c:extLst>
            </c:dLbl>
            <c:dLbl>
              <c:idx val="7"/>
              <c:layout>
                <c:manualLayout>
                  <c:x val="-3.282051282051282E-2"/>
                  <c:y val="-4.165426956263017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A0D3-4BE9-9681-4C420B9A66A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հունվար - փետրվար</c:v>
                </c:pt>
                <c:pt idx="2">
                  <c:v>հունվար - մարտ</c:v>
                </c:pt>
                <c:pt idx="3">
                  <c:v>հունվար - ապրիլ</c:v>
                </c:pt>
                <c:pt idx="4">
                  <c:v>հունվար -մայիս</c:v>
                </c:pt>
                <c:pt idx="5">
                  <c:v>հունվար - հունիս</c:v>
                </c:pt>
                <c:pt idx="6">
                  <c:v>հունվար - հուլիս</c:v>
                </c:pt>
                <c:pt idx="7">
                  <c:v>հունվար - օգոստոս</c:v>
                </c:pt>
              </c:strCache>
            </c:strRef>
          </c:cat>
          <c:val>
            <c:numRef>
              <c:f>Sheet1!$B$2:$I$2</c:f>
              <c:numCache>
                <c:formatCode>0.0</c:formatCode>
                <c:ptCount val="8"/>
                <c:pt idx="0">
                  <c:v>-8.4097295421886855</c:v>
                </c:pt>
                <c:pt idx="1">
                  <c:v>-7.2873162388730464</c:v>
                </c:pt>
                <c:pt idx="2">
                  <c:v>-3.4614825571698304</c:v>
                </c:pt>
                <c:pt idx="3">
                  <c:v>2.6757228183570447</c:v>
                </c:pt>
                <c:pt idx="4">
                  <c:v>4.4078401781489021</c:v>
                </c:pt>
                <c:pt idx="5">
                  <c:v>5.126609590810375</c:v>
                </c:pt>
                <c:pt idx="6">
                  <c:v>5.3110243717503067</c:v>
                </c:pt>
                <c:pt idx="7">
                  <c:v>4.9000000000000057</c:v>
                </c:pt>
              </c:numCache>
            </c:numRef>
          </c:val>
          <c:smooth val="0"/>
          <c:extLst>
            <c:ext xmlns:c16="http://schemas.microsoft.com/office/drawing/2014/chart" uri="{C3380CC4-5D6E-409C-BE32-E72D297353CC}">
              <c16:uniqueId val="{0000000E-A0D3-4BE9-9681-4C420B9A66A4}"/>
            </c:ext>
          </c:extLst>
        </c:ser>
        <c:dLbls>
          <c:showLegendKey val="0"/>
          <c:showVal val="0"/>
          <c:showCatName val="0"/>
          <c:showSerName val="0"/>
          <c:showPercent val="0"/>
          <c:showBubbleSize val="0"/>
        </c:dLbls>
        <c:marker val="1"/>
        <c:smooth val="0"/>
        <c:axId val="315673984"/>
        <c:axId val="315675776"/>
      </c:lineChart>
      <c:catAx>
        <c:axId val="315673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675776"/>
        <c:crosses val="autoZero"/>
        <c:auto val="1"/>
        <c:lblAlgn val="ctr"/>
        <c:lblOffset val="100"/>
        <c:noMultiLvlLbl val="0"/>
      </c:catAx>
      <c:valAx>
        <c:axId val="315675776"/>
        <c:scaling>
          <c:orientation val="minMax"/>
          <c:max val="6"/>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5673984"/>
        <c:crosses val="autoZero"/>
        <c:crossBetween val="between"/>
      </c:valAx>
      <c:spPr>
        <a:noFill/>
        <a:ln>
          <a:noFill/>
        </a:ln>
        <a:effectLst/>
      </c:spPr>
    </c:plotArea>
    <c:legend>
      <c:legendPos val="b"/>
      <c:layout>
        <c:manualLayout>
          <c:xMode val="edge"/>
          <c:yMode val="edge"/>
          <c:x val="3.9212662156607202E-2"/>
          <c:y val="0.77063982271677356"/>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56153951611461161"/>
        </c:manualLayout>
      </c:layout>
      <c:barChart>
        <c:barDir val="col"/>
        <c:grouping val="stacked"/>
        <c:varyColors val="0"/>
        <c:ser>
          <c:idx val="1"/>
          <c:order val="1"/>
          <c:tx>
            <c:strRef>
              <c:f>Sheet1!$A$3</c:f>
              <c:strCache>
                <c:ptCount val="1"/>
                <c:pt idx="0">
                  <c:v>արդյունաբերություն</c:v>
                </c:pt>
              </c:strCache>
            </c:strRef>
          </c:tx>
          <c:spPr>
            <a:solidFill>
              <a:srgbClr val="C00000"/>
            </a:solidFill>
            <a:ln>
              <a:solidFill>
                <a:srgbClr val="C0000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-2.3716259878127546</c:v>
                </c:pt>
                <c:pt idx="1">
                  <c:v>-1.119934494244911</c:v>
                </c:pt>
                <c:pt idx="2">
                  <c:v>0.8344609957118948</c:v>
                </c:pt>
                <c:pt idx="3">
                  <c:v>3.7111554809292202</c:v>
                </c:pt>
                <c:pt idx="4">
                  <c:v>1.7348004910852575</c:v>
                </c:pt>
                <c:pt idx="5">
                  <c:v>0.28547349853301623</c:v>
                </c:pt>
                <c:pt idx="6">
                  <c:v>0.37331149808163805</c:v>
                </c:pt>
                <c:pt idx="7">
                  <c:v>-1.141893994132068</c:v>
                </c:pt>
              </c:numCache>
            </c:numRef>
          </c:val>
          <c:extLst>
            <c:ext xmlns:c16="http://schemas.microsoft.com/office/drawing/2014/chart" uri="{C3380CC4-5D6E-409C-BE32-E72D297353CC}">
              <c16:uniqueId val="{00000000-2DEA-47DA-B22C-2F0015DBC3E2}"/>
            </c:ext>
          </c:extLst>
        </c:ser>
        <c:ser>
          <c:idx val="2"/>
          <c:order val="2"/>
          <c:tx>
            <c:strRef>
              <c:f>Sheet1!$A$4</c:f>
              <c:strCache>
                <c:ptCount val="1"/>
                <c:pt idx="0">
                  <c:v>շինարարություն</c:v>
                </c:pt>
              </c:strCache>
            </c:strRef>
          </c:tx>
          <c:spPr>
            <a:solidFill>
              <a:srgbClr val="9C5BCD"/>
            </a:solidFill>
            <a:ln>
              <a:solidFill>
                <a:srgbClr val="9C5BCD"/>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Sheet1!$B$4:$I$4</c:f>
              <c:numCache>
                <c:formatCode>0.0</c:formatCode>
                <c:ptCount val="8"/>
                <c:pt idx="0">
                  <c:v>6.1067394701060013E-2</c:v>
                </c:pt>
                <c:pt idx="1">
                  <c:v>8.3967667713957375E-2</c:v>
                </c:pt>
                <c:pt idx="2">
                  <c:v>0.82440982846431288</c:v>
                </c:pt>
                <c:pt idx="3">
                  <c:v>6.6945131441037269</c:v>
                </c:pt>
                <c:pt idx="4">
                  <c:v>3.8167121688162643E-2</c:v>
                </c:pt>
                <c:pt idx="5">
                  <c:v>9.9234516389222649E-2</c:v>
                </c:pt>
                <c:pt idx="6">
                  <c:v>0.16793533542791586</c:v>
                </c:pt>
                <c:pt idx="7">
                  <c:v>0.17556875976554795</c:v>
                </c:pt>
              </c:numCache>
            </c:numRef>
          </c:val>
          <c:extLst>
            <c:ext xmlns:c16="http://schemas.microsoft.com/office/drawing/2014/chart" uri="{C3380CC4-5D6E-409C-BE32-E72D297353CC}">
              <c16:uniqueId val="{00000001-2DEA-47DA-B22C-2F0015DBC3E2}"/>
            </c:ext>
          </c:extLst>
        </c:ser>
        <c:ser>
          <c:idx val="3"/>
          <c:order val="3"/>
          <c:tx>
            <c:strRef>
              <c:f>Sheet1!$A$5</c:f>
              <c:strCache>
                <c:ptCount val="1"/>
                <c:pt idx="0">
                  <c:v>ծառայություններ</c:v>
                </c:pt>
              </c:strCache>
            </c:strRef>
          </c:tx>
          <c:spPr>
            <a:solidFill>
              <a:srgbClr val="00B0F0"/>
            </a:solidFill>
            <a:ln>
              <a:solidFill>
                <a:srgbClr val="00B0F0"/>
              </a:solidFill>
            </a:ln>
            <a:effectLst/>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Sheet1!$B$5:$I$5</c:f>
              <c:numCache>
                <c:formatCode>0.0</c:formatCode>
                <c:ptCount val="8"/>
                <c:pt idx="0">
                  <c:v>-5.7947100311780932</c:v>
                </c:pt>
                <c:pt idx="1">
                  <c:v>-5.7019946706792428</c:v>
                </c:pt>
                <c:pt idx="2">
                  <c:v>0.46357680249424749</c:v>
                </c:pt>
                <c:pt idx="3">
                  <c:v>7.1854404386608364</c:v>
                </c:pt>
                <c:pt idx="4">
                  <c:v>8.1125940436493309</c:v>
                </c:pt>
                <c:pt idx="5">
                  <c:v>5.6556369904298203</c:v>
                </c:pt>
                <c:pt idx="6">
                  <c:v>6.6755059559171661</c:v>
                </c:pt>
                <c:pt idx="7">
                  <c:v>5.0066294669378717</c:v>
                </c:pt>
              </c:numCache>
            </c:numRef>
          </c:val>
          <c:extLst>
            <c:ext xmlns:c16="http://schemas.microsoft.com/office/drawing/2014/chart" uri="{C3380CC4-5D6E-409C-BE32-E72D297353CC}">
              <c16:uniqueId val="{00000002-2DEA-47DA-B22C-2F0015DBC3E2}"/>
            </c:ext>
          </c:extLst>
        </c:ser>
        <c:ser>
          <c:idx val="4"/>
          <c:order val="4"/>
          <c:tx>
            <c:strRef>
              <c:f>Sheet1!$A$6</c:f>
              <c:strCache>
                <c:ptCount val="1"/>
                <c:pt idx="0">
                  <c:v>առևտուր</c:v>
                </c:pt>
              </c:strCache>
            </c:strRef>
          </c:tx>
          <c:spPr>
            <a:solidFill>
              <a:srgbClr val="ED7D31"/>
            </a:solidFill>
            <a:ln>
              <a:solidFill>
                <a:srgbClr val="ED7D31"/>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Sheet1!$B$6:$I$6</c:f>
              <c:numCache>
                <c:formatCode>0.0</c:formatCode>
                <c:ptCount val="8"/>
                <c:pt idx="0">
                  <c:v>-1.6733544808698553</c:v>
                </c:pt>
                <c:pt idx="1">
                  <c:v>-0.91916654582992008</c:v>
                </c:pt>
                <c:pt idx="2">
                  <c:v>0.54207257830995237</c:v>
                </c:pt>
                <c:pt idx="3">
                  <c:v>5.6328411398295133</c:v>
                </c:pt>
                <c:pt idx="4">
                  <c:v>2.0740168213598196</c:v>
                </c:pt>
                <c:pt idx="5">
                  <c:v>1.2137712079548946</c:v>
                </c:pt>
                <c:pt idx="6">
                  <c:v>0.61277769721994724</c:v>
                </c:pt>
                <c:pt idx="7">
                  <c:v>0.58920932424994898</c:v>
                </c:pt>
              </c:numCache>
            </c:numRef>
          </c:val>
          <c:extLst>
            <c:ext xmlns:c16="http://schemas.microsoft.com/office/drawing/2014/chart" uri="{C3380CC4-5D6E-409C-BE32-E72D297353CC}">
              <c16:uniqueId val="{00000003-2DEA-47DA-B22C-2F0015DBC3E2}"/>
            </c:ext>
          </c:extLst>
        </c:ser>
        <c:ser>
          <c:idx val="5"/>
          <c:order val="5"/>
          <c:tx>
            <c:strRef>
              <c:f>Sheet1!$A$7</c:f>
              <c:strCache>
                <c:ptCount val="1"/>
                <c:pt idx="0">
                  <c:v>այլ </c:v>
                </c:pt>
              </c:strCache>
            </c:strRef>
          </c:tx>
          <c:spPr>
            <a:solidFill>
              <a:srgbClr val="5B9BD5">
                <a:lumMod val="40000"/>
                <a:lumOff val="60000"/>
              </a:srgbClr>
            </a:solidFill>
            <a:ln>
              <a:solidFill>
                <a:srgbClr val="5B9BD5">
                  <a:lumMod val="40000"/>
                  <a:lumOff val="60000"/>
                </a:srgbClr>
              </a:solidFill>
            </a:ln>
          </c:spPr>
          <c:invertIfNegative val="0"/>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Sheet1!$B$7:$I$7</c:f>
              <c:numCache>
                <c:formatCode>0.0</c:formatCode>
                <c:ptCount val="8"/>
                <c:pt idx="0">
                  <c:v>1.3688935629709587</c:v>
                </c:pt>
                <c:pt idx="1">
                  <c:v>1.3938206603621381</c:v>
                </c:pt>
                <c:pt idx="2">
                  <c:v>1.2708728745048865</c:v>
                </c:pt>
                <c:pt idx="3">
                  <c:v>0.13219978247372666</c:v>
                </c:pt>
                <c:pt idx="4">
                  <c:v>-0.87305600132012273</c:v>
                </c:pt>
                <c:pt idx="5">
                  <c:v>0.906569542554994</c:v>
                </c:pt>
                <c:pt idx="6">
                  <c:v>-1.6392533273128498</c:v>
                </c:pt>
                <c:pt idx="7">
                  <c:v>-2.3295135568213032</c:v>
                </c:pt>
              </c:numCache>
            </c:numRef>
          </c:val>
          <c:extLst>
            <c:ext xmlns:c16="http://schemas.microsoft.com/office/drawing/2014/chart" uri="{C3380CC4-5D6E-409C-BE32-E72D297353CC}">
              <c16:uniqueId val="{00000004-2DEA-47DA-B22C-2F0015DBC3E2}"/>
            </c:ext>
          </c:extLst>
        </c:ser>
        <c:dLbls>
          <c:showLegendKey val="0"/>
          <c:showVal val="0"/>
          <c:showCatName val="0"/>
          <c:showSerName val="0"/>
          <c:showPercent val="0"/>
          <c:showBubbleSize val="0"/>
        </c:dLbls>
        <c:gapWidth val="219"/>
        <c:overlap val="100"/>
        <c:axId val="319237120"/>
        <c:axId val="319361792"/>
      </c:barChart>
      <c:lineChart>
        <c:grouping val="standard"/>
        <c:varyColors val="0"/>
        <c:ser>
          <c:idx val="0"/>
          <c:order val="0"/>
          <c:tx>
            <c:strRef>
              <c:f>Sheet1!$A$2</c:f>
              <c:strCache>
                <c:ptCount val="1"/>
                <c:pt idx="0">
                  <c:v>ՏԱՑ</c:v>
                </c:pt>
              </c:strCache>
            </c:strRef>
          </c:tx>
          <c:spPr>
            <a:ln>
              <a:solidFill>
                <a:srgbClr val="4472C4">
                  <a:lumMod val="75000"/>
                </a:srgbClr>
              </a:solidFill>
            </a:ln>
            <a:effectLst/>
          </c:spPr>
          <c:marker>
            <c:spPr>
              <a:ln>
                <a:solidFill>
                  <a:srgbClr val="4472C4">
                    <a:lumMod val="75000"/>
                  </a:srgbClr>
                </a:solidFill>
              </a:ln>
            </c:spPr>
          </c:marker>
          <c:dLbls>
            <c:dLbl>
              <c:idx val="0"/>
              <c:layout>
                <c:manualLayout>
                  <c:x val="-6.6237445871316594E-2"/>
                  <c:y val="-4.560037774856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EA-47DA-B22C-2F0015DBC3E2}"/>
                </c:ext>
              </c:extLst>
            </c:dLbl>
            <c:dLbl>
              <c:idx val="1"/>
              <c:layout>
                <c:manualLayout>
                  <c:x val="-6.6155973405532517E-2"/>
                  <c:y val="-4.5600377748567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EA-47DA-B22C-2F0015DBC3E2}"/>
                </c:ext>
              </c:extLst>
            </c:dLbl>
            <c:dLbl>
              <c:idx val="2"/>
              <c:layout>
                <c:manualLayout>
                  <c:x val="-7.8611325003932864E-2"/>
                  <c:y val="-4.5161372656618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EA-47DA-B22C-2F0015DBC3E2}"/>
                </c:ext>
              </c:extLst>
            </c:dLbl>
            <c:dLbl>
              <c:idx val="3"/>
              <c:layout>
                <c:manualLayout>
                  <c:x val="-7.8692797469716913E-2"/>
                  <c:y val="-4.420372899092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EA-47DA-B22C-2F0015DBC3E2}"/>
                </c:ext>
              </c:extLst>
            </c:dLbl>
            <c:dLbl>
              <c:idx val="4"/>
              <c:layout>
                <c:manualLayout>
                  <c:x val="-5.3374731943995959E-2"/>
                  <c:y val="-5.7169693334524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EA-47DA-B22C-2F0015DBC3E2}"/>
                </c:ext>
              </c:extLst>
            </c:dLbl>
            <c:dLbl>
              <c:idx val="5"/>
              <c:layout>
                <c:manualLayout>
                  <c:x val="-2.5236593059937064E-2"/>
                  <c:y val="-3.88978930307941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DEA-47DA-B22C-2F0015DBC3E2}"/>
                </c:ext>
              </c:extLst>
            </c:dLbl>
            <c:dLbl>
              <c:idx val="6"/>
              <c:layout>
                <c:manualLayout>
                  <c:x val="-3.4091955859284047E-2"/>
                  <c:y val="-5.18636514865859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EA-47DA-B22C-2F0015DBC3E2}"/>
                </c:ext>
              </c:extLst>
            </c:dLbl>
            <c:dLbl>
              <c:idx val="7"/>
              <c:layout>
                <c:manualLayout>
                  <c:x val="0"/>
                  <c:y val="-4.4814340588988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EA-47DA-B22C-2F0015DBC3E2}"/>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-8.4097295421886855</c:v>
                </c:pt>
                <c:pt idx="1">
                  <c:v>-6.2633073826779793</c:v>
                </c:pt>
                <c:pt idx="2">
                  <c:v>3.9353930794852943</c:v>
                </c:pt>
                <c:pt idx="3">
                  <c:v>23.356149985997021</c:v>
                </c:pt>
                <c:pt idx="4">
                  <c:v>11.086522476462449</c:v>
                </c:pt>
                <c:pt idx="5">
                  <c:v>8.1606857558619481</c:v>
                </c:pt>
                <c:pt idx="6">
                  <c:v>6.1902771593338173</c:v>
                </c:pt>
                <c:pt idx="7">
                  <c:v>2.2999999999999972</c:v>
                </c:pt>
              </c:numCache>
            </c:numRef>
          </c:val>
          <c:smooth val="0"/>
          <c:extLst>
            <c:ext xmlns:c16="http://schemas.microsoft.com/office/drawing/2014/chart" uri="{C3380CC4-5D6E-409C-BE32-E72D297353CC}">
              <c16:uniqueId val="{0000000D-2DEA-47DA-B22C-2F0015DBC3E2}"/>
            </c:ext>
          </c:extLst>
        </c:ser>
        <c:dLbls>
          <c:showLegendKey val="0"/>
          <c:showVal val="0"/>
          <c:showCatName val="0"/>
          <c:showSerName val="0"/>
          <c:showPercent val="0"/>
          <c:showBubbleSize val="0"/>
        </c:dLbls>
        <c:marker val="1"/>
        <c:smooth val="0"/>
        <c:axId val="319237120"/>
        <c:axId val="319361792"/>
      </c:lineChart>
      <c:catAx>
        <c:axId val="3192371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9361792"/>
        <c:crosses val="autoZero"/>
        <c:auto val="1"/>
        <c:lblAlgn val="ctr"/>
        <c:lblOffset val="100"/>
        <c:noMultiLvlLbl val="0"/>
      </c:catAx>
      <c:valAx>
        <c:axId val="319361792"/>
        <c:scaling>
          <c:orientation val="minMax"/>
          <c:max val="25"/>
          <c:min val="-1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19237120"/>
        <c:crosses val="autoZero"/>
        <c:crossBetween val="between"/>
      </c:valAx>
      <c:spPr>
        <a:noFill/>
        <a:ln>
          <a:noFill/>
        </a:ln>
        <a:effectLst/>
      </c:spPr>
    </c:plotArea>
    <c:legend>
      <c:legendPos val="b"/>
      <c:layout>
        <c:manualLayout>
          <c:xMode val="edge"/>
          <c:yMode val="edge"/>
          <c:x val="3.9212432830754193E-2"/>
          <c:y val="0.77158400988919762"/>
          <c:w val="0.68892760086405125"/>
          <c:h val="0.2284160222609817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83342569824358115"/>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Sheet1!$A$2:$A$575</c:f>
              <c:strCache>
                <c:ptCount val="54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strCache>
            </c:strRef>
          </c:cat>
          <c:val>
            <c:numRef>
              <c:f>Sheet1!$C$2:$C$575</c:f>
              <c:numCache>
                <c:formatCode>General</c:formatCode>
                <c:ptCount val="57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numCache>
            </c:numRef>
          </c:val>
          <c:extLst>
            <c:ext xmlns:c16="http://schemas.microsoft.com/office/drawing/2014/chart" uri="{C3380CC4-5D6E-409C-BE32-E72D297353CC}">
              <c16:uniqueId val="{00000000-84B7-4149-A279-37B7FE028514}"/>
            </c:ext>
          </c:extLst>
        </c:ser>
        <c:dLbls>
          <c:showLegendKey val="0"/>
          <c:showVal val="0"/>
          <c:showCatName val="0"/>
          <c:showSerName val="0"/>
          <c:showPercent val="0"/>
          <c:showBubbleSize val="0"/>
        </c:dLbls>
        <c:gapWidth val="150"/>
        <c:axId val="319403136"/>
        <c:axId val="316849536"/>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Sheet1!$A$2:$A$575</c:f>
              <c:strCache>
                <c:ptCount val="549"/>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strCache>
            </c:strRef>
          </c:cat>
          <c:val>
            <c:numRef>
              <c:f>Sheet1!$B$2:$B$575</c:f>
              <c:numCache>
                <c:formatCode>General</c:formatCode>
                <c:ptCount val="57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numCache>
            </c:numRef>
          </c:val>
          <c:smooth val="0"/>
          <c:extLst>
            <c:ext xmlns:c16="http://schemas.microsoft.com/office/drawing/2014/chart" uri="{C3380CC4-5D6E-409C-BE32-E72D297353CC}">
              <c16:uniqueId val="{00000001-84B7-4149-A279-37B7FE028514}"/>
            </c:ext>
          </c:extLst>
        </c:ser>
        <c:dLbls>
          <c:showLegendKey val="0"/>
          <c:showVal val="0"/>
          <c:showCatName val="0"/>
          <c:showSerName val="0"/>
          <c:showPercent val="0"/>
          <c:showBubbleSize val="0"/>
        </c:dLbls>
        <c:marker val="1"/>
        <c:smooth val="0"/>
        <c:axId val="319414656"/>
        <c:axId val="319404672"/>
      </c:lineChart>
      <c:valAx>
        <c:axId val="316849536"/>
        <c:scaling>
          <c:orientation val="minMax"/>
        </c:scaling>
        <c:delete val="0"/>
        <c:axPos val="r"/>
        <c:numFmt formatCode="General" sourceLinked="1"/>
        <c:majorTickMark val="out"/>
        <c:minorTickMark val="none"/>
        <c:tickLblPos val="nextTo"/>
        <c:txPr>
          <a:bodyPr/>
          <a:lstStyle/>
          <a:p>
            <a:pPr>
              <a:defRPr sz="750" baseline="0">
                <a:latin typeface="GHEA Grapalat" pitchFamily="50" charset="0"/>
              </a:defRPr>
            </a:pPr>
            <a:endParaRPr lang="en-US"/>
          </a:p>
        </c:txPr>
        <c:crossAx val="319403136"/>
        <c:crosses val="max"/>
        <c:crossBetween val="between"/>
        <c:majorUnit val="500"/>
      </c:valAx>
      <c:catAx>
        <c:axId val="319403136"/>
        <c:scaling>
          <c:orientation val="minMax"/>
        </c:scaling>
        <c:delete val="0"/>
        <c:axPos val="b"/>
        <c:numFmt formatCode="General" sourceLinked="1"/>
        <c:majorTickMark val="out"/>
        <c:minorTickMark val="none"/>
        <c:tickLblPos val="nextTo"/>
        <c:txPr>
          <a:bodyPr/>
          <a:lstStyle/>
          <a:p>
            <a:pPr>
              <a:defRPr sz="600" baseline="0">
                <a:latin typeface="GHEA Grapalat" pitchFamily="50" charset="0"/>
              </a:defRPr>
            </a:pPr>
            <a:endParaRPr lang="en-US"/>
          </a:p>
        </c:txPr>
        <c:crossAx val="316849536"/>
        <c:crosses val="autoZero"/>
        <c:auto val="1"/>
        <c:lblAlgn val="ctr"/>
        <c:lblOffset val="100"/>
        <c:noMultiLvlLbl val="0"/>
      </c:catAx>
      <c:valAx>
        <c:axId val="319404672"/>
        <c:scaling>
          <c:orientation val="minMax"/>
        </c:scaling>
        <c:delete val="0"/>
        <c:axPos val="l"/>
        <c:numFmt formatCode="General" sourceLinked="1"/>
        <c:majorTickMark val="out"/>
        <c:minorTickMark val="none"/>
        <c:tickLblPos val="nextTo"/>
        <c:txPr>
          <a:bodyPr/>
          <a:lstStyle/>
          <a:p>
            <a:pPr>
              <a:defRPr sz="750" baseline="0">
                <a:latin typeface="GHEA Grapalat" pitchFamily="50" charset="0"/>
              </a:defRPr>
            </a:pPr>
            <a:endParaRPr lang="en-US"/>
          </a:p>
        </c:txPr>
        <c:crossAx val="319414656"/>
        <c:crosses val="autoZero"/>
        <c:crossBetween val="between"/>
      </c:valAx>
      <c:catAx>
        <c:axId val="319414656"/>
        <c:scaling>
          <c:orientation val="minMax"/>
        </c:scaling>
        <c:delete val="1"/>
        <c:axPos val="t"/>
        <c:numFmt formatCode="General" sourceLinked="1"/>
        <c:majorTickMark val="out"/>
        <c:minorTickMark val="none"/>
        <c:tickLblPos val="nextTo"/>
        <c:crossAx val="319404672"/>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ysClr val="window" lastClr="FFFFFF">
          <a:lumMod val="85000"/>
        </a:sysClr>
      </a:solidFill>
      <a:round/>
    </a:ln>
    <a:effectLst/>
  </c:spPr>
  <c:txPr>
    <a:bodyPr/>
    <a:lstStyle/>
    <a:p>
      <a:pPr>
        <a:defRPr sz="1000"/>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AA06-41FB-8391-EFEF40916118}"/>
              </c:ext>
            </c:extLst>
          </c:dPt>
          <c:dPt>
            <c:idx val="1"/>
            <c:invertIfNegative val="0"/>
            <c:bubble3D val="0"/>
            <c:spPr>
              <a:solidFill>
                <a:srgbClr val="00B050"/>
              </a:solidFill>
              <a:ln>
                <a:noFill/>
              </a:ln>
              <a:effectLst/>
            </c:spPr>
            <c:extLst>
              <c:ext xmlns:c16="http://schemas.microsoft.com/office/drawing/2014/chart" uri="{C3380CC4-5D6E-409C-BE32-E72D297353CC}">
                <c16:uniqueId val="{00000003-AA06-41FB-8391-EFEF40916118}"/>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c:ext xmlns:c16="http://schemas.microsoft.com/office/drawing/2014/chart" uri="{C3380CC4-5D6E-409C-BE32-E72D297353CC}">
              <c16:uniqueId val="{00000004-AA06-41FB-8391-EFEF40916118}"/>
            </c:ext>
          </c:extLst>
        </c:ser>
        <c:dLbls>
          <c:showLegendKey val="0"/>
          <c:showVal val="0"/>
          <c:showCatName val="0"/>
          <c:showSerName val="0"/>
          <c:showPercent val="0"/>
          <c:showBubbleSize val="0"/>
        </c:dLbls>
        <c:gapWidth val="219"/>
        <c:overlap val="-27"/>
        <c:axId val="320158720"/>
        <c:axId val="320176896"/>
      </c:barChart>
      <c:catAx>
        <c:axId val="3201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20176896"/>
        <c:crosses val="autoZero"/>
        <c:auto val="1"/>
        <c:lblAlgn val="ctr"/>
        <c:lblOffset val="100"/>
        <c:noMultiLvlLbl val="0"/>
      </c:catAx>
      <c:valAx>
        <c:axId val="3201768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2015872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12700">
      <a:solidFill>
        <a:sysClr val="window" lastClr="FFFFFF">
          <a:lumMod val="85000"/>
        </a:sysClr>
      </a:solidFill>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Sheet1!$A$3</c:f>
              <c:strCache>
                <c:ptCount val="1"/>
                <c:pt idx="0">
                  <c:v>Անվանական ՀՆԱ, մլրդ դրամ</c:v>
                </c:pt>
              </c:strCache>
            </c:strRef>
          </c:tx>
          <c:spPr>
            <a:solidFill>
              <a:schemeClr val="accent2"/>
            </a:solidFill>
            <a:ln>
              <a:noFill/>
            </a:ln>
            <a:effectLst/>
          </c:spPr>
          <c:invertIfNegative val="0"/>
          <c:cat>
            <c:numRef>
              <c:f>Sheet1!$B$1:$X$1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Sheet1!$B$3:$X$3</c:f>
              <c:numCache>
                <c:formatCode>_(* #,##0_);_(* \(#,##0\);_(* "-"??_);_(@_)</c:formatCode>
                <c:ptCount val="23"/>
                <c:pt idx="0">
                  <c:v>1031.3383000000001</c:v>
                </c:pt>
                <c:pt idx="1">
                  <c:v>1175.8768043886819</c:v>
                </c:pt>
                <c:pt idx="2">
                  <c:v>1362.4717000000001</c:v>
                </c:pt>
                <c:pt idx="3">
                  <c:v>1624.6426999999999</c:v>
                </c:pt>
                <c:pt idx="4">
                  <c:v>1907.9453999999998</c:v>
                </c:pt>
                <c:pt idx="5">
                  <c:v>2242.8809000000001</c:v>
                </c:pt>
                <c:pt idx="6">
                  <c:v>2656.1898000000001</c:v>
                </c:pt>
                <c:pt idx="7">
                  <c:v>3149.2834000000007</c:v>
                </c:pt>
                <c:pt idx="8">
                  <c:v>3568.2276000000006</c:v>
                </c:pt>
                <c:pt idx="9">
                  <c:v>3141.6510000000003</c:v>
                </c:pt>
                <c:pt idx="10">
                  <c:v>3460.2027000000007</c:v>
                </c:pt>
                <c:pt idx="11">
                  <c:v>3777.9456</c:v>
                </c:pt>
                <c:pt idx="12">
                  <c:v>4266.4605000000001</c:v>
                </c:pt>
                <c:pt idx="13">
                  <c:v>4555.6382000000003</c:v>
                </c:pt>
                <c:pt idx="14">
                  <c:v>4828.6262999999999</c:v>
                </c:pt>
                <c:pt idx="15">
                  <c:v>5043.6332000000002</c:v>
                </c:pt>
                <c:pt idx="16">
                  <c:v>5067.2934999999998</c:v>
                </c:pt>
                <c:pt idx="17">
                  <c:v>5564.4933000000001</c:v>
                </c:pt>
                <c:pt idx="18">
                  <c:v>6017.0352000000003</c:v>
                </c:pt>
                <c:pt idx="19">
                  <c:v>6543.3217999999997</c:v>
                </c:pt>
                <c:pt idx="20">
                  <c:v>6181.6640999999981</c:v>
                </c:pt>
                <c:pt idx="21">
                  <c:v>7031.1817616081471</c:v>
                </c:pt>
                <c:pt idx="22">
                  <c:v>7869.4392512270688</c:v>
                </c:pt>
              </c:numCache>
            </c:numRef>
          </c:val>
          <c:extLst>
            <c:ext xmlns:c16="http://schemas.microsoft.com/office/drawing/2014/chart" uri="{C3380CC4-5D6E-409C-BE32-E72D297353CC}">
              <c16:uniqueId val="{00000000-6769-479F-A263-8FCD04FED989}"/>
            </c:ext>
          </c:extLst>
        </c:ser>
        <c:dLbls>
          <c:showLegendKey val="0"/>
          <c:showVal val="0"/>
          <c:showCatName val="0"/>
          <c:showSerName val="0"/>
          <c:showPercent val="0"/>
          <c:showBubbleSize val="0"/>
        </c:dLbls>
        <c:gapWidth val="219"/>
        <c:axId val="320247296"/>
        <c:axId val="320248832"/>
      </c:barChart>
      <c:lineChart>
        <c:grouping val="standard"/>
        <c:varyColors val="0"/>
        <c:ser>
          <c:idx val="0"/>
          <c:order val="0"/>
          <c:tx>
            <c:strRef>
              <c:f>Sheet1!$A$2</c:f>
              <c:strCache>
                <c:ptCount val="1"/>
                <c:pt idx="0">
                  <c:v>Տնտեսական աճ, %</c:v>
                </c:pt>
              </c:strCache>
            </c:strRef>
          </c:tx>
          <c:spPr>
            <a:ln w="28575" cap="rnd">
              <a:solidFill>
                <a:schemeClr val="accent1"/>
              </a:solidFill>
              <a:round/>
            </a:ln>
            <a:effectLst/>
          </c:spPr>
          <c:marker>
            <c:symbol val="none"/>
          </c:marker>
          <c:cat>
            <c:numRef>
              <c:f>Sheet1!$B$1:$X$1</c:f>
              <c:numCache>
                <c:formatCode>General</c:formatCode>
                <c:ptCount val="2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numCache>
            </c:numRef>
          </c:cat>
          <c:val>
            <c:numRef>
              <c:f>Sheet1!$B$2:$X$2</c:f>
              <c:numCache>
                <c:formatCode>0.0</c:formatCode>
                <c:ptCount val="23"/>
                <c:pt idx="0">
                  <c:v>5.8956981547403728</c:v>
                </c:pt>
                <c:pt idx="1">
                  <c:v>9.5566411137839395</c:v>
                </c:pt>
                <c:pt idx="2">
                  <c:v>13.196463821262512</c:v>
                </c:pt>
                <c:pt idx="3">
                  <c:v>14.040798058411056</c:v>
                </c:pt>
                <c:pt idx="4">
                  <c:v>10.46784009801047</c:v>
                </c:pt>
                <c:pt idx="5">
                  <c:v>13.865711251485493</c:v>
                </c:pt>
                <c:pt idx="6">
                  <c:v>13.198003514141135</c:v>
                </c:pt>
                <c:pt idx="7">
                  <c:v>13.749201958384148</c:v>
                </c:pt>
                <c:pt idx="8">
                  <c:v>6.9476535519159768</c:v>
                </c:pt>
                <c:pt idx="9">
                  <c:v>-14.149988638617103</c:v>
                </c:pt>
                <c:pt idx="10">
                  <c:v>2.2151091894039183</c:v>
                </c:pt>
                <c:pt idx="11">
                  <c:v>4.6507622226871206</c:v>
                </c:pt>
                <c:pt idx="12">
                  <c:v>7.1590508979271874</c:v>
                </c:pt>
                <c:pt idx="13">
                  <c:v>3.2999999999999972</c:v>
                </c:pt>
                <c:pt idx="14">
                  <c:v>3.5999999999999943</c:v>
                </c:pt>
                <c:pt idx="15">
                  <c:v>3.2000000000000028</c:v>
                </c:pt>
                <c:pt idx="16">
                  <c:v>0.20000000000000284</c:v>
                </c:pt>
                <c:pt idx="17">
                  <c:v>7.5</c:v>
                </c:pt>
                <c:pt idx="18">
                  <c:v>5.2000000000000028</c:v>
                </c:pt>
                <c:pt idx="19">
                  <c:v>7.5999999999999943</c:v>
                </c:pt>
                <c:pt idx="20">
                  <c:v>-7.4000000000000057</c:v>
                </c:pt>
                <c:pt idx="21">
                  <c:v>6.5</c:v>
                </c:pt>
                <c:pt idx="22">
                  <c:v>7</c:v>
                </c:pt>
              </c:numCache>
            </c:numRef>
          </c:val>
          <c:smooth val="0"/>
          <c:extLst>
            <c:ext xmlns:c16="http://schemas.microsoft.com/office/drawing/2014/chart" uri="{C3380CC4-5D6E-409C-BE32-E72D297353CC}">
              <c16:uniqueId val="{00000001-6769-479F-A263-8FCD04FED989}"/>
            </c:ext>
          </c:extLst>
        </c:ser>
        <c:dLbls>
          <c:showLegendKey val="0"/>
          <c:showVal val="0"/>
          <c:showCatName val="0"/>
          <c:showSerName val="0"/>
          <c:showPercent val="0"/>
          <c:showBubbleSize val="0"/>
        </c:dLbls>
        <c:marker val="1"/>
        <c:smooth val="0"/>
        <c:axId val="320256256"/>
        <c:axId val="320254720"/>
      </c:lineChart>
      <c:catAx>
        <c:axId val="3202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48832"/>
        <c:crosses val="autoZero"/>
        <c:auto val="1"/>
        <c:lblAlgn val="ctr"/>
        <c:lblOffset val="100"/>
        <c:noMultiLvlLbl val="0"/>
      </c:catAx>
      <c:valAx>
        <c:axId val="320248832"/>
        <c:scaling>
          <c:orientation val="minMax"/>
          <c:max val="9500"/>
          <c:min val="5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47296"/>
        <c:crosses val="autoZero"/>
        <c:crossBetween val="between"/>
      </c:valAx>
      <c:valAx>
        <c:axId val="320254720"/>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0256256"/>
        <c:crosses val="max"/>
        <c:crossBetween val="between"/>
      </c:valAx>
      <c:catAx>
        <c:axId val="320256256"/>
        <c:scaling>
          <c:orientation val="minMax"/>
        </c:scaling>
        <c:delete val="1"/>
        <c:axPos val="b"/>
        <c:numFmt formatCode="General" sourceLinked="1"/>
        <c:majorTickMark val="out"/>
        <c:minorTickMark val="none"/>
        <c:tickLblPos val="none"/>
        <c:crossAx val="320254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Տնտեսական աճ/անկում</c:v>
                </c:pt>
              </c:strCache>
            </c:strRef>
          </c:tx>
          <c:spPr>
            <a:solidFill>
              <a:srgbClr val="C00000"/>
            </a:solidFill>
            <a:ln>
              <a:solidFill>
                <a:srgbClr val="C00000"/>
              </a:solidFill>
            </a:ln>
            <a:effectLst/>
          </c:spPr>
          <c:invertIfNegative val="0"/>
          <c:dPt>
            <c:idx val="1"/>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1-FAE6-4E89-8FBC-86D1CB34AB72}"/>
              </c:ext>
            </c:extLst>
          </c:dPt>
          <c:dPt>
            <c:idx val="4"/>
            <c:invertIfNegative val="0"/>
            <c:bubble3D val="0"/>
            <c:spPr>
              <a:solidFill>
                <a:srgbClr val="5B9BD5">
                  <a:lumMod val="75000"/>
                </a:srgbClr>
              </a:solidFill>
              <a:ln>
                <a:solidFill>
                  <a:srgbClr val="5B9BD5">
                    <a:lumMod val="75000"/>
                  </a:srgbClr>
                </a:solidFill>
              </a:ln>
              <a:effectLst/>
            </c:spPr>
            <c:extLst>
              <c:ext xmlns:c16="http://schemas.microsoft.com/office/drawing/2014/chart" uri="{C3380CC4-5D6E-409C-BE32-E72D297353CC}">
                <c16:uniqueId val="{00000003-FAE6-4E89-8FBC-86D1CB34AB72}"/>
              </c:ext>
            </c:extLst>
          </c:dPt>
          <c:dPt>
            <c:idx val="7"/>
            <c:invertIfNegative val="0"/>
            <c:bubble3D val="0"/>
            <c:spPr>
              <a:solidFill>
                <a:srgbClr val="5B9BD5"/>
              </a:solidFill>
              <a:ln>
                <a:solidFill>
                  <a:srgbClr val="5B9BD5"/>
                </a:solidFill>
              </a:ln>
              <a:effectLst/>
            </c:spPr>
            <c:extLst>
              <c:ext xmlns:c16="http://schemas.microsoft.com/office/drawing/2014/chart" uri="{C3380CC4-5D6E-409C-BE32-E72D297353CC}">
                <c16:uniqueId val="{00000005-FAE6-4E89-8FBC-86D1CB34AB72}"/>
              </c:ext>
            </c:extLst>
          </c:dPt>
          <c:dLbls>
            <c:dLbl>
              <c:idx val="0"/>
              <c:layout>
                <c:manualLayout>
                  <c:x val="7.6366559485530547E-2"/>
                  <c:y val="9.6852300242130748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6-FAE6-4E89-8FBC-86D1CB34AB72}"/>
                </c:ext>
              </c:extLst>
            </c:dLbl>
            <c:dLbl>
              <c:idx val="3"/>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7-FAE6-4E89-8FBC-86D1CB34AB72}"/>
                </c:ext>
              </c:extLst>
            </c:dLbl>
            <c:dLbl>
              <c:idx val="6"/>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extLst>
                <c:ext xmlns:c16="http://schemas.microsoft.com/office/drawing/2014/chart" uri="{C3380CC4-5D6E-409C-BE32-E72D297353CC}">
                  <c16:uniqueId val="{00000008-FAE6-4E89-8FBC-86D1CB34AB7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0.0</c:formatCode>
                <c:ptCount val="8"/>
                <c:pt idx="0" formatCode="General">
                  <c:v>-14.1</c:v>
                </c:pt>
                <c:pt idx="1">
                  <c:v>2.2151091894039183</c:v>
                </c:pt>
                <c:pt idx="3" formatCode="General">
                  <c:v>0.2</c:v>
                </c:pt>
                <c:pt idx="4" formatCode="General">
                  <c:v>7.5</c:v>
                </c:pt>
                <c:pt idx="6" formatCode="General">
                  <c:v>-7.4</c:v>
                </c:pt>
                <c:pt idx="7">
                  <c:v>6.5</c:v>
                </c:pt>
              </c:numCache>
            </c:numRef>
          </c:val>
          <c:extLst>
            <c:ext xmlns:c16="http://schemas.microsoft.com/office/drawing/2014/chart" uri="{C3380CC4-5D6E-409C-BE32-E72D297353CC}">
              <c16:uniqueId val="{00000009-FAE6-4E89-8FBC-86D1CB34AB72}"/>
            </c:ext>
          </c:extLst>
        </c:ser>
        <c:dLbls>
          <c:showLegendKey val="0"/>
          <c:showVal val="0"/>
          <c:showCatName val="0"/>
          <c:showSerName val="0"/>
          <c:showPercent val="0"/>
          <c:showBubbleSize val="0"/>
        </c:dLbls>
        <c:gapWidth val="219"/>
        <c:overlap val="-27"/>
        <c:axId val="321058304"/>
        <c:axId val="321059840"/>
      </c:barChart>
      <c:catAx>
        <c:axId val="32105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59840"/>
        <c:crosses val="autoZero"/>
        <c:auto val="1"/>
        <c:lblAlgn val="ctr"/>
        <c:lblOffset val="100"/>
        <c:noMultiLvlLbl val="0"/>
      </c:catAx>
      <c:valAx>
        <c:axId val="321059840"/>
        <c:scaling>
          <c:orientation val="minMax"/>
          <c:max val="8"/>
          <c:min val="-1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105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905234719560402"/>
          <c:y val="7.0512820512820512E-2"/>
          <c:w val="0.71293878587757176"/>
          <c:h val="0.63414496264890208"/>
        </c:manualLayout>
      </c:layout>
      <c:lineChart>
        <c:grouping val="standard"/>
        <c:varyColors val="0"/>
        <c:ser>
          <c:idx val="1"/>
          <c:order val="1"/>
          <c:tx>
            <c:strRef>
              <c:f>Sheet1!$C$1</c:f>
              <c:strCache>
                <c:ptCount val="1"/>
                <c:pt idx="0">
                  <c:v>Պղինձ</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cat>
            <c:numRef>
              <c:f>Sheet1!$A$2:$A$7</c:f>
              <c:numCache>
                <c:formatCode>General</c:formatCode>
                <c:ptCount val="5"/>
                <c:pt idx="0">
                  <c:v>2018</c:v>
                </c:pt>
                <c:pt idx="1">
                  <c:v>2019</c:v>
                </c:pt>
                <c:pt idx="2">
                  <c:v>2020</c:v>
                </c:pt>
                <c:pt idx="3">
                  <c:v>2021</c:v>
                </c:pt>
                <c:pt idx="4">
                  <c:v>2022</c:v>
                </c:pt>
              </c:numCache>
            </c:numRef>
          </c:cat>
          <c:val>
            <c:numRef>
              <c:f>Sheet1!$C$2:$C$7</c:f>
              <c:numCache>
                <c:formatCode>0</c:formatCode>
                <c:ptCount val="5"/>
                <c:pt idx="0">
                  <c:v>6529.798333333335</c:v>
                </c:pt>
                <c:pt idx="1">
                  <c:v>6010.1449999999995</c:v>
                </c:pt>
                <c:pt idx="2">
                  <c:v>6173.770833333333</c:v>
                </c:pt>
                <c:pt idx="3">
                  <c:v>9394.7999999999993</c:v>
                </c:pt>
                <c:pt idx="4">
                  <c:v>9531.4</c:v>
                </c:pt>
              </c:numCache>
            </c:numRef>
          </c:val>
          <c:smooth val="0"/>
          <c:extLst>
            <c:ext xmlns:c16="http://schemas.microsoft.com/office/drawing/2014/chart" uri="{C3380CC4-5D6E-409C-BE32-E72D297353CC}">
              <c16:uniqueId val="{00000000-3B0E-4699-BE37-1F5691048073}"/>
            </c:ext>
          </c:extLst>
        </c:ser>
        <c:dLbls>
          <c:showLegendKey val="0"/>
          <c:showVal val="0"/>
          <c:showCatName val="0"/>
          <c:showSerName val="0"/>
          <c:showPercent val="0"/>
          <c:showBubbleSize val="0"/>
        </c:dLbls>
        <c:marker val="1"/>
        <c:smooth val="0"/>
        <c:axId val="295581184"/>
        <c:axId val="295583104"/>
      </c:lineChart>
      <c:lineChart>
        <c:grouping val="standard"/>
        <c:varyColors val="0"/>
        <c:ser>
          <c:idx val="0"/>
          <c:order val="0"/>
          <c:tx>
            <c:strRef>
              <c:f>Sheet1!$B$1</c:f>
              <c:strCache>
                <c:ptCount val="1"/>
                <c:pt idx="0">
                  <c:v>Նավթ(աջ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Sheet1!$A$2:$A$7</c:f>
              <c:numCache>
                <c:formatCode>General</c:formatCode>
                <c:ptCount val="5"/>
                <c:pt idx="0">
                  <c:v>2018</c:v>
                </c:pt>
                <c:pt idx="1">
                  <c:v>2019</c:v>
                </c:pt>
                <c:pt idx="2">
                  <c:v>2020</c:v>
                </c:pt>
                <c:pt idx="3">
                  <c:v>2021</c:v>
                </c:pt>
                <c:pt idx="4">
                  <c:v>2022</c:v>
                </c:pt>
              </c:numCache>
            </c:numRef>
          </c:cat>
          <c:val>
            <c:numRef>
              <c:f>Sheet1!$B$2:$B$7</c:f>
              <c:numCache>
                <c:formatCode>0</c:formatCode>
                <c:ptCount val="5"/>
                <c:pt idx="0">
                  <c:v>71.071666666666701</c:v>
                </c:pt>
                <c:pt idx="1">
                  <c:v>64.031666666666695</c:v>
                </c:pt>
                <c:pt idx="2">
                  <c:v>42.3</c:v>
                </c:pt>
                <c:pt idx="3">
                  <c:v>68.7</c:v>
                </c:pt>
                <c:pt idx="4">
                  <c:v>66.7</c:v>
                </c:pt>
              </c:numCache>
            </c:numRef>
          </c:val>
          <c:smooth val="0"/>
          <c:extLst>
            <c:ext xmlns:c16="http://schemas.microsoft.com/office/drawing/2014/chart" uri="{C3380CC4-5D6E-409C-BE32-E72D297353CC}">
              <c16:uniqueId val="{00000001-3B0E-4699-BE37-1F5691048073}"/>
            </c:ext>
          </c:extLst>
        </c:ser>
        <c:dLbls>
          <c:showLegendKey val="0"/>
          <c:showVal val="0"/>
          <c:showCatName val="0"/>
          <c:showSerName val="0"/>
          <c:showPercent val="0"/>
          <c:showBubbleSize val="0"/>
        </c:dLbls>
        <c:marker val="1"/>
        <c:smooth val="0"/>
        <c:axId val="295611776"/>
        <c:axId val="295609856"/>
      </c:lineChart>
      <c:catAx>
        <c:axId val="29558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83104"/>
        <c:crosses val="autoZero"/>
        <c:auto val="1"/>
        <c:lblAlgn val="ctr"/>
        <c:lblOffset val="100"/>
        <c:noMultiLvlLbl val="0"/>
      </c:catAx>
      <c:valAx>
        <c:axId val="295583104"/>
        <c:scaling>
          <c:orientation val="minMax"/>
          <c:max val="10000"/>
          <c:min val="5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b="0" i="0" baseline="0">
                    <a:effectLst/>
                  </a:rPr>
                  <a:t>($/mt) </a:t>
                </a:r>
                <a:endParaRPr lang="en-US" sz="900">
                  <a:effectLst/>
                </a:endParaRPr>
              </a:p>
            </c:rich>
          </c:tx>
          <c:layout>
            <c:manualLayout>
              <c:xMode val="edge"/>
              <c:yMode val="edge"/>
              <c:x val="1.9550342130987301E-3"/>
              <c:y val="0.28080027732382656"/>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581184"/>
        <c:crosses val="autoZero"/>
        <c:crossBetween val="between"/>
      </c:valAx>
      <c:valAx>
        <c:axId val="295609856"/>
        <c:scaling>
          <c:orientation val="minMax"/>
          <c:min val="30"/>
        </c:scaling>
        <c:delete val="0"/>
        <c:axPos val="r"/>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b="0" i="0" baseline="0">
                    <a:effectLst/>
                  </a:rPr>
                  <a:t>($/bbl) </a:t>
                </a:r>
                <a:endParaRPr lang="en-US" sz="900">
                  <a:effectLst/>
                </a:endParaRPr>
              </a:p>
            </c:rich>
          </c:tx>
          <c:layout>
            <c:manualLayout>
              <c:xMode val="edge"/>
              <c:yMode val="edge"/>
              <c:x val="0.93560910626353244"/>
              <c:y val="0.28816222491419341"/>
            </c:manualLayout>
          </c:layout>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611776"/>
        <c:crosses val="max"/>
        <c:crossBetween val="between"/>
      </c:valAx>
      <c:catAx>
        <c:axId val="295611776"/>
        <c:scaling>
          <c:orientation val="minMax"/>
        </c:scaling>
        <c:delete val="1"/>
        <c:axPos val="b"/>
        <c:numFmt formatCode="General" sourceLinked="1"/>
        <c:majorTickMark val="out"/>
        <c:minorTickMark val="none"/>
        <c:tickLblPos val="none"/>
        <c:crossAx val="2956098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157794177073183E-2"/>
          <c:y val="4.1115590668506716E-2"/>
          <c:w val="0.91791893726288765"/>
          <c:h val="0.57079207993394554"/>
        </c:manualLayout>
      </c:layout>
      <c:barChart>
        <c:barDir val="col"/>
        <c:grouping val="stacked"/>
        <c:varyColors val="0"/>
        <c:ser>
          <c:idx val="1"/>
          <c:order val="1"/>
          <c:tx>
            <c:strRef>
              <c:f>Sheet1!$D$4</c:f>
              <c:strCache>
                <c:ptCount val="1"/>
                <c:pt idx="0">
                  <c:v>արդյունաբերություն</c:v>
                </c:pt>
              </c:strCache>
            </c:strRef>
          </c:tx>
          <c:spPr>
            <a:solidFill>
              <a:schemeClr val="accent2"/>
            </a:solidFill>
            <a:ln>
              <a:noFill/>
            </a:ln>
            <a:effectLst/>
          </c:spPr>
          <c:invertIfNegative val="0"/>
          <c:val>
            <c:numRef>
              <c:f>Sheet1!$E$4:$I$4</c:f>
              <c:numCache>
                <c:formatCode>0.0</c:formatCode>
                <c:ptCount val="5"/>
                <c:pt idx="0">
                  <c:v>0.91064682700878941</c:v>
                </c:pt>
                <c:pt idx="1">
                  <c:v>2.1622213883023029</c:v>
                </c:pt>
                <c:pt idx="2">
                  <c:v>-0.31604456064627884</c:v>
                </c:pt>
                <c:pt idx="3">
                  <c:v>0.86328498340762283</c:v>
                </c:pt>
                <c:pt idx="4">
                  <c:v>1.6465651060753823</c:v>
                </c:pt>
              </c:numCache>
            </c:numRef>
          </c:val>
          <c:extLst>
            <c:ext xmlns:c16="http://schemas.microsoft.com/office/drawing/2014/chart" uri="{C3380CC4-5D6E-409C-BE32-E72D297353CC}">
              <c16:uniqueId val="{00000000-D3DA-4FAF-9EB8-08BBAFE8C165}"/>
            </c:ext>
          </c:extLst>
        </c:ser>
        <c:ser>
          <c:idx val="2"/>
          <c:order val="2"/>
          <c:tx>
            <c:strRef>
              <c:f>Sheet1!$D$5</c:f>
              <c:strCache>
                <c:ptCount val="1"/>
                <c:pt idx="0">
                  <c:v>գյուղատնտեսություն </c:v>
                </c:pt>
              </c:strCache>
            </c:strRef>
          </c:tx>
          <c:spPr>
            <a:solidFill>
              <a:schemeClr val="accent3"/>
            </a:solidFill>
            <a:ln>
              <a:noFill/>
            </a:ln>
            <a:effectLst/>
          </c:spPr>
          <c:invertIfNegative val="0"/>
          <c:val>
            <c:numRef>
              <c:f>Sheet1!$E$5:$I$5</c:f>
              <c:numCache>
                <c:formatCode>0.0</c:formatCode>
                <c:ptCount val="5"/>
                <c:pt idx="0">
                  <c:v>-1.0356524175384063</c:v>
                </c:pt>
                <c:pt idx="1">
                  <c:v>-0.80644026167682614</c:v>
                </c:pt>
                <c:pt idx="2">
                  <c:v>-0.47220561096775676</c:v>
                </c:pt>
                <c:pt idx="3">
                  <c:v>0.62795173875591115</c:v>
                </c:pt>
                <c:pt idx="4">
                  <c:v>0.44255814814201405</c:v>
                </c:pt>
              </c:numCache>
            </c:numRef>
          </c:val>
          <c:extLst>
            <c:ext xmlns:c16="http://schemas.microsoft.com/office/drawing/2014/chart" uri="{C3380CC4-5D6E-409C-BE32-E72D297353CC}">
              <c16:uniqueId val="{00000001-D3DA-4FAF-9EB8-08BBAFE8C165}"/>
            </c:ext>
          </c:extLst>
        </c:ser>
        <c:ser>
          <c:idx val="3"/>
          <c:order val="3"/>
          <c:tx>
            <c:strRef>
              <c:f>Sheet1!$D$6</c:f>
              <c:strCache>
                <c:ptCount val="1"/>
                <c:pt idx="0">
                  <c:v>շինարարություն</c:v>
                </c:pt>
              </c:strCache>
            </c:strRef>
          </c:tx>
          <c:spPr>
            <a:solidFill>
              <a:schemeClr val="accent4"/>
            </a:solidFill>
            <a:ln>
              <a:noFill/>
            </a:ln>
            <a:effectLst/>
          </c:spPr>
          <c:invertIfNegative val="0"/>
          <c:val>
            <c:numRef>
              <c:f>Sheet1!$E$6:$I$6</c:f>
              <c:numCache>
                <c:formatCode>0.0</c:formatCode>
                <c:ptCount val="5"/>
                <c:pt idx="0">
                  <c:v>4.3649529298147187E-2</c:v>
                </c:pt>
                <c:pt idx="1">
                  <c:v>0.42807405697801104</c:v>
                </c:pt>
                <c:pt idx="2">
                  <c:v>-0.42508266880374179</c:v>
                </c:pt>
                <c:pt idx="3">
                  <c:v>0.10468246729873268</c:v>
                </c:pt>
                <c:pt idx="4">
                  <c:v>1.2151435844858425</c:v>
                </c:pt>
              </c:numCache>
            </c:numRef>
          </c:val>
          <c:extLst>
            <c:ext xmlns:c16="http://schemas.microsoft.com/office/drawing/2014/chart" uri="{C3380CC4-5D6E-409C-BE32-E72D297353CC}">
              <c16:uniqueId val="{00000002-D3DA-4FAF-9EB8-08BBAFE8C165}"/>
            </c:ext>
          </c:extLst>
        </c:ser>
        <c:ser>
          <c:idx val="4"/>
          <c:order val="4"/>
          <c:tx>
            <c:strRef>
              <c:f>Sheet1!$D$7</c:f>
              <c:strCache>
                <c:ptCount val="1"/>
                <c:pt idx="0">
                  <c:v>ծառայություններ</c:v>
                </c:pt>
              </c:strCache>
            </c:strRef>
          </c:tx>
          <c:spPr>
            <a:solidFill>
              <a:schemeClr val="accent5"/>
            </a:solidFill>
            <a:ln>
              <a:noFill/>
            </a:ln>
            <a:effectLst/>
          </c:spPr>
          <c:invertIfNegative val="0"/>
          <c:val>
            <c:numRef>
              <c:f>Sheet1!$E$7:$I$7</c:f>
              <c:numCache>
                <c:formatCode>0.0</c:formatCode>
                <c:ptCount val="5"/>
                <c:pt idx="0">
                  <c:v>4.4580577508018671</c:v>
                </c:pt>
                <c:pt idx="1">
                  <c:v>5.063935281019055</c:v>
                </c:pt>
                <c:pt idx="2">
                  <c:v>-5.0484597067809514</c:v>
                </c:pt>
                <c:pt idx="3">
                  <c:v>4.1211921008454695</c:v>
                </c:pt>
                <c:pt idx="4">
                  <c:v>2.9633121633826396</c:v>
                </c:pt>
              </c:numCache>
            </c:numRef>
          </c:val>
          <c:extLst>
            <c:ext xmlns:c16="http://schemas.microsoft.com/office/drawing/2014/chart" uri="{C3380CC4-5D6E-409C-BE32-E72D297353CC}">
              <c16:uniqueId val="{00000003-D3DA-4FAF-9EB8-08BBAFE8C165}"/>
            </c:ext>
          </c:extLst>
        </c:ser>
        <c:ser>
          <c:idx val="5"/>
          <c:order val="5"/>
          <c:tx>
            <c:strRef>
              <c:f>Sheet1!$D$8</c:f>
              <c:strCache>
                <c:ptCount val="1"/>
                <c:pt idx="0">
                  <c:v>զուտ հարկեր</c:v>
                </c:pt>
              </c:strCache>
            </c:strRef>
          </c:tx>
          <c:spPr>
            <a:solidFill>
              <a:schemeClr val="accent6"/>
            </a:solidFill>
            <a:ln>
              <a:noFill/>
            </a:ln>
            <a:effectLst/>
          </c:spPr>
          <c:invertIfNegative val="0"/>
          <c:val>
            <c:numRef>
              <c:f>Sheet1!$E$8:$I$8</c:f>
              <c:numCache>
                <c:formatCode>0.0</c:formatCode>
                <c:ptCount val="5"/>
                <c:pt idx="0">
                  <c:v>0.82329831042960522</c:v>
                </c:pt>
                <c:pt idx="1">
                  <c:v>0.75220953537745205</c:v>
                </c:pt>
                <c:pt idx="2">
                  <c:v>-1.1382074528012773</c:v>
                </c:pt>
                <c:pt idx="3">
                  <c:v>0.77288870969226475</c:v>
                </c:pt>
                <c:pt idx="4">
                  <c:v>0.7324209979141284</c:v>
                </c:pt>
              </c:numCache>
            </c:numRef>
          </c:val>
          <c:extLst>
            <c:ext xmlns:c16="http://schemas.microsoft.com/office/drawing/2014/chart" uri="{C3380CC4-5D6E-409C-BE32-E72D297353CC}">
              <c16:uniqueId val="{00000004-D3DA-4FAF-9EB8-08BBAFE8C165}"/>
            </c:ext>
          </c:extLst>
        </c:ser>
        <c:dLbls>
          <c:showLegendKey val="0"/>
          <c:showVal val="0"/>
          <c:showCatName val="0"/>
          <c:showSerName val="0"/>
          <c:showPercent val="0"/>
          <c:showBubbleSize val="0"/>
        </c:dLbls>
        <c:gapWidth val="150"/>
        <c:overlap val="100"/>
        <c:axId val="325552384"/>
        <c:axId val="325558272"/>
      </c:barChart>
      <c:lineChart>
        <c:grouping val="standard"/>
        <c:varyColors val="0"/>
        <c:ser>
          <c:idx val="0"/>
          <c:order val="0"/>
          <c:tx>
            <c:strRef>
              <c:f>Sheet1!$D$3</c:f>
              <c:strCache>
                <c:ptCount val="1"/>
                <c:pt idx="0">
                  <c:v>ՀՆԱ</c:v>
                </c:pt>
              </c:strCache>
            </c:strRef>
          </c:tx>
          <c:spPr>
            <a:ln w="28575" cap="rnd">
              <a:solidFill>
                <a:schemeClr val="accent1"/>
              </a:solidFill>
              <a:round/>
            </a:ln>
            <a:effectLst/>
          </c:spPr>
          <c:marker>
            <c:symbol val="none"/>
          </c:marker>
          <c:dLbls>
            <c:dLbl>
              <c:idx val="2"/>
              <c:layout>
                <c:manualLayout>
                  <c:x val="-5.6988997065022043E-2"/>
                  <c:y val="4.480476253317504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3DA-4FAF-9EB8-08BBAFE8C165}"/>
                </c:ext>
              </c:extLst>
            </c:dLbl>
            <c:dLbl>
              <c:idx val="3"/>
              <c:layout>
                <c:manualLayout>
                  <c:x val="-4.8726129061453523E-2"/>
                  <c:y val="-4.85502719981231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3DA-4FAF-9EB8-08BBAFE8C165}"/>
                </c:ext>
              </c:extLst>
            </c:dLbl>
            <c:spPr>
              <a:noFill/>
              <a:ln>
                <a:noFill/>
              </a:ln>
              <a:effectLst/>
            </c:spPr>
            <c:txPr>
              <a:bodyPr rot="0" spcFirstLastPara="1" vertOverflow="ellipsis" vert="horz" wrap="square" anchor="ctr" anchorCtr="1"/>
              <a:lstStyle/>
              <a:p>
                <a:pPr>
                  <a:defRPr sz="6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Sheet1!$E$2:$I$2</c:f>
              <c:numCache>
                <c:formatCode>General</c:formatCode>
                <c:ptCount val="5"/>
                <c:pt idx="0">
                  <c:v>2018</c:v>
                </c:pt>
                <c:pt idx="1">
                  <c:v>2019</c:v>
                </c:pt>
                <c:pt idx="2">
                  <c:v>2020</c:v>
                </c:pt>
                <c:pt idx="3">
                  <c:v>2021</c:v>
                </c:pt>
                <c:pt idx="4">
                  <c:v>2022</c:v>
                </c:pt>
              </c:numCache>
            </c:numRef>
          </c:cat>
          <c:val>
            <c:numRef>
              <c:f>Sheet1!$E$3:$I$3</c:f>
              <c:numCache>
                <c:formatCode>0.0</c:formatCode>
                <c:ptCount val="5"/>
                <c:pt idx="0">
                  <c:v>5.200000000000002</c:v>
                </c:pt>
                <c:pt idx="1">
                  <c:v>7.5999999999999943</c:v>
                </c:pt>
                <c:pt idx="2">
                  <c:v>-7.4000000000000057</c:v>
                </c:pt>
                <c:pt idx="3">
                  <c:v>6.4900000000000011</c:v>
                </c:pt>
                <c:pt idx="4">
                  <c:v>7.0000000000000062</c:v>
                </c:pt>
              </c:numCache>
            </c:numRef>
          </c:val>
          <c:smooth val="0"/>
          <c:extLst>
            <c:ext xmlns:c16="http://schemas.microsoft.com/office/drawing/2014/chart" uri="{C3380CC4-5D6E-409C-BE32-E72D297353CC}">
              <c16:uniqueId val="{00000007-D3DA-4FAF-9EB8-08BBAFE8C165}"/>
            </c:ext>
          </c:extLst>
        </c:ser>
        <c:dLbls>
          <c:showLegendKey val="0"/>
          <c:showVal val="0"/>
          <c:showCatName val="0"/>
          <c:showSerName val="0"/>
          <c:showPercent val="0"/>
          <c:showBubbleSize val="0"/>
        </c:dLbls>
        <c:marker val="1"/>
        <c:smooth val="0"/>
        <c:axId val="325552384"/>
        <c:axId val="325558272"/>
      </c:lineChart>
      <c:catAx>
        <c:axId val="325552384"/>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558272"/>
        <c:crosses val="autoZero"/>
        <c:auto val="1"/>
        <c:lblAlgn val="ctr"/>
        <c:lblOffset val="100"/>
        <c:noMultiLvlLbl val="0"/>
      </c:catAx>
      <c:valAx>
        <c:axId val="3255582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552384"/>
        <c:crosses val="autoZero"/>
        <c:crossBetween val="between"/>
      </c:valAx>
      <c:spPr>
        <a:noFill/>
        <a:ln>
          <a:noFill/>
        </a:ln>
        <a:effectLst/>
      </c:spPr>
    </c:plotArea>
    <c:legend>
      <c:legendPos val="b"/>
      <c:layout>
        <c:manualLayout>
          <c:xMode val="edge"/>
          <c:yMode val="edge"/>
          <c:x val="0"/>
          <c:y val="0.77835400008346001"/>
          <c:w val="1"/>
          <c:h val="0.1581293808862133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500">
          <a:latin typeface="GHEA Grapalat" panose="02000506050000020003" pitchFamily="50"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30597210264042"/>
          <c:y val="7.201309328968912E-2"/>
          <c:w val="0.81369779122581465"/>
          <c:h val="0.58559531940667808"/>
        </c:manualLayout>
      </c:layout>
      <c:barChart>
        <c:barDir val="col"/>
        <c:grouping val="stacked"/>
        <c:varyColors val="0"/>
        <c:ser>
          <c:idx val="1"/>
          <c:order val="1"/>
          <c:tx>
            <c:strRef>
              <c:f>Sheet1!$A$3</c:f>
              <c:strCache>
                <c:ptCount val="1"/>
                <c:pt idx="0">
                  <c:v>Սպառում</c:v>
                </c:pt>
              </c:strCache>
            </c:strRef>
          </c:tx>
          <c:spPr>
            <a:solidFill>
              <a:schemeClr val="accent2"/>
            </a:solidFill>
            <a:ln>
              <a:noFill/>
            </a:ln>
            <a:effectLst/>
          </c:spPr>
          <c:invertIfNegative val="0"/>
          <c:cat>
            <c:strRef>
              <c:f>Sheet1!$B$1:$F$1</c:f>
              <c:strCache>
                <c:ptCount val="5"/>
                <c:pt idx="0">
                  <c:v>2018</c:v>
                </c:pt>
                <c:pt idx="1">
                  <c:v>2019</c:v>
                </c:pt>
                <c:pt idx="2">
                  <c:v>2020</c:v>
                </c:pt>
                <c:pt idx="3">
                  <c:v>2021</c:v>
                </c:pt>
                <c:pt idx="4">
                  <c:v>2022</c:v>
                </c:pt>
              </c:strCache>
            </c:strRef>
          </c:cat>
          <c:val>
            <c:numRef>
              <c:f>Sheet1!$B$3:$F$3</c:f>
              <c:numCache>
                <c:formatCode>0.0</c:formatCode>
                <c:ptCount val="5"/>
                <c:pt idx="0">
                  <c:v>3.5092447105651088</c:v>
                </c:pt>
                <c:pt idx="1">
                  <c:v>10.680646817555598</c:v>
                </c:pt>
                <c:pt idx="2">
                  <c:v>-9.6964062213782558</c:v>
                </c:pt>
                <c:pt idx="3">
                  <c:v>6.9007492636863583</c:v>
                </c:pt>
                <c:pt idx="4">
                  <c:v>4.9233364245019544</c:v>
                </c:pt>
              </c:numCache>
            </c:numRef>
          </c:val>
          <c:extLst>
            <c:ext xmlns:c16="http://schemas.microsoft.com/office/drawing/2014/chart" uri="{C3380CC4-5D6E-409C-BE32-E72D297353CC}">
              <c16:uniqueId val="{00000000-9AD6-41F2-BB2A-AEC235CEE9EE}"/>
            </c:ext>
          </c:extLst>
        </c:ser>
        <c:ser>
          <c:idx val="2"/>
          <c:order val="2"/>
          <c:tx>
            <c:strRef>
              <c:f>Sheet1!$A$4</c:f>
              <c:strCache>
                <c:ptCount val="1"/>
                <c:pt idx="0">
                  <c:v>Հիմնական միջոցներում կապիտալ ներդրումներ</c:v>
                </c:pt>
              </c:strCache>
            </c:strRef>
          </c:tx>
          <c:spPr>
            <a:solidFill>
              <a:schemeClr val="accent3"/>
            </a:solidFill>
            <a:ln>
              <a:noFill/>
            </a:ln>
            <a:effectLst/>
          </c:spPr>
          <c:invertIfNegative val="0"/>
          <c:cat>
            <c:strRef>
              <c:f>Sheet1!$B$1:$F$1</c:f>
              <c:strCache>
                <c:ptCount val="5"/>
                <c:pt idx="0">
                  <c:v>2018</c:v>
                </c:pt>
                <c:pt idx="1">
                  <c:v>2019</c:v>
                </c:pt>
                <c:pt idx="2">
                  <c:v>2020</c:v>
                </c:pt>
                <c:pt idx="3">
                  <c:v>2021</c:v>
                </c:pt>
                <c:pt idx="4">
                  <c:v>2022</c:v>
                </c:pt>
              </c:strCache>
            </c:strRef>
          </c:cat>
          <c:val>
            <c:numRef>
              <c:f>Sheet1!$B$4:$F$4</c:f>
              <c:numCache>
                <c:formatCode>0.0</c:formatCode>
                <c:ptCount val="5"/>
                <c:pt idx="0">
                  <c:v>0.84712204793201873</c:v>
                </c:pt>
                <c:pt idx="1">
                  <c:v>0.73660007839076713</c:v>
                </c:pt>
                <c:pt idx="2">
                  <c:v>-1.360141465150009</c:v>
                </c:pt>
                <c:pt idx="3">
                  <c:v>0.59081563210847454</c:v>
                </c:pt>
                <c:pt idx="4">
                  <c:v>4.0705954420591111</c:v>
                </c:pt>
              </c:numCache>
            </c:numRef>
          </c:val>
          <c:extLst>
            <c:ext xmlns:c16="http://schemas.microsoft.com/office/drawing/2014/chart" uri="{C3380CC4-5D6E-409C-BE32-E72D297353CC}">
              <c16:uniqueId val="{00000001-9AD6-41F2-BB2A-AEC235CEE9EE}"/>
            </c:ext>
          </c:extLst>
        </c:ser>
        <c:ser>
          <c:idx val="3"/>
          <c:order val="3"/>
          <c:tx>
            <c:strRef>
              <c:f>Sheet1!$A$5</c:f>
              <c:strCache>
                <c:ptCount val="1"/>
                <c:pt idx="0">
                  <c:v>Զուտ արտահանում</c:v>
                </c:pt>
              </c:strCache>
            </c:strRef>
          </c:tx>
          <c:spPr>
            <a:solidFill>
              <a:schemeClr val="accent4"/>
            </a:solidFill>
            <a:ln>
              <a:noFill/>
            </a:ln>
            <a:effectLst/>
          </c:spPr>
          <c:invertIfNegative val="0"/>
          <c:cat>
            <c:strRef>
              <c:f>Sheet1!$B$1:$F$1</c:f>
              <c:strCache>
                <c:ptCount val="5"/>
                <c:pt idx="0">
                  <c:v>2018</c:v>
                </c:pt>
                <c:pt idx="1">
                  <c:v>2019</c:v>
                </c:pt>
                <c:pt idx="2">
                  <c:v>2020</c:v>
                </c:pt>
                <c:pt idx="3">
                  <c:v>2021</c:v>
                </c:pt>
                <c:pt idx="4">
                  <c:v>2022</c:v>
                </c:pt>
              </c:strCache>
            </c:strRef>
          </c:cat>
          <c:val>
            <c:numRef>
              <c:f>Sheet1!$B$5:$F$5</c:f>
              <c:numCache>
                <c:formatCode>0.0</c:formatCode>
                <c:ptCount val="5"/>
                <c:pt idx="0">
                  <c:v>-4.6043797249248186</c:v>
                </c:pt>
                <c:pt idx="1">
                  <c:v>0.14555833743502333</c:v>
                </c:pt>
                <c:pt idx="2">
                  <c:v>3.3845251138343819</c:v>
                </c:pt>
                <c:pt idx="3">
                  <c:v>-1.0015648957948522</c:v>
                </c:pt>
                <c:pt idx="4">
                  <c:v>-1.9939318665610655</c:v>
                </c:pt>
              </c:numCache>
            </c:numRef>
          </c:val>
          <c:extLst>
            <c:ext xmlns:c16="http://schemas.microsoft.com/office/drawing/2014/chart" uri="{C3380CC4-5D6E-409C-BE32-E72D297353CC}">
              <c16:uniqueId val="{00000002-9AD6-41F2-BB2A-AEC235CEE9EE}"/>
            </c:ext>
          </c:extLst>
        </c:ser>
        <c:dLbls>
          <c:showLegendKey val="0"/>
          <c:showVal val="0"/>
          <c:showCatName val="0"/>
          <c:showSerName val="0"/>
          <c:showPercent val="0"/>
          <c:showBubbleSize val="0"/>
        </c:dLbls>
        <c:gapWidth val="150"/>
        <c:overlap val="100"/>
        <c:axId val="325991808"/>
        <c:axId val="326005888"/>
      </c:barChart>
      <c:lineChart>
        <c:grouping val="standard"/>
        <c:varyColors val="0"/>
        <c:ser>
          <c:idx val="0"/>
          <c:order val="0"/>
          <c:tx>
            <c:strRef>
              <c:f>Sheet1!$A$2</c:f>
              <c:strCache>
                <c:ptCount val="1"/>
                <c:pt idx="0">
                  <c:v>ՀՆԱ</c:v>
                </c:pt>
              </c:strCache>
            </c:strRef>
          </c:tx>
          <c:spPr>
            <a:ln w="28575" cap="rnd">
              <a:solidFill>
                <a:schemeClr val="accent1"/>
              </a:solidFill>
              <a:round/>
            </a:ln>
            <a:effectLst/>
          </c:spPr>
          <c:marker>
            <c:symbol val="none"/>
          </c:marker>
          <c:dLbls>
            <c:dLbl>
              <c:idx val="0"/>
              <c:layout>
                <c:manualLayout>
                  <c:x val="-4.47245375076235E-2"/>
                  <c:y val="-5.3171287504747471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AD6-41F2-BB2A-AEC235CEE9EE}"/>
                </c:ext>
              </c:extLst>
            </c:dLbl>
            <c:dLbl>
              <c:idx val="1"/>
              <c:layout>
                <c:manualLayout>
                  <c:x val="-5.2856271599918722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AD6-41F2-BB2A-AEC235CEE9EE}"/>
                </c:ext>
              </c:extLst>
            </c:dLbl>
            <c:dLbl>
              <c:idx val="2"/>
              <c:layout>
                <c:manualLayout>
                  <c:x val="-6.0988005692213867E-2"/>
                  <c:y val="3.7979491074819599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AD6-41F2-BB2A-AEC235CEE9EE}"/>
                </c:ext>
              </c:extLst>
            </c:dLbl>
            <c:dLbl>
              <c:idx val="3"/>
              <c:layout>
                <c:manualLayout>
                  <c:x val="-4.4724537507623577E-2"/>
                  <c:y val="-6.076718571971135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AD6-41F2-BB2A-AEC235CEE9EE}"/>
                </c:ext>
              </c:extLst>
            </c:dLbl>
            <c:dLbl>
              <c:idx val="4"/>
              <c:layout>
                <c:manualLayout>
                  <c:x val="-5.0985652611679283E-2"/>
                  <c:y val="-4.580027572512418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AD6-41F2-BB2A-AEC235CEE9EE}"/>
                </c:ext>
              </c:extLst>
            </c:dLbl>
            <c:dLbl>
              <c:idx val="5"/>
              <c:layout>
                <c:manualLayout>
                  <c:x val="-5.8613475307861367E-2"/>
                  <c:y val="-5.4261627854816703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AD6-41F2-BB2A-AEC235CEE9EE}"/>
                </c:ext>
              </c:extLst>
            </c:dLbl>
            <c:dLbl>
              <c:idx val="6"/>
              <c:layout>
                <c:manualLayout>
                  <c:x val="-5.6802723810773906E-2"/>
                  <c:y val="-4.015957367273644E-2"/>
                </c:manualLayout>
              </c:layout>
              <c:spPr>
                <a:noFill/>
                <a:ln>
                  <a:noFill/>
                </a:ln>
                <a:effectLst/>
              </c:spPr>
              <c:txPr>
                <a:bodyPr rot="0" spcFirstLastPara="1" vertOverflow="ellipsis" vert="horz" wrap="square" anchor="ctr" anchorCtr="1"/>
                <a:lstStyle/>
                <a:p>
                  <a:pPr>
                    <a:defRPr sz="700" b="1"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AD6-41F2-BB2A-AEC235CEE9EE}"/>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c:v>
                </c:pt>
                <c:pt idx="1">
                  <c:v>2019</c:v>
                </c:pt>
                <c:pt idx="2">
                  <c:v>2020</c:v>
                </c:pt>
                <c:pt idx="3">
                  <c:v>2021</c:v>
                </c:pt>
                <c:pt idx="4">
                  <c:v>2022</c:v>
                </c:pt>
              </c:strCache>
            </c:strRef>
          </c:cat>
          <c:val>
            <c:numRef>
              <c:f>Sheet1!$B$2:$F$2</c:f>
              <c:numCache>
                <c:formatCode>0.0</c:formatCode>
                <c:ptCount val="5"/>
                <c:pt idx="0">
                  <c:v>5.200000000000002</c:v>
                </c:pt>
                <c:pt idx="1">
                  <c:v>7.5999999999999943</c:v>
                </c:pt>
                <c:pt idx="2">
                  <c:v>-7.4000000000000057</c:v>
                </c:pt>
                <c:pt idx="3">
                  <c:v>6.4899999999999807</c:v>
                </c:pt>
                <c:pt idx="4">
                  <c:v>7</c:v>
                </c:pt>
              </c:numCache>
            </c:numRef>
          </c:val>
          <c:smooth val="0"/>
          <c:extLst>
            <c:ext xmlns:c16="http://schemas.microsoft.com/office/drawing/2014/chart" uri="{C3380CC4-5D6E-409C-BE32-E72D297353CC}">
              <c16:uniqueId val="{0000000A-9AD6-41F2-BB2A-AEC235CEE9EE}"/>
            </c:ext>
          </c:extLst>
        </c:ser>
        <c:dLbls>
          <c:showLegendKey val="0"/>
          <c:showVal val="0"/>
          <c:showCatName val="0"/>
          <c:showSerName val="0"/>
          <c:showPercent val="0"/>
          <c:showBubbleSize val="0"/>
        </c:dLbls>
        <c:marker val="1"/>
        <c:smooth val="0"/>
        <c:axId val="325991808"/>
        <c:axId val="326005888"/>
      </c:lineChart>
      <c:catAx>
        <c:axId val="3259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05888"/>
        <c:crosses val="autoZero"/>
        <c:auto val="1"/>
        <c:lblAlgn val="ctr"/>
        <c:lblOffset val="100"/>
        <c:noMultiLvlLbl val="0"/>
      </c:catAx>
      <c:valAx>
        <c:axId val="326005888"/>
        <c:scaling>
          <c:orientation val="minMax"/>
          <c:max val="10"/>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5991808"/>
        <c:crosses val="autoZero"/>
        <c:crossBetween val="between"/>
      </c:valAx>
      <c:spPr>
        <a:noFill/>
        <a:ln>
          <a:noFill/>
        </a:ln>
        <a:effectLst/>
      </c:spPr>
    </c:plotArea>
    <c:legend>
      <c:legendPos val="b"/>
      <c:layout>
        <c:manualLayout>
          <c:xMode val="edge"/>
          <c:yMode val="edge"/>
          <c:x val="2.091774131948677E-2"/>
          <c:y val="0.76103826800655461"/>
          <c:w val="0.97908241294216225"/>
          <c:h val="0.238961873186904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122703412073505E-2"/>
          <c:y val="5.0925925925925923E-2"/>
          <c:w val="0.87232174103237092"/>
          <c:h val="0.58299139690871971"/>
        </c:manualLayout>
      </c:layout>
      <c:barChart>
        <c:barDir val="col"/>
        <c:grouping val="percentStacked"/>
        <c:varyColors val="0"/>
        <c:ser>
          <c:idx val="0"/>
          <c:order val="0"/>
          <c:tx>
            <c:strRef>
              <c:f>Sheet1!$A$8</c:f>
              <c:strCache>
                <c:ptCount val="1"/>
                <c:pt idx="0">
                  <c:v>Արդյունաբերություն</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Sheet1!$B$8:$F$8</c:f>
              <c:numCache>
                <c:formatCode>0.0</c:formatCode>
                <c:ptCount val="5"/>
                <c:pt idx="0">
                  <c:v>18.152724119014625</c:v>
                </c:pt>
                <c:pt idx="1">
                  <c:v>18.622463287683633</c:v>
                </c:pt>
                <c:pt idx="2">
                  <c:v>20.076394962967981</c:v>
                </c:pt>
                <c:pt idx="3">
                  <c:v>20.582063825942278</c:v>
                </c:pt>
                <c:pt idx="4">
                  <c:v>20.774419562633327</c:v>
                </c:pt>
              </c:numCache>
            </c:numRef>
          </c:val>
          <c:extLst>
            <c:ext xmlns:c16="http://schemas.microsoft.com/office/drawing/2014/chart" uri="{C3380CC4-5D6E-409C-BE32-E72D297353CC}">
              <c16:uniqueId val="{00000000-BCD2-4CFC-9FB2-2DA6CE028E69}"/>
            </c:ext>
          </c:extLst>
        </c:ser>
        <c:ser>
          <c:idx val="1"/>
          <c:order val="1"/>
          <c:tx>
            <c:strRef>
              <c:f>Sheet1!$A$9</c:f>
              <c:strCache>
                <c:ptCount val="1"/>
                <c:pt idx="0">
                  <c:v>Գյուղատնտեսություն և անտառային տնտեսություն</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Sheet1!$B$9:$F$9</c:f>
              <c:numCache>
                <c:formatCode>0.0</c:formatCode>
                <c:ptCount val="5"/>
                <c:pt idx="0">
                  <c:v>13.942311655414608</c:v>
                </c:pt>
                <c:pt idx="1">
                  <c:v>11.525610737958816</c:v>
                </c:pt>
                <c:pt idx="2">
                  <c:v>11.213423906355571</c:v>
                </c:pt>
                <c:pt idx="3">
                  <c:v>11.347644824154189</c:v>
                </c:pt>
                <c:pt idx="4">
                  <c:v>11.018881282519818</c:v>
                </c:pt>
              </c:numCache>
            </c:numRef>
          </c:val>
          <c:extLst>
            <c:ext xmlns:c16="http://schemas.microsoft.com/office/drawing/2014/chart" uri="{C3380CC4-5D6E-409C-BE32-E72D297353CC}">
              <c16:uniqueId val="{00000001-BCD2-4CFC-9FB2-2DA6CE028E69}"/>
            </c:ext>
          </c:extLst>
        </c:ser>
        <c:ser>
          <c:idx val="2"/>
          <c:order val="2"/>
          <c:tx>
            <c:strRef>
              <c:f>Sheet1!$A$10</c:f>
              <c:strCache>
                <c:ptCount val="1"/>
                <c:pt idx="0">
                  <c:v>Շինարարություն</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Sheet1!$B$10:$F$10</c:f>
              <c:numCache>
                <c:formatCode>0.0</c:formatCode>
                <c:ptCount val="5"/>
                <c:pt idx="0">
                  <c:v>6.6038337286110593</c:v>
                </c:pt>
                <c:pt idx="1">
                  <c:v>6.3491451696598507</c:v>
                </c:pt>
                <c:pt idx="2">
                  <c:v>6.9788311532488487</c:v>
                </c:pt>
                <c:pt idx="3">
                  <c:v>6.7507976915880121</c:v>
                </c:pt>
                <c:pt idx="4">
                  <c:v>7.4448049309101458</c:v>
                </c:pt>
              </c:numCache>
            </c:numRef>
          </c:val>
          <c:extLst>
            <c:ext xmlns:c16="http://schemas.microsoft.com/office/drawing/2014/chart" uri="{C3380CC4-5D6E-409C-BE32-E72D297353CC}">
              <c16:uniqueId val="{00000002-BCD2-4CFC-9FB2-2DA6CE028E69}"/>
            </c:ext>
          </c:extLst>
        </c:ser>
        <c:ser>
          <c:idx val="3"/>
          <c:order val="3"/>
          <c:tx>
            <c:strRef>
              <c:f>Sheet1!$A$11</c:f>
              <c:strCache>
                <c:ptCount val="1"/>
                <c:pt idx="0">
                  <c:v>Ծառայություններ</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Sheet1!$B$11:$F$11</c:f>
              <c:numCache>
                <c:formatCode>0.0</c:formatCode>
                <c:ptCount val="5"/>
                <c:pt idx="0">
                  <c:v>50.677546310515176</c:v>
                </c:pt>
                <c:pt idx="1">
                  <c:v>52.112404130880435</c:v>
                </c:pt>
                <c:pt idx="2">
                  <c:v>50.845593502888647</c:v>
                </c:pt>
                <c:pt idx="3">
                  <c:v>50.548596630166564</c:v>
                </c:pt>
                <c:pt idx="4">
                  <c:v>50.011129713597391</c:v>
                </c:pt>
              </c:numCache>
            </c:numRef>
          </c:val>
          <c:extLst>
            <c:ext xmlns:c16="http://schemas.microsoft.com/office/drawing/2014/chart" uri="{C3380CC4-5D6E-409C-BE32-E72D297353CC}">
              <c16:uniqueId val="{00000003-BCD2-4CFC-9FB2-2DA6CE028E69}"/>
            </c:ext>
          </c:extLst>
        </c:ser>
        <c:ser>
          <c:idx val="4"/>
          <c:order val="4"/>
          <c:tx>
            <c:strRef>
              <c:f>Sheet1!$A$12</c:f>
              <c:strCache>
                <c:ptCount val="1"/>
                <c:pt idx="0">
                  <c:v>Զուտ հարկեր</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Sheet1!$B$7:$F$7</c:f>
              <c:numCache>
                <c:formatCode>0_)</c:formatCode>
                <c:ptCount val="5"/>
                <c:pt idx="0">
                  <c:v>2018</c:v>
                </c:pt>
                <c:pt idx="1">
                  <c:v>2019</c:v>
                </c:pt>
                <c:pt idx="2" formatCode="General">
                  <c:v>2020</c:v>
                </c:pt>
                <c:pt idx="3" formatCode="General">
                  <c:v>2021</c:v>
                </c:pt>
                <c:pt idx="4" formatCode="General">
                  <c:v>2022</c:v>
                </c:pt>
              </c:numCache>
            </c:numRef>
          </c:cat>
          <c:val>
            <c:numRef>
              <c:f>Sheet1!$B$12:$F$12</c:f>
              <c:numCache>
                <c:formatCode>0.0</c:formatCode>
                <c:ptCount val="5"/>
                <c:pt idx="0">
                  <c:v>10.623584186444512</c:v>
                </c:pt>
                <c:pt idx="1">
                  <c:v>11.390376673817265</c:v>
                </c:pt>
                <c:pt idx="2">
                  <c:v>10.885756474538951</c:v>
                </c:pt>
                <c:pt idx="3">
                  <c:v>10.770897028148953</c:v>
                </c:pt>
                <c:pt idx="4">
                  <c:v>10.75076451033933</c:v>
                </c:pt>
              </c:numCache>
            </c:numRef>
          </c:val>
          <c:extLst>
            <c:ext xmlns:c16="http://schemas.microsoft.com/office/drawing/2014/chart" uri="{C3380CC4-5D6E-409C-BE32-E72D297353CC}">
              <c16:uniqueId val="{00000004-BCD2-4CFC-9FB2-2DA6CE028E69}"/>
            </c:ext>
          </c:extLst>
        </c:ser>
        <c:dLbls>
          <c:showLegendKey val="0"/>
          <c:showVal val="0"/>
          <c:showCatName val="0"/>
          <c:showSerName val="0"/>
          <c:showPercent val="0"/>
          <c:showBubbleSize val="0"/>
        </c:dLbls>
        <c:gapWidth val="150"/>
        <c:overlap val="100"/>
        <c:axId val="326079616"/>
        <c:axId val="326081152"/>
      </c:barChart>
      <c:catAx>
        <c:axId val="326079616"/>
        <c:scaling>
          <c:orientation val="minMax"/>
        </c:scaling>
        <c:delete val="0"/>
        <c:axPos val="b"/>
        <c:numFmt formatCode="0_)"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81152"/>
        <c:crosses val="autoZero"/>
        <c:auto val="1"/>
        <c:lblAlgn val="ctr"/>
        <c:lblOffset val="100"/>
        <c:noMultiLvlLbl val="0"/>
      </c:catAx>
      <c:valAx>
        <c:axId val="3260811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079616"/>
        <c:crosses val="autoZero"/>
        <c:crossBetween val="between"/>
      </c:valAx>
      <c:spPr>
        <a:noFill/>
        <a:ln>
          <a:noFill/>
        </a:ln>
        <a:effectLst/>
      </c:spPr>
    </c:plotArea>
    <c:legend>
      <c:legendPos val="b"/>
      <c:layout>
        <c:manualLayout>
          <c:xMode val="edge"/>
          <c:yMode val="edge"/>
          <c:x val="0"/>
          <c:y val="0.73565859823077828"/>
          <c:w val="0.97725437445319496"/>
          <c:h val="0.2365639480250154"/>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36046999039115"/>
          <c:y val="8.6819258089976328E-2"/>
          <c:w val="0.84559448496456369"/>
          <c:h val="0.6190958864948537"/>
        </c:manualLayout>
      </c:layout>
      <c:barChart>
        <c:barDir val="col"/>
        <c:grouping val="percentStacked"/>
        <c:varyColors val="0"/>
        <c:ser>
          <c:idx val="0"/>
          <c:order val="0"/>
          <c:tx>
            <c:strRef>
              <c:f>Sheet1!$A$2</c:f>
              <c:strCache>
                <c:ptCount val="1"/>
                <c:pt idx="0">
                  <c:v>Սպառում</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Sheet1!$B$2:$F$2</c:f>
              <c:numCache>
                <c:formatCode>0.0</c:formatCode>
                <c:ptCount val="5"/>
                <c:pt idx="0">
                  <c:v>91.28757963722731</c:v>
                </c:pt>
                <c:pt idx="1">
                  <c:v>96.004021993844162</c:v>
                </c:pt>
                <c:pt idx="2">
                  <c:v>91.431166568885587</c:v>
                </c:pt>
                <c:pt idx="3">
                  <c:v>92.489123999581324</c:v>
                </c:pt>
                <c:pt idx="4">
                  <c:v>91.286159967092388</c:v>
                </c:pt>
              </c:numCache>
            </c:numRef>
          </c:val>
          <c:extLst>
            <c:ext xmlns:c16="http://schemas.microsoft.com/office/drawing/2014/chart" uri="{C3380CC4-5D6E-409C-BE32-E72D297353CC}">
              <c16:uniqueId val="{00000000-7BE7-4532-B46F-DDAE4250CDDE}"/>
            </c:ext>
          </c:extLst>
        </c:ser>
        <c:ser>
          <c:idx val="1"/>
          <c:order val="1"/>
          <c:tx>
            <c:strRef>
              <c:f>Sheet1!$A$3</c:f>
              <c:strCache>
                <c:ptCount val="1"/>
                <c:pt idx="0">
                  <c:v>Հիմնական միջոցներում կապիտալ ներդրումներ</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Sheet1!$B$3:$F$3</c:f>
              <c:numCache>
                <c:formatCode>0.0</c:formatCode>
                <c:ptCount val="5"/>
                <c:pt idx="0">
                  <c:v>16.740910872517414</c:v>
                </c:pt>
                <c:pt idx="1">
                  <c:v>15.815598431976859</c:v>
                </c:pt>
                <c:pt idx="2">
                  <c:v>16.571815993690119</c:v>
                </c:pt>
                <c:pt idx="3">
                  <c:v>16.365526653131422</c:v>
                </c:pt>
                <c:pt idx="4">
                  <c:v>18.67814818551647</c:v>
                </c:pt>
              </c:numCache>
            </c:numRef>
          </c:val>
          <c:extLst>
            <c:ext xmlns:c16="http://schemas.microsoft.com/office/drawing/2014/chart" uri="{C3380CC4-5D6E-409C-BE32-E72D297353CC}">
              <c16:uniqueId val="{00000001-7BE7-4532-B46F-DDAE4250CDDE}"/>
            </c:ext>
          </c:extLst>
        </c:ser>
        <c:ser>
          <c:idx val="2"/>
          <c:order val="2"/>
          <c:tx>
            <c:strRef>
              <c:f>Sheet1!$A$4</c:f>
              <c:strCache>
                <c:ptCount val="1"/>
                <c:pt idx="0">
                  <c:v>Ապրանք. և ծառ. արտահանում </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Sheet1!$B$4:$F$4</c:f>
              <c:numCache>
                <c:formatCode>0.0</c:formatCode>
                <c:ptCount val="5"/>
                <c:pt idx="0">
                  <c:v>39.392894028607309</c:v>
                </c:pt>
                <c:pt idx="1">
                  <c:v>41.35080136208493</c:v>
                </c:pt>
                <c:pt idx="2">
                  <c:v>29.763678036145652</c:v>
                </c:pt>
                <c:pt idx="3">
                  <c:v>32.580982315892349</c:v>
                </c:pt>
                <c:pt idx="4">
                  <c:v>34.547358141821491</c:v>
                </c:pt>
              </c:numCache>
            </c:numRef>
          </c:val>
          <c:extLst>
            <c:ext xmlns:c16="http://schemas.microsoft.com/office/drawing/2014/chart" uri="{C3380CC4-5D6E-409C-BE32-E72D297353CC}">
              <c16:uniqueId val="{00000002-7BE7-4532-B46F-DDAE4250CDDE}"/>
            </c:ext>
          </c:extLst>
        </c:ser>
        <c:ser>
          <c:idx val="3"/>
          <c:order val="3"/>
          <c:tx>
            <c:strRef>
              <c:f>Sheet1!$A$5</c:f>
              <c:strCache>
                <c:ptCount val="1"/>
                <c:pt idx="0">
                  <c:v>Ապրանք. և ծառ. ներմուծում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 </c:v>
                </c:pt>
                <c:pt idx="1">
                  <c:v>2019 </c:v>
                </c:pt>
                <c:pt idx="2">
                  <c:v>2020</c:v>
                </c:pt>
                <c:pt idx="3">
                  <c:v>2021</c:v>
                </c:pt>
                <c:pt idx="4">
                  <c:v>2022</c:v>
                </c:pt>
              </c:strCache>
            </c:strRef>
          </c:cat>
          <c:val>
            <c:numRef>
              <c:f>Sheet1!$B$5:$F$5</c:f>
              <c:numCache>
                <c:formatCode>0.0</c:formatCode>
                <c:ptCount val="5"/>
                <c:pt idx="0">
                  <c:v>53.080212992604729</c:v>
                </c:pt>
                <c:pt idx="1">
                  <c:v>54.763352766785822</c:v>
                </c:pt>
                <c:pt idx="2">
                  <c:v>39.727318732831193</c:v>
                </c:pt>
                <c:pt idx="3">
                  <c:v>42.227487267722495</c:v>
                </c:pt>
                <c:pt idx="4">
                  <c:v>45.44280896079129</c:v>
                </c:pt>
              </c:numCache>
            </c:numRef>
          </c:val>
          <c:extLst>
            <c:ext xmlns:c16="http://schemas.microsoft.com/office/drawing/2014/chart" uri="{C3380CC4-5D6E-409C-BE32-E72D297353CC}">
              <c16:uniqueId val="{00000003-7BE7-4532-B46F-DDAE4250CDDE}"/>
            </c:ext>
          </c:extLst>
        </c:ser>
        <c:dLbls>
          <c:showLegendKey val="0"/>
          <c:showVal val="0"/>
          <c:showCatName val="0"/>
          <c:showSerName val="0"/>
          <c:showPercent val="0"/>
          <c:showBubbleSize val="0"/>
        </c:dLbls>
        <c:gapWidth val="150"/>
        <c:overlap val="100"/>
        <c:axId val="326202496"/>
        <c:axId val="326204032"/>
      </c:barChart>
      <c:catAx>
        <c:axId val="32620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04032"/>
        <c:crosses val="autoZero"/>
        <c:auto val="1"/>
        <c:lblAlgn val="ctr"/>
        <c:lblOffset val="100"/>
        <c:noMultiLvlLbl val="0"/>
      </c:catAx>
      <c:valAx>
        <c:axId val="326204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02496"/>
        <c:crosses val="autoZero"/>
        <c:crossBetween val="between"/>
      </c:valAx>
      <c:spPr>
        <a:noFill/>
        <a:ln>
          <a:noFill/>
        </a:ln>
        <a:effectLst/>
      </c:spPr>
    </c:plotArea>
    <c:legend>
      <c:legendPos val="b"/>
      <c:layout>
        <c:manualLayout>
          <c:xMode val="edge"/>
          <c:yMode val="edge"/>
          <c:x val="5.2434256574987008E-3"/>
          <c:y val="0.82079933378493464"/>
          <c:w val="0.99475646011079077"/>
          <c:h val="0.14561025175720482"/>
        </c:manualLayout>
      </c:layout>
      <c:overlay val="0"/>
      <c:spPr>
        <a:noFill/>
        <a:ln>
          <a:noFill/>
        </a:ln>
        <a:effectLst/>
      </c:spPr>
      <c:txPr>
        <a:bodyPr rot="0" spcFirstLastPara="1" vertOverflow="ellipsis" vert="horz" wrap="square" anchor="ctr" anchorCtr="1"/>
        <a:lstStyle/>
        <a:p>
          <a:pPr>
            <a:defRPr sz="5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GHEA Grapalat" panose="02000506050000020003" pitchFamily="50" charset="0"/>
        </a:defRPr>
      </a:pPr>
      <a:endParaRPr lang="en-US"/>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53434608552719"/>
          <c:y val="0.15695898950131323"/>
          <c:w val="0.79438558816511551"/>
          <c:h val="0.50461383816384664"/>
        </c:manualLayout>
      </c:layout>
      <c:barChart>
        <c:barDir val="col"/>
        <c:grouping val="clustered"/>
        <c:varyColors val="0"/>
        <c:ser>
          <c:idx val="0"/>
          <c:order val="0"/>
          <c:tx>
            <c:strRef>
              <c:f>Лист1!$B$1</c:f>
              <c:strCache>
                <c:ptCount val="1"/>
                <c:pt idx="0">
                  <c:v>Գործազուրկներ, հազ. մարդ</c:v>
                </c:pt>
              </c:strCache>
            </c:strRef>
          </c:tx>
          <c:spPr>
            <a:solidFill>
              <a:schemeClr val="accent1"/>
            </a:solidFill>
            <a:ln>
              <a:noFill/>
            </a:ln>
            <a:effectLst/>
          </c:spPr>
          <c:invertIfNegative val="0"/>
          <c:cat>
            <c:strRef>
              <c:f>Лист1!$A$2:$A$6</c:f>
              <c:strCache>
                <c:ptCount val="5"/>
                <c:pt idx="0">
                  <c:v>2020-I</c:v>
                </c:pt>
                <c:pt idx="1">
                  <c:v>2020-II</c:v>
                </c:pt>
                <c:pt idx="2">
                  <c:v>2020-III</c:v>
                </c:pt>
                <c:pt idx="3">
                  <c:v>2020-IV</c:v>
                </c:pt>
                <c:pt idx="4">
                  <c:v>2021-I</c:v>
                </c:pt>
              </c:strCache>
            </c:strRef>
          </c:cat>
          <c:val>
            <c:numRef>
              <c:f>Лист1!$B$2:$B$6</c:f>
              <c:numCache>
                <c:formatCode>General</c:formatCode>
                <c:ptCount val="5"/>
                <c:pt idx="0">
                  <c:v>232.8</c:v>
                </c:pt>
                <c:pt idx="1">
                  <c:v>218.1</c:v>
                </c:pt>
                <c:pt idx="2">
                  <c:v>226.9</c:v>
                </c:pt>
                <c:pt idx="3">
                  <c:v>184.8</c:v>
                </c:pt>
                <c:pt idx="4">
                  <c:v>193</c:v>
                </c:pt>
              </c:numCache>
            </c:numRef>
          </c:val>
          <c:extLst>
            <c:ext xmlns:c16="http://schemas.microsoft.com/office/drawing/2014/chart" uri="{C3380CC4-5D6E-409C-BE32-E72D297353CC}">
              <c16:uniqueId val="{00000000-440B-4004-90D4-86BB24AAE7B2}"/>
            </c:ext>
          </c:extLst>
        </c:ser>
        <c:ser>
          <c:idx val="1"/>
          <c:order val="1"/>
          <c:tx>
            <c:strRef>
              <c:f>Лист1!$C$1</c:f>
              <c:strCache>
                <c:ptCount val="1"/>
                <c:pt idx="0">
                  <c:v>Զբաղվածներ, հազ. մարդ</c:v>
                </c:pt>
              </c:strCache>
            </c:strRef>
          </c:tx>
          <c:spPr>
            <a:solidFill>
              <a:schemeClr val="accent2"/>
            </a:solidFill>
            <a:ln>
              <a:noFill/>
            </a:ln>
            <a:effectLst/>
          </c:spPr>
          <c:invertIfNegative val="0"/>
          <c:cat>
            <c:strRef>
              <c:f>Лист1!$A$2:$A$6</c:f>
              <c:strCache>
                <c:ptCount val="5"/>
                <c:pt idx="0">
                  <c:v>2020-I</c:v>
                </c:pt>
                <c:pt idx="1">
                  <c:v>2020-II</c:v>
                </c:pt>
                <c:pt idx="2">
                  <c:v>2020-III</c:v>
                </c:pt>
                <c:pt idx="3">
                  <c:v>2020-IV</c:v>
                </c:pt>
                <c:pt idx="4">
                  <c:v>2021-I</c:v>
                </c:pt>
              </c:strCache>
            </c:strRef>
          </c:cat>
          <c:val>
            <c:numRef>
              <c:f>Лист1!$C$2:$C$6</c:f>
              <c:numCache>
                <c:formatCode>General</c:formatCode>
                <c:ptCount val="5"/>
                <c:pt idx="0">
                  <c:v>946</c:v>
                </c:pt>
                <c:pt idx="1">
                  <c:v>1027.0999999999999</c:v>
                </c:pt>
                <c:pt idx="2" formatCode="0.0">
                  <c:v>1023</c:v>
                </c:pt>
                <c:pt idx="3" formatCode="0.0">
                  <c:v>967.3</c:v>
                </c:pt>
                <c:pt idx="4">
                  <c:v>943.8</c:v>
                </c:pt>
              </c:numCache>
            </c:numRef>
          </c:val>
          <c:extLst>
            <c:ext xmlns:c16="http://schemas.microsoft.com/office/drawing/2014/chart" uri="{C3380CC4-5D6E-409C-BE32-E72D297353CC}">
              <c16:uniqueId val="{00000001-440B-4004-90D4-86BB24AAE7B2}"/>
            </c:ext>
          </c:extLst>
        </c:ser>
        <c:dLbls>
          <c:showLegendKey val="0"/>
          <c:showVal val="0"/>
          <c:showCatName val="0"/>
          <c:showSerName val="0"/>
          <c:showPercent val="0"/>
          <c:showBubbleSize val="0"/>
        </c:dLbls>
        <c:gapWidth val="219"/>
        <c:overlap val="-27"/>
        <c:axId val="326269952"/>
        <c:axId val="326279936"/>
      </c:barChart>
      <c:lineChart>
        <c:grouping val="standard"/>
        <c:varyColors val="0"/>
        <c:ser>
          <c:idx val="2"/>
          <c:order val="2"/>
          <c:tx>
            <c:strRef>
              <c:f>Лист1!$D$1</c:f>
              <c:strCache>
                <c:ptCount val="1"/>
                <c:pt idx="0">
                  <c:v>Գործազրկության մակարդակ, %, աջ առանցք</c:v>
                </c:pt>
              </c:strCache>
            </c:strRef>
          </c:tx>
          <c:spPr>
            <a:ln w="28575" cap="rnd">
              <a:solidFill>
                <a:srgbClr val="C00000"/>
              </a:solidFill>
              <a:round/>
            </a:ln>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2020-I</c:v>
                </c:pt>
                <c:pt idx="1">
                  <c:v>2020-II</c:v>
                </c:pt>
                <c:pt idx="2">
                  <c:v>2020-III</c:v>
                </c:pt>
                <c:pt idx="3">
                  <c:v>2020-IV</c:v>
                </c:pt>
                <c:pt idx="4">
                  <c:v>2021-I</c:v>
                </c:pt>
              </c:strCache>
            </c:strRef>
          </c:cat>
          <c:val>
            <c:numRef>
              <c:f>Лист1!$D$2:$D$6</c:f>
              <c:numCache>
                <c:formatCode>0.0</c:formatCode>
                <c:ptCount val="5"/>
                <c:pt idx="0">
                  <c:v>19.7</c:v>
                </c:pt>
                <c:pt idx="1">
                  <c:v>17.5</c:v>
                </c:pt>
                <c:pt idx="2">
                  <c:v>18.100000000000001</c:v>
                </c:pt>
                <c:pt idx="3">
                  <c:v>16</c:v>
                </c:pt>
                <c:pt idx="4">
                  <c:v>17</c:v>
                </c:pt>
              </c:numCache>
            </c:numRef>
          </c:val>
          <c:smooth val="0"/>
          <c:extLst>
            <c:ext xmlns:c16="http://schemas.microsoft.com/office/drawing/2014/chart" uri="{C3380CC4-5D6E-409C-BE32-E72D297353CC}">
              <c16:uniqueId val="{00000002-440B-4004-90D4-86BB24AAE7B2}"/>
            </c:ext>
          </c:extLst>
        </c:ser>
        <c:dLbls>
          <c:showLegendKey val="0"/>
          <c:showVal val="0"/>
          <c:showCatName val="0"/>
          <c:showSerName val="0"/>
          <c:showPercent val="0"/>
          <c:showBubbleSize val="0"/>
        </c:dLbls>
        <c:marker val="1"/>
        <c:smooth val="0"/>
        <c:axId val="326283264"/>
        <c:axId val="326281472"/>
      </c:lineChart>
      <c:catAx>
        <c:axId val="3262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79936"/>
        <c:crosses val="autoZero"/>
        <c:auto val="1"/>
        <c:lblAlgn val="ctr"/>
        <c:lblOffset val="100"/>
        <c:noMultiLvlLbl val="0"/>
      </c:catAx>
      <c:valAx>
        <c:axId val="326279936"/>
        <c:scaling>
          <c:orientation val="minMax"/>
          <c:max val="1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69952"/>
        <c:crosses val="autoZero"/>
        <c:crossBetween val="between"/>
        <c:majorUnit val="200"/>
      </c:valAx>
      <c:valAx>
        <c:axId val="326281472"/>
        <c:scaling>
          <c:orientation val="minMax"/>
        </c:scaling>
        <c:delete val="0"/>
        <c:axPos val="r"/>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283264"/>
        <c:crosses val="max"/>
        <c:crossBetween val="between"/>
      </c:valAx>
      <c:catAx>
        <c:axId val="326283264"/>
        <c:scaling>
          <c:orientation val="minMax"/>
        </c:scaling>
        <c:delete val="1"/>
        <c:axPos val="b"/>
        <c:numFmt formatCode="General" sourceLinked="1"/>
        <c:majorTickMark val="none"/>
        <c:minorTickMark val="none"/>
        <c:tickLblPos val="none"/>
        <c:crossAx val="326281472"/>
        <c:crosses val="autoZero"/>
        <c:auto val="1"/>
        <c:lblAlgn val="ctr"/>
        <c:lblOffset val="100"/>
        <c:noMultiLvlLbl val="0"/>
      </c:catAx>
      <c:spPr>
        <a:noFill/>
        <a:ln>
          <a:noFill/>
        </a:ln>
        <a:effectLst/>
      </c:spPr>
    </c:plotArea>
    <c:legend>
      <c:legendPos val="b"/>
      <c:layout>
        <c:manualLayout>
          <c:xMode val="edge"/>
          <c:yMode val="edge"/>
          <c:x val="1.1575282854656208E-2"/>
          <c:y val="0.79644947529258803"/>
          <c:w val="0.81583986074847892"/>
          <c:h val="0.1620423960322156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9.3106574844288706E-2"/>
          <c:y val="0"/>
        </c:manualLayout>
      </c:layout>
      <c:overlay val="0"/>
      <c:spPr>
        <a:noFill/>
        <a:ln>
          <a:noFill/>
        </a:ln>
        <a:effectLst/>
      </c:spPr>
    </c:title>
    <c:autoTitleDeleted val="0"/>
    <c:plotArea>
      <c:layout>
        <c:manualLayout>
          <c:layoutTarget val="inner"/>
          <c:xMode val="edge"/>
          <c:yMode val="edge"/>
          <c:x val="0.11873917014291722"/>
          <c:y val="7.0087221630047547E-2"/>
          <c:w val="0.80804307316570501"/>
          <c:h val="0.61867847769029227"/>
        </c:manualLayout>
      </c:layout>
      <c:lineChart>
        <c:grouping val="standard"/>
        <c:varyColors val="0"/>
        <c:ser>
          <c:idx val="0"/>
          <c:order val="0"/>
          <c:tx>
            <c:strRef>
              <c:f>Лист1!$B$1</c:f>
              <c:strCache>
                <c:ptCount val="1"/>
                <c:pt idx="0">
                  <c:v>Ընդամենը</c:v>
                </c:pt>
              </c:strCache>
            </c:strRef>
          </c:tx>
          <c:spPr>
            <a:effectLst/>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Лист1!$A$2:$A$8</c:f>
              <c:strCache>
                <c:ptCount val="7"/>
                <c:pt idx="0">
                  <c:v>I</c:v>
                </c:pt>
                <c:pt idx="1">
                  <c:v>I-II</c:v>
                </c:pt>
                <c:pt idx="2">
                  <c:v>I-III</c:v>
                </c:pt>
                <c:pt idx="3">
                  <c:v>I-IV</c:v>
                </c:pt>
                <c:pt idx="4">
                  <c:v>I-V</c:v>
                </c:pt>
                <c:pt idx="5">
                  <c:v>I-VI</c:v>
                </c:pt>
                <c:pt idx="6">
                  <c:v>I-VII</c:v>
                </c:pt>
              </c:strCache>
            </c:strRef>
          </c:cat>
          <c:val>
            <c:numRef>
              <c:f>Лист1!$B$2:$B$8</c:f>
              <c:numCache>
                <c:formatCode>0.0</c:formatCode>
                <c:ptCount val="7"/>
                <c:pt idx="0">
                  <c:v>0.79999999999999716</c:v>
                </c:pt>
                <c:pt idx="1">
                  <c:v>1.5999999999999943</c:v>
                </c:pt>
                <c:pt idx="2">
                  <c:v>2.0999999999999943</c:v>
                </c:pt>
                <c:pt idx="3">
                  <c:v>3.5</c:v>
                </c:pt>
                <c:pt idx="4">
                  <c:v>4.4000000000000004</c:v>
                </c:pt>
                <c:pt idx="5">
                  <c:v>5.4</c:v>
                </c:pt>
                <c:pt idx="6">
                  <c:v>5.7</c:v>
                </c:pt>
              </c:numCache>
            </c:numRef>
          </c:val>
          <c:smooth val="0"/>
          <c:extLst>
            <c:ext xmlns:c16="http://schemas.microsoft.com/office/drawing/2014/chart" uri="{C3380CC4-5D6E-409C-BE32-E72D297353CC}">
              <c16:uniqueId val="{00000000-935F-40BE-A4FA-1BDE9DAC1635}"/>
            </c:ext>
          </c:extLst>
        </c:ser>
        <c:ser>
          <c:idx val="1"/>
          <c:order val="1"/>
          <c:tx>
            <c:strRef>
              <c:f>Лист1!$C$1</c:f>
              <c:strCache>
                <c:ptCount val="1"/>
                <c:pt idx="0">
                  <c:v>Պետական</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Лист1!$C$2:$C$8</c:f>
              <c:numCache>
                <c:formatCode>0.0</c:formatCode>
                <c:ptCount val="7"/>
                <c:pt idx="0">
                  <c:v>2.4000000000000057</c:v>
                </c:pt>
                <c:pt idx="1">
                  <c:v>2.4000000000000057</c:v>
                </c:pt>
                <c:pt idx="2">
                  <c:v>3</c:v>
                </c:pt>
                <c:pt idx="3">
                  <c:v>2.9000000000000057</c:v>
                </c:pt>
                <c:pt idx="4">
                  <c:v>3.7</c:v>
                </c:pt>
                <c:pt idx="5">
                  <c:v>3.9</c:v>
                </c:pt>
                <c:pt idx="6">
                  <c:v>3.6</c:v>
                </c:pt>
              </c:numCache>
            </c:numRef>
          </c:val>
          <c:smooth val="0"/>
          <c:extLst>
            <c:ext xmlns:c16="http://schemas.microsoft.com/office/drawing/2014/chart" uri="{C3380CC4-5D6E-409C-BE32-E72D297353CC}">
              <c16:uniqueId val="{00000001-935F-40BE-A4FA-1BDE9DAC1635}"/>
            </c:ext>
          </c:extLst>
        </c:ser>
        <c:ser>
          <c:idx val="2"/>
          <c:order val="2"/>
          <c:tx>
            <c:strRef>
              <c:f>Лист1!$D$1</c:f>
              <c:strCache>
                <c:ptCount val="1"/>
                <c:pt idx="0">
                  <c:v>Մասնավոր</c:v>
                </c:pt>
              </c:strCache>
            </c:strRef>
          </c:tx>
          <c:marker>
            <c:symbol val="none"/>
          </c:marker>
          <c:cat>
            <c:strRef>
              <c:f>Лист1!$A$2:$A$8</c:f>
              <c:strCache>
                <c:ptCount val="7"/>
                <c:pt idx="0">
                  <c:v>I</c:v>
                </c:pt>
                <c:pt idx="1">
                  <c:v>I-II</c:v>
                </c:pt>
                <c:pt idx="2">
                  <c:v>I-III</c:v>
                </c:pt>
                <c:pt idx="3">
                  <c:v>I-IV</c:v>
                </c:pt>
                <c:pt idx="4">
                  <c:v>I-V</c:v>
                </c:pt>
                <c:pt idx="5">
                  <c:v>I-VI</c:v>
                </c:pt>
                <c:pt idx="6">
                  <c:v>I-VII</c:v>
                </c:pt>
              </c:strCache>
            </c:strRef>
          </c:cat>
          <c:val>
            <c:numRef>
              <c:f>Лист1!$D$2:$D$8</c:f>
              <c:numCache>
                <c:formatCode>0.0</c:formatCode>
                <c:ptCount val="7"/>
                <c:pt idx="0">
                  <c:v>0.20000000000000284</c:v>
                </c:pt>
                <c:pt idx="1">
                  <c:v>1.4000000000000057</c:v>
                </c:pt>
                <c:pt idx="2">
                  <c:v>1.7999999999999972</c:v>
                </c:pt>
                <c:pt idx="3">
                  <c:v>3.7000000000000028</c:v>
                </c:pt>
                <c:pt idx="4">
                  <c:v>4.5999999999999996</c:v>
                </c:pt>
                <c:pt idx="5">
                  <c:v>5.9</c:v>
                </c:pt>
                <c:pt idx="6">
                  <c:v>6.5</c:v>
                </c:pt>
              </c:numCache>
            </c:numRef>
          </c:val>
          <c:smooth val="0"/>
          <c:extLst>
            <c:ext xmlns:c16="http://schemas.microsoft.com/office/drawing/2014/chart" uri="{C3380CC4-5D6E-409C-BE32-E72D297353CC}">
              <c16:uniqueId val="{00000002-935F-40BE-A4FA-1BDE9DAC1635}"/>
            </c:ext>
          </c:extLst>
        </c:ser>
        <c:dLbls>
          <c:showLegendKey val="0"/>
          <c:showVal val="0"/>
          <c:showCatName val="0"/>
          <c:showSerName val="0"/>
          <c:showPercent val="0"/>
          <c:showBubbleSize val="0"/>
        </c:dLbls>
        <c:smooth val="0"/>
        <c:axId val="326392448"/>
        <c:axId val="326414720"/>
      </c:lineChart>
      <c:catAx>
        <c:axId val="326392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414720"/>
        <c:crosses val="autoZero"/>
        <c:auto val="1"/>
        <c:lblAlgn val="ctr"/>
        <c:lblOffset val="100"/>
        <c:noMultiLvlLbl val="0"/>
      </c:catAx>
      <c:valAx>
        <c:axId val="326414720"/>
        <c:scaling>
          <c:orientation val="minMax"/>
          <c:max val="7"/>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392448"/>
        <c:crosses val="autoZero"/>
        <c:crossBetween val="between"/>
        <c:majorUnit val="1"/>
      </c:valAx>
      <c:spPr>
        <a:noFill/>
        <a:ln>
          <a:noFill/>
        </a:ln>
        <a:effectLst/>
      </c:spPr>
    </c:plotArea>
    <c:legend>
      <c:legendPos val="b"/>
      <c:layout>
        <c:manualLayout>
          <c:xMode val="edge"/>
          <c:yMode val="edge"/>
          <c:x val="5.8843537414965986E-2"/>
          <c:y val="0.80372399534053762"/>
          <c:w val="0.83130122127591199"/>
          <c:h val="9.2976776106579506E-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3619698175608326"/>
          <c:h val="0.66128895652749531"/>
        </c:manualLayout>
      </c:layout>
      <c:barChart>
        <c:barDir val="col"/>
        <c:grouping val="clustered"/>
        <c:varyColors val="0"/>
        <c:ser>
          <c:idx val="1"/>
          <c:order val="1"/>
          <c:tx>
            <c:strRef>
              <c:f>Sheet1!$A$3</c:f>
              <c:strCache>
                <c:ptCount val="1"/>
                <c:pt idx="0">
                  <c:v>Ապրանքների  հաշվեկշիռ</c:v>
                </c:pt>
              </c:strCache>
            </c:strRef>
          </c:tx>
          <c:spPr>
            <a:solidFill>
              <a:srgbClr val="C00000"/>
            </a:solidFill>
            <a:ln>
              <a:solidFill>
                <a:srgbClr val="C00000"/>
              </a:solidFill>
              <a:headEnd type="none"/>
              <a:tailEnd type="none"/>
            </a:ln>
            <a:effectLst/>
          </c:spPr>
          <c:invertIfNegative val="0"/>
          <c:cat>
            <c:strRef>
              <c:f>Sheet1!$B$1:$G$1</c:f>
              <c:strCache>
                <c:ptCount val="5"/>
                <c:pt idx="0">
                  <c:v>2018</c:v>
                </c:pt>
                <c:pt idx="1">
                  <c:v>2019</c:v>
                </c:pt>
                <c:pt idx="2">
                  <c:v>2020</c:v>
                </c:pt>
                <c:pt idx="3">
                  <c:v>2021*</c:v>
                </c:pt>
                <c:pt idx="4">
                  <c:v>2022*</c:v>
                </c:pt>
              </c:strCache>
            </c:strRef>
          </c:cat>
          <c:val>
            <c:numRef>
              <c:f>Sheet1!$B$3:$G$3</c:f>
              <c:numCache>
                <c:formatCode>0.0</c:formatCode>
                <c:ptCount val="5"/>
                <c:pt idx="0">
                  <c:v>-13.644258321979095</c:v>
                </c:pt>
                <c:pt idx="1">
                  <c:v>-13.178759026162695</c:v>
                </c:pt>
                <c:pt idx="2">
                  <c:v>-9.9365626834245582</c:v>
                </c:pt>
                <c:pt idx="3">
                  <c:v>-9.6177083976925388</c:v>
                </c:pt>
                <c:pt idx="4">
                  <c:v>-10.864425611484364</c:v>
                </c:pt>
              </c:numCache>
            </c:numRef>
          </c:val>
          <c:extLst>
            <c:ext xmlns:c16="http://schemas.microsoft.com/office/drawing/2014/chart" uri="{C3380CC4-5D6E-409C-BE32-E72D297353CC}">
              <c16:uniqueId val="{00000000-799A-42B8-A905-5FB69E1989A4}"/>
            </c:ext>
          </c:extLst>
        </c:ser>
        <c:ser>
          <c:idx val="2"/>
          <c:order val="2"/>
          <c:tx>
            <c:strRef>
              <c:f>Sheet1!$A$4</c:f>
              <c:strCache>
                <c:ptCount val="1"/>
                <c:pt idx="0">
                  <c:v>Դրամական փոխանցումներ</c:v>
                </c:pt>
              </c:strCache>
            </c:strRef>
          </c:tx>
          <c:spPr>
            <a:solidFill>
              <a:srgbClr val="0070C0"/>
            </a:solidFill>
            <a:ln>
              <a:solidFill>
                <a:srgbClr val="0070C0"/>
              </a:solidFill>
            </a:ln>
            <a:effectLst/>
          </c:spPr>
          <c:invertIfNegative val="0"/>
          <c:cat>
            <c:strRef>
              <c:f>Sheet1!$B$1:$G$1</c:f>
              <c:strCache>
                <c:ptCount val="5"/>
                <c:pt idx="0">
                  <c:v>2018</c:v>
                </c:pt>
                <c:pt idx="1">
                  <c:v>2019</c:v>
                </c:pt>
                <c:pt idx="2">
                  <c:v>2020</c:v>
                </c:pt>
                <c:pt idx="3">
                  <c:v>2021*</c:v>
                </c:pt>
                <c:pt idx="4">
                  <c:v>2022*</c:v>
                </c:pt>
              </c:strCache>
            </c:strRef>
          </c:cat>
          <c:val>
            <c:numRef>
              <c:f>Sheet1!$B$4:$G$4</c:f>
              <c:numCache>
                <c:formatCode>0.0</c:formatCode>
                <c:ptCount val="5"/>
                <c:pt idx="0">
                  <c:v>9.12006102267061</c:v>
                </c:pt>
                <c:pt idx="1">
                  <c:v>8.3981963185381812</c:v>
                </c:pt>
                <c:pt idx="2">
                  <c:v>8.2287451267512584</c:v>
                </c:pt>
                <c:pt idx="3">
                  <c:v>10.080247029154878</c:v>
                </c:pt>
                <c:pt idx="4">
                  <c:v>9.626998654260758</c:v>
                </c:pt>
              </c:numCache>
            </c:numRef>
          </c:val>
          <c:extLst>
            <c:ext xmlns:c16="http://schemas.microsoft.com/office/drawing/2014/chart" uri="{C3380CC4-5D6E-409C-BE32-E72D297353CC}">
              <c16:uniqueId val="{00000001-799A-42B8-A905-5FB69E1989A4}"/>
            </c:ext>
          </c:extLst>
        </c:ser>
        <c:ser>
          <c:idx val="3"/>
          <c:order val="3"/>
          <c:tx>
            <c:strRef>
              <c:f>Sheet1!$A$5</c:f>
              <c:strCache>
                <c:ptCount val="1"/>
                <c:pt idx="0">
                  <c:v>Ծառայությունների հաշվեկշիռ</c:v>
                </c:pt>
              </c:strCache>
            </c:strRef>
          </c:tx>
          <c:spPr>
            <a:solidFill>
              <a:srgbClr val="ED7D31"/>
            </a:solidFill>
            <a:ln w="28575" cap="rnd">
              <a:solidFill>
                <a:srgbClr val="ED7D31"/>
              </a:solidFill>
              <a:round/>
            </a:ln>
            <a:effectLst/>
          </c:spPr>
          <c:invertIfNegative val="0"/>
          <c:cat>
            <c:strRef>
              <c:f>Sheet1!$B$1:$G$1</c:f>
              <c:strCache>
                <c:ptCount val="5"/>
                <c:pt idx="0">
                  <c:v>2018</c:v>
                </c:pt>
                <c:pt idx="1">
                  <c:v>2019</c:v>
                </c:pt>
                <c:pt idx="2">
                  <c:v>2020</c:v>
                </c:pt>
                <c:pt idx="3">
                  <c:v>2021*</c:v>
                </c:pt>
                <c:pt idx="4">
                  <c:v>2022*</c:v>
                </c:pt>
              </c:strCache>
            </c:strRef>
          </c:cat>
          <c:val>
            <c:numRef>
              <c:f>Sheet1!$B$5:$G$5</c:f>
              <c:numCache>
                <c:formatCode>0.0</c:formatCode>
                <c:ptCount val="5"/>
                <c:pt idx="0">
                  <c:v>0.19789519811247197</c:v>
                </c:pt>
                <c:pt idx="1">
                  <c:v>-0.49137771962102195</c:v>
                </c:pt>
                <c:pt idx="2">
                  <c:v>0.79215216104683872</c:v>
                </c:pt>
                <c:pt idx="3">
                  <c:v>0.8696992818394681</c:v>
                </c:pt>
                <c:pt idx="4">
                  <c:v>0.96873569646584623</c:v>
                </c:pt>
              </c:numCache>
            </c:numRef>
          </c:val>
          <c:extLst>
            <c:ext xmlns:c16="http://schemas.microsoft.com/office/drawing/2014/chart" uri="{C3380CC4-5D6E-409C-BE32-E72D297353CC}">
              <c16:uniqueId val="{00000002-799A-42B8-A905-5FB69E1989A4}"/>
            </c:ext>
          </c:extLst>
        </c:ser>
        <c:dLbls>
          <c:showLegendKey val="0"/>
          <c:showVal val="0"/>
          <c:showCatName val="0"/>
          <c:showSerName val="0"/>
          <c:showPercent val="0"/>
          <c:showBubbleSize val="0"/>
        </c:dLbls>
        <c:gapWidth val="150"/>
        <c:axId val="326717824"/>
        <c:axId val="326711936"/>
      </c:barChart>
      <c:lineChart>
        <c:grouping val="stacked"/>
        <c:varyColors val="0"/>
        <c:ser>
          <c:idx val="0"/>
          <c:order val="0"/>
          <c:tx>
            <c:strRef>
              <c:f>Sheet1!$A$2</c:f>
              <c:strCache>
                <c:ptCount val="1"/>
                <c:pt idx="0">
                  <c:v>Ընթացիկ հաշիվ</c:v>
                </c:pt>
              </c:strCache>
            </c:strRef>
          </c:tx>
          <c:spPr>
            <a:ln w="28575" cap="rnd">
              <a:solidFill>
                <a:srgbClr val="FFC000">
                  <a:lumMod val="60000"/>
                  <a:lumOff val="40000"/>
                </a:srgbClr>
              </a:solidFill>
              <a:round/>
            </a:ln>
            <a:effectLst/>
          </c:spPr>
          <c:marker>
            <c:symbol val="circle"/>
            <c:size val="5"/>
            <c:spPr>
              <a:solidFill>
                <a:srgbClr val="FFC000">
                  <a:lumMod val="60000"/>
                  <a:lumOff val="40000"/>
                </a:srgbClr>
              </a:solidFill>
              <a:ln w="9525">
                <a:solidFill>
                  <a:srgbClr val="FFC000">
                    <a:lumMod val="60000"/>
                    <a:lumOff val="40000"/>
                  </a:srgb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cap="none" spc="0" baseline="0">
                    <a:ln w="0"/>
                    <a:solidFill>
                      <a:schemeClr val="tx1"/>
                    </a:solidFill>
                    <a:effectLst>
                      <a:outerShdw blurRad="38100" dist="19050" dir="2700000" algn="tl" rotWithShape="0">
                        <a:schemeClr val="dk1">
                          <a:alpha val="40000"/>
                        </a:schemeClr>
                      </a:outerShdw>
                    </a:effectLst>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5"/>
                <c:pt idx="0">
                  <c:v>2018</c:v>
                </c:pt>
                <c:pt idx="1">
                  <c:v>2019</c:v>
                </c:pt>
                <c:pt idx="2">
                  <c:v>2020</c:v>
                </c:pt>
                <c:pt idx="3">
                  <c:v>2021*</c:v>
                </c:pt>
                <c:pt idx="4">
                  <c:v>2022*</c:v>
                </c:pt>
              </c:strCache>
            </c:strRef>
          </c:cat>
          <c:val>
            <c:numRef>
              <c:f>Sheet1!$B$2:$G$2</c:f>
              <c:numCache>
                <c:formatCode>0.0</c:formatCode>
                <c:ptCount val="5"/>
                <c:pt idx="0">
                  <c:v>-7.0305485843998303</c:v>
                </c:pt>
                <c:pt idx="1">
                  <c:v>-7.3591240712202897</c:v>
                </c:pt>
                <c:pt idx="2">
                  <c:v>-3.786869106981785</c:v>
                </c:pt>
                <c:pt idx="3">
                  <c:v>-1.7423409000493983</c:v>
                </c:pt>
                <c:pt idx="4">
                  <c:v>-2.9865455559182683</c:v>
                </c:pt>
              </c:numCache>
            </c:numRef>
          </c:val>
          <c:smooth val="0"/>
          <c:extLst>
            <c:ext xmlns:c16="http://schemas.microsoft.com/office/drawing/2014/chart" uri="{C3380CC4-5D6E-409C-BE32-E72D297353CC}">
              <c16:uniqueId val="{00000003-799A-42B8-A905-5FB69E1989A4}"/>
            </c:ext>
          </c:extLst>
        </c:ser>
        <c:dLbls>
          <c:showLegendKey val="0"/>
          <c:showVal val="0"/>
          <c:showCatName val="0"/>
          <c:showSerName val="0"/>
          <c:showPercent val="0"/>
          <c:showBubbleSize val="0"/>
        </c:dLbls>
        <c:marker val="1"/>
        <c:smooth val="0"/>
        <c:axId val="326720896"/>
        <c:axId val="326719360"/>
      </c:lineChart>
      <c:valAx>
        <c:axId val="326711936"/>
        <c:scaling>
          <c:orientation val="minMax"/>
          <c:max val="11"/>
          <c:min val="-1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17824"/>
        <c:crosses val="autoZero"/>
        <c:crossBetween val="between"/>
      </c:valAx>
      <c:catAx>
        <c:axId val="32671782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711936"/>
        <c:crosses val="autoZero"/>
        <c:auto val="1"/>
        <c:lblAlgn val="ctr"/>
        <c:lblOffset val="100"/>
        <c:noMultiLvlLbl val="0"/>
      </c:catAx>
      <c:valAx>
        <c:axId val="326719360"/>
        <c:scaling>
          <c:orientation val="minMax"/>
        </c:scaling>
        <c:delete val="1"/>
        <c:axPos val="r"/>
        <c:numFmt formatCode="0.0" sourceLinked="1"/>
        <c:majorTickMark val="out"/>
        <c:minorTickMark val="none"/>
        <c:tickLblPos val="none"/>
        <c:crossAx val="326720896"/>
        <c:crosses val="max"/>
        <c:crossBetween val="between"/>
      </c:valAx>
      <c:catAx>
        <c:axId val="326720896"/>
        <c:scaling>
          <c:orientation val="minMax"/>
        </c:scaling>
        <c:delete val="1"/>
        <c:axPos val="b"/>
        <c:numFmt formatCode="General" sourceLinked="1"/>
        <c:majorTickMark val="out"/>
        <c:minorTickMark val="none"/>
        <c:tickLblPos val="none"/>
        <c:crossAx val="326719360"/>
        <c:crosses val="autoZero"/>
        <c:auto val="1"/>
        <c:lblAlgn val="ctr"/>
        <c:lblOffset val="100"/>
        <c:noMultiLvlLbl val="0"/>
      </c:catAx>
      <c:spPr>
        <a:solidFill>
          <a:schemeClr val="bg1"/>
        </a:solidFill>
        <a:ln>
          <a:noFill/>
        </a:ln>
        <a:effectLst/>
      </c:spPr>
    </c:plotArea>
    <c:legend>
      <c:legendPos val="b"/>
      <c:layout>
        <c:manualLayout>
          <c:xMode val="edge"/>
          <c:yMode val="edge"/>
          <c:x val="5.3783209225543877E-3"/>
          <c:y val="0.7846087943437805"/>
          <c:w val="0.97570090670484499"/>
          <c:h val="0.21539120565621953"/>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zero"/>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0353496275395"/>
          <c:y val="2.7462631000912119E-2"/>
          <c:w val="0.86378599935282063"/>
          <c:h val="0.73564911528916299"/>
        </c:manualLayout>
      </c:layout>
      <c:barChart>
        <c:barDir val="col"/>
        <c:grouping val="clustered"/>
        <c:varyColors val="0"/>
        <c:ser>
          <c:idx val="0"/>
          <c:order val="0"/>
          <c:tx>
            <c:strRef>
              <c:f>Sheet1!$A$2</c:f>
              <c:strCache>
                <c:ptCount val="1"/>
                <c:pt idx="0">
                  <c:v>Ապրանքների և ծառայությունների արտահանում</c:v>
                </c:pt>
              </c:strCache>
            </c:strRef>
          </c:tx>
          <c:spPr>
            <a:ln w="28575" cap="rnd">
              <a:solidFill>
                <a:srgbClr val="4472C4"/>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Sheet1!$B$1:$F$1</c:f>
              <c:strCache>
                <c:ptCount val="5"/>
                <c:pt idx="0">
                  <c:v>2018</c:v>
                </c:pt>
                <c:pt idx="1">
                  <c:v>2019</c:v>
                </c:pt>
                <c:pt idx="2">
                  <c:v>2020</c:v>
                </c:pt>
                <c:pt idx="3">
                  <c:v>2021*</c:v>
                </c:pt>
                <c:pt idx="4">
                  <c:v>2022*</c:v>
                </c:pt>
              </c:strCache>
            </c:strRef>
          </c:cat>
          <c:val>
            <c:numRef>
              <c:f>Sheet1!$B$2:$F$2</c:f>
              <c:numCache>
                <c:formatCode>0.0</c:formatCode>
                <c:ptCount val="5"/>
                <c:pt idx="0">
                  <c:v>39.667608515572965</c:v>
                </c:pt>
                <c:pt idx="1">
                  <c:v>41.985467543342466</c:v>
                </c:pt>
                <c:pt idx="2">
                  <c:v>29.764298371950591</c:v>
                </c:pt>
                <c:pt idx="3">
                  <c:v>32.581679137168507</c:v>
                </c:pt>
                <c:pt idx="4">
                  <c:v>34.5479475509227</c:v>
                </c:pt>
              </c:numCache>
            </c:numRef>
          </c:val>
          <c:extLst>
            <c:ext xmlns:c16="http://schemas.microsoft.com/office/drawing/2014/chart" uri="{C3380CC4-5D6E-409C-BE32-E72D297353CC}">
              <c16:uniqueId val="{00000000-6B07-4DE6-8540-86FB64FABC9A}"/>
            </c:ext>
          </c:extLst>
        </c:ser>
        <c:ser>
          <c:idx val="1"/>
          <c:order val="1"/>
          <c:tx>
            <c:strRef>
              <c:f>Sheet1!$A$3</c:f>
              <c:strCache>
                <c:ptCount val="1"/>
                <c:pt idx="0">
                  <c:v>Ապրանքների և ծառայությունների ներմուծում</c:v>
                </c:pt>
              </c:strCache>
            </c:strRef>
          </c:tx>
          <c:spPr>
            <a:solidFill>
              <a:srgbClr val="C00000"/>
            </a:solidFill>
            <a:ln>
              <a:solidFill>
                <a:srgbClr val="C00000"/>
              </a:solidFill>
              <a:headEnd type="none"/>
              <a:tailEnd type="none"/>
            </a:ln>
            <a:effectLst/>
          </c:spPr>
          <c:invertIfNegative val="0"/>
          <c:dLbls>
            <c:spPr>
              <a:noFill/>
              <a:ln>
                <a:noFill/>
              </a:ln>
              <a:effectLst/>
            </c:spPr>
            <c:txPr>
              <a:bodyPr wrap="square" lIns="38100" tIns="19050" rIns="38100" bIns="19050" anchor="ctr">
                <a:spAutoFit/>
              </a:bodyPr>
              <a:lstStyle/>
              <a:p>
                <a:pPr>
                  <a:defRPr sz="8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2018</c:v>
                </c:pt>
                <c:pt idx="1">
                  <c:v>2019</c:v>
                </c:pt>
                <c:pt idx="2">
                  <c:v>2020</c:v>
                </c:pt>
                <c:pt idx="3">
                  <c:v>2021*</c:v>
                </c:pt>
                <c:pt idx="4">
                  <c:v>2022*</c:v>
                </c:pt>
              </c:strCache>
            </c:strRef>
          </c:cat>
          <c:val>
            <c:numRef>
              <c:f>Sheet1!$B$3:$F$3</c:f>
              <c:numCache>
                <c:formatCode>0.0</c:formatCode>
                <c:ptCount val="5"/>
                <c:pt idx="0">
                  <c:v>53.31186683755206</c:v>
                </c:pt>
                <c:pt idx="1">
                  <c:v>55.164226569505161</c:v>
                </c:pt>
                <c:pt idx="2">
                  <c:v>39.70086105537515</c:v>
                </c:pt>
                <c:pt idx="3">
                  <c:v>42.199387534861046</c:v>
                </c:pt>
                <c:pt idx="4">
                  <c:v>45.412373162407064</c:v>
                </c:pt>
              </c:numCache>
            </c:numRef>
          </c:val>
          <c:extLst>
            <c:ext xmlns:c16="http://schemas.microsoft.com/office/drawing/2014/chart" uri="{C3380CC4-5D6E-409C-BE32-E72D297353CC}">
              <c16:uniqueId val="{00000001-6B07-4DE6-8540-86FB64FABC9A}"/>
            </c:ext>
          </c:extLst>
        </c:ser>
        <c:dLbls>
          <c:showLegendKey val="0"/>
          <c:showVal val="0"/>
          <c:showCatName val="0"/>
          <c:showSerName val="0"/>
          <c:showPercent val="0"/>
          <c:showBubbleSize val="0"/>
        </c:dLbls>
        <c:gapWidth val="150"/>
        <c:axId val="326758784"/>
        <c:axId val="326589056"/>
      </c:barChart>
      <c:valAx>
        <c:axId val="326589056"/>
        <c:scaling>
          <c:orientation val="minMax"/>
          <c:min val="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600" b="1" i="0" u="none" strike="noStrike" kern="1200" baseline="0">
                <a:solidFill>
                  <a:schemeClr val="tx1">
                    <a:lumMod val="95000"/>
                    <a:lumOff val="5000"/>
                  </a:schemeClr>
                </a:solidFill>
                <a:latin typeface="+mn-lt"/>
                <a:ea typeface="+mn-ea"/>
                <a:cs typeface="+mn-cs"/>
              </a:defRPr>
            </a:pPr>
            <a:endParaRPr lang="en-US"/>
          </a:p>
        </c:txPr>
        <c:crossAx val="326758784"/>
        <c:crosses val="autoZero"/>
        <c:crossBetween val="between"/>
        <c:majorUnit val="10"/>
      </c:valAx>
      <c:catAx>
        <c:axId val="326758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6589056"/>
        <c:crosses val="autoZero"/>
        <c:auto val="1"/>
        <c:lblAlgn val="ctr"/>
        <c:lblOffset val="100"/>
        <c:noMultiLvlLbl val="0"/>
      </c:catAx>
      <c:spPr>
        <a:solidFill>
          <a:schemeClr val="bg1"/>
        </a:solidFill>
        <a:ln>
          <a:noFill/>
        </a:ln>
        <a:effectLst/>
      </c:spPr>
    </c:plotArea>
    <c:legend>
      <c:legendPos val="b"/>
      <c:layout>
        <c:manualLayout>
          <c:xMode val="edge"/>
          <c:yMode val="edge"/>
          <c:x val="2.3948413133595012E-2"/>
          <c:y val="0.85107968646776433"/>
          <c:w val="0.92111602488045008"/>
          <c:h val="0.14008205652993741"/>
        </c:manualLayout>
      </c:layout>
      <c:overlay val="0"/>
      <c:spPr>
        <a:noFill/>
        <a:ln>
          <a:noFill/>
        </a:ln>
        <a:effectLst/>
      </c:spPr>
      <c:txPr>
        <a:bodyPr rot="0" spcFirstLastPara="1" vertOverflow="ellipsis" vert="horz" wrap="square" anchor="ctr" anchorCtr="1"/>
        <a:lstStyle/>
        <a:p>
          <a:pPr algn="just">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6"/>
          <c:y val="7.7192982456140605E-2"/>
          <c:w val="0.85358700104683449"/>
          <c:h val="0.53218566100289999"/>
        </c:manualLayout>
      </c:layout>
      <c:lineChart>
        <c:grouping val="standard"/>
        <c:varyColors val="0"/>
        <c:ser>
          <c:idx val="0"/>
          <c:order val="0"/>
          <c:tx>
            <c:strRef>
              <c:f>Sheet1!$A$2</c:f>
              <c:strCache>
                <c:ptCount val="1"/>
                <c:pt idx="0">
                  <c:v>12 ամսյա փոփոխություն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Sheet1!$B$2:$I$2</c:f>
              <c:numCache>
                <c:formatCode>0.0</c:formatCode>
                <c:ptCount val="8"/>
                <c:pt idx="0">
                  <c:v>-7.5999999999999943</c:v>
                </c:pt>
                <c:pt idx="1">
                  <c:v>-1</c:v>
                </c:pt>
                <c:pt idx="2">
                  <c:v>19.900000000000006</c:v>
                </c:pt>
                <c:pt idx="3">
                  <c:v>64.300000000000011</c:v>
                </c:pt>
                <c:pt idx="4">
                  <c:v>37.099999999999994</c:v>
                </c:pt>
                <c:pt idx="5">
                  <c:v>31.300000000000011</c:v>
                </c:pt>
                <c:pt idx="6">
                  <c:v>24.299999999999997</c:v>
                </c:pt>
                <c:pt idx="7">
                  <c:v>13.900000000000006</c:v>
                </c:pt>
              </c:numCache>
            </c:numRef>
          </c:val>
          <c:smooth val="0"/>
          <c:extLst>
            <c:ext xmlns:c16="http://schemas.microsoft.com/office/drawing/2014/chart" uri="{C3380CC4-5D6E-409C-BE32-E72D297353CC}">
              <c16:uniqueId val="{00000000-2FF0-4882-96A6-48ECF3E972F5}"/>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dLbl>
              <c:idx val="0"/>
              <c:layout>
                <c:manualLayout>
                  <c:x val="-2.6974951830443159E-2"/>
                  <c:y val="5.00782472613457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FF0-4882-96A6-48ECF3E972F5}"/>
                </c:ext>
              </c:extLst>
            </c:dLbl>
            <c:dLbl>
              <c:idx val="1"/>
              <c:layout>
                <c:manualLayout>
                  <c:x val="-1.1560693641618497E-2"/>
                  <c:y val="5.6338028169014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FF0-4882-96A6-48ECF3E972F5}"/>
                </c:ext>
              </c:extLst>
            </c:dLbl>
            <c:dLbl>
              <c:idx val="2"/>
              <c:delete val="1"/>
              <c:extLst>
                <c:ext xmlns:c15="http://schemas.microsoft.com/office/drawing/2012/chart" uri="{CE6537A1-D6FC-4f65-9D91-7224C49458BB}"/>
                <c:ext xmlns:c16="http://schemas.microsoft.com/office/drawing/2014/chart" uri="{C3380CC4-5D6E-409C-BE32-E72D297353CC}">
                  <c16:uniqueId val="{00000003-2FF0-4882-96A6-48ECF3E972F5}"/>
                </c:ext>
              </c:extLst>
            </c:dLbl>
            <c:dLbl>
              <c:idx val="3"/>
              <c:layout>
                <c:manualLayout>
                  <c:x val="-4.6242774566474062E-2"/>
                  <c:y val="6.4311116040072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F0-4882-96A6-48ECF3E972F5}"/>
                </c:ext>
              </c:extLst>
            </c:dLbl>
            <c:dLbl>
              <c:idx val="4"/>
              <c:layout>
                <c:manualLayout>
                  <c:x val="-1.5414258188824592E-2"/>
                  <c:y val="4.91228070175438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F0-4882-96A6-48ECF3E972F5}"/>
                </c:ext>
              </c:extLst>
            </c:dLbl>
            <c:dLbl>
              <c:idx val="5"/>
              <c:layout>
                <c:manualLayout>
                  <c:x val="-2.6974951830443159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FF0-4882-96A6-48ECF3E972F5}"/>
                </c:ext>
              </c:extLst>
            </c:dLbl>
            <c:dLbl>
              <c:idx val="6"/>
              <c:layout>
                <c:manualLayout>
                  <c:x val="-3.8535645472061654E-2"/>
                  <c:y val="5.689795817776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F0-4882-96A6-48ECF3E972F5}"/>
                </c:ext>
              </c:extLst>
            </c:dLbl>
            <c:dLbl>
              <c:idx val="7"/>
              <c:layout>
                <c:manualLayout>
                  <c:x val="-2.6974951830443301E-2"/>
                  <c:y val="-6.1279804813130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FF0-4882-96A6-48ECF3E972F5}"/>
                </c:ext>
              </c:extLst>
            </c:dLbl>
            <c:dLbl>
              <c:idx val="8"/>
              <c:layout>
                <c:manualLayout>
                  <c:x val="-4.238921001926782E-2"/>
                  <c:y val="6.31578947368421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FF0-4882-96A6-48ECF3E972F5}"/>
                </c:ext>
              </c:extLst>
            </c:dLbl>
            <c:dLbl>
              <c:idx val="9"/>
              <c:layout>
                <c:manualLayout>
                  <c:x val="-2.3121387283236993E-2"/>
                  <c:y val="7.01754385964912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FF0-4882-96A6-48ECF3E972F5}"/>
                </c:ext>
              </c:extLst>
            </c:dLbl>
            <c:spPr>
              <a:noFill/>
              <a:ln>
                <a:noFill/>
              </a:ln>
              <a:effectLst/>
            </c:spPr>
            <c:txPr>
              <a:bodyPr/>
              <a:lstStyle/>
              <a:p>
                <a:pPr>
                  <a:defRPr b="1">
                    <a:solidFill>
                      <a:srgbClr val="990033"/>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8"/>
                <c:pt idx="0">
                  <c:v>հունվար</c:v>
                </c:pt>
                <c:pt idx="1">
                  <c:v>փետրվար</c:v>
                </c:pt>
                <c:pt idx="2">
                  <c:v>մարտ</c:v>
                </c:pt>
                <c:pt idx="3">
                  <c:v>ապրիլ</c:v>
                </c:pt>
                <c:pt idx="4">
                  <c:v>մայիս</c:v>
                </c:pt>
                <c:pt idx="5">
                  <c:v>հունիս</c:v>
                </c:pt>
                <c:pt idx="6">
                  <c:v>հուլիս</c:v>
                </c:pt>
                <c:pt idx="7">
                  <c:v>օգոստոս</c:v>
                </c:pt>
              </c:strCache>
            </c:strRef>
          </c:cat>
          <c:val>
            <c:numRef>
              <c:f>Sheet1!$B$3:$I$3</c:f>
              <c:numCache>
                <c:formatCode>0.0</c:formatCode>
                <c:ptCount val="8"/>
                <c:pt idx="0">
                  <c:v>-7.5999999999999801</c:v>
                </c:pt>
                <c:pt idx="1">
                  <c:v>-4.0966066481994545</c:v>
                </c:pt>
                <c:pt idx="2">
                  <c:v>3.7114366660808855</c:v>
                </c:pt>
                <c:pt idx="3">
                  <c:v>16.43022202826954</c:v>
                </c:pt>
                <c:pt idx="4">
                  <c:v>20.867873601539515</c:v>
                </c:pt>
                <c:pt idx="5">
                  <c:v>22.942751413008835</c:v>
                </c:pt>
                <c:pt idx="6">
                  <c:v>23.161063782467608</c:v>
                </c:pt>
                <c:pt idx="7">
                  <c:v>21.761863237321606</c:v>
                </c:pt>
              </c:numCache>
            </c:numRef>
          </c:val>
          <c:smooth val="0"/>
          <c:extLst>
            <c:ext xmlns:c16="http://schemas.microsoft.com/office/drawing/2014/chart" uri="{C3380CC4-5D6E-409C-BE32-E72D297353CC}">
              <c16:uniqueId val="{0000000B-2FF0-4882-96A6-48ECF3E972F5}"/>
            </c:ext>
          </c:extLst>
        </c:ser>
        <c:dLbls>
          <c:showLegendKey val="0"/>
          <c:showVal val="0"/>
          <c:showCatName val="0"/>
          <c:showSerName val="0"/>
          <c:showPercent val="0"/>
          <c:showBubbleSize val="0"/>
        </c:dLbls>
        <c:marker val="1"/>
        <c:smooth val="0"/>
        <c:axId val="326868352"/>
        <c:axId val="326902912"/>
      </c:lineChart>
      <c:catAx>
        <c:axId val="3268683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02912"/>
        <c:crosses val="autoZero"/>
        <c:auto val="1"/>
        <c:lblAlgn val="ctr"/>
        <c:lblOffset val="100"/>
        <c:noMultiLvlLbl val="0"/>
      </c:catAx>
      <c:valAx>
        <c:axId val="32690291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868352"/>
        <c:crosses val="autoZero"/>
        <c:crossBetween val="between"/>
        <c:majorUnit val="10"/>
      </c:valAx>
      <c:spPr>
        <a:noFill/>
        <a:ln>
          <a:noFill/>
        </a:ln>
        <a:effectLst/>
      </c:spPr>
    </c:plotArea>
    <c:legend>
      <c:legendPos val="b"/>
      <c:layout>
        <c:manualLayout>
          <c:xMode val="edge"/>
          <c:yMode val="edge"/>
          <c:x val="1.7440690881381768E-2"/>
          <c:y val="0.80522613620665839"/>
          <c:w val="0.97802150537634414"/>
          <c:h val="0.15266860063544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52192175627783854"/>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5.4262288421377688E-2"/>
                  <c:y val="-3.15183479423562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D7-425C-A2E2-6BD56D1DEF8C}"/>
                </c:ext>
              </c:extLst>
            </c:dLbl>
            <c:dLbl>
              <c:idx val="1"/>
              <c:layout>
                <c:manualLayout>
                  <c:x val="-2.1651349308890587E-2"/>
                  <c:y val="-4.421861329833773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7D7-425C-A2E2-6BD56D1DEF8C}"/>
                </c:ext>
              </c:extLst>
            </c:dLbl>
            <c:dLbl>
              <c:idx val="2"/>
              <c:layout>
                <c:manualLayout>
                  <c:x val="-3.4272527079625893E-2"/>
                  <c:y val="-6.50519466316710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D7-425C-A2E2-6BD56D1DEF8C}"/>
                </c:ext>
              </c:extLst>
            </c:dLbl>
            <c:dLbl>
              <c:idx val="3"/>
              <c:layout>
                <c:manualLayout>
                  <c:x val="-6.9360246377871512E-2"/>
                  <c:y val="5.99480533683290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7D7-425C-A2E2-6BD56D1DEF8C}"/>
                </c:ext>
              </c:extLst>
            </c:dLbl>
            <c:dLbl>
              <c:idx val="4"/>
              <c:layout>
                <c:manualLayout>
                  <c:x val="-6.4375807513224928E-2"/>
                  <c:y val="6.68924978127734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D7-425C-A2E2-6BD56D1DEF8C}"/>
                </c:ext>
              </c:extLst>
            </c:dLbl>
            <c:dLbl>
              <c:idx val="5"/>
              <c:layout>
                <c:manualLayout>
                  <c:x val="-6.9256884685079997E-2"/>
                  <c:y val="6.03078521434820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7D7-425C-A2E2-6BD56D1DEF8C}"/>
                </c:ext>
              </c:extLst>
            </c:dLbl>
            <c:dLbl>
              <c:idx val="6"/>
              <c:layout>
                <c:manualLayout>
                  <c:x val="-6.56967569456295E-2"/>
                  <c:y val="5.96669947506562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D7-425C-A2E2-6BD56D1DEF8C}"/>
                </c:ext>
              </c:extLst>
            </c:dLbl>
            <c:dLbl>
              <c:idx val="7"/>
              <c:layout>
                <c:manualLayout>
                  <c:x val="-6.56967569456295E-2"/>
                  <c:y val="6.04144794400699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7D7-425C-A2E2-6BD56D1DEF8C}"/>
                </c:ext>
              </c:extLst>
            </c:dLbl>
            <c:dLbl>
              <c:idx val="8"/>
              <c:layout>
                <c:manualLayout>
                  <c:x val="-4.0763511372223997E-2"/>
                  <c:y val="6.746609798775150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D7-425C-A2E2-6BD56D1DEF8C}"/>
                </c:ext>
              </c:extLst>
            </c:dLbl>
            <c:spPr>
              <a:noFill/>
              <a:ln>
                <a:noFill/>
              </a:ln>
              <a:effectLst/>
            </c:spPr>
            <c:txPr>
              <a:bodyPr/>
              <a:lstStyle/>
              <a:p>
                <a:pPr>
                  <a:defRPr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Sheet1!$B$2:$H$2</c:f>
              <c:numCache>
                <c:formatCode>0.0</c:formatCode>
                <c:ptCount val="7"/>
                <c:pt idx="0">
                  <c:v>-16.333448913510452</c:v>
                </c:pt>
                <c:pt idx="1">
                  <c:v>-14.028754642553395</c:v>
                </c:pt>
                <c:pt idx="2">
                  <c:v>-7.9393825897907391</c:v>
                </c:pt>
                <c:pt idx="3">
                  <c:v>3.6916617016594415</c:v>
                </c:pt>
                <c:pt idx="4">
                  <c:v>4.853192802181681</c:v>
                </c:pt>
                <c:pt idx="5">
                  <c:v>5.1791005531108141</c:v>
                </c:pt>
                <c:pt idx="6">
                  <c:v>5.6232876574529627</c:v>
                </c:pt>
              </c:numCache>
            </c:numRef>
          </c:val>
          <c:smooth val="0"/>
          <c:extLst>
            <c:ext xmlns:c16="http://schemas.microsoft.com/office/drawing/2014/chart" uri="{C3380CC4-5D6E-409C-BE32-E72D297353CC}">
              <c16:uniqueId val="{00000009-57D7-425C-A2E2-6BD56D1DEF8C}"/>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c:v>
                </c:pt>
              </c:strCache>
            </c:strRef>
          </c:cat>
          <c:val>
            <c:numRef>
              <c:f>Sheet1!$B$3:$H$3</c:f>
              <c:numCache>
                <c:formatCode>0.0</c:formatCode>
                <c:ptCount val="7"/>
                <c:pt idx="0">
                  <c:v>19.599999999999994</c:v>
                </c:pt>
                <c:pt idx="1">
                  <c:v>21.599999999999994</c:v>
                </c:pt>
                <c:pt idx="2">
                  <c:v>22.400000000000006</c:v>
                </c:pt>
                <c:pt idx="3">
                  <c:v>22.200000000000003</c:v>
                </c:pt>
                <c:pt idx="4">
                  <c:v>24.900000000000006</c:v>
                </c:pt>
                <c:pt idx="5">
                  <c:v>26.299999999999997</c:v>
                </c:pt>
                <c:pt idx="6">
                  <c:v>24.700000000000003</c:v>
                </c:pt>
              </c:numCache>
            </c:numRef>
          </c:val>
          <c:smooth val="0"/>
          <c:extLst>
            <c:ext xmlns:c16="http://schemas.microsoft.com/office/drawing/2014/chart" uri="{C3380CC4-5D6E-409C-BE32-E72D297353CC}">
              <c16:uniqueId val="{0000000A-57D7-425C-A2E2-6BD56D1DEF8C}"/>
            </c:ext>
          </c:extLst>
        </c:ser>
        <c:dLbls>
          <c:showLegendKey val="0"/>
          <c:showVal val="0"/>
          <c:showCatName val="0"/>
          <c:showSerName val="0"/>
          <c:showPercent val="0"/>
          <c:showBubbleSize val="0"/>
        </c:dLbls>
        <c:marker val="1"/>
        <c:smooth val="0"/>
        <c:axId val="326793856"/>
        <c:axId val="326959872"/>
      </c:lineChart>
      <c:catAx>
        <c:axId val="32679385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959872"/>
        <c:crosses val="autoZero"/>
        <c:auto val="1"/>
        <c:lblAlgn val="ctr"/>
        <c:lblOffset val="100"/>
        <c:noMultiLvlLbl val="0"/>
      </c:catAx>
      <c:valAx>
        <c:axId val="326959872"/>
        <c:scaling>
          <c:orientation val="minMax"/>
          <c:max val="3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6793856"/>
        <c:crosses val="autoZero"/>
        <c:crossBetween val="between"/>
        <c:majorUnit val="10"/>
      </c:valAx>
      <c:spPr>
        <a:noFill/>
        <a:ln>
          <a:noFill/>
        </a:ln>
        <a:effectLst/>
      </c:spPr>
    </c:plotArea>
    <c:legend>
      <c:legendPos val="b"/>
      <c:layout>
        <c:manualLayout>
          <c:xMode val="edge"/>
          <c:yMode val="edge"/>
          <c:x val="1.290348140444713E-2"/>
          <c:y val="0.77859664093712422"/>
          <c:w val="0.95869985292086213"/>
          <c:h val="0.1876818845920122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7614709925968"/>
          <c:y val="0.12727272727272718"/>
          <c:w val="0.82715542910077533"/>
          <c:h val="0.45733767572247186"/>
        </c:manualLayout>
      </c:layout>
      <c:barChart>
        <c:barDir val="col"/>
        <c:grouping val="clustered"/>
        <c:varyColors val="0"/>
        <c:ser>
          <c:idx val="1"/>
          <c:order val="1"/>
          <c:tx>
            <c:strRef>
              <c:f>Sheet1!$C$1</c:f>
              <c:strCache>
                <c:ptCount val="1"/>
                <c:pt idx="0">
                  <c:v>Արտահանում</c:v>
                </c:pt>
              </c:strCache>
            </c:strRef>
          </c:tx>
          <c:spPr>
            <a:solidFill>
              <a:schemeClr val="accent2"/>
            </a:solidFill>
            <a:ln>
              <a:no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Sheet1!$C$2:$C$7</c:f>
              <c:numCache>
                <c:formatCode>#,##0.0;"–"#,##0.0</c:formatCode>
                <c:ptCount val="5"/>
                <c:pt idx="0">
                  <c:v>3.7</c:v>
                </c:pt>
                <c:pt idx="1">
                  <c:v>1</c:v>
                </c:pt>
                <c:pt idx="2">
                  <c:v>-8.1</c:v>
                </c:pt>
                <c:pt idx="3">
                  <c:v>7.79</c:v>
                </c:pt>
                <c:pt idx="4">
                  <c:v>6.3</c:v>
                </c:pt>
              </c:numCache>
            </c:numRef>
          </c:val>
          <c:extLst>
            <c:ext xmlns:c16="http://schemas.microsoft.com/office/drawing/2014/chart" uri="{C3380CC4-5D6E-409C-BE32-E72D297353CC}">
              <c16:uniqueId val="{00000000-E461-4F63-9725-54370B685EF8}"/>
            </c:ext>
          </c:extLst>
        </c:ser>
        <c:ser>
          <c:idx val="2"/>
          <c:order val="2"/>
          <c:tx>
            <c:strRef>
              <c:f>Sheet1!$D$1</c:f>
              <c:strCache>
                <c:ptCount val="1"/>
                <c:pt idx="0">
                  <c:v>Ներմուծում</c:v>
                </c:pt>
              </c:strCache>
            </c:strRef>
          </c:tx>
          <c:spPr>
            <a:solidFill>
              <a:srgbClr val="0070C0"/>
            </a:solidFill>
            <a:ln>
              <a:solidFill>
                <a:schemeClr val="accent1"/>
              </a:solidFill>
            </a:ln>
            <a:effectLst/>
          </c:spPr>
          <c:invertIfNegative val="0"/>
          <c:cat>
            <c:numRef>
              <c:f>Sheet1!$A$2:$A$7</c:f>
              <c:numCache>
                <c:formatCode>General</c:formatCode>
                <c:ptCount val="5"/>
                <c:pt idx="0">
                  <c:v>2018</c:v>
                </c:pt>
                <c:pt idx="1">
                  <c:v>2019</c:v>
                </c:pt>
                <c:pt idx="2">
                  <c:v>2020</c:v>
                </c:pt>
                <c:pt idx="3">
                  <c:v>2021</c:v>
                </c:pt>
                <c:pt idx="4">
                  <c:v>2022</c:v>
                </c:pt>
              </c:numCache>
            </c:numRef>
          </c:cat>
          <c:val>
            <c:numRef>
              <c:f>Sheet1!$D$2:$D$7</c:f>
              <c:numCache>
                <c:formatCode>#,##0.0;"–"#,##0.0</c:formatCode>
                <c:ptCount val="5"/>
                <c:pt idx="0">
                  <c:v>4.0730000000000004</c:v>
                </c:pt>
                <c:pt idx="1">
                  <c:v>0.73499999999999999</c:v>
                </c:pt>
                <c:pt idx="2">
                  <c:v>-8.9</c:v>
                </c:pt>
                <c:pt idx="3">
                  <c:v>9.1</c:v>
                </c:pt>
                <c:pt idx="4">
                  <c:v>6.75</c:v>
                </c:pt>
              </c:numCache>
            </c:numRef>
          </c:val>
          <c:extLst>
            <c:ext xmlns:c16="http://schemas.microsoft.com/office/drawing/2014/chart" uri="{C3380CC4-5D6E-409C-BE32-E72D297353CC}">
              <c16:uniqueId val="{00000001-E461-4F63-9725-54370B685EF8}"/>
            </c:ext>
          </c:extLst>
        </c:ser>
        <c:dLbls>
          <c:showLegendKey val="0"/>
          <c:showVal val="0"/>
          <c:showCatName val="0"/>
          <c:showSerName val="0"/>
          <c:showPercent val="0"/>
          <c:showBubbleSize val="0"/>
        </c:dLbls>
        <c:gapWidth val="150"/>
        <c:axId val="281591808"/>
        <c:axId val="281593344"/>
      </c:barChart>
      <c:lineChart>
        <c:grouping val="standard"/>
        <c:varyColors val="0"/>
        <c:ser>
          <c:idx val="0"/>
          <c:order val="0"/>
          <c:tx>
            <c:strRef>
              <c:f>Sheet1!$B$1</c:f>
              <c:strCache>
                <c:ptCount val="1"/>
                <c:pt idx="0">
                  <c:v>Առևտրաշրջանառություն</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5"/>
                <c:pt idx="0">
                  <c:v>2018</c:v>
                </c:pt>
                <c:pt idx="1">
                  <c:v>2019</c:v>
                </c:pt>
                <c:pt idx="2">
                  <c:v>2020</c:v>
                </c:pt>
                <c:pt idx="3">
                  <c:v>2021</c:v>
                </c:pt>
                <c:pt idx="4">
                  <c:v>2022</c:v>
                </c:pt>
              </c:numCache>
            </c:numRef>
          </c:cat>
          <c:val>
            <c:numRef>
              <c:f>Sheet1!$B$2:$B$7</c:f>
              <c:numCache>
                <c:formatCode>#,##0.0;"–"#,##0.0</c:formatCode>
                <c:ptCount val="5"/>
                <c:pt idx="0">
                  <c:v>3.8860000000000001</c:v>
                </c:pt>
                <c:pt idx="1">
                  <c:v>0.85199999999999998</c:v>
                </c:pt>
                <c:pt idx="2">
                  <c:v>-8.5</c:v>
                </c:pt>
                <c:pt idx="3">
                  <c:v>8.4</c:v>
                </c:pt>
                <c:pt idx="4">
                  <c:v>6.5</c:v>
                </c:pt>
              </c:numCache>
            </c:numRef>
          </c:val>
          <c:smooth val="0"/>
          <c:extLst>
            <c:ext xmlns:c16="http://schemas.microsoft.com/office/drawing/2014/chart" uri="{C3380CC4-5D6E-409C-BE32-E72D297353CC}">
              <c16:uniqueId val="{00000002-E461-4F63-9725-54370B685EF8}"/>
            </c:ext>
          </c:extLst>
        </c:ser>
        <c:dLbls>
          <c:showLegendKey val="0"/>
          <c:showVal val="0"/>
          <c:showCatName val="0"/>
          <c:showSerName val="0"/>
          <c:showPercent val="0"/>
          <c:showBubbleSize val="0"/>
        </c:dLbls>
        <c:marker val="1"/>
        <c:smooth val="0"/>
        <c:axId val="281591808"/>
        <c:axId val="281593344"/>
      </c:lineChart>
      <c:catAx>
        <c:axId val="281591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93344"/>
        <c:crosses val="autoZero"/>
        <c:auto val="1"/>
        <c:lblAlgn val="ctr"/>
        <c:lblOffset val="100"/>
        <c:noMultiLvlLbl val="0"/>
      </c:catAx>
      <c:valAx>
        <c:axId val="2815933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b="0" i="0" u="none" strike="noStrike" kern="1200" baseline="0">
                    <a:solidFill>
                      <a:sysClr val="windowText" lastClr="000000">
                        <a:lumMod val="65000"/>
                        <a:lumOff val="35000"/>
                      </a:sysClr>
                    </a:solidFill>
                    <a:latin typeface="+mn-lt"/>
                    <a:ea typeface="+mn-ea"/>
                    <a:cs typeface="+mn-cs"/>
                  </a:rPr>
                  <a:t>%</a:t>
                </a:r>
                <a:endParaRPr lang="en-US" sz="800"/>
              </a:p>
            </c:rich>
          </c:tx>
          <c:overlay val="0"/>
          <c:spPr>
            <a:noFill/>
            <a:ln>
              <a:noFill/>
            </a:ln>
            <a:effectLst/>
          </c:spPr>
        </c:title>
        <c:numFmt formatCode="#,##0.0;&quot;–&quot;#,##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1591808"/>
        <c:crosses val="autoZero"/>
        <c:crossBetween val="between"/>
      </c:valAx>
      <c:spPr>
        <a:noFill/>
        <a:ln>
          <a:noFill/>
        </a:ln>
        <a:effectLst/>
      </c:spPr>
    </c:plotArea>
    <c:legend>
      <c:legendPos val="b"/>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4.6399353926912981E-2"/>
          <c:y val="0.80366684530925792"/>
          <c:w val="0.9400150504156628"/>
          <c:h val="0.1938294100671970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Sheet1!$B$2:$H$2</c:f>
              <c:numCache>
                <c:formatCode>0.0</c:formatCode>
                <c:ptCount val="7"/>
                <c:pt idx="0">
                  <c:v>-15.782192675769508</c:v>
                </c:pt>
                <c:pt idx="1">
                  <c:v>-13.929290550657313</c:v>
                </c:pt>
                <c:pt idx="2">
                  <c:v>-9.3586397895597031</c:v>
                </c:pt>
                <c:pt idx="3">
                  <c:v>0.48781203042173615</c:v>
                </c:pt>
                <c:pt idx="4">
                  <c:v>6.2464955928162738</c:v>
                </c:pt>
                <c:pt idx="5">
                  <c:v>6.355805871933768</c:v>
                </c:pt>
                <c:pt idx="6">
                  <c:v>7.7648456633481402</c:v>
                </c:pt>
              </c:numCache>
            </c:numRef>
          </c:val>
          <c:smooth val="0"/>
          <c:extLst>
            <c:ext xmlns:c16="http://schemas.microsoft.com/office/drawing/2014/chart" uri="{C3380CC4-5D6E-409C-BE32-E72D297353CC}">
              <c16:uniqueId val="{00000000-DCFE-4D34-88A9-4449D4B5CC66}"/>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cat>
            <c:strRef>
              <c:f>Sheet1!$B$1:$H$1</c:f>
              <c:strCache>
                <c:ptCount val="7"/>
                <c:pt idx="0">
                  <c:v>հունվար</c:v>
                </c:pt>
                <c:pt idx="1">
                  <c:v>փետրվար</c:v>
                </c:pt>
                <c:pt idx="2">
                  <c:v>մարտ</c:v>
                </c:pt>
                <c:pt idx="3">
                  <c:v>ապրիլ</c:v>
                </c:pt>
                <c:pt idx="4">
                  <c:v>մայիս</c:v>
                </c:pt>
                <c:pt idx="5">
                  <c:v>հունիս</c:v>
                </c:pt>
                <c:pt idx="6">
                  <c:v>հուլիս </c:v>
                </c:pt>
              </c:strCache>
            </c:strRef>
          </c:cat>
          <c:val>
            <c:numRef>
              <c:f>Sheet1!$B$3:$H$3</c:f>
              <c:numCache>
                <c:formatCode>0.0</c:formatCode>
                <c:ptCount val="7"/>
                <c:pt idx="0">
                  <c:v>3.9000000000000057</c:v>
                </c:pt>
                <c:pt idx="1">
                  <c:v>4.7000000000000028</c:v>
                </c:pt>
                <c:pt idx="2">
                  <c:v>6.7999999999999972</c:v>
                </c:pt>
                <c:pt idx="3">
                  <c:v>8.0999999999999943</c:v>
                </c:pt>
                <c:pt idx="4">
                  <c:v>8.9000000000000057</c:v>
                </c:pt>
                <c:pt idx="5">
                  <c:v>10</c:v>
                </c:pt>
                <c:pt idx="6">
                  <c:v>9.7999999999999972</c:v>
                </c:pt>
              </c:numCache>
            </c:numRef>
          </c:val>
          <c:smooth val="0"/>
          <c:extLst>
            <c:ext xmlns:c16="http://schemas.microsoft.com/office/drawing/2014/chart" uri="{C3380CC4-5D6E-409C-BE32-E72D297353CC}">
              <c16:uniqueId val="{00000001-DCFE-4D34-88A9-4449D4B5CC66}"/>
            </c:ext>
          </c:extLst>
        </c:ser>
        <c:dLbls>
          <c:showLegendKey val="0"/>
          <c:showVal val="0"/>
          <c:showCatName val="0"/>
          <c:showSerName val="0"/>
          <c:showPercent val="0"/>
          <c:showBubbleSize val="0"/>
        </c:dLbls>
        <c:marker val="1"/>
        <c:smooth val="0"/>
        <c:axId val="327027328"/>
        <c:axId val="327029504"/>
      </c:lineChart>
      <c:catAx>
        <c:axId val="3270273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9504"/>
        <c:crosses val="autoZero"/>
        <c:auto val="1"/>
        <c:lblAlgn val="ctr"/>
        <c:lblOffset val="100"/>
        <c:noMultiLvlLbl val="0"/>
      </c:catAx>
      <c:valAx>
        <c:axId val="327029504"/>
        <c:scaling>
          <c:orientation val="minMax"/>
          <c:max val="1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27328"/>
        <c:crosses val="autoZero"/>
        <c:crossBetween val="between"/>
        <c:majorUnit val="5"/>
      </c:valAx>
      <c:spPr>
        <a:noFill/>
        <a:ln>
          <a:noFill/>
        </a:ln>
        <a:effectLst/>
      </c:spPr>
    </c:plotArea>
    <c:legend>
      <c:legendPos val="b"/>
      <c:layout>
        <c:manualLayout>
          <c:xMode val="edge"/>
          <c:yMode val="edge"/>
          <c:x val="3.9658303581617586E-2"/>
          <c:y val="0.84919510061242365"/>
          <c:w val="0.83083600954714498"/>
          <c:h val="0.15080489938757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21400231947783"/>
          <c:y val="6.636500754147813E-2"/>
          <c:w val="0.8241503387657938"/>
          <c:h val="0.59055021348137959"/>
        </c:manualLayout>
      </c:layout>
      <c:lineChart>
        <c:grouping val="standard"/>
        <c:varyColors val="0"/>
        <c:ser>
          <c:idx val="0"/>
          <c:order val="0"/>
          <c:tx>
            <c:strRef>
              <c:f>Sheet1!$A$2</c:f>
              <c:strCache>
                <c:ptCount val="1"/>
                <c:pt idx="0">
                  <c:v>12 ամսյա փոփոխություն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Sheet1!$B$2:$I$2</c:f>
              <c:numCache>
                <c:formatCode>0.0</c:formatCode>
                <c:ptCount val="8"/>
                <c:pt idx="0">
                  <c:v>-19.5</c:v>
                </c:pt>
                <c:pt idx="1">
                  <c:v>-15.599999999999994</c:v>
                </c:pt>
                <c:pt idx="2">
                  <c:v>1.4000000000000057</c:v>
                </c:pt>
                <c:pt idx="3">
                  <c:v>39</c:v>
                </c:pt>
                <c:pt idx="4">
                  <c:v>34.699999999999989</c:v>
                </c:pt>
                <c:pt idx="5">
                  <c:v>15.900000000000006</c:v>
                </c:pt>
                <c:pt idx="6">
                  <c:v>22.599999999999994</c:v>
                </c:pt>
                <c:pt idx="7">
                  <c:v>-7.2999999999999972</c:v>
                </c:pt>
              </c:numCache>
            </c:numRef>
          </c:val>
          <c:smooth val="0"/>
          <c:extLst>
            <c:ext xmlns:c16="http://schemas.microsoft.com/office/drawing/2014/chart" uri="{C3380CC4-5D6E-409C-BE32-E72D297353CC}">
              <c16:uniqueId val="{00000000-D684-4457-A048-8A9924C03893}"/>
            </c:ext>
          </c:extLst>
        </c:ser>
        <c:ser>
          <c:idx val="1"/>
          <c:order val="1"/>
          <c:tx>
            <c:strRef>
              <c:f>Sheet1!$A$3</c:f>
              <c:strCache>
                <c:ptCount val="1"/>
                <c:pt idx="0">
                  <c:v>Անվանական կուտակային փոփոխություն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b="1">
                    <a:solidFill>
                      <a:srgbClr val="990033"/>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8"/>
                <c:pt idx="0">
                  <c:v>հունվար</c:v>
                </c:pt>
                <c:pt idx="1">
                  <c:v>փետրվար</c:v>
                </c:pt>
                <c:pt idx="2">
                  <c:v>մարտ</c:v>
                </c:pt>
                <c:pt idx="3">
                  <c:v>ապրիլ</c:v>
                </c:pt>
                <c:pt idx="4">
                  <c:v>մայիս</c:v>
                </c:pt>
                <c:pt idx="5">
                  <c:v>հունիս</c:v>
                </c:pt>
                <c:pt idx="6">
                  <c:v>հուլիս </c:v>
                </c:pt>
                <c:pt idx="7">
                  <c:v>օգոստոս</c:v>
                </c:pt>
              </c:strCache>
            </c:strRef>
          </c:cat>
          <c:val>
            <c:numRef>
              <c:f>Sheet1!$B$3:$I$3</c:f>
              <c:numCache>
                <c:formatCode>0.0</c:formatCode>
                <c:ptCount val="8"/>
                <c:pt idx="0">
                  <c:v>-19.499999999999986</c:v>
                </c:pt>
                <c:pt idx="1">
                  <c:v>-17.362186882073999</c:v>
                </c:pt>
                <c:pt idx="2">
                  <c:v>-10.936176816043599</c:v>
                </c:pt>
                <c:pt idx="3">
                  <c:v>7.998177219646152E-2</c:v>
                </c:pt>
                <c:pt idx="4">
                  <c:v>6.6190706655119271</c:v>
                </c:pt>
                <c:pt idx="5">
                  <c:v>8.2858067414749712</c:v>
                </c:pt>
                <c:pt idx="6">
                  <c:v>10.537632413553482</c:v>
                </c:pt>
                <c:pt idx="7">
                  <c:v>7.6770114832931426</c:v>
                </c:pt>
              </c:numCache>
            </c:numRef>
          </c:val>
          <c:smooth val="0"/>
          <c:extLst>
            <c:ext xmlns:c16="http://schemas.microsoft.com/office/drawing/2014/chart" uri="{C3380CC4-5D6E-409C-BE32-E72D297353CC}">
              <c16:uniqueId val="{00000001-D684-4457-A048-8A9924C03893}"/>
            </c:ext>
          </c:extLst>
        </c:ser>
        <c:dLbls>
          <c:showLegendKey val="0"/>
          <c:showVal val="0"/>
          <c:showCatName val="0"/>
          <c:showSerName val="0"/>
          <c:showPercent val="0"/>
          <c:showBubbleSize val="0"/>
        </c:dLbls>
        <c:marker val="1"/>
        <c:smooth val="0"/>
        <c:axId val="327015808"/>
        <c:axId val="327083136"/>
      </c:lineChart>
      <c:catAx>
        <c:axId val="3270158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83136"/>
        <c:crosses val="autoZero"/>
        <c:auto val="1"/>
        <c:lblAlgn val="ctr"/>
        <c:lblOffset val="100"/>
        <c:noMultiLvlLbl val="0"/>
      </c:catAx>
      <c:valAx>
        <c:axId val="327083136"/>
        <c:scaling>
          <c:orientation val="minMax"/>
          <c:max val="4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327015808"/>
        <c:crosses val="autoZero"/>
        <c:crossBetween val="between"/>
        <c:majorUnit val="10"/>
      </c:valAx>
      <c:spPr>
        <a:noFill/>
        <a:ln>
          <a:noFill/>
        </a:ln>
        <a:effectLst/>
      </c:spPr>
    </c:plotArea>
    <c:legend>
      <c:legendPos val="b"/>
      <c:layout>
        <c:manualLayout>
          <c:xMode val="edge"/>
          <c:yMode val="edge"/>
          <c:x val="0"/>
          <c:y val="0.82552036199094836"/>
          <c:w val="1"/>
          <c:h val="0.1460488235430749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48326771653564"/>
          <c:y val="9.1389048471945289E-2"/>
          <c:w val="0.89352514220179968"/>
          <c:h val="0.74930440561882716"/>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Sheet1!$B$1:$E$1</c:f>
              <c:strCache>
                <c:ptCount val="4"/>
                <c:pt idx="0">
                  <c:v>2018</c:v>
                </c:pt>
                <c:pt idx="1">
                  <c:v>2019</c:v>
                </c:pt>
                <c:pt idx="2">
                  <c:v>2020</c:v>
                </c:pt>
                <c:pt idx="3">
                  <c:v>2021*</c:v>
                </c:pt>
              </c:strCache>
            </c:strRef>
          </c:cat>
          <c:val>
            <c:numRef>
              <c:f>Sheet1!$B$2:$E$2</c:f>
              <c:numCache>
                <c:formatCode>0.0</c:formatCode>
                <c:ptCount val="4"/>
                <c:pt idx="0">
                  <c:v>39.667608515572965</c:v>
                </c:pt>
                <c:pt idx="1">
                  <c:v>41.985467543342466</c:v>
                </c:pt>
                <c:pt idx="2">
                  <c:v>29.764298371950591</c:v>
                </c:pt>
                <c:pt idx="3">
                  <c:v>32.581679137168507</c:v>
                </c:pt>
              </c:numCache>
            </c:numRef>
          </c:val>
          <c:extLst>
            <c:ext xmlns:c16="http://schemas.microsoft.com/office/drawing/2014/chart" uri="{C3380CC4-5D6E-409C-BE32-E72D297353CC}">
              <c16:uniqueId val="{00000000-80A9-4A75-BECF-D058B1CF712E}"/>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Sheet1!$B$1:$E$1</c:f>
              <c:strCache>
                <c:ptCount val="4"/>
                <c:pt idx="0">
                  <c:v>2018</c:v>
                </c:pt>
                <c:pt idx="1">
                  <c:v>2019</c:v>
                </c:pt>
                <c:pt idx="2">
                  <c:v>2020</c:v>
                </c:pt>
                <c:pt idx="3">
                  <c:v>2021*</c:v>
                </c:pt>
              </c:strCache>
            </c:strRef>
          </c:cat>
          <c:val>
            <c:numRef>
              <c:f>Sheet1!$B$3:$E$3</c:f>
              <c:numCache>
                <c:formatCode>0.0</c:formatCode>
                <c:ptCount val="4"/>
                <c:pt idx="0">
                  <c:v>12.066791952367396</c:v>
                </c:pt>
                <c:pt idx="1">
                  <c:v>15.709804500958342</c:v>
                </c:pt>
                <c:pt idx="2">
                  <c:v>-34.198868672796166</c:v>
                </c:pt>
                <c:pt idx="3">
                  <c:v>20.161771070210449</c:v>
                </c:pt>
              </c:numCache>
            </c:numRef>
          </c:val>
          <c:extLst>
            <c:ext xmlns:c16="http://schemas.microsoft.com/office/drawing/2014/chart" uri="{C3380CC4-5D6E-409C-BE32-E72D297353CC}">
              <c16:uniqueId val="{00000001-80A9-4A75-BECF-D058B1CF712E}"/>
            </c:ext>
          </c:extLst>
        </c:ser>
        <c:dLbls>
          <c:showLegendKey val="0"/>
          <c:showVal val="0"/>
          <c:showCatName val="0"/>
          <c:showSerName val="0"/>
          <c:showPercent val="0"/>
          <c:showBubbleSize val="0"/>
        </c:dLbls>
        <c:gapWidth val="150"/>
        <c:axId val="327142784"/>
        <c:axId val="327156864"/>
      </c:barChart>
      <c:catAx>
        <c:axId val="3271427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56864"/>
        <c:crosses val="autoZero"/>
        <c:auto val="1"/>
        <c:lblAlgn val="ctr"/>
        <c:lblOffset val="100"/>
        <c:noMultiLvlLbl val="0"/>
      </c:catAx>
      <c:valAx>
        <c:axId val="327156864"/>
        <c:scaling>
          <c:orientation val="minMax"/>
          <c:max val="45"/>
          <c:min val="-25"/>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142784"/>
        <c:crosses val="autoZero"/>
        <c:crossBetween val="between"/>
        <c:majorUnit val="20"/>
      </c:valAx>
      <c:spPr>
        <a:noFill/>
        <a:ln>
          <a:noFill/>
        </a:ln>
        <a:effectLst/>
      </c:spPr>
    </c:plotArea>
    <c:legend>
      <c:legendPos val="b"/>
      <c:layout>
        <c:manualLayout>
          <c:xMode val="edge"/>
          <c:yMode val="edge"/>
          <c:x val="0.05"/>
          <c:y val="0.91940387279916191"/>
          <c:w val="0.92515703461595589"/>
          <c:h val="7.753569794601397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317462150075816"/>
          <c:y val="9.8556430446194623E-2"/>
          <c:w val="0.85282510140778012"/>
          <c:h val="0.74838039641596521"/>
        </c:manualLayout>
      </c:layout>
      <c:barChart>
        <c:barDir val="col"/>
        <c:grouping val="clustered"/>
        <c:varyColors val="0"/>
        <c:ser>
          <c:idx val="0"/>
          <c:order val="0"/>
          <c:tx>
            <c:strRef>
              <c:f>Sheet1!$A$2</c:f>
              <c:strCache>
                <c:ptCount val="1"/>
                <c:pt idx="0">
                  <c:v>Կշիռը ՀՆԱ-ում, %</c:v>
                </c:pt>
              </c:strCache>
            </c:strRef>
          </c:tx>
          <c:spPr>
            <a:solidFill>
              <a:srgbClr val="4472C4"/>
            </a:solidFill>
            <a:ln w="28575" cap="rnd">
              <a:solidFill>
                <a:srgbClr val="4472C4"/>
              </a:solidFill>
              <a:round/>
            </a:ln>
            <a:effectLst/>
          </c:spPr>
          <c:invertIfNegative val="0"/>
          <c:cat>
            <c:strRef>
              <c:f>Sheet1!$B$1:$E$1</c:f>
              <c:strCache>
                <c:ptCount val="4"/>
                <c:pt idx="0">
                  <c:v>2018</c:v>
                </c:pt>
                <c:pt idx="1">
                  <c:v>2019</c:v>
                </c:pt>
                <c:pt idx="2">
                  <c:v>2020</c:v>
                </c:pt>
                <c:pt idx="3">
                  <c:v>2021*</c:v>
                </c:pt>
              </c:strCache>
            </c:strRef>
          </c:cat>
          <c:val>
            <c:numRef>
              <c:f>Sheet1!$B$2:$E$2</c:f>
              <c:numCache>
                <c:formatCode>0.0</c:formatCode>
                <c:ptCount val="4"/>
                <c:pt idx="0">
                  <c:v>53.31186683755206</c:v>
                </c:pt>
                <c:pt idx="1">
                  <c:v>55.164226569505161</c:v>
                </c:pt>
                <c:pt idx="2">
                  <c:v>39.70086105537515</c:v>
                </c:pt>
                <c:pt idx="3">
                  <c:v>42.199387534861046</c:v>
                </c:pt>
              </c:numCache>
            </c:numRef>
          </c:val>
          <c:extLst>
            <c:ext xmlns:c16="http://schemas.microsoft.com/office/drawing/2014/chart" uri="{C3380CC4-5D6E-409C-BE32-E72D297353CC}">
              <c16:uniqueId val="{00000000-70CF-4320-8D96-566F387F711C}"/>
            </c:ext>
          </c:extLst>
        </c:ser>
        <c:ser>
          <c:idx val="1"/>
          <c:order val="1"/>
          <c:tx>
            <c:strRef>
              <c:f>Sheet1!$A$3</c:f>
              <c:strCache>
                <c:ptCount val="1"/>
                <c:pt idx="0">
                  <c:v>Փոփոխությունը, տ/տ, %</c:v>
                </c:pt>
              </c:strCache>
            </c:strRef>
          </c:tx>
          <c:spPr>
            <a:solidFill>
              <a:srgbClr val="C00000"/>
            </a:solidFill>
            <a:ln w="28575" cap="rnd">
              <a:solidFill>
                <a:srgbClr val="C00000"/>
              </a:solidFill>
              <a:round/>
            </a:ln>
            <a:effectLst/>
          </c:spPr>
          <c:invertIfNegative val="0"/>
          <c:cat>
            <c:strRef>
              <c:f>Sheet1!$B$1:$E$1</c:f>
              <c:strCache>
                <c:ptCount val="4"/>
                <c:pt idx="0">
                  <c:v>2018</c:v>
                </c:pt>
                <c:pt idx="1">
                  <c:v>2019</c:v>
                </c:pt>
                <c:pt idx="2">
                  <c:v>2020</c:v>
                </c:pt>
                <c:pt idx="3">
                  <c:v>2021*</c:v>
                </c:pt>
              </c:strCache>
            </c:strRef>
          </c:cat>
          <c:val>
            <c:numRef>
              <c:f>Sheet1!$B$3:$E$3</c:f>
              <c:numCache>
                <c:formatCode>0.0</c:formatCode>
                <c:ptCount val="4"/>
                <c:pt idx="0">
                  <c:v>17.537608776426111</c:v>
                </c:pt>
                <c:pt idx="1">
                  <c:v>13.120372725442422</c:v>
                </c:pt>
                <c:pt idx="2">
                  <c:v>-33.19959470782247</c:v>
                </c:pt>
                <c:pt idx="3">
                  <c:v>16.679545712550791</c:v>
                </c:pt>
              </c:numCache>
            </c:numRef>
          </c:val>
          <c:extLst>
            <c:ext xmlns:c16="http://schemas.microsoft.com/office/drawing/2014/chart" uri="{C3380CC4-5D6E-409C-BE32-E72D297353CC}">
              <c16:uniqueId val="{00000001-70CF-4320-8D96-566F387F711C}"/>
            </c:ext>
          </c:extLst>
        </c:ser>
        <c:dLbls>
          <c:showLegendKey val="0"/>
          <c:showVal val="0"/>
          <c:showCatName val="0"/>
          <c:showSerName val="0"/>
          <c:showPercent val="0"/>
          <c:showBubbleSize val="0"/>
        </c:dLbls>
        <c:gapWidth val="150"/>
        <c:axId val="327860608"/>
        <c:axId val="327862144"/>
      </c:barChart>
      <c:catAx>
        <c:axId val="327860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2144"/>
        <c:crosses val="autoZero"/>
        <c:auto val="1"/>
        <c:lblAlgn val="ctr"/>
        <c:lblOffset val="100"/>
        <c:noMultiLvlLbl val="0"/>
      </c:catAx>
      <c:valAx>
        <c:axId val="327862144"/>
        <c:scaling>
          <c:orientation val="minMax"/>
          <c:max val="60"/>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860608"/>
        <c:crosses val="autoZero"/>
        <c:crossBetween val="between"/>
        <c:majorUnit val="20"/>
      </c:valAx>
      <c:spPr>
        <a:noFill/>
        <a:ln>
          <a:noFill/>
        </a:ln>
        <a:effectLst/>
      </c:spPr>
    </c:plotArea>
    <c:legend>
      <c:legendPos val="b"/>
      <c:layout>
        <c:manualLayout>
          <c:xMode val="edge"/>
          <c:yMode val="edge"/>
          <c:x val="4.9999900955776971E-2"/>
          <c:y val="0.9160701503221188"/>
          <c:w val="0.92515703461595589"/>
          <c:h val="8.392984967788157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rgbClr val="4472C4"/>
      </a:solidFill>
      <a:round/>
    </a:ln>
    <a:effectLst/>
  </c:spPr>
  <c:txPr>
    <a:bodyPr/>
    <a:lstStyle/>
    <a:p>
      <a:pPr>
        <a:defRPr/>
      </a:pPr>
      <a:endParaRPr lang="en-US"/>
    </a:p>
  </c:tx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0622581751751"/>
          <c:y val="6.2146892655367263E-2"/>
          <c:w val="0.79139809651453141"/>
          <c:h val="0.61186351706036746"/>
        </c:manualLayout>
      </c:layout>
      <c:lineChart>
        <c:grouping val="standard"/>
        <c:varyColors val="0"/>
        <c:ser>
          <c:idx val="0"/>
          <c:order val="0"/>
          <c:tx>
            <c:strRef>
              <c:f>Sheet1!$B$1</c:f>
              <c:strCache>
                <c:ptCount val="1"/>
                <c:pt idx="0">
                  <c:v> USD/AMD </c:v>
                </c:pt>
              </c:strCache>
            </c:strRef>
          </c:tx>
          <c:spPr>
            <a:ln w="28575" cap="rnd">
              <a:solidFill>
                <a:srgbClr val="0070C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Sheet1!$B$2:$B$423</c:f>
              <c:numCache>
                <c:formatCode>0</c:formatCode>
                <c:ptCount val="422"/>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pt idx="372">
                  <c:v>96.757018393029881</c:v>
                </c:pt>
                <c:pt idx="373">
                  <c:v>96.825364790409367</c:v>
                </c:pt>
                <c:pt idx="374">
                  <c:v>96.805827397647136</c:v>
                </c:pt>
                <c:pt idx="375">
                  <c:v>96.880111467862008</c:v>
                </c:pt>
                <c:pt idx="376">
                  <c:v>96.846865032903921</c:v>
                </c:pt>
                <c:pt idx="377">
                  <c:v>96.770679952397174</c:v>
                </c:pt>
                <c:pt idx="378">
                  <c:v>96.749213519399746</c:v>
                </c:pt>
                <c:pt idx="379">
                  <c:v>96.694614640438459</c:v>
                </c:pt>
                <c:pt idx="380">
                  <c:v>96.801920865196308</c:v>
                </c:pt>
                <c:pt idx="381">
                  <c:v>96.835136444372566</c:v>
                </c:pt>
                <c:pt idx="382">
                  <c:v>96.964307368931543</c:v>
                </c:pt>
                <c:pt idx="383">
                  <c:v>97.332170173053797</c:v>
                </c:pt>
                <c:pt idx="384">
                  <c:v>97.680952865723199</c:v>
                </c:pt>
                <c:pt idx="385">
                  <c:v>98.39817872305504</c:v>
                </c:pt>
                <c:pt idx="386">
                  <c:v>99.038024854465021</c:v>
                </c:pt>
                <c:pt idx="387">
                  <c:v>99.242894377559765</c:v>
                </c:pt>
                <c:pt idx="388">
                  <c:v>99.428002984332153</c:v>
                </c:pt>
                <c:pt idx="389">
                  <c:v>99.477481960686646</c:v>
                </c:pt>
                <c:pt idx="390">
                  <c:v>99.469232045115177</c:v>
                </c:pt>
                <c:pt idx="391">
                  <c:v>99.050293170369045</c:v>
                </c:pt>
                <c:pt idx="392">
                  <c:v>98.667324777887359</c:v>
                </c:pt>
                <c:pt idx="393">
                  <c:v>98.273213298101041</c:v>
                </c:pt>
                <c:pt idx="394">
                  <c:v>97.724726539425063</c:v>
                </c:pt>
                <c:pt idx="395">
                  <c:v>97.45277269957333</c:v>
                </c:pt>
                <c:pt idx="396">
                  <c:v>97.245363332319755</c:v>
                </c:pt>
                <c:pt idx="397">
                  <c:v>97.389468555884775</c:v>
                </c:pt>
                <c:pt idx="398">
                  <c:v>97.653117303425589</c:v>
                </c:pt>
                <c:pt idx="399">
                  <c:v>97.782488178705293</c:v>
                </c:pt>
                <c:pt idx="400">
                  <c:v>97.696866027246557</c:v>
                </c:pt>
                <c:pt idx="401">
                  <c:v>97.56176919166235</c:v>
                </c:pt>
                <c:pt idx="402">
                  <c:v>97.460691504489418</c:v>
                </c:pt>
                <c:pt idx="403">
                  <c:v>97.409242264273459</c:v>
                </c:pt>
                <c:pt idx="404">
                  <c:v>97.48445564270321</c:v>
                </c:pt>
                <c:pt idx="405">
                  <c:v>97.694876598517467</c:v>
                </c:pt>
                <c:pt idx="406">
                  <c:v>97.772524404410035</c:v>
                </c:pt>
                <c:pt idx="407">
                  <c:v>97.888229173042703</c:v>
                </c:pt>
                <c:pt idx="408">
                  <c:v>97.798434442269979</c:v>
                </c:pt>
                <c:pt idx="409">
                  <c:v>97.714774532567432</c:v>
                </c:pt>
                <c:pt idx="410">
                  <c:v>97.456731941171611</c:v>
                </c:pt>
                <c:pt idx="411">
                  <c:v>97.302559526223902</c:v>
                </c:pt>
                <c:pt idx="412">
                  <c:v>97.174454639363105</c:v>
                </c:pt>
                <c:pt idx="413">
                  <c:v>97.217775436178968</c:v>
                </c:pt>
                <c:pt idx="414">
                  <c:v>97.29072031148597</c:v>
                </c:pt>
                <c:pt idx="415">
                  <c:v>97.196110210696844</c:v>
                </c:pt>
                <c:pt idx="416">
                  <c:v>97.207926409206877</c:v>
                </c:pt>
                <c:pt idx="417">
                  <c:v>97.186265572774175</c:v>
                </c:pt>
                <c:pt idx="418">
                  <c:v>97.219745481073133</c:v>
                </c:pt>
                <c:pt idx="419">
                  <c:v>97.186265572774175</c:v>
                </c:pt>
                <c:pt idx="420">
                  <c:v>97.184296884495339</c:v>
                </c:pt>
                <c:pt idx="421">
                  <c:v>97.280856499787035</c:v>
                </c:pt>
              </c:numCache>
            </c:numRef>
          </c:val>
          <c:smooth val="0"/>
          <c:extLst>
            <c:ext xmlns:c16="http://schemas.microsoft.com/office/drawing/2014/chart" uri="{C3380CC4-5D6E-409C-BE32-E72D297353CC}">
              <c16:uniqueId val="{00000000-5BA9-4A8D-83D1-54277AA4E92F}"/>
            </c:ext>
          </c:extLst>
        </c:ser>
        <c:ser>
          <c:idx val="1"/>
          <c:order val="1"/>
          <c:tx>
            <c:strRef>
              <c:f>Sheet1!$C$1</c:f>
              <c:strCache>
                <c:ptCount val="1"/>
                <c:pt idx="0">
                  <c:v> RUB/AMD </c:v>
                </c:pt>
              </c:strCache>
            </c:strRef>
          </c:tx>
          <c:spPr>
            <a:ln w="28575" cap="rnd">
              <a:solidFill>
                <a:srgbClr val="FFC00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Sheet1!$C$2:$C$423</c:f>
              <c:numCache>
                <c:formatCode>0</c:formatCode>
                <c:ptCount val="422"/>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pt idx="372">
                  <c:v>113.97058823529395</c:v>
                </c:pt>
                <c:pt idx="373">
                  <c:v>115.32738095238078</c:v>
                </c:pt>
                <c:pt idx="374">
                  <c:v>114.81481481481464</c:v>
                </c:pt>
                <c:pt idx="375">
                  <c:v>116.19190404797584</c:v>
                </c:pt>
                <c:pt idx="376">
                  <c:v>117.42424242424227</c:v>
                </c:pt>
                <c:pt idx="377">
                  <c:v>116.19190404797585</c:v>
                </c:pt>
                <c:pt idx="378">
                  <c:v>116.71686746987936</c:v>
                </c:pt>
                <c:pt idx="379">
                  <c:v>115.67164179104461</c:v>
                </c:pt>
                <c:pt idx="380">
                  <c:v>115.84454409566501</c:v>
                </c:pt>
                <c:pt idx="381">
                  <c:v>115.84454409566501</c:v>
                </c:pt>
                <c:pt idx="382">
                  <c:v>116.01796407185616</c:v>
                </c:pt>
                <c:pt idx="383">
                  <c:v>117.24659606656566</c:v>
                </c:pt>
                <c:pt idx="384">
                  <c:v>117.60242792109241</c:v>
                </c:pt>
                <c:pt idx="385">
                  <c:v>118.14024390243888</c:v>
                </c:pt>
                <c:pt idx="386">
                  <c:v>117.96042617960411</c:v>
                </c:pt>
                <c:pt idx="387">
                  <c:v>117.96042617960411</c:v>
                </c:pt>
                <c:pt idx="388">
                  <c:v>118.86503067484648</c:v>
                </c:pt>
                <c:pt idx="389">
                  <c:v>118.68300153139342</c:v>
                </c:pt>
                <c:pt idx="390">
                  <c:v>118.14024390243888</c:v>
                </c:pt>
                <c:pt idx="391">
                  <c:v>117.0694864048337</c:v>
                </c:pt>
                <c:pt idx="392">
                  <c:v>116.36636636636624</c:v>
                </c:pt>
                <c:pt idx="393">
                  <c:v>115.84454409566504</c:v>
                </c:pt>
                <c:pt idx="394">
                  <c:v>114.98516320474765</c:v>
                </c:pt>
                <c:pt idx="395">
                  <c:v>114.64497041420107</c:v>
                </c:pt>
                <c:pt idx="396">
                  <c:v>114.8148148148147</c:v>
                </c:pt>
                <c:pt idx="397">
                  <c:v>115.15601783060909</c:v>
                </c:pt>
                <c:pt idx="398">
                  <c:v>115.84454409566506</c:v>
                </c:pt>
                <c:pt idx="399">
                  <c:v>116.1919040479759</c:v>
                </c:pt>
                <c:pt idx="400">
                  <c:v>116.89291101055795</c:v>
                </c:pt>
                <c:pt idx="401">
                  <c:v>115.84454409566506</c:v>
                </c:pt>
                <c:pt idx="402">
                  <c:v>115.67164179104466</c:v>
                </c:pt>
                <c:pt idx="403">
                  <c:v>115.49925484351704</c:v>
                </c:pt>
                <c:pt idx="404">
                  <c:v>115.67164179104468</c:v>
                </c:pt>
                <c:pt idx="405">
                  <c:v>116.01796407185618</c:v>
                </c:pt>
                <c:pt idx="406">
                  <c:v>117.06948640483374</c:v>
                </c:pt>
                <c:pt idx="407">
                  <c:v>117.78115501519747</c:v>
                </c:pt>
                <c:pt idx="408">
                  <c:v>117.06948640483373</c:v>
                </c:pt>
                <c:pt idx="409">
                  <c:v>116.71686746987942</c:v>
                </c:pt>
                <c:pt idx="410">
                  <c:v>116.01796407185618</c:v>
                </c:pt>
                <c:pt idx="411">
                  <c:v>116.36636636636626</c:v>
                </c:pt>
                <c:pt idx="412">
                  <c:v>116.19190404797591</c:v>
                </c:pt>
                <c:pt idx="413">
                  <c:v>115.67164179104468</c:v>
                </c:pt>
                <c:pt idx="414">
                  <c:v>115.15601783060912</c:v>
                </c:pt>
                <c:pt idx="415">
                  <c:v>114.81481481481472</c:v>
                </c:pt>
                <c:pt idx="416">
                  <c:v>114.30678466076687</c:v>
                </c:pt>
                <c:pt idx="417">
                  <c:v>114.30678466076687</c:v>
                </c:pt>
                <c:pt idx="418">
                  <c:v>114.6449704142011</c:v>
                </c:pt>
                <c:pt idx="419">
                  <c:v>114.98516320474769</c:v>
                </c:pt>
                <c:pt idx="420">
                  <c:v>115.32738095238086</c:v>
                </c:pt>
                <c:pt idx="421">
                  <c:v>114.81481481481472</c:v>
                </c:pt>
              </c:numCache>
            </c:numRef>
          </c:val>
          <c:smooth val="0"/>
          <c:extLst>
            <c:ext xmlns:c16="http://schemas.microsoft.com/office/drawing/2014/chart" uri="{C3380CC4-5D6E-409C-BE32-E72D297353CC}">
              <c16:uniqueId val="{00000001-5BA9-4A8D-83D1-54277AA4E92F}"/>
            </c:ext>
          </c:extLst>
        </c:ser>
        <c:ser>
          <c:idx val="2"/>
          <c:order val="2"/>
          <c:tx>
            <c:strRef>
              <c:f>Sheet1!$D$1</c:f>
              <c:strCache>
                <c:ptCount val="1"/>
                <c:pt idx="0">
                  <c:v> EUR/AMD </c:v>
                </c:pt>
              </c:strCache>
            </c:strRef>
          </c:tx>
          <c:spPr>
            <a:ln w="28575" cap="rnd">
              <a:solidFill>
                <a:srgbClr val="C00000"/>
              </a:solidFill>
              <a:round/>
            </a:ln>
            <a:effectLst/>
          </c:spPr>
          <c:marker>
            <c:symbol val="none"/>
          </c:marker>
          <c:cat>
            <c:numRef>
              <c:f>Sheet1!$A$2:$A$423</c:f>
              <c:numCache>
                <c:formatCode>m/d/yyyy</c:formatCode>
                <c:ptCount val="422"/>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numCache>
            </c:numRef>
          </c:cat>
          <c:val>
            <c:numRef>
              <c:f>Sheet1!$D$2:$D$423</c:f>
              <c:numCache>
                <c:formatCode>0</c:formatCode>
                <c:ptCount val="422"/>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pt idx="372">
                  <c:v>90.902283788843164</c:v>
                </c:pt>
                <c:pt idx="373">
                  <c:v>91.204944764116348</c:v>
                </c:pt>
                <c:pt idx="374">
                  <c:v>91.047930728847106</c:v>
                </c:pt>
                <c:pt idx="375">
                  <c:v>91.195602069212796</c:v>
                </c:pt>
                <c:pt idx="376">
                  <c:v>91.141141141141162</c:v>
                </c:pt>
                <c:pt idx="377">
                  <c:v>90.883724095688592</c:v>
                </c:pt>
                <c:pt idx="378">
                  <c:v>90.886816851561989</c:v>
                </c:pt>
                <c:pt idx="379">
                  <c:v>90.91311377755089</c:v>
                </c:pt>
                <c:pt idx="380">
                  <c:v>91.376567391415932</c:v>
                </c:pt>
                <c:pt idx="381">
                  <c:v>91.044826998466007</c:v>
                </c:pt>
                <c:pt idx="382">
                  <c:v>91.343753206334029</c:v>
                </c:pt>
                <c:pt idx="383">
                  <c:v>92.001377884946621</c:v>
                </c:pt>
                <c:pt idx="384">
                  <c:v>92.1744232196166</c:v>
                </c:pt>
                <c:pt idx="385">
                  <c:v>93.055991080450184</c:v>
                </c:pt>
                <c:pt idx="386">
                  <c:v>93.487582477203929</c:v>
                </c:pt>
                <c:pt idx="387">
                  <c:v>93.895129111075974</c:v>
                </c:pt>
                <c:pt idx="388">
                  <c:v>93.830803822372133</c:v>
                </c:pt>
                <c:pt idx="389">
                  <c:v>94.020734691003824</c:v>
                </c:pt>
                <c:pt idx="390">
                  <c:v>93.710636655497282</c:v>
                </c:pt>
                <c:pt idx="391">
                  <c:v>92.884468247895953</c:v>
                </c:pt>
                <c:pt idx="392">
                  <c:v>92.362492002835765</c:v>
                </c:pt>
                <c:pt idx="393">
                  <c:v>91.985534699500619</c:v>
                </c:pt>
                <c:pt idx="394">
                  <c:v>91.572378797229661</c:v>
                </c:pt>
                <c:pt idx="395">
                  <c:v>91.501790088562288</c:v>
                </c:pt>
                <c:pt idx="396">
                  <c:v>91.500222686628533</c:v>
                </c:pt>
                <c:pt idx="397">
                  <c:v>91.822666872947948</c:v>
                </c:pt>
                <c:pt idx="398">
                  <c:v>92.445613610010227</c:v>
                </c:pt>
                <c:pt idx="399">
                  <c:v>92.876393163284831</c:v>
                </c:pt>
                <c:pt idx="400">
                  <c:v>92.882853118642302</c:v>
                </c:pt>
                <c:pt idx="401">
                  <c:v>92.525679444319366</c:v>
                </c:pt>
                <c:pt idx="402">
                  <c:v>92.365686223651693</c:v>
                </c:pt>
                <c:pt idx="403">
                  <c:v>92.050526460907491</c:v>
                </c:pt>
                <c:pt idx="404">
                  <c:v>92.207837044709137</c:v>
                </c:pt>
                <c:pt idx="405">
                  <c:v>92.840879464673662</c:v>
                </c:pt>
                <c:pt idx="406">
                  <c:v>93.081936360784852</c:v>
                </c:pt>
                <c:pt idx="407">
                  <c:v>93.360132832299229</c:v>
                </c:pt>
                <c:pt idx="408">
                  <c:v>92.86831948259676</c:v>
                </c:pt>
                <c:pt idx="409">
                  <c:v>92.740941368474054</c:v>
                </c:pt>
                <c:pt idx="410">
                  <c:v>92.346524212091367</c:v>
                </c:pt>
                <c:pt idx="411">
                  <c:v>92.02832382888549</c:v>
                </c:pt>
                <c:pt idx="412">
                  <c:v>92.025152898613129</c:v>
                </c:pt>
                <c:pt idx="413">
                  <c:v>91.737510089820873</c:v>
                </c:pt>
                <c:pt idx="414">
                  <c:v>91.605357479720809</c:v>
                </c:pt>
                <c:pt idx="415">
                  <c:v>91.569239208694754</c:v>
                </c:pt>
                <c:pt idx="416">
                  <c:v>91.326574227632548</c:v>
                </c:pt>
                <c:pt idx="417">
                  <c:v>91.144251441831898</c:v>
                </c:pt>
                <c:pt idx="418">
                  <c:v>91.267278350163167</c:v>
                </c:pt>
                <c:pt idx="419">
                  <c:v>91.175366128426575</c:v>
                </c:pt>
                <c:pt idx="420">
                  <c:v>91.589650383223855</c:v>
                </c:pt>
                <c:pt idx="421">
                  <c:v>91.54099259665476</c:v>
                </c:pt>
              </c:numCache>
            </c:numRef>
          </c:val>
          <c:smooth val="0"/>
          <c:extLst>
            <c:ext xmlns:c16="http://schemas.microsoft.com/office/drawing/2014/chart" uri="{C3380CC4-5D6E-409C-BE32-E72D297353CC}">
              <c16:uniqueId val="{00000002-5BA9-4A8D-83D1-54277AA4E92F}"/>
            </c:ext>
          </c:extLst>
        </c:ser>
        <c:dLbls>
          <c:showLegendKey val="0"/>
          <c:showVal val="0"/>
          <c:showCatName val="0"/>
          <c:showSerName val="0"/>
          <c:showPercent val="0"/>
          <c:showBubbleSize val="0"/>
        </c:dLbls>
        <c:smooth val="0"/>
        <c:axId val="327170304"/>
        <c:axId val="328212480"/>
      </c:lineChart>
      <c:dateAx>
        <c:axId val="327170304"/>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328212480"/>
        <c:crosses val="autoZero"/>
        <c:auto val="1"/>
        <c:lblOffset val="100"/>
        <c:baseTimeUnit val="days"/>
      </c:dateAx>
      <c:valAx>
        <c:axId val="328212480"/>
        <c:scaling>
          <c:orientation val="minMax"/>
          <c:max val="128"/>
          <c:min val="8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170304"/>
        <c:crosses val="autoZero"/>
        <c:crossBetween val="between"/>
      </c:valAx>
      <c:spPr>
        <a:no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306257770410277"/>
          <c:y val="6.6066066066066062E-2"/>
          <c:w val="0.78392660669738268"/>
          <c:h val="0.56289234116005749"/>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Sheet1!$A$2:$A$56</c:f>
              <c:strCache>
                <c:ptCount val="19"/>
                <c:pt idx="0">
                  <c:v>2020-M1</c:v>
                </c:pt>
                <c:pt idx="1">
                  <c:v>2020-M2</c:v>
                </c:pt>
                <c:pt idx="2">
                  <c:v>2020-M3</c:v>
                </c:pt>
                <c:pt idx="3">
                  <c:v>2020-M4</c:v>
                </c:pt>
                <c:pt idx="4">
                  <c:v>2020-M5</c:v>
                </c:pt>
                <c:pt idx="5">
                  <c:v>2020-M6</c:v>
                </c:pt>
                <c:pt idx="6">
                  <c:v>2020-M7</c:v>
                </c:pt>
                <c:pt idx="7">
                  <c:v>2020-M8</c:v>
                </c:pt>
                <c:pt idx="8">
                  <c:v>2020-M9</c:v>
                </c:pt>
                <c:pt idx="9">
                  <c:v>2020-M10</c:v>
                </c:pt>
                <c:pt idx="10">
                  <c:v>2020-M11</c:v>
                </c:pt>
                <c:pt idx="11">
                  <c:v>2020-M12</c:v>
                </c:pt>
                <c:pt idx="12">
                  <c:v>2021-M1</c:v>
                </c:pt>
                <c:pt idx="13">
                  <c:v>2021-M2</c:v>
                </c:pt>
                <c:pt idx="14">
                  <c:v>2021-M3</c:v>
                </c:pt>
                <c:pt idx="15">
                  <c:v>2021-M4</c:v>
                </c:pt>
                <c:pt idx="16">
                  <c:v>2021-M5</c:v>
                </c:pt>
                <c:pt idx="17">
                  <c:v>2021-M6</c:v>
                </c:pt>
                <c:pt idx="18">
                  <c:v>2021-M7</c:v>
                </c:pt>
              </c:strCache>
            </c:strRef>
          </c:cat>
          <c:val>
            <c:numRef>
              <c:f>Sheet1!$B$2:$B$56</c:f>
              <c:numCache>
                <c:formatCode>_(* #,##0.0_);_(* \(#,##0.0\);_(* "-"??_);_(@_)</c:formatCode>
                <c:ptCount val="19"/>
                <c:pt idx="0">
                  <c:v>-2.6246542068686409</c:v>
                </c:pt>
                <c:pt idx="1">
                  <c:v>-1.4553084915558543</c:v>
                </c:pt>
                <c:pt idx="2">
                  <c:v>-0.39762329711045652</c:v>
                </c:pt>
                <c:pt idx="3">
                  <c:v>0.76205314050565676</c:v>
                </c:pt>
                <c:pt idx="4">
                  <c:v>1.2758480875794191</c:v>
                </c:pt>
                <c:pt idx="5">
                  <c:v>1.5440919000124325</c:v>
                </c:pt>
                <c:pt idx="6">
                  <c:v>1.7990829349974149</c:v>
                </c:pt>
                <c:pt idx="7">
                  <c:v>1.8717880749399285</c:v>
                </c:pt>
                <c:pt idx="8">
                  <c:v>2.0254611983534261</c:v>
                </c:pt>
                <c:pt idx="9">
                  <c:v>2.1875515931979663</c:v>
                </c:pt>
                <c:pt idx="10">
                  <c:v>2.1124378234122361</c:v>
                </c:pt>
                <c:pt idx="11">
                  <c:v>1.7121083243293072</c:v>
                </c:pt>
                <c:pt idx="12">
                  <c:v>-2.9309866962305904</c:v>
                </c:pt>
                <c:pt idx="13">
                  <c:v>-3.9324106192258625</c:v>
                </c:pt>
                <c:pt idx="14">
                  <c:v>-4.6861886723977335</c:v>
                </c:pt>
                <c:pt idx="15">
                  <c:v>-5.3713382968353329</c:v>
                </c:pt>
                <c:pt idx="16">
                  <c:v>-6.1213868204019519</c:v>
                </c:pt>
                <c:pt idx="17">
                  <c:v>-6.0946850875436667</c:v>
                </c:pt>
                <c:pt idx="18">
                  <c:v>-5.0379182724951619</c:v>
                </c:pt>
              </c:numCache>
            </c:numRef>
          </c:val>
          <c:smooth val="0"/>
          <c:extLst>
            <c:ext xmlns:c16="http://schemas.microsoft.com/office/drawing/2014/chart" uri="{C3380CC4-5D6E-409C-BE32-E72D297353CC}">
              <c16:uniqueId val="{00000000-2854-4C61-BEDC-BA6A60657A70}"/>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Sheet1!$A$2:$A$56</c:f>
              <c:strCache>
                <c:ptCount val="19"/>
                <c:pt idx="0">
                  <c:v>2020-M1</c:v>
                </c:pt>
                <c:pt idx="1">
                  <c:v>2020-M2</c:v>
                </c:pt>
                <c:pt idx="2">
                  <c:v>2020-M3</c:v>
                </c:pt>
                <c:pt idx="3">
                  <c:v>2020-M4</c:v>
                </c:pt>
                <c:pt idx="4">
                  <c:v>2020-M5</c:v>
                </c:pt>
                <c:pt idx="5">
                  <c:v>2020-M6</c:v>
                </c:pt>
                <c:pt idx="6">
                  <c:v>2020-M7</c:v>
                </c:pt>
                <c:pt idx="7">
                  <c:v>2020-M8</c:v>
                </c:pt>
                <c:pt idx="8">
                  <c:v>2020-M9</c:v>
                </c:pt>
                <c:pt idx="9">
                  <c:v>2020-M10</c:v>
                </c:pt>
                <c:pt idx="10">
                  <c:v>2020-M11</c:v>
                </c:pt>
                <c:pt idx="11">
                  <c:v>2020-M12</c:v>
                </c:pt>
                <c:pt idx="12">
                  <c:v>2021-M1</c:v>
                </c:pt>
                <c:pt idx="13">
                  <c:v>2021-M2</c:v>
                </c:pt>
                <c:pt idx="14">
                  <c:v>2021-M3</c:v>
                </c:pt>
                <c:pt idx="15">
                  <c:v>2021-M4</c:v>
                </c:pt>
                <c:pt idx="16">
                  <c:v>2021-M5</c:v>
                </c:pt>
                <c:pt idx="17">
                  <c:v>2021-M6</c:v>
                </c:pt>
                <c:pt idx="18">
                  <c:v>2021-M7</c:v>
                </c:pt>
              </c:strCache>
            </c:strRef>
          </c:cat>
          <c:val>
            <c:numRef>
              <c:f>Sheet1!$C$2:$C$56</c:f>
              <c:numCache>
                <c:formatCode>_(* #,##0.0_);_(* \(#,##0.0\);_(* "-"??_);_(@_)</c:formatCode>
                <c:ptCount val="19"/>
                <c:pt idx="0">
                  <c:v>1.3423724240277863</c:v>
                </c:pt>
                <c:pt idx="1">
                  <c:v>2.8146367883013994</c:v>
                </c:pt>
                <c:pt idx="2">
                  <c:v>3.7042048645174361</c:v>
                </c:pt>
                <c:pt idx="3">
                  <c:v>4.4462422679543607</c:v>
                </c:pt>
                <c:pt idx="4">
                  <c:v>4.5995656487116889</c:v>
                </c:pt>
                <c:pt idx="5">
                  <c:v>4.5979060917240986</c:v>
                </c:pt>
                <c:pt idx="6">
                  <c:v>4.7121392797519661</c:v>
                </c:pt>
                <c:pt idx="7">
                  <c:v>4.6430460514533394</c:v>
                </c:pt>
                <c:pt idx="8">
                  <c:v>4.7383066706577495</c:v>
                </c:pt>
                <c:pt idx="9">
                  <c:v>4.8867596687010035</c:v>
                </c:pt>
                <c:pt idx="10">
                  <c:v>4.7942765719805465</c:v>
                </c:pt>
                <c:pt idx="11">
                  <c:v>4.2212336990500035</c:v>
                </c:pt>
                <c:pt idx="12">
                  <c:v>-2.6458548274370344</c:v>
                </c:pt>
                <c:pt idx="13">
                  <c:v>-3.812533952293947</c:v>
                </c:pt>
                <c:pt idx="14">
                  <c:v>-4.579853862212957</c:v>
                </c:pt>
                <c:pt idx="15">
                  <c:v>-5.2792525294905772</c:v>
                </c:pt>
                <c:pt idx="16">
                  <c:v>-5.9333546940083437</c:v>
                </c:pt>
                <c:pt idx="17">
                  <c:v>-5.8884005859635096</c:v>
                </c:pt>
                <c:pt idx="18">
                  <c:v>-5.1104865416414214</c:v>
                </c:pt>
              </c:numCache>
            </c:numRef>
          </c:val>
          <c:smooth val="0"/>
          <c:extLst>
            <c:ext xmlns:c16="http://schemas.microsoft.com/office/drawing/2014/chart" uri="{C3380CC4-5D6E-409C-BE32-E72D297353CC}">
              <c16:uniqueId val="{00000001-2854-4C61-BEDC-BA6A60657A70}"/>
            </c:ext>
          </c:extLst>
        </c:ser>
        <c:dLbls>
          <c:showLegendKey val="0"/>
          <c:showVal val="0"/>
          <c:showCatName val="0"/>
          <c:showSerName val="0"/>
          <c:showPercent val="0"/>
          <c:showBubbleSize val="0"/>
        </c:dLbls>
        <c:smooth val="0"/>
        <c:axId val="328374528"/>
        <c:axId val="328388608"/>
      </c:lineChart>
      <c:catAx>
        <c:axId val="32837452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88608"/>
        <c:crosses val="autoZero"/>
        <c:auto val="1"/>
        <c:lblAlgn val="ctr"/>
        <c:lblOffset val="100"/>
        <c:noMultiLvlLbl val="0"/>
      </c:catAx>
      <c:valAx>
        <c:axId val="328388608"/>
        <c:scaling>
          <c:orientation val="minMax"/>
          <c:max val="5.3"/>
          <c:min val="-6.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_(* #,##0.0_);_(* \(#,##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83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12</a:t>
            </a:r>
            <a:r>
              <a:rPr lang="hy-AM" sz="900" i="1"/>
              <a:t> ամսյա գնաճը</a:t>
            </a:r>
            <a:r>
              <a:rPr lang="en-US" sz="900" i="1"/>
              <a:t>,</a:t>
            </a:r>
            <a:r>
              <a:rPr lang="en-US" sz="900" i="1" baseline="0"/>
              <a:t> %</a:t>
            </a:r>
            <a:endParaRPr lang="en-US" sz="900" i="1"/>
          </a:p>
        </c:rich>
      </c:tx>
      <c:layout>
        <c:manualLayout>
          <c:xMode val="edge"/>
          <c:yMode val="edge"/>
          <c:x val="0.28161808163810031"/>
          <c:y val="0"/>
        </c:manualLayout>
      </c:layout>
      <c:overlay val="0"/>
      <c:spPr>
        <a:noFill/>
        <a:ln>
          <a:noFill/>
        </a:ln>
        <a:effectLst/>
      </c:spPr>
    </c:title>
    <c:autoTitleDeleted val="0"/>
    <c:plotArea>
      <c:layout>
        <c:manualLayout>
          <c:layoutTarget val="inner"/>
          <c:xMode val="edge"/>
          <c:yMode val="edge"/>
          <c:x val="0.11270836908098351"/>
          <c:y val="0.11961308574745932"/>
          <c:w val="0.84290099330804158"/>
          <c:h val="0.68117431582734356"/>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Sheet1!$C$2:$C$57</c:f>
              <c:numCache>
                <c:formatCode>0.0</c:formatCode>
                <c:ptCount val="20"/>
                <c:pt idx="0">
                  <c:v>1.3982565421665469</c:v>
                </c:pt>
                <c:pt idx="1">
                  <c:v>2.0768222170414887</c:v>
                </c:pt>
                <c:pt idx="2">
                  <c:v>1.1926305800832313</c:v>
                </c:pt>
                <c:pt idx="3">
                  <c:v>2.2618855829164728</c:v>
                </c:pt>
                <c:pt idx="4">
                  <c:v>1.8984840000000003</c:v>
                </c:pt>
                <c:pt idx="5">
                  <c:v>-0.89628000000000019</c:v>
                </c:pt>
                <c:pt idx="6">
                  <c:v>2.1592199999999999</c:v>
                </c:pt>
                <c:pt idx="7">
                  <c:v>0.65184000000000009</c:v>
                </c:pt>
                <c:pt idx="8">
                  <c:v>1.4224399999999999</c:v>
                </c:pt>
                <c:pt idx="9">
                  <c:v>1.9020999999999999</c:v>
                </c:pt>
                <c:pt idx="10">
                  <c:v>-0.57889999999999997</c:v>
                </c:pt>
                <c:pt idx="11">
                  <c:v>-0.13645500000000002</c:v>
                </c:pt>
                <c:pt idx="12">
                  <c:v>-1.1761594</c:v>
                </c:pt>
                <c:pt idx="13">
                  <c:v>0.78459999999999996</c:v>
                </c:pt>
                <c:pt idx="14">
                  <c:v>0.34734000000000004</c:v>
                </c:pt>
                <c:pt idx="15">
                  <c:v>1.937962</c:v>
                </c:pt>
                <c:pt idx="16">
                  <c:v>2.7530960000000007</c:v>
                </c:pt>
                <c:pt idx="17">
                  <c:v>3.2739520000000004</c:v>
                </c:pt>
                <c:pt idx="18">
                  <c:v>5.0225400000000002</c:v>
                </c:pt>
                <c:pt idx="19">
                  <c:v>5.6178039999999996</c:v>
                </c:pt>
              </c:numCache>
            </c:numRef>
          </c:val>
          <c:extLst>
            <c:ext xmlns:c16="http://schemas.microsoft.com/office/drawing/2014/chart" uri="{C3380CC4-5D6E-409C-BE32-E72D297353CC}">
              <c16:uniqueId val="{00000000-9BA6-4290-9E63-FC4C70A5685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Sheet1!$D$2:$D$57</c:f>
              <c:numCache>
                <c:formatCode>0.0</c:formatCode>
                <c:ptCount val="20"/>
                <c:pt idx="0">
                  <c:v>9.6798629569375266E-2</c:v>
                </c:pt>
                <c:pt idx="1">
                  <c:v>0.16059772633100894</c:v>
                </c:pt>
                <c:pt idx="2">
                  <c:v>0.16719763289255724</c:v>
                </c:pt>
                <c:pt idx="3">
                  <c:v>0.17599750830795499</c:v>
                </c:pt>
                <c:pt idx="4">
                  <c:v>0.15984000000000001</c:v>
                </c:pt>
                <c:pt idx="5">
                  <c:v>0.19872000000000001</c:v>
                </c:pt>
                <c:pt idx="6">
                  <c:v>0.21600000000000003</c:v>
                </c:pt>
                <c:pt idx="7">
                  <c:v>0.16847999999999999</c:v>
                </c:pt>
                <c:pt idx="8">
                  <c:v>0.19976000000000002</c:v>
                </c:pt>
                <c:pt idx="9">
                  <c:v>0.18160000000000001</c:v>
                </c:pt>
                <c:pt idx="10">
                  <c:v>0.21338000000000001</c:v>
                </c:pt>
                <c:pt idx="11">
                  <c:v>0.20702399999999999</c:v>
                </c:pt>
                <c:pt idx="12">
                  <c:v>0.45172999999999996</c:v>
                </c:pt>
                <c:pt idx="13">
                  <c:v>0.46287</c:v>
                </c:pt>
                <c:pt idx="14">
                  <c:v>0.44492000000000004</c:v>
                </c:pt>
                <c:pt idx="15">
                  <c:v>0.43368000000000001</c:v>
                </c:pt>
                <c:pt idx="16">
                  <c:v>0.41001639999999995</c:v>
                </c:pt>
                <c:pt idx="17">
                  <c:v>0.39218960000000003</c:v>
                </c:pt>
                <c:pt idx="18">
                  <c:v>0.41001639999999995</c:v>
                </c:pt>
                <c:pt idx="19">
                  <c:v>0.41447310000000004</c:v>
                </c:pt>
              </c:numCache>
            </c:numRef>
          </c:val>
          <c:extLst>
            <c:ext xmlns:c16="http://schemas.microsoft.com/office/drawing/2014/chart" uri="{C3380CC4-5D6E-409C-BE32-E72D297353CC}">
              <c16:uniqueId val="{00000001-9BA6-4290-9E63-FC4C70A5685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Sheet1!$E$2:$E$57</c:f>
              <c:numCache>
                <c:formatCode>0.0</c:formatCode>
                <c:ptCount val="20"/>
                <c:pt idx="0">
                  <c:v>-0.74167100978775335</c:v>
                </c:pt>
                <c:pt idx="1">
                  <c:v>-0.62300364822171272</c:v>
                </c:pt>
                <c:pt idx="2">
                  <c:v>-0.14833420195755065</c:v>
                </c:pt>
                <c:pt idx="3">
                  <c:v>0.36024020475405161</c:v>
                </c:pt>
                <c:pt idx="4">
                  <c:v>1.0925</c:v>
                </c:pt>
                <c:pt idx="5">
                  <c:v>1.15805</c:v>
                </c:pt>
                <c:pt idx="6">
                  <c:v>0.85215000000000007</c:v>
                </c:pt>
                <c:pt idx="7">
                  <c:v>0.69920000000000004</c:v>
                </c:pt>
                <c:pt idx="8">
                  <c:v>0.20015999999999998</c:v>
                </c:pt>
                <c:pt idx="9">
                  <c:v>0.42255999999999994</c:v>
                </c:pt>
                <c:pt idx="10">
                  <c:v>0.53376000000000001</c:v>
                </c:pt>
                <c:pt idx="11">
                  <c:v>0.31135999999999997</c:v>
                </c:pt>
                <c:pt idx="12">
                  <c:v>0.27799999999999997</c:v>
                </c:pt>
                <c:pt idx="13">
                  <c:v>-4.2020000000000009E-2</c:v>
                </c:pt>
                <c:pt idx="14">
                  <c:v>0.11119999999999999</c:v>
                </c:pt>
                <c:pt idx="15">
                  <c:v>0.71433999999999997</c:v>
                </c:pt>
                <c:pt idx="16">
                  <c:v>1.8656400000000002</c:v>
                </c:pt>
                <c:pt idx="17">
                  <c:v>2.10995</c:v>
                </c:pt>
                <c:pt idx="18">
                  <c:v>2.1321600000000003</c:v>
                </c:pt>
                <c:pt idx="19">
                  <c:v>2.0877400000000002</c:v>
                </c:pt>
              </c:numCache>
            </c:numRef>
          </c:val>
          <c:extLst>
            <c:ext xmlns:c16="http://schemas.microsoft.com/office/drawing/2014/chart" uri="{C3380CC4-5D6E-409C-BE32-E72D297353CC}">
              <c16:uniqueId val="{00000002-9BA6-4290-9E63-FC4C70A5685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Sheet1!$F$2:$F$57</c:f>
              <c:numCache>
                <c:formatCode>0.0</c:formatCode>
                <c:ptCount val="20"/>
                <c:pt idx="0">
                  <c:v>-0.86539100949568792</c:v>
                </c:pt>
                <c:pt idx="1">
                  <c:v>-0.46597977434383187</c:v>
                </c:pt>
                <c:pt idx="2">
                  <c:v>-0.16642134797993996</c:v>
                </c:pt>
                <c:pt idx="3">
                  <c:v>-0.16642134797993996</c:v>
                </c:pt>
                <c:pt idx="4">
                  <c:v>0.59543999999999997</c:v>
                </c:pt>
                <c:pt idx="5">
                  <c:v>0.46311999999999998</c:v>
                </c:pt>
                <c:pt idx="6">
                  <c:v>0.23155999999999999</c:v>
                </c:pt>
                <c:pt idx="7">
                  <c:v>0.26463999999999999</c:v>
                </c:pt>
                <c:pt idx="8">
                  <c:v>3.1870000000000002E-2</c:v>
                </c:pt>
                <c:pt idx="9">
                  <c:v>3.1870000000000002E-2</c:v>
                </c:pt>
                <c:pt idx="10">
                  <c:v>0.35057000000000005</c:v>
                </c:pt>
                <c:pt idx="11">
                  <c:v>0.33782200000000001</c:v>
                </c:pt>
                <c:pt idx="12">
                  <c:v>0.39837499999999998</c:v>
                </c:pt>
                <c:pt idx="13">
                  <c:v>0.46240999999999999</c:v>
                </c:pt>
                <c:pt idx="14">
                  <c:v>0.44618000000000002</c:v>
                </c:pt>
                <c:pt idx="15">
                  <c:v>0.56912000000000007</c:v>
                </c:pt>
                <c:pt idx="16">
                  <c:v>0.79486000000000023</c:v>
                </c:pt>
                <c:pt idx="17">
                  <c:v>0.75873000000000002</c:v>
                </c:pt>
                <c:pt idx="18">
                  <c:v>0.65034000000000003</c:v>
                </c:pt>
                <c:pt idx="19">
                  <c:v>0.65034000000000003</c:v>
                </c:pt>
              </c:numCache>
            </c:numRef>
          </c:val>
          <c:extLst>
            <c:ext xmlns:c16="http://schemas.microsoft.com/office/drawing/2014/chart" uri="{C3380CC4-5D6E-409C-BE32-E72D297353CC}">
              <c16:uniqueId val="{00000003-9BA6-4290-9E63-FC4C70A5685A}"/>
            </c:ext>
          </c:extLst>
        </c:ser>
        <c:dLbls>
          <c:showLegendKey val="0"/>
          <c:showVal val="0"/>
          <c:showCatName val="0"/>
          <c:showSerName val="0"/>
          <c:showPercent val="0"/>
          <c:showBubbleSize val="0"/>
        </c:dLbls>
        <c:gapWidth val="100"/>
        <c:overlap val="100"/>
        <c:axId val="328884992"/>
        <c:axId val="32888652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9BA6-4290-9E63-FC4C70A5685A}"/>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9BA6-4290-9E63-FC4C70A5685A}"/>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9BA6-4290-9E63-FC4C70A5685A}"/>
              </c:ext>
            </c:extLst>
          </c:dPt>
          <c:dLbls>
            <c:dLbl>
              <c:idx val="0"/>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BA6-4290-9E63-FC4C70A5685A}"/>
                </c:ext>
              </c:extLst>
            </c:dLbl>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BA6-4290-9E63-FC4C70A5685A}"/>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BA6-4290-9E63-FC4C70A5685A}"/>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BA6-4290-9E63-FC4C70A5685A}"/>
                </c:ext>
              </c:extLst>
            </c:dLbl>
            <c:dLbl>
              <c:idx val="15"/>
              <c:layout>
                <c:manualLayout>
                  <c:x val="-9.8950020999580002E-2"/>
                  <c:y val="-6.86978832584990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BA6-4290-9E63-FC4C70A5685A}"/>
                </c:ext>
              </c:extLst>
            </c:dLbl>
            <c:dLbl>
              <c:idx val="16"/>
              <c:layout>
                <c:manualLayout>
                  <c:x val="-8.8198236035279293E-2"/>
                  <c:y val="-0.10262989095574089"/>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BA6-4290-9E63-FC4C70A5685A}"/>
                </c:ext>
              </c:extLst>
            </c:dLbl>
            <c:dLbl>
              <c:idx val="19"/>
              <c:layout>
                <c:manualLayout>
                  <c:x val="-2.5199496010079953E-2"/>
                  <c:y val="-5.772931366260423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BA6-4290-9E63-FC4C70A5685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Sheet1!$B$2:$B$57</c:f>
              <c:numCache>
                <c:formatCode>0.0</c:formatCode>
                <c:ptCount val="20"/>
                <c:pt idx="0">
                  <c:v>-0.11200684754751911</c:v>
                </c:pt>
                <c:pt idx="1">
                  <c:v>1.1484365208069529</c:v>
                </c:pt>
                <c:pt idx="2">
                  <c:v>1.045072663038298</c:v>
                </c:pt>
                <c:pt idx="3">
                  <c:v>2.6317019479985393</c:v>
                </c:pt>
                <c:pt idx="4">
                  <c:v>3.746264</c:v>
                </c:pt>
                <c:pt idx="5">
                  <c:v>0.92360999999999982</c:v>
                </c:pt>
                <c:pt idx="6">
                  <c:v>3.4589300000000001</c:v>
                </c:pt>
                <c:pt idx="7">
                  <c:v>1.78416</c:v>
                </c:pt>
                <c:pt idx="8">
                  <c:v>1.8542299999999998</c:v>
                </c:pt>
                <c:pt idx="9">
                  <c:v>2.5381299999999998</c:v>
                </c:pt>
                <c:pt idx="10">
                  <c:v>0.5188100000000001</c:v>
                </c:pt>
                <c:pt idx="11">
                  <c:v>0.71975100000000003</c:v>
                </c:pt>
                <c:pt idx="12">
                  <c:v>-5.8054400000000055E-2</c:v>
                </c:pt>
                <c:pt idx="13">
                  <c:v>1.6678599999999999</c:v>
                </c:pt>
                <c:pt idx="14">
                  <c:v>1.3506399999999998</c:v>
                </c:pt>
                <c:pt idx="15">
                  <c:v>3.6551020000000003</c:v>
                </c:pt>
                <c:pt idx="16">
                  <c:v>5.8236124000000009</c:v>
                </c:pt>
                <c:pt idx="17">
                  <c:v>6.5348216000000008</c:v>
                </c:pt>
                <c:pt idx="18">
                  <c:v>8.2150563999999999</c:v>
                </c:pt>
                <c:pt idx="19">
                  <c:v>8.7703571</c:v>
                </c:pt>
              </c:numCache>
            </c:numRef>
          </c:val>
          <c:smooth val="0"/>
          <c:extLst>
            <c:ext xmlns:c16="http://schemas.microsoft.com/office/drawing/2014/chart" uri="{C3380CC4-5D6E-409C-BE32-E72D297353CC}">
              <c16:uniqueId val="{0000000B-9BA6-4290-9E63-FC4C70A5685A}"/>
            </c:ext>
          </c:extLst>
        </c:ser>
        <c:dLbls>
          <c:showLegendKey val="0"/>
          <c:showVal val="0"/>
          <c:showCatName val="0"/>
          <c:showSerName val="0"/>
          <c:showPercent val="0"/>
          <c:showBubbleSize val="0"/>
        </c:dLbls>
        <c:marker val="1"/>
        <c:smooth val="0"/>
        <c:axId val="328884992"/>
        <c:axId val="328886528"/>
      </c:lineChart>
      <c:catAx>
        <c:axId val="32888499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8886528"/>
        <c:crosses val="autoZero"/>
        <c:auto val="1"/>
        <c:lblAlgn val="ctr"/>
        <c:lblOffset val="100"/>
        <c:noMultiLvlLbl val="0"/>
      </c:catAx>
      <c:valAx>
        <c:axId val="328886528"/>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888499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900" i="1"/>
              <a:t>Մ</a:t>
            </a:r>
            <a:r>
              <a:rPr lang="hy-AM" sz="900" i="1"/>
              <a:t>իջին գնաճը</a:t>
            </a:r>
            <a:r>
              <a:rPr lang="en-US" sz="900" i="1"/>
              <a:t>,</a:t>
            </a:r>
            <a:r>
              <a:rPr lang="en-US" sz="900" i="1" baseline="0"/>
              <a:t> %</a:t>
            </a:r>
            <a:endParaRPr lang="en-US" sz="900" i="1"/>
          </a:p>
        </c:rich>
      </c:tx>
      <c:layout>
        <c:manualLayout>
          <c:xMode val="edge"/>
          <c:yMode val="edge"/>
          <c:x val="0.31103696783664908"/>
          <c:y val="0"/>
        </c:manualLayout>
      </c:layout>
      <c:overlay val="0"/>
      <c:spPr>
        <a:noFill/>
        <a:ln>
          <a:noFill/>
        </a:ln>
        <a:effectLst/>
      </c:spPr>
    </c:title>
    <c:autoTitleDeleted val="0"/>
    <c:plotArea>
      <c:layout>
        <c:manualLayout>
          <c:layoutTarget val="inner"/>
          <c:xMode val="edge"/>
          <c:yMode val="edge"/>
          <c:x val="0.11270836908098351"/>
          <c:y val="0.12480519374330552"/>
          <c:w val="0.84290099330804158"/>
          <c:h val="0.67598220783149765"/>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Sheet1!$C$2:$C$57</c:f>
              <c:numCache>
                <c:formatCode>0.0</c:formatCode>
                <c:ptCount val="20"/>
                <c:pt idx="0">
                  <c:v>1.1515053876665682</c:v>
                </c:pt>
                <c:pt idx="1">
                  <c:v>1.7437081584665173</c:v>
                </c:pt>
                <c:pt idx="2">
                  <c:v>1.5421947156248681</c:v>
                </c:pt>
                <c:pt idx="3">
                  <c:v>1.6861328890831888</c:v>
                </c:pt>
                <c:pt idx="4">
                  <c:v>1.7110799999999999</c:v>
                </c:pt>
                <c:pt idx="5">
                  <c:v>0.75369000000000019</c:v>
                </c:pt>
                <c:pt idx="6">
                  <c:v>0.97775999999999996</c:v>
                </c:pt>
                <c:pt idx="7">
                  <c:v>0.93701999999999996</c:v>
                </c:pt>
                <c:pt idx="8">
                  <c:v>0.99239999999999995</c:v>
                </c:pt>
                <c:pt idx="9">
                  <c:v>1.4472499999999999</c:v>
                </c:pt>
                <c:pt idx="10">
                  <c:v>1.0130749999999999</c:v>
                </c:pt>
                <c:pt idx="11">
                  <c:v>0.76497500000000007</c:v>
                </c:pt>
                <c:pt idx="12">
                  <c:v>-1.2156899999999999</c:v>
                </c:pt>
                <c:pt idx="13">
                  <c:v>-0.43004000000000003</c:v>
                </c:pt>
                <c:pt idx="14">
                  <c:v>-0.12404999999999999</c:v>
                </c:pt>
                <c:pt idx="15">
                  <c:v>0.11768999999999999</c:v>
                </c:pt>
                <c:pt idx="16">
                  <c:v>2.6414839999999997</c:v>
                </c:pt>
                <c:pt idx="17">
                  <c:v>2.8647079999999998</c:v>
                </c:pt>
                <c:pt idx="18">
                  <c:v>3.1623399999999999</c:v>
                </c:pt>
                <c:pt idx="19">
                  <c:v>3.459972</c:v>
                </c:pt>
              </c:numCache>
            </c:numRef>
          </c:val>
          <c:extLst>
            <c:ext xmlns:c16="http://schemas.microsoft.com/office/drawing/2014/chart" uri="{C3380CC4-5D6E-409C-BE32-E72D297353CC}">
              <c16:uniqueId val="{00000000-3D9D-4B3F-89C0-ACA60771B113}"/>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Sheet1!$D$2:$D$57</c:f>
              <c:numCache>
                <c:formatCode>0.0</c:formatCode>
                <c:ptCount val="20"/>
                <c:pt idx="0">
                  <c:v>7.4798941030880875E-2</c:v>
                </c:pt>
                <c:pt idx="1">
                  <c:v>0.11175841777555143</c:v>
                </c:pt>
                <c:pt idx="2">
                  <c:v>0.12539822466941794</c:v>
                </c:pt>
                <c:pt idx="3">
                  <c:v>0.14079800664636402</c:v>
                </c:pt>
                <c:pt idx="4">
                  <c:v>0.16416</c:v>
                </c:pt>
                <c:pt idx="5">
                  <c:v>0.16632000000000002</c:v>
                </c:pt>
                <c:pt idx="6">
                  <c:v>0.18576000000000001</c:v>
                </c:pt>
                <c:pt idx="7">
                  <c:v>0.18144000000000002</c:v>
                </c:pt>
                <c:pt idx="8">
                  <c:v>0.18613999999999997</c:v>
                </c:pt>
                <c:pt idx="9">
                  <c:v>0.19068000000000002</c:v>
                </c:pt>
                <c:pt idx="10">
                  <c:v>0.19295000000000001</c:v>
                </c:pt>
                <c:pt idx="11">
                  <c:v>0.19295000000000001</c:v>
                </c:pt>
                <c:pt idx="12">
                  <c:v>0.36093000000000003</c:v>
                </c:pt>
                <c:pt idx="13">
                  <c:v>0.40240499999999996</c:v>
                </c:pt>
                <c:pt idx="14">
                  <c:v>0.41283000000000003</c:v>
                </c:pt>
                <c:pt idx="15">
                  <c:v>0.41283000000000003</c:v>
                </c:pt>
                <c:pt idx="16">
                  <c:v>0.42338649999999994</c:v>
                </c:pt>
                <c:pt idx="17">
                  <c:v>0.40555969999999997</c:v>
                </c:pt>
                <c:pt idx="18">
                  <c:v>0.40555969999999997</c:v>
                </c:pt>
                <c:pt idx="19">
                  <c:v>0.41001639999999995</c:v>
                </c:pt>
              </c:numCache>
            </c:numRef>
          </c:val>
          <c:extLst>
            <c:ext xmlns:c16="http://schemas.microsoft.com/office/drawing/2014/chart" uri="{C3380CC4-5D6E-409C-BE32-E72D297353CC}">
              <c16:uniqueId val="{00000001-3D9D-4B3F-89C0-ACA60771B113}"/>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Sheet1!$E$2:$E$57</c:f>
              <c:numCache>
                <c:formatCode>0.0</c:formatCode>
                <c:ptCount val="20"/>
                <c:pt idx="0">
                  <c:v>-0.74167100978775335</c:v>
                </c:pt>
                <c:pt idx="1">
                  <c:v>-0.65690860866915302</c:v>
                </c:pt>
                <c:pt idx="2">
                  <c:v>-0.55095560727090254</c:v>
                </c:pt>
                <c:pt idx="3">
                  <c:v>-0.38143080503370169</c:v>
                </c:pt>
                <c:pt idx="4">
                  <c:v>0.96140000000000014</c:v>
                </c:pt>
                <c:pt idx="5">
                  <c:v>1.0378750000000001</c:v>
                </c:pt>
                <c:pt idx="6">
                  <c:v>1.0488000000000002</c:v>
                </c:pt>
                <c:pt idx="7">
                  <c:v>0.98325000000000007</c:v>
                </c:pt>
                <c:pt idx="8">
                  <c:v>0.17791999999999997</c:v>
                </c:pt>
                <c:pt idx="9">
                  <c:v>0.26688000000000001</c:v>
                </c:pt>
                <c:pt idx="10">
                  <c:v>0.34472000000000003</c:v>
                </c:pt>
                <c:pt idx="11">
                  <c:v>0.32247999999999999</c:v>
                </c:pt>
                <c:pt idx="12">
                  <c:v>0.36695999999999995</c:v>
                </c:pt>
                <c:pt idx="13">
                  <c:v>0.19959500000000002</c:v>
                </c:pt>
                <c:pt idx="14">
                  <c:v>0.16808000000000003</c:v>
                </c:pt>
                <c:pt idx="15">
                  <c:v>0.21010000000000001</c:v>
                </c:pt>
                <c:pt idx="16">
                  <c:v>1.5324900000000001</c:v>
                </c:pt>
                <c:pt idx="17">
                  <c:v>1.7545900000000001</c:v>
                </c:pt>
                <c:pt idx="18">
                  <c:v>1.8212199999999998</c:v>
                </c:pt>
                <c:pt idx="19">
                  <c:v>1.8434300000000001</c:v>
                </c:pt>
              </c:numCache>
            </c:numRef>
          </c:val>
          <c:extLst>
            <c:ext xmlns:c16="http://schemas.microsoft.com/office/drawing/2014/chart" uri="{C3380CC4-5D6E-409C-BE32-E72D297353CC}">
              <c16:uniqueId val="{00000002-3D9D-4B3F-89C0-ACA60771B113}"/>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Sheet1!$F$2:$F$57</c:f>
              <c:numCache>
                <c:formatCode>0.0</c:formatCode>
                <c:ptCount val="20"/>
                <c:pt idx="0">
                  <c:v>-0.83210673989969985</c:v>
                </c:pt>
                <c:pt idx="1">
                  <c:v>-0.73225393111173587</c:v>
                </c:pt>
                <c:pt idx="2">
                  <c:v>-0.47929348218222706</c:v>
                </c:pt>
                <c:pt idx="3">
                  <c:v>-0.43269550474784396</c:v>
                </c:pt>
                <c:pt idx="4">
                  <c:v>0.46311999999999998</c:v>
                </c:pt>
                <c:pt idx="5">
                  <c:v>0.47965999999999992</c:v>
                </c:pt>
                <c:pt idx="6">
                  <c:v>0.43003999999999998</c:v>
                </c:pt>
                <c:pt idx="7">
                  <c:v>0.39695999999999998</c:v>
                </c:pt>
                <c:pt idx="8">
                  <c:v>0.12748000000000001</c:v>
                </c:pt>
                <c:pt idx="9">
                  <c:v>6.3740000000000005E-2</c:v>
                </c:pt>
                <c:pt idx="10">
                  <c:v>9.5610000000000001E-2</c:v>
                </c:pt>
                <c:pt idx="11">
                  <c:v>0.14660200000000001</c:v>
                </c:pt>
                <c:pt idx="12">
                  <c:v>0.43024500000000004</c:v>
                </c:pt>
                <c:pt idx="13">
                  <c:v>0.39837499999999998</c:v>
                </c:pt>
                <c:pt idx="14">
                  <c:v>0.41431000000000007</c:v>
                </c:pt>
                <c:pt idx="15">
                  <c:v>0.49797999999999992</c:v>
                </c:pt>
                <c:pt idx="16">
                  <c:v>0.61421000000000003</c:v>
                </c:pt>
                <c:pt idx="17">
                  <c:v>0.72260000000000002</c:v>
                </c:pt>
                <c:pt idx="18">
                  <c:v>0.68647000000000002</c:v>
                </c:pt>
                <c:pt idx="19">
                  <c:v>0.68647000000000002</c:v>
                </c:pt>
              </c:numCache>
            </c:numRef>
          </c:val>
          <c:extLst>
            <c:ext xmlns:c16="http://schemas.microsoft.com/office/drawing/2014/chart" uri="{C3380CC4-5D6E-409C-BE32-E72D297353CC}">
              <c16:uniqueId val="{00000003-3D9D-4B3F-89C0-ACA60771B113}"/>
            </c:ext>
          </c:extLst>
        </c:ser>
        <c:dLbls>
          <c:showLegendKey val="0"/>
          <c:showVal val="0"/>
          <c:showCatName val="0"/>
          <c:showSerName val="0"/>
          <c:showPercent val="0"/>
          <c:showBubbleSize val="0"/>
        </c:dLbls>
        <c:gapWidth val="100"/>
        <c:overlap val="100"/>
        <c:axId val="329685248"/>
        <c:axId val="329691136"/>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4-3D9D-4B3F-89C0-ACA60771B113}"/>
              </c:ext>
            </c:extLst>
          </c:dPt>
          <c:dPt>
            <c:idx val="7"/>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5-3D9D-4B3F-89C0-ACA60771B113}"/>
              </c:ext>
            </c:extLst>
          </c:dPt>
          <c:dPt>
            <c:idx val="11"/>
            <c:marker>
              <c:symbol val="square"/>
              <c:size val="6"/>
              <c:spPr>
                <a:solidFill>
                  <a:schemeClr val="accent1"/>
                </a:solidFill>
                <a:ln w="15875">
                  <a:solidFill>
                    <a:schemeClr val="accent1"/>
                  </a:solidFill>
                  <a:round/>
                </a:ln>
                <a:effectLst/>
              </c:spPr>
            </c:marker>
            <c:bubble3D val="0"/>
            <c:extLst>
              <c:ext xmlns:c16="http://schemas.microsoft.com/office/drawing/2014/chart" uri="{C3380CC4-5D6E-409C-BE32-E72D297353CC}">
                <c16:uniqueId val="{00000006-3D9D-4B3F-89C0-ACA60771B113}"/>
              </c:ext>
            </c:extLst>
          </c:dPt>
          <c:dLbls>
            <c:dLbl>
              <c:idx val="3"/>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D9D-4B3F-89C0-ACA60771B113}"/>
                </c:ext>
              </c:extLst>
            </c:dLbl>
            <c:dLbl>
              <c:idx val="7"/>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D9D-4B3F-89C0-ACA60771B113}"/>
                </c:ext>
              </c:extLst>
            </c:dLbl>
            <c:dLbl>
              <c:idx val="11"/>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D9D-4B3F-89C0-ACA60771B113}"/>
                </c:ext>
              </c:extLst>
            </c:dLbl>
            <c:dLbl>
              <c:idx val="15"/>
              <c:layout/>
              <c:dLblPos val="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D9D-4B3F-89C0-ACA60771B113}"/>
                </c:ext>
              </c:extLst>
            </c:dLbl>
            <c:dLbl>
              <c:idx val="16"/>
              <c:layout>
                <c:manualLayout>
                  <c:x val="-8.3998320033599333E-2"/>
                  <c:y val="-6.414368184733806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D9D-4B3F-89C0-ACA60771B113}"/>
                </c:ext>
              </c:extLst>
            </c:dLbl>
            <c:dLbl>
              <c:idx val="19"/>
              <c:layout>
                <c:manualLayout>
                  <c:x val="-1.6799664006719867E-2"/>
                  <c:y val="-4.4900577293136623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D9D-4B3F-89C0-ACA60771B113}"/>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numRef>
              <c:f>Sheet1!$A$2:$A$57</c:f>
              <c:numCache>
                <c:formatCode>General</c:formatCode>
                <c:ptCount val="20"/>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pt idx="12">
                  <c:v>2020.3</c:v>
                </c:pt>
                <c:pt idx="13">
                  <c:v>2020.6</c:v>
                </c:pt>
                <c:pt idx="14">
                  <c:v>2020.9</c:v>
                </c:pt>
                <c:pt idx="15">
                  <c:v>2020.12</c:v>
                </c:pt>
                <c:pt idx="16">
                  <c:v>2021.3</c:v>
                </c:pt>
                <c:pt idx="17">
                  <c:v>2021.6</c:v>
                </c:pt>
                <c:pt idx="18">
                  <c:v>2021.7</c:v>
                </c:pt>
                <c:pt idx="19">
                  <c:v>2021.8</c:v>
                </c:pt>
              </c:numCache>
            </c:numRef>
          </c:cat>
          <c:val>
            <c:numRef>
              <c:f>Sheet1!$B$2:$B$57</c:f>
              <c:numCache>
                <c:formatCode>0.0</c:formatCode>
                <c:ptCount val="20"/>
                <c:pt idx="0">
                  <c:v>-0.34747342099000411</c:v>
                </c:pt>
                <c:pt idx="1">
                  <c:v>0.46630403646117979</c:v>
                </c:pt>
                <c:pt idx="2">
                  <c:v>0.63734385084115641</c:v>
                </c:pt>
                <c:pt idx="3">
                  <c:v>1.0128045859480073</c:v>
                </c:pt>
                <c:pt idx="4">
                  <c:v>3.29976</c:v>
                </c:pt>
                <c:pt idx="5">
                  <c:v>2.4375450000000001</c:v>
                </c:pt>
                <c:pt idx="6">
                  <c:v>2.64236</c:v>
                </c:pt>
                <c:pt idx="7">
                  <c:v>2.4986700000000002</c:v>
                </c:pt>
                <c:pt idx="8">
                  <c:v>1.4839399999999998</c:v>
                </c:pt>
                <c:pt idx="9">
                  <c:v>1.9685499999999998</c:v>
                </c:pt>
                <c:pt idx="10">
                  <c:v>1.646355</c:v>
                </c:pt>
                <c:pt idx="11">
                  <c:v>1.4270070000000001</c:v>
                </c:pt>
                <c:pt idx="12">
                  <c:v>-5.7554999999999967E-2</c:v>
                </c:pt>
                <c:pt idx="13">
                  <c:v>0.53033499999999989</c:v>
                </c:pt>
                <c:pt idx="14">
                  <c:v>0.87117000000000011</c:v>
                </c:pt>
                <c:pt idx="15">
                  <c:v>1.2385999999999999</c:v>
                </c:pt>
                <c:pt idx="16">
                  <c:v>5.2115704999999997</c:v>
                </c:pt>
                <c:pt idx="17">
                  <c:v>5.7474577</c:v>
                </c:pt>
                <c:pt idx="18">
                  <c:v>6.0755897000000001</c:v>
                </c:pt>
                <c:pt idx="19">
                  <c:v>6.3998884</c:v>
                </c:pt>
              </c:numCache>
            </c:numRef>
          </c:val>
          <c:smooth val="0"/>
          <c:extLst>
            <c:ext xmlns:c16="http://schemas.microsoft.com/office/drawing/2014/chart" uri="{C3380CC4-5D6E-409C-BE32-E72D297353CC}">
              <c16:uniqueId val="{0000000A-3D9D-4B3F-89C0-ACA60771B113}"/>
            </c:ext>
          </c:extLst>
        </c:ser>
        <c:dLbls>
          <c:showLegendKey val="0"/>
          <c:showVal val="0"/>
          <c:showCatName val="0"/>
          <c:showSerName val="0"/>
          <c:showPercent val="0"/>
          <c:showBubbleSize val="0"/>
        </c:dLbls>
        <c:marker val="1"/>
        <c:smooth val="0"/>
        <c:axId val="329685248"/>
        <c:axId val="329691136"/>
      </c:lineChart>
      <c:catAx>
        <c:axId val="3296852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29691136"/>
        <c:crosses val="autoZero"/>
        <c:auto val="1"/>
        <c:lblAlgn val="ctr"/>
        <c:lblOffset val="100"/>
        <c:noMultiLvlLbl val="0"/>
      </c:catAx>
      <c:valAx>
        <c:axId val="329691136"/>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29685248"/>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lgn="l">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98E-2"/>
          <c:w val="0.84290099330804158"/>
          <c:h val="1.90308418654875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c:ext xmlns:c16="http://schemas.microsoft.com/office/drawing/2014/chart" uri="{C3380CC4-5D6E-409C-BE32-E72D297353CC}">
              <c16:uniqueId val="{00000000-A23F-4B9B-BDF6-463F8D7CD862}"/>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c:ext xmlns:c16="http://schemas.microsoft.com/office/drawing/2014/chart" uri="{C3380CC4-5D6E-409C-BE32-E72D297353CC}">
              <c16:uniqueId val="{00000001-A23F-4B9B-BDF6-463F8D7CD862}"/>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c:ext xmlns:c16="http://schemas.microsoft.com/office/drawing/2014/chart" uri="{C3380CC4-5D6E-409C-BE32-E72D297353CC}">
              <c16:uniqueId val="{00000002-A23F-4B9B-BDF6-463F8D7CD862}"/>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c:ext xmlns:c16="http://schemas.microsoft.com/office/drawing/2014/chart" uri="{C3380CC4-5D6E-409C-BE32-E72D297353CC}">
              <c16:uniqueId val="{00000003-A23F-4B9B-BDF6-463F8D7CD862}"/>
            </c:ext>
          </c:extLst>
        </c:ser>
        <c:dLbls>
          <c:showLegendKey val="0"/>
          <c:showVal val="0"/>
          <c:showCatName val="0"/>
          <c:showSerName val="0"/>
          <c:showPercent val="0"/>
          <c:showBubbleSize val="0"/>
        </c:dLbls>
        <c:gapWidth val="100"/>
        <c:overlap val="100"/>
        <c:axId val="330651904"/>
        <c:axId val="330665984"/>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c:ext xmlns:c16="http://schemas.microsoft.com/office/drawing/2014/chart" uri="{C3380CC4-5D6E-409C-BE32-E72D297353CC}">
              <c16:uniqueId val="{00000004-A23F-4B9B-BDF6-463F8D7CD862}"/>
            </c:ext>
          </c:extLst>
        </c:ser>
        <c:dLbls>
          <c:showLegendKey val="0"/>
          <c:showVal val="0"/>
          <c:showCatName val="0"/>
          <c:showSerName val="0"/>
          <c:showPercent val="0"/>
          <c:showBubbleSize val="0"/>
        </c:dLbls>
        <c:marker val="1"/>
        <c:smooth val="0"/>
        <c:axId val="330651904"/>
        <c:axId val="330665984"/>
      </c:lineChart>
      <c:catAx>
        <c:axId val="330651904"/>
        <c:scaling>
          <c:orientation val="minMax"/>
        </c:scaling>
        <c:delete val="1"/>
        <c:axPos val="b"/>
        <c:numFmt formatCode="General" sourceLinked="1"/>
        <c:majorTickMark val="out"/>
        <c:minorTickMark val="none"/>
        <c:tickLblPos val="none"/>
        <c:crossAx val="330665984"/>
        <c:crosses val="autoZero"/>
        <c:auto val="1"/>
        <c:lblAlgn val="ctr"/>
        <c:lblOffset val="100"/>
        <c:noMultiLvlLbl val="0"/>
      </c:catAx>
      <c:valAx>
        <c:axId val="330665984"/>
        <c:scaling>
          <c:orientation val="minMax"/>
        </c:scaling>
        <c:delete val="1"/>
        <c:axPos val="l"/>
        <c:numFmt formatCode="General" sourceLinked="1"/>
        <c:majorTickMark val="none"/>
        <c:minorTickMark val="none"/>
        <c:tickLblPos val="none"/>
        <c:crossAx val="330651904"/>
        <c:crosses val="autoZero"/>
        <c:crossBetween val="between"/>
      </c:valAx>
      <c:spPr>
        <a:noFill/>
        <a:ln>
          <a:noFill/>
        </a:ln>
        <a:effectLst/>
      </c:spPr>
    </c:plotArea>
    <c:legend>
      <c:legendPos val="b"/>
      <c:layout>
        <c:manualLayout>
          <c:xMode val="edge"/>
          <c:yMode val="edge"/>
          <c:x val="2.4091860941327401E-2"/>
          <c:y val="0.10991302557768538"/>
          <c:w val="0.95949541633383117"/>
          <c:h val="0.876928860454944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hy-AM" sz="1100"/>
              <a:t>Գնաճի կանխատեսումները և նպատակային միջակայքը</a:t>
            </a:r>
            <a:r>
              <a:rPr lang="en-US" sz="1100"/>
              <a:t>, %</a:t>
            </a:r>
          </a:p>
        </c:rich>
      </c:tx>
      <c:layout>
        <c:manualLayout>
          <c:xMode val="edge"/>
          <c:yMode val="edge"/>
          <c:x val="0.21738990489660437"/>
          <c:y val="1.2091606196284284E-2"/>
        </c:manualLayout>
      </c:layout>
      <c:overlay val="0"/>
      <c:spPr>
        <a:noFill/>
        <a:ln>
          <a:noFill/>
        </a:ln>
        <a:effectLst/>
      </c:spPr>
    </c:title>
    <c:autoTitleDeleted val="0"/>
    <c:plotArea>
      <c:layout>
        <c:manualLayout>
          <c:layoutTarget val="inner"/>
          <c:xMode val="edge"/>
          <c:yMode val="edge"/>
          <c:x val="4.286978223573859E-2"/>
          <c:y val="0.15820767267105321"/>
          <c:w val="0.93497959351939874"/>
          <c:h val="0.6595433789954338"/>
        </c:manualLayout>
      </c:layout>
      <c:lineChart>
        <c:grouping val="standard"/>
        <c:varyColors val="0"/>
        <c:ser>
          <c:idx val="0"/>
          <c:order val="0"/>
          <c:tx>
            <c:strRef>
              <c:f>Sheet1!$B$1</c:f>
              <c:strCache>
                <c:ptCount val="1"/>
                <c:pt idx="0">
                  <c:v>12 ամսյա գնաճ</c:v>
                </c:pt>
              </c:strCache>
            </c:strRef>
          </c:tx>
          <c:spPr>
            <a:ln w="31750" cap="rnd">
              <a:solidFill>
                <a:schemeClr val="accent1"/>
              </a:solidFill>
              <a:round/>
            </a:ln>
            <a:effectLst/>
          </c:spPr>
          <c:marker>
            <c:symbol val="circle"/>
            <c:size val="7"/>
            <c:spPr>
              <a:solidFill>
                <a:schemeClr val="accent1"/>
              </a:solidFill>
              <a:ln w="15875">
                <a:solidFill>
                  <a:schemeClr val="accent1"/>
                </a:solidFill>
                <a:round/>
              </a:ln>
              <a:effectLst/>
            </c:spPr>
          </c:marker>
          <c:dLbls>
            <c:dLbl>
              <c:idx val="1"/>
              <c:layout>
                <c:manualLayout>
                  <c:x val="-3.435360451067259E-2"/>
                  <c:y val="5.90326797385622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BC1-4B1B-AC57-D1CDDE388D04}"/>
                </c:ext>
              </c:extLst>
            </c:dLbl>
            <c:dLbl>
              <c:idx val="2"/>
              <c:layout>
                <c:manualLayout>
                  <c:x val="-3.3729359645589999E-2"/>
                  <c:y val="4.33464052287580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BC1-4B1B-AC57-D1CDDE388D04}"/>
                </c:ext>
              </c:extLst>
            </c:dLbl>
            <c:dLbl>
              <c:idx val="4"/>
              <c:layout>
                <c:manualLayout>
                  <c:x val="-6.3274013945259652E-2"/>
                  <c:y val="-1.593648926786239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BC1-4B1B-AC57-D1CDDE388D04}"/>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Sheet1!$A$2:$A$9</c:f>
              <c:numCache>
                <c:formatCode>General</c:formatCode>
                <c:ptCount val="6"/>
                <c:pt idx="0">
                  <c:v>2017</c:v>
                </c:pt>
                <c:pt idx="1">
                  <c:v>2018</c:v>
                </c:pt>
                <c:pt idx="2">
                  <c:v>2019</c:v>
                </c:pt>
                <c:pt idx="3">
                  <c:v>2020</c:v>
                </c:pt>
                <c:pt idx="4">
                  <c:v>2021</c:v>
                </c:pt>
                <c:pt idx="5">
                  <c:v>2022</c:v>
                </c:pt>
              </c:numCache>
            </c:numRef>
          </c:cat>
          <c:val>
            <c:numRef>
              <c:f>Sheet1!$B$2:$B$9</c:f>
              <c:numCache>
                <c:formatCode>0.0</c:formatCode>
                <c:ptCount val="6"/>
                <c:pt idx="0">
                  <c:v>2.6391820853362873</c:v>
                </c:pt>
                <c:pt idx="1">
                  <c:v>1.7710353790077846</c:v>
                </c:pt>
                <c:pt idx="2">
                  <c:v>0.74073867036182151</c:v>
                </c:pt>
                <c:pt idx="3">
                  <c:v>3.7</c:v>
                </c:pt>
                <c:pt idx="4">
                  <c:v>7.4</c:v>
                </c:pt>
                <c:pt idx="5">
                  <c:v>5.3</c:v>
                </c:pt>
              </c:numCache>
            </c:numRef>
          </c:val>
          <c:smooth val="0"/>
          <c:extLst>
            <c:ext xmlns:c16="http://schemas.microsoft.com/office/drawing/2014/chart" uri="{C3380CC4-5D6E-409C-BE32-E72D297353CC}">
              <c16:uniqueId val="{00000003-0BC1-4B1B-AC57-D1CDDE388D04}"/>
            </c:ext>
          </c:extLst>
        </c:ser>
        <c:ser>
          <c:idx val="1"/>
          <c:order val="1"/>
          <c:tx>
            <c:strRef>
              <c:f>Sheet1!$C$1</c:f>
              <c:strCache>
                <c:ptCount val="1"/>
                <c:pt idx="0">
                  <c:v>Միջին գնաճ</c:v>
                </c:pt>
              </c:strCache>
            </c:strRef>
          </c:tx>
          <c:spPr>
            <a:ln w="28575" cap="rnd">
              <a:solidFill>
                <a:srgbClr val="FF0000"/>
              </a:solidFill>
              <a:round/>
            </a:ln>
            <a:effectLst/>
          </c:spPr>
          <c:marker>
            <c:symbol val="square"/>
            <c:size val="7"/>
            <c:spPr>
              <a:solidFill>
                <a:srgbClr val="FF0000"/>
              </a:solidFill>
              <a:ln w="15875">
                <a:solidFill>
                  <a:srgbClr val="FF0000"/>
                </a:solidFill>
                <a:round/>
              </a:ln>
              <a:effectLst/>
            </c:spPr>
          </c:marker>
          <c:dLbls>
            <c:dLbl>
              <c:idx val="1"/>
              <c:layout>
                <c:manualLayout>
                  <c:x val="-3.3296494905514985E-2"/>
                  <c:y val="-5.903267973856223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BC1-4B1B-AC57-D1CDDE388D04}"/>
                </c:ext>
              </c:extLst>
            </c:dLbl>
            <c:dLbl>
              <c:idx val="2"/>
              <c:layout>
                <c:manualLayout>
                  <c:x val="-3.1735803463552259E-2"/>
                  <c:y val="-6.42614379084970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BC1-4B1B-AC57-D1CDDE388D04}"/>
                </c:ext>
              </c:extLst>
            </c:dLbl>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Sheet1!$A$2:$A$9</c:f>
              <c:numCache>
                <c:formatCode>General</c:formatCode>
                <c:ptCount val="6"/>
                <c:pt idx="0">
                  <c:v>2017</c:v>
                </c:pt>
                <c:pt idx="1">
                  <c:v>2018</c:v>
                </c:pt>
                <c:pt idx="2">
                  <c:v>2019</c:v>
                </c:pt>
                <c:pt idx="3">
                  <c:v>2020</c:v>
                </c:pt>
                <c:pt idx="4">
                  <c:v>2021</c:v>
                </c:pt>
                <c:pt idx="5">
                  <c:v>2022</c:v>
                </c:pt>
              </c:numCache>
            </c:numRef>
          </c:cat>
          <c:val>
            <c:numRef>
              <c:f>Sheet1!$C$2:$C$9</c:f>
              <c:numCache>
                <c:formatCode>0.0</c:formatCode>
                <c:ptCount val="6"/>
                <c:pt idx="0">
                  <c:v>0.96505083976387596</c:v>
                </c:pt>
                <c:pt idx="1">
                  <c:v>2.5490680730946309</c:v>
                </c:pt>
                <c:pt idx="2">
                  <c:v>1.4309835696169273</c:v>
                </c:pt>
                <c:pt idx="3">
                  <c:v>1.2</c:v>
                </c:pt>
                <c:pt idx="4">
                  <c:v>7</c:v>
                </c:pt>
                <c:pt idx="5">
                  <c:v>5.6</c:v>
                </c:pt>
              </c:numCache>
            </c:numRef>
          </c:val>
          <c:smooth val="0"/>
          <c:extLst>
            <c:ext xmlns:c16="http://schemas.microsoft.com/office/drawing/2014/chart" uri="{C3380CC4-5D6E-409C-BE32-E72D297353CC}">
              <c16:uniqueId val="{00000006-0BC1-4B1B-AC57-D1CDDE388D04}"/>
            </c:ext>
          </c:extLst>
        </c:ser>
        <c:ser>
          <c:idx val="2"/>
          <c:order val="2"/>
          <c:tx>
            <c:strRef>
              <c:f>Sheet1!$D$1</c:f>
              <c:strCache>
                <c:ptCount val="1"/>
                <c:pt idx="0">
                  <c:v>Column2</c:v>
                </c:pt>
              </c:strCache>
            </c:strRef>
          </c:tx>
          <c:spPr>
            <a:ln w="19050" cap="rnd">
              <a:solidFill>
                <a:srgbClr val="C00000"/>
              </a:solidFill>
              <a:prstDash val="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Sheet1!$D$2:$D$9</c:f>
              <c:numCache>
                <c:formatCode>General</c:formatCode>
                <c:ptCount val="6"/>
                <c:pt idx="0">
                  <c:v>4</c:v>
                </c:pt>
                <c:pt idx="1">
                  <c:v>4</c:v>
                </c:pt>
                <c:pt idx="2">
                  <c:v>4</c:v>
                </c:pt>
                <c:pt idx="3">
                  <c:v>4</c:v>
                </c:pt>
                <c:pt idx="4">
                  <c:v>4</c:v>
                </c:pt>
                <c:pt idx="5">
                  <c:v>4</c:v>
                </c:pt>
              </c:numCache>
            </c:numRef>
          </c:val>
          <c:smooth val="0"/>
          <c:extLst>
            <c:ext xmlns:c16="http://schemas.microsoft.com/office/drawing/2014/chart" uri="{C3380CC4-5D6E-409C-BE32-E72D297353CC}">
              <c16:uniqueId val="{00000007-0BC1-4B1B-AC57-D1CDDE388D04}"/>
            </c:ext>
          </c:extLst>
        </c:ser>
        <c:ser>
          <c:idx val="3"/>
          <c:order val="3"/>
          <c:tx>
            <c:strRef>
              <c:f>Sheet1!$E$1</c:f>
              <c:strCache>
                <c:ptCount val="1"/>
                <c:pt idx="0">
                  <c:v>Column3</c:v>
                </c:pt>
              </c:strCache>
            </c:strRef>
          </c:tx>
          <c:spPr>
            <a:ln w="12700" cap="rnd">
              <a:solidFill>
                <a:schemeClr val="accent2"/>
              </a:solidFill>
              <a:prstDash val="sys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Sheet1!$E$2:$E$9</c:f>
              <c:numCache>
                <c:formatCode>General</c:formatCode>
                <c:ptCount val="6"/>
                <c:pt idx="0">
                  <c:v>5.5</c:v>
                </c:pt>
                <c:pt idx="1">
                  <c:v>5.5</c:v>
                </c:pt>
                <c:pt idx="2">
                  <c:v>5.5</c:v>
                </c:pt>
                <c:pt idx="3">
                  <c:v>5.5</c:v>
                </c:pt>
                <c:pt idx="4">
                  <c:v>5.5</c:v>
                </c:pt>
                <c:pt idx="5">
                  <c:v>5.5</c:v>
                </c:pt>
              </c:numCache>
            </c:numRef>
          </c:val>
          <c:smooth val="0"/>
          <c:extLst>
            <c:ext xmlns:c16="http://schemas.microsoft.com/office/drawing/2014/chart" uri="{C3380CC4-5D6E-409C-BE32-E72D297353CC}">
              <c16:uniqueId val="{00000008-0BC1-4B1B-AC57-D1CDDE388D04}"/>
            </c:ext>
          </c:extLst>
        </c:ser>
        <c:ser>
          <c:idx val="4"/>
          <c:order val="4"/>
          <c:tx>
            <c:strRef>
              <c:f>Sheet1!$F$1</c:f>
              <c:strCache>
                <c:ptCount val="1"/>
                <c:pt idx="0">
                  <c:v>Column4</c:v>
                </c:pt>
              </c:strCache>
            </c:strRef>
          </c:tx>
          <c:spPr>
            <a:ln w="15875" cap="rnd">
              <a:solidFill>
                <a:schemeClr val="accent2"/>
              </a:solidFill>
              <a:prstDash val="sysDash"/>
              <a:round/>
            </a:ln>
            <a:effectLst/>
          </c:spPr>
          <c:marker>
            <c:symbol val="none"/>
          </c:marker>
          <c:cat>
            <c:numRef>
              <c:f>Sheet1!$A$2:$A$9</c:f>
              <c:numCache>
                <c:formatCode>General</c:formatCode>
                <c:ptCount val="6"/>
                <c:pt idx="0">
                  <c:v>2017</c:v>
                </c:pt>
                <c:pt idx="1">
                  <c:v>2018</c:v>
                </c:pt>
                <c:pt idx="2">
                  <c:v>2019</c:v>
                </c:pt>
                <c:pt idx="3">
                  <c:v>2020</c:v>
                </c:pt>
                <c:pt idx="4">
                  <c:v>2021</c:v>
                </c:pt>
                <c:pt idx="5">
                  <c:v>2022</c:v>
                </c:pt>
              </c:numCache>
            </c:numRef>
          </c:cat>
          <c:val>
            <c:numRef>
              <c:f>Sheet1!$F$2:$F$9</c:f>
              <c:numCache>
                <c:formatCode>General</c:formatCode>
                <c:ptCount val="6"/>
                <c:pt idx="0">
                  <c:v>2.5</c:v>
                </c:pt>
                <c:pt idx="1">
                  <c:v>2.5</c:v>
                </c:pt>
                <c:pt idx="2">
                  <c:v>2.5</c:v>
                </c:pt>
                <c:pt idx="3">
                  <c:v>2.5</c:v>
                </c:pt>
                <c:pt idx="4">
                  <c:v>2.5</c:v>
                </c:pt>
                <c:pt idx="5">
                  <c:v>2.5</c:v>
                </c:pt>
              </c:numCache>
            </c:numRef>
          </c:val>
          <c:smooth val="0"/>
          <c:extLst>
            <c:ext xmlns:c16="http://schemas.microsoft.com/office/drawing/2014/chart" uri="{C3380CC4-5D6E-409C-BE32-E72D297353CC}">
              <c16:uniqueId val="{00000009-0BC1-4B1B-AC57-D1CDDE388D04}"/>
            </c:ext>
          </c:extLst>
        </c:ser>
        <c:dLbls>
          <c:showLegendKey val="0"/>
          <c:showVal val="0"/>
          <c:showCatName val="0"/>
          <c:showSerName val="0"/>
          <c:showPercent val="0"/>
          <c:showBubbleSize val="0"/>
        </c:dLbls>
        <c:marker val="1"/>
        <c:smooth val="0"/>
        <c:axId val="331113216"/>
        <c:axId val="331114752"/>
      </c:lineChart>
      <c:catAx>
        <c:axId val="331113216"/>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331114752"/>
        <c:crosses val="autoZero"/>
        <c:auto val="1"/>
        <c:lblAlgn val="ctr"/>
        <c:lblOffset val="100"/>
        <c:noMultiLvlLbl val="0"/>
      </c:catAx>
      <c:valAx>
        <c:axId val="33111475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331113216"/>
        <c:crosses val="autoZero"/>
        <c:crossBetween val="between"/>
      </c:valAx>
      <c:spPr>
        <a:pattFill prst="ltDnDiag">
          <a:fgClr>
            <a:schemeClr val="dk1">
              <a:lumMod val="15000"/>
              <a:lumOff val="85000"/>
            </a:schemeClr>
          </a:fgClr>
          <a:bgClr>
            <a:schemeClr val="lt1"/>
          </a:bgClr>
        </a:pattFill>
        <a:ln>
          <a:noFill/>
        </a:ln>
        <a:effectLst/>
      </c:spPr>
    </c:plotArea>
    <c:legend>
      <c:legendPos val="b"/>
      <c:legendEntry>
        <c:idx val="2"/>
        <c:delete val="1"/>
      </c:legendEntry>
      <c:legendEntry>
        <c:idx val="3"/>
        <c:delete val="1"/>
      </c:legendEntry>
      <c:legendEntry>
        <c:idx val="4"/>
        <c:delete val="1"/>
      </c:legendEntry>
      <c:layout>
        <c:manualLayout>
          <c:xMode val="edge"/>
          <c:yMode val="edge"/>
          <c:x val="0.30210629128467448"/>
          <c:y val="0.9088850537518427"/>
          <c:w val="0.39578741743065565"/>
          <c:h val="8.1982526156833227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422200096683625"/>
          <c:y val="9.7387132828492137E-2"/>
          <c:w val="0.77075361005773846"/>
          <c:h val="0.53498227413516442"/>
        </c:manualLayout>
      </c:layout>
      <c:lineChart>
        <c:grouping val="standard"/>
        <c:varyColors val="0"/>
        <c:ser>
          <c:idx val="0"/>
          <c:order val="0"/>
          <c:tx>
            <c:strRef>
              <c:f>Sheet1!$B$1</c:f>
              <c:strCache>
                <c:ptCount val="1"/>
                <c:pt idx="0">
                  <c:v>Զարգացող երկրների արժույթ</c:v>
                </c:pt>
              </c:strCache>
            </c:strRef>
          </c:tx>
          <c:spPr>
            <a:ln w="28575" cap="rnd">
              <a:solidFill>
                <a:schemeClr val="accent1"/>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Sheet1!$B$2:$B$668</c:f>
              <c:numCache>
                <c:formatCode>0</c:formatCode>
                <c:ptCount val="667"/>
                <c:pt idx="0">
                  <c:v>100</c:v>
                </c:pt>
                <c:pt idx="1">
                  <c:v>100</c:v>
                </c:pt>
                <c:pt idx="2">
                  <c:v>99</c:v>
                </c:pt>
                <c:pt idx="3">
                  <c:v>99</c:v>
                </c:pt>
                <c:pt idx="4">
                  <c:v>99</c:v>
                </c:pt>
                <c:pt idx="5">
                  <c:v>100</c:v>
                </c:pt>
                <c:pt idx="6">
                  <c:v>99</c:v>
                </c:pt>
                <c:pt idx="7">
                  <c:v>99</c:v>
                </c:pt>
                <c:pt idx="8">
                  <c:v>99</c:v>
                </c:pt>
                <c:pt idx="9">
                  <c:v>100</c:v>
                </c:pt>
                <c:pt idx="10">
                  <c:v>100</c:v>
                </c:pt>
                <c:pt idx="11">
                  <c:v>99</c:v>
                </c:pt>
                <c:pt idx="12">
                  <c:v>99</c:v>
                </c:pt>
                <c:pt idx="13">
                  <c:v>99</c:v>
                </c:pt>
                <c:pt idx="14">
                  <c:v>99</c:v>
                </c:pt>
                <c:pt idx="15">
                  <c:v>98</c:v>
                </c:pt>
                <c:pt idx="16">
                  <c:v>98</c:v>
                </c:pt>
                <c:pt idx="17">
                  <c:v>98</c:v>
                </c:pt>
                <c:pt idx="18">
                  <c:v>98</c:v>
                </c:pt>
                <c:pt idx="19">
                  <c:v>98</c:v>
                </c:pt>
                <c:pt idx="20">
                  <c:v>99</c:v>
                </c:pt>
                <c:pt idx="21">
                  <c:v>99</c:v>
                </c:pt>
                <c:pt idx="22">
                  <c:v>99</c:v>
                </c:pt>
                <c:pt idx="23">
                  <c:v>99</c:v>
                </c:pt>
                <c:pt idx="24">
                  <c:v>99</c:v>
                </c:pt>
                <c:pt idx="25">
                  <c:v>100</c:v>
                </c:pt>
                <c:pt idx="26">
                  <c:v>100</c:v>
                </c:pt>
                <c:pt idx="27">
                  <c:v>99</c:v>
                </c:pt>
                <c:pt idx="28">
                  <c:v>100</c:v>
                </c:pt>
                <c:pt idx="29">
                  <c:v>99</c:v>
                </c:pt>
                <c:pt idx="30">
                  <c:v>99</c:v>
                </c:pt>
                <c:pt idx="31">
                  <c:v>99</c:v>
                </c:pt>
                <c:pt idx="32">
                  <c:v>99</c:v>
                </c:pt>
                <c:pt idx="33">
                  <c:v>99</c:v>
                </c:pt>
                <c:pt idx="34">
                  <c:v>99</c:v>
                </c:pt>
                <c:pt idx="35">
                  <c:v>99</c:v>
                </c:pt>
                <c:pt idx="36">
                  <c:v>99</c:v>
                </c:pt>
                <c:pt idx="37">
                  <c:v>99</c:v>
                </c:pt>
                <c:pt idx="38">
                  <c:v>99</c:v>
                </c:pt>
                <c:pt idx="39">
                  <c:v>99</c:v>
                </c:pt>
                <c:pt idx="40">
                  <c:v>100</c:v>
                </c:pt>
                <c:pt idx="41">
                  <c:v>101</c:v>
                </c:pt>
                <c:pt idx="42">
                  <c:v>100</c:v>
                </c:pt>
                <c:pt idx="43">
                  <c:v>100</c:v>
                </c:pt>
                <c:pt idx="44">
                  <c:v>100</c:v>
                </c:pt>
                <c:pt idx="45">
                  <c:v>100</c:v>
                </c:pt>
                <c:pt idx="46">
                  <c:v>99</c:v>
                </c:pt>
                <c:pt idx="47">
                  <c:v>99</c:v>
                </c:pt>
                <c:pt idx="48">
                  <c:v>99</c:v>
                </c:pt>
                <c:pt idx="49">
                  <c:v>98</c:v>
                </c:pt>
                <c:pt idx="50">
                  <c:v>99</c:v>
                </c:pt>
                <c:pt idx="51">
                  <c:v>100</c:v>
                </c:pt>
                <c:pt idx="52">
                  <c:v>100</c:v>
                </c:pt>
                <c:pt idx="53">
                  <c:v>100</c:v>
                </c:pt>
                <c:pt idx="54">
                  <c:v>100</c:v>
                </c:pt>
                <c:pt idx="55">
                  <c:v>101</c:v>
                </c:pt>
                <c:pt idx="56">
                  <c:v>101</c:v>
                </c:pt>
                <c:pt idx="57">
                  <c:v>100</c:v>
                </c:pt>
                <c:pt idx="58">
                  <c:v>100</c:v>
                </c:pt>
                <c:pt idx="59">
                  <c:v>100</c:v>
                </c:pt>
                <c:pt idx="60">
                  <c:v>100</c:v>
                </c:pt>
                <c:pt idx="61">
                  <c:v>100</c:v>
                </c:pt>
                <c:pt idx="62">
                  <c:v>100</c:v>
                </c:pt>
                <c:pt idx="63">
                  <c:v>100</c:v>
                </c:pt>
                <c:pt idx="64">
                  <c:v>99</c:v>
                </c:pt>
                <c:pt idx="65">
                  <c:v>100</c:v>
                </c:pt>
                <c:pt idx="66">
                  <c:v>100</c:v>
                </c:pt>
                <c:pt idx="67">
                  <c:v>100</c:v>
                </c:pt>
                <c:pt idx="68">
                  <c:v>100</c:v>
                </c:pt>
                <c:pt idx="69">
                  <c:v>100</c:v>
                </c:pt>
                <c:pt idx="70">
                  <c:v>100</c:v>
                </c:pt>
                <c:pt idx="71">
                  <c:v>100</c:v>
                </c:pt>
                <c:pt idx="72">
                  <c:v>100</c:v>
                </c:pt>
                <c:pt idx="73">
                  <c:v>100</c:v>
                </c:pt>
                <c:pt idx="74">
                  <c:v>101</c:v>
                </c:pt>
                <c:pt idx="75">
                  <c:v>101</c:v>
                </c:pt>
                <c:pt idx="76">
                  <c:v>101</c:v>
                </c:pt>
                <c:pt idx="77">
                  <c:v>101</c:v>
                </c:pt>
                <c:pt idx="78">
                  <c:v>101</c:v>
                </c:pt>
                <c:pt idx="79">
                  <c:v>101</c:v>
                </c:pt>
                <c:pt idx="80">
                  <c:v>101</c:v>
                </c:pt>
                <c:pt idx="81">
                  <c:v>102</c:v>
                </c:pt>
                <c:pt idx="82">
                  <c:v>102</c:v>
                </c:pt>
                <c:pt idx="83">
                  <c:v>102</c:v>
                </c:pt>
                <c:pt idx="84">
                  <c:v>102</c:v>
                </c:pt>
                <c:pt idx="85">
                  <c:v>102</c:v>
                </c:pt>
                <c:pt idx="86">
                  <c:v>102</c:v>
                </c:pt>
                <c:pt idx="87">
                  <c:v>102</c:v>
                </c:pt>
                <c:pt idx="88">
                  <c:v>103</c:v>
                </c:pt>
                <c:pt idx="89">
                  <c:v>103</c:v>
                </c:pt>
                <c:pt idx="90">
                  <c:v>102</c:v>
                </c:pt>
                <c:pt idx="91">
                  <c:v>102</c:v>
                </c:pt>
                <c:pt idx="92">
                  <c:v>103</c:v>
                </c:pt>
                <c:pt idx="93">
                  <c:v>102</c:v>
                </c:pt>
                <c:pt idx="94">
                  <c:v>102</c:v>
                </c:pt>
                <c:pt idx="95">
                  <c:v>103</c:v>
                </c:pt>
                <c:pt idx="96">
                  <c:v>103</c:v>
                </c:pt>
                <c:pt idx="97">
                  <c:v>102</c:v>
                </c:pt>
                <c:pt idx="98">
                  <c:v>102</c:v>
                </c:pt>
                <c:pt idx="99">
                  <c:v>102</c:v>
                </c:pt>
                <c:pt idx="100">
                  <c:v>102</c:v>
                </c:pt>
                <c:pt idx="101">
                  <c:v>102</c:v>
                </c:pt>
                <c:pt idx="102">
                  <c:v>102</c:v>
                </c:pt>
                <c:pt idx="103">
                  <c:v>102</c:v>
                </c:pt>
                <c:pt idx="104">
                  <c:v>101</c:v>
                </c:pt>
                <c:pt idx="105">
                  <c:v>102</c:v>
                </c:pt>
                <c:pt idx="106">
                  <c:v>102</c:v>
                </c:pt>
                <c:pt idx="107">
                  <c:v>102</c:v>
                </c:pt>
                <c:pt idx="108">
                  <c:v>102</c:v>
                </c:pt>
                <c:pt idx="109">
                  <c:v>101</c:v>
                </c:pt>
                <c:pt idx="110">
                  <c:v>101</c:v>
                </c:pt>
                <c:pt idx="111">
                  <c:v>100</c:v>
                </c:pt>
                <c:pt idx="112">
                  <c:v>101</c:v>
                </c:pt>
                <c:pt idx="113">
                  <c:v>100</c:v>
                </c:pt>
                <c:pt idx="114">
                  <c:v>101</c:v>
                </c:pt>
                <c:pt idx="115">
                  <c:v>100</c:v>
                </c:pt>
                <c:pt idx="116">
                  <c:v>100</c:v>
                </c:pt>
                <c:pt idx="117">
                  <c:v>100</c:v>
                </c:pt>
                <c:pt idx="118">
                  <c:v>100</c:v>
                </c:pt>
                <c:pt idx="119">
                  <c:v>100</c:v>
                </c:pt>
                <c:pt idx="120">
                  <c:v>100</c:v>
                </c:pt>
                <c:pt idx="121">
                  <c:v>100</c:v>
                </c:pt>
                <c:pt idx="122">
                  <c:v>100</c:v>
                </c:pt>
                <c:pt idx="123">
                  <c:v>101</c:v>
                </c:pt>
                <c:pt idx="124">
                  <c:v>100</c:v>
                </c:pt>
                <c:pt idx="125">
                  <c:v>100</c:v>
                </c:pt>
                <c:pt idx="126">
                  <c:v>100</c:v>
                </c:pt>
                <c:pt idx="127">
                  <c:v>100</c:v>
                </c:pt>
                <c:pt idx="128">
                  <c:v>100</c:v>
                </c:pt>
                <c:pt idx="129">
                  <c:v>100</c:v>
                </c:pt>
                <c:pt idx="130">
                  <c:v>100</c:v>
                </c:pt>
                <c:pt idx="131">
                  <c:v>100</c:v>
                </c:pt>
                <c:pt idx="132">
                  <c:v>100</c:v>
                </c:pt>
                <c:pt idx="133">
                  <c:v>100</c:v>
                </c:pt>
                <c:pt idx="134">
                  <c:v>100</c:v>
                </c:pt>
                <c:pt idx="135">
                  <c:v>101</c:v>
                </c:pt>
                <c:pt idx="136">
                  <c:v>101</c:v>
                </c:pt>
                <c:pt idx="137">
                  <c:v>101</c:v>
                </c:pt>
                <c:pt idx="138">
                  <c:v>101</c:v>
                </c:pt>
                <c:pt idx="139">
                  <c:v>101</c:v>
                </c:pt>
                <c:pt idx="140">
                  <c:v>102</c:v>
                </c:pt>
                <c:pt idx="141">
                  <c:v>102</c:v>
                </c:pt>
                <c:pt idx="142">
                  <c:v>103</c:v>
                </c:pt>
                <c:pt idx="143">
                  <c:v>103</c:v>
                </c:pt>
                <c:pt idx="144">
                  <c:v>103</c:v>
                </c:pt>
                <c:pt idx="145">
                  <c:v>102</c:v>
                </c:pt>
                <c:pt idx="146">
                  <c:v>103</c:v>
                </c:pt>
                <c:pt idx="147">
                  <c:v>103</c:v>
                </c:pt>
                <c:pt idx="148">
                  <c:v>103</c:v>
                </c:pt>
                <c:pt idx="149">
                  <c:v>104</c:v>
                </c:pt>
                <c:pt idx="150">
                  <c:v>103</c:v>
                </c:pt>
                <c:pt idx="151">
                  <c:v>103</c:v>
                </c:pt>
                <c:pt idx="152">
                  <c:v>104</c:v>
                </c:pt>
                <c:pt idx="153">
                  <c:v>104</c:v>
                </c:pt>
                <c:pt idx="154">
                  <c:v>104</c:v>
                </c:pt>
                <c:pt idx="155">
                  <c:v>104</c:v>
                </c:pt>
                <c:pt idx="156">
                  <c:v>105</c:v>
                </c:pt>
                <c:pt idx="157">
                  <c:v>105</c:v>
                </c:pt>
                <c:pt idx="158">
                  <c:v>105</c:v>
                </c:pt>
                <c:pt idx="159">
                  <c:v>105</c:v>
                </c:pt>
                <c:pt idx="160">
                  <c:v>105</c:v>
                </c:pt>
                <c:pt idx="161">
                  <c:v>105</c:v>
                </c:pt>
                <c:pt idx="162">
                  <c:v>106</c:v>
                </c:pt>
                <c:pt idx="163">
                  <c:v>105</c:v>
                </c:pt>
                <c:pt idx="164">
                  <c:v>104</c:v>
                </c:pt>
                <c:pt idx="165">
                  <c:v>104</c:v>
                </c:pt>
                <c:pt idx="166">
                  <c:v>104</c:v>
                </c:pt>
                <c:pt idx="167">
                  <c:v>104</c:v>
                </c:pt>
                <c:pt idx="168">
                  <c:v>104</c:v>
                </c:pt>
                <c:pt idx="169">
                  <c:v>104</c:v>
                </c:pt>
                <c:pt idx="170">
                  <c:v>103</c:v>
                </c:pt>
                <c:pt idx="171">
                  <c:v>103</c:v>
                </c:pt>
                <c:pt idx="172">
                  <c:v>103</c:v>
                </c:pt>
                <c:pt idx="173">
                  <c:v>103</c:v>
                </c:pt>
                <c:pt idx="174">
                  <c:v>104</c:v>
                </c:pt>
                <c:pt idx="175">
                  <c:v>104</c:v>
                </c:pt>
                <c:pt idx="176">
                  <c:v>104</c:v>
                </c:pt>
                <c:pt idx="177">
                  <c:v>104</c:v>
                </c:pt>
                <c:pt idx="178">
                  <c:v>104</c:v>
                </c:pt>
                <c:pt idx="179">
                  <c:v>104</c:v>
                </c:pt>
                <c:pt idx="180">
                  <c:v>104</c:v>
                </c:pt>
                <c:pt idx="181">
                  <c:v>104</c:v>
                </c:pt>
                <c:pt idx="182">
                  <c:v>105</c:v>
                </c:pt>
                <c:pt idx="183">
                  <c:v>105</c:v>
                </c:pt>
                <c:pt idx="184">
                  <c:v>105</c:v>
                </c:pt>
                <c:pt idx="185">
                  <c:v>104</c:v>
                </c:pt>
                <c:pt idx="186">
                  <c:v>104</c:v>
                </c:pt>
                <c:pt idx="187">
                  <c:v>104</c:v>
                </c:pt>
                <c:pt idx="188">
                  <c:v>105</c:v>
                </c:pt>
                <c:pt idx="189">
                  <c:v>104</c:v>
                </c:pt>
                <c:pt idx="190">
                  <c:v>104</c:v>
                </c:pt>
                <c:pt idx="191">
                  <c:v>104</c:v>
                </c:pt>
                <c:pt idx="192">
                  <c:v>104</c:v>
                </c:pt>
                <c:pt idx="193">
                  <c:v>104</c:v>
                </c:pt>
                <c:pt idx="194">
                  <c:v>104</c:v>
                </c:pt>
                <c:pt idx="195">
                  <c:v>103</c:v>
                </c:pt>
                <c:pt idx="196">
                  <c:v>103</c:v>
                </c:pt>
                <c:pt idx="197">
                  <c:v>103</c:v>
                </c:pt>
                <c:pt idx="198">
                  <c:v>103</c:v>
                </c:pt>
                <c:pt idx="199">
                  <c:v>103</c:v>
                </c:pt>
                <c:pt idx="200">
                  <c:v>103</c:v>
                </c:pt>
                <c:pt idx="201">
                  <c:v>103</c:v>
                </c:pt>
                <c:pt idx="202">
                  <c:v>103</c:v>
                </c:pt>
                <c:pt idx="203">
                  <c:v>103</c:v>
                </c:pt>
                <c:pt idx="204">
                  <c:v>103</c:v>
                </c:pt>
                <c:pt idx="205">
                  <c:v>103</c:v>
                </c:pt>
                <c:pt idx="206">
                  <c:v>103</c:v>
                </c:pt>
                <c:pt idx="207">
                  <c:v>103</c:v>
                </c:pt>
                <c:pt idx="208">
                  <c:v>103</c:v>
                </c:pt>
                <c:pt idx="209">
                  <c:v>103</c:v>
                </c:pt>
                <c:pt idx="210">
                  <c:v>103</c:v>
                </c:pt>
                <c:pt idx="211">
                  <c:v>104</c:v>
                </c:pt>
                <c:pt idx="212">
                  <c:v>104</c:v>
                </c:pt>
                <c:pt idx="213">
                  <c:v>105</c:v>
                </c:pt>
                <c:pt idx="214">
                  <c:v>105</c:v>
                </c:pt>
                <c:pt idx="215">
                  <c:v>105</c:v>
                </c:pt>
                <c:pt idx="216">
                  <c:v>104</c:v>
                </c:pt>
                <c:pt idx="217">
                  <c:v>105</c:v>
                </c:pt>
                <c:pt idx="218">
                  <c:v>105</c:v>
                </c:pt>
                <c:pt idx="219">
                  <c:v>105</c:v>
                </c:pt>
                <c:pt idx="220">
                  <c:v>105</c:v>
                </c:pt>
                <c:pt idx="221">
                  <c:v>105</c:v>
                </c:pt>
                <c:pt idx="222">
                  <c:v>105</c:v>
                </c:pt>
                <c:pt idx="223">
                  <c:v>105</c:v>
                </c:pt>
                <c:pt idx="224">
                  <c:v>106</c:v>
                </c:pt>
                <c:pt idx="225">
                  <c:v>106</c:v>
                </c:pt>
                <c:pt idx="226">
                  <c:v>105</c:v>
                </c:pt>
                <c:pt idx="227">
                  <c:v>105</c:v>
                </c:pt>
                <c:pt idx="228">
                  <c:v>105</c:v>
                </c:pt>
                <c:pt idx="229">
                  <c:v>105</c:v>
                </c:pt>
                <c:pt idx="230">
                  <c:v>104</c:v>
                </c:pt>
                <c:pt idx="231">
                  <c:v>104</c:v>
                </c:pt>
                <c:pt idx="232">
                  <c:v>104</c:v>
                </c:pt>
                <c:pt idx="233">
                  <c:v>104</c:v>
                </c:pt>
                <c:pt idx="234">
                  <c:v>104</c:v>
                </c:pt>
                <c:pt idx="235">
                  <c:v>103</c:v>
                </c:pt>
                <c:pt idx="236">
                  <c:v>103</c:v>
                </c:pt>
                <c:pt idx="237">
                  <c:v>103</c:v>
                </c:pt>
                <c:pt idx="238">
                  <c:v>103</c:v>
                </c:pt>
                <c:pt idx="239">
                  <c:v>103</c:v>
                </c:pt>
                <c:pt idx="240">
                  <c:v>103</c:v>
                </c:pt>
                <c:pt idx="241">
                  <c:v>103</c:v>
                </c:pt>
                <c:pt idx="242">
                  <c:v>103</c:v>
                </c:pt>
                <c:pt idx="243">
                  <c:v>103</c:v>
                </c:pt>
                <c:pt idx="244">
                  <c:v>103</c:v>
                </c:pt>
                <c:pt idx="245">
                  <c:v>103</c:v>
                </c:pt>
                <c:pt idx="246">
                  <c:v>103</c:v>
                </c:pt>
                <c:pt idx="247">
                  <c:v>103</c:v>
                </c:pt>
                <c:pt idx="248">
                  <c:v>103</c:v>
                </c:pt>
                <c:pt idx="249">
                  <c:v>103</c:v>
                </c:pt>
                <c:pt idx="250">
                  <c:v>103</c:v>
                </c:pt>
                <c:pt idx="251">
                  <c:v>103</c:v>
                </c:pt>
                <c:pt idx="252">
                  <c:v>103</c:v>
                </c:pt>
                <c:pt idx="253">
                  <c:v>103</c:v>
                </c:pt>
                <c:pt idx="254">
                  <c:v>103</c:v>
                </c:pt>
                <c:pt idx="255">
                  <c:v>103</c:v>
                </c:pt>
                <c:pt idx="256">
                  <c:v>104</c:v>
                </c:pt>
                <c:pt idx="257">
                  <c:v>103</c:v>
                </c:pt>
                <c:pt idx="258">
                  <c:v>104</c:v>
                </c:pt>
                <c:pt idx="259">
                  <c:v>104</c:v>
                </c:pt>
                <c:pt idx="260">
                  <c:v>105</c:v>
                </c:pt>
                <c:pt idx="261">
                  <c:v>105</c:v>
                </c:pt>
                <c:pt idx="262">
                  <c:v>105</c:v>
                </c:pt>
                <c:pt idx="263">
                  <c:v>105</c:v>
                </c:pt>
                <c:pt idx="264">
                  <c:v>105</c:v>
                </c:pt>
                <c:pt idx="265">
                  <c:v>105</c:v>
                </c:pt>
                <c:pt idx="266">
                  <c:v>106</c:v>
                </c:pt>
                <c:pt idx="267">
                  <c:v>106</c:v>
                </c:pt>
                <c:pt idx="268">
                  <c:v>105</c:v>
                </c:pt>
                <c:pt idx="269">
                  <c:v>106</c:v>
                </c:pt>
                <c:pt idx="270">
                  <c:v>106</c:v>
                </c:pt>
                <c:pt idx="271">
                  <c:v>105</c:v>
                </c:pt>
                <c:pt idx="272">
                  <c:v>106</c:v>
                </c:pt>
                <c:pt idx="273">
                  <c:v>106</c:v>
                </c:pt>
                <c:pt idx="274">
                  <c:v>106</c:v>
                </c:pt>
                <c:pt idx="275">
                  <c:v>107</c:v>
                </c:pt>
                <c:pt idx="276">
                  <c:v>107</c:v>
                </c:pt>
                <c:pt idx="277">
                  <c:v>107</c:v>
                </c:pt>
                <c:pt idx="278">
                  <c:v>107</c:v>
                </c:pt>
                <c:pt idx="279">
                  <c:v>108</c:v>
                </c:pt>
                <c:pt idx="280">
                  <c:v>108</c:v>
                </c:pt>
                <c:pt idx="281">
                  <c:v>108</c:v>
                </c:pt>
                <c:pt idx="282">
                  <c:v>108</c:v>
                </c:pt>
                <c:pt idx="283">
                  <c:v>107</c:v>
                </c:pt>
                <c:pt idx="284">
                  <c:v>108</c:v>
                </c:pt>
                <c:pt idx="285">
                  <c:v>109</c:v>
                </c:pt>
                <c:pt idx="286">
                  <c:v>109</c:v>
                </c:pt>
                <c:pt idx="287">
                  <c:v>111</c:v>
                </c:pt>
                <c:pt idx="288">
                  <c:v>110</c:v>
                </c:pt>
                <c:pt idx="289">
                  <c:v>112</c:v>
                </c:pt>
                <c:pt idx="290">
                  <c:v>113</c:v>
                </c:pt>
                <c:pt idx="291">
                  <c:v>113</c:v>
                </c:pt>
                <c:pt idx="292">
                  <c:v>114</c:v>
                </c:pt>
                <c:pt idx="293">
                  <c:v>115</c:v>
                </c:pt>
                <c:pt idx="294">
                  <c:v>119</c:v>
                </c:pt>
                <c:pt idx="295">
                  <c:v>118</c:v>
                </c:pt>
                <c:pt idx="296">
                  <c:v>118</c:v>
                </c:pt>
                <c:pt idx="297">
                  <c:v>119</c:v>
                </c:pt>
                <c:pt idx="298">
                  <c:v>118</c:v>
                </c:pt>
                <c:pt idx="299">
                  <c:v>117</c:v>
                </c:pt>
                <c:pt idx="300">
                  <c:v>116</c:v>
                </c:pt>
                <c:pt idx="301">
                  <c:v>117</c:v>
                </c:pt>
                <c:pt idx="302">
                  <c:v>118</c:v>
                </c:pt>
                <c:pt idx="303">
                  <c:v>118</c:v>
                </c:pt>
                <c:pt idx="304">
                  <c:v>119</c:v>
                </c:pt>
                <c:pt idx="305">
                  <c:v>119</c:v>
                </c:pt>
                <c:pt idx="306">
                  <c:v>120</c:v>
                </c:pt>
                <c:pt idx="307">
                  <c:v>119</c:v>
                </c:pt>
                <c:pt idx="308">
                  <c:v>119</c:v>
                </c:pt>
                <c:pt idx="309">
                  <c:v>118</c:v>
                </c:pt>
                <c:pt idx="310">
                  <c:v>117</c:v>
                </c:pt>
                <c:pt idx="311">
                  <c:v>117</c:v>
                </c:pt>
                <c:pt idx="312">
                  <c:v>117</c:v>
                </c:pt>
                <c:pt idx="313">
                  <c:v>119</c:v>
                </c:pt>
                <c:pt idx="314">
                  <c:v>118</c:v>
                </c:pt>
                <c:pt idx="315">
                  <c:v>118</c:v>
                </c:pt>
                <c:pt idx="316">
                  <c:v>119</c:v>
                </c:pt>
                <c:pt idx="317">
                  <c:v>120</c:v>
                </c:pt>
                <c:pt idx="318">
                  <c:v>120</c:v>
                </c:pt>
                <c:pt idx="319">
                  <c:v>120</c:v>
                </c:pt>
                <c:pt idx="320">
                  <c:v>120</c:v>
                </c:pt>
                <c:pt idx="321">
                  <c:v>119</c:v>
                </c:pt>
                <c:pt idx="322">
                  <c:v>118</c:v>
                </c:pt>
                <c:pt idx="323">
                  <c:v>119</c:v>
                </c:pt>
                <c:pt idx="324">
                  <c:v>119</c:v>
                </c:pt>
                <c:pt idx="325">
                  <c:v>119</c:v>
                </c:pt>
                <c:pt idx="326">
                  <c:v>119</c:v>
                </c:pt>
                <c:pt idx="327">
                  <c:v>120</c:v>
                </c:pt>
                <c:pt idx="328">
                  <c:v>120</c:v>
                </c:pt>
                <c:pt idx="329">
                  <c:v>119</c:v>
                </c:pt>
                <c:pt idx="330">
                  <c:v>119</c:v>
                </c:pt>
                <c:pt idx="331">
                  <c:v>119</c:v>
                </c:pt>
                <c:pt idx="332">
                  <c:v>120</c:v>
                </c:pt>
                <c:pt idx="333">
                  <c:v>119</c:v>
                </c:pt>
                <c:pt idx="334">
                  <c:v>120</c:v>
                </c:pt>
                <c:pt idx="335">
                  <c:v>118</c:v>
                </c:pt>
                <c:pt idx="336">
                  <c:v>118</c:v>
                </c:pt>
                <c:pt idx="337">
                  <c:v>117</c:v>
                </c:pt>
                <c:pt idx="338">
                  <c:v>117</c:v>
                </c:pt>
                <c:pt idx="339">
                  <c:v>117</c:v>
                </c:pt>
                <c:pt idx="340">
                  <c:v>115</c:v>
                </c:pt>
                <c:pt idx="341">
                  <c:v>116</c:v>
                </c:pt>
                <c:pt idx="342">
                  <c:v>115</c:v>
                </c:pt>
                <c:pt idx="343">
                  <c:v>113</c:v>
                </c:pt>
                <c:pt idx="344">
                  <c:v>113</c:v>
                </c:pt>
                <c:pt idx="345">
                  <c:v>113</c:v>
                </c:pt>
                <c:pt idx="346">
                  <c:v>112</c:v>
                </c:pt>
                <c:pt idx="347">
                  <c:v>112</c:v>
                </c:pt>
                <c:pt idx="348">
                  <c:v>112</c:v>
                </c:pt>
                <c:pt idx="349">
                  <c:v>112</c:v>
                </c:pt>
                <c:pt idx="350">
                  <c:v>114</c:v>
                </c:pt>
                <c:pt idx="351">
                  <c:v>114</c:v>
                </c:pt>
                <c:pt idx="352">
                  <c:v>113</c:v>
                </c:pt>
                <c:pt idx="353">
                  <c:v>114</c:v>
                </c:pt>
                <c:pt idx="354">
                  <c:v>114</c:v>
                </c:pt>
                <c:pt idx="355">
                  <c:v>115</c:v>
                </c:pt>
                <c:pt idx="356">
                  <c:v>115</c:v>
                </c:pt>
                <c:pt idx="357">
                  <c:v>115</c:v>
                </c:pt>
                <c:pt idx="358">
                  <c:v>114</c:v>
                </c:pt>
                <c:pt idx="359">
                  <c:v>115</c:v>
                </c:pt>
                <c:pt idx="360">
                  <c:v>115</c:v>
                </c:pt>
                <c:pt idx="361">
                  <c:v>116</c:v>
                </c:pt>
                <c:pt idx="362">
                  <c:v>116</c:v>
                </c:pt>
                <c:pt idx="363">
                  <c:v>116</c:v>
                </c:pt>
                <c:pt idx="364">
                  <c:v>115</c:v>
                </c:pt>
                <c:pt idx="365">
                  <c:v>115</c:v>
                </c:pt>
                <c:pt idx="366">
                  <c:v>115</c:v>
                </c:pt>
                <c:pt idx="367">
                  <c:v>115</c:v>
                </c:pt>
                <c:pt idx="368">
                  <c:v>115</c:v>
                </c:pt>
                <c:pt idx="369">
                  <c:v>115</c:v>
                </c:pt>
                <c:pt idx="370">
                  <c:v>115</c:v>
                </c:pt>
                <c:pt idx="371">
                  <c:v>114</c:v>
                </c:pt>
                <c:pt idx="372">
                  <c:v>115</c:v>
                </c:pt>
                <c:pt idx="373">
                  <c:v>114</c:v>
                </c:pt>
                <c:pt idx="374">
                  <c:v>114</c:v>
                </c:pt>
                <c:pt idx="375">
                  <c:v>114</c:v>
                </c:pt>
                <c:pt idx="376">
                  <c:v>114</c:v>
                </c:pt>
                <c:pt idx="377">
                  <c:v>114</c:v>
                </c:pt>
                <c:pt idx="378">
                  <c:v>113</c:v>
                </c:pt>
                <c:pt idx="379">
                  <c:v>113</c:v>
                </c:pt>
                <c:pt idx="380">
                  <c:v>113</c:v>
                </c:pt>
                <c:pt idx="381">
                  <c:v>113</c:v>
                </c:pt>
                <c:pt idx="382">
                  <c:v>113</c:v>
                </c:pt>
                <c:pt idx="383">
                  <c:v>113</c:v>
                </c:pt>
                <c:pt idx="384">
                  <c:v>113</c:v>
                </c:pt>
                <c:pt idx="385">
                  <c:v>113</c:v>
                </c:pt>
                <c:pt idx="386">
                  <c:v>113</c:v>
                </c:pt>
                <c:pt idx="387">
                  <c:v>114</c:v>
                </c:pt>
                <c:pt idx="388">
                  <c:v>114</c:v>
                </c:pt>
                <c:pt idx="389">
                  <c:v>114</c:v>
                </c:pt>
                <c:pt idx="390">
                  <c:v>115</c:v>
                </c:pt>
                <c:pt idx="391">
                  <c:v>115</c:v>
                </c:pt>
                <c:pt idx="392">
                  <c:v>115</c:v>
                </c:pt>
                <c:pt idx="393">
                  <c:v>116</c:v>
                </c:pt>
                <c:pt idx="394">
                  <c:v>116</c:v>
                </c:pt>
                <c:pt idx="395">
                  <c:v>116</c:v>
                </c:pt>
                <c:pt idx="396">
                  <c:v>116</c:v>
                </c:pt>
                <c:pt idx="397">
                  <c:v>116</c:v>
                </c:pt>
                <c:pt idx="398">
                  <c:v>116</c:v>
                </c:pt>
                <c:pt idx="399">
                  <c:v>116</c:v>
                </c:pt>
                <c:pt idx="400">
                  <c:v>116</c:v>
                </c:pt>
                <c:pt idx="401">
                  <c:v>116</c:v>
                </c:pt>
                <c:pt idx="402">
                  <c:v>116</c:v>
                </c:pt>
                <c:pt idx="403">
                  <c:v>116</c:v>
                </c:pt>
                <c:pt idx="404">
                  <c:v>116</c:v>
                </c:pt>
                <c:pt idx="405">
                  <c:v>116</c:v>
                </c:pt>
                <c:pt idx="406">
                  <c:v>118</c:v>
                </c:pt>
                <c:pt idx="407">
                  <c:v>117</c:v>
                </c:pt>
                <c:pt idx="408">
                  <c:v>118</c:v>
                </c:pt>
                <c:pt idx="409">
                  <c:v>117</c:v>
                </c:pt>
                <c:pt idx="410">
                  <c:v>117</c:v>
                </c:pt>
                <c:pt idx="411">
                  <c:v>117</c:v>
                </c:pt>
                <c:pt idx="412">
                  <c:v>117</c:v>
                </c:pt>
                <c:pt idx="413">
                  <c:v>116</c:v>
                </c:pt>
                <c:pt idx="414">
                  <c:v>118</c:v>
                </c:pt>
                <c:pt idx="415">
                  <c:v>117</c:v>
                </c:pt>
                <c:pt idx="416">
                  <c:v>117</c:v>
                </c:pt>
                <c:pt idx="417">
                  <c:v>118</c:v>
                </c:pt>
                <c:pt idx="418">
                  <c:v>118</c:v>
                </c:pt>
                <c:pt idx="419">
                  <c:v>118</c:v>
                </c:pt>
                <c:pt idx="420">
                  <c:v>118</c:v>
                </c:pt>
                <c:pt idx="421">
                  <c:v>118</c:v>
                </c:pt>
                <c:pt idx="422">
                  <c:v>116</c:v>
                </c:pt>
                <c:pt idx="423">
                  <c:v>115</c:v>
                </c:pt>
                <c:pt idx="424">
                  <c:v>115</c:v>
                </c:pt>
                <c:pt idx="425">
                  <c:v>115</c:v>
                </c:pt>
                <c:pt idx="426">
                  <c:v>114</c:v>
                </c:pt>
                <c:pt idx="427">
                  <c:v>114</c:v>
                </c:pt>
                <c:pt idx="428">
                  <c:v>115</c:v>
                </c:pt>
                <c:pt idx="429">
                  <c:v>115</c:v>
                </c:pt>
                <c:pt idx="430">
                  <c:v>116</c:v>
                </c:pt>
                <c:pt idx="431">
                  <c:v>116</c:v>
                </c:pt>
                <c:pt idx="432">
                  <c:v>115</c:v>
                </c:pt>
                <c:pt idx="433">
                  <c:v>116</c:v>
                </c:pt>
                <c:pt idx="434">
                  <c:v>116</c:v>
                </c:pt>
                <c:pt idx="435">
                  <c:v>117</c:v>
                </c:pt>
                <c:pt idx="436">
                  <c:v>116</c:v>
                </c:pt>
                <c:pt idx="437">
                  <c:v>116</c:v>
                </c:pt>
                <c:pt idx="438">
                  <c:v>116</c:v>
                </c:pt>
                <c:pt idx="439">
                  <c:v>115</c:v>
                </c:pt>
                <c:pt idx="440">
                  <c:v>116</c:v>
                </c:pt>
                <c:pt idx="441">
                  <c:v>116</c:v>
                </c:pt>
                <c:pt idx="442">
                  <c:v>116</c:v>
                </c:pt>
                <c:pt idx="443">
                  <c:v>116</c:v>
                </c:pt>
                <c:pt idx="444">
                  <c:v>116</c:v>
                </c:pt>
                <c:pt idx="445">
                  <c:v>117</c:v>
                </c:pt>
                <c:pt idx="446">
                  <c:v>116</c:v>
                </c:pt>
                <c:pt idx="447">
                  <c:v>116</c:v>
                </c:pt>
                <c:pt idx="448">
                  <c:v>115</c:v>
                </c:pt>
                <c:pt idx="449">
                  <c:v>115</c:v>
                </c:pt>
                <c:pt idx="450">
                  <c:v>115</c:v>
                </c:pt>
                <c:pt idx="451">
                  <c:v>115</c:v>
                </c:pt>
                <c:pt idx="452">
                  <c:v>115</c:v>
                </c:pt>
                <c:pt idx="453" formatCode="0.000">
                  <c:v>114.667</c:v>
                </c:pt>
                <c:pt idx="454" formatCode="0.000">
                  <c:v>113.428</c:v>
                </c:pt>
                <c:pt idx="455" formatCode="0.000">
                  <c:v>112.524</c:v>
                </c:pt>
                <c:pt idx="456" formatCode="0.000">
                  <c:v>111.875</c:v>
                </c:pt>
                <c:pt idx="457" formatCode="0.000">
                  <c:v>111.367</c:v>
                </c:pt>
                <c:pt idx="458" formatCode="0.000">
                  <c:v>111.248</c:v>
                </c:pt>
                <c:pt idx="459" formatCode="0.000">
                  <c:v>111.30500000000001</c:v>
                </c:pt>
                <c:pt idx="460" formatCode="0.000">
                  <c:v>111.497</c:v>
                </c:pt>
                <c:pt idx="461" formatCode="0.000">
                  <c:v>111.248</c:v>
                </c:pt>
                <c:pt idx="462" formatCode="0.000">
                  <c:v>110.834</c:v>
                </c:pt>
                <c:pt idx="463" formatCode="0.000">
                  <c:v>110.66</c:v>
                </c:pt>
                <c:pt idx="464" formatCode="0.000">
                  <c:v>110.607</c:v>
                </c:pt>
                <c:pt idx="465" formatCode="0.000">
                  <c:v>110.19199999999999</c:v>
                </c:pt>
                <c:pt idx="466" formatCode="0.000">
                  <c:v>110.509</c:v>
                </c:pt>
                <c:pt idx="467" formatCode="0.000">
                  <c:v>111.071</c:v>
                </c:pt>
                <c:pt idx="468" formatCode="0.000">
                  <c:v>110.786</c:v>
                </c:pt>
                <c:pt idx="469" formatCode="0.000">
                  <c:v>110.294</c:v>
                </c:pt>
                <c:pt idx="470" formatCode="0.000">
                  <c:v>110.325</c:v>
                </c:pt>
                <c:pt idx="471" formatCode="0.000">
                  <c:v>110.49</c:v>
                </c:pt>
                <c:pt idx="472" formatCode="0.000">
                  <c:v>110.48399999999999</c:v>
                </c:pt>
                <c:pt idx="473" formatCode="0.000">
                  <c:v>109.703</c:v>
                </c:pt>
                <c:pt idx="474" formatCode="0.000">
                  <c:v>109.752</c:v>
                </c:pt>
                <c:pt idx="475" formatCode="0.000">
                  <c:v>108.913</c:v>
                </c:pt>
                <c:pt idx="476" formatCode="0.000">
                  <c:v>108.839</c:v>
                </c:pt>
                <c:pt idx="477" formatCode="0.000">
                  <c:v>108.73399999999999</c:v>
                </c:pt>
                <c:pt idx="478" formatCode="0.000">
                  <c:v>108.42</c:v>
                </c:pt>
                <c:pt idx="479" formatCode="0.000">
                  <c:v>108.715</c:v>
                </c:pt>
                <c:pt idx="480" formatCode="0.000">
                  <c:v>108.273</c:v>
                </c:pt>
                <c:pt idx="481" formatCode="0.000">
                  <c:v>108.52</c:v>
                </c:pt>
                <c:pt idx="482" formatCode="0.000">
                  <c:v>108.715</c:v>
                </c:pt>
                <c:pt idx="483" formatCode="0.000">
                  <c:v>108.224</c:v>
                </c:pt>
                <c:pt idx="484" formatCode="0.000">
                  <c:v>107.931</c:v>
                </c:pt>
                <c:pt idx="485" formatCode="0.000">
                  <c:v>107.571</c:v>
                </c:pt>
                <c:pt idx="486" formatCode="0.000">
                  <c:v>107.601</c:v>
                </c:pt>
                <c:pt idx="487" formatCode="0.000">
                  <c:v>108.282</c:v>
                </c:pt>
                <c:pt idx="488" formatCode="0.000">
                  <c:v>108.492</c:v>
                </c:pt>
                <c:pt idx="489" formatCode="0.000">
                  <c:v>108.124</c:v>
                </c:pt>
                <c:pt idx="490" formatCode="0.000">
                  <c:v>107.941</c:v>
                </c:pt>
                <c:pt idx="491" formatCode="0.000">
                  <c:v>107.83</c:v>
                </c:pt>
                <c:pt idx="492" formatCode="0.000">
                  <c:v>107.767</c:v>
                </c:pt>
                <c:pt idx="493" formatCode="0.000">
                  <c:v>107.453</c:v>
                </c:pt>
                <c:pt idx="494" formatCode="0.000">
                  <c:v>107.38200000000001</c:v>
                </c:pt>
                <c:pt idx="495" formatCode="0.000">
                  <c:v>108.265</c:v>
                </c:pt>
                <c:pt idx="496" formatCode="0.000">
                  <c:v>109.163</c:v>
                </c:pt>
                <c:pt idx="497" formatCode="0.000">
                  <c:v>108.05500000000001</c:v>
                </c:pt>
                <c:pt idx="498" formatCode="0.000">
                  <c:v>108.36499999999999</c:v>
                </c:pt>
                <c:pt idx="499" formatCode="0.000">
                  <c:v>107.657</c:v>
                </c:pt>
                <c:pt idx="500" formatCode="0.000">
                  <c:v>108.425</c:v>
                </c:pt>
                <c:pt idx="501" formatCode="0.000">
                  <c:v>108.282</c:v>
                </c:pt>
                <c:pt idx="502" formatCode="0.000">
                  <c:v>108.175</c:v>
                </c:pt>
                <c:pt idx="503" formatCode="0.000">
                  <c:v>107.51900000000001</c:v>
                </c:pt>
                <c:pt idx="504" formatCode="0.000">
                  <c:v>107.8</c:v>
                </c:pt>
                <c:pt idx="505" formatCode="0.000">
                  <c:v>108.732</c:v>
                </c:pt>
                <c:pt idx="506" formatCode="0.000">
                  <c:v>109.136</c:v>
                </c:pt>
                <c:pt idx="507" formatCode="0.000">
                  <c:v>108.476</c:v>
                </c:pt>
                <c:pt idx="508" formatCode="0.000">
                  <c:v>109.389</c:v>
                </c:pt>
                <c:pt idx="509" formatCode="0.000">
                  <c:v>109.119</c:v>
                </c:pt>
                <c:pt idx="510" formatCode="0.000">
                  <c:v>108.675</c:v>
                </c:pt>
                <c:pt idx="511" formatCode="0.000">
                  <c:v>108.373</c:v>
                </c:pt>
                <c:pt idx="512" formatCode="0.000">
                  <c:v>108.435</c:v>
                </c:pt>
                <c:pt idx="513" formatCode="0.000">
                  <c:v>108.816</c:v>
                </c:pt>
                <c:pt idx="514" formatCode="0.000">
                  <c:v>108.1</c:v>
                </c:pt>
                <c:pt idx="515" formatCode="0.000">
                  <c:v>107.898</c:v>
                </c:pt>
                <c:pt idx="516" formatCode="0.000">
                  <c:v>107.715</c:v>
                </c:pt>
                <c:pt idx="517" formatCode="0.000">
                  <c:v>107.514</c:v>
                </c:pt>
                <c:pt idx="518" formatCode="0.000">
                  <c:v>107.40600000000001</c:v>
                </c:pt>
                <c:pt idx="519" formatCode="0.000">
                  <c:v>107.206</c:v>
                </c:pt>
                <c:pt idx="520" formatCode="0.000">
                  <c:v>106.864</c:v>
                </c:pt>
                <c:pt idx="521" formatCode="0.000">
                  <c:v>107.49299999999999</c:v>
                </c:pt>
                <c:pt idx="522" formatCode="0.000">
                  <c:v>107.46</c:v>
                </c:pt>
                <c:pt idx="523" formatCode="0.000">
                  <c:v>107.53400000000001</c:v>
                </c:pt>
                <c:pt idx="524" formatCode="0.000">
                  <c:v>107.41</c:v>
                </c:pt>
                <c:pt idx="525" formatCode="0.000">
                  <c:v>107.666</c:v>
                </c:pt>
                <c:pt idx="526" formatCode="0.000">
                  <c:v>107.491</c:v>
                </c:pt>
                <c:pt idx="527" formatCode="0.000">
                  <c:v>107.29</c:v>
                </c:pt>
                <c:pt idx="528" formatCode="0.000">
                  <c:v>109.29900000000001</c:v>
                </c:pt>
                <c:pt idx="529" formatCode="0.000">
                  <c:v>109.71899999999999</c:v>
                </c:pt>
                <c:pt idx="530" formatCode="0.000">
                  <c:v>109.568</c:v>
                </c:pt>
                <c:pt idx="531" formatCode="0.000">
                  <c:v>109.42</c:v>
                </c:pt>
                <c:pt idx="532" formatCode="0.000">
                  <c:v>109.73399999999999</c:v>
                </c:pt>
                <c:pt idx="533" formatCode="0.000">
                  <c:v>110.447</c:v>
                </c:pt>
                <c:pt idx="534" formatCode="0.000">
                  <c:v>110.934</c:v>
                </c:pt>
                <c:pt idx="535" formatCode="0.000">
                  <c:v>111.22199999999999</c:v>
                </c:pt>
                <c:pt idx="536" formatCode="0.000">
                  <c:v>110.062</c:v>
                </c:pt>
                <c:pt idx="537" formatCode="0.000">
                  <c:v>109.18</c:v>
                </c:pt>
                <c:pt idx="538" formatCode="0.000">
                  <c:v>109.624</c:v>
                </c:pt>
                <c:pt idx="539" formatCode="0.000">
                  <c:v>109.551</c:v>
                </c:pt>
                <c:pt idx="540" formatCode="0.000">
                  <c:v>109.705</c:v>
                </c:pt>
                <c:pt idx="541" formatCode="0.000">
                  <c:v>109.14400000000001</c:v>
                </c:pt>
                <c:pt idx="542" formatCode="0.000">
                  <c:v>109.249</c:v>
                </c:pt>
                <c:pt idx="543" formatCode="0.000">
                  <c:v>108.72499999999999</c:v>
                </c:pt>
                <c:pt idx="544" formatCode="0.000">
                  <c:v>109.742</c:v>
                </c:pt>
                <c:pt idx="545" formatCode="0.000">
                  <c:v>110.46599999999999</c:v>
                </c:pt>
                <c:pt idx="546" formatCode="0.000">
                  <c:v>110.893</c:v>
                </c:pt>
                <c:pt idx="547" formatCode="0.000">
                  <c:v>110.81399999999999</c:v>
                </c:pt>
                <c:pt idx="548" formatCode="0.000">
                  <c:v>111.194</c:v>
                </c:pt>
                <c:pt idx="549" formatCode="0.000">
                  <c:v>111.51900000000001</c:v>
                </c:pt>
                <c:pt idx="550" formatCode="0.000">
                  <c:v>111.733</c:v>
                </c:pt>
                <c:pt idx="551" formatCode="0.000">
                  <c:v>110.92100000000001</c:v>
                </c:pt>
                <c:pt idx="552" formatCode="0.000">
                  <c:v>110.645</c:v>
                </c:pt>
                <c:pt idx="553" formatCode="0.000">
                  <c:v>110.788</c:v>
                </c:pt>
                <c:pt idx="554" formatCode="0.000">
                  <c:v>110.56</c:v>
                </c:pt>
                <c:pt idx="555" formatCode="0.000">
                  <c:v>110.253</c:v>
                </c:pt>
                <c:pt idx="556" formatCode="0.000">
                  <c:v>110.37</c:v>
                </c:pt>
                <c:pt idx="557" formatCode="0.000">
                  <c:v>110.12</c:v>
                </c:pt>
                <c:pt idx="558" formatCode="0.000">
                  <c:v>110.556</c:v>
                </c:pt>
                <c:pt idx="559" formatCode="0.000">
                  <c:v>110.753</c:v>
                </c:pt>
                <c:pt idx="560" formatCode="0.000">
                  <c:v>110.265</c:v>
                </c:pt>
                <c:pt idx="561" formatCode="0.000">
                  <c:v>110.035</c:v>
                </c:pt>
                <c:pt idx="562" formatCode="0.000">
                  <c:v>109.48</c:v>
                </c:pt>
                <c:pt idx="563" formatCode="0.000">
                  <c:v>109.447</c:v>
                </c:pt>
                <c:pt idx="564" formatCode="0.000">
                  <c:v>109.098</c:v>
                </c:pt>
                <c:pt idx="565" formatCode="0.000">
                  <c:v>109.539</c:v>
                </c:pt>
                <c:pt idx="566" formatCode="0.000">
                  <c:v>109.518</c:v>
                </c:pt>
                <c:pt idx="567" formatCode="0.000">
                  <c:v>109.43899999999999</c:v>
                </c:pt>
                <c:pt idx="568" formatCode="0.000">
                  <c:v>109.449</c:v>
                </c:pt>
                <c:pt idx="569" formatCode="0.000">
                  <c:v>109.149</c:v>
                </c:pt>
                <c:pt idx="570" formatCode="0.000">
                  <c:v>109.172</c:v>
                </c:pt>
                <c:pt idx="571" formatCode="0.000">
                  <c:v>108.405</c:v>
                </c:pt>
                <c:pt idx="572" formatCode="0.000">
                  <c:v>108.749</c:v>
                </c:pt>
                <c:pt idx="573" formatCode="0.000">
                  <c:v>109.533</c:v>
                </c:pt>
                <c:pt idx="574" formatCode="0.000">
                  <c:v>109.18</c:v>
                </c:pt>
                <c:pt idx="575" formatCode="0.000">
                  <c:v>109.27</c:v>
                </c:pt>
                <c:pt idx="576" formatCode="0.000">
                  <c:v>109.19199999999999</c:v>
                </c:pt>
                <c:pt idx="577" formatCode="0.000">
                  <c:v>108.395</c:v>
                </c:pt>
                <c:pt idx="578" formatCode="0.000">
                  <c:v>107.627</c:v>
                </c:pt>
                <c:pt idx="579" formatCode="0.000">
                  <c:v>107.86799999999999</c:v>
                </c:pt>
                <c:pt idx="580" formatCode="0.000">
                  <c:v>108.11499999999999</c:v>
                </c:pt>
                <c:pt idx="581" formatCode="0.000">
                  <c:v>108.673</c:v>
                </c:pt>
                <c:pt idx="582" formatCode="0.000">
                  <c:v>108.556</c:v>
                </c:pt>
                <c:pt idx="583" formatCode="0.000">
                  <c:v>108.119</c:v>
                </c:pt>
                <c:pt idx="584" formatCode="0.000">
                  <c:v>107.92</c:v>
                </c:pt>
                <c:pt idx="585" formatCode="0.000">
                  <c:v>107.81</c:v>
                </c:pt>
                <c:pt idx="586" formatCode="0.000">
                  <c:v>108.256</c:v>
                </c:pt>
                <c:pt idx="587" formatCode="0.000">
                  <c:v>108.036</c:v>
                </c:pt>
                <c:pt idx="588" formatCode="0.000">
                  <c:v>108.038</c:v>
                </c:pt>
                <c:pt idx="589">
                  <c:v>107.98</c:v>
                </c:pt>
                <c:pt idx="590">
                  <c:v>107.73</c:v>
                </c:pt>
                <c:pt idx="591">
                  <c:v>107.464</c:v>
                </c:pt>
                <c:pt idx="592">
                  <c:v>107.75</c:v>
                </c:pt>
                <c:pt idx="593">
                  <c:v>107.136</c:v>
                </c:pt>
                <c:pt idx="594">
                  <c:v>107.675</c:v>
                </c:pt>
                <c:pt idx="595">
                  <c:v>107.11199999999999</c:v>
                </c:pt>
                <c:pt idx="596">
                  <c:v>106.971</c:v>
                </c:pt>
                <c:pt idx="597">
                  <c:v>106.93600000000001</c:v>
                </c:pt>
                <c:pt idx="598">
                  <c:v>107.063</c:v>
                </c:pt>
                <c:pt idx="599">
                  <c:v>106.672</c:v>
                </c:pt>
                <c:pt idx="600">
                  <c:v>107.24</c:v>
                </c:pt>
                <c:pt idx="601">
                  <c:v>107.325</c:v>
                </c:pt>
                <c:pt idx="602">
                  <c:v>107.60899999999999</c:v>
                </c:pt>
                <c:pt idx="603">
                  <c:v>108.422</c:v>
                </c:pt>
                <c:pt idx="604">
                  <c:v>108.974</c:v>
                </c:pt>
                <c:pt idx="605">
                  <c:v>109.8</c:v>
                </c:pt>
                <c:pt idx="606">
                  <c:v>109.48099999999999</c:v>
                </c:pt>
                <c:pt idx="607">
                  <c:v>109.033</c:v>
                </c:pt>
                <c:pt idx="608">
                  <c:v>108.71899999999999</c:v>
                </c:pt>
                <c:pt idx="609">
                  <c:v>108.27500000000001</c:v>
                </c:pt>
                <c:pt idx="610">
                  <c:v>108.282</c:v>
                </c:pt>
                <c:pt idx="611">
                  <c:v>108.371</c:v>
                </c:pt>
                <c:pt idx="612">
                  <c:v>108.42400000000001</c:v>
                </c:pt>
                <c:pt idx="613">
                  <c:v>108.768</c:v>
                </c:pt>
                <c:pt idx="614">
                  <c:v>109.249</c:v>
                </c:pt>
                <c:pt idx="615">
                  <c:v>108.85599999999999</c:v>
                </c:pt>
                <c:pt idx="616">
                  <c:v>109.91200000000001</c:v>
                </c:pt>
                <c:pt idx="617">
                  <c:v>110.233</c:v>
                </c:pt>
                <c:pt idx="618">
                  <c:v>110.313</c:v>
                </c:pt>
                <c:pt idx="619">
                  <c:v>109.858</c:v>
                </c:pt>
                <c:pt idx="620">
                  <c:v>110.18899999999999</c:v>
                </c:pt>
                <c:pt idx="621">
                  <c:v>110.77413647466987</c:v>
                </c:pt>
                <c:pt idx="622">
                  <c:v>110.15214943762869</c:v>
                </c:pt>
                <c:pt idx="623">
                  <c:v>110.55105402063313</c:v>
                </c:pt>
                <c:pt idx="624">
                  <c:v>110.42036287604765</c:v>
                </c:pt>
                <c:pt idx="625">
                  <c:v>111.27245365480698</c:v>
                </c:pt>
                <c:pt idx="626">
                  <c:v>111.20720165618225</c:v>
                </c:pt>
                <c:pt idx="627">
                  <c:v>110.84280745319612</c:v>
                </c:pt>
                <c:pt idx="628">
                  <c:v>110.86244337366472</c:v>
                </c:pt>
                <c:pt idx="629">
                  <c:v>111.08284193336526</c:v>
                </c:pt>
                <c:pt idx="630">
                  <c:v>110.93122391604918</c:v>
                </c:pt>
                <c:pt idx="631">
                  <c:v>111.04736165380177</c:v>
                </c:pt>
                <c:pt idx="632">
                  <c:v>110.60576291975961</c:v>
                </c:pt>
                <c:pt idx="633">
                  <c:v>110.05916297638099</c:v>
                </c:pt>
                <c:pt idx="634">
                  <c:v>110.37167664902996</c:v>
                </c:pt>
                <c:pt idx="635">
                  <c:v>110.13470250959134</c:v>
                </c:pt>
                <c:pt idx="636">
                  <c:v>110.21616882705175</c:v>
                </c:pt>
                <c:pt idx="637">
                  <c:v>110.41062219477767</c:v>
                </c:pt>
                <c:pt idx="638">
                  <c:v>110.63118189050149</c:v>
                </c:pt>
                <c:pt idx="639">
                  <c:v>111.23685216587563</c:v>
                </c:pt>
                <c:pt idx="640">
                  <c:v>111.42500651662982</c:v>
                </c:pt>
                <c:pt idx="641">
                  <c:v>111.34372504225598</c:v>
                </c:pt>
                <c:pt idx="642">
                  <c:v>110.91942690535267</c:v>
                </c:pt>
                <c:pt idx="643">
                  <c:v>111.0966459435469</c:v>
                </c:pt>
                <c:pt idx="644">
                  <c:v>110.8545881706906</c:v>
                </c:pt>
                <c:pt idx="645">
                  <c:v>111.19732166527473</c:v>
                </c:pt>
                <c:pt idx="646">
                  <c:v>111.30015946075723</c:v>
                </c:pt>
                <c:pt idx="647">
                  <c:v>111.84519267957029</c:v>
                </c:pt>
                <c:pt idx="648">
                  <c:v>112.23433106763028</c:v>
                </c:pt>
                <c:pt idx="649">
                  <c:v>112.17397813188974</c:v>
                </c:pt>
                <c:pt idx="650">
                  <c:v>111.79723933043924</c:v>
                </c:pt>
                <c:pt idx="651">
                  <c:v>111.24476163896537</c:v>
                </c:pt>
                <c:pt idx="652">
                  <c:v>111.11439899859728</c:v>
                </c:pt>
                <c:pt idx="653">
                  <c:v>111.32985956735212</c:v>
                </c:pt>
                <c:pt idx="654">
                  <c:v>110.58035562702096</c:v>
                </c:pt>
                <c:pt idx="655">
                  <c:v>110.36778360551652</c:v>
                </c:pt>
                <c:pt idx="656">
                  <c:v>109.98179409852195</c:v>
                </c:pt>
                <c:pt idx="657">
                  <c:v>109.71955162438414</c:v>
                </c:pt>
                <c:pt idx="658">
                  <c:v>109.64265931986611</c:v>
                </c:pt>
                <c:pt idx="659">
                  <c:v>109.46430061220916</c:v>
                </c:pt>
                <c:pt idx="660">
                  <c:v>109.47579011265826</c:v>
                </c:pt>
                <c:pt idx="661">
                  <c:v>109.95474068347531</c:v>
                </c:pt>
                <c:pt idx="662">
                  <c:v>110.55300697793555</c:v>
                </c:pt>
                <c:pt idx="663">
                  <c:v>110.36973009294364</c:v>
                </c:pt>
                <c:pt idx="664">
                  <c:v>110.27248975348448</c:v>
                </c:pt>
                <c:pt idx="665">
                  <c:v>110.06690585152219</c:v>
                </c:pt>
                <c:pt idx="666">
                  <c:v>110.08433130453133</c:v>
                </c:pt>
              </c:numCache>
            </c:numRef>
          </c:val>
          <c:smooth val="0"/>
          <c:extLst>
            <c:ext xmlns:c16="http://schemas.microsoft.com/office/drawing/2014/chart" uri="{C3380CC4-5D6E-409C-BE32-E72D297353CC}">
              <c16:uniqueId val="{00000000-278A-4EF5-B312-96BEA00F0B78}"/>
            </c:ext>
          </c:extLst>
        </c:ser>
        <c:ser>
          <c:idx val="1"/>
          <c:order val="1"/>
          <c:tx>
            <c:strRef>
              <c:f>Sheet1!$C$1</c:f>
              <c:strCache>
                <c:ptCount val="1"/>
                <c:pt idx="0">
                  <c:v>ՀՀ դրամ</c:v>
                </c:pt>
              </c:strCache>
            </c:strRef>
          </c:tx>
          <c:spPr>
            <a:ln w="28575" cap="rnd">
              <a:solidFill>
                <a:srgbClr val="E7E6E6">
                  <a:lumMod val="10000"/>
                </a:srgbClr>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Sheet1!$C$2:$C$668</c:f>
              <c:numCache>
                <c:formatCode>0</c:formatCode>
                <c:ptCount val="667"/>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101</c:v>
                </c:pt>
                <c:pt idx="17">
                  <c:v>101</c:v>
                </c:pt>
                <c:pt idx="18">
                  <c:v>101</c:v>
                </c:pt>
                <c:pt idx="19">
                  <c:v>101</c:v>
                </c:pt>
                <c:pt idx="20">
                  <c:v>101</c:v>
                </c:pt>
                <c:pt idx="21">
                  <c:v>101</c:v>
                </c:pt>
                <c:pt idx="22">
                  <c:v>101</c:v>
                </c:pt>
                <c:pt idx="23">
                  <c:v>101</c:v>
                </c:pt>
                <c:pt idx="24">
                  <c:v>101</c:v>
                </c:pt>
                <c:pt idx="25">
                  <c:v>101</c:v>
                </c:pt>
                <c:pt idx="26">
                  <c:v>101</c:v>
                </c:pt>
                <c:pt idx="27">
                  <c:v>101</c:v>
                </c:pt>
                <c:pt idx="28">
                  <c:v>101</c:v>
                </c:pt>
                <c:pt idx="29">
                  <c:v>101</c:v>
                </c:pt>
                <c:pt idx="30">
                  <c:v>101</c:v>
                </c:pt>
                <c:pt idx="31">
                  <c:v>101</c:v>
                </c:pt>
                <c:pt idx="32">
                  <c:v>101</c:v>
                </c:pt>
                <c:pt idx="33">
                  <c:v>101</c:v>
                </c:pt>
                <c:pt idx="34">
                  <c:v>101</c:v>
                </c:pt>
                <c:pt idx="35">
                  <c:v>101</c:v>
                </c:pt>
                <c:pt idx="36">
                  <c:v>101</c:v>
                </c:pt>
                <c:pt idx="37">
                  <c:v>101</c:v>
                </c:pt>
                <c:pt idx="38">
                  <c:v>101</c:v>
                </c:pt>
                <c:pt idx="39">
                  <c:v>101</c:v>
                </c:pt>
                <c:pt idx="40">
                  <c:v>101</c:v>
                </c:pt>
                <c:pt idx="41">
                  <c:v>101</c:v>
                </c:pt>
                <c:pt idx="42">
                  <c:v>101</c:v>
                </c:pt>
                <c:pt idx="43">
                  <c:v>101</c:v>
                </c:pt>
                <c:pt idx="44">
                  <c:v>101</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101</c:v>
                </c:pt>
                <c:pt idx="60">
                  <c:v>101</c:v>
                </c:pt>
                <c:pt idx="61">
                  <c:v>101</c:v>
                </c:pt>
                <c:pt idx="62">
                  <c:v>101</c:v>
                </c:pt>
                <c:pt idx="63">
                  <c:v>100</c:v>
                </c:pt>
                <c:pt idx="64">
                  <c:v>100</c:v>
                </c:pt>
                <c:pt idx="65">
                  <c:v>100</c:v>
                </c:pt>
                <c:pt idx="66">
                  <c:v>100</c:v>
                </c:pt>
                <c:pt idx="67">
                  <c:v>100</c:v>
                </c:pt>
                <c:pt idx="68">
                  <c:v>100</c:v>
                </c:pt>
                <c:pt idx="69">
                  <c:v>100</c:v>
                </c:pt>
                <c:pt idx="70">
                  <c:v>100</c:v>
                </c:pt>
                <c:pt idx="71">
                  <c:v>100</c:v>
                </c:pt>
                <c:pt idx="72">
                  <c:v>100</c:v>
                </c:pt>
                <c:pt idx="73">
                  <c:v>99</c:v>
                </c:pt>
                <c:pt idx="74">
                  <c:v>99</c:v>
                </c:pt>
                <c:pt idx="75">
                  <c:v>99</c:v>
                </c:pt>
                <c:pt idx="76">
                  <c:v>99</c:v>
                </c:pt>
                <c:pt idx="77">
                  <c:v>99</c:v>
                </c:pt>
                <c:pt idx="78">
                  <c:v>99</c:v>
                </c:pt>
                <c:pt idx="79">
                  <c:v>99</c:v>
                </c:pt>
                <c:pt idx="80">
                  <c:v>99</c:v>
                </c:pt>
                <c:pt idx="81">
                  <c:v>99</c:v>
                </c:pt>
                <c:pt idx="82">
                  <c:v>100</c:v>
                </c:pt>
                <c:pt idx="83">
                  <c:v>100</c:v>
                </c:pt>
                <c:pt idx="84">
                  <c:v>99</c:v>
                </c:pt>
                <c:pt idx="85">
                  <c:v>99</c:v>
                </c:pt>
                <c:pt idx="86">
                  <c:v>99</c:v>
                </c:pt>
                <c:pt idx="87">
                  <c:v>99</c:v>
                </c:pt>
                <c:pt idx="88">
                  <c:v>99</c:v>
                </c:pt>
                <c:pt idx="89">
                  <c:v>99</c:v>
                </c:pt>
                <c:pt idx="90">
                  <c:v>99</c:v>
                </c:pt>
                <c:pt idx="91">
                  <c:v>99</c:v>
                </c:pt>
                <c:pt idx="92">
                  <c:v>99</c:v>
                </c:pt>
                <c:pt idx="93">
                  <c:v>99</c:v>
                </c:pt>
                <c:pt idx="94">
                  <c:v>99</c:v>
                </c:pt>
                <c:pt idx="95">
                  <c:v>99</c:v>
                </c:pt>
                <c:pt idx="96">
                  <c:v>99</c:v>
                </c:pt>
                <c:pt idx="97">
                  <c:v>99</c:v>
                </c:pt>
                <c:pt idx="98">
                  <c:v>99</c:v>
                </c:pt>
                <c:pt idx="99">
                  <c:v>99</c:v>
                </c:pt>
                <c:pt idx="100">
                  <c:v>99</c:v>
                </c:pt>
                <c:pt idx="101">
                  <c:v>99</c:v>
                </c:pt>
                <c:pt idx="102">
                  <c:v>99</c:v>
                </c:pt>
                <c:pt idx="103">
                  <c:v>99</c:v>
                </c:pt>
                <c:pt idx="104">
                  <c:v>99</c:v>
                </c:pt>
                <c:pt idx="105">
                  <c:v>99</c:v>
                </c:pt>
                <c:pt idx="106">
                  <c:v>99</c:v>
                </c:pt>
                <c:pt idx="107">
                  <c:v>99</c:v>
                </c:pt>
                <c:pt idx="108">
                  <c:v>99</c:v>
                </c:pt>
                <c:pt idx="109">
                  <c:v>99</c:v>
                </c:pt>
                <c:pt idx="110">
                  <c:v>99</c:v>
                </c:pt>
                <c:pt idx="111">
                  <c:v>99</c:v>
                </c:pt>
                <c:pt idx="112">
                  <c:v>99</c:v>
                </c:pt>
                <c:pt idx="113">
                  <c:v>99</c:v>
                </c:pt>
                <c:pt idx="114">
                  <c:v>98</c:v>
                </c:pt>
                <c:pt idx="115">
                  <c:v>99</c:v>
                </c:pt>
                <c:pt idx="116">
                  <c:v>99</c:v>
                </c:pt>
                <c:pt idx="117">
                  <c:v>99</c:v>
                </c:pt>
                <c:pt idx="118">
                  <c:v>98</c:v>
                </c:pt>
                <c:pt idx="119">
                  <c:v>98</c:v>
                </c:pt>
                <c:pt idx="120">
                  <c:v>98</c:v>
                </c:pt>
                <c:pt idx="121">
                  <c:v>98</c:v>
                </c:pt>
                <c:pt idx="122">
                  <c:v>98</c:v>
                </c:pt>
                <c:pt idx="123">
                  <c:v>98</c:v>
                </c:pt>
                <c:pt idx="124">
                  <c:v>98</c:v>
                </c:pt>
                <c:pt idx="125">
                  <c:v>98</c:v>
                </c:pt>
                <c:pt idx="126">
                  <c:v>98</c:v>
                </c:pt>
                <c:pt idx="127">
                  <c:v>98</c:v>
                </c:pt>
                <c:pt idx="128">
                  <c:v>98</c:v>
                </c:pt>
                <c:pt idx="129">
                  <c:v>98</c:v>
                </c:pt>
                <c:pt idx="130">
                  <c:v>98</c:v>
                </c:pt>
                <c:pt idx="131">
                  <c:v>98</c:v>
                </c:pt>
                <c:pt idx="132">
                  <c:v>98</c:v>
                </c:pt>
                <c:pt idx="133">
                  <c:v>98</c:v>
                </c:pt>
                <c:pt idx="134">
                  <c:v>98</c:v>
                </c:pt>
                <c:pt idx="135">
                  <c:v>98</c:v>
                </c:pt>
                <c:pt idx="136">
                  <c:v>98</c:v>
                </c:pt>
                <c:pt idx="137">
                  <c:v>98</c:v>
                </c:pt>
                <c:pt idx="138">
                  <c:v>98</c:v>
                </c:pt>
                <c:pt idx="139">
                  <c:v>98</c:v>
                </c:pt>
                <c:pt idx="140">
                  <c:v>98</c:v>
                </c:pt>
                <c:pt idx="141">
                  <c:v>98</c:v>
                </c:pt>
                <c:pt idx="142">
                  <c:v>98</c:v>
                </c:pt>
                <c:pt idx="143">
                  <c:v>98</c:v>
                </c:pt>
                <c:pt idx="144">
                  <c:v>98</c:v>
                </c:pt>
                <c:pt idx="145">
                  <c:v>98</c:v>
                </c:pt>
                <c:pt idx="146">
                  <c:v>98</c:v>
                </c:pt>
                <c:pt idx="147">
                  <c:v>98</c:v>
                </c:pt>
                <c:pt idx="148">
                  <c:v>98</c:v>
                </c:pt>
                <c:pt idx="149">
                  <c:v>98</c:v>
                </c:pt>
                <c:pt idx="150">
                  <c:v>98</c:v>
                </c:pt>
                <c:pt idx="151">
                  <c:v>98</c:v>
                </c:pt>
                <c:pt idx="152">
                  <c:v>98</c:v>
                </c:pt>
                <c:pt idx="153">
                  <c:v>98</c:v>
                </c:pt>
                <c:pt idx="154">
                  <c:v>98</c:v>
                </c:pt>
                <c:pt idx="155">
                  <c:v>98</c:v>
                </c:pt>
                <c:pt idx="156">
                  <c:v>98</c:v>
                </c:pt>
                <c:pt idx="157">
                  <c:v>98</c:v>
                </c:pt>
                <c:pt idx="158">
                  <c:v>98</c:v>
                </c:pt>
                <c:pt idx="159">
                  <c:v>98</c:v>
                </c:pt>
                <c:pt idx="160">
                  <c:v>98</c:v>
                </c:pt>
                <c:pt idx="161">
                  <c:v>98</c:v>
                </c:pt>
                <c:pt idx="162">
                  <c:v>98</c:v>
                </c:pt>
                <c:pt idx="163">
                  <c:v>98</c:v>
                </c:pt>
                <c:pt idx="164">
                  <c:v>98</c:v>
                </c:pt>
                <c:pt idx="165">
                  <c:v>98</c:v>
                </c:pt>
                <c:pt idx="166">
                  <c:v>98</c:v>
                </c:pt>
                <c:pt idx="167">
                  <c:v>98</c:v>
                </c:pt>
                <c:pt idx="168">
                  <c:v>98</c:v>
                </c:pt>
                <c:pt idx="169">
                  <c:v>98</c:v>
                </c:pt>
                <c:pt idx="170">
                  <c:v>98</c:v>
                </c:pt>
                <c:pt idx="171">
                  <c:v>98</c:v>
                </c:pt>
                <c:pt idx="172">
                  <c:v>98</c:v>
                </c:pt>
                <c:pt idx="173">
                  <c:v>98</c:v>
                </c:pt>
                <c:pt idx="174">
                  <c:v>98</c:v>
                </c:pt>
                <c:pt idx="175">
                  <c:v>98</c:v>
                </c:pt>
                <c:pt idx="176">
                  <c:v>98</c:v>
                </c:pt>
                <c:pt idx="177">
                  <c:v>98</c:v>
                </c:pt>
                <c:pt idx="178">
                  <c:v>98</c:v>
                </c:pt>
                <c:pt idx="179">
                  <c:v>98</c:v>
                </c:pt>
                <c:pt idx="180">
                  <c:v>98</c:v>
                </c:pt>
                <c:pt idx="181">
                  <c:v>98</c:v>
                </c:pt>
                <c:pt idx="182">
                  <c:v>98</c:v>
                </c:pt>
                <c:pt idx="183">
                  <c:v>98</c:v>
                </c:pt>
                <c:pt idx="184">
                  <c:v>98</c:v>
                </c:pt>
                <c:pt idx="185">
                  <c:v>98</c:v>
                </c:pt>
                <c:pt idx="186">
                  <c:v>98</c:v>
                </c:pt>
                <c:pt idx="187">
                  <c:v>98</c:v>
                </c:pt>
                <c:pt idx="188">
                  <c:v>98</c:v>
                </c:pt>
                <c:pt idx="189">
                  <c:v>98</c:v>
                </c:pt>
                <c:pt idx="190">
                  <c:v>98</c:v>
                </c:pt>
                <c:pt idx="191">
                  <c:v>98</c:v>
                </c:pt>
                <c:pt idx="192">
                  <c:v>98</c:v>
                </c:pt>
                <c:pt idx="193">
                  <c:v>98</c:v>
                </c:pt>
                <c:pt idx="194">
                  <c:v>98</c:v>
                </c:pt>
                <c:pt idx="195">
                  <c:v>98</c:v>
                </c:pt>
                <c:pt idx="196">
                  <c:v>98</c:v>
                </c:pt>
                <c:pt idx="197">
                  <c:v>98</c:v>
                </c:pt>
                <c:pt idx="198">
                  <c:v>98</c:v>
                </c:pt>
                <c:pt idx="199">
                  <c:v>98</c:v>
                </c:pt>
                <c:pt idx="200">
                  <c:v>98</c:v>
                </c:pt>
                <c:pt idx="201">
                  <c:v>98</c:v>
                </c:pt>
                <c:pt idx="202">
                  <c:v>98</c:v>
                </c:pt>
                <c:pt idx="203">
                  <c:v>98</c:v>
                </c:pt>
                <c:pt idx="204">
                  <c:v>98</c:v>
                </c:pt>
                <c:pt idx="205">
                  <c:v>98</c:v>
                </c:pt>
                <c:pt idx="206">
                  <c:v>98</c:v>
                </c:pt>
                <c:pt idx="207">
                  <c:v>98</c:v>
                </c:pt>
                <c:pt idx="208">
                  <c:v>98</c:v>
                </c:pt>
                <c:pt idx="209">
                  <c:v>98</c:v>
                </c:pt>
                <c:pt idx="210">
                  <c:v>99</c:v>
                </c:pt>
                <c:pt idx="211">
                  <c:v>99</c:v>
                </c:pt>
                <c:pt idx="212">
                  <c:v>99</c:v>
                </c:pt>
                <c:pt idx="213">
                  <c:v>99</c:v>
                </c:pt>
                <c:pt idx="214">
                  <c:v>99</c:v>
                </c:pt>
                <c:pt idx="215">
                  <c:v>99</c:v>
                </c:pt>
                <c:pt idx="216">
                  <c:v>99</c:v>
                </c:pt>
                <c:pt idx="217">
                  <c:v>99</c:v>
                </c:pt>
                <c:pt idx="218">
                  <c:v>98</c:v>
                </c:pt>
                <c:pt idx="219">
                  <c:v>98</c:v>
                </c:pt>
                <c:pt idx="220">
                  <c:v>98</c:v>
                </c:pt>
                <c:pt idx="221">
                  <c:v>98</c:v>
                </c:pt>
                <c:pt idx="222">
                  <c:v>98</c:v>
                </c:pt>
                <c:pt idx="223">
                  <c:v>98</c:v>
                </c:pt>
                <c:pt idx="224">
                  <c:v>98</c:v>
                </c:pt>
                <c:pt idx="225">
                  <c:v>99</c:v>
                </c:pt>
                <c:pt idx="226">
                  <c:v>99</c:v>
                </c:pt>
                <c:pt idx="227">
                  <c:v>99</c:v>
                </c:pt>
                <c:pt idx="228">
                  <c:v>99</c:v>
                </c:pt>
                <c:pt idx="229">
                  <c:v>99</c:v>
                </c:pt>
                <c:pt idx="230">
                  <c:v>99</c:v>
                </c:pt>
                <c:pt idx="231">
                  <c:v>99</c:v>
                </c:pt>
                <c:pt idx="232">
                  <c:v>99</c:v>
                </c:pt>
                <c:pt idx="233">
                  <c:v>99</c:v>
                </c:pt>
                <c:pt idx="234">
                  <c:v>99</c:v>
                </c:pt>
                <c:pt idx="235">
                  <c:v>99</c:v>
                </c:pt>
                <c:pt idx="236">
                  <c:v>99</c:v>
                </c:pt>
                <c:pt idx="237">
                  <c:v>99</c:v>
                </c:pt>
                <c:pt idx="238">
                  <c:v>99</c:v>
                </c:pt>
                <c:pt idx="239">
                  <c:v>99</c:v>
                </c:pt>
                <c:pt idx="240">
                  <c:v>99</c:v>
                </c:pt>
                <c:pt idx="241">
                  <c:v>99</c:v>
                </c:pt>
                <c:pt idx="242">
                  <c:v>99</c:v>
                </c:pt>
                <c:pt idx="243">
                  <c:v>99</c:v>
                </c:pt>
                <c:pt idx="244">
                  <c:v>99</c:v>
                </c:pt>
                <c:pt idx="245">
                  <c:v>99</c:v>
                </c:pt>
                <c:pt idx="246">
                  <c:v>99</c:v>
                </c:pt>
                <c:pt idx="247">
                  <c:v>99</c:v>
                </c:pt>
                <c:pt idx="248">
                  <c:v>99</c:v>
                </c:pt>
                <c:pt idx="249">
                  <c:v>99</c:v>
                </c:pt>
                <c:pt idx="250">
                  <c:v>99</c:v>
                </c:pt>
                <c:pt idx="251">
                  <c:v>99</c:v>
                </c:pt>
                <c:pt idx="252">
                  <c:v>99</c:v>
                </c:pt>
                <c:pt idx="253">
                  <c:v>99</c:v>
                </c:pt>
                <c:pt idx="254">
                  <c:v>99</c:v>
                </c:pt>
                <c:pt idx="255">
                  <c:v>99</c:v>
                </c:pt>
                <c:pt idx="256">
                  <c:v>99</c:v>
                </c:pt>
                <c:pt idx="257">
                  <c:v>99</c:v>
                </c:pt>
                <c:pt idx="258">
                  <c:v>99</c:v>
                </c:pt>
                <c:pt idx="259">
                  <c:v>99</c:v>
                </c:pt>
                <c:pt idx="260">
                  <c:v>99</c:v>
                </c:pt>
                <c:pt idx="261">
                  <c:v>99</c:v>
                </c:pt>
                <c:pt idx="262">
                  <c:v>99</c:v>
                </c:pt>
                <c:pt idx="263">
                  <c:v>99</c:v>
                </c:pt>
                <c:pt idx="264">
                  <c:v>99</c:v>
                </c:pt>
                <c:pt idx="265">
                  <c:v>99</c:v>
                </c:pt>
                <c:pt idx="266">
                  <c:v>99</c:v>
                </c:pt>
                <c:pt idx="267">
                  <c:v>99</c:v>
                </c:pt>
                <c:pt idx="268">
                  <c:v>99</c:v>
                </c:pt>
                <c:pt idx="269">
                  <c:v>99</c:v>
                </c:pt>
                <c:pt idx="270">
                  <c:v>99</c:v>
                </c:pt>
                <c:pt idx="271">
                  <c:v>99</c:v>
                </c:pt>
                <c:pt idx="272">
                  <c:v>99</c:v>
                </c:pt>
                <c:pt idx="273">
                  <c:v>99</c:v>
                </c:pt>
                <c:pt idx="274">
                  <c:v>99</c:v>
                </c:pt>
                <c:pt idx="275">
                  <c:v>99</c:v>
                </c:pt>
                <c:pt idx="276">
                  <c:v>99</c:v>
                </c:pt>
                <c:pt idx="277">
                  <c:v>99</c:v>
                </c:pt>
                <c:pt idx="278">
                  <c:v>99</c:v>
                </c:pt>
                <c:pt idx="279">
                  <c:v>99</c:v>
                </c:pt>
                <c:pt idx="280">
                  <c:v>99</c:v>
                </c:pt>
                <c:pt idx="281">
                  <c:v>99</c:v>
                </c:pt>
                <c:pt idx="282">
                  <c:v>99</c:v>
                </c:pt>
                <c:pt idx="283">
                  <c:v>99</c:v>
                </c:pt>
                <c:pt idx="284">
                  <c:v>99</c:v>
                </c:pt>
                <c:pt idx="285">
                  <c:v>99</c:v>
                </c:pt>
                <c:pt idx="286">
                  <c:v>99</c:v>
                </c:pt>
                <c:pt idx="287">
                  <c:v>99</c:v>
                </c:pt>
                <c:pt idx="288">
                  <c:v>99</c:v>
                </c:pt>
                <c:pt idx="289">
                  <c:v>100</c:v>
                </c:pt>
                <c:pt idx="290">
                  <c:v>100</c:v>
                </c:pt>
                <c:pt idx="291">
                  <c:v>100</c:v>
                </c:pt>
                <c:pt idx="292">
                  <c:v>101</c:v>
                </c:pt>
                <c:pt idx="293">
                  <c:v>101</c:v>
                </c:pt>
                <c:pt idx="294">
                  <c:v>101</c:v>
                </c:pt>
                <c:pt idx="295">
                  <c:v>101</c:v>
                </c:pt>
                <c:pt idx="296">
                  <c:v>102</c:v>
                </c:pt>
                <c:pt idx="297">
                  <c:v>102</c:v>
                </c:pt>
                <c:pt idx="298">
                  <c:v>102</c:v>
                </c:pt>
                <c:pt idx="299">
                  <c:v>102</c:v>
                </c:pt>
                <c:pt idx="300">
                  <c:v>102</c:v>
                </c:pt>
                <c:pt idx="301">
                  <c:v>103</c:v>
                </c:pt>
                <c:pt idx="302">
                  <c:v>103</c:v>
                </c:pt>
                <c:pt idx="303">
                  <c:v>103</c:v>
                </c:pt>
                <c:pt idx="304">
                  <c:v>104</c:v>
                </c:pt>
                <c:pt idx="305">
                  <c:v>104</c:v>
                </c:pt>
                <c:pt idx="306">
                  <c:v>104</c:v>
                </c:pt>
                <c:pt idx="307">
                  <c:v>104</c:v>
                </c:pt>
                <c:pt idx="308">
                  <c:v>104</c:v>
                </c:pt>
                <c:pt idx="309">
                  <c:v>103</c:v>
                </c:pt>
                <c:pt idx="310">
                  <c:v>103</c:v>
                </c:pt>
                <c:pt idx="311">
                  <c:v>102</c:v>
                </c:pt>
                <c:pt idx="312">
                  <c:v>100</c:v>
                </c:pt>
                <c:pt idx="313">
                  <c:v>100</c:v>
                </c:pt>
                <c:pt idx="314">
                  <c:v>100</c:v>
                </c:pt>
                <c:pt idx="315">
                  <c:v>100</c:v>
                </c:pt>
                <c:pt idx="316">
                  <c:v>100</c:v>
                </c:pt>
                <c:pt idx="317">
                  <c:v>100</c:v>
                </c:pt>
                <c:pt idx="318">
                  <c:v>99</c:v>
                </c:pt>
                <c:pt idx="319">
                  <c:v>99</c:v>
                </c:pt>
                <c:pt idx="320">
                  <c:v>99</c:v>
                </c:pt>
                <c:pt idx="321">
                  <c:v>99</c:v>
                </c:pt>
                <c:pt idx="322">
                  <c:v>99</c:v>
                </c:pt>
                <c:pt idx="323">
                  <c:v>99</c:v>
                </c:pt>
                <c:pt idx="324">
                  <c:v>99</c:v>
                </c:pt>
                <c:pt idx="325">
                  <c:v>99</c:v>
                </c:pt>
                <c:pt idx="326">
                  <c:v>99</c:v>
                </c:pt>
                <c:pt idx="327">
                  <c:v>100</c:v>
                </c:pt>
                <c:pt idx="328">
                  <c:v>100</c:v>
                </c:pt>
                <c:pt idx="329">
                  <c:v>100</c:v>
                </c:pt>
                <c:pt idx="330">
                  <c:v>100</c:v>
                </c:pt>
                <c:pt idx="331">
                  <c:v>101</c:v>
                </c:pt>
                <c:pt idx="332">
                  <c:v>101</c:v>
                </c:pt>
                <c:pt idx="333">
                  <c:v>101</c:v>
                </c:pt>
                <c:pt idx="334">
                  <c:v>101</c:v>
                </c:pt>
                <c:pt idx="335">
                  <c:v>100</c:v>
                </c:pt>
                <c:pt idx="336">
                  <c:v>100</c:v>
                </c:pt>
                <c:pt idx="337">
                  <c:v>100</c:v>
                </c:pt>
                <c:pt idx="338">
                  <c:v>99</c:v>
                </c:pt>
                <c:pt idx="339">
                  <c:v>100</c:v>
                </c:pt>
                <c:pt idx="340">
                  <c:v>100</c:v>
                </c:pt>
                <c:pt idx="341">
                  <c:v>100</c:v>
                </c:pt>
                <c:pt idx="342">
                  <c:v>100</c:v>
                </c:pt>
                <c:pt idx="343">
                  <c:v>100</c:v>
                </c:pt>
                <c:pt idx="344">
                  <c:v>100</c:v>
                </c:pt>
                <c:pt idx="345">
                  <c:v>100</c:v>
                </c:pt>
                <c:pt idx="346">
                  <c:v>100</c:v>
                </c:pt>
                <c:pt idx="347">
                  <c:v>99</c:v>
                </c:pt>
                <c:pt idx="348">
                  <c:v>99</c:v>
                </c:pt>
                <c:pt idx="349">
                  <c:v>99</c:v>
                </c:pt>
                <c:pt idx="350">
                  <c:v>99</c:v>
                </c:pt>
                <c:pt idx="351">
                  <c:v>99</c:v>
                </c:pt>
                <c:pt idx="352">
                  <c:v>99</c:v>
                </c:pt>
                <c:pt idx="353">
                  <c:v>99</c:v>
                </c:pt>
                <c:pt idx="354">
                  <c:v>99</c:v>
                </c:pt>
                <c:pt idx="355">
                  <c:v>99</c:v>
                </c:pt>
                <c:pt idx="356">
                  <c:v>99</c:v>
                </c:pt>
                <c:pt idx="357">
                  <c:v>99</c:v>
                </c:pt>
                <c:pt idx="358">
                  <c:v>99</c:v>
                </c:pt>
                <c:pt idx="359">
                  <c:v>99</c:v>
                </c:pt>
                <c:pt idx="360">
                  <c:v>99</c:v>
                </c:pt>
                <c:pt idx="361">
                  <c:v>99</c:v>
                </c:pt>
                <c:pt idx="362">
                  <c:v>99</c:v>
                </c:pt>
                <c:pt idx="363">
                  <c:v>100</c:v>
                </c:pt>
                <c:pt idx="364">
                  <c:v>100</c:v>
                </c:pt>
                <c:pt idx="365">
                  <c:v>100</c:v>
                </c:pt>
                <c:pt idx="366">
                  <c:v>100</c:v>
                </c:pt>
                <c:pt idx="367">
                  <c:v>100</c:v>
                </c:pt>
                <c:pt idx="368">
                  <c:v>100</c:v>
                </c:pt>
                <c:pt idx="369">
                  <c:v>100</c:v>
                </c:pt>
                <c:pt idx="370">
                  <c:v>100</c:v>
                </c:pt>
                <c:pt idx="371">
                  <c:v>100</c:v>
                </c:pt>
                <c:pt idx="372">
                  <c:v>100</c:v>
                </c:pt>
                <c:pt idx="373">
                  <c:v>100</c:v>
                </c:pt>
                <c:pt idx="374">
                  <c:v>100</c:v>
                </c:pt>
                <c:pt idx="375">
                  <c:v>100</c:v>
                </c:pt>
                <c:pt idx="376">
                  <c:v>100</c:v>
                </c:pt>
                <c:pt idx="377">
                  <c:v>100</c:v>
                </c:pt>
                <c:pt idx="378">
                  <c:v>100</c:v>
                </c:pt>
                <c:pt idx="379">
                  <c:v>100</c:v>
                </c:pt>
                <c:pt idx="380">
                  <c:v>100</c:v>
                </c:pt>
                <c:pt idx="381">
                  <c:v>100</c:v>
                </c:pt>
                <c:pt idx="382">
                  <c:v>100</c:v>
                </c:pt>
                <c:pt idx="383">
                  <c:v>100</c:v>
                </c:pt>
                <c:pt idx="384">
                  <c:v>100</c:v>
                </c:pt>
                <c:pt idx="385">
                  <c:v>100</c:v>
                </c:pt>
                <c:pt idx="386">
                  <c:v>100</c:v>
                </c:pt>
                <c:pt idx="387">
                  <c:v>100</c:v>
                </c:pt>
                <c:pt idx="388">
                  <c:v>100</c:v>
                </c:pt>
                <c:pt idx="389">
                  <c:v>100</c:v>
                </c:pt>
                <c:pt idx="390">
                  <c:v>100</c:v>
                </c:pt>
                <c:pt idx="391">
                  <c:v>100</c:v>
                </c:pt>
                <c:pt idx="392">
                  <c:v>100</c:v>
                </c:pt>
                <c:pt idx="393">
                  <c:v>100</c:v>
                </c:pt>
                <c:pt idx="394">
                  <c:v>100</c:v>
                </c:pt>
                <c:pt idx="395">
                  <c:v>100</c:v>
                </c:pt>
                <c:pt idx="396">
                  <c:v>100</c:v>
                </c:pt>
                <c:pt idx="397">
                  <c:v>100</c:v>
                </c:pt>
                <c:pt idx="398">
                  <c:v>100</c:v>
                </c:pt>
                <c:pt idx="399">
                  <c:v>100</c:v>
                </c:pt>
                <c:pt idx="400">
                  <c:v>100</c:v>
                </c:pt>
                <c:pt idx="401">
                  <c:v>100</c:v>
                </c:pt>
                <c:pt idx="402">
                  <c:v>100</c:v>
                </c:pt>
                <c:pt idx="403">
                  <c:v>100</c:v>
                </c:pt>
                <c:pt idx="404">
                  <c:v>100</c:v>
                </c:pt>
                <c:pt idx="405">
                  <c:v>101</c:v>
                </c:pt>
                <c:pt idx="406">
                  <c:v>101</c:v>
                </c:pt>
                <c:pt idx="407">
                  <c:v>101</c:v>
                </c:pt>
                <c:pt idx="408">
                  <c:v>101</c:v>
                </c:pt>
                <c:pt idx="409">
                  <c:v>101</c:v>
                </c:pt>
                <c:pt idx="410">
                  <c:v>101</c:v>
                </c:pt>
                <c:pt idx="411">
                  <c:v>101</c:v>
                </c:pt>
                <c:pt idx="412">
                  <c:v>101</c:v>
                </c:pt>
                <c:pt idx="413">
                  <c:v>101</c:v>
                </c:pt>
                <c:pt idx="414">
                  <c:v>101</c:v>
                </c:pt>
                <c:pt idx="415">
                  <c:v>101</c:v>
                </c:pt>
                <c:pt idx="416">
                  <c:v>101</c:v>
                </c:pt>
                <c:pt idx="417">
                  <c:v>101</c:v>
                </c:pt>
                <c:pt idx="418">
                  <c:v>100</c:v>
                </c:pt>
                <c:pt idx="419">
                  <c:v>100</c:v>
                </c:pt>
                <c:pt idx="420">
                  <c:v>100</c:v>
                </c:pt>
                <c:pt idx="421">
                  <c:v>100</c:v>
                </c:pt>
                <c:pt idx="422">
                  <c:v>100</c:v>
                </c:pt>
                <c:pt idx="423">
                  <c:v>100</c:v>
                </c:pt>
                <c:pt idx="424">
                  <c:v>100</c:v>
                </c:pt>
                <c:pt idx="425">
                  <c:v>100</c:v>
                </c:pt>
                <c:pt idx="426">
                  <c:v>100</c:v>
                </c:pt>
                <c:pt idx="427">
                  <c:v>100</c:v>
                </c:pt>
                <c:pt idx="428">
                  <c:v>101</c:v>
                </c:pt>
                <c:pt idx="429">
                  <c:v>101</c:v>
                </c:pt>
                <c:pt idx="430">
                  <c:v>101</c:v>
                </c:pt>
                <c:pt idx="431">
                  <c:v>101</c:v>
                </c:pt>
                <c:pt idx="432">
                  <c:v>101</c:v>
                </c:pt>
                <c:pt idx="433">
                  <c:v>101</c:v>
                </c:pt>
                <c:pt idx="434">
                  <c:v>101</c:v>
                </c:pt>
                <c:pt idx="435">
                  <c:v>101</c:v>
                </c:pt>
                <c:pt idx="436">
                  <c:v>101</c:v>
                </c:pt>
                <c:pt idx="437">
                  <c:v>101</c:v>
                </c:pt>
                <c:pt idx="438">
                  <c:v>101</c:v>
                </c:pt>
                <c:pt idx="439">
                  <c:v>101</c:v>
                </c:pt>
                <c:pt idx="440">
                  <c:v>102</c:v>
                </c:pt>
                <c:pt idx="441">
                  <c:v>102</c:v>
                </c:pt>
                <c:pt idx="442">
                  <c:v>102</c:v>
                </c:pt>
                <c:pt idx="443">
                  <c:v>102</c:v>
                </c:pt>
                <c:pt idx="444">
                  <c:v>102</c:v>
                </c:pt>
                <c:pt idx="445">
                  <c:v>102</c:v>
                </c:pt>
                <c:pt idx="446">
                  <c:v>102</c:v>
                </c:pt>
                <c:pt idx="447">
                  <c:v>102</c:v>
                </c:pt>
                <c:pt idx="448">
                  <c:v>102</c:v>
                </c:pt>
                <c:pt idx="449">
                  <c:v>102</c:v>
                </c:pt>
                <c:pt idx="450">
                  <c:v>102</c:v>
                </c:pt>
                <c:pt idx="451">
                  <c:v>102</c:v>
                </c:pt>
                <c:pt idx="452">
                  <c:v>102</c:v>
                </c:pt>
                <c:pt idx="453">
                  <c:v>102</c:v>
                </c:pt>
                <c:pt idx="454">
                  <c:v>102</c:v>
                </c:pt>
                <c:pt idx="455">
                  <c:v>102</c:v>
                </c:pt>
                <c:pt idx="456">
                  <c:v>102</c:v>
                </c:pt>
                <c:pt idx="457">
                  <c:v>102</c:v>
                </c:pt>
                <c:pt idx="458">
                  <c:v>102</c:v>
                </c:pt>
                <c:pt idx="459">
                  <c:v>102</c:v>
                </c:pt>
                <c:pt idx="460">
                  <c:v>102</c:v>
                </c:pt>
                <c:pt idx="461">
                  <c:v>102</c:v>
                </c:pt>
                <c:pt idx="462">
                  <c:v>103</c:v>
                </c:pt>
                <c:pt idx="463">
                  <c:v>103</c:v>
                </c:pt>
                <c:pt idx="464">
                  <c:v>103</c:v>
                </c:pt>
                <c:pt idx="465">
                  <c:v>103</c:v>
                </c:pt>
                <c:pt idx="466">
                  <c:v>104</c:v>
                </c:pt>
                <c:pt idx="467">
                  <c:v>104</c:v>
                </c:pt>
                <c:pt idx="468">
                  <c:v>106</c:v>
                </c:pt>
                <c:pt idx="469">
                  <c:v>106</c:v>
                </c:pt>
                <c:pt idx="470">
                  <c:v>105</c:v>
                </c:pt>
                <c:pt idx="471">
                  <c:v>105</c:v>
                </c:pt>
                <c:pt idx="472">
                  <c:v>105</c:v>
                </c:pt>
                <c:pt idx="473">
                  <c:v>105</c:v>
                </c:pt>
                <c:pt idx="474">
                  <c:v>105</c:v>
                </c:pt>
                <c:pt idx="475">
                  <c:v>105</c:v>
                </c:pt>
                <c:pt idx="476">
                  <c:v>106</c:v>
                </c:pt>
                <c:pt idx="477">
                  <c:v>106</c:v>
                </c:pt>
                <c:pt idx="478">
                  <c:v>106</c:v>
                </c:pt>
                <c:pt idx="479">
                  <c:v>106</c:v>
                </c:pt>
                <c:pt idx="480">
                  <c:v>107</c:v>
                </c:pt>
                <c:pt idx="481">
                  <c:v>107</c:v>
                </c:pt>
                <c:pt idx="482">
                  <c:v>108</c:v>
                </c:pt>
                <c:pt idx="483">
                  <c:v>108</c:v>
                </c:pt>
                <c:pt idx="484">
                  <c:v>108</c:v>
                </c:pt>
                <c:pt idx="485">
                  <c:v>108</c:v>
                </c:pt>
                <c:pt idx="486">
                  <c:v>108</c:v>
                </c:pt>
                <c:pt idx="487">
                  <c:v>108</c:v>
                </c:pt>
                <c:pt idx="488">
                  <c:v>108</c:v>
                </c:pt>
                <c:pt idx="489">
                  <c:v>108</c:v>
                </c:pt>
                <c:pt idx="490">
                  <c:v>108</c:v>
                </c:pt>
                <c:pt idx="491">
                  <c:v>108</c:v>
                </c:pt>
                <c:pt idx="492">
                  <c:v>108</c:v>
                </c:pt>
                <c:pt idx="493">
                  <c:v>108</c:v>
                </c:pt>
                <c:pt idx="494">
                  <c:v>108</c:v>
                </c:pt>
                <c:pt idx="495">
                  <c:v>108</c:v>
                </c:pt>
                <c:pt idx="496">
                  <c:v>108</c:v>
                </c:pt>
                <c:pt idx="497">
                  <c:v>108</c:v>
                </c:pt>
                <c:pt idx="498">
                  <c:v>109</c:v>
                </c:pt>
                <c:pt idx="499">
                  <c:v>108</c:v>
                </c:pt>
                <c:pt idx="500">
                  <c:v>108</c:v>
                </c:pt>
                <c:pt idx="501">
                  <c:v>108</c:v>
                </c:pt>
                <c:pt idx="502">
                  <c:v>107</c:v>
                </c:pt>
                <c:pt idx="503">
                  <c:v>107</c:v>
                </c:pt>
                <c:pt idx="504">
                  <c:v>107</c:v>
                </c:pt>
                <c:pt idx="505">
                  <c:v>107</c:v>
                </c:pt>
                <c:pt idx="506">
                  <c:v>107</c:v>
                </c:pt>
                <c:pt idx="507">
                  <c:v>107</c:v>
                </c:pt>
                <c:pt idx="508">
                  <c:v>107</c:v>
                </c:pt>
                <c:pt idx="509">
                  <c:v>107</c:v>
                </c:pt>
                <c:pt idx="510">
                  <c:v>107</c:v>
                </c:pt>
                <c:pt idx="511">
                  <c:v>107</c:v>
                </c:pt>
                <c:pt idx="512">
                  <c:v>107</c:v>
                </c:pt>
                <c:pt idx="513">
                  <c:v>107</c:v>
                </c:pt>
                <c:pt idx="514">
                  <c:v>108</c:v>
                </c:pt>
                <c:pt idx="515">
                  <c:v>108</c:v>
                </c:pt>
                <c:pt idx="516">
                  <c:v>108</c:v>
                </c:pt>
                <c:pt idx="517">
                  <c:v>108</c:v>
                </c:pt>
                <c:pt idx="518">
                  <c:v>108</c:v>
                </c:pt>
                <c:pt idx="519">
                  <c:v>108</c:v>
                </c:pt>
                <c:pt idx="520">
                  <c:v>108</c:v>
                </c:pt>
                <c:pt idx="521">
                  <c:v>108</c:v>
                </c:pt>
                <c:pt idx="522">
                  <c:v>108</c:v>
                </c:pt>
                <c:pt idx="523">
                  <c:v>108</c:v>
                </c:pt>
                <c:pt idx="524">
                  <c:v>108</c:v>
                </c:pt>
                <c:pt idx="525">
                  <c:v>108</c:v>
                </c:pt>
                <c:pt idx="526">
                  <c:v>109</c:v>
                </c:pt>
                <c:pt idx="527">
                  <c:v>109</c:v>
                </c:pt>
                <c:pt idx="528">
                  <c:v>109</c:v>
                </c:pt>
                <c:pt idx="529">
                  <c:v>109</c:v>
                </c:pt>
                <c:pt idx="530">
                  <c:v>109</c:v>
                </c:pt>
                <c:pt idx="531">
                  <c:v>109</c:v>
                </c:pt>
                <c:pt idx="532">
                  <c:v>109</c:v>
                </c:pt>
                <c:pt idx="533">
                  <c:v>108</c:v>
                </c:pt>
                <c:pt idx="534">
                  <c:v>108</c:v>
                </c:pt>
                <c:pt idx="535">
                  <c:v>108</c:v>
                </c:pt>
                <c:pt idx="536">
                  <c:v>109</c:v>
                </c:pt>
                <c:pt idx="537">
                  <c:v>109</c:v>
                </c:pt>
                <c:pt idx="538">
                  <c:v>109</c:v>
                </c:pt>
                <c:pt idx="539">
                  <c:v>109</c:v>
                </c:pt>
                <c:pt idx="540">
                  <c:v>109</c:v>
                </c:pt>
                <c:pt idx="541">
                  <c:v>109</c:v>
                </c:pt>
                <c:pt idx="542">
                  <c:v>109</c:v>
                </c:pt>
                <c:pt idx="543">
                  <c:v>109</c:v>
                </c:pt>
                <c:pt idx="544">
                  <c:v>109</c:v>
                </c:pt>
                <c:pt idx="545">
                  <c:v>109</c:v>
                </c:pt>
                <c:pt idx="546">
                  <c:v>109</c:v>
                </c:pt>
                <c:pt idx="547">
                  <c:v>109</c:v>
                </c:pt>
                <c:pt idx="548">
                  <c:v>109</c:v>
                </c:pt>
                <c:pt idx="549">
                  <c:v>109</c:v>
                </c:pt>
                <c:pt idx="550">
                  <c:v>110</c:v>
                </c:pt>
                <c:pt idx="551">
                  <c:v>110</c:v>
                </c:pt>
                <c:pt idx="552">
                  <c:v>110</c:v>
                </c:pt>
                <c:pt idx="553">
                  <c:v>110</c:v>
                </c:pt>
                <c:pt idx="554">
                  <c:v>110</c:v>
                </c:pt>
                <c:pt idx="555">
                  <c:v>110</c:v>
                </c:pt>
                <c:pt idx="556">
                  <c:v>111</c:v>
                </c:pt>
                <c:pt idx="557">
                  <c:v>111</c:v>
                </c:pt>
                <c:pt idx="558">
                  <c:v>110</c:v>
                </c:pt>
                <c:pt idx="559">
                  <c:v>109</c:v>
                </c:pt>
                <c:pt idx="560">
                  <c:v>107</c:v>
                </c:pt>
                <c:pt idx="561">
                  <c:v>107</c:v>
                </c:pt>
                <c:pt idx="562">
                  <c:v>108</c:v>
                </c:pt>
                <c:pt idx="563">
                  <c:v>108</c:v>
                </c:pt>
                <c:pt idx="564">
                  <c:v>108</c:v>
                </c:pt>
                <c:pt idx="565">
                  <c:v>108</c:v>
                </c:pt>
                <c:pt idx="566">
                  <c:v>108</c:v>
                </c:pt>
                <c:pt idx="567">
                  <c:v>108</c:v>
                </c:pt>
                <c:pt idx="568">
                  <c:v>108</c:v>
                </c:pt>
                <c:pt idx="569">
                  <c:v>107</c:v>
                </c:pt>
                <c:pt idx="570">
                  <c:v>107</c:v>
                </c:pt>
                <c:pt idx="571">
                  <c:v>107</c:v>
                </c:pt>
                <c:pt idx="572">
                  <c:v>107</c:v>
                </c:pt>
                <c:pt idx="573">
                  <c:v>107</c:v>
                </c:pt>
                <c:pt idx="574">
                  <c:v>107</c:v>
                </c:pt>
                <c:pt idx="575">
                  <c:v>108</c:v>
                </c:pt>
                <c:pt idx="576">
                  <c:v>108</c:v>
                </c:pt>
                <c:pt idx="577">
                  <c:v>108</c:v>
                </c:pt>
                <c:pt idx="578">
                  <c:v>108</c:v>
                </c:pt>
                <c:pt idx="579">
                  <c:v>108</c:v>
                </c:pt>
                <c:pt idx="580">
                  <c:v>108</c:v>
                </c:pt>
                <c:pt idx="581">
                  <c:v>108</c:v>
                </c:pt>
                <c:pt idx="582">
                  <c:v>108</c:v>
                </c:pt>
                <c:pt idx="583">
                  <c:v>108</c:v>
                </c:pt>
                <c:pt idx="584">
                  <c:v>108</c:v>
                </c:pt>
                <c:pt idx="585">
                  <c:v>108</c:v>
                </c:pt>
                <c:pt idx="586">
                  <c:v>107.5</c:v>
                </c:pt>
                <c:pt idx="587">
                  <c:v>108</c:v>
                </c:pt>
                <c:pt idx="588">
                  <c:v>107</c:v>
                </c:pt>
                <c:pt idx="589">
                  <c:v>107</c:v>
                </c:pt>
                <c:pt idx="590">
                  <c:v>108</c:v>
                </c:pt>
                <c:pt idx="591">
                  <c:v>107</c:v>
                </c:pt>
                <c:pt idx="592">
                  <c:v>107</c:v>
                </c:pt>
                <c:pt idx="593">
                  <c:v>107</c:v>
                </c:pt>
                <c:pt idx="594">
                  <c:v>107</c:v>
                </c:pt>
                <c:pt idx="595">
                  <c:v>107</c:v>
                </c:pt>
                <c:pt idx="596">
                  <c:v>107</c:v>
                </c:pt>
                <c:pt idx="597">
                  <c:v>107</c:v>
                </c:pt>
                <c:pt idx="598">
                  <c:v>107</c:v>
                </c:pt>
                <c:pt idx="599">
                  <c:v>107</c:v>
                </c:pt>
                <c:pt idx="600">
                  <c:v>107</c:v>
                </c:pt>
                <c:pt idx="601">
                  <c:v>107</c:v>
                </c:pt>
                <c:pt idx="602">
                  <c:v>106</c:v>
                </c:pt>
                <c:pt idx="603">
                  <c:v>106</c:v>
                </c:pt>
                <c:pt idx="604">
                  <c:v>106</c:v>
                </c:pt>
                <c:pt idx="605">
                  <c:v>106</c:v>
                </c:pt>
                <c:pt idx="606">
                  <c:v>106</c:v>
                </c:pt>
                <c:pt idx="607">
                  <c:v>106</c:v>
                </c:pt>
                <c:pt idx="608">
                  <c:v>106</c:v>
                </c:pt>
                <c:pt idx="609">
                  <c:v>105</c:v>
                </c:pt>
                <c:pt idx="610">
                  <c:v>103</c:v>
                </c:pt>
                <c:pt idx="611">
                  <c:v>103</c:v>
                </c:pt>
                <c:pt idx="612">
                  <c:v>102</c:v>
                </c:pt>
                <c:pt idx="613">
                  <c:v>102</c:v>
                </c:pt>
                <c:pt idx="614">
                  <c:v>102</c:v>
                </c:pt>
                <c:pt idx="615">
                  <c:v>102</c:v>
                </c:pt>
                <c:pt idx="616">
                  <c:v>102</c:v>
                </c:pt>
                <c:pt idx="617">
                  <c:v>102</c:v>
                </c:pt>
                <c:pt idx="618">
                  <c:v>102</c:v>
                </c:pt>
                <c:pt idx="619">
                  <c:v>102</c:v>
                </c:pt>
                <c:pt idx="620">
                  <c:v>102</c:v>
                </c:pt>
                <c:pt idx="621">
                  <c:v>101.94243792325057</c:v>
                </c:pt>
                <c:pt idx="622">
                  <c:v>102.05556788603941</c:v>
                </c:pt>
                <c:pt idx="623">
                  <c:v>102.0905861456483</c:v>
                </c:pt>
                <c:pt idx="624">
                  <c:v>102.22676745220097</c:v>
                </c:pt>
                <c:pt idx="625">
                  <c:v>102.61459495648292</c:v>
                </c:pt>
                <c:pt idx="626">
                  <c:v>102.98230683090705</c:v>
                </c:pt>
                <c:pt idx="627">
                  <c:v>103.73845806755952</c:v>
                </c:pt>
                <c:pt idx="628">
                  <c:v>104.41303001527598</c:v>
                </c:pt>
                <c:pt idx="629">
                  <c:v>104.62901824500432</c:v>
                </c:pt>
                <c:pt idx="630">
                  <c:v>104.82417309127082</c:v>
                </c:pt>
                <c:pt idx="631">
                  <c:v>104.87633739736252</c:v>
                </c:pt>
                <c:pt idx="632">
                  <c:v>104.86763974125061</c:v>
                </c:pt>
                <c:pt idx="633">
                  <c:v>104.42596415889007</c:v>
                </c:pt>
                <c:pt idx="634">
                  <c:v>104.02221125370185</c:v>
                </c:pt>
                <c:pt idx="635">
                  <c:v>103.6067105020586</c:v>
                </c:pt>
                <c:pt idx="636">
                  <c:v>103.02845619538425</c:v>
                </c:pt>
                <c:pt idx="637">
                  <c:v>102.74174283973186</c:v>
                </c:pt>
                <c:pt idx="638">
                  <c:v>102.5230769230769</c:v>
                </c:pt>
                <c:pt idx="639">
                  <c:v>102.67500304494335</c:v>
                </c:pt>
                <c:pt idx="640">
                  <c:v>102.95296057318487</c:v>
                </c:pt>
                <c:pt idx="641">
                  <c:v>103.08935268221099</c:v>
                </c:pt>
                <c:pt idx="642">
                  <c:v>102.99908363369784</c:v>
                </c:pt>
                <c:pt idx="643">
                  <c:v>102.85665480427045</c:v>
                </c:pt>
                <c:pt idx="644">
                  <c:v>102.75009141510583</c:v>
                </c:pt>
                <c:pt idx="645">
                  <c:v>102.69584991472426</c:v>
                </c:pt>
                <c:pt idx="646">
                  <c:v>102.77514528386229</c:v>
                </c:pt>
                <c:pt idx="647">
                  <c:v>102.99698623442207</c:v>
                </c:pt>
                <c:pt idx="648">
                  <c:v>103.07884815260142</c:v>
                </c:pt>
                <c:pt idx="649">
                  <c:v>103.20083246618104</c:v>
                </c:pt>
                <c:pt idx="650">
                  <c:v>103.10616438356162</c:v>
                </c:pt>
                <c:pt idx="651">
                  <c:v>103.01796407185626</c:v>
                </c:pt>
                <c:pt idx="652">
                  <c:v>102.74591695782885</c:v>
                </c:pt>
                <c:pt idx="653">
                  <c:v>102.58337727659917</c:v>
                </c:pt>
                <c:pt idx="654">
                  <c:v>102.44831986388768</c:v>
                </c:pt>
                <c:pt idx="655">
                  <c:v>102.49399177288291</c:v>
                </c:pt>
                <c:pt idx="656">
                  <c:v>102.57089552238804</c:v>
                </c:pt>
                <c:pt idx="657">
                  <c:v>102.47115072933548</c:v>
                </c:pt>
                <c:pt idx="658">
                  <c:v>102.48360821817886</c:v>
                </c:pt>
                <c:pt idx="659">
                  <c:v>102.46077180188392</c:v>
                </c:pt>
                <c:pt idx="660">
                  <c:v>102.49606873632163</c:v>
                </c:pt>
                <c:pt idx="661">
                  <c:v>102.46077180188394</c:v>
                </c:pt>
                <c:pt idx="662">
                  <c:v>102.45869626868695</c:v>
                </c:pt>
                <c:pt idx="663">
                  <c:v>102.56049638055845</c:v>
                </c:pt>
                <c:pt idx="664">
                  <c:v>102.62708734909202</c:v>
                </c:pt>
                <c:pt idx="665">
                  <c:v>102.829470602586</c:v>
                </c:pt>
                <c:pt idx="666">
                  <c:v>103.18398988147453</c:v>
                </c:pt>
              </c:numCache>
            </c:numRef>
          </c:val>
          <c:smooth val="0"/>
          <c:extLst>
            <c:ext xmlns:c16="http://schemas.microsoft.com/office/drawing/2014/chart" uri="{C3380CC4-5D6E-409C-BE32-E72D297353CC}">
              <c16:uniqueId val="{00000001-278A-4EF5-B312-96BEA00F0B78}"/>
            </c:ext>
          </c:extLst>
        </c:ser>
        <c:ser>
          <c:idx val="3"/>
          <c:order val="2"/>
          <c:tx>
            <c:strRef>
              <c:f>Sheet1!$D$1</c:f>
              <c:strCache>
                <c:ptCount val="1"/>
                <c:pt idx="0">
                  <c:v>Ռուսական ռուբլի</c:v>
                </c:pt>
              </c:strCache>
            </c:strRef>
          </c:tx>
          <c:spPr>
            <a:ln w="28575" cap="rnd">
              <a:solidFill>
                <a:srgbClr val="C00000"/>
              </a:solidFill>
              <a:round/>
            </a:ln>
            <a:effectLst/>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Sheet1!$D$2:$D$668</c:f>
              <c:numCache>
                <c:formatCode>0</c:formatCode>
                <c:ptCount val="667"/>
                <c:pt idx="0">
                  <c:v>100</c:v>
                </c:pt>
                <c:pt idx="1">
                  <c:v>100</c:v>
                </c:pt>
                <c:pt idx="2">
                  <c:v>100</c:v>
                </c:pt>
                <c:pt idx="3">
                  <c:v>100</c:v>
                </c:pt>
                <c:pt idx="4">
                  <c:v>100</c:v>
                </c:pt>
                <c:pt idx="5">
                  <c:v>100</c:v>
                </c:pt>
                <c:pt idx="6">
                  <c:v>99</c:v>
                </c:pt>
                <c:pt idx="7">
                  <c:v>99</c:v>
                </c:pt>
                <c:pt idx="8">
                  <c:v>99</c:v>
                </c:pt>
                <c:pt idx="9">
                  <c:v>99</c:v>
                </c:pt>
                <c:pt idx="10">
                  <c:v>99</c:v>
                </c:pt>
                <c:pt idx="11">
                  <c:v>99</c:v>
                </c:pt>
                <c:pt idx="12">
                  <c:v>98</c:v>
                </c:pt>
                <c:pt idx="13">
                  <c:v>99</c:v>
                </c:pt>
                <c:pt idx="14">
                  <c:v>99</c:v>
                </c:pt>
                <c:pt idx="15">
                  <c:v>98</c:v>
                </c:pt>
                <c:pt idx="16">
                  <c:v>97</c:v>
                </c:pt>
                <c:pt idx="17">
                  <c:v>98</c:v>
                </c:pt>
                <c:pt idx="18">
                  <c:v>98</c:v>
                </c:pt>
                <c:pt idx="19">
                  <c:v>98</c:v>
                </c:pt>
                <c:pt idx="20">
                  <c:v>98</c:v>
                </c:pt>
                <c:pt idx="21">
                  <c:v>98</c:v>
                </c:pt>
                <c:pt idx="22">
                  <c:v>98</c:v>
                </c:pt>
                <c:pt idx="23">
                  <c:v>98</c:v>
                </c:pt>
                <c:pt idx="24">
                  <c:v>98</c:v>
                </c:pt>
                <c:pt idx="25">
                  <c:v>98</c:v>
                </c:pt>
                <c:pt idx="26">
                  <c:v>100</c:v>
                </c:pt>
                <c:pt idx="27">
                  <c:v>99</c:v>
                </c:pt>
                <c:pt idx="28">
                  <c:v>99</c:v>
                </c:pt>
                <c:pt idx="29">
                  <c:v>99</c:v>
                </c:pt>
                <c:pt idx="30">
                  <c:v>98</c:v>
                </c:pt>
                <c:pt idx="31">
                  <c:v>98</c:v>
                </c:pt>
                <c:pt idx="32">
                  <c:v>98</c:v>
                </c:pt>
                <c:pt idx="33">
                  <c:v>97</c:v>
                </c:pt>
                <c:pt idx="34">
                  <c:v>98</c:v>
                </c:pt>
                <c:pt idx="35">
                  <c:v>98</c:v>
                </c:pt>
                <c:pt idx="36">
                  <c:v>98</c:v>
                </c:pt>
                <c:pt idx="37">
                  <c:v>98</c:v>
                </c:pt>
                <c:pt idx="38">
                  <c:v>98</c:v>
                </c:pt>
                <c:pt idx="39">
                  <c:v>98</c:v>
                </c:pt>
                <c:pt idx="40">
                  <c:v>98</c:v>
                </c:pt>
                <c:pt idx="41">
                  <c:v>98</c:v>
                </c:pt>
                <c:pt idx="42">
                  <c:v>98</c:v>
                </c:pt>
                <c:pt idx="43">
                  <c:v>98</c:v>
                </c:pt>
                <c:pt idx="44">
                  <c:v>98</c:v>
                </c:pt>
                <c:pt idx="45">
                  <c:v>98</c:v>
                </c:pt>
                <c:pt idx="46">
                  <c:v>97</c:v>
                </c:pt>
                <c:pt idx="47">
                  <c:v>96</c:v>
                </c:pt>
                <c:pt idx="48">
                  <c:v>96</c:v>
                </c:pt>
                <c:pt idx="49">
                  <c:v>96</c:v>
                </c:pt>
                <c:pt idx="50">
                  <c:v>95</c:v>
                </c:pt>
                <c:pt idx="51">
                  <c:v>96</c:v>
                </c:pt>
                <c:pt idx="52">
                  <c:v>96</c:v>
                </c:pt>
                <c:pt idx="53">
                  <c:v>96</c:v>
                </c:pt>
                <c:pt idx="54">
                  <c:v>97</c:v>
                </c:pt>
                <c:pt idx="55">
                  <c:v>97</c:v>
                </c:pt>
                <c:pt idx="56">
                  <c:v>96</c:v>
                </c:pt>
                <c:pt idx="57">
                  <c:v>97</c:v>
                </c:pt>
                <c:pt idx="58">
                  <c:v>98</c:v>
                </c:pt>
                <c:pt idx="59">
                  <c:v>97</c:v>
                </c:pt>
                <c:pt idx="60">
                  <c:v>97</c:v>
                </c:pt>
                <c:pt idx="61">
                  <c:v>98</c:v>
                </c:pt>
                <c:pt idx="62">
                  <c:v>98</c:v>
                </c:pt>
                <c:pt idx="63">
                  <c:v>96</c:v>
                </c:pt>
                <c:pt idx="64">
                  <c:v>96</c:v>
                </c:pt>
                <c:pt idx="65">
                  <c:v>96</c:v>
                </c:pt>
                <c:pt idx="66">
                  <c:v>96</c:v>
                </c:pt>
                <c:pt idx="67">
                  <c:v>96</c:v>
                </c:pt>
                <c:pt idx="68">
                  <c:v>96</c:v>
                </c:pt>
                <c:pt idx="69">
                  <c:v>95</c:v>
                </c:pt>
                <c:pt idx="70">
                  <c:v>95</c:v>
                </c:pt>
                <c:pt idx="71">
                  <c:v>95</c:v>
                </c:pt>
                <c:pt idx="72">
                  <c:v>95</c:v>
                </c:pt>
                <c:pt idx="73">
                  <c:v>95</c:v>
                </c:pt>
                <c:pt idx="74">
                  <c:v>97</c:v>
                </c:pt>
                <c:pt idx="75">
                  <c:v>97</c:v>
                </c:pt>
                <c:pt idx="76">
                  <c:v>96</c:v>
                </c:pt>
                <c:pt idx="77">
                  <c:v>96</c:v>
                </c:pt>
                <c:pt idx="78">
                  <c:v>97</c:v>
                </c:pt>
                <c:pt idx="79">
                  <c:v>97</c:v>
                </c:pt>
                <c:pt idx="80">
                  <c:v>97</c:v>
                </c:pt>
                <c:pt idx="81">
                  <c:v>97</c:v>
                </c:pt>
                <c:pt idx="82">
                  <c:v>97</c:v>
                </c:pt>
                <c:pt idx="83">
                  <c:v>97</c:v>
                </c:pt>
                <c:pt idx="84">
                  <c:v>97</c:v>
                </c:pt>
                <c:pt idx="85">
                  <c:v>97</c:v>
                </c:pt>
                <c:pt idx="86">
                  <c:v>97</c:v>
                </c:pt>
                <c:pt idx="87">
                  <c:v>96</c:v>
                </c:pt>
                <c:pt idx="88">
                  <c:v>96</c:v>
                </c:pt>
                <c:pt idx="89">
                  <c:v>96</c:v>
                </c:pt>
                <c:pt idx="90">
                  <c:v>96</c:v>
                </c:pt>
                <c:pt idx="91">
                  <c:v>96</c:v>
                </c:pt>
                <c:pt idx="92">
                  <c:v>96</c:v>
                </c:pt>
                <c:pt idx="93">
                  <c:v>96</c:v>
                </c:pt>
                <c:pt idx="94">
                  <c:v>96</c:v>
                </c:pt>
                <c:pt idx="95">
                  <c:v>97</c:v>
                </c:pt>
                <c:pt idx="96">
                  <c:v>97</c:v>
                </c:pt>
                <c:pt idx="97">
                  <c:v>98</c:v>
                </c:pt>
                <c:pt idx="98">
                  <c:v>97</c:v>
                </c:pt>
                <c:pt idx="99">
                  <c:v>97</c:v>
                </c:pt>
                <c:pt idx="100">
                  <c:v>97</c:v>
                </c:pt>
                <c:pt idx="101">
                  <c:v>97</c:v>
                </c:pt>
                <c:pt idx="102">
                  <c:v>97</c:v>
                </c:pt>
                <c:pt idx="103">
                  <c:v>96</c:v>
                </c:pt>
                <c:pt idx="104">
                  <c:v>96</c:v>
                </c:pt>
                <c:pt idx="105">
                  <c:v>96</c:v>
                </c:pt>
                <c:pt idx="106">
                  <c:v>96</c:v>
                </c:pt>
                <c:pt idx="107">
                  <c:v>96</c:v>
                </c:pt>
                <c:pt idx="108">
                  <c:v>96</c:v>
                </c:pt>
                <c:pt idx="109">
                  <c:v>96</c:v>
                </c:pt>
                <c:pt idx="110">
                  <c:v>95</c:v>
                </c:pt>
                <c:pt idx="111">
                  <c:v>94</c:v>
                </c:pt>
                <c:pt idx="112">
                  <c:v>94</c:v>
                </c:pt>
                <c:pt idx="113">
                  <c:v>94</c:v>
                </c:pt>
                <c:pt idx="114">
                  <c:v>93</c:v>
                </c:pt>
                <c:pt idx="115">
                  <c:v>94</c:v>
                </c:pt>
                <c:pt idx="116">
                  <c:v>94</c:v>
                </c:pt>
                <c:pt idx="117">
                  <c:v>94</c:v>
                </c:pt>
                <c:pt idx="118">
                  <c:v>94</c:v>
                </c:pt>
                <c:pt idx="119">
                  <c:v>94</c:v>
                </c:pt>
                <c:pt idx="120">
                  <c:v>95</c:v>
                </c:pt>
                <c:pt idx="121">
                  <c:v>95</c:v>
                </c:pt>
                <c:pt idx="122">
                  <c:v>95</c:v>
                </c:pt>
                <c:pt idx="123">
                  <c:v>95</c:v>
                </c:pt>
                <c:pt idx="124">
                  <c:v>95</c:v>
                </c:pt>
                <c:pt idx="125">
                  <c:v>94</c:v>
                </c:pt>
                <c:pt idx="126">
                  <c:v>94</c:v>
                </c:pt>
                <c:pt idx="127">
                  <c:v>93</c:v>
                </c:pt>
                <c:pt idx="128">
                  <c:v>94</c:v>
                </c:pt>
                <c:pt idx="129">
                  <c:v>94</c:v>
                </c:pt>
                <c:pt idx="130">
                  <c:v>94</c:v>
                </c:pt>
                <c:pt idx="131">
                  <c:v>94</c:v>
                </c:pt>
                <c:pt idx="132">
                  <c:v>94</c:v>
                </c:pt>
                <c:pt idx="133">
                  <c:v>94</c:v>
                </c:pt>
                <c:pt idx="134">
                  <c:v>94</c:v>
                </c:pt>
                <c:pt idx="135">
                  <c:v>94</c:v>
                </c:pt>
                <c:pt idx="136">
                  <c:v>94</c:v>
                </c:pt>
                <c:pt idx="137">
                  <c:v>95</c:v>
                </c:pt>
                <c:pt idx="138">
                  <c:v>94</c:v>
                </c:pt>
                <c:pt idx="139">
                  <c:v>95</c:v>
                </c:pt>
                <c:pt idx="140">
                  <c:v>95</c:v>
                </c:pt>
                <c:pt idx="141">
                  <c:v>97</c:v>
                </c:pt>
                <c:pt idx="142">
                  <c:v>97</c:v>
                </c:pt>
                <c:pt idx="143">
                  <c:v>97</c:v>
                </c:pt>
                <c:pt idx="144">
                  <c:v>97</c:v>
                </c:pt>
                <c:pt idx="145">
                  <c:v>97</c:v>
                </c:pt>
                <c:pt idx="146">
                  <c:v>98</c:v>
                </c:pt>
                <c:pt idx="147">
                  <c:v>98</c:v>
                </c:pt>
                <c:pt idx="148">
                  <c:v>98</c:v>
                </c:pt>
                <c:pt idx="149">
                  <c:v>97</c:v>
                </c:pt>
                <c:pt idx="150">
                  <c:v>99</c:v>
                </c:pt>
                <c:pt idx="151">
                  <c:v>98</c:v>
                </c:pt>
                <c:pt idx="152">
                  <c:v>100</c:v>
                </c:pt>
                <c:pt idx="153">
                  <c:v>99</c:v>
                </c:pt>
                <c:pt idx="154">
                  <c:v>99</c:v>
                </c:pt>
                <c:pt idx="155">
                  <c:v>98</c:v>
                </c:pt>
                <c:pt idx="156">
                  <c:v>98</c:v>
                </c:pt>
                <c:pt idx="157">
                  <c:v>98</c:v>
                </c:pt>
                <c:pt idx="158">
                  <c:v>99</c:v>
                </c:pt>
                <c:pt idx="159">
                  <c:v>99</c:v>
                </c:pt>
                <c:pt idx="160">
                  <c:v>99</c:v>
                </c:pt>
                <c:pt idx="161">
                  <c:v>99</c:v>
                </c:pt>
                <c:pt idx="162">
                  <c:v>99</c:v>
                </c:pt>
                <c:pt idx="163">
                  <c:v>100</c:v>
                </c:pt>
                <c:pt idx="164">
                  <c:v>99</c:v>
                </c:pt>
                <c:pt idx="165">
                  <c:v>98</c:v>
                </c:pt>
                <c:pt idx="166">
                  <c:v>98</c:v>
                </c:pt>
                <c:pt idx="167">
                  <c:v>98</c:v>
                </c:pt>
                <c:pt idx="168">
                  <c:v>98</c:v>
                </c:pt>
                <c:pt idx="169">
                  <c:v>98</c:v>
                </c:pt>
                <c:pt idx="170">
                  <c:v>97</c:v>
                </c:pt>
                <c:pt idx="171">
                  <c:v>96</c:v>
                </c:pt>
                <c:pt idx="172">
                  <c:v>96</c:v>
                </c:pt>
                <c:pt idx="173">
                  <c:v>96</c:v>
                </c:pt>
                <c:pt idx="174">
                  <c:v>96</c:v>
                </c:pt>
                <c:pt idx="175">
                  <c:v>96</c:v>
                </c:pt>
                <c:pt idx="176">
                  <c:v>95</c:v>
                </c:pt>
                <c:pt idx="177">
                  <c:v>95</c:v>
                </c:pt>
                <c:pt idx="178">
                  <c:v>95</c:v>
                </c:pt>
                <c:pt idx="179">
                  <c:v>96</c:v>
                </c:pt>
                <c:pt idx="180">
                  <c:v>96</c:v>
                </c:pt>
                <c:pt idx="181">
                  <c:v>96</c:v>
                </c:pt>
                <c:pt idx="182">
                  <c:v>97</c:v>
                </c:pt>
                <c:pt idx="183">
                  <c:v>97</c:v>
                </c:pt>
                <c:pt idx="184">
                  <c:v>97</c:v>
                </c:pt>
                <c:pt idx="185">
                  <c:v>97</c:v>
                </c:pt>
                <c:pt idx="186">
                  <c:v>97</c:v>
                </c:pt>
                <c:pt idx="187">
                  <c:v>97</c:v>
                </c:pt>
                <c:pt idx="188">
                  <c:v>97</c:v>
                </c:pt>
                <c:pt idx="189">
                  <c:v>97</c:v>
                </c:pt>
                <c:pt idx="190">
                  <c:v>97</c:v>
                </c:pt>
                <c:pt idx="191">
                  <c:v>96</c:v>
                </c:pt>
                <c:pt idx="192">
                  <c:v>96</c:v>
                </c:pt>
                <c:pt idx="193">
                  <c:v>96</c:v>
                </c:pt>
                <c:pt idx="194">
                  <c:v>96</c:v>
                </c:pt>
                <c:pt idx="195">
                  <c:v>95</c:v>
                </c:pt>
                <c:pt idx="196">
                  <c:v>95</c:v>
                </c:pt>
                <c:pt idx="197">
                  <c:v>95</c:v>
                </c:pt>
                <c:pt idx="198">
                  <c:v>95</c:v>
                </c:pt>
                <c:pt idx="199">
                  <c:v>95</c:v>
                </c:pt>
                <c:pt idx="200">
                  <c:v>95</c:v>
                </c:pt>
                <c:pt idx="201">
                  <c:v>95</c:v>
                </c:pt>
                <c:pt idx="202">
                  <c:v>95</c:v>
                </c:pt>
                <c:pt idx="203">
                  <c:v>95</c:v>
                </c:pt>
                <c:pt idx="204">
                  <c:v>95</c:v>
                </c:pt>
                <c:pt idx="205">
                  <c:v>95</c:v>
                </c:pt>
                <c:pt idx="206">
                  <c:v>95</c:v>
                </c:pt>
                <c:pt idx="207">
                  <c:v>95</c:v>
                </c:pt>
                <c:pt idx="208">
                  <c:v>94</c:v>
                </c:pt>
                <c:pt idx="209">
                  <c:v>95</c:v>
                </c:pt>
                <c:pt idx="210">
                  <c:v>95</c:v>
                </c:pt>
                <c:pt idx="211">
                  <c:v>95</c:v>
                </c:pt>
                <c:pt idx="212">
                  <c:v>95</c:v>
                </c:pt>
                <c:pt idx="213">
                  <c:v>95</c:v>
                </c:pt>
                <c:pt idx="214">
                  <c:v>96</c:v>
                </c:pt>
                <c:pt idx="215">
                  <c:v>96</c:v>
                </c:pt>
                <c:pt idx="216">
                  <c:v>95</c:v>
                </c:pt>
                <c:pt idx="217">
                  <c:v>95</c:v>
                </c:pt>
                <c:pt idx="218">
                  <c:v>95</c:v>
                </c:pt>
                <c:pt idx="219">
                  <c:v>95</c:v>
                </c:pt>
                <c:pt idx="220">
                  <c:v>95</c:v>
                </c:pt>
                <c:pt idx="221">
                  <c:v>95</c:v>
                </c:pt>
                <c:pt idx="222">
                  <c:v>95</c:v>
                </c:pt>
                <c:pt idx="223">
                  <c:v>95</c:v>
                </c:pt>
                <c:pt idx="224">
                  <c:v>95</c:v>
                </c:pt>
                <c:pt idx="225">
                  <c:v>95</c:v>
                </c:pt>
                <c:pt idx="226">
                  <c:v>95</c:v>
                </c:pt>
                <c:pt idx="227">
                  <c:v>96</c:v>
                </c:pt>
                <c:pt idx="228">
                  <c:v>96</c:v>
                </c:pt>
                <c:pt idx="229">
                  <c:v>95</c:v>
                </c:pt>
                <c:pt idx="230">
                  <c:v>95</c:v>
                </c:pt>
                <c:pt idx="231">
                  <c:v>95</c:v>
                </c:pt>
                <c:pt idx="232">
                  <c:v>95</c:v>
                </c:pt>
                <c:pt idx="233">
                  <c:v>95</c:v>
                </c:pt>
                <c:pt idx="234">
                  <c:v>95</c:v>
                </c:pt>
                <c:pt idx="235">
                  <c:v>94</c:v>
                </c:pt>
                <c:pt idx="236">
                  <c:v>93</c:v>
                </c:pt>
                <c:pt idx="237">
                  <c:v>94</c:v>
                </c:pt>
                <c:pt idx="238">
                  <c:v>93</c:v>
                </c:pt>
                <c:pt idx="239">
                  <c:v>93</c:v>
                </c:pt>
                <c:pt idx="240">
                  <c:v>93</c:v>
                </c:pt>
                <c:pt idx="241">
                  <c:v>93</c:v>
                </c:pt>
                <c:pt idx="242">
                  <c:v>93</c:v>
                </c:pt>
                <c:pt idx="243">
                  <c:v>93</c:v>
                </c:pt>
                <c:pt idx="244">
                  <c:v>92</c:v>
                </c:pt>
                <c:pt idx="245">
                  <c:v>92</c:v>
                </c:pt>
                <c:pt idx="246">
                  <c:v>92</c:v>
                </c:pt>
                <c:pt idx="247">
                  <c:v>92</c:v>
                </c:pt>
                <c:pt idx="248">
                  <c:v>91</c:v>
                </c:pt>
                <c:pt idx="249">
                  <c:v>91</c:v>
                </c:pt>
                <c:pt idx="250">
                  <c:v>91</c:v>
                </c:pt>
                <c:pt idx="251">
                  <c:v>91</c:v>
                </c:pt>
                <c:pt idx="252">
                  <c:v>92</c:v>
                </c:pt>
                <c:pt idx="253">
                  <c:v>92</c:v>
                </c:pt>
                <c:pt idx="254">
                  <c:v>92</c:v>
                </c:pt>
                <c:pt idx="255">
                  <c:v>92</c:v>
                </c:pt>
                <c:pt idx="256">
                  <c:v>92</c:v>
                </c:pt>
                <c:pt idx="257">
                  <c:v>92</c:v>
                </c:pt>
                <c:pt idx="258">
                  <c:v>92</c:v>
                </c:pt>
                <c:pt idx="259">
                  <c:v>92</c:v>
                </c:pt>
                <c:pt idx="260">
                  <c:v>93</c:v>
                </c:pt>
                <c:pt idx="261">
                  <c:v>94</c:v>
                </c:pt>
                <c:pt idx="262">
                  <c:v>94</c:v>
                </c:pt>
                <c:pt idx="263">
                  <c:v>95</c:v>
                </c:pt>
                <c:pt idx="264">
                  <c:v>94</c:v>
                </c:pt>
                <c:pt idx="265">
                  <c:v>93</c:v>
                </c:pt>
                <c:pt idx="266">
                  <c:v>94</c:v>
                </c:pt>
                <c:pt idx="267">
                  <c:v>95</c:v>
                </c:pt>
                <c:pt idx="268">
                  <c:v>95</c:v>
                </c:pt>
                <c:pt idx="269">
                  <c:v>95</c:v>
                </c:pt>
                <c:pt idx="270">
                  <c:v>94</c:v>
                </c:pt>
                <c:pt idx="271">
                  <c:v>95</c:v>
                </c:pt>
                <c:pt idx="272">
                  <c:v>95</c:v>
                </c:pt>
                <c:pt idx="273">
                  <c:v>94</c:v>
                </c:pt>
                <c:pt idx="274">
                  <c:v>95</c:v>
                </c:pt>
                <c:pt idx="275">
                  <c:v>95</c:v>
                </c:pt>
                <c:pt idx="276">
                  <c:v>95</c:v>
                </c:pt>
                <c:pt idx="277">
                  <c:v>96</c:v>
                </c:pt>
                <c:pt idx="278">
                  <c:v>96</c:v>
                </c:pt>
                <c:pt idx="279">
                  <c:v>98</c:v>
                </c:pt>
                <c:pt idx="280">
                  <c:v>98</c:v>
                </c:pt>
                <c:pt idx="281">
                  <c:v>98</c:v>
                </c:pt>
                <c:pt idx="282">
                  <c:v>101</c:v>
                </c:pt>
                <c:pt idx="283">
                  <c:v>99</c:v>
                </c:pt>
                <c:pt idx="284">
                  <c:v>99</c:v>
                </c:pt>
                <c:pt idx="285">
                  <c:v>98</c:v>
                </c:pt>
                <c:pt idx="286">
                  <c:v>99</c:v>
                </c:pt>
                <c:pt idx="287">
                  <c:v>102</c:v>
                </c:pt>
                <c:pt idx="288">
                  <c:v>110</c:v>
                </c:pt>
                <c:pt idx="289">
                  <c:v>107</c:v>
                </c:pt>
                <c:pt idx="290">
                  <c:v>107</c:v>
                </c:pt>
                <c:pt idx="291">
                  <c:v>111</c:v>
                </c:pt>
                <c:pt idx="292">
                  <c:v>108</c:v>
                </c:pt>
                <c:pt idx="293">
                  <c:v>111</c:v>
                </c:pt>
                <c:pt idx="294">
                  <c:v>112</c:v>
                </c:pt>
                <c:pt idx="295">
                  <c:v>116</c:v>
                </c:pt>
                <c:pt idx="296">
                  <c:v>119</c:v>
                </c:pt>
                <c:pt idx="297">
                  <c:v>116</c:v>
                </c:pt>
                <c:pt idx="298">
                  <c:v>120</c:v>
                </c:pt>
                <c:pt idx="299">
                  <c:v>117</c:v>
                </c:pt>
                <c:pt idx="300">
                  <c:v>116</c:v>
                </c:pt>
                <c:pt idx="301">
                  <c:v>117</c:v>
                </c:pt>
                <c:pt idx="302">
                  <c:v>116</c:v>
                </c:pt>
                <c:pt idx="303">
                  <c:v>118</c:v>
                </c:pt>
                <c:pt idx="304">
                  <c:v>116</c:v>
                </c:pt>
                <c:pt idx="305">
                  <c:v>118</c:v>
                </c:pt>
                <c:pt idx="306">
                  <c:v>117</c:v>
                </c:pt>
                <c:pt idx="307">
                  <c:v>114</c:v>
                </c:pt>
                <c:pt idx="308">
                  <c:v>114</c:v>
                </c:pt>
                <c:pt idx="309">
                  <c:v>112</c:v>
                </c:pt>
                <c:pt idx="310">
                  <c:v>113</c:v>
                </c:pt>
                <c:pt idx="311">
                  <c:v>110</c:v>
                </c:pt>
                <c:pt idx="312">
                  <c:v>110</c:v>
                </c:pt>
                <c:pt idx="313">
                  <c:v>109</c:v>
                </c:pt>
                <c:pt idx="314">
                  <c:v>110</c:v>
                </c:pt>
                <c:pt idx="315">
                  <c:v>110</c:v>
                </c:pt>
                <c:pt idx="316">
                  <c:v>111</c:v>
                </c:pt>
                <c:pt idx="317">
                  <c:v>111</c:v>
                </c:pt>
                <c:pt idx="318">
                  <c:v>114</c:v>
                </c:pt>
                <c:pt idx="319">
                  <c:v>114</c:v>
                </c:pt>
                <c:pt idx="320">
                  <c:v>112</c:v>
                </c:pt>
                <c:pt idx="321">
                  <c:v>111</c:v>
                </c:pt>
                <c:pt idx="322">
                  <c:v>110</c:v>
                </c:pt>
                <c:pt idx="323">
                  <c:v>110</c:v>
                </c:pt>
                <c:pt idx="324">
                  <c:v>109</c:v>
                </c:pt>
                <c:pt idx="325">
                  <c:v>112</c:v>
                </c:pt>
                <c:pt idx="326">
                  <c:v>110</c:v>
                </c:pt>
                <c:pt idx="327">
                  <c:v>111</c:v>
                </c:pt>
                <c:pt idx="328">
                  <c:v>110</c:v>
                </c:pt>
                <c:pt idx="329">
                  <c:v>110</c:v>
                </c:pt>
                <c:pt idx="330">
                  <c:v>110</c:v>
                </c:pt>
                <c:pt idx="331">
                  <c:v>110</c:v>
                </c:pt>
                <c:pt idx="332">
                  <c:v>109</c:v>
                </c:pt>
                <c:pt idx="333">
                  <c:v>110</c:v>
                </c:pt>
                <c:pt idx="334">
                  <c:v>109</c:v>
                </c:pt>
                <c:pt idx="335">
                  <c:v>109</c:v>
                </c:pt>
                <c:pt idx="336">
                  <c:v>108</c:v>
                </c:pt>
                <c:pt idx="337">
                  <c:v>107</c:v>
                </c:pt>
                <c:pt idx="338">
                  <c:v>106</c:v>
                </c:pt>
                <c:pt idx="339">
                  <c:v>107</c:v>
                </c:pt>
                <c:pt idx="340">
                  <c:v>107</c:v>
                </c:pt>
                <c:pt idx="341">
                  <c:v>106</c:v>
                </c:pt>
                <c:pt idx="342">
                  <c:v>106</c:v>
                </c:pt>
                <c:pt idx="343">
                  <c:v>104</c:v>
                </c:pt>
                <c:pt idx="344">
                  <c:v>102</c:v>
                </c:pt>
                <c:pt idx="345">
                  <c:v>102</c:v>
                </c:pt>
                <c:pt idx="346">
                  <c:v>103</c:v>
                </c:pt>
                <c:pt idx="347">
                  <c:v>102</c:v>
                </c:pt>
                <c:pt idx="348">
                  <c:v>102</c:v>
                </c:pt>
                <c:pt idx="349">
                  <c:v>103</c:v>
                </c:pt>
                <c:pt idx="350">
                  <c:v>103</c:v>
                </c:pt>
                <c:pt idx="351">
                  <c:v>103</c:v>
                </c:pt>
                <c:pt idx="352">
                  <c:v>104</c:v>
                </c:pt>
                <c:pt idx="353">
                  <c:v>105</c:v>
                </c:pt>
                <c:pt idx="354">
                  <c:v>104</c:v>
                </c:pt>
                <c:pt idx="355">
                  <c:v>104</c:v>
                </c:pt>
                <c:pt idx="356">
                  <c:v>103</c:v>
                </c:pt>
                <c:pt idx="357">
                  <c:v>103</c:v>
                </c:pt>
                <c:pt idx="358">
                  <c:v>103</c:v>
                </c:pt>
                <c:pt idx="359">
                  <c:v>103</c:v>
                </c:pt>
                <c:pt idx="360">
                  <c:v>103</c:v>
                </c:pt>
                <c:pt idx="361">
                  <c:v>103</c:v>
                </c:pt>
                <c:pt idx="362">
                  <c:v>103</c:v>
                </c:pt>
                <c:pt idx="363">
                  <c:v>104</c:v>
                </c:pt>
                <c:pt idx="364">
                  <c:v>106</c:v>
                </c:pt>
                <c:pt idx="365">
                  <c:v>106</c:v>
                </c:pt>
                <c:pt idx="366">
                  <c:v>105</c:v>
                </c:pt>
                <c:pt idx="367">
                  <c:v>106</c:v>
                </c:pt>
                <c:pt idx="368">
                  <c:v>107</c:v>
                </c:pt>
                <c:pt idx="369">
                  <c:v>108</c:v>
                </c:pt>
                <c:pt idx="370">
                  <c:v>106</c:v>
                </c:pt>
                <c:pt idx="371">
                  <c:v>106</c:v>
                </c:pt>
                <c:pt idx="372">
                  <c:v>106</c:v>
                </c:pt>
                <c:pt idx="373">
                  <c:v>106</c:v>
                </c:pt>
                <c:pt idx="374">
                  <c:v>106</c:v>
                </c:pt>
                <c:pt idx="375">
                  <c:v>106</c:v>
                </c:pt>
                <c:pt idx="376">
                  <c:v>106</c:v>
                </c:pt>
                <c:pt idx="377">
                  <c:v>107</c:v>
                </c:pt>
                <c:pt idx="378">
                  <c:v>107</c:v>
                </c:pt>
                <c:pt idx="379">
                  <c:v>106</c:v>
                </c:pt>
                <c:pt idx="380">
                  <c:v>106</c:v>
                </c:pt>
                <c:pt idx="381">
                  <c:v>106</c:v>
                </c:pt>
                <c:pt idx="382">
                  <c:v>106</c:v>
                </c:pt>
                <c:pt idx="383">
                  <c:v>107</c:v>
                </c:pt>
                <c:pt idx="384">
                  <c:v>108</c:v>
                </c:pt>
                <c:pt idx="385">
                  <c:v>108</c:v>
                </c:pt>
                <c:pt idx="386">
                  <c:v>110</c:v>
                </c:pt>
                <c:pt idx="387">
                  <c:v>110</c:v>
                </c:pt>
                <c:pt idx="388">
                  <c:v>110</c:v>
                </c:pt>
                <c:pt idx="389">
                  <c:v>110</c:v>
                </c:pt>
                <c:pt idx="390">
                  <c:v>109</c:v>
                </c:pt>
                <c:pt idx="391">
                  <c:v>109</c:v>
                </c:pt>
                <c:pt idx="392">
                  <c:v>110</c:v>
                </c:pt>
                <c:pt idx="393">
                  <c:v>110</c:v>
                </c:pt>
                <c:pt idx="394">
                  <c:v>109</c:v>
                </c:pt>
                <c:pt idx="395">
                  <c:v>109</c:v>
                </c:pt>
                <c:pt idx="396">
                  <c:v>110</c:v>
                </c:pt>
                <c:pt idx="397">
                  <c:v>109</c:v>
                </c:pt>
                <c:pt idx="398">
                  <c:v>109</c:v>
                </c:pt>
                <c:pt idx="399">
                  <c:v>109</c:v>
                </c:pt>
                <c:pt idx="400">
                  <c:v>109</c:v>
                </c:pt>
                <c:pt idx="401">
                  <c:v>110</c:v>
                </c:pt>
                <c:pt idx="402">
                  <c:v>111</c:v>
                </c:pt>
                <c:pt idx="403">
                  <c:v>111</c:v>
                </c:pt>
                <c:pt idx="404">
                  <c:v>111</c:v>
                </c:pt>
                <c:pt idx="405">
                  <c:v>113</c:v>
                </c:pt>
                <c:pt idx="406">
                  <c:v>112</c:v>
                </c:pt>
                <c:pt idx="407">
                  <c:v>111</c:v>
                </c:pt>
                <c:pt idx="408">
                  <c:v>110</c:v>
                </c:pt>
                <c:pt idx="409">
                  <c:v>110</c:v>
                </c:pt>
                <c:pt idx="410">
                  <c:v>110</c:v>
                </c:pt>
                <c:pt idx="411">
                  <c:v>112</c:v>
                </c:pt>
                <c:pt idx="412">
                  <c:v>112</c:v>
                </c:pt>
                <c:pt idx="413">
                  <c:v>113</c:v>
                </c:pt>
                <c:pt idx="414">
                  <c:v>114</c:v>
                </c:pt>
                <c:pt idx="415">
                  <c:v>113</c:v>
                </c:pt>
                <c:pt idx="416">
                  <c:v>112</c:v>
                </c:pt>
                <c:pt idx="417">
                  <c:v>112</c:v>
                </c:pt>
                <c:pt idx="418">
                  <c:v>112</c:v>
                </c:pt>
                <c:pt idx="419">
                  <c:v>112</c:v>
                </c:pt>
                <c:pt idx="420">
                  <c:v>111</c:v>
                </c:pt>
                <c:pt idx="421">
                  <c:v>112</c:v>
                </c:pt>
                <c:pt idx="422">
                  <c:v>112</c:v>
                </c:pt>
                <c:pt idx="423">
                  <c:v>113</c:v>
                </c:pt>
                <c:pt idx="424">
                  <c:v>114</c:v>
                </c:pt>
                <c:pt idx="425">
                  <c:v>115</c:v>
                </c:pt>
                <c:pt idx="426">
                  <c:v>115</c:v>
                </c:pt>
                <c:pt idx="427">
                  <c:v>118</c:v>
                </c:pt>
                <c:pt idx="428">
                  <c:v>118</c:v>
                </c:pt>
                <c:pt idx="429">
                  <c:v>117</c:v>
                </c:pt>
                <c:pt idx="430">
                  <c:v>115</c:v>
                </c:pt>
                <c:pt idx="431">
                  <c:v>117</c:v>
                </c:pt>
                <c:pt idx="432">
                  <c:v>117</c:v>
                </c:pt>
                <c:pt idx="433">
                  <c:v>117</c:v>
                </c:pt>
                <c:pt idx="434">
                  <c:v>117</c:v>
                </c:pt>
                <c:pt idx="435">
                  <c:v>116</c:v>
                </c:pt>
                <c:pt idx="436">
                  <c:v>115</c:v>
                </c:pt>
                <c:pt idx="437">
                  <c:v>115</c:v>
                </c:pt>
                <c:pt idx="438">
                  <c:v>115</c:v>
                </c:pt>
                <c:pt idx="439">
                  <c:v>115</c:v>
                </c:pt>
                <c:pt idx="440">
                  <c:v>116</c:v>
                </c:pt>
                <c:pt idx="441">
                  <c:v>117</c:v>
                </c:pt>
                <c:pt idx="442">
                  <c:v>116</c:v>
                </c:pt>
                <c:pt idx="443">
                  <c:v>116</c:v>
                </c:pt>
                <c:pt idx="444">
                  <c:v>115</c:v>
                </c:pt>
                <c:pt idx="445">
                  <c:v>115</c:v>
                </c:pt>
                <c:pt idx="446">
                  <c:v>114</c:v>
                </c:pt>
                <c:pt idx="447">
                  <c:v>114</c:v>
                </c:pt>
                <c:pt idx="448">
                  <c:v>114</c:v>
                </c:pt>
                <c:pt idx="449">
                  <c:v>116</c:v>
                </c:pt>
                <c:pt idx="450">
                  <c:v>118</c:v>
                </c:pt>
                <c:pt idx="451">
                  <c:v>118</c:v>
                </c:pt>
                <c:pt idx="452">
                  <c:v>120</c:v>
                </c:pt>
                <c:pt idx="453">
                  <c:v>119</c:v>
                </c:pt>
                <c:pt idx="454">
                  <c:v>118</c:v>
                </c:pt>
                <c:pt idx="455">
                  <c:v>116</c:v>
                </c:pt>
                <c:pt idx="456">
                  <c:v>116</c:v>
                </c:pt>
                <c:pt idx="457">
                  <c:v>115</c:v>
                </c:pt>
                <c:pt idx="458">
                  <c:v>114</c:v>
                </c:pt>
                <c:pt idx="459">
                  <c:v>113</c:v>
                </c:pt>
                <c:pt idx="460">
                  <c:v>115</c:v>
                </c:pt>
                <c:pt idx="461">
                  <c:v>115</c:v>
                </c:pt>
                <c:pt idx="462">
                  <c:v>115</c:v>
                </c:pt>
                <c:pt idx="463">
                  <c:v>114</c:v>
                </c:pt>
                <c:pt idx="464">
                  <c:v>113</c:v>
                </c:pt>
                <c:pt idx="465">
                  <c:v>114</c:v>
                </c:pt>
                <c:pt idx="466">
                  <c:v>114</c:v>
                </c:pt>
                <c:pt idx="467">
                  <c:v>113</c:v>
                </c:pt>
                <c:pt idx="468">
                  <c:v>113</c:v>
                </c:pt>
                <c:pt idx="469">
                  <c:v>112</c:v>
                </c:pt>
                <c:pt idx="470">
                  <c:v>113</c:v>
                </c:pt>
                <c:pt idx="471">
                  <c:v>113</c:v>
                </c:pt>
                <c:pt idx="472">
                  <c:v>114</c:v>
                </c:pt>
                <c:pt idx="473">
                  <c:v>113</c:v>
                </c:pt>
                <c:pt idx="474">
                  <c:v>113</c:v>
                </c:pt>
                <c:pt idx="475">
                  <c:v>112</c:v>
                </c:pt>
                <c:pt idx="476">
                  <c:v>111</c:v>
                </c:pt>
                <c:pt idx="477">
                  <c:v>111</c:v>
                </c:pt>
                <c:pt idx="478">
                  <c:v>109</c:v>
                </c:pt>
                <c:pt idx="479">
                  <c:v>109</c:v>
                </c:pt>
                <c:pt idx="480">
                  <c:v>110</c:v>
                </c:pt>
                <c:pt idx="481">
                  <c:v>109</c:v>
                </c:pt>
                <c:pt idx="482">
                  <c:v>109</c:v>
                </c:pt>
                <c:pt idx="483">
                  <c:v>109</c:v>
                </c:pt>
                <c:pt idx="484">
                  <c:v>109</c:v>
                </c:pt>
                <c:pt idx="485">
                  <c:v>109</c:v>
                </c:pt>
                <c:pt idx="486">
                  <c:v>110</c:v>
                </c:pt>
                <c:pt idx="487">
                  <c:v>112</c:v>
                </c:pt>
                <c:pt idx="488">
                  <c:v>113</c:v>
                </c:pt>
                <c:pt idx="489">
                  <c:v>112</c:v>
                </c:pt>
                <c:pt idx="490">
                  <c:v>111</c:v>
                </c:pt>
                <c:pt idx="491">
                  <c:v>110</c:v>
                </c:pt>
                <c:pt idx="492">
                  <c:v>110</c:v>
                </c:pt>
                <c:pt idx="493">
                  <c:v>110</c:v>
                </c:pt>
                <c:pt idx="494">
                  <c:v>111</c:v>
                </c:pt>
                <c:pt idx="495">
                  <c:v>111</c:v>
                </c:pt>
                <c:pt idx="496">
                  <c:v>111</c:v>
                </c:pt>
                <c:pt idx="497">
                  <c:v>110</c:v>
                </c:pt>
                <c:pt idx="498">
                  <c:v>110</c:v>
                </c:pt>
                <c:pt idx="499">
                  <c:v>109</c:v>
                </c:pt>
                <c:pt idx="500">
                  <c:v>109</c:v>
                </c:pt>
                <c:pt idx="501">
                  <c:v>111</c:v>
                </c:pt>
                <c:pt idx="502">
                  <c:v>110</c:v>
                </c:pt>
                <c:pt idx="503">
                  <c:v>109</c:v>
                </c:pt>
                <c:pt idx="504">
                  <c:v>110</c:v>
                </c:pt>
                <c:pt idx="505">
                  <c:v>111</c:v>
                </c:pt>
                <c:pt idx="506">
                  <c:v>112</c:v>
                </c:pt>
                <c:pt idx="507">
                  <c:v>113</c:v>
                </c:pt>
                <c:pt idx="508">
                  <c:v>112</c:v>
                </c:pt>
                <c:pt idx="509">
                  <c:v>114</c:v>
                </c:pt>
                <c:pt idx="510">
                  <c:v>113</c:v>
                </c:pt>
                <c:pt idx="511">
                  <c:v>113</c:v>
                </c:pt>
                <c:pt idx="512">
                  <c:v>113</c:v>
                </c:pt>
                <c:pt idx="513">
                  <c:v>112</c:v>
                </c:pt>
                <c:pt idx="514">
                  <c:v>112</c:v>
                </c:pt>
                <c:pt idx="515">
                  <c:v>111</c:v>
                </c:pt>
                <c:pt idx="516">
                  <c:v>110</c:v>
                </c:pt>
                <c:pt idx="517">
                  <c:v>110</c:v>
                </c:pt>
                <c:pt idx="518">
                  <c:v>110</c:v>
                </c:pt>
                <c:pt idx="519">
                  <c:v>111</c:v>
                </c:pt>
                <c:pt idx="520">
                  <c:v>109</c:v>
                </c:pt>
                <c:pt idx="521">
                  <c:v>109</c:v>
                </c:pt>
                <c:pt idx="522">
                  <c:v>110</c:v>
                </c:pt>
                <c:pt idx="523">
                  <c:v>110</c:v>
                </c:pt>
                <c:pt idx="524">
                  <c:v>110</c:v>
                </c:pt>
                <c:pt idx="525">
                  <c:v>111</c:v>
                </c:pt>
                <c:pt idx="526">
                  <c:v>111</c:v>
                </c:pt>
                <c:pt idx="527">
                  <c:v>110</c:v>
                </c:pt>
                <c:pt idx="528">
                  <c:v>110</c:v>
                </c:pt>
                <c:pt idx="529">
                  <c:v>111</c:v>
                </c:pt>
                <c:pt idx="530">
                  <c:v>110</c:v>
                </c:pt>
                <c:pt idx="531">
                  <c:v>111</c:v>
                </c:pt>
                <c:pt idx="532">
                  <c:v>110</c:v>
                </c:pt>
                <c:pt idx="533">
                  <c:v>110</c:v>
                </c:pt>
                <c:pt idx="534">
                  <c:v>111</c:v>
                </c:pt>
                <c:pt idx="535">
                  <c:v>110</c:v>
                </c:pt>
                <c:pt idx="536">
                  <c:v>110</c:v>
                </c:pt>
                <c:pt idx="537">
                  <c:v>110</c:v>
                </c:pt>
                <c:pt idx="538">
                  <c:v>110</c:v>
                </c:pt>
                <c:pt idx="539">
                  <c:v>109</c:v>
                </c:pt>
                <c:pt idx="540">
                  <c:v>109</c:v>
                </c:pt>
                <c:pt idx="541">
                  <c:v>109</c:v>
                </c:pt>
                <c:pt idx="542">
                  <c:v>110</c:v>
                </c:pt>
                <c:pt idx="543">
                  <c:v>111</c:v>
                </c:pt>
                <c:pt idx="544">
                  <c:v>111</c:v>
                </c:pt>
                <c:pt idx="545">
                  <c:v>114</c:v>
                </c:pt>
                <c:pt idx="546">
                  <c:v>113</c:v>
                </c:pt>
                <c:pt idx="547">
                  <c:v>113</c:v>
                </c:pt>
                <c:pt idx="548">
                  <c:v>113</c:v>
                </c:pt>
                <c:pt idx="549">
                  <c:v>113</c:v>
                </c:pt>
                <c:pt idx="550">
                  <c:v>113</c:v>
                </c:pt>
                <c:pt idx="551">
                  <c:v>113</c:v>
                </c:pt>
                <c:pt idx="552">
                  <c:v>113</c:v>
                </c:pt>
                <c:pt idx="553">
                  <c:v>114</c:v>
                </c:pt>
                <c:pt idx="554">
                  <c:v>114</c:v>
                </c:pt>
                <c:pt idx="555">
                  <c:v>114</c:v>
                </c:pt>
                <c:pt idx="556">
                  <c:v>116</c:v>
                </c:pt>
                <c:pt idx="557">
                  <c:v>115</c:v>
                </c:pt>
                <c:pt idx="558">
                  <c:v>115</c:v>
                </c:pt>
                <c:pt idx="559">
                  <c:v>115</c:v>
                </c:pt>
                <c:pt idx="560">
                  <c:v>115</c:v>
                </c:pt>
                <c:pt idx="561">
                  <c:v>113</c:v>
                </c:pt>
                <c:pt idx="562">
                  <c:v>114</c:v>
                </c:pt>
                <c:pt idx="563">
                  <c:v>113</c:v>
                </c:pt>
                <c:pt idx="564">
                  <c:v>113</c:v>
                </c:pt>
                <c:pt idx="565">
                  <c:v>114</c:v>
                </c:pt>
                <c:pt idx="566">
                  <c:v>115</c:v>
                </c:pt>
                <c:pt idx="567">
                  <c:v>113</c:v>
                </c:pt>
                <c:pt idx="568">
                  <c:v>112</c:v>
                </c:pt>
                <c:pt idx="569">
                  <c:v>112</c:v>
                </c:pt>
                <c:pt idx="570">
                  <c:v>112</c:v>
                </c:pt>
                <c:pt idx="571">
                  <c:v>111</c:v>
                </c:pt>
                <c:pt idx="572">
                  <c:v>111</c:v>
                </c:pt>
                <c:pt idx="573">
                  <c:v>112</c:v>
                </c:pt>
                <c:pt idx="574">
                  <c:v>113</c:v>
                </c:pt>
                <c:pt idx="575">
                  <c:v>112</c:v>
                </c:pt>
                <c:pt idx="576">
                  <c:v>111</c:v>
                </c:pt>
                <c:pt idx="577">
                  <c:v>111</c:v>
                </c:pt>
                <c:pt idx="578">
                  <c:v>110</c:v>
                </c:pt>
                <c:pt idx="579">
                  <c:v>110</c:v>
                </c:pt>
                <c:pt idx="580">
                  <c:v>110</c:v>
                </c:pt>
                <c:pt idx="581">
                  <c:v>111</c:v>
                </c:pt>
                <c:pt idx="582">
                  <c:v>111</c:v>
                </c:pt>
                <c:pt idx="583">
                  <c:v>110</c:v>
                </c:pt>
                <c:pt idx="584">
                  <c:v>110</c:v>
                </c:pt>
                <c:pt idx="585">
                  <c:v>110</c:v>
                </c:pt>
                <c:pt idx="586">
                  <c:v>110</c:v>
                </c:pt>
                <c:pt idx="587">
                  <c:v>109.79</c:v>
                </c:pt>
                <c:pt idx="588">
                  <c:v>109.29</c:v>
                </c:pt>
                <c:pt idx="589">
                  <c:v>109.62</c:v>
                </c:pt>
                <c:pt idx="590">
                  <c:v>109.49</c:v>
                </c:pt>
                <c:pt idx="591">
                  <c:v>109.45</c:v>
                </c:pt>
                <c:pt idx="592">
                  <c:v>109.62</c:v>
                </c:pt>
                <c:pt idx="593">
                  <c:v>109.62</c:v>
                </c:pt>
                <c:pt idx="594">
                  <c:v>109.06</c:v>
                </c:pt>
                <c:pt idx="595">
                  <c:v>109.18</c:v>
                </c:pt>
                <c:pt idx="596">
                  <c:v>108.57</c:v>
                </c:pt>
                <c:pt idx="597">
                  <c:v>108.37</c:v>
                </c:pt>
                <c:pt idx="598">
                  <c:v>107.57</c:v>
                </c:pt>
                <c:pt idx="599">
                  <c:v>107.65</c:v>
                </c:pt>
                <c:pt idx="600">
                  <c:v>106.77</c:v>
                </c:pt>
                <c:pt idx="601">
                  <c:v>107.78</c:v>
                </c:pt>
                <c:pt idx="602">
                  <c:v>107.06</c:v>
                </c:pt>
                <c:pt idx="603">
                  <c:v>107.19</c:v>
                </c:pt>
                <c:pt idx="604">
                  <c:v>108.09</c:v>
                </c:pt>
                <c:pt idx="605">
                  <c:v>107.55</c:v>
                </c:pt>
                <c:pt idx="606">
                  <c:v>108.83</c:v>
                </c:pt>
                <c:pt idx="607">
                  <c:v>109.1</c:v>
                </c:pt>
                <c:pt idx="608">
                  <c:v>108.26</c:v>
                </c:pt>
                <c:pt idx="609">
                  <c:v>107.69</c:v>
                </c:pt>
                <c:pt idx="610">
                  <c:v>107.57</c:v>
                </c:pt>
                <c:pt idx="611">
                  <c:v>107.49</c:v>
                </c:pt>
                <c:pt idx="612">
                  <c:v>107.95</c:v>
                </c:pt>
                <c:pt idx="613">
                  <c:v>109.02</c:v>
                </c:pt>
                <c:pt idx="614">
                  <c:v>108.69</c:v>
                </c:pt>
                <c:pt idx="615">
                  <c:v>109.91</c:v>
                </c:pt>
                <c:pt idx="616">
                  <c:v>109.44</c:v>
                </c:pt>
                <c:pt idx="617">
                  <c:v>110.67</c:v>
                </c:pt>
                <c:pt idx="618">
                  <c:v>111.88</c:v>
                </c:pt>
                <c:pt idx="619">
                  <c:v>110.79</c:v>
                </c:pt>
                <c:pt idx="620">
                  <c:v>111.32</c:v>
                </c:pt>
                <c:pt idx="621">
                  <c:v>111.49360165232541</c:v>
                </c:pt>
                <c:pt idx="622">
                  <c:v>111.84952995963985</c:v>
                </c:pt>
                <c:pt idx="623">
                  <c:v>111.43332649271042</c:v>
                </c:pt>
                <c:pt idx="624">
                  <c:v>111.84802019329409</c:v>
                </c:pt>
                <c:pt idx="625">
                  <c:v>110.99864473167771</c:v>
                </c:pt>
                <c:pt idx="626">
                  <c:v>111.43392592453128</c:v>
                </c:pt>
                <c:pt idx="627">
                  <c:v>111.95697891825503</c:v>
                </c:pt>
                <c:pt idx="628">
                  <c:v>112.43474977407615</c:v>
                </c:pt>
                <c:pt idx="629">
                  <c:v>112.36583369721166</c:v>
                </c:pt>
                <c:pt idx="630">
                  <c:v>112.52162502970512</c:v>
                </c:pt>
                <c:pt idx="631">
                  <c:v>112.37055754378588</c:v>
                </c:pt>
                <c:pt idx="632">
                  <c:v>112.74162586670441</c:v>
                </c:pt>
                <c:pt idx="633">
                  <c:v>113.27783094482623</c:v>
                </c:pt>
                <c:pt idx="634">
                  <c:v>113.29022103911764</c:v>
                </c:pt>
                <c:pt idx="635">
                  <c:v>113.43631851952244</c:v>
                </c:pt>
                <c:pt idx="636">
                  <c:v>113.58606296881167</c:v>
                </c:pt>
                <c:pt idx="637">
                  <c:v>113.28541955594442</c:v>
                </c:pt>
                <c:pt idx="638">
                  <c:v>113.37718277945616</c:v>
                </c:pt>
                <c:pt idx="639">
                  <c:v>112.79779701117064</c:v>
                </c:pt>
                <c:pt idx="640">
                  <c:v>112.44283617918336</c:v>
                </c:pt>
                <c:pt idx="641">
                  <c:v>112.09101215582614</c:v>
                </c:pt>
                <c:pt idx="642">
                  <c:v>112.92184776402125</c:v>
                </c:pt>
                <c:pt idx="643">
                  <c:v>112.56671866976399</c:v>
                </c:pt>
                <c:pt idx="644">
                  <c:v>113.16891486261132</c:v>
                </c:pt>
                <c:pt idx="645">
                  <c:v>113.13167777574495</c:v>
                </c:pt>
                <c:pt idx="646">
                  <c:v>112.62638949600387</c:v>
                </c:pt>
                <c:pt idx="647">
                  <c:v>112.24239272753867</c:v>
                </c:pt>
                <c:pt idx="648">
                  <c:v>111.72420725911159</c:v>
                </c:pt>
                <c:pt idx="649">
                  <c:v>111.57602313888442</c:v>
                </c:pt>
                <c:pt idx="650">
                  <c:v>111.75012344080623</c:v>
                </c:pt>
                <c:pt idx="651">
                  <c:v>112.37589139633282</c:v>
                </c:pt>
                <c:pt idx="652">
                  <c:v>112.07312251809689</c:v>
                </c:pt>
                <c:pt idx="653">
                  <c:v>111.62818120460889</c:v>
                </c:pt>
                <c:pt idx="654">
                  <c:v>112.65961835641728</c:v>
                </c:pt>
                <c:pt idx="655">
                  <c:v>112.72935547066311</c:v>
                </c:pt>
                <c:pt idx="656">
                  <c:v>113.15639675859035</c:v>
                </c:pt>
                <c:pt idx="657">
                  <c:v>113.56489128885475</c:v>
                </c:pt>
                <c:pt idx="658">
                  <c:v>113.70233641345959</c:v>
                </c:pt>
                <c:pt idx="659">
                  <c:v>113.9287061638091</c:v>
                </c:pt>
                <c:pt idx="660">
                  <c:v>113.51432915276759</c:v>
                </c:pt>
                <c:pt idx="661">
                  <c:v>113.070699003451</c:v>
                </c:pt>
                <c:pt idx="662">
                  <c:v>113.27860524632116</c:v>
                </c:pt>
                <c:pt idx="663">
                  <c:v>113.54170490374614</c:v>
                </c:pt>
                <c:pt idx="664">
                  <c:v>113.21746802408592</c:v>
                </c:pt>
                <c:pt idx="665">
                  <c:v>114.06954631806741</c:v>
                </c:pt>
                <c:pt idx="666">
                  <c:v>113.64853426744914</c:v>
                </c:pt>
              </c:numCache>
            </c:numRef>
          </c:val>
          <c:smooth val="0"/>
          <c:extLst>
            <c:ext xmlns:c16="http://schemas.microsoft.com/office/drawing/2014/chart" uri="{C3380CC4-5D6E-409C-BE32-E72D297353CC}">
              <c16:uniqueId val="{00000002-278A-4EF5-B312-96BEA00F0B78}"/>
            </c:ext>
          </c:extLst>
        </c:ser>
        <c:ser>
          <c:idx val="2"/>
          <c:order val="3"/>
          <c:tx>
            <c:strRef>
              <c:f>Sheet1!$E$1</c:f>
              <c:strCache>
                <c:ptCount val="1"/>
                <c:pt idx="0">
                  <c:v>Դոլարի ինդեքս</c:v>
                </c:pt>
              </c:strCache>
            </c:strRef>
          </c:tx>
          <c:spPr>
            <a:ln w="28575">
              <a:solidFill>
                <a:srgbClr val="00B050"/>
              </a:solidFill>
            </a:ln>
          </c:spPr>
          <c:marker>
            <c:symbol val="none"/>
          </c:marker>
          <c:cat>
            <c:numRef>
              <c:f>Sheet1!$A$2:$A$668</c:f>
              <c:numCache>
                <c:formatCode>m/d/yyyy</c:formatCode>
                <c:ptCount val="667"/>
                <c:pt idx="0">
                  <c:v>43473</c:v>
                </c:pt>
                <c:pt idx="1">
                  <c:v>43474</c:v>
                </c:pt>
                <c:pt idx="2">
                  <c:v>43475</c:v>
                </c:pt>
                <c:pt idx="3">
                  <c:v>43476</c:v>
                </c:pt>
                <c:pt idx="4">
                  <c:v>43479</c:v>
                </c:pt>
                <c:pt idx="5">
                  <c:v>43480</c:v>
                </c:pt>
                <c:pt idx="6">
                  <c:v>43481</c:v>
                </c:pt>
                <c:pt idx="7">
                  <c:v>43482</c:v>
                </c:pt>
                <c:pt idx="8">
                  <c:v>43483</c:v>
                </c:pt>
                <c:pt idx="9">
                  <c:v>43486</c:v>
                </c:pt>
                <c:pt idx="10">
                  <c:v>43487</c:v>
                </c:pt>
                <c:pt idx="11">
                  <c:v>43488</c:v>
                </c:pt>
                <c:pt idx="12">
                  <c:v>43489</c:v>
                </c:pt>
                <c:pt idx="13">
                  <c:v>43490</c:v>
                </c:pt>
                <c:pt idx="14">
                  <c:v>43494</c:v>
                </c:pt>
                <c:pt idx="15">
                  <c:v>43495</c:v>
                </c:pt>
                <c:pt idx="16">
                  <c:v>43496</c:v>
                </c:pt>
                <c:pt idx="17">
                  <c:v>43497</c:v>
                </c:pt>
                <c:pt idx="18">
                  <c:v>43500</c:v>
                </c:pt>
                <c:pt idx="19">
                  <c:v>43501</c:v>
                </c:pt>
                <c:pt idx="20">
                  <c:v>43502</c:v>
                </c:pt>
                <c:pt idx="21">
                  <c:v>43503</c:v>
                </c:pt>
                <c:pt idx="22">
                  <c:v>43504</c:v>
                </c:pt>
                <c:pt idx="23">
                  <c:v>43507</c:v>
                </c:pt>
                <c:pt idx="24">
                  <c:v>43508</c:v>
                </c:pt>
                <c:pt idx="25">
                  <c:v>43509</c:v>
                </c:pt>
                <c:pt idx="26">
                  <c:v>43510</c:v>
                </c:pt>
                <c:pt idx="27">
                  <c:v>43511</c:v>
                </c:pt>
                <c:pt idx="28">
                  <c:v>43514</c:v>
                </c:pt>
                <c:pt idx="29">
                  <c:v>43515</c:v>
                </c:pt>
                <c:pt idx="30">
                  <c:v>43516</c:v>
                </c:pt>
                <c:pt idx="31">
                  <c:v>43517</c:v>
                </c:pt>
                <c:pt idx="32">
                  <c:v>43518</c:v>
                </c:pt>
                <c:pt idx="33">
                  <c:v>43521</c:v>
                </c:pt>
                <c:pt idx="34">
                  <c:v>43522</c:v>
                </c:pt>
                <c:pt idx="35">
                  <c:v>43523</c:v>
                </c:pt>
                <c:pt idx="36">
                  <c:v>43524</c:v>
                </c:pt>
                <c:pt idx="37">
                  <c:v>43525</c:v>
                </c:pt>
                <c:pt idx="38">
                  <c:v>43528</c:v>
                </c:pt>
                <c:pt idx="39">
                  <c:v>43529</c:v>
                </c:pt>
                <c:pt idx="40">
                  <c:v>43530</c:v>
                </c:pt>
                <c:pt idx="41">
                  <c:v>43531</c:v>
                </c:pt>
                <c:pt idx="42">
                  <c:v>43535</c:v>
                </c:pt>
                <c:pt idx="43">
                  <c:v>43536</c:v>
                </c:pt>
                <c:pt idx="44">
                  <c:v>43537</c:v>
                </c:pt>
                <c:pt idx="45">
                  <c:v>43538</c:v>
                </c:pt>
                <c:pt idx="46">
                  <c:v>43539</c:v>
                </c:pt>
                <c:pt idx="47">
                  <c:v>43542</c:v>
                </c:pt>
                <c:pt idx="48">
                  <c:v>43543</c:v>
                </c:pt>
                <c:pt idx="49">
                  <c:v>43544</c:v>
                </c:pt>
                <c:pt idx="50">
                  <c:v>43545</c:v>
                </c:pt>
                <c:pt idx="51">
                  <c:v>43546</c:v>
                </c:pt>
                <c:pt idx="52">
                  <c:v>43549</c:v>
                </c:pt>
                <c:pt idx="53">
                  <c:v>43550</c:v>
                </c:pt>
                <c:pt idx="54">
                  <c:v>43551</c:v>
                </c:pt>
                <c:pt idx="55">
                  <c:v>43552</c:v>
                </c:pt>
                <c:pt idx="56">
                  <c:v>43553</c:v>
                </c:pt>
                <c:pt idx="57">
                  <c:v>43556</c:v>
                </c:pt>
                <c:pt idx="58">
                  <c:v>43557</c:v>
                </c:pt>
                <c:pt idx="59">
                  <c:v>43558</c:v>
                </c:pt>
                <c:pt idx="60">
                  <c:v>43559</c:v>
                </c:pt>
                <c:pt idx="61">
                  <c:v>43560</c:v>
                </c:pt>
                <c:pt idx="62">
                  <c:v>43563</c:v>
                </c:pt>
                <c:pt idx="63">
                  <c:v>43564</c:v>
                </c:pt>
                <c:pt idx="64">
                  <c:v>43565</c:v>
                </c:pt>
                <c:pt idx="65">
                  <c:v>43566</c:v>
                </c:pt>
                <c:pt idx="66">
                  <c:v>43567</c:v>
                </c:pt>
                <c:pt idx="67">
                  <c:v>43570</c:v>
                </c:pt>
                <c:pt idx="68">
                  <c:v>43571</c:v>
                </c:pt>
                <c:pt idx="69">
                  <c:v>43572</c:v>
                </c:pt>
                <c:pt idx="70">
                  <c:v>43573</c:v>
                </c:pt>
                <c:pt idx="71">
                  <c:v>43577</c:v>
                </c:pt>
                <c:pt idx="72">
                  <c:v>43578</c:v>
                </c:pt>
                <c:pt idx="73">
                  <c:v>43579</c:v>
                </c:pt>
                <c:pt idx="74">
                  <c:v>43580</c:v>
                </c:pt>
                <c:pt idx="75">
                  <c:v>43581</c:v>
                </c:pt>
                <c:pt idx="76">
                  <c:v>43584</c:v>
                </c:pt>
                <c:pt idx="77">
                  <c:v>43585</c:v>
                </c:pt>
                <c:pt idx="78">
                  <c:v>43587</c:v>
                </c:pt>
                <c:pt idx="79">
                  <c:v>43588</c:v>
                </c:pt>
                <c:pt idx="80">
                  <c:v>43591</c:v>
                </c:pt>
                <c:pt idx="81">
                  <c:v>43592</c:v>
                </c:pt>
                <c:pt idx="82">
                  <c:v>43593</c:v>
                </c:pt>
                <c:pt idx="83">
                  <c:v>43595</c:v>
                </c:pt>
                <c:pt idx="84">
                  <c:v>43598</c:v>
                </c:pt>
                <c:pt idx="85">
                  <c:v>43599</c:v>
                </c:pt>
                <c:pt idx="86">
                  <c:v>43600</c:v>
                </c:pt>
                <c:pt idx="87">
                  <c:v>43601</c:v>
                </c:pt>
                <c:pt idx="88">
                  <c:v>43602</c:v>
                </c:pt>
                <c:pt idx="89">
                  <c:v>43605</c:v>
                </c:pt>
                <c:pt idx="90">
                  <c:v>43606</c:v>
                </c:pt>
                <c:pt idx="91">
                  <c:v>43607</c:v>
                </c:pt>
                <c:pt idx="92">
                  <c:v>43608</c:v>
                </c:pt>
                <c:pt idx="93">
                  <c:v>43609</c:v>
                </c:pt>
                <c:pt idx="94">
                  <c:v>43612</c:v>
                </c:pt>
                <c:pt idx="95">
                  <c:v>43614</c:v>
                </c:pt>
                <c:pt idx="96">
                  <c:v>43615</c:v>
                </c:pt>
                <c:pt idx="97">
                  <c:v>43616</c:v>
                </c:pt>
                <c:pt idx="98">
                  <c:v>43619</c:v>
                </c:pt>
                <c:pt idx="99">
                  <c:v>43620</c:v>
                </c:pt>
                <c:pt idx="100">
                  <c:v>43621</c:v>
                </c:pt>
                <c:pt idx="101">
                  <c:v>43622</c:v>
                </c:pt>
                <c:pt idx="102">
                  <c:v>43623</c:v>
                </c:pt>
                <c:pt idx="103">
                  <c:v>43626</c:v>
                </c:pt>
                <c:pt idx="104">
                  <c:v>43627</c:v>
                </c:pt>
                <c:pt idx="105">
                  <c:v>43628</c:v>
                </c:pt>
                <c:pt idx="106">
                  <c:v>43629</c:v>
                </c:pt>
                <c:pt idx="107">
                  <c:v>43630</c:v>
                </c:pt>
                <c:pt idx="108">
                  <c:v>43633</c:v>
                </c:pt>
                <c:pt idx="109">
                  <c:v>43634</c:v>
                </c:pt>
                <c:pt idx="110">
                  <c:v>43635</c:v>
                </c:pt>
                <c:pt idx="111">
                  <c:v>43636</c:v>
                </c:pt>
                <c:pt idx="112">
                  <c:v>43637</c:v>
                </c:pt>
                <c:pt idx="113">
                  <c:v>43640</c:v>
                </c:pt>
                <c:pt idx="114">
                  <c:v>43641</c:v>
                </c:pt>
                <c:pt idx="115">
                  <c:v>43642</c:v>
                </c:pt>
                <c:pt idx="116">
                  <c:v>43643</c:v>
                </c:pt>
                <c:pt idx="117">
                  <c:v>43644</c:v>
                </c:pt>
                <c:pt idx="118">
                  <c:v>43647</c:v>
                </c:pt>
                <c:pt idx="119">
                  <c:v>43648</c:v>
                </c:pt>
                <c:pt idx="120">
                  <c:v>43649</c:v>
                </c:pt>
                <c:pt idx="121">
                  <c:v>43650</c:v>
                </c:pt>
                <c:pt idx="122">
                  <c:v>43654</c:v>
                </c:pt>
                <c:pt idx="123">
                  <c:v>43655</c:v>
                </c:pt>
                <c:pt idx="124">
                  <c:v>43656</c:v>
                </c:pt>
                <c:pt idx="125">
                  <c:v>43657</c:v>
                </c:pt>
                <c:pt idx="126">
                  <c:v>43658</c:v>
                </c:pt>
                <c:pt idx="127">
                  <c:v>43661</c:v>
                </c:pt>
                <c:pt idx="128">
                  <c:v>43662</c:v>
                </c:pt>
                <c:pt idx="129">
                  <c:v>43663</c:v>
                </c:pt>
                <c:pt idx="130">
                  <c:v>43664</c:v>
                </c:pt>
                <c:pt idx="131">
                  <c:v>43665</c:v>
                </c:pt>
                <c:pt idx="132">
                  <c:v>43668</c:v>
                </c:pt>
                <c:pt idx="133">
                  <c:v>43669</c:v>
                </c:pt>
                <c:pt idx="134">
                  <c:v>43670</c:v>
                </c:pt>
                <c:pt idx="135">
                  <c:v>43671</c:v>
                </c:pt>
                <c:pt idx="136">
                  <c:v>43672</c:v>
                </c:pt>
                <c:pt idx="137">
                  <c:v>43675</c:v>
                </c:pt>
                <c:pt idx="138">
                  <c:v>43676</c:v>
                </c:pt>
                <c:pt idx="139">
                  <c:v>43677</c:v>
                </c:pt>
                <c:pt idx="140">
                  <c:v>43678</c:v>
                </c:pt>
                <c:pt idx="141">
                  <c:v>43679</c:v>
                </c:pt>
                <c:pt idx="142">
                  <c:v>43682</c:v>
                </c:pt>
                <c:pt idx="143">
                  <c:v>43683</c:v>
                </c:pt>
                <c:pt idx="144">
                  <c:v>43684</c:v>
                </c:pt>
                <c:pt idx="145">
                  <c:v>43685</c:v>
                </c:pt>
                <c:pt idx="146">
                  <c:v>43686</c:v>
                </c:pt>
                <c:pt idx="147">
                  <c:v>43689</c:v>
                </c:pt>
                <c:pt idx="148">
                  <c:v>43690</c:v>
                </c:pt>
                <c:pt idx="149">
                  <c:v>43691</c:v>
                </c:pt>
                <c:pt idx="150">
                  <c:v>43692</c:v>
                </c:pt>
                <c:pt idx="151">
                  <c:v>43693</c:v>
                </c:pt>
                <c:pt idx="152">
                  <c:v>43696</c:v>
                </c:pt>
                <c:pt idx="153">
                  <c:v>43697</c:v>
                </c:pt>
                <c:pt idx="154">
                  <c:v>43698</c:v>
                </c:pt>
                <c:pt idx="155">
                  <c:v>43699</c:v>
                </c:pt>
                <c:pt idx="156">
                  <c:v>43700</c:v>
                </c:pt>
                <c:pt idx="157">
                  <c:v>43703</c:v>
                </c:pt>
                <c:pt idx="158">
                  <c:v>43704</c:v>
                </c:pt>
                <c:pt idx="159">
                  <c:v>43705</c:v>
                </c:pt>
                <c:pt idx="160">
                  <c:v>43706</c:v>
                </c:pt>
                <c:pt idx="161">
                  <c:v>43707</c:v>
                </c:pt>
                <c:pt idx="162">
                  <c:v>43710</c:v>
                </c:pt>
                <c:pt idx="163">
                  <c:v>43711</c:v>
                </c:pt>
                <c:pt idx="164">
                  <c:v>43712</c:v>
                </c:pt>
                <c:pt idx="165">
                  <c:v>43713</c:v>
                </c:pt>
                <c:pt idx="166">
                  <c:v>43714</c:v>
                </c:pt>
                <c:pt idx="167">
                  <c:v>43717</c:v>
                </c:pt>
                <c:pt idx="168">
                  <c:v>43718</c:v>
                </c:pt>
                <c:pt idx="169">
                  <c:v>43719</c:v>
                </c:pt>
                <c:pt idx="170">
                  <c:v>43720</c:v>
                </c:pt>
                <c:pt idx="171">
                  <c:v>43721</c:v>
                </c:pt>
                <c:pt idx="172">
                  <c:v>43724</c:v>
                </c:pt>
                <c:pt idx="173">
                  <c:v>43725</c:v>
                </c:pt>
                <c:pt idx="174">
                  <c:v>43726</c:v>
                </c:pt>
                <c:pt idx="175">
                  <c:v>43727</c:v>
                </c:pt>
                <c:pt idx="176">
                  <c:v>43728</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43763</c:v>
                </c:pt>
                <c:pt idx="202">
                  <c:v>43766</c:v>
                </c:pt>
                <c:pt idx="203">
                  <c:v>43767</c:v>
                </c:pt>
                <c:pt idx="204">
                  <c:v>43768</c:v>
                </c:pt>
                <c:pt idx="205">
                  <c:v>43769</c:v>
                </c:pt>
                <c:pt idx="206">
                  <c:v>43770</c:v>
                </c:pt>
                <c:pt idx="207">
                  <c:v>43773</c:v>
                </c:pt>
                <c:pt idx="208">
                  <c:v>43774</c:v>
                </c:pt>
                <c:pt idx="209">
                  <c:v>43775</c:v>
                </c:pt>
                <c:pt idx="210">
                  <c:v>43776</c:v>
                </c:pt>
                <c:pt idx="211">
                  <c:v>43777</c:v>
                </c:pt>
                <c:pt idx="212">
                  <c:v>43780</c:v>
                </c:pt>
                <c:pt idx="213">
                  <c:v>43781</c:v>
                </c:pt>
                <c:pt idx="214">
                  <c:v>43782</c:v>
                </c:pt>
                <c:pt idx="215">
                  <c:v>43783</c:v>
                </c:pt>
                <c:pt idx="216">
                  <c:v>43784</c:v>
                </c:pt>
                <c:pt idx="217">
                  <c:v>43787</c:v>
                </c:pt>
                <c:pt idx="218">
                  <c:v>43788</c:v>
                </c:pt>
                <c:pt idx="219">
                  <c:v>43789</c:v>
                </c:pt>
                <c:pt idx="220">
                  <c:v>43790</c:v>
                </c:pt>
                <c:pt idx="221">
                  <c:v>43791</c:v>
                </c:pt>
                <c:pt idx="222">
                  <c:v>43794</c:v>
                </c:pt>
                <c:pt idx="223">
                  <c:v>43795</c:v>
                </c:pt>
                <c:pt idx="224">
                  <c:v>43796</c:v>
                </c:pt>
                <c:pt idx="225">
                  <c:v>43797</c:v>
                </c:pt>
                <c:pt idx="226">
                  <c:v>43798</c:v>
                </c:pt>
                <c:pt idx="227">
                  <c:v>43801</c:v>
                </c:pt>
                <c:pt idx="228">
                  <c:v>43802</c:v>
                </c:pt>
                <c:pt idx="229">
                  <c:v>43803</c:v>
                </c:pt>
                <c:pt idx="230">
                  <c:v>43804</c:v>
                </c:pt>
                <c:pt idx="231">
                  <c:v>43805</c:v>
                </c:pt>
                <c:pt idx="232">
                  <c:v>43808</c:v>
                </c:pt>
                <c:pt idx="233">
                  <c:v>43809</c:v>
                </c:pt>
                <c:pt idx="234">
                  <c:v>43810</c:v>
                </c:pt>
                <c:pt idx="235">
                  <c:v>43811</c:v>
                </c:pt>
                <c:pt idx="236">
                  <c:v>43812</c:v>
                </c:pt>
                <c:pt idx="237">
                  <c:v>43815</c:v>
                </c:pt>
                <c:pt idx="238">
                  <c:v>43816</c:v>
                </c:pt>
                <c:pt idx="239">
                  <c:v>43817</c:v>
                </c:pt>
                <c:pt idx="240">
                  <c:v>43818</c:v>
                </c:pt>
                <c:pt idx="241">
                  <c:v>43819</c:v>
                </c:pt>
                <c:pt idx="242">
                  <c:v>43822</c:v>
                </c:pt>
                <c:pt idx="243">
                  <c:v>43823</c:v>
                </c:pt>
                <c:pt idx="244">
                  <c:v>43825</c:v>
                </c:pt>
                <c:pt idx="245">
                  <c:v>43826</c:v>
                </c:pt>
                <c:pt idx="246">
                  <c:v>43829</c:v>
                </c:pt>
                <c:pt idx="247">
                  <c:v>43838</c:v>
                </c:pt>
                <c:pt idx="248">
                  <c:v>43839</c:v>
                </c:pt>
                <c:pt idx="249">
                  <c:v>43840</c:v>
                </c:pt>
                <c:pt idx="250">
                  <c:v>43843</c:v>
                </c:pt>
                <c:pt idx="251">
                  <c:v>43844</c:v>
                </c:pt>
                <c:pt idx="252">
                  <c:v>43845</c:v>
                </c:pt>
                <c:pt idx="253">
                  <c:v>43846</c:v>
                </c:pt>
                <c:pt idx="254">
                  <c:v>43847</c:v>
                </c:pt>
                <c:pt idx="255">
                  <c:v>43850</c:v>
                </c:pt>
                <c:pt idx="256">
                  <c:v>43851</c:v>
                </c:pt>
                <c:pt idx="257">
                  <c:v>43852</c:v>
                </c:pt>
                <c:pt idx="258">
                  <c:v>43853</c:v>
                </c:pt>
                <c:pt idx="259">
                  <c:v>43854</c:v>
                </c:pt>
                <c:pt idx="260">
                  <c:v>43859</c:v>
                </c:pt>
                <c:pt idx="261">
                  <c:v>43860</c:v>
                </c:pt>
                <c:pt idx="262">
                  <c:v>43861</c:v>
                </c:pt>
                <c:pt idx="263">
                  <c:v>43864</c:v>
                </c:pt>
                <c:pt idx="264">
                  <c:v>43865</c:v>
                </c:pt>
                <c:pt idx="265">
                  <c:v>43866</c:v>
                </c:pt>
                <c:pt idx="266">
                  <c:v>43867</c:v>
                </c:pt>
                <c:pt idx="267">
                  <c:v>43868</c:v>
                </c:pt>
                <c:pt idx="268">
                  <c:v>43871</c:v>
                </c:pt>
                <c:pt idx="269">
                  <c:v>43872</c:v>
                </c:pt>
                <c:pt idx="270">
                  <c:v>43873</c:v>
                </c:pt>
                <c:pt idx="271">
                  <c:v>43874</c:v>
                </c:pt>
                <c:pt idx="272">
                  <c:v>43875</c:v>
                </c:pt>
                <c:pt idx="273">
                  <c:v>43878</c:v>
                </c:pt>
                <c:pt idx="274">
                  <c:v>43879</c:v>
                </c:pt>
                <c:pt idx="275">
                  <c:v>43880</c:v>
                </c:pt>
                <c:pt idx="276">
                  <c:v>43881</c:v>
                </c:pt>
                <c:pt idx="277">
                  <c:v>43882</c:v>
                </c:pt>
                <c:pt idx="278">
                  <c:v>43885</c:v>
                </c:pt>
                <c:pt idx="279">
                  <c:v>43886</c:v>
                </c:pt>
                <c:pt idx="280">
                  <c:v>43887</c:v>
                </c:pt>
                <c:pt idx="281">
                  <c:v>43888</c:v>
                </c:pt>
                <c:pt idx="282">
                  <c:v>43889</c:v>
                </c:pt>
                <c:pt idx="283">
                  <c:v>43892</c:v>
                </c:pt>
                <c:pt idx="284">
                  <c:v>43893</c:v>
                </c:pt>
                <c:pt idx="285">
                  <c:v>43894</c:v>
                </c:pt>
                <c:pt idx="286">
                  <c:v>43895</c:v>
                </c:pt>
                <c:pt idx="287">
                  <c:v>43896</c:v>
                </c:pt>
                <c:pt idx="288">
                  <c:v>43899</c:v>
                </c:pt>
                <c:pt idx="289">
                  <c:v>43900</c:v>
                </c:pt>
                <c:pt idx="290">
                  <c:v>43901</c:v>
                </c:pt>
                <c:pt idx="291">
                  <c:v>43902</c:v>
                </c:pt>
                <c:pt idx="292">
                  <c:v>43903</c:v>
                </c:pt>
                <c:pt idx="293">
                  <c:v>43906</c:v>
                </c:pt>
                <c:pt idx="294">
                  <c:v>43907</c:v>
                </c:pt>
                <c:pt idx="295">
                  <c:v>43908</c:v>
                </c:pt>
                <c:pt idx="296">
                  <c:v>43909</c:v>
                </c:pt>
                <c:pt idx="297">
                  <c:v>43910</c:v>
                </c:pt>
                <c:pt idx="298">
                  <c:v>43913</c:v>
                </c:pt>
                <c:pt idx="299">
                  <c:v>43914</c:v>
                </c:pt>
                <c:pt idx="300">
                  <c:v>43915</c:v>
                </c:pt>
                <c:pt idx="301">
                  <c:v>43916</c:v>
                </c:pt>
                <c:pt idx="302">
                  <c:v>43917</c:v>
                </c:pt>
                <c:pt idx="303">
                  <c:v>43920</c:v>
                </c:pt>
                <c:pt idx="304">
                  <c:v>43921</c:v>
                </c:pt>
                <c:pt idx="305">
                  <c:v>43922</c:v>
                </c:pt>
                <c:pt idx="306">
                  <c:v>43923</c:v>
                </c:pt>
                <c:pt idx="307">
                  <c:v>43924</c:v>
                </c:pt>
                <c:pt idx="308">
                  <c:v>43927</c:v>
                </c:pt>
                <c:pt idx="309">
                  <c:v>43928</c:v>
                </c:pt>
                <c:pt idx="310">
                  <c:v>43929</c:v>
                </c:pt>
                <c:pt idx="311">
                  <c:v>43930</c:v>
                </c:pt>
                <c:pt idx="312">
                  <c:v>43934</c:v>
                </c:pt>
                <c:pt idx="313">
                  <c:v>43935</c:v>
                </c:pt>
                <c:pt idx="314">
                  <c:v>43936</c:v>
                </c:pt>
                <c:pt idx="315">
                  <c:v>43937</c:v>
                </c:pt>
                <c:pt idx="316">
                  <c:v>43938</c:v>
                </c:pt>
                <c:pt idx="317">
                  <c:v>43941</c:v>
                </c:pt>
                <c:pt idx="318">
                  <c:v>43942</c:v>
                </c:pt>
                <c:pt idx="319">
                  <c:v>43943</c:v>
                </c:pt>
                <c:pt idx="320">
                  <c:v>43944</c:v>
                </c:pt>
                <c:pt idx="321">
                  <c:v>43948</c:v>
                </c:pt>
                <c:pt idx="322">
                  <c:v>43949</c:v>
                </c:pt>
                <c:pt idx="323">
                  <c:v>43950</c:v>
                </c:pt>
                <c:pt idx="324">
                  <c:v>43951</c:v>
                </c:pt>
                <c:pt idx="325">
                  <c:v>43955</c:v>
                </c:pt>
                <c:pt idx="326">
                  <c:v>43956</c:v>
                </c:pt>
                <c:pt idx="327">
                  <c:v>43957</c:v>
                </c:pt>
                <c:pt idx="328">
                  <c:v>43958</c:v>
                </c:pt>
                <c:pt idx="329">
                  <c:v>43959</c:v>
                </c:pt>
                <c:pt idx="330">
                  <c:v>43962</c:v>
                </c:pt>
                <c:pt idx="331">
                  <c:v>43963</c:v>
                </c:pt>
                <c:pt idx="332">
                  <c:v>43964</c:v>
                </c:pt>
                <c:pt idx="333">
                  <c:v>43965</c:v>
                </c:pt>
                <c:pt idx="334">
                  <c:v>43966</c:v>
                </c:pt>
                <c:pt idx="335">
                  <c:v>43969</c:v>
                </c:pt>
                <c:pt idx="336">
                  <c:v>43970</c:v>
                </c:pt>
                <c:pt idx="337">
                  <c:v>43971</c:v>
                </c:pt>
                <c:pt idx="338">
                  <c:v>43972</c:v>
                </c:pt>
                <c:pt idx="339">
                  <c:v>43973</c:v>
                </c:pt>
                <c:pt idx="340">
                  <c:v>43976</c:v>
                </c:pt>
                <c:pt idx="341">
                  <c:v>43977</c:v>
                </c:pt>
                <c:pt idx="342">
                  <c:v>43978</c:v>
                </c:pt>
                <c:pt idx="343">
                  <c:v>43983</c:v>
                </c:pt>
                <c:pt idx="344">
                  <c:v>43984</c:v>
                </c:pt>
                <c:pt idx="345">
                  <c:v>43985</c:v>
                </c:pt>
                <c:pt idx="346">
                  <c:v>43986</c:v>
                </c:pt>
                <c:pt idx="347">
                  <c:v>43987</c:v>
                </c:pt>
                <c:pt idx="348">
                  <c:v>43990</c:v>
                </c:pt>
                <c:pt idx="349">
                  <c:v>43991</c:v>
                </c:pt>
                <c:pt idx="350">
                  <c:v>43992</c:v>
                </c:pt>
                <c:pt idx="351">
                  <c:v>43993</c:v>
                </c:pt>
                <c:pt idx="352">
                  <c:v>43994</c:v>
                </c:pt>
                <c:pt idx="353">
                  <c:v>43997</c:v>
                </c:pt>
                <c:pt idx="354">
                  <c:v>43998</c:v>
                </c:pt>
                <c:pt idx="355">
                  <c:v>43999</c:v>
                </c:pt>
                <c:pt idx="356">
                  <c:v>44000</c:v>
                </c:pt>
                <c:pt idx="357">
                  <c:v>44001</c:v>
                </c:pt>
                <c:pt idx="358">
                  <c:v>44004</c:v>
                </c:pt>
                <c:pt idx="359">
                  <c:v>44005</c:v>
                </c:pt>
                <c:pt idx="360">
                  <c:v>44006</c:v>
                </c:pt>
                <c:pt idx="361">
                  <c:v>44007</c:v>
                </c:pt>
                <c:pt idx="362">
                  <c:v>44008</c:v>
                </c:pt>
                <c:pt idx="363">
                  <c:v>44011</c:v>
                </c:pt>
                <c:pt idx="364">
                  <c:v>44012</c:v>
                </c:pt>
                <c:pt idx="365">
                  <c:v>44013</c:v>
                </c:pt>
                <c:pt idx="366">
                  <c:v>44014</c:v>
                </c:pt>
                <c:pt idx="367">
                  <c:v>44015</c:v>
                </c:pt>
                <c:pt idx="368">
                  <c:v>44018</c:v>
                </c:pt>
                <c:pt idx="369">
                  <c:v>44019</c:v>
                </c:pt>
                <c:pt idx="370">
                  <c:v>44020</c:v>
                </c:pt>
                <c:pt idx="371">
                  <c:v>44021</c:v>
                </c:pt>
                <c:pt idx="372">
                  <c:v>44022</c:v>
                </c:pt>
                <c:pt idx="373">
                  <c:v>44025</c:v>
                </c:pt>
                <c:pt idx="374">
                  <c:v>44026</c:v>
                </c:pt>
                <c:pt idx="375">
                  <c:v>44027</c:v>
                </c:pt>
                <c:pt idx="376">
                  <c:v>44028</c:v>
                </c:pt>
                <c:pt idx="377">
                  <c:v>44029</c:v>
                </c:pt>
                <c:pt idx="378">
                  <c:v>44032</c:v>
                </c:pt>
                <c:pt idx="379">
                  <c:v>44033</c:v>
                </c:pt>
                <c:pt idx="380">
                  <c:v>44034</c:v>
                </c:pt>
                <c:pt idx="381">
                  <c:v>44035</c:v>
                </c:pt>
                <c:pt idx="382">
                  <c:v>44036</c:v>
                </c:pt>
                <c:pt idx="383">
                  <c:v>44039</c:v>
                </c:pt>
                <c:pt idx="384">
                  <c:v>44040</c:v>
                </c:pt>
                <c:pt idx="385">
                  <c:v>44041</c:v>
                </c:pt>
                <c:pt idx="386">
                  <c:v>44042</c:v>
                </c:pt>
                <c:pt idx="387">
                  <c:v>44043</c:v>
                </c:pt>
                <c:pt idx="388">
                  <c:v>44046</c:v>
                </c:pt>
                <c:pt idx="389">
                  <c:v>44047</c:v>
                </c:pt>
                <c:pt idx="390">
                  <c:v>44048</c:v>
                </c:pt>
                <c:pt idx="391">
                  <c:v>44049</c:v>
                </c:pt>
                <c:pt idx="392">
                  <c:v>44050</c:v>
                </c:pt>
                <c:pt idx="393">
                  <c:v>44053</c:v>
                </c:pt>
                <c:pt idx="394">
                  <c:v>44054</c:v>
                </c:pt>
                <c:pt idx="395">
                  <c:v>44055</c:v>
                </c:pt>
                <c:pt idx="396">
                  <c:v>44056</c:v>
                </c:pt>
                <c:pt idx="397">
                  <c:v>44057</c:v>
                </c:pt>
                <c:pt idx="398">
                  <c:v>44060</c:v>
                </c:pt>
                <c:pt idx="399">
                  <c:v>44061</c:v>
                </c:pt>
                <c:pt idx="400">
                  <c:v>44062</c:v>
                </c:pt>
                <c:pt idx="401">
                  <c:v>44063</c:v>
                </c:pt>
                <c:pt idx="402">
                  <c:v>44064</c:v>
                </c:pt>
                <c:pt idx="403">
                  <c:v>44067</c:v>
                </c:pt>
                <c:pt idx="404">
                  <c:v>44068</c:v>
                </c:pt>
                <c:pt idx="405">
                  <c:v>44069</c:v>
                </c:pt>
                <c:pt idx="406">
                  <c:v>44070</c:v>
                </c:pt>
                <c:pt idx="407">
                  <c:v>44071</c:v>
                </c:pt>
                <c:pt idx="408">
                  <c:v>44074</c:v>
                </c:pt>
                <c:pt idx="409">
                  <c:v>44075</c:v>
                </c:pt>
                <c:pt idx="410">
                  <c:v>44076</c:v>
                </c:pt>
                <c:pt idx="411">
                  <c:v>44077</c:v>
                </c:pt>
                <c:pt idx="412">
                  <c:v>44078</c:v>
                </c:pt>
                <c:pt idx="413">
                  <c:v>44081</c:v>
                </c:pt>
                <c:pt idx="414">
                  <c:v>44082</c:v>
                </c:pt>
                <c:pt idx="415">
                  <c:v>44083</c:v>
                </c:pt>
                <c:pt idx="416">
                  <c:v>44084</c:v>
                </c:pt>
                <c:pt idx="417">
                  <c:v>44085</c:v>
                </c:pt>
                <c:pt idx="418">
                  <c:v>44088</c:v>
                </c:pt>
                <c:pt idx="419">
                  <c:v>44089</c:v>
                </c:pt>
                <c:pt idx="420">
                  <c:v>44090</c:v>
                </c:pt>
                <c:pt idx="421">
                  <c:v>44091</c:v>
                </c:pt>
                <c:pt idx="422">
                  <c:v>44092</c:v>
                </c:pt>
                <c:pt idx="423">
                  <c:v>44096</c:v>
                </c:pt>
                <c:pt idx="424">
                  <c:v>44097</c:v>
                </c:pt>
                <c:pt idx="425">
                  <c:v>44098</c:v>
                </c:pt>
                <c:pt idx="426">
                  <c:v>44099</c:v>
                </c:pt>
                <c:pt idx="427">
                  <c:v>44102</c:v>
                </c:pt>
                <c:pt idx="428">
                  <c:v>44103</c:v>
                </c:pt>
                <c:pt idx="429">
                  <c:v>44104</c:v>
                </c:pt>
                <c:pt idx="430">
                  <c:v>44105</c:v>
                </c:pt>
                <c:pt idx="431">
                  <c:v>44106</c:v>
                </c:pt>
                <c:pt idx="432">
                  <c:v>44109</c:v>
                </c:pt>
                <c:pt idx="433">
                  <c:v>44110</c:v>
                </c:pt>
                <c:pt idx="434">
                  <c:v>44111</c:v>
                </c:pt>
                <c:pt idx="435">
                  <c:v>44112</c:v>
                </c:pt>
                <c:pt idx="436">
                  <c:v>44113</c:v>
                </c:pt>
                <c:pt idx="437">
                  <c:v>44116</c:v>
                </c:pt>
                <c:pt idx="438">
                  <c:v>44117</c:v>
                </c:pt>
                <c:pt idx="439">
                  <c:v>44118</c:v>
                </c:pt>
                <c:pt idx="440">
                  <c:v>44119</c:v>
                </c:pt>
                <c:pt idx="441">
                  <c:v>44120</c:v>
                </c:pt>
                <c:pt idx="442">
                  <c:v>44123</c:v>
                </c:pt>
                <c:pt idx="443">
                  <c:v>44124</c:v>
                </c:pt>
                <c:pt idx="444">
                  <c:v>44125</c:v>
                </c:pt>
                <c:pt idx="445">
                  <c:v>44126</c:v>
                </c:pt>
                <c:pt idx="446">
                  <c:v>44127</c:v>
                </c:pt>
                <c:pt idx="447">
                  <c:v>44130</c:v>
                </c:pt>
                <c:pt idx="448">
                  <c:v>44131</c:v>
                </c:pt>
                <c:pt idx="449">
                  <c:v>44132</c:v>
                </c:pt>
                <c:pt idx="450">
                  <c:v>44133</c:v>
                </c:pt>
                <c:pt idx="451">
                  <c:v>44134</c:v>
                </c:pt>
                <c:pt idx="452">
                  <c:v>44137</c:v>
                </c:pt>
                <c:pt idx="453">
                  <c:v>44138</c:v>
                </c:pt>
                <c:pt idx="454">
                  <c:v>44139</c:v>
                </c:pt>
                <c:pt idx="455">
                  <c:v>44140</c:v>
                </c:pt>
                <c:pt idx="456">
                  <c:v>44141</c:v>
                </c:pt>
                <c:pt idx="457">
                  <c:v>44144</c:v>
                </c:pt>
                <c:pt idx="458">
                  <c:v>44145</c:v>
                </c:pt>
                <c:pt idx="459">
                  <c:v>44146</c:v>
                </c:pt>
                <c:pt idx="460">
                  <c:v>44147</c:v>
                </c:pt>
                <c:pt idx="461">
                  <c:v>44148</c:v>
                </c:pt>
                <c:pt idx="462">
                  <c:v>44151</c:v>
                </c:pt>
                <c:pt idx="463">
                  <c:v>44152</c:v>
                </c:pt>
                <c:pt idx="464">
                  <c:v>44153</c:v>
                </c:pt>
                <c:pt idx="465">
                  <c:v>44154</c:v>
                </c:pt>
                <c:pt idx="466">
                  <c:v>44155</c:v>
                </c:pt>
                <c:pt idx="467">
                  <c:v>44158</c:v>
                </c:pt>
                <c:pt idx="468">
                  <c:v>44159</c:v>
                </c:pt>
                <c:pt idx="469">
                  <c:v>44160</c:v>
                </c:pt>
                <c:pt idx="470">
                  <c:v>44161</c:v>
                </c:pt>
                <c:pt idx="471">
                  <c:v>44162</c:v>
                </c:pt>
                <c:pt idx="472">
                  <c:v>44165</c:v>
                </c:pt>
                <c:pt idx="473">
                  <c:v>44166</c:v>
                </c:pt>
                <c:pt idx="474">
                  <c:v>44167</c:v>
                </c:pt>
                <c:pt idx="475">
                  <c:v>44168</c:v>
                </c:pt>
                <c:pt idx="476">
                  <c:v>44169</c:v>
                </c:pt>
                <c:pt idx="477">
                  <c:v>44172</c:v>
                </c:pt>
                <c:pt idx="478">
                  <c:v>44173</c:v>
                </c:pt>
                <c:pt idx="479">
                  <c:v>44174</c:v>
                </c:pt>
                <c:pt idx="480">
                  <c:v>44175</c:v>
                </c:pt>
                <c:pt idx="481">
                  <c:v>44176</c:v>
                </c:pt>
                <c:pt idx="482">
                  <c:v>44179</c:v>
                </c:pt>
                <c:pt idx="483">
                  <c:v>44180</c:v>
                </c:pt>
                <c:pt idx="484">
                  <c:v>44181</c:v>
                </c:pt>
                <c:pt idx="485">
                  <c:v>44182</c:v>
                </c:pt>
                <c:pt idx="486">
                  <c:v>44183</c:v>
                </c:pt>
                <c:pt idx="487">
                  <c:v>44186</c:v>
                </c:pt>
                <c:pt idx="488">
                  <c:v>44187</c:v>
                </c:pt>
                <c:pt idx="489">
                  <c:v>44188</c:v>
                </c:pt>
                <c:pt idx="490">
                  <c:v>44189</c:v>
                </c:pt>
                <c:pt idx="491">
                  <c:v>44193</c:v>
                </c:pt>
                <c:pt idx="492">
                  <c:v>44194</c:v>
                </c:pt>
                <c:pt idx="493">
                  <c:v>44195</c:v>
                </c:pt>
                <c:pt idx="494">
                  <c:v>44196</c:v>
                </c:pt>
                <c:pt idx="495">
                  <c:v>44204</c:v>
                </c:pt>
                <c:pt idx="496">
                  <c:v>44207</c:v>
                </c:pt>
                <c:pt idx="497">
                  <c:v>44208</c:v>
                </c:pt>
                <c:pt idx="498">
                  <c:v>44209</c:v>
                </c:pt>
                <c:pt idx="499">
                  <c:v>44210</c:v>
                </c:pt>
                <c:pt idx="500">
                  <c:v>44211</c:v>
                </c:pt>
                <c:pt idx="501">
                  <c:v>44214</c:v>
                </c:pt>
                <c:pt idx="502">
                  <c:v>44215</c:v>
                </c:pt>
                <c:pt idx="503">
                  <c:v>44216</c:v>
                </c:pt>
                <c:pt idx="504">
                  <c:v>44217</c:v>
                </c:pt>
                <c:pt idx="505">
                  <c:v>44218</c:v>
                </c:pt>
                <c:pt idx="506">
                  <c:v>44221</c:v>
                </c:pt>
                <c:pt idx="507">
                  <c:v>44222</c:v>
                </c:pt>
                <c:pt idx="508">
                  <c:v>44223</c:v>
                </c:pt>
                <c:pt idx="509">
                  <c:v>44225</c:v>
                </c:pt>
                <c:pt idx="510">
                  <c:v>44228</c:v>
                </c:pt>
                <c:pt idx="511">
                  <c:v>44229</c:v>
                </c:pt>
                <c:pt idx="512">
                  <c:v>44230</c:v>
                </c:pt>
                <c:pt idx="513">
                  <c:v>44231</c:v>
                </c:pt>
                <c:pt idx="514">
                  <c:v>44232</c:v>
                </c:pt>
                <c:pt idx="515">
                  <c:v>44235</c:v>
                </c:pt>
                <c:pt idx="516">
                  <c:v>44236</c:v>
                </c:pt>
                <c:pt idx="517">
                  <c:v>44237</c:v>
                </c:pt>
                <c:pt idx="518">
                  <c:v>44238</c:v>
                </c:pt>
                <c:pt idx="519">
                  <c:v>44239</c:v>
                </c:pt>
                <c:pt idx="520">
                  <c:v>44242</c:v>
                </c:pt>
                <c:pt idx="521">
                  <c:v>44243</c:v>
                </c:pt>
                <c:pt idx="522">
                  <c:v>44244</c:v>
                </c:pt>
                <c:pt idx="523">
                  <c:v>44245</c:v>
                </c:pt>
                <c:pt idx="524">
                  <c:v>44246</c:v>
                </c:pt>
                <c:pt idx="525">
                  <c:v>44249</c:v>
                </c:pt>
                <c:pt idx="526">
                  <c:v>44250</c:v>
                </c:pt>
                <c:pt idx="527">
                  <c:v>44251</c:v>
                </c:pt>
                <c:pt idx="528">
                  <c:v>44252</c:v>
                </c:pt>
                <c:pt idx="529">
                  <c:v>44253</c:v>
                </c:pt>
                <c:pt idx="530">
                  <c:v>44256</c:v>
                </c:pt>
                <c:pt idx="531">
                  <c:v>44257</c:v>
                </c:pt>
                <c:pt idx="532">
                  <c:v>44258</c:v>
                </c:pt>
                <c:pt idx="533">
                  <c:v>44259</c:v>
                </c:pt>
                <c:pt idx="534">
                  <c:v>44260</c:v>
                </c:pt>
                <c:pt idx="535">
                  <c:v>44264</c:v>
                </c:pt>
                <c:pt idx="536">
                  <c:v>44265</c:v>
                </c:pt>
                <c:pt idx="537">
                  <c:v>44266</c:v>
                </c:pt>
                <c:pt idx="538">
                  <c:v>44267</c:v>
                </c:pt>
                <c:pt idx="539">
                  <c:v>44270</c:v>
                </c:pt>
                <c:pt idx="540">
                  <c:v>44271</c:v>
                </c:pt>
                <c:pt idx="541">
                  <c:v>44272</c:v>
                </c:pt>
                <c:pt idx="542">
                  <c:v>44273</c:v>
                </c:pt>
                <c:pt idx="543">
                  <c:v>44274</c:v>
                </c:pt>
                <c:pt idx="544">
                  <c:v>44277</c:v>
                </c:pt>
                <c:pt idx="545">
                  <c:v>44278</c:v>
                </c:pt>
                <c:pt idx="546">
                  <c:v>44279</c:v>
                </c:pt>
                <c:pt idx="547">
                  <c:v>44280</c:v>
                </c:pt>
                <c:pt idx="548">
                  <c:v>44281</c:v>
                </c:pt>
                <c:pt idx="549">
                  <c:v>44284</c:v>
                </c:pt>
                <c:pt idx="550">
                  <c:v>44285</c:v>
                </c:pt>
                <c:pt idx="551">
                  <c:v>44286</c:v>
                </c:pt>
                <c:pt idx="552">
                  <c:v>44287</c:v>
                </c:pt>
                <c:pt idx="553">
                  <c:v>44288</c:v>
                </c:pt>
                <c:pt idx="554">
                  <c:v>44291</c:v>
                </c:pt>
                <c:pt idx="555">
                  <c:v>44292</c:v>
                </c:pt>
                <c:pt idx="556">
                  <c:v>44293</c:v>
                </c:pt>
                <c:pt idx="557">
                  <c:v>44294</c:v>
                </c:pt>
                <c:pt idx="558">
                  <c:v>44295</c:v>
                </c:pt>
                <c:pt idx="559">
                  <c:v>44298</c:v>
                </c:pt>
                <c:pt idx="560">
                  <c:v>44299</c:v>
                </c:pt>
                <c:pt idx="561">
                  <c:v>44300</c:v>
                </c:pt>
                <c:pt idx="562">
                  <c:v>44301</c:v>
                </c:pt>
                <c:pt idx="563">
                  <c:v>44302</c:v>
                </c:pt>
                <c:pt idx="564">
                  <c:v>44305</c:v>
                </c:pt>
                <c:pt idx="565">
                  <c:v>44306</c:v>
                </c:pt>
                <c:pt idx="566">
                  <c:v>44307</c:v>
                </c:pt>
                <c:pt idx="567">
                  <c:v>44308</c:v>
                </c:pt>
                <c:pt idx="568">
                  <c:v>44309</c:v>
                </c:pt>
                <c:pt idx="569">
                  <c:v>44312</c:v>
                </c:pt>
                <c:pt idx="570">
                  <c:v>44313</c:v>
                </c:pt>
                <c:pt idx="571">
                  <c:v>44314</c:v>
                </c:pt>
                <c:pt idx="572">
                  <c:v>44315</c:v>
                </c:pt>
                <c:pt idx="573">
                  <c:v>44316</c:v>
                </c:pt>
                <c:pt idx="574">
                  <c:v>44319</c:v>
                </c:pt>
                <c:pt idx="575">
                  <c:v>44320</c:v>
                </c:pt>
                <c:pt idx="576">
                  <c:v>44321</c:v>
                </c:pt>
                <c:pt idx="577">
                  <c:v>44322</c:v>
                </c:pt>
                <c:pt idx="578">
                  <c:v>44323</c:v>
                </c:pt>
                <c:pt idx="579">
                  <c:v>44326</c:v>
                </c:pt>
                <c:pt idx="580">
                  <c:v>44327</c:v>
                </c:pt>
                <c:pt idx="581">
                  <c:v>44328</c:v>
                </c:pt>
                <c:pt idx="582">
                  <c:v>44329</c:v>
                </c:pt>
                <c:pt idx="583">
                  <c:v>44330</c:v>
                </c:pt>
                <c:pt idx="584">
                  <c:v>44333</c:v>
                </c:pt>
                <c:pt idx="585">
                  <c:v>44334</c:v>
                </c:pt>
                <c:pt idx="586">
                  <c:v>44335</c:v>
                </c:pt>
                <c:pt idx="587">
                  <c:v>44336</c:v>
                </c:pt>
                <c:pt idx="588">
                  <c:v>44341</c:v>
                </c:pt>
                <c:pt idx="589">
                  <c:v>44342</c:v>
                </c:pt>
                <c:pt idx="590">
                  <c:v>44343</c:v>
                </c:pt>
                <c:pt idx="591">
                  <c:v>44347</c:v>
                </c:pt>
                <c:pt idx="592">
                  <c:v>44348</c:v>
                </c:pt>
                <c:pt idx="593">
                  <c:v>44349</c:v>
                </c:pt>
                <c:pt idx="594">
                  <c:v>44350</c:v>
                </c:pt>
                <c:pt idx="595">
                  <c:v>44351</c:v>
                </c:pt>
                <c:pt idx="596">
                  <c:v>44354</c:v>
                </c:pt>
                <c:pt idx="597">
                  <c:v>44355</c:v>
                </c:pt>
                <c:pt idx="598">
                  <c:v>44356</c:v>
                </c:pt>
                <c:pt idx="599">
                  <c:v>44357</c:v>
                </c:pt>
                <c:pt idx="600">
                  <c:v>44358</c:v>
                </c:pt>
                <c:pt idx="601">
                  <c:v>44361</c:v>
                </c:pt>
                <c:pt idx="602">
                  <c:v>44362</c:v>
                </c:pt>
                <c:pt idx="603">
                  <c:v>44363</c:v>
                </c:pt>
                <c:pt idx="604">
                  <c:v>44364</c:v>
                </c:pt>
                <c:pt idx="605">
                  <c:v>44365</c:v>
                </c:pt>
                <c:pt idx="606">
                  <c:v>44368</c:v>
                </c:pt>
                <c:pt idx="607">
                  <c:v>44369</c:v>
                </c:pt>
                <c:pt idx="608">
                  <c:v>44370</c:v>
                </c:pt>
                <c:pt idx="609">
                  <c:v>44371</c:v>
                </c:pt>
                <c:pt idx="610">
                  <c:v>44372</c:v>
                </c:pt>
                <c:pt idx="611">
                  <c:v>44375</c:v>
                </c:pt>
                <c:pt idx="612">
                  <c:v>44376</c:v>
                </c:pt>
                <c:pt idx="613">
                  <c:v>44377</c:v>
                </c:pt>
                <c:pt idx="614">
                  <c:v>44378</c:v>
                </c:pt>
                <c:pt idx="615">
                  <c:v>44379</c:v>
                </c:pt>
                <c:pt idx="616">
                  <c:v>44383</c:v>
                </c:pt>
                <c:pt idx="617">
                  <c:v>44384</c:v>
                </c:pt>
                <c:pt idx="618">
                  <c:v>44385</c:v>
                </c:pt>
                <c:pt idx="619">
                  <c:v>44386</c:v>
                </c:pt>
                <c:pt idx="620">
                  <c:v>44389</c:v>
                </c:pt>
                <c:pt idx="621">
                  <c:v>44390</c:v>
                </c:pt>
                <c:pt idx="622">
                  <c:v>44391</c:v>
                </c:pt>
                <c:pt idx="623">
                  <c:v>44392</c:v>
                </c:pt>
                <c:pt idx="624">
                  <c:v>44393</c:v>
                </c:pt>
                <c:pt idx="625">
                  <c:v>44396</c:v>
                </c:pt>
                <c:pt idx="626">
                  <c:v>44397</c:v>
                </c:pt>
                <c:pt idx="627">
                  <c:v>44398</c:v>
                </c:pt>
                <c:pt idx="628">
                  <c:v>44399</c:v>
                </c:pt>
                <c:pt idx="629">
                  <c:v>44400</c:v>
                </c:pt>
                <c:pt idx="630">
                  <c:v>44403</c:v>
                </c:pt>
                <c:pt idx="631">
                  <c:v>44404</c:v>
                </c:pt>
                <c:pt idx="632">
                  <c:v>44405</c:v>
                </c:pt>
                <c:pt idx="633">
                  <c:v>44406</c:v>
                </c:pt>
                <c:pt idx="634">
                  <c:v>44407</c:v>
                </c:pt>
                <c:pt idx="635">
                  <c:v>44410</c:v>
                </c:pt>
                <c:pt idx="636">
                  <c:v>44411</c:v>
                </c:pt>
                <c:pt idx="637">
                  <c:v>44412</c:v>
                </c:pt>
                <c:pt idx="638">
                  <c:v>44413</c:v>
                </c:pt>
                <c:pt idx="639">
                  <c:v>44414</c:v>
                </c:pt>
                <c:pt idx="640">
                  <c:v>44417</c:v>
                </c:pt>
                <c:pt idx="641">
                  <c:v>44418</c:v>
                </c:pt>
                <c:pt idx="642">
                  <c:v>44419</c:v>
                </c:pt>
                <c:pt idx="643">
                  <c:v>44420</c:v>
                </c:pt>
                <c:pt idx="644">
                  <c:v>44421</c:v>
                </c:pt>
                <c:pt idx="645">
                  <c:v>44424</c:v>
                </c:pt>
                <c:pt idx="646">
                  <c:v>44425</c:v>
                </c:pt>
                <c:pt idx="647">
                  <c:v>44426</c:v>
                </c:pt>
                <c:pt idx="648">
                  <c:v>44427</c:v>
                </c:pt>
                <c:pt idx="649">
                  <c:v>44428</c:v>
                </c:pt>
                <c:pt idx="650">
                  <c:v>44431</c:v>
                </c:pt>
                <c:pt idx="651">
                  <c:v>44432</c:v>
                </c:pt>
                <c:pt idx="652">
                  <c:v>44433</c:v>
                </c:pt>
                <c:pt idx="653">
                  <c:v>44434</c:v>
                </c:pt>
                <c:pt idx="654">
                  <c:v>44435</c:v>
                </c:pt>
                <c:pt idx="655">
                  <c:v>44438</c:v>
                </c:pt>
                <c:pt idx="656">
                  <c:v>44439</c:v>
                </c:pt>
                <c:pt idx="657">
                  <c:v>44440</c:v>
                </c:pt>
                <c:pt idx="658">
                  <c:v>44441</c:v>
                </c:pt>
                <c:pt idx="659">
                  <c:v>44442</c:v>
                </c:pt>
                <c:pt idx="660">
                  <c:v>44445</c:v>
                </c:pt>
                <c:pt idx="661">
                  <c:v>44446</c:v>
                </c:pt>
                <c:pt idx="662">
                  <c:v>44447</c:v>
                </c:pt>
                <c:pt idx="663">
                  <c:v>44448</c:v>
                </c:pt>
                <c:pt idx="664">
                  <c:v>44449</c:v>
                </c:pt>
                <c:pt idx="665">
                  <c:v>44452</c:v>
                </c:pt>
                <c:pt idx="666">
                  <c:v>44453</c:v>
                </c:pt>
              </c:numCache>
            </c:numRef>
          </c:cat>
          <c:val>
            <c:numRef>
              <c:f>Sheet1!$E$2:$E$668</c:f>
              <c:numCache>
                <c:formatCode>0</c:formatCode>
                <c:ptCount val="667"/>
                <c:pt idx="0" formatCode="General">
                  <c:v>100</c:v>
                </c:pt>
                <c:pt idx="1">
                  <c:v>99</c:v>
                </c:pt>
                <c:pt idx="2">
                  <c:v>100</c:v>
                </c:pt>
                <c:pt idx="3">
                  <c:v>100</c:v>
                </c:pt>
                <c:pt idx="4">
                  <c:v>100</c:v>
                </c:pt>
                <c:pt idx="5">
                  <c:v>100</c:v>
                </c:pt>
                <c:pt idx="6">
                  <c:v>100</c:v>
                </c:pt>
                <c:pt idx="7">
                  <c:v>100</c:v>
                </c:pt>
                <c:pt idx="8">
                  <c:v>101</c:v>
                </c:pt>
                <c:pt idx="9">
                  <c:v>101</c:v>
                </c:pt>
                <c:pt idx="10">
                  <c:v>101</c:v>
                </c:pt>
                <c:pt idx="11">
                  <c:v>100</c:v>
                </c:pt>
                <c:pt idx="12">
                  <c:v>101</c:v>
                </c:pt>
                <c:pt idx="13">
                  <c:v>100</c:v>
                </c:pt>
                <c:pt idx="14">
                  <c:v>100</c:v>
                </c:pt>
                <c:pt idx="15">
                  <c:v>100</c:v>
                </c:pt>
                <c:pt idx="16">
                  <c:v>100</c:v>
                </c:pt>
                <c:pt idx="17">
                  <c:v>100</c:v>
                </c:pt>
                <c:pt idx="18">
                  <c:v>100</c:v>
                </c:pt>
                <c:pt idx="19">
                  <c:v>100</c:v>
                </c:pt>
                <c:pt idx="20">
                  <c:v>101</c:v>
                </c:pt>
                <c:pt idx="21">
                  <c:v>101</c:v>
                </c:pt>
                <c:pt idx="22">
                  <c:v>101</c:v>
                </c:pt>
                <c:pt idx="23">
                  <c:v>101</c:v>
                </c:pt>
                <c:pt idx="24">
                  <c:v>101</c:v>
                </c:pt>
                <c:pt idx="25">
                  <c:v>102</c:v>
                </c:pt>
                <c:pt idx="26">
                  <c:v>101</c:v>
                </c:pt>
                <c:pt idx="27">
                  <c:v>101</c:v>
                </c:pt>
                <c:pt idx="28">
                  <c:v>101</c:v>
                </c:pt>
                <c:pt idx="29">
                  <c:v>101</c:v>
                </c:pt>
                <c:pt idx="30">
                  <c:v>101</c:v>
                </c:pt>
                <c:pt idx="31">
                  <c:v>101</c:v>
                </c:pt>
                <c:pt idx="32">
                  <c:v>101</c:v>
                </c:pt>
                <c:pt idx="33">
                  <c:v>101</c:v>
                </c:pt>
                <c:pt idx="34">
                  <c:v>100</c:v>
                </c:pt>
                <c:pt idx="35">
                  <c:v>101</c:v>
                </c:pt>
                <c:pt idx="36">
                  <c:v>101</c:v>
                </c:pt>
                <c:pt idx="37">
                  <c:v>101</c:v>
                </c:pt>
                <c:pt idx="38">
                  <c:v>101</c:v>
                </c:pt>
                <c:pt idx="39">
                  <c:v>101</c:v>
                </c:pt>
                <c:pt idx="40">
                  <c:v>101</c:v>
                </c:pt>
                <c:pt idx="41">
                  <c:v>102</c:v>
                </c:pt>
                <c:pt idx="42">
                  <c:v>102</c:v>
                </c:pt>
                <c:pt idx="43">
                  <c:v>101</c:v>
                </c:pt>
                <c:pt idx="44">
                  <c:v>101</c:v>
                </c:pt>
                <c:pt idx="45">
                  <c:v>101</c:v>
                </c:pt>
                <c:pt idx="46">
                  <c:v>101</c:v>
                </c:pt>
                <c:pt idx="47">
                  <c:v>101</c:v>
                </c:pt>
                <c:pt idx="48">
                  <c:v>100</c:v>
                </c:pt>
                <c:pt idx="49">
                  <c:v>100</c:v>
                </c:pt>
                <c:pt idx="50">
                  <c:v>101</c:v>
                </c:pt>
                <c:pt idx="51">
                  <c:v>101</c:v>
                </c:pt>
                <c:pt idx="52">
                  <c:v>101</c:v>
                </c:pt>
                <c:pt idx="53">
                  <c:v>101</c:v>
                </c:pt>
                <c:pt idx="54">
                  <c:v>101</c:v>
                </c:pt>
                <c:pt idx="55">
                  <c:v>101</c:v>
                </c:pt>
                <c:pt idx="56">
                  <c:v>101</c:v>
                </c:pt>
                <c:pt idx="57">
                  <c:v>101</c:v>
                </c:pt>
                <c:pt idx="58">
                  <c:v>102</c:v>
                </c:pt>
                <c:pt idx="59">
                  <c:v>101</c:v>
                </c:pt>
                <c:pt idx="60">
                  <c:v>102</c:v>
                </c:pt>
                <c:pt idx="61">
                  <c:v>102</c:v>
                </c:pt>
                <c:pt idx="62">
                  <c:v>101</c:v>
                </c:pt>
                <c:pt idx="63">
                  <c:v>101</c:v>
                </c:pt>
                <c:pt idx="64">
                  <c:v>101</c:v>
                </c:pt>
                <c:pt idx="65">
                  <c:v>101</c:v>
                </c:pt>
                <c:pt idx="66">
                  <c:v>101</c:v>
                </c:pt>
                <c:pt idx="67">
                  <c:v>101</c:v>
                </c:pt>
                <c:pt idx="68">
                  <c:v>101</c:v>
                </c:pt>
                <c:pt idx="69">
                  <c:v>101</c:v>
                </c:pt>
                <c:pt idx="70">
                  <c:v>102</c:v>
                </c:pt>
                <c:pt idx="71">
                  <c:v>102</c:v>
                </c:pt>
                <c:pt idx="72">
                  <c:v>102</c:v>
                </c:pt>
                <c:pt idx="73">
                  <c:v>102</c:v>
                </c:pt>
                <c:pt idx="74">
                  <c:v>103</c:v>
                </c:pt>
                <c:pt idx="75">
                  <c:v>102</c:v>
                </c:pt>
                <c:pt idx="76">
                  <c:v>102</c:v>
                </c:pt>
                <c:pt idx="77">
                  <c:v>102</c:v>
                </c:pt>
                <c:pt idx="78">
                  <c:v>102</c:v>
                </c:pt>
                <c:pt idx="79">
                  <c:v>102</c:v>
                </c:pt>
                <c:pt idx="80">
                  <c:v>102</c:v>
                </c:pt>
                <c:pt idx="81">
                  <c:v>102</c:v>
                </c:pt>
                <c:pt idx="82">
                  <c:v>102</c:v>
                </c:pt>
                <c:pt idx="83">
                  <c:v>102</c:v>
                </c:pt>
                <c:pt idx="84">
                  <c:v>102</c:v>
                </c:pt>
                <c:pt idx="85">
                  <c:v>102</c:v>
                </c:pt>
                <c:pt idx="86">
                  <c:v>102</c:v>
                </c:pt>
                <c:pt idx="87">
                  <c:v>102</c:v>
                </c:pt>
                <c:pt idx="88">
                  <c:v>102</c:v>
                </c:pt>
                <c:pt idx="89">
                  <c:v>102</c:v>
                </c:pt>
                <c:pt idx="90">
                  <c:v>103</c:v>
                </c:pt>
                <c:pt idx="91">
                  <c:v>103</c:v>
                </c:pt>
                <c:pt idx="92">
                  <c:v>102</c:v>
                </c:pt>
                <c:pt idx="93">
                  <c:v>102</c:v>
                </c:pt>
                <c:pt idx="94">
                  <c:v>102</c:v>
                </c:pt>
                <c:pt idx="95">
                  <c:v>103</c:v>
                </c:pt>
                <c:pt idx="96">
                  <c:v>103</c:v>
                </c:pt>
                <c:pt idx="97">
                  <c:v>102</c:v>
                </c:pt>
                <c:pt idx="98">
                  <c:v>102</c:v>
                </c:pt>
                <c:pt idx="99">
                  <c:v>102</c:v>
                </c:pt>
                <c:pt idx="100">
                  <c:v>102</c:v>
                </c:pt>
                <c:pt idx="101">
                  <c:v>102</c:v>
                </c:pt>
                <c:pt idx="102">
                  <c:v>101</c:v>
                </c:pt>
                <c:pt idx="103">
                  <c:v>101</c:v>
                </c:pt>
                <c:pt idx="104">
                  <c:v>101</c:v>
                </c:pt>
                <c:pt idx="105">
                  <c:v>102</c:v>
                </c:pt>
                <c:pt idx="106">
                  <c:v>102</c:v>
                </c:pt>
                <c:pt idx="107">
                  <c:v>102</c:v>
                </c:pt>
                <c:pt idx="108">
                  <c:v>102</c:v>
                </c:pt>
                <c:pt idx="109">
                  <c:v>102</c:v>
                </c:pt>
                <c:pt idx="110">
                  <c:v>101</c:v>
                </c:pt>
                <c:pt idx="111">
                  <c:v>101</c:v>
                </c:pt>
                <c:pt idx="112">
                  <c:v>100</c:v>
                </c:pt>
                <c:pt idx="113">
                  <c:v>100</c:v>
                </c:pt>
                <c:pt idx="114">
                  <c:v>100</c:v>
                </c:pt>
                <c:pt idx="115">
                  <c:v>100</c:v>
                </c:pt>
                <c:pt idx="116">
                  <c:v>100</c:v>
                </c:pt>
                <c:pt idx="117">
                  <c:v>100</c:v>
                </c:pt>
                <c:pt idx="118">
                  <c:v>101</c:v>
                </c:pt>
                <c:pt idx="119">
                  <c:v>101</c:v>
                </c:pt>
                <c:pt idx="120">
                  <c:v>101</c:v>
                </c:pt>
                <c:pt idx="121">
                  <c:v>101</c:v>
                </c:pt>
                <c:pt idx="122">
                  <c:v>102</c:v>
                </c:pt>
                <c:pt idx="123">
                  <c:v>102</c:v>
                </c:pt>
                <c:pt idx="124">
                  <c:v>101</c:v>
                </c:pt>
                <c:pt idx="125">
                  <c:v>101</c:v>
                </c:pt>
                <c:pt idx="126">
                  <c:v>101</c:v>
                </c:pt>
                <c:pt idx="127">
                  <c:v>101</c:v>
                </c:pt>
                <c:pt idx="128">
                  <c:v>102</c:v>
                </c:pt>
                <c:pt idx="129">
                  <c:v>101</c:v>
                </c:pt>
                <c:pt idx="130">
                  <c:v>101</c:v>
                </c:pt>
                <c:pt idx="131">
                  <c:v>101</c:v>
                </c:pt>
                <c:pt idx="132">
                  <c:v>102</c:v>
                </c:pt>
                <c:pt idx="133">
                  <c:v>102</c:v>
                </c:pt>
                <c:pt idx="134">
                  <c:v>102</c:v>
                </c:pt>
                <c:pt idx="135">
                  <c:v>102</c:v>
                </c:pt>
                <c:pt idx="136">
                  <c:v>102</c:v>
                </c:pt>
                <c:pt idx="137">
                  <c:v>102</c:v>
                </c:pt>
                <c:pt idx="138">
                  <c:v>102</c:v>
                </c:pt>
                <c:pt idx="139">
                  <c:v>103</c:v>
                </c:pt>
                <c:pt idx="140">
                  <c:v>103</c:v>
                </c:pt>
                <c:pt idx="141">
                  <c:v>102</c:v>
                </c:pt>
                <c:pt idx="142">
                  <c:v>102</c:v>
                </c:pt>
                <c:pt idx="143">
                  <c:v>102</c:v>
                </c:pt>
                <c:pt idx="144">
                  <c:v>102</c:v>
                </c:pt>
                <c:pt idx="145">
                  <c:v>102</c:v>
                </c:pt>
                <c:pt idx="146">
                  <c:v>102</c:v>
                </c:pt>
                <c:pt idx="147">
                  <c:v>102</c:v>
                </c:pt>
                <c:pt idx="148">
                  <c:v>102</c:v>
                </c:pt>
                <c:pt idx="149">
                  <c:v>102</c:v>
                </c:pt>
                <c:pt idx="150">
                  <c:v>103</c:v>
                </c:pt>
                <c:pt idx="151">
                  <c:v>103</c:v>
                </c:pt>
                <c:pt idx="152">
                  <c:v>103</c:v>
                </c:pt>
                <c:pt idx="153">
                  <c:v>103</c:v>
                </c:pt>
                <c:pt idx="154">
                  <c:v>103</c:v>
                </c:pt>
                <c:pt idx="155">
                  <c:v>103</c:v>
                </c:pt>
                <c:pt idx="156">
                  <c:v>102</c:v>
                </c:pt>
                <c:pt idx="157">
                  <c:v>103</c:v>
                </c:pt>
                <c:pt idx="158">
                  <c:v>103</c:v>
                </c:pt>
                <c:pt idx="159">
                  <c:v>103</c:v>
                </c:pt>
                <c:pt idx="160">
                  <c:v>103</c:v>
                </c:pt>
                <c:pt idx="161">
                  <c:v>104</c:v>
                </c:pt>
                <c:pt idx="162">
                  <c:v>104</c:v>
                </c:pt>
                <c:pt idx="163">
                  <c:v>104</c:v>
                </c:pt>
                <c:pt idx="164">
                  <c:v>103</c:v>
                </c:pt>
                <c:pt idx="165">
                  <c:v>103</c:v>
                </c:pt>
                <c:pt idx="166">
                  <c:v>103</c:v>
                </c:pt>
                <c:pt idx="167">
                  <c:v>103</c:v>
                </c:pt>
                <c:pt idx="168">
                  <c:v>103</c:v>
                </c:pt>
                <c:pt idx="169">
                  <c:v>103</c:v>
                </c:pt>
                <c:pt idx="170">
                  <c:v>103</c:v>
                </c:pt>
                <c:pt idx="171">
                  <c:v>103</c:v>
                </c:pt>
                <c:pt idx="172">
                  <c:v>103</c:v>
                </c:pt>
                <c:pt idx="173">
                  <c:v>102</c:v>
                </c:pt>
                <c:pt idx="174">
                  <c:v>103</c:v>
                </c:pt>
                <c:pt idx="175">
                  <c:v>102</c:v>
                </c:pt>
                <c:pt idx="176">
                  <c:v>103</c:v>
                </c:pt>
                <c:pt idx="177">
                  <c:v>103</c:v>
                </c:pt>
                <c:pt idx="178">
                  <c:v>103</c:v>
                </c:pt>
                <c:pt idx="179">
                  <c:v>103</c:v>
                </c:pt>
                <c:pt idx="180">
                  <c:v>103</c:v>
                </c:pt>
                <c:pt idx="181">
                  <c:v>103</c:v>
                </c:pt>
                <c:pt idx="182">
                  <c:v>104</c:v>
                </c:pt>
                <c:pt idx="183">
                  <c:v>103</c:v>
                </c:pt>
                <c:pt idx="184">
                  <c:v>103</c:v>
                </c:pt>
                <c:pt idx="185">
                  <c:v>103</c:v>
                </c:pt>
                <c:pt idx="186">
                  <c:v>103</c:v>
                </c:pt>
                <c:pt idx="187">
                  <c:v>103</c:v>
                </c:pt>
                <c:pt idx="188">
                  <c:v>104</c:v>
                </c:pt>
                <c:pt idx="189">
                  <c:v>103</c:v>
                </c:pt>
                <c:pt idx="190">
                  <c:v>103</c:v>
                </c:pt>
                <c:pt idx="191">
                  <c:v>103</c:v>
                </c:pt>
                <c:pt idx="192">
                  <c:v>103</c:v>
                </c:pt>
                <c:pt idx="193">
                  <c:v>103</c:v>
                </c:pt>
                <c:pt idx="194">
                  <c:v>102</c:v>
                </c:pt>
                <c:pt idx="195">
                  <c:v>102</c:v>
                </c:pt>
                <c:pt idx="196">
                  <c:v>102</c:v>
                </c:pt>
                <c:pt idx="197">
                  <c:v>102</c:v>
                </c:pt>
                <c:pt idx="198">
                  <c:v>102</c:v>
                </c:pt>
                <c:pt idx="199">
                  <c:v>102</c:v>
                </c:pt>
                <c:pt idx="200">
                  <c:v>102</c:v>
                </c:pt>
                <c:pt idx="201">
                  <c:v>102</c:v>
                </c:pt>
                <c:pt idx="202">
                  <c:v>102</c:v>
                </c:pt>
                <c:pt idx="203">
                  <c:v>102</c:v>
                </c:pt>
                <c:pt idx="204">
                  <c:v>102</c:v>
                </c:pt>
                <c:pt idx="205">
                  <c:v>102</c:v>
                </c:pt>
                <c:pt idx="206">
                  <c:v>102</c:v>
                </c:pt>
                <c:pt idx="207">
                  <c:v>102</c:v>
                </c:pt>
                <c:pt idx="208">
                  <c:v>102</c:v>
                </c:pt>
                <c:pt idx="209">
                  <c:v>102</c:v>
                </c:pt>
                <c:pt idx="210">
                  <c:v>103</c:v>
                </c:pt>
                <c:pt idx="211">
                  <c:v>103</c:v>
                </c:pt>
                <c:pt idx="212">
                  <c:v>103</c:v>
                </c:pt>
                <c:pt idx="213">
                  <c:v>103</c:v>
                </c:pt>
                <c:pt idx="214">
                  <c:v>103</c:v>
                </c:pt>
                <c:pt idx="215">
                  <c:v>103</c:v>
                </c:pt>
                <c:pt idx="216">
                  <c:v>103</c:v>
                </c:pt>
                <c:pt idx="217">
                  <c:v>102</c:v>
                </c:pt>
                <c:pt idx="218">
                  <c:v>102</c:v>
                </c:pt>
                <c:pt idx="219">
                  <c:v>102</c:v>
                </c:pt>
                <c:pt idx="220">
                  <c:v>103</c:v>
                </c:pt>
                <c:pt idx="221">
                  <c:v>103</c:v>
                </c:pt>
                <c:pt idx="222">
                  <c:v>103</c:v>
                </c:pt>
                <c:pt idx="223">
                  <c:v>103</c:v>
                </c:pt>
                <c:pt idx="224">
                  <c:v>103</c:v>
                </c:pt>
                <c:pt idx="225">
                  <c:v>103</c:v>
                </c:pt>
                <c:pt idx="226">
                  <c:v>103</c:v>
                </c:pt>
                <c:pt idx="227">
                  <c:v>102</c:v>
                </c:pt>
                <c:pt idx="228">
                  <c:v>102</c:v>
                </c:pt>
                <c:pt idx="229">
                  <c:v>102</c:v>
                </c:pt>
                <c:pt idx="230">
                  <c:v>102</c:v>
                </c:pt>
                <c:pt idx="231">
                  <c:v>102</c:v>
                </c:pt>
                <c:pt idx="232">
                  <c:v>102</c:v>
                </c:pt>
                <c:pt idx="233">
                  <c:v>102</c:v>
                </c:pt>
                <c:pt idx="234">
                  <c:v>102</c:v>
                </c:pt>
                <c:pt idx="235">
                  <c:v>102</c:v>
                </c:pt>
                <c:pt idx="236">
                  <c:v>102</c:v>
                </c:pt>
                <c:pt idx="237">
                  <c:v>102</c:v>
                </c:pt>
                <c:pt idx="238">
                  <c:v>101</c:v>
                </c:pt>
                <c:pt idx="239">
                  <c:v>102</c:v>
                </c:pt>
                <c:pt idx="240">
                  <c:v>102</c:v>
                </c:pt>
                <c:pt idx="241">
                  <c:v>102</c:v>
                </c:pt>
                <c:pt idx="242">
                  <c:v>102</c:v>
                </c:pt>
                <c:pt idx="243">
                  <c:v>102</c:v>
                </c:pt>
                <c:pt idx="244">
                  <c:v>102</c:v>
                </c:pt>
                <c:pt idx="245">
                  <c:v>101</c:v>
                </c:pt>
                <c:pt idx="246">
                  <c:v>101</c:v>
                </c:pt>
                <c:pt idx="247">
                  <c:v>102</c:v>
                </c:pt>
                <c:pt idx="248">
                  <c:v>102</c:v>
                </c:pt>
                <c:pt idx="249">
                  <c:v>102</c:v>
                </c:pt>
                <c:pt idx="250">
                  <c:v>102</c:v>
                </c:pt>
                <c:pt idx="251">
                  <c:v>102</c:v>
                </c:pt>
                <c:pt idx="252">
                  <c:v>102</c:v>
                </c:pt>
                <c:pt idx="253">
                  <c:v>102</c:v>
                </c:pt>
                <c:pt idx="254">
                  <c:v>102</c:v>
                </c:pt>
                <c:pt idx="255">
                  <c:v>102</c:v>
                </c:pt>
                <c:pt idx="256">
                  <c:v>102</c:v>
                </c:pt>
                <c:pt idx="257">
                  <c:v>102</c:v>
                </c:pt>
                <c:pt idx="258">
                  <c:v>102</c:v>
                </c:pt>
                <c:pt idx="259">
                  <c:v>102</c:v>
                </c:pt>
                <c:pt idx="260">
                  <c:v>102</c:v>
                </c:pt>
                <c:pt idx="261">
                  <c:v>102</c:v>
                </c:pt>
                <c:pt idx="262">
                  <c:v>102</c:v>
                </c:pt>
                <c:pt idx="263">
                  <c:v>102</c:v>
                </c:pt>
                <c:pt idx="264">
                  <c:v>102</c:v>
                </c:pt>
                <c:pt idx="265">
                  <c:v>103</c:v>
                </c:pt>
                <c:pt idx="266">
                  <c:v>103</c:v>
                </c:pt>
                <c:pt idx="267">
                  <c:v>103</c:v>
                </c:pt>
                <c:pt idx="268">
                  <c:v>103</c:v>
                </c:pt>
                <c:pt idx="269">
                  <c:v>103</c:v>
                </c:pt>
                <c:pt idx="270">
                  <c:v>104</c:v>
                </c:pt>
                <c:pt idx="271">
                  <c:v>104</c:v>
                </c:pt>
                <c:pt idx="272">
                  <c:v>104</c:v>
                </c:pt>
                <c:pt idx="273">
                  <c:v>104</c:v>
                </c:pt>
                <c:pt idx="274">
                  <c:v>104</c:v>
                </c:pt>
                <c:pt idx="275">
                  <c:v>104</c:v>
                </c:pt>
                <c:pt idx="276">
                  <c:v>105</c:v>
                </c:pt>
                <c:pt idx="277">
                  <c:v>104</c:v>
                </c:pt>
                <c:pt idx="278">
                  <c:v>104</c:v>
                </c:pt>
                <c:pt idx="279">
                  <c:v>104</c:v>
                </c:pt>
                <c:pt idx="280">
                  <c:v>104</c:v>
                </c:pt>
                <c:pt idx="281">
                  <c:v>103</c:v>
                </c:pt>
                <c:pt idx="282">
                  <c:v>103</c:v>
                </c:pt>
                <c:pt idx="283">
                  <c:v>102</c:v>
                </c:pt>
                <c:pt idx="284">
                  <c:v>102</c:v>
                </c:pt>
                <c:pt idx="285">
                  <c:v>102</c:v>
                </c:pt>
                <c:pt idx="286">
                  <c:v>101</c:v>
                </c:pt>
                <c:pt idx="287">
                  <c:v>100</c:v>
                </c:pt>
                <c:pt idx="288">
                  <c:v>99</c:v>
                </c:pt>
                <c:pt idx="289">
                  <c:v>101</c:v>
                </c:pt>
                <c:pt idx="290">
                  <c:v>101</c:v>
                </c:pt>
                <c:pt idx="291">
                  <c:v>102</c:v>
                </c:pt>
                <c:pt idx="292">
                  <c:v>103</c:v>
                </c:pt>
                <c:pt idx="293">
                  <c:v>103</c:v>
                </c:pt>
                <c:pt idx="294">
                  <c:v>105</c:v>
                </c:pt>
                <c:pt idx="295">
                  <c:v>106</c:v>
                </c:pt>
                <c:pt idx="296">
                  <c:v>109</c:v>
                </c:pt>
                <c:pt idx="297">
                  <c:v>108</c:v>
                </c:pt>
                <c:pt idx="298">
                  <c:v>108</c:v>
                </c:pt>
                <c:pt idx="299">
                  <c:v>107</c:v>
                </c:pt>
                <c:pt idx="300">
                  <c:v>106</c:v>
                </c:pt>
                <c:pt idx="301">
                  <c:v>104</c:v>
                </c:pt>
                <c:pt idx="302">
                  <c:v>103</c:v>
                </c:pt>
                <c:pt idx="303">
                  <c:v>104</c:v>
                </c:pt>
                <c:pt idx="304">
                  <c:v>104</c:v>
                </c:pt>
                <c:pt idx="305">
                  <c:v>104</c:v>
                </c:pt>
                <c:pt idx="306">
                  <c:v>105</c:v>
                </c:pt>
                <c:pt idx="307">
                  <c:v>105</c:v>
                </c:pt>
                <c:pt idx="308">
                  <c:v>106</c:v>
                </c:pt>
                <c:pt idx="309">
                  <c:v>105</c:v>
                </c:pt>
                <c:pt idx="310">
                  <c:v>105</c:v>
                </c:pt>
                <c:pt idx="311">
                  <c:v>104</c:v>
                </c:pt>
                <c:pt idx="312">
                  <c:v>104</c:v>
                </c:pt>
                <c:pt idx="313">
                  <c:v>104</c:v>
                </c:pt>
                <c:pt idx="314">
                  <c:v>104</c:v>
                </c:pt>
                <c:pt idx="315">
                  <c:v>105</c:v>
                </c:pt>
                <c:pt idx="316">
                  <c:v>105</c:v>
                </c:pt>
                <c:pt idx="317">
                  <c:v>105</c:v>
                </c:pt>
                <c:pt idx="318">
                  <c:v>105</c:v>
                </c:pt>
                <c:pt idx="319">
                  <c:v>105</c:v>
                </c:pt>
                <c:pt idx="320">
                  <c:v>105</c:v>
                </c:pt>
                <c:pt idx="321">
                  <c:v>105</c:v>
                </c:pt>
                <c:pt idx="322">
                  <c:v>105</c:v>
                </c:pt>
                <c:pt idx="323">
                  <c:v>104</c:v>
                </c:pt>
                <c:pt idx="324">
                  <c:v>104</c:v>
                </c:pt>
                <c:pt idx="325">
                  <c:v>104</c:v>
                </c:pt>
                <c:pt idx="326">
                  <c:v>104</c:v>
                </c:pt>
                <c:pt idx="327">
                  <c:v>105</c:v>
                </c:pt>
                <c:pt idx="328">
                  <c:v>105</c:v>
                </c:pt>
                <c:pt idx="329">
                  <c:v>104</c:v>
                </c:pt>
                <c:pt idx="330">
                  <c:v>105</c:v>
                </c:pt>
                <c:pt idx="331">
                  <c:v>105</c:v>
                </c:pt>
                <c:pt idx="332">
                  <c:v>105</c:v>
                </c:pt>
                <c:pt idx="333">
                  <c:v>105</c:v>
                </c:pt>
                <c:pt idx="334">
                  <c:v>105</c:v>
                </c:pt>
                <c:pt idx="335">
                  <c:v>104</c:v>
                </c:pt>
                <c:pt idx="336">
                  <c:v>104</c:v>
                </c:pt>
                <c:pt idx="337">
                  <c:v>104</c:v>
                </c:pt>
                <c:pt idx="338">
                  <c:v>104</c:v>
                </c:pt>
                <c:pt idx="339">
                  <c:v>105</c:v>
                </c:pt>
                <c:pt idx="340">
                  <c:v>105</c:v>
                </c:pt>
                <c:pt idx="341">
                  <c:v>104</c:v>
                </c:pt>
                <c:pt idx="342">
                  <c:v>104</c:v>
                </c:pt>
                <c:pt idx="343">
                  <c:v>102</c:v>
                </c:pt>
                <c:pt idx="344">
                  <c:v>102</c:v>
                </c:pt>
                <c:pt idx="345">
                  <c:v>102</c:v>
                </c:pt>
                <c:pt idx="346">
                  <c:v>101</c:v>
                </c:pt>
                <c:pt idx="347">
                  <c:v>102</c:v>
                </c:pt>
                <c:pt idx="348">
                  <c:v>101</c:v>
                </c:pt>
                <c:pt idx="349">
                  <c:v>101</c:v>
                </c:pt>
                <c:pt idx="350">
                  <c:v>100</c:v>
                </c:pt>
                <c:pt idx="351">
                  <c:v>101</c:v>
                </c:pt>
                <c:pt idx="352">
                  <c:v>102</c:v>
                </c:pt>
                <c:pt idx="353">
                  <c:v>102</c:v>
                </c:pt>
                <c:pt idx="354">
                  <c:v>102</c:v>
                </c:pt>
                <c:pt idx="355">
                  <c:v>102</c:v>
                </c:pt>
                <c:pt idx="356">
                  <c:v>102</c:v>
                </c:pt>
                <c:pt idx="357">
                  <c:v>102</c:v>
                </c:pt>
                <c:pt idx="358">
                  <c:v>102</c:v>
                </c:pt>
                <c:pt idx="359">
                  <c:v>101</c:v>
                </c:pt>
                <c:pt idx="360">
                  <c:v>102</c:v>
                </c:pt>
                <c:pt idx="361">
                  <c:v>102</c:v>
                </c:pt>
                <c:pt idx="362">
                  <c:v>102</c:v>
                </c:pt>
                <c:pt idx="363">
                  <c:v>102</c:v>
                </c:pt>
                <c:pt idx="364">
                  <c:v>102</c:v>
                </c:pt>
                <c:pt idx="365">
                  <c:v>102</c:v>
                </c:pt>
                <c:pt idx="366">
                  <c:v>102</c:v>
                </c:pt>
                <c:pt idx="367">
                  <c:v>102</c:v>
                </c:pt>
                <c:pt idx="368">
                  <c:v>101</c:v>
                </c:pt>
                <c:pt idx="369">
                  <c:v>101</c:v>
                </c:pt>
                <c:pt idx="370">
                  <c:v>101</c:v>
                </c:pt>
                <c:pt idx="371">
                  <c:v>101</c:v>
                </c:pt>
                <c:pt idx="372">
                  <c:v>101</c:v>
                </c:pt>
                <c:pt idx="373">
                  <c:v>101</c:v>
                </c:pt>
                <c:pt idx="374">
                  <c:v>101</c:v>
                </c:pt>
                <c:pt idx="375">
                  <c:v>101</c:v>
                </c:pt>
                <c:pt idx="376">
                  <c:v>101</c:v>
                </c:pt>
                <c:pt idx="377">
                  <c:v>100</c:v>
                </c:pt>
                <c:pt idx="378">
                  <c:v>100</c:v>
                </c:pt>
                <c:pt idx="379">
                  <c:v>100</c:v>
                </c:pt>
                <c:pt idx="380">
                  <c:v>99</c:v>
                </c:pt>
                <c:pt idx="381">
                  <c:v>99</c:v>
                </c:pt>
                <c:pt idx="382">
                  <c:v>99</c:v>
                </c:pt>
                <c:pt idx="383">
                  <c:v>98</c:v>
                </c:pt>
                <c:pt idx="384">
                  <c:v>98</c:v>
                </c:pt>
                <c:pt idx="385">
                  <c:v>98</c:v>
                </c:pt>
                <c:pt idx="386">
                  <c:v>97</c:v>
                </c:pt>
                <c:pt idx="387">
                  <c:v>98</c:v>
                </c:pt>
                <c:pt idx="388">
                  <c:v>98</c:v>
                </c:pt>
                <c:pt idx="389">
                  <c:v>98</c:v>
                </c:pt>
                <c:pt idx="390">
                  <c:v>97</c:v>
                </c:pt>
                <c:pt idx="391">
                  <c:v>97</c:v>
                </c:pt>
                <c:pt idx="392">
                  <c:v>98</c:v>
                </c:pt>
                <c:pt idx="393">
                  <c:v>98</c:v>
                </c:pt>
                <c:pt idx="394">
                  <c:v>98</c:v>
                </c:pt>
                <c:pt idx="395">
                  <c:v>98</c:v>
                </c:pt>
                <c:pt idx="396">
                  <c:v>98</c:v>
                </c:pt>
                <c:pt idx="397">
                  <c:v>97</c:v>
                </c:pt>
                <c:pt idx="398">
                  <c:v>97</c:v>
                </c:pt>
                <c:pt idx="399">
                  <c:v>97</c:v>
                </c:pt>
                <c:pt idx="400">
                  <c:v>97</c:v>
                </c:pt>
                <c:pt idx="401">
                  <c:v>97</c:v>
                </c:pt>
                <c:pt idx="402">
                  <c:v>98</c:v>
                </c:pt>
                <c:pt idx="403">
                  <c:v>98</c:v>
                </c:pt>
                <c:pt idx="404">
                  <c:v>97</c:v>
                </c:pt>
                <c:pt idx="405">
                  <c:v>97</c:v>
                </c:pt>
                <c:pt idx="406">
                  <c:v>97</c:v>
                </c:pt>
                <c:pt idx="407">
                  <c:v>97</c:v>
                </c:pt>
                <c:pt idx="408">
                  <c:v>96</c:v>
                </c:pt>
                <c:pt idx="409">
                  <c:v>97</c:v>
                </c:pt>
                <c:pt idx="410">
                  <c:v>97</c:v>
                </c:pt>
                <c:pt idx="411">
                  <c:v>97</c:v>
                </c:pt>
                <c:pt idx="412">
                  <c:v>97</c:v>
                </c:pt>
                <c:pt idx="413">
                  <c:v>97</c:v>
                </c:pt>
                <c:pt idx="414">
                  <c:v>98</c:v>
                </c:pt>
                <c:pt idx="415">
                  <c:v>98</c:v>
                </c:pt>
                <c:pt idx="416">
                  <c:v>98</c:v>
                </c:pt>
                <c:pt idx="417">
                  <c:v>98</c:v>
                </c:pt>
                <c:pt idx="418">
                  <c:v>97</c:v>
                </c:pt>
                <c:pt idx="419">
                  <c:v>97</c:v>
                </c:pt>
                <c:pt idx="420">
                  <c:v>98</c:v>
                </c:pt>
                <c:pt idx="421">
                  <c:v>97</c:v>
                </c:pt>
                <c:pt idx="422">
                  <c:v>97</c:v>
                </c:pt>
                <c:pt idx="423">
                  <c:v>98</c:v>
                </c:pt>
                <c:pt idx="424">
                  <c:v>99</c:v>
                </c:pt>
                <c:pt idx="425">
                  <c:v>99</c:v>
                </c:pt>
                <c:pt idx="426">
                  <c:v>99</c:v>
                </c:pt>
                <c:pt idx="427">
                  <c:v>99</c:v>
                </c:pt>
                <c:pt idx="428">
                  <c:v>98</c:v>
                </c:pt>
                <c:pt idx="429">
                  <c:v>98</c:v>
                </c:pt>
                <c:pt idx="430">
                  <c:v>98</c:v>
                </c:pt>
                <c:pt idx="431">
                  <c:v>98</c:v>
                </c:pt>
                <c:pt idx="432">
                  <c:v>98</c:v>
                </c:pt>
                <c:pt idx="433">
                  <c:v>98</c:v>
                </c:pt>
                <c:pt idx="434">
                  <c:v>98</c:v>
                </c:pt>
                <c:pt idx="435">
                  <c:v>98</c:v>
                </c:pt>
                <c:pt idx="436">
                  <c:v>97</c:v>
                </c:pt>
                <c:pt idx="437">
                  <c:v>98</c:v>
                </c:pt>
                <c:pt idx="438">
                  <c:v>98</c:v>
                </c:pt>
                <c:pt idx="439">
                  <c:v>98</c:v>
                </c:pt>
                <c:pt idx="440">
                  <c:v>98</c:v>
                </c:pt>
                <c:pt idx="441">
                  <c:v>98</c:v>
                </c:pt>
                <c:pt idx="442">
                  <c:v>98</c:v>
                </c:pt>
                <c:pt idx="443">
                  <c:v>97</c:v>
                </c:pt>
                <c:pt idx="444">
                  <c:v>97</c:v>
                </c:pt>
                <c:pt idx="445">
                  <c:v>97</c:v>
                </c:pt>
                <c:pt idx="446">
                  <c:v>97</c:v>
                </c:pt>
                <c:pt idx="447">
                  <c:v>97</c:v>
                </c:pt>
                <c:pt idx="448">
                  <c:v>97</c:v>
                </c:pt>
                <c:pt idx="449">
                  <c:v>98</c:v>
                </c:pt>
                <c:pt idx="450">
                  <c:v>98</c:v>
                </c:pt>
                <c:pt idx="451">
                  <c:v>98</c:v>
                </c:pt>
                <c:pt idx="452">
                  <c:v>99</c:v>
                </c:pt>
                <c:pt idx="453">
                  <c:v>98</c:v>
                </c:pt>
                <c:pt idx="454">
                  <c:v>98</c:v>
                </c:pt>
                <c:pt idx="455">
                  <c:v>97</c:v>
                </c:pt>
                <c:pt idx="456">
                  <c:v>97</c:v>
                </c:pt>
                <c:pt idx="457">
                  <c:v>97</c:v>
                </c:pt>
                <c:pt idx="458">
                  <c:v>97</c:v>
                </c:pt>
                <c:pt idx="459">
                  <c:v>97</c:v>
                </c:pt>
                <c:pt idx="460">
                  <c:v>97</c:v>
                </c:pt>
                <c:pt idx="461">
                  <c:v>97</c:v>
                </c:pt>
                <c:pt idx="462">
                  <c:v>97</c:v>
                </c:pt>
                <c:pt idx="463">
                  <c:v>97</c:v>
                </c:pt>
                <c:pt idx="464">
                  <c:v>97</c:v>
                </c:pt>
                <c:pt idx="465">
                  <c:v>97</c:v>
                </c:pt>
                <c:pt idx="466">
                  <c:v>97</c:v>
                </c:pt>
                <c:pt idx="467">
                  <c:v>97</c:v>
                </c:pt>
                <c:pt idx="468">
                  <c:v>97</c:v>
                </c:pt>
                <c:pt idx="469">
                  <c:v>96</c:v>
                </c:pt>
                <c:pt idx="470">
                  <c:v>96</c:v>
                </c:pt>
                <c:pt idx="471">
                  <c:v>96</c:v>
                </c:pt>
                <c:pt idx="472">
                  <c:v>96</c:v>
                </c:pt>
                <c:pt idx="473">
                  <c:v>96</c:v>
                </c:pt>
                <c:pt idx="474">
                  <c:v>95</c:v>
                </c:pt>
                <c:pt idx="475">
                  <c:v>95</c:v>
                </c:pt>
                <c:pt idx="476">
                  <c:v>95</c:v>
                </c:pt>
                <c:pt idx="477">
                  <c:v>95</c:v>
                </c:pt>
                <c:pt idx="478">
                  <c:v>95</c:v>
                </c:pt>
                <c:pt idx="479">
                  <c:v>95</c:v>
                </c:pt>
                <c:pt idx="480">
                  <c:v>95</c:v>
                </c:pt>
                <c:pt idx="481">
                  <c:v>95</c:v>
                </c:pt>
                <c:pt idx="482">
                  <c:v>95</c:v>
                </c:pt>
                <c:pt idx="483">
                  <c:v>95</c:v>
                </c:pt>
                <c:pt idx="484">
                  <c:v>95</c:v>
                </c:pt>
                <c:pt idx="485">
                  <c:v>94</c:v>
                </c:pt>
                <c:pt idx="486">
                  <c:v>94</c:v>
                </c:pt>
                <c:pt idx="487">
                  <c:v>94</c:v>
                </c:pt>
                <c:pt idx="488">
                  <c:v>95</c:v>
                </c:pt>
                <c:pt idx="489">
                  <c:v>95</c:v>
                </c:pt>
                <c:pt idx="490">
                  <c:v>95</c:v>
                </c:pt>
                <c:pt idx="491">
                  <c:v>95</c:v>
                </c:pt>
                <c:pt idx="492">
                  <c:v>94</c:v>
                </c:pt>
                <c:pt idx="493">
                  <c:v>94</c:v>
                </c:pt>
                <c:pt idx="494">
                  <c:v>94</c:v>
                </c:pt>
                <c:pt idx="495">
                  <c:v>94</c:v>
                </c:pt>
                <c:pt idx="496">
                  <c:v>95</c:v>
                </c:pt>
                <c:pt idx="497">
                  <c:v>94</c:v>
                </c:pt>
                <c:pt idx="498">
                  <c:v>95</c:v>
                </c:pt>
                <c:pt idx="499">
                  <c:v>94</c:v>
                </c:pt>
                <c:pt idx="500">
                  <c:v>95</c:v>
                </c:pt>
                <c:pt idx="501">
                  <c:v>95</c:v>
                </c:pt>
                <c:pt idx="502">
                  <c:v>95</c:v>
                </c:pt>
                <c:pt idx="503">
                  <c:v>95</c:v>
                </c:pt>
                <c:pt idx="504">
                  <c:v>94</c:v>
                </c:pt>
                <c:pt idx="505">
                  <c:v>94</c:v>
                </c:pt>
                <c:pt idx="506">
                  <c:v>95</c:v>
                </c:pt>
                <c:pt idx="507">
                  <c:v>94</c:v>
                </c:pt>
                <c:pt idx="508">
                  <c:v>95</c:v>
                </c:pt>
                <c:pt idx="509">
                  <c:v>95</c:v>
                </c:pt>
                <c:pt idx="510">
                  <c:v>95</c:v>
                </c:pt>
                <c:pt idx="511">
                  <c:v>96</c:v>
                </c:pt>
                <c:pt idx="512">
                  <c:v>95</c:v>
                </c:pt>
                <c:pt idx="513">
                  <c:v>96</c:v>
                </c:pt>
                <c:pt idx="514">
                  <c:v>95</c:v>
                </c:pt>
                <c:pt idx="515">
                  <c:v>95</c:v>
                </c:pt>
                <c:pt idx="516">
                  <c:v>95</c:v>
                </c:pt>
                <c:pt idx="517">
                  <c:v>95</c:v>
                </c:pt>
                <c:pt idx="518">
                  <c:v>95</c:v>
                </c:pt>
                <c:pt idx="519">
                  <c:v>95</c:v>
                </c:pt>
                <c:pt idx="520">
                  <c:v>95</c:v>
                </c:pt>
                <c:pt idx="521">
                  <c:v>95</c:v>
                </c:pt>
                <c:pt idx="522">
                  <c:v>95</c:v>
                </c:pt>
                <c:pt idx="523">
                  <c:v>95</c:v>
                </c:pt>
                <c:pt idx="524">
                  <c:v>95</c:v>
                </c:pt>
                <c:pt idx="525">
                  <c:v>94</c:v>
                </c:pt>
                <c:pt idx="526">
                  <c:v>94</c:v>
                </c:pt>
                <c:pt idx="527">
                  <c:v>94</c:v>
                </c:pt>
                <c:pt idx="528">
                  <c:v>94</c:v>
                </c:pt>
                <c:pt idx="529">
                  <c:v>95</c:v>
                </c:pt>
                <c:pt idx="530">
                  <c:v>95</c:v>
                </c:pt>
                <c:pt idx="531">
                  <c:v>95</c:v>
                </c:pt>
                <c:pt idx="532">
                  <c:v>95</c:v>
                </c:pt>
                <c:pt idx="533">
                  <c:v>96</c:v>
                </c:pt>
                <c:pt idx="534">
                  <c:v>96</c:v>
                </c:pt>
                <c:pt idx="535">
                  <c:v>96</c:v>
                </c:pt>
                <c:pt idx="536">
                  <c:v>96</c:v>
                </c:pt>
                <c:pt idx="537">
                  <c:v>96</c:v>
                </c:pt>
                <c:pt idx="538">
                  <c:v>96</c:v>
                </c:pt>
                <c:pt idx="539">
                  <c:v>96</c:v>
                </c:pt>
                <c:pt idx="540">
                  <c:v>96</c:v>
                </c:pt>
                <c:pt idx="541">
                  <c:v>96</c:v>
                </c:pt>
                <c:pt idx="542">
                  <c:v>96</c:v>
                </c:pt>
                <c:pt idx="543">
                  <c:v>96</c:v>
                </c:pt>
                <c:pt idx="544">
                  <c:v>96</c:v>
                </c:pt>
                <c:pt idx="545">
                  <c:v>97</c:v>
                </c:pt>
                <c:pt idx="546">
                  <c:v>97</c:v>
                </c:pt>
                <c:pt idx="547">
                  <c:v>97</c:v>
                </c:pt>
                <c:pt idx="548">
                  <c:v>97</c:v>
                </c:pt>
                <c:pt idx="549">
                  <c:v>97</c:v>
                </c:pt>
                <c:pt idx="550">
                  <c:v>98</c:v>
                </c:pt>
                <c:pt idx="551">
                  <c:v>98</c:v>
                </c:pt>
                <c:pt idx="552">
                  <c:v>97</c:v>
                </c:pt>
                <c:pt idx="553">
                  <c:v>97</c:v>
                </c:pt>
                <c:pt idx="554">
                  <c:v>97</c:v>
                </c:pt>
                <c:pt idx="555">
                  <c:v>97</c:v>
                </c:pt>
                <c:pt idx="556">
                  <c:v>97</c:v>
                </c:pt>
                <c:pt idx="557" formatCode="0.00">
                  <c:v>96.43</c:v>
                </c:pt>
                <c:pt idx="558" formatCode="0.00">
                  <c:v>96.52</c:v>
                </c:pt>
                <c:pt idx="559" formatCode="0.00">
                  <c:v>96.51</c:v>
                </c:pt>
                <c:pt idx="560">
                  <c:v>96</c:v>
                </c:pt>
                <c:pt idx="561">
                  <c:v>96</c:v>
                </c:pt>
                <c:pt idx="562">
                  <c:v>96</c:v>
                </c:pt>
                <c:pt idx="563">
                  <c:v>96</c:v>
                </c:pt>
                <c:pt idx="564">
                  <c:v>95</c:v>
                </c:pt>
                <c:pt idx="565">
                  <c:v>96</c:v>
                </c:pt>
                <c:pt idx="566">
                  <c:v>95</c:v>
                </c:pt>
                <c:pt idx="567">
                  <c:v>96</c:v>
                </c:pt>
                <c:pt idx="568">
                  <c:v>95</c:v>
                </c:pt>
                <c:pt idx="569">
                  <c:v>95</c:v>
                </c:pt>
                <c:pt idx="570">
                  <c:v>95</c:v>
                </c:pt>
                <c:pt idx="571">
                  <c:v>95</c:v>
                </c:pt>
                <c:pt idx="572">
                  <c:v>95</c:v>
                </c:pt>
                <c:pt idx="573">
                  <c:v>96</c:v>
                </c:pt>
                <c:pt idx="574">
                  <c:v>95</c:v>
                </c:pt>
                <c:pt idx="575">
                  <c:v>96</c:v>
                </c:pt>
                <c:pt idx="576">
                  <c:v>96</c:v>
                </c:pt>
                <c:pt idx="577">
                  <c:v>95</c:v>
                </c:pt>
                <c:pt idx="578">
                  <c:v>94</c:v>
                </c:pt>
                <c:pt idx="579">
                  <c:v>94</c:v>
                </c:pt>
                <c:pt idx="580">
                  <c:v>94</c:v>
                </c:pt>
                <c:pt idx="581">
                  <c:v>95</c:v>
                </c:pt>
                <c:pt idx="582">
                  <c:v>95</c:v>
                </c:pt>
                <c:pt idx="583">
                  <c:v>95</c:v>
                </c:pt>
                <c:pt idx="584">
                  <c:v>94.4</c:v>
                </c:pt>
                <c:pt idx="585">
                  <c:v>94</c:v>
                </c:pt>
                <c:pt idx="586">
                  <c:v>94.5</c:v>
                </c:pt>
                <c:pt idx="587">
                  <c:v>94</c:v>
                </c:pt>
                <c:pt idx="588">
                  <c:v>93.9</c:v>
                </c:pt>
                <c:pt idx="589" formatCode="General">
                  <c:v>94.3</c:v>
                </c:pt>
                <c:pt idx="590" formatCode="General">
                  <c:v>94.2</c:v>
                </c:pt>
                <c:pt idx="591" formatCode="General">
                  <c:v>94.3</c:v>
                </c:pt>
                <c:pt idx="592" formatCode="General">
                  <c:v>94.1</c:v>
                </c:pt>
                <c:pt idx="593" formatCode="General">
                  <c:v>94.2</c:v>
                </c:pt>
                <c:pt idx="594" formatCode="General">
                  <c:v>94.8</c:v>
                </c:pt>
                <c:pt idx="595" formatCode="General">
                  <c:v>94.4</c:v>
                </c:pt>
                <c:pt idx="596" formatCode="General">
                  <c:v>94.2</c:v>
                </c:pt>
                <c:pt idx="597" formatCode="General">
                  <c:v>94.3</c:v>
                </c:pt>
                <c:pt idx="598" formatCode="General">
                  <c:v>94.4</c:v>
                </c:pt>
                <c:pt idx="599" formatCode="General">
                  <c:v>94.3</c:v>
                </c:pt>
                <c:pt idx="600" formatCode="General">
                  <c:v>94.8</c:v>
                </c:pt>
                <c:pt idx="601" formatCode="General">
                  <c:v>94.8</c:v>
                </c:pt>
                <c:pt idx="602" formatCode="General">
                  <c:v>94.8</c:v>
                </c:pt>
                <c:pt idx="603" formatCode="General">
                  <c:v>95.5</c:v>
                </c:pt>
                <c:pt idx="604" formatCode="General">
                  <c:v>96.2</c:v>
                </c:pt>
                <c:pt idx="605" formatCode="General">
                  <c:v>96.6</c:v>
                </c:pt>
                <c:pt idx="606" formatCode="General">
                  <c:v>96.2</c:v>
                </c:pt>
                <c:pt idx="607" formatCode="General">
                  <c:v>96.1</c:v>
                </c:pt>
                <c:pt idx="608" formatCode="General">
                  <c:v>96.1</c:v>
                </c:pt>
                <c:pt idx="609" formatCode="General">
                  <c:v>96.1</c:v>
                </c:pt>
                <c:pt idx="610" formatCode="General">
                  <c:v>96.2</c:v>
                </c:pt>
                <c:pt idx="611" formatCode="General">
                  <c:v>96.2</c:v>
                </c:pt>
                <c:pt idx="612" formatCode="General">
                  <c:v>96.4</c:v>
                </c:pt>
                <c:pt idx="613" formatCode="General">
                  <c:v>96.8</c:v>
                </c:pt>
                <c:pt idx="614" formatCode="General">
                  <c:v>97</c:v>
                </c:pt>
                <c:pt idx="615" formatCode="General">
                  <c:v>96.8</c:v>
                </c:pt>
                <c:pt idx="616" formatCode="General">
                  <c:v>96.9</c:v>
                </c:pt>
                <c:pt idx="617" formatCode="General">
                  <c:v>97</c:v>
                </c:pt>
                <c:pt idx="618" formatCode="General">
                  <c:v>96.8</c:v>
                </c:pt>
                <c:pt idx="619" formatCode="General">
                  <c:v>96.5</c:v>
                </c:pt>
                <c:pt idx="620" formatCode="General">
                  <c:v>96.6</c:v>
                </c:pt>
                <c:pt idx="621">
                  <c:v>96.076171584428465</c:v>
                </c:pt>
                <c:pt idx="622">
                  <c:v>96.444235701531298</c:v>
                </c:pt>
                <c:pt idx="623">
                  <c:v>96.208932214917255</c:v>
                </c:pt>
                <c:pt idx="624">
                  <c:v>96.150804319915423</c:v>
                </c:pt>
                <c:pt idx="625">
                  <c:v>95.930350914962332</c:v>
                </c:pt>
                <c:pt idx="626">
                  <c:v>95.848843287193901</c:v>
                </c:pt>
                <c:pt idx="627">
                  <c:v>96.076171584428479</c:v>
                </c:pt>
                <c:pt idx="628">
                  <c:v>96.002688785952827</c:v>
                </c:pt>
                <c:pt idx="629">
                  <c:v>95.901446280991749</c:v>
                </c:pt>
                <c:pt idx="630">
                  <c:v>96.188164186031457</c:v>
                </c:pt>
                <c:pt idx="631">
                  <c:v>96.411891470855508</c:v>
                </c:pt>
                <c:pt idx="632">
                  <c:v>96.536169936198121</c:v>
                </c:pt>
                <c:pt idx="633">
                  <c:v>97.004817624712928</c:v>
                </c:pt>
                <c:pt idx="634">
                  <c:v>96.67125439319652</c:v>
                </c:pt>
                <c:pt idx="635">
                  <c:v>96.800408407103689</c:v>
                </c:pt>
                <c:pt idx="636">
                  <c:v>96.776231430805339</c:v>
                </c:pt>
                <c:pt idx="637">
                  <c:v>96.581156121984534</c:v>
                </c:pt>
                <c:pt idx="638">
                  <c:v>96.604188527078023</c:v>
                </c:pt>
                <c:pt idx="639">
                  <c:v>96.03372413793106</c:v>
                </c:pt>
                <c:pt idx="640">
                  <c:v>95.89112741827887</c:v>
                </c:pt>
                <c:pt idx="641">
                  <c:v>95.770561495889538</c:v>
                </c:pt>
                <c:pt idx="642">
                  <c:v>95.911767364773254</c:v>
                </c:pt>
                <c:pt idx="643">
                  <c:v>95.788060792364433</c:v>
                </c:pt>
                <c:pt idx="644">
                  <c:v>96.332687651331739</c:v>
                </c:pt>
                <c:pt idx="645">
                  <c:v>96.221397337479374</c:v>
                </c:pt>
                <c:pt idx="646">
                  <c:v>95.678024585323982</c:v>
                </c:pt>
                <c:pt idx="647">
                  <c:v>95.679051790775588</c:v>
                </c:pt>
                <c:pt idx="648">
                  <c:v>95.225131427106064</c:v>
                </c:pt>
                <c:pt idx="649">
                  <c:v>95.306600504769676</c:v>
                </c:pt>
                <c:pt idx="650">
                  <c:v>95.857090920824788</c:v>
                </c:pt>
                <c:pt idx="651">
                  <c:v>95.929318306584449</c:v>
                </c:pt>
                <c:pt idx="652">
                  <c:v>96.000620475698057</c:v>
                </c:pt>
                <c:pt idx="653">
                  <c:v>95.746896151614791</c:v>
                </c:pt>
                <c:pt idx="654">
                  <c:v>96.143543271409158</c:v>
                </c:pt>
                <c:pt idx="655">
                  <c:v>96.187126019945609</c:v>
                </c:pt>
                <c:pt idx="656">
                  <c:v>96.204777891725598</c:v>
                </c:pt>
                <c:pt idx="657">
                  <c:v>96.39833421670329</c:v>
                </c:pt>
                <c:pt idx="658">
                  <c:v>96.629327319252312</c:v>
                </c:pt>
                <c:pt idx="659">
                  <c:v>96.834066041528601</c:v>
                </c:pt>
                <c:pt idx="660">
                  <c:v>96.834066041528601</c:v>
                </c:pt>
                <c:pt idx="661">
                  <c:v>96.330605097606878</c:v>
                </c:pt>
                <c:pt idx="662">
                  <c:v>96.18920237452781</c:v>
                </c:pt>
                <c:pt idx="663">
                  <c:v>96.366020761245707</c:v>
                </c:pt>
                <c:pt idx="664">
                  <c:v>96.251534722972266</c:v>
                </c:pt>
                <c:pt idx="665">
                  <c:v>96.187126019945637</c:v>
                </c:pt>
                <c:pt idx="666">
                  <c:v>96.226592091908387</c:v>
                </c:pt>
              </c:numCache>
            </c:numRef>
          </c:val>
          <c:smooth val="0"/>
          <c:extLst>
            <c:ext xmlns:c16="http://schemas.microsoft.com/office/drawing/2014/chart" uri="{C3380CC4-5D6E-409C-BE32-E72D297353CC}">
              <c16:uniqueId val="{00000003-278A-4EF5-B312-96BEA00F0B78}"/>
            </c:ext>
          </c:extLst>
        </c:ser>
        <c:dLbls>
          <c:showLegendKey val="0"/>
          <c:showVal val="0"/>
          <c:showCatName val="0"/>
          <c:showSerName val="0"/>
          <c:showPercent val="0"/>
          <c:showBubbleSize val="0"/>
        </c:dLbls>
        <c:smooth val="0"/>
        <c:axId val="290548736"/>
        <c:axId val="295166720"/>
      </c:lineChart>
      <c:dateAx>
        <c:axId val="290548736"/>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crossAx val="295166720"/>
        <c:crosses val="autoZero"/>
        <c:auto val="1"/>
        <c:lblOffset val="100"/>
        <c:baseTimeUnit val="days"/>
      </c:dateAx>
      <c:valAx>
        <c:axId val="295166720"/>
        <c:scaling>
          <c:orientation val="minMax"/>
          <c:max val="128"/>
          <c:min val="8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Ինդեքս՝ 2019 թ. հունվարի 8</a:t>
                </a:r>
                <a:endParaRPr lang="en-US" sz="700" b="0" i="0" u="none" strike="noStrike" baseline="0">
                  <a:effectLst/>
                </a:endParaRPr>
              </a:p>
              <a:p>
                <a:pPr>
                  <a:defRPr sz="700" b="0" i="0" u="none" strike="noStrike" kern="1200" baseline="0">
                    <a:solidFill>
                      <a:schemeClr val="tx1">
                        <a:lumMod val="65000"/>
                        <a:lumOff val="35000"/>
                      </a:schemeClr>
                    </a:solidFill>
                    <a:latin typeface="+mn-lt"/>
                    <a:ea typeface="+mn-ea"/>
                    <a:cs typeface="+mn-cs"/>
                  </a:defRPr>
                </a:pPr>
                <a:r>
                  <a:rPr lang="hy-AM" sz="700" b="0" i="0" u="none" strike="noStrike" baseline="0">
                    <a:effectLst/>
                  </a:rPr>
                  <a:t>=100</a:t>
                </a:r>
                <a:endParaRPr lang="en-US" sz="700"/>
              </a:p>
            </c:rich>
          </c:tx>
          <c:layout>
            <c:manualLayout>
              <c:xMode val="edge"/>
              <c:yMode val="edge"/>
              <c:x val="7.751937984496143E-3"/>
              <c:y val="8.4670206921809224E-2"/>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548736"/>
        <c:crosses val="autoZero"/>
        <c:crossBetween val="between"/>
        <c:majorUnit val="20"/>
      </c:valAx>
      <c:spPr>
        <a:noFill/>
        <a:ln>
          <a:noFill/>
        </a:ln>
        <a:effectLst/>
      </c:spPr>
    </c:plotArea>
    <c:legend>
      <c:legendPos val="b"/>
      <c:layout>
        <c:manualLayout>
          <c:xMode val="edge"/>
          <c:yMode val="edge"/>
          <c:x val="0"/>
          <c:y val="0.81035853771867028"/>
          <c:w val="0.99798755588566268"/>
          <c:h val="0.1896414622813296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cap="none" spc="0" normalizeH="0" baseline="0">
                <a:solidFill>
                  <a:schemeClr val="tx1"/>
                </a:solidFill>
                <a:latin typeface="GHEA Grapalat" panose="02000506050000020003" pitchFamily="50" charset="0"/>
                <a:ea typeface="+mj-ea"/>
                <a:cs typeface="+mj-cs"/>
              </a:defRPr>
            </a:pPr>
            <a:r>
              <a:rPr lang="hy-AM" sz="900" i="1"/>
              <a:t>Կարճաժամկետ տոկոսադրույքներ, </a:t>
            </a:r>
            <a:r>
              <a:rPr lang="en-US" sz="900" i="1"/>
              <a:t>%</a:t>
            </a:r>
          </a:p>
        </c:rich>
      </c:tx>
      <c:layout/>
      <c:overlay val="0"/>
      <c:spPr>
        <a:noFill/>
        <a:ln>
          <a:noFill/>
        </a:ln>
        <a:effectLst/>
      </c:spPr>
    </c:title>
    <c:autoTitleDeleted val="0"/>
    <c:plotArea>
      <c:layout>
        <c:manualLayout>
          <c:layoutTarget val="inner"/>
          <c:xMode val="edge"/>
          <c:yMode val="edge"/>
          <c:x val="0.11873660719946239"/>
          <c:y val="0.19546619172603483"/>
          <c:w val="0.83697997895190634"/>
          <c:h val="0.34204632060829027"/>
        </c:manualLayout>
      </c:layout>
      <c:lineChart>
        <c:grouping val="standard"/>
        <c:varyColors val="0"/>
        <c:ser>
          <c:idx val="0"/>
          <c:order val="0"/>
          <c:tx>
            <c:strRef>
              <c:f>Sheet1!$B$1</c:f>
              <c:strCache>
                <c:ptCount val="1"/>
                <c:pt idx="0">
                  <c:v>ԿԲ վերաֆինանսավորման տոկոսադրույք</c:v>
                </c:pt>
              </c:strCache>
            </c:strRef>
          </c:tx>
          <c:spPr>
            <a:ln w="22225" cap="rnd">
              <a:solidFill>
                <a:schemeClr val="accent1"/>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Sheet1!$B$2:$B$58</c:f>
              <c:numCache>
                <c:formatCode>0.0</c:formatCode>
                <c:ptCount val="57"/>
                <c:pt idx="0">
                  <c:v>6.25</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pt idx="17">
                  <c:v>6</c:v>
                </c:pt>
                <c:pt idx="18">
                  <c:v>6</c:v>
                </c:pt>
                <c:pt idx="19">
                  <c:v>6</c:v>
                </c:pt>
                <c:pt idx="20">
                  <c:v>6</c:v>
                </c:pt>
                <c:pt idx="21">
                  <c:v>6</c:v>
                </c:pt>
                <c:pt idx="22">
                  <c:v>6</c:v>
                </c:pt>
                <c:pt idx="23">
                  <c:v>6</c:v>
                </c:pt>
                <c:pt idx="24">
                  <c:v>5.75</c:v>
                </c:pt>
                <c:pt idx="25">
                  <c:v>5.75</c:v>
                </c:pt>
                <c:pt idx="26">
                  <c:v>5.75</c:v>
                </c:pt>
                <c:pt idx="27">
                  <c:v>5.75</c:v>
                </c:pt>
                <c:pt idx="28">
                  <c:v>5.75</c:v>
                </c:pt>
                <c:pt idx="29">
                  <c:v>5.75</c:v>
                </c:pt>
                <c:pt idx="30">
                  <c:v>5.75</c:v>
                </c:pt>
                <c:pt idx="31">
                  <c:v>5.75</c:v>
                </c:pt>
                <c:pt idx="32">
                  <c:v>5.5</c:v>
                </c:pt>
                <c:pt idx="33">
                  <c:v>5.5</c:v>
                </c:pt>
                <c:pt idx="34">
                  <c:v>5.5</c:v>
                </c:pt>
                <c:pt idx="35">
                  <c:v>5.5</c:v>
                </c:pt>
                <c:pt idx="36">
                  <c:v>5.5</c:v>
                </c:pt>
                <c:pt idx="37">
                  <c:v>5.5</c:v>
                </c:pt>
                <c:pt idx="38">
                  <c:v>5.25</c:v>
                </c:pt>
                <c:pt idx="39">
                  <c:v>5</c:v>
                </c:pt>
                <c:pt idx="40">
                  <c:v>5</c:v>
                </c:pt>
                <c:pt idx="41">
                  <c:v>4.5</c:v>
                </c:pt>
                <c:pt idx="42">
                  <c:v>4.5</c:v>
                </c:pt>
                <c:pt idx="43">
                  <c:v>4.5</c:v>
                </c:pt>
                <c:pt idx="44">
                  <c:v>4.25</c:v>
                </c:pt>
                <c:pt idx="45">
                  <c:v>4.25</c:v>
                </c:pt>
                <c:pt idx="46">
                  <c:v>4.25</c:v>
                </c:pt>
                <c:pt idx="47">
                  <c:v>5.25</c:v>
                </c:pt>
                <c:pt idx="48">
                  <c:v>5.25</c:v>
                </c:pt>
                <c:pt idx="49">
                  <c:v>5.5</c:v>
                </c:pt>
                <c:pt idx="50">
                  <c:v>5.5</c:v>
                </c:pt>
                <c:pt idx="51">
                  <c:v>5.5</c:v>
                </c:pt>
                <c:pt idx="52">
                  <c:v>6</c:v>
                </c:pt>
                <c:pt idx="53">
                  <c:v>6.5</c:v>
                </c:pt>
                <c:pt idx="54">
                  <c:v>6.5</c:v>
                </c:pt>
                <c:pt idx="55">
                  <c:v>7</c:v>
                </c:pt>
                <c:pt idx="56">
                  <c:v>7.25</c:v>
                </c:pt>
              </c:numCache>
            </c:numRef>
          </c:val>
          <c:smooth val="0"/>
          <c:extLst>
            <c:ext xmlns:c16="http://schemas.microsoft.com/office/drawing/2014/chart" uri="{C3380CC4-5D6E-409C-BE32-E72D297353CC}">
              <c16:uniqueId val="{00000000-3591-45CE-810A-394B5D4DFF6F}"/>
            </c:ext>
          </c:extLst>
        </c:ser>
        <c:ser>
          <c:idx val="1"/>
          <c:order val="1"/>
          <c:tx>
            <c:strRef>
              <c:f>Sheet1!$C$1</c:f>
              <c:strCache>
                <c:ptCount val="1"/>
                <c:pt idx="0">
                  <c:v>Միջբանկային ռեպո տոկոսադրույք </c:v>
                </c:pt>
              </c:strCache>
            </c:strRef>
          </c:tx>
          <c:spPr>
            <a:ln w="22225" cap="rnd">
              <a:solidFill>
                <a:schemeClr val="accent2"/>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Sheet1!$C$2:$C$58</c:f>
              <c:numCache>
                <c:formatCode>0.0</c:formatCode>
                <c:ptCount val="57"/>
                <c:pt idx="0">
                  <c:v>6.02</c:v>
                </c:pt>
                <c:pt idx="1">
                  <c:v>6.12</c:v>
                </c:pt>
                <c:pt idx="2">
                  <c:v>6.03</c:v>
                </c:pt>
                <c:pt idx="3">
                  <c:v>6.04</c:v>
                </c:pt>
                <c:pt idx="4">
                  <c:v>5.89</c:v>
                </c:pt>
                <c:pt idx="5">
                  <c:v>5.64</c:v>
                </c:pt>
                <c:pt idx="6">
                  <c:v>5.6</c:v>
                </c:pt>
                <c:pt idx="7">
                  <c:v>5.24</c:v>
                </c:pt>
                <c:pt idx="8">
                  <c:v>5.19</c:v>
                </c:pt>
                <c:pt idx="9">
                  <c:v>5.7</c:v>
                </c:pt>
                <c:pt idx="10">
                  <c:v>5.86</c:v>
                </c:pt>
                <c:pt idx="11">
                  <c:v>6.12</c:v>
                </c:pt>
                <c:pt idx="12">
                  <c:v>6.03</c:v>
                </c:pt>
                <c:pt idx="13">
                  <c:v>5.85</c:v>
                </c:pt>
                <c:pt idx="14">
                  <c:v>5.99</c:v>
                </c:pt>
                <c:pt idx="15">
                  <c:v>5.93</c:v>
                </c:pt>
                <c:pt idx="16">
                  <c:v>6.23</c:v>
                </c:pt>
                <c:pt idx="17">
                  <c:v>6.45</c:v>
                </c:pt>
                <c:pt idx="18">
                  <c:v>6.22</c:v>
                </c:pt>
                <c:pt idx="19">
                  <c:v>6.17</c:v>
                </c:pt>
                <c:pt idx="20">
                  <c:v>6.14</c:v>
                </c:pt>
                <c:pt idx="21">
                  <c:v>6.1</c:v>
                </c:pt>
                <c:pt idx="22">
                  <c:v>6.16</c:v>
                </c:pt>
                <c:pt idx="23">
                  <c:v>6.22</c:v>
                </c:pt>
                <c:pt idx="24">
                  <c:v>6.15</c:v>
                </c:pt>
                <c:pt idx="25">
                  <c:v>5.8</c:v>
                </c:pt>
                <c:pt idx="26">
                  <c:v>5.84</c:v>
                </c:pt>
                <c:pt idx="27">
                  <c:v>5.95</c:v>
                </c:pt>
                <c:pt idx="28">
                  <c:v>5.83</c:v>
                </c:pt>
                <c:pt idx="29">
                  <c:v>5.84</c:v>
                </c:pt>
                <c:pt idx="30">
                  <c:v>5.81</c:v>
                </c:pt>
                <c:pt idx="31">
                  <c:v>5.83</c:v>
                </c:pt>
                <c:pt idx="32">
                  <c:v>5.68</c:v>
                </c:pt>
                <c:pt idx="33">
                  <c:v>5.59</c:v>
                </c:pt>
                <c:pt idx="34">
                  <c:v>5.5</c:v>
                </c:pt>
                <c:pt idx="35">
                  <c:v>5.56</c:v>
                </c:pt>
                <c:pt idx="36">
                  <c:v>5.55</c:v>
                </c:pt>
                <c:pt idx="37">
                  <c:v>5.54</c:v>
                </c:pt>
                <c:pt idx="38">
                  <c:v>5.33</c:v>
                </c:pt>
                <c:pt idx="39">
                  <c:v>5.27</c:v>
                </c:pt>
                <c:pt idx="40">
                  <c:v>5.1100000000000003</c:v>
                </c:pt>
                <c:pt idx="41">
                  <c:v>4.87</c:v>
                </c:pt>
                <c:pt idx="42">
                  <c:v>3.3</c:v>
                </c:pt>
                <c:pt idx="43">
                  <c:v>4.58</c:v>
                </c:pt>
                <c:pt idx="44">
                  <c:v>4.3899999999999997</c:v>
                </c:pt>
                <c:pt idx="45">
                  <c:v>4.28</c:v>
                </c:pt>
                <c:pt idx="46">
                  <c:v>4.3099999999999996</c:v>
                </c:pt>
                <c:pt idx="47">
                  <c:v>5.03</c:v>
                </c:pt>
                <c:pt idx="48">
                  <c:v>5.49</c:v>
                </c:pt>
                <c:pt idx="49">
                  <c:v>5.56</c:v>
                </c:pt>
                <c:pt idx="50">
                  <c:v>5.54</c:v>
                </c:pt>
                <c:pt idx="51">
                  <c:v>5.54</c:v>
                </c:pt>
                <c:pt idx="52">
                  <c:v>6.71</c:v>
                </c:pt>
                <c:pt idx="53">
                  <c:v>6.5</c:v>
                </c:pt>
                <c:pt idx="54">
                  <c:v>6.93</c:v>
                </c:pt>
                <c:pt idx="55">
                  <c:v>7.3</c:v>
                </c:pt>
              </c:numCache>
            </c:numRef>
          </c:val>
          <c:smooth val="0"/>
          <c:extLst>
            <c:ext xmlns:c16="http://schemas.microsoft.com/office/drawing/2014/chart" uri="{C3380CC4-5D6E-409C-BE32-E72D297353CC}">
              <c16:uniqueId val="{00000001-3591-45CE-810A-394B5D4DFF6F}"/>
            </c:ext>
          </c:extLst>
        </c:ser>
        <c:ser>
          <c:idx val="2"/>
          <c:order val="2"/>
          <c:tx>
            <c:strRef>
              <c:f>Sheet1!$D$1</c:f>
              <c:strCache>
                <c:ptCount val="1"/>
                <c:pt idx="0">
                  <c:v>1 տարի ժ․կ․ ՊՊ եկամտ․</c:v>
                </c:pt>
              </c:strCache>
            </c:strRef>
          </c:tx>
          <c:spPr>
            <a:ln w="22225" cap="rnd">
              <a:solidFill>
                <a:schemeClr val="accent3"/>
              </a:solidFill>
              <a:round/>
            </a:ln>
            <a:effectLst/>
          </c:spPr>
          <c:marker>
            <c:symbol val="none"/>
          </c:marker>
          <c:cat>
            <c:strRef>
              <c:f>Sheet1!$A$2:$A$58</c:f>
              <c:strCache>
                <c:ptCount val="57"/>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pt idx="56">
                  <c:v>2021/9</c:v>
                </c:pt>
              </c:strCache>
            </c:strRef>
          </c:cat>
          <c:val>
            <c:numRef>
              <c:f>Sheet1!$D$2:$D$58</c:f>
              <c:numCache>
                <c:formatCode>#,##0.0</c:formatCode>
                <c:ptCount val="57"/>
                <c:pt idx="0">
                  <c:v>7.7614999999999998</c:v>
                </c:pt>
                <c:pt idx="1">
                  <c:v>7.6989999999999998</c:v>
                </c:pt>
                <c:pt idx="2">
                  <c:v>7.2957999999999998</c:v>
                </c:pt>
                <c:pt idx="3">
                  <c:v>7.0052000000000003</c:v>
                </c:pt>
                <c:pt idx="4">
                  <c:v>6.7395000000000005</c:v>
                </c:pt>
                <c:pt idx="5">
                  <c:v>6.7240000000000002</c:v>
                </c:pt>
                <c:pt idx="6">
                  <c:v>6.4492000000000003</c:v>
                </c:pt>
                <c:pt idx="7">
                  <c:v>6.4047000000000001</c:v>
                </c:pt>
                <c:pt idx="8">
                  <c:v>6.2876000000000003</c:v>
                </c:pt>
                <c:pt idx="9">
                  <c:v>6.1492000000000004</c:v>
                </c:pt>
                <c:pt idx="10">
                  <c:v>6.0979999999999999</c:v>
                </c:pt>
                <c:pt idx="11">
                  <c:v>6.0979999999999999</c:v>
                </c:pt>
                <c:pt idx="12">
                  <c:v>6.1689999999999996</c:v>
                </c:pt>
                <c:pt idx="13">
                  <c:v>6.1475999999999997</c:v>
                </c:pt>
                <c:pt idx="14">
                  <c:v>6.1622000000000003</c:v>
                </c:pt>
                <c:pt idx="15">
                  <c:v>6.1551999999999998</c:v>
                </c:pt>
                <c:pt idx="16">
                  <c:v>6.2244999999999999</c:v>
                </c:pt>
                <c:pt idx="17">
                  <c:v>6.2295999999999996</c:v>
                </c:pt>
                <c:pt idx="18">
                  <c:v>6.2680999999999996</c:v>
                </c:pt>
                <c:pt idx="19">
                  <c:v>6.2766000000000002</c:v>
                </c:pt>
                <c:pt idx="20">
                  <c:v>6.2794999999999996</c:v>
                </c:pt>
                <c:pt idx="21">
                  <c:v>6.2557</c:v>
                </c:pt>
                <c:pt idx="22">
                  <c:v>6.2257999999999996</c:v>
                </c:pt>
                <c:pt idx="23">
                  <c:v>6.2268999999999997</c:v>
                </c:pt>
                <c:pt idx="24">
                  <c:v>6.2257999999999996</c:v>
                </c:pt>
                <c:pt idx="25">
                  <c:v>6.2496999999999998</c:v>
                </c:pt>
                <c:pt idx="26">
                  <c:v>6.1811999999999996</c:v>
                </c:pt>
                <c:pt idx="27">
                  <c:v>6.1741999999999999</c:v>
                </c:pt>
                <c:pt idx="28">
                  <c:v>6.0544000000000002</c:v>
                </c:pt>
                <c:pt idx="29">
                  <c:v>6.0544000000000002</c:v>
                </c:pt>
                <c:pt idx="30">
                  <c:v>6.1539999999999999</c:v>
                </c:pt>
                <c:pt idx="31">
                  <c:v>5.9701000000000004</c:v>
                </c:pt>
                <c:pt idx="32">
                  <c:v>5.9745999999999997</c:v>
                </c:pt>
                <c:pt idx="33">
                  <c:v>5.8437999999999999</c:v>
                </c:pt>
                <c:pt idx="34">
                  <c:v>5.7622</c:v>
                </c:pt>
                <c:pt idx="35">
                  <c:v>5.7070999999999996</c:v>
                </c:pt>
                <c:pt idx="36" formatCode="0.0">
                  <c:v>5.6117749999999997</c:v>
                </c:pt>
                <c:pt idx="37" formatCode="0.0">
                  <c:v>5.5589009999999996</c:v>
                </c:pt>
                <c:pt idx="38" formatCode="0.0">
                  <c:v>5.5941828200000003</c:v>
                </c:pt>
                <c:pt idx="39" formatCode="0.0">
                  <c:v>5.7322329999999999</c:v>
                </c:pt>
                <c:pt idx="40" formatCode="0.0">
                  <c:v>5.7526204545454549</c:v>
                </c:pt>
                <c:pt idx="41" formatCode="0.0">
                  <c:v>5.7470333333333334</c:v>
                </c:pt>
                <c:pt idx="42" formatCode="0.0">
                  <c:v>5.6</c:v>
                </c:pt>
                <c:pt idx="43" formatCode="0.0">
                  <c:v>5.6621024092801902</c:v>
                </c:pt>
                <c:pt idx="44" formatCode="0.0">
                  <c:v>5.6617125000000001</c:v>
                </c:pt>
                <c:pt idx="45" formatCode="0.0">
                  <c:v>5.7126151515151511</c:v>
                </c:pt>
                <c:pt idx="46" formatCode="0.0">
                  <c:v>5.9</c:v>
                </c:pt>
                <c:pt idx="47" formatCode="0.0">
                  <c:v>6.1296879687499999</c:v>
                </c:pt>
                <c:pt idx="48" formatCode="0.0">
                  <c:v>6.8925232558139538</c:v>
                </c:pt>
                <c:pt idx="49" formatCode="0.0">
                  <c:v>6.8010142857142855</c:v>
                </c:pt>
                <c:pt idx="50" formatCode="0.0">
                  <c:v>6.8712428571428568</c:v>
                </c:pt>
                <c:pt idx="51" formatCode="0.0">
                  <c:v>6.8708857142857145</c:v>
                </c:pt>
                <c:pt idx="52" formatCode="0.0">
                  <c:v>7.0861142857142854</c:v>
                </c:pt>
                <c:pt idx="53">
                  <c:v>7.4</c:v>
                </c:pt>
                <c:pt idx="54" formatCode="0.0">
                  <c:v>7.9</c:v>
                </c:pt>
              </c:numCache>
            </c:numRef>
          </c:val>
          <c:smooth val="0"/>
          <c:extLst>
            <c:ext xmlns:c16="http://schemas.microsoft.com/office/drawing/2014/chart" uri="{C3380CC4-5D6E-409C-BE32-E72D297353CC}">
              <c16:uniqueId val="{00000002-3591-45CE-810A-394B5D4DFF6F}"/>
            </c:ext>
          </c:extLst>
        </c:ser>
        <c:dLbls>
          <c:showLegendKey val="0"/>
          <c:showVal val="0"/>
          <c:showCatName val="0"/>
          <c:showSerName val="0"/>
          <c:showPercent val="0"/>
          <c:showBubbleSize val="0"/>
        </c:dLbls>
        <c:smooth val="0"/>
        <c:axId val="331182080"/>
        <c:axId val="331183616"/>
      </c:lineChart>
      <c:catAx>
        <c:axId val="331182080"/>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cap="none" spc="0" normalizeH="0" baseline="0">
                <a:solidFill>
                  <a:schemeClr val="tx1"/>
                </a:solidFill>
                <a:latin typeface="GHEA Grapalat" panose="02000506050000020003" pitchFamily="50" charset="0"/>
                <a:ea typeface="+mn-ea"/>
                <a:cs typeface="+mn-cs"/>
              </a:defRPr>
            </a:pPr>
            <a:endParaRPr lang="en-US"/>
          </a:p>
        </c:txPr>
        <c:crossAx val="331183616"/>
        <c:crosses val="autoZero"/>
        <c:auto val="1"/>
        <c:lblAlgn val="ctr"/>
        <c:lblOffset val="100"/>
        <c:noMultiLvlLbl val="0"/>
      </c:catAx>
      <c:valAx>
        <c:axId val="331183616"/>
        <c:scaling>
          <c:orientation val="minMax"/>
          <c:min val="3"/>
        </c:scaling>
        <c:delete val="0"/>
        <c:axPos val="l"/>
        <c:majorGridlines>
          <c:spPr>
            <a:ln w="9525" cap="flat" cmpd="sng" algn="ctr">
              <a:solidFill>
                <a:schemeClr val="dk1">
                  <a:lumMod val="15000"/>
                  <a:lumOff val="85000"/>
                  <a:alpha val="54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GHEA Grapalat" panose="02000506050000020003" pitchFamily="50" charset="0"/>
                <a:ea typeface="+mn-ea"/>
                <a:cs typeface="+mn-cs"/>
              </a:defRPr>
            </a:pPr>
            <a:endParaRPr lang="en-US"/>
          </a:p>
        </c:txPr>
        <c:crossAx val="331182080"/>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5422546819328741E-2"/>
          <c:y val="0.77057094314875862"/>
          <c:w val="0.95318035426731051"/>
          <c:h val="0.2058509331557099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chemeClr val="tx1"/>
          </a:solidFill>
          <a:latin typeface="GHEA Grapalat" panose="02000506050000020003" pitchFamily="50"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hy-AM"/>
              <a:t>ԿԲ գործառնություններ, մլն դրամ</a:t>
            </a:r>
            <a:endParaRPr lang="en-US"/>
          </a:p>
        </c:rich>
      </c:tx>
      <c:layout/>
      <c:overlay val="0"/>
      <c:spPr>
        <a:noFill/>
        <a:ln>
          <a:noFill/>
        </a:ln>
        <a:effectLst/>
      </c:spPr>
    </c:title>
    <c:autoTitleDeleted val="0"/>
    <c:plotArea>
      <c:layout>
        <c:manualLayout>
          <c:layoutTarget val="inner"/>
          <c:xMode val="edge"/>
          <c:yMode val="edge"/>
          <c:x val="0.19427659505524772"/>
          <c:y val="0.14718253968253969"/>
          <c:w val="0.76045591523281864"/>
          <c:h val="0.49661948506436815"/>
        </c:manualLayout>
      </c:layout>
      <c:areaChart>
        <c:grouping val="standard"/>
        <c:varyColors val="0"/>
        <c:ser>
          <c:idx val="0"/>
          <c:order val="0"/>
          <c:tx>
            <c:strRef>
              <c:f>Sheet1!$B$1</c:f>
              <c:strCache>
                <c:ptCount val="1"/>
                <c:pt idx="0">
                  <c:v>Ռեպո համաձայնագրեր</c:v>
                </c:pt>
              </c:strCache>
            </c:strRef>
          </c:tx>
          <c:spPr>
            <a:solidFill>
              <a:schemeClr val="accent1"/>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Sheet1!$B$2:$B$59</c:f>
              <c:numCache>
                <c:formatCode>#,##0</c:formatCode>
                <c:ptCount val="56"/>
                <c:pt idx="0">
                  <c:v>10010.340092</c:v>
                </c:pt>
                <c:pt idx="1">
                  <c:v>10010.026423000001</c:v>
                </c:pt>
                <c:pt idx="2">
                  <c:v>30010.117534000001</c:v>
                </c:pt>
                <c:pt idx="3">
                  <c:v>4963.1806969999998</c:v>
                </c:pt>
                <c:pt idx="4">
                  <c:v>0</c:v>
                </c:pt>
                <c:pt idx="5">
                  <c:v>28708.224384000001</c:v>
                </c:pt>
                <c:pt idx="6">
                  <c:v>0</c:v>
                </c:pt>
                <c:pt idx="7">
                  <c:v>0</c:v>
                </c:pt>
                <c:pt idx="8">
                  <c:v>8003.984657</c:v>
                </c:pt>
                <c:pt idx="9">
                  <c:v>10009.918903999998</c:v>
                </c:pt>
                <c:pt idx="10">
                  <c:v>15002.515936</c:v>
                </c:pt>
                <c:pt idx="11">
                  <c:v>36918.863013999995</c:v>
                </c:pt>
                <c:pt idx="12">
                  <c:v>3100</c:v>
                </c:pt>
                <c:pt idx="13">
                  <c:v>0</c:v>
                </c:pt>
                <c:pt idx="14">
                  <c:v>23007.619178000001</c:v>
                </c:pt>
                <c:pt idx="15">
                  <c:v>31752.306124999999</c:v>
                </c:pt>
                <c:pt idx="16">
                  <c:v>9601.6037530000012</c:v>
                </c:pt>
                <c:pt idx="17">
                  <c:v>55427.193009000002</c:v>
                </c:pt>
                <c:pt idx="18">
                  <c:v>67770.798931999991</c:v>
                </c:pt>
                <c:pt idx="19">
                  <c:v>66187.783616999994</c:v>
                </c:pt>
                <c:pt idx="20">
                  <c:v>120590.769421</c:v>
                </c:pt>
                <c:pt idx="21">
                  <c:v>90000</c:v>
                </c:pt>
                <c:pt idx="22">
                  <c:v>120040.73906399999</c:v>
                </c:pt>
                <c:pt idx="23">
                  <c:v>163433.11258099999</c:v>
                </c:pt>
                <c:pt idx="24">
                  <c:v>180879.100263</c:v>
                </c:pt>
                <c:pt idx="25">
                  <c:v>180073.80962700001</c:v>
                </c:pt>
                <c:pt idx="26">
                  <c:v>220323.28971799999</c:v>
                </c:pt>
                <c:pt idx="27">
                  <c:v>260627.031609</c:v>
                </c:pt>
                <c:pt idx="28">
                  <c:v>190557.54955299999</c:v>
                </c:pt>
                <c:pt idx="29">
                  <c:v>190642.649512</c:v>
                </c:pt>
                <c:pt idx="30">
                  <c:v>170338.63131</c:v>
                </c:pt>
                <c:pt idx="31">
                  <c:v>150411.26994500001</c:v>
                </c:pt>
                <c:pt idx="32">
                  <c:v>150458.40972699999</c:v>
                </c:pt>
                <c:pt idx="33">
                  <c:v>108677.600792</c:v>
                </c:pt>
                <c:pt idx="34">
                  <c:v>65252.792568999997</c:v>
                </c:pt>
                <c:pt idx="35">
                  <c:v>126669.77420100001</c:v>
                </c:pt>
                <c:pt idx="36">
                  <c:v>130040.291826</c:v>
                </c:pt>
                <c:pt idx="37">
                  <c:v>70032.156334999992</c:v>
                </c:pt>
                <c:pt idx="38">
                  <c:v>150133.33468200002</c:v>
                </c:pt>
                <c:pt idx="39">
                  <c:v>195027.59827900003</c:v>
                </c:pt>
                <c:pt idx="40">
                  <c:v>196812.30303499999</c:v>
                </c:pt>
                <c:pt idx="41">
                  <c:v>211932.343544</c:v>
                </c:pt>
                <c:pt idx="42">
                  <c:v>188727.39449000001</c:v>
                </c:pt>
                <c:pt idx="43" formatCode="_(* #,##0_);_(* \(#,##0\);_(* &quot;-&quot;??_);_(@_)">
                  <c:v>180135.432875</c:v>
                </c:pt>
                <c:pt idx="44">
                  <c:v>227400</c:v>
                </c:pt>
                <c:pt idx="45">
                  <c:v>307708.74209200003</c:v>
                </c:pt>
                <c:pt idx="46">
                  <c:v>342952.311024</c:v>
                </c:pt>
                <c:pt idx="47">
                  <c:v>345952.76940399996</c:v>
                </c:pt>
                <c:pt idx="48">
                  <c:v>331195.47828699998</c:v>
                </c:pt>
                <c:pt idx="49">
                  <c:v>280172.25124100002</c:v>
                </c:pt>
                <c:pt idx="50">
                  <c:v>348800</c:v>
                </c:pt>
                <c:pt idx="51">
                  <c:v>325640.89985300007</c:v>
                </c:pt>
                <c:pt idx="52">
                  <c:v>511413.94006599998</c:v>
                </c:pt>
                <c:pt idx="53" formatCode="_(* #,##0_);_(* \(#,##0\);_(* &quot;-&quot;??_);_(@_)">
                  <c:v>467900</c:v>
                </c:pt>
                <c:pt idx="54">
                  <c:v>512281.65530299995</c:v>
                </c:pt>
                <c:pt idx="55" formatCode="_(* #,##0_);_(* \(#,##0\);_(* &quot;-&quot;??_);_(@_)">
                  <c:v>450506.50596700003</c:v>
                </c:pt>
              </c:numCache>
              <c:extLst/>
            </c:numRef>
          </c:val>
          <c:extLst>
            <c:ext xmlns:c16="http://schemas.microsoft.com/office/drawing/2014/chart" uri="{C3380CC4-5D6E-409C-BE32-E72D297353CC}">
              <c16:uniqueId val="{00000000-F900-4AE5-8E49-F8A49708BD1D}"/>
            </c:ext>
          </c:extLst>
        </c:ser>
        <c:ser>
          <c:idx val="1"/>
          <c:order val="1"/>
          <c:tx>
            <c:strRef>
              <c:f>Sheet1!$C$1</c:f>
              <c:strCache>
                <c:ptCount val="1"/>
                <c:pt idx="0">
                  <c:v>Արտարժույթի ներգրավման սվոփ</c:v>
                </c:pt>
              </c:strCache>
            </c:strRef>
          </c:tx>
          <c:spPr>
            <a:solidFill>
              <a:schemeClr val="accent2"/>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Sheet1!$C$2:$C$59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10007.649315000001</c:v>
                </c:pt>
                <c:pt idx="15">
                  <c:v>25025.623835999999</c:v>
                </c:pt>
                <c:pt idx="16">
                  <c:v>9601.6037530000012</c:v>
                </c:pt>
                <c:pt idx="17">
                  <c:v>0</c:v>
                </c:pt>
                <c:pt idx="18">
                  <c:v>0</c:v>
                </c:pt>
                <c:pt idx="19">
                  <c:v>0</c:v>
                </c:pt>
                <c:pt idx="20">
                  <c:v>0</c:v>
                </c:pt>
                <c:pt idx="21">
                  <c:v>0</c:v>
                </c:pt>
                <c:pt idx="22">
                  <c:v>0</c:v>
                </c:pt>
                <c:pt idx="23">
                  <c:v>5351.1608176999998</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numCache>
              <c:extLst/>
            </c:numRef>
          </c:val>
          <c:extLst>
            <c:ext xmlns:c16="http://schemas.microsoft.com/office/drawing/2014/chart" uri="{C3380CC4-5D6E-409C-BE32-E72D297353CC}">
              <c16:uniqueId val="{00000001-F900-4AE5-8E49-F8A49708BD1D}"/>
            </c:ext>
          </c:extLst>
        </c:ser>
        <c:ser>
          <c:idx val="2"/>
          <c:order val="2"/>
          <c:tx>
            <c:strRef>
              <c:f>Sheet1!$D$1</c:f>
              <c:strCache>
                <c:ptCount val="1"/>
                <c:pt idx="0">
                  <c:v>Ավանդներ </c:v>
                </c:pt>
              </c:strCache>
            </c:strRef>
          </c:tx>
          <c:spPr>
            <a:solidFill>
              <a:schemeClr val="accent3"/>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Sheet1!$D$2:$D$59</c:f>
              <c:numCache>
                <c:formatCode>#,##0</c:formatCode>
                <c:ptCount val="56"/>
                <c:pt idx="0">
                  <c:v>0</c:v>
                </c:pt>
                <c:pt idx="1">
                  <c:v>0</c:v>
                </c:pt>
                <c:pt idx="2">
                  <c:v>-5300.6534247</c:v>
                </c:pt>
                <c:pt idx="3">
                  <c:v>-1500.5547945000001</c:v>
                </c:pt>
                <c:pt idx="4">
                  <c:v>-14001.7260274</c:v>
                </c:pt>
                <c:pt idx="5">
                  <c:v>-1200.1479451999999</c:v>
                </c:pt>
                <c:pt idx="6">
                  <c:v>-38004.6849315</c:v>
                </c:pt>
                <c:pt idx="7">
                  <c:v>-36504.500000100001</c:v>
                </c:pt>
                <c:pt idx="8">
                  <c:v>-3000.7397259999998</c:v>
                </c:pt>
                <c:pt idx="9">
                  <c:v>0</c:v>
                </c:pt>
                <c:pt idx="10">
                  <c:v>0</c:v>
                </c:pt>
                <c:pt idx="11">
                  <c:v>-66024.410958799999</c:v>
                </c:pt>
                <c:pt idx="12">
                  <c:v>0</c:v>
                </c:pt>
                <c:pt idx="13">
                  <c:v>-4000.4931507000001</c:v>
                </c:pt>
                <c:pt idx="14">
                  <c:v>0</c:v>
                </c:pt>
                <c:pt idx="15">
                  <c:v>0</c:v>
                </c:pt>
                <c:pt idx="16">
                  <c:v>0</c:v>
                </c:pt>
                <c:pt idx="17">
                  <c:v>0</c:v>
                </c:pt>
                <c:pt idx="18">
                  <c:v>0</c:v>
                </c:pt>
                <c:pt idx="19">
                  <c:v>0</c:v>
                </c:pt>
                <c:pt idx="20">
                  <c:v>0</c:v>
                </c:pt>
                <c:pt idx="21">
                  <c:v>0</c:v>
                </c:pt>
                <c:pt idx="22">
                  <c:v>0</c:v>
                </c:pt>
                <c:pt idx="23">
                  <c:v>-12306.0657534</c:v>
                </c:pt>
                <c:pt idx="24">
                  <c:v>0</c:v>
                </c:pt>
                <c:pt idx="25">
                  <c:v>0</c:v>
                </c:pt>
                <c:pt idx="26">
                  <c:v>0</c:v>
                </c:pt>
                <c:pt idx="27">
                  <c:v>0</c:v>
                </c:pt>
                <c:pt idx="28">
                  <c:v>-6000.6986300999997</c:v>
                </c:pt>
                <c:pt idx="29">
                  <c:v>-5001.7465752999997</c:v>
                </c:pt>
                <c:pt idx="30">
                  <c:v>-4400.5123288000004</c:v>
                </c:pt>
                <c:pt idx="31">
                  <c:v>0</c:v>
                </c:pt>
                <c:pt idx="32">
                  <c:v>-4000.4383561999998</c:v>
                </c:pt>
                <c:pt idx="33">
                  <c:v>-4000.4383561999998</c:v>
                </c:pt>
                <c:pt idx="34">
                  <c:v>-5501.2054795000004</c:v>
                </c:pt>
                <c:pt idx="35">
                  <c:v>-38508.4383561</c:v>
                </c:pt>
                <c:pt idx="36">
                  <c:v>0</c:v>
                </c:pt>
                <c:pt idx="37">
                  <c:v>-2200.4808742999999</c:v>
                </c:pt>
                <c:pt idx="38">
                  <c:v>0</c:v>
                </c:pt>
                <c:pt idx="39">
                  <c:v>0</c:v>
                </c:pt>
                <c:pt idx="40">
                  <c:v>0</c:v>
                </c:pt>
                <c:pt idx="41">
                  <c:v>-3000.2459015999998</c:v>
                </c:pt>
                <c:pt idx="42">
                  <c:v>-1000.0819672</c:v>
                </c:pt>
                <c:pt idx="43">
                  <c:v>0</c:v>
                </c:pt>
                <c:pt idx="44">
                  <c:v>0</c:v>
                </c:pt>
                <c:pt idx="45">
                  <c:v>0</c:v>
                </c:pt>
                <c:pt idx="46">
                  <c:v>0</c:v>
                </c:pt>
                <c:pt idx="47">
                  <c:v>-23404.795081999997</c:v>
                </c:pt>
                <c:pt idx="48">
                  <c:v>0</c:v>
                </c:pt>
                <c:pt idx="49">
                  <c:v>0</c:v>
                </c:pt>
                <c:pt idx="50">
                  <c:v>0</c:v>
                </c:pt>
                <c:pt idx="51">
                  <c:v>-6000.6575341999996</c:v>
                </c:pt>
                <c:pt idx="52">
                  <c:v>0</c:v>
                </c:pt>
                <c:pt idx="53">
                  <c:v>0</c:v>
                </c:pt>
                <c:pt idx="54">
                  <c:v>0</c:v>
                </c:pt>
                <c:pt idx="55">
                  <c:v>0</c:v>
                </c:pt>
              </c:numCache>
              <c:extLst/>
            </c:numRef>
          </c:val>
          <c:extLst>
            <c:ext xmlns:c16="http://schemas.microsoft.com/office/drawing/2014/chart" uri="{C3380CC4-5D6E-409C-BE32-E72D297353CC}">
              <c16:uniqueId val="{00000002-F900-4AE5-8E49-F8A49708BD1D}"/>
            </c:ext>
          </c:extLst>
        </c:ser>
        <c:ser>
          <c:idx val="3"/>
          <c:order val="3"/>
          <c:tx>
            <c:strRef>
              <c:f>Sheet1!$E$1</c:f>
              <c:strCache>
                <c:ptCount val="1"/>
                <c:pt idx="0">
                  <c:v>Հակադարձ ռեպո</c:v>
                </c:pt>
              </c:strCache>
            </c:strRef>
          </c:tx>
          <c:spPr>
            <a:solidFill>
              <a:schemeClr val="accent4"/>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Sheet1!$E$2:$E$59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numCache>
              <c:extLst/>
            </c:numRef>
          </c:val>
          <c:extLst>
            <c:ext xmlns:c16="http://schemas.microsoft.com/office/drawing/2014/chart" uri="{C3380CC4-5D6E-409C-BE32-E72D297353CC}">
              <c16:uniqueId val="{00000003-F900-4AE5-8E49-F8A49708BD1D}"/>
            </c:ext>
          </c:extLst>
        </c:ser>
        <c:ser>
          <c:idx val="4"/>
          <c:order val="4"/>
          <c:tx>
            <c:strRef>
              <c:f>Sheet1!$F$1</c:f>
              <c:strCache>
                <c:ptCount val="1"/>
                <c:pt idx="0">
                  <c:v>Արտարժույթի տրամադրման սվոփ</c:v>
                </c:pt>
              </c:strCache>
            </c:strRef>
          </c:tx>
          <c:spPr>
            <a:solidFill>
              <a:schemeClr val="accent5"/>
            </a:solidFill>
            <a:ln>
              <a:noFill/>
            </a:ln>
            <a:effectLst/>
          </c:spPr>
          <c:cat>
            <c:strRef>
              <c:f>Sheet1!$A$2:$A$58</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Sheet1!$F$2:$F$59</c:f>
              <c:numCache>
                <c:formatCode>#,##0</c:formatCode>
                <c:ptCount val="5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-17699.178399999997</c:v>
                </c:pt>
                <c:pt idx="17">
                  <c:v>-12087.536472600001</c:v>
                </c:pt>
                <c:pt idx="18">
                  <c:v>-8697.4428230000012</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-25957.6985981</c:v>
                </c:pt>
                <c:pt idx="39">
                  <c:v>-15287.9520557</c:v>
                </c:pt>
                <c:pt idx="40">
                  <c:v>-3415.8190572000003</c:v>
                </c:pt>
                <c:pt idx="41">
                  <c:v>0</c:v>
                </c:pt>
                <c:pt idx="42">
                  <c:v>0</c:v>
                </c:pt>
                <c:pt idx="43">
                  <c:v>0</c:v>
                </c:pt>
                <c:pt idx="44">
                  <c:v>0</c:v>
                </c:pt>
                <c:pt idx="45">
                  <c:v>-59722.940125399997</c:v>
                </c:pt>
                <c:pt idx="46">
                  <c:v>-57154.534907699999</c:v>
                </c:pt>
                <c:pt idx="47">
                  <c:v>-13919.4597567</c:v>
                </c:pt>
                <c:pt idx="48">
                  <c:v>-11299.9003046</c:v>
                </c:pt>
                <c:pt idx="49">
                  <c:v>-8625.1443165000001</c:v>
                </c:pt>
                <c:pt idx="50">
                  <c:v>-8707.7795429999987</c:v>
                </c:pt>
                <c:pt idx="51">
                  <c:v>-6234</c:v>
                </c:pt>
                <c:pt idx="52">
                  <c:v>-3133.0291233000003</c:v>
                </c:pt>
                <c:pt idx="53">
                  <c:v>0</c:v>
                </c:pt>
                <c:pt idx="54">
                  <c:v>0</c:v>
                </c:pt>
                <c:pt idx="55">
                  <c:v>0</c:v>
                </c:pt>
              </c:numCache>
              <c:extLst/>
            </c:numRef>
          </c:val>
          <c:extLst>
            <c:ext xmlns:c16="http://schemas.microsoft.com/office/drawing/2014/chart" uri="{C3380CC4-5D6E-409C-BE32-E72D297353CC}">
              <c16:uniqueId val="{00000004-F900-4AE5-8E49-F8A49708BD1D}"/>
            </c:ext>
          </c:extLst>
        </c:ser>
        <c:dLbls>
          <c:showLegendKey val="0"/>
          <c:showVal val="0"/>
          <c:showCatName val="0"/>
          <c:showSerName val="0"/>
          <c:showPercent val="0"/>
          <c:showBubbleSize val="0"/>
        </c:dLbls>
        <c:axId val="427144704"/>
        <c:axId val="427146240"/>
      </c:areaChart>
      <c:lineChart>
        <c:grouping val="standard"/>
        <c:varyColors val="0"/>
        <c:ser>
          <c:idx val="5"/>
          <c:order val="5"/>
          <c:tx>
            <c:strRef>
              <c:f>Sheet1!$G$1</c:f>
              <c:strCache>
                <c:ptCount val="1"/>
                <c:pt idx="0">
                  <c:v>Զուտ իրացվելիության տրամադրում</c:v>
                </c:pt>
              </c:strCache>
            </c:strRef>
          </c:tx>
          <c:spPr>
            <a:ln w="28575" cap="rnd">
              <a:solidFill>
                <a:srgbClr val="C00000"/>
              </a:solidFill>
              <a:round/>
            </a:ln>
            <a:effectLst/>
          </c:spPr>
          <c:marker>
            <c:symbol val="none"/>
          </c:marker>
          <c:cat>
            <c:strRef>
              <c:f>Sheet1!$A$2:$A$59</c:f>
              <c:strCache>
                <c:ptCount val="56"/>
                <c:pt idx="0">
                  <c:v>2017/1</c:v>
                </c:pt>
                <c:pt idx="1">
                  <c:v>2017/2</c:v>
                </c:pt>
                <c:pt idx="2">
                  <c:v>2017/3</c:v>
                </c:pt>
                <c:pt idx="3">
                  <c:v>2017/4</c:v>
                </c:pt>
                <c:pt idx="4">
                  <c:v>2017/5</c:v>
                </c:pt>
                <c:pt idx="5">
                  <c:v>2017/6</c:v>
                </c:pt>
                <c:pt idx="6">
                  <c:v>2017/7</c:v>
                </c:pt>
                <c:pt idx="7">
                  <c:v>2017/8</c:v>
                </c:pt>
                <c:pt idx="8">
                  <c:v>2017/9</c:v>
                </c:pt>
                <c:pt idx="9">
                  <c:v>2017/10</c:v>
                </c:pt>
                <c:pt idx="10">
                  <c:v>2017/11</c:v>
                </c:pt>
                <c:pt idx="11">
                  <c:v>2017/12</c:v>
                </c:pt>
                <c:pt idx="12">
                  <c:v>2018/1</c:v>
                </c:pt>
                <c:pt idx="13">
                  <c:v>2018/2</c:v>
                </c:pt>
                <c:pt idx="14">
                  <c:v>2018/3</c:v>
                </c:pt>
                <c:pt idx="15">
                  <c:v>2018/4</c:v>
                </c:pt>
                <c:pt idx="16">
                  <c:v>2018/5</c:v>
                </c:pt>
                <c:pt idx="17">
                  <c:v>2018/6</c:v>
                </c:pt>
                <c:pt idx="18">
                  <c:v>2018/7</c:v>
                </c:pt>
                <c:pt idx="19">
                  <c:v>2018/8</c:v>
                </c:pt>
                <c:pt idx="20">
                  <c:v>2018/9</c:v>
                </c:pt>
                <c:pt idx="21">
                  <c:v>2018/10</c:v>
                </c:pt>
                <c:pt idx="22">
                  <c:v>2018/11</c:v>
                </c:pt>
                <c:pt idx="23">
                  <c:v>2018/12</c:v>
                </c:pt>
                <c:pt idx="24">
                  <c:v>2019/1</c:v>
                </c:pt>
                <c:pt idx="25">
                  <c:v>2019/2</c:v>
                </c:pt>
                <c:pt idx="26">
                  <c:v>2019/3</c:v>
                </c:pt>
                <c:pt idx="27">
                  <c:v>2019/4</c:v>
                </c:pt>
                <c:pt idx="28">
                  <c:v>2019/5</c:v>
                </c:pt>
                <c:pt idx="29">
                  <c:v>2019/6</c:v>
                </c:pt>
                <c:pt idx="30">
                  <c:v>2019/7</c:v>
                </c:pt>
                <c:pt idx="31">
                  <c:v>2019/8</c:v>
                </c:pt>
                <c:pt idx="32">
                  <c:v>2019/9</c:v>
                </c:pt>
                <c:pt idx="33">
                  <c:v>2019/10</c:v>
                </c:pt>
                <c:pt idx="34">
                  <c:v>2019/11</c:v>
                </c:pt>
                <c:pt idx="35">
                  <c:v>2019/12</c:v>
                </c:pt>
                <c:pt idx="36">
                  <c:v>2020/1</c:v>
                </c:pt>
                <c:pt idx="37">
                  <c:v>2020/2</c:v>
                </c:pt>
                <c:pt idx="38">
                  <c:v>2020/3</c:v>
                </c:pt>
                <c:pt idx="39">
                  <c:v>2020/4</c:v>
                </c:pt>
                <c:pt idx="40">
                  <c:v>2020/5</c:v>
                </c:pt>
                <c:pt idx="41">
                  <c:v>2020/6</c:v>
                </c:pt>
                <c:pt idx="42">
                  <c:v>2020/7</c:v>
                </c:pt>
                <c:pt idx="43">
                  <c:v>2020/8</c:v>
                </c:pt>
                <c:pt idx="44">
                  <c:v>2020/9</c:v>
                </c:pt>
                <c:pt idx="45">
                  <c:v>2020/10</c:v>
                </c:pt>
                <c:pt idx="46">
                  <c:v>2020/11</c:v>
                </c:pt>
                <c:pt idx="47">
                  <c:v>2020/12</c:v>
                </c:pt>
                <c:pt idx="48">
                  <c:v>2021/1</c:v>
                </c:pt>
                <c:pt idx="49">
                  <c:v>2021/2</c:v>
                </c:pt>
                <c:pt idx="50">
                  <c:v>2021/3</c:v>
                </c:pt>
                <c:pt idx="51">
                  <c:v>2021/4</c:v>
                </c:pt>
                <c:pt idx="52">
                  <c:v>2021/5</c:v>
                </c:pt>
                <c:pt idx="53">
                  <c:v>2021/6</c:v>
                </c:pt>
                <c:pt idx="54">
                  <c:v>2021/7</c:v>
                </c:pt>
                <c:pt idx="55">
                  <c:v>2021/8</c:v>
                </c:pt>
              </c:strCache>
              <c:extLst/>
            </c:strRef>
          </c:cat>
          <c:val>
            <c:numRef>
              <c:f>Sheet1!$G$2:$G$59</c:f>
              <c:numCache>
                <c:formatCode>#,##0</c:formatCode>
                <c:ptCount val="56"/>
                <c:pt idx="0">
                  <c:v>10010.340092</c:v>
                </c:pt>
                <c:pt idx="1">
                  <c:v>10010.026423000001</c:v>
                </c:pt>
                <c:pt idx="2">
                  <c:v>24709.464109300003</c:v>
                </c:pt>
                <c:pt idx="3">
                  <c:v>3462.6259024999999</c:v>
                </c:pt>
                <c:pt idx="4">
                  <c:v>-14001.7260274</c:v>
                </c:pt>
                <c:pt idx="5">
                  <c:v>27508.076438800003</c:v>
                </c:pt>
                <c:pt idx="6">
                  <c:v>-38004.6849315</c:v>
                </c:pt>
                <c:pt idx="7">
                  <c:v>-36504.500000100001</c:v>
                </c:pt>
                <c:pt idx="8">
                  <c:v>5003.2449310000002</c:v>
                </c:pt>
                <c:pt idx="9">
                  <c:v>10009.918903999998</c:v>
                </c:pt>
                <c:pt idx="10">
                  <c:v>15002.515936</c:v>
                </c:pt>
                <c:pt idx="11">
                  <c:v>-29105.547944800004</c:v>
                </c:pt>
                <c:pt idx="12">
                  <c:v>3100</c:v>
                </c:pt>
                <c:pt idx="13">
                  <c:v>-4000.4931507000001</c:v>
                </c:pt>
                <c:pt idx="14">
                  <c:v>33015.268493000003</c:v>
                </c:pt>
                <c:pt idx="15">
                  <c:v>56777.929961000002</c:v>
                </c:pt>
                <c:pt idx="16">
                  <c:v>1504.0291060000054</c:v>
                </c:pt>
                <c:pt idx="17">
                  <c:v>43339.656536399998</c:v>
                </c:pt>
                <c:pt idx="18">
                  <c:v>59073.356108999986</c:v>
                </c:pt>
                <c:pt idx="19">
                  <c:v>66187.783616999994</c:v>
                </c:pt>
                <c:pt idx="20">
                  <c:v>120590.769421</c:v>
                </c:pt>
                <c:pt idx="21">
                  <c:v>90000</c:v>
                </c:pt>
                <c:pt idx="22">
                  <c:v>120040.73906399999</c:v>
                </c:pt>
                <c:pt idx="23">
                  <c:v>156478.20764529999</c:v>
                </c:pt>
                <c:pt idx="24">
                  <c:v>180879.100263</c:v>
                </c:pt>
                <c:pt idx="25">
                  <c:v>180073.80962700001</c:v>
                </c:pt>
                <c:pt idx="26">
                  <c:v>220323.28971799999</c:v>
                </c:pt>
                <c:pt idx="27">
                  <c:v>260627.031609</c:v>
                </c:pt>
                <c:pt idx="28">
                  <c:v>184556.85092289999</c:v>
                </c:pt>
                <c:pt idx="29">
                  <c:v>185640.9029367</c:v>
                </c:pt>
                <c:pt idx="30">
                  <c:v>165938.11898120001</c:v>
                </c:pt>
                <c:pt idx="31">
                  <c:v>150411.26994500001</c:v>
                </c:pt>
                <c:pt idx="32">
                  <c:v>146457.97137079999</c:v>
                </c:pt>
                <c:pt idx="33">
                  <c:v>104677.1624358</c:v>
                </c:pt>
                <c:pt idx="34">
                  <c:v>59751.587089499997</c:v>
                </c:pt>
                <c:pt idx="35">
                  <c:v>88161.335844899993</c:v>
                </c:pt>
                <c:pt idx="36">
                  <c:v>130040.291826</c:v>
                </c:pt>
                <c:pt idx="37">
                  <c:v>67831.675460699989</c:v>
                </c:pt>
                <c:pt idx="38">
                  <c:v>124175.63608390001</c:v>
                </c:pt>
                <c:pt idx="39">
                  <c:v>179739.64622330002</c:v>
                </c:pt>
                <c:pt idx="40">
                  <c:v>193396.4839778</c:v>
                </c:pt>
                <c:pt idx="41">
                  <c:v>208932.09764240001</c:v>
                </c:pt>
                <c:pt idx="42">
                  <c:v>187727.3125228</c:v>
                </c:pt>
                <c:pt idx="43">
                  <c:v>180135.432875</c:v>
                </c:pt>
                <c:pt idx="44">
                  <c:v>227400</c:v>
                </c:pt>
                <c:pt idx="45">
                  <c:v>247985.80196660003</c:v>
                </c:pt>
                <c:pt idx="46">
                  <c:v>285797.77611630003</c:v>
                </c:pt>
                <c:pt idx="47">
                  <c:v>308628.51456529996</c:v>
                </c:pt>
                <c:pt idx="48">
                  <c:v>319895.57798239996</c:v>
                </c:pt>
                <c:pt idx="49">
                  <c:v>271547.10692450003</c:v>
                </c:pt>
                <c:pt idx="50">
                  <c:v>340092.22045700002</c:v>
                </c:pt>
                <c:pt idx="51">
                  <c:v>313406.24231880007</c:v>
                </c:pt>
                <c:pt idx="52">
                  <c:v>508280.91094269999</c:v>
                </c:pt>
                <c:pt idx="53">
                  <c:v>467900</c:v>
                </c:pt>
                <c:pt idx="54">
                  <c:v>512281.65530299995</c:v>
                </c:pt>
                <c:pt idx="55">
                  <c:v>450506.50596700003</c:v>
                </c:pt>
              </c:numCache>
              <c:extLst/>
            </c:numRef>
          </c:val>
          <c:smooth val="0"/>
          <c:extLst>
            <c:ext xmlns:c16="http://schemas.microsoft.com/office/drawing/2014/chart" uri="{C3380CC4-5D6E-409C-BE32-E72D297353CC}">
              <c16:uniqueId val="{00000005-F900-4AE5-8E49-F8A49708BD1D}"/>
            </c:ext>
          </c:extLst>
        </c:ser>
        <c:dLbls>
          <c:showLegendKey val="0"/>
          <c:showVal val="0"/>
          <c:showCatName val="0"/>
          <c:showSerName val="0"/>
          <c:showPercent val="0"/>
          <c:showBubbleSize val="0"/>
        </c:dLbls>
        <c:marker val="1"/>
        <c:smooth val="0"/>
        <c:axId val="427144704"/>
        <c:axId val="427146240"/>
      </c:lineChart>
      <c:catAx>
        <c:axId val="42714470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en-US"/>
          </a:p>
        </c:txPr>
        <c:crossAx val="427146240"/>
        <c:crosses val="autoZero"/>
        <c:auto val="1"/>
        <c:lblAlgn val="ctr"/>
        <c:lblOffset val="100"/>
        <c:tickMarkSkip val="3"/>
        <c:noMultiLvlLbl val="0"/>
      </c:catAx>
      <c:valAx>
        <c:axId val="427146240"/>
        <c:scaling>
          <c:orientation val="minMax"/>
        </c:scaling>
        <c:delete val="0"/>
        <c:axPos val="l"/>
        <c:majorGridlines>
          <c:spPr>
            <a:ln w="9525" cap="flat" cmpd="sng" algn="ctr">
              <a:solidFill>
                <a:schemeClr val="dk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en-US"/>
          </a:p>
        </c:txPr>
        <c:crossAx val="427144704"/>
        <c:crossesAt val="1"/>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2.3405268785846284E-2"/>
          <c:y val="0.66091578995217015"/>
          <c:w val="0.95318946242830915"/>
          <c:h val="0.31527478244180346"/>
        </c:manualLayout>
      </c:layout>
      <c:overlay val="0"/>
      <c:spPr>
        <a:noFill/>
        <a:ln>
          <a:noFill/>
        </a:ln>
        <a:effectLst/>
      </c:spPr>
      <c:txPr>
        <a:bodyPr rot="0" vert="horz"/>
        <a:lstStyle/>
        <a:p>
          <a:pPr>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sz="700">
          <a:solidFill>
            <a:schemeClr val="tx1"/>
          </a:solidFill>
          <a:latin typeface="GHEA Grapalat" panose="02000506050000020003" pitchFamily="50" charset="0"/>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169235610393543E-2"/>
          <c:y val="3.0334753237812487E-2"/>
          <c:w val="0.90957384583435741"/>
          <c:h val="0.87375672303257179"/>
        </c:manualLayout>
      </c:layout>
      <c:areaChart>
        <c:grouping val="stacked"/>
        <c:varyColors val="0"/>
        <c:ser>
          <c:idx val="0"/>
          <c:order val="0"/>
          <c:tx>
            <c:strRef>
              <c:f>[GDP_GR_Fanchard.xlsx]Fanchart.24.09!$B$3</c:f>
              <c:strCache>
                <c:ptCount val="1"/>
              </c:strCache>
            </c:strRef>
          </c:tx>
          <c:spPr>
            <a:no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[GDP_GR_Fanchard.xlsx]Fanchart.24.09!$B$4:$B$55</c:f>
              <c:numCache>
                <c:formatCode>0.0</c:formatCode>
                <c:ptCount val="12"/>
                <c:pt idx="0">
                  <c:v>7.5594540907032695</c:v>
                </c:pt>
                <c:pt idx="1">
                  <c:v>5.1738939407217828</c:v>
                </c:pt>
                <c:pt idx="2">
                  <c:v>7.6277404285831381</c:v>
                </c:pt>
                <c:pt idx="3">
                  <c:v>-7.4254086121228227</c:v>
                </c:pt>
                <c:pt idx="4">
                  <c:v>-3.3266129032257936</c:v>
                </c:pt>
                <c:pt idx="5">
                  <c:v>4.9823855057876472</c:v>
                </c:pt>
                <c:pt idx="6">
                  <c:v>3.4210932777548591</c:v>
                </c:pt>
                <c:pt idx="7">
                  <c:v>3.2712262308756119</c:v>
                </c:pt>
                <c:pt idx="8">
                  <c:v>0.98329203763415673</c:v>
                </c:pt>
                <c:pt idx="9">
                  <c:v>0.48261357754368461</c:v>
                </c:pt>
                <c:pt idx="10">
                  <c:v>0.22936326964434883</c:v>
                </c:pt>
                <c:pt idx="11">
                  <c:v>-0.18856331756717459</c:v>
                </c:pt>
              </c:numCache>
            </c:numRef>
          </c:val>
          <c:extLst>
            <c:ext xmlns:c16="http://schemas.microsoft.com/office/drawing/2014/chart" uri="{C3380CC4-5D6E-409C-BE32-E72D297353CC}">
              <c16:uniqueId val="{00000000-0708-41C2-AE3E-0E095F3B4FC9}"/>
            </c:ext>
          </c:extLst>
        </c:ser>
        <c:ser>
          <c:idx val="1"/>
          <c:order val="1"/>
          <c:tx>
            <c:strRef>
              <c:f>[GDP_GR_Fanchard.xlsx]Fanchart.24.09!$C$3</c:f>
              <c:strCache>
                <c:ptCount val="1"/>
              </c:strCache>
            </c:strRef>
          </c:tx>
          <c:spPr>
            <a:solidFill>
              <a:srgbClr val="FF0000">
                <a:alpha val="2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[GDP_GR_Fanchard.xlsx]Fanchart.24.09!$C$4:$C$55</c:f>
              <c:numCache>
                <c:formatCode>General</c:formatCode>
                <c:ptCount val="12"/>
                <c:pt idx="6" formatCode="0.0">
                  <c:v>0.57443099634003625</c:v>
                </c:pt>
                <c:pt idx="7" formatCode="0.0">
                  <c:v>0.71093690427188116</c:v>
                </c:pt>
                <c:pt idx="8" formatCode="0.0">
                  <c:v>1.3289221422467277</c:v>
                </c:pt>
                <c:pt idx="9" formatCode="0.0">
                  <c:v>1.4395079802036355</c:v>
                </c:pt>
                <c:pt idx="10" formatCode="0.0">
                  <c:v>1.495443874683362</c:v>
                </c:pt>
                <c:pt idx="11" formatCode="0.0">
                  <c:v>1.5877521434331419</c:v>
                </c:pt>
              </c:numCache>
            </c:numRef>
          </c:val>
          <c:extLst>
            <c:ext xmlns:c16="http://schemas.microsoft.com/office/drawing/2014/chart" uri="{C3380CC4-5D6E-409C-BE32-E72D297353CC}">
              <c16:uniqueId val="{00000001-0708-41C2-AE3E-0E095F3B4FC9}"/>
            </c:ext>
          </c:extLst>
        </c:ser>
        <c:ser>
          <c:idx val="2"/>
          <c:order val="2"/>
          <c:tx>
            <c:strRef>
              <c:f>[GDP_GR_Fanchard.xlsx]Fanchart.24.09!$D$3</c:f>
              <c:strCache>
                <c:ptCount val="1"/>
              </c:strCache>
            </c:strRef>
          </c:tx>
          <c:spPr>
            <a:solidFill>
              <a:srgbClr val="FF0000">
                <a:alpha val="3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[GDP_GR_Fanchard.xlsx]Fanchart.24.09!$D$4:$D$55</c:f>
              <c:numCache>
                <c:formatCode>General</c:formatCode>
                <c:ptCount val="12"/>
                <c:pt idx="6" formatCode="0.0">
                  <c:v>0.38756586611335075</c:v>
                </c:pt>
                <c:pt idx="7" formatCode="0.0">
                  <c:v>0.47966575413171419</c:v>
                </c:pt>
                <c:pt idx="8" formatCode="0.0">
                  <c:v>0.89661746030184597</c:v>
                </c:pt>
                <c:pt idx="9" formatCode="0.0">
                  <c:v>0.97122920016392822</c:v>
                </c:pt>
                <c:pt idx="10" formatCode="0.0">
                  <c:v>1.0089688826131455</c:v>
                </c:pt>
                <c:pt idx="11" formatCode="0.0">
                  <c:v>1.0712488333041321</c:v>
                </c:pt>
              </c:numCache>
            </c:numRef>
          </c:val>
          <c:extLst>
            <c:ext xmlns:c16="http://schemas.microsoft.com/office/drawing/2014/chart" uri="{C3380CC4-5D6E-409C-BE32-E72D297353CC}">
              <c16:uniqueId val="{00000002-0708-41C2-AE3E-0E095F3B4FC9}"/>
            </c:ext>
          </c:extLst>
        </c:ser>
        <c:ser>
          <c:idx val="3"/>
          <c:order val="3"/>
          <c:tx>
            <c:strRef>
              <c:f>[GDP_GR_Fanchard.xlsx]Fanchart.24.09!$E$3</c:f>
              <c:strCache>
                <c:ptCount val="1"/>
              </c:strCache>
            </c:strRef>
          </c:tx>
          <c:spPr>
            <a:solidFill>
              <a:srgbClr val="FF0000">
                <a:alpha val="4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[GDP_GR_Fanchard.xlsx]Fanchart.24.09!$E$4:$E$55</c:f>
              <c:numCache>
                <c:formatCode>General</c:formatCode>
                <c:ptCount val="12"/>
                <c:pt idx="6" formatCode="0.0">
                  <c:v>0.30802506429891174</c:v>
                </c:pt>
                <c:pt idx="7" formatCode="0.0">
                  <c:v>0.38122313567004262</c:v>
                </c:pt>
                <c:pt idx="8" formatCode="0.0">
                  <c:v>0.71260313409599663</c:v>
                </c:pt>
                <c:pt idx="9" formatCode="0.0">
                  <c:v>0.77190217969809272</c:v>
                </c:pt>
                <c:pt idx="10" formatCode="0.0">
                  <c:v>0.80189648293645011</c:v>
                </c:pt>
                <c:pt idx="11" formatCode="0.0">
                  <c:v>0.85139461343103218</c:v>
                </c:pt>
              </c:numCache>
            </c:numRef>
          </c:val>
          <c:extLst>
            <c:ext xmlns:c16="http://schemas.microsoft.com/office/drawing/2014/chart" uri="{C3380CC4-5D6E-409C-BE32-E72D297353CC}">
              <c16:uniqueId val="{00000003-0708-41C2-AE3E-0E095F3B4FC9}"/>
            </c:ext>
          </c:extLst>
        </c:ser>
        <c:ser>
          <c:idx val="4"/>
          <c:order val="4"/>
          <c:tx>
            <c:strRef>
              <c:f>[GDP_GR_Fanchard.xlsx]Fanchart.24.09!$F$3</c:f>
              <c:strCache>
                <c:ptCount val="1"/>
              </c:strCache>
            </c:strRef>
          </c:tx>
          <c:spPr>
            <a:solidFill>
              <a:srgbClr val="FF0000">
                <a:alpha val="5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[GDP_GR_Fanchard.xlsx]Fanchart.24.09!$F$4:$F$55</c:f>
              <c:numCache>
                <c:formatCode>General</c:formatCode>
                <c:ptCount val="12"/>
                <c:pt idx="6" formatCode="0.0">
                  <c:v>0.26425807809667923</c:v>
                </c:pt>
                <c:pt idx="7" formatCode="0.0">
                  <c:v>0.32705550565325048</c:v>
                </c:pt>
                <c:pt idx="8" formatCode="0.0">
                  <c:v>0.6113500376681662</c:v>
                </c:pt>
                <c:pt idx="9" formatCode="0.0">
                  <c:v>0.66222333870762551</c:v>
                </c:pt>
                <c:pt idx="10" formatCode="0.0">
                  <c:v>0.68795578014273495</c:v>
                </c:pt>
                <c:pt idx="11" formatCode="0.0">
                  <c:v>0.73042076870997619</c:v>
                </c:pt>
              </c:numCache>
            </c:numRef>
          </c:val>
          <c:extLst>
            <c:ext xmlns:c16="http://schemas.microsoft.com/office/drawing/2014/chart" uri="{C3380CC4-5D6E-409C-BE32-E72D297353CC}">
              <c16:uniqueId val="{00000004-0708-41C2-AE3E-0E095F3B4FC9}"/>
            </c:ext>
          </c:extLst>
        </c:ser>
        <c:ser>
          <c:idx val="5"/>
          <c:order val="5"/>
          <c:tx>
            <c:strRef>
              <c:f>[GDP_GR_Fanchard.xlsx]Fanchart.24.09!$G$3</c:f>
              <c:strCache>
                <c:ptCount val="1"/>
              </c:strCache>
            </c:strRef>
          </c:tx>
          <c:spPr>
            <a:solidFill>
              <a:srgbClr val="FF0000">
                <a:alpha val="6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[GDP_GR_Fanchard.xlsx]Fanchart.24.09!$G$4:$G$55</c:f>
              <c:numCache>
                <c:formatCode>General</c:formatCode>
                <c:ptCount val="12"/>
                <c:pt idx="6" formatCode="0.0">
                  <c:v>0.23731192137006918</c:v>
                </c:pt>
                <c:pt idx="7" formatCode="0.0">
                  <c:v>0.29370595215195916</c:v>
                </c:pt>
                <c:pt idx="8" formatCode="0.0">
                  <c:v>0.54901122839324579</c:v>
                </c:pt>
                <c:pt idx="9" formatCode="0.0">
                  <c:v>0.59469702503214705</c:v>
                </c:pt>
                <c:pt idx="10" formatCode="0.0">
                  <c:v>0.61780555273541182</c:v>
                </c:pt>
                <c:pt idx="11" formatCode="0.0">
                  <c:v>0.65594042490443982</c:v>
                </c:pt>
              </c:numCache>
            </c:numRef>
          </c:val>
          <c:extLst>
            <c:ext xmlns:c16="http://schemas.microsoft.com/office/drawing/2014/chart" uri="{C3380CC4-5D6E-409C-BE32-E72D297353CC}">
              <c16:uniqueId val="{00000005-0708-41C2-AE3E-0E095F3B4FC9}"/>
            </c:ext>
          </c:extLst>
        </c:ser>
        <c:ser>
          <c:idx val="6"/>
          <c:order val="6"/>
          <c:tx>
            <c:strRef>
              <c:f>[GDP_GR_Fanchard.xlsx]Fanchart.24.09!$H$3</c:f>
              <c:strCache>
                <c:ptCount val="1"/>
              </c:strCache>
            </c:strRef>
          </c:tx>
          <c:spPr>
            <a:solidFill>
              <a:srgbClr val="FF0000">
                <a:alpha val="7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[GDP_GR_Fanchard.xlsx]Fanchart.24.09!$H$4:$H$55</c:f>
              <c:numCache>
                <c:formatCode>General</c:formatCode>
                <c:ptCount val="12"/>
                <c:pt idx="6" formatCode="0.0">
                  <c:v>0.21990486169558476</c:v>
                </c:pt>
                <c:pt idx="7" formatCode="0.0">
                  <c:v>0.27216233560566838</c:v>
                </c:pt>
                <c:pt idx="8" formatCode="0.0">
                  <c:v>0.50874072213536436</c:v>
                </c:pt>
                <c:pt idx="9" formatCode="0.0">
                  <c:v>0.55107542126606646</c:v>
                </c:pt>
                <c:pt idx="10" formatCode="0.0">
                  <c:v>0.57248891604221086</c:v>
                </c:pt>
                <c:pt idx="11" formatCode="0.0">
                  <c:v>0.60782655833887134</c:v>
                </c:pt>
              </c:numCache>
            </c:numRef>
          </c:val>
          <c:extLst>
            <c:ext xmlns:c16="http://schemas.microsoft.com/office/drawing/2014/chart" uri="{C3380CC4-5D6E-409C-BE32-E72D297353CC}">
              <c16:uniqueId val="{00000006-0708-41C2-AE3E-0E095F3B4FC9}"/>
            </c:ext>
          </c:extLst>
        </c:ser>
        <c:ser>
          <c:idx val="7"/>
          <c:order val="7"/>
          <c:tx>
            <c:strRef>
              <c:f>[GDP_GR_Fanchard.xlsx]Fanchart.24.09!$I$3</c:f>
              <c:strCache>
                <c:ptCount val="1"/>
              </c:strCache>
            </c:strRef>
          </c:tx>
          <c:spPr>
            <a:solidFill>
              <a:srgbClr val="FF0000">
                <a:alpha val="8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[GDP_GR_Fanchard.xlsx]Fanchart.24.09!$I$4:$I$55</c:f>
              <c:numCache>
                <c:formatCode>General</c:formatCode>
                <c:ptCount val="12"/>
                <c:pt idx="6" formatCode="0.0">
                  <c:v>0.20866820920579965</c:v>
                </c:pt>
                <c:pt idx="7" formatCode="0.0">
                  <c:v>0.25825544167695291</c:v>
                </c:pt>
                <c:pt idx="8" formatCode="0.0">
                  <c:v>0.48274519544277616</c:v>
                </c:pt>
                <c:pt idx="9" formatCode="0.0">
                  <c:v>0.52291668499855604</c:v>
                </c:pt>
                <c:pt idx="10" formatCode="0.0">
                  <c:v>0.54323599751089802</c:v>
                </c:pt>
                <c:pt idx="11" formatCode="0.0">
                  <c:v>0.57676796437485578</c:v>
                </c:pt>
              </c:numCache>
            </c:numRef>
          </c:val>
          <c:extLst>
            <c:ext xmlns:c16="http://schemas.microsoft.com/office/drawing/2014/chart" uri="{C3380CC4-5D6E-409C-BE32-E72D297353CC}">
              <c16:uniqueId val="{00000007-0708-41C2-AE3E-0E095F3B4FC9}"/>
            </c:ext>
          </c:extLst>
        </c:ser>
        <c:ser>
          <c:idx val="8"/>
          <c:order val="8"/>
          <c:tx>
            <c:strRef>
              <c:f>[GDP_GR_Fanchard.xlsx]Fanchart.24.09!$J$3</c:f>
              <c:strCache>
                <c:ptCount val="1"/>
              </c:strCache>
            </c:strRef>
          </c:tx>
          <c:spPr>
            <a:solidFill>
              <a:srgbClr val="FF0000">
                <a:alpha val="9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[GDP_GR_Fanchard.xlsx]Fanchart.24.09!$J$4:$J$55</c:f>
              <c:numCache>
                <c:formatCode>General</c:formatCode>
                <c:ptCount val="12"/>
                <c:pt idx="6" formatCode="0.0">
                  <c:v>0.20188890730412101</c:v>
                </c:pt>
                <c:pt idx="7" formatCode="0.0">
                  <c:v>0.24986512858832821</c:v>
                </c:pt>
                <c:pt idx="8" formatCode="0.0">
                  <c:v>0.4670615633555153</c:v>
                </c:pt>
                <c:pt idx="9" formatCode="0.0">
                  <c:v>0.50592794440159405</c:v>
                </c:pt>
                <c:pt idx="10" formatCode="0.0">
                  <c:v>0.5255871144107731</c:v>
                </c:pt>
                <c:pt idx="11" formatCode="0.0">
                  <c:v>0.5580296804139433</c:v>
                </c:pt>
              </c:numCache>
            </c:numRef>
          </c:val>
          <c:extLst>
            <c:ext xmlns:c16="http://schemas.microsoft.com/office/drawing/2014/chart" uri="{C3380CC4-5D6E-409C-BE32-E72D297353CC}">
              <c16:uniqueId val="{00000008-0708-41C2-AE3E-0E095F3B4FC9}"/>
            </c:ext>
          </c:extLst>
        </c:ser>
        <c:ser>
          <c:idx val="9"/>
          <c:order val="9"/>
          <c:tx>
            <c:strRef>
              <c:f>[GDP_GR_Fanchard.xlsx]Fanchart.24.09!$K$3</c:f>
              <c:strCache>
                <c:ptCount val="1"/>
              </c:strCache>
            </c:strRef>
          </c:tx>
          <c:spPr>
            <a:solidFill>
              <a:srgbClr val="FF0000"/>
            </a:solidFill>
            <a:ln>
              <a:solidFill>
                <a:srgbClr val="FF0000"/>
              </a:solidFill>
              <a:prstDash val="solid"/>
            </a:ln>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[GDP_GR_Fanchard.xlsx]Fanchart.24.09!$K$4:$K$55</c:f>
              <c:numCache>
                <c:formatCode>General</c:formatCode>
                <c:ptCount val="12"/>
                <c:pt idx="6" formatCode="0.0">
                  <c:v>0.39737606990647123</c:v>
                </c:pt>
                <c:pt idx="7" formatCode="0.0">
                  <c:v>0.49180722274917166</c:v>
                </c:pt>
                <c:pt idx="8" formatCode="0.0">
                  <c:v>0.66732392940829577</c:v>
                </c:pt>
                <c:pt idx="9" formatCode="0.0">
                  <c:v>0.71232563941971172</c:v>
                </c:pt>
                <c:pt idx="10" formatCode="0.0">
                  <c:v>0.73527128775894379</c:v>
                </c:pt>
                <c:pt idx="11" formatCode="0.0">
                  <c:v>0.76762906200566494</c:v>
                </c:pt>
              </c:numCache>
            </c:numRef>
          </c:val>
          <c:extLst>
            <c:ext xmlns:c16="http://schemas.microsoft.com/office/drawing/2014/chart" uri="{C3380CC4-5D6E-409C-BE32-E72D297353CC}">
              <c16:uniqueId val="{00000009-0708-41C2-AE3E-0E095F3B4FC9}"/>
            </c:ext>
          </c:extLst>
        </c:ser>
        <c:ser>
          <c:idx val="10"/>
          <c:order val="10"/>
          <c:tx>
            <c:strRef>
              <c:f>[GDP_GR_Fanchard.xlsx]Fanchart.24.09!$L$3</c:f>
              <c:strCache>
                <c:ptCount val="1"/>
              </c:strCache>
            </c:strRef>
          </c:tx>
          <c:spPr>
            <a:solidFill>
              <a:srgbClr val="FF0000">
                <a:alpha val="9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[GDP_GR_Fanchard.xlsx]Fanchart.24.09!$L$4:$L$55</c:f>
              <c:numCache>
                <c:formatCode>General</c:formatCode>
                <c:ptCount val="12"/>
                <c:pt idx="6" formatCode="0.0">
                  <c:v>0.2018889073041219</c:v>
                </c:pt>
                <c:pt idx="7" formatCode="0.0">
                  <c:v>0.24986512858832999</c:v>
                </c:pt>
                <c:pt idx="8" formatCode="0.0">
                  <c:v>0.21101298178678984</c:v>
                </c:pt>
                <c:pt idx="9" formatCode="0.0">
                  <c:v>0.21787329013677681</c:v>
                </c:pt>
                <c:pt idx="10" formatCode="0.0">
                  <c:v>0.22152942379791085</c:v>
                </c:pt>
                <c:pt idx="11" formatCode="0.0">
                  <c:v>0.22196591710498925</c:v>
                </c:pt>
              </c:numCache>
            </c:numRef>
          </c:val>
          <c:extLst>
            <c:ext xmlns:c16="http://schemas.microsoft.com/office/drawing/2014/chart" uri="{C3380CC4-5D6E-409C-BE32-E72D297353CC}">
              <c16:uniqueId val="{0000000A-0708-41C2-AE3E-0E095F3B4FC9}"/>
            </c:ext>
          </c:extLst>
        </c:ser>
        <c:ser>
          <c:idx val="11"/>
          <c:order val="11"/>
          <c:tx>
            <c:strRef>
              <c:f>[GDP_GR_Fanchard.xlsx]Fanchart.24.09!$M$3</c:f>
              <c:strCache>
                <c:ptCount val="1"/>
              </c:strCache>
            </c:strRef>
          </c:tx>
          <c:spPr>
            <a:solidFill>
              <a:srgbClr val="FF0000">
                <a:alpha val="8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[GDP_GR_Fanchard.xlsx]Fanchart.24.09!$M$4:$M$55</c:f>
              <c:numCache>
                <c:formatCode>General</c:formatCode>
                <c:ptCount val="12"/>
                <c:pt idx="6" formatCode="0.0">
                  <c:v>0.20866820920579787</c:v>
                </c:pt>
                <c:pt idx="7" formatCode="0.0">
                  <c:v>0.25825544167695114</c:v>
                </c:pt>
                <c:pt idx="8" formatCode="0.0">
                  <c:v>0.21809866434264435</c:v>
                </c:pt>
                <c:pt idx="9" formatCode="0.0">
                  <c:v>0.2251893375109093</c:v>
                </c:pt>
                <c:pt idx="10" formatCode="0.0">
                  <c:v>0.22896824182949249</c:v>
                </c:pt>
                <c:pt idx="11" formatCode="0.0">
                  <c:v>0.22941939230593356</c:v>
                </c:pt>
              </c:numCache>
            </c:numRef>
          </c:val>
          <c:extLst>
            <c:ext xmlns:c16="http://schemas.microsoft.com/office/drawing/2014/chart" uri="{C3380CC4-5D6E-409C-BE32-E72D297353CC}">
              <c16:uniqueId val="{0000000B-0708-41C2-AE3E-0E095F3B4FC9}"/>
            </c:ext>
          </c:extLst>
        </c:ser>
        <c:ser>
          <c:idx val="12"/>
          <c:order val="12"/>
          <c:tx>
            <c:strRef>
              <c:f>[GDP_GR_Fanchard.xlsx]Fanchart.24.09!$N$3</c:f>
              <c:strCache>
                <c:ptCount val="1"/>
              </c:strCache>
            </c:strRef>
          </c:tx>
          <c:spPr>
            <a:solidFill>
              <a:srgbClr val="FF0000">
                <a:alpha val="7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[GDP_GR_Fanchard.xlsx]Fanchart.24.09!$N$4:$N$55</c:f>
              <c:numCache>
                <c:formatCode>General</c:formatCode>
                <c:ptCount val="12"/>
                <c:pt idx="6" formatCode="0.0">
                  <c:v>0.21990486169558565</c:v>
                </c:pt>
                <c:pt idx="7" formatCode="0.0">
                  <c:v>0.27216233560566927</c:v>
                </c:pt>
                <c:pt idx="8" formatCode="0.0">
                  <c:v>0.2298431409403614</c:v>
                </c:pt>
                <c:pt idx="9" formatCode="0.0">
                  <c:v>0.23731564242168712</c:v>
                </c:pt>
                <c:pt idx="10" formatCode="0.0">
                  <c:v>0.24129803837314423</c:v>
                </c:pt>
                <c:pt idx="11" formatCode="0.0">
                  <c:v>0.241773483020431</c:v>
                </c:pt>
              </c:numCache>
            </c:numRef>
          </c:val>
          <c:extLst>
            <c:ext xmlns:c16="http://schemas.microsoft.com/office/drawing/2014/chart" uri="{C3380CC4-5D6E-409C-BE32-E72D297353CC}">
              <c16:uniqueId val="{0000000C-0708-41C2-AE3E-0E095F3B4FC9}"/>
            </c:ext>
          </c:extLst>
        </c:ser>
        <c:ser>
          <c:idx val="13"/>
          <c:order val="13"/>
          <c:tx>
            <c:strRef>
              <c:f>[GDP_GR_Fanchard.xlsx]Fanchart.24.09!$O$3</c:f>
              <c:strCache>
                <c:ptCount val="1"/>
              </c:strCache>
            </c:strRef>
          </c:tx>
          <c:spPr>
            <a:solidFill>
              <a:srgbClr val="FF0000">
                <a:alpha val="6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[GDP_GR_Fanchard.xlsx]Fanchart.24.09!$O$4:$O$55</c:f>
              <c:numCache>
                <c:formatCode>General</c:formatCode>
                <c:ptCount val="12"/>
                <c:pt idx="6" formatCode="0.0">
                  <c:v>0.23731192137006918</c:v>
                </c:pt>
                <c:pt idx="7" formatCode="0.0">
                  <c:v>0.29370595215195827</c:v>
                </c:pt>
                <c:pt idx="8" formatCode="0.0">
                  <c:v>0.24803688726898176</c:v>
                </c:pt>
                <c:pt idx="9" formatCode="0.0">
                  <c:v>0.2561008912673497</c:v>
                </c:pt>
                <c:pt idx="10" formatCode="0.0">
                  <c:v>0.26039852265034824</c:v>
                </c:pt>
                <c:pt idx="11" formatCode="0.0">
                  <c:v>0.26091160217884202</c:v>
                </c:pt>
              </c:numCache>
            </c:numRef>
          </c:val>
          <c:extLst>
            <c:ext xmlns:c16="http://schemas.microsoft.com/office/drawing/2014/chart" uri="{C3380CC4-5D6E-409C-BE32-E72D297353CC}">
              <c16:uniqueId val="{0000000D-0708-41C2-AE3E-0E095F3B4FC9}"/>
            </c:ext>
          </c:extLst>
        </c:ser>
        <c:ser>
          <c:idx val="14"/>
          <c:order val="14"/>
          <c:tx>
            <c:strRef>
              <c:f>[GDP_GR_Fanchard.xlsx]Fanchart.24.09!$P$3</c:f>
              <c:strCache>
                <c:ptCount val="1"/>
              </c:strCache>
            </c:strRef>
          </c:tx>
          <c:spPr>
            <a:solidFill>
              <a:srgbClr val="FF0000">
                <a:alpha val="5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[GDP_GR_Fanchard.xlsx]Fanchart.24.09!$P$4:$P$55</c:f>
              <c:numCache>
                <c:formatCode>General</c:formatCode>
                <c:ptCount val="12"/>
                <c:pt idx="6" formatCode="0.0">
                  <c:v>0.264258078096681</c:v>
                </c:pt>
                <c:pt idx="7" formatCode="0.0">
                  <c:v>0.32705550565325048</c:v>
                </c:pt>
                <c:pt idx="8" formatCode="0.0">
                  <c:v>0.2762008362174555</c:v>
                </c:pt>
                <c:pt idx="9" formatCode="0.0">
                  <c:v>0.28518048707557675</c:v>
                </c:pt>
                <c:pt idx="10" formatCode="0.0">
                  <c:v>0.28996610342001539</c:v>
                </c:pt>
                <c:pt idx="11" formatCode="0.0">
                  <c:v>0.29053744180591856</c:v>
                </c:pt>
              </c:numCache>
            </c:numRef>
          </c:val>
          <c:extLst>
            <c:ext xmlns:c16="http://schemas.microsoft.com/office/drawing/2014/chart" uri="{C3380CC4-5D6E-409C-BE32-E72D297353CC}">
              <c16:uniqueId val="{0000000E-0708-41C2-AE3E-0E095F3B4FC9}"/>
            </c:ext>
          </c:extLst>
        </c:ser>
        <c:ser>
          <c:idx val="15"/>
          <c:order val="15"/>
          <c:tx>
            <c:strRef>
              <c:f>[GDP_GR_Fanchard.xlsx]Fanchart.24.09!$Q$3</c:f>
              <c:strCache>
                <c:ptCount val="1"/>
              </c:strCache>
            </c:strRef>
          </c:tx>
          <c:spPr>
            <a:solidFill>
              <a:srgbClr val="FF0000">
                <a:alpha val="4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[GDP_GR_Fanchard.xlsx]Fanchart.24.09!$Q$4:$Q$55</c:f>
              <c:numCache>
                <c:formatCode>General</c:formatCode>
                <c:ptCount val="12"/>
                <c:pt idx="6" formatCode="0.0">
                  <c:v>0.30802506429891086</c:v>
                </c:pt>
                <c:pt idx="7" formatCode="0.0">
                  <c:v>0.38122313567004262</c:v>
                </c:pt>
                <c:pt idx="8" formatCode="0.0">
                  <c:v>0.32194580747752433</c:v>
                </c:pt>
                <c:pt idx="9" formatCode="0.0">
                  <c:v>0.33241268725231166</c:v>
                </c:pt>
                <c:pt idx="10" formatCode="0.0">
                  <c:v>0.33799090757701578</c:v>
                </c:pt>
                <c:pt idx="11" formatCode="0.0">
                  <c:v>0.33865687224428775</c:v>
                </c:pt>
              </c:numCache>
            </c:numRef>
          </c:val>
          <c:extLst>
            <c:ext xmlns:c16="http://schemas.microsoft.com/office/drawing/2014/chart" uri="{C3380CC4-5D6E-409C-BE32-E72D297353CC}">
              <c16:uniqueId val="{0000000F-0708-41C2-AE3E-0E095F3B4FC9}"/>
            </c:ext>
          </c:extLst>
        </c:ser>
        <c:ser>
          <c:idx val="16"/>
          <c:order val="16"/>
          <c:tx>
            <c:strRef>
              <c:f>[GDP_GR_Fanchard.xlsx]Fanchart.24.09!$R$3</c:f>
              <c:strCache>
                <c:ptCount val="1"/>
              </c:strCache>
            </c:strRef>
          </c:tx>
          <c:spPr>
            <a:solidFill>
              <a:srgbClr val="FF0000">
                <a:alpha val="3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[GDP_GR_Fanchard.xlsx]Fanchart.24.09!$R$4:$R$55</c:f>
              <c:numCache>
                <c:formatCode>General</c:formatCode>
                <c:ptCount val="12"/>
                <c:pt idx="6" formatCode="0.0">
                  <c:v>0.3875658661133512</c:v>
                </c:pt>
                <c:pt idx="7" formatCode="0.0">
                  <c:v>0.47966575413171597</c:v>
                </c:pt>
                <c:pt idx="8" formatCode="0.0">
                  <c:v>0.40508133972989135</c:v>
                </c:pt>
                <c:pt idx="9" formatCode="0.0">
                  <c:v>0.41825106452047933</c:v>
                </c:pt>
                <c:pt idx="10" formatCode="0.0">
                  <c:v>0.42526973943394886</c:v>
                </c:pt>
                <c:pt idx="11" formatCode="0.0">
                  <c:v>0.42610767505344249</c:v>
                </c:pt>
              </c:numCache>
            </c:numRef>
          </c:val>
          <c:extLst>
            <c:ext xmlns:c16="http://schemas.microsoft.com/office/drawing/2014/chart" uri="{C3380CC4-5D6E-409C-BE32-E72D297353CC}">
              <c16:uniqueId val="{00000010-0708-41C2-AE3E-0E095F3B4FC9}"/>
            </c:ext>
          </c:extLst>
        </c:ser>
        <c:ser>
          <c:idx val="17"/>
          <c:order val="17"/>
          <c:tx>
            <c:strRef>
              <c:f>[GDP_GR_Fanchard.xlsx]Fanchart.24.09!$S$3</c:f>
              <c:strCache>
                <c:ptCount val="1"/>
              </c:strCache>
            </c:strRef>
          </c:tx>
          <c:spPr>
            <a:solidFill>
              <a:srgbClr val="FF0000">
                <a:alpha val="20000"/>
              </a:srgbClr>
            </a:solidFill>
          </c:spPr>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[GDP_GR_Fanchard.xlsx]Fanchart.24.09!$S$4:$S$55</c:f>
              <c:numCache>
                <c:formatCode>General</c:formatCode>
                <c:ptCount val="12"/>
                <c:pt idx="6" formatCode="0.0">
                  <c:v>0.5744309963400358</c:v>
                </c:pt>
                <c:pt idx="7" formatCode="0.0">
                  <c:v>0.71093690427188072</c:v>
                </c:pt>
                <c:pt idx="8" formatCode="0.0">
                  <c:v>0.60039156676337413</c:v>
                </c:pt>
                <c:pt idx="9" formatCode="0.0">
                  <c:v>0.61991108278486173</c:v>
                </c:pt>
                <c:pt idx="10" formatCode="0.0">
                  <c:v>0.63031381629687999</c:v>
                </c:pt>
                <c:pt idx="11" formatCode="0.0">
                  <c:v>0.63155576311123873</c:v>
                </c:pt>
              </c:numCache>
            </c:numRef>
          </c:val>
          <c:extLst>
            <c:ext xmlns:c16="http://schemas.microsoft.com/office/drawing/2014/chart" uri="{C3380CC4-5D6E-409C-BE32-E72D297353CC}">
              <c16:uniqueId val="{00000011-0708-41C2-AE3E-0E095F3B4FC9}"/>
            </c:ext>
          </c:extLst>
        </c:ser>
        <c:dLbls>
          <c:showLegendKey val="0"/>
          <c:showVal val="0"/>
          <c:showCatName val="0"/>
          <c:showSerName val="0"/>
          <c:showPercent val="0"/>
          <c:showBubbleSize val="0"/>
        </c:dLbls>
        <c:axId val="433249280"/>
        <c:axId val="433873664"/>
      </c:areaChart>
      <c:lineChart>
        <c:grouping val="standard"/>
        <c:varyColors val="0"/>
        <c:ser>
          <c:idx val="18"/>
          <c:order val="18"/>
          <c:tx>
            <c:strRef>
              <c:f>[GDP_GR_Fanchard.xlsx]Fanchart.24.09!$T$3</c:f>
              <c:strCache>
                <c:ptCount val="1"/>
                <c:pt idx="0">
                  <c:v>7%</c:v>
                </c:pt>
              </c:strCache>
            </c:strRef>
          </c:tx>
          <c:marker>
            <c:symbol val="none"/>
          </c:marker>
          <c:dLbls>
            <c:dLbl>
              <c:idx val="11"/>
              <c:layout>
                <c:manualLayout>
                  <c:x val="-3.6196112454610734E-2"/>
                  <c:y val="-8.1967213114754345E-3"/>
                </c:manualLayout>
              </c:layout>
              <c:spPr>
                <a:noFill/>
                <a:ln>
                  <a:noFill/>
                </a:ln>
                <a:effectLst/>
              </c:spPr>
              <c:txPr>
                <a:bodyPr wrap="square" lIns="38100" tIns="19050" rIns="38100" bIns="19050" anchor="ctr">
                  <a:spAutoFit/>
                </a:bodyPr>
                <a:lstStyle/>
                <a:p>
                  <a:pPr>
                    <a:defRPr sz="1400" b="1"/>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708-41C2-AE3E-0E095F3B4FC9}"/>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strRef>
              <c:f>[GDP_GR_Fanchard.xlsx]Fanchart.24.09!$A$4:$A$55</c:f>
              <c:strCache>
                <c:ptCount val="12"/>
                <c:pt idx="0">
                  <c:v>2017/4</c:v>
                </c:pt>
                <c:pt idx="1">
                  <c:v>2018/4</c:v>
                </c:pt>
                <c:pt idx="2">
                  <c:v>2019/4</c:v>
                </c:pt>
                <c:pt idx="3">
                  <c:v>2020/4</c:v>
                </c:pt>
                <c:pt idx="4">
                  <c:v>2021/1</c:v>
                </c:pt>
                <c:pt idx="5">
                  <c:v>2021/2</c:v>
                </c:pt>
                <c:pt idx="6">
                  <c:v>2021/3*</c:v>
                </c:pt>
                <c:pt idx="7">
                  <c:v>2021/4*</c:v>
                </c:pt>
                <c:pt idx="8">
                  <c:v>2022/1*</c:v>
                </c:pt>
                <c:pt idx="9">
                  <c:v>2022/2*</c:v>
                </c:pt>
                <c:pt idx="10">
                  <c:v>2022/3*</c:v>
                </c:pt>
                <c:pt idx="11">
                  <c:v>2022/4*</c:v>
                </c:pt>
              </c:strCache>
            </c:strRef>
          </c:cat>
          <c:val>
            <c:numRef>
              <c:f>[GDP_GR_Fanchard.xlsx]Fanchart.24.09!$T$4:$T$55</c:f>
              <c:numCache>
                <c:formatCode>0</c:formatCode>
                <c:ptCount val="12"/>
                <c:pt idx="0">
                  <c:v>7</c:v>
                </c:pt>
                <c:pt idx="1">
                  <c:v>7</c:v>
                </c:pt>
                <c:pt idx="2">
                  <c:v>7</c:v>
                </c:pt>
                <c:pt idx="3">
                  <c:v>7</c:v>
                </c:pt>
                <c:pt idx="4">
                  <c:v>7</c:v>
                </c:pt>
                <c:pt idx="5">
                  <c:v>7</c:v>
                </c:pt>
                <c:pt idx="6">
                  <c:v>7</c:v>
                </c:pt>
                <c:pt idx="7">
                  <c:v>7</c:v>
                </c:pt>
                <c:pt idx="8">
                  <c:v>7</c:v>
                </c:pt>
                <c:pt idx="9">
                  <c:v>7</c:v>
                </c:pt>
                <c:pt idx="10">
                  <c:v>7</c:v>
                </c:pt>
                <c:pt idx="11">
                  <c:v>7</c:v>
                </c:pt>
              </c:numCache>
            </c:numRef>
          </c:val>
          <c:smooth val="0"/>
          <c:extLst>
            <c:ext xmlns:c16="http://schemas.microsoft.com/office/drawing/2014/chart" uri="{C3380CC4-5D6E-409C-BE32-E72D297353CC}">
              <c16:uniqueId val="{00000013-0708-41C2-AE3E-0E095F3B4FC9}"/>
            </c:ext>
          </c:extLst>
        </c:ser>
        <c:dLbls>
          <c:showLegendKey val="0"/>
          <c:showVal val="0"/>
          <c:showCatName val="0"/>
          <c:showSerName val="0"/>
          <c:showPercent val="0"/>
          <c:showBubbleSize val="0"/>
        </c:dLbls>
        <c:marker val="1"/>
        <c:smooth val="0"/>
        <c:axId val="433249280"/>
        <c:axId val="433873664"/>
      </c:lineChart>
      <c:catAx>
        <c:axId val="433249280"/>
        <c:scaling>
          <c:orientation val="minMax"/>
        </c:scaling>
        <c:delete val="0"/>
        <c:axPos val="b"/>
        <c:numFmt formatCode="General" sourceLinked="0"/>
        <c:majorTickMark val="out"/>
        <c:minorTickMark val="none"/>
        <c:tickLblPos val="nextTo"/>
        <c:txPr>
          <a:bodyPr/>
          <a:lstStyle/>
          <a:p>
            <a:pPr>
              <a:defRPr sz="1200"/>
            </a:pPr>
            <a:endParaRPr lang="en-US"/>
          </a:p>
        </c:txPr>
        <c:crossAx val="433873664"/>
        <c:crosses val="autoZero"/>
        <c:auto val="1"/>
        <c:lblAlgn val="ctr"/>
        <c:lblOffset val="100"/>
        <c:noMultiLvlLbl val="0"/>
      </c:catAx>
      <c:valAx>
        <c:axId val="433873664"/>
        <c:scaling>
          <c:orientation val="minMax"/>
          <c:max val="10"/>
          <c:min val="-8"/>
        </c:scaling>
        <c:delete val="0"/>
        <c:axPos val="l"/>
        <c:numFmt formatCode="0.0" sourceLinked="1"/>
        <c:majorTickMark val="out"/>
        <c:minorTickMark val="none"/>
        <c:tickLblPos val="nextTo"/>
        <c:crossAx val="433249280"/>
        <c:crosses val="autoZero"/>
        <c:crossBetween val="between"/>
      </c:valAx>
    </c:plotArea>
    <c:legend>
      <c:legendPos val="r"/>
      <c:legendEntry>
        <c:idx val="0"/>
        <c:delete val="1"/>
      </c:legendEntry>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6"/>
        <c:delete val="1"/>
      </c:legendEntry>
      <c:layout>
        <c:manualLayout>
          <c:xMode val="edge"/>
          <c:yMode val="edge"/>
          <c:x val="9.6100549017555367E-2"/>
          <c:y val="3.9262510219009436E-2"/>
          <c:w val="0.27704859438214052"/>
          <c:h val="8.1708833526956653E-2"/>
        </c:manualLayout>
      </c:layout>
      <c:overlay val="0"/>
    </c:legend>
    <c:plotVisOnly val="1"/>
    <c:dispBlanksAs val="gap"/>
    <c:showDLblsOverMax val="0"/>
  </c:chart>
  <c:spPr>
    <a:solidFill>
      <a:sysClr val="window" lastClr="FFFFFF"/>
    </a:solidFill>
    <a:ln>
      <a:solidFill>
        <a:sysClr val="window" lastClr="FFFFFF"/>
      </a:solid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DADD-457F-9244-ADA73FCF510B}"/>
                </c:ext>
              </c:extLst>
            </c:dLbl>
            <c:dLbl>
              <c:idx val="1"/>
              <c:layout>
                <c:manualLayout>
                  <c:x val="-3.0651340996168581E-2"/>
                  <c:y val="4.7450332053689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ADD-457F-9244-ADA73FCF510B}"/>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DADD-457F-9244-ADA73FCF510B}"/>
                </c:ext>
              </c:extLst>
            </c:dLbl>
            <c:dLbl>
              <c:idx val="7"/>
              <c:layout>
                <c:manualLayout>
                  <c:x val="0"/>
                  <c:y val="-4.796163069544408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ADD-457F-9244-ADA73FCF510B}"/>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11.7</c:v>
                </c:pt>
                <c:pt idx="7">
                  <c:v>14</c:v>
                </c:pt>
              </c:numCache>
            </c:numRef>
          </c:val>
          <c:extLst>
            <c:ext xmlns:c16="http://schemas.microsoft.com/office/drawing/2014/chart" uri="{C3380CC4-5D6E-409C-BE32-E72D297353CC}">
              <c16:uniqueId val="{00000004-DADD-457F-9244-ADA73FCF510B}"/>
            </c:ext>
          </c:extLst>
        </c:ser>
        <c:ser>
          <c:idx val="3"/>
          <c:order val="3"/>
          <c:tx>
            <c:strRef>
              <c:f>Sheet1!$A$5</c:f>
              <c:strCache>
                <c:ptCount val="1"/>
                <c:pt idx="0">
                  <c:v>2020  12 ամսյա աճը, %</c:v>
                </c:pt>
              </c:strCache>
            </c:strRef>
          </c:tx>
          <c:spPr>
            <a:solidFill>
              <a:sysClr val="window" lastClr="FFFFFF">
                <a:lumMod val="85000"/>
              </a:sysClr>
            </a:solidFill>
          </c:spPr>
          <c:invertIfNegative val="0"/>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c:ext xmlns:c16="http://schemas.microsoft.com/office/drawing/2014/chart" uri="{C3380CC4-5D6E-409C-BE32-E72D297353CC}">
              <c16:uniqueId val="{00000005-DADD-457F-9244-ADA73FCF510B}"/>
            </c:ext>
          </c:extLst>
        </c:ser>
        <c:dLbls>
          <c:showLegendKey val="0"/>
          <c:showVal val="0"/>
          <c:showCatName val="0"/>
          <c:showSerName val="0"/>
          <c:showPercent val="0"/>
          <c:showBubbleSize val="0"/>
        </c:dLbls>
        <c:gapWidth val="150"/>
        <c:axId val="433957120"/>
        <c:axId val="434974720"/>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ADD-457F-9244-ADA73FCF510B}"/>
                </c:ext>
              </c:extLst>
            </c:dLbl>
            <c:dLbl>
              <c:idx val="1"/>
              <c:layout>
                <c:manualLayout>
                  <c:x val="-3.6371143262264649E-2"/>
                  <c:y val="4.096094749722121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ADD-457F-9244-ADA73FCF510B}"/>
                </c:ext>
              </c:extLst>
            </c:dLbl>
            <c:dLbl>
              <c:idx val="2"/>
              <c:layout>
                <c:manualLayout>
                  <c:x val="-1.6803589206521599E-2"/>
                  <c:y val="2.19811135707680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ADD-457F-9244-ADA73FCF510B}"/>
                </c:ext>
              </c:extLst>
            </c:dLbl>
            <c:dLbl>
              <c:idx val="3"/>
              <c:layout>
                <c:manualLayout>
                  <c:x val="-2.8545637187723263E-2"/>
                  <c:y val="2.283154107954346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ADD-457F-9244-ADA73FCF510B}"/>
                </c:ext>
              </c:extLst>
            </c:dLbl>
            <c:dLbl>
              <c:idx val="4"/>
              <c:layout>
                <c:manualLayout>
                  <c:x val="-2.0688740902289608E-2"/>
                  <c:y val="-6.095083094484711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ADD-457F-9244-ADA73FCF510B}"/>
                </c:ext>
              </c:extLst>
            </c:dLbl>
            <c:dLbl>
              <c:idx val="5"/>
              <c:layout>
                <c:manualLayout>
                  <c:x val="-1.777140410264394E-2"/>
                  <c:y val="-5.60252329695694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ADD-457F-9244-ADA73FCF510B}"/>
                </c:ext>
              </c:extLst>
            </c:dLbl>
            <c:dLbl>
              <c:idx val="6"/>
              <c:layout>
                <c:manualLayout>
                  <c:x val="-4.4930306041841856E-3"/>
                  <c:y val="-2.06500251298375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DADD-457F-9244-ADA73FCF510B}"/>
                </c:ext>
              </c:extLst>
            </c:dLbl>
            <c:dLbl>
              <c:idx val="7"/>
              <c:layout>
                <c:manualLayout>
                  <c:x val="-4.9306462615611602E-3"/>
                  <c:y val="7.829830623690067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DADD-457F-9244-ADA73FCF510B}"/>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10.5</c:v>
                </c:pt>
                <c:pt idx="7">
                  <c:v>10.9</c:v>
                </c:pt>
              </c:numCache>
            </c:numRef>
          </c:val>
          <c:smooth val="0"/>
          <c:extLst>
            <c:ext xmlns:c16="http://schemas.microsoft.com/office/drawing/2014/chart" uri="{C3380CC4-5D6E-409C-BE32-E72D297353CC}">
              <c16:uniqueId val="{0000000E-DADD-457F-9244-ADA73FCF510B}"/>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DADD-457F-9244-ADA73FCF510B}"/>
                </c:ext>
              </c:extLst>
            </c:dLbl>
            <c:dLbl>
              <c:idx val="4"/>
              <c:layout>
                <c:manualLayout>
                  <c:x val="-4.2711616330729375E-2"/>
                  <c:y val="7.570231641202554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DADD-457F-9244-ADA73FCF510B}"/>
                </c:ext>
              </c:extLst>
            </c:dLbl>
            <c:dLbl>
              <c:idx val="5"/>
              <c:layout>
                <c:manualLayout>
                  <c:x val="-4.2164851958985318E-2"/>
                  <c:y val="5.92805755395682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DADD-457F-9244-ADA73FCF510B}"/>
                </c:ext>
              </c:extLst>
            </c:dLbl>
            <c:dLbl>
              <c:idx val="6"/>
              <c:layout>
                <c:manualLayout>
                  <c:x val="-4.204163868368032E-2"/>
                  <c:y val="5.44844124700239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DADD-457F-9244-ADA73FCF510B}"/>
                </c:ext>
              </c:extLst>
            </c:dLbl>
            <c:dLbl>
              <c:idx val="7"/>
              <c:layout>
                <c:manualLayout>
                  <c:x val="-4.4000535863171569E-2"/>
                  <c:y val="4.48920863309352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DADD-457F-9244-ADA73FCF510B}"/>
                </c:ext>
              </c:extLst>
            </c:dLbl>
            <c:dLbl>
              <c:idx val="8"/>
              <c:layout>
                <c:manualLayout>
                  <c:x val="-4.2601298410566459E-2"/>
                  <c:y val="5.44844124700238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DADD-457F-9244-ADA73FCF510B}"/>
                </c:ext>
              </c:extLst>
            </c:dLbl>
            <c:dLbl>
              <c:idx val="9"/>
              <c:layout>
                <c:manualLayout>
                  <c:x val="-4.1213342287888963E-2"/>
                  <c:y val="5.4484412470023891E-2"/>
                </c:manualLayout>
              </c:layout>
              <c:spPr>
                <a:noFill/>
                <a:ln>
                  <a:noFill/>
                </a:ln>
                <a:effectLst/>
              </c:spPr>
              <c:txPr>
                <a:bodyPr wrap="square" lIns="38100" tIns="19050" rIns="38100" bIns="19050" anchor="ctr">
                  <a:noAutofit/>
                </a:bodyPr>
                <a:lstStyle/>
                <a:p>
                  <a:pPr>
                    <a:defRPr b="1">
                      <a:solidFill>
                        <a:srgbClr val="00B050"/>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15-DADD-457F-9244-ADA73FCF510B}"/>
                </c:ext>
              </c:extLst>
            </c:dLbl>
            <c:dLbl>
              <c:idx val="10"/>
              <c:layout>
                <c:manualLayout>
                  <c:x val="-4.1761896955627355E-2"/>
                  <c:y val="4.96882494004796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DADD-457F-9244-ADA73FCF510B}"/>
                </c:ext>
              </c:extLst>
            </c:dLbl>
            <c:dLbl>
              <c:idx val="11"/>
              <c:layout>
                <c:manualLayout>
                  <c:x val="-2.6156644791462853E-2"/>
                  <c:y val="4.48920863309352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DADD-457F-9244-ADA73FCF510B}"/>
                </c:ext>
              </c:extLst>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c:ext xmlns:c16="http://schemas.microsoft.com/office/drawing/2014/chart" uri="{C3380CC4-5D6E-409C-BE32-E72D297353CC}">
              <c16:uniqueId val="{00000018-DADD-457F-9244-ADA73FCF510B}"/>
            </c:ext>
          </c:extLst>
        </c:ser>
        <c:dLbls>
          <c:showLegendKey val="0"/>
          <c:showVal val="0"/>
          <c:showCatName val="0"/>
          <c:showSerName val="0"/>
          <c:showPercent val="0"/>
          <c:showBubbleSize val="0"/>
        </c:dLbls>
        <c:marker val="1"/>
        <c:smooth val="0"/>
        <c:axId val="433957120"/>
        <c:axId val="434974720"/>
      </c:lineChart>
      <c:catAx>
        <c:axId val="433957120"/>
        <c:scaling>
          <c:orientation val="minMax"/>
        </c:scaling>
        <c:delete val="0"/>
        <c:axPos val="b"/>
        <c:numFmt formatCode="General" sourceLinked="1"/>
        <c:majorTickMark val="out"/>
        <c:minorTickMark val="none"/>
        <c:tickLblPos val="low"/>
        <c:txPr>
          <a:bodyPr/>
          <a:lstStyle/>
          <a:p>
            <a:pPr>
              <a:defRPr sz="900"/>
            </a:pPr>
            <a:endParaRPr lang="en-US"/>
          </a:p>
        </c:txPr>
        <c:crossAx val="434974720"/>
        <c:crosses val="autoZero"/>
        <c:auto val="1"/>
        <c:lblAlgn val="ctr"/>
        <c:lblOffset val="100"/>
        <c:noMultiLvlLbl val="0"/>
      </c:catAx>
      <c:valAx>
        <c:axId val="434974720"/>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433957120"/>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497139780604335"/>
          <c:y val="4.1079906678331876E-2"/>
          <c:w val="0.784643986809341"/>
          <c:h val="0.76182298046077712"/>
        </c:manualLayout>
      </c:layout>
      <c:barChart>
        <c:barDir val="col"/>
        <c:grouping val="clustered"/>
        <c:varyColors val="0"/>
        <c:ser>
          <c:idx val="0"/>
          <c:order val="0"/>
          <c:tx>
            <c:strRef>
              <c:f>Sheet1!$B$1</c:f>
              <c:strCache>
                <c:ptCount val="1"/>
                <c:pt idx="0">
                  <c:v>Եկամուտներ</c:v>
                </c:pt>
              </c:strCache>
            </c:strRef>
          </c:tx>
          <c:spPr>
            <a:solidFill>
              <a:srgbClr val="FF0000"/>
            </a:solidFill>
            <a:ln>
              <a:no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1237.7807658799998</c:v>
                </c:pt>
                <c:pt idx="1">
                  <c:v>1341.690590901</c:v>
                </c:pt>
                <c:pt idx="2">
                  <c:v>1565.4731594</c:v>
                </c:pt>
                <c:pt idx="3">
                  <c:v>1560.6553879319999</c:v>
                </c:pt>
                <c:pt idx="4">
                  <c:v>1656.9001472</c:v>
                </c:pt>
                <c:pt idx="5">
                  <c:v>1947.7840000000001</c:v>
                </c:pt>
              </c:numCache>
            </c:numRef>
          </c:val>
          <c:extLst>
            <c:ext xmlns:c16="http://schemas.microsoft.com/office/drawing/2014/chart" uri="{C3380CC4-5D6E-409C-BE32-E72D297353CC}">
              <c16:uniqueId val="{00000000-102F-4559-9DB3-F56AA555FD5B}"/>
            </c:ext>
          </c:extLst>
        </c:ser>
        <c:ser>
          <c:idx val="1"/>
          <c:order val="1"/>
          <c:tx>
            <c:strRef>
              <c:f>Sheet1!$C$1</c:f>
              <c:strCache>
                <c:ptCount val="1"/>
                <c:pt idx="0">
                  <c:v>Ծախսեր</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txPr>
              <a:bodyPr wrap="square" lIns="38100" tIns="19050" rIns="38100" bIns="19050" anchor="ctr">
                <a:spAutoFit/>
              </a:bodyPr>
              <a:lstStyle/>
              <a:p>
                <a:pPr>
                  <a:defRPr sz="8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1504.8022297</c:v>
                </c:pt>
                <c:pt idx="1">
                  <c:v>1447.0830114800001</c:v>
                </c:pt>
                <c:pt idx="2">
                  <c:v>1629.43686245</c:v>
                </c:pt>
                <c:pt idx="3">
                  <c:v>1894.6471421200001</c:v>
                </c:pt>
                <c:pt idx="4">
                  <c:v>1985.9873871100999</c:v>
                </c:pt>
                <c:pt idx="5">
                  <c:v>2184.04</c:v>
                </c:pt>
              </c:numCache>
            </c:numRef>
          </c:val>
          <c:extLst>
            <c:ext xmlns:c16="http://schemas.microsoft.com/office/drawing/2014/chart" uri="{C3380CC4-5D6E-409C-BE32-E72D297353CC}">
              <c16:uniqueId val="{00000001-102F-4559-9DB3-F56AA555FD5B}"/>
            </c:ext>
          </c:extLst>
        </c:ser>
        <c:ser>
          <c:idx val="2"/>
          <c:order val="2"/>
          <c:tx>
            <c:strRef>
              <c:f>Sheet1!$D$1</c:f>
              <c:strCache>
                <c:ptCount val="1"/>
                <c:pt idx="0">
                  <c:v>Պակասուրդ</c:v>
                </c:pt>
              </c:strCache>
            </c:strRef>
          </c:tx>
          <c:spPr>
            <a:solidFill>
              <a:srgbClr val="ED7D31"/>
            </a:solidFill>
            <a:ln w="31765" cap="rnd">
              <a:solidFill>
                <a:srgbClr val="ED7D31"/>
              </a:solidFill>
              <a:round/>
            </a:ln>
            <a:effectLst>
              <a:outerShdw blurRad="40000" dist="23000" dir="5400000" rotWithShape="0">
                <a:srgbClr val="000000">
                  <a:alpha val="35000"/>
                </a:srgbClr>
              </a:outerShdw>
            </a:effectLst>
          </c:spPr>
          <c:invertIfNegative val="0"/>
          <c:dLbls>
            <c:dLbl>
              <c:idx val="0"/>
              <c:layout>
                <c:manualLayout>
                  <c:x val="1.9586668320030991E-17"/>
                  <c:y val="3.24865945154915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102F-4559-9DB3-F56AA555FD5B}"/>
                </c:ext>
              </c:extLst>
            </c:dLbl>
            <c:dLbl>
              <c:idx val="1"/>
              <c:layout>
                <c:manualLayout>
                  <c:x val="-3.9173336640061982E-17"/>
                  <c:y val="2.3770936399940278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102F-4559-9DB3-F56AA555FD5B}"/>
                </c:ext>
              </c:extLst>
            </c:dLbl>
            <c:dLbl>
              <c:idx val="3"/>
              <c:layout>
                <c:manualLayout>
                  <c:x val="0"/>
                  <c:y val="5.380359008522011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102F-4559-9DB3-F56AA555FD5B}"/>
                </c:ext>
              </c:extLst>
            </c:dLbl>
            <c:dLbl>
              <c:idx val="4"/>
              <c:layout>
                <c:manualLayout>
                  <c:x val="0"/>
                  <c:y val="2.582080152602285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102F-4559-9DB3-F56AA555FD5B}"/>
                </c:ext>
              </c:extLst>
            </c:dLbl>
            <c:spPr>
              <a:noFill/>
              <a:ln>
                <a:noFill/>
              </a:ln>
              <a:effectLst/>
            </c:spPr>
            <c:txPr>
              <a:bodyPr wrap="square" lIns="38100" tIns="19050" rIns="38100" bIns="19050" anchor="ctr">
                <a:spAutoFit/>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Sheet1!$D$2:$D$7</c:f>
              <c:numCache>
                <c:formatCode>0.0</c:formatCode>
                <c:ptCount val="6"/>
                <c:pt idx="0">
                  <c:v>-267.02146382000024</c:v>
                </c:pt>
                <c:pt idx="1">
                  <c:v>-105.39242057900015</c:v>
                </c:pt>
                <c:pt idx="2">
                  <c:v>-63.963703050000049</c:v>
                </c:pt>
                <c:pt idx="3">
                  <c:v>-333.99175418800019</c:v>
                </c:pt>
                <c:pt idx="4">
                  <c:v>-329.08723991009992</c:v>
                </c:pt>
                <c:pt idx="5">
                  <c:v>-236.25599999999986</c:v>
                </c:pt>
              </c:numCache>
            </c:numRef>
          </c:val>
          <c:extLst>
            <c:ext xmlns:c16="http://schemas.microsoft.com/office/drawing/2014/chart" uri="{C3380CC4-5D6E-409C-BE32-E72D297353CC}">
              <c16:uniqueId val="{00000006-102F-4559-9DB3-F56AA555FD5B}"/>
            </c:ext>
          </c:extLst>
        </c:ser>
        <c:dLbls>
          <c:showLegendKey val="0"/>
          <c:showVal val="0"/>
          <c:showCatName val="0"/>
          <c:showSerName val="0"/>
          <c:showPercent val="0"/>
          <c:showBubbleSize val="0"/>
        </c:dLbls>
        <c:gapWidth val="150"/>
        <c:axId val="438916224"/>
        <c:axId val="438917760"/>
      </c:barChart>
      <c:catAx>
        <c:axId val="43891622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38917760"/>
        <c:crosses val="autoZero"/>
        <c:auto val="1"/>
        <c:lblAlgn val="ctr"/>
        <c:lblOffset val="100"/>
        <c:noMultiLvlLbl val="0"/>
      </c:catAx>
      <c:valAx>
        <c:axId val="438917760"/>
        <c:scaling>
          <c:orientation val="minMax"/>
          <c:max val="2500"/>
          <c:min val="-500"/>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8916224"/>
        <c:crosses val="autoZero"/>
        <c:crossBetween val="between"/>
      </c:valAx>
      <c:spPr>
        <a:noFill/>
        <a:ln w="25412">
          <a:noFill/>
        </a:ln>
      </c:spPr>
    </c:plotArea>
    <c:legend>
      <c:legendPos val="b"/>
      <c:layout>
        <c:manualLayout>
          <c:xMode val="edge"/>
          <c:yMode val="edge"/>
          <c:x val="0.05"/>
          <c:y val="0.91428556430446195"/>
          <c:w val="0.9"/>
          <c:h val="8.5714435695538063E-2"/>
        </c:manualLayout>
      </c:layout>
      <c:overlay val="0"/>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46295207245282"/>
          <c:y val="5.203364604466193E-2"/>
          <c:w val="0.82012848918713577"/>
          <c:h val="0.72564276710820164"/>
        </c:manualLayout>
      </c:layout>
      <c:lineChart>
        <c:grouping val="standard"/>
        <c:varyColors val="0"/>
        <c:ser>
          <c:idx val="0"/>
          <c:order val="0"/>
          <c:tx>
            <c:strRef>
              <c:f>Sheet1!$B$1</c:f>
              <c:strCache>
                <c:ptCount val="1"/>
                <c:pt idx="0">
                  <c:v>Պակասուրդ, % ՀՆԱ-ում</c:v>
                </c:pt>
              </c:strCache>
            </c:strRef>
          </c:tx>
          <c:spPr>
            <a:ln>
              <a:solidFill>
                <a:srgbClr val="4472C4"/>
              </a:solidFill>
            </a:ln>
          </c:spPr>
          <c:marker>
            <c:spPr>
              <a:solidFill>
                <a:srgbClr val="4472C4"/>
              </a:solidFill>
              <a:ln>
                <a:solidFill>
                  <a:srgbClr val="4472C4"/>
                </a:solidFill>
              </a:ln>
            </c:spPr>
          </c:marker>
          <c:dLbls>
            <c:dLbl>
              <c:idx val="3"/>
              <c:layout>
                <c:manualLayout>
                  <c:x val="-6.0240963855421686E-2"/>
                  <c:y val="3.1111111111111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4C89-45AC-9798-78E245E8B9B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-4.7986662832355291</c:v>
                </c:pt>
                <c:pt idx="1">
                  <c:v>-1.7515672931246957</c:v>
                </c:pt>
                <c:pt idx="2">
                  <c:v>-0.97347611233608666</c:v>
                </c:pt>
                <c:pt idx="3">
                  <c:v>-5.4029424566760298</c:v>
                </c:pt>
                <c:pt idx="4">
                  <c:v>-4.6803993733598501</c:v>
                </c:pt>
                <c:pt idx="5">
                  <c:v>-3</c:v>
                </c:pt>
              </c:numCache>
            </c:numRef>
          </c:val>
          <c:smooth val="0"/>
          <c:extLst>
            <c:ext xmlns:c16="http://schemas.microsoft.com/office/drawing/2014/chart" uri="{C3380CC4-5D6E-409C-BE32-E72D297353CC}">
              <c16:uniqueId val="{00000001-4C89-45AC-9798-78E245E8B9B8}"/>
            </c:ext>
          </c:extLst>
        </c:ser>
        <c:ser>
          <c:idx val="1"/>
          <c:order val="1"/>
          <c:tx>
            <c:strRef>
              <c:f>Sheet1!$C$1</c:f>
              <c:strCache>
                <c:ptCount val="1"/>
                <c:pt idx="0">
                  <c:v>Առաջնային պակասուրդ, % ՀՆԱ-ում</c:v>
                </c:pt>
              </c:strCache>
            </c:strRef>
          </c:tx>
          <c:spPr>
            <a:ln w="12700" cap="rnd">
              <a:solidFill>
                <a:srgbClr val="FF0000"/>
              </a:solidFill>
              <a:prstDash val="dash"/>
              <a:round/>
            </a:ln>
            <a:effectLst>
              <a:outerShdw blurRad="40000" dist="23000" dir="5400000" rotWithShape="0">
                <a:srgbClr val="000000">
                  <a:alpha val="35000"/>
                </a:srgbClr>
              </a:outerShdw>
            </a:effectLst>
          </c:spPr>
          <c:marker>
            <c:symbol val="circle"/>
            <c:size val="5"/>
            <c:spPr>
              <a:solidFill>
                <a:srgbClr val="FF0000"/>
              </a:solidFill>
              <a:ln w="12700">
                <a:solidFill>
                  <a:srgbClr val="FF0000"/>
                </a:solidFill>
                <a:prstDash val="dash"/>
              </a:ln>
            </c:spPr>
          </c:marker>
          <c:dLbls>
            <c:dLbl>
              <c:idx val="3"/>
              <c:layout>
                <c:manualLayout>
                  <c:x val="-5.163511187607573E-2"/>
                  <c:y val="0.04"/>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4C89-45AC-9798-78E245E8B9B8}"/>
                </c:ext>
              </c:extLst>
            </c:dLbl>
            <c:spPr>
              <a:noFill/>
              <a:ln w="25412">
                <a:noFill/>
              </a:ln>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-2.6042112858685642</c:v>
                </c:pt>
                <c:pt idx="1">
                  <c:v>0.558788129758653</c:v>
                </c:pt>
                <c:pt idx="2">
                  <c:v>1.4247069774699335</c:v>
                </c:pt>
                <c:pt idx="3">
                  <c:v>-2.7375216629450994</c:v>
                </c:pt>
                <c:pt idx="4">
                  <c:v>-2.013554840569487</c:v>
                </c:pt>
                <c:pt idx="5">
                  <c:v>-0.3</c:v>
                </c:pt>
              </c:numCache>
            </c:numRef>
          </c:val>
          <c:smooth val="0"/>
          <c:extLst>
            <c:ext xmlns:c16="http://schemas.microsoft.com/office/drawing/2014/chart" uri="{C3380CC4-5D6E-409C-BE32-E72D297353CC}">
              <c16:uniqueId val="{00000003-4C89-45AC-9798-78E245E8B9B8}"/>
            </c:ext>
          </c:extLst>
        </c:ser>
        <c:dLbls>
          <c:showLegendKey val="0"/>
          <c:showVal val="0"/>
          <c:showCatName val="0"/>
          <c:showSerName val="0"/>
          <c:showPercent val="0"/>
          <c:showBubbleSize val="0"/>
        </c:dLbls>
        <c:marker val="1"/>
        <c:smooth val="0"/>
        <c:axId val="439182464"/>
        <c:axId val="439184000"/>
      </c:lineChart>
      <c:catAx>
        <c:axId val="439182464"/>
        <c:scaling>
          <c:orientation val="minMax"/>
        </c:scaling>
        <c:delete val="0"/>
        <c:axPos val="b"/>
        <c:numFmt formatCode="0" sourceLinked="1"/>
        <c:majorTickMark val="none"/>
        <c:minorTickMark val="none"/>
        <c:tickLblPos val="low"/>
        <c:spPr>
          <a:noFill/>
          <a:ln w="19050" cap="flat" cmpd="sng" algn="ctr">
            <a:solidFill>
              <a:srgbClr val="44546A">
                <a:lumMod val="15000"/>
                <a:lumOff val="85000"/>
              </a:srgbClr>
            </a:solidFill>
            <a:round/>
          </a:ln>
          <a:effectLst/>
        </c:spPr>
        <c:txPr>
          <a:bodyPr rot="-60000000" vert="horz"/>
          <a:lstStyle/>
          <a:p>
            <a:pPr>
              <a:defRPr/>
            </a:pPr>
            <a:endParaRPr lang="en-US"/>
          </a:p>
        </c:txPr>
        <c:crossAx val="439184000"/>
        <c:crosses val="autoZero"/>
        <c:auto val="1"/>
        <c:lblAlgn val="ctr"/>
        <c:lblOffset val="100"/>
        <c:noMultiLvlLbl val="0"/>
      </c:catAx>
      <c:valAx>
        <c:axId val="439184000"/>
        <c:scaling>
          <c:orientation val="minMax"/>
        </c:scaling>
        <c:delete val="0"/>
        <c:axPos val="l"/>
        <c:majorGridlines>
          <c:spPr>
            <a:ln w="12700" cap="flat" cmpd="sng" algn="ctr">
              <a:solidFill>
                <a:srgbClr val="44546A">
                  <a:lumMod val="15000"/>
                  <a:lumOff val="85000"/>
                </a:srgb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39182464"/>
        <c:crosses val="autoZero"/>
        <c:crossBetween val="between"/>
      </c:valAx>
      <c:spPr>
        <a:noFill/>
        <a:ln w="25400">
          <a:noFill/>
        </a:ln>
      </c:spPr>
    </c:plotArea>
    <c:legend>
      <c:legendPos val="b"/>
      <c:layout>
        <c:manualLayout>
          <c:xMode val="edge"/>
          <c:yMode val="edge"/>
          <c:x val="7.6856052056876012E-2"/>
          <c:y val="0.87435501653803793"/>
          <c:w val="0.82882226260179048"/>
          <c:h val="9.4774327409735307E-2"/>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Եկամուտների ազդակ</c:v>
                </c:pt>
              </c:strCache>
            </c:strRef>
          </c:tx>
          <c:spPr>
            <a:solidFill>
              <a:schemeClr val="accent1"/>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Sheet1!$B$2:$B$6</c:f>
              <c:numCache>
                <c:formatCode>#,##0.0</c:formatCode>
                <c:ptCount val="5"/>
                <c:pt idx="0">
                  <c:v>-1.22878</c:v>
                </c:pt>
                <c:pt idx="1">
                  <c:v>-1.1514899999999999</c:v>
                </c:pt>
                <c:pt idx="2">
                  <c:v>0.58936383739980469</c:v>
                </c:pt>
                <c:pt idx="3">
                  <c:v>0.24697799069423113</c:v>
                </c:pt>
                <c:pt idx="4">
                  <c:v>-0.9933968283033846</c:v>
                </c:pt>
              </c:numCache>
            </c:numRef>
          </c:val>
          <c:extLst>
            <c:ext xmlns:c16="http://schemas.microsoft.com/office/drawing/2014/chart" uri="{C3380CC4-5D6E-409C-BE32-E72D297353CC}">
              <c16:uniqueId val="{00000000-BEF2-487B-9295-DB27C4C13E1B}"/>
            </c:ext>
          </c:extLst>
        </c:ser>
        <c:ser>
          <c:idx val="1"/>
          <c:order val="1"/>
          <c:tx>
            <c:strRef>
              <c:f>Sheet1!$C$1</c:f>
              <c:strCache>
                <c:ptCount val="1"/>
                <c:pt idx="0">
                  <c:v>Ծախսերի ազդակ</c:v>
                </c:pt>
              </c:strCache>
            </c:strRef>
          </c:tx>
          <c:spPr>
            <a:solidFill>
              <a:schemeClr val="accent2"/>
            </a:solidFill>
            <a:ln>
              <a:noFill/>
            </a:ln>
            <a:effectLst/>
          </c:spPr>
          <c:invertIfNegative val="0"/>
          <c:cat>
            <c:numRef>
              <c:f>Sheet1!$A$2:$A$6</c:f>
              <c:numCache>
                <c:formatCode>General</c:formatCode>
                <c:ptCount val="5"/>
                <c:pt idx="0">
                  <c:v>2018</c:v>
                </c:pt>
                <c:pt idx="1">
                  <c:v>2019</c:v>
                </c:pt>
                <c:pt idx="2">
                  <c:v>2020</c:v>
                </c:pt>
                <c:pt idx="3">
                  <c:v>2021</c:v>
                </c:pt>
                <c:pt idx="4">
                  <c:v>2022</c:v>
                </c:pt>
              </c:numCache>
            </c:numRef>
          </c:cat>
          <c:val>
            <c:numRef>
              <c:f>Sheet1!$C$2:$C$6</c:f>
              <c:numCache>
                <c:formatCode>#,##0.0</c:formatCode>
                <c:ptCount val="5"/>
                <c:pt idx="0">
                  <c:v>-0.88339000000000001</c:v>
                </c:pt>
                <c:pt idx="1">
                  <c:v>1.069604</c:v>
                </c:pt>
                <c:pt idx="2">
                  <c:v>3.8052963944037281</c:v>
                </c:pt>
                <c:pt idx="3">
                  <c:v>-2.1772771979131278</c:v>
                </c:pt>
                <c:pt idx="4">
                  <c:v>0.97451503845431087</c:v>
                </c:pt>
              </c:numCache>
            </c:numRef>
          </c:val>
          <c:extLst>
            <c:ext xmlns:c16="http://schemas.microsoft.com/office/drawing/2014/chart" uri="{C3380CC4-5D6E-409C-BE32-E72D297353CC}">
              <c16:uniqueId val="{00000001-BEF2-487B-9295-DB27C4C13E1B}"/>
            </c:ext>
          </c:extLst>
        </c:ser>
        <c:dLbls>
          <c:showLegendKey val="0"/>
          <c:showVal val="0"/>
          <c:showCatName val="0"/>
          <c:showSerName val="0"/>
          <c:showPercent val="0"/>
          <c:showBubbleSize val="0"/>
        </c:dLbls>
        <c:gapWidth val="219"/>
        <c:axId val="442293632"/>
        <c:axId val="443028608"/>
      </c:barChart>
      <c:lineChart>
        <c:grouping val="standard"/>
        <c:varyColors val="0"/>
        <c:ser>
          <c:idx val="2"/>
          <c:order val="2"/>
          <c:tx>
            <c:strRef>
              <c:f>Sheet1!$D$1</c:f>
              <c:strCache>
                <c:ptCount val="1"/>
                <c:pt idx="0">
                  <c:v>Հարկաբյուջետային ազդակ</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2.0586362874853801E-3"/>
                  <c:y val="5.617078399551200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BEF2-487B-9295-DB27C4C13E1B}"/>
                </c:ext>
              </c:extLst>
            </c:dLbl>
            <c:dLbl>
              <c:idx val="2"/>
              <c:layout>
                <c:manualLayout>
                  <c:x val="-3.1484168202379037E-2"/>
                  <c:y val="-5.06994450121215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BEF2-487B-9295-DB27C4C13E1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HEA Grapalat" panose="02000506050000020003" pitchFamily="50" charset="0"/>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2018</c:v>
                </c:pt>
                <c:pt idx="1">
                  <c:v>2019</c:v>
                </c:pt>
                <c:pt idx="2">
                  <c:v>2020</c:v>
                </c:pt>
                <c:pt idx="3">
                  <c:v>2021</c:v>
                </c:pt>
                <c:pt idx="4">
                  <c:v>2022</c:v>
                </c:pt>
              </c:numCache>
            </c:numRef>
          </c:cat>
          <c:val>
            <c:numRef>
              <c:f>Sheet1!$D$2:$D$6</c:f>
              <c:numCache>
                <c:formatCode>#,##0.0</c:formatCode>
                <c:ptCount val="5"/>
                <c:pt idx="0">
                  <c:v>-2.1121599999999998</c:v>
                </c:pt>
                <c:pt idx="1">
                  <c:v>-8.1890000000000004E-2</c:v>
                </c:pt>
                <c:pt idx="2">
                  <c:v>4.3946602318035328</c:v>
                </c:pt>
                <c:pt idx="3">
                  <c:v>-1.9302992072188967</c:v>
                </c:pt>
                <c:pt idx="4">
                  <c:v>-1.8881789849073738E-2</c:v>
                </c:pt>
              </c:numCache>
            </c:numRef>
          </c:val>
          <c:smooth val="0"/>
          <c:extLst>
            <c:ext xmlns:c16="http://schemas.microsoft.com/office/drawing/2014/chart" uri="{C3380CC4-5D6E-409C-BE32-E72D297353CC}">
              <c16:uniqueId val="{00000004-BEF2-487B-9295-DB27C4C13E1B}"/>
            </c:ext>
          </c:extLst>
        </c:ser>
        <c:dLbls>
          <c:showLegendKey val="0"/>
          <c:showVal val="0"/>
          <c:showCatName val="0"/>
          <c:showSerName val="0"/>
          <c:showPercent val="0"/>
          <c:showBubbleSize val="0"/>
        </c:dLbls>
        <c:marker val="1"/>
        <c:smooth val="0"/>
        <c:axId val="442293632"/>
        <c:axId val="443028608"/>
      </c:lineChart>
      <c:catAx>
        <c:axId val="442293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3028608"/>
        <c:crosses val="autoZero"/>
        <c:auto val="1"/>
        <c:lblAlgn val="ctr"/>
        <c:lblOffset val="100"/>
        <c:noMultiLvlLbl val="0"/>
      </c:catAx>
      <c:valAx>
        <c:axId val="443028608"/>
        <c:scaling>
          <c:orientation val="minMax"/>
        </c:scaling>
        <c:delete val="0"/>
        <c:axPos val="l"/>
        <c:majorGridlines>
          <c:spPr>
            <a:ln w="317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2293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32362300089968"/>
          <c:y val="6.0752269779507137E-2"/>
          <c:w val="0.80235521125059406"/>
          <c:h val="0.65690492968534575"/>
        </c:manualLayout>
      </c:layout>
      <c:barChart>
        <c:barDir val="col"/>
        <c:grouping val="clustered"/>
        <c:varyColors val="0"/>
        <c:ser>
          <c:idx val="0"/>
          <c:order val="0"/>
          <c:tx>
            <c:strRef>
              <c:f>Sheet1!$B$1</c:f>
              <c:strCache>
                <c:ptCount val="1"/>
                <c:pt idx="0">
                  <c:v>Ընթացիկ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22.777216374759576</c:v>
                </c:pt>
                <c:pt idx="1">
                  <c:v>21.588337472248789</c:v>
                </c:pt>
                <c:pt idx="2">
                  <c:v>21.877651055716242</c:v>
                </c:pt>
                <c:pt idx="3">
                  <c:v>26.990441339412151</c:v>
                </c:pt>
                <c:pt idx="4">
                  <c:v>25.062939859518735</c:v>
                </c:pt>
                <c:pt idx="5">
                  <c:v>23.4</c:v>
                </c:pt>
              </c:numCache>
            </c:numRef>
          </c:val>
          <c:extLst>
            <c:ext xmlns:c16="http://schemas.microsoft.com/office/drawing/2014/chart" uri="{C3380CC4-5D6E-409C-BE32-E72D297353CC}">
              <c16:uniqueId val="{00000000-8801-4D4C-A76D-70DFE33E661A}"/>
            </c:ext>
          </c:extLst>
        </c:ser>
        <c:dLbls>
          <c:showLegendKey val="0"/>
          <c:showVal val="0"/>
          <c:showCatName val="0"/>
          <c:showSerName val="0"/>
          <c:showPercent val="0"/>
          <c:showBubbleSize val="0"/>
        </c:dLbls>
        <c:gapWidth val="219"/>
        <c:overlap val="-27"/>
        <c:axId val="443351040"/>
        <c:axId val="443352576"/>
      </c:barChart>
      <c:lineChart>
        <c:grouping val="standard"/>
        <c:varyColors val="0"/>
        <c:ser>
          <c:idx val="1"/>
          <c:order val="1"/>
          <c:tx>
            <c:strRef>
              <c:f>Sheet1!$C$1</c:f>
              <c:strCache>
                <c:ptCount val="1"/>
                <c:pt idx="0">
                  <c:v>Հարկային եկամուտներ/ՀՆԱ%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20.810311842409792</c:v>
                </c:pt>
                <c:pt idx="1">
                  <c:v>20.909320563240176</c:v>
                </c:pt>
                <c:pt idx="2">
                  <c:v>22.4</c:v>
                </c:pt>
                <c:pt idx="3">
                  <c:v>22.400763757595897</c:v>
                </c:pt>
                <c:pt idx="4">
                  <c:v>22.485551555964886</c:v>
                </c:pt>
                <c:pt idx="5">
                  <c:v>23.4</c:v>
                </c:pt>
              </c:numCache>
            </c:numRef>
          </c:val>
          <c:smooth val="0"/>
          <c:extLst>
            <c:ext xmlns:c16="http://schemas.microsoft.com/office/drawing/2014/chart" uri="{C3380CC4-5D6E-409C-BE32-E72D297353CC}">
              <c16:uniqueId val="{00000001-8801-4D4C-A76D-70DFE33E661A}"/>
            </c:ext>
          </c:extLst>
        </c:ser>
        <c:dLbls>
          <c:showLegendKey val="0"/>
          <c:showVal val="0"/>
          <c:showCatName val="0"/>
          <c:showSerName val="0"/>
          <c:showPercent val="0"/>
          <c:showBubbleSize val="0"/>
        </c:dLbls>
        <c:marker val="1"/>
        <c:smooth val="0"/>
        <c:axId val="443351040"/>
        <c:axId val="443352576"/>
      </c:lineChart>
      <c:catAx>
        <c:axId val="443351040"/>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52576"/>
        <c:crosses val="autoZero"/>
        <c:auto val="1"/>
        <c:lblAlgn val="ctr"/>
        <c:lblOffset val="100"/>
        <c:noMultiLvlLbl val="0"/>
      </c:catAx>
      <c:valAx>
        <c:axId val="443352576"/>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51040"/>
        <c:crosses val="autoZero"/>
        <c:crossBetween val="between"/>
      </c:valAx>
      <c:spPr>
        <a:noFill/>
        <a:ln w="25412">
          <a:noFill/>
        </a:ln>
      </c:spPr>
    </c:plotArea>
    <c:legend>
      <c:legendPos val="b"/>
      <c:layout>
        <c:manualLayout>
          <c:xMode val="edge"/>
          <c:yMode val="edge"/>
          <c:x val="4.0371417036737994E-2"/>
          <c:y val="0.87673156240085393"/>
          <c:w val="0.92533322313313981"/>
          <c:h val="0.12326843759914623"/>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982080812768812"/>
          <c:y val="6.3554952510176385E-2"/>
          <c:w val="0.8257706331319018"/>
          <c:h val="0.63564952617015436"/>
        </c:manualLayout>
      </c:layout>
      <c:barChart>
        <c:barDir val="col"/>
        <c:grouping val="clustered"/>
        <c:varyColors val="0"/>
        <c:ser>
          <c:idx val="1"/>
          <c:order val="1"/>
          <c:tx>
            <c:strRef>
              <c:f>Sheet1!$C$1</c:f>
              <c:strCache>
                <c:ptCount val="1"/>
                <c:pt idx="0">
                  <c:v>Ոչ ֆին. ակիվ.գծով ծախսեր/ՀՆԱ%</c:v>
                </c:pt>
              </c:strCache>
            </c:strRef>
          </c:tx>
          <c:spPr>
            <a:solidFill>
              <a:srgbClr val="4472C4"/>
            </a:solidFill>
            <a:ln>
              <a:solidFill>
                <a:srgbClr val="4472C4"/>
              </a:solidFill>
            </a:ln>
            <a:effectLst>
              <a:outerShdw blurRad="40000" dist="23000" dir="5400000" rotWithShape="0">
                <a:srgbClr val="000000">
                  <a:alpha val="35000"/>
                </a:srgbClr>
              </a:outerShdw>
            </a:effectLst>
          </c:spPr>
          <c:invertIfNegative val="0"/>
          <c:dLbls>
            <c:spPr>
              <a:noFill/>
              <a:ln>
                <a:noFill/>
              </a:ln>
              <a:effectLst/>
            </c:sp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Sheet1!$C$2:$C$7</c:f>
              <c:numCache>
                <c:formatCode>0.0</c:formatCode>
                <c:ptCount val="6"/>
                <c:pt idx="0">
                  <c:v>4.2657172504817265</c:v>
                </c:pt>
                <c:pt idx="1">
                  <c:v>2.4614306175240586</c:v>
                </c:pt>
                <c:pt idx="2">
                  <c:v>2.9387820204716206</c:v>
                </c:pt>
                <c:pt idx="3">
                  <c:v>3.6590263681586981</c:v>
                </c:pt>
                <c:pt idx="4">
                  <c:v>3.1824882128153225</c:v>
                </c:pt>
                <c:pt idx="5">
                  <c:v>4.5</c:v>
                </c:pt>
              </c:numCache>
            </c:numRef>
          </c:val>
          <c:extLst>
            <c:ext xmlns:c16="http://schemas.microsoft.com/office/drawing/2014/chart" uri="{C3380CC4-5D6E-409C-BE32-E72D297353CC}">
              <c16:uniqueId val="{00000000-F5D1-4F78-945E-056A56507487}"/>
            </c:ext>
          </c:extLst>
        </c:ser>
        <c:dLbls>
          <c:showLegendKey val="0"/>
          <c:showVal val="0"/>
          <c:showCatName val="0"/>
          <c:showSerName val="0"/>
          <c:showPercent val="0"/>
          <c:showBubbleSize val="0"/>
        </c:dLbls>
        <c:gapWidth val="219"/>
        <c:axId val="443396864"/>
        <c:axId val="443398400"/>
      </c:barChart>
      <c:lineChart>
        <c:grouping val="standard"/>
        <c:varyColors val="0"/>
        <c:ser>
          <c:idx val="0"/>
          <c:order val="0"/>
          <c:tx>
            <c:strRef>
              <c:f>Sheet1!$B$1</c:f>
              <c:strCache>
                <c:ptCount val="1"/>
                <c:pt idx="0">
                  <c:v>Պակասուրդ/ՀՆԱ%</c:v>
                </c:pt>
              </c:strCache>
            </c:strRef>
          </c:tx>
          <c:spPr>
            <a:ln>
              <a:solidFill>
                <a:srgbClr val="FF0000"/>
              </a:solidFill>
            </a:ln>
            <a:effectLst>
              <a:outerShdw blurRad="40000" dist="23000" dir="5400000" rotWithShape="0">
                <a:srgbClr val="000000">
                  <a:alpha val="35000"/>
                </a:srgbClr>
              </a:outerShdw>
            </a:effectLst>
          </c:spPr>
          <c:marker>
            <c:spPr>
              <a:solidFill>
                <a:srgbClr val="FF0000"/>
              </a:solidFill>
              <a:ln>
                <a:solidFill>
                  <a:srgbClr val="FF0000"/>
                </a:solidFill>
              </a:ln>
            </c:spPr>
          </c:marker>
          <c:dLbls>
            <c:dLbl>
              <c:idx val="3"/>
              <c:layout>
                <c:manualLayout>
                  <c:x val="-6.4230924505450135E-2"/>
                  <c:y val="-5.021109715371200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5D1-4F78-945E-056A56507487}"/>
                </c:ext>
              </c:extLst>
            </c:dLbl>
            <c:dLbl>
              <c:idx val="5"/>
              <c:layout>
                <c:manualLayout>
                  <c:x val="-2.1166561496886059E-3"/>
                  <c:y val="2.48882615855093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5D1-4F78-945E-056A56507487}"/>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numRef>
              <c:f>Sheet1!$A$2:$A$7</c:f>
              <c:numCache>
                <c:formatCode>0</c:formatCode>
                <c:ptCount val="6"/>
                <c:pt idx="0">
                  <c:v>2017</c:v>
                </c:pt>
                <c:pt idx="1">
                  <c:v>2018</c:v>
                </c:pt>
                <c:pt idx="2">
                  <c:v>2019</c:v>
                </c:pt>
                <c:pt idx="3">
                  <c:v>2020</c:v>
                </c:pt>
                <c:pt idx="4">
                  <c:v>2021</c:v>
                </c:pt>
                <c:pt idx="5">
                  <c:v>2022</c:v>
                </c:pt>
              </c:numCache>
            </c:numRef>
          </c:cat>
          <c:val>
            <c:numRef>
              <c:f>Sheet1!$B$2:$B$7</c:f>
              <c:numCache>
                <c:formatCode>0.0</c:formatCode>
                <c:ptCount val="6"/>
                <c:pt idx="0">
                  <c:v>4.7986662832355291</c:v>
                </c:pt>
                <c:pt idx="1">
                  <c:v>1.7515672931246957</c:v>
                </c:pt>
                <c:pt idx="2">
                  <c:v>0.973720551834374</c:v>
                </c:pt>
                <c:pt idx="3">
                  <c:v>5.4</c:v>
                </c:pt>
                <c:pt idx="4">
                  <c:v>4.7</c:v>
                </c:pt>
                <c:pt idx="5">
                  <c:v>3</c:v>
                </c:pt>
              </c:numCache>
            </c:numRef>
          </c:val>
          <c:smooth val="0"/>
          <c:extLst>
            <c:ext xmlns:c16="http://schemas.microsoft.com/office/drawing/2014/chart" uri="{C3380CC4-5D6E-409C-BE32-E72D297353CC}">
              <c16:uniqueId val="{00000003-F5D1-4F78-945E-056A56507487}"/>
            </c:ext>
          </c:extLst>
        </c:ser>
        <c:dLbls>
          <c:showLegendKey val="0"/>
          <c:showVal val="0"/>
          <c:showCatName val="0"/>
          <c:showSerName val="0"/>
          <c:showPercent val="0"/>
          <c:showBubbleSize val="0"/>
        </c:dLbls>
        <c:marker val="1"/>
        <c:smooth val="0"/>
        <c:axId val="443396864"/>
        <c:axId val="443398400"/>
      </c:lineChart>
      <c:catAx>
        <c:axId val="443396864"/>
        <c:scaling>
          <c:orientation val="minMax"/>
        </c:scaling>
        <c:delete val="0"/>
        <c:axPos val="b"/>
        <c:numFmt formatCode="0" sourceLinked="1"/>
        <c:majorTickMark val="none"/>
        <c:minorTickMark val="none"/>
        <c:tickLblPos val="low"/>
        <c:spPr>
          <a:noFill/>
          <a:ln w="9530" cap="flat" cmpd="sng" algn="ctr">
            <a:solidFill>
              <a:schemeClr val="tx2">
                <a:lumMod val="15000"/>
                <a:lumOff val="85000"/>
              </a:schemeClr>
            </a:solidFill>
            <a:round/>
          </a:ln>
          <a:effectLst/>
        </c:spPr>
        <c:txPr>
          <a:bodyPr rot="-60000000" vert="horz"/>
          <a:lstStyle/>
          <a:p>
            <a:pPr>
              <a:defRPr/>
            </a:pPr>
            <a:endParaRPr lang="en-US"/>
          </a:p>
        </c:txPr>
        <c:crossAx val="443398400"/>
        <c:crosses val="autoZero"/>
        <c:auto val="1"/>
        <c:lblAlgn val="ctr"/>
        <c:lblOffset val="100"/>
        <c:noMultiLvlLbl val="0"/>
      </c:catAx>
      <c:valAx>
        <c:axId val="443398400"/>
        <c:scaling>
          <c:orientation val="minMax"/>
        </c:scaling>
        <c:delete val="0"/>
        <c:axPos val="l"/>
        <c:majorGridlines>
          <c:spPr>
            <a:ln w="9530" cap="flat" cmpd="sng" algn="ctr">
              <a:solidFill>
                <a:schemeClr val="tx2">
                  <a:lumMod val="15000"/>
                  <a:lumOff val="85000"/>
                </a:schemeClr>
              </a:solidFill>
              <a:round/>
            </a:ln>
            <a:effectLst/>
          </c:spPr>
        </c:majorGridlines>
        <c:numFmt formatCode="0.0" sourceLinked="1"/>
        <c:majorTickMark val="none"/>
        <c:minorTickMark val="none"/>
        <c:tickLblPos val="nextTo"/>
        <c:spPr>
          <a:ln w="6353">
            <a:noFill/>
          </a:ln>
        </c:spPr>
        <c:txPr>
          <a:bodyPr rot="-60000000" vert="horz"/>
          <a:lstStyle/>
          <a:p>
            <a:pPr>
              <a:defRPr/>
            </a:pPr>
            <a:endParaRPr lang="en-US"/>
          </a:p>
        </c:txPr>
        <c:crossAx val="443396864"/>
        <c:crosses val="autoZero"/>
        <c:crossBetween val="between"/>
      </c:valAx>
      <c:spPr>
        <a:noFill/>
        <a:ln w="25412">
          <a:noFill/>
        </a:ln>
      </c:spPr>
    </c:plotArea>
    <c:legend>
      <c:legendPos val="b"/>
      <c:layout>
        <c:manualLayout>
          <c:xMode val="edge"/>
          <c:yMode val="edge"/>
          <c:x val="0"/>
          <c:y val="0.8767285925196856"/>
          <c:w val="0.99584174404521597"/>
          <c:h val="0.123271407480315"/>
        </c:manualLayout>
      </c:layout>
      <c:overlay val="0"/>
      <c:spPr>
        <a:noFill/>
        <a:ln w="25412">
          <a:noFill/>
        </a:ln>
      </c:spPr>
      <c:txPr>
        <a:bodyPr rot="0" vert="horz"/>
        <a:lstStyle/>
        <a:p>
          <a:pPr>
            <a:defRPr sz="900"/>
          </a:pPr>
          <a:endParaRPr lang="en-US"/>
        </a:p>
      </c:txPr>
    </c:legend>
    <c:plotVisOnly val="1"/>
    <c:dispBlanksAs val="gap"/>
    <c:showDLblsOverMax val="0"/>
  </c:chart>
  <c:spPr>
    <a:solidFill>
      <a:schemeClr val="bg1"/>
    </a:solidFill>
    <a:ln w="9530" cap="flat" cmpd="sng" algn="ctr">
      <a:solidFill>
        <a:schemeClr val="tx2">
          <a:lumMod val="15000"/>
          <a:lumOff val="85000"/>
        </a:schemeClr>
      </a:solidFill>
      <a:round/>
    </a:ln>
    <a:effectLst/>
  </c:spPr>
  <c:txPr>
    <a:bodyPr anchor="t" anchorCtr="0"/>
    <a:lstStyle/>
    <a:p>
      <a:pPr>
        <a:defRPr>
          <a:latin typeface="GHEA Grapalat" panose="02000506050000020003" pitchFamily="50" charset="0"/>
        </a:defRPr>
      </a:pPr>
      <a:endParaRPr lang="en-US"/>
    </a:p>
  </c:txPr>
  <c:externalData r:id="rId2">
    <c:autoUpdate val="0"/>
  </c:externalData>
  <c:userShapes r:id="rId3"/>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y-AM" sz="1000" b="1">
                <a:solidFill>
                  <a:sysClr val="windowText" lastClr="000000"/>
                </a:solidFill>
                <a:latin typeface="GHEA Grapalat" panose="02000506050000020003" pitchFamily="50" charset="0"/>
              </a:rPr>
              <a:t>Կառավարության պարտքի</a:t>
            </a:r>
            <a:r>
              <a:rPr lang="hy-AM" sz="1000" b="1" baseline="0">
                <a:solidFill>
                  <a:sysClr val="windowText" lastClr="000000"/>
                </a:solidFill>
                <a:latin typeface="GHEA Grapalat" panose="02000506050000020003" pitchFamily="50" charset="0"/>
              </a:rPr>
              <a:t> դինամիկան</a:t>
            </a:r>
            <a:endParaRPr lang="en-US" sz="1000" b="1">
              <a:solidFill>
                <a:sysClr val="windowText" lastClr="000000"/>
              </a:solidFill>
              <a:latin typeface="GHEA Grapalat" panose="02000506050000020003" pitchFamily="50" charset="0"/>
            </a:endParaRPr>
          </a:p>
        </c:rich>
      </c:tx>
      <c:layout/>
      <c:overlay val="0"/>
      <c:spPr>
        <a:noFill/>
        <a:ln>
          <a:noFill/>
        </a:ln>
        <a:effectLst/>
      </c:spPr>
    </c:title>
    <c:autoTitleDeleted val="0"/>
    <c:plotArea>
      <c:layout/>
      <c:barChart>
        <c:barDir val="col"/>
        <c:grouping val="clustered"/>
        <c:varyColors val="0"/>
        <c:ser>
          <c:idx val="1"/>
          <c:order val="1"/>
          <c:tx>
            <c:strRef>
              <c:f>Sheet1!$C$1</c:f>
              <c:strCache>
                <c:ptCount val="1"/>
                <c:pt idx="0">
                  <c:v>ՀՀ կառավարության պարտք, մլրդ դրամ</c:v>
                </c:pt>
              </c:strCache>
            </c:strRef>
          </c:tx>
          <c:spPr>
            <a:solidFill>
              <a:schemeClr val="accent2"/>
            </a:solidFill>
            <a:ln>
              <a:noFill/>
            </a:ln>
            <a:effectLst/>
          </c:spPr>
          <c:invertIfNegative val="0"/>
          <c:cat>
            <c:numRef>
              <c:f>Sheet1!$A$2:$A$8</c:f>
              <c:numCache>
                <c:formatCode>General</c:formatCode>
                <c:ptCount val="6"/>
                <c:pt idx="0">
                  <c:v>2017</c:v>
                </c:pt>
                <c:pt idx="1">
                  <c:v>2018</c:v>
                </c:pt>
                <c:pt idx="2">
                  <c:v>2019</c:v>
                </c:pt>
                <c:pt idx="3">
                  <c:v>2020</c:v>
                </c:pt>
                <c:pt idx="4">
                  <c:v>2021</c:v>
                </c:pt>
                <c:pt idx="5">
                  <c:v>2022</c:v>
                </c:pt>
              </c:numCache>
            </c:numRef>
          </c:cat>
          <c:val>
            <c:numRef>
              <c:f>Sheet1!$C$2:$C$8</c:f>
              <c:numCache>
                <c:formatCode>0.0</c:formatCode>
                <c:ptCount val="6"/>
                <c:pt idx="0">
                  <c:v>2988.3796278717332</c:v>
                </c:pt>
                <c:pt idx="1">
                  <c:v>3082.8664640448101</c:v>
                </c:pt>
                <c:pt idx="2">
                  <c:v>3277.2813769668846</c:v>
                </c:pt>
                <c:pt idx="3">
                  <c:v>3923.8890671175195</c:v>
                </c:pt>
                <c:pt idx="4">
                  <c:v>4273.6889305744953</c:v>
                </c:pt>
                <c:pt idx="5">
                  <c:v>4740.1930014105183</c:v>
                </c:pt>
              </c:numCache>
            </c:numRef>
          </c:val>
          <c:extLst>
            <c:ext xmlns:c16="http://schemas.microsoft.com/office/drawing/2014/chart" uri="{C3380CC4-5D6E-409C-BE32-E72D297353CC}">
              <c16:uniqueId val="{00000000-B54A-4D68-BA50-EDF500D2831E}"/>
            </c:ext>
          </c:extLst>
        </c:ser>
        <c:dLbls>
          <c:showLegendKey val="0"/>
          <c:showVal val="0"/>
          <c:showCatName val="0"/>
          <c:showSerName val="0"/>
          <c:showPercent val="0"/>
          <c:showBubbleSize val="0"/>
        </c:dLbls>
        <c:gapWidth val="219"/>
        <c:axId val="444647296"/>
        <c:axId val="444648832"/>
      </c:barChart>
      <c:lineChart>
        <c:grouping val="standard"/>
        <c:varyColors val="0"/>
        <c:ser>
          <c:idx val="0"/>
          <c:order val="0"/>
          <c:tx>
            <c:strRef>
              <c:f>Sheet1!$B$1</c:f>
              <c:strCache>
                <c:ptCount val="1"/>
                <c:pt idx="0">
                  <c:v>Կառավարության պարտք/ՀՆԱ, % (աջ առանցք)</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Sheet1!$A$2:$A$8</c:f>
              <c:numCache>
                <c:formatCode>General</c:formatCode>
                <c:ptCount val="6"/>
                <c:pt idx="0">
                  <c:v>2017</c:v>
                </c:pt>
                <c:pt idx="1">
                  <c:v>2018</c:v>
                </c:pt>
                <c:pt idx="2">
                  <c:v>2019</c:v>
                </c:pt>
                <c:pt idx="3">
                  <c:v>2020</c:v>
                </c:pt>
                <c:pt idx="4">
                  <c:v>2021</c:v>
                </c:pt>
                <c:pt idx="5">
                  <c:v>2022</c:v>
                </c:pt>
              </c:numCache>
            </c:numRef>
          </c:cat>
          <c:val>
            <c:numRef>
              <c:f>Sheet1!$B$2:$B$8</c:f>
              <c:numCache>
                <c:formatCode>0.0</c:formatCode>
                <c:ptCount val="6"/>
                <c:pt idx="0">
                  <c:v>53.704433930610207</c:v>
                </c:pt>
                <c:pt idx="1">
                  <c:v>51.235639506393603</c:v>
                </c:pt>
                <c:pt idx="2">
                  <c:v>49.890110777392067</c:v>
                </c:pt>
                <c:pt idx="3">
                  <c:v>63.476258231461003</c:v>
                </c:pt>
                <c:pt idx="4">
                  <c:v>60.781943569000163</c:v>
                </c:pt>
                <c:pt idx="5">
                  <c:v>60.235460876979104</c:v>
                </c:pt>
              </c:numCache>
            </c:numRef>
          </c:val>
          <c:smooth val="0"/>
          <c:extLst>
            <c:ext xmlns:c16="http://schemas.microsoft.com/office/drawing/2014/chart" uri="{C3380CC4-5D6E-409C-BE32-E72D297353CC}">
              <c16:uniqueId val="{00000001-B54A-4D68-BA50-EDF500D2831E}"/>
            </c:ext>
          </c:extLst>
        </c:ser>
        <c:dLbls>
          <c:showLegendKey val="0"/>
          <c:showVal val="0"/>
          <c:showCatName val="0"/>
          <c:showSerName val="0"/>
          <c:showPercent val="0"/>
          <c:showBubbleSize val="0"/>
        </c:dLbls>
        <c:marker val="1"/>
        <c:smooth val="0"/>
        <c:axId val="444652160"/>
        <c:axId val="444650624"/>
      </c:lineChart>
      <c:catAx>
        <c:axId val="444647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8832"/>
        <c:crosses val="autoZero"/>
        <c:auto val="1"/>
        <c:lblAlgn val="ctr"/>
        <c:lblOffset val="100"/>
        <c:noMultiLvlLbl val="0"/>
      </c:catAx>
      <c:valAx>
        <c:axId val="4446488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47296"/>
        <c:crosses val="autoZero"/>
        <c:crossBetween val="between"/>
      </c:valAx>
      <c:valAx>
        <c:axId val="444650624"/>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652160"/>
        <c:crosses val="max"/>
        <c:crossBetween val="between"/>
      </c:valAx>
      <c:catAx>
        <c:axId val="444652160"/>
        <c:scaling>
          <c:orientation val="minMax"/>
        </c:scaling>
        <c:delete val="1"/>
        <c:axPos val="b"/>
        <c:numFmt formatCode="General" sourceLinked="1"/>
        <c:majorTickMark val="out"/>
        <c:minorTickMark val="none"/>
        <c:tickLblPos val="none"/>
        <c:crossAx val="444650624"/>
        <c:crosses val="autoZero"/>
        <c:auto val="1"/>
        <c:lblAlgn val="ctr"/>
        <c:lblOffset val="100"/>
        <c:noMultiLvlLbl val="0"/>
      </c:catAx>
      <c:spPr>
        <a:noFill/>
        <a:ln>
          <a:noFill/>
        </a:ln>
        <a:effectLst/>
      </c:spPr>
    </c:plotArea>
    <c:legend>
      <c:legendPos val="b"/>
      <c:layout>
        <c:manualLayout>
          <c:xMode val="edge"/>
          <c:yMode val="edge"/>
          <c:x val="0"/>
          <c:y val="0.78088601993439488"/>
          <c:w val="0.99724612736660856"/>
          <c:h val="0.219113980065605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10479423532748"/>
          <c:y val="7.2968490878938891E-2"/>
          <c:w val="0.79172563256539785"/>
          <c:h val="0.56610718117510128"/>
        </c:manualLayout>
      </c:layout>
      <c:lineChart>
        <c:grouping val="standard"/>
        <c:varyColors val="0"/>
        <c:ser>
          <c:idx val="0"/>
          <c:order val="0"/>
          <c:tx>
            <c:strRef>
              <c:f>Sheet1!$B$1</c:f>
              <c:strCache>
                <c:ptCount val="1"/>
                <c:pt idx="0">
                  <c:v>S&amp;P 500 (ԱՄՆ)</c:v>
                </c:pt>
              </c:strCache>
            </c:strRef>
          </c:tx>
          <c:spPr>
            <a:ln w="28575" cap="rnd">
              <a:solidFill>
                <a:schemeClr val="accent1"/>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Sheet1!$B$2:$B$672</c:f>
              <c:numCache>
                <c:formatCode>0.0</c:formatCode>
                <c:ptCount val="671"/>
                <c:pt idx="0">
                  <c:v>100</c:v>
                </c:pt>
                <c:pt idx="1">
                  <c:v>97.524332378497462</c:v>
                </c:pt>
                <c:pt idx="2">
                  <c:v>100.87289793349082</c:v>
                </c:pt>
                <c:pt idx="3">
                  <c:v>101.58006079608609</c:v>
                </c:pt>
                <c:pt idx="4">
                  <c:v>102.56490958275397</c:v>
                </c:pt>
                <c:pt idx="5">
                  <c:v>102.98522328418385</c:v>
                </c:pt>
                <c:pt idx="6">
                  <c:v>103.45055636785216</c:v>
                </c:pt>
                <c:pt idx="7">
                  <c:v>103.43541710656844</c:v>
                </c:pt>
                <c:pt idx="8">
                  <c:v>102.89159890519235</c:v>
                </c:pt>
                <c:pt idx="9">
                  <c:v>103.99477297084098</c:v>
                </c:pt>
                <c:pt idx="10">
                  <c:v>104.22584590622422</c:v>
                </c:pt>
                <c:pt idx="11">
                  <c:v>105.01707150910546</c:v>
                </c:pt>
                <c:pt idx="12">
                  <c:v>106.40151711334126</c:v>
                </c:pt>
                <c:pt idx="13">
                  <c:v>104.89516061561015</c:v>
                </c:pt>
                <c:pt idx="14">
                  <c:v>105.12623355099338</c:v>
                </c:pt>
                <c:pt idx="15">
                  <c:v>105.27085333641426</c:v>
                </c:pt>
                <c:pt idx="16">
                  <c:v>106.16446815376706</c:v>
                </c:pt>
                <c:pt idx="17">
                  <c:v>105.33141038154919</c:v>
                </c:pt>
                <c:pt idx="18">
                  <c:v>105.17802576064825</c:v>
                </c:pt>
                <c:pt idx="19">
                  <c:v>106.8134643809038</c:v>
                </c:pt>
                <c:pt idx="20">
                  <c:v>107.73178009824581</c:v>
                </c:pt>
                <c:pt idx="21">
                  <c:v>107.82859169013913</c:v>
                </c:pt>
                <c:pt idx="22">
                  <c:v>108.55926024788545</c:v>
                </c:pt>
                <c:pt idx="23">
                  <c:v>109.07040951701768</c:v>
                </c:pt>
                <c:pt idx="24">
                  <c:v>108.8277829348653</c:v>
                </c:pt>
                <c:pt idx="25">
                  <c:v>107.80946841272811</c:v>
                </c:pt>
                <c:pt idx="26">
                  <c:v>107.88237590785764</c:v>
                </c:pt>
                <c:pt idx="27">
                  <c:v>107.95886901750175</c:v>
                </c:pt>
                <c:pt idx="28">
                  <c:v>109.35048585076667</c:v>
                </c:pt>
                <c:pt idx="29">
                  <c:v>109.68115918933235</c:v>
                </c:pt>
                <c:pt idx="30">
                  <c:v>109.39032601203964</c:v>
                </c:pt>
                <c:pt idx="31">
                  <c:v>110.58035162926333</c:v>
                </c:pt>
                <c:pt idx="32">
                  <c:v>110.74608670015891</c:v>
                </c:pt>
                <c:pt idx="33">
                  <c:v>110.94289709684737</c:v>
                </c:pt>
                <c:pt idx="34">
                  <c:v>110.55166671314679</c:v>
                </c:pt>
                <c:pt idx="35">
                  <c:v>111.26042318219298</c:v>
                </c:pt>
                <c:pt idx="36">
                  <c:v>111.39747333697201</c:v>
                </c:pt>
                <c:pt idx="37">
                  <c:v>111.30942658055874</c:v>
                </c:pt>
                <c:pt idx="38">
                  <c:v>111.24886953542382</c:v>
                </c:pt>
                <c:pt idx="39">
                  <c:v>110.93453066298005</c:v>
                </c:pt>
                <c:pt idx="40">
                  <c:v>111.69946175942114</c:v>
                </c:pt>
                <c:pt idx="41">
                  <c:v>111.2660008047712</c:v>
                </c:pt>
                <c:pt idx="42">
                  <c:v>111.14010589514861</c:v>
                </c:pt>
                <c:pt idx="43">
                  <c:v>110.41501495998048</c:v>
                </c:pt>
                <c:pt idx="44">
                  <c:v>109.51781452811313</c:v>
                </c:pt>
                <c:pt idx="45">
                  <c:v>109.28435118305353</c:v>
                </c:pt>
                <c:pt idx="46">
                  <c:v>110.88712087106522</c:v>
                </c:pt>
                <c:pt idx="47">
                  <c:v>111.21460699672906</c:v>
                </c:pt>
                <c:pt idx="48">
                  <c:v>111.98750612542473</c:v>
                </c:pt>
                <c:pt idx="49">
                  <c:v>111.89029613191867</c:v>
                </c:pt>
                <c:pt idx="50">
                  <c:v>112.4480583897403</c:v>
                </c:pt>
                <c:pt idx="51">
                  <c:v>112.8647864766556</c:v>
                </c:pt>
                <c:pt idx="52">
                  <c:v>112.8500456169846</c:v>
                </c:pt>
                <c:pt idx="53">
                  <c:v>112.517778671968</c:v>
                </c:pt>
                <c:pt idx="54">
                  <c:v>113.73887961498463</c:v>
                </c:pt>
                <c:pt idx="55">
                  <c:v>111.58073807882768</c:v>
                </c:pt>
                <c:pt idx="56">
                  <c:v>111.4871136998362</c:v>
                </c:pt>
                <c:pt idx="57">
                  <c:v>112.28790094142295</c:v>
                </c:pt>
                <c:pt idx="58">
                  <c:v>111.76639323035972</c:v>
                </c:pt>
                <c:pt idx="59">
                  <c:v>112.16758365437857</c:v>
                </c:pt>
                <c:pt idx="60">
                  <c:v>112.92295311211414</c:v>
                </c:pt>
                <c:pt idx="61">
                  <c:v>114.22931200025494</c:v>
                </c:pt>
                <c:pt idx="62">
                  <c:v>114.23130400831856</c:v>
                </c:pt>
                <c:pt idx="63">
                  <c:v>114.47671940176008</c:v>
                </c:pt>
                <c:pt idx="64">
                  <c:v>114.71536196778519</c:v>
                </c:pt>
                <c:pt idx="65">
                  <c:v>115.24722812077935</c:v>
                </c:pt>
                <c:pt idx="66">
                  <c:v>115.36794380943647</c:v>
                </c:pt>
                <c:pt idx="67">
                  <c:v>114.66795217587033</c:v>
                </c:pt>
                <c:pt idx="68">
                  <c:v>115.06675219021278</c:v>
                </c:pt>
                <c:pt idx="69">
                  <c:v>115.07113460795281</c:v>
                </c:pt>
                <c:pt idx="70">
                  <c:v>115.83168328665384</c:v>
                </c:pt>
                <c:pt idx="71">
                  <c:v>115.7587757915243</c:v>
                </c:pt>
                <c:pt idx="72">
                  <c:v>115.81773923020829</c:v>
                </c:pt>
                <c:pt idx="73">
                  <c:v>115.55439576419393</c:v>
                </c:pt>
                <c:pt idx="74">
                  <c:v>115.73686370282415</c:v>
                </c:pt>
                <c:pt idx="75">
                  <c:v>115.85399377696669</c:v>
                </c:pt>
                <c:pt idx="76">
                  <c:v>116.87828432329482</c:v>
                </c:pt>
                <c:pt idx="77">
                  <c:v>116.62211208630961</c:v>
                </c:pt>
                <c:pt idx="78">
                  <c:v>116.5790847121348</c:v>
                </c:pt>
                <c:pt idx="79">
                  <c:v>117.12529332318726</c:v>
                </c:pt>
                <c:pt idx="80">
                  <c:v>117.25078983119712</c:v>
                </c:pt>
                <c:pt idx="81">
                  <c:v>117.36234228276143</c:v>
                </c:pt>
                <c:pt idx="82">
                  <c:v>116.48187471862873</c:v>
                </c:pt>
                <c:pt idx="83">
                  <c:v>116.23446731712356</c:v>
                </c:pt>
                <c:pt idx="84">
                  <c:v>117.35477265211955</c:v>
                </c:pt>
                <c:pt idx="85">
                  <c:v>116.83007772815449</c:v>
                </c:pt>
                <c:pt idx="86">
                  <c:v>114.90101711931717</c:v>
                </c:pt>
                <c:pt idx="87">
                  <c:v>114.7165571726233</c:v>
                </c:pt>
                <c:pt idx="88">
                  <c:v>114.36994776954842</c:v>
                </c:pt>
                <c:pt idx="89">
                  <c:v>114.7954406919438</c:v>
                </c:pt>
                <c:pt idx="90">
                  <c:v>112.025354278634</c:v>
                </c:pt>
                <c:pt idx="91">
                  <c:v>112.92335151372681</c:v>
                </c:pt>
                <c:pt idx="92">
                  <c:v>113.58270618279451</c:v>
                </c:pt>
                <c:pt idx="93">
                  <c:v>114.59305267267712</c:v>
                </c:pt>
                <c:pt idx="94">
                  <c:v>113.9241363649039</c:v>
                </c:pt>
                <c:pt idx="95">
                  <c:v>113.15522125233552</c:v>
                </c:pt>
                <c:pt idx="96">
                  <c:v>114.11656434385236</c:v>
                </c:pt>
                <c:pt idx="97">
                  <c:v>113.79425743915399</c:v>
                </c:pt>
                <c:pt idx="98">
                  <c:v>112.43849675103472</c:v>
                </c:pt>
                <c:pt idx="99">
                  <c:v>112.59068616709747</c:v>
                </c:pt>
                <c:pt idx="100">
                  <c:v>111.64766954976621</c:v>
                </c:pt>
                <c:pt idx="101">
                  <c:v>110.87596562590872</c:v>
                </c:pt>
                <c:pt idx="102">
                  <c:v>111.10863216774288</c:v>
                </c:pt>
                <c:pt idx="103">
                  <c:v>109.64251423289747</c:v>
                </c:pt>
                <c:pt idx="104">
                  <c:v>109.33933060561014</c:v>
                </c:pt>
                <c:pt idx="105">
                  <c:v>111.68272889168641</c:v>
                </c:pt>
                <c:pt idx="106">
                  <c:v>112.59427178161202</c:v>
                </c:pt>
                <c:pt idx="107">
                  <c:v>113.28510017808537</c:v>
                </c:pt>
                <c:pt idx="108">
                  <c:v>114.47432899208363</c:v>
                </c:pt>
                <c:pt idx="109">
                  <c:v>115.00778875152874</c:v>
                </c:pt>
                <c:pt idx="110">
                  <c:v>114.96755018864303</c:v>
                </c:pt>
                <c:pt idx="111">
                  <c:v>114.73329004035796</c:v>
                </c:pt>
                <c:pt idx="112">
                  <c:v>115.20340394337902</c:v>
                </c:pt>
                <c:pt idx="113">
                  <c:v>115.01774879184697</c:v>
                </c:pt>
                <c:pt idx="114">
                  <c:v>115.12491882567127</c:v>
                </c:pt>
                <c:pt idx="115">
                  <c:v>116.24363055421635</c:v>
                </c:pt>
                <c:pt idx="116">
                  <c:v>116.59063835890393</c:v>
                </c:pt>
                <c:pt idx="117">
                  <c:v>117.69500762939072</c:v>
                </c:pt>
                <c:pt idx="118">
                  <c:v>117.54680222945527</c:v>
                </c:pt>
                <c:pt idx="119">
                  <c:v>117.34321900535038</c:v>
                </c:pt>
                <c:pt idx="120">
                  <c:v>116.22888969454534</c:v>
                </c:pt>
                <c:pt idx="121">
                  <c:v>116.08546511396264</c:v>
                </c:pt>
                <c:pt idx="122">
                  <c:v>116.52928451054355</c:v>
                </c:pt>
                <c:pt idx="123">
                  <c:v>117.20019282638042</c:v>
                </c:pt>
                <c:pt idx="124">
                  <c:v>118.0993852663114</c:v>
                </c:pt>
                <c:pt idx="125">
                  <c:v>118.44519786616081</c:v>
                </c:pt>
                <c:pt idx="126">
                  <c:v>119.35395194479732</c:v>
                </c:pt>
                <c:pt idx="127">
                  <c:v>119.13841667231051</c:v>
                </c:pt>
                <c:pt idx="128">
                  <c:v>118.56232794030332</c:v>
                </c:pt>
                <c:pt idx="129">
                  <c:v>118.70893973378787</c:v>
                </c:pt>
                <c:pt idx="130">
                  <c:v>119.24439150129663</c:v>
                </c:pt>
                <c:pt idx="131">
                  <c:v>119.51689820440376</c:v>
                </c:pt>
                <c:pt idx="132">
                  <c:v>120.06908283964718</c:v>
                </c:pt>
                <c:pt idx="133">
                  <c:v>120.09019812512186</c:v>
                </c:pt>
                <c:pt idx="134">
                  <c:v>119.68143807046114</c:v>
                </c:pt>
                <c:pt idx="135">
                  <c:v>118.89977410628542</c:v>
                </c:pt>
                <c:pt idx="136">
                  <c:v>119.3256654302935</c:v>
                </c:pt>
                <c:pt idx="137">
                  <c:v>118.5886224467435</c:v>
                </c:pt>
                <c:pt idx="138">
                  <c:v>118.92407660466195</c:v>
                </c:pt>
                <c:pt idx="139">
                  <c:v>119.73840950108151</c:v>
                </c:pt>
                <c:pt idx="140">
                  <c:v>120.29975737341771</c:v>
                </c:pt>
                <c:pt idx="141">
                  <c:v>119.66669721079018</c:v>
                </c:pt>
                <c:pt idx="142">
                  <c:v>120.55075038943745</c:v>
                </c:pt>
                <c:pt idx="143">
                  <c:v>120.3559320008126</c:v>
                </c:pt>
                <c:pt idx="144">
                  <c:v>120.04557714449615</c:v>
                </c:pt>
                <c:pt idx="145">
                  <c:v>118.73881985474266</c:v>
                </c:pt>
                <c:pt idx="146">
                  <c:v>117.67030672940153</c:v>
                </c:pt>
                <c:pt idx="147">
                  <c:v>116.8133448604199</c:v>
                </c:pt>
                <c:pt idx="148">
                  <c:v>113.33490037967664</c:v>
                </c:pt>
                <c:pt idx="149">
                  <c:v>114.81018155161482</c:v>
                </c:pt>
                <c:pt idx="150">
                  <c:v>114.8982283080281</c:v>
                </c:pt>
                <c:pt idx="151">
                  <c:v>117.05397943450866</c:v>
                </c:pt>
                <c:pt idx="152">
                  <c:v>116.27948669936207</c:v>
                </c:pt>
                <c:pt idx="153">
                  <c:v>114.88906507093532</c:v>
                </c:pt>
                <c:pt idx="154">
                  <c:v>116.58506073632577</c:v>
                </c:pt>
                <c:pt idx="155">
                  <c:v>113.16996211200654</c:v>
                </c:pt>
                <c:pt idx="156">
                  <c:v>113.44884324091734</c:v>
                </c:pt>
                <c:pt idx="157">
                  <c:v>115.08547706601107</c:v>
                </c:pt>
                <c:pt idx="158">
                  <c:v>116.47868750572695</c:v>
                </c:pt>
                <c:pt idx="159">
                  <c:v>115.55678617387036</c:v>
                </c:pt>
                <c:pt idx="160">
                  <c:v>116.50976283151985</c:v>
                </c:pt>
                <c:pt idx="161">
                  <c:v>116.45079939283586</c:v>
                </c:pt>
                <c:pt idx="162">
                  <c:v>113.42932156189362</c:v>
                </c:pt>
                <c:pt idx="163">
                  <c:v>114.67512340489948</c:v>
                </c:pt>
                <c:pt idx="164">
                  <c:v>114.30779711796266</c:v>
                </c:pt>
                <c:pt idx="165">
                  <c:v>115.05599534666909</c:v>
                </c:pt>
                <c:pt idx="166">
                  <c:v>116.51573885571082</c:v>
                </c:pt>
                <c:pt idx="167">
                  <c:v>116.59063835890403</c:v>
                </c:pt>
                <c:pt idx="168">
                  <c:v>115.78626550280271</c:v>
                </c:pt>
                <c:pt idx="169">
                  <c:v>117.04162898451408</c:v>
                </c:pt>
                <c:pt idx="170">
                  <c:v>118.56431994836709</c:v>
                </c:pt>
                <c:pt idx="171">
                  <c:v>118.67228678541684</c:v>
                </c:pt>
                <c:pt idx="172">
                  <c:v>118.6611315402604</c:v>
                </c:pt>
                <c:pt idx="173">
                  <c:v>118.69937809508245</c:v>
                </c:pt>
                <c:pt idx="174">
                  <c:v>119.55753516890229</c:v>
                </c:pt>
                <c:pt idx="175">
                  <c:v>119.90175416230079</c:v>
                </c:pt>
                <c:pt idx="176">
                  <c:v>119.8149026107257</c:v>
                </c:pt>
                <c:pt idx="177">
                  <c:v>119.43920988992157</c:v>
                </c:pt>
                <c:pt idx="178">
                  <c:v>119.74757273817437</c:v>
                </c:pt>
                <c:pt idx="179">
                  <c:v>119.78860810428553</c:v>
                </c:pt>
                <c:pt idx="180">
                  <c:v>119.79099851396191</c:v>
                </c:pt>
                <c:pt idx="181">
                  <c:v>119.20455134002376</c:v>
                </c:pt>
                <c:pt idx="182">
                  <c:v>119.1929976932546</c:v>
                </c:pt>
                <c:pt idx="183">
                  <c:v>118.18982243240113</c:v>
                </c:pt>
                <c:pt idx="184">
                  <c:v>118.91770217885835</c:v>
                </c:pt>
                <c:pt idx="185">
                  <c:v>118.6288610096293</c:v>
                </c:pt>
                <c:pt idx="186">
                  <c:v>117.99819125667815</c:v>
                </c:pt>
                <c:pt idx="187">
                  <c:v>118.5938016677091</c:v>
                </c:pt>
                <c:pt idx="188">
                  <c:v>117.14003418285833</c:v>
                </c:pt>
                <c:pt idx="189">
                  <c:v>115.04284809344904</c:v>
                </c:pt>
                <c:pt idx="190">
                  <c:v>115.95996860595287</c:v>
                </c:pt>
                <c:pt idx="191">
                  <c:v>117.60855447942849</c:v>
                </c:pt>
                <c:pt idx="192">
                  <c:v>117.08186754739978</c:v>
                </c:pt>
                <c:pt idx="193">
                  <c:v>115.25997697238672</c:v>
                </c:pt>
                <c:pt idx="194">
                  <c:v>116.30936682031684</c:v>
                </c:pt>
                <c:pt idx="195">
                  <c:v>117.05557304095962</c:v>
                </c:pt>
                <c:pt idx="196">
                  <c:v>118.33603582427297</c:v>
                </c:pt>
                <c:pt idx="197">
                  <c:v>118.17189435982831</c:v>
                </c:pt>
                <c:pt idx="198">
                  <c:v>119.3483743222192</c:v>
                </c:pt>
                <c:pt idx="199">
                  <c:v>119.10973175619411</c:v>
                </c:pt>
                <c:pt idx="200">
                  <c:v>119.43881148830886</c:v>
                </c:pt>
                <c:pt idx="201">
                  <c:v>118.97068959335142</c:v>
                </c:pt>
                <c:pt idx="202">
                  <c:v>119.78820970267283</c:v>
                </c:pt>
                <c:pt idx="203">
                  <c:v>119.36072477221384</c:v>
                </c:pt>
                <c:pt idx="204">
                  <c:v>119.70056134787231</c:v>
                </c:pt>
                <c:pt idx="205">
                  <c:v>119.93043907841736</c:v>
                </c:pt>
                <c:pt idx="206">
                  <c:v>120.41887945562404</c:v>
                </c:pt>
                <c:pt idx="207">
                  <c:v>121.09098297629909</c:v>
                </c:pt>
                <c:pt idx="208">
                  <c:v>120.99018736827846</c:v>
                </c:pt>
                <c:pt idx="209">
                  <c:v>121.38380816165544</c:v>
                </c:pt>
                <c:pt idx="210">
                  <c:v>121.01688027633136</c:v>
                </c:pt>
                <c:pt idx="211">
                  <c:v>122.18618900969312</c:v>
                </c:pt>
                <c:pt idx="212">
                  <c:v>122.63877324175409</c:v>
                </c:pt>
                <c:pt idx="213">
                  <c:v>122.49335665310774</c:v>
                </c:pt>
                <c:pt idx="214">
                  <c:v>122.57941140145736</c:v>
                </c:pt>
                <c:pt idx="215">
                  <c:v>122.91406875615031</c:v>
                </c:pt>
                <c:pt idx="216">
                  <c:v>123.22880603020681</c:v>
                </c:pt>
                <c:pt idx="217">
                  <c:v>122.98697625127988</c:v>
                </c:pt>
                <c:pt idx="218">
                  <c:v>123.17940423022833</c:v>
                </c:pt>
                <c:pt idx="219">
                  <c:v>123.26705258502885</c:v>
                </c:pt>
                <c:pt idx="220">
                  <c:v>123.37023860272585</c:v>
                </c:pt>
                <c:pt idx="221">
                  <c:v>124.3196296458608</c:v>
                </c:pt>
                <c:pt idx="222">
                  <c:v>124.38217869905938</c:v>
                </c:pt>
                <c:pt idx="223">
                  <c:v>124.30847440070437</c:v>
                </c:pt>
                <c:pt idx="224">
                  <c:v>123.84154771058513</c:v>
                </c:pt>
                <c:pt idx="225">
                  <c:v>123.64553411712211</c:v>
                </c:pt>
                <c:pt idx="226">
                  <c:v>123.91445520571467</c:v>
                </c:pt>
                <c:pt idx="227">
                  <c:v>124.8447229714386</c:v>
                </c:pt>
                <c:pt idx="228">
                  <c:v>125.11882328099665</c:v>
                </c:pt>
                <c:pt idx="229">
                  <c:v>125.64112779528534</c:v>
                </c:pt>
                <c:pt idx="230">
                  <c:v>125.13714975518224</c:v>
                </c:pt>
                <c:pt idx="231">
                  <c:v>124.05708298307194</c:v>
                </c:pt>
                <c:pt idx="232">
                  <c:v>123.23358684955959</c:v>
                </c:pt>
                <c:pt idx="233">
                  <c:v>124.01286040405896</c:v>
                </c:pt>
                <c:pt idx="234">
                  <c:v>124.19891395720371</c:v>
                </c:pt>
                <c:pt idx="235">
                  <c:v>125.333561750258</c:v>
                </c:pt>
                <c:pt idx="236">
                  <c:v>124.93715214559192</c:v>
                </c:pt>
                <c:pt idx="237">
                  <c:v>124.80010199081289</c:v>
                </c:pt>
                <c:pt idx="238">
                  <c:v>125.16304586000969</c:v>
                </c:pt>
                <c:pt idx="239">
                  <c:v>126.23633980470359</c:v>
                </c:pt>
                <c:pt idx="240">
                  <c:v>126.24550304179638</c:v>
                </c:pt>
                <c:pt idx="241">
                  <c:v>127.14788269462919</c:v>
                </c:pt>
                <c:pt idx="242">
                  <c:v>127.19051166719127</c:v>
                </c:pt>
                <c:pt idx="243">
                  <c:v>127.13553224463458</c:v>
                </c:pt>
                <c:pt idx="244">
                  <c:v>127.70245773954898</c:v>
                </c:pt>
                <c:pt idx="245">
                  <c:v>128.33392429572558</c:v>
                </c:pt>
                <c:pt idx="246">
                  <c:v>128.44507834567719</c:v>
                </c:pt>
                <c:pt idx="247">
                  <c:v>128.41997904407521</c:v>
                </c:pt>
                <c:pt idx="248">
                  <c:v>129.07853690991743</c:v>
                </c:pt>
                <c:pt idx="249">
                  <c:v>129.08291932765746</c:v>
                </c:pt>
                <c:pt idx="250">
                  <c:v>128.33671310701467</c:v>
                </c:pt>
                <c:pt idx="251">
                  <c:v>128.71479623749519</c:v>
                </c:pt>
                <c:pt idx="252">
                  <c:v>129.79326940315457</c:v>
                </c:pt>
                <c:pt idx="253">
                  <c:v>128.87694569387619</c:v>
                </c:pt>
                <c:pt idx="254">
                  <c:v>129.33231873722627</c:v>
                </c:pt>
                <c:pt idx="255">
                  <c:v>128.96977326964219</c:v>
                </c:pt>
                <c:pt idx="256">
                  <c:v>129.60203662904431</c:v>
                </c:pt>
                <c:pt idx="257">
                  <c:v>130.46457612060416</c:v>
                </c:pt>
                <c:pt idx="258">
                  <c:v>130.09207061270186</c:v>
                </c:pt>
                <c:pt idx="259">
                  <c:v>130.9996294865002</c:v>
                </c:pt>
                <c:pt idx="260">
                  <c:v>130.80122548336081</c:v>
                </c:pt>
                <c:pt idx="261">
                  <c:v>131.04584407357686</c:v>
                </c:pt>
                <c:pt idx="262">
                  <c:v>132.14224531180906</c:v>
                </c:pt>
                <c:pt idx="263">
                  <c:v>132.65259777771584</c:v>
                </c:pt>
                <c:pt idx="264">
                  <c:v>132.30080915367549</c:v>
                </c:pt>
                <c:pt idx="265">
                  <c:v>132.33905570849754</c:v>
                </c:pt>
                <c:pt idx="266">
                  <c:v>132.49004991972211</c:v>
                </c:pt>
                <c:pt idx="267">
                  <c:v>131.29205627024382</c:v>
                </c:pt>
                <c:pt idx="268">
                  <c:v>129.22674230985291</c:v>
                </c:pt>
                <c:pt idx="269">
                  <c:v>130.52592996896456</c:v>
                </c:pt>
                <c:pt idx="270">
                  <c:v>130.41278391094932</c:v>
                </c:pt>
                <c:pt idx="271">
                  <c:v>130.82154396561</c:v>
                </c:pt>
                <c:pt idx="272">
                  <c:v>128.50523698919937</c:v>
                </c:pt>
                <c:pt idx="273">
                  <c:v>129.43749676298697</c:v>
                </c:pt>
                <c:pt idx="274">
                  <c:v>131.37651741214253</c:v>
                </c:pt>
                <c:pt idx="275">
                  <c:v>132.8545873953698</c:v>
                </c:pt>
                <c:pt idx="276">
                  <c:v>133.29641478388709</c:v>
                </c:pt>
                <c:pt idx="277">
                  <c:v>132.57650306968446</c:v>
                </c:pt>
                <c:pt idx="278">
                  <c:v>133.54780620151953</c:v>
                </c:pt>
                <c:pt idx="279">
                  <c:v>133.77330151432454</c:v>
                </c:pt>
                <c:pt idx="280">
                  <c:v>134.63783301394804</c:v>
                </c:pt>
                <c:pt idx="281">
                  <c:v>134.41831372533397</c:v>
                </c:pt>
                <c:pt idx="282">
                  <c:v>134.66611952845184</c:v>
                </c:pt>
                <c:pt idx="283">
                  <c:v>134.27289713668759</c:v>
                </c:pt>
                <c:pt idx="284">
                  <c:v>134.90476209447695</c:v>
                </c:pt>
                <c:pt idx="285">
                  <c:v>134.39002721083014</c:v>
                </c:pt>
                <c:pt idx="286">
                  <c:v>132.97649828886506</c:v>
                </c:pt>
                <c:pt idx="287">
                  <c:v>128.5199778488703</c:v>
                </c:pt>
                <c:pt idx="288">
                  <c:v>124.62839089572631</c:v>
                </c:pt>
                <c:pt idx="289">
                  <c:v>124.15748018947977</c:v>
                </c:pt>
                <c:pt idx="290">
                  <c:v>118.67427879348054</c:v>
                </c:pt>
                <c:pt idx="291">
                  <c:v>117.69660123584177</c:v>
                </c:pt>
                <c:pt idx="292">
                  <c:v>123.1152615705788</c:v>
                </c:pt>
                <c:pt idx="293">
                  <c:v>119.65474516240837</c:v>
                </c:pt>
                <c:pt idx="294">
                  <c:v>124.70448560375767</c:v>
                </c:pt>
                <c:pt idx="295">
                  <c:v>120.47425727979342</c:v>
                </c:pt>
                <c:pt idx="296">
                  <c:v>118.4197001629462</c:v>
                </c:pt>
                <c:pt idx="297">
                  <c:v>109.42339334589622</c:v>
                </c:pt>
                <c:pt idx="298">
                  <c:v>114.82850802580043</c:v>
                </c:pt>
                <c:pt idx="299">
                  <c:v>109.21702131050222</c:v>
                </c:pt>
                <c:pt idx="300">
                  <c:v>98.829097660187273</c:v>
                </c:pt>
                <c:pt idx="301">
                  <c:v>108.00747401425477</c:v>
                </c:pt>
                <c:pt idx="302">
                  <c:v>95.063804018278631</c:v>
                </c:pt>
                <c:pt idx="303">
                  <c:v>100.76333748999011</c:v>
                </c:pt>
                <c:pt idx="304">
                  <c:v>95.540690748716088</c:v>
                </c:pt>
                <c:pt idx="305">
                  <c:v>95.990486169487951</c:v>
                </c:pt>
                <c:pt idx="306">
                  <c:v>91.828384521300492</c:v>
                </c:pt>
                <c:pt idx="307">
                  <c:v>89.138376832149376</c:v>
                </c:pt>
                <c:pt idx="308">
                  <c:v>97.502021888184558</c:v>
                </c:pt>
                <c:pt idx="309">
                  <c:v>98.626709640920581</c:v>
                </c:pt>
                <c:pt idx="310">
                  <c:v>104.78241295920763</c:v>
                </c:pt>
                <c:pt idx="311">
                  <c:v>101.25257467042222</c:v>
                </c:pt>
                <c:pt idx="312">
                  <c:v>104.64615960765406</c:v>
                </c:pt>
                <c:pt idx="313">
                  <c:v>102.97048242451282</c:v>
                </c:pt>
                <c:pt idx="314">
                  <c:v>98.425118424879344</c:v>
                </c:pt>
                <c:pt idx="315">
                  <c:v>100.67210352067501</c:v>
                </c:pt>
                <c:pt idx="316">
                  <c:v>99.148217351983803</c:v>
                </c:pt>
                <c:pt idx="317">
                  <c:v>106.12144077959222</c:v>
                </c:pt>
                <c:pt idx="318">
                  <c:v>105.95132329095662</c:v>
                </c:pt>
                <c:pt idx="319">
                  <c:v>109.55964669744978</c:v>
                </c:pt>
                <c:pt idx="320">
                  <c:v>111.14687872256502</c:v>
                </c:pt>
                <c:pt idx="321">
                  <c:v>110.02378457627991</c:v>
                </c:pt>
                <c:pt idx="322">
                  <c:v>113.38748939255699</c:v>
                </c:pt>
                <c:pt idx="323">
                  <c:v>110.8895112807416</c:v>
                </c:pt>
                <c:pt idx="324">
                  <c:v>111.53452349175102</c:v>
                </c:pt>
                <c:pt idx="325">
                  <c:v>114.5229339888367</c:v>
                </c:pt>
                <c:pt idx="326">
                  <c:v>112.4751496994059</c:v>
                </c:pt>
                <c:pt idx="327">
                  <c:v>109.02499173316647</c:v>
                </c:pt>
                <c:pt idx="328">
                  <c:v>111.52496185304551</c:v>
                </c:pt>
                <c:pt idx="329">
                  <c:v>111.46480320952332</c:v>
                </c:pt>
                <c:pt idx="330">
                  <c:v>113.01617908949287</c:v>
                </c:pt>
                <c:pt idx="331">
                  <c:v>114.67910742102676</c:v>
                </c:pt>
                <c:pt idx="332">
                  <c:v>114.07791938741759</c:v>
                </c:pt>
                <c:pt idx="333">
                  <c:v>117.1105524635163</c:v>
                </c:pt>
                <c:pt idx="334">
                  <c:v>116.03168089624418</c:v>
                </c:pt>
                <c:pt idx="335">
                  <c:v>112.77594291701685</c:v>
                </c:pt>
                <c:pt idx="336">
                  <c:v>113.2552200571307</c:v>
                </c:pt>
                <c:pt idx="337">
                  <c:v>114.2791122018461</c:v>
                </c:pt>
                <c:pt idx="338">
                  <c:v>113.48151217316119</c:v>
                </c:pt>
                <c:pt idx="339">
                  <c:v>114.78707425807652</c:v>
                </c:pt>
                <c:pt idx="340">
                  <c:v>116.72370449755573</c:v>
                </c:pt>
                <c:pt idx="341">
                  <c:v>116.74442138141767</c:v>
                </c:pt>
                <c:pt idx="342">
                  <c:v>114.34604367278469</c:v>
                </c:pt>
                <c:pt idx="343">
                  <c:v>112.34925478978329</c:v>
                </c:pt>
                <c:pt idx="344">
                  <c:v>113.64406003115491</c:v>
                </c:pt>
                <c:pt idx="345">
                  <c:v>114.09026983741218</c:v>
                </c:pt>
                <c:pt idx="346">
                  <c:v>117.68425078584706</c:v>
                </c:pt>
                <c:pt idx="347">
                  <c:v>116.45040099122309</c:v>
                </c:pt>
                <c:pt idx="348">
                  <c:v>118.38942164037869</c:v>
                </c:pt>
                <c:pt idx="349">
                  <c:v>117.46911391497302</c:v>
                </c:pt>
                <c:pt idx="350">
                  <c:v>117.74560463420744</c:v>
                </c:pt>
                <c:pt idx="351">
                  <c:v>119.19259929164183</c:v>
                </c:pt>
                <c:pt idx="352">
                  <c:v>120.9599088457109</c:v>
                </c:pt>
                <c:pt idx="353">
                  <c:v>120.70493181356387</c:v>
                </c:pt>
                <c:pt idx="354">
                  <c:v>121.28580136492383</c:v>
                </c:pt>
                <c:pt idx="355">
                  <c:v>121.74077600666119</c:v>
                </c:pt>
                <c:pt idx="356">
                  <c:v>122.74036565300007</c:v>
                </c:pt>
                <c:pt idx="357">
                  <c:v>124.41564443452857</c:v>
                </c:pt>
                <c:pt idx="358">
                  <c:v>123.99652593793691</c:v>
                </c:pt>
                <c:pt idx="359">
                  <c:v>127.24668629458601</c:v>
                </c:pt>
                <c:pt idx="360">
                  <c:v>128.77893889714454</c:v>
                </c:pt>
                <c:pt idx="361">
                  <c:v>127.77456843145291</c:v>
                </c:pt>
                <c:pt idx="362">
                  <c:v>127.09569208336146</c:v>
                </c:pt>
                <c:pt idx="363">
                  <c:v>119.60414815759165</c:v>
                </c:pt>
                <c:pt idx="364">
                  <c:v>121.16628088110491</c:v>
                </c:pt>
                <c:pt idx="365">
                  <c:v>122.17344015808567</c:v>
                </c:pt>
                <c:pt idx="366">
                  <c:v>124.49014553610903</c:v>
                </c:pt>
                <c:pt idx="367">
                  <c:v>124.04194372178809</c:v>
                </c:pt>
                <c:pt idx="368">
                  <c:v>124.1156480201431</c:v>
                </c:pt>
                <c:pt idx="369">
                  <c:v>123.41446118173876</c:v>
                </c:pt>
                <c:pt idx="370">
                  <c:v>124.21604522655097</c:v>
                </c:pt>
                <c:pt idx="371">
                  <c:v>124.75109859244699</c:v>
                </c:pt>
                <c:pt idx="372">
                  <c:v>121.5256391357871</c:v>
                </c:pt>
                <c:pt idx="373">
                  <c:v>122.85749572714259</c:v>
                </c:pt>
                <c:pt idx="374">
                  <c:v>119.8810372784388</c:v>
                </c:pt>
                <c:pt idx="375">
                  <c:v>121.64157400509144</c:v>
                </c:pt>
                <c:pt idx="376">
                  <c:v>123.51605359298482</c:v>
                </c:pt>
                <c:pt idx="377">
                  <c:v>124.13636490400502</c:v>
                </c:pt>
                <c:pt idx="378">
                  <c:v>124.70010318601759</c:v>
                </c:pt>
                <c:pt idx="379">
                  <c:v>126.68055760289705</c:v>
                </c:pt>
                <c:pt idx="380">
                  <c:v>125.3100560551068</c:v>
                </c:pt>
                <c:pt idx="381">
                  <c:v>126.29092082564739</c:v>
                </c:pt>
                <c:pt idx="382">
                  <c:v>125.57818034047392</c:v>
                </c:pt>
                <c:pt idx="383">
                  <c:v>126.89250726086929</c:v>
                </c:pt>
                <c:pt idx="384">
                  <c:v>125.70447365170925</c:v>
                </c:pt>
                <c:pt idx="385">
                  <c:v>127.389712473556</c:v>
                </c:pt>
                <c:pt idx="386">
                  <c:v>128.54667075692311</c:v>
                </c:pt>
                <c:pt idx="387">
                  <c:v>128.10882738453313</c:v>
                </c:pt>
                <c:pt idx="388">
                  <c:v>128.47376326179355</c:v>
                </c:pt>
                <c:pt idx="389">
                  <c:v>129.55383003390384</c:v>
                </c:pt>
                <c:pt idx="390">
                  <c:v>129.77135731445426</c:v>
                </c:pt>
                <c:pt idx="391">
                  <c:v>130.5171651334843</c:v>
                </c:pt>
                <c:pt idx="392">
                  <c:v>128.90921622450711</c:v>
                </c:pt>
                <c:pt idx="393">
                  <c:v>128.11121779420947</c:v>
                </c:pt>
                <c:pt idx="394">
                  <c:v>129.05861682928077</c:v>
                </c:pt>
                <c:pt idx="395">
                  <c:v>128.22316864738653</c:v>
                </c:pt>
                <c:pt idx="396">
                  <c:v>129.81677509830544</c:v>
                </c:pt>
                <c:pt idx="397">
                  <c:v>129.32992832754971</c:v>
                </c:pt>
                <c:pt idx="398">
                  <c:v>130.32194834324676</c:v>
                </c:pt>
                <c:pt idx="399">
                  <c:v>131.2577937315489</c:v>
                </c:pt>
                <c:pt idx="400">
                  <c:v>131.73189165069726</c:v>
                </c:pt>
                <c:pt idx="401">
                  <c:v>132.57889347936066</c:v>
                </c:pt>
                <c:pt idx="402">
                  <c:v>133.43107452898954</c:v>
                </c:pt>
                <c:pt idx="403">
                  <c:v>133.51553567088826</c:v>
                </c:pt>
                <c:pt idx="404">
                  <c:v>133.88166675298686</c:v>
                </c:pt>
                <c:pt idx="405">
                  <c:v>132.81474723409664</c:v>
                </c:pt>
                <c:pt idx="406">
                  <c:v>134.67368915909356</c:v>
                </c:pt>
                <c:pt idx="407">
                  <c:v>134.39799524308458</c:v>
                </c:pt>
                <c:pt idx="408">
                  <c:v>134.37488794954626</c:v>
                </c:pt>
                <c:pt idx="409">
                  <c:v>134.73902702358123</c:v>
                </c:pt>
                <c:pt idx="410">
                  <c:v>135.04938187989771</c:v>
                </c:pt>
                <c:pt idx="411">
                  <c:v>134.45456827209222</c:v>
                </c:pt>
                <c:pt idx="412">
                  <c:v>134.87926439126213</c:v>
                </c:pt>
                <c:pt idx="413">
                  <c:v>135.34340227009227</c:v>
                </c:pt>
                <c:pt idx="414">
                  <c:v>136.70274857272611</c:v>
                </c:pt>
                <c:pt idx="415">
                  <c:v>137.19437616283457</c:v>
                </c:pt>
                <c:pt idx="416">
                  <c:v>138.59316422512865</c:v>
                </c:pt>
                <c:pt idx="417">
                  <c:v>138.82503396373735</c:v>
                </c:pt>
                <c:pt idx="418">
                  <c:v>139.75968414720128</c:v>
                </c:pt>
                <c:pt idx="419">
                  <c:v>139.45291490539938</c:v>
                </c:pt>
                <c:pt idx="420">
                  <c:v>140.5023047533295</c:v>
                </c:pt>
                <c:pt idx="421">
                  <c:v>142.66124309271189</c:v>
                </c:pt>
                <c:pt idx="422">
                  <c:v>137.65014760779735</c:v>
                </c:pt>
                <c:pt idx="423">
                  <c:v>136.53063907602683</c:v>
                </c:pt>
                <c:pt idx="424">
                  <c:v>132.74104293574166</c:v>
                </c:pt>
                <c:pt idx="425">
                  <c:v>135.41511456038359</c:v>
                </c:pt>
                <c:pt idx="426">
                  <c:v>133.03386812109801</c:v>
                </c:pt>
                <c:pt idx="427">
                  <c:v>133.1047836081639</c:v>
                </c:pt>
                <c:pt idx="428">
                  <c:v>134.80077927355435</c:v>
                </c:pt>
                <c:pt idx="429">
                  <c:v>135.50435652163503</c:v>
                </c:pt>
                <c:pt idx="430">
                  <c:v>134.87846758803664</c:v>
                </c:pt>
                <c:pt idx="431">
                  <c:v>133.74381979498239</c:v>
                </c:pt>
                <c:pt idx="432">
                  <c:v>132.24822014079496</c:v>
                </c:pt>
                <c:pt idx="433">
                  <c:v>130.71795954630008</c:v>
                </c:pt>
                <c:pt idx="434">
                  <c:v>132.09284351183035</c:v>
                </c:pt>
                <c:pt idx="435">
                  <c:v>128.95941482771104</c:v>
                </c:pt>
                <c:pt idx="436">
                  <c:v>129.34466918722069</c:v>
                </c:pt>
                <c:pt idx="437">
                  <c:v>131.41117835244978</c:v>
                </c:pt>
                <c:pt idx="438">
                  <c:v>133.52828452249554</c:v>
                </c:pt>
                <c:pt idx="439">
                  <c:v>132.88566272116248</c:v>
                </c:pt>
                <c:pt idx="440">
                  <c:v>133.98246236100744</c:v>
                </c:pt>
                <c:pt idx="441">
                  <c:v>134.69161723166636</c:v>
                </c:pt>
                <c:pt idx="442">
                  <c:v>133.40238961287295</c:v>
                </c:pt>
                <c:pt idx="443">
                  <c:v>135.8003689198932</c:v>
                </c:pt>
                <c:pt idx="444">
                  <c:v>133.90079003039784</c:v>
                </c:pt>
                <c:pt idx="445">
                  <c:v>136.23143946486675</c:v>
                </c:pt>
                <c:pt idx="446">
                  <c:v>137.32226308052074</c:v>
                </c:pt>
                <c:pt idx="447">
                  <c:v>138.52941996709183</c:v>
                </c:pt>
                <c:pt idx="448">
                  <c:v>140.80389477416583</c:v>
                </c:pt>
                <c:pt idx="449">
                  <c:v>139.91585757939126</c:v>
                </c:pt>
                <c:pt idx="450">
                  <c:v>138.98917542818191</c:v>
                </c:pt>
                <c:pt idx="451">
                  <c:v>138.77682736859697</c:v>
                </c:pt>
                <c:pt idx="452">
                  <c:v>138.79555224439525</c:v>
                </c:pt>
                <c:pt idx="453">
                  <c:v>136.52904546957583</c:v>
                </c:pt>
                <c:pt idx="454">
                  <c:v>137.17445608219796</c:v>
                </c:pt>
                <c:pt idx="455">
                  <c:v>136.8732644629743</c:v>
                </c:pt>
                <c:pt idx="456">
                  <c:v>137.58759855459871</c:v>
                </c:pt>
                <c:pt idx="457">
                  <c:v>138.06169647374711</c:v>
                </c:pt>
                <c:pt idx="458">
                  <c:v>135.49519328454221</c:v>
                </c:pt>
                <c:pt idx="459">
                  <c:v>135.08523802504331</c:v>
                </c:pt>
                <c:pt idx="460">
                  <c:v>130.31836272873213</c:v>
                </c:pt>
                <c:pt idx="461">
                  <c:v>131.8753162312799</c:v>
                </c:pt>
                <c:pt idx="462">
                  <c:v>130.27573375617004</c:v>
                </c:pt>
                <c:pt idx="463">
                  <c:v>131.88049545224538</c:v>
                </c:pt>
                <c:pt idx="464">
                  <c:v>134.22787775444894</c:v>
                </c:pt>
                <c:pt idx="465">
                  <c:v>137.18720493380539</c:v>
                </c:pt>
                <c:pt idx="466">
                  <c:v>139.85689414070728</c:v>
                </c:pt>
                <c:pt idx="467">
                  <c:v>139.81665557782159</c:v>
                </c:pt>
                <c:pt idx="468">
                  <c:v>141.45249259968983</c:v>
                </c:pt>
                <c:pt idx="469">
                  <c:v>141.25448699816317</c:v>
                </c:pt>
                <c:pt idx="470">
                  <c:v>142.33535057349891</c:v>
                </c:pt>
                <c:pt idx="471">
                  <c:v>140.91504882411743</c:v>
                </c:pt>
                <c:pt idx="472">
                  <c:v>142.83295418779835</c:v>
                </c:pt>
                <c:pt idx="473">
                  <c:v>144.4966793225577</c:v>
                </c:pt>
                <c:pt idx="474">
                  <c:v>143.80425731963345</c:v>
                </c:pt>
                <c:pt idx="475">
                  <c:v>142.14132898809956</c:v>
                </c:pt>
                <c:pt idx="476">
                  <c:v>142.702278458823</c:v>
                </c:pt>
                <c:pt idx="477">
                  <c:v>141.73296733505157</c:v>
                </c:pt>
                <c:pt idx="478">
                  <c:v>142.53176256857469</c:v>
                </c:pt>
                <c:pt idx="479">
                  <c:v>144.83532069337798</c:v>
                </c:pt>
                <c:pt idx="480">
                  <c:v>144.60584136444567</c:v>
                </c:pt>
                <c:pt idx="481">
                  <c:v>144.95245076752053</c:v>
                </c:pt>
                <c:pt idx="482">
                  <c:v>144.28632327103642</c:v>
                </c:pt>
                <c:pt idx="483">
                  <c:v>145.91259865419914</c:v>
                </c:pt>
                <c:pt idx="484">
                  <c:v>146.17395011214987</c:v>
                </c:pt>
                <c:pt idx="485">
                  <c:v>146.08271614283476</c:v>
                </c:pt>
                <c:pt idx="486">
                  <c:v>147.37353736807907</c:v>
                </c:pt>
                <c:pt idx="487">
                  <c:v>147.0882818133646</c:v>
                </c:pt>
                <c:pt idx="488">
                  <c:v>147.4982370728635</c:v>
                </c:pt>
                <c:pt idx="489">
                  <c:v>146.32574112659992</c:v>
                </c:pt>
                <c:pt idx="490">
                  <c:v>146.13769556539148</c:v>
                </c:pt>
                <c:pt idx="491">
                  <c:v>145.95283721708489</c:v>
                </c:pt>
                <c:pt idx="492">
                  <c:v>145.3165898415555</c:v>
                </c:pt>
                <c:pt idx="493">
                  <c:v>147.19425664235069</c:v>
                </c:pt>
                <c:pt idx="494">
                  <c:v>147.45520969868866</c:v>
                </c:pt>
                <c:pt idx="495">
                  <c:v>148.3042035354157</c:v>
                </c:pt>
                <c:pt idx="496">
                  <c:v>147.78349262757794</c:v>
                </c:pt>
                <c:pt idx="497">
                  <c:v>147.20620869073258</c:v>
                </c:pt>
                <c:pt idx="498">
                  <c:v>146.90103305538162</c:v>
                </c:pt>
                <c:pt idx="499">
                  <c:v>147.01059349888232</c:v>
                </c:pt>
                <c:pt idx="500">
                  <c:v>147.53050760349461</c:v>
                </c:pt>
                <c:pt idx="501">
                  <c:v>148.81734481261165</c:v>
                </c:pt>
                <c:pt idx="502">
                  <c:v>148.48587467082049</c:v>
                </c:pt>
                <c:pt idx="503">
                  <c:v>148.68507547718536</c:v>
                </c:pt>
                <c:pt idx="504">
                  <c:v>149.64243455257491</c:v>
                </c:pt>
                <c:pt idx="505">
                  <c:v>147.43449281482677</c:v>
                </c:pt>
                <c:pt idx="506">
                  <c:v>148.47870344179137</c:v>
                </c:pt>
                <c:pt idx="507">
                  <c:v>149.32650207368025</c:v>
                </c:pt>
                <c:pt idx="508">
                  <c:v>151.54360704852118</c:v>
                </c:pt>
                <c:pt idx="509">
                  <c:v>152.37586801751357</c:v>
                </c:pt>
                <c:pt idx="510">
                  <c:v>151.37707517440015</c:v>
                </c:pt>
                <c:pt idx="511">
                  <c:v>151.44002262921146</c:v>
                </c:pt>
                <c:pt idx="512">
                  <c:v>151.78464002422268</c:v>
                </c:pt>
                <c:pt idx="513">
                  <c:v>151.21492571801915</c:v>
                </c:pt>
                <c:pt idx="514">
                  <c:v>150.12768771687971</c:v>
                </c:pt>
                <c:pt idx="515">
                  <c:v>151.34918706150904</c:v>
                </c:pt>
                <c:pt idx="516">
                  <c:v>153.45832519930025</c:v>
                </c:pt>
                <c:pt idx="517">
                  <c:v>153.50693019605328</c:v>
                </c:pt>
                <c:pt idx="518">
                  <c:v>153.04478432528677</c:v>
                </c:pt>
                <c:pt idx="519">
                  <c:v>153.59816416536836</c:v>
                </c:pt>
                <c:pt idx="520">
                  <c:v>153.3694816396615</c:v>
                </c:pt>
                <c:pt idx="521">
                  <c:v>149.43128169782813</c:v>
                </c:pt>
                <c:pt idx="522">
                  <c:v>150.88983000203169</c:v>
                </c:pt>
                <c:pt idx="523">
                  <c:v>147.97592060652644</c:v>
                </c:pt>
                <c:pt idx="524">
                  <c:v>150.3511910216211</c:v>
                </c:pt>
                <c:pt idx="525">
                  <c:v>152.44080748038851</c:v>
                </c:pt>
                <c:pt idx="526">
                  <c:v>152.59459050290221</c:v>
                </c:pt>
                <c:pt idx="527">
                  <c:v>154.25074600701967</c:v>
                </c:pt>
                <c:pt idx="528">
                  <c:v>154.85193404062883</c:v>
                </c:pt>
                <c:pt idx="529">
                  <c:v>155.99773707883952</c:v>
                </c:pt>
                <c:pt idx="530">
                  <c:v>155.82403397568936</c:v>
                </c:pt>
                <c:pt idx="531">
                  <c:v>155.77024975797084</c:v>
                </c:pt>
                <c:pt idx="532">
                  <c:v>156.02921080624515</c:v>
                </c:pt>
                <c:pt idx="533">
                  <c:v>156.76426178173148</c:v>
                </c:pt>
                <c:pt idx="534">
                  <c:v>156.67501982048003</c:v>
                </c:pt>
                <c:pt idx="535">
                  <c:v>156.62482121727609</c:v>
                </c:pt>
                <c:pt idx="536">
                  <c:v>155.93319601757727</c:v>
                </c:pt>
                <c:pt idx="537">
                  <c:v>155.6439564467355</c:v>
                </c:pt>
                <c:pt idx="538">
                  <c:v>154.44038517467899</c:v>
                </c:pt>
                <c:pt idx="539">
                  <c:v>154.63440676007835</c:v>
                </c:pt>
                <c:pt idx="540">
                  <c:v>156.38976426576551</c:v>
                </c:pt>
                <c:pt idx="541">
                  <c:v>152.56152316904556</c:v>
                </c:pt>
                <c:pt idx="542">
                  <c:v>151.83683063549017</c:v>
                </c:pt>
                <c:pt idx="543">
                  <c:v>155.44913805811061</c:v>
                </c:pt>
                <c:pt idx="544">
                  <c:v>154.19297777317377</c:v>
                </c:pt>
                <c:pt idx="545">
                  <c:v>152.17826081759952</c:v>
                </c:pt>
                <c:pt idx="546">
                  <c:v>150.13645255235966</c:v>
                </c:pt>
                <c:pt idx="547">
                  <c:v>153.06350920108497</c:v>
                </c:pt>
                <c:pt idx="548">
                  <c:v>152.24320028047447</c:v>
                </c:pt>
                <c:pt idx="549">
                  <c:v>154.39815460372958</c:v>
                </c:pt>
                <c:pt idx="550">
                  <c:v>155.32921917267896</c:v>
                </c:pt>
                <c:pt idx="551">
                  <c:v>156.94394090907255</c:v>
                </c:pt>
                <c:pt idx="552">
                  <c:v>157.10330155416443</c:v>
                </c:pt>
                <c:pt idx="553">
                  <c:v>158.12320968275253</c:v>
                </c:pt>
                <c:pt idx="554">
                  <c:v>157.8750054780219</c:v>
                </c:pt>
                <c:pt idx="555">
                  <c:v>158.3295817181465</c:v>
                </c:pt>
                <c:pt idx="556">
                  <c:v>155.99255785787392</c:v>
                </c:pt>
                <c:pt idx="557">
                  <c:v>155.89853507726971</c:v>
                </c:pt>
                <c:pt idx="558">
                  <c:v>156.99374111066373</c:v>
                </c:pt>
                <c:pt idx="559">
                  <c:v>155.79574746118544</c:v>
                </c:pt>
                <c:pt idx="560">
                  <c:v>154.94396481316929</c:v>
                </c:pt>
                <c:pt idx="561">
                  <c:v>155.75590729991248</c:v>
                </c:pt>
                <c:pt idx="562">
                  <c:v>158.34631458588117</c:v>
                </c:pt>
                <c:pt idx="563">
                  <c:v>158.20886602948943</c:v>
                </c:pt>
                <c:pt idx="564">
                  <c:v>157.70927040712635</c:v>
                </c:pt>
                <c:pt idx="565">
                  <c:v>158.28057831978077</c:v>
                </c:pt>
                <c:pt idx="566">
                  <c:v>160.15226909638506</c:v>
                </c:pt>
                <c:pt idx="567">
                  <c:v>162.46459205666838</c:v>
                </c:pt>
                <c:pt idx="568">
                  <c:v>162.30642661641468</c:v>
                </c:pt>
                <c:pt idx="569">
                  <c:v>162.54586598566524</c:v>
                </c:pt>
                <c:pt idx="570">
                  <c:v>163.23191356278585</c:v>
                </c:pt>
                <c:pt idx="571">
                  <c:v>164.49205786384999</c:v>
                </c:pt>
                <c:pt idx="572">
                  <c:v>164.45978733321888</c:v>
                </c:pt>
                <c:pt idx="573">
                  <c:v>165.00161352653134</c:v>
                </c:pt>
                <c:pt idx="574">
                  <c:v>164.3271195961799</c:v>
                </c:pt>
                <c:pt idx="575">
                  <c:v>166.15020537603112</c:v>
                </c:pt>
                <c:pt idx="576">
                  <c:v>166.74979980318938</c:v>
                </c:pt>
                <c:pt idx="577">
                  <c:v>165.86494982131666</c:v>
                </c:pt>
                <c:pt idx="578">
                  <c:v>164.73667645406604</c:v>
                </c:pt>
                <c:pt idx="579">
                  <c:v>166.26972585985007</c:v>
                </c:pt>
                <c:pt idx="580">
                  <c:v>164.73827006051698</c:v>
                </c:pt>
                <c:pt idx="581">
                  <c:v>166.53864694844265</c:v>
                </c:pt>
                <c:pt idx="582">
                  <c:v>166.8354561499263</c:v>
                </c:pt>
                <c:pt idx="583">
                  <c:v>166.79960000478064</c:v>
                </c:pt>
                <c:pt idx="584">
                  <c:v>166.65856583387432</c:v>
                </c:pt>
                <c:pt idx="585">
                  <c:v>167.78564399628669</c:v>
                </c:pt>
                <c:pt idx="586">
                  <c:v>166.57848710971561</c:v>
                </c:pt>
                <c:pt idx="587">
                  <c:v>167.03625056274208</c:v>
                </c:pt>
                <c:pt idx="588">
                  <c:v>165.92072604709887</c:v>
                </c:pt>
                <c:pt idx="589">
                  <c:v>166.03745771962866</c:v>
                </c:pt>
                <c:pt idx="590">
                  <c:v>167.3932184077479</c:v>
                </c:pt>
                <c:pt idx="591">
                  <c:v>168.62746660398463</c:v>
                </c:pt>
                <c:pt idx="592">
                  <c:v>166.86772668055741</c:v>
                </c:pt>
                <c:pt idx="593">
                  <c:v>165.42033362151031</c:v>
                </c:pt>
                <c:pt idx="594">
                  <c:v>161.87216885853934</c:v>
                </c:pt>
                <c:pt idx="595">
                  <c:v>163.84266323510056</c:v>
                </c:pt>
                <c:pt idx="596">
                  <c:v>166.28685712919747</c:v>
                </c:pt>
                <c:pt idx="597">
                  <c:v>165.86614502615487</c:v>
                </c:pt>
                <c:pt idx="598">
                  <c:v>164.45341290741524</c:v>
                </c:pt>
                <c:pt idx="599">
                  <c:v>163.96935494794863</c:v>
                </c:pt>
                <c:pt idx="600">
                  <c:v>165.70001155364653</c:v>
                </c:pt>
                <c:pt idx="601">
                  <c:v>165.57013262789664</c:v>
                </c:pt>
                <c:pt idx="602">
                  <c:v>167.21114887073043</c:v>
                </c:pt>
                <c:pt idx="603">
                  <c:v>166.8557746321755</c:v>
                </c:pt>
                <c:pt idx="604">
                  <c:v>167.16891829978104</c:v>
                </c:pt>
                <c:pt idx="605">
                  <c:v>167.36373668840588</c:v>
                </c:pt>
                <c:pt idx="606">
                  <c:v>167.49242040931756</c:v>
                </c:pt>
                <c:pt idx="607">
                  <c:v>167.40995127548251</c:v>
                </c:pt>
                <c:pt idx="608">
                  <c:v>167.6521794560222</c:v>
                </c:pt>
                <c:pt idx="609">
                  <c:v>167.04382019338394</c:v>
                </c:pt>
                <c:pt idx="610">
                  <c:v>168.51949976693487</c:v>
                </c:pt>
                <c:pt idx="611">
                  <c:v>168.38523842344495</c:v>
                </c:pt>
                <c:pt idx="612">
                  <c:v>168.41472014278693</c:v>
                </c:pt>
                <c:pt idx="613">
                  <c:v>168.10755249937233</c:v>
                </c:pt>
                <c:pt idx="614">
                  <c:v>168.88961486516078</c:v>
                </c:pt>
                <c:pt idx="615">
                  <c:v>169.21869459727552</c:v>
                </c:pt>
                <c:pt idx="616">
                  <c:v>169.52586224069012</c:v>
                </c:pt>
                <c:pt idx="617">
                  <c:v>169.1848304601935</c:v>
                </c:pt>
                <c:pt idx="618">
                  <c:v>168.27288916865515</c:v>
                </c:pt>
                <c:pt idx="619">
                  <c:v>168.19958327191287</c:v>
                </c:pt>
                <c:pt idx="620">
                  <c:v>165.99203993577746</c:v>
                </c:pt>
                <c:pt idx="621">
                  <c:v>168.31631494444269</c:v>
                </c:pt>
                <c:pt idx="622">
                  <c:v>169.17885443600252</c:v>
                </c:pt>
                <c:pt idx="623">
                  <c:v>168.99558969414687</c:v>
                </c:pt>
                <c:pt idx="624">
                  <c:v>169.97764966952562</c:v>
                </c:pt>
                <c:pt idx="625">
                  <c:v>170.54377836121458</c:v>
                </c:pt>
                <c:pt idx="626">
                  <c:v>170.93859435942974</c:v>
                </c:pt>
                <c:pt idx="627">
                  <c:v>170.98600415134459</c:v>
                </c:pt>
                <c:pt idx="628">
                  <c:v>171.21309307060054</c:v>
                </c:pt>
                <c:pt idx="629">
                  <c:v>172.10710628956602</c:v>
                </c:pt>
                <c:pt idx="630">
                  <c:v>173.39792751481036</c:v>
                </c:pt>
                <c:pt idx="631">
                  <c:v>173.04733409560819</c:v>
                </c:pt>
                <c:pt idx="632">
                  <c:v>173.62860204858089</c:v>
                </c:pt>
                <c:pt idx="633">
                  <c:v>172.14216563148625</c:v>
                </c:pt>
                <c:pt idx="634">
                  <c:v>174.08357669031824</c:v>
                </c:pt>
                <c:pt idx="635">
                  <c:v>174.68436632231467</c:v>
                </c:pt>
                <c:pt idx="636">
                  <c:v>174.07003103548541</c:v>
                </c:pt>
                <c:pt idx="637">
                  <c:v>174.27281745636486</c:v>
                </c:pt>
                <c:pt idx="638">
                  <c:v>173.70429835499954</c:v>
                </c:pt>
                <c:pt idx="639">
                  <c:v>172.39475225395694</c:v>
                </c:pt>
                <c:pt idx="640">
                  <c:v>169.6645060019201</c:v>
                </c:pt>
                <c:pt idx="641">
                  <c:v>172.23738361692867</c:v>
                </c:pt>
                <c:pt idx="642">
                  <c:v>173.65091253889375</c:v>
                </c:pt>
                <c:pt idx="643">
                  <c:v>174.00110755648319</c:v>
                </c:pt>
                <c:pt idx="644">
                  <c:v>175.76682350410138</c:v>
                </c:pt>
                <c:pt idx="645">
                  <c:v>176.18235638617847</c:v>
                </c:pt>
                <c:pt idx="646">
                  <c:v>175.35487623653884</c:v>
                </c:pt>
                <c:pt idx="647">
                  <c:v>175.32260570590773</c:v>
                </c:pt>
                <c:pt idx="648">
                  <c:v>176.05964868945773</c:v>
                </c:pt>
                <c:pt idx="649">
                  <c:v>175.10786723664646</c:v>
                </c:pt>
                <c:pt idx="650">
                  <c:v>174.7831699222717</c:v>
                </c:pt>
                <c:pt idx="651">
                  <c:v>176.21900933454961</c:v>
                </c:pt>
                <c:pt idx="652">
                  <c:v>175.4034812332919</c:v>
                </c:pt>
                <c:pt idx="653">
                  <c:v>176.45605829412384</c:v>
                </c:pt>
                <c:pt idx="654">
                  <c:v>176.75167229076928</c:v>
                </c:pt>
                <c:pt idx="655">
                  <c:v>176.58553881826097</c:v>
                </c:pt>
                <c:pt idx="656">
                  <c:v>176.76083552786201</c:v>
                </c:pt>
                <c:pt idx="657">
                  <c:v>177.19708529380108</c:v>
                </c:pt>
                <c:pt idx="658">
                  <c:v>177.72058501292796</c:v>
                </c:pt>
                <c:pt idx="659">
                  <c:v>178.00584056764245</c:v>
                </c:pt>
                <c:pt idx="660">
                  <c:v>178.47037684808529</c:v>
                </c:pt>
                <c:pt idx="661">
                  <c:v>177.21222455508482</c:v>
                </c:pt>
                <c:pt idx="662">
                  <c:v>175.307466444624</c:v>
                </c:pt>
                <c:pt idx="663">
                  <c:v>175.52778253646352</c:v>
                </c:pt>
                <c:pt idx="664">
                  <c:v>176.95684912132504</c:v>
                </c:pt>
                <c:pt idx="665">
                  <c:v>178.46559602873251</c:v>
                </c:pt>
                <c:pt idx="666">
                  <c:v>178.73212670764866</c:v>
                </c:pt>
                <c:pt idx="667">
                  <c:v>179.12893471392746</c:v>
                </c:pt>
                <c:pt idx="668">
                  <c:v>178.08193527567377</c:v>
                </c:pt>
                <c:pt idx="669">
                  <c:v>179.65402803950528</c:v>
                </c:pt>
                <c:pt idx="670">
                  <c:v>180.42772397142642</c:v>
                </c:pt>
              </c:numCache>
            </c:numRef>
          </c:val>
          <c:smooth val="0"/>
          <c:extLst>
            <c:ext xmlns:c16="http://schemas.microsoft.com/office/drawing/2014/chart" uri="{C3380CC4-5D6E-409C-BE32-E72D297353CC}">
              <c16:uniqueId val="{00000000-749C-40F3-8E91-76B2076E7451}"/>
            </c:ext>
          </c:extLst>
        </c:ser>
        <c:ser>
          <c:idx val="2"/>
          <c:order val="1"/>
          <c:tx>
            <c:strRef>
              <c:f>Sheet1!$C$1</c:f>
              <c:strCache>
                <c:ptCount val="1"/>
                <c:pt idx="0">
                  <c:v>DAX (Գերմանիա)</c:v>
                </c:pt>
              </c:strCache>
            </c:strRef>
          </c:tx>
          <c:spPr>
            <a:ln w="28575" cap="rnd">
              <a:solidFill>
                <a:srgbClr val="C00000"/>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Sheet1!$C$2:$C$672</c:f>
              <c:numCache>
                <c:formatCode>0.0</c:formatCode>
                <c:ptCount val="671"/>
                <c:pt idx="0">
                  <c:v>100</c:v>
                </c:pt>
                <c:pt idx="1">
                  <c:v>98.726114649681534</c:v>
                </c:pt>
                <c:pt idx="2">
                  <c:v>102.71762208067942</c:v>
                </c:pt>
                <c:pt idx="3">
                  <c:v>102.50530785562634</c:v>
                </c:pt>
                <c:pt idx="4">
                  <c:v>103.39702760084927</c:v>
                </c:pt>
                <c:pt idx="5">
                  <c:v>105.01061571125265</c:v>
                </c:pt>
                <c:pt idx="6">
                  <c:v>104.3312101910828</c:v>
                </c:pt>
                <c:pt idx="7">
                  <c:v>103.56687898089173</c:v>
                </c:pt>
                <c:pt idx="8">
                  <c:v>103.86411889596603</c:v>
                </c:pt>
                <c:pt idx="9">
                  <c:v>103.8216560509554</c:v>
                </c:pt>
                <c:pt idx="10">
                  <c:v>103.86411889596603</c:v>
                </c:pt>
                <c:pt idx="11">
                  <c:v>103.39702760084926</c:v>
                </c:pt>
                <c:pt idx="12">
                  <c:v>106.07218683651804</c:v>
                </c:pt>
                <c:pt idx="13">
                  <c:v>104.71337579617834</c:v>
                </c:pt>
                <c:pt idx="14">
                  <c:v>104.71337579617834</c:v>
                </c:pt>
                <c:pt idx="15">
                  <c:v>104.8407643312102</c:v>
                </c:pt>
                <c:pt idx="16">
                  <c:v>106.83651804670914</c:v>
                </c:pt>
                <c:pt idx="17">
                  <c:v>106.87898089171976</c:v>
                </c:pt>
                <c:pt idx="18">
                  <c:v>106.83651804670914</c:v>
                </c:pt>
                <c:pt idx="19">
                  <c:v>106.15711252653929</c:v>
                </c:pt>
                <c:pt idx="20">
                  <c:v>106.58174097664545</c:v>
                </c:pt>
                <c:pt idx="21">
                  <c:v>106.32696390658175</c:v>
                </c:pt>
                <c:pt idx="22">
                  <c:v>106.41188959660299</c:v>
                </c:pt>
                <c:pt idx="23">
                  <c:v>107.85562632696391</c:v>
                </c:pt>
                <c:pt idx="24">
                  <c:v>104.33121019108282</c:v>
                </c:pt>
                <c:pt idx="25">
                  <c:v>103.35456475583865</c:v>
                </c:pt>
                <c:pt idx="26">
                  <c:v>103.26963906581742</c:v>
                </c:pt>
                <c:pt idx="27">
                  <c:v>105.18046709129511</c:v>
                </c:pt>
                <c:pt idx="28">
                  <c:v>104.79830148619958</c:v>
                </c:pt>
                <c:pt idx="29">
                  <c:v>104.45859872611466</c:v>
                </c:pt>
                <c:pt idx="30">
                  <c:v>106.15711252653928</c:v>
                </c:pt>
                <c:pt idx="31">
                  <c:v>106.96390658174099</c:v>
                </c:pt>
                <c:pt idx="32">
                  <c:v>107.98301486199576</c:v>
                </c:pt>
                <c:pt idx="33">
                  <c:v>107.38853503184714</c:v>
                </c:pt>
                <c:pt idx="34">
                  <c:v>108.36518046709129</c:v>
                </c:pt>
                <c:pt idx="35">
                  <c:v>109.2144373673036</c:v>
                </c:pt>
                <c:pt idx="36">
                  <c:v>109.51167728237792</c:v>
                </c:pt>
                <c:pt idx="37">
                  <c:v>108.74734607218683</c:v>
                </c:pt>
                <c:pt idx="38">
                  <c:v>106.15711252653928</c:v>
                </c:pt>
                <c:pt idx="39">
                  <c:v>109.85138004246284</c:v>
                </c:pt>
                <c:pt idx="40">
                  <c:v>109.12951167728235</c:v>
                </c:pt>
                <c:pt idx="41">
                  <c:v>109.12951167728235</c:v>
                </c:pt>
                <c:pt idx="42">
                  <c:v>108.95966029723989</c:v>
                </c:pt>
                <c:pt idx="43">
                  <c:v>107.13375796178342</c:v>
                </c:pt>
                <c:pt idx="44">
                  <c:v>106.96390658174096</c:v>
                </c:pt>
                <c:pt idx="45">
                  <c:v>107.6008492569002</c:v>
                </c:pt>
                <c:pt idx="46">
                  <c:v>108.06794055201698</c:v>
                </c:pt>
                <c:pt idx="47">
                  <c:v>108.91719745222929</c:v>
                </c:pt>
                <c:pt idx="48">
                  <c:v>108.95966029723992</c:v>
                </c:pt>
                <c:pt idx="49">
                  <c:v>110.02123142250531</c:v>
                </c:pt>
                <c:pt idx="50">
                  <c:v>110.10615711252653</c:v>
                </c:pt>
                <c:pt idx="51">
                  <c:v>111.04033970276008</c:v>
                </c:pt>
                <c:pt idx="52">
                  <c:v>109.72399150743099</c:v>
                </c:pt>
                <c:pt idx="53">
                  <c:v>109.00212314225053</c:v>
                </c:pt>
                <c:pt idx="54">
                  <c:v>106.66666666666666</c:v>
                </c:pt>
                <c:pt idx="55">
                  <c:v>106.32696390658172</c:v>
                </c:pt>
                <c:pt idx="56">
                  <c:v>107.51592356687897</c:v>
                </c:pt>
                <c:pt idx="57">
                  <c:v>106.92144373673034</c:v>
                </c:pt>
                <c:pt idx="58">
                  <c:v>107.13375796178342</c:v>
                </c:pt>
                <c:pt idx="59">
                  <c:v>107.81316348195328</c:v>
                </c:pt>
                <c:pt idx="60">
                  <c:v>108.95966029723989</c:v>
                </c:pt>
                <c:pt idx="61">
                  <c:v>109.72399150743097</c:v>
                </c:pt>
                <c:pt idx="62">
                  <c:v>111.59235668789806</c:v>
                </c:pt>
                <c:pt idx="63">
                  <c:v>111.84713375796174</c:v>
                </c:pt>
                <c:pt idx="64">
                  <c:v>111.76220806794051</c:v>
                </c:pt>
                <c:pt idx="65">
                  <c:v>111.84713375796174</c:v>
                </c:pt>
                <c:pt idx="66">
                  <c:v>111.12526539278127</c:v>
                </c:pt>
                <c:pt idx="67">
                  <c:v>111.67728237791928</c:v>
                </c:pt>
                <c:pt idx="68">
                  <c:v>111.67728237791928</c:v>
                </c:pt>
                <c:pt idx="69">
                  <c:v>112.95116772823775</c:v>
                </c:pt>
                <c:pt idx="70">
                  <c:v>113.16348195329083</c:v>
                </c:pt>
                <c:pt idx="71">
                  <c:v>113.80042462845007</c:v>
                </c:pt>
                <c:pt idx="72">
                  <c:v>114.01273885350315</c:v>
                </c:pt>
                <c:pt idx="73">
                  <c:v>114.52229299363054</c:v>
                </c:pt>
                <c:pt idx="74">
                  <c:v>114.60721868365177</c:v>
                </c:pt>
                <c:pt idx="75">
                  <c:v>114.09766454352439</c:v>
                </c:pt>
                <c:pt idx="76">
                  <c:v>114.18259023354561</c:v>
                </c:pt>
                <c:pt idx="77">
                  <c:v>113.9278131634819</c:v>
                </c:pt>
                <c:pt idx="78">
                  <c:v>114.52229299363053</c:v>
                </c:pt>
                <c:pt idx="79">
                  <c:v>114.52229299363053</c:v>
                </c:pt>
                <c:pt idx="80">
                  <c:v>115.20169851380038</c:v>
                </c:pt>
                <c:pt idx="81">
                  <c:v>114.64968152866238</c:v>
                </c:pt>
                <c:pt idx="82">
                  <c:v>114.43736730360931</c:v>
                </c:pt>
                <c:pt idx="83">
                  <c:v>115.54140127388531</c:v>
                </c:pt>
                <c:pt idx="84">
                  <c:v>114.30997876857747</c:v>
                </c:pt>
                <c:pt idx="85">
                  <c:v>112.22929936305729</c:v>
                </c:pt>
                <c:pt idx="86">
                  <c:v>113.29087048832268</c:v>
                </c:pt>
                <c:pt idx="87">
                  <c:v>112.65392781316345</c:v>
                </c:pt>
                <c:pt idx="88">
                  <c:v>113.12101910828024</c:v>
                </c:pt>
                <c:pt idx="89">
                  <c:v>110.65817409766453</c:v>
                </c:pt>
                <c:pt idx="90">
                  <c:v>111.71974522292993</c:v>
                </c:pt>
                <c:pt idx="91">
                  <c:v>112.56900212314225</c:v>
                </c:pt>
                <c:pt idx="92">
                  <c:v>113.88535031847134</c:v>
                </c:pt>
                <c:pt idx="93">
                  <c:v>112.82377919320595</c:v>
                </c:pt>
                <c:pt idx="94">
                  <c:v>111.29511677282379</c:v>
                </c:pt>
                <c:pt idx="95">
                  <c:v>112.05944798301486</c:v>
                </c:pt>
                <c:pt idx="96">
                  <c:v>110.61571125265392</c:v>
                </c:pt>
                <c:pt idx="97">
                  <c:v>111.71974522292993</c:v>
                </c:pt>
                <c:pt idx="98">
                  <c:v>110.82802547770702</c:v>
                </c:pt>
                <c:pt idx="99">
                  <c:v>108.06794055201698</c:v>
                </c:pt>
                <c:pt idx="100">
                  <c:v>109.55414012738854</c:v>
                </c:pt>
                <c:pt idx="101">
                  <c:v>115.45647558386412</c:v>
                </c:pt>
                <c:pt idx="102">
                  <c:v>109.63906581740976</c:v>
                </c:pt>
                <c:pt idx="103">
                  <c:v>110.78556263269638</c:v>
                </c:pt>
                <c:pt idx="104">
                  <c:v>110.91295116772824</c:v>
                </c:pt>
                <c:pt idx="105">
                  <c:v>111.80467091295115</c:v>
                </c:pt>
                <c:pt idx="106">
                  <c:v>112.6963906581741</c:v>
                </c:pt>
                <c:pt idx="107">
                  <c:v>113.58811040339704</c:v>
                </c:pt>
                <c:pt idx="108">
                  <c:v>114.18259023354567</c:v>
                </c:pt>
                <c:pt idx="109">
                  <c:v>113.33333333333336</c:v>
                </c:pt>
                <c:pt idx="110">
                  <c:v>112.44161358811043</c:v>
                </c:pt>
                <c:pt idx="111">
                  <c:v>111.93205944798304</c:v>
                </c:pt>
                <c:pt idx="112">
                  <c:v>112.22929936305735</c:v>
                </c:pt>
                <c:pt idx="113">
                  <c:v>113.88535031847135</c:v>
                </c:pt>
                <c:pt idx="114">
                  <c:v>114.39490445859875</c:v>
                </c:pt>
                <c:pt idx="115">
                  <c:v>115.32908704883228</c:v>
                </c:pt>
                <c:pt idx="116">
                  <c:v>115.28662420382165</c:v>
                </c:pt>
                <c:pt idx="117">
                  <c:v>115.28662420382165</c:v>
                </c:pt>
                <c:pt idx="118">
                  <c:v>114.81953290870487</c:v>
                </c:pt>
                <c:pt idx="119">
                  <c:v>115.03184713375796</c:v>
                </c:pt>
                <c:pt idx="120">
                  <c:v>112.31422505307854</c:v>
                </c:pt>
                <c:pt idx="121">
                  <c:v>112.52653927813162</c:v>
                </c:pt>
                <c:pt idx="122">
                  <c:v>114.01273885350318</c:v>
                </c:pt>
                <c:pt idx="123">
                  <c:v>114.18259023354564</c:v>
                </c:pt>
                <c:pt idx="124">
                  <c:v>115.20169851380041</c:v>
                </c:pt>
                <c:pt idx="125">
                  <c:v>113.54564755838639</c:v>
                </c:pt>
                <c:pt idx="126">
                  <c:v>113.46072186836517</c:v>
                </c:pt>
                <c:pt idx="127">
                  <c:v>112.78131634819532</c:v>
                </c:pt>
                <c:pt idx="128">
                  <c:v>112.61146496815286</c:v>
                </c:pt>
                <c:pt idx="129">
                  <c:v>112.18683651804672</c:v>
                </c:pt>
                <c:pt idx="130">
                  <c:v>111.84713375796179</c:v>
                </c:pt>
                <c:pt idx="131">
                  <c:v>112.82377919320595</c:v>
                </c:pt>
                <c:pt idx="132">
                  <c:v>112.86624203821655</c:v>
                </c:pt>
                <c:pt idx="133">
                  <c:v>112.22929936305732</c:v>
                </c:pt>
                <c:pt idx="134">
                  <c:v>111.54989384288747</c:v>
                </c:pt>
                <c:pt idx="135">
                  <c:v>111.29511677282379</c:v>
                </c:pt>
                <c:pt idx="136">
                  <c:v>112.61146496815287</c:v>
                </c:pt>
                <c:pt idx="137">
                  <c:v>112.65392781316349</c:v>
                </c:pt>
                <c:pt idx="138">
                  <c:v>111.33757961783439</c:v>
                </c:pt>
                <c:pt idx="139">
                  <c:v>110.95541401273884</c:v>
                </c:pt>
                <c:pt idx="140">
                  <c:v>112.14437367303609</c:v>
                </c:pt>
                <c:pt idx="141">
                  <c:v>109.68152866242036</c:v>
                </c:pt>
                <c:pt idx="142">
                  <c:v>107.30360934182588</c:v>
                </c:pt>
                <c:pt idx="143">
                  <c:v>108.40764331210188</c:v>
                </c:pt>
                <c:pt idx="144">
                  <c:v>107.26114649681526</c:v>
                </c:pt>
                <c:pt idx="145">
                  <c:v>104.62845010615709</c:v>
                </c:pt>
                <c:pt idx="146">
                  <c:v>104.75583864118894</c:v>
                </c:pt>
                <c:pt idx="147">
                  <c:v>105.7324840764331</c:v>
                </c:pt>
                <c:pt idx="148">
                  <c:v>106.45435244161358</c:v>
                </c:pt>
                <c:pt idx="149">
                  <c:v>106.7940552016985</c:v>
                </c:pt>
                <c:pt idx="150">
                  <c:v>105.69002123142249</c:v>
                </c:pt>
                <c:pt idx="151">
                  <c:v>106.19957537154988</c:v>
                </c:pt>
                <c:pt idx="152">
                  <c:v>102.54777070063692</c:v>
                </c:pt>
                <c:pt idx="153">
                  <c:v>102.2505307855626</c:v>
                </c:pt>
                <c:pt idx="154">
                  <c:v>103.48195329087048</c:v>
                </c:pt>
                <c:pt idx="155">
                  <c:v>105.22292993630572</c:v>
                </c:pt>
                <c:pt idx="156">
                  <c:v>104.24628450106155</c:v>
                </c:pt>
                <c:pt idx="157">
                  <c:v>105.77494692144371</c:v>
                </c:pt>
                <c:pt idx="158">
                  <c:v>105.35031847133754</c:v>
                </c:pt>
                <c:pt idx="159">
                  <c:v>104.71337579617831</c:v>
                </c:pt>
                <c:pt idx="160">
                  <c:v>104.20382165605092</c:v>
                </c:pt>
                <c:pt idx="161">
                  <c:v>105.2229299363057</c:v>
                </c:pt>
                <c:pt idx="162">
                  <c:v>104.84076433121015</c:v>
                </c:pt>
                <c:pt idx="163">
                  <c:v>105.56263269639062</c:v>
                </c:pt>
                <c:pt idx="164">
                  <c:v>107.09129511677278</c:v>
                </c:pt>
                <c:pt idx="165">
                  <c:v>105.56263269639062</c:v>
                </c:pt>
                <c:pt idx="166">
                  <c:v>106.79405520169847</c:v>
                </c:pt>
                <c:pt idx="167">
                  <c:v>108.70488322717618</c:v>
                </c:pt>
                <c:pt idx="168">
                  <c:v>108.74734607218679</c:v>
                </c:pt>
                <c:pt idx="169">
                  <c:v>109.42675159235664</c:v>
                </c:pt>
                <c:pt idx="170">
                  <c:v>109.46921443736727</c:v>
                </c:pt>
                <c:pt idx="171">
                  <c:v>110.91295116772821</c:v>
                </c:pt>
                <c:pt idx="172">
                  <c:v>111.59235668789806</c:v>
                </c:pt>
                <c:pt idx="173">
                  <c:v>110.57324840764328</c:v>
                </c:pt>
                <c:pt idx="174">
                  <c:v>110.3609341825902</c:v>
                </c:pt>
                <c:pt idx="175">
                  <c:v>110.40339702760082</c:v>
                </c:pt>
                <c:pt idx="176">
                  <c:v>110.57324840764328</c:v>
                </c:pt>
                <c:pt idx="177">
                  <c:v>109.04458598726112</c:v>
                </c:pt>
                <c:pt idx="178">
                  <c:v>109.34182590233542</c:v>
                </c:pt>
                <c:pt idx="179">
                  <c:v>107.98301486199571</c:v>
                </c:pt>
                <c:pt idx="180">
                  <c:v>108.87473460721866</c:v>
                </c:pt>
                <c:pt idx="181">
                  <c:v>108.78980891719743</c:v>
                </c:pt>
                <c:pt idx="182">
                  <c:v>108.7473460721868</c:v>
                </c:pt>
                <c:pt idx="183">
                  <c:v>109.2993630573248</c:v>
                </c:pt>
                <c:pt idx="184">
                  <c:v>105.69002123142246</c:v>
                </c:pt>
                <c:pt idx="185">
                  <c:v>107.00636942675153</c:v>
                </c:pt>
                <c:pt idx="186">
                  <c:v>105.85987261146491</c:v>
                </c:pt>
                <c:pt idx="187">
                  <c:v>106.62420382165598</c:v>
                </c:pt>
                <c:pt idx="188">
                  <c:v>105.98726114649676</c:v>
                </c:pt>
                <c:pt idx="189">
                  <c:v>107.04883227176215</c:v>
                </c:pt>
                <c:pt idx="190">
                  <c:v>107.89808917197446</c:v>
                </c:pt>
                <c:pt idx="191">
                  <c:v>110.82802547770696</c:v>
                </c:pt>
                <c:pt idx="192">
                  <c:v>111.42250530785557</c:v>
                </c:pt>
                <c:pt idx="193">
                  <c:v>112.44161358811036</c:v>
                </c:pt>
                <c:pt idx="194">
                  <c:v>112.95116772823776</c:v>
                </c:pt>
                <c:pt idx="195">
                  <c:v>114.22505307855623</c:v>
                </c:pt>
                <c:pt idx="196">
                  <c:v>114.01273885350317</c:v>
                </c:pt>
                <c:pt idx="197">
                  <c:v>115.11677282377916</c:v>
                </c:pt>
                <c:pt idx="198">
                  <c:v>113.88535031847131</c:v>
                </c:pt>
                <c:pt idx="199">
                  <c:v>115.24416135881101</c:v>
                </c:pt>
                <c:pt idx="200">
                  <c:v>115.20169851380039</c:v>
                </c:pt>
                <c:pt idx="201">
                  <c:v>116.13588110403394</c:v>
                </c:pt>
                <c:pt idx="202">
                  <c:v>115.7537154989384</c:v>
                </c:pt>
                <c:pt idx="203">
                  <c:v>116.13588110403396</c:v>
                </c:pt>
                <c:pt idx="204">
                  <c:v>117.36730360934182</c:v>
                </c:pt>
                <c:pt idx="205">
                  <c:v>117.70700636942672</c:v>
                </c:pt>
                <c:pt idx="206">
                  <c:v>117.83439490445856</c:v>
                </c:pt>
                <c:pt idx="207">
                  <c:v>118.08917197452226</c:v>
                </c:pt>
                <c:pt idx="208">
                  <c:v>118.72611464968151</c:v>
                </c:pt>
                <c:pt idx="209">
                  <c:v>118.08917197452226</c:v>
                </c:pt>
                <c:pt idx="210">
                  <c:v>117.02760084925687</c:v>
                </c:pt>
                <c:pt idx="211">
                  <c:v>117.83439490445858</c:v>
                </c:pt>
                <c:pt idx="212">
                  <c:v>117.74946921443734</c:v>
                </c:pt>
                <c:pt idx="213">
                  <c:v>117.45222929936303</c:v>
                </c:pt>
                <c:pt idx="214">
                  <c:v>118.30148619957534</c:v>
                </c:pt>
                <c:pt idx="215">
                  <c:v>118.04670912951164</c:v>
                </c:pt>
                <c:pt idx="216">
                  <c:v>118.30148619957532</c:v>
                </c:pt>
                <c:pt idx="217">
                  <c:v>117.53715498938425</c:v>
                </c:pt>
                <c:pt idx="218">
                  <c:v>117.53715498938425</c:v>
                </c:pt>
                <c:pt idx="219">
                  <c:v>117.45222929936303</c:v>
                </c:pt>
                <c:pt idx="220">
                  <c:v>117.57961783439487</c:v>
                </c:pt>
                <c:pt idx="221">
                  <c:v>117.83439490445856</c:v>
                </c:pt>
                <c:pt idx="222">
                  <c:v>117.9617834394904</c:v>
                </c:pt>
                <c:pt idx="223">
                  <c:v>117.62208067940547</c:v>
                </c:pt>
                <c:pt idx="224">
                  <c:v>116.00849256900207</c:v>
                </c:pt>
                <c:pt idx="225">
                  <c:v>116.60297239915069</c:v>
                </c:pt>
                <c:pt idx="226">
                  <c:v>117.57961783439484</c:v>
                </c:pt>
                <c:pt idx="227">
                  <c:v>117.23991507430991</c:v>
                </c:pt>
                <c:pt idx="228">
                  <c:v>117.57961783439482</c:v>
                </c:pt>
                <c:pt idx="229">
                  <c:v>116.98513800424621</c:v>
                </c:pt>
                <c:pt idx="230">
                  <c:v>116.94267515923559</c:v>
                </c:pt>
                <c:pt idx="231">
                  <c:v>117.87685774946914</c:v>
                </c:pt>
                <c:pt idx="232">
                  <c:v>119.02335456475576</c:v>
                </c:pt>
                <c:pt idx="233">
                  <c:v>119.83014861995747</c:v>
                </c:pt>
                <c:pt idx="234">
                  <c:v>120.50955414012732</c:v>
                </c:pt>
                <c:pt idx="235">
                  <c:v>119.74522292993625</c:v>
                </c:pt>
                <c:pt idx="236">
                  <c:v>118.85350318471332</c:v>
                </c:pt>
                <c:pt idx="237">
                  <c:v>118.21656050955409</c:v>
                </c:pt>
                <c:pt idx="238">
                  <c:v>118.68365180467084</c:v>
                </c:pt>
                <c:pt idx="239">
                  <c:v>118.85350318471329</c:v>
                </c:pt>
                <c:pt idx="240">
                  <c:v>119.108280254777</c:v>
                </c:pt>
                <c:pt idx="241">
                  <c:v>119.49044585987254</c:v>
                </c:pt>
                <c:pt idx="242">
                  <c:v>117.62208067940544</c:v>
                </c:pt>
                <c:pt idx="243">
                  <c:v>119.32059447983006</c:v>
                </c:pt>
                <c:pt idx="244">
                  <c:v>121.01910828025468</c:v>
                </c:pt>
                <c:pt idx="245">
                  <c:v>118.85350318471328</c:v>
                </c:pt>
                <c:pt idx="246">
                  <c:v>118.89596602972391</c:v>
                </c:pt>
                <c:pt idx="247">
                  <c:v>118.68365180467083</c:v>
                </c:pt>
                <c:pt idx="248">
                  <c:v>119.99999999999993</c:v>
                </c:pt>
                <c:pt idx="249">
                  <c:v>120.80679405520161</c:v>
                </c:pt>
                <c:pt idx="250">
                  <c:v>121.0191082802547</c:v>
                </c:pt>
                <c:pt idx="251">
                  <c:v>120.80679405520162</c:v>
                </c:pt>
                <c:pt idx="252">
                  <c:v>120.42462845010607</c:v>
                </c:pt>
                <c:pt idx="253">
                  <c:v>120.50955414012729</c:v>
                </c:pt>
                <c:pt idx="254">
                  <c:v>120.84925690021223</c:v>
                </c:pt>
                <c:pt idx="255">
                  <c:v>120.25477707006361</c:v>
                </c:pt>
                <c:pt idx="256">
                  <c:v>120.93418259023346</c:v>
                </c:pt>
                <c:pt idx="257">
                  <c:v>120.84925690021224</c:v>
                </c:pt>
                <c:pt idx="258">
                  <c:v>120.04246284501055</c:v>
                </c:pt>
                <c:pt idx="259">
                  <c:v>120.21231422505301</c:v>
                </c:pt>
                <c:pt idx="260">
                  <c:v>117.66454352441608</c:v>
                </c:pt>
                <c:pt idx="261">
                  <c:v>118.38641188959654</c:v>
                </c:pt>
                <c:pt idx="262">
                  <c:v>118.30148619957531</c:v>
                </c:pt>
                <c:pt idx="263">
                  <c:v>117.62208067940546</c:v>
                </c:pt>
                <c:pt idx="264">
                  <c:v>115.07430997876853</c:v>
                </c:pt>
                <c:pt idx="265">
                  <c:v>116.30573248407637</c:v>
                </c:pt>
                <c:pt idx="266">
                  <c:v>118.13163481953283</c:v>
                </c:pt>
                <c:pt idx="267">
                  <c:v>119.61783439490441</c:v>
                </c:pt>
                <c:pt idx="268">
                  <c:v>119.91507430997871</c:v>
                </c:pt>
                <c:pt idx="269">
                  <c:v>118.68365180467086</c:v>
                </c:pt>
                <c:pt idx="270">
                  <c:v>118.81104033970271</c:v>
                </c:pt>
                <c:pt idx="271">
                  <c:v>119.95753715498932</c:v>
                </c:pt>
                <c:pt idx="272">
                  <c:v>120.80679405520165</c:v>
                </c:pt>
                <c:pt idx="273">
                  <c:v>120.04246284501058</c:v>
                </c:pt>
                <c:pt idx="274">
                  <c:v>120.04246284501058</c:v>
                </c:pt>
                <c:pt idx="275">
                  <c:v>119.15074309978765</c:v>
                </c:pt>
                <c:pt idx="276">
                  <c:v>119.91507430997873</c:v>
                </c:pt>
                <c:pt idx="277">
                  <c:v>118.64118895966027</c:v>
                </c:pt>
                <c:pt idx="278">
                  <c:v>118.55626326963905</c:v>
                </c:pt>
                <c:pt idx="279">
                  <c:v>113.88535031847131</c:v>
                </c:pt>
                <c:pt idx="280">
                  <c:v>111.04033970276005</c:v>
                </c:pt>
                <c:pt idx="281">
                  <c:v>111.12526539278129</c:v>
                </c:pt>
                <c:pt idx="282">
                  <c:v>107.04883227176218</c:v>
                </c:pt>
                <c:pt idx="283">
                  <c:v>105.94479830148616</c:v>
                </c:pt>
                <c:pt idx="284">
                  <c:v>107.68577494692141</c:v>
                </c:pt>
                <c:pt idx="285">
                  <c:v>106.5392781316348</c:v>
                </c:pt>
                <c:pt idx="286">
                  <c:v>109.21443736730359</c:v>
                </c:pt>
                <c:pt idx="287">
                  <c:v>106.7940552016985</c:v>
                </c:pt>
                <c:pt idx="288">
                  <c:v>105.35031847133756</c:v>
                </c:pt>
                <c:pt idx="289">
                  <c:v>96.348195329087034</c:v>
                </c:pt>
                <c:pt idx="290">
                  <c:v>98.938428874734598</c:v>
                </c:pt>
                <c:pt idx="291">
                  <c:v>94.140127388535035</c:v>
                </c:pt>
                <c:pt idx="292">
                  <c:v>83.481953290870493</c:v>
                </c:pt>
                <c:pt idx="293">
                  <c:v>86.199575371549898</c:v>
                </c:pt>
                <c:pt idx="294">
                  <c:v>77.664543524416132</c:v>
                </c:pt>
                <c:pt idx="295">
                  <c:v>79.787685774946908</c:v>
                </c:pt>
                <c:pt idx="296">
                  <c:v>73.842887473460721</c:v>
                </c:pt>
                <c:pt idx="297">
                  <c:v>74.777070063694254</c:v>
                </c:pt>
                <c:pt idx="298">
                  <c:v>74.904458598726109</c:v>
                </c:pt>
                <c:pt idx="299">
                  <c:v>76.43312101910827</c:v>
                </c:pt>
                <c:pt idx="300">
                  <c:v>83.821656050955397</c:v>
                </c:pt>
                <c:pt idx="301">
                  <c:v>86.624203821656039</c:v>
                </c:pt>
                <c:pt idx="302">
                  <c:v>89.256900212314221</c:v>
                </c:pt>
                <c:pt idx="303">
                  <c:v>87.048832271762208</c:v>
                </c:pt>
                <c:pt idx="304">
                  <c:v>87.600849256900219</c:v>
                </c:pt>
                <c:pt idx="305">
                  <c:v>87.430997876857759</c:v>
                </c:pt>
                <c:pt idx="306">
                  <c:v>83.227176220806811</c:v>
                </c:pt>
                <c:pt idx="307">
                  <c:v>83.949044585987266</c:v>
                </c:pt>
                <c:pt idx="308">
                  <c:v>83.227176220806797</c:v>
                </c:pt>
                <c:pt idx="309">
                  <c:v>88.917197452229303</c:v>
                </c:pt>
                <c:pt idx="310">
                  <c:v>90.403397027600846</c:v>
                </c:pt>
                <c:pt idx="311">
                  <c:v>91.380042462845012</c:v>
                </c:pt>
                <c:pt idx="312">
                  <c:v>94.309978768577494</c:v>
                </c:pt>
                <c:pt idx="313">
                  <c:v>92.27176220806794</c:v>
                </c:pt>
                <c:pt idx="314">
                  <c:v>95.244161358811041</c:v>
                </c:pt>
                <c:pt idx="315">
                  <c:v>91.125265392781316</c:v>
                </c:pt>
                <c:pt idx="316">
                  <c:v>90.403397027600846</c:v>
                </c:pt>
                <c:pt idx="317">
                  <c:v>94.097664543524417</c:v>
                </c:pt>
                <c:pt idx="318">
                  <c:v>92.908704883227173</c:v>
                </c:pt>
                <c:pt idx="319">
                  <c:v>90.488322717622069</c:v>
                </c:pt>
                <c:pt idx="320">
                  <c:v>91.42250530785563</c:v>
                </c:pt>
                <c:pt idx="321">
                  <c:v>90.530785562632701</c:v>
                </c:pt>
                <c:pt idx="322">
                  <c:v>90.955414012738856</c:v>
                </c:pt>
                <c:pt idx="323">
                  <c:v>93.715498938428865</c:v>
                </c:pt>
                <c:pt idx="324">
                  <c:v>94.182590233545639</c:v>
                </c:pt>
                <c:pt idx="325">
                  <c:v>97.452229299363054</c:v>
                </c:pt>
                <c:pt idx="326">
                  <c:v>96.518046709129521</c:v>
                </c:pt>
                <c:pt idx="327">
                  <c:v>93.842887473460735</c:v>
                </c:pt>
                <c:pt idx="328">
                  <c:v>93.800424628450102</c:v>
                </c:pt>
                <c:pt idx="329">
                  <c:v>93.715498938428865</c:v>
                </c:pt>
                <c:pt idx="330">
                  <c:v>92.399150743099781</c:v>
                </c:pt>
                <c:pt idx="331">
                  <c:v>93.630573248407629</c:v>
                </c:pt>
                <c:pt idx="332">
                  <c:v>95.838641188959642</c:v>
                </c:pt>
                <c:pt idx="333">
                  <c:v>94.904458598726109</c:v>
                </c:pt>
                <c:pt idx="334">
                  <c:v>93.842887473460721</c:v>
                </c:pt>
                <c:pt idx="335">
                  <c:v>91.42250530785563</c:v>
                </c:pt>
                <c:pt idx="336">
                  <c:v>90.828025477707016</c:v>
                </c:pt>
                <c:pt idx="337">
                  <c:v>90.912951167728252</c:v>
                </c:pt>
                <c:pt idx="338">
                  <c:v>98.13163481953292</c:v>
                </c:pt>
                <c:pt idx="339">
                  <c:v>97.239915074309977</c:v>
                </c:pt>
                <c:pt idx="340">
                  <c:v>99.065817409766439</c:v>
                </c:pt>
                <c:pt idx="341">
                  <c:v>97.622080679405499</c:v>
                </c:pt>
                <c:pt idx="342">
                  <c:v>97.87685774946921</c:v>
                </c:pt>
                <c:pt idx="343">
                  <c:v>101.40127388535031</c:v>
                </c:pt>
                <c:pt idx="344">
                  <c:v>103.8216560509554</c:v>
                </c:pt>
                <c:pt idx="345">
                  <c:v>104.67091295116771</c:v>
                </c:pt>
                <c:pt idx="346">
                  <c:v>104.58598726114647</c:v>
                </c:pt>
                <c:pt idx="347">
                  <c:v>107.43099787685775</c:v>
                </c:pt>
                <c:pt idx="348">
                  <c:v>108.78980891719743</c:v>
                </c:pt>
                <c:pt idx="349">
                  <c:v>113.46072186836514</c:v>
                </c:pt>
                <c:pt idx="350">
                  <c:v>113.46072186836514</c:v>
                </c:pt>
                <c:pt idx="351">
                  <c:v>116.00849256900209</c:v>
                </c:pt>
                <c:pt idx="352">
                  <c:v>117.36730360934179</c:v>
                </c:pt>
                <c:pt idx="353">
                  <c:v>115.32908704883224</c:v>
                </c:pt>
                <c:pt idx="354">
                  <c:v>114.9893842887473</c:v>
                </c:pt>
                <c:pt idx="355">
                  <c:v>107.51592356687895</c:v>
                </c:pt>
                <c:pt idx="356">
                  <c:v>108.57749469214433</c:v>
                </c:pt>
                <c:pt idx="357">
                  <c:v>110.06369426751587</c:v>
                </c:pt>
                <c:pt idx="358">
                  <c:v>112.14437367303603</c:v>
                </c:pt>
                <c:pt idx="359">
                  <c:v>111.38004246284494</c:v>
                </c:pt>
                <c:pt idx="360">
                  <c:v>110.82802547770694</c:v>
                </c:pt>
                <c:pt idx="361">
                  <c:v>109.80891719745216</c:v>
                </c:pt>
                <c:pt idx="362">
                  <c:v>111.42250530785556</c:v>
                </c:pt>
                <c:pt idx="363">
                  <c:v>113.29087048832265</c:v>
                </c:pt>
                <c:pt idx="364">
                  <c:v>110.27600849256893</c:v>
                </c:pt>
                <c:pt idx="365">
                  <c:v>112.22929936305727</c:v>
                </c:pt>
                <c:pt idx="366">
                  <c:v>109.12951167728232</c:v>
                </c:pt>
                <c:pt idx="367">
                  <c:v>109.68152866242032</c:v>
                </c:pt>
                <c:pt idx="368">
                  <c:v>110.74309978768572</c:v>
                </c:pt>
                <c:pt idx="369">
                  <c:v>110.14861995753711</c:v>
                </c:pt>
                <c:pt idx="370">
                  <c:v>112.48407643312095</c:v>
                </c:pt>
                <c:pt idx="371">
                  <c:v>114.56475583864112</c:v>
                </c:pt>
                <c:pt idx="372">
                  <c:v>112.78131634819525</c:v>
                </c:pt>
                <c:pt idx="373">
                  <c:v>113.07855626326956</c:v>
                </c:pt>
                <c:pt idx="374">
                  <c:v>112.99363057324832</c:v>
                </c:pt>
                <c:pt idx="375">
                  <c:v>114.0552016985137</c:v>
                </c:pt>
                <c:pt idx="376">
                  <c:v>113.71549893842878</c:v>
                </c:pt>
                <c:pt idx="377">
                  <c:v>115.6687898089171</c:v>
                </c:pt>
                <c:pt idx="378">
                  <c:v>117.45222929936295</c:v>
                </c:pt>
                <c:pt idx="379">
                  <c:v>117.15498938428864</c:v>
                </c:pt>
                <c:pt idx="380">
                  <c:v>118.13163481953281</c:v>
                </c:pt>
                <c:pt idx="381">
                  <c:v>119.40552016985127</c:v>
                </c:pt>
                <c:pt idx="382">
                  <c:v>120.29723991507419</c:v>
                </c:pt>
                <c:pt idx="383">
                  <c:v>121.18895966029713</c:v>
                </c:pt>
                <c:pt idx="384">
                  <c:v>119.74522292993619</c:v>
                </c:pt>
                <c:pt idx="385">
                  <c:v>118.89596602972388</c:v>
                </c:pt>
                <c:pt idx="386">
                  <c:v>120.04246284501049</c:v>
                </c:pt>
                <c:pt idx="387">
                  <c:v>119.5329087048831</c:v>
                </c:pt>
                <c:pt idx="388">
                  <c:v>120.5520169851379</c:v>
                </c:pt>
                <c:pt idx="389">
                  <c:v>117.70700636942664</c:v>
                </c:pt>
                <c:pt idx="390">
                  <c:v>115.11677282377907</c:v>
                </c:pt>
                <c:pt idx="391">
                  <c:v>118.04670912951157</c:v>
                </c:pt>
                <c:pt idx="392">
                  <c:v>118.3864118895965</c:v>
                </c:pt>
                <c:pt idx="393">
                  <c:v>119.19320594479821</c:v>
                </c:pt>
                <c:pt idx="394">
                  <c:v>119.4479830148619</c:v>
                </c:pt>
                <c:pt idx="395">
                  <c:v>118.93842887473453</c:v>
                </c:pt>
                <c:pt idx="396">
                  <c:v>119.02335456475575</c:v>
                </c:pt>
                <c:pt idx="397">
                  <c:v>119.83014861995746</c:v>
                </c:pt>
                <c:pt idx="398">
                  <c:v>122.71762208067933</c:v>
                </c:pt>
                <c:pt idx="399">
                  <c:v>121.99575371549886</c:v>
                </c:pt>
                <c:pt idx="400">
                  <c:v>120.84925690021224</c:v>
                </c:pt>
                <c:pt idx="401">
                  <c:v>122.16560509554134</c:v>
                </c:pt>
                <c:pt idx="402">
                  <c:v>122.76008492568995</c:v>
                </c:pt>
                <c:pt idx="403">
                  <c:v>122.50530785562626</c:v>
                </c:pt>
                <c:pt idx="404">
                  <c:v>121.65605095541393</c:v>
                </c:pt>
                <c:pt idx="405">
                  <c:v>120.08492569002117</c:v>
                </c:pt>
                <c:pt idx="406">
                  <c:v>122.6326963906581</c:v>
                </c:pt>
                <c:pt idx="407">
                  <c:v>123.05732484076427</c:v>
                </c:pt>
                <c:pt idx="408">
                  <c:v>124.84076433121011</c:v>
                </c:pt>
                <c:pt idx="409">
                  <c:v>123.09978768577487</c:v>
                </c:pt>
                <c:pt idx="410">
                  <c:v>123.6942675159235</c:v>
                </c:pt>
                <c:pt idx="411">
                  <c:v>124.28874734607213</c:v>
                </c:pt>
                <c:pt idx="412">
                  <c:v>122.92993630573243</c:v>
                </c:pt>
                <c:pt idx="413">
                  <c:v>125.85987261146491</c:v>
                </c:pt>
                <c:pt idx="414">
                  <c:v>122.29299363057318</c:v>
                </c:pt>
                <c:pt idx="415">
                  <c:v>122.46284501061564</c:v>
                </c:pt>
                <c:pt idx="416">
                  <c:v>121.35881104033962</c:v>
                </c:pt>
                <c:pt idx="417">
                  <c:v>124.88322717622074</c:v>
                </c:pt>
                <c:pt idx="418">
                  <c:v>123.39702760084919</c:v>
                </c:pt>
                <c:pt idx="419">
                  <c:v>124.33121019108275</c:v>
                </c:pt>
                <c:pt idx="420">
                  <c:v>124.5435244161358</c:v>
                </c:pt>
                <c:pt idx="421">
                  <c:v>122.80254777070056</c:v>
                </c:pt>
                <c:pt idx="422">
                  <c:v>124.5435244161358</c:v>
                </c:pt>
                <c:pt idx="423">
                  <c:v>124.45859872611457</c:v>
                </c:pt>
                <c:pt idx="424">
                  <c:v>123.56687898089166</c:v>
                </c:pt>
                <c:pt idx="425">
                  <c:v>118.04670912951161</c:v>
                </c:pt>
                <c:pt idx="426">
                  <c:v>118.59872611464962</c:v>
                </c:pt>
                <c:pt idx="427">
                  <c:v>116.51804670912946</c:v>
                </c:pt>
                <c:pt idx="428">
                  <c:v>116.77282377919315</c:v>
                </c:pt>
                <c:pt idx="429">
                  <c:v>116.56050955414007</c:v>
                </c:pt>
                <c:pt idx="430">
                  <c:v>119.87261146496809</c:v>
                </c:pt>
                <c:pt idx="431">
                  <c:v>120.1698513800424</c:v>
                </c:pt>
                <c:pt idx="432">
                  <c:v>119.44798301486192</c:v>
                </c:pt>
                <c:pt idx="433">
                  <c:v>119.1507430997876</c:v>
                </c:pt>
                <c:pt idx="434">
                  <c:v>118.81104033970269</c:v>
                </c:pt>
                <c:pt idx="435">
                  <c:v>120.55201698513793</c:v>
                </c:pt>
                <c:pt idx="436">
                  <c:v>120.04246284501053</c:v>
                </c:pt>
                <c:pt idx="437">
                  <c:v>121.48619957537147</c:v>
                </c:pt>
                <c:pt idx="438">
                  <c:v>122.3779193205944</c:v>
                </c:pt>
                <c:pt idx="439">
                  <c:v>122.80254777070057</c:v>
                </c:pt>
                <c:pt idx="440">
                  <c:v>123.86411889596596</c:v>
                </c:pt>
                <c:pt idx="441">
                  <c:v>121.27388535031838</c:v>
                </c:pt>
                <c:pt idx="442">
                  <c:v>121.65605095541392</c:v>
                </c:pt>
                <c:pt idx="443">
                  <c:v>119.02335456475575</c:v>
                </c:pt>
                <c:pt idx="444">
                  <c:v>121.14649681528653</c:v>
                </c:pt>
                <c:pt idx="445">
                  <c:v>118.81104033970266</c:v>
                </c:pt>
                <c:pt idx="446">
                  <c:v>119.70276008492559</c:v>
                </c:pt>
                <c:pt idx="447">
                  <c:v>118.6836518046708</c:v>
                </c:pt>
                <c:pt idx="448">
                  <c:v>118.38641188959649</c:v>
                </c:pt>
                <c:pt idx="449">
                  <c:v>119.91507430997865</c:v>
                </c:pt>
                <c:pt idx="450">
                  <c:v>114.30997876857739</c:v>
                </c:pt>
                <c:pt idx="451">
                  <c:v>113.29087048832261</c:v>
                </c:pt>
                <c:pt idx="452">
                  <c:v>107.8131634819532</c:v>
                </c:pt>
                <c:pt idx="453">
                  <c:v>108.66242038216551</c:v>
                </c:pt>
                <c:pt idx="454">
                  <c:v>108.15286624203812</c:v>
                </c:pt>
                <c:pt idx="455">
                  <c:v>109.38428874734599</c:v>
                </c:pt>
                <c:pt idx="456">
                  <c:v>113.37579617834385</c:v>
                </c:pt>
                <c:pt idx="457">
                  <c:v>114.81953290870477</c:v>
                </c:pt>
                <c:pt idx="458">
                  <c:v>118.04670912951157</c:v>
                </c:pt>
                <c:pt idx="459">
                  <c:v>118.08917197452217</c:v>
                </c:pt>
                <c:pt idx="460">
                  <c:v>122.50530785562623</c:v>
                </c:pt>
                <c:pt idx="461">
                  <c:v>123.99150743099776</c:v>
                </c:pt>
                <c:pt idx="462">
                  <c:v>123.69426751592346</c:v>
                </c:pt>
                <c:pt idx="463">
                  <c:v>121.82590233545638</c:v>
                </c:pt>
                <c:pt idx="464">
                  <c:v>123.60934182590222</c:v>
                </c:pt>
                <c:pt idx="465">
                  <c:v>123.77919320594469</c:v>
                </c:pt>
                <c:pt idx="466">
                  <c:v>123.86411889596593</c:v>
                </c:pt>
                <c:pt idx="467">
                  <c:v>124.20382165605085</c:v>
                </c:pt>
                <c:pt idx="468">
                  <c:v>123.77919320594468</c:v>
                </c:pt>
                <c:pt idx="469">
                  <c:v>123.73673036093408</c:v>
                </c:pt>
                <c:pt idx="470">
                  <c:v>123.56687898089162</c:v>
                </c:pt>
                <c:pt idx="471">
                  <c:v>126.45435244161347</c:v>
                </c:pt>
                <c:pt idx="472">
                  <c:v>125.90233545647546</c:v>
                </c:pt>
                <c:pt idx="473">
                  <c:v>127.09129511677268</c:v>
                </c:pt>
                <c:pt idx="474">
                  <c:v>126.07218683651791</c:v>
                </c:pt>
                <c:pt idx="475">
                  <c:v>128.32271762208055</c:v>
                </c:pt>
                <c:pt idx="476">
                  <c:v>128.19532908704869</c:v>
                </c:pt>
                <c:pt idx="477">
                  <c:v>128.02547770700622</c:v>
                </c:pt>
                <c:pt idx="478">
                  <c:v>128.28025477706993</c:v>
                </c:pt>
                <c:pt idx="479">
                  <c:v>128.23779193205931</c:v>
                </c:pt>
                <c:pt idx="480">
                  <c:v>128.02547770700622</c:v>
                </c:pt>
                <c:pt idx="481">
                  <c:v>127.94055201698498</c:v>
                </c:pt>
                <c:pt idx="482">
                  <c:v>128.87473460721853</c:v>
                </c:pt>
                <c:pt idx="483">
                  <c:v>126.70912951167712</c:v>
                </c:pt>
                <c:pt idx="484">
                  <c:v>127.98301486199558</c:v>
                </c:pt>
                <c:pt idx="485">
                  <c:v>129.89384288747328</c:v>
                </c:pt>
                <c:pt idx="486">
                  <c:v>131.8895966029722</c:v>
                </c:pt>
                <c:pt idx="487">
                  <c:v>133.7579617834393</c:v>
                </c:pt>
                <c:pt idx="488">
                  <c:v>132.78131634819513</c:v>
                </c:pt>
                <c:pt idx="489">
                  <c:v>130.14861995753697</c:v>
                </c:pt>
                <c:pt idx="490">
                  <c:v>129.85138004246267</c:v>
                </c:pt>
                <c:pt idx="491">
                  <c:v>132.01698513800409</c:v>
                </c:pt>
                <c:pt idx="492">
                  <c:v>131.16772823779178</c:v>
                </c:pt>
                <c:pt idx="493">
                  <c:v>134.69214437367287</c:v>
                </c:pt>
                <c:pt idx="494">
                  <c:v>134.01273885350301</c:v>
                </c:pt>
                <c:pt idx="495">
                  <c:v>132.18683651804653</c:v>
                </c:pt>
                <c:pt idx="496">
                  <c:v>130.78556263269621</c:v>
                </c:pt>
                <c:pt idx="497">
                  <c:v>131.63481953290852</c:v>
                </c:pt>
                <c:pt idx="498">
                  <c:v>132.27176220806777</c:v>
                </c:pt>
                <c:pt idx="499">
                  <c:v>134.26751592356672</c:v>
                </c:pt>
                <c:pt idx="500">
                  <c:v>135.07430997876841</c:v>
                </c:pt>
                <c:pt idx="501">
                  <c:v>135.37154989384274</c:v>
                </c:pt>
                <c:pt idx="502">
                  <c:v>132.95116772823766</c:v>
                </c:pt>
                <c:pt idx="503">
                  <c:v>133.67303609341815</c:v>
                </c:pt>
                <c:pt idx="504">
                  <c:v>133.24840764331196</c:v>
                </c:pt>
                <c:pt idx="505">
                  <c:v>133.67303609341812</c:v>
                </c:pt>
                <c:pt idx="506">
                  <c:v>130.48832271762194</c:v>
                </c:pt>
                <c:pt idx="507">
                  <c:v>132.18683651804656</c:v>
                </c:pt>
                <c:pt idx="508">
                  <c:v>132.61146496815272</c:v>
                </c:pt>
                <c:pt idx="509">
                  <c:v>133.07855626326949</c:v>
                </c:pt>
                <c:pt idx="510">
                  <c:v>132.78131634819519</c:v>
                </c:pt>
                <c:pt idx="511">
                  <c:v>131.29511677282366</c:v>
                </c:pt>
                <c:pt idx="512">
                  <c:v>132.61146496815275</c:v>
                </c:pt>
                <c:pt idx="513">
                  <c:v>129.04458598726103</c:v>
                </c:pt>
                <c:pt idx="514">
                  <c:v>130.19108280254764</c:v>
                </c:pt>
                <c:pt idx="515">
                  <c:v>127.68577494692131</c:v>
                </c:pt>
                <c:pt idx="516">
                  <c:v>129.76645435244146</c:v>
                </c:pt>
                <c:pt idx="517">
                  <c:v>131.16772823779178</c:v>
                </c:pt>
                <c:pt idx="518">
                  <c:v>131.97452229299347</c:v>
                </c:pt>
                <c:pt idx="519">
                  <c:v>131.71974522292979</c:v>
                </c:pt>
                <c:pt idx="520">
                  <c:v>133.29087048832255</c:v>
                </c:pt>
                <c:pt idx="521">
                  <c:v>133.12101910828011</c:v>
                </c:pt>
                <c:pt idx="522">
                  <c:v>133.16348195329073</c:v>
                </c:pt>
                <c:pt idx="523">
                  <c:v>132.8662420382164</c:v>
                </c:pt>
                <c:pt idx="524">
                  <c:v>133.37579617834379</c:v>
                </c:pt>
                <c:pt idx="525">
                  <c:v>133.92781316348177</c:v>
                </c:pt>
                <c:pt idx="526">
                  <c:v>134.01273885350301</c:v>
                </c:pt>
                <c:pt idx="527">
                  <c:v>132.27176220806777</c:v>
                </c:pt>
                <c:pt idx="528">
                  <c:v>131.93205944798285</c:v>
                </c:pt>
                <c:pt idx="529">
                  <c:v>132.90870488322699</c:v>
                </c:pt>
                <c:pt idx="530">
                  <c:v>132.6963906581739</c:v>
                </c:pt>
                <c:pt idx="531">
                  <c:v>132.73885350318452</c:v>
                </c:pt>
                <c:pt idx="532">
                  <c:v>133.84288747346054</c:v>
                </c:pt>
                <c:pt idx="533">
                  <c:v>131.8895966029722</c:v>
                </c:pt>
                <c:pt idx="534">
                  <c:v>130.70063694267498</c:v>
                </c:pt>
                <c:pt idx="535">
                  <c:v>132.90870488322699</c:v>
                </c:pt>
                <c:pt idx="536">
                  <c:v>133.12101910828005</c:v>
                </c:pt>
                <c:pt idx="537">
                  <c:v>133.12101910828005</c:v>
                </c:pt>
                <c:pt idx="538">
                  <c:v>131.54989384288726</c:v>
                </c:pt>
                <c:pt idx="539">
                  <c:v>130.78556263269618</c:v>
                </c:pt>
                <c:pt idx="540">
                  <c:v>133.54564755838621</c:v>
                </c:pt>
                <c:pt idx="541">
                  <c:v>134.94692144373653</c:v>
                </c:pt>
                <c:pt idx="542">
                  <c:v>135.88110403397005</c:v>
                </c:pt>
                <c:pt idx="543">
                  <c:v>137.28237791932037</c:v>
                </c:pt>
                <c:pt idx="544">
                  <c:v>136.85774946921421</c:v>
                </c:pt>
                <c:pt idx="545">
                  <c:v>135.20169851380021</c:v>
                </c:pt>
                <c:pt idx="546">
                  <c:v>136.05095541401252</c:v>
                </c:pt>
                <c:pt idx="547">
                  <c:v>137.66454352441593</c:v>
                </c:pt>
                <c:pt idx="548">
                  <c:v>137.5796178343947</c:v>
                </c:pt>
                <c:pt idx="549">
                  <c:v>136.772823779193</c:v>
                </c:pt>
                <c:pt idx="550">
                  <c:v>137.36730360934163</c:v>
                </c:pt>
                <c:pt idx="551">
                  <c:v>135.83864118895946</c:v>
                </c:pt>
                <c:pt idx="552">
                  <c:v>135.49893842887454</c:v>
                </c:pt>
                <c:pt idx="553">
                  <c:v>135.37154989384268</c:v>
                </c:pt>
                <c:pt idx="554">
                  <c:v>136.81528662420359</c:v>
                </c:pt>
                <c:pt idx="555">
                  <c:v>137.11252653927789</c:v>
                </c:pt>
                <c:pt idx="556">
                  <c:v>137.83439490445838</c:v>
                </c:pt>
                <c:pt idx="557">
                  <c:v>138.21656050955391</c:v>
                </c:pt>
                <c:pt idx="558">
                  <c:v>139.8301486199573</c:v>
                </c:pt>
                <c:pt idx="559">
                  <c:v>142.84501061571103</c:v>
                </c:pt>
                <c:pt idx="560">
                  <c:v>141.78343949044563</c:v>
                </c:pt>
                <c:pt idx="561">
                  <c:v>141.52866242038192</c:v>
                </c:pt>
                <c:pt idx="562">
                  <c:v>141.91082802547749</c:v>
                </c:pt>
                <c:pt idx="563">
                  <c:v>142.37791932059426</c:v>
                </c:pt>
                <c:pt idx="564">
                  <c:v>142.29299363057302</c:v>
                </c:pt>
                <c:pt idx="565">
                  <c:v>142.97239915074289</c:v>
                </c:pt>
                <c:pt idx="566">
                  <c:v>142.67515923566856</c:v>
                </c:pt>
                <c:pt idx="567">
                  <c:v>143.43949044585963</c:v>
                </c:pt>
                <c:pt idx="568">
                  <c:v>145.69002123142226</c:v>
                </c:pt>
                <c:pt idx="569">
                  <c:v>145.52016985137982</c:v>
                </c:pt>
                <c:pt idx="570">
                  <c:v>143.14225053078533</c:v>
                </c:pt>
                <c:pt idx="571">
                  <c:v>143.90658174097641</c:v>
                </c:pt>
                <c:pt idx="572">
                  <c:v>143.77919320594455</c:v>
                </c:pt>
                <c:pt idx="573">
                  <c:v>145.18046709129487</c:v>
                </c:pt>
                <c:pt idx="574">
                  <c:v>144.88322717622057</c:v>
                </c:pt>
                <c:pt idx="575">
                  <c:v>144.7133757961781</c:v>
                </c:pt>
                <c:pt idx="576">
                  <c:v>145.30785562632673</c:v>
                </c:pt>
                <c:pt idx="577">
                  <c:v>144.50106157112504</c:v>
                </c:pt>
                <c:pt idx="578">
                  <c:v>142.50530785562611</c:v>
                </c:pt>
                <c:pt idx="579">
                  <c:v>144.24628450106133</c:v>
                </c:pt>
                <c:pt idx="580">
                  <c:v>140.33970276008469</c:v>
                </c:pt>
                <c:pt idx="581">
                  <c:v>142.67515923566859</c:v>
                </c:pt>
                <c:pt idx="582">
                  <c:v>144.03397027600829</c:v>
                </c:pt>
                <c:pt idx="583">
                  <c:v>146.75159235668769</c:v>
                </c:pt>
                <c:pt idx="584">
                  <c:v>145.52016985137985</c:v>
                </c:pt>
                <c:pt idx="585">
                  <c:v>144.1188959660295</c:v>
                </c:pt>
                <c:pt idx="586">
                  <c:v>142.67515923566859</c:v>
                </c:pt>
                <c:pt idx="587">
                  <c:v>143.86411889596582</c:v>
                </c:pt>
                <c:pt idx="588">
                  <c:v>146.70912951167702</c:v>
                </c:pt>
                <c:pt idx="589">
                  <c:v>146.83651804670885</c:v>
                </c:pt>
                <c:pt idx="590">
                  <c:v>146.41188959660269</c:v>
                </c:pt>
                <c:pt idx="591">
                  <c:v>144.54352441613563</c:v>
                </c:pt>
                <c:pt idx="592">
                  <c:v>147.17622080679379</c:v>
                </c:pt>
                <c:pt idx="593">
                  <c:v>147.6433121019106</c:v>
                </c:pt>
                <c:pt idx="594">
                  <c:v>148.91719745222906</c:v>
                </c:pt>
                <c:pt idx="595">
                  <c:v>148.36518046709105</c:v>
                </c:pt>
                <c:pt idx="596">
                  <c:v>147.38853503184691</c:v>
                </c:pt>
                <c:pt idx="597">
                  <c:v>147.30360934182568</c:v>
                </c:pt>
                <c:pt idx="598">
                  <c:v>147.98301486199554</c:v>
                </c:pt>
                <c:pt idx="599">
                  <c:v>148.87473460721847</c:v>
                </c:pt>
                <c:pt idx="600">
                  <c:v>148.95966029723971</c:v>
                </c:pt>
                <c:pt idx="601">
                  <c:v>148.45010615711232</c:v>
                </c:pt>
                <c:pt idx="602">
                  <c:v>149.4692144373671</c:v>
                </c:pt>
                <c:pt idx="603">
                  <c:v>149.7664543524414</c:v>
                </c:pt>
                <c:pt idx="604">
                  <c:v>149.42675159235645</c:v>
                </c:pt>
                <c:pt idx="605">
                  <c:v>148.49256900212291</c:v>
                </c:pt>
                <c:pt idx="606">
                  <c:v>148.704883227176</c:v>
                </c:pt>
                <c:pt idx="607">
                  <c:v>148.91719745222906</c:v>
                </c:pt>
                <c:pt idx="608">
                  <c:v>148.95966029723965</c:v>
                </c:pt>
                <c:pt idx="609">
                  <c:v>149.17197452229274</c:v>
                </c:pt>
                <c:pt idx="610">
                  <c:v>147.55838641188933</c:v>
                </c:pt>
                <c:pt idx="611">
                  <c:v>146.6666666666664</c:v>
                </c:pt>
                <c:pt idx="612">
                  <c:v>143.48195329087022</c:v>
                </c:pt>
                <c:pt idx="613">
                  <c:v>145.77494692144344</c:v>
                </c:pt>
                <c:pt idx="614">
                  <c:v>145.98726114649656</c:v>
                </c:pt>
                <c:pt idx="615">
                  <c:v>144.41613588110377</c:v>
                </c:pt>
                <c:pt idx="616">
                  <c:v>145.35031847133732</c:v>
                </c:pt>
                <c:pt idx="617">
                  <c:v>145.77494692144347</c:v>
                </c:pt>
                <c:pt idx="618">
                  <c:v>145.26539278131611</c:v>
                </c:pt>
                <c:pt idx="619">
                  <c:v>143.90658174097641</c:v>
                </c:pt>
                <c:pt idx="620">
                  <c:v>142.5477707006367</c:v>
                </c:pt>
                <c:pt idx="621">
                  <c:v>142.80254777070041</c:v>
                </c:pt>
                <c:pt idx="622">
                  <c:v>143.26963906581716</c:v>
                </c:pt>
                <c:pt idx="623">
                  <c:v>141.35881104033945</c:v>
                </c:pt>
                <c:pt idx="624">
                  <c:v>142.80254777070039</c:v>
                </c:pt>
                <c:pt idx="625">
                  <c:v>140.50955414012714</c:v>
                </c:pt>
                <c:pt idx="626">
                  <c:v>143.949044585987</c:v>
                </c:pt>
                <c:pt idx="627">
                  <c:v>144.2462845010613</c:v>
                </c:pt>
                <c:pt idx="628">
                  <c:v>143.01486199575345</c:v>
                </c:pt>
                <c:pt idx="629">
                  <c:v>143.73673036093393</c:v>
                </c:pt>
                <c:pt idx="630">
                  <c:v>142.25053078556238</c:v>
                </c:pt>
                <c:pt idx="631">
                  <c:v>140.84925690021205</c:v>
                </c:pt>
                <c:pt idx="632">
                  <c:v>137.57961783439464</c:v>
                </c:pt>
                <c:pt idx="633">
                  <c:v>138.55626326963881</c:v>
                </c:pt>
                <c:pt idx="634">
                  <c:v>140.4246284501059</c:v>
                </c:pt>
                <c:pt idx="635">
                  <c:v>140.33970276008466</c:v>
                </c:pt>
                <c:pt idx="636">
                  <c:v>141.82590233545622</c:v>
                </c:pt>
                <c:pt idx="637">
                  <c:v>141.86836518046684</c:v>
                </c:pt>
                <c:pt idx="638">
                  <c:v>141.14649681528638</c:v>
                </c:pt>
                <c:pt idx="639">
                  <c:v>141.52866242038189</c:v>
                </c:pt>
                <c:pt idx="640">
                  <c:v>142.92993630573221</c:v>
                </c:pt>
                <c:pt idx="641">
                  <c:v>141.99575371549867</c:v>
                </c:pt>
                <c:pt idx="642">
                  <c:v>141.52866242038189</c:v>
                </c:pt>
                <c:pt idx="643">
                  <c:v>142.42038216560485</c:v>
                </c:pt>
                <c:pt idx="644">
                  <c:v>142.80254777070041</c:v>
                </c:pt>
                <c:pt idx="645">
                  <c:v>143.31210191082781</c:v>
                </c:pt>
                <c:pt idx="646">
                  <c:v>142.59023354564735</c:v>
                </c:pt>
                <c:pt idx="647">
                  <c:v>142.33545647558367</c:v>
                </c:pt>
                <c:pt idx="648">
                  <c:v>142.29299363057305</c:v>
                </c:pt>
                <c:pt idx="649">
                  <c:v>143.14225053078539</c:v>
                </c:pt>
                <c:pt idx="650">
                  <c:v>143.9915074309977</c:v>
                </c:pt>
                <c:pt idx="651">
                  <c:v>144.96815286624187</c:v>
                </c:pt>
                <c:pt idx="652">
                  <c:v>144.67091295116754</c:v>
                </c:pt>
                <c:pt idx="653">
                  <c:v>143.01486199575351</c:v>
                </c:pt>
                <c:pt idx="654">
                  <c:v>143.22717622080657</c:v>
                </c:pt>
                <c:pt idx="655">
                  <c:v>141.61358811040319</c:v>
                </c:pt>
                <c:pt idx="656">
                  <c:v>142.37791932059426</c:v>
                </c:pt>
                <c:pt idx="657">
                  <c:v>143.39702760084904</c:v>
                </c:pt>
                <c:pt idx="658">
                  <c:v>143.73673036093396</c:v>
                </c:pt>
                <c:pt idx="659">
                  <c:v>143.39702760084904</c:v>
                </c:pt>
                <c:pt idx="660">
                  <c:v>142.7600849256898</c:v>
                </c:pt>
                <c:pt idx="661">
                  <c:v>143.86411889596582</c:v>
                </c:pt>
                <c:pt idx="662">
                  <c:v>143.90658174097643</c:v>
                </c:pt>
                <c:pt idx="663">
                  <c:v>143.8216560509552</c:v>
                </c:pt>
                <c:pt idx="664">
                  <c:v>144.16135881104015</c:v>
                </c:pt>
                <c:pt idx="665">
                  <c:v>144.58598726114627</c:v>
                </c:pt>
                <c:pt idx="666">
                  <c:v>144.62845010615692</c:v>
                </c:pt>
                <c:pt idx="667">
                  <c:v>144.58598726114627</c:v>
                </c:pt>
                <c:pt idx="668">
                  <c:v>142.12314225053058</c:v>
                </c:pt>
                <c:pt idx="669">
                  <c:v>141.74097664543507</c:v>
                </c:pt>
                <c:pt idx="670">
                  <c:v>141.44373673036077</c:v>
                </c:pt>
              </c:numCache>
            </c:numRef>
          </c:val>
          <c:smooth val="0"/>
          <c:extLst>
            <c:ext xmlns:c16="http://schemas.microsoft.com/office/drawing/2014/chart" uri="{C3380CC4-5D6E-409C-BE32-E72D297353CC}">
              <c16:uniqueId val="{00000001-749C-40F3-8E91-76B2076E7451}"/>
            </c:ext>
          </c:extLst>
        </c:ser>
        <c:ser>
          <c:idx val="4"/>
          <c:order val="2"/>
          <c:tx>
            <c:strRef>
              <c:f>Sheet1!$D$1</c:f>
              <c:strCache>
                <c:ptCount val="1"/>
                <c:pt idx="0">
                  <c:v>MOEX (ՌԴ)</c:v>
                </c:pt>
              </c:strCache>
            </c:strRef>
          </c:tx>
          <c:spPr>
            <a:ln w="28575" cap="rnd">
              <a:solidFill>
                <a:schemeClr val="accent2">
                  <a:lumMod val="75000"/>
                </a:schemeClr>
              </a:solidFill>
              <a:round/>
            </a:ln>
            <a:effectLst/>
          </c:spPr>
          <c:marker>
            <c:symbol val="none"/>
          </c:marker>
          <c:cat>
            <c:numRef>
              <c:f>Sheet1!$A$2:$A$672</c:f>
              <c:numCache>
                <c:formatCode>d\-mmm\-yy</c:formatCode>
                <c:ptCount val="671"/>
                <c:pt idx="0">
                  <c:v>43467</c:v>
                </c:pt>
                <c:pt idx="1">
                  <c:v>43468</c:v>
                </c:pt>
                <c:pt idx="2">
                  <c:v>43469</c:v>
                </c:pt>
                <c:pt idx="3">
                  <c:v>43472</c:v>
                </c:pt>
                <c:pt idx="4">
                  <c:v>43473</c:v>
                </c:pt>
                <c:pt idx="5">
                  <c:v>43474</c:v>
                </c:pt>
                <c:pt idx="6">
                  <c:v>43475</c:v>
                </c:pt>
                <c:pt idx="7">
                  <c:v>43476</c:v>
                </c:pt>
                <c:pt idx="8">
                  <c:v>43479</c:v>
                </c:pt>
                <c:pt idx="9">
                  <c:v>43480</c:v>
                </c:pt>
                <c:pt idx="10">
                  <c:v>43481</c:v>
                </c:pt>
                <c:pt idx="11">
                  <c:v>43482</c:v>
                </c:pt>
                <c:pt idx="12">
                  <c:v>43483</c:v>
                </c:pt>
                <c:pt idx="13">
                  <c:v>43487</c:v>
                </c:pt>
                <c:pt idx="14">
                  <c:v>43488</c:v>
                </c:pt>
                <c:pt idx="15">
                  <c:v>43489</c:v>
                </c:pt>
                <c:pt idx="16">
                  <c:v>43490</c:v>
                </c:pt>
                <c:pt idx="17">
                  <c:v>43493</c:v>
                </c:pt>
                <c:pt idx="18">
                  <c:v>43494</c:v>
                </c:pt>
                <c:pt idx="19">
                  <c:v>43495</c:v>
                </c:pt>
                <c:pt idx="20">
                  <c:v>43496</c:v>
                </c:pt>
                <c:pt idx="21">
                  <c:v>43497</c:v>
                </c:pt>
                <c:pt idx="22">
                  <c:v>43500</c:v>
                </c:pt>
                <c:pt idx="23">
                  <c:v>43501</c:v>
                </c:pt>
                <c:pt idx="24">
                  <c:v>43503</c:v>
                </c:pt>
                <c:pt idx="25">
                  <c:v>43504</c:v>
                </c:pt>
                <c:pt idx="26">
                  <c:v>43507</c:v>
                </c:pt>
                <c:pt idx="27">
                  <c:v>43508</c:v>
                </c:pt>
                <c:pt idx="28">
                  <c:v>43509</c:v>
                </c:pt>
                <c:pt idx="29">
                  <c:v>43510</c:v>
                </c:pt>
                <c:pt idx="30">
                  <c:v>43511</c:v>
                </c:pt>
                <c:pt idx="31">
                  <c:v>43515</c:v>
                </c:pt>
                <c:pt idx="32">
                  <c:v>43516</c:v>
                </c:pt>
                <c:pt idx="33">
                  <c:v>43517</c:v>
                </c:pt>
                <c:pt idx="34">
                  <c:v>43518</c:v>
                </c:pt>
                <c:pt idx="35">
                  <c:v>43521</c:v>
                </c:pt>
                <c:pt idx="36">
                  <c:v>43522</c:v>
                </c:pt>
                <c:pt idx="37">
                  <c:v>43523</c:v>
                </c:pt>
                <c:pt idx="38">
                  <c:v>43524</c:v>
                </c:pt>
                <c:pt idx="39">
                  <c:v>43525</c:v>
                </c:pt>
                <c:pt idx="40">
                  <c:v>43528</c:v>
                </c:pt>
                <c:pt idx="41">
                  <c:v>43529</c:v>
                </c:pt>
                <c:pt idx="42">
                  <c:v>43530</c:v>
                </c:pt>
                <c:pt idx="43">
                  <c:v>43531</c:v>
                </c:pt>
                <c:pt idx="44">
                  <c:v>43532</c:v>
                </c:pt>
                <c:pt idx="45">
                  <c:v>43535</c:v>
                </c:pt>
                <c:pt idx="46">
                  <c:v>43536</c:v>
                </c:pt>
                <c:pt idx="47">
                  <c:v>43537</c:v>
                </c:pt>
                <c:pt idx="48">
                  <c:v>43538</c:v>
                </c:pt>
                <c:pt idx="49">
                  <c:v>43539</c:v>
                </c:pt>
                <c:pt idx="50">
                  <c:v>43542</c:v>
                </c:pt>
                <c:pt idx="51">
                  <c:v>43543</c:v>
                </c:pt>
                <c:pt idx="52">
                  <c:v>43544</c:v>
                </c:pt>
                <c:pt idx="53">
                  <c:v>43545</c:v>
                </c:pt>
                <c:pt idx="54">
                  <c:v>43546</c:v>
                </c:pt>
                <c:pt idx="55">
                  <c:v>43549</c:v>
                </c:pt>
                <c:pt idx="56">
                  <c:v>43550</c:v>
                </c:pt>
                <c:pt idx="57">
                  <c:v>43551</c:v>
                </c:pt>
                <c:pt idx="58">
                  <c:v>43552</c:v>
                </c:pt>
                <c:pt idx="59">
                  <c:v>43553</c:v>
                </c:pt>
                <c:pt idx="60">
                  <c:v>43556</c:v>
                </c:pt>
                <c:pt idx="61">
                  <c:v>43557</c:v>
                </c:pt>
                <c:pt idx="62">
                  <c:v>43558</c:v>
                </c:pt>
                <c:pt idx="63">
                  <c:v>43559</c:v>
                </c:pt>
                <c:pt idx="64">
                  <c:v>43560</c:v>
                </c:pt>
                <c:pt idx="65">
                  <c:v>43563</c:v>
                </c:pt>
                <c:pt idx="66">
                  <c:v>43564</c:v>
                </c:pt>
                <c:pt idx="67">
                  <c:v>43565</c:v>
                </c:pt>
                <c:pt idx="68">
                  <c:v>43566</c:v>
                </c:pt>
                <c:pt idx="69">
                  <c:v>43567</c:v>
                </c:pt>
                <c:pt idx="70">
                  <c:v>43570</c:v>
                </c:pt>
                <c:pt idx="71">
                  <c:v>43571</c:v>
                </c:pt>
                <c:pt idx="72">
                  <c:v>43572</c:v>
                </c:pt>
                <c:pt idx="73">
                  <c:v>43573</c:v>
                </c:pt>
                <c:pt idx="74">
                  <c:v>43577</c:v>
                </c:pt>
                <c:pt idx="75">
                  <c:v>43578</c:v>
                </c:pt>
                <c:pt idx="76">
                  <c:v>43579</c:v>
                </c:pt>
                <c:pt idx="77">
                  <c:v>43580</c:v>
                </c:pt>
                <c:pt idx="78">
                  <c:v>43581</c:v>
                </c:pt>
                <c:pt idx="79">
                  <c:v>43584</c:v>
                </c:pt>
                <c:pt idx="80">
                  <c:v>43585</c:v>
                </c:pt>
                <c:pt idx="81">
                  <c:v>43586</c:v>
                </c:pt>
                <c:pt idx="82">
                  <c:v>43587</c:v>
                </c:pt>
                <c:pt idx="83">
                  <c:v>43588</c:v>
                </c:pt>
                <c:pt idx="84">
                  <c:v>43591</c:v>
                </c:pt>
                <c:pt idx="85">
                  <c:v>43592</c:v>
                </c:pt>
                <c:pt idx="86">
                  <c:v>43593</c:v>
                </c:pt>
                <c:pt idx="87">
                  <c:v>43594</c:v>
                </c:pt>
                <c:pt idx="88">
                  <c:v>43595</c:v>
                </c:pt>
                <c:pt idx="89">
                  <c:v>43598</c:v>
                </c:pt>
                <c:pt idx="90">
                  <c:v>43599</c:v>
                </c:pt>
                <c:pt idx="91">
                  <c:v>43600</c:v>
                </c:pt>
                <c:pt idx="92">
                  <c:v>43601</c:v>
                </c:pt>
                <c:pt idx="93">
                  <c:v>43602</c:v>
                </c:pt>
                <c:pt idx="94">
                  <c:v>43605</c:v>
                </c:pt>
                <c:pt idx="95">
                  <c:v>43606</c:v>
                </c:pt>
                <c:pt idx="96">
                  <c:v>43608</c:v>
                </c:pt>
                <c:pt idx="97">
                  <c:v>43609</c:v>
                </c:pt>
                <c:pt idx="98">
                  <c:v>43613</c:v>
                </c:pt>
                <c:pt idx="99">
                  <c:v>43614</c:v>
                </c:pt>
                <c:pt idx="100">
                  <c:v>43615</c:v>
                </c:pt>
                <c:pt idx="101">
                  <c:v>43616</c:v>
                </c:pt>
                <c:pt idx="102">
                  <c:v>43619</c:v>
                </c:pt>
                <c:pt idx="103">
                  <c:v>43620</c:v>
                </c:pt>
                <c:pt idx="104">
                  <c:v>43621</c:v>
                </c:pt>
                <c:pt idx="105">
                  <c:v>43622</c:v>
                </c:pt>
                <c:pt idx="106">
                  <c:v>43623</c:v>
                </c:pt>
                <c:pt idx="107">
                  <c:v>43626</c:v>
                </c:pt>
                <c:pt idx="108">
                  <c:v>43627</c:v>
                </c:pt>
                <c:pt idx="109">
                  <c:v>43628</c:v>
                </c:pt>
                <c:pt idx="110">
                  <c:v>43629</c:v>
                </c:pt>
                <c:pt idx="111">
                  <c:v>43630</c:v>
                </c:pt>
                <c:pt idx="112">
                  <c:v>43633</c:v>
                </c:pt>
                <c:pt idx="113">
                  <c:v>43634</c:v>
                </c:pt>
                <c:pt idx="114">
                  <c:v>43635</c:v>
                </c:pt>
                <c:pt idx="115">
                  <c:v>43636</c:v>
                </c:pt>
                <c:pt idx="116">
                  <c:v>43637</c:v>
                </c:pt>
                <c:pt idx="117">
                  <c:v>43640</c:v>
                </c:pt>
                <c:pt idx="118">
                  <c:v>43641</c:v>
                </c:pt>
                <c:pt idx="119">
                  <c:v>43642</c:v>
                </c:pt>
                <c:pt idx="120">
                  <c:v>43643</c:v>
                </c:pt>
                <c:pt idx="121">
                  <c:v>43644</c:v>
                </c:pt>
                <c:pt idx="122">
                  <c:v>43647</c:v>
                </c:pt>
                <c:pt idx="123">
                  <c:v>43648</c:v>
                </c:pt>
                <c:pt idx="124">
                  <c:v>43649</c:v>
                </c:pt>
                <c:pt idx="125">
                  <c:v>43651</c:v>
                </c:pt>
                <c:pt idx="126">
                  <c:v>43654</c:v>
                </c:pt>
                <c:pt idx="127">
                  <c:v>43655</c:v>
                </c:pt>
                <c:pt idx="128">
                  <c:v>43656</c:v>
                </c:pt>
                <c:pt idx="129">
                  <c:v>43657</c:v>
                </c:pt>
                <c:pt idx="130">
                  <c:v>43658</c:v>
                </c:pt>
                <c:pt idx="131">
                  <c:v>43661</c:v>
                </c:pt>
                <c:pt idx="132">
                  <c:v>43662</c:v>
                </c:pt>
                <c:pt idx="133">
                  <c:v>43663</c:v>
                </c:pt>
                <c:pt idx="134">
                  <c:v>43665</c:v>
                </c:pt>
                <c:pt idx="135">
                  <c:v>43668</c:v>
                </c:pt>
                <c:pt idx="136">
                  <c:v>43669</c:v>
                </c:pt>
                <c:pt idx="137">
                  <c:v>43670</c:v>
                </c:pt>
                <c:pt idx="138">
                  <c:v>43671</c:v>
                </c:pt>
                <c:pt idx="139">
                  <c:v>43672</c:v>
                </c:pt>
                <c:pt idx="140">
                  <c:v>43675</c:v>
                </c:pt>
                <c:pt idx="141">
                  <c:v>43676</c:v>
                </c:pt>
                <c:pt idx="142">
                  <c:v>43677</c:v>
                </c:pt>
                <c:pt idx="143">
                  <c:v>43678</c:v>
                </c:pt>
                <c:pt idx="144">
                  <c:v>43679</c:v>
                </c:pt>
                <c:pt idx="145">
                  <c:v>43682</c:v>
                </c:pt>
                <c:pt idx="146">
                  <c:v>43683</c:v>
                </c:pt>
                <c:pt idx="147">
                  <c:v>43684</c:v>
                </c:pt>
                <c:pt idx="148">
                  <c:v>43685</c:v>
                </c:pt>
                <c:pt idx="149">
                  <c:v>43686</c:v>
                </c:pt>
                <c:pt idx="150">
                  <c:v>43689</c:v>
                </c:pt>
                <c:pt idx="151">
                  <c:v>43690</c:v>
                </c:pt>
                <c:pt idx="152">
                  <c:v>43691</c:v>
                </c:pt>
                <c:pt idx="153">
                  <c:v>43692</c:v>
                </c:pt>
                <c:pt idx="154">
                  <c:v>43693</c:v>
                </c:pt>
                <c:pt idx="155">
                  <c:v>43696</c:v>
                </c:pt>
                <c:pt idx="156">
                  <c:v>43697</c:v>
                </c:pt>
                <c:pt idx="157">
                  <c:v>43698</c:v>
                </c:pt>
                <c:pt idx="158">
                  <c:v>43699</c:v>
                </c:pt>
                <c:pt idx="159">
                  <c:v>43700</c:v>
                </c:pt>
                <c:pt idx="160">
                  <c:v>43703</c:v>
                </c:pt>
                <c:pt idx="161">
                  <c:v>43704</c:v>
                </c:pt>
                <c:pt idx="162">
                  <c:v>43705</c:v>
                </c:pt>
                <c:pt idx="163">
                  <c:v>43706</c:v>
                </c:pt>
                <c:pt idx="164">
                  <c:v>43707</c:v>
                </c:pt>
                <c:pt idx="165">
                  <c:v>43711</c:v>
                </c:pt>
                <c:pt idx="166">
                  <c:v>43712</c:v>
                </c:pt>
                <c:pt idx="167">
                  <c:v>43713</c:v>
                </c:pt>
                <c:pt idx="168">
                  <c:v>43717</c:v>
                </c:pt>
                <c:pt idx="169">
                  <c:v>43718</c:v>
                </c:pt>
                <c:pt idx="170">
                  <c:v>43719</c:v>
                </c:pt>
                <c:pt idx="171">
                  <c:v>43720</c:v>
                </c:pt>
                <c:pt idx="172">
                  <c:v>43721</c:v>
                </c:pt>
                <c:pt idx="173">
                  <c:v>43724</c:v>
                </c:pt>
                <c:pt idx="174">
                  <c:v>43725</c:v>
                </c:pt>
                <c:pt idx="175">
                  <c:v>43726</c:v>
                </c:pt>
                <c:pt idx="176">
                  <c:v>43727</c:v>
                </c:pt>
                <c:pt idx="177">
                  <c:v>43731</c:v>
                </c:pt>
                <c:pt idx="178">
                  <c:v>43732</c:v>
                </c:pt>
                <c:pt idx="179">
                  <c:v>43733</c:v>
                </c:pt>
                <c:pt idx="180">
                  <c:v>43734</c:v>
                </c:pt>
                <c:pt idx="181">
                  <c:v>43735</c:v>
                </c:pt>
                <c:pt idx="182">
                  <c:v>43738</c:v>
                </c:pt>
                <c:pt idx="183">
                  <c:v>43739</c:v>
                </c:pt>
                <c:pt idx="184">
                  <c:v>43740</c:v>
                </c:pt>
                <c:pt idx="185">
                  <c:v>43741</c:v>
                </c:pt>
                <c:pt idx="186">
                  <c:v>43742</c:v>
                </c:pt>
                <c:pt idx="187">
                  <c:v>43745</c:v>
                </c:pt>
                <c:pt idx="188">
                  <c:v>43746</c:v>
                </c:pt>
                <c:pt idx="189">
                  <c:v>43747</c:v>
                </c:pt>
                <c:pt idx="190">
                  <c:v>43748</c:v>
                </c:pt>
                <c:pt idx="191">
                  <c:v>43749</c:v>
                </c:pt>
                <c:pt idx="192">
                  <c:v>43752</c:v>
                </c:pt>
                <c:pt idx="193">
                  <c:v>43753</c:v>
                </c:pt>
                <c:pt idx="194">
                  <c:v>43754</c:v>
                </c:pt>
                <c:pt idx="195">
                  <c:v>43755</c:v>
                </c:pt>
                <c:pt idx="196">
                  <c:v>43756</c:v>
                </c:pt>
                <c:pt idx="197">
                  <c:v>43759</c:v>
                </c:pt>
                <c:pt idx="198">
                  <c:v>43760</c:v>
                </c:pt>
                <c:pt idx="199">
                  <c:v>43761</c:v>
                </c:pt>
                <c:pt idx="200">
                  <c:v>43762</c:v>
                </c:pt>
                <c:pt idx="201">
                  <c:v>43766</c:v>
                </c:pt>
                <c:pt idx="202">
                  <c:v>43767</c:v>
                </c:pt>
                <c:pt idx="203">
                  <c:v>43768</c:v>
                </c:pt>
                <c:pt idx="204">
                  <c:v>43770</c:v>
                </c:pt>
                <c:pt idx="205">
                  <c:v>43773</c:v>
                </c:pt>
                <c:pt idx="206">
                  <c:v>43774</c:v>
                </c:pt>
                <c:pt idx="207">
                  <c:v>43775</c:v>
                </c:pt>
                <c:pt idx="208">
                  <c:v>43776</c:v>
                </c:pt>
                <c:pt idx="209">
                  <c:v>43777</c:v>
                </c:pt>
                <c:pt idx="210">
                  <c:v>43780</c:v>
                </c:pt>
                <c:pt idx="211">
                  <c:v>43781</c:v>
                </c:pt>
                <c:pt idx="212">
                  <c:v>43782</c:v>
                </c:pt>
                <c:pt idx="213">
                  <c:v>43783</c:v>
                </c:pt>
                <c:pt idx="214">
                  <c:v>43784</c:v>
                </c:pt>
                <c:pt idx="215">
                  <c:v>43787</c:v>
                </c:pt>
                <c:pt idx="216">
                  <c:v>43788</c:v>
                </c:pt>
                <c:pt idx="217">
                  <c:v>43789</c:v>
                </c:pt>
                <c:pt idx="218">
                  <c:v>43790</c:v>
                </c:pt>
                <c:pt idx="219">
                  <c:v>43791</c:v>
                </c:pt>
                <c:pt idx="220">
                  <c:v>43794</c:v>
                </c:pt>
                <c:pt idx="221">
                  <c:v>43795</c:v>
                </c:pt>
                <c:pt idx="222">
                  <c:v>43796</c:v>
                </c:pt>
                <c:pt idx="223">
                  <c:v>43798</c:v>
                </c:pt>
                <c:pt idx="224">
                  <c:v>43801</c:v>
                </c:pt>
                <c:pt idx="225">
                  <c:v>43802</c:v>
                </c:pt>
                <c:pt idx="226">
                  <c:v>43803</c:v>
                </c:pt>
                <c:pt idx="227">
                  <c:v>43804</c:v>
                </c:pt>
                <c:pt idx="228">
                  <c:v>43805</c:v>
                </c:pt>
                <c:pt idx="229">
                  <c:v>43808</c:v>
                </c:pt>
                <c:pt idx="230">
                  <c:v>43809</c:v>
                </c:pt>
                <c:pt idx="231">
                  <c:v>43810</c:v>
                </c:pt>
                <c:pt idx="232">
                  <c:v>43811</c:v>
                </c:pt>
                <c:pt idx="233">
                  <c:v>43812</c:v>
                </c:pt>
                <c:pt idx="234">
                  <c:v>43815</c:v>
                </c:pt>
                <c:pt idx="235">
                  <c:v>43816</c:v>
                </c:pt>
                <c:pt idx="236">
                  <c:v>43817</c:v>
                </c:pt>
                <c:pt idx="237">
                  <c:v>43818</c:v>
                </c:pt>
                <c:pt idx="238">
                  <c:v>43819</c:v>
                </c:pt>
                <c:pt idx="239">
                  <c:v>43822</c:v>
                </c:pt>
                <c:pt idx="240">
                  <c:v>43825</c:v>
                </c:pt>
                <c:pt idx="241">
                  <c:v>43826</c:v>
                </c:pt>
                <c:pt idx="242">
                  <c:v>43829</c:v>
                </c:pt>
                <c:pt idx="243">
                  <c:v>43830</c:v>
                </c:pt>
                <c:pt idx="244">
                  <c:v>43832</c:v>
                </c:pt>
                <c:pt idx="245">
                  <c:v>43833</c:v>
                </c:pt>
                <c:pt idx="246">
                  <c:v>43836</c:v>
                </c:pt>
                <c:pt idx="247">
                  <c:v>43837</c:v>
                </c:pt>
                <c:pt idx="248">
                  <c:v>43838</c:v>
                </c:pt>
                <c:pt idx="249">
                  <c:v>43839</c:v>
                </c:pt>
                <c:pt idx="250">
                  <c:v>43840</c:v>
                </c:pt>
                <c:pt idx="251">
                  <c:v>43843</c:v>
                </c:pt>
                <c:pt idx="252">
                  <c:v>43844</c:v>
                </c:pt>
                <c:pt idx="253">
                  <c:v>43845</c:v>
                </c:pt>
                <c:pt idx="254">
                  <c:v>43846</c:v>
                </c:pt>
                <c:pt idx="255">
                  <c:v>43847</c:v>
                </c:pt>
                <c:pt idx="256">
                  <c:v>43851</c:v>
                </c:pt>
                <c:pt idx="257">
                  <c:v>43852</c:v>
                </c:pt>
                <c:pt idx="258">
                  <c:v>43853</c:v>
                </c:pt>
                <c:pt idx="259">
                  <c:v>43854</c:v>
                </c:pt>
                <c:pt idx="260">
                  <c:v>43857</c:v>
                </c:pt>
                <c:pt idx="261">
                  <c:v>43858</c:v>
                </c:pt>
                <c:pt idx="262">
                  <c:v>43859</c:v>
                </c:pt>
                <c:pt idx="263">
                  <c:v>43860</c:v>
                </c:pt>
                <c:pt idx="264">
                  <c:v>43861</c:v>
                </c:pt>
                <c:pt idx="265">
                  <c:v>43864</c:v>
                </c:pt>
                <c:pt idx="266">
                  <c:v>43865</c:v>
                </c:pt>
                <c:pt idx="267">
                  <c:v>43866</c:v>
                </c:pt>
                <c:pt idx="268">
                  <c:v>43867</c:v>
                </c:pt>
                <c:pt idx="269">
                  <c:v>43868</c:v>
                </c:pt>
                <c:pt idx="270">
                  <c:v>43871</c:v>
                </c:pt>
                <c:pt idx="271">
                  <c:v>43872</c:v>
                </c:pt>
                <c:pt idx="272">
                  <c:v>43873</c:v>
                </c:pt>
                <c:pt idx="273">
                  <c:v>43874</c:v>
                </c:pt>
                <c:pt idx="274">
                  <c:v>43875</c:v>
                </c:pt>
                <c:pt idx="275">
                  <c:v>43879</c:v>
                </c:pt>
                <c:pt idx="276">
                  <c:v>43880</c:v>
                </c:pt>
                <c:pt idx="277">
                  <c:v>43881</c:v>
                </c:pt>
                <c:pt idx="278">
                  <c:v>43882</c:v>
                </c:pt>
                <c:pt idx="279">
                  <c:v>43885</c:v>
                </c:pt>
                <c:pt idx="280">
                  <c:v>43886</c:v>
                </c:pt>
                <c:pt idx="281">
                  <c:v>43887</c:v>
                </c:pt>
                <c:pt idx="282">
                  <c:v>43888</c:v>
                </c:pt>
                <c:pt idx="283">
                  <c:v>43889</c:v>
                </c:pt>
                <c:pt idx="284">
                  <c:v>43892</c:v>
                </c:pt>
                <c:pt idx="285">
                  <c:v>43893</c:v>
                </c:pt>
                <c:pt idx="286">
                  <c:v>43894</c:v>
                </c:pt>
                <c:pt idx="287">
                  <c:v>43895</c:v>
                </c:pt>
                <c:pt idx="288">
                  <c:v>43896</c:v>
                </c:pt>
                <c:pt idx="289">
                  <c:v>43899</c:v>
                </c:pt>
                <c:pt idx="290">
                  <c:v>43900</c:v>
                </c:pt>
                <c:pt idx="291">
                  <c:v>43901</c:v>
                </c:pt>
                <c:pt idx="292">
                  <c:v>43902</c:v>
                </c:pt>
                <c:pt idx="293">
                  <c:v>43903</c:v>
                </c:pt>
                <c:pt idx="294">
                  <c:v>43906</c:v>
                </c:pt>
                <c:pt idx="295">
                  <c:v>43907</c:v>
                </c:pt>
                <c:pt idx="296">
                  <c:v>43908</c:v>
                </c:pt>
                <c:pt idx="297">
                  <c:v>43909</c:v>
                </c:pt>
                <c:pt idx="298">
                  <c:v>43910</c:v>
                </c:pt>
                <c:pt idx="299">
                  <c:v>43913</c:v>
                </c:pt>
                <c:pt idx="300">
                  <c:v>43914</c:v>
                </c:pt>
                <c:pt idx="301">
                  <c:v>43915</c:v>
                </c:pt>
                <c:pt idx="302">
                  <c:v>43916</c:v>
                </c:pt>
                <c:pt idx="303">
                  <c:v>43917</c:v>
                </c:pt>
                <c:pt idx="304">
                  <c:v>43920</c:v>
                </c:pt>
                <c:pt idx="305">
                  <c:v>43921</c:v>
                </c:pt>
                <c:pt idx="306">
                  <c:v>43922</c:v>
                </c:pt>
                <c:pt idx="307">
                  <c:v>43923</c:v>
                </c:pt>
                <c:pt idx="308">
                  <c:v>43924</c:v>
                </c:pt>
                <c:pt idx="309">
                  <c:v>43927</c:v>
                </c:pt>
                <c:pt idx="310">
                  <c:v>43928</c:v>
                </c:pt>
                <c:pt idx="311">
                  <c:v>43929</c:v>
                </c:pt>
                <c:pt idx="312">
                  <c:v>43930</c:v>
                </c:pt>
                <c:pt idx="313">
                  <c:v>43934</c:v>
                </c:pt>
                <c:pt idx="314">
                  <c:v>43935</c:v>
                </c:pt>
                <c:pt idx="315">
                  <c:v>43936</c:v>
                </c:pt>
                <c:pt idx="316">
                  <c:v>43937</c:v>
                </c:pt>
                <c:pt idx="317">
                  <c:v>43938</c:v>
                </c:pt>
                <c:pt idx="318">
                  <c:v>43941</c:v>
                </c:pt>
                <c:pt idx="319">
                  <c:v>43942</c:v>
                </c:pt>
                <c:pt idx="320">
                  <c:v>43943</c:v>
                </c:pt>
                <c:pt idx="321">
                  <c:v>43944</c:v>
                </c:pt>
                <c:pt idx="322">
                  <c:v>43945</c:v>
                </c:pt>
                <c:pt idx="323">
                  <c:v>43948</c:v>
                </c:pt>
                <c:pt idx="324">
                  <c:v>43949</c:v>
                </c:pt>
                <c:pt idx="325">
                  <c:v>43950</c:v>
                </c:pt>
                <c:pt idx="326">
                  <c:v>43951</c:v>
                </c:pt>
                <c:pt idx="327">
                  <c:v>43952</c:v>
                </c:pt>
                <c:pt idx="328">
                  <c:v>43955</c:v>
                </c:pt>
                <c:pt idx="329">
                  <c:v>43956</c:v>
                </c:pt>
                <c:pt idx="330">
                  <c:v>43957</c:v>
                </c:pt>
                <c:pt idx="331">
                  <c:v>43958</c:v>
                </c:pt>
                <c:pt idx="332">
                  <c:v>43959</c:v>
                </c:pt>
                <c:pt idx="333">
                  <c:v>43962</c:v>
                </c:pt>
                <c:pt idx="334">
                  <c:v>43963</c:v>
                </c:pt>
                <c:pt idx="335">
                  <c:v>43964</c:v>
                </c:pt>
                <c:pt idx="336">
                  <c:v>43965</c:v>
                </c:pt>
                <c:pt idx="337">
                  <c:v>43966</c:v>
                </c:pt>
                <c:pt idx="338">
                  <c:v>43969</c:v>
                </c:pt>
                <c:pt idx="339">
                  <c:v>43970</c:v>
                </c:pt>
                <c:pt idx="340">
                  <c:v>43971</c:v>
                </c:pt>
                <c:pt idx="341">
                  <c:v>43972</c:v>
                </c:pt>
                <c:pt idx="342">
                  <c:v>43973</c:v>
                </c:pt>
                <c:pt idx="343">
                  <c:v>43977</c:v>
                </c:pt>
                <c:pt idx="344">
                  <c:v>43978</c:v>
                </c:pt>
                <c:pt idx="345">
                  <c:v>43979</c:v>
                </c:pt>
                <c:pt idx="346">
                  <c:v>43980</c:v>
                </c:pt>
                <c:pt idx="347">
                  <c:v>43983</c:v>
                </c:pt>
                <c:pt idx="348">
                  <c:v>43984</c:v>
                </c:pt>
                <c:pt idx="349">
                  <c:v>43985</c:v>
                </c:pt>
                <c:pt idx="350">
                  <c:v>43986</c:v>
                </c:pt>
                <c:pt idx="351">
                  <c:v>43987</c:v>
                </c:pt>
                <c:pt idx="352">
                  <c:v>43990</c:v>
                </c:pt>
                <c:pt idx="353">
                  <c:v>43991</c:v>
                </c:pt>
                <c:pt idx="354">
                  <c:v>43992</c:v>
                </c:pt>
                <c:pt idx="355">
                  <c:v>43993</c:v>
                </c:pt>
                <c:pt idx="356">
                  <c:v>43994</c:v>
                </c:pt>
                <c:pt idx="357">
                  <c:v>43997</c:v>
                </c:pt>
                <c:pt idx="358">
                  <c:v>43998</c:v>
                </c:pt>
                <c:pt idx="359">
                  <c:v>43999</c:v>
                </c:pt>
                <c:pt idx="360">
                  <c:v>44000</c:v>
                </c:pt>
                <c:pt idx="361">
                  <c:v>44001</c:v>
                </c:pt>
                <c:pt idx="362">
                  <c:v>44004</c:v>
                </c:pt>
                <c:pt idx="363">
                  <c:v>44005</c:v>
                </c:pt>
                <c:pt idx="364">
                  <c:v>44006</c:v>
                </c:pt>
                <c:pt idx="365">
                  <c:v>44007</c:v>
                </c:pt>
                <c:pt idx="366">
                  <c:v>44008</c:v>
                </c:pt>
                <c:pt idx="367">
                  <c:v>44011</c:v>
                </c:pt>
                <c:pt idx="368">
                  <c:v>44012</c:v>
                </c:pt>
                <c:pt idx="369">
                  <c:v>44013</c:v>
                </c:pt>
                <c:pt idx="370">
                  <c:v>44014</c:v>
                </c:pt>
                <c:pt idx="371">
                  <c:v>44018</c:v>
                </c:pt>
                <c:pt idx="372">
                  <c:v>44019</c:v>
                </c:pt>
                <c:pt idx="373">
                  <c:v>44020</c:v>
                </c:pt>
                <c:pt idx="374">
                  <c:v>44021</c:v>
                </c:pt>
                <c:pt idx="375">
                  <c:v>44022</c:v>
                </c:pt>
                <c:pt idx="376">
                  <c:v>44025</c:v>
                </c:pt>
                <c:pt idx="377">
                  <c:v>44026</c:v>
                </c:pt>
                <c:pt idx="378">
                  <c:v>44027</c:v>
                </c:pt>
                <c:pt idx="379">
                  <c:v>44028</c:v>
                </c:pt>
                <c:pt idx="380">
                  <c:v>44029</c:v>
                </c:pt>
                <c:pt idx="381">
                  <c:v>44032</c:v>
                </c:pt>
                <c:pt idx="382">
                  <c:v>44033</c:v>
                </c:pt>
                <c:pt idx="383">
                  <c:v>44034</c:v>
                </c:pt>
                <c:pt idx="384">
                  <c:v>44035</c:v>
                </c:pt>
                <c:pt idx="385">
                  <c:v>44036</c:v>
                </c:pt>
                <c:pt idx="386">
                  <c:v>44039</c:v>
                </c:pt>
                <c:pt idx="387">
                  <c:v>44040</c:v>
                </c:pt>
                <c:pt idx="388">
                  <c:v>44041</c:v>
                </c:pt>
                <c:pt idx="389">
                  <c:v>44042</c:v>
                </c:pt>
                <c:pt idx="390">
                  <c:v>44043</c:v>
                </c:pt>
                <c:pt idx="391">
                  <c:v>44046</c:v>
                </c:pt>
                <c:pt idx="392">
                  <c:v>44047</c:v>
                </c:pt>
                <c:pt idx="393">
                  <c:v>44048</c:v>
                </c:pt>
                <c:pt idx="394">
                  <c:v>44049</c:v>
                </c:pt>
                <c:pt idx="395">
                  <c:v>44050</c:v>
                </c:pt>
                <c:pt idx="396">
                  <c:v>44053</c:v>
                </c:pt>
                <c:pt idx="397">
                  <c:v>44054</c:v>
                </c:pt>
                <c:pt idx="398">
                  <c:v>44055</c:v>
                </c:pt>
                <c:pt idx="399">
                  <c:v>44056</c:v>
                </c:pt>
                <c:pt idx="400">
                  <c:v>44057</c:v>
                </c:pt>
                <c:pt idx="401">
                  <c:v>44060</c:v>
                </c:pt>
                <c:pt idx="402">
                  <c:v>44061</c:v>
                </c:pt>
                <c:pt idx="403">
                  <c:v>44062</c:v>
                </c:pt>
                <c:pt idx="404">
                  <c:v>44063</c:v>
                </c:pt>
                <c:pt idx="405">
                  <c:v>44064</c:v>
                </c:pt>
                <c:pt idx="406">
                  <c:v>44067</c:v>
                </c:pt>
                <c:pt idx="407">
                  <c:v>44068</c:v>
                </c:pt>
                <c:pt idx="408">
                  <c:v>44069</c:v>
                </c:pt>
                <c:pt idx="409">
                  <c:v>44070</c:v>
                </c:pt>
                <c:pt idx="410">
                  <c:v>44071</c:v>
                </c:pt>
                <c:pt idx="411">
                  <c:v>44074</c:v>
                </c:pt>
                <c:pt idx="412">
                  <c:v>44075</c:v>
                </c:pt>
                <c:pt idx="413">
                  <c:v>44076</c:v>
                </c:pt>
                <c:pt idx="414">
                  <c:v>44077</c:v>
                </c:pt>
                <c:pt idx="415">
                  <c:v>44078</c:v>
                </c:pt>
                <c:pt idx="416">
                  <c:v>44082</c:v>
                </c:pt>
                <c:pt idx="417">
                  <c:v>44083</c:v>
                </c:pt>
                <c:pt idx="418">
                  <c:v>44084</c:v>
                </c:pt>
                <c:pt idx="419">
                  <c:v>44085</c:v>
                </c:pt>
                <c:pt idx="420">
                  <c:v>44088</c:v>
                </c:pt>
                <c:pt idx="421">
                  <c:v>44089</c:v>
                </c:pt>
                <c:pt idx="422">
                  <c:v>44090</c:v>
                </c:pt>
                <c:pt idx="423">
                  <c:v>44091</c:v>
                </c:pt>
                <c:pt idx="424">
                  <c:v>44092</c:v>
                </c:pt>
                <c:pt idx="425">
                  <c:v>44095</c:v>
                </c:pt>
                <c:pt idx="426">
                  <c:v>44096</c:v>
                </c:pt>
                <c:pt idx="427">
                  <c:v>44097</c:v>
                </c:pt>
                <c:pt idx="428">
                  <c:v>44098</c:v>
                </c:pt>
                <c:pt idx="429">
                  <c:v>44099</c:v>
                </c:pt>
                <c:pt idx="430">
                  <c:v>44102</c:v>
                </c:pt>
                <c:pt idx="431">
                  <c:v>44103</c:v>
                </c:pt>
                <c:pt idx="432">
                  <c:v>44104</c:v>
                </c:pt>
                <c:pt idx="433">
                  <c:v>44105</c:v>
                </c:pt>
                <c:pt idx="434">
                  <c:v>44106</c:v>
                </c:pt>
                <c:pt idx="435">
                  <c:v>44109</c:v>
                </c:pt>
                <c:pt idx="436">
                  <c:v>44110</c:v>
                </c:pt>
                <c:pt idx="437">
                  <c:v>44111</c:v>
                </c:pt>
                <c:pt idx="438">
                  <c:v>44112</c:v>
                </c:pt>
                <c:pt idx="439">
                  <c:v>44113</c:v>
                </c:pt>
                <c:pt idx="440">
                  <c:v>44116</c:v>
                </c:pt>
                <c:pt idx="441">
                  <c:v>44117</c:v>
                </c:pt>
                <c:pt idx="442">
                  <c:v>44118</c:v>
                </c:pt>
                <c:pt idx="443">
                  <c:v>44119</c:v>
                </c:pt>
                <c:pt idx="444">
                  <c:v>44120</c:v>
                </c:pt>
                <c:pt idx="445">
                  <c:v>44123</c:v>
                </c:pt>
                <c:pt idx="446">
                  <c:v>44124</c:v>
                </c:pt>
                <c:pt idx="447">
                  <c:v>44125</c:v>
                </c:pt>
                <c:pt idx="448">
                  <c:v>44126</c:v>
                </c:pt>
                <c:pt idx="449">
                  <c:v>44127</c:v>
                </c:pt>
                <c:pt idx="450">
                  <c:v>44130</c:v>
                </c:pt>
                <c:pt idx="451">
                  <c:v>44131</c:v>
                </c:pt>
                <c:pt idx="452">
                  <c:v>44132</c:v>
                </c:pt>
                <c:pt idx="453">
                  <c:v>44133</c:v>
                </c:pt>
                <c:pt idx="454">
                  <c:v>44134</c:v>
                </c:pt>
                <c:pt idx="455">
                  <c:v>44137</c:v>
                </c:pt>
                <c:pt idx="456">
                  <c:v>44138</c:v>
                </c:pt>
                <c:pt idx="457">
                  <c:v>44139</c:v>
                </c:pt>
                <c:pt idx="458">
                  <c:v>44140</c:v>
                </c:pt>
                <c:pt idx="459">
                  <c:v>44141</c:v>
                </c:pt>
                <c:pt idx="460">
                  <c:v>44144</c:v>
                </c:pt>
                <c:pt idx="461">
                  <c:v>44145</c:v>
                </c:pt>
                <c:pt idx="462">
                  <c:v>44146</c:v>
                </c:pt>
                <c:pt idx="463">
                  <c:v>44147</c:v>
                </c:pt>
                <c:pt idx="464">
                  <c:v>44148</c:v>
                </c:pt>
                <c:pt idx="465">
                  <c:v>44151</c:v>
                </c:pt>
                <c:pt idx="466">
                  <c:v>44152</c:v>
                </c:pt>
                <c:pt idx="467">
                  <c:v>44153</c:v>
                </c:pt>
                <c:pt idx="468">
                  <c:v>44154</c:v>
                </c:pt>
                <c:pt idx="469">
                  <c:v>44155</c:v>
                </c:pt>
                <c:pt idx="470">
                  <c:v>44158</c:v>
                </c:pt>
                <c:pt idx="471">
                  <c:v>44159</c:v>
                </c:pt>
                <c:pt idx="472">
                  <c:v>44160</c:v>
                </c:pt>
                <c:pt idx="473">
                  <c:v>44162</c:v>
                </c:pt>
                <c:pt idx="474">
                  <c:v>44165</c:v>
                </c:pt>
                <c:pt idx="475">
                  <c:v>44166</c:v>
                </c:pt>
                <c:pt idx="476">
                  <c:v>44167</c:v>
                </c:pt>
                <c:pt idx="477">
                  <c:v>44168</c:v>
                </c:pt>
                <c:pt idx="478">
                  <c:v>44169</c:v>
                </c:pt>
                <c:pt idx="479">
                  <c:v>44172</c:v>
                </c:pt>
                <c:pt idx="480">
                  <c:v>44173</c:v>
                </c:pt>
                <c:pt idx="481">
                  <c:v>44174</c:v>
                </c:pt>
                <c:pt idx="482">
                  <c:v>44175</c:v>
                </c:pt>
                <c:pt idx="483">
                  <c:v>44176</c:v>
                </c:pt>
                <c:pt idx="484">
                  <c:v>44179</c:v>
                </c:pt>
                <c:pt idx="485">
                  <c:v>44180</c:v>
                </c:pt>
                <c:pt idx="486">
                  <c:v>44181</c:v>
                </c:pt>
                <c:pt idx="487">
                  <c:v>44182</c:v>
                </c:pt>
                <c:pt idx="488">
                  <c:v>44183</c:v>
                </c:pt>
                <c:pt idx="489">
                  <c:v>44186</c:v>
                </c:pt>
                <c:pt idx="490">
                  <c:v>44187</c:v>
                </c:pt>
                <c:pt idx="491">
                  <c:v>44188</c:v>
                </c:pt>
                <c:pt idx="492">
                  <c:v>44189</c:v>
                </c:pt>
                <c:pt idx="493">
                  <c:v>44193</c:v>
                </c:pt>
                <c:pt idx="494">
                  <c:v>44194</c:v>
                </c:pt>
                <c:pt idx="495">
                  <c:v>44195</c:v>
                </c:pt>
                <c:pt idx="496">
                  <c:v>44196</c:v>
                </c:pt>
                <c:pt idx="497">
                  <c:v>44200</c:v>
                </c:pt>
                <c:pt idx="498">
                  <c:v>44201</c:v>
                </c:pt>
                <c:pt idx="499">
                  <c:v>44202</c:v>
                </c:pt>
                <c:pt idx="500">
                  <c:v>44203</c:v>
                </c:pt>
                <c:pt idx="501">
                  <c:v>44204</c:v>
                </c:pt>
                <c:pt idx="502">
                  <c:v>44207</c:v>
                </c:pt>
                <c:pt idx="503">
                  <c:v>44208</c:v>
                </c:pt>
                <c:pt idx="504">
                  <c:v>44209</c:v>
                </c:pt>
                <c:pt idx="505">
                  <c:v>44210</c:v>
                </c:pt>
                <c:pt idx="506">
                  <c:v>44211</c:v>
                </c:pt>
                <c:pt idx="507">
                  <c:v>44215</c:v>
                </c:pt>
                <c:pt idx="508">
                  <c:v>44216</c:v>
                </c:pt>
                <c:pt idx="509">
                  <c:v>44217</c:v>
                </c:pt>
                <c:pt idx="510">
                  <c:v>44218</c:v>
                </c:pt>
                <c:pt idx="511">
                  <c:v>44221</c:v>
                </c:pt>
                <c:pt idx="512">
                  <c:v>44222</c:v>
                </c:pt>
                <c:pt idx="513">
                  <c:v>44223</c:v>
                </c:pt>
                <c:pt idx="514">
                  <c:v>44224</c:v>
                </c:pt>
                <c:pt idx="515">
                  <c:v>44225</c:v>
                </c:pt>
                <c:pt idx="516">
                  <c:v>44228</c:v>
                </c:pt>
                <c:pt idx="517">
                  <c:v>44229</c:v>
                </c:pt>
                <c:pt idx="518">
                  <c:v>44230</c:v>
                </c:pt>
                <c:pt idx="519">
                  <c:v>44231</c:v>
                </c:pt>
                <c:pt idx="520">
                  <c:v>44232</c:v>
                </c:pt>
                <c:pt idx="521">
                  <c:v>44235</c:v>
                </c:pt>
                <c:pt idx="522">
                  <c:v>44236</c:v>
                </c:pt>
                <c:pt idx="523">
                  <c:v>44237</c:v>
                </c:pt>
                <c:pt idx="524">
                  <c:v>44238</c:v>
                </c:pt>
                <c:pt idx="525">
                  <c:v>44239</c:v>
                </c:pt>
                <c:pt idx="526">
                  <c:v>44243</c:v>
                </c:pt>
                <c:pt idx="527">
                  <c:v>44244</c:v>
                </c:pt>
                <c:pt idx="528">
                  <c:v>44245</c:v>
                </c:pt>
                <c:pt idx="529">
                  <c:v>44246</c:v>
                </c:pt>
                <c:pt idx="530">
                  <c:v>44249</c:v>
                </c:pt>
                <c:pt idx="531">
                  <c:v>44250</c:v>
                </c:pt>
                <c:pt idx="532">
                  <c:v>44251</c:v>
                </c:pt>
                <c:pt idx="533">
                  <c:v>44252</c:v>
                </c:pt>
                <c:pt idx="534">
                  <c:v>44253</c:v>
                </c:pt>
                <c:pt idx="535">
                  <c:v>44256</c:v>
                </c:pt>
                <c:pt idx="536">
                  <c:v>44257</c:v>
                </c:pt>
                <c:pt idx="537">
                  <c:v>44258</c:v>
                </c:pt>
                <c:pt idx="538">
                  <c:v>44259</c:v>
                </c:pt>
                <c:pt idx="539">
                  <c:v>44260</c:v>
                </c:pt>
                <c:pt idx="540">
                  <c:v>44263</c:v>
                </c:pt>
                <c:pt idx="541">
                  <c:v>44264</c:v>
                </c:pt>
                <c:pt idx="542">
                  <c:v>44265</c:v>
                </c:pt>
                <c:pt idx="543">
                  <c:v>44266</c:v>
                </c:pt>
                <c:pt idx="544">
                  <c:v>44267</c:v>
                </c:pt>
                <c:pt idx="545">
                  <c:v>44270</c:v>
                </c:pt>
                <c:pt idx="546">
                  <c:v>44271</c:v>
                </c:pt>
                <c:pt idx="547">
                  <c:v>44272</c:v>
                </c:pt>
                <c:pt idx="548">
                  <c:v>44273</c:v>
                </c:pt>
                <c:pt idx="549">
                  <c:v>44274</c:v>
                </c:pt>
                <c:pt idx="550">
                  <c:v>44277</c:v>
                </c:pt>
                <c:pt idx="551">
                  <c:v>44278</c:v>
                </c:pt>
                <c:pt idx="552">
                  <c:v>44279</c:v>
                </c:pt>
                <c:pt idx="553">
                  <c:v>44280</c:v>
                </c:pt>
                <c:pt idx="554">
                  <c:v>44281</c:v>
                </c:pt>
                <c:pt idx="555">
                  <c:v>44284</c:v>
                </c:pt>
                <c:pt idx="556">
                  <c:v>44285</c:v>
                </c:pt>
                <c:pt idx="557">
                  <c:v>44286</c:v>
                </c:pt>
                <c:pt idx="558">
                  <c:v>44287</c:v>
                </c:pt>
                <c:pt idx="559">
                  <c:v>44291</c:v>
                </c:pt>
                <c:pt idx="560">
                  <c:v>44292</c:v>
                </c:pt>
                <c:pt idx="561">
                  <c:v>44293</c:v>
                </c:pt>
                <c:pt idx="562">
                  <c:v>44294</c:v>
                </c:pt>
                <c:pt idx="563">
                  <c:v>44295</c:v>
                </c:pt>
                <c:pt idx="564">
                  <c:v>44298</c:v>
                </c:pt>
                <c:pt idx="565">
                  <c:v>44299</c:v>
                </c:pt>
                <c:pt idx="566">
                  <c:v>44300</c:v>
                </c:pt>
                <c:pt idx="567">
                  <c:v>44301</c:v>
                </c:pt>
                <c:pt idx="568">
                  <c:v>44302</c:v>
                </c:pt>
                <c:pt idx="569">
                  <c:v>44305</c:v>
                </c:pt>
                <c:pt idx="570">
                  <c:v>44306</c:v>
                </c:pt>
                <c:pt idx="571">
                  <c:v>44307</c:v>
                </c:pt>
                <c:pt idx="572">
                  <c:v>44308</c:v>
                </c:pt>
                <c:pt idx="573">
                  <c:v>44309</c:v>
                </c:pt>
                <c:pt idx="574">
                  <c:v>44312</c:v>
                </c:pt>
                <c:pt idx="575">
                  <c:v>44313</c:v>
                </c:pt>
                <c:pt idx="576">
                  <c:v>44314</c:v>
                </c:pt>
                <c:pt idx="577">
                  <c:v>44315</c:v>
                </c:pt>
                <c:pt idx="578">
                  <c:v>44316</c:v>
                </c:pt>
                <c:pt idx="579">
                  <c:v>44319</c:v>
                </c:pt>
                <c:pt idx="580">
                  <c:v>44320</c:v>
                </c:pt>
                <c:pt idx="581">
                  <c:v>44321</c:v>
                </c:pt>
                <c:pt idx="582">
                  <c:v>44322</c:v>
                </c:pt>
                <c:pt idx="583">
                  <c:v>44323</c:v>
                </c:pt>
                <c:pt idx="584">
                  <c:v>44326</c:v>
                </c:pt>
                <c:pt idx="585">
                  <c:v>44327</c:v>
                </c:pt>
                <c:pt idx="586">
                  <c:v>44328</c:v>
                </c:pt>
                <c:pt idx="587">
                  <c:v>44329</c:v>
                </c:pt>
                <c:pt idx="588">
                  <c:v>44330</c:v>
                </c:pt>
                <c:pt idx="589">
                  <c:v>44333</c:v>
                </c:pt>
                <c:pt idx="590">
                  <c:v>44334</c:v>
                </c:pt>
                <c:pt idx="591">
                  <c:v>44335</c:v>
                </c:pt>
                <c:pt idx="592">
                  <c:v>44336</c:v>
                </c:pt>
                <c:pt idx="593">
                  <c:v>44337</c:v>
                </c:pt>
                <c:pt idx="594">
                  <c:v>44340</c:v>
                </c:pt>
                <c:pt idx="595">
                  <c:v>44341</c:v>
                </c:pt>
                <c:pt idx="596">
                  <c:v>44342</c:v>
                </c:pt>
                <c:pt idx="597">
                  <c:v>44343</c:v>
                </c:pt>
                <c:pt idx="598">
                  <c:v>44344</c:v>
                </c:pt>
                <c:pt idx="599">
                  <c:v>44348</c:v>
                </c:pt>
                <c:pt idx="600">
                  <c:v>44349</c:v>
                </c:pt>
                <c:pt idx="601">
                  <c:v>44350</c:v>
                </c:pt>
                <c:pt idx="602">
                  <c:v>44351</c:v>
                </c:pt>
                <c:pt idx="603">
                  <c:v>44354</c:v>
                </c:pt>
                <c:pt idx="604">
                  <c:v>44355</c:v>
                </c:pt>
                <c:pt idx="605">
                  <c:v>44356</c:v>
                </c:pt>
                <c:pt idx="606">
                  <c:v>44357</c:v>
                </c:pt>
                <c:pt idx="607">
                  <c:v>44358</c:v>
                </c:pt>
                <c:pt idx="608">
                  <c:v>44361</c:v>
                </c:pt>
                <c:pt idx="609">
                  <c:v>44362</c:v>
                </c:pt>
                <c:pt idx="610">
                  <c:v>44363</c:v>
                </c:pt>
                <c:pt idx="611">
                  <c:v>44364</c:v>
                </c:pt>
                <c:pt idx="612">
                  <c:v>44365</c:v>
                </c:pt>
                <c:pt idx="613">
                  <c:v>44368</c:v>
                </c:pt>
                <c:pt idx="614">
                  <c:v>44369</c:v>
                </c:pt>
                <c:pt idx="615">
                  <c:v>44370</c:v>
                </c:pt>
                <c:pt idx="616">
                  <c:v>44371</c:v>
                </c:pt>
                <c:pt idx="617">
                  <c:v>44372</c:v>
                </c:pt>
                <c:pt idx="618">
                  <c:v>44375</c:v>
                </c:pt>
                <c:pt idx="619">
                  <c:v>44376</c:v>
                </c:pt>
                <c:pt idx="620">
                  <c:v>44377</c:v>
                </c:pt>
                <c:pt idx="621">
                  <c:v>44378</c:v>
                </c:pt>
                <c:pt idx="622">
                  <c:v>44379</c:v>
                </c:pt>
                <c:pt idx="623">
                  <c:v>44383</c:v>
                </c:pt>
                <c:pt idx="624">
                  <c:v>44384</c:v>
                </c:pt>
                <c:pt idx="625">
                  <c:v>44385</c:v>
                </c:pt>
                <c:pt idx="626">
                  <c:v>44386</c:v>
                </c:pt>
                <c:pt idx="627">
                  <c:v>44389</c:v>
                </c:pt>
                <c:pt idx="628">
                  <c:v>44390</c:v>
                </c:pt>
                <c:pt idx="629">
                  <c:v>44391</c:v>
                </c:pt>
                <c:pt idx="630">
                  <c:v>44392</c:v>
                </c:pt>
                <c:pt idx="631">
                  <c:v>44393</c:v>
                </c:pt>
                <c:pt idx="632">
                  <c:v>44396</c:v>
                </c:pt>
                <c:pt idx="633">
                  <c:v>44397</c:v>
                </c:pt>
                <c:pt idx="634">
                  <c:v>44398</c:v>
                </c:pt>
                <c:pt idx="635">
                  <c:v>44399</c:v>
                </c:pt>
                <c:pt idx="636">
                  <c:v>44400</c:v>
                </c:pt>
                <c:pt idx="637">
                  <c:v>44403</c:v>
                </c:pt>
                <c:pt idx="638">
                  <c:v>44404</c:v>
                </c:pt>
                <c:pt idx="639">
                  <c:v>44405</c:v>
                </c:pt>
                <c:pt idx="640">
                  <c:v>44406</c:v>
                </c:pt>
                <c:pt idx="641">
                  <c:v>44407</c:v>
                </c:pt>
                <c:pt idx="642">
                  <c:v>44410</c:v>
                </c:pt>
                <c:pt idx="643">
                  <c:v>44411</c:v>
                </c:pt>
                <c:pt idx="644">
                  <c:v>44412</c:v>
                </c:pt>
                <c:pt idx="645">
                  <c:v>44413</c:v>
                </c:pt>
                <c:pt idx="646">
                  <c:v>44414</c:v>
                </c:pt>
                <c:pt idx="647">
                  <c:v>44417</c:v>
                </c:pt>
                <c:pt idx="648">
                  <c:v>44418</c:v>
                </c:pt>
                <c:pt idx="649">
                  <c:v>44419</c:v>
                </c:pt>
                <c:pt idx="650">
                  <c:v>44420</c:v>
                </c:pt>
                <c:pt idx="651">
                  <c:v>44421</c:v>
                </c:pt>
                <c:pt idx="652">
                  <c:v>44424</c:v>
                </c:pt>
                <c:pt idx="653">
                  <c:v>44425</c:v>
                </c:pt>
                <c:pt idx="654">
                  <c:v>44426</c:v>
                </c:pt>
                <c:pt idx="655">
                  <c:v>44427</c:v>
                </c:pt>
                <c:pt idx="656">
                  <c:v>44428</c:v>
                </c:pt>
                <c:pt idx="657">
                  <c:v>44431</c:v>
                </c:pt>
                <c:pt idx="658">
                  <c:v>44432</c:v>
                </c:pt>
                <c:pt idx="659">
                  <c:v>44433</c:v>
                </c:pt>
                <c:pt idx="660">
                  <c:v>44434</c:v>
                </c:pt>
                <c:pt idx="661">
                  <c:v>44435</c:v>
                </c:pt>
                <c:pt idx="662">
                  <c:v>44438</c:v>
                </c:pt>
                <c:pt idx="663">
                  <c:v>44439</c:v>
                </c:pt>
                <c:pt idx="664">
                  <c:v>44440</c:v>
                </c:pt>
                <c:pt idx="665">
                  <c:v>44441</c:v>
                </c:pt>
                <c:pt idx="666">
                  <c:v>44442</c:v>
                </c:pt>
                <c:pt idx="667">
                  <c:v>44446</c:v>
                </c:pt>
                <c:pt idx="668">
                  <c:v>44447</c:v>
                </c:pt>
                <c:pt idx="669">
                  <c:v>44448</c:v>
                </c:pt>
                <c:pt idx="670">
                  <c:v>44449</c:v>
                </c:pt>
              </c:numCache>
            </c:numRef>
          </c:cat>
          <c:val>
            <c:numRef>
              <c:f>Sheet1!$D$2:$D$672</c:f>
              <c:numCache>
                <c:formatCode>0.0</c:formatCode>
                <c:ptCount val="671"/>
                <c:pt idx="0">
                  <c:v>100</c:v>
                </c:pt>
                <c:pt idx="1">
                  <c:v>100</c:v>
                </c:pt>
                <c:pt idx="2">
                  <c:v>100.30161649568035</c:v>
                </c:pt>
                <c:pt idx="3">
                  <c:v>101.28239740820734</c:v>
                </c:pt>
                <c:pt idx="4">
                  <c:v>100.9698130399568</c:v>
                </c:pt>
                <c:pt idx="5">
                  <c:v>101.80168399028078</c:v>
                </c:pt>
                <c:pt idx="6">
                  <c:v>102.74829576133911</c:v>
                </c:pt>
                <c:pt idx="7">
                  <c:v>102.85966185205186</c:v>
                </c:pt>
                <c:pt idx="8">
                  <c:v>103.02460178185748</c:v>
                </c:pt>
                <c:pt idx="9">
                  <c:v>102.94360826133912</c:v>
                </c:pt>
                <c:pt idx="10">
                  <c:v>102.78077753779699</c:v>
                </c:pt>
                <c:pt idx="11">
                  <c:v>103.52785839632833</c:v>
                </c:pt>
                <c:pt idx="12">
                  <c:v>104.3496051565875</c:v>
                </c:pt>
                <c:pt idx="13">
                  <c:v>104.04081735961125</c:v>
                </c:pt>
                <c:pt idx="14">
                  <c:v>104.10662459503243</c:v>
                </c:pt>
                <c:pt idx="15">
                  <c:v>105.04058112850976</c:v>
                </c:pt>
                <c:pt idx="16">
                  <c:v>104.85750202483804</c:v>
                </c:pt>
                <c:pt idx="17">
                  <c:v>105.42614403347734</c:v>
                </c:pt>
                <c:pt idx="18">
                  <c:v>104.43439524838014</c:v>
                </c:pt>
                <c:pt idx="19">
                  <c:v>105.33755737041038</c:v>
                </c:pt>
                <c:pt idx="20">
                  <c:v>106.21498717602593</c:v>
                </c:pt>
                <c:pt idx="21">
                  <c:v>106.30737041036718</c:v>
                </c:pt>
                <c:pt idx="22">
                  <c:v>106.43223542116631</c:v>
                </c:pt>
                <c:pt idx="23">
                  <c:v>106.48749662526997</c:v>
                </c:pt>
                <c:pt idx="24">
                  <c:v>107.46532464902808</c:v>
                </c:pt>
                <c:pt idx="25">
                  <c:v>107.03842130129588</c:v>
                </c:pt>
                <c:pt idx="26">
                  <c:v>105.8336426835853</c:v>
                </c:pt>
                <c:pt idx="27">
                  <c:v>105.62398758099351</c:v>
                </c:pt>
                <c:pt idx="28">
                  <c:v>105.92054198164145</c:v>
                </c:pt>
                <c:pt idx="29">
                  <c:v>106.91861838552914</c:v>
                </c:pt>
                <c:pt idx="30">
                  <c:v>104.12349824514037</c:v>
                </c:pt>
                <c:pt idx="31">
                  <c:v>103.98471247300215</c:v>
                </c:pt>
                <c:pt idx="32">
                  <c:v>105.02961325593951</c:v>
                </c:pt>
                <c:pt idx="33">
                  <c:v>104.24414484341251</c:v>
                </c:pt>
                <c:pt idx="34">
                  <c:v>103.8636440334773</c:v>
                </c:pt>
                <c:pt idx="35">
                  <c:v>104.97266468682503</c:v>
                </c:pt>
                <c:pt idx="36">
                  <c:v>104.22642751079911</c:v>
                </c:pt>
                <c:pt idx="37">
                  <c:v>105.10343547516197</c:v>
                </c:pt>
                <c:pt idx="38">
                  <c:v>104.97224284557234</c:v>
                </c:pt>
                <c:pt idx="39">
                  <c:v>105.2713282937365</c:v>
                </c:pt>
                <c:pt idx="40">
                  <c:v>105.00008436825054</c:v>
                </c:pt>
                <c:pt idx="41">
                  <c:v>104.93048056155507</c:v>
                </c:pt>
                <c:pt idx="42">
                  <c:v>104.57064997300215</c:v>
                </c:pt>
                <c:pt idx="43">
                  <c:v>104.2871726511879</c:v>
                </c:pt>
                <c:pt idx="44">
                  <c:v>104.09776592872569</c:v>
                </c:pt>
                <c:pt idx="45">
                  <c:v>105.11566887149029</c:v>
                </c:pt>
                <c:pt idx="46">
                  <c:v>104.38250877429806</c:v>
                </c:pt>
                <c:pt idx="47">
                  <c:v>104.17791576673866</c:v>
                </c:pt>
                <c:pt idx="48">
                  <c:v>104.12138903887691</c:v>
                </c:pt>
                <c:pt idx="49">
                  <c:v>104.16863525917928</c:v>
                </c:pt>
                <c:pt idx="50">
                  <c:v>103.7636676565875</c:v>
                </c:pt>
                <c:pt idx="51">
                  <c:v>104.49134381749462</c:v>
                </c:pt>
                <c:pt idx="52">
                  <c:v>104.82966050215985</c:v>
                </c:pt>
                <c:pt idx="53">
                  <c:v>105.18063242440606</c:v>
                </c:pt>
                <c:pt idx="54">
                  <c:v>105.67376484881211</c:v>
                </c:pt>
                <c:pt idx="55">
                  <c:v>105.79609881209504</c:v>
                </c:pt>
                <c:pt idx="56">
                  <c:v>104.94946341792657</c:v>
                </c:pt>
                <c:pt idx="57">
                  <c:v>105.40125539956804</c:v>
                </c:pt>
                <c:pt idx="58">
                  <c:v>105.91126147408208</c:v>
                </c:pt>
                <c:pt idx="59">
                  <c:v>104.94144843412528</c:v>
                </c:pt>
                <c:pt idx="60">
                  <c:v>105.19750607451404</c:v>
                </c:pt>
                <c:pt idx="61">
                  <c:v>105.40673933585313</c:v>
                </c:pt>
                <c:pt idx="62">
                  <c:v>106.43181357991362</c:v>
                </c:pt>
                <c:pt idx="63">
                  <c:v>106.76380264578835</c:v>
                </c:pt>
                <c:pt idx="64">
                  <c:v>106.74946004319655</c:v>
                </c:pt>
                <c:pt idx="65">
                  <c:v>106.95784962203025</c:v>
                </c:pt>
                <c:pt idx="66">
                  <c:v>107.25777875269979</c:v>
                </c:pt>
                <c:pt idx="67">
                  <c:v>108.15376957343413</c:v>
                </c:pt>
                <c:pt idx="68">
                  <c:v>108.48491495680346</c:v>
                </c:pt>
                <c:pt idx="69">
                  <c:v>108.76628307235423</c:v>
                </c:pt>
                <c:pt idx="70">
                  <c:v>107.60621962742982</c:v>
                </c:pt>
                <c:pt idx="71">
                  <c:v>108.18034557235424</c:v>
                </c:pt>
                <c:pt idx="72">
                  <c:v>107.45013836393092</c:v>
                </c:pt>
                <c:pt idx="73">
                  <c:v>108.13773960583156</c:v>
                </c:pt>
                <c:pt idx="74">
                  <c:v>108.30099217062637</c:v>
                </c:pt>
                <c:pt idx="75">
                  <c:v>108.03818507019442</c:v>
                </c:pt>
                <c:pt idx="76">
                  <c:v>108.29677375809936</c:v>
                </c:pt>
                <c:pt idx="77">
                  <c:v>109.09067899568038</c:v>
                </c:pt>
                <c:pt idx="78">
                  <c:v>109.13328496220306</c:v>
                </c:pt>
                <c:pt idx="79">
                  <c:v>108.77261069114473</c:v>
                </c:pt>
                <c:pt idx="80">
                  <c:v>108.02088957883372</c:v>
                </c:pt>
                <c:pt idx="81">
                  <c:v>108.16389376349896</c:v>
                </c:pt>
                <c:pt idx="82">
                  <c:v>108.42121692764583</c:v>
                </c:pt>
                <c:pt idx="83">
                  <c:v>107.94116158207346</c:v>
                </c:pt>
                <c:pt idx="84">
                  <c:v>108.58657869870414</c:v>
                </c:pt>
                <c:pt idx="85">
                  <c:v>108.38282937365015</c:v>
                </c:pt>
                <c:pt idx="86">
                  <c:v>108.81774770518363</c:v>
                </c:pt>
                <c:pt idx="87">
                  <c:v>108.14575458963286</c:v>
                </c:pt>
                <c:pt idx="88">
                  <c:v>107.07005939524841</c:v>
                </c:pt>
                <c:pt idx="89">
                  <c:v>105.97622502699787</c:v>
                </c:pt>
                <c:pt idx="90">
                  <c:v>105.83701741360693</c:v>
                </c:pt>
                <c:pt idx="91">
                  <c:v>108.38493857991364</c:v>
                </c:pt>
                <c:pt idx="92">
                  <c:v>107.6829947354212</c:v>
                </c:pt>
                <c:pt idx="93">
                  <c:v>108.68528955183588</c:v>
                </c:pt>
                <c:pt idx="94">
                  <c:v>108.91983328833699</c:v>
                </c:pt>
                <c:pt idx="95">
                  <c:v>108.63045018898492</c:v>
                </c:pt>
                <c:pt idx="96">
                  <c:v>110.50806560475165</c:v>
                </c:pt>
                <c:pt idx="97">
                  <c:v>111.12100094492446</c:v>
                </c:pt>
                <c:pt idx="98">
                  <c:v>110.60424541036723</c:v>
                </c:pt>
                <c:pt idx="99">
                  <c:v>110.52240820734346</c:v>
                </c:pt>
                <c:pt idx="100">
                  <c:v>111.11846989740826</c:v>
                </c:pt>
                <c:pt idx="101">
                  <c:v>109.97865483261344</c:v>
                </c:pt>
                <c:pt idx="102">
                  <c:v>111.57701133909292</c:v>
                </c:pt>
                <c:pt idx="103">
                  <c:v>112.03091252699789</c:v>
                </c:pt>
                <c:pt idx="104">
                  <c:v>112.23677105831537</c:v>
                </c:pt>
                <c:pt idx="105">
                  <c:v>114.99645653347736</c:v>
                </c:pt>
                <c:pt idx="106">
                  <c:v>114.17808450323977</c:v>
                </c:pt>
                <c:pt idx="107">
                  <c:v>113.96252362311019</c:v>
                </c:pt>
                <c:pt idx="108">
                  <c:v>115.37105156587477</c:v>
                </c:pt>
                <c:pt idx="109">
                  <c:v>115.33814794816418</c:v>
                </c:pt>
                <c:pt idx="110">
                  <c:v>114.66193642008643</c:v>
                </c:pt>
                <c:pt idx="111">
                  <c:v>116.02406182505402</c:v>
                </c:pt>
                <c:pt idx="112">
                  <c:v>116.32610016198706</c:v>
                </c:pt>
                <c:pt idx="113">
                  <c:v>115.49886946544278</c:v>
                </c:pt>
                <c:pt idx="114">
                  <c:v>115.2668567764579</c:v>
                </c:pt>
                <c:pt idx="115">
                  <c:v>116.55769100971925</c:v>
                </c:pt>
                <c:pt idx="116">
                  <c:v>116.36617508099354</c:v>
                </c:pt>
                <c:pt idx="117">
                  <c:v>117.16809530237583</c:v>
                </c:pt>
                <c:pt idx="118">
                  <c:v>116.51972529697628</c:v>
                </c:pt>
                <c:pt idx="119">
                  <c:v>116.48682167926569</c:v>
                </c:pt>
                <c:pt idx="120">
                  <c:v>116.21346854751623</c:v>
                </c:pt>
                <c:pt idx="121">
                  <c:v>117.0504015928726</c:v>
                </c:pt>
                <c:pt idx="122">
                  <c:v>117.18496895248383</c:v>
                </c:pt>
                <c:pt idx="123">
                  <c:v>117.14869060475165</c:v>
                </c:pt>
                <c:pt idx="124">
                  <c:v>118.23450998920092</c:v>
                </c:pt>
                <c:pt idx="125">
                  <c:v>118.54161042116635</c:v>
                </c:pt>
                <c:pt idx="126">
                  <c:v>119.09970639848817</c:v>
                </c:pt>
                <c:pt idx="127">
                  <c:v>119.92820261879054</c:v>
                </c:pt>
                <c:pt idx="128">
                  <c:v>119.09169141468686</c:v>
                </c:pt>
                <c:pt idx="129">
                  <c:v>119.03896125809939</c:v>
                </c:pt>
                <c:pt idx="130">
                  <c:v>119.16129522138233</c:v>
                </c:pt>
                <c:pt idx="131">
                  <c:v>119.17859071274302</c:v>
                </c:pt>
                <c:pt idx="132">
                  <c:v>117.57095369870416</c:v>
                </c:pt>
                <c:pt idx="133">
                  <c:v>117.41740348272141</c:v>
                </c:pt>
                <c:pt idx="134">
                  <c:v>116.17719019978405</c:v>
                </c:pt>
                <c:pt idx="135">
                  <c:v>114.55816347192227</c:v>
                </c:pt>
                <c:pt idx="136">
                  <c:v>114.1346348542117</c:v>
                </c:pt>
                <c:pt idx="137">
                  <c:v>114.33754049676028</c:v>
                </c:pt>
                <c:pt idx="138">
                  <c:v>113.86803118250542</c:v>
                </c:pt>
                <c:pt idx="139">
                  <c:v>113.34790091792658</c:v>
                </c:pt>
                <c:pt idx="140">
                  <c:v>114.18103739200866</c:v>
                </c:pt>
                <c:pt idx="141">
                  <c:v>113.02730156587475</c:v>
                </c:pt>
                <c:pt idx="142">
                  <c:v>113.77944451943846</c:v>
                </c:pt>
                <c:pt idx="143">
                  <c:v>114.56111636069113</c:v>
                </c:pt>
                <c:pt idx="144">
                  <c:v>115.17869195464363</c:v>
                </c:pt>
                <c:pt idx="145">
                  <c:v>115.49169816414687</c:v>
                </c:pt>
                <c:pt idx="146">
                  <c:v>115.06479481641468</c:v>
                </c:pt>
                <c:pt idx="147">
                  <c:v>114.21984678725701</c:v>
                </c:pt>
                <c:pt idx="148">
                  <c:v>112.49873447624188</c:v>
                </c:pt>
                <c:pt idx="149">
                  <c:v>111.97101106911447</c:v>
                </c:pt>
                <c:pt idx="150">
                  <c:v>113.18464835313175</c:v>
                </c:pt>
                <c:pt idx="151">
                  <c:v>113.60902065334773</c:v>
                </c:pt>
                <c:pt idx="152">
                  <c:v>113.75582140928725</c:v>
                </c:pt>
                <c:pt idx="153">
                  <c:v>113.35380669546434</c:v>
                </c:pt>
                <c:pt idx="154">
                  <c:v>113.4297381209503</c:v>
                </c:pt>
                <c:pt idx="155">
                  <c:v>113.2487682235421</c:v>
                </c:pt>
                <c:pt idx="156">
                  <c:v>111.51500067494598</c:v>
                </c:pt>
                <c:pt idx="157">
                  <c:v>111.20958760799132</c:v>
                </c:pt>
                <c:pt idx="158">
                  <c:v>110.8375236231101</c:v>
                </c:pt>
                <c:pt idx="159">
                  <c:v>111.8343345032397</c:v>
                </c:pt>
                <c:pt idx="160">
                  <c:v>112.95010461663065</c:v>
                </c:pt>
                <c:pt idx="161">
                  <c:v>112.79064862311012</c:v>
                </c:pt>
                <c:pt idx="162">
                  <c:v>113.02097394708419</c:v>
                </c:pt>
                <c:pt idx="163">
                  <c:v>111.833912661987</c:v>
                </c:pt>
                <c:pt idx="164">
                  <c:v>112.2418331533477</c:v>
                </c:pt>
                <c:pt idx="165">
                  <c:v>112.13257626889845</c:v>
                </c:pt>
                <c:pt idx="166">
                  <c:v>113.0450188984881</c:v>
                </c:pt>
                <c:pt idx="167">
                  <c:v>114.6011912796976</c:v>
                </c:pt>
                <c:pt idx="168">
                  <c:v>115.68152672786175</c:v>
                </c:pt>
                <c:pt idx="169">
                  <c:v>116.88630534557232</c:v>
                </c:pt>
                <c:pt idx="170">
                  <c:v>117.58276525377966</c:v>
                </c:pt>
                <c:pt idx="171">
                  <c:v>118.15646935745137</c:v>
                </c:pt>
                <c:pt idx="172">
                  <c:v>118.36654630129587</c:v>
                </c:pt>
                <c:pt idx="173">
                  <c:v>118.22058922786174</c:v>
                </c:pt>
                <c:pt idx="174">
                  <c:v>117.47435205183584</c:v>
                </c:pt>
                <c:pt idx="175">
                  <c:v>117.61735623650105</c:v>
                </c:pt>
                <c:pt idx="176">
                  <c:v>118.79302780777535</c:v>
                </c:pt>
                <c:pt idx="177">
                  <c:v>117.94048663606908</c:v>
                </c:pt>
                <c:pt idx="178">
                  <c:v>118.57029562634986</c:v>
                </c:pt>
                <c:pt idx="179">
                  <c:v>119.48316009719218</c:v>
                </c:pt>
                <c:pt idx="180">
                  <c:v>118.91409624730017</c:v>
                </c:pt>
                <c:pt idx="181">
                  <c:v>118.76898285637144</c:v>
                </c:pt>
                <c:pt idx="182">
                  <c:v>117.89703698704101</c:v>
                </c:pt>
                <c:pt idx="183">
                  <c:v>117.82152740280775</c:v>
                </c:pt>
                <c:pt idx="184">
                  <c:v>117.50683382829371</c:v>
                </c:pt>
                <c:pt idx="185">
                  <c:v>115.96964430345569</c:v>
                </c:pt>
                <c:pt idx="186">
                  <c:v>116.24257559395244</c:v>
                </c:pt>
                <c:pt idx="187">
                  <c:v>116.95886204103668</c:v>
                </c:pt>
                <c:pt idx="188">
                  <c:v>116.42565469762415</c:v>
                </c:pt>
                <c:pt idx="189">
                  <c:v>115.99917319114466</c:v>
                </c:pt>
                <c:pt idx="190">
                  <c:v>116.29572759179261</c:v>
                </c:pt>
                <c:pt idx="191">
                  <c:v>114.72605629049671</c:v>
                </c:pt>
                <c:pt idx="192">
                  <c:v>114.23039281857447</c:v>
                </c:pt>
                <c:pt idx="193">
                  <c:v>113.70899703023754</c:v>
                </c:pt>
                <c:pt idx="194">
                  <c:v>114.7479920356371</c:v>
                </c:pt>
                <c:pt idx="195">
                  <c:v>114.09582545896323</c:v>
                </c:pt>
                <c:pt idx="196">
                  <c:v>114.29324716522672</c:v>
                </c:pt>
                <c:pt idx="197">
                  <c:v>114.88255939524834</c:v>
                </c:pt>
                <c:pt idx="198">
                  <c:v>114.34260259179261</c:v>
                </c:pt>
                <c:pt idx="199">
                  <c:v>113.75371220302372</c:v>
                </c:pt>
                <c:pt idx="200">
                  <c:v>114.52188512419004</c:v>
                </c:pt>
                <c:pt idx="201">
                  <c:v>115.77137891468679</c:v>
                </c:pt>
                <c:pt idx="202">
                  <c:v>115.91353941684663</c:v>
                </c:pt>
                <c:pt idx="203">
                  <c:v>116.41932707883366</c:v>
                </c:pt>
                <c:pt idx="204">
                  <c:v>116.69014916306693</c:v>
                </c:pt>
                <c:pt idx="205">
                  <c:v>118.00755939524836</c:v>
                </c:pt>
                <c:pt idx="206">
                  <c:v>119.05920963822892</c:v>
                </c:pt>
                <c:pt idx="207">
                  <c:v>121.32576268898487</c:v>
                </c:pt>
                <c:pt idx="208">
                  <c:v>121.4637047786177</c:v>
                </c:pt>
                <c:pt idx="209">
                  <c:v>120.57994735421167</c:v>
                </c:pt>
                <c:pt idx="210">
                  <c:v>121.57760191684666</c:v>
                </c:pt>
                <c:pt idx="211">
                  <c:v>123.06037392008638</c:v>
                </c:pt>
                <c:pt idx="212">
                  <c:v>122.14286919546436</c:v>
                </c:pt>
                <c:pt idx="213">
                  <c:v>124.47607316414687</c:v>
                </c:pt>
                <c:pt idx="214">
                  <c:v>124.43051430885528</c:v>
                </c:pt>
                <c:pt idx="215">
                  <c:v>125.61040429265657</c:v>
                </c:pt>
                <c:pt idx="216">
                  <c:v>126.46167994060472</c:v>
                </c:pt>
                <c:pt idx="217">
                  <c:v>125.11136609071272</c:v>
                </c:pt>
                <c:pt idx="218">
                  <c:v>125.02109206263495</c:v>
                </c:pt>
                <c:pt idx="219">
                  <c:v>124.12257019438441</c:v>
                </c:pt>
                <c:pt idx="220">
                  <c:v>123.96227051835849</c:v>
                </c:pt>
                <c:pt idx="221">
                  <c:v>123.40164349352048</c:v>
                </c:pt>
                <c:pt idx="222">
                  <c:v>124.33306897948161</c:v>
                </c:pt>
                <c:pt idx="223">
                  <c:v>123.51933720302372</c:v>
                </c:pt>
                <c:pt idx="224">
                  <c:v>123.83740550755937</c:v>
                </c:pt>
                <c:pt idx="225">
                  <c:v>124.05423191144708</c:v>
                </c:pt>
                <c:pt idx="226">
                  <c:v>123.99433045356371</c:v>
                </c:pt>
                <c:pt idx="227">
                  <c:v>124.5743621760259</c:v>
                </c:pt>
                <c:pt idx="228">
                  <c:v>124.64734071274297</c:v>
                </c:pt>
                <c:pt idx="229">
                  <c:v>123.69440132289415</c:v>
                </c:pt>
                <c:pt idx="230">
                  <c:v>123.44340577753779</c:v>
                </c:pt>
                <c:pt idx="231">
                  <c:v>123.420626349892</c:v>
                </c:pt>
                <c:pt idx="232">
                  <c:v>123.92388296436285</c:v>
                </c:pt>
                <c:pt idx="233">
                  <c:v>123.07049811015118</c:v>
                </c:pt>
                <c:pt idx="234">
                  <c:v>121.80202146328293</c:v>
                </c:pt>
                <c:pt idx="235">
                  <c:v>122.48160772138229</c:v>
                </c:pt>
                <c:pt idx="236">
                  <c:v>122.36686690064795</c:v>
                </c:pt>
                <c:pt idx="237">
                  <c:v>123.68723002159827</c:v>
                </c:pt>
                <c:pt idx="238">
                  <c:v>124.14914619330456</c:v>
                </c:pt>
                <c:pt idx="239">
                  <c:v>123.70199446544278</c:v>
                </c:pt>
                <c:pt idx="240">
                  <c:v>125.12823974082075</c:v>
                </c:pt>
                <c:pt idx="241">
                  <c:v>126.16934395248381</c:v>
                </c:pt>
                <c:pt idx="242">
                  <c:v>126.6122772678186</c:v>
                </c:pt>
                <c:pt idx="243">
                  <c:v>127.07925553455725</c:v>
                </c:pt>
                <c:pt idx="244">
                  <c:v>127.03200931425488</c:v>
                </c:pt>
                <c:pt idx="245">
                  <c:v>127.07081870950326</c:v>
                </c:pt>
                <c:pt idx="246">
                  <c:v>127.21213552915768</c:v>
                </c:pt>
                <c:pt idx="247">
                  <c:v>126.96957680885531</c:v>
                </c:pt>
                <c:pt idx="248">
                  <c:v>128.06509854211666</c:v>
                </c:pt>
                <c:pt idx="249">
                  <c:v>127.91956330993521</c:v>
                </c:pt>
                <c:pt idx="250">
                  <c:v>127.63144573434126</c:v>
                </c:pt>
                <c:pt idx="251">
                  <c:v>127.78077753779698</c:v>
                </c:pt>
                <c:pt idx="252">
                  <c:v>128.7210616900648</c:v>
                </c:pt>
                <c:pt idx="253">
                  <c:v>129.04967602591793</c:v>
                </c:pt>
                <c:pt idx="254">
                  <c:v>129.7393864740821</c:v>
                </c:pt>
                <c:pt idx="255">
                  <c:v>129.78494532937367</c:v>
                </c:pt>
                <c:pt idx="256">
                  <c:v>130.99056762958966</c:v>
                </c:pt>
                <c:pt idx="257">
                  <c:v>131.4980426565875</c:v>
                </c:pt>
                <c:pt idx="258">
                  <c:v>131.82370410367176</c:v>
                </c:pt>
                <c:pt idx="259">
                  <c:v>133.117491225702</c:v>
                </c:pt>
                <c:pt idx="260">
                  <c:v>131.9679738120951</c:v>
                </c:pt>
                <c:pt idx="261">
                  <c:v>132.3535367170627</c:v>
                </c:pt>
                <c:pt idx="262">
                  <c:v>133.35456600971926</c:v>
                </c:pt>
                <c:pt idx="263">
                  <c:v>135.2271193304536</c:v>
                </c:pt>
                <c:pt idx="264">
                  <c:v>135.52578293736502</c:v>
                </c:pt>
                <c:pt idx="265">
                  <c:v>135.53379792116633</c:v>
                </c:pt>
                <c:pt idx="266">
                  <c:v>133.41488930885529</c:v>
                </c:pt>
                <c:pt idx="267">
                  <c:v>132.76525377969764</c:v>
                </c:pt>
                <c:pt idx="268">
                  <c:v>131.77097394708426</c:v>
                </c:pt>
                <c:pt idx="269">
                  <c:v>130.6741866900648</c:v>
                </c:pt>
                <c:pt idx="270">
                  <c:v>131.86377902267819</c:v>
                </c:pt>
                <c:pt idx="271">
                  <c:v>131.12429130669548</c:v>
                </c:pt>
                <c:pt idx="272">
                  <c:v>132.17973812095033</c:v>
                </c:pt>
                <c:pt idx="273">
                  <c:v>129.17918129049676</c:v>
                </c:pt>
                <c:pt idx="274">
                  <c:v>130.01991090712741</c:v>
                </c:pt>
                <c:pt idx="275">
                  <c:v>131.00364470842331</c:v>
                </c:pt>
                <c:pt idx="276">
                  <c:v>132.15611501079911</c:v>
                </c:pt>
                <c:pt idx="277">
                  <c:v>130.81634719222458</c:v>
                </c:pt>
                <c:pt idx="278">
                  <c:v>130.29115483261336</c:v>
                </c:pt>
                <c:pt idx="279">
                  <c:v>129.60608463822891</c:v>
                </c:pt>
                <c:pt idx="280">
                  <c:v>130.93150985421164</c:v>
                </c:pt>
                <c:pt idx="281">
                  <c:v>131.48749662526993</c:v>
                </c:pt>
                <c:pt idx="282">
                  <c:v>131.34955453563711</c:v>
                </c:pt>
                <c:pt idx="283">
                  <c:v>130.65182910367167</c:v>
                </c:pt>
                <c:pt idx="284">
                  <c:v>130.92729144168464</c:v>
                </c:pt>
                <c:pt idx="285">
                  <c:v>130.31055953023755</c:v>
                </c:pt>
                <c:pt idx="286">
                  <c:v>131.63598474622026</c:v>
                </c:pt>
                <c:pt idx="287">
                  <c:v>131.18672381209498</c:v>
                </c:pt>
                <c:pt idx="288">
                  <c:v>129.01297583693298</c:v>
                </c:pt>
                <c:pt idx="289">
                  <c:v>126.30855156587465</c:v>
                </c:pt>
                <c:pt idx="290">
                  <c:v>126.09594357451397</c:v>
                </c:pt>
                <c:pt idx="291">
                  <c:v>120.22939727321808</c:v>
                </c:pt>
                <c:pt idx="292">
                  <c:v>119.35871692764572</c:v>
                </c:pt>
                <c:pt idx="293">
                  <c:v>118.85714767818567</c:v>
                </c:pt>
                <c:pt idx="294">
                  <c:v>118.08095977321807</c:v>
                </c:pt>
                <c:pt idx="295">
                  <c:v>120.32684260259173</c:v>
                </c:pt>
                <c:pt idx="296">
                  <c:v>116.99893696004314</c:v>
                </c:pt>
                <c:pt idx="297">
                  <c:v>105.57421031317487</c:v>
                </c:pt>
                <c:pt idx="298">
                  <c:v>106.84057775377963</c:v>
                </c:pt>
                <c:pt idx="299">
                  <c:v>101.79113795896322</c:v>
                </c:pt>
                <c:pt idx="300">
                  <c:v>96.081094762418942</c:v>
                </c:pt>
                <c:pt idx="301">
                  <c:v>96.898623110151135</c:v>
                </c:pt>
                <c:pt idx="302">
                  <c:v>95.488829643628463</c:v>
                </c:pt>
                <c:pt idx="303">
                  <c:v>92.500928050755888</c:v>
                </c:pt>
                <c:pt idx="304">
                  <c:v>90.039062499999943</c:v>
                </c:pt>
                <c:pt idx="305">
                  <c:v>98.173849217062568</c:v>
                </c:pt>
                <c:pt idx="306">
                  <c:v>95.246692764578782</c:v>
                </c:pt>
                <c:pt idx="307">
                  <c:v>99.110336798056082</c:v>
                </c:pt>
                <c:pt idx="308">
                  <c:v>103.74341927645783</c:v>
                </c:pt>
                <c:pt idx="309">
                  <c:v>103.29879859611225</c:v>
                </c:pt>
                <c:pt idx="310">
                  <c:v>105.1101849352051</c:v>
                </c:pt>
                <c:pt idx="311">
                  <c:v>100.28052443304529</c:v>
                </c:pt>
                <c:pt idx="312">
                  <c:v>104.03786447084227</c:v>
                </c:pt>
                <c:pt idx="313">
                  <c:v>104.00749190064788</c:v>
                </c:pt>
                <c:pt idx="314">
                  <c:v>106.67184125269971</c:v>
                </c:pt>
                <c:pt idx="315">
                  <c:v>107.44929468142543</c:v>
                </c:pt>
                <c:pt idx="316">
                  <c:v>109.56398488120945</c:v>
                </c:pt>
                <c:pt idx="317">
                  <c:v>111.73477996760252</c:v>
                </c:pt>
                <c:pt idx="318">
                  <c:v>110.4236973542116</c:v>
                </c:pt>
                <c:pt idx="319">
                  <c:v>113.62631614470835</c:v>
                </c:pt>
                <c:pt idx="320">
                  <c:v>112.98174271058309</c:v>
                </c:pt>
                <c:pt idx="321">
                  <c:v>112.87332950863924</c:v>
                </c:pt>
                <c:pt idx="322">
                  <c:v>111.76009044276452</c:v>
                </c:pt>
                <c:pt idx="323">
                  <c:v>110.40387081533471</c:v>
                </c:pt>
                <c:pt idx="324">
                  <c:v>105.9475398218142</c:v>
                </c:pt>
                <c:pt idx="325">
                  <c:v>107.60959435745133</c:v>
                </c:pt>
                <c:pt idx="326">
                  <c:v>106.48580926025912</c:v>
                </c:pt>
                <c:pt idx="327">
                  <c:v>104.93849554535632</c:v>
                </c:pt>
                <c:pt idx="328">
                  <c:v>104.37702483801291</c:v>
                </c:pt>
                <c:pt idx="329">
                  <c:v>109.6905372570194</c:v>
                </c:pt>
                <c:pt idx="330">
                  <c:v>109.18474959503234</c:v>
                </c:pt>
                <c:pt idx="331">
                  <c:v>108.44230899028072</c:v>
                </c:pt>
                <c:pt idx="332">
                  <c:v>108.31786582073428</c:v>
                </c:pt>
                <c:pt idx="333">
                  <c:v>110.91218952483796</c:v>
                </c:pt>
                <c:pt idx="334">
                  <c:v>113.21628644708419</c:v>
                </c:pt>
                <c:pt idx="335">
                  <c:v>110.68650445464357</c:v>
                </c:pt>
                <c:pt idx="336">
                  <c:v>111.91110961123105</c:v>
                </c:pt>
                <c:pt idx="337">
                  <c:v>112.17096382289411</c:v>
                </c:pt>
                <c:pt idx="338">
                  <c:v>111.06531789956799</c:v>
                </c:pt>
                <c:pt idx="339">
                  <c:v>111.69512688984878</c:v>
                </c:pt>
                <c:pt idx="340">
                  <c:v>111.17668399028075</c:v>
                </c:pt>
                <c:pt idx="341">
                  <c:v>110.97757491900644</c:v>
                </c:pt>
                <c:pt idx="342">
                  <c:v>109.515473137149</c:v>
                </c:pt>
                <c:pt idx="343">
                  <c:v>110.35957748380125</c:v>
                </c:pt>
                <c:pt idx="344">
                  <c:v>110.67469289956799</c:v>
                </c:pt>
                <c:pt idx="345">
                  <c:v>113.99584908207339</c:v>
                </c:pt>
                <c:pt idx="346">
                  <c:v>114.1531958693304</c:v>
                </c:pt>
                <c:pt idx="347">
                  <c:v>116.76439322354204</c:v>
                </c:pt>
                <c:pt idx="348">
                  <c:v>113.5419478941684</c:v>
                </c:pt>
                <c:pt idx="349">
                  <c:v>114.68682505399561</c:v>
                </c:pt>
                <c:pt idx="350">
                  <c:v>117.17568844492432</c:v>
                </c:pt>
                <c:pt idx="351">
                  <c:v>115.93252227321807</c:v>
                </c:pt>
                <c:pt idx="352">
                  <c:v>115.92324176565867</c:v>
                </c:pt>
                <c:pt idx="353">
                  <c:v>116.70744465442756</c:v>
                </c:pt>
                <c:pt idx="354">
                  <c:v>116.48007221922238</c:v>
                </c:pt>
                <c:pt idx="355">
                  <c:v>116.45476174406039</c:v>
                </c:pt>
                <c:pt idx="356">
                  <c:v>118.65635124190058</c:v>
                </c:pt>
                <c:pt idx="357">
                  <c:v>119.06849014578827</c:v>
                </c:pt>
                <c:pt idx="358">
                  <c:v>117.28536717062629</c:v>
                </c:pt>
                <c:pt idx="359">
                  <c:v>118.40282464902799</c:v>
                </c:pt>
                <c:pt idx="360">
                  <c:v>118.29947354211656</c:v>
                </c:pt>
                <c:pt idx="361">
                  <c:v>117.90884854211654</c:v>
                </c:pt>
                <c:pt idx="362">
                  <c:v>116.30078968682497</c:v>
                </c:pt>
                <c:pt idx="363">
                  <c:v>114.13505669546427</c:v>
                </c:pt>
                <c:pt idx="364">
                  <c:v>115.81609408747291</c:v>
                </c:pt>
                <c:pt idx="365">
                  <c:v>116.38473609611221</c:v>
                </c:pt>
                <c:pt idx="366">
                  <c:v>115.36683315334764</c:v>
                </c:pt>
                <c:pt idx="367">
                  <c:v>115.54400647948155</c:v>
                </c:pt>
                <c:pt idx="368">
                  <c:v>116.19279832613381</c:v>
                </c:pt>
                <c:pt idx="369">
                  <c:v>116.99050013498909</c:v>
                </c:pt>
                <c:pt idx="370">
                  <c:v>116.0097192224621</c:v>
                </c:pt>
                <c:pt idx="371">
                  <c:v>117.27271193304526</c:v>
                </c:pt>
                <c:pt idx="372">
                  <c:v>115.98693979481632</c:v>
                </c:pt>
                <c:pt idx="373">
                  <c:v>116.87913404427638</c:v>
                </c:pt>
                <c:pt idx="374">
                  <c:v>116.53617710583146</c:v>
                </c:pt>
                <c:pt idx="375">
                  <c:v>117.66291509179257</c:v>
                </c:pt>
                <c:pt idx="376">
                  <c:v>119.20727591792649</c:v>
                </c:pt>
                <c:pt idx="377">
                  <c:v>119.3528111501079</c:v>
                </c:pt>
                <c:pt idx="378">
                  <c:v>118.77024838012949</c:v>
                </c:pt>
                <c:pt idx="379">
                  <c:v>118.3623278887688</c:v>
                </c:pt>
                <c:pt idx="380">
                  <c:v>116.79392211123101</c:v>
                </c:pt>
                <c:pt idx="381">
                  <c:v>118.34840712742972</c:v>
                </c:pt>
                <c:pt idx="382">
                  <c:v>116.08986906047508</c:v>
                </c:pt>
                <c:pt idx="383">
                  <c:v>115.10318237041029</c:v>
                </c:pt>
                <c:pt idx="384">
                  <c:v>115.6553725701943</c:v>
                </c:pt>
                <c:pt idx="385">
                  <c:v>116.30332073434117</c:v>
                </c:pt>
                <c:pt idx="386">
                  <c:v>116.92806762958955</c:v>
                </c:pt>
                <c:pt idx="387">
                  <c:v>118.74789079373642</c:v>
                </c:pt>
                <c:pt idx="388">
                  <c:v>119.14906182505393</c:v>
                </c:pt>
                <c:pt idx="389">
                  <c:v>120.15768426025912</c:v>
                </c:pt>
                <c:pt idx="390">
                  <c:v>119.59832275917921</c:v>
                </c:pt>
                <c:pt idx="391">
                  <c:v>121.05536244600425</c:v>
                </c:pt>
                <c:pt idx="392">
                  <c:v>121.96864875809928</c:v>
                </c:pt>
                <c:pt idx="393">
                  <c:v>122.06145383369322</c:v>
                </c:pt>
                <c:pt idx="394">
                  <c:v>123.00637823974074</c:v>
                </c:pt>
                <c:pt idx="395">
                  <c:v>122.45250067494591</c:v>
                </c:pt>
                <c:pt idx="396">
                  <c:v>123.07977861771047</c:v>
                </c:pt>
                <c:pt idx="397">
                  <c:v>123.80661109611221</c:v>
                </c:pt>
                <c:pt idx="398">
                  <c:v>124.62920153887679</c:v>
                </c:pt>
                <c:pt idx="399">
                  <c:v>126.49036514578826</c:v>
                </c:pt>
                <c:pt idx="400">
                  <c:v>126.22587068034549</c:v>
                </c:pt>
                <c:pt idx="401">
                  <c:v>125.56062702483791</c:v>
                </c:pt>
                <c:pt idx="402">
                  <c:v>124.83506007019429</c:v>
                </c:pt>
                <c:pt idx="403">
                  <c:v>126.16850026997832</c:v>
                </c:pt>
                <c:pt idx="404">
                  <c:v>128.98344694924398</c:v>
                </c:pt>
                <c:pt idx="405">
                  <c:v>129.75668196544268</c:v>
                </c:pt>
                <c:pt idx="406">
                  <c:v>129.5394337203023</c:v>
                </c:pt>
                <c:pt idx="407">
                  <c:v>128.94505939524831</c:v>
                </c:pt>
                <c:pt idx="408">
                  <c:v>128.58649433045349</c:v>
                </c:pt>
                <c:pt idx="409">
                  <c:v>128.44728671706258</c:v>
                </c:pt>
                <c:pt idx="410">
                  <c:v>127.11764308855287</c:v>
                </c:pt>
                <c:pt idx="411">
                  <c:v>126.79957478401724</c:v>
                </c:pt>
                <c:pt idx="412">
                  <c:v>128.34857586393082</c:v>
                </c:pt>
                <c:pt idx="413">
                  <c:v>128.28993992980554</c:v>
                </c:pt>
                <c:pt idx="414">
                  <c:v>128.71220302375801</c:v>
                </c:pt>
                <c:pt idx="415">
                  <c:v>127.21466657667378</c:v>
                </c:pt>
                <c:pt idx="416">
                  <c:v>126.25793061555068</c:v>
                </c:pt>
                <c:pt idx="417">
                  <c:v>125.54290969222455</c:v>
                </c:pt>
                <c:pt idx="418">
                  <c:v>126.12041036717055</c:v>
                </c:pt>
                <c:pt idx="419">
                  <c:v>124.63806020518349</c:v>
                </c:pt>
                <c:pt idx="420">
                  <c:v>123.18692629589624</c:v>
                </c:pt>
                <c:pt idx="421">
                  <c:v>123.57333288336926</c:v>
                </c:pt>
                <c:pt idx="422">
                  <c:v>123.9023690604751</c:v>
                </c:pt>
                <c:pt idx="423">
                  <c:v>121.52529360151182</c:v>
                </c:pt>
                <c:pt idx="424">
                  <c:v>121.83155035097187</c:v>
                </c:pt>
                <c:pt idx="425">
                  <c:v>121.86656317494594</c:v>
                </c:pt>
                <c:pt idx="426">
                  <c:v>123.10551093412521</c:v>
                </c:pt>
                <c:pt idx="427">
                  <c:v>123.87030912526991</c:v>
                </c:pt>
                <c:pt idx="428">
                  <c:v>125.81373177645781</c:v>
                </c:pt>
                <c:pt idx="429">
                  <c:v>124.33939659827207</c:v>
                </c:pt>
                <c:pt idx="430">
                  <c:v>125.54417521598265</c:v>
                </c:pt>
                <c:pt idx="431">
                  <c:v>124.28202618790489</c:v>
                </c:pt>
                <c:pt idx="432">
                  <c:v>121.23717602591786</c:v>
                </c:pt>
                <c:pt idx="433">
                  <c:v>123.73996017818567</c:v>
                </c:pt>
                <c:pt idx="434">
                  <c:v>122.56808517818568</c:v>
                </c:pt>
                <c:pt idx="435">
                  <c:v>122.87518561015112</c:v>
                </c:pt>
                <c:pt idx="436">
                  <c:v>122.73977456803449</c:v>
                </c:pt>
                <c:pt idx="437">
                  <c:v>123.84288944384444</c:v>
                </c:pt>
                <c:pt idx="438">
                  <c:v>122.69463755399563</c:v>
                </c:pt>
                <c:pt idx="439">
                  <c:v>122.80136339092866</c:v>
                </c:pt>
                <c:pt idx="440">
                  <c:v>119.83328833693297</c:v>
                </c:pt>
                <c:pt idx="441">
                  <c:v>120.66895585853126</c:v>
                </c:pt>
                <c:pt idx="442">
                  <c:v>121.71723137149023</c:v>
                </c:pt>
                <c:pt idx="443">
                  <c:v>121.64129994600425</c:v>
                </c:pt>
                <c:pt idx="444">
                  <c:v>120.25217670086387</c:v>
                </c:pt>
                <c:pt idx="445">
                  <c:v>119.91217265118784</c:v>
                </c:pt>
                <c:pt idx="446">
                  <c:v>119.56373177645781</c:v>
                </c:pt>
                <c:pt idx="447">
                  <c:v>120.05770788336928</c:v>
                </c:pt>
                <c:pt idx="448">
                  <c:v>119.37601241900643</c:v>
                </c:pt>
                <c:pt idx="449">
                  <c:v>120.1926970842332</c:v>
                </c:pt>
                <c:pt idx="450">
                  <c:v>118.91873650107986</c:v>
                </c:pt>
                <c:pt idx="451">
                  <c:v>118.01641806155503</c:v>
                </c:pt>
                <c:pt idx="452">
                  <c:v>117.52455116090707</c:v>
                </c:pt>
                <c:pt idx="453">
                  <c:v>118.61627632289411</c:v>
                </c:pt>
                <c:pt idx="454">
                  <c:v>117.4481978941684</c:v>
                </c:pt>
                <c:pt idx="455">
                  <c:v>118.42349487041032</c:v>
                </c:pt>
                <c:pt idx="456">
                  <c:v>118.6420086393088</c:v>
                </c:pt>
                <c:pt idx="457">
                  <c:v>117.44608868790492</c:v>
                </c:pt>
                <c:pt idx="458">
                  <c:v>116.37925215982717</c:v>
                </c:pt>
                <c:pt idx="459">
                  <c:v>114.08696679265654</c:v>
                </c:pt>
                <c:pt idx="460">
                  <c:v>113.85242305615546</c:v>
                </c:pt>
                <c:pt idx="461">
                  <c:v>113.10365483261334</c:v>
                </c:pt>
                <c:pt idx="462">
                  <c:v>116.17381546976236</c:v>
                </c:pt>
                <c:pt idx="463">
                  <c:v>119.14695261879042</c:v>
                </c:pt>
                <c:pt idx="464">
                  <c:v>120.04505264578826</c:v>
                </c:pt>
                <c:pt idx="465">
                  <c:v>123.13883639308848</c:v>
                </c:pt>
                <c:pt idx="466">
                  <c:v>125.11474082073427</c:v>
                </c:pt>
                <c:pt idx="467">
                  <c:v>126.74768830993513</c:v>
                </c:pt>
                <c:pt idx="468">
                  <c:v>126.45914889308847</c:v>
                </c:pt>
                <c:pt idx="469">
                  <c:v>126.85441414686815</c:v>
                </c:pt>
                <c:pt idx="470">
                  <c:v>128.84508301835842</c:v>
                </c:pt>
                <c:pt idx="471">
                  <c:v>129.97139916306688</c:v>
                </c:pt>
                <c:pt idx="472">
                  <c:v>128.49368925485953</c:v>
                </c:pt>
                <c:pt idx="473">
                  <c:v>129.38124325053988</c:v>
                </c:pt>
                <c:pt idx="474">
                  <c:v>128.69575121490274</c:v>
                </c:pt>
                <c:pt idx="475">
                  <c:v>129.36352591792649</c:v>
                </c:pt>
                <c:pt idx="476">
                  <c:v>129.58119600431959</c:v>
                </c:pt>
                <c:pt idx="477">
                  <c:v>131.26645180885521</c:v>
                </c:pt>
                <c:pt idx="478">
                  <c:v>132.51847664686815</c:v>
                </c:pt>
                <c:pt idx="479">
                  <c:v>132.14388161447076</c:v>
                </c:pt>
                <c:pt idx="480">
                  <c:v>132.0734341252699</c:v>
                </c:pt>
                <c:pt idx="481">
                  <c:v>131.3217130129589</c:v>
                </c:pt>
                <c:pt idx="482">
                  <c:v>132.90783612311009</c:v>
                </c:pt>
                <c:pt idx="483">
                  <c:v>134.38934260259174</c:v>
                </c:pt>
                <c:pt idx="484">
                  <c:v>133.78442224622023</c:v>
                </c:pt>
                <c:pt idx="485">
                  <c:v>134.10924001079906</c:v>
                </c:pt>
                <c:pt idx="486">
                  <c:v>134.35348609611222</c:v>
                </c:pt>
                <c:pt idx="487">
                  <c:v>134.32437904967594</c:v>
                </c:pt>
                <c:pt idx="488">
                  <c:v>134.73736163606907</c:v>
                </c:pt>
                <c:pt idx="489">
                  <c:v>137.41352254319648</c:v>
                </c:pt>
                <c:pt idx="490">
                  <c:v>138.9123245140388</c:v>
                </c:pt>
                <c:pt idx="491">
                  <c:v>137.21146058315327</c:v>
                </c:pt>
                <c:pt idx="492">
                  <c:v>137.51560812634983</c:v>
                </c:pt>
                <c:pt idx="493">
                  <c:v>138.26564187365005</c:v>
                </c:pt>
                <c:pt idx="494">
                  <c:v>138.43100364470837</c:v>
                </c:pt>
                <c:pt idx="495">
                  <c:v>136.96763633909282</c:v>
                </c:pt>
                <c:pt idx="496">
                  <c:v>134.13244127969756</c:v>
                </c:pt>
                <c:pt idx="497">
                  <c:v>136.00246355291569</c:v>
                </c:pt>
                <c:pt idx="498">
                  <c:v>137.25575391468672</c:v>
                </c:pt>
                <c:pt idx="499">
                  <c:v>136.5238593412526</c:v>
                </c:pt>
                <c:pt idx="500">
                  <c:v>137.07351849352042</c:v>
                </c:pt>
                <c:pt idx="501">
                  <c:v>137.929856236501</c:v>
                </c:pt>
                <c:pt idx="502">
                  <c:v>138.19688174945995</c:v>
                </c:pt>
                <c:pt idx="503">
                  <c:v>139.46578023758087</c:v>
                </c:pt>
                <c:pt idx="504">
                  <c:v>140.38623785097181</c:v>
                </c:pt>
                <c:pt idx="505">
                  <c:v>142.30266266198691</c:v>
                </c:pt>
                <c:pt idx="506">
                  <c:v>143.01388701403877</c:v>
                </c:pt>
                <c:pt idx="507">
                  <c:v>145.77441617170615</c:v>
                </c:pt>
                <c:pt idx="508">
                  <c:v>147.41664416846641</c:v>
                </c:pt>
                <c:pt idx="509">
                  <c:v>147.13485421166294</c:v>
                </c:pt>
                <c:pt idx="510">
                  <c:v>146.0342703833692</c:v>
                </c:pt>
                <c:pt idx="511">
                  <c:v>147.05470437365</c:v>
                </c:pt>
                <c:pt idx="512">
                  <c:v>145.13701403887677</c:v>
                </c:pt>
                <c:pt idx="513">
                  <c:v>146.78092940064784</c:v>
                </c:pt>
                <c:pt idx="514">
                  <c:v>145.68456398488109</c:v>
                </c:pt>
                <c:pt idx="515">
                  <c:v>146.87415631749448</c:v>
                </c:pt>
                <c:pt idx="516">
                  <c:v>143.60994870410357</c:v>
                </c:pt>
                <c:pt idx="517">
                  <c:v>143.39565334773206</c:v>
                </c:pt>
                <c:pt idx="518">
                  <c:v>142.79284219762405</c:v>
                </c:pt>
                <c:pt idx="519">
                  <c:v>143.35768763498908</c:v>
                </c:pt>
                <c:pt idx="520">
                  <c:v>140.01586123110138</c:v>
                </c:pt>
                <c:pt idx="521">
                  <c:v>140.68954171166297</c:v>
                </c:pt>
                <c:pt idx="522">
                  <c:v>138.6997165226781</c:v>
                </c:pt>
                <c:pt idx="523">
                  <c:v>140.23015658747289</c:v>
                </c:pt>
                <c:pt idx="524">
                  <c:v>141.4007660637148</c:v>
                </c:pt>
                <c:pt idx="525">
                  <c:v>141.57962675485953</c:v>
                </c:pt>
                <c:pt idx="526">
                  <c:v>143.29820801835842</c:v>
                </c:pt>
                <c:pt idx="527">
                  <c:v>143.97315402267807</c:v>
                </c:pt>
                <c:pt idx="528">
                  <c:v>146.00558517818564</c:v>
                </c:pt>
                <c:pt idx="529">
                  <c:v>145.01889848812087</c:v>
                </c:pt>
                <c:pt idx="530">
                  <c:v>143.65086730561546</c:v>
                </c:pt>
                <c:pt idx="531">
                  <c:v>143.55553118250532</c:v>
                </c:pt>
                <c:pt idx="532">
                  <c:v>146.03891063714894</c:v>
                </c:pt>
                <c:pt idx="533">
                  <c:v>147.73049406047508</c:v>
                </c:pt>
                <c:pt idx="534">
                  <c:v>147.29895045896319</c:v>
                </c:pt>
                <c:pt idx="535">
                  <c:v>145.60652335313165</c:v>
                </c:pt>
                <c:pt idx="536">
                  <c:v>143.35853131749451</c:v>
                </c:pt>
                <c:pt idx="537">
                  <c:v>145.72210785637137</c:v>
                </c:pt>
                <c:pt idx="538">
                  <c:v>145.43272475701934</c:v>
                </c:pt>
                <c:pt idx="539">
                  <c:v>144.5257660637148</c:v>
                </c:pt>
                <c:pt idx="540">
                  <c:v>143.93898488120939</c:v>
                </c:pt>
                <c:pt idx="541">
                  <c:v>141.50453901187893</c:v>
                </c:pt>
                <c:pt idx="542">
                  <c:v>142.14700323974071</c:v>
                </c:pt>
                <c:pt idx="543">
                  <c:v>142.59710785637139</c:v>
                </c:pt>
                <c:pt idx="544">
                  <c:v>144.81303995680335</c:v>
                </c:pt>
                <c:pt idx="545">
                  <c:v>143.55300013498911</c:v>
                </c:pt>
                <c:pt idx="546">
                  <c:v>142.52666036717051</c:v>
                </c:pt>
                <c:pt idx="547">
                  <c:v>144.5430615550755</c:v>
                </c:pt>
                <c:pt idx="548">
                  <c:v>146.67040699244052</c:v>
                </c:pt>
                <c:pt idx="549">
                  <c:v>146.85390793736494</c:v>
                </c:pt>
                <c:pt idx="550">
                  <c:v>148.29576133909279</c:v>
                </c:pt>
                <c:pt idx="551">
                  <c:v>150.28896125809925</c:v>
                </c:pt>
                <c:pt idx="552">
                  <c:v>151.89153617710573</c:v>
                </c:pt>
                <c:pt idx="553">
                  <c:v>150.97951538876882</c:v>
                </c:pt>
                <c:pt idx="554">
                  <c:v>149.0656216252699</c:v>
                </c:pt>
                <c:pt idx="555">
                  <c:v>146.54090172786169</c:v>
                </c:pt>
                <c:pt idx="556">
                  <c:v>146.76110286177098</c:v>
                </c:pt>
                <c:pt idx="557">
                  <c:v>146.84758031857444</c:v>
                </c:pt>
                <c:pt idx="558">
                  <c:v>145.95665159287248</c:v>
                </c:pt>
                <c:pt idx="559">
                  <c:v>146.71090375269969</c:v>
                </c:pt>
                <c:pt idx="560">
                  <c:v>146.63244127969756</c:v>
                </c:pt>
                <c:pt idx="561">
                  <c:v>147.661733936285</c:v>
                </c:pt>
                <c:pt idx="562">
                  <c:v>149.15125539956793</c:v>
                </c:pt>
                <c:pt idx="563">
                  <c:v>148.72266468682494</c:v>
                </c:pt>
                <c:pt idx="564">
                  <c:v>150.01856101511871</c:v>
                </c:pt>
                <c:pt idx="565">
                  <c:v>149.91774095572345</c:v>
                </c:pt>
                <c:pt idx="566">
                  <c:v>149.97468952483791</c:v>
                </c:pt>
                <c:pt idx="567">
                  <c:v>149.17403482721375</c:v>
                </c:pt>
                <c:pt idx="568">
                  <c:v>146.97877294816405</c:v>
                </c:pt>
                <c:pt idx="569">
                  <c:v>148.20169073974071</c:v>
                </c:pt>
                <c:pt idx="570">
                  <c:v>148.07471652267807</c:v>
                </c:pt>
                <c:pt idx="571">
                  <c:v>146.65353334233251</c:v>
                </c:pt>
                <c:pt idx="572">
                  <c:v>149.0491698164146</c:v>
                </c:pt>
                <c:pt idx="573">
                  <c:v>150.49313242440599</c:v>
                </c:pt>
                <c:pt idx="574">
                  <c:v>148.99981438984875</c:v>
                </c:pt>
                <c:pt idx="575">
                  <c:v>150.93522205723536</c:v>
                </c:pt>
                <c:pt idx="576">
                  <c:v>151.79830926025909</c:v>
                </c:pt>
                <c:pt idx="577">
                  <c:v>151.07696071814246</c:v>
                </c:pt>
                <c:pt idx="578">
                  <c:v>149.95739403347724</c:v>
                </c:pt>
                <c:pt idx="579">
                  <c:v>150.87953901187899</c:v>
                </c:pt>
                <c:pt idx="580">
                  <c:v>151.81054265658742</c:v>
                </c:pt>
                <c:pt idx="581">
                  <c:v>151.99488728401721</c:v>
                </c:pt>
                <c:pt idx="582">
                  <c:v>152.51965780237575</c:v>
                </c:pt>
                <c:pt idx="583">
                  <c:v>152.23786784557228</c:v>
                </c:pt>
                <c:pt idx="584">
                  <c:v>152.25853806695457</c:v>
                </c:pt>
                <c:pt idx="585">
                  <c:v>150.76732923866084</c:v>
                </c:pt>
                <c:pt idx="586">
                  <c:v>150.07508774298049</c:v>
                </c:pt>
                <c:pt idx="587">
                  <c:v>151.95439052375804</c:v>
                </c:pt>
                <c:pt idx="588">
                  <c:v>153.41143021058306</c:v>
                </c:pt>
                <c:pt idx="589">
                  <c:v>155.16122772678176</c:v>
                </c:pt>
                <c:pt idx="590">
                  <c:v>155.41391063714894</c:v>
                </c:pt>
                <c:pt idx="591">
                  <c:v>153.73118588012952</c:v>
                </c:pt>
                <c:pt idx="592">
                  <c:v>154.37829036177098</c:v>
                </c:pt>
                <c:pt idx="593">
                  <c:v>153.30470437365003</c:v>
                </c:pt>
                <c:pt idx="594">
                  <c:v>154.17158814794811</c:v>
                </c:pt>
                <c:pt idx="595">
                  <c:v>153.76662054535632</c:v>
                </c:pt>
                <c:pt idx="596">
                  <c:v>154.82248920086388</c:v>
                </c:pt>
                <c:pt idx="597">
                  <c:v>155.82056560475161</c:v>
                </c:pt>
                <c:pt idx="598">
                  <c:v>153.97501012419005</c:v>
                </c:pt>
                <c:pt idx="599">
                  <c:v>153.44475566954642</c:v>
                </c:pt>
                <c:pt idx="600">
                  <c:v>154.64531587473002</c:v>
                </c:pt>
                <c:pt idx="601">
                  <c:v>155.33966657667386</c:v>
                </c:pt>
                <c:pt idx="602">
                  <c:v>155.88257626889848</c:v>
                </c:pt>
                <c:pt idx="603">
                  <c:v>156.45121827753781</c:v>
                </c:pt>
                <c:pt idx="604">
                  <c:v>158.20987446004321</c:v>
                </c:pt>
                <c:pt idx="605">
                  <c:v>156.67141941144709</c:v>
                </c:pt>
                <c:pt idx="606">
                  <c:v>157.75048933585316</c:v>
                </c:pt>
                <c:pt idx="607">
                  <c:v>159.08983531317497</c:v>
                </c:pt>
                <c:pt idx="608">
                  <c:v>161.72423393628512</c:v>
                </c:pt>
                <c:pt idx="609">
                  <c:v>160.55024973002162</c:v>
                </c:pt>
                <c:pt idx="610">
                  <c:v>160.63546166306699</c:v>
                </c:pt>
                <c:pt idx="611">
                  <c:v>161.12311015118794</c:v>
                </c:pt>
                <c:pt idx="612">
                  <c:v>161.21928995680352</c:v>
                </c:pt>
                <c:pt idx="613">
                  <c:v>161.78497907667392</c:v>
                </c:pt>
                <c:pt idx="614">
                  <c:v>161.94401322894174</c:v>
                </c:pt>
                <c:pt idx="615">
                  <c:v>162.23213080453567</c:v>
                </c:pt>
                <c:pt idx="616">
                  <c:v>163.01464632829376</c:v>
                </c:pt>
                <c:pt idx="617">
                  <c:v>161.20452551295898</c:v>
                </c:pt>
                <c:pt idx="618">
                  <c:v>160.60846382289418</c:v>
                </c:pt>
                <c:pt idx="619">
                  <c:v>160.72109543736499</c:v>
                </c:pt>
                <c:pt idx="620">
                  <c:v>160.18282599892007</c:v>
                </c:pt>
                <c:pt idx="621">
                  <c:v>161.63311622570194</c:v>
                </c:pt>
                <c:pt idx="622">
                  <c:v>161.82336663066954</c:v>
                </c:pt>
                <c:pt idx="623">
                  <c:v>161.72254657127431</c:v>
                </c:pt>
                <c:pt idx="624">
                  <c:v>161.09990888228941</c:v>
                </c:pt>
                <c:pt idx="625">
                  <c:v>161.72212473002159</c:v>
                </c:pt>
                <c:pt idx="626">
                  <c:v>161.04717872570194</c:v>
                </c:pt>
                <c:pt idx="627">
                  <c:v>160.27520923326136</c:v>
                </c:pt>
                <c:pt idx="628">
                  <c:v>162.12540496760261</c:v>
                </c:pt>
                <c:pt idx="629">
                  <c:v>162.56960380669545</c:v>
                </c:pt>
                <c:pt idx="630">
                  <c:v>163.45547043736502</c:v>
                </c:pt>
                <c:pt idx="631">
                  <c:v>164.38394303455726</c:v>
                </c:pt>
                <c:pt idx="632">
                  <c:v>163.75371220302378</c:v>
                </c:pt>
                <c:pt idx="633">
                  <c:v>163.76510191684667</c:v>
                </c:pt>
                <c:pt idx="634">
                  <c:v>163.06779832613393</c:v>
                </c:pt>
                <c:pt idx="635">
                  <c:v>163.01042791576677</c:v>
                </c:pt>
                <c:pt idx="636">
                  <c:v>164.02537796976247</c:v>
                </c:pt>
                <c:pt idx="637">
                  <c:v>162.45781587473007</c:v>
                </c:pt>
                <c:pt idx="638">
                  <c:v>161.4154461393089</c:v>
                </c:pt>
                <c:pt idx="639">
                  <c:v>160.09002092332619</c:v>
                </c:pt>
                <c:pt idx="640">
                  <c:v>157.93609948704108</c:v>
                </c:pt>
                <c:pt idx="641">
                  <c:v>156.38625472462206</c:v>
                </c:pt>
                <c:pt idx="642">
                  <c:v>156.87938714902813</c:v>
                </c:pt>
                <c:pt idx="643">
                  <c:v>158.03649770518362</c:v>
                </c:pt>
                <c:pt idx="644">
                  <c:v>158.62623177645793</c:v>
                </c:pt>
                <c:pt idx="645">
                  <c:v>157.1021193304536</c:v>
                </c:pt>
                <c:pt idx="646">
                  <c:v>158.47689997300219</c:v>
                </c:pt>
                <c:pt idx="647">
                  <c:v>158.07446341792658</c:v>
                </c:pt>
                <c:pt idx="648">
                  <c:v>160.06344492440607</c:v>
                </c:pt>
                <c:pt idx="649">
                  <c:v>159.84957140928728</c:v>
                </c:pt>
                <c:pt idx="650">
                  <c:v>159.92929940604753</c:v>
                </c:pt>
                <c:pt idx="651">
                  <c:v>159.55765726241901</c:v>
                </c:pt>
                <c:pt idx="652">
                  <c:v>160.65571004319654</c:v>
                </c:pt>
                <c:pt idx="653">
                  <c:v>160.46461595572353</c:v>
                </c:pt>
                <c:pt idx="654">
                  <c:v>161.83897475701943</c:v>
                </c:pt>
                <c:pt idx="655">
                  <c:v>160.10900377969762</c:v>
                </c:pt>
                <c:pt idx="656">
                  <c:v>162.2873920086393</c:v>
                </c:pt>
                <c:pt idx="657">
                  <c:v>163.47318776997841</c:v>
                </c:pt>
                <c:pt idx="658">
                  <c:v>163.63264376349892</c:v>
                </c:pt>
                <c:pt idx="659">
                  <c:v>163.78492845572353</c:v>
                </c:pt>
                <c:pt idx="660">
                  <c:v>162.92859071274299</c:v>
                </c:pt>
                <c:pt idx="661">
                  <c:v>164.2586561825054</c:v>
                </c:pt>
                <c:pt idx="662">
                  <c:v>166.56106573974083</c:v>
                </c:pt>
                <c:pt idx="663">
                  <c:v>163.80939524838016</c:v>
                </c:pt>
                <c:pt idx="664">
                  <c:v>163.20152200323977</c:v>
                </c:pt>
                <c:pt idx="665">
                  <c:v>162.91466995140391</c:v>
                </c:pt>
                <c:pt idx="666">
                  <c:v>164.41515928725704</c:v>
                </c:pt>
                <c:pt idx="667">
                  <c:v>164.17217872570197</c:v>
                </c:pt>
                <c:pt idx="668">
                  <c:v>163.54743183045358</c:v>
                </c:pt>
                <c:pt idx="669">
                  <c:v>163.00410029697628</c:v>
                </c:pt>
                <c:pt idx="670">
                  <c:v>164.55858531317497</c:v>
                </c:pt>
              </c:numCache>
            </c:numRef>
          </c:val>
          <c:smooth val="0"/>
          <c:extLst>
            <c:ext xmlns:c16="http://schemas.microsoft.com/office/drawing/2014/chart" uri="{C3380CC4-5D6E-409C-BE32-E72D297353CC}">
              <c16:uniqueId val="{00000002-749C-40F3-8E91-76B2076E7451}"/>
            </c:ext>
          </c:extLst>
        </c:ser>
        <c:dLbls>
          <c:showLegendKey val="0"/>
          <c:showVal val="0"/>
          <c:showCatName val="0"/>
          <c:showSerName val="0"/>
          <c:showPercent val="0"/>
          <c:showBubbleSize val="0"/>
        </c:dLbls>
        <c:smooth val="0"/>
        <c:axId val="295887232"/>
        <c:axId val="295888768"/>
      </c:lineChart>
      <c:dateAx>
        <c:axId val="295887232"/>
        <c:scaling>
          <c:orientation val="minMax"/>
        </c:scaling>
        <c:delete val="0"/>
        <c:axPos val="b"/>
        <c:numFmt formatCode="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5888768"/>
        <c:crosses val="autoZero"/>
        <c:auto val="1"/>
        <c:lblOffset val="100"/>
        <c:baseTimeUnit val="days"/>
      </c:dateAx>
      <c:valAx>
        <c:axId val="295888768"/>
        <c:scaling>
          <c:orientation val="minMax"/>
          <c:max val="180"/>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r>
                  <a:rPr lang="hy-AM" sz="500" b="0" i="0" u="none" strike="noStrike" baseline="0">
                    <a:effectLst/>
                  </a:rPr>
                  <a:t>Ինդեքս՝ 201</a:t>
                </a:r>
                <a:r>
                  <a:rPr lang="en-GB" sz="500" b="0" i="0" u="none" strike="noStrike" baseline="0">
                    <a:effectLst/>
                  </a:rPr>
                  <a:t>9 </a:t>
                </a:r>
                <a:r>
                  <a:rPr lang="hy-AM" sz="500" b="0" i="0" u="none" strike="noStrike" baseline="0">
                    <a:effectLst/>
                  </a:rPr>
                  <a:t>թ. հունվար</a:t>
                </a:r>
                <a:r>
                  <a:rPr lang="en-GB" sz="500" b="0" i="0" u="none" strike="noStrike" baseline="0">
                    <a:effectLst/>
                  </a:rPr>
                  <a:t>  </a:t>
                </a:r>
                <a:r>
                  <a:rPr lang="hy-AM" sz="500" b="0" i="0" u="none" strike="noStrike" baseline="0">
                    <a:effectLst/>
                  </a:rPr>
                  <a:t> =100</a:t>
                </a:r>
                <a:endParaRPr lang="en-US" sz="500"/>
              </a:p>
            </c:rich>
          </c:tx>
          <c:layout>
            <c:manualLayout>
              <c:xMode val="edge"/>
              <c:yMode val="edge"/>
              <c:x val="1.0471204188481676E-2"/>
              <c:y val="5.6737588652482303E-2"/>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5887232"/>
        <c:crosses val="autoZero"/>
        <c:crossBetween val="between"/>
      </c:valAx>
      <c:spPr>
        <a:noFill/>
        <a:ln>
          <a:noFill/>
        </a:ln>
        <a:effectLst/>
      </c:spPr>
    </c:plotArea>
    <c:legend>
      <c:legendPos val="b"/>
      <c:layout>
        <c:manualLayout>
          <c:xMode val="edge"/>
          <c:yMode val="edge"/>
          <c:x val="1.5918499878236868E-2"/>
          <c:y val="0.8768571444381118"/>
          <c:w val="0.93723489460724629"/>
          <c:h val="0.10668212327289027"/>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9" b="0" i="0" u="none" strike="noStrike" kern="1200" spc="0" baseline="0">
                <a:solidFill>
                  <a:schemeClr val="tx1">
                    <a:lumMod val="65000"/>
                    <a:lumOff val="35000"/>
                  </a:schemeClr>
                </a:solidFill>
                <a:latin typeface="GHEA Grapalat" panose="02000506050000020003" pitchFamily="50" charset="0"/>
                <a:ea typeface="+mn-ea"/>
                <a:cs typeface="+mn-cs"/>
              </a:defRPr>
            </a:pPr>
            <a:r>
              <a:rPr lang="hy-AM" sz="899" b="1" baseline="0">
                <a:solidFill>
                  <a:sysClr val="windowText" lastClr="000000"/>
                </a:solidFill>
              </a:rPr>
              <a:t>Կառավարության պարտքի բեռի փոփոխությանը նպաստող գործոնները, </a:t>
            </a:r>
            <a:r>
              <a:rPr lang="en-US" sz="899" b="1" baseline="0">
                <a:solidFill>
                  <a:sysClr val="windowText" lastClr="000000"/>
                </a:solidFill>
              </a:rPr>
              <a:t>%-</a:t>
            </a:r>
            <a:r>
              <a:rPr lang="hy-AM" sz="899" b="1" baseline="0">
                <a:solidFill>
                  <a:sysClr val="windowText" lastClr="000000"/>
                </a:solidFill>
              </a:rPr>
              <a:t>ային կետ</a:t>
            </a:r>
            <a:endParaRPr lang="en-US" sz="900" b="1">
              <a:solidFill>
                <a:sysClr val="windowText" lastClr="000000"/>
              </a:solidFill>
            </a:endParaRPr>
          </a:p>
        </c:rich>
      </c:tx>
      <c:layout>
        <c:manualLayout>
          <c:xMode val="edge"/>
          <c:yMode val="edge"/>
          <c:x val="8.4826303261163777E-2"/>
          <c:y val="3.4761154855643046E-3"/>
        </c:manualLayout>
      </c:layout>
      <c:overlay val="0"/>
      <c:spPr>
        <a:noFill/>
        <a:ln w="25384">
          <a:noFill/>
        </a:ln>
      </c:spPr>
    </c:title>
    <c:autoTitleDeleted val="0"/>
    <c:plotArea>
      <c:layout>
        <c:manualLayout>
          <c:layoutTarget val="inner"/>
          <c:xMode val="edge"/>
          <c:yMode val="edge"/>
          <c:x val="0.11882213353467802"/>
          <c:y val="0.18580364954380699"/>
          <c:w val="0.49000876204041866"/>
          <c:h val="0.77039682539682564"/>
        </c:manualLayout>
      </c:layout>
      <c:barChart>
        <c:barDir val="col"/>
        <c:grouping val="stacked"/>
        <c:varyColors val="0"/>
        <c:ser>
          <c:idx val="0"/>
          <c:order val="0"/>
          <c:tx>
            <c:strRef>
              <c:f>Sheet1!$B$1</c:f>
              <c:strCache>
                <c:ptCount val="1"/>
                <c:pt idx="0">
                  <c:v>Առաջնային պակասուրդ</c:v>
                </c:pt>
              </c:strCache>
            </c:strRef>
          </c:tx>
          <c:spPr>
            <a:solidFill>
              <a:srgbClr val="4F81BD"/>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Sheet1!$B$2:$B$9</c:f>
              <c:numCache>
                <c:formatCode>0.0</c:formatCode>
                <c:ptCount val="6"/>
                <c:pt idx="0">
                  <c:v>2.6021498588186631</c:v>
                </c:pt>
                <c:pt idx="1">
                  <c:v>-0.57258085880967613</c:v>
                </c:pt>
                <c:pt idx="2">
                  <c:v>-1.4284363292094469</c:v>
                </c:pt>
                <c:pt idx="3">
                  <c:v>2.7324762509823195</c:v>
                </c:pt>
                <c:pt idx="4">
                  <c:v>2.0419995610703916</c:v>
                </c:pt>
                <c:pt idx="5">
                  <c:v>0.36058828582449487</c:v>
                </c:pt>
              </c:numCache>
            </c:numRef>
          </c:val>
          <c:extLst>
            <c:ext xmlns:c16="http://schemas.microsoft.com/office/drawing/2014/chart" uri="{C3380CC4-5D6E-409C-BE32-E72D297353CC}">
              <c16:uniqueId val="{00000000-BCA7-43C6-ABDD-D7EE9A3CE6F5}"/>
            </c:ext>
          </c:extLst>
        </c:ser>
        <c:ser>
          <c:idx val="1"/>
          <c:order val="1"/>
          <c:tx>
            <c:strRef>
              <c:f>Sheet1!$C$1</c:f>
              <c:strCache>
                <c:ptCount val="1"/>
                <c:pt idx="0">
                  <c:v>Իրական տոկոսադրույք</c:v>
                </c:pt>
              </c:strCache>
            </c:strRef>
          </c:tx>
          <c:spPr>
            <a:solidFill>
              <a:srgbClr val="C0504D"/>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Sheet1!$C$2:$C$9</c:f>
              <c:numCache>
                <c:formatCode>0.0</c:formatCode>
                <c:ptCount val="6"/>
                <c:pt idx="0">
                  <c:v>1.0500310954191139</c:v>
                </c:pt>
                <c:pt idx="1">
                  <c:v>0.98012789078743601</c:v>
                </c:pt>
                <c:pt idx="2">
                  <c:v>1.6930478859443168</c:v>
                </c:pt>
                <c:pt idx="3">
                  <c:v>1.6692093790760498</c:v>
                </c:pt>
                <c:pt idx="4">
                  <c:v>-1.5403194356504066</c:v>
                </c:pt>
                <c:pt idx="5">
                  <c:v>0.18319989105210235</c:v>
                </c:pt>
              </c:numCache>
            </c:numRef>
          </c:val>
          <c:extLst>
            <c:ext xmlns:c16="http://schemas.microsoft.com/office/drawing/2014/chart" uri="{C3380CC4-5D6E-409C-BE32-E72D297353CC}">
              <c16:uniqueId val="{00000001-BCA7-43C6-ABDD-D7EE9A3CE6F5}"/>
            </c:ext>
          </c:extLst>
        </c:ser>
        <c:ser>
          <c:idx val="2"/>
          <c:order val="2"/>
          <c:tx>
            <c:strRef>
              <c:f>Sheet1!$D$1</c:f>
              <c:strCache>
                <c:ptCount val="1"/>
                <c:pt idx="0">
                  <c:v>Իրական ՀՆԱ աճ</c:v>
                </c:pt>
              </c:strCache>
            </c:strRef>
          </c:tx>
          <c:spPr>
            <a:solidFill>
              <a:srgbClr val="9BBB59"/>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Sheet1!$D$2:$D$9</c:f>
              <c:numCache>
                <c:formatCode>0.0</c:formatCode>
                <c:ptCount val="6"/>
                <c:pt idx="0">
                  <c:v>-3.5603773930307177</c:v>
                </c:pt>
                <c:pt idx="1">
                  <c:v>-2.6039370723394306</c:v>
                </c:pt>
                <c:pt idx="2">
                  <c:v>-3.5727954124852048</c:v>
                </c:pt>
                <c:pt idx="3">
                  <c:v>3.927730789386175</c:v>
                </c:pt>
                <c:pt idx="4">
                  <c:v>-3.621871956803786</c:v>
                </c:pt>
                <c:pt idx="5">
                  <c:v>-3.8015189594807199</c:v>
                </c:pt>
              </c:numCache>
            </c:numRef>
          </c:val>
          <c:extLst>
            <c:ext xmlns:c16="http://schemas.microsoft.com/office/drawing/2014/chart" uri="{C3380CC4-5D6E-409C-BE32-E72D297353CC}">
              <c16:uniqueId val="{00000002-BCA7-43C6-ABDD-D7EE9A3CE6F5}"/>
            </c:ext>
          </c:extLst>
        </c:ser>
        <c:ser>
          <c:idx val="3"/>
          <c:order val="3"/>
          <c:tx>
            <c:strRef>
              <c:f>Sheet1!$E$1</c:f>
              <c:strCache>
                <c:ptCount val="1"/>
                <c:pt idx="0">
                  <c:v>Փոխարժեքի արժեզրկում</c:v>
                </c:pt>
              </c:strCache>
            </c:strRef>
          </c:tx>
          <c:spPr>
            <a:solidFill>
              <a:srgbClr val="8064A2"/>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Sheet1!$E$2:$E$9</c:f>
              <c:numCache>
                <c:formatCode>0.0</c:formatCode>
                <c:ptCount val="6"/>
                <c:pt idx="0">
                  <c:v>1.3024595224923403E-2</c:v>
                </c:pt>
                <c:pt idx="1">
                  <c:v>-3.0355942288865109E-2</c:v>
                </c:pt>
                <c:pt idx="2">
                  <c:v>-0.33045922768254016</c:v>
                </c:pt>
                <c:pt idx="3">
                  <c:v>3.869772584163178</c:v>
                </c:pt>
                <c:pt idx="4">
                  <c:v>-4.0781847784161895</c:v>
                </c:pt>
                <c:pt idx="5">
                  <c:v>2.1334733133636137</c:v>
                </c:pt>
              </c:numCache>
            </c:numRef>
          </c:val>
          <c:extLst>
            <c:ext xmlns:c16="http://schemas.microsoft.com/office/drawing/2014/chart" uri="{C3380CC4-5D6E-409C-BE32-E72D297353CC}">
              <c16:uniqueId val="{00000003-BCA7-43C6-ABDD-D7EE9A3CE6F5}"/>
            </c:ext>
          </c:extLst>
        </c:ser>
        <c:ser>
          <c:idx val="4"/>
          <c:order val="4"/>
          <c:tx>
            <c:strRef>
              <c:f>Sheet1!$F$1</c:f>
              <c:strCache>
                <c:ptCount val="1"/>
                <c:pt idx="0">
                  <c:v>Զուտ վարկավորում բյուջեից</c:v>
                </c:pt>
              </c:strCache>
            </c:strRef>
          </c:tx>
          <c:spPr>
            <a:solidFill>
              <a:srgbClr val="4BACC6"/>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Sheet1!$F$2:$F$9</c:f>
              <c:numCache>
                <c:formatCode>0.0</c:formatCode>
                <c:ptCount val="6"/>
                <c:pt idx="0">
                  <c:v>0.81069110128810862</c:v>
                </c:pt>
                <c:pt idx="1">
                  <c:v>0.81037920761112525</c:v>
                </c:pt>
                <c:pt idx="2">
                  <c:v>1.0104016885491129</c:v>
                </c:pt>
                <c:pt idx="3">
                  <c:v>1.6545023656332283</c:v>
                </c:pt>
                <c:pt idx="4">
                  <c:v>2.5941585096824769</c:v>
                </c:pt>
                <c:pt idx="5">
                  <c:v>1.2017533535137297</c:v>
                </c:pt>
              </c:numCache>
            </c:numRef>
          </c:val>
          <c:extLst>
            <c:ext xmlns:c16="http://schemas.microsoft.com/office/drawing/2014/chart" uri="{C3380CC4-5D6E-409C-BE32-E72D297353CC}">
              <c16:uniqueId val="{00000004-BCA7-43C6-ABDD-D7EE9A3CE6F5}"/>
            </c:ext>
          </c:extLst>
        </c:ser>
        <c:ser>
          <c:idx val="5"/>
          <c:order val="5"/>
          <c:tx>
            <c:strRef>
              <c:f>Sheet1!$G$1</c:f>
              <c:strCache>
                <c:ptCount val="1"/>
                <c:pt idx="0">
                  <c:v>Մնացորդ</c:v>
                </c:pt>
              </c:strCache>
            </c:strRef>
          </c:tx>
          <c:spPr>
            <a:solidFill>
              <a:srgbClr val="F79646"/>
            </a:solidFill>
            <a:ln w="25384">
              <a:noFill/>
            </a:ln>
          </c:spPr>
          <c:invertIfNegative val="0"/>
          <c:cat>
            <c:numRef>
              <c:f>Sheet1!$A$2:$A$9</c:f>
              <c:numCache>
                <c:formatCode>General</c:formatCode>
                <c:ptCount val="6"/>
                <c:pt idx="0">
                  <c:v>2017</c:v>
                </c:pt>
                <c:pt idx="1">
                  <c:v>2018</c:v>
                </c:pt>
                <c:pt idx="2">
                  <c:v>2019</c:v>
                </c:pt>
                <c:pt idx="3">
                  <c:v>2020</c:v>
                </c:pt>
                <c:pt idx="4">
                  <c:v>2021</c:v>
                </c:pt>
                <c:pt idx="5">
                  <c:v>2022</c:v>
                </c:pt>
              </c:numCache>
            </c:numRef>
          </c:cat>
          <c:val>
            <c:numRef>
              <c:f>Sheet1!$G$2:$G$9</c:f>
              <c:numCache>
                <c:formatCode>0.0</c:formatCode>
                <c:ptCount val="6"/>
                <c:pt idx="0">
                  <c:v>0.81750019646647698</c:v>
                </c:pt>
                <c:pt idx="1">
                  <c:v>-0.90772701057372629</c:v>
                </c:pt>
                <c:pt idx="2">
                  <c:v>1.3324296052555091</c:v>
                </c:pt>
                <c:pt idx="3">
                  <c:v>-0.48467011139045901</c:v>
                </c:pt>
                <c:pt idx="4">
                  <c:v>1.909903437741221</c:v>
                </c:pt>
                <c:pt idx="5">
                  <c:v>-0.62397857629427889</c:v>
                </c:pt>
              </c:numCache>
            </c:numRef>
          </c:val>
          <c:extLst>
            <c:ext xmlns:c16="http://schemas.microsoft.com/office/drawing/2014/chart" uri="{C3380CC4-5D6E-409C-BE32-E72D297353CC}">
              <c16:uniqueId val="{00000005-BCA7-43C6-ABDD-D7EE9A3CE6F5}"/>
            </c:ext>
          </c:extLst>
        </c:ser>
        <c:dLbls>
          <c:showLegendKey val="0"/>
          <c:showVal val="0"/>
          <c:showCatName val="0"/>
          <c:showSerName val="0"/>
          <c:showPercent val="0"/>
          <c:showBubbleSize val="0"/>
        </c:dLbls>
        <c:gapWidth val="81"/>
        <c:overlap val="100"/>
        <c:axId val="445156736"/>
        <c:axId val="445457920"/>
      </c:barChart>
      <c:lineChart>
        <c:grouping val="standard"/>
        <c:varyColors val="0"/>
        <c:ser>
          <c:idx val="6"/>
          <c:order val="6"/>
          <c:tx>
            <c:strRef>
              <c:f>Sheet1!$H$1</c:f>
              <c:strCache>
                <c:ptCount val="1"/>
                <c:pt idx="0">
                  <c:v>Պարտք/ՀՆԱ փոփոխություն, %-ային կետ </c:v>
                </c:pt>
              </c:strCache>
            </c:strRef>
          </c:tx>
          <c:spPr>
            <a:ln w="28557" cap="rnd">
              <a:solidFill>
                <a:schemeClr val="accent1">
                  <a:lumMod val="60000"/>
                </a:schemeClr>
              </a:solidFill>
              <a:round/>
            </a:ln>
            <a:effectLst/>
          </c:spPr>
          <c:marker>
            <c:symbol val="circle"/>
            <c:size val="4"/>
            <c:spPr>
              <a:solidFill>
                <a:schemeClr val="accent1">
                  <a:lumMod val="60000"/>
                </a:schemeClr>
              </a:solidFill>
              <a:ln w="9519">
                <a:solidFill>
                  <a:schemeClr val="accent1">
                    <a:lumMod val="60000"/>
                  </a:schemeClr>
                </a:solidFill>
              </a:ln>
              <a:effectLst/>
            </c:spPr>
          </c:marker>
          <c:cat>
            <c:numRef>
              <c:f>Sheet1!$A$2:$A$9</c:f>
              <c:numCache>
                <c:formatCode>General</c:formatCode>
                <c:ptCount val="6"/>
                <c:pt idx="0">
                  <c:v>2017</c:v>
                </c:pt>
                <c:pt idx="1">
                  <c:v>2018</c:v>
                </c:pt>
                <c:pt idx="2">
                  <c:v>2019</c:v>
                </c:pt>
                <c:pt idx="3">
                  <c:v>2020</c:v>
                </c:pt>
                <c:pt idx="4">
                  <c:v>2021</c:v>
                </c:pt>
                <c:pt idx="5">
                  <c:v>2022</c:v>
                </c:pt>
              </c:numCache>
            </c:numRef>
          </c:cat>
          <c:val>
            <c:numRef>
              <c:f>Sheet1!$H$2:$H$9</c:f>
              <c:numCache>
                <c:formatCode>0.0</c:formatCode>
                <c:ptCount val="6"/>
                <c:pt idx="0">
                  <c:v>1.733019454186568</c:v>
                </c:pt>
                <c:pt idx="1">
                  <c:v>-2.3240937856131367</c:v>
                </c:pt>
                <c:pt idx="2">
                  <c:v>-1.2958117896282531</c:v>
                </c:pt>
                <c:pt idx="3">
                  <c:v>13.3690212578505</c:v>
                </c:pt>
                <c:pt idx="4">
                  <c:v>-2.6943146623762928</c:v>
                </c:pt>
                <c:pt idx="5">
                  <c:v>-0.54648269202105837</c:v>
                </c:pt>
              </c:numCache>
            </c:numRef>
          </c:val>
          <c:smooth val="0"/>
          <c:extLst>
            <c:ext xmlns:c16="http://schemas.microsoft.com/office/drawing/2014/chart" uri="{C3380CC4-5D6E-409C-BE32-E72D297353CC}">
              <c16:uniqueId val="{00000006-BCA7-43C6-ABDD-D7EE9A3CE6F5}"/>
            </c:ext>
          </c:extLst>
        </c:ser>
        <c:dLbls>
          <c:showLegendKey val="0"/>
          <c:showVal val="0"/>
          <c:showCatName val="0"/>
          <c:showSerName val="0"/>
          <c:showPercent val="0"/>
          <c:showBubbleSize val="0"/>
        </c:dLbls>
        <c:marker val="1"/>
        <c:smooth val="0"/>
        <c:axId val="445156736"/>
        <c:axId val="445457920"/>
      </c:lineChart>
      <c:catAx>
        <c:axId val="445156736"/>
        <c:scaling>
          <c:orientation val="minMax"/>
        </c:scaling>
        <c:delete val="0"/>
        <c:axPos val="b"/>
        <c:numFmt formatCode="General" sourceLinked="1"/>
        <c:majorTickMark val="none"/>
        <c:minorTickMark val="none"/>
        <c:tickLblPos val="low"/>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5457920"/>
        <c:crosses val="autoZero"/>
        <c:auto val="1"/>
        <c:lblAlgn val="ctr"/>
        <c:lblOffset val="100"/>
        <c:noMultiLvlLbl val="0"/>
      </c:catAx>
      <c:valAx>
        <c:axId val="445457920"/>
        <c:scaling>
          <c:orientation val="minMax"/>
        </c:scaling>
        <c:delete val="0"/>
        <c:axPos val="l"/>
        <c:majorGridlines>
          <c:spPr>
            <a:ln w="9519" cap="flat" cmpd="sng" algn="ctr">
              <a:solidFill>
                <a:schemeClr val="tx1">
                  <a:lumMod val="15000"/>
                  <a:lumOff val="85000"/>
                </a:schemeClr>
              </a:solidFill>
              <a:round/>
            </a:ln>
            <a:effectLst/>
          </c:spPr>
        </c:majorGridlines>
        <c:numFmt formatCode="0.0" sourceLinked="1"/>
        <c:majorTickMark val="none"/>
        <c:minorTickMark val="none"/>
        <c:tickLblPos val="nextTo"/>
        <c:spPr>
          <a:ln w="9519">
            <a:noFill/>
          </a:ln>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5156736"/>
        <c:crosses val="autoZero"/>
        <c:crossBetween val="between"/>
      </c:valAx>
      <c:spPr>
        <a:noFill/>
        <a:ln w="25384">
          <a:noFill/>
        </a:ln>
      </c:spPr>
    </c:plotArea>
    <c:legend>
      <c:legendPos val="r"/>
      <c:legendEntry>
        <c:idx val="1"/>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Entry>
      <c:layout>
        <c:manualLayout>
          <c:xMode val="edge"/>
          <c:yMode val="edge"/>
          <c:x val="0.63637056612301279"/>
          <c:y val="0.24181700059769756"/>
          <c:w val="0.3461838259722782"/>
          <c:h val="0.65295184636573889"/>
        </c:manualLayout>
      </c:layout>
      <c:overlay val="0"/>
      <c:spPr>
        <a:noFill/>
        <a:ln w="25384">
          <a:noFill/>
        </a:ln>
      </c:spPr>
      <c:txPr>
        <a:bodyPr rot="0" spcFirstLastPara="1" vertOverflow="ellipsis" vert="horz" wrap="square" anchor="ctr" anchorCtr="1"/>
        <a:lstStyle/>
        <a:p>
          <a:pPr>
            <a:defRPr sz="78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latin typeface="GHEA Grapalat" panose="02000506050000020003" pitchFamily="50" charset="0"/>
        </a:defRPr>
      </a:pPr>
      <a:endParaRPr lang="en-US"/>
    </a:p>
  </c:txPr>
  <c:externalData r:id="rId2">
    <c:autoUpdate val="0"/>
  </c:externalData>
  <c:userShapes r:id="rId3"/>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Պետական բյուջեի պակասուրդ/ՀՆԱ,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7.1</c:v>
                </c:pt>
                <c:pt idx="1">
                  <c:v>4.7</c:v>
                </c:pt>
                <c:pt idx="3">
                  <c:v>5.5</c:v>
                </c:pt>
                <c:pt idx="4">
                  <c:v>4.8</c:v>
                </c:pt>
                <c:pt idx="6" formatCode="0.0">
                  <c:v>5.4029424566760298</c:v>
                </c:pt>
                <c:pt idx="7" formatCode="0.0">
                  <c:v>4.6803993733598501</c:v>
                </c:pt>
              </c:numCache>
            </c:numRef>
          </c:val>
          <c:extLst>
            <c:ext xmlns:c16="http://schemas.microsoft.com/office/drawing/2014/chart" uri="{C3380CC4-5D6E-409C-BE32-E72D297353CC}">
              <c16:uniqueId val="{00000000-87DB-4F78-BDF9-5991E5C68DE1}"/>
            </c:ext>
          </c:extLst>
        </c:ser>
        <c:dLbls>
          <c:showLegendKey val="0"/>
          <c:showVal val="0"/>
          <c:showCatName val="0"/>
          <c:showSerName val="0"/>
          <c:showPercent val="0"/>
          <c:showBubbleSize val="0"/>
        </c:dLbls>
        <c:gapWidth val="219"/>
        <c:overlap val="-27"/>
        <c:axId val="445488512"/>
        <c:axId val="445863040"/>
      </c:barChart>
      <c:catAx>
        <c:axId val="445488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63040"/>
        <c:crosses val="autoZero"/>
        <c:auto val="1"/>
        <c:lblAlgn val="ctr"/>
        <c:lblOffset val="100"/>
        <c:noMultiLvlLbl val="0"/>
      </c:catAx>
      <c:valAx>
        <c:axId val="445863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885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Կառավարության պարտք/ՀՆԱ աճ, %-ային կետ</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Sheet1!$A$2:$A$9</c:f>
              <c:numCache>
                <c:formatCode>General</c:formatCode>
                <c:ptCount val="8"/>
                <c:pt idx="0">
                  <c:v>2009</c:v>
                </c:pt>
                <c:pt idx="1">
                  <c:v>2010</c:v>
                </c:pt>
                <c:pt idx="3">
                  <c:v>2016</c:v>
                </c:pt>
                <c:pt idx="4">
                  <c:v>2017</c:v>
                </c:pt>
                <c:pt idx="6">
                  <c:v>2020</c:v>
                </c:pt>
                <c:pt idx="7">
                  <c:v>2021</c:v>
                </c:pt>
              </c:numCache>
            </c:numRef>
          </c:cat>
          <c:val>
            <c:numRef>
              <c:f>Sheet1!$B$2:$B$9</c:f>
              <c:numCache>
                <c:formatCode>General</c:formatCode>
                <c:ptCount val="8"/>
                <c:pt idx="0">
                  <c:v>18.5</c:v>
                </c:pt>
                <c:pt idx="1">
                  <c:v>-0.5</c:v>
                </c:pt>
                <c:pt idx="3">
                  <c:v>7.8</c:v>
                </c:pt>
                <c:pt idx="4">
                  <c:v>1.8</c:v>
                </c:pt>
                <c:pt idx="6">
                  <c:v>13.5</c:v>
                </c:pt>
                <c:pt idx="7" formatCode="0.0">
                  <c:v>-2.6910277827368532</c:v>
                </c:pt>
              </c:numCache>
            </c:numRef>
          </c:val>
          <c:extLst>
            <c:ext xmlns:c16="http://schemas.microsoft.com/office/drawing/2014/chart" uri="{C3380CC4-5D6E-409C-BE32-E72D297353CC}">
              <c16:uniqueId val="{00000000-581E-4A0F-B3B7-2D8DEB0B056F}"/>
            </c:ext>
          </c:extLst>
        </c:ser>
        <c:dLbls>
          <c:showLegendKey val="0"/>
          <c:showVal val="0"/>
          <c:showCatName val="0"/>
          <c:showSerName val="0"/>
          <c:showPercent val="0"/>
          <c:showBubbleSize val="0"/>
        </c:dLbls>
        <c:gapWidth val="219"/>
        <c:overlap val="-27"/>
        <c:axId val="445499648"/>
        <c:axId val="445849600"/>
      </c:barChart>
      <c:catAx>
        <c:axId val="44549964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849600"/>
        <c:crosses val="autoZero"/>
        <c:auto val="1"/>
        <c:lblAlgn val="ctr"/>
        <c:lblOffset val="100"/>
        <c:noMultiLvlLbl val="0"/>
      </c:catAx>
      <c:valAx>
        <c:axId val="44584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499648"/>
        <c:crosses val="autoZero"/>
        <c:crossBetween val="between"/>
      </c:valAx>
      <c:spPr>
        <a:noFill/>
        <a:ln>
          <a:noFill/>
        </a:ln>
        <a:effectLst/>
      </c:spPr>
    </c:plotArea>
    <c:legend>
      <c:legendPos val="b"/>
      <c:layout>
        <c:manualLayout>
          <c:xMode val="edge"/>
          <c:yMode val="edge"/>
          <c:x val="2.3958333333333328E-2"/>
          <c:y val="0.8660704911886028"/>
          <c:w val="0.92604166666666665"/>
          <c:h val="0.110119985001874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Sheet1!$B$1</c:f>
              <c:strCache>
                <c:ptCount val="1"/>
                <c:pt idx="0">
                  <c:v>Հարկեր և ծախսեր</c:v>
                </c:pt>
              </c:strCache>
            </c:strRef>
          </c:tx>
          <c:spPr>
            <a:solidFill>
              <a:schemeClr val="accent1"/>
            </a:solidFill>
            <a:ln>
              <a:noFill/>
            </a:ln>
            <a:effectLst/>
          </c:spPr>
          <c:invertIfNegative val="0"/>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Sheet1!$B$2:$B$28</c:f>
              <c:numCache>
                <c:formatCode>0.0</c:formatCode>
                <c:ptCount val="27"/>
                <c:pt idx="0">
                  <c:v>10.898555638640223</c:v>
                </c:pt>
                <c:pt idx="1">
                  <c:v>16.46834716835404</c:v>
                </c:pt>
                <c:pt idx="2">
                  <c:v>13.638352846668944</c:v>
                </c:pt>
                <c:pt idx="3">
                  <c:v>16.24023041241189</c:v>
                </c:pt>
                <c:pt idx="4">
                  <c:v>25.449751749930151</c:v>
                </c:pt>
                <c:pt idx="5">
                  <c:v>9.583735007772944</c:v>
                </c:pt>
                <c:pt idx="6">
                  <c:v>7.5786887379669032</c:v>
                </c:pt>
                <c:pt idx="7">
                  <c:v>18.373752710725405</c:v>
                </c:pt>
                <c:pt idx="8">
                  <c:v>15.882770459498252</c:v>
                </c:pt>
                <c:pt idx="9">
                  <c:v>9.2362126130761357</c:v>
                </c:pt>
                <c:pt idx="10">
                  <c:v>4.4849024836324336</c:v>
                </c:pt>
                <c:pt idx="11">
                  <c:v>2.7</c:v>
                </c:pt>
                <c:pt idx="12">
                  <c:v>5.8576606558448407</c:v>
                </c:pt>
                <c:pt idx="13">
                  <c:v>3.5079994753280079</c:v>
                </c:pt>
                <c:pt idx="14">
                  <c:v>4.5175576086619849</c:v>
                </c:pt>
                <c:pt idx="15">
                  <c:v>4.7801156546253365</c:v>
                </c:pt>
                <c:pt idx="16">
                  <c:v>4.5378286069427096</c:v>
                </c:pt>
                <c:pt idx="17">
                  <c:v>4.5321570570531771</c:v>
                </c:pt>
                <c:pt idx="18">
                  <c:v>2.4588848171158322</c:v>
                </c:pt>
                <c:pt idx="19">
                  <c:v>2.1939162799420835</c:v>
                </c:pt>
                <c:pt idx="20">
                  <c:v>0.65442396745349374</c:v>
                </c:pt>
              </c:numCache>
            </c:numRef>
          </c:val>
          <c:extLst>
            <c:ext xmlns:c16="http://schemas.microsoft.com/office/drawing/2014/chart" uri="{C3380CC4-5D6E-409C-BE32-E72D297353CC}">
              <c16:uniqueId val="{00000000-49AF-4E19-8D51-6EF0619F6B4F}"/>
            </c:ext>
          </c:extLst>
        </c:ser>
        <c:ser>
          <c:idx val="1"/>
          <c:order val="1"/>
          <c:tx>
            <c:strRef>
              <c:f>Sheet1!$C$1</c:f>
              <c:strCache>
                <c:ptCount val="1"/>
                <c:pt idx="0">
                  <c:v>Պակասուրդի գործառնություններ և պայմ․ պարտավորություններ</c:v>
                </c:pt>
              </c:strCache>
            </c:strRef>
          </c:tx>
          <c:spPr>
            <a:solidFill>
              <a:schemeClr val="accent2"/>
            </a:solidFill>
            <a:ln>
              <a:noFill/>
            </a:ln>
            <a:effectLst/>
          </c:spPr>
          <c:invertIfNegative val="0"/>
          <c:dLbls>
            <c:dLbl>
              <c:idx val="18"/>
              <c:layout>
                <c:manualLayout>
                  <c:x val="-7.8346673280123027E-17"/>
                  <c:y val="-5.3508952459353776E-2"/>
                </c:manualLayout>
              </c:layout>
              <c:tx>
                <c:rich>
                  <a:bodyPr/>
                  <a:lstStyle/>
                  <a:p>
                    <a:r>
                      <a:rPr lang="en-US" b="1">
                        <a:solidFill>
                          <a:srgbClr val="FF0000"/>
                        </a:solidFill>
                        <a:latin typeface="GHEA Grapalat" panose="02000506050000020003" pitchFamily="50" charset="0"/>
                      </a:rPr>
                      <a:t>3.9%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49AF-4E19-8D51-6EF0619F6B4F}"/>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Sheet1!$C$2:$C$28</c:f>
              <c:numCache>
                <c:formatCode>0.0</c:formatCode>
                <c:ptCount val="27"/>
                <c:pt idx="0">
                  <c:v>35.253800114434839</c:v>
                </c:pt>
                <c:pt idx="1">
                  <c:v>28.332241013425325</c:v>
                </c:pt>
                <c:pt idx="2">
                  <c:v>27.786270524971673</c:v>
                </c:pt>
                <c:pt idx="3">
                  <c:v>16.713706517730021</c:v>
                </c:pt>
                <c:pt idx="4">
                  <c:v>2.4359314213659848</c:v>
                </c:pt>
                <c:pt idx="5">
                  <c:v>15.211519588685375</c:v>
                </c:pt>
                <c:pt idx="6">
                  <c:v>14.374546446547997</c:v>
                </c:pt>
                <c:pt idx="7">
                  <c:v>1.7779412354862849</c:v>
                </c:pt>
                <c:pt idx="8">
                  <c:v>3.9502835723081042</c:v>
                </c:pt>
                <c:pt idx="9">
                  <c:v>6.1507617357903444</c:v>
                </c:pt>
                <c:pt idx="10">
                  <c:v>10.133706995889202</c:v>
                </c:pt>
                <c:pt idx="11">
                  <c:v>9.5</c:v>
                </c:pt>
                <c:pt idx="12">
                  <c:v>4.0820635535067034</c:v>
                </c:pt>
                <c:pt idx="13">
                  <c:v>5.2117755437014797</c:v>
                </c:pt>
                <c:pt idx="14">
                  <c:v>1.9984280402043679</c:v>
                </c:pt>
                <c:pt idx="15">
                  <c:v>1.296401676315599</c:v>
                </c:pt>
                <c:pt idx="16">
                  <c:v>1.464931484771163</c:v>
                </c:pt>
                <c:pt idx="17">
                  <c:v>0.87565550573371964</c:v>
                </c:pt>
                <c:pt idx="18">
                  <c:v>1.4559186417133216</c:v>
                </c:pt>
                <c:pt idx="19">
                  <c:v>0.83795413470010138</c:v>
                </c:pt>
                <c:pt idx="20">
                  <c:v>1.1974658424331148</c:v>
                </c:pt>
              </c:numCache>
            </c:numRef>
          </c:val>
          <c:extLst>
            <c:ext xmlns:c16="http://schemas.microsoft.com/office/drawing/2014/chart" uri="{C3380CC4-5D6E-409C-BE32-E72D297353CC}">
              <c16:uniqueId val="{00000002-49AF-4E19-8D51-6EF0619F6B4F}"/>
            </c:ext>
          </c:extLst>
        </c:ser>
        <c:ser>
          <c:idx val="2"/>
          <c:order val="2"/>
          <c:tx>
            <c:strRef>
              <c:f>Sheet1!$D$1</c:f>
              <c:strCache>
                <c:ptCount val="1"/>
                <c:pt idx="0">
                  <c:v>Column2</c:v>
                </c:pt>
              </c:strCache>
            </c:strRef>
          </c:tx>
          <c:spPr>
            <a:solidFill>
              <a:schemeClr val="accent3"/>
            </a:solidFill>
            <a:ln>
              <a:noFill/>
            </a:ln>
            <a:effectLst/>
          </c:spPr>
          <c:invertIfNegative val="0"/>
          <c:dPt>
            <c:idx val="22"/>
            <c:invertIfNegative val="0"/>
            <c:bubble3D val="0"/>
            <c:spPr>
              <a:solidFill>
                <a:schemeClr val="accent1"/>
              </a:solidFill>
              <a:ln>
                <a:noFill/>
              </a:ln>
              <a:effectLst/>
            </c:spPr>
            <c:extLst>
              <c:ext xmlns:c16="http://schemas.microsoft.com/office/drawing/2014/chart" uri="{C3380CC4-5D6E-409C-BE32-E72D297353CC}">
                <c16:uniqueId val="{00000004-49AF-4E19-8D51-6EF0619F6B4F}"/>
              </c:ext>
            </c:extLst>
          </c:dPt>
          <c:dPt>
            <c:idx val="24"/>
            <c:invertIfNegative val="0"/>
            <c:bubble3D val="0"/>
            <c:spPr>
              <a:solidFill>
                <a:schemeClr val="accent1"/>
              </a:solidFill>
              <a:ln>
                <a:noFill/>
              </a:ln>
              <a:effectLst/>
            </c:spPr>
            <c:extLst>
              <c:ext xmlns:c16="http://schemas.microsoft.com/office/drawing/2014/chart" uri="{C3380CC4-5D6E-409C-BE32-E72D297353CC}">
                <c16:uniqueId val="{00000006-49AF-4E19-8D51-6EF0619F6B4F}"/>
              </c:ext>
            </c:extLst>
          </c:dPt>
          <c:dPt>
            <c:idx val="26"/>
            <c:invertIfNegative val="0"/>
            <c:bubble3D val="0"/>
            <c:spPr>
              <a:solidFill>
                <a:schemeClr val="accent1"/>
              </a:solidFill>
              <a:ln>
                <a:noFill/>
              </a:ln>
              <a:effectLst/>
            </c:spPr>
            <c:extLst>
              <c:ext xmlns:c16="http://schemas.microsoft.com/office/drawing/2014/chart" uri="{C3380CC4-5D6E-409C-BE32-E72D297353CC}">
                <c16:uniqueId val="{00000008-49AF-4E19-8D51-6EF0619F6B4F}"/>
              </c:ext>
            </c:extLst>
          </c:dPt>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Sheet1!$D$2:$D$28</c:f>
              <c:numCache>
                <c:formatCode>General</c:formatCode>
                <c:ptCount val="27"/>
                <c:pt idx="22" formatCode="0.0">
                  <c:v>2.0479253649651623</c:v>
                </c:pt>
                <c:pt idx="24" formatCode="0.0">
                  <c:v>4.0999999999999996</c:v>
                </c:pt>
                <c:pt idx="26" formatCode="0.0">
                  <c:v>17.306639534787191</c:v>
                </c:pt>
              </c:numCache>
            </c:numRef>
          </c:val>
          <c:extLst>
            <c:ext xmlns:c16="http://schemas.microsoft.com/office/drawing/2014/chart" uri="{C3380CC4-5D6E-409C-BE32-E72D297353CC}">
              <c16:uniqueId val="{00000009-49AF-4E19-8D51-6EF0619F6B4F}"/>
            </c:ext>
          </c:extLst>
        </c:ser>
        <c:ser>
          <c:idx val="3"/>
          <c:order val="3"/>
          <c:tx>
            <c:strRef>
              <c:f>Sheet1!$E$1</c:f>
              <c:strCache>
                <c:ptCount val="1"/>
                <c:pt idx="0">
                  <c:v>Column3</c:v>
                </c:pt>
              </c:strCache>
            </c:strRef>
          </c:tx>
          <c:spPr>
            <a:solidFill>
              <a:schemeClr val="accent4"/>
            </a:solidFill>
            <a:ln>
              <a:noFill/>
            </a:ln>
            <a:effectLst/>
          </c:spPr>
          <c:invertIfNegative val="0"/>
          <c:dPt>
            <c:idx val="22"/>
            <c:invertIfNegative val="0"/>
            <c:bubble3D val="0"/>
            <c:spPr>
              <a:solidFill>
                <a:schemeClr val="accent2"/>
              </a:solidFill>
              <a:ln>
                <a:noFill/>
              </a:ln>
              <a:effectLst/>
            </c:spPr>
            <c:extLst>
              <c:ext xmlns:c16="http://schemas.microsoft.com/office/drawing/2014/chart" uri="{C3380CC4-5D6E-409C-BE32-E72D297353CC}">
                <c16:uniqueId val="{0000000B-49AF-4E19-8D51-6EF0619F6B4F}"/>
              </c:ext>
            </c:extLst>
          </c:dPt>
          <c:dPt>
            <c:idx val="24"/>
            <c:invertIfNegative val="0"/>
            <c:bubble3D val="0"/>
            <c:spPr>
              <a:solidFill>
                <a:schemeClr val="accent2"/>
              </a:solidFill>
              <a:ln>
                <a:noFill/>
              </a:ln>
              <a:effectLst/>
            </c:spPr>
            <c:extLst>
              <c:ext xmlns:c16="http://schemas.microsoft.com/office/drawing/2014/chart" uri="{C3380CC4-5D6E-409C-BE32-E72D297353CC}">
                <c16:uniqueId val="{0000000D-49AF-4E19-8D51-6EF0619F6B4F}"/>
              </c:ext>
            </c:extLst>
          </c:dPt>
          <c:dPt>
            <c:idx val="26"/>
            <c:invertIfNegative val="0"/>
            <c:bubble3D val="0"/>
            <c:spPr>
              <a:solidFill>
                <a:schemeClr val="accent2"/>
              </a:solidFill>
              <a:ln>
                <a:noFill/>
              </a:ln>
              <a:effectLst/>
            </c:spPr>
            <c:extLst>
              <c:ext xmlns:c16="http://schemas.microsoft.com/office/drawing/2014/chart" uri="{C3380CC4-5D6E-409C-BE32-E72D297353CC}">
                <c16:uniqueId val="{0000000F-49AF-4E19-8D51-6EF0619F6B4F}"/>
              </c:ext>
            </c:extLst>
          </c:dPt>
          <c:cat>
            <c:strRef>
              <c:f>Sheet1!$A$2:$A$28</c:f>
              <c:strCache>
                <c:ptCount val="27"/>
                <c:pt idx="0">
                  <c:v>Իտալիա</c:v>
                </c:pt>
                <c:pt idx="1">
                  <c:v>Ճապոնիա</c:v>
                </c:pt>
                <c:pt idx="2">
                  <c:v>Գերմանիա</c:v>
                </c:pt>
                <c:pt idx="3">
                  <c:v>Մեծ Բրիտանիա</c:v>
                </c:pt>
                <c:pt idx="4">
                  <c:v>ԱՄՆ</c:v>
                </c:pt>
                <c:pt idx="5">
                  <c:v>Ֆրանսիա</c:v>
                </c:pt>
                <c:pt idx="6">
                  <c:v>Իսպանիա</c:v>
                </c:pt>
                <c:pt idx="7">
                  <c:v>Ավստրալիա</c:v>
                </c:pt>
                <c:pt idx="8">
                  <c:v>Կանադա</c:v>
                </c:pt>
                <c:pt idx="9">
                  <c:v>Բրազիլիա</c:v>
                </c:pt>
                <c:pt idx="10">
                  <c:v>Կորեա</c:v>
                </c:pt>
                <c:pt idx="11">
                  <c:v>Թուրքիա</c:v>
                </c:pt>
                <c:pt idx="12">
                  <c:v>Հարավաֆրիկյան Հանրապետություն</c:v>
                </c:pt>
                <c:pt idx="13">
                  <c:v>Հնդկաստան</c:v>
                </c:pt>
                <c:pt idx="14">
                  <c:v>Արգենտինա</c:v>
                </c:pt>
                <c:pt idx="15">
                  <c:v>Չինաստան</c:v>
                </c:pt>
                <c:pt idx="16">
                  <c:v>Ռուսաստան</c:v>
                </c:pt>
                <c:pt idx="17">
                  <c:v>Ինդոնեզիա</c:v>
                </c:pt>
                <c:pt idx="18">
                  <c:v>Հայաստան</c:v>
                </c:pt>
                <c:pt idx="19">
                  <c:v>Սաուդյան Արաբիա</c:v>
                </c:pt>
                <c:pt idx="20">
                  <c:v>Մեքսիկա</c:v>
                </c:pt>
                <c:pt idx="22">
                  <c:v>Ցածր եկամտային</c:v>
                </c:pt>
                <c:pt idx="24">
                  <c:v>Զարգացող</c:v>
                </c:pt>
                <c:pt idx="26">
                  <c:v>Զարգացած երկրներ</c:v>
                </c:pt>
              </c:strCache>
            </c:strRef>
          </c:cat>
          <c:val>
            <c:numRef>
              <c:f>Sheet1!$E$2:$E$28</c:f>
              <c:numCache>
                <c:formatCode>General</c:formatCode>
                <c:ptCount val="27"/>
                <c:pt idx="22" formatCode="0.0">
                  <c:v>0.15671063224040413</c:v>
                </c:pt>
                <c:pt idx="24" formatCode="0.0">
                  <c:v>2.6</c:v>
                </c:pt>
                <c:pt idx="26" formatCode="0.0">
                  <c:v>11.385598314278408</c:v>
                </c:pt>
              </c:numCache>
            </c:numRef>
          </c:val>
          <c:extLst>
            <c:ext xmlns:c16="http://schemas.microsoft.com/office/drawing/2014/chart" uri="{C3380CC4-5D6E-409C-BE32-E72D297353CC}">
              <c16:uniqueId val="{00000010-49AF-4E19-8D51-6EF0619F6B4F}"/>
            </c:ext>
          </c:extLst>
        </c:ser>
        <c:dLbls>
          <c:showLegendKey val="0"/>
          <c:showVal val="0"/>
          <c:showCatName val="0"/>
          <c:showSerName val="0"/>
          <c:showPercent val="0"/>
          <c:showBubbleSize val="0"/>
        </c:dLbls>
        <c:gapWidth val="51"/>
        <c:overlap val="100"/>
        <c:axId val="446226432"/>
        <c:axId val="446227968"/>
      </c:barChart>
      <c:catAx>
        <c:axId val="44622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446227968"/>
        <c:crosses val="autoZero"/>
        <c:auto val="1"/>
        <c:lblAlgn val="ctr"/>
        <c:lblOffset val="100"/>
        <c:noMultiLvlLbl val="0"/>
      </c:catAx>
      <c:valAx>
        <c:axId val="44622796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6226432"/>
        <c:crosses val="autoZero"/>
        <c:crossBetween val="between"/>
      </c:valAx>
      <c:spPr>
        <a:noFill/>
        <a:ln>
          <a:noFill/>
        </a:ln>
        <a:effectLst/>
      </c:spPr>
    </c:plotArea>
    <c:legend>
      <c:legendPos val="b"/>
      <c:legendEntry>
        <c:idx val="2"/>
        <c:delete val="1"/>
      </c:legendEntry>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20977596741344E-2"/>
          <c:y val="7.3260335323429362E-2"/>
          <c:w val="0.49490835030549907"/>
          <c:h val="0.89011307417966656"/>
        </c:manualLayout>
      </c:layout>
      <c:pieChart>
        <c:varyColors val="1"/>
        <c:ser>
          <c:idx val="0"/>
          <c:order val="0"/>
          <c:spPr>
            <a:solidFill>
              <a:srgbClr val="4F81BD"/>
            </a:solidFill>
            <a:ln w="25400">
              <a:noFill/>
            </a:ln>
          </c:spPr>
          <c:explosion val="25"/>
          <c:dPt>
            <c:idx val="1"/>
            <c:bubble3D val="0"/>
            <c:explosion val="24"/>
            <c:spPr>
              <a:solidFill>
                <a:srgbClr val="C0504D"/>
              </a:solidFill>
              <a:ln w="25400">
                <a:noFill/>
              </a:ln>
            </c:spPr>
            <c:extLst>
              <c:ext xmlns:c16="http://schemas.microsoft.com/office/drawing/2014/chart" uri="{C3380CC4-5D6E-409C-BE32-E72D297353CC}">
                <c16:uniqueId val="{00000002-3F67-4A92-A08C-CFBF1B2B35FD}"/>
              </c:ext>
            </c:extLst>
          </c:dPt>
          <c:dPt>
            <c:idx val="2"/>
            <c:bubble3D val="0"/>
            <c:spPr>
              <a:solidFill>
                <a:srgbClr val="9BBB59"/>
              </a:solidFill>
              <a:ln w="25400">
                <a:noFill/>
              </a:ln>
            </c:spPr>
            <c:extLst>
              <c:ext xmlns:c16="http://schemas.microsoft.com/office/drawing/2014/chart" uri="{C3380CC4-5D6E-409C-BE32-E72D297353CC}">
                <c16:uniqueId val="{00000004-3F67-4A92-A08C-CFBF1B2B35FD}"/>
              </c:ext>
            </c:extLst>
          </c:dPt>
          <c:dLbls>
            <c:dLbl>
              <c:idx val="0"/>
              <c:layout>
                <c:manualLayout>
                  <c:x val="-1.9673813685712757E-3"/>
                  <c:y val="4.4960929580389997E-2"/>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F67-4A92-A08C-CFBF1B2B35FD}"/>
                </c:ext>
              </c:extLst>
            </c:dLbl>
            <c:dLbl>
              <c:idx val="1"/>
              <c:layout>
                <c:manualLayout>
                  <c:x val="-1.4478655983178658E-2"/>
                  <c:y val="7.1039264968204077E-3"/>
                </c:manualLayout>
              </c:layout>
              <c:dLblPos val="bestFi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F67-4A92-A08C-CFBF1B2B35FD}"/>
                </c:ext>
              </c:extLst>
            </c:dLbl>
            <c:dLbl>
              <c:idx val="2"/>
              <c:layout>
                <c:manualLayout>
                  <c:x val="4.1268116326718243E-2"/>
                  <c:y val="8.9844708525324002E-3"/>
                </c:manualLayout>
              </c:layout>
              <c:dLblPos val="bestFit"/>
              <c:showLegendKey val="0"/>
              <c:showVal val="1"/>
              <c:showCatName val="0"/>
              <c:showSerName val="0"/>
              <c:showPercent val="0"/>
              <c:showBubbleSize val="0"/>
              <c:extLst>
                <c:ext xmlns:c15="http://schemas.microsoft.com/office/drawing/2012/chart" uri="{CE6537A1-D6FC-4f65-9D91-7224C49458BB}">
                  <c15:layout>
                    <c:manualLayout>
                      <c:w val="7.095552664387772E-2"/>
                      <c:h val="7.2555161374059013E-2"/>
                    </c:manualLayout>
                  </c15:layout>
                </c:ext>
                <c:ext xmlns:c16="http://schemas.microsoft.com/office/drawing/2014/chart" uri="{C3380CC4-5D6E-409C-BE32-E72D297353CC}">
                  <c16:uniqueId val="{00000004-3F67-4A92-A08C-CFBF1B2B35FD}"/>
                </c:ext>
              </c:extLst>
            </c:dLbl>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table!$N$4:$N$6</c:f>
              <c:strCache>
                <c:ptCount val="3"/>
                <c:pt idx="0">
                  <c:v>Հարկային եկամուտներ և պետական տուրքեր</c:v>
                </c:pt>
                <c:pt idx="1">
                  <c:v>Պաշտոնական դրամաշնորհներ</c:v>
                </c:pt>
                <c:pt idx="2">
                  <c:v>Այլ եկամուտներ</c:v>
                </c:pt>
              </c:strCache>
            </c:strRef>
          </c:cat>
          <c:val>
            <c:numRef>
              <c:f>table!$O$4:$O$6</c:f>
              <c:numCache>
                <c:formatCode>0.0%</c:formatCode>
                <c:ptCount val="3"/>
                <c:pt idx="0">
                  <c:v>0.94699999999999995</c:v>
                </c:pt>
                <c:pt idx="1">
                  <c:v>2.1000000000000001E-2</c:v>
                </c:pt>
                <c:pt idx="2">
                  <c:v>3.2000000000000001E-2</c:v>
                </c:pt>
              </c:numCache>
            </c:numRef>
          </c:val>
          <c:extLst>
            <c:ext xmlns:c16="http://schemas.microsoft.com/office/drawing/2014/chart" uri="{C3380CC4-5D6E-409C-BE32-E72D297353CC}">
              <c16:uniqueId val="{00000005-3F67-4A92-A08C-CFBF1B2B35FD}"/>
            </c:ext>
          </c:extLst>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843177189409364"/>
          <c:y val="0.19047695961081787"/>
          <c:w val="0.29327902240325865"/>
          <c:h val="0.6190499264515017"/>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en-US"/>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62904752121119"/>
          <c:y val="4.3931262569693146E-2"/>
          <c:w val="0.75180333178147074"/>
          <c:h val="0.71448108460126669"/>
        </c:manualLayout>
      </c:layout>
      <c:barChart>
        <c:barDir val="col"/>
        <c:grouping val="clustered"/>
        <c:varyColors val="0"/>
        <c:ser>
          <c:idx val="0"/>
          <c:order val="0"/>
          <c:tx>
            <c:strRef>
              <c:f>Sheet1!$A$2</c:f>
              <c:strCache>
                <c:ptCount val="1"/>
                <c:pt idx="0">
                  <c:v> Հարկային եկամուտներ և պետական տուրքեր, մլրդ դրամ</c:v>
                </c:pt>
              </c:strCache>
            </c:strRef>
          </c:tx>
          <c:spPr>
            <a:ln w="25294" cap="rnd" cmpd="dbl">
              <a:miter lim="800000"/>
            </a:ln>
          </c:spPr>
          <c:invertIfNegative val="0"/>
          <c:dLbls>
            <c:spPr>
              <a:noFill/>
              <a:ln w="25403">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Sheet1!$B$1:$F$1</c:f>
              <c:strCache>
                <c:ptCount val="5"/>
                <c:pt idx="0">
                  <c:v>2018 փաստ</c:v>
                </c:pt>
                <c:pt idx="1">
                  <c:v>2019 փաստ</c:v>
                </c:pt>
                <c:pt idx="2">
                  <c:v>2020 փաստ</c:v>
                </c:pt>
                <c:pt idx="3">
                  <c:v>2021  սպասում</c:v>
                </c:pt>
                <c:pt idx="4">
                  <c:v>2022 կանխատեսում</c:v>
                </c:pt>
              </c:strCache>
            </c:strRef>
          </c:cat>
          <c:val>
            <c:numRef>
              <c:f>Sheet1!$B$2:$F$2</c:f>
              <c:numCache>
                <c:formatCode>#,##0.0</c:formatCode>
                <c:ptCount val="5"/>
                <c:pt idx="0">
                  <c:v>1258.1211783709998</c:v>
                </c:pt>
                <c:pt idx="1">
                  <c:v>1464.3157574489999</c:v>
                </c:pt>
                <c:pt idx="2">
                  <c:v>1385.2054762</c:v>
                </c:pt>
                <c:pt idx="3">
                  <c:v>1581</c:v>
                </c:pt>
                <c:pt idx="4">
                  <c:v>1843.9168309561301</c:v>
                </c:pt>
              </c:numCache>
            </c:numRef>
          </c:val>
          <c:extLst>
            <c:ext xmlns:c16="http://schemas.microsoft.com/office/drawing/2014/chart" uri="{C3380CC4-5D6E-409C-BE32-E72D297353CC}">
              <c16:uniqueId val="{00000000-3413-41A2-9937-98F40B6F6E92}"/>
            </c:ext>
          </c:extLst>
        </c:ser>
        <c:dLbls>
          <c:showLegendKey val="0"/>
          <c:showVal val="0"/>
          <c:showCatName val="0"/>
          <c:showSerName val="0"/>
          <c:showPercent val="0"/>
          <c:showBubbleSize val="0"/>
        </c:dLbls>
        <c:gapWidth val="308"/>
        <c:overlap val="17"/>
        <c:axId val="133410816"/>
        <c:axId val="133412352"/>
      </c:barChart>
      <c:lineChart>
        <c:grouping val="standard"/>
        <c:varyColors val="0"/>
        <c:ser>
          <c:idx val="1"/>
          <c:order val="1"/>
          <c:tx>
            <c:strRef>
              <c:f>Sheet1!$A$3</c:f>
              <c:strCache>
                <c:ptCount val="1"/>
                <c:pt idx="0">
                  <c:v> հարաբերությունը ՀՆԱ-ի նկատմամբ (%-ով) աջ առանցք</c:v>
                </c:pt>
              </c:strCache>
            </c:strRef>
          </c:tx>
          <c:marker>
            <c:symbol val="none"/>
          </c:marker>
          <c:cat>
            <c:strRef>
              <c:f>Sheet1!$B$1:$F$1</c:f>
              <c:strCache>
                <c:ptCount val="5"/>
                <c:pt idx="0">
                  <c:v>2018 փաստ</c:v>
                </c:pt>
                <c:pt idx="1">
                  <c:v>2019 փաստ</c:v>
                </c:pt>
                <c:pt idx="2">
                  <c:v>2020 փաստ</c:v>
                </c:pt>
                <c:pt idx="3">
                  <c:v>2021  սպասում</c:v>
                </c:pt>
                <c:pt idx="4">
                  <c:v>2022 կանխատեսում</c:v>
                </c:pt>
              </c:strCache>
            </c:strRef>
          </c:cat>
          <c:val>
            <c:numRef>
              <c:f>Sheet1!$B$3:$F$3</c:f>
              <c:numCache>
                <c:formatCode>0.0%</c:formatCode>
                <c:ptCount val="5"/>
                <c:pt idx="0">
                  <c:v>0.20909320563240175</c:v>
                </c:pt>
                <c:pt idx="1">
                  <c:v>0.22378857112603731</c:v>
                </c:pt>
                <c:pt idx="2">
                  <c:v>0.2240829417114398</c:v>
                </c:pt>
                <c:pt idx="3">
                  <c:v>0.22485551555964878</c:v>
                </c:pt>
                <c:pt idx="4">
                  <c:v>0.23400000000000001</c:v>
                </c:pt>
              </c:numCache>
            </c:numRef>
          </c:val>
          <c:smooth val="0"/>
          <c:extLst>
            <c:ext xmlns:c16="http://schemas.microsoft.com/office/drawing/2014/chart" uri="{C3380CC4-5D6E-409C-BE32-E72D297353CC}">
              <c16:uniqueId val="{00000001-3413-41A2-9937-98F40B6F6E92}"/>
            </c:ext>
          </c:extLst>
        </c:ser>
        <c:dLbls>
          <c:showLegendKey val="0"/>
          <c:showVal val="0"/>
          <c:showCatName val="0"/>
          <c:showSerName val="0"/>
          <c:showPercent val="0"/>
          <c:showBubbleSize val="0"/>
        </c:dLbls>
        <c:marker val="1"/>
        <c:smooth val="0"/>
        <c:axId val="133413888"/>
        <c:axId val="135086848"/>
      </c:lineChart>
      <c:catAx>
        <c:axId val="133410816"/>
        <c:scaling>
          <c:orientation val="minMax"/>
        </c:scaling>
        <c:delete val="0"/>
        <c:axPos val="b"/>
        <c:numFmt formatCode="General" sourceLinked="1"/>
        <c:majorTickMark val="out"/>
        <c:minorTickMark val="none"/>
        <c:tickLblPos val="nextTo"/>
        <c:crossAx val="133412352"/>
        <c:crosses val="autoZero"/>
        <c:auto val="1"/>
        <c:lblAlgn val="ctr"/>
        <c:lblOffset val="100"/>
        <c:noMultiLvlLbl val="0"/>
      </c:catAx>
      <c:valAx>
        <c:axId val="133412352"/>
        <c:scaling>
          <c:orientation val="minMax"/>
        </c:scaling>
        <c:delete val="0"/>
        <c:axPos val="l"/>
        <c:majorGridlines/>
        <c:numFmt formatCode="#,##0.0" sourceLinked="1"/>
        <c:majorTickMark val="out"/>
        <c:minorTickMark val="none"/>
        <c:tickLblPos val="nextTo"/>
        <c:crossAx val="133410816"/>
        <c:crosses val="autoZero"/>
        <c:crossBetween val="between"/>
        <c:majorUnit val="500"/>
      </c:valAx>
      <c:catAx>
        <c:axId val="133413888"/>
        <c:scaling>
          <c:orientation val="minMax"/>
        </c:scaling>
        <c:delete val="1"/>
        <c:axPos val="b"/>
        <c:numFmt formatCode="General" sourceLinked="1"/>
        <c:majorTickMark val="out"/>
        <c:minorTickMark val="none"/>
        <c:tickLblPos val="none"/>
        <c:crossAx val="135086848"/>
        <c:crosses val="autoZero"/>
        <c:auto val="1"/>
        <c:lblAlgn val="ctr"/>
        <c:lblOffset val="100"/>
        <c:noMultiLvlLbl val="0"/>
      </c:catAx>
      <c:valAx>
        <c:axId val="135086848"/>
        <c:scaling>
          <c:orientation val="minMax"/>
          <c:max val="0.25"/>
          <c:min val="0.2"/>
        </c:scaling>
        <c:delete val="0"/>
        <c:axPos val="r"/>
        <c:numFmt formatCode="0.0%" sourceLinked="1"/>
        <c:majorTickMark val="out"/>
        <c:minorTickMark val="none"/>
        <c:tickLblPos val="nextTo"/>
        <c:crossAx val="133413888"/>
        <c:crosses val="max"/>
        <c:crossBetween val="between"/>
        <c:majorUnit val="1.0000000000000005E-2"/>
      </c:valAx>
    </c:plotArea>
    <c:legend>
      <c:legendPos val="r"/>
      <c:layout>
        <c:manualLayout>
          <c:xMode val="edge"/>
          <c:yMode val="edge"/>
          <c:x val="0.13291130687871941"/>
          <c:y val="0.88008722212961243"/>
          <c:w val="0.73575963895602192"/>
          <c:h val="9.0283484178425383E-2"/>
        </c:manualLayout>
      </c:layout>
      <c:overlay val="0"/>
    </c:legend>
    <c:plotVisOnly val="1"/>
    <c:dispBlanksAs val="gap"/>
    <c:showDLblsOverMax val="0"/>
  </c:chart>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53293849295147"/>
          <c:y val="3.2707203266258401E-2"/>
          <c:w val="0.84521276129266509"/>
          <c:h val="0.75897428379963161"/>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3363734209482839E-2"/>
                  <c:y val="-0.12860950714494018"/>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143-4218-A538-36BDDAC1E40B}"/>
                </c:ext>
              </c:extLst>
            </c:dLbl>
            <c:dLbl>
              <c:idx val="1"/>
              <c:layout>
                <c:manualLayout>
                  <c:x val="-9.3638777167242726E-2"/>
                  <c:y val="1.352843394575678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143-4218-A538-36BDDAC1E40B}"/>
                </c:ext>
              </c:extLst>
            </c:dLbl>
            <c:dLbl>
              <c:idx val="2"/>
              <c:layout>
                <c:manualLayout>
                  <c:x val="-8.9792560527441015E-2"/>
                  <c:y val="-2.3642713952094579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143-4218-A538-36BDDAC1E40B}"/>
                </c:ext>
              </c:extLst>
            </c:dLbl>
            <c:dLbl>
              <c:idx val="3"/>
              <c:layout>
                <c:manualLayout>
                  <c:x val="-9.1698408202571829E-2"/>
                  <c:y val="-4.7273257509484773E-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143-4218-A538-36BDDAC1E40B}"/>
                </c:ext>
              </c:extLst>
            </c:dLbl>
            <c:dLbl>
              <c:idx val="4"/>
              <c:layout>
                <c:manualLayout>
                  <c:x val="-8.6330935251798552E-2"/>
                  <c:y val="-6.790045017610676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143-4218-A538-36BDDAC1E40B}"/>
                </c:ext>
              </c:extLst>
            </c:dLbl>
            <c:spPr>
              <a:noFill/>
              <a:ln w="25382">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 թ</c:v>
                </c:pt>
                <c:pt idx="3">
                  <c:v>2021 թ</c:v>
                </c:pt>
                <c:pt idx="4">
                  <c:v>2022 թ</c:v>
                </c:pt>
              </c:strCache>
            </c:strRef>
          </c:cat>
          <c:val>
            <c:numRef>
              <c:f>Sheet1!$C$5:$G$5</c:f>
              <c:numCache>
                <c:formatCode>_(* #,##0.0_);_(* \(#,##0.0\);_(* "-"??_);_(@_)</c:formatCode>
                <c:ptCount val="5"/>
                <c:pt idx="0">
                  <c:v>1447.1</c:v>
                </c:pt>
                <c:pt idx="1">
                  <c:v>1629.4</c:v>
                </c:pt>
                <c:pt idx="2">
                  <c:v>1894.64709341</c:v>
                </c:pt>
                <c:pt idx="3">
                  <c:v>1850.8775411900001</c:v>
                </c:pt>
                <c:pt idx="4">
                  <c:v>2184</c:v>
                </c:pt>
              </c:numCache>
            </c:numRef>
          </c:val>
          <c:extLst>
            <c:ext xmlns:c16="http://schemas.microsoft.com/office/drawing/2014/chart" uri="{C3380CC4-5D6E-409C-BE32-E72D297353CC}">
              <c16:uniqueId val="{00000005-E143-4218-A538-36BDDAC1E40B}"/>
            </c:ext>
          </c:extLst>
        </c:ser>
        <c:dLbls>
          <c:showLegendKey val="0"/>
          <c:showVal val="0"/>
          <c:showCatName val="0"/>
          <c:showSerName val="0"/>
          <c:showPercent val="0"/>
          <c:showBubbleSize val="0"/>
        </c:dLbls>
        <c:gapWidth val="34"/>
        <c:overlap val="100"/>
        <c:axId val="501334784"/>
        <c:axId val="501336320"/>
      </c:barChart>
      <c:barChart>
        <c:barDir val="col"/>
        <c:grouping val="stacked"/>
        <c:varyColors val="0"/>
        <c:ser>
          <c:idx val="1"/>
          <c:order val="1"/>
          <c:tx>
            <c:strRef>
              <c:f>Sheet1!$B$6</c:f>
              <c:strCache>
                <c:ptCount val="1"/>
                <c:pt idx="0">
                  <c:v>Ընթացիկ ծախսեր</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dLbl>
              <c:idx val="0"/>
              <c:layout>
                <c:manualLayout>
                  <c:x val="-1.5290519877675841E-3"/>
                  <c:y val="-2.39361702127659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143-4218-A538-36BDDAC1E40B}"/>
                </c:ext>
              </c:extLst>
            </c:dLbl>
            <c:dLbl>
              <c:idx val="4"/>
              <c:layout>
                <c:manualLayout>
                  <c:x val="-3.8369304556354934E-3"/>
                  <c:y val="-4.07407407407407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143-4218-A538-36BDDAC1E40B}"/>
                </c:ext>
              </c:extLst>
            </c:dLbl>
            <c:spPr>
              <a:noFill/>
              <a:ln w="25382">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Sheet1!$C$6:$G$6</c:f>
              <c:numCache>
                <c:formatCode>_(* #,##0.0_);_(* \(#,##0.0\);_(* "-"??_);_(@_)</c:formatCode>
                <c:ptCount val="5"/>
                <c:pt idx="0">
                  <c:v>1299</c:v>
                </c:pt>
                <c:pt idx="1">
                  <c:v>1437.1</c:v>
                </c:pt>
                <c:pt idx="2">
                  <c:v>1668.458374</c:v>
                </c:pt>
                <c:pt idx="3">
                  <c:v>1634.55862359</c:v>
                </c:pt>
                <c:pt idx="4">
                  <c:v>1842.1</c:v>
                </c:pt>
              </c:numCache>
            </c:numRef>
          </c:val>
          <c:extLst>
            <c:ext xmlns:c16="http://schemas.microsoft.com/office/drawing/2014/chart" uri="{C3380CC4-5D6E-409C-BE32-E72D297353CC}">
              <c16:uniqueId val="{00000008-E143-4218-A538-36BDDAC1E40B}"/>
            </c:ext>
          </c:extLst>
        </c:ser>
        <c:ser>
          <c:idx val="2"/>
          <c:order val="2"/>
          <c:tx>
            <c:strRef>
              <c:f>Sheet1!$B$7</c:f>
              <c:strCache>
                <c:ptCount val="1"/>
                <c:pt idx="0">
                  <c:v>Ոչ ֆինանսական ակտիվների գծով գործառնություններ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dLbl>
              <c:idx val="0"/>
              <c:layout>
                <c:manualLayout>
                  <c:x val="-2.1128248468202373E-3"/>
                  <c:y val="-6.7491563554555684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E143-4218-A538-36BDDAC1E40B}"/>
                </c:ext>
              </c:extLst>
            </c:dLbl>
            <c:dLbl>
              <c:idx val="1"/>
              <c:layout>
                <c:manualLayout>
                  <c:x val="-1.0564124234101031E-2"/>
                  <c:y val="-7.124109486314214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E143-4218-A538-36BDDAC1E40B}"/>
                </c:ext>
              </c:extLst>
            </c:dLbl>
            <c:dLbl>
              <c:idx val="2"/>
              <c:layout>
                <c:manualLayout>
                  <c:x val="4.2256496936403974E-3"/>
                  <c:y val="-8.6239220097487815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E143-4218-A538-36BDDAC1E40B}"/>
                </c:ext>
              </c:extLst>
            </c:dLbl>
            <c:dLbl>
              <c:idx val="3"/>
              <c:layout>
                <c:manualLayout>
                  <c:x val="2.1128248468201987E-3"/>
                  <c:y val="-8.9988751406074236E-2"/>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E143-4218-A538-36BDDAC1E40B}"/>
                </c:ext>
              </c:extLst>
            </c:dLbl>
            <c:dLbl>
              <c:idx val="4"/>
              <c:layout>
                <c:manualLayout>
                  <c:x val="0"/>
                  <c:y val="-0.10123734533183354"/>
                </c:manualLayout>
              </c:layout>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E143-4218-A538-36BDDAC1E40B}"/>
                </c:ext>
              </c:extLst>
            </c:dLbl>
            <c:spPr>
              <a:noFill/>
              <a:ln w="25382">
                <a:noFill/>
              </a:ln>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 թ</c:v>
                </c:pt>
                <c:pt idx="3">
                  <c:v>2021 թ</c:v>
                </c:pt>
                <c:pt idx="4">
                  <c:v>2022 թ</c:v>
                </c:pt>
              </c:strCache>
            </c:strRef>
          </c:cat>
          <c:val>
            <c:numRef>
              <c:f>Sheet1!$C$7:$G$7</c:f>
              <c:numCache>
                <c:formatCode>_(* #,##0.0_);_(* \(#,##0.0\);_(* "-"??_);_(@_)</c:formatCode>
                <c:ptCount val="5"/>
                <c:pt idx="0">
                  <c:v>148.1</c:v>
                </c:pt>
                <c:pt idx="1">
                  <c:v>192.3</c:v>
                </c:pt>
                <c:pt idx="2">
                  <c:v>226.18871941</c:v>
                </c:pt>
                <c:pt idx="3">
                  <c:v>216.31891759999999</c:v>
                </c:pt>
                <c:pt idx="4">
                  <c:v>341.9</c:v>
                </c:pt>
              </c:numCache>
            </c:numRef>
          </c:val>
          <c:extLst>
            <c:ext xmlns:c16="http://schemas.microsoft.com/office/drawing/2014/chart" uri="{C3380CC4-5D6E-409C-BE32-E72D297353CC}">
              <c16:uniqueId val="{0000000E-E143-4218-A538-36BDDAC1E40B}"/>
            </c:ext>
          </c:extLst>
        </c:ser>
        <c:dLbls>
          <c:showLegendKey val="0"/>
          <c:showVal val="0"/>
          <c:showCatName val="0"/>
          <c:showSerName val="0"/>
          <c:showPercent val="0"/>
          <c:showBubbleSize val="0"/>
        </c:dLbls>
        <c:gapWidth val="232"/>
        <c:overlap val="100"/>
        <c:axId val="501650944"/>
        <c:axId val="501652480"/>
      </c:barChart>
      <c:catAx>
        <c:axId val="501334784"/>
        <c:scaling>
          <c:orientation val="minMax"/>
        </c:scaling>
        <c:delete val="0"/>
        <c:axPos val="b"/>
        <c:numFmt formatCode="General" sourceLinked="1"/>
        <c:majorTickMark val="none"/>
        <c:minorTickMark val="none"/>
        <c:tickLblPos val="nextTo"/>
        <c:spPr>
          <a:noFill/>
          <a:ln w="25382" cap="flat" cmpd="sng" algn="ctr">
            <a:solidFill>
              <a:schemeClr val="tx2">
                <a:lumMod val="50000"/>
              </a:schemeClr>
            </a:solidFill>
            <a:round/>
          </a:ln>
          <a:effectLst/>
        </c:spPr>
        <c:txPr>
          <a:bodyPr rot="-60000000" spcFirstLastPara="1" vertOverflow="ellipsis" vert="horz" wrap="square" anchor="ctr" anchorCtr="1"/>
          <a:lstStyle/>
          <a:p>
            <a:pPr>
              <a:defRPr sz="1196" b="1" i="0" u="none" strike="noStrike" kern="1200" baseline="0">
                <a:solidFill>
                  <a:schemeClr val="tx1">
                    <a:lumMod val="65000"/>
                    <a:lumOff val="35000"/>
                  </a:schemeClr>
                </a:solidFill>
                <a:latin typeface="+mn-lt"/>
                <a:ea typeface="+mn-ea"/>
                <a:cs typeface="+mn-cs"/>
              </a:defRPr>
            </a:pPr>
            <a:endParaRPr lang="en-US"/>
          </a:p>
        </c:txPr>
        <c:crossAx val="501336320"/>
        <c:crosses val="autoZero"/>
        <c:auto val="1"/>
        <c:lblAlgn val="ctr"/>
        <c:lblOffset val="100"/>
        <c:noMultiLvlLbl val="0"/>
      </c:catAx>
      <c:valAx>
        <c:axId val="501336320"/>
        <c:scaling>
          <c:orientation val="minMax"/>
          <c:max val="2400"/>
          <c:min val="0"/>
        </c:scaling>
        <c:delete val="0"/>
        <c:axPos val="l"/>
        <c:majorGridlines>
          <c:spPr>
            <a:ln w="9518" cap="flat" cmpd="sng" algn="ctr">
              <a:solidFill>
                <a:schemeClr val="tx1">
                  <a:lumMod val="15000"/>
                  <a:lumOff val="85000"/>
                </a:schemeClr>
              </a:solidFill>
              <a:round/>
            </a:ln>
            <a:effectLst/>
          </c:spPr>
        </c:majorGridlines>
        <c:title>
          <c:tx>
            <c:rich>
              <a:bodyPr/>
              <a:lstStyle/>
              <a:p>
                <a:pPr>
                  <a:defRPr sz="1200" b="0" i="0" u="none" strike="noStrike" baseline="0">
                    <a:solidFill>
                      <a:srgbClr val="333333"/>
                    </a:solidFill>
                    <a:latin typeface="GHEA Grapalat"/>
                    <a:ea typeface="GHEA Grapalat"/>
                    <a:cs typeface="GHEA Grapalat"/>
                  </a:defRPr>
                </a:pPr>
                <a:r>
                  <a:rPr lang="hy-AM" sz="1200" b="0"/>
                  <a:t>մլրդ դրամ</a:t>
                </a:r>
              </a:p>
            </c:rich>
          </c:tx>
          <c:layout/>
          <c:overlay val="0"/>
          <c:spPr>
            <a:noFill/>
            <a:ln w="25382">
              <a:noFill/>
            </a:ln>
          </c:spPr>
        </c:title>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01334784"/>
        <c:crosses val="autoZero"/>
        <c:crossBetween val="between"/>
        <c:majorUnit val="400"/>
      </c:valAx>
      <c:catAx>
        <c:axId val="501650944"/>
        <c:scaling>
          <c:orientation val="minMax"/>
        </c:scaling>
        <c:delete val="1"/>
        <c:axPos val="b"/>
        <c:numFmt formatCode="General" sourceLinked="1"/>
        <c:majorTickMark val="out"/>
        <c:minorTickMark val="none"/>
        <c:tickLblPos val="none"/>
        <c:crossAx val="501652480"/>
        <c:crosses val="autoZero"/>
        <c:auto val="1"/>
        <c:lblAlgn val="ctr"/>
        <c:lblOffset val="100"/>
        <c:noMultiLvlLbl val="0"/>
      </c:catAx>
      <c:valAx>
        <c:axId val="501652480"/>
        <c:scaling>
          <c:orientation val="minMax"/>
          <c:max val="1800"/>
          <c:min val="0"/>
        </c:scaling>
        <c:delete val="1"/>
        <c:axPos val="r"/>
        <c:numFmt formatCode="_(* #,##0.0_);_(* \(#,##0.0\);_(* &quot;-&quot;??_);_(@_)" sourceLinked="1"/>
        <c:majorTickMark val="out"/>
        <c:minorTickMark val="none"/>
        <c:tickLblPos val="none"/>
        <c:crossAx val="501650944"/>
        <c:crosses val="max"/>
        <c:crossBetween val="between"/>
        <c:majorUnit val="200"/>
      </c:valAx>
      <c:spPr>
        <a:noFill/>
        <a:ln w="25382">
          <a:noFill/>
        </a:ln>
      </c:spPr>
    </c:plotArea>
    <c:legend>
      <c:legendPos val="b"/>
      <c:legendEntry>
        <c:idx val="0"/>
        <c:delete val="1"/>
      </c:legendEntry>
      <c:layout>
        <c:manualLayout>
          <c:xMode val="edge"/>
          <c:yMode val="edge"/>
          <c:x val="5.8816782230579442E-2"/>
          <c:y val="0.92351471814054742"/>
          <c:w val="0.934860657343206"/>
          <c:h val="5.9144260510743334E-2"/>
        </c:manualLayout>
      </c:layout>
      <c:overlay val="0"/>
      <c:spPr>
        <a:noFill/>
        <a:ln w="25382">
          <a:noFill/>
        </a:ln>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88145091188361"/>
          <c:y val="2.104553046571658E-2"/>
          <c:w val="0.86293549726037466"/>
          <c:h val="0.651164782619995"/>
        </c:manualLayout>
      </c:layout>
      <c:barChart>
        <c:barDir val="col"/>
        <c:grouping val="stacked"/>
        <c:varyColors val="0"/>
        <c:ser>
          <c:idx val="0"/>
          <c:order val="0"/>
          <c:tx>
            <c:strRef>
              <c:f>Sheet1!$B$5</c:f>
              <c:strCache>
                <c:ptCount val="1"/>
                <c:pt idx="0">
                  <c:v>Ընդամենը ծախսեր</c:v>
                </c:pt>
              </c:strCache>
            </c:strRef>
          </c:tx>
          <c:spPr>
            <a:solidFill>
              <a:schemeClr val="accent1">
                <a:lumMod val="75000"/>
                <a:alpha val="12000"/>
              </a:schemeClr>
            </a:solidFill>
            <a:ln>
              <a:noFill/>
            </a:ln>
            <a:effectLst/>
            <a:scene3d>
              <a:camera prst="orthographicFront"/>
              <a:lightRig rig="threePt" dir="t"/>
            </a:scene3d>
            <a:sp3d prstMaterial="metal">
              <a:bevelT/>
            </a:sp3d>
          </c:spPr>
          <c:invertIfNegative val="0"/>
          <c:dLbls>
            <c:dLbl>
              <c:idx val="0"/>
              <c:layout>
                <c:manualLayout>
                  <c:x val="-7.288317256162917E-2"/>
                  <c:y val="-8.2644628099173591E-3"/>
                </c:manualLayout>
              </c:layout>
              <c:tx>
                <c:rich>
                  <a:bodyPr/>
                  <a:lstStyle/>
                  <a:p>
                    <a:r>
                      <a:rPr lang="en-US"/>
                      <a:t>21.6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A59-4A4E-8F93-D8D13891B869}"/>
                </c:ext>
              </c:extLst>
            </c:dLbl>
            <c:dLbl>
              <c:idx val="1"/>
              <c:layout>
                <c:manualLayout>
                  <c:x val="-9.952747466052278E-2"/>
                  <c:y val="1.08457517140012E-7"/>
                </c:manualLayout>
              </c:layout>
              <c:tx>
                <c:rich>
                  <a:bodyPr rot="-5400000" spcFirstLastPara="1" vertOverflow="ellipsis" wrap="square" lIns="38100" tIns="19050" rIns="38100" bIns="19050" anchor="ctr" anchorCtr="1">
                    <a:no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r>
                      <a:rPr lang="en-US"/>
                      <a:t>22.0</a:t>
                    </a:r>
                  </a:p>
                </c:rich>
              </c:tx>
              <c:spPr>
                <a:noFill/>
                <a:ln w="25384">
                  <a:noFill/>
                </a:ln>
              </c:spPr>
              <c:dLblPos val="ctr"/>
              <c:showLegendKey val="0"/>
              <c:showVal val="1"/>
              <c:showCatName val="0"/>
              <c:showSerName val="0"/>
              <c:showPercent val="0"/>
              <c:showBubbleSize val="0"/>
              <c:extLst>
                <c:ext xmlns:c15="http://schemas.microsoft.com/office/drawing/2012/chart" uri="{CE6537A1-D6FC-4f65-9D91-7224C49458BB}">
                  <c15:layout>
                    <c:manualLayout>
                      <c:w val="0.11762057877813503"/>
                      <c:h val="6.1639226914817456E-2"/>
                    </c:manualLayout>
                  </c15:layout>
                </c:ext>
                <c:ext xmlns:c16="http://schemas.microsoft.com/office/drawing/2014/chart" uri="{C3380CC4-5D6E-409C-BE32-E72D297353CC}">
                  <c16:uniqueId val="{00000001-5A59-4A4E-8F93-D8D13891B869}"/>
                </c:ext>
              </c:extLst>
            </c:dLbl>
            <c:dLbl>
              <c:idx val="2"/>
              <c:layout>
                <c:manualLayout>
                  <c:x val="-0.10593479673561718"/>
                  <c:y val="3.0255308995466492E-3"/>
                </c:manualLayout>
              </c:layout>
              <c:tx>
                <c:rich>
                  <a:bodyPr/>
                  <a:lstStyle/>
                  <a:p>
                    <a:r>
                      <a:rPr lang="en-US"/>
                      <a:t>27.0</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A59-4A4E-8F93-D8D13891B869}"/>
                </c:ext>
              </c:extLst>
            </c:dLbl>
            <c:dLbl>
              <c:idx val="3"/>
              <c:layout>
                <c:manualLayout>
                  <c:x val="-0.10234397549180961"/>
                  <c:y val="-3.1923385609856632E-3"/>
                </c:manualLayout>
              </c:layout>
              <c:tx>
                <c:rich>
                  <a:bodyPr/>
                  <a:lstStyle/>
                  <a:p>
                    <a:r>
                      <a:rPr lang="en-US"/>
                      <a:t>25.6</a:t>
                    </a:r>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A59-4A4E-8F93-D8D13891B869}"/>
                </c:ext>
              </c:extLst>
            </c:dLbl>
            <c:dLbl>
              <c:idx val="4"/>
              <c:layout>
                <c:manualLayout>
                  <c:x val="-7.5451637677123318E-2"/>
                  <c:y val="5.414199258150582E-4"/>
                </c:manualLayout>
              </c:layout>
              <c:tx>
                <c:rich>
                  <a:bodyPr/>
                  <a:lstStyle/>
                  <a:p>
                    <a:r>
                      <a:rPr lang="en-US"/>
                      <a:t>23.4</a:t>
                    </a:r>
                  </a:p>
                  <a:p>
                    <a:endParaRPr lang="en-US"/>
                  </a:p>
                </c:rich>
              </c:tx>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A59-4A4E-8F93-D8D13891B869}"/>
                </c:ext>
              </c:extLst>
            </c:dLbl>
            <c:spPr>
              <a:noFill/>
              <a:ln w="25384">
                <a:noFill/>
              </a:ln>
            </c:spPr>
            <c:txPr>
              <a:bodyPr rot="-5400000" spcFirstLastPara="1" vertOverflow="ellipsis" wrap="square" lIns="38100" tIns="19050" rIns="38100" bIns="19050" anchor="ctr" anchorCtr="1">
                <a:spAutoFit/>
              </a:bodyPr>
              <a:lstStyle/>
              <a:p>
                <a:pPr>
                  <a:defRPr sz="1195"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 թ</c:v>
                </c:pt>
                <c:pt idx="3">
                  <c:v>2021 թ</c:v>
                </c:pt>
                <c:pt idx="4">
                  <c:v>2022 թ</c:v>
                </c:pt>
              </c:strCache>
            </c:strRef>
          </c:cat>
          <c:val>
            <c:numRef>
              <c:f>Sheet1!$C$5:$G$5</c:f>
              <c:numCache>
                <c:formatCode>_ * #,##0.0_)\ _ _ ;_ * \(#,##0.0\)\ _ _ ;_ * "-"??_)\ _ _ ;_ @_ </c:formatCode>
                <c:ptCount val="5"/>
                <c:pt idx="0">
                  <c:v>21.588337472248792</c:v>
                </c:pt>
                <c:pt idx="1">
                  <c:v>21.963506332517529</c:v>
                </c:pt>
                <c:pt idx="2">
                  <c:v>26.990440551113089</c:v>
                </c:pt>
                <c:pt idx="3">
                  <c:v>25.558707027535878</c:v>
                </c:pt>
                <c:pt idx="4">
                  <c:v>23.408978832548399</c:v>
                </c:pt>
              </c:numCache>
            </c:numRef>
          </c:val>
          <c:extLst>
            <c:ext xmlns:c16="http://schemas.microsoft.com/office/drawing/2014/chart" uri="{C3380CC4-5D6E-409C-BE32-E72D297353CC}">
              <c16:uniqueId val="{00000005-5A59-4A4E-8F93-D8D13891B869}"/>
            </c:ext>
          </c:extLst>
        </c:ser>
        <c:dLbls>
          <c:showLegendKey val="0"/>
          <c:showVal val="0"/>
          <c:showCatName val="0"/>
          <c:showSerName val="0"/>
          <c:showPercent val="0"/>
          <c:showBubbleSize val="0"/>
        </c:dLbls>
        <c:gapWidth val="34"/>
        <c:overlap val="100"/>
        <c:axId val="447526784"/>
        <c:axId val="447528320"/>
      </c:barChart>
      <c:barChart>
        <c:barDir val="col"/>
        <c:grouping val="stacked"/>
        <c:varyColors val="0"/>
        <c:ser>
          <c:idx val="1"/>
          <c:order val="1"/>
          <c:tx>
            <c:strRef>
              <c:f>Sheet1!$B$6</c:f>
              <c:strCache>
                <c:ptCount val="1"/>
                <c:pt idx="0">
                  <c:v>Աշխատանքի վարձատրություն</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Sheet1!$C$6:$G$6</c:f>
              <c:numCache>
                <c:formatCode>_ * #,##0.0_)\ _ _ ;_ * \(#,##0.0\)\ _ _ ;_ * "-"??_)\ _ _ ;_ @_ </c:formatCode>
                <c:ptCount val="5"/>
                <c:pt idx="0">
                  <c:v>2.5387103238152902</c:v>
                </c:pt>
                <c:pt idx="1">
                  <c:v>2.6374771129245089</c:v>
                </c:pt>
                <c:pt idx="2">
                  <c:v>2.8487691403355289</c:v>
                </c:pt>
                <c:pt idx="3">
                  <c:v>2.8313755697416667</c:v>
                </c:pt>
                <c:pt idx="4">
                  <c:v>2.3456842337427899</c:v>
                </c:pt>
              </c:numCache>
            </c:numRef>
          </c:val>
          <c:extLst>
            <c:ext xmlns:c16="http://schemas.microsoft.com/office/drawing/2014/chart" uri="{C3380CC4-5D6E-409C-BE32-E72D297353CC}">
              <c16:uniqueId val="{00000006-5A59-4A4E-8F93-D8D13891B869}"/>
            </c:ext>
          </c:extLst>
        </c:ser>
        <c:ser>
          <c:idx val="2"/>
          <c:order val="2"/>
          <c:tx>
            <c:strRef>
              <c:f>Sheet1!$B$7</c:f>
              <c:strCache>
                <c:ptCount val="1"/>
                <c:pt idx="0">
                  <c:v>Ծառայությունների և ապրանքների ձեռքբերում</c:v>
                </c:pt>
              </c:strCache>
            </c:strRef>
          </c:tx>
          <c:invertIfNegative val="0"/>
          <c:dLbls>
            <c:spPr>
              <a:noFill/>
              <a:ln w="25384">
                <a:noFill/>
              </a:ln>
            </c:spPr>
            <c:txPr>
              <a:bodyPr rot="0" spcFirstLastPara="1" vertOverflow="ellipsis" vert="horz" wrap="square" lIns="38100" tIns="19050" rIns="38100" bIns="19050" anchor="ctr" anchorCtr="1">
                <a:spAutoFit/>
              </a:bodyPr>
              <a:lstStyle/>
              <a:p>
                <a:pPr>
                  <a:defRPr sz="1195" b="0" i="0" u="none" strike="noStrike" kern="1200" baseline="0">
                    <a:solidFill>
                      <a:schemeClr val="tx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Sheet1!$C$7:$G$7</c:f>
              <c:numCache>
                <c:formatCode>_ * #,##0.0_)\ _ _ ;_ * \(#,##0.0\)\ _ _ ;_ * "-"??_)\ _ _ ;_ @_ </c:formatCode>
                <c:ptCount val="5"/>
                <c:pt idx="0">
                  <c:v>2.5867730966573035</c:v>
                </c:pt>
                <c:pt idx="1">
                  <c:v>2.9361427203534451</c:v>
                </c:pt>
                <c:pt idx="2">
                  <c:v>2.8982839361976986</c:v>
                </c:pt>
                <c:pt idx="3">
                  <c:v>2.6446796138587114</c:v>
                </c:pt>
                <c:pt idx="4">
                  <c:v>2.192187993230907</c:v>
                </c:pt>
              </c:numCache>
            </c:numRef>
          </c:val>
          <c:extLst>
            <c:ext xmlns:c16="http://schemas.microsoft.com/office/drawing/2014/chart" uri="{C3380CC4-5D6E-409C-BE32-E72D297353CC}">
              <c16:uniqueId val="{00000007-5A59-4A4E-8F93-D8D13891B869}"/>
            </c:ext>
          </c:extLst>
        </c:ser>
        <c:ser>
          <c:idx val="3"/>
          <c:order val="3"/>
          <c:tx>
            <c:strRef>
              <c:f>Sheet1!$B$8</c:f>
              <c:strCache>
                <c:ptCount val="1"/>
                <c:pt idx="0">
                  <c:v>Տոկոսավճարներ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Sheet1!$C$8:$G$8</c:f>
              <c:numCache>
                <c:formatCode>_ * #,##0.0_)\ _ _ ;_ * \(#,##0.0\)\ _ _ ;_ * "-"??_)\ _ _ ;_ @_ </c:formatCode>
                <c:ptCount val="5"/>
                <c:pt idx="0">
                  <c:v>2.3103554228833496</c:v>
                </c:pt>
                <c:pt idx="1">
                  <c:v>2.4078397672570526</c:v>
                </c:pt>
                <c:pt idx="2">
                  <c:v>2.6654207937309309</c:v>
                </c:pt>
                <c:pt idx="3">
                  <c:v>3.0444195903850297</c:v>
                </c:pt>
                <c:pt idx="4">
                  <c:v>2.7174126170000674</c:v>
                </c:pt>
              </c:numCache>
            </c:numRef>
          </c:val>
          <c:extLst>
            <c:ext xmlns:c16="http://schemas.microsoft.com/office/drawing/2014/chart" uri="{C3380CC4-5D6E-409C-BE32-E72D297353CC}">
              <c16:uniqueId val="{00000008-5A59-4A4E-8F93-D8D13891B869}"/>
            </c:ext>
          </c:extLst>
        </c:ser>
        <c:ser>
          <c:idx val="4"/>
          <c:order val="4"/>
          <c:tx>
            <c:strRef>
              <c:f>Sheet1!$B$9</c:f>
              <c:strCache>
                <c:ptCount val="1"/>
                <c:pt idx="0">
                  <c:v>Սուբսիդիաներ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Sheet1!$C$9:$G$9</c:f>
              <c:numCache>
                <c:formatCode>_ * #,##0.0_)\ _ _ ;_ * \(#,##0.0\)\ _ _ ;_ * "-"??_)\ _ _ ;_ @_ </c:formatCode>
                <c:ptCount val="5"/>
                <c:pt idx="0">
                  <c:v>1.8485136909287152</c:v>
                </c:pt>
                <c:pt idx="1">
                  <c:v>1.7326900153374698</c:v>
                </c:pt>
                <c:pt idx="2">
                  <c:v>1.9263290886348872</c:v>
                </c:pt>
                <c:pt idx="3">
                  <c:v>1.9134355507618026</c:v>
                </c:pt>
                <c:pt idx="4">
                  <c:v>1.8025721550348226</c:v>
                </c:pt>
              </c:numCache>
            </c:numRef>
          </c:val>
          <c:extLst>
            <c:ext xmlns:c16="http://schemas.microsoft.com/office/drawing/2014/chart" uri="{C3380CC4-5D6E-409C-BE32-E72D297353CC}">
              <c16:uniqueId val="{00000009-5A59-4A4E-8F93-D8D13891B869}"/>
            </c:ext>
          </c:extLst>
        </c:ser>
        <c:ser>
          <c:idx val="5"/>
          <c:order val="5"/>
          <c:tx>
            <c:strRef>
              <c:f>Sheet1!$B$10</c:f>
              <c:strCache>
                <c:ptCount val="1"/>
                <c:pt idx="0">
                  <c:v>Դրամաշնորհներ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Sheet1!$C$10:$G$10</c:f>
              <c:numCache>
                <c:formatCode>_ * #,##0.0_)\ _ _ ;_ * \(#,##0.0\)\ _ _ ;_ * "-"??_)\ _ _ ;_ @_ </c:formatCode>
                <c:ptCount val="5"/>
                <c:pt idx="0">
                  <c:v>2.0993402807415853</c:v>
                </c:pt>
                <c:pt idx="1">
                  <c:v>2.2924096962493881</c:v>
                </c:pt>
                <c:pt idx="2">
                  <c:v>3.0227166624922246</c:v>
                </c:pt>
                <c:pt idx="3">
                  <c:v>2.5473898609587748</c:v>
                </c:pt>
                <c:pt idx="4">
                  <c:v>2.9067982998195401</c:v>
                </c:pt>
              </c:numCache>
            </c:numRef>
          </c:val>
          <c:extLst>
            <c:ext xmlns:c16="http://schemas.microsoft.com/office/drawing/2014/chart" uri="{C3380CC4-5D6E-409C-BE32-E72D297353CC}">
              <c16:uniqueId val="{0000000A-5A59-4A4E-8F93-D8D13891B869}"/>
            </c:ext>
          </c:extLst>
        </c:ser>
        <c:ser>
          <c:idx val="6"/>
          <c:order val="6"/>
          <c:tx>
            <c:strRef>
              <c:f>Sheet1!$B$11</c:f>
              <c:strCache>
                <c:ptCount val="1"/>
                <c:pt idx="0">
                  <c:v>Սոցիալական նպաստներ և կենսաթոշակներ</c:v>
                </c:pt>
              </c:strCache>
            </c:strRef>
          </c:tx>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 թ</c:v>
                </c:pt>
                <c:pt idx="3">
                  <c:v>2021 թ</c:v>
                </c:pt>
                <c:pt idx="4">
                  <c:v>2022 թ</c:v>
                </c:pt>
              </c:strCache>
            </c:strRef>
          </c:cat>
          <c:val>
            <c:numRef>
              <c:f>Sheet1!$C$11:$G$11</c:f>
              <c:numCache>
                <c:formatCode>_ * #,##0.0_)\ _ _ ;_ * \(#,##0.0\)\ _ _ ;_ * "-"??_)\ _ _ ;_ @_ </c:formatCode>
                <c:ptCount val="5"/>
                <c:pt idx="0">
                  <c:v>7.0712352478842071</c:v>
                </c:pt>
                <c:pt idx="1">
                  <c:v>6.9264304775595784</c:v>
                </c:pt>
                <c:pt idx="2">
                  <c:v>9.0440396344084757</c:v>
                </c:pt>
                <c:pt idx="3">
                  <c:v>8.2540608157030118</c:v>
                </c:pt>
                <c:pt idx="4">
                  <c:v>7.2695216715828623</c:v>
                </c:pt>
              </c:numCache>
            </c:numRef>
          </c:val>
          <c:extLst>
            <c:ext xmlns:c16="http://schemas.microsoft.com/office/drawing/2014/chart" uri="{C3380CC4-5D6E-409C-BE32-E72D297353CC}">
              <c16:uniqueId val="{0000000B-5A59-4A4E-8F93-D8D13891B869}"/>
            </c:ext>
          </c:extLst>
        </c:ser>
        <c:ser>
          <c:idx val="7"/>
          <c:order val="7"/>
          <c:tx>
            <c:strRef>
              <c:f>Sheet1!$B$12</c:f>
              <c:strCache>
                <c:ptCount val="1"/>
                <c:pt idx="0">
                  <c:v>Այլ ծախսեր</c:v>
                </c:pt>
              </c:strCache>
            </c:strRef>
          </c:tx>
          <c:spPr>
            <a:scene3d>
              <a:camera prst="orthographicFront"/>
              <a:lightRig rig="threePt" dir="t"/>
            </a:scene3d>
            <a:sp3d>
              <a:bevelT/>
            </a:sp3d>
          </c:spPr>
          <c:invertIfNegative val="0"/>
          <c:dLbls>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Sheet1!$C$4:$G$4</c:f>
              <c:strCache>
                <c:ptCount val="5"/>
                <c:pt idx="0">
                  <c:v>2018 թ</c:v>
                </c:pt>
                <c:pt idx="1">
                  <c:v>2019 թ</c:v>
                </c:pt>
                <c:pt idx="2">
                  <c:v>2020 թ</c:v>
                </c:pt>
                <c:pt idx="3">
                  <c:v>2021 թ</c:v>
                </c:pt>
                <c:pt idx="4">
                  <c:v>2022 թ</c:v>
                </c:pt>
              </c:strCache>
            </c:strRef>
          </c:cat>
          <c:val>
            <c:numRef>
              <c:f>Sheet1!$C$12:$G$12</c:f>
              <c:numCache>
                <c:formatCode>_ * #,##0.0_)\ _ _ ;_ * \(#,##0.0\)\ _ _ ;_ * "-"??_)\ _ _ ;_ @_ </c:formatCode>
                <c:ptCount val="5"/>
                <c:pt idx="0">
                  <c:v>3.13340940933834</c:v>
                </c:pt>
                <c:pt idx="1">
                  <c:v>3.0305165428360867</c:v>
                </c:pt>
                <c:pt idx="2">
                  <c:v>4.5848812953133447</c:v>
                </c:pt>
                <c:pt idx="3">
                  <c:v>4.3233460261268801</c:v>
                </c:pt>
                <c:pt idx="4">
                  <c:v>4.1748018621374108</c:v>
                </c:pt>
              </c:numCache>
            </c:numRef>
          </c:val>
          <c:extLst>
            <c:ext xmlns:c16="http://schemas.microsoft.com/office/drawing/2014/chart" uri="{C3380CC4-5D6E-409C-BE32-E72D297353CC}">
              <c16:uniqueId val="{0000000C-5A59-4A4E-8F93-D8D13891B869}"/>
            </c:ext>
          </c:extLst>
        </c:ser>
        <c:dLbls>
          <c:showLegendKey val="0"/>
          <c:showVal val="0"/>
          <c:showCatName val="0"/>
          <c:showSerName val="0"/>
          <c:showPercent val="0"/>
          <c:showBubbleSize val="0"/>
        </c:dLbls>
        <c:gapWidth val="174"/>
        <c:overlap val="100"/>
        <c:axId val="447538688"/>
        <c:axId val="447540224"/>
      </c:barChart>
      <c:catAx>
        <c:axId val="447526784"/>
        <c:scaling>
          <c:orientation val="minMax"/>
        </c:scaling>
        <c:delete val="0"/>
        <c:axPos val="b"/>
        <c:numFmt formatCode="General" sourceLinked="1"/>
        <c:majorTickMark val="none"/>
        <c:minorTickMark val="none"/>
        <c:tickLblPos val="nextTo"/>
        <c:spPr>
          <a:noFill/>
          <a:ln w="25365" cap="flat" cmpd="sng" algn="ctr">
            <a:solidFill>
              <a:schemeClr val="tx2">
                <a:lumMod val="50000"/>
              </a:schemeClr>
            </a:solidFill>
            <a:round/>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447528320"/>
        <c:crosses val="autoZero"/>
        <c:auto val="1"/>
        <c:lblAlgn val="ctr"/>
        <c:lblOffset val="100"/>
        <c:noMultiLvlLbl val="0"/>
      </c:catAx>
      <c:valAx>
        <c:axId val="447528320"/>
        <c:scaling>
          <c:orientation val="minMax"/>
          <c:max val="30"/>
          <c:min val="0"/>
        </c:scaling>
        <c:delete val="0"/>
        <c:axPos val="l"/>
        <c:majorGridlines>
          <c:spPr>
            <a:ln w="9512" cap="flat" cmpd="sng" algn="ctr">
              <a:solidFill>
                <a:schemeClr val="tx1">
                  <a:lumMod val="15000"/>
                  <a:lumOff val="85000"/>
                </a:schemeClr>
              </a:solidFill>
              <a:round/>
            </a:ln>
            <a:effectLst/>
          </c:spPr>
        </c:majorGridlines>
        <c:title>
          <c:tx>
            <c:rich>
              <a:bodyPr/>
              <a:lstStyle/>
              <a:p>
                <a:pPr>
                  <a:defRPr sz="1099" b="0" i="0" u="none" strike="noStrike" baseline="0">
                    <a:solidFill>
                      <a:srgbClr val="000000"/>
                    </a:solidFill>
                    <a:latin typeface="Times Armenian"/>
                    <a:ea typeface="Times Armenian"/>
                    <a:cs typeface="Times Armenian"/>
                  </a:defRPr>
                </a:pPr>
                <a:r>
                  <a:rPr lang="en-US" sz="1324" b="1" i="0" u="none" strike="noStrike" baseline="0">
                    <a:solidFill>
                      <a:srgbClr val="003366"/>
                    </a:solidFill>
                    <a:latin typeface="GHEA Grapalat"/>
                  </a:rPr>
                  <a:t>%-ով</a:t>
                </a:r>
              </a:p>
            </c:rich>
          </c:tx>
          <c:layout>
            <c:manualLayout>
              <c:xMode val="edge"/>
              <c:yMode val="edge"/>
              <c:x val="6.3495455351039329E-2"/>
              <c:y val="0.34186785536105524"/>
            </c:manualLayout>
          </c:layout>
          <c:overlay val="0"/>
          <c:spPr>
            <a:noFill/>
            <a:ln w="25384">
              <a:noFill/>
            </a:ln>
          </c:spPr>
        </c:title>
        <c:numFmt formatCode="_ * #,##0.0_)\ _ _ ;_ * \(#,##0.0\)\ _ _ ;_ * &quot;-&quot;??_)\ _ _ ;_ @_ " sourceLinked="1"/>
        <c:majorTickMark val="none"/>
        <c:minorTickMark val="none"/>
        <c:tickLblPos val="nextTo"/>
        <c:spPr>
          <a:noFill/>
          <a:ln w="28535">
            <a:solidFill>
              <a:schemeClr val="tx2">
                <a:lumMod val="50000"/>
              </a:schemeClr>
            </a:solidFill>
          </a:ln>
          <a:effectLst/>
        </c:spPr>
        <c:txPr>
          <a:bodyPr rot="-60000000" spcFirstLastPara="1" vertOverflow="ellipsis" vert="horz" wrap="square" anchor="ctr" anchorCtr="1"/>
          <a:lstStyle/>
          <a:p>
            <a:pPr>
              <a:defRPr sz="1195" b="1" i="0" u="none" strike="noStrike" kern="1200" baseline="0">
                <a:solidFill>
                  <a:schemeClr val="tx1">
                    <a:lumMod val="65000"/>
                    <a:lumOff val="35000"/>
                  </a:schemeClr>
                </a:solidFill>
                <a:latin typeface="+mn-lt"/>
                <a:ea typeface="+mn-ea"/>
                <a:cs typeface="+mn-cs"/>
              </a:defRPr>
            </a:pPr>
            <a:endParaRPr lang="en-US"/>
          </a:p>
        </c:txPr>
        <c:crossAx val="447526784"/>
        <c:crosses val="autoZero"/>
        <c:crossBetween val="between"/>
        <c:majorUnit val="9"/>
      </c:valAx>
      <c:catAx>
        <c:axId val="447538688"/>
        <c:scaling>
          <c:orientation val="minMax"/>
        </c:scaling>
        <c:delete val="1"/>
        <c:axPos val="b"/>
        <c:numFmt formatCode="General" sourceLinked="1"/>
        <c:majorTickMark val="out"/>
        <c:minorTickMark val="none"/>
        <c:tickLblPos val="none"/>
        <c:crossAx val="447540224"/>
        <c:crosses val="autoZero"/>
        <c:auto val="1"/>
        <c:lblAlgn val="ctr"/>
        <c:lblOffset val="100"/>
        <c:noMultiLvlLbl val="0"/>
      </c:catAx>
      <c:valAx>
        <c:axId val="447540224"/>
        <c:scaling>
          <c:orientation val="minMax"/>
          <c:max val="1800"/>
          <c:min val="0"/>
        </c:scaling>
        <c:delete val="1"/>
        <c:axPos val="r"/>
        <c:numFmt formatCode="_ * #,##0.0_)\ _ _ ;_ * \(#,##0.0\)\ _ _ ;_ * &quot;-&quot;??_)\ _ _ ;_ @_ " sourceLinked="1"/>
        <c:majorTickMark val="out"/>
        <c:minorTickMark val="none"/>
        <c:tickLblPos val="none"/>
        <c:crossAx val="447538688"/>
        <c:crosses val="max"/>
        <c:crossBetween val="between"/>
        <c:majorUnit val="200"/>
      </c:valAx>
      <c:spPr>
        <a:noFill/>
        <a:ln w="25384">
          <a:noFill/>
        </a:ln>
      </c:spPr>
    </c:plotArea>
    <c:legend>
      <c:legendPos val="b"/>
      <c:legendEntry>
        <c:idx val="0"/>
        <c:delete val="1"/>
      </c:legendEntry>
      <c:layout>
        <c:manualLayout>
          <c:xMode val="edge"/>
          <c:yMode val="edge"/>
          <c:x val="2.4081482352019432E-2"/>
          <c:y val="0.73774320634163226"/>
          <c:w val="0.93770531095188703"/>
          <c:h val="0.26225678401770031"/>
        </c:manualLayout>
      </c:layout>
      <c:overlay val="0"/>
      <c:spPr>
        <a:noFill/>
        <a:ln w="25384">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54904248080105"/>
          <c:y val="3.4598351262430223E-2"/>
          <c:w val="0.89231829274929153"/>
          <c:h val="0.71384989534536081"/>
        </c:manualLayout>
      </c:layout>
      <c:barChart>
        <c:barDir val="col"/>
        <c:grouping val="stacked"/>
        <c:varyColors val="0"/>
        <c:ser>
          <c:idx val="0"/>
          <c:order val="0"/>
          <c:tx>
            <c:strRef>
              <c:f>Sheet1!$B$7</c:f>
              <c:strCache>
                <c:ptCount val="1"/>
                <c:pt idx="0">
                  <c:v>Կապիտալ ծախսեր</c:v>
                </c:pt>
              </c:strCache>
            </c:strRef>
          </c:tx>
          <c:spPr>
            <a:solidFill>
              <a:schemeClr val="accent1">
                <a:lumMod val="75000"/>
                <a:alpha val="12000"/>
              </a:schemeClr>
            </a:solidFill>
            <a:ln>
              <a:solidFill>
                <a:schemeClr val="bg1"/>
              </a:solidFill>
            </a:ln>
            <a:effectLst/>
            <a:scene3d>
              <a:camera prst="orthographicFront"/>
              <a:lightRig rig="threePt" dir="t"/>
            </a:scene3d>
            <a:sp3d prstMaterial="metal">
              <a:bevelT/>
            </a:sp3d>
          </c:spPr>
          <c:invertIfNegative val="0"/>
          <c:dLbls>
            <c:dLbl>
              <c:idx val="0"/>
              <c:layout>
                <c:manualLayout>
                  <c:x val="-6.7083697871099482E-2"/>
                  <c:y val="-5.9544071075622589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838A-44D2-9E24-08402B190ACD}"/>
                </c:ext>
              </c:extLst>
            </c:dLbl>
            <c:dLbl>
              <c:idx val="1"/>
              <c:layout>
                <c:manualLayout>
                  <c:x val="-8.9120089497009641E-2"/>
                  <c:y val="-7.3126573464031286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38A-44D2-9E24-08402B190ACD}"/>
                </c:ext>
              </c:extLst>
            </c:dLbl>
            <c:dLbl>
              <c:idx val="2"/>
              <c:layout>
                <c:manualLayout>
                  <c:x val="-8.5656727335312599E-2"/>
                  <c:y val="4.0760083560983451E-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838A-44D2-9E24-08402B190ACD}"/>
                </c:ext>
              </c:extLst>
            </c:dLbl>
            <c:dLbl>
              <c:idx val="3"/>
              <c:layout>
                <c:manualLayout>
                  <c:x val="-8.6370810206101281E-2"/>
                  <c:y val="4.480154266430919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838A-44D2-9E24-08402B190ACD}"/>
                </c:ext>
              </c:extLst>
            </c:dLbl>
            <c:dLbl>
              <c:idx val="4"/>
              <c:layout>
                <c:manualLayout>
                  <c:x val="-9.3828664859515507E-2"/>
                  <c:y val="-2.2103487064116984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838A-44D2-9E24-08402B190ACD}"/>
                </c:ext>
              </c:extLst>
            </c:dLbl>
            <c:spPr>
              <a:noFill/>
              <a:ln w="25383">
                <a:noFill/>
              </a:ln>
            </c:spPr>
            <c:txPr>
              <a:bodyPr rot="-5400000" spcFirstLastPara="1" vertOverflow="ellipsis" wrap="square" lIns="38100" tIns="19050" rIns="38100" bIns="19050" anchor="ctr" anchorCtr="1">
                <a:spAutoFit/>
              </a:bodyPr>
              <a:lstStyle/>
              <a:p>
                <a:pPr>
                  <a:defRPr sz="1196" b="1" i="0" u="none" strike="noStrike" kern="1200" baseline="0">
                    <a:solidFill>
                      <a:schemeClr val="tx2">
                        <a:lumMod val="50000"/>
                      </a:schemeClr>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Sheet1!$C$4:$G$4</c:f>
              <c:strCache>
                <c:ptCount val="5"/>
                <c:pt idx="0">
                  <c:v>2018 թ</c:v>
                </c:pt>
                <c:pt idx="1">
                  <c:v>2019 թ</c:v>
                </c:pt>
                <c:pt idx="2">
                  <c:v>2020թ</c:v>
                </c:pt>
                <c:pt idx="3">
                  <c:v>2021 թ</c:v>
                </c:pt>
                <c:pt idx="4">
                  <c:v>2022 թ</c:v>
                </c:pt>
              </c:strCache>
            </c:strRef>
          </c:cat>
          <c:val>
            <c:numRef>
              <c:f>Sheet1!$C$7:$G$7</c:f>
              <c:numCache>
                <c:formatCode>_(* #,##0.0_);_(* \(#,##0.0\);_(* "-"??_);_(@_)</c:formatCode>
                <c:ptCount val="5"/>
                <c:pt idx="0">
                  <c:v>152</c:v>
                </c:pt>
                <c:pt idx="1">
                  <c:v>193</c:v>
                </c:pt>
                <c:pt idx="2">
                  <c:v>227.7</c:v>
                </c:pt>
                <c:pt idx="3">
                  <c:v>215.9</c:v>
                </c:pt>
                <c:pt idx="4">
                  <c:v>351.9</c:v>
                </c:pt>
              </c:numCache>
            </c:numRef>
          </c:val>
          <c:extLst>
            <c:ext xmlns:c16="http://schemas.microsoft.com/office/drawing/2014/chart" uri="{C3380CC4-5D6E-409C-BE32-E72D297353CC}">
              <c16:uniqueId val="{00000005-838A-44D2-9E24-08402B190ACD}"/>
            </c:ext>
          </c:extLst>
        </c:ser>
        <c:dLbls>
          <c:showLegendKey val="0"/>
          <c:showVal val="0"/>
          <c:showCatName val="0"/>
          <c:showSerName val="0"/>
          <c:showPercent val="0"/>
          <c:showBubbleSize val="0"/>
        </c:dLbls>
        <c:gapWidth val="34"/>
        <c:overlap val="100"/>
        <c:axId val="472397696"/>
        <c:axId val="472399232"/>
      </c:barChart>
      <c:barChart>
        <c:barDir val="col"/>
        <c:grouping val="stacked"/>
        <c:varyColors val="0"/>
        <c:ser>
          <c:idx val="1"/>
          <c:order val="1"/>
          <c:tx>
            <c:strRef>
              <c:f>Sheet1!$B$8</c:f>
              <c:strCache>
                <c:ptCount val="1"/>
                <c:pt idx="0">
                  <c:v>արտաքին ռեսուրսների հաշվին իրականացվող ծրագրեր (ներառյալ ՀՀ կառավարության համաֆինանսավորումը)</c:v>
                </c:pt>
              </c:strCache>
            </c:strRef>
          </c:tx>
          <c:spPr>
            <a:solidFill>
              <a:schemeClr val="accent2">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2020թ</c:v>
                </c:pt>
                <c:pt idx="3">
                  <c:v>2021 թ</c:v>
                </c:pt>
                <c:pt idx="4">
                  <c:v>2022 թ</c:v>
                </c:pt>
              </c:strCache>
            </c:strRef>
          </c:cat>
          <c:val>
            <c:numRef>
              <c:f>Sheet1!$C$8:$G$8</c:f>
              <c:numCache>
                <c:formatCode>_(* #,##0.0_);_(* \(#,##0.0\);_(* "-"??_);_(@_)</c:formatCode>
                <c:ptCount val="5"/>
                <c:pt idx="0">
                  <c:v>67.7</c:v>
                </c:pt>
                <c:pt idx="1">
                  <c:v>71.599999999999994</c:v>
                </c:pt>
                <c:pt idx="2">
                  <c:v>44.3</c:v>
                </c:pt>
                <c:pt idx="3">
                  <c:v>82.9</c:v>
                </c:pt>
                <c:pt idx="4">
                  <c:v>130.30000000000001</c:v>
                </c:pt>
              </c:numCache>
            </c:numRef>
          </c:val>
          <c:extLst>
            <c:ext xmlns:c16="http://schemas.microsoft.com/office/drawing/2014/chart" uri="{C3380CC4-5D6E-409C-BE32-E72D297353CC}">
              <c16:uniqueId val="{00000006-838A-44D2-9E24-08402B190ACD}"/>
            </c:ext>
          </c:extLst>
        </c:ser>
        <c:ser>
          <c:idx val="2"/>
          <c:order val="2"/>
          <c:tx>
            <c:strRef>
              <c:f>Sheet1!$B$9</c:f>
              <c:strCache>
                <c:ptCount val="1"/>
                <c:pt idx="0">
                  <c:v>ներքին ռեսուրսների հաշվին իրականացվող ծրագրեր</c:v>
                </c:pt>
              </c:strCache>
            </c:strRef>
          </c:tx>
          <c:spPr>
            <a:solidFill>
              <a:schemeClr val="accent3">
                <a:lumMod val="75000"/>
              </a:schemeClr>
            </a:solidFill>
            <a:ln>
              <a:noFill/>
            </a:ln>
            <a:effectLst/>
            <a:scene3d>
              <a:camera prst="orthographicFront"/>
              <a:lightRig rig="threePt" dir="t"/>
            </a:scene3d>
            <a:sp3d prstMaterial="metal">
              <a:bevelT/>
            </a:sp3d>
          </c:spPr>
          <c:invertIfNegative val="0"/>
          <c:dLbls>
            <c:spPr>
              <a:noFill/>
              <a:ln w="25383">
                <a:noFill/>
              </a:ln>
            </c:spPr>
            <c:txPr>
              <a:bodyPr rot="-5400000" spcFirstLastPara="1" vertOverflow="ellipsis" vert="horz" wrap="square" lIns="38100" tIns="19050" rIns="38100" bIns="19050" anchor="ctr" anchorCtr="1">
                <a:spAutoFit/>
              </a:bodyPr>
              <a:lstStyle/>
              <a:p>
                <a:pPr>
                  <a:defRPr sz="1196" b="1" i="0" u="none" strike="noStrike" kern="1200" baseline="0">
                    <a:solidFill>
                      <a:schemeClr val="bg1"/>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Sheet1!$C$4:$G$4</c:f>
              <c:strCache>
                <c:ptCount val="5"/>
                <c:pt idx="0">
                  <c:v>2018 թ</c:v>
                </c:pt>
                <c:pt idx="1">
                  <c:v>2019 թ</c:v>
                </c:pt>
                <c:pt idx="2">
                  <c:v>2020թ</c:v>
                </c:pt>
                <c:pt idx="3">
                  <c:v>2021 թ</c:v>
                </c:pt>
                <c:pt idx="4">
                  <c:v>2022 թ</c:v>
                </c:pt>
              </c:strCache>
            </c:strRef>
          </c:cat>
          <c:val>
            <c:numRef>
              <c:f>Sheet1!$C$9:$G$9</c:f>
              <c:numCache>
                <c:formatCode>_(* #,##0.0_);_(* \(#,##0.0\);_(* "-"??_);_(@_)</c:formatCode>
                <c:ptCount val="5"/>
                <c:pt idx="0">
                  <c:v>84.3</c:v>
                </c:pt>
                <c:pt idx="1">
                  <c:v>121.4</c:v>
                </c:pt>
                <c:pt idx="2">
                  <c:v>183.4</c:v>
                </c:pt>
                <c:pt idx="3">
                  <c:v>133</c:v>
                </c:pt>
                <c:pt idx="4">
                  <c:v>221.6</c:v>
                </c:pt>
              </c:numCache>
            </c:numRef>
          </c:val>
          <c:extLst>
            <c:ext xmlns:c16="http://schemas.microsoft.com/office/drawing/2014/chart" uri="{C3380CC4-5D6E-409C-BE32-E72D297353CC}">
              <c16:uniqueId val="{00000007-838A-44D2-9E24-08402B190ACD}"/>
            </c:ext>
          </c:extLst>
        </c:ser>
        <c:dLbls>
          <c:showLegendKey val="0"/>
          <c:showVal val="0"/>
          <c:showCatName val="0"/>
          <c:showSerName val="0"/>
          <c:showPercent val="0"/>
          <c:showBubbleSize val="0"/>
        </c:dLbls>
        <c:gapWidth val="232"/>
        <c:overlap val="100"/>
        <c:axId val="475982464"/>
        <c:axId val="476257280"/>
      </c:barChart>
      <c:catAx>
        <c:axId val="472397696"/>
        <c:scaling>
          <c:orientation val="minMax"/>
        </c:scaling>
        <c:delete val="0"/>
        <c:axPos val="b"/>
        <c:numFmt formatCode="General" sourceLinked="1"/>
        <c:majorTickMark val="none"/>
        <c:minorTickMark val="none"/>
        <c:tickLblPos val="nextTo"/>
        <c:spPr>
          <a:noFill/>
          <a:ln w="25383" cap="flat" cmpd="sng" algn="ctr">
            <a:solidFill>
              <a:schemeClr val="tx2">
                <a:lumMod val="50000"/>
              </a:schemeClr>
            </a:solidFill>
            <a:round/>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472399232"/>
        <c:crosses val="autoZero"/>
        <c:auto val="1"/>
        <c:lblAlgn val="ctr"/>
        <c:lblOffset val="100"/>
        <c:noMultiLvlLbl val="0"/>
      </c:catAx>
      <c:valAx>
        <c:axId val="472399232"/>
        <c:scaling>
          <c:orientation val="minMax"/>
          <c:max val="400"/>
        </c:scaling>
        <c:delete val="0"/>
        <c:axPos val="l"/>
        <c:majorGridlines>
          <c:spPr>
            <a:ln w="9518" cap="flat" cmpd="sng" algn="ctr">
              <a:solidFill>
                <a:schemeClr val="tx1">
                  <a:lumMod val="15000"/>
                  <a:lumOff val="85000"/>
                </a:schemeClr>
              </a:solidFill>
              <a:round/>
            </a:ln>
            <a:effectLst/>
          </c:spPr>
        </c:majorGridlines>
        <c:numFmt formatCode="_(* #,##0.0_);_(* \(#,##0.0\);_(* &quot;-&quot;??_);_(@_)" sourceLinked="1"/>
        <c:majorTickMark val="none"/>
        <c:minorTickMark val="none"/>
        <c:tickLblPos val="nextTo"/>
        <c:spPr>
          <a:noFill/>
          <a:ln w="28555">
            <a:solidFill>
              <a:schemeClr val="tx2">
                <a:lumMod val="50000"/>
              </a:schemeClr>
            </a:solid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en-US"/>
          </a:p>
        </c:txPr>
        <c:crossAx val="472397696"/>
        <c:crosses val="autoZero"/>
        <c:crossBetween val="between"/>
        <c:majorUnit val="100"/>
      </c:valAx>
      <c:catAx>
        <c:axId val="475982464"/>
        <c:scaling>
          <c:orientation val="minMax"/>
        </c:scaling>
        <c:delete val="1"/>
        <c:axPos val="b"/>
        <c:numFmt formatCode="General" sourceLinked="1"/>
        <c:majorTickMark val="out"/>
        <c:minorTickMark val="none"/>
        <c:tickLblPos val="none"/>
        <c:crossAx val="476257280"/>
        <c:crosses val="autoZero"/>
        <c:auto val="1"/>
        <c:lblAlgn val="ctr"/>
        <c:lblOffset val="100"/>
        <c:noMultiLvlLbl val="0"/>
      </c:catAx>
      <c:valAx>
        <c:axId val="476257280"/>
        <c:scaling>
          <c:orientation val="minMax"/>
          <c:max val="1800"/>
          <c:min val="0"/>
        </c:scaling>
        <c:delete val="1"/>
        <c:axPos val="r"/>
        <c:numFmt formatCode="_(* #,##0.0_);_(* \(#,##0.0\);_(* &quot;-&quot;??_);_(@_)" sourceLinked="1"/>
        <c:majorTickMark val="out"/>
        <c:minorTickMark val="none"/>
        <c:tickLblPos val="none"/>
        <c:crossAx val="475982464"/>
        <c:crosses val="max"/>
        <c:crossBetween val="between"/>
        <c:majorUnit val="200"/>
      </c:valAx>
      <c:spPr>
        <a:noFill/>
        <a:ln w="25383">
          <a:noFill/>
        </a:ln>
      </c:spPr>
    </c:plotArea>
    <c:legend>
      <c:legendPos val="b"/>
      <c:legendEntry>
        <c:idx val="0"/>
        <c:delete val="1"/>
      </c:legendEntry>
      <c:layout>
        <c:manualLayout>
          <c:xMode val="edge"/>
          <c:yMode val="edge"/>
          <c:x val="8.8978571708387216E-2"/>
          <c:y val="0.82125816362506932"/>
          <c:w val="0.89454930074039252"/>
          <c:h val="0.16204041658971741"/>
        </c:manualLayout>
      </c:layout>
      <c:overlay val="0"/>
      <c:spPr>
        <a:noFill/>
        <a:ln w="25383">
          <a:noFill/>
        </a:ln>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2">
    <c:autoUpdate val="0"/>
  </c:externalData>
  <c:userShapes r:id="rId3"/>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Sheet1!$A$2</c:f>
              <c:strCache>
                <c:ptCount val="1"/>
                <c:pt idx="0">
                  <c:v> 2018-2022թ․ ընդամենը ծախսեր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Sheet1!$B$1:$F$1</c:f>
              <c:strCache>
                <c:ptCount val="5"/>
                <c:pt idx="0">
                  <c:v>2018թ․ փաստացի</c:v>
                </c:pt>
                <c:pt idx="1">
                  <c:v>2019թ․ փաստացի</c:v>
                </c:pt>
                <c:pt idx="2">
                  <c:v>2020թ․ փաստացի</c:v>
                </c:pt>
                <c:pt idx="3">
                  <c:v>2021թ․ հաստատված</c:v>
                </c:pt>
                <c:pt idx="4">
                  <c:v>2022թ․ նախագիծ</c:v>
                </c:pt>
              </c:strCache>
            </c:strRef>
          </c:cat>
          <c:val>
            <c:numRef>
              <c:f>Sheet1!$B$2:$F$2</c:f>
              <c:numCache>
                <c:formatCode>_(* #,##0_);_(* \(#,##0\);_(* "-"??_);_(@_)</c:formatCode>
                <c:ptCount val="5"/>
                <c:pt idx="0" formatCode="#,##0.0">
                  <c:v>1447</c:v>
                </c:pt>
                <c:pt idx="1">
                  <c:v>1629</c:v>
                </c:pt>
                <c:pt idx="2" formatCode="_(* #,##0.0_);_(* \(#,##0.0\);_(* &quot;-&quot;??_);_(@_)">
                  <c:v>1894.6</c:v>
                </c:pt>
                <c:pt idx="3" formatCode="_(* #,##0.0_);_(* \(#,##0.0\);_(* &quot;-&quot;??_);_(@_)">
                  <c:v>1850.9</c:v>
                </c:pt>
                <c:pt idx="4" formatCode="_(* #,##0.0_);_(* \(#,##0.0\);_(* &quot;-&quot;??_);_(@_)">
                  <c:v>2184</c:v>
                </c:pt>
              </c:numCache>
            </c:numRef>
          </c:val>
          <c:extLst>
            <c:ext xmlns:c16="http://schemas.microsoft.com/office/drawing/2014/chart" uri="{C3380CC4-5D6E-409C-BE32-E72D297353CC}">
              <c16:uniqueId val="{00000000-5813-4653-895A-DF91763C8CAE}"/>
            </c:ext>
          </c:extLst>
        </c:ser>
        <c:ser>
          <c:idx val="1"/>
          <c:order val="1"/>
          <c:tx>
            <c:strRef>
              <c:f>Sheet1!$A$3</c:f>
              <c:strCache>
                <c:ptCount val="1"/>
                <c:pt idx="0">
                  <c:v>տարբերությունը նախորդ տարվա համեմատությամբ</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Sheet1!$B$1:$F$1</c:f>
              <c:strCache>
                <c:ptCount val="5"/>
                <c:pt idx="0">
                  <c:v>2018թ․ փաստացի</c:v>
                </c:pt>
                <c:pt idx="1">
                  <c:v>2019թ․ փաստացի</c:v>
                </c:pt>
                <c:pt idx="2">
                  <c:v>2020թ․ փաստացի</c:v>
                </c:pt>
                <c:pt idx="3">
                  <c:v>2021թ․ հաստատված</c:v>
                </c:pt>
                <c:pt idx="4">
                  <c:v>2022թ․ նախագիծ</c:v>
                </c:pt>
              </c:strCache>
            </c:strRef>
          </c:cat>
          <c:val>
            <c:numRef>
              <c:f>Sheet1!$B$3:$F$3</c:f>
              <c:numCache>
                <c:formatCode>0.0</c:formatCode>
                <c:ptCount val="5"/>
                <c:pt idx="1">
                  <c:v>182</c:v>
                </c:pt>
                <c:pt idx="2" formatCode="_(* #,##0.0_);_(* \(#,##0.0\);_(* &quot;-&quot;?_);_(@_)">
                  <c:v>265.59999999999991</c:v>
                </c:pt>
                <c:pt idx="3" formatCode="_(* #,##0.00_);_(* \(#,##0.00\);_(* &quot;-&quot;??_);_(@_)">
                  <c:v>-43.699999999999818</c:v>
                </c:pt>
                <c:pt idx="4" formatCode="_(* #,##0_);_(* \(#,##0\);_(* &quot;-&quot;??_);_(@_)">
                  <c:v>333.09999999999991</c:v>
                </c:pt>
              </c:numCache>
            </c:numRef>
          </c:val>
          <c:extLst>
            <c:ext xmlns:c16="http://schemas.microsoft.com/office/drawing/2014/chart" uri="{C3380CC4-5D6E-409C-BE32-E72D297353CC}">
              <c16:uniqueId val="{00000001-5813-4653-895A-DF91763C8CAE}"/>
            </c:ext>
          </c:extLst>
        </c:ser>
        <c:dLbls>
          <c:showLegendKey val="0"/>
          <c:showVal val="0"/>
          <c:showCatName val="0"/>
          <c:showSerName val="0"/>
          <c:showPercent val="0"/>
          <c:showBubbleSize val="0"/>
        </c:dLbls>
        <c:gapWidth val="100"/>
        <c:overlap val="-24"/>
        <c:axId val="134290816"/>
        <c:axId val="134304896"/>
      </c:barChart>
      <c:catAx>
        <c:axId val="134290816"/>
        <c:scaling>
          <c:orientation val="minMax"/>
        </c:scaling>
        <c:delete val="0"/>
        <c:axPos val="b"/>
        <c:numFmt formatCode="General" sourceLinked="0"/>
        <c:majorTickMark val="none"/>
        <c:minorTickMark val="none"/>
        <c:tickLblPos val="nextTo"/>
        <c:spPr>
          <a:noFill/>
          <a:ln w="9268" cap="flat" cmpd="sng" algn="ctr">
            <a:solidFill>
              <a:schemeClr val="tx2">
                <a:lumMod val="15000"/>
                <a:lumOff val="85000"/>
              </a:schemeClr>
            </a:solidFill>
            <a:round/>
          </a:ln>
          <a:effectLst/>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134304896"/>
        <c:crosses val="autoZero"/>
        <c:auto val="1"/>
        <c:lblAlgn val="ctr"/>
        <c:lblOffset val="100"/>
        <c:noMultiLvlLbl val="0"/>
      </c:catAx>
      <c:valAx>
        <c:axId val="134304896"/>
        <c:scaling>
          <c:orientation val="minMax"/>
        </c:scaling>
        <c:delete val="0"/>
        <c:axPos val="l"/>
        <c:majorGridlines>
          <c:spPr>
            <a:ln w="9268" cap="flat" cmpd="sng" algn="ctr">
              <a:solidFill>
                <a:schemeClr val="tx2">
                  <a:lumMod val="15000"/>
                  <a:lumOff val="85000"/>
                </a:schemeClr>
              </a:solidFill>
              <a:round/>
            </a:ln>
            <a:effectLst/>
          </c:spPr>
        </c:majorGridlines>
        <c:numFmt formatCode="#,##0.0" sourceLinked="1"/>
        <c:majorTickMark val="none"/>
        <c:minorTickMark val="none"/>
        <c:tickLblPos val="nextTo"/>
        <c:spPr>
          <a:ln w="9268">
            <a:noFill/>
          </a:ln>
        </c:spPr>
        <c:txPr>
          <a:bodyPr rot="-60000000" spcFirstLastPara="1" vertOverflow="ellipsis" vert="horz" wrap="square" anchor="ctr" anchorCtr="1"/>
          <a:lstStyle/>
          <a:p>
            <a:pPr>
              <a:defRPr sz="1165" b="0" i="0" u="none" strike="noStrike" kern="1200" baseline="0">
                <a:solidFill>
                  <a:schemeClr val="tx2"/>
                </a:solidFill>
                <a:latin typeface="+mn-lt"/>
                <a:ea typeface="+mn-ea"/>
                <a:cs typeface="+mn-cs"/>
              </a:defRPr>
            </a:pPr>
            <a:endParaRPr lang="en-US"/>
          </a:p>
        </c:txPr>
        <c:crossAx val="134290816"/>
        <c:crosses val="autoZero"/>
        <c:crossBetween val="between"/>
      </c:valAx>
      <c:dTable>
        <c:showHorzBorder val="1"/>
        <c:showVertBorder val="1"/>
        <c:showOutline val="1"/>
        <c:showKeys val="0"/>
        <c:spPr>
          <a:noFill/>
          <a:ln w="9268">
            <a:solidFill>
              <a:schemeClr val="tx2">
                <a:lumMod val="15000"/>
                <a:lumOff val="85000"/>
              </a:schemeClr>
            </a:solidFill>
          </a:ln>
          <a:effectLst/>
        </c:spPr>
        <c:txPr>
          <a:bodyPr rot="0" spcFirstLastPara="1" vertOverflow="ellipsis" vert="horz" wrap="square" anchor="ctr" anchorCtr="1"/>
          <a:lstStyle/>
          <a:p>
            <a:pPr rtl="0">
              <a:defRPr sz="800" b="0" i="0" u="none" strike="noStrike" kern="1200" baseline="0">
                <a:solidFill>
                  <a:schemeClr val="tx2"/>
                </a:solidFill>
                <a:latin typeface="+mn-lt"/>
                <a:ea typeface="+mn-ea"/>
                <a:cs typeface="+mn-cs"/>
              </a:defRPr>
            </a:pPr>
            <a:endParaRPr lang="en-US"/>
          </a:p>
        </c:txPr>
      </c:dTable>
      <c:spPr>
        <a:noFill/>
        <a:ln w="25357">
          <a:noFill/>
        </a:ln>
      </c:spPr>
    </c:plotArea>
    <c:legend>
      <c:legendPos val="b"/>
      <c:layout>
        <c:manualLayout>
          <c:xMode val="edge"/>
          <c:yMode val="edge"/>
          <c:x val="4.6738665148153377E-2"/>
          <c:y val="0.91527637598916056"/>
          <c:w val="0.9"/>
          <c:h val="7.7194934411213542E-2"/>
        </c:manualLayout>
      </c:layout>
      <c:overlay val="0"/>
      <c:spPr>
        <a:noFill/>
        <a:ln w="24717">
          <a:noFill/>
        </a:ln>
      </c:spPr>
      <c:txPr>
        <a:bodyPr rot="0" spcFirstLastPara="1" vertOverflow="ellipsis" vert="horz" wrap="square" anchor="ctr" anchorCtr="1"/>
        <a:lstStyle/>
        <a:p>
          <a:pPr>
            <a:defRPr sz="1000" b="0" i="0" u="none" strike="noStrike" kern="1200" baseline="0">
              <a:solidFill>
                <a:schemeClr val="tx2"/>
              </a:solidFill>
              <a:latin typeface="+mn-lt"/>
              <a:ea typeface="+mn-ea"/>
              <a:cs typeface="+mn-cs"/>
            </a:defRPr>
          </a:pPr>
          <a:endParaRPr lang="en-US"/>
        </a:p>
      </c:txPr>
    </c:legend>
    <c:plotVisOnly val="1"/>
    <c:dispBlanksAs val="gap"/>
    <c:showDLblsOverMax val="0"/>
  </c:chart>
  <c:spPr>
    <a:noFill/>
    <a:ln>
      <a:noFill/>
    </a:ln>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31038709981612"/>
          <c:y val="7.4597024825874922E-2"/>
          <c:w val="0.79223505744416678"/>
          <c:h val="0.57827361283427725"/>
        </c:manualLayout>
      </c:layout>
      <c:lineChart>
        <c:grouping val="standard"/>
        <c:varyColors val="0"/>
        <c:ser>
          <c:idx val="0"/>
          <c:order val="0"/>
          <c:tx>
            <c:strRef>
              <c:f>Sheet1!$B$1</c:f>
              <c:strCache>
                <c:ptCount val="1"/>
                <c:pt idx="0">
                  <c:v>Հայաստան (2025թ.)</c:v>
                </c:pt>
              </c:strCache>
            </c:strRef>
          </c:tx>
          <c:spPr>
            <a:ln w="28575" cap="rnd">
              <a:solidFill>
                <a:schemeClr val="accent1"/>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Sheet1!$B$2:$B$707</c:f>
              <c:numCache>
                <c:formatCode>_(* #,##0_);_(* \(#,##0\);_(* "-"??_);_(@_)</c:formatCode>
                <c:ptCount val="706"/>
                <c:pt idx="0">
                  <c:v>349.47500000000002</c:v>
                </c:pt>
                <c:pt idx="1">
                  <c:v>352.94799999999998</c:v>
                </c:pt>
                <c:pt idx="2">
                  <c:v>360.71100000000001</c:v>
                </c:pt>
                <c:pt idx="3">
                  <c:v>346.64499999999998</c:v>
                </c:pt>
                <c:pt idx="4">
                  <c:v>333.41800000000001</c:v>
                </c:pt>
                <c:pt idx="5">
                  <c:v>327.08300000000003</c:v>
                </c:pt>
                <c:pt idx="6">
                  <c:v>328.05900000000003</c:v>
                </c:pt>
                <c:pt idx="7">
                  <c:v>327.00799999999998</c:v>
                </c:pt>
                <c:pt idx="8">
                  <c:v>328.87900000000002</c:v>
                </c:pt>
                <c:pt idx="9">
                  <c:v>327.29500000000002</c:v>
                </c:pt>
                <c:pt idx="10">
                  <c:v>323.40800000000002</c:v>
                </c:pt>
                <c:pt idx="11">
                  <c:v>317.42200000000003</c:v>
                </c:pt>
                <c:pt idx="12">
                  <c:v>312.34699999999998</c:v>
                </c:pt>
                <c:pt idx="13">
                  <c:v>284.11</c:v>
                </c:pt>
                <c:pt idx="14">
                  <c:v>288.69499999999999</c:v>
                </c:pt>
                <c:pt idx="15">
                  <c:v>285.29399999999998</c:v>
                </c:pt>
                <c:pt idx="16">
                  <c:v>284.07600000000002</c:v>
                </c:pt>
                <c:pt idx="17">
                  <c:v>279.541</c:v>
                </c:pt>
                <c:pt idx="18">
                  <c:v>280.17700000000002</c:v>
                </c:pt>
                <c:pt idx="19">
                  <c:v>285.596</c:v>
                </c:pt>
                <c:pt idx="20">
                  <c:v>292.20100000000002</c:v>
                </c:pt>
                <c:pt idx="21">
                  <c:v>295.45499999999998</c:v>
                </c:pt>
                <c:pt idx="22">
                  <c:v>291.26400000000001</c:v>
                </c:pt>
                <c:pt idx="23">
                  <c:v>284.47000000000003</c:v>
                </c:pt>
                <c:pt idx="24">
                  <c:v>281.05799999999999</c:v>
                </c:pt>
                <c:pt idx="25">
                  <c:v>272.69</c:v>
                </c:pt>
                <c:pt idx="26">
                  <c:v>274.69900000000001</c:v>
                </c:pt>
                <c:pt idx="27">
                  <c:v>274.39999999999998</c:v>
                </c:pt>
                <c:pt idx="28">
                  <c:v>277.911</c:v>
                </c:pt>
                <c:pt idx="29">
                  <c:v>277.22300000000001</c:v>
                </c:pt>
                <c:pt idx="30">
                  <c:v>271.29500000000002</c:v>
                </c:pt>
                <c:pt idx="31">
                  <c:v>264.51299999999998</c:v>
                </c:pt>
                <c:pt idx="32">
                  <c:v>269.43</c:v>
                </c:pt>
                <c:pt idx="33">
                  <c:v>268.61900000000003</c:v>
                </c:pt>
                <c:pt idx="34">
                  <c:v>268.214</c:v>
                </c:pt>
                <c:pt idx="35">
                  <c:v>268.15199999999999</c:v>
                </c:pt>
                <c:pt idx="36">
                  <c:v>265.80200000000002</c:v>
                </c:pt>
                <c:pt idx="37">
                  <c:v>266.00299999999999</c:v>
                </c:pt>
                <c:pt idx="38">
                  <c:v>267.53199999999998</c:v>
                </c:pt>
                <c:pt idx="39">
                  <c:v>265.25</c:v>
                </c:pt>
                <c:pt idx="40">
                  <c:v>267.57799999999997</c:v>
                </c:pt>
                <c:pt idx="41">
                  <c:v>257.74599999999998</c:v>
                </c:pt>
                <c:pt idx="42">
                  <c:v>251.11</c:v>
                </c:pt>
                <c:pt idx="43">
                  <c:v>250.22499999999999</c:v>
                </c:pt>
                <c:pt idx="44">
                  <c:v>251.34700000000001</c:v>
                </c:pt>
                <c:pt idx="45">
                  <c:v>253.07</c:v>
                </c:pt>
                <c:pt idx="46">
                  <c:v>253.52</c:v>
                </c:pt>
                <c:pt idx="47">
                  <c:v>255.77099999999999</c:v>
                </c:pt>
                <c:pt idx="48">
                  <c:v>254.97800000000001</c:v>
                </c:pt>
                <c:pt idx="49">
                  <c:v>253.73599999999999</c:v>
                </c:pt>
                <c:pt idx="50">
                  <c:v>255.499</c:v>
                </c:pt>
                <c:pt idx="51">
                  <c:v>254.63200000000001</c:v>
                </c:pt>
                <c:pt idx="52">
                  <c:v>255.214</c:v>
                </c:pt>
                <c:pt idx="53">
                  <c:v>256.41399999999999</c:v>
                </c:pt>
                <c:pt idx="54">
                  <c:v>254.30799999999999</c:v>
                </c:pt>
                <c:pt idx="55">
                  <c:v>257.048</c:v>
                </c:pt>
                <c:pt idx="56">
                  <c:v>262.00799999999998</c:v>
                </c:pt>
                <c:pt idx="57">
                  <c:v>255.96799999999999</c:v>
                </c:pt>
                <c:pt idx="58">
                  <c:v>264.55500000000001</c:v>
                </c:pt>
                <c:pt idx="59">
                  <c:v>269.7</c:v>
                </c:pt>
                <c:pt idx="60">
                  <c:v>268.01100000000002</c:v>
                </c:pt>
                <c:pt idx="61">
                  <c:v>273.04000000000002</c:v>
                </c:pt>
                <c:pt idx="62">
                  <c:v>270.59699999999998</c:v>
                </c:pt>
                <c:pt idx="63">
                  <c:v>261.90100000000001</c:v>
                </c:pt>
                <c:pt idx="64">
                  <c:v>251.36500000000001</c:v>
                </c:pt>
                <c:pt idx="65">
                  <c:v>255.54</c:v>
                </c:pt>
                <c:pt idx="66">
                  <c:v>253.035</c:v>
                </c:pt>
                <c:pt idx="67">
                  <c:v>253.166</c:v>
                </c:pt>
                <c:pt idx="68">
                  <c:v>254.38</c:v>
                </c:pt>
                <c:pt idx="69">
                  <c:v>251.375</c:v>
                </c:pt>
                <c:pt idx="70">
                  <c:v>252.429</c:v>
                </c:pt>
                <c:pt idx="71">
                  <c:v>257.97300000000001</c:v>
                </c:pt>
                <c:pt idx="72">
                  <c:v>255.78800000000001</c:v>
                </c:pt>
                <c:pt idx="73">
                  <c:v>249.745</c:v>
                </c:pt>
                <c:pt idx="74">
                  <c:v>247.036</c:v>
                </c:pt>
                <c:pt idx="75">
                  <c:v>244.05500000000001</c:v>
                </c:pt>
                <c:pt idx="76">
                  <c:v>242.33600000000001</c:v>
                </c:pt>
                <c:pt idx="77">
                  <c:v>247.244</c:v>
                </c:pt>
                <c:pt idx="78">
                  <c:v>247.244</c:v>
                </c:pt>
                <c:pt idx="79">
                  <c:v>245.321</c:v>
                </c:pt>
                <c:pt idx="80">
                  <c:v>246.20400000000001</c:v>
                </c:pt>
                <c:pt idx="81">
                  <c:v>250.18199999999999</c:v>
                </c:pt>
                <c:pt idx="82">
                  <c:v>248.32400000000001</c:v>
                </c:pt>
                <c:pt idx="83">
                  <c:v>252.935</c:v>
                </c:pt>
                <c:pt idx="84">
                  <c:v>248.447</c:v>
                </c:pt>
                <c:pt idx="85">
                  <c:v>249.13300000000001</c:v>
                </c:pt>
                <c:pt idx="86">
                  <c:v>245.702</c:v>
                </c:pt>
                <c:pt idx="87">
                  <c:v>240.01599999999999</c:v>
                </c:pt>
                <c:pt idx="88">
                  <c:v>240.239</c:v>
                </c:pt>
                <c:pt idx="89">
                  <c:v>243.018</c:v>
                </c:pt>
                <c:pt idx="90">
                  <c:v>246.096</c:v>
                </c:pt>
                <c:pt idx="91">
                  <c:v>240.44200000000001</c:v>
                </c:pt>
                <c:pt idx="92">
                  <c:v>246.167</c:v>
                </c:pt>
                <c:pt idx="93">
                  <c:v>239.13399999999999</c:v>
                </c:pt>
                <c:pt idx="94">
                  <c:v>250.78</c:v>
                </c:pt>
                <c:pt idx="95">
                  <c:v>245.28299999999999</c:v>
                </c:pt>
                <c:pt idx="96">
                  <c:v>248.61199999999999</c:v>
                </c:pt>
                <c:pt idx="97">
                  <c:v>240.10599999999999</c:v>
                </c:pt>
                <c:pt idx="98">
                  <c:v>240.28</c:v>
                </c:pt>
                <c:pt idx="99">
                  <c:v>236.18100000000001</c:v>
                </c:pt>
                <c:pt idx="100">
                  <c:v>233.351</c:v>
                </c:pt>
                <c:pt idx="101">
                  <c:v>236.441</c:v>
                </c:pt>
                <c:pt idx="102">
                  <c:v>244.11799999999999</c:v>
                </c:pt>
                <c:pt idx="103">
                  <c:v>242.44499999999999</c:v>
                </c:pt>
                <c:pt idx="104">
                  <c:v>245.92099999999999</c:v>
                </c:pt>
                <c:pt idx="105">
                  <c:v>245.84800000000001</c:v>
                </c:pt>
                <c:pt idx="106">
                  <c:v>245.02099999999999</c:v>
                </c:pt>
                <c:pt idx="107">
                  <c:v>246.56</c:v>
                </c:pt>
                <c:pt idx="108">
                  <c:v>257.137</c:v>
                </c:pt>
                <c:pt idx="109">
                  <c:v>269.28800000000001</c:v>
                </c:pt>
                <c:pt idx="110">
                  <c:v>258.68299999999999</c:v>
                </c:pt>
                <c:pt idx="111">
                  <c:v>255.99299999999999</c:v>
                </c:pt>
                <c:pt idx="112">
                  <c:v>254.43100000000001</c:v>
                </c:pt>
                <c:pt idx="113">
                  <c:v>253.54599999999999</c:v>
                </c:pt>
                <c:pt idx="114">
                  <c:v>248.25200000000001</c:v>
                </c:pt>
                <c:pt idx="115">
                  <c:v>249.374</c:v>
                </c:pt>
                <c:pt idx="116">
                  <c:v>255.46600000000001</c:v>
                </c:pt>
                <c:pt idx="117">
                  <c:v>259.90199999999999</c:v>
                </c:pt>
                <c:pt idx="118">
                  <c:v>259.697</c:v>
                </c:pt>
                <c:pt idx="119">
                  <c:v>249.31100000000001</c:v>
                </c:pt>
                <c:pt idx="120">
                  <c:v>246.73099999999999</c:v>
                </c:pt>
                <c:pt idx="121">
                  <c:v>249.767</c:v>
                </c:pt>
                <c:pt idx="122">
                  <c:v>234.29499999999999</c:v>
                </c:pt>
                <c:pt idx="123">
                  <c:v>243.559</c:v>
                </c:pt>
                <c:pt idx="124">
                  <c:v>242.59200000000001</c:v>
                </c:pt>
                <c:pt idx="125">
                  <c:v>242.964</c:v>
                </c:pt>
                <c:pt idx="126">
                  <c:v>232.833</c:v>
                </c:pt>
                <c:pt idx="127">
                  <c:v>234.86500000000001</c:v>
                </c:pt>
                <c:pt idx="128">
                  <c:v>231.083</c:v>
                </c:pt>
                <c:pt idx="129">
                  <c:v>221.816</c:v>
                </c:pt>
                <c:pt idx="130">
                  <c:v>227.14</c:v>
                </c:pt>
                <c:pt idx="131">
                  <c:v>227.93799999999999</c:v>
                </c:pt>
                <c:pt idx="132">
                  <c:v>229.422</c:v>
                </c:pt>
                <c:pt idx="133">
                  <c:v>221.08600000000001</c:v>
                </c:pt>
                <c:pt idx="134">
                  <c:v>221.709</c:v>
                </c:pt>
                <c:pt idx="135">
                  <c:v>218.86500000000001</c:v>
                </c:pt>
                <c:pt idx="136">
                  <c:v>218.95400000000001</c:v>
                </c:pt>
                <c:pt idx="137">
                  <c:v>212.48599999999999</c:v>
                </c:pt>
                <c:pt idx="138">
                  <c:v>215.98699999999999</c:v>
                </c:pt>
                <c:pt idx="139">
                  <c:v>218.90700000000001</c:v>
                </c:pt>
                <c:pt idx="140">
                  <c:v>217.34800000000001</c:v>
                </c:pt>
                <c:pt idx="141">
                  <c:v>221.732</c:v>
                </c:pt>
                <c:pt idx="142">
                  <c:v>223.006</c:v>
                </c:pt>
                <c:pt idx="143">
                  <c:v>218.78</c:v>
                </c:pt>
                <c:pt idx="144">
                  <c:v>216.58699999999999</c:v>
                </c:pt>
                <c:pt idx="145">
                  <c:v>213.65600000000001</c:v>
                </c:pt>
                <c:pt idx="146">
                  <c:v>215.03200000000001</c:v>
                </c:pt>
                <c:pt idx="147">
                  <c:v>211.107</c:v>
                </c:pt>
                <c:pt idx="148">
                  <c:v>211.27500000000001</c:v>
                </c:pt>
                <c:pt idx="149">
                  <c:v>212.96600000000001</c:v>
                </c:pt>
                <c:pt idx="150">
                  <c:v>214.77099999999999</c:v>
                </c:pt>
                <c:pt idx="151">
                  <c:v>217.23500000000001</c:v>
                </c:pt>
                <c:pt idx="152">
                  <c:v>235.572</c:v>
                </c:pt>
                <c:pt idx="153">
                  <c:v>237.85</c:v>
                </c:pt>
                <c:pt idx="154">
                  <c:v>261.81799999999998</c:v>
                </c:pt>
                <c:pt idx="155">
                  <c:v>260.96800000000002</c:v>
                </c:pt>
                <c:pt idx="156">
                  <c:v>258.53100000000001</c:v>
                </c:pt>
                <c:pt idx="157">
                  <c:v>254.566</c:v>
                </c:pt>
                <c:pt idx="158">
                  <c:v>249.92</c:v>
                </c:pt>
                <c:pt idx="159">
                  <c:v>259.60300000000001</c:v>
                </c:pt>
                <c:pt idx="160">
                  <c:v>252.15199999999999</c:v>
                </c:pt>
                <c:pt idx="161">
                  <c:v>262.06200000000001</c:v>
                </c:pt>
                <c:pt idx="162">
                  <c:v>270.98099999999999</c:v>
                </c:pt>
                <c:pt idx="163">
                  <c:v>267.11700000000002</c:v>
                </c:pt>
                <c:pt idx="164">
                  <c:v>267.70999999999998</c:v>
                </c:pt>
                <c:pt idx="165">
                  <c:v>269.221</c:v>
                </c:pt>
                <c:pt idx="166">
                  <c:v>264.26900000000001</c:v>
                </c:pt>
                <c:pt idx="167">
                  <c:v>260.98899999999998</c:v>
                </c:pt>
                <c:pt idx="168">
                  <c:v>268.72399999999999</c:v>
                </c:pt>
                <c:pt idx="169">
                  <c:v>269.28500000000003</c:v>
                </c:pt>
                <c:pt idx="170">
                  <c:v>272.11900000000003</c:v>
                </c:pt>
                <c:pt idx="171">
                  <c:v>271.85899999999998</c:v>
                </c:pt>
                <c:pt idx="172">
                  <c:v>272.75400000000002</c:v>
                </c:pt>
                <c:pt idx="173">
                  <c:v>269</c:v>
                </c:pt>
                <c:pt idx="174">
                  <c:v>270.40600000000001</c:v>
                </c:pt>
                <c:pt idx="175">
                  <c:v>274.291</c:v>
                </c:pt>
                <c:pt idx="176">
                  <c:v>273.41199999999998</c:v>
                </c:pt>
                <c:pt idx="177">
                  <c:v>261.69499999999999</c:v>
                </c:pt>
                <c:pt idx="178">
                  <c:v>259.91699999999997</c:v>
                </c:pt>
                <c:pt idx="179">
                  <c:v>253.935</c:v>
                </c:pt>
                <c:pt idx="180">
                  <c:v>245.29900000000001</c:v>
                </c:pt>
                <c:pt idx="181">
                  <c:v>245.154</c:v>
                </c:pt>
                <c:pt idx="182">
                  <c:v>239.91399999999999</c:v>
                </c:pt>
                <c:pt idx="183">
                  <c:v>231.126</c:v>
                </c:pt>
                <c:pt idx="184">
                  <c:v>232.76499999999999</c:v>
                </c:pt>
                <c:pt idx="185">
                  <c:v>236.17599999999999</c:v>
                </c:pt>
                <c:pt idx="186">
                  <c:v>236.648</c:v>
                </c:pt>
                <c:pt idx="187">
                  <c:v>231.07400000000001</c:v>
                </c:pt>
                <c:pt idx="188">
                  <c:v>224.596</c:v>
                </c:pt>
                <c:pt idx="189">
                  <c:v>222.35499999999999</c:v>
                </c:pt>
                <c:pt idx="190">
                  <c:v>222.495</c:v>
                </c:pt>
                <c:pt idx="191">
                  <c:v>222.083</c:v>
                </c:pt>
                <c:pt idx="192">
                  <c:v>220.89</c:v>
                </c:pt>
                <c:pt idx="193">
                  <c:v>222.84399999999999</c:v>
                </c:pt>
                <c:pt idx="194">
                  <c:v>223.047</c:v>
                </c:pt>
                <c:pt idx="195">
                  <c:v>232.994</c:v>
                </c:pt>
                <c:pt idx="196">
                  <c:v>237.73699999999999</c:v>
                </c:pt>
                <c:pt idx="197">
                  <c:v>246.542</c:v>
                </c:pt>
                <c:pt idx="198">
                  <c:v>242.08699999999999</c:v>
                </c:pt>
                <c:pt idx="199">
                  <c:v>238.92099999999999</c:v>
                </c:pt>
                <c:pt idx="200">
                  <c:v>243.477</c:v>
                </c:pt>
                <c:pt idx="201">
                  <c:v>240.05699999999999</c:v>
                </c:pt>
                <c:pt idx="202">
                  <c:v>232.08099999999999</c:v>
                </c:pt>
                <c:pt idx="203">
                  <c:v>223.55099999999999</c:v>
                </c:pt>
                <c:pt idx="204">
                  <c:v>224.25299999999999</c:v>
                </c:pt>
                <c:pt idx="205">
                  <c:v>215.035</c:v>
                </c:pt>
                <c:pt idx="206">
                  <c:v>218.43299999999999</c:v>
                </c:pt>
                <c:pt idx="207">
                  <c:v>217.41399999999999</c:v>
                </c:pt>
                <c:pt idx="208">
                  <c:v>216.53299999999999</c:v>
                </c:pt>
                <c:pt idx="209">
                  <c:v>213.95699999999999</c:v>
                </c:pt>
                <c:pt idx="210">
                  <c:v>217.804</c:v>
                </c:pt>
                <c:pt idx="211">
                  <c:v>214.989</c:v>
                </c:pt>
                <c:pt idx="212">
                  <c:v>215.54300000000001</c:v>
                </c:pt>
                <c:pt idx="213">
                  <c:v>211.44900000000001</c:v>
                </c:pt>
                <c:pt idx="214">
                  <c:v>210.78299999999999</c:v>
                </c:pt>
                <c:pt idx="215">
                  <c:v>208.096</c:v>
                </c:pt>
                <c:pt idx="216">
                  <c:v>213.52600000000001</c:v>
                </c:pt>
                <c:pt idx="217">
                  <c:v>221.202</c:v>
                </c:pt>
                <c:pt idx="218">
                  <c:v>217.607</c:v>
                </c:pt>
                <c:pt idx="219">
                  <c:v>211.15299999999999</c:v>
                </c:pt>
                <c:pt idx="220">
                  <c:v>205.03299999999999</c:v>
                </c:pt>
                <c:pt idx="221">
                  <c:v>210.34299999999999</c:v>
                </c:pt>
                <c:pt idx="222">
                  <c:v>199.965</c:v>
                </c:pt>
                <c:pt idx="223">
                  <c:v>197.458</c:v>
                </c:pt>
                <c:pt idx="224">
                  <c:v>202.96600000000001</c:v>
                </c:pt>
                <c:pt idx="225">
                  <c:v>206.67400000000001</c:v>
                </c:pt>
                <c:pt idx="226">
                  <c:v>207.553</c:v>
                </c:pt>
                <c:pt idx="227">
                  <c:v>206.90100000000001</c:v>
                </c:pt>
                <c:pt idx="228">
                  <c:v>204.25800000000001</c:v>
                </c:pt>
                <c:pt idx="229">
                  <c:v>205.42099999999999</c:v>
                </c:pt>
                <c:pt idx="230">
                  <c:v>209.19200000000001</c:v>
                </c:pt>
                <c:pt idx="231">
                  <c:v>212.11</c:v>
                </c:pt>
                <c:pt idx="232">
                  <c:v>209.578</c:v>
                </c:pt>
                <c:pt idx="233">
                  <c:v>209.81899999999999</c:v>
                </c:pt>
                <c:pt idx="234">
                  <c:v>208.119</c:v>
                </c:pt>
                <c:pt idx="235">
                  <c:v>208.64400000000001</c:v>
                </c:pt>
                <c:pt idx="236">
                  <c:v>203.96100000000001</c:v>
                </c:pt>
                <c:pt idx="237">
                  <c:v>208.065</c:v>
                </c:pt>
                <c:pt idx="238">
                  <c:v>202.946</c:v>
                </c:pt>
                <c:pt idx="239">
                  <c:v>203.149</c:v>
                </c:pt>
                <c:pt idx="240">
                  <c:v>211.66900000000001</c:v>
                </c:pt>
                <c:pt idx="241">
                  <c:v>204.584</c:v>
                </c:pt>
                <c:pt idx="242">
                  <c:v>200.703</c:v>
                </c:pt>
                <c:pt idx="243">
                  <c:v>196.38300000000001</c:v>
                </c:pt>
                <c:pt idx="244">
                  <c:v>195.553</c:v>
                </c:pt>
                <c:pt idx="245">
                  <c:v>195.113</c:v>
                </c:pt>
                <c:pt idx="246">
                  <c:v>198.83199999999999</c:v>
                </c:pt>
                <c:pt idx="247">
                  <c:v>186.376</c:v>
                </c:pt>
                <c:pt idx="248">
                  <c:v>194.458</c:v>
                </c:pt>
                <c:pt idx="249">
                  <c:v>187.04599999999999</c:v>
                </c:pt>
                <c:pt idx="250">
                  <c:v>180.46600000000001</c:v>
                </c:pt>
                <c:pt idx="251">
                  <c:v>180.203</c:v>
                </c:pt>
                <c:pt idx="252">
                  <c:v>177.66200000000001</c:v>
                </c:pt>
                <c:pt idx="253">
                  <c:v>176.982</c:v>
                </c:pt>
                <c:pt idx="254">
                  <c:v>172.048</c:v>
                </c:pt>
                <c:pt idx="255">
                  <c:v>173.309</c:v>
                </c:pt>
                <c:pt idx="256">
                  <c:v>173.309</c:v>
                </c:pt>
                <c:pt idx="257">
                  <c:v>173.309</c:v>
                </c:pt>
                <c:pt idx="258">
                  <c:v>175.804</c:v>
                </c:pt>
                <c:pt idx="259">
                  <c:v>173.416</c:v>
                </c:pt>
                <c:pt idx="260">
                  <c:v>169.86699999999999</c:v>
                </c:pt>
                <c:pt idx="261">
                  <c:v>169.86699999999999</c:v>
                </c:pt>
                <c:pt idx="262">
                  <c:v>174.434</c:v>
                </c:pt>
                <c:pt idx="263">
                  <c:v>182.50399999999999</c:v>
                </c:pt>
                <c:pt idx="264">
                  <c:v>184.16300000000001</c:v>
                </c:pt>
                <c:pt idx="265">
                  <c:v>184.577</c:v>
                </c:pt>
                <c:pt idx="266">
                  <c:v>168.9</c:v>
                </c:pt>
                <c:pt idx="267">
                  <c:v>169.214</c:v>
                </c:pt>
                <c:pt idx="268">
                  <c:v>162.48500000000001</c:v>
                </c:pt>
                <c:pt idx="269">
                  <c:v>162.989</c:v>
                </c:pt>
                <c:pt idx="270">
                  <c:v>160.15899999999999</c:v>
                </c:pt>
                <c:pt idx="271">
                  <c:v>159.863</c:v>
                </c:pt>
                <c:pt idx="272">
                  <c:v>157.845</c:v>
                </c:pt>
                <c:pt idx="273">
                  <c:v>157.14400000000001</c:v>
                </c:pt>
                <c:pt idx="274">
                  <c:v>158.321</c:v>
                </c:pt>
                <c:pt idx="275">
                  <c:v>162.48099999999999</c:v>
                </c:pt>
                <c:pt idx="276">
                  <c:v>162.316</c:v>
                </c:pt>
                <c:pt idx="277">
                  <c:v>165.07400000000001</c:v>
                </c:pt>
                <c:pt idx="278">
                  <c:v>171.49799999999999</c:v>
                </c:pt>
                <c:pt idx="279">
                  <c:v>182.94900000000001</c:v>
                </c:pt>
                <c:pt idx="280">
                  <c:v>176.92500000000001</c:v>
                </c:pt>
                <c:pt idx="281">
                  <c:v>184.255</c:v>
                </c:pt>
                <c:pt idx="282">
                  <c:v>182.691</c:v>
                </c:pt>
                <c:pt idx="283">
                  <c:v>184.55799999999999</c:v>
                </c:pt>
                <c:pt idx="284">
                  <c:v>181.03100000000001</c:v>
                </c:pt>
                <c:pt idx="285">
                  <c:v>179.30199999999999</c:v>
                </c:pt>
                <c:pt idx="286">
                  <c:v>174.99600000000001</c:v>
                </c:pt>
                <c:pt idx="287">
                  <c:v>170.898</c:v>
                </c:pt>
                <c:pt idx="288">
                  <c:v>175.524</c:v>
                </c:pt>
                <c:pt idx="289">
                  <c:v>178.398</c:v>
                </c:pt>
                <c:pt idx="290">
                  <c:v>176.398</c:v>
                </c:pt>
                <c:pt idx="291">
                  <c:v>172.804</c:v>
                </c:pt>
                <c:pt idx="292">
                  <c:v>173.983</c:v>
                </c:pt>
                <c:pt idx="293">
                  <c:v>175.00700000000001</c:v>
                </c:pt>
                <c:pt idx="294">
                  <c:v>174.857</c:v>
                </c:pt>
                <c:pt idx="295">
                  <c:v>175.053</c:v>
                </c:pt>
                <c:pt idx="296">
                  <c:v>172.994</c:v>
                </c:pt>
                <c:pt idx="297">
                  <c:v>173.55199999999999</c:v>
                </c:pt>
                <c:pt idx="298">
                  <c:v>174.70699999999999</c:v>
                </c:pt>
                <c:pt idx="299">
                  <c:v>187.22800000000001</c:v>
                </c:pt>
                <c:pt idx="300">
                  <c:v>191.56</c:v>
                </c:pt>
                <c:pt idx="301">
                  <c:v>198.17</c:v>
                </c:pt>
                <c:pt idx="302">
                  <c:v>214.40199999999999</c:v>
                </c:pt>
                <c:pt idx="303">
                  <c:v>233.96299999999999</c:v>
                </c:pt>
                <c:pt idx="304">
                  <c:v>219.74199999999999</c:v>
                </c:pt>
                <c:pt idx="305">
                  <c:v>233.23</c:v>
                </c:pt>
                <c:pt idx="306">
                  <c:v>233.70500000000001</c:v>
                </c:pt>
                <c:pt idx="307">
                  <c:v>234.01</c:v>
                </c:pt>
                <c:pt idx="308">
                  <c:v>237.929</c:v>
                </c:pt>
                <c:pt idx="309">
                  <c:v>328.05599999999998</c:v>
                </c:pt>
                <c:pt idx="310">
                  <c:v>322.47800000000001</c:v>
                </c:pt>
                <c:pt idx="311">
                  <c:v>334.92399999999998</c:v>
                </c:pt>
                <c:pt idx="312">
                  <c:v>405.69</c:v>
                </c:pt>
                <c:pt idx="313">
                  <c:v>392.029</c:v>
                </c:pt>
                <c:pt idx="314">
                  <c:v>415.37400000000002</c:v>
                </c:pt>
                <c:pt idx="315">
                  <c:v>430.666</c:v>
                </c:pt>
                <c:pt idx="316">
                  <c:v>535.89300000000003</c:v>
                </c:pt>
                <c:pt idx="317">
                  <c:v>571.58299999999997</c:v>
                </c:pt>
                <c:pt idx="318">
                  <c:v>617.51900000000001</c:v>
                </c:pt>
                <c:pt idx="319">
                  <c:v>662.09799999999996</c:v>
                </c:pt>
                <c:pt idx="320">
                  <c:v>644.15200000000004</c:v>
                </c:pt>
                <c:pt idx="321">
                  <c:v>621.154</c:v>
                </c:pt>
                <c:pt idx="322">
                  <c:v>589.59799999999996</c:v>
                </c:pt>
                <c:pt idx="323">
                  <c:v>593.14700000000005</c:v>
                </c:pt>
                <c:pt idx="324">
                  <c:v>601.90599999999995</c:v>
                </c:pt>
                <c:pt idx="325">
                  <c:v>596.14099999999996</c:v>
                </c:pt>
                <c:pt idx="326">
                  <c:v>600.46900000000005</c:v>
                </c:pt>
                <c:pt idx="327">
                  <c:v>595.53200000000004</c:v>
                </c:pt>
                <c:pt idx="328">
                  <c:v>567.79999999999995</c:v>
                </c:pt>
                <c:pt idx="329">
                  <c:v>555.20399999999995</c:v>
                </c:pt>
                <c:pt idx="330">
                  <c:v>555.25300000000004</c:v>
                </c:pt>
                <c:pt idx="331">
                  <c:v>562.673</c:v>
                </c:pt>
                <c:pt idx="332">
                  <c:v>537.58699999999999</c:v>
                </c:pt>
                <c:pt idx="333">
                  <c:v>537.58699999999999</c:v>
                </c:pt>
                <c:pt idx="334">
                  <c:v>537.58699999999999</c:v>
                </c:pt>
                <c:pt idx="335">
                  <c:v>543.88499999999999</c:v>
                </c:pt>
                <c:pt idx="336">
                  <c:v>531.19200000000001</c:v>
                </c:pt>
                <c:pt idx="337">
                  <c:v>534.67200000000003</c:v>
                </c:pt>
                <c:pt idx="338">
                  <c:v>509.017</c:v>
                </c:pt>
                <c:pt idx="339">
                  <c:v>510.82600000000002</c:v>
                </c:pt>
                <c:pt idx="340">
                  <c:v>517.87800000000004</c:v>
                </c:pt>
                <c:pt idx="341">
                  <c:v>516.16099999999994</c:v>
                </c:pt>
                <c:pt idx="342">
                  <c:v>517.26900000000001</c:v>
                </c:pt>
                <c:pt idx="343">
                  <c:v>518.58299999999997</c:v>
                </c:pt>
                <c:pt idx="344">
                  <c:v>517.82799999999997</c:v>
                </c:pt>
                <c:pt idx="345">
                  <c:v>521.07899999999995</c:v>
                </c:pt>
                <c:pt idx="346">
                  <c:v>522.14599999999996</c:v>
                </c:pt>
                <c:pt idx="347">
                  <c:v>514.21400000000006</c:v>
                </c:pt>
                <c:pt idx="348">
                  <c:v>514.01499999999999</c:v>
                </c:pt>
                <c:pt idx="349">
                  <c:v>511.54</c:v>
                </c:pt>
                <c:pt idx="350">
                  <c:v>477.85899999999998</c:v>
                </c:pt>
                <c:pt idx="351">
                  <c:v>471.73399999999998</c:v>
                </c:pt>
                <c:pt idx="352">
                  <c:v>488.00200000000001</c:v>
                </c:pt>
                <c:pt idx="353">
                  <c:v>471.86599999999999</c:v>
                </c:pt>
                <c:pt idx="354">
                  <c:v>435.41899999999998</c:v>
                </c:pt>
                <c:pt idx="355">
                  <c:v>430.75599999999997</c:v>
                </c:pt>
                <c:pt idx="356">
                  <c:v>448.69499999999999</c:v>
                </c:pt>
                <c:pt idx="357">
                  <c:v>367.43</c:v>
                </c:pt>
                <c:pt idx="358">
                  <c:v>355.36399999999998</c:v>
                </c:pt>
                <c:pt idx="359">
                  <c:v>340.87299999999999</c:v>
                </c:pt>
                <c:pt idx="360">
                  <c:v>342.54199999999997</c:v>
                </c:pt>
                <c:pt idx="361">
                  <c:v>332.505</c:v>
                </c:pt>
                <c:pt idx="362">
                  <c:v>333.39299999999997</c:v>
                </c:pt>
                <c:pt idx="363">
                  <c:v>346.08199999999999</c:v>
                </c:pt>
                <c:pt idx="364">
                  <c:v>346.08199999999999</c:v>
                </c:pt>
                <c:pt idx="365">
                  <c:v>329.6</c:v>
                </c:pt>
                <c:pt idx="366">
                  <c:v>330.06200000000001</c:v>
                </c:pt>
                <c:pt idx="367">
                  <c:v>333.80099999999999</c:v>
                </c:pt>
                <c:pt idx="368">
                  <c:v>336.66199999999998</c:v>
                </c:pt>
                <c:pt idx="369">
                  <c:v>334.66899999999998</c:v>
                </c:pt>
                <c:pt idx="370">
                  <c:v>334.40600000000001</c:v>
                </c:pt>
                <c:pt idx="371">
                  <c:v>327.88</c:v>
                </c:pt>
                <c:pt idx="372">
                  <c:v>321.846</c:v>
                </c:pt>
                <c:pt idx="373">
                  <c:v>318.69</c:v>
                </c:pt>
                <c:pt idx="374">
                  <c:v>323.23599999999999</c:v>
                </c:pt>
                <c:pt idx="375">
                  <c:v>323.73399999999998</c:v>
                </c:pt>
                <c:pt idx="376">
                  <c:v>337.99200000000002</c:v>
                </c:pt>
                <c:pt idx="377">
                  <c:v>347.49099999999999</c:v>
                </c:pt>
                <c:pt idx="378">
                  <c:v>344.23200000000003</c:v>
                </c:pt>
                <c:pt idx="379">
                  <c:v>382.98599999999999</c:v>
                </c:pt>
                <c:pt idx="380">
                  <c:v>379.1</c:v>
                </c:pt>
                <c:pt idx="381">
                  <c:v>381.64299999999997</c:v>
                </c:pt>
                <c:pt idx="382">
                  <c:v>380.93799999999999</c:v>
                </c:pt>
                <c:pt idx="383">
                  <c:v>382.47399999999999</c:v>
                </c:pt>
                <c:pt idx="384">
                  <c:v>380.363</c:v>
                </c:pt>
                <c:pt idx="385">
                  <c:v>383.76100000000002</c:v>
                </c:pt>
                <c:pt idx="386">
                  <c:v>384.87200000000001</c:v>
                </c:pt>
                <c:pt idx="387">
                  <c:v>392.12</c:v>
                </c:pt>
                <c:pt idx="388">
                  <c:v>391.44200000000001</c:v>
                </c:pt>
                <c:pt idx="389">
                  <c:v>392.41399999999999</c:v>
                </c:pt>
                <c:pt idx="390">
                  <c:v>388.73099999999999</c:v>
                </c:pt>
                <c:pt idx="391">
                  <c:v>390.685</c:v>
                </c:pt>
                <c:pt idx="392">
                  <c:v>355.42399999999998</c:v>
                </c:pt>
                <c:pt idx="393">
                  <c:v>357.05</c:v>
                </c:pt>
                <c:pt idx="394">
                  <c:v>348.74599999999998</c:v>
                </c:pt>
                <c:pt idx="395">
                  <c:v>349.2</c:v>
                </c:pt>
                <c:pt idx="396">
                  <c:v>348.66899999999998</c:v>
                </c:pt>
                <c:pt idx="397">
                  <c:v>347.697</c:v>
                </c:pt>
                <c:pt idx="398">
                  <c:v>348.19200000000001</c:v>
                </c:pt>
                <c:pt idx="399">
                  <c:v>349.45699999999999</c:v>
                </c:pt>
                <c:pt idx="400">
                  <c:v>358.483</c:v>
                </c:pt>
                <c:pt idx="401">
                  <c:v>357.94200000000001</c:v>
                </c:pt>
                <c:pt idx="402">
                  <c:v>353.91699999999997</c:v>
                </c:pt>
                <c:pt idx="403">
                  <c:v>365.762</c:v>
                </c:pt>
                <c:pt idx="404">
                  <c:v>364.92399999999998</c:v>
                </c:pt>
                <c:pt idx="405">
                  <c:v>364.66399999999999</c:v>
                </c:pt>
                <c:pt idx="406">
                  <c:v>359.858</c:v>
                </c:pt>
                <c:pt idx="407">
                  <c:v>352.33300000000003</c:v>
                </c:pt>
                <c:pt idx="408">
                  <c:v>353.61099999999999</c:v>
                </c:pt>
                <c:pt idx="409">
                  <c:v>346.98700000000002</c:v>
                </c:pt>
                <c:pt idx="410">
                  <c:v>351.40600000000001</c:v>
                </c:pt>
                <c:pt idx="411">
                  <c:v>352.46899999999999</c:v>
                </c:pt>
                <c:pt idx="412">
                  <c:v>354.08699999999999</c:v>
                </c:pt>
                <c:pt idx="413">
                  <c:v>354.89699999999999</c:v>
                </c:pt>
                <c:pt idx="414">
                  <c:v>350.28100000000001</c:v>
                </c:pt>
                <c:pt idx="415">
                  <c:v>347.12</c:v>
                </c:pt>
                <c:pt idx="416">
                  <c:v>342.18799999999999</c:v>
                </c:pt>
                <c:pt idx="417">
                  <c:v>333.137</c:v>
                </c:pt>
                <c:pt idx="418">
                  <c:v>330.66899999999998</c:v>
                </c:pt>
                <c:pt idx="419">
                  <c:v>344.73099999999999</c:v>
                </c:pt>
                <c:pt idx="420">
                  <c:v>330.65699999999998</c:v>
                </c:pt>
                <c:pt idx="421">
                  <c:v>324.10899999999998</c:v>
                </c:pt>
                <c:pt idx="422">
                  <c:v>317.23399999999998</c:v>
                </c:pt>
                <c:pt idx="423">
                  <c:v>315.72000000000003</c:v>
                </c:pt>
                <c:pt idx="424">
                  <c:v>320.93299999999999</c:v>
                </c:pt>
                <c:pt idx="425">
                  <c:v>322.24599999999998</c:v>
                </c:pt>
                <c:pt idx="426">
                  <c:v>321.65499999999997</c:v>
                </c:pt>
                <c:pt idx="427">
                  <c:v>321.19</c:v>
                </c:pt>
                <c:pt idx="428">
                  <c:v>325.399</c:v>
                </c:pt>
                <c:pt idx="429">
                  <c:v>323.69</c:v>
                </c:pt>
                <c:pt idx="430">
                  <c:v>319.76900000000001</c:v>
                </c:pt>
                <c:pt idx="431">
                  <c:v>318.26600000000002</c:v>
                </c:pt>
                <c:pt idx="432">
                  <c:v>314.86799999999999</c:v>
                </c:pt>
                <c:pt idx="433">
                  <c:v>317.95100000000002</c:v>
                </c:pt>
                <c:pt idx="434">
                  <c:v>317.95100000000002</c:v>
                </c:pt>
                <c:pt idx="435">
                  <c:v>317.11599999999999</c:v>
                </c:pt>
                <c:pt idx="436">
                  <c:v>315.95100000000002</c:v>
                </c:pt>
                <c:pt idx="437">
                  <c:v>315.51</c:v>
                </c:pt>
                <c:pt idx="438">
                  <c:v>312.86799999999999</c:v>
                </c:pt>
                <c:pt idx="439">
                  <c:v>316.99599999999998</c:v>
                </c:pt>
                <c:pt idx="440">
                  <c:v>319.82499999999999</c:v>
                </c:pt>
                <c:pt idx="441">
                  <c:v>318.80700000000002</c:v>
                </c:pt>
                <c:pt idx="442">
                  <c:v>315.673</c:v>
                </c:pt>
                <c:pt idx="443">
                  <c:v>315.34199999999998</c:v>
                </c:pt>
                <c:pt idx="444">
                  <c:v>314.92</c:v>
                </c:pt>
                <c:pt idx="445">
                  <c:v>315.03699999999998</c:v>
                </c:pt>
                <c:pt idx="446">
                  <c:v>311.863</c:v>
                </c:pt>
                <c:pt idx="447">
                  <c:v>313.14</c:v>
                </c:pt>
                <c:pt idx="448">
                  <c:v>310.42200000000003</c:v>
                </c:pt>
                <c:pt idx="449">
                  <c:v>314.60000000000002</c:v>
                </c:pt>
                <c:pt idx="450">
                  <c:v>317.09399999999999</c:v>
                </c:pt>
                <c:pt idx="451">
                  <c:v>315.63099999999997</c:v>
                </c:pt>
                <c:pt idx="452">
                  <c:v>333.83499999999998</c:v>
                </c:pt>
                <c:pt idx="453">
                  <c:v>338.11099999999999</c:v>
                </c:pt>
                <c:pt idx="454">
                  <c:v>427.69400000000002</c:v>
                </c:pt>
                <c:pt idx="455">
                  <c:v>441.89400000000001</c:v>
                </c:pt>
                <c:pt idx="456">
                  <c:v>451.44799999999998</c:v>
                </c:pt>
                <c:pt idx="457">
                  <c:v>418.22399999999999</c:v>
                </c:pt>
                <c:pt idx="458">
                  <c:v>407.85399999999998</c:v>
                </c:pt>
                <c:pt idx="459">
                  <c:v>406.00700000000001</c:v>
                </c:pt>
                <c:pt idx="460">
                  <c:v>407.798</c:v>
                </c:pt>
                <c:pt idx="461">
                  <c:v>412.87400000000002</c:v>
                </c:pt>
                <c:pt idx="462">
                  <c:v>405.25</c:v>
                </c:pt>
                <c:pt idx="463">
                  <c:v>400.00299999999999</c:v>
                </c:pt>
                <c:pt idx="464">
                  <c:v>399.94</c:v>
                </c:pt>
                <c:pt idx="465">
                  <c:v>407.50799999999998</c:v>
                </c:pt>
                <c:pt idx="466">
                  <c:v>425.07</c:v>
                </c:pt>
                <c:pt idx="467">
                  <c:v>421.85399999999998</c:v>
                </c:pt>
                <c:pt idx="468">
                  <c:v>418.01600000000002</c:v>
                </c:pt>
                <c:pt idx="469">
                  <c:v>416.30900000000003</c:v>
                </c:pt>
                <c:pt idx="470">
                  <c:v>416.24299999999999</c:v>
                </c:pt>
                <c:pt idx="471">
                  <c:v>425.42899999999997</c:v>
                </c:pt>
                <c:pt idx="472">
                  <c:v>428.18099999999998</c:v>
                </c:pt>
                <c:pt idx="473">
                  <c:v>426.18</c:v>
                </c:pt>
                <c:pt idx="474">
                  <c:v>448.35199999999998</c:v>
                </c:pt>
                <c:pt idx="475">
                  <c:v>459.10899999999998</c:v>
                </c:pt>
                <c:pt idx="476">
                  <c:v>468.923</c:v>
                </c:pt>
                <c:pt idx="477">
                  <c:v>477.05900000000003</c:v>
                </c:pt>
                <c:pt idx="478">
                  <c:v>475.02</c:v>
                </c:pt>
                <c:pt idx="479">
                  <c:v>482.77300000000002</c:v>
                </c:pt>
                <c:pt idx="480">
                  <c:v>453.96600000000001</c:v>
                </c:pt>
                <c:pt idx="481">
                  <c:v>445.10500000000002</c:v>
                </c:pt>
                <c:pt idx="482">
                  <c:v>438.96800000000002</c:v>
                </c:pt>
                <c:pt idx="483">
                  <c:v>440.113</c:v>
                </c:pt>
                <c:pt idx="484">
                  <c:v>406.97899999999998</c:v>
                </c:pt>
                <c:pt idx="485">
                  <c:v>352.84399999999999</c:v>
                </c:pt>
                <c:pt idx="486">
                  <c:v>344.85599999999999</c:v>
                </c:pt>
                <c:pt idx="487">
                  <c:v>348.01900000000001</c:v>
                </c:pt>
                <c:pt idx="488">
                  <c:v>353.39400000000001</c:v>
                </c:pt>
                <c:pt idx="489">
                  <c:v>344.87299999999999</c:v>
                </c:pt>
                <c:pt idx="490">
                  <c:v>360.233</c:v>
                </c:pt>
                <c:pt idx="491">
                  <c:v>355.67399999999998</c:v>
                </c:pt>
                <c:pt idx="492">
                  <c:v>358.399</c:v>
                </c:pt>
                <c:pt idx="493">
                  <c:v>373.67399999999998</c:v>
                </c:pt>
                <c:pt idx="494">
                  <c:v>358.51600000000002</c:v>
                </c:pt>
                <c:pt idx="495">
                  <c:v>348.59399999999999</c:v>
                </c:pt>
                <c:pt idx="496">
                  <c:v>346.04</c:v>
                </c:pt>
                <c:pt idx="497">
                  <c:v>364.27499999999998</c:v>
                </c:pt>
                <c:pt idx="498">
                  <c:v>364.27699999999999</c:v>
                </c:pt>
                <c:pt idx="499">
                  <c:v>364.11</c:v>
                </c:pt>
                <c:pt idx="500">
                  <c:v>363.99400000000003</c:v>
                </c:pt>
                <c:pt idx="501">
                  <c:v>357.44400000000002</c:v>
                </c:pt>
                <c:pt idx="502">
                  <c:v>350.42</c:v>
                </c:pt>
                <c:pt idx="503">
                  <c:v>302.649</c:v>
                </c:pt>
                <c:pt idx="504">
                  <c:v>306.16199999999998</c:v>
                </c:pt>
                <c:pt idx="505">
                  <c:v>323.024</c:v>
                </c:pt>
                <c:pt idx="506">
                  <c:v>308.36</c:v>
                </c:pt>
                <c:pt idx="507">
                  <c:v>326.92500000000001</c:v>
                </c:pt>
                <c:pt idx="508">
                  <c:v>321.99599999999998</c:v>
                </c:pt>
                <c:pt idx="509">
                  <c:v>319.04199999999997</c:v>
                </c:pt>
                <c:pt idx="510">
                  <c:v>313.62400000000002</c:v>
                </c:pt>
                <c:pt idx="511">
                  <c:v>304.41899999999998</c:v>
                </c:pt>
                <c:pt idx="512">
                  <c:v>297.24700000000001</c:v>
                </c:pt>
                <c:pt idx="513">
                  <c:v>308.77699999999999</c:v>
                </c:pt>
                <c:pt idx="514">
                  <c:v>306.41500000000002</c:v>
                </c:pt>
                <c:pt idx="515">
                  <c:v>303.06299999999999</c:v>
                </c:pt>
                <c:pt idx="516">
                  <c:v>298.36200000000002</c:v>
                </c:pt>
                <c:pt idx="517">
                  <c:v>306.60500000000002</c:v>
                </c:pt>
                <c:pt idx="518">
                  <c:v>306.60500000000002</c:v>
                </c:pt>
                <c:pt idx="519">
                  <c:v>306.60500000000002</c:v>
                </c:pt>
                <c:pt idx="520">
                  <c:v>286.26600000000002</c:v>
                </c:pt>
                <c:pt idx="521">
                  <c:v>283.363</c:v>
                </c:pt>
                <c:pt idx="522">
                  <c:v>288.20100000000002</c:v>
                </c:pt>
                <c:pt idx="523">
                  <c:v>288.20100000000002</c:v>
                </c:pt>
                <c:pt idx="524">
                  <c:v>285.505</c:v>
                </c:pt>
                <c:pt idx="525">
                  <c:v>278.84500000000003</c:v>
                </c:pt>
                <c:pt idx="526">
                  <c:v>276.536</c:v>
                </c:pt>
                <c:pt idx="527">
                  <c:v>272.392</c:v>
                </c:pt>
                <c:pt idx="528">
                  <c:v>268.24299999999999</c:v>
                </c:pt>
                <c:pt idx="529">
                  <c:v>267.06400000000002</c:v>
                </c:pt>
                <c:pt idx="530">
                  <c:v>265.79300000000001</c:v>
                </c:pt>
                <c:pt idx="531">
                  <c:v>264.74</c:v>
                </c:pt>
                <c:pt idx="532">
                  <c:v>246.50899999999999</c:v>
                </c:pt>
                <c:pt idx="533">
                  <c:v>242.02199999999999</c:v>
                </c:pt>
                <c:pt idx="534">
                  <c:v>241.97300000000001</c:v>
                </c:pt>
                <c:pt idx="535">
                  <c:v>243.83199999999999</c:v>
                </c:pt>
                <c:pt idx="536">
                  <c:v>241.917</c:v>
                </c:pt>
                <c:pt idx="537">
                  <c:v>247.029</c:v>
                </c:pt>
                <c:pt idx="538">
                  <c:v>247.43199999999999</c:v>
                </c:pt>
                <c:pt idx="539">
                  <c:v>269.02100000000002</c:v>
                </c:pt>
                <c:pt idx="540">
                  <c:v>258.26799999999997</c:v>
                </c:pt>
                <c:pt idx="541">
                  <c:v>272.41199999999998</c:v>
                </c:pt>
                <c:pt idx="542">
                  <c:v>271.565</c:v>
                </c:pt>
                <c:pt idx="543">
                  <c:v>270.577</c:v>
                </c:pt>
                <c:pt idx="544">
                  <c:v>271.00400000000002</c:v>
                </c:pt>
                <c:pt idx="545">
                  <c:v>269.29399999999998</c:v>
                </c:pt>
                <c:pt idx="546">
                  <c:v>263.53100000000001</c:v>
                </c:pt>
                <c:pt idx="547">
                  <c:v>267.99</c:v>
                </c:pt>
                <c:pt idx="548">
                  <c:v>267.49400000000003</c:v>
                </c:pt>
                <c:pt idx="549">
                  <c:v>272.33300000000003</c:v>
                </c:pt>
                <c:pt idx="550">
                  <c:v>274.80099999999999</c:v>
                </c:pt>
                <c:pt idx="551">
                  <c:v>277.76600000000002</c:v>
                </c:pt>
                <c:pt idx="552">
                  <c:v>279.95</c:v>
                </c:pt>
                <c:pt idx="553">
                  <c:v>281.178</c:v>
                </c:pt>
                <c:pt idx="554">
                  <c:v>284.79300000000001</c:v>
                </c:pt>
                <c:pt idx="555">
                  <c:v>286.79199999999997</c:v>
                </c:pt>
                <c:pt idx="556">
                  <c:v>293.79399999999998</c:v>
                </c:pt>
                <c:pt idx="557">
                  <c:v>292.15699999999998</c:v>
                </c:pt>
                <c:pt idx="558">
                  <c:v>288.19799999999998</c:v>
                </c:pt>
                <c:pt idx="559">
                  <c:v>293.81299999999999</c:v>
                </c:pt>
                <c:pt idx="560">
                  <c:v>296.03500000000003</c:v>
                </c:pt>
                <c:pt idx="561">
                  <c:v>291.86799999999999</c:v>
                </c:pt>
                <c:pt idx="562">
                  <c:v>327.18400000000003</c:v>
                </c:pt>
                <c:pt idx="563">
                  <c:v>332.62099999999998</c:v>
                </c:pt>
                <c:pt idx="564">
                  <c:v>326.32499999999999</c:v>
                </c:pt>
                <c:pt idx="565">
                  <c:v>330.596</c:v>
                </c:pt>
                <c:pt idx="566">
                  <c:v>324.22699999999998</c:v>
                </c:pt>
                <c:pt idx="567">
                  <c:v>321.74200000000002</c:v>
                </c:pt>
                <c:pt idx="568">
                  <c:v>326.02300000000002</c:v>
                </c:pt>
                <c:pt idx="569">
                  <c:v>337.60399999999998</c:v>
                </c:pt>
                <c:pt idx="570">
                  <c:v>335.68400000000003</c:v>
                </c:pt>
                <c:pt idx="571">
                  <c:v>337.86200000000002</c:v>
                </c:pt>
                <c:pt idx="572">
                  <c:v>330.03399999999999</c:v>
                </c:pt>
                <c:pt idx="573">
                  <c:v>325.98</c:v>
                </c:pt>
                <c:pt idx="574">
                  <c:v>324.28699999999998</c:v>
                </c:pt>
                <c:pt idx="575">
                  <c:v>327.47699999999998</c:v>
                </c:pt>
                <c:pt idx="576">
                  <c:v>337.73599999999999</c:v>
                </c:pt>
                <c:pt idx="577">
                  <c:v>340.42500000000001</c:v>
                </c:pt>
                <c:pt idx="578">
                  <c:v>340.786</c:v>
                </c:pt>
                <c:pt idx="579">
                  <c:v>343.91399999999999</c:v>
                </c:pt>
                <c:pt idx="580">
                  <c:v>345.10300000000001</c:v>
                </c:pt>
                <c:pt idx="581">
                  <c:v>345.44499999999999</c:v>
                </c:pt>
                <c:pt idx="582">
                  <c:v>344.41800000000001</c:v>
                </c:pt>
                <c:pt idx="583">
                  <c:v>352.47199999999998</c:v>
                </c:pt>
                <c:pt idx="584">
                  <c:v>341.05799999999999</c:v>
                </c:pt>
                <c:pt idx="585">
                  <c:v>343.93400000000003</c:v>
                </c:pt>
                <c:pt idx="586">
                  <c:v>331.88499999999999</c:v>
                </c:pt>
                <c:pt idx="587">
                  <c:v>334.97899999999998</c:v>
                </c:pt>
                <c:pt idx="588">
                  <c:v>332.45400000000001</c:v>
                </c:pt>
                <c:pt idx="589">
                  <c:v>332.45400000000001</c:v>
                </c:pt>
                <c:pt idx="590">
                  <c:v>334.74099999999999</c:v>
                </c:pt>
                <c:pt idx="591">
                  <c:v>337.577</c:v>
                </c:pt>
                <c:pt idx="592">
                  <c:v>339.35199999999998</c:v>
                </c:pt>
                <c:pt idx="593">
                  <c:v>336.92599999999999</c:v>
                </c:pt>
                <c:pt idx="594">
                  <c:v>334.67399999999998</c:v>
                </c:pt>
                <c:pt idx="595">
                  <c:v>338.767</c:v>
                </c:pt>
                <c:pt idx="596">
                  <c:v>335.36099999999999</c:v>
                </c:pt>
                <c:pt idx="597">
                  <c:v>334.31</c:v>
                </c:pt>
                <c:pt idx="598">
                  <c:v>329.27699999999999</c:v>
                </c:pt>
                <c:pt idx="599">
                  <c:v>324.57299999999998</c:v>
                </c:pt>
                <c:pt idx="600">
                  <c:v>328.22199999999998</c:v>
                </c:pt>
                <c:pt idx="601">
                  <c:v>331.34399999999999</c:v>
                </c:pt>
                <c:pt idx="602">
                  <c:v>326.16899999999998</c:v>
                </c:pt>
                <c:pt idx="603">
                  <c:v>324.178</c:v>
                </c:pt>
                <c:pt idx="604">
                  <c:v>322.50799999999998</c:v>
                </c:pt>
                <c:pt idx="605">
                  <c:v>320.12200000000001</c:v>
                </c:pt>
                <c:pt idx="606">
                  <c:v>324.18299999999999</c:v>
                </c:pt>
                <c:pt idx="607">
                  <c:v>326.72399999999999</c:v>
                </c:pt>
                <c:pt idx="608">
                  <c:v>331.70600000000002</c:v>
                </c:pt>
                <c:pt idx="609">
                  <c:v>331.70600000000002</c:v>
                </c:pt>
                <c:pt idx="610">
                  <c:v>325.30700000000002</c:v>
                </c:pt>
                <c:pt idx="611">
                  <c:v>319.47399999999999</c:v>
                </c:pt>
                <c:pt idx="612">
                  <c:v>315.51600000000002</c:v>
                </c:pt>
                <c:pt idx="613">
                  <c:v>325.15800000000002</c:v>
                </c:pt>
                <c:pt idx="614">
                  <c:v>283.49700000000001</c:v>
                </c:pt>
                <c:pt idx="615">
                  <c:v>284.09399999999999</c:v>
                </c:pt>
                <c:pt idx="616">
                  <c:v>280.63799999999998</c:v>
                </c:pt>
                <c:pt idx="617">
                  <c:v>284.59699999999998</c:v>
                </c:pt>
                <c:pt idx="618">
                  <c:v>283.50700000000001</c:v>
                </c:pt>
                <c:pt idx="619">
                  <c:v>291.96499999999997</c:v>
                </c:pt>
                <c:pt idx="620">
                  <c:v>293.892</c:v>
                </c:pt>
                <c:pt idx="621">
                  <c:v>293.33999999999997</c:v>
                </c:pt>
                <c:pt idx="622">
                  <c:v>291.92200000000003</c:v>
                </c:pt>
                <c:pt idx="623">
                  <c:v>289.96699999999998</c:v>
                </c:pt>
                <c:pt idx="624">
                  <c:v>294.25400000000002</c:v>
                </c:pt>
                <c:pt idx="625">
                  <c:v>295.19099999999997</c:v>
                </c:pt>
                <c:pt idx="626">
                  <c:v>295.762</c:v>
                </c:pt>
                <c:pt idx="627">
                  <c:v>293.33199999999999</c:v>
                </c:pt>
                <c:pt idx="628">
                  <c:v>293.15300000000002</c:v>
                </c:pt>
                <c:pt idx="629">
                  <c:v>293.15300000000002</c:v>
                </c:pt>
                <c:pt idx="630">
                  <c:v>293.375</c:v>
                </c:pt>
                <c:pt idx="631">
                  <c:v>293.94099999999997</c:v>
                </c:pt>
                <c:pt idx="632">
                  <c:v>290.35399999999998</c:v>
                </c:pt>
                <c:pt idx="633">
                  <c:v>293.86</c:v>
                </c:pt>
                <c:pt idx="634">
                  <c:v>292.33699999999999</c:v>
                </c:pt>
                <c:pt idx="635">
                  <c:v>288.71199999999999</c:v>
                </c:pt>
                <c:pt idx="636">
                  <c:v>286.59399999999999</c:v>
                </c:pt>
                <c:pt idx="637">
                  <c:v>290.10500000000002</c:v>
                </c:pt>
                <c:pt idx="638">
                  <c:v>284.13400000000001</c:v>
                </c:pt>
                <c:pt idx="639">
                  <c:v>276.67700000000002</c:v>
                </c:pt>
                <c:pt idx="640">
                  <c:v>284.25200000000001</c:v>
                </c:pt>
                <c:pt idx="641">
                  <c:v>271.55799999999999</c:v>
                </c:pt>
                <c:pt idx="642">
                  <c:v>272.57</c:v>
                </c:pt>
                <c:pt idx="643">
                  <c:v>269.72000000000003</c:v>
                </c:pt>
                <c:pt idx="644">
                  <c:v>272.14299999999997</c:v>
                </c:pt>
                <c:pt idx="645">
                  <c:v>271.58199999999999</c:v>
                </c:pt>
                <c:pt idx="646">
                  <c:v>268.52199999999999</c:v>
                </c:pt>
                <c:pt idx="647">
                  <c:v>266.45299999999997</c:v>
                </c:pt>
                <c:pt idx="648">
                  <c:v>265.89400000000001</c:v>
                </c:pt>
                <c:pt idx="649">
                  <c:v>260.85199999999998</c:v>
                </c:pt>
                <c:pt idx="650">
                  <c:v>251.96700000000001</c:v>
                </c:pt>
                <c:pt idx="651">
                  <c:v>250.45099999999999</c:v>
                </c:pt>
                <c:pt idx="652">
                  <c:v>250.435</c:v>
                </c:pt>
                <c:pt idx="653">
                  <c:v>251.03200000000001</c:v>
                </c:pt>
                <c:pt idx="654">
                  <c:v>255.53200000000001</c:v>
                </c:pt>
                <c:pt idx="655">
                  <c:v>248.517</c:v>
                </c:pt>
                <c:pt idx="656">
                  <c:v>238.60599999999999</c:v>
                </c:pt>
                <c:pt idx="657">
                  <c:v>245.02799999999999</c:v>
                </c:pt>
                <c:pt idx="658">
                  <c:v>245.24199999999999</c:v>
                </c:pt>
                <c:pt idx="659">
                  <c:v>241.054</c:v>
                </c:pt>
                <c:pt idx="660">
                  <c:v>235.512</c:v>
                </c:pt>
                <c:pt idx="661">
                  <c:v>241.08099999999999</c:v>
                </c:pt>
                <c:pt idx="662">
                  <c:v>243.59899999999999</c:v>
                </c:pt>
                <c:pt idx="663">
                  <c:v>243.48699999999999</c:v>
                </c:pt>
                <c:pt idx="664">
                  <c:v>250.631</c:v>
                </c:pt>
                <c:pt idx="665">
                  <c:v>253.179</c:v>
                </c:pt>
                <c:pt idx="666">
                  <c:v>249.03700000000001</c:v>
                </c:pt>
                <c:pt idx="667">
                  <c:v>249.08199999999999</c:v>
                </c:pt>
                <c:pt idx="668">
                  <c:v>246.66200000000001</c:v>
                </c:pt>
                <c:pt idx="669">
                  <c:v>244.541</c:v>
                </c:pt>
                <c:pt idx="670">
                  <c:v>248.935</c:v>
                </c:pt>
                <c:pt idx="671">
                  <c:v>249.63499999999999</c:v>
                </c:pt>
                <c:pt idx="672">
                  <c:v>245.501</c:v>
                </c:pt>
                <c:pt idx="673">
                  <c:v>250.88399999999999</c:v>
                </c:pt>
                <c:pt idx="674">
                  <c:v>250.07599999999999</c:v>
                </c:pt>
                <c:pt idx="675">
                  <c:v>245.46899999999999</c:v>
                </c:pt>
                <c:pt idx="676">
                  <c:v>240.66</c:v>
                </c:pt>
                <c:pt idx="677">
                  <c:v>236.35400000000001</c:v>
                </c:pt>
                <c:pt idx="678">
                  <c:v>237.04499999999999</c:v>
                </c:pt>
                <c:pt idx="679">
                  <c:v>229.96199999999999</c:v>
                </c:pt>
                <c:pt idx="680">
                  <c:v>227.423</c:v>
                </c:pt>
                <c:pt idx="681">
                  <c:v>232.5</c:v>
                </c:pt>
                <c:pt idx="682">
                  <c:v>230.17099999999999</c:v>
                </c:pt>
                <c:pt idx="683">
                  <c:v>235.005</c:v>
                </c:pt>
                <c:pt idx="684">
                  <c:v>234.322</c:v>
                </c:pt>
                <c:pt idx="685">
                  <c:v>234.72200000000001</c:v>
                </c:pt>
                <c:pt idx="686">
                  <c:v>232.68799999999999</c:v>
                </c:pt>
                <c:pt idx="687">
                  <c:v>233.54900000000001</c:v>
                </c:pt>
                <c:pt idx="688">
                  <c:v>236.393</c:v>
                </c:pt>
                <c:pt idx="689">
                  <c:v>232.178</c:v>
                </c:pt>
                <c:pt idx="690">
                  <c:v>227.73500000000001</c:v>
                </c:pt>
                <c:pt idx="691">
                  <c:v>224.08099999999999</c:v>
                </c:pt>
                <c:pt idx="692">
                  <c:v>218.54499999999999</c:v>
                </c:pt>
                <c:pt idx="693">
                  <c:v>220.39099999999999</c:v>
                </c:pt>
                <c:pt idx="694">
                  <c:v>220.39099999999999</c:v>
                </c:pt>
                <c:pt idx="695">
                  <c:v>215.48</c:v>
                </c:pt>
                <c:pt idx="696">
                  <c:v>210.92</c:v>
                </c:pt>
                <c:pt idx="697">
                  <c:v>209.095</c:v>
                </c:pt>
                <c:pt idx="698">
                  <c:v>212.62100000000001</c:v>
                </c:pt>
                <c:pt idx="699">
                  <c:v>205.73400000000001</c:v>
                </c:pt>
                <c:pt idx="700">
                  <c:v>202.417</c:v>
                </c:pt>
                <c:pt idx="701">
                  <c:v>201.85900000000001</c:v>
                </c:pt>
                <c:pt idx="702">
                  <c:v>199.756</c:v>
                </c:pt>
                <c:pt idx="703">
                  <c:v>196.97</c:v>
                </c:pt>
                <c:pt idx="704">
                  <c:v>193.59700000000001</c:v>
                </c:pt>
                <c:pt idx="705">
                  <c:v>191.59800000000001</c:v>
                </c:pt>
              </c:numCache>
            </c:numRef>
          </c:val>
          <c:smooth val="0"/>
          <c:extLst>
            <c:ext xmlns:c16="http://schemas.microsoft.com/office/drawing/2014/chart" uri="{C3380CC4-5D6E-409C-BE32-E72D297353CC}">
              <c16:uniqueId val="{00000000-7C05-4062-8901-959CCCC822C5}"/>
            </c:ext>
          </c:extLst>
        </c:ser>
        <c:ser>
          <c:idx val="1"/>
          <c:order val="1"/>
          <c:tx>
            <c:strRef>
              <c:f>Sheet1!$C$1</c:f>
              <c:strCache>
                <c:ptCount val="1"/>
                <c:pt idx="0">
                  <c:v>Ռուսաստան (2026թ.)</c:v>
                </c:pt>
              </c:strCache>
            </c:strRef>
          </c:tx>
          <c:spPr>
            <a:ln w="28575" cap="rnd">
              <a:solidFill>
                <a:schemeClr val="accent2"/>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Sheet1!$C$2:$C$707</c:f>
              <c:numCache>
                <c:formatCode>_(* #,##0_);_(* \(#,##0\);_(* "-"??_);_(@_)</c:formatCode>
                <c:ptCount val="706"/>
                <c:pt idx="0">
                  <c:v>220.47</c:v>
                </c:pt>
                <c:pt idx="1">
                  <c:v>222.61600000000001</c:v>
                </c:pt>
                <c:pt idx="2">
                  <c:v>228.64</c:v>
                </c:pt>
                <c:pt idx="3">
                  <c:v>203.69300000000001</c:v>
                </c:pt>
                <c:pt idx="4">
                  <c:v>194.91399999999999</c:v>
                </c:pt>
                <c:pt idx="5">
                  <c:v>190.78800000000001</c:v>
                </c:pt>
                <c:pt idx="6">
                  <c:v>188.86799999999999</c:v>
                </c:pt>
                <c:pt idx="7">
                  <c:v>190.86099999999999</c:v>
                </c:pt>
                <c:pt idx="8">
                  <c:v>190.322</c:v>
                </c:pt>
                <c:pt idx="9">
                  <c:v>190.33799999999999</c:v>
                </c:pt>
                <c:pt idx="10">
                  <c:v>187.42599999999999</c:v>
                </c:pt>
                <c:pt idx="11">
                  <c:v>184.25200000000001</c:v>
                </c:pt>
                <c:pt idx="12">
                  <c:v>182.411</c:v>
                </c:pt>
                <c:pt idx="13">
                  <c:v>174.941</c:v>
                </c:pt>
                <c:pt idx="14">
                  <c:v>174.941</c:v>
                </c:pt>
                <c:pt idx="15">
                  <c:v>181.71899999999999</c:v>
                </c:pt>
                <c:pt idx="16">
                  <c:v>180.08799999999999</c:v>
                </c:pt>
                <c:pt idx="17">
                  <c:v>179.535</c:v>
                </c:pt>
                <c:pt idx="18">
                  <c:v>180.68899999999999</c:v>
                </c:pt>
                <c:pt idx="19">
                  <c:v>183.042</c:v>
                </c:pt>
                <c:pt idx="20">
                  <c:v>186.56100000000001</c:v>
                </c:pt>
                <c:pt idx="21">
                  <c:v>185.767</c:v>
                </c:pt>
                <c:pt idx="22">
                  <c:v>184.21299999999999</c:v>
                </c:pt>
                <c:pt idx="23">
                  <c:v>187.19800000000001</c:v>
                </c:pt>
                <c:pt idx="24">
                  <c:v>183.68899999999999</c:v>
                </c:pt>
                <c:pt idx="25">
                  <c:v>184.858</c:v>
                </c:pt>
                <c:pt idx="26">
                  <c:v>184.22399999999999</c:v>
                </c:pt>
                <c:pt idx="27">
                  <c:v>188.13</c:v>
                </c:pt>
                <c:pt idx="28">
                  <c:v>195.702</c:v>
                </c:pt>
                <c:pt idx="29">
                  <c:v>192.81</c:v>
                </c:pt>
                <c:pt idx="30">
                  <c:v>190.14099999999999</c:v>
                </c:pt>
                <c:pt idx="31">
                  <c:v>189.18299999999999</c:v>
                </c:pt>
                <c:pt idx="32">
                  <c:v>202.322</c:v>
                </c:pt>
                <c:pt idx="33">
                  <c:v>201.553</c:v>
                </c:pt>
                <c:pt idx="34">
                  <c:v>197.084</c:v>
                </c:pt>
                <c:pt idx="35">
                  <c:v>200.726</c:v>
                </c:pt>
                <c:pt idx="36">
                  <c:v>197.63399999999999</c:v>
                </c:pt>
                <c:pt idx="37">
                  <c:v>195.68</c:v>
                </c:pt>
                <c:pt idx="38">
                  <c:v>197.51300000000001</c:v>
                </c:pt>
                <c:pt idx="39">
                  <c:v>191.53700000000001</c:v>
                </c:pt>
                <c:pt idx="40">
                  <c:v>193.12</c:v>
                </c:pt>
                <c:pt idx="41">
                  <c:v>187.99199999999999</c:v>
                </c:pt>
                <c:pt idx="42">
                  <c:v>181.21299999999999</c:v>
                </c:pt>
                <c:pt idx="43">
                  <c:v>183.69399999999999</c:v>
                </c:pt>
                <c:pt idx="44">
                  <c:v>180.36199999999999</c:v>
                </c:pt>
                <c:pt idx="45">
                  <c:v>181.018</c:v>
                </c:pt>
                <c:pt idx="46">
                  <c:v>182.005</c:v>
                </c:pt>
                <c:pt idx="47">
                  <c:v>185.40299999999999</c:v>
                </c:pt>
                <c:pt idx="48">
                  <c:v>188.215</c:v>
                </c:pt>
                <c:pt idx="49">
                  <c:v>180.041</c:v>
                </c:pt>
                <c:pt idx="50">
                  <c:v>178.89400000000001</c:v>
                </c:pt>
                <c:pt idx="51">
                  <c:v>178.21700000000001</c:v>
                </c:pt>
                <c:pt idx="52">
                  <c:v>177.172</c:v>
                </c:pt>
                <c:pt idx="53">
                  <c:v>182.084</c:v>
                </c:pt>
                <c:pt idx="54">
                  <c:v>178.44300000000001</c:v>
                </c:pt>
                <c:pt idx="55">
                  <c:v>176.13499999999999</c:v>
                </c:pt>
                <c:pt idx="56">
                  <c:v>184.18899999999999</c:v>
                </c:pt>
                <c:pt idx="57">
                  <c:v>181.828</c:v>
                </c:pt>
                <c:pt idx="58">
                  <c:v>190.333</c:v>
                </c:pt>
                <c:pt idx="59">
                  <c:v>194.73</c:v>
                </c:pt>
                <c:pt idx="60">
                  <c:v>187.976</c:v>
                </c:pt>
                <c:pt idx="61">
                  <c:v>195.23500000000001</c:v>
                </c:pt>
                <c:pt idx="62">
                  <c:v>190.71199999999999</c:v>
                </c:pt>
                <c:pt idx="63">
                  <c:v>189.29400000000001</c:v>
                </c:pt>
                <c:pt idx="64">
                  <c:v>180.93299999999999</c:v>
                </c:pt>
                <c:pt idx="65">
                  <c:v>182.21700000000001</c:v>
                </c:pt>
                <c:pt idx="66">
                  <c:v>182.06700000000001</c:v>
                </c:pt>
                <c:pt idx="67">
                  <c:v>182.215</c:v>
                </c:pt>
                <c:pt idx="68">
                  <c:v>179.923</c:v>
                </c:pt>
                <c:pt idx="69">
                  <c:v>178.18299999999999</c:v>
                </c:pt>
                <c:pt idx="70">
                  <c:v>178.82300000000001</c:v>
                </c:pt>
                <c:pt idx="71">
                  <c:v>182.16900000000001</c:v>
                </c:pt>
                <c:pt idx="72">
                  <c:v>178.756</c:v>
                </c:pt>
                <c:pt idx="73">
                  <c:v>177.315</c:v>
                </c:pt>
                <c:pt idx="74">
                  <c:v>175.22</c:v>
                </c:pt>
                <c:pt idx="75">
                  <c:v>171.541</c:v>
                </c:pt>
                <c:pt idx="76">
                  <c:v>168.61500000000001</c:v>
                </c:pt>
                <c:pt idx="77">
                  <c:v>173.81899999999999</c:v>
                </c:pt>
                <c:pt idx="78">
                  <c:v>173.81899999999999</c:v>
                </c:pt>
                <c:pt idx="79">
                  <c:v>173.81899999999999</c:v>
                </c:pt>
                <c:pt idx="80">
                  <c:v>170.02600000000001</c:v>
                </c:pt>
                <c:pt idx="81">
                  <c:v>173.369</c:v>
                </c:pt>
                <c:pt idx="82">
                  <c:v>173.547</c:v>
                </c:pt>
                <c:pt idx="83">
                  <c:v>174.36600000000001</c:v>
                </c:pt>
                <c:pt idx="84">
                  <c:v>169.33099999999999</c:v>
                </c:pt>
                <c:pt idx="85">
                  <c:v>169.196</c:v>
                </c:pt>
                <c:pt idx="86">
                  <c:v>167.797</c:v>
                </c:pt>
                <c:pt idx="87">
                  <c:v>170.71199999999999</c:v>
                </c:pt>
                <c:pt idx="88">
                  <c:v>172.20400000000001</c:v>
                </c:pt>
                <c:pt idx="89">
                  <c:v>172.20400000000001</c:v>
                </c:pt>
                <c:pt idx="90">
                  <c:v>182.655</c:v>
                </c:pt>
                <c:pt idx="91">
                  <c:v>184.08600000000001</c:v>
                </c:pt>
                <c:pt idx="92">
                  <c:v>184.38</c:v>
                </c:pt>
                <c:pt idx="93">
                  <c:v>184.80099999999999</c:v>
                </c:pt>
                <c:pt idx="94">
                  <c:v>191.227</c:v>
                </c:pt>
                <c:pt idx="95">
                  <c:v>189.58500000000001</c:v>
                </c:pt>
                <c:pt idx="96">
                  <c:v>192.88</c:v>
                </c:pt>
                <c:pt idx="97">
                  <c:v>183.01900000000001</c:v>
                </c:pt>
                <c:pt idx="98">
                  <c:v>179.34899999999999</c:v>
                </c:pt>
                <c:pt idx="99">
                  <c:v>175.02600000000001</c:v>
                </c:pt>
                <c:pt idx="100">
                  <c:v>170.119</c:v>
                </c:pt>
                <c:pt idx="101">
                  <c:v>174.001</c:v>
                </c:pt>
                <c:pt idx="102">
                  <c:v>183.63300000000001</c:v>
                </c:pt>
                <c:pt idx="103">
                  <c:v>180.81</c:v>
                </c:pt>
                <c:pt idx="104">
                  <c:v>180.81</c:v>
                </c:pt>
                <c:pt idx="105">
                  <c:v>182.161</c:v>
                </c:pt>
                <c:pt idx="106">
                  <c:v>184.13399999999999</c:v>
                </c:pt>
                <c:pt idx="107">
                  <c:v>186.828</c:v>
                </c:pt>
                <c:pt idx="108">
                  <c:v>192.01900000000001</c:v>
                </c:pt>
                <c:pt idx="109">
                  <c:v>202.62299999999999</c:v>
                </c:pt>
                <c:pt idx="110">
                  <c:v>193.38399999999999</c:v>
                </c:pt>
                <c:pt idx="111">
                  <c:v>185.79900000000001</c:v>
                </c:pt>
                <c:pt idx="112">
                  <c:v>184.20400000000001</c:v>
                </c:pt>
                <c:pt idx="113">
                  <c:v>185.922</c:v>
                </c:pt>
                <c:pt idx="114">
                  <c:v>175.822</c:v>
                </c:pt>
                <c:pt idx="115">
                  <c:v>177.95500000000001</c:v>
                </c:pt>
                <c:pt idx="116">
                  <c:v>182.14400000000001</c:v>
                </c:pt>
                <c:pt idx="117">
                  <c:v>187.02099999999999</c:v>
                </c:pt>
                <c:pt idx="118">
                  <c:v>188.13</c:v>
                </c:pt>
                <c:pt idx="119">
                  <c:v>186.99</c:v>
                </c:pt>
                <c:pt idx="120">
                  <c:v>181.41900000000001</c:v>
                </c:pt>
                <c:pt idx="121">
                  <c:v>182.62899999999999</c:v>
                </c:pt>
                <c:pt idx="122">
                  <c:v>168.601</c:v>
                </c:pt>
                <c:pt idx="123">
                  <c:v>181.87</c:v>
                </c:pt>
                <c:pt idx="124">
                  <c:v>187.42500000000001</c:v>
                </c:pt>
                <c:pt idx="125">
                  <c:v>189.51499999999999</c:v>
                </c:pt>
                <c:pt idx="126">
                  <c:v>190.28399999999999</c:v>
                </c:pt>
                <c:pt idx="127">
                  <c:v>187.233</c:v>
                </c:pt>
                <c:pt idx="128">
                  <c:v>182.886</c:v>
                </c:pt>
                <c:pt idx="129">
                  <c:v>174.417</c:v>
                </c:pt>
                <c:pt idx="130">
                  <c:v>178.922</c:v>
                </c:pt>
                <c:pt idx="131">
                  <c:v>178.666</c:v>
                </c:pt>
                <c:pt idx="132">
                  <c:v>178.80799999999999</c:v>
                </c:pt>
                <c:pt idx="133">
                  <c:v>176.39400000000001</c:v>
                </c:pt>
                <c:pt idx="134">
                  <c:v>171.553</c:v>
                </c:pt>
                <c:pt idx="135">
                  <c:v>174.74700000000001</c:v>
                </c:pt>
                <c:pt idx="136">
                  <c:v>180.143</c:v>
                </c:pt>
                <c:pt idx="137">
                  <c:v>175.655</c:v>
                </c:pt>
                <c:pt idx="138">
                  <c:v>178.364</c:v>
                </c:pt>
                <c:pt idx="139">
                  <c:v>174.33799999999999</c:v>
                </c:pt>
                <c:pt idx="140">
                  <c:v>169.30500000000001</c:v>
                </c:pt>
                <c:pt idx="141">
                  <c:v>171.316</c:v>
                </c:pt>
                <c:pt idx="142">
                  <c:v>173.75200000000001</c:v>
                </c:pt>
                <c:pt idx="143">
                  <c:v>170.12100000000001</c:v>
                </c:pt>
                <c:pt idx="144">
                  <c:v>170.476</c:v>
                </c:pt>
                <c:pt idx="145">
                  <c:v>165.11199999999999</c:v>
                </c:pt>
                <c:pt idx="146">
                  <c:v>167.52199999999999</c:v>
                </c:pt>
                <c:pt idx="147">
                  <c:v>163.04599999999999</c:v>
                </c:pt>
                <c:pt idx="148">
                  <c:v>162.96899999999999</c:v>
                </c:pt>
                <c:pt idx="149">
                  <c:v>162.19399999999999</c:v>
                </c:pt>
                <c:pt idx="150">
                  <c:v>163</c:v>
                </c:pt>
                <c:pt idx="151">
                  <c:v>167.01499999999999</c:v>
                </c:pt>
                <c:pt idx="152">
                  <c:v>183.78899999999999</c:v>
                </c:pt>
                <c:pt idx="153">
                  <c:v>187.166</c:v>
                </c:pt>
                <c:pt idx="154">
                  <c:v>197.922</c:v>
                </c:pt>
                <c:pt idx="155">
                  <c:v>197.68</c:v>
                </c:pt>
                <c:pt idx="156">
                  <c:v>198.76400000000001</c:v>
                </c:pt>
                <c:pt idx="157">
                  <c:v>187.483</c:v>
                </c:pt>
                <c:pt idx="158">
                  <c:v>189.81399999999999</c:v>
                </c:pt>
                <c:pt idx="159">
                  <c:v>195.34100000000001</c:v>
                </c:pt>
                <c:pt idx="160">
                  <c:v>189.38800000000001</c:v>
                </c:pt>
                <c:pt idx="161">
                  <c:v>194.435</c:v>
                </c:pt>
                <c:pt idx="162">
                  <c:v>198.15899999999999</c:v>
                </c:pt>
                <c:pt idx="163">
                  <c:v>197.78299999999999</c:v>
                </c:pt>
                <c:pt idx="164">
                  <c:v>192.083</c:v>
                </c:pt>
                <c:pt idx="165">
                  <c:v>191.72300000000001</c:v>
                </c:pt>
                <c:pt idx="166">
                  <c:v>187.441</c:v>
                </c:pt>
                <c:pt idx="167">
                  <c:v>184.49799999999999</c:v>
                </c:pt>
                <c:pt idx="168">
                  <c:v>193.935</c:v>
                </c:pt>
                <c:pt idx="169">
                  <c:v>193.935</c:v>
                </c:pt>
                <c:pt idx="170">
                  <c:v>188.88</c:v>
                </c:pt>
                <c:pt idx="171">
                  <c:v>188.77199999999999</c:v>
                </c:pt>
                <c:pt idx="172">
                  <c:v>182.72800000000001</c:v>
                </c:pt>
                <c:pt idx="173">
                  <c:v>182.38800000000001</c:v>
                </c:pt>
                <c:pt idx="174">
                  <c:v>182.173</c:v>
                </c:pt>
                <c:pt idx="175">
                  <c:v>181.59899999999999</c:v>
                </c:pt>
                <c:pt idx="176">
                  <c:v>174.374</c:v>
                </c:pt>
                <c:pt idx="177">
                  <c:v>167.85900000000001</c:v>
                </c:pt>
                <c:pt idx="178">
                  <c:v>169.79499999999999</c:v>
                </c:pt>
                <c:pt idx="179">
                  <c:v>165.93199999999999</c:v>
                </c:pt>
                <c:pt idx="180">
                  <c:v>163.298</c:v>
                </c:pt>
                <c:pt idx="181">
                  <c:v>162.18100000000001</c:v>
                </c:pt>
                <c:pt idx="182">
                  <c:v>158.28</c:v>
                </c:pt>
                <c:pt idx="183">
                  <c:v>151.82</c:v>
                </c:pt>
                <c:pt idx="184">
                  <c:v>155.33099999999999</c:v>
                </c:pt>
                <c:pt idx="185">
                  <c:v>156.499</c:v>
                </c:pt>
                <c:pt idx="186">
                  <c:v>153.09200000000001</c:v>
                </c:pt>
                <c:pt idx="187">
                  <c:v>153.56399999999999</c:v>
                </c:pt>
                <c:pt idx="188">
                  <c:v>154.24700000000001</c:v>
                </c:pt>
                <c:pt idx="189">
                  <c:v>149.71600000000001</c:v>
                </c:pt>
                <c:pt idx="190">
                  <c:v>160.53200000000001</c:v>
                </c:pt>
                <c:pt idx="191">
                  <c:v>155.22800000000001</c:v>
                </c:pt>
                <c:pt idx="192">
                  <c:v>161.185</c:v>
                </c:pt>
                <c:pt idx="193">
                  <c:v>163.53800000000001</c:v>
                </c:pt>
                <c:pt idx="194">
                  <c:v>166.42099999999999</c:v>
                </c:pt>
                <c:pt idx="195">
                  <c:v>172.67599999999999</c:v>
                </c:pt>
                <c:pt idx="196">
                  <c:v>179.77</c:v>
                </c:pt>
                <c:pt idx="197">
                  <c:v>182.221</c:v>
                </c:pt>
                <c:pt idx="198">
                  <c:v>180.22900000000001</c:v>
                </c:pt>
                <c:pt idx="199">
                  <c:v>175.11199999999999</c:v>
                </c:pt>
                <c:pt idx="200">
                  <c:v>181.26300000000001</c:v>
                </c:pt>
                <c:pt idx="201">
                  <c:v>176.654</c:v>
                </c:pt>
                <c:pt idx="202">
                  <c:v>172.941</c:v>
                </c:pt>
                <c:pt idx="203">
                  <c:v>160.679</c:v>
                </c:pt>
                <c:pt idx="204">
                  <c:v>164.048</c:v>
                </c:pt>
                <c:pt idx="205">
                  <c:v>156.50299999999999</c:v>
                </c:pt>
                <c:pt idx="206">
                  <c:v>156.898</c:v>
                </c:pt>
                <c:pt idx="207">
                  <c:v>155.65799999999999</c:v>
                </c:pt>
                <c:pt idx="208">
                  <c:v>156.78800000000001</c:v>
                </c:pt>
                <c:pt idx="209">
                  <c:v>150.32599999999999</c:v>
                </c:pt>
                <c:pt idx="210">
                  <c:v>152.09</c:v>
                </c:pt>
                <c:pt idx="211">
                  <c:v>149.357</c:v>
                </c:pt>
                <c:pt idx="212">
                  <c:v>149.01599999999999</c:v>
                </c:pt>
                <c:pt idx="213">
                  <c:v>145.33099999999999</c:v>
                </c:pt>
                <c:pt idx="214">
                  <c:v>143.309</c:v>
                </c:pt>
                <c:pt idx="215">
                  <c:v>143.45099999999999</c:v>
                </c:pt>
                <c:pt idx="216">
                  <c:v>147.46700000000001</c:v>
                </c:pt>
                <c:pt idx="217">
                  <c:v>150.02000000000001</c:v>
                </c:pt>
                <c:pt idx="218">
                  <c:v>143.78800000000001</c:v>
                </c:pt>
                <c:pt idx="219">
                  <c:v>137.36500000000001</c:v>
                </c:pt>
                <c:pt idx="220">
                  <c:v>135.18600000000001</c:v>
                </c:pt>
                <c:pt idx="221">
                  <c:v>136.941</c:v>
                </c:pt>
                <c:pt idx="222">
                  <c:v>131.54300000000001</c:v>
                </c:pt>
                <c:pt idx="223">
                  <c:v>128.46700000000001</c:v>
                </c:pt>
                <c:pt idx="224">
                  <c:v>127.599</c:v>
                </c:pt>
                <c:pt idx="225">
                  <c:v>128.15</c:v>
                </c:pt>
                <c:pt idx="226">
                  <c:v>132.90899999999999</c:v>
                </c:pt>
                <c:pt idx="227">
                  <c:v>134.148</c:v>
                </c:pt>
                <c:pt idx="228">
                  <c:v>133.12299999999999</c:v>
                </c:pt>
                <c:pt idx="229">
                  <c:v>134.541</c:v>
                </c:pt>
                <c:pt idx="230">
                  <c:v>137.90700000000001</c:v>
                </c:pt>
                <c:pt idx="231">
                  <c:v>136.19900000000001</c:v>
                </c:pt>
                <c:pt idx="232">
                  <c:v>131.785</c:v>
                </c:pt>
                <c:pt idx="233">
                  <c:v>131.012</c:v>
                </c:pt>
                <c:pt idx="234">
                  <c:v>131.179</c:v>
                </c:pt>
                <c:pt idx="235">
                  <c:v>132.12799999999999</c:v>
                </c:pt>
                <c:pt idx="236">
                  <c:v>127.896</c:v>
                </c:pt>
                <c:pt idx="237">
                  <c:v>125.325</c:v>
                </c:pt>
                <c:pt idx="238">
                  <c:v>126.52</c:v>
                </c:pt>
                <c:pt idx="239">
                  <c:v>126.017</c:v>
                </c:pt>
                <c:pt idx="240">
                  <c:v>134.637</c:v>
                </c:pt>
                <c:pt idx="241">
                  <c:v>128.36500000000001</c:v>
                </c:pt>
                <c:pt idx="242">
                  <c:v>122.666</c:v>
                </c:pt>
                <c:pt idx="243">
                  <c:v>120.76</c:v>
                </c:pt>
                <c:pt idx="244">
                  <c:v>119.771</c:v>
                </c:pt>
                <c:pt idx="245">
                  <c:v>116.18300000000001</c:v>
                </c:pt>
                <c:pt idx="246">
                  <c:v>113.79</c:v>
                </c:pt>
                <c:pt idx="247">
                  <c:v>103.974</c:v>
                </c:pt>
                <c:pt idx="248">
                  <c:v>110.374</c:v>
                </c:pt>
                <c:pt idx="249">
                  <c:v>99.992000000000004</c:v>
                </c:pt>
                <c:pt idx="250">
                  <c:v>98.933000000000007</c:v>
                </c:pt>
                <c:pt idx="251">
                  <c:v>96.567999999999998</c:v>
                </c:pt>
                <c:pt idx="252">
                  <c:v>101.67100000000001</c:v>
                </c:pt>
                <c:pt idx="253">
                  <c:v>99.706000000000003</c:v>
                </c:pt>
                <c:pt idx="254">
                  <c:v>96.239000000000004</c:v>
                </c:pt>
                <c:pt idx="255">
                  <c:v>100.36799999999999</c:v>
                </c:pt>
                <c:pt idx="256">
                  <c:v>100.36799999999999</c:v>
                </c:pt>
                <c:pt idx="257">
                  <c:v>100.36799999999999</c:v>
                </c:pt>
                <c:pt idx="258">
                  <c:v>101.43</c:v>
                </c:pt>
                <c:pt idx="259">
                  <c:v>98.611999999999995</c:v>
                </c:pt>
                <c:pt idx="260">
                  <c:v>94.194000000000003</c:v>
                </c:pt>
                <c:pt idx="261">
                  <c:v>94.194000000000003</c:v>
                </c:pt>
                <c:pt idx="262">
                  <c:v>100.93600000000001</c:v>
                </c:pt>
                <c:pt idx="263">
                  <c:v>111.648</c:v>
                </c:pt>
                <c:pt idx="264">
                  <c:v>114.494</c:v>
                </c:pt>
                <c:pt idx="265">
                  <c:v>114.39</c:v>
                </c:pt>
                <c:pt idx="266">
                  <c:v>106.19199999999999</c:v>
                </c:pt>
                <c:pt idx="267">
                  <c:v>107.033</c:v>
                </c:pt>
                <c:pt idx="268">
                  <c:v>110.688</c:v>
                </c:pt>
                <c:pt idx="269">
                  <c:v>102.11199999999999</c:v>
                </c:pt>
                <c:pt idx="270">
                  <c:v>103.60599999999999</c:v>
                </c:pt>
                <c:pt idx="271">
                  <c:v>103.291</c:v>
                </c:pt>
                <c:pt idx="272">
                  <c:v>100.496</c:v>
                </c:pt>
                <c:pt idx="273">
                  <c:v>100.22199999999999</c:v>
                </c:pt>
                <c:pt idx="274">
                  <c:v>99.262</c:v>
                </c:pt>
                <c:pt idx="275">
                  <c:v>103.64100000000001</c:v>
                </c:pt>
                <c:pt idx="276">
                  <c:v>102.696</c:v>
                </c:pt>
                <c:pt idx="277">
                  <c:v>105.20099999999999</c:v>
                </c:pt>
                <c:pt idx="278">
                  <c:v>109.562</c:v>
                </c:pt>
                <c:pt idx="279">
                  <c:v>116.07899999999999</c:v>
                </c:pt>
                <c:pt idx="280">
                  <c:v>109.01900000000001</c:v>
                </c:pt>
                <c:pt idx="281">
                  <c:v>114.27</c:v>
                </c:pt>
                <c:pt idx="282">
                  <c:v>107.89</c:v>
                </c:pt>
                <c:pt idx="283">
                  <c:v>111.60299999999999</c:v>
                </c:pt>
                <c:pt idx="284">
                  <c:v>112.84399999999999</c:v>
                </c:pt>
                <c:pt idx="285">
                  <c:v>112.34099999999999</c:v>
                </c:pt>
                <c:pt idx="286">
                  <c:v>106.116</c:v>
                </c:pt>
                <c:pt idx="287">
                  <c:v>107.691</c:v>
                </c:pt>
                <c:pt idx="288">
                  <c:v>113.491</c:v>
                </c:pt>
                <c:pt idx="289">
                  <c:v>115.01900000000001</c:v>
                </c:pt>
                <c:pt idx="290">
                  <c:v>101.31100000000001</c:v>
                </c:pt>
                <c:pt idx="291">
                  <c:v>99.956999999999994</c:v>
                </c:pt>
                <c:pt idx="292">
                  <c:v>100.726</c:v>
                </c:pt>
                <c:pt idx="293">
                  <c:v>101.929</c:v>
                </c:pt>
                <c:pt idx="294">
                  <c:v>98.477000000000004</c:v>
                </c:pt>
                <c:pt idx="295">
                  <c:v>104.703</c:v>
                </c:pt>
                <c:pt idx="296">
                  <c:v>101.744</c:v>
                </c:pt>
                <c:pt idx="297">
                  <c:v>105.26</c:v>
                </c:pt>
                <c:pt idx="298">
                  <c:v>107.235</c:v>
                </c:pt>
                <c:pt idx="299">
                  <c:v>111.428</c:v>
                </c:pt>
                <c:pt idx="300">
                  <c:v>115.85899999999999</c:v>
                </c:pt>
                <c:pt idx="301">
                  <c:v>117.76</c:v>
                </c:pt>
                <c:pt idx="302">
                  <c:v>128.886</c:v>
                </c:pt>
                <c:pt idx="303">
                  <c:v>150.929</c:v>
                </c:pt>
                <c:pt idx="304">
                  <c:v>147.44300000000001</c:v>
                </c:pt>
                <c:pt idx="305">
                  <c:v>145.12</c:v>
                </c:pt>
                <c:pt idx="306">
                  <c:v>151.506</c:v>
                </c:pt>
                <c:pt idx="307">
                  <c:v>151.506</c:v>
                </c:pt>
                <c:pt idx="308">
                  <c:v>159.226</c:v>
                </c:pt>
                <c:pt idx="309">
                  <c:v>204.905</c:v>
                </c:pt>
                <c:pt idx="310">
                  <c:v>187.87100000000001</c:v>
                </c:pt>
                <c:pt idx="311">
                  <c:v>192.14</c:v>
                </c:pt>
                <c:pt idx="312">
                  <c:v>255.07400000000001</c:v>
                </c:pt>
                <c:pt idx="313">
                  <c:v>235.77500000000001</c:v>
                </c:pt>
                <c:pt idx="314">
                  <c:v>276.42700000000002</c:v>
                </c:pt>
                <c:pt idx="315">
                  <c:v>268.709</c:v>
                </c:pt>
                <c:pt idx="316">
                  <c:v>350.71800000000002</c:v>
                </c:pt>
                <c:pt idx="317">
                  <c:v>369.35700000000003</c:v>
                </c:pt>
                <c:pt idx="318">
                  <c:v>373.596</c:v>
                </c:pt>
                <c:pt idx="319">
                  <c:v>391.041</c:v>
                </c:pt>
                <c:pt idx="320">
                  <c:v>391.041</c:v>
                </c:pt>
                <c:pt idx="321">
                  <c:v>300.49799999999999</c:v>
                </c:pt>
                <c:pt idx="322">
                  <c:v>307.61399999999998</c:v>
                </c:pt>
                <c:pt idx="323">
                  <c:v>289.13</c:v>
                </c:pt>
                <c:pt idx="324">
                  <c:v>316.29300000000001</c:v>
                </c:pt>
                <c:pt idx="325">
                  <c:v>302.995</c:v>
                </c:pt>
                <c:pt idx="326">
                  <c:v>304.36200000000002</c:v>
                </c:pt>
                <c:pt idx="327">
                  <c:v>297.51</c:v>
                </c:pt>
                <c:pt idx="328">
                  <c:v>297.51</c:v>
                </c:pt>
                <c:pt idx="329">
                  <c:v>257.024</c:v>
                </c:pt>
                <c:pt idx="330">
                  <c:v>226.33099999999999</c:v>
                </c:pt>
                <c:pt idx="331">
                  <c:v>233.64099999999999</c:v>
                </c:pt>
                <c:pt idx="332">
                  <c:v>226.18899999999999</c:v>
                </c:pt>
                <c:pt idx="333">
                  <c:v>226.18899999999999</c:v>
                </c:pt>
                <c:pt idx="334">
                  <c:v>226.18899999999999</c:v>
                </c:pt>
                <c:pt idx="335">
                  <c:v>223.184</c:v>
                </c:pt>
                <c:pt idx="336">
                  <c:v>240.17099999999999</c:v>
                </c:pt>
                <c:pt idx="337">
                  <c:v>236.28700000000001</c:v>
                </c:pt>
                <c:pt idx="338">
                  <c:v>233.61699999999999</c:v>
                </c:pt>
                <c:pt idx="339">
                  <c:v>241.256</c:v>
                </c:pt>
                <c:pt idx="340">
                  <c:v>253.69</c:v>
                </c:pt>
                <c:pt idx="341">
                  <c:v>249.61199999999999</c:v>
                </c:pt>
                <c:pt idx="342">
                  <c:v>238.85400000000001</c:v>
                </c:pt>
                <c:pt idx="343">
                  <c:v>242.83600000000001</c:v>
                </c:pt>
                <c:pt idx="344">
                  <c:v>238.036</c:v>
                </c:pt>
                <c:pt idx="345">
                  <c:v>243.584</c:v>
                </c:pt>
                <c:pt idx="346">
                  <c:v>240.95099999999999</c:v>
                </c:pt>
                <c:pt idx="347">
                  <c:v>228.006</c:v>
                </c:pt>
                <c:pt idx="348">
                  <c:v>230.893</c:v>
                </c:pt>
                <c:pt idx="349">
                  <c:v>232.702</c:v>
                </c:pt>
                <c:pt idx="350">
                  <c:v>225.27600000000001</c:v>
                </c:pt>
                <c:pt idx="351">
                  <c:v>225.036</c:v>
                </c:pt>
                <c:pt idx="352">
                  <c:v>231.078</c:v>
                </c:pt>
                <c:pt idx="353">
                  <c:v>231.078</c:v>
                </c:pt>
                <c:pt idx="354">
                  <c:v>220.053</c:v>
                </c:pt>
                <c:pt idx="355">
                  <c:v>216.86699999999999</c:v>
                </c:pt>
                <c:pt idx="356">
                  <c:v>219.04400000000001</c:v>
                </c:pt>
                <c:pt idx="357">
                  <c:v>221.32400000000001</c:v>
                </c:pt>
                <c:pt idx="358">
                  <c:v>209.649</c:v>
                </c:pt>
                <c:pt idx="359">
                  <c:v>192.946</c:v>
                </c:pt>
                <c:pt idx="360">
                  <c:v>189.46899999999999</c:v>
                </c:pt>
                <c:pt idx="361">
                  <c:v>175.03200000000001</c:v>
                </c:pt>
                <c:pt idx="362">
                  <c:v>170.89</c:v>
                </c:pt>
                <c:pt idx="363">
                  <c:v>175.52099999999999</c:v>
                </c:pt>
                <c:pt idx="364">
                  <c:v>175.52099999999999</c:v>
                </c:pt>
                <c:pt idx="365">
                  <c:v>169.767</c:v>
                </c:pt>
                <c:pt idx="366">
                  <c:v>171.91300000000001</c:v>
                </c:pt>
                <c:pt idx="367">
                  <c:v>168.52</c:v>
                </c:pt>
                <c:pt idx="368">
                  <c:v>171.929</c:v>
                </c:pt>
                <c:pt idx="369">
                  <c:v>168.64</c:v>
                </c:pt>
                <c:pt idx="370">
                  <c:v>166.846</c:v>
                </c:pt>
                <c:pt idx="371">
                  <c:v>162.49700000000001</c:v>
                </c:pt>
                <c:pt idx="372">
                  <c:v>160.99100000000001</c:v>
                </c:pt>
                <c:pt idx="373">
                  <c:v>162.14099999999999</c:v>
                </c:pt>
                <c:pt idx="374">
                  <c:v>165.70099999999999</c:v>
                </c:pt>
                <c:pt idx="375">
                  <c:v>168.18700000000001</c:v>
                </c:pt>
                <c:pt idx="376">
                  <c:v>174.41300000000001</c:v>
                </c:pt>
                <c:pt idx="377">
                  <c:v>182.74100000000001</c:v>
                </c:pt>
                <c:pt idx="378">
                  <c:v>177.62899999999999</c:v>
                </c:pt>
                <c:pt idx="379">
                  <c:v>176.715</c:v>
                </c:pt>
                <c:pt idx="380">
                  <c:v>161.70699999999999</c:v>
                </c:pt>
                <c:pt idx="381">
                  <c:v>165.25800000000001</c:v>
                </c:pt>
                <c:pt idx="382">
                  <c:v>166.69399999999999</c:v>
                </c:pt>
                <c:pt idx="383">
                  <c:v>165.608</c:v>
                </c:pt>
                <c:pt idx="384">
                  <c:v>163.506</c:v>
                </c:pt>
                <c:pt idx="385">
                  <c:v>165.03200000000001</c:v>
                </c:pt>
                <c:pt idx="386">
                  <c:v>168.82900000000001</c:v>
                </c:pt>
                <c:pt idx="387">
                  <c:v>172.83199999999999</c:v>
                </c:pt>
                <c:pt idx="388">
                  <c:v>172.86</c:v>
                </c:pt>
                <c:pt idx="389">
                  <c:v>178.542</c:v>
                </c:pt>
                <c:pt idx="390">
                  <c:v>179.38399999999999</c:v>
                </c:pt>
                <c:pt idx="391">
                  <c:v>168.65</c:v>
                </c:pt>
                <c:pt idx="392">
                  <c:v>169.613</c:v>
                </c:pt>
                <c:pt idx="393">
                  <c:v>169.94900000000001</c:v>
                </c:pt>
                <c:pt idx="394">
                  <c:v>173.94399999999999</c:v>
                </c:pt>
                <c:pt idx="395">
                  <c:v>176.82499999999999</c:v>
                </c:pt>
                <c:pt idx="396">
                  <c:v>173.47300000000001</c:v>
                </c:pt>
                <c:pt idx="397">
                  <c:v>172.804</c:v>
                </c:pt>
                <c:pt idx="398">
                  <c:v>170.607</c:v>
                </c:pt>
                <c:pt idx="399">
                  <c:v>169.083</c:v>
                </c:pt>
                <c:pt idx="400">
                  <c:v>167.18</c:v>
                </c:pt>
                <c:pt idx="401">
                  <c:v>163.11600000000001</c:v>
                </c:pt>
                <c:pt idx="402">
                  <c:v>162.096</c:v>
                </c:pt>
                <c:pt idx="403">
                  <c:v>162.28800000000001</c:v>
                </c:pt>
                <c:pt idx="404">
                  <c:v>159.21899999999999</c:v>
                </c:pt>
                <c:pt idx="405">
                  <c:v>158.88399999999999</c:v>
                </c:pt>
                <c:pt idx="406">
                  <c:v>158.51300000000001</c:v>
                </c:pt>
                <c:pt idx="407">
                  <c:v>158.09800000000001</c:v>
                </c:pt>
                <c:pt idx="408">
                  <c:v>155.03700000000001</c:v>
                </c:pt>
                <c:pt idx="409">
                  <c:v>152.244</c:v>
                </c:pt>
                <c:pt idx="410">
                  <c:v>155.66800000000001</c:v>
                </c:pt>
                <c:pt idx="411">
                  <c:v>154.691</c:v>
                </c:pt>
                <c:pt idx="412">
                  <c:v>158.30000000000001</c:v>
                </c:pt>
                <c:pt idx="413">
                  <c:v>159.84800000000001</c:v>
                </c:pt>
                <c:pt idx="414">
                  <c:v>155.268</c:v>
                </c:pt>
                <c:pt idx="415">
                  <c:v>152.245</c:v>
                </c:pt>
                <c:pt idx="416">
                  <c:v>142.267</c:v>
                </c:pt>
                <c:pt idx="417">
                  <c:v>137.17400000000001</c:v>
                </c:pt>
                <c:pt idx="418">
                  <c:v>137.17400000000001</c:v>
                </c:pt>
                <c:pt idx="419">
                  <c:v>127.146</c:v>
                </c:pt>
                <c:pt idx="420">
                  <c:v>130.64599999999999</c:v>
                </c:pt>
                <c:pt idx="421">
                  <c:v>129.95599999999999</c:v>
                </c:pt>
                <c:pt idx="422">
                  <c:v>131.44</c:v>
                </c:pt>
                <c:pt idx="423">
                  <c:v>136.256</c:v>
                </c:pt>
                <c:pt idx="424">
                  <c:v>149.66</c:v>
                </c:pt>
                <c:pt idx="425">
                  <c:v>143.90199999999999</c:v>
                </c:pt>
                <c:pt idx="426">
                  <c:v>146.75899999999999</c:v>
                </c:pt>
                <c:pt idx="427">
                  <c:v>152.072</c:v>
                </c:pt>
                <c:pt idx="428">
                  <c:v>150.10300000000001</c:v>
                </c:pt>
                <c:pt idx="429">
                  <c:v>150.47200000000001</c:v>
                </c:pt>
                <c:pt idx="430">
                  <c:v>150.21899999999999</c:v>
                </c:pt>
                <c:pt idx="431">
                  <c:v>153.64500000000001</c:v>
                </c:pt>
                <c:pt idx="432">
                  <c:v>151.291</c:v>
                </c:pt>
                <c:pt idx="433">
                  <c:v>151.63999999999999</c:v>
                </c:pt>
                <c:pt idx="434">
                  <c:v>151.63999999999999</c:v>
                </c:pt>
                <c:pt idx="435">
                  <c:v>148.99299999999999</c:v>
                </c:pt>
                <c:pt idx="436">
                  <c:v>152.291</c:v>
                </c:pt>
                <c:pt idx="437">
                  <c:v>155.12799999999999</c:v>
                </c:pt>
                <c:pt idx="438">
                  <c:v>152.88999999999999</c:v>
                </c:pt>
                <c:pt idx="439">
                  <c:v>158.11799999999999</c:v>
                </c:pt>
                <c:pt idx="440">
                  <c:v>160.483</c:v>
                </c:pt>
                <c:pt idx="441">
                  <c:v>157.26599999999999</c:v>
                </c:pt>
                <c:pt idx="442">
                  <c:v>157.34700000000001</c:v>
                </c:pt>
                <c:pt idx="443">
                  <c:v>159.75700000000001</c:v>
                </c:pt>
                <c:pt idx="444">
                  <c:v>157.69</c:v>
                </c:pt>
                <c:pt idx="445">
                  <c:v>154.07599999999999</c:v>
                </c:pt>
                <c:pt idx="446">
                  <c:v>150.214</c:v>
                </c:pt>
                <c:pt idx="447">
                  <c:v>151.02699999999999</c:v>
                </c:pt>
                <c:pt idx="448">
                  <c:v>150.65899999999999</c:v>
                </c:pt>
                <c:pt idx="449">
                  <c:v>156.999</c:v>
                </c:pt>
                <c:pt idx="450">
                  <c:v>156.04300000000001</c:v>
                </c:pt>
                <c:pt idx="451">
                  <c:v>153.71100000000001</c:v>
                </c:pt>
                <c:pt idx="452">
                  <c:v>158.91999999999999</c:v>
                </c:pt>
                <c:pt idx="453">
                  <c:v>158.51900000000001</c:v>
                </c:pt>
                <c:pt idx="454">
                  <c:v>159.83500000000001</c:v>
                </c:pt>
                <c:pt idx="455">
                  <c:v>160.22499999999999</c:v>
                </c:pt>
                <c:pt idx="456">
                  <c:v>154.822</c:v>
                </c:pt>
                <c:pt idx="457">
                  <c:v>151.76900000000001</c:v>
                </c:pt>
                <c:pt idx="458">
                  <c:v>154.34299999999999</c:v>
                </c:pt>
                <c:pt idx="459">
                  <c:v>152.1</c:v>
                </c:pt>
                <c:pt idx="460">
                  <c:v>153.77799999999999</c:v>
                </c:pt>
                <c:pt idx="461">
                  <c:v>151.489</c:v>
                </c:pt>
                <c:pt idx="462">
                  <c:v>151.374</c:v>
                </c:pt>
                <c:pt idx="463">
                  <c:v>144.625</c:v>
                </c:pt>
                <c:pt idx="464">
                  <c:v>146.09200000000001</c:v>
                </c:pt>
                <c:pt idx="465">
                  <c:v>147.791</c:v>
                </c:pt>
                <c:pt idx="466">
                  <c:v>148.404</c:v>
                </c:pt>
                <c:pt idx="467">
                  <c:v>146.77600000000001</c:v>
                </c:pt>
                <c:pt idx="468">
                  <c:v>143.16499999999999</c:v>
                </c:pt>
                <c:pt idx="469">
                  <c:v>141.09</c:v>
                </c:pt>
                <c:pt idx="470">
                  <c:v>142.01400000000001</c:v>
                </c:pt>
                <c:pt idx="471">
                  <c:v>141.458</c:v>
                </c:pt>
                <c:pt idx="472">
                  <c:v>139.571</c:v>
                </c:pt>
                <c:pt idx="473">
                  <c:v>140.77799999999999</c:v>
                </c:pt>
                <c:pt idx="474">
                  <c:v>144.428</c:v>
                </c:pt>
                <c:pt idx="475">
                  <c:v>145.63499999999999</c:v>
                </c:pt>
                <c:pt idx="476">
                  <c:v>151.10900000000001</c:v>
                </c:pt>
                <c:pt idx="477">
                  <c:v>148.04</c:v>
                </c:pt>
                <c:pt idx="478">
                  <c:v>148.27799999999999</c:v>
                </c:pt>
                <c:pt idx="479">
                  <c:v>153.107</c:v>
                </c:pt>
                <c:pt idx="480">
                  <c:v>147.03299999999999</c:v>
                </c:pt>
                <c:pt idx="481">
                  <c:v>145.39500000000001</c:v>
                </c:pt>
                <c:pt idx="482">
                  <c:v>137.852</c:v>
                </c:pt>
                <c:pt idx="483">
                  <c:v>138.315</c:v>
                </c:pt>
                <c:pt idx="484">
                  <c:v>127.708</c:v>
                </c:pt>
                <c:pt idx="485">
                  <c:v>127.569</c:v>
                </c:pt>
                <c:pt idx="486">
                  <c:v>127.173</c:v>
                </c:pt>
                <c:pt idx="487">
                  <c:v>131.322</c:v>
                </c:pt>
                <c:pt idx="488">
                  <c:v>127.744</c:v>
                </c:pt>
                <c:pt idx="489">
                  <c:v>126.554</c:v>
                </c:pt>
                <c:pt idx="490">
                  <c:v>129.685</c:v>
                </c:pt>
                <c:pt idx="491">
                  <c:v>127.309</c:v>
                </c:pt>
                <c:pt idx="492">
                  <c:v>129.41499999999999</c:v>
                </c:pt>
                <c:pt idx="493">
                  <c:v>128.13499999999999</c:v>
                </c:pt>
                <c:pt idx="494">
                  <c:v>127.89400000000001</c:v>
                </c:pt>
                <c:pt idx="495">
                  <c:v>126.66200000000001</c:v>
                </c:pt>
                <c:pt idx="496">
                  <c:v>126.1</c:v>
                </c:pt>
                <c:pt idx="497">
                  <c:v>126.32299999999999</c:v>
                </c:pt>
                <c:pt idx="498">
                  <c:v>128.32</c:v>
                </c:pt>
                <c:pt idx="499">
                  <c:v>129.20400000000001</c:v>
                </c:pt>
                <c:pt idx="500">
                  <c:v>127.221</c:v>
                </c:pt>
                <c:pt idx="501">
                  <c:v>126.711</c:v>
                </c:pt>
                <c:pt idx="502">
                  <c:v>124.399</c:v>
                </c:pt>
                <c:pt idx="503">
                  <c:v>121.66800000000001</c:v>
                </c:pt>
                <c:pt idx="504">
                  <c:v>125.011</c:v>
                </c:pt>
                <c:pt idx="505">
                  <c:v>124.43300000000001</c:v>
                </c:pt>
                <c:pt idx="506">
                  <c:v>123.916</c:v>
                </c:pt>
                <c:pt idx="507">
                  <c:v>125.762</c:v>
                </c:pt>
                <c:pt idx="508">
                  <c:v>126.91800000000001</c:v>
                </c:pt>
                <c:pt idx="509">
                  <c:v>126.128</c:v>
                </c:pt>
                <c:pt idx="510">
                  <c:v>121.52200000000001</c:v>
                </c:pt>
                <c:pt idx="511">
                  <c:v>119.56100000000001</c:v>
                </c:pt>
                <c:pt idx="512">
                  <c:v>119.361</c:v>
                </c:pt>
                <c:pt idx="513">
                  <c:v>118.624</c:v>
                </c:pt>
                <c:pt idx="514">
                  <c:v>119.672</c:v>
                </c:pt>
                <c:pt idx="515">
                  <c:v>120.91800000000001</c:v>
                </c:pt>
                <c:pt idx="516">
                  <c:v>121.069</c:v>
                </c:pt>
                <c:pt idx="517">
                  <c:v>120.893</c:v>
                </c:pt>
                <c:pt idx="518">
                  <c:v>120.893</c:v>
                </c:pt>
                <c:pt idx="519">
                  <c:v>120.893</c:v>
                </c:pt>
                <c:pt idx="520">
                  <c:v>121.627</c:v>
                </c:pt>
                <c:pt idx="521">
                  <c:v>121.556</c:v>
                </c:pt>
                <c:pt idx="522">
                  <c:v>122.462</c:v>
                </c:pt>
                <c:pt idx="523">
                  <c:v>122.462</c:v>
                </c:pt>
                <c:pt idx="524">
                  <c:v>122.092</c:v>
                </c:pt>
                <c:pt idx="525">
                  <c:v>120.697</c:v>
                </c:pt>
                <c:pt idx="526">
                  <c:v>122.367</c:v>
                </c:pt>
                <c:pt idx="527">
                  <c:v>121.178</c:v>
                </c:pt>
                <c:pt idx="528">
                  <c:v>116.93</c:v>
                </c:pt>
                <c:pt idx="529">
                  <c:v>115.233</c:v>
                </c:pt>
                <c:pt idx="530">
                  <c:v>120.155</c:v>
                </c:pt>
                <c:pt idx="531">
                  <c:v>118.80200000000001</c:v>
                </c:pt>
                <c:pt idx="532">
                  <c:v>113.639</c:v>
                </c:pt>
                <c:pt idx="533">
                  <c:v>118.652</c:v>
                </c:pt>
                <c:pt idx="534">
                  <c:v>117.349</c:v>
                </c:pt>
                <c:pt idx="535">
                  <c:v>114.602</c:v>
                </c:pt>
                <c:pt idx="536">
                  <c:v>113.962</c:v>
                </c:pt>
                <c:pt idx="537">
                  <c:v>113.833</c:v>
                </c:pt>
                <c:pt idx="538">
                  <c:v>122.59</c:v>
                </c:pt>
                <c:pt idx="539">
                  <c:v>121.715</c:v>
                </c:pt>
                <c:pt idx="540">
                  <c:v>121.47199999999999</c:v>
                </c:pt>
                <c:pt idx="541">
                  <c:v>119.295</c:v>
                </c:pt>
                <c:pt idx="542">
                  <c:v>118.70099999999999</c:v>
                </c:pt>
                <c:pt idx="543">
                  <c:v>117.474</c:v>
                </c:pt>
                <c:pt idx="544">
                  <c:v>117.161</c:v>
                </c:pt>
                <c:pt idx="545">
                  <c:v>116.246</c:v>
                </c:pt>
                <c:pt idx="546">
                  <c:v>113.783</c:v>
                </c:pt>
                <c:pt idx="547">
                  <c:v>111.521</c:v>
                </c:pt>
                <c:pt idx="548">
                  <c:v>109.983</c:v>
                </c:pt>
                <c:pt idx="549">
                  <c:v>109.32899999999999</c:v>
                </c:pt>
                <c:pt idx="550">
                  <c:v>110.908</c:v>
                </c:pt>
                <c:pt idx="551">
                  <c:v>112.96299999999999</c:v>
                </c:pt>
                <c:pt idx="552">
                  <c:v>108.36199999999999</c:v>
                </c:pt>
                <c:pt idx="553">
                  <c:v>105.083</c:v>
                </c:pt>
                <c:pt idx="554">
                  <c:v>103.387</c:v>
                </c:pt>
                <c:pt idx="555">
                  <c:v>96.822000000000003</c:v>
                </c:pt>
                <c:pt idx="556">
                  <c:v>101.68</c:v>
                </c:pt>
                <c:pt idx="557">
                  <c:v>97.625</c:v>
                </c:pt>
                <c:pt idx="558">
                  <c:v>95.838999999999999</c:v>
                </c:pt>
                <c:pt idx="559">
                  <c:v>95.531000000000006</c:v>
                </c:pt>
                <c:pt idx="560">
                  <c:v>98.826999999999998</c:v>
                </c:pt>
                <c:pt idx="561">
                  <c:v>96.162000000000006</c:v>
                </c:pt>
                <c:pt idx="562">
                  <c:v>82.981999999999999</c:v>
                </c:pt>
                <c:pt idx="563">
                  <c:v>93.917000000000002</c:v>
                </c:pt>
                <c:pt idx="564">
                  <c:v>88.536000000000001</c:v>
                </c:pt>
                <c:pt idx="565">
                  <c:v>92.936999999999998</c:v>
                </c:pt>
                <c:pt idx="566">
                  <c:v>89.457999999999998</c:v>
                </c:pt>
                <c:pt idx="567">
                  <c:v>83.536000000000001</c:v>
                </c:pt>
                <c:pt idx="568">
                  <c:v>95.515000000000001</c:v>
                </c:pt>
                <c:pt idx="569">
                  <c:v>100.708</c:v>
                </c:pt>
                <c:pt idx="570">
                  <c:v>103.425</c:v>
                </c:pt>
                <c:pt idx="571">
                  <c:v>102.375</c:v>
                </c:pt>
                <c:pt idx="572">
                  <c:v>101.52800000000001</c:v>
                </c:pt>
                <c:pt idx="573">
                  <c:v>103.6</c:v>
                </c:pt>
                <c:pt idx="574">
                  <c:v>102.492</c:v>
                </c:pt>
                <c:pt idx="575">
                  <c:v>100.45099999999999</c:v>
                </c:pt>
                <c:pt idx="576">
                  <c:v>109.556</c:v>
                </c:pt>
                <c:pt idx="577">
                  <c:v>110.834</c:v>
                </c:pt>
                <c:pt idx="578">
                  <c:v>109.669</c:v>
                </c:pt>
                <c:pt idx="579">
                  <c:v>108.864</c:v>
                </c:pt>
                <c:pt idx="580">
                  <c:v>121.41800000000001</c:v>
                </c:pt>
                <c:pt idx="581">
                  <c:v>120.973</c:v>
                </c:pt>
                <c:pt idx="582">
                  <c:v>119.489</c:v>
                </c:pt>
                <c:pt idx="583">
                  <c:v>119.28400000000001</c:v>
                </c:pt>
                <c:pt idx="584">
                  <c:v>115.419</c:v>
                </c:pt>
                <c:pt idx="585">
                  <c:v>118.554</c:v>
                </c:pt>
                <c:pt idx="586">
                  <c:v>109.937</c:v>
                </c:pt>
                <c:pt idx="587">
                  <c:v>116.947</c:v>
                </c:pt>
                <c:pt idx="588">
                  <c:v>116.947</c:v>
                </c:pt>
                <c:pt idx="589">
                  <c:v>116.947</c:v>
                </c:pt>
                <c:pt idx="590">
                  <c:v>121.065</c:v>
                </c:pt>
                <c:pt idx="591">
                  <c:v>129.99799999999999</c:v>
                </c:pt>
                <c:pt idx="592">
                  <c:v>132.691</c:v>
                </c:pt>
                <c:pt idx="593">
                  <c:v>133.53399999999999</c:v>
                </c:pt>
                <c:pt idx="594">
                  <c:v>129.81700000000001</c:v>
                </c:pt>
                <c:pt idx="595">
                  <c:v>137.28</c:v>
                </c:pt>
                <c:pt idx="596">
                  <c:v>128.75299999999999</c:v>
                </c:pt>
                <c:pt idx="597">
                  <c:v>135.261</c:v>
                </c:pt>
                <c:pt idx="598">
                  <c:v>119.63500000000001</c:v>
                </c:pt>
                <c:pt idx="599">
                  <c:v>116.964</c:v>
                </c:pt>
                <c:pt idx="600">
                  <c:v>128.244</c:v>
                </c:pt>
                <c:pt idx="601">
                  <c:v>127.434</c:v>
                </c:pt>
                <c:pt idx="602">
                  <c:v>116.41800000000001</c:v>
                </c:pt>
                <c:pt idx="603">
                  <c:v>114.86</c:v>
                </c:pt>
                <c:pt idx="604">
                  <c:v>114.453</c:v>
                </c:pt>
                <c:pt idx="605">
                  <c:v>111.459</c:v>
                </c:pt>
                <c:pt idx="606">
                  <c:v>112.03100000000001</c:v>
                </c:pt>
                <c:pt idx="607">
                  <c:v>108.943</c:v>
                </c:pt>
                <c:pt idx="608">
                  <c:v>107.096</c:v>
                </c:pt>
                <c:pt idx="609">
                  <c:v>107.096</c:v>
                </c:pt>
                <c:pt idx="610">
                  <c:v>108.99299999999999</c:v>
                </c:pt>
                <c:pt idx="611">
                  <c:v>109.675</c:v>
                </c:pt>
                <c:pt idx="612">
                  <c:v>107.815</c:v>
                </c:pt>
                <c:pt idx="613">
                  <c:v>110.291</c:v>
                </c:pt>
                <c:pt idx="614">
                  <c:v>106.86</c:v>
                </c:pt>
                <c:pt idx="615">
                  <c:v>107.086</c:v>
                </c:pt>
                <c:pt idx="616">
                  <c:v>103.33499999999999</c:v>
                </c:pt>
                <c:pt idx="617">
                  <c:v>108.496</c:v>
                </c:pt>
                <c:pt idx="618">
                  <c:v>102.95399999999999</c:v>
                </c:pt>
                <c:pt idx="619">
                  <c:v>103.215</c:v>
                </c:pt>
                <c:pt idx="620">
                  <c:v>105.309</c:v>
                </c:pt>
                <c:pt idx="621">
                  <c:v>101.657</c:v>
                </c:pt>
                <c:pt idx="622">
                  <c:v>102.438</c:v>
                </c:pt>
                <c:pt idx="623">
                  <c:v>99.977999999999994</c:v>
                </c:pt>
                <c:pt idx="624">
                  <c:v>102.474</c:v>
                </c:pt>
                <c:pt idx="625">
                  <c:v>106.09</c:v>
                </c:pt>
                <c:pt idx="626">
                  <c:v>101.211</c:v>
                </c:pt>
                <c:pt idx="627">
                  <c:v>98.558999999999997</c:v>
                </c:pt>
                <c:pt idx="628">
                  <c:v>98.852999999999994</c:v>
                </c:pt>
                <c:pt idx="629">
                  <c:v>98.852999999999994</c:v>
                </c:pt>
                <c:pt idx="630">
                  <c:v>98.483000000000004</c:v>
                </c:pt>
                <c:pt idx="631">
                  <c:v>100.348</c:v>
                </c:pt>
                <c:pt idx="632">
                  <c:v>97.408000000000001</c:v>
                </c:pt>
                <c:pt idx="633">
                  <c:v>104.502</c:v>
                </c:pt>
                <c:pt idx="634">
                  <c:v>101.596</c:v>
                </c:pt>
                <c:pt idx="635">
                  <c:v>100.517</c:v>
                </c:pt>
                <c:pt idx="636">
                  <c:v>98.906999999999996</c:v>
                </c:pt>
                <c:pt idx="637">
                  <c:v>100.9</c:v>
                </c:pt>
                <c:pt idx="638">
                  <c:v>93.346999999999994</c:v>
                </c:pt>
                <c:pt idx="639">
                  <c:v>90.203000000000003</c:v>
                </c:pt>
                <c:pt idx="640">
                  <c:v>91.790999999999997</c:v>
                </c:pt>
                <c:pt idx="641">
                  <c:v>79.319000000000003</c:v>
                </c:pt>
                <c:pt idx="642">
                  <c:v>83.905000000000001</c:v>
                </c:pt>
                <c:pt idx="643">
                  <c:v>81.022999999999996</c:v>
                </c:pt>
                <c:pt idx="644">
                  <c:v>78.421999999999997</c:v>
                </c:pt>
                <c:pt idx="645">
                  <c:v>83.147999999999996</c:v>
                </c:pt>
                <c:pt idx="646">
                  <c:v>78.191999999999993</c:v>
                </c:pt>
                <c:pt idx="647">
                  <c:v>80.022000000000006</c:v>
                </c:pt>
                <c:pt idx="648">
                  <c:v>78.561999999999998</c:v>
                </c:pt>
                <c:pt idx="649">
                  <c:v>80.802999999999997</c:v>
                </c:pt>
                <c:pt idx="650">
                  <c:v>79.738</c:v>
                </c:pt>
                <c:pt idx="651">
                  <c:v>81.751000000000005</c:v>
                </c:pt>
                <c:pt idx="652">
                  <c:v>81.331000000000003</c:v>
                </c:pt>
                <c:pt idx="653">
                  <c:v>83.222999999999999</c:v>
                </c:pt>
                <c:pt idx="654">
                  <c:v>84.914000000000001</c:v>
                </c:pt>
                <c:pt idx="655">
                  <c:v>88.518000000000001</c:v>
                </c:pt>
                <c:pt idx="656">
                  <c:v>91.04</c:v>
                </c:pt>
                <c:pt idx="657">
                  <c:v>92.513999999999996</c:v>
                </c:pt>
                <c:pt idx="658">
                  <c:v>88.397000000000006</c:v>
                </c:pt>
                <c:pt idx="659">
                  <c:v>86.134</c:v>
                </c:pt>
                <c:pt idx="660">
                  <c:v>82.581000000000003</c:v>
                </c:pt>
                <c:pt idx="661">
                  <c:v>85.706000000000003</c:v>
                </c:pt>
                <c:pt idx="662">
                  <c:v>88.522000000000006</c:v>
                </c:pt>
                <c:pt idx="663">
                  <c:v>87.245999999999995</c:v>
                </c:pt>
                <c:pt idx="664">
                  <c:v>97.072000000000003</c:v>
                </c:pt>
                <c:pt idx="665">
                  <c:v>95.533000000000001</c:v>
                </c:pt>
                <c:pt idx="666">
                  <c:v>87.269000000000005</c:v>
                </c:pt>
                <c:pt idx="667">
                  <c:v>89.204999999999998</c:v>
                </c:pt>
                <c:pt idx="668">
                  <c:v>91.608999999999995</c:v>
                </c:pt>
                <c:pt idx="669">
                  <c:v>88.742000000000004</c:v>
                </c:pt>
                <c:pt idx="670">
                  <c:v>91.747</c:v>
                </c:pt>
                <c:pt idx="671">
                  <c:v>90.468999999999994</c:v>
                </c:pt>
                <c:pt idx="672">
                  <c:v>87.542000000000002</c:v>
                </c:pt>
                <c:pt idx="673">
                  <c:v>92.491</c:v>
                </c:pt>
                <c:pt idx="674">
                  <c:v>94.869</c:v>
                </c:pt>
                <c:pt idx="675">
                  <c:v>94.869</c:v>
                </c:pt>
                <c:pt idx="676">
                  <c:v>94.869</c:v>
                </c:pt>
                <c:pt idx="677">
                  <c:v>84.375</c:v>
                </c:pt>
                <c:pt idx="678">
                  <c:v>81.463999999999999</c:v>
                </c:pt>
                <c:pt idx="679">
                  <c:v>79.62</c:v>
                </c:pt>
                <c:pt idx="680">
                  <c:v>79.42</c:v>
                </c:pt>
                <c:pt idx="681">
                  <c:v>79.42</c:v>
                </c:pt>
                <c:pt idx="682">
                  <c:v>78.948999999999998</c:v>
                </c:pt>
                <c:pt idx="683">
                  <c:v>78.948999999999998</c:v>
                </c:pt>
                <c:pt idx="684">
                  <c:v>78.948999999999998</c:v>
                </c:pt>
                <c:pt idx="685">
                  <c:v>78.948999999999998</c:v>
                </c:pt>
                <c:pt idx="686">
                  <c:v>78.948999999999998</c:v>
                </c:pt>
                <c:pt idx="687">
                  <c:v>78.948999999999998</c:v>
                </c:pt>
                <c:pt idx="688">
                  <c:v>78.948999999999998</c:v>
                </c:pt>
                <c:pt idx="689">
                  <c:v>78.948999999999998</c:v>
                </c:pt>
                <c:pt idx="690">
                  <c:v>78.948999999999998</c:v>
                </c:pt>
                <c:pt idx="691">
                  <c:v>78.948999999999998</c:v>
                </c:pt>
                <c:pt idx="692">
                  <c:v>80.084000000000003</c:v>
                </c:pt>
                <c:pt idx="693">
                  <c:v>86.784000000000006</c:v>
                </c:pt>
                <c:pt idx="694">
                  <c:v>86.784000000000006</c:v>
                </c:pt>
                <c:pt idx="695">
                  <c:v>88.930999999999997</c:v>
                </c:pt>
                <c:pt idx="696">
                  <c:v>87.513999999999996</c:v>
                </c:pt>
                <c:pt idx="697">
                  <c:v>87.385000000000005</c:v>
                </c:pt>
                <c:pt idx="698">
                  <c:v>87.385000000000005</c:v>
                </c:pt>
                <c:pt idx="699">
                  <c:v>87.385000000000005</c:v>
                </c:pt>
                <c:pt idx="700">
                  <c:v>86.100999999999999</c:v>
                </c:pt>
                <c:pt idx="701">
                  <c:v>86.382999999999996</c:v>
                </c:pt>
                <c:pt idx="702">
                  <c:v>86.548000000000002</c:v>
                </c:pt>
                <c:pt idx="703">
                  <c:v>84.051000000000002</c:v>
                </c:pt>
                <c:pt idx="704">
                  <c:v>84.567999999999998</c:v>
                </c:pt>
                <c:pt idx="705">
                  <c:v>84.567999999999998</c:v>
                </c:pt>
              </c:numCache>
            </c:numRef>
          </c:val>
          <c:smooth val="0"/>
          <c:extLst>
            <c:ext xmlns:c16="http://schemas.microsoft.com/office/drawing/2014/chart" uri="{C3380CC4-5D6E-409C-BE32-E72D297353CC}">
              <c16:uniqueId val="{00000001-7C05-4062-8901-959CCCC822C5}"/>
            </c:ext>
          </c:extLst>
        </c:ser>
        <c:ser>
          <c:idx val="2"/>
          <c:order val="2"/>
          <c:tx>
            <c:strRef>
              <c:f>Sheet1!$D$1</c:f>
              <c:strCache>
                <c:ptCount val="1"/>
                <c:pt idx="0">
                  <c:v>Column2</c:v>
                </c:pt>
              </c:strCache>
            </c:strRef>
          </c:tx>
          <c:spPr>
            <a:ln w="28575" cap="rnd">
              <a:solidFill>
                <a:schemeClr val="accent3"/>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Sheet1!$D$2:$D$707</c:f>
            </c:numRef>
          </c:val>
          <c:smooth val="0"/>
          <c:extLst>
            <c:ext xmlns:c16="http://schemas.microsoft.com/office/drawing/2014/chart" uri="{C3380CC4-5D6E-409C-BE32-E72D297353CC}">
              <c16:uniqueId val="{00000002-7C05-4062-8901-959CCCC822C5}"/>
            </c:ext>
          </c:extLst>
        </c:ser>
        <c:ser>
          <c:idx val="3"/>
          <c:order val="3"/>
          <c:tx>
            <c:strRef>
              <c:f>Sheet1!$E$1</c:f>
              <c:strCache>
                <c:ptCount val="1"/>
                <c:pt idx="0">
                  <c:v>Հայաստան (2029թ.)</c:v>
                </c:pt>
              </c:strCache>
            </c:strRef>
          </c:tx>
          <c:spPr>
            <a:ln w="28575" cap="rnd">
              <a:solidFill>
                <a:srgbClr val="C00000"/>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Sheet1!$E$2:$E$707</c:f>
              <c:numCache>
                <c:formatCode>General</c:formatCode>
                <c:ptCount val="706"/>
                <c:pt idx="190" formatCode="_(* #,##0_);_(* \(#,##0\);_(* &quot;-&quot;??_);_(@_)">
                  <c:v>259.19799999999998</c:v>
                </c:pt>
                <c:pt idx="191" formatCode="_(* #,##0_);_(* \(#,##0\);_(* &quot;-&quot;??_);_(@_)">
                  <c:v>256.65100000000001</c:v>
                </c:pt>
                <c:pt idx="192" formatCode="_(* #,##0_);_(* \(#,##0\);_(* &quot;-&quot;??_);_(@_)">
                  <c:v>257.65199999999999</c:v>
                </c:pt>
                <c:pt idx="193" formatCode="_(* #,##0_);_(* \(#,##0\);_(* &quot;-&quot;??_);_(@_)">
                  <c:v>260.23899999999998</c:v>
                </c:pt>
                <c:pt idx="194" formatCode="_(* #,##0_);_(* \(#,##0\);_(* &quot;-&quot;??_);_(@_)">
                  <c:v>260.40100000000001</c:v>
                </c:pt>
                <c:pt idx="195" formatCode="_(* #,##0_);_(* \(#,##0\);_(* &quot;-&quot;??_);_(@_)">
                  <c:v>265.23700000000002</c:v>
                </c:pt>
                <c:pt idx="196" formatCode="_(* #,##0_);_(* \(#,##0\);_(* &quot;-&quot;??_);_(@_)">
                  <c:v>273.62299999999999</c:v>
                </c:pt>
                <c:pt idx="197" formatCode="_(* #,##0_);_(* \(#,##0\);_(* &quot;-&quot;??_);_(@_)">
                  <c:v>278.80599999999998</c:v>
                </c:pt>
                <c:pt idx="198" formatCode="_(* #,##0_);_(* \(#,##0\);_(* &quot;-&quot;??_);_(@_)">
                  <c:v>274.01799999999997</c:v>
                </c:pt>
                <c:pt idx="199" formatCode="_(* #,##0_);_(* \(#,##0\);_(* &quot;-&quot;??_);_(@_)">
                  <c:v>274.16399999999999</c:v>
                </c:pt>
                <c:pt idx="200" formatCode="_(* #,##0_);_(* \(#,##0\);_(* &quot;-&quot;??_);_(@_)">
                  <c:v>279.48500000000001</c:v>
                </c:pt>
                <c:pt idx="201" formatCode="_(* #,##0_);_(* \(#,##0\);_(* &quot;-&quot;??_);_(@_)">
                  <c:v>275.13</c:v>
                </c:pt>
                <c:pt idx="202" formatCode="_(* #,##0_);_(* \(#,##0\);_(* &quot;-&quot;??_);_(@_)">
                  <c:v>267.25900000000001</c:v>
                </c:pt>
                <c:pt idx="203" formatCode="_(* #,##0_);_(* \(#,##0\);_(* &quot;-&quot;??_);_(@_)">
                  <c:v>258.62799999999999</c:v>
                </c:pt>
                <c:pt idx="204" formatCode="_(* #,##0_);_(* \(#,##0\);_(* &quot;-&quot;??_);_(@_)">
                  <c:v>258.62799999999999</c:v>
                </c:pt>
                <c:pt idx="205" formatCode="_(* #,##0_);_(* \(#,##0\);_(* &quot;-&quot;??_);_(@_)">
                  <c:v>252.482</c:v>
                </c:pt>
                <c:pt idx="206" formatCode="_(* #,##0_);_(* \(#,##0\);_(* &quot;-&quot;??_);_(@_)">
                  <c:v>257.404</c:v>
                </c:pt>
                <c:pt idx="207" formatCode="_(* #,##0_);_(* \(#,##0\);_(* &quot;-&quot;??_);_(@_)">
                  <c:v>252.45500000000001</c:v>
                </c:pt>
                <c:pt idx="208" formatCode="_(* #,##0_);_(* \(#,##0\);_(* &quot;-&quot;??_);_(@_)">
                  <c:v>250.827</c:v>
                </c:pt>
                <c:pt idx="209" formatCode="_(* #,##0_);_(* \(#,##0\);_(* &quot;-&quot;??_);_(@_)">
                  <c:v>250.988</c:v>
                </c:pt>
                <c:pt idx="210" formatCode="_(* #,##0_);_(* \(#,##0\);_(* &quot;-&quot;??_);_(@_)">
                  <c:v>255.48099999999999</c:v>
                </c:pt>
                <c:pt idx="211" formatCode="_(* #,##0_);_(* \(#,##0\);_(* &quot;-&quot;??_);_(@_)">
                  <c:v>255.161</c:v>
                </c:pt>
                <c:pt idx="212" formatCode="_(* #,##0_);_(* \(#,##0\);_(* &quot;-&quot;??_);_(@_)">
                  <c:v>254.65899999999999</c:v>
                </c:pt>
                <c:pt idx="213" formatCode="_(* #,##0_);_(* \(#,##0\);_(* &quot;-&quot;??_);_(@_)">
                  <c:v>252.042</c:v>
                </c:pt>
                <c:pt idx="214" formatCode="_(* #,##0_);_(* \(#,##0\);_(* &quot;-&quot;??_);_(@_)">
                  <c:v>249.73500000000001</c:v>
                </c:pt>
                <c:pt idx="215" formatCode="_(* #,##0_);_(* \(#,##0\);_(* &quot;-&quot;??_);_(@_)">
                  <c:v>249.523</c:v>
                </c:pt>
                <c:pt idx="216" formatCode="_(* #,##0_);_(* \(#,##0\);_(* &quot;-&quot;??_);_(@_)">
                  <c:v>256.125</c:v>
                </c:pt>
                <c:pt idx="217" formatCode="_(* #,##0_);_(* \(#,##0\);_(* &quot;-&quot;??_);_(@_)">
                  <c:v>263.428</c:v>
                </c:pt>
                <c:pt idx="218" formatCode="_(* #,##0_);_(* \(#,##0\);_(* &quot;-&quot;??_);_(@_)">
                  <c:v>259.11599999999999</c:v>
                </c:pt>
                <c:pt idx="219" formatCode="_(* #,##0_);_(* \(#,##0\);_(* &quot;-&quot;??_);_(@_)">
                  <c:v>252.64099999999999</c:v>
                </c:pt>
                <c:pt idx="220" formatCode="_(* #,##0_);_(* \(#,##0\);_(* &quot;-&quot;??_);_(@_)">
                  <c:v>247.06399999999999</c:v>
                </c:pt>
                <c:pt idx="221" formatCode="_(* #,##0_);_(* \(#,##0\);_(* &quot;-&quot;??_);_(@_)">
                  <c:v>252.62100000000001</c:v>
                </c:pt>
                <c:pt idx="222" formatCode="_(* #,##0_);_(* \(#,##0\);_(* &quot;-&quot;??_);_(@_)">
                  <c:v>246.07400000000001</c:v>
                </c:pt>
                <c:pt idx="223" formatCode="_(* #,##0_);_(* \(#,##0\);_(* &quot;-&quot;??_);_(@_)">
                  <c:v>244.93899999999999</c:v>
                </c:pt>
                <c:pt idx="224" formatCode="_(* #,##0_);_(* \(#,##0\);_(* &quot;-&quot;??_);_(@_)">
                  <c:v>245.09899999999999</c:v>
                </c:pt>
                <c:pt idx="225" formatCode="_(* #,##0_);_(* \(#,##0\);_(* &quot;-&quot;??_);_(@_)">
                  <c:v>249.73500000000001</c:v>
                </c:pt>
                <c:pt idx="226" formatCode="_(* #,##0_);_(* \(#,##0\);_(* &quot;-&quot;??_);_(@_)">
                  <c:v>253.48</c:v>
                </c:pt>
                <c:pt idx="227" formatCode="_(* #,##0_);_(* \(#,##0\);_(* &quot;-&quot;??_);_(@_)">
                  <c:v>254.90199999999999</c:v>
                </c:pt>
                <c:pt idx="228" formatCode="_(* #,##0_);_(* \(#,##0\);_(* &quot;-&quot;??_);_(@_)">
                  <c:v>249.90299999999999</c:v>
                </c:pt>
                <c:pt idx="229" formatCode="_(* #,##0_);_(* \(#,##0\);_(* &quot;-&quot;??_);_(@_)">
                  <c:v>251.71</c:v>
                </c:pt>
                <c:pt idx="230" formatCode="_(* #,##0_);_(* \(#,##0\);_(* &quot;-&quot;??_);_(@_)">
                  <c:v>255.44200000000001</c:v>
                </c:pt>
                <c:pt idx="231" formatCode="_(* #,##0_);_(* \(#,##0\);_(* &quot;-&quot;??_);_(@_)">
                  <c:v>255.15199999999999</c:v>
                </c:pt>
                <c:pt idx="232" formatCode="_(* #,##0_);_(* \(#,##0\);_(* &quot;-&quot;??_);_(@_)">
                  <c:v>252.173</c:v>
                </c:pt>
                <c:pt idx="233" formatCode="_(* #,##0_);_(* \(#,##0\);_(* &quot;-&quot;??_);_(@_)">
                  <c:v>246.83</c:v>
                </c:pt>
                <c:pt idx="234" formatCode="_(* #,##0_);_(* \(#,##0\);_(* &quot;-&quot;??_);_(@_)">
                  <c:v>244.12799999999999</c:v>
                </c:pt>
                <c:pt idx="235" formatCode="_(* #,##0_);_(* \(#,##0\);_(* &quot;-&quot;??_);_(@_)">
                  <c:v>243.922</c:v>
                </c:pt>
                <c:pt idx="236" formatCode="_(* #,##0_);_(* \(#,##0\);_(* &quot;-&quot;??_);_(@_)">
                  <c:v>240.816</c:v>
                </c:pt>
                <c:pt idx="237" formatCode="_(* #,##0_);_(* \(#,##0\);_(* &quot;-&quot;??_);_(@_)">
                  <c:v>236.803</c:v>
                </c:pt>
                <c:pt idx="238" formatCode="_(* #,##0_);_(* \(#,##0\);_(* &quot;-&quot;??_);_(@_)">
                  <c:v>234.91800000000001</c:v>
                </c:pt>
                <c:pt idx="239" formatCode="_(* #,##0_);_(* \(#,##0\);_(* &quot;-&quot;??_);_(@_)">
                  <c:v>235.54300000000001</c:v>
                </c:pt>
                <c:pt idx="240" formatCode="_(* #,##0_);_(* \(#,##0\);_(* &quot;-&quot;??_);_(@_)">
                  <c:v>245.68799999999999</c:v>
                </c:pt>
                <c:pt idx="241" formatCode="_(* #,##0_);_(* \(#,##0\);_(* &quot;-&quot;??_);_(@_)">
                  <c:v>238.10599999999999</c:v>
                </c:pt>
                <c:pt idx="242" formatCode="_(* #,##0_);_(* \(#,##0\);_(* &quot;-&quot;??_);_(@_)">
                  <c:v>234.346</c:v>
                </c:pt>
                <c:pt idx="243" formatCode="_(* #,##0_);_(* \(#,##0\);_(* &quot;-&quot;??_);_(@_)">
                  <c:v>230.233</c:v>
                </c:pt>
                <c:pt idx="244" formatCode="_(* #,##0_);_(* \(#,##0\);_(* &quot;-&quot;??_);_(@_)">
                  <c:v>232.78200000000001</c:v>
                </c:pt>
                <c:pt idx="245" formatCode="_(* #,##0_);_(* \(#,##0\);_(* &quot;-&quot;??_);_(@_)">
                  <c:v>232.47</c:v>
                </c:pt>
                <c:pt idx="246" formatCode="_(* #,##0_);_(* \(#,##0\);_(* &quot;-&quot;??_);_(@_)">
                  <c:v>236.34</c:v>
                </c:pt>
                <c:pt idx="247" formatCode="_(* #,##0_);_(* \(#,##0\);_(* &quot;-&quot;??_);_(@_)">
                  <c:v>223.37700000000001</c:v>
                </c:pt>
                <c:pt idx="248" formatCode="_(* #,##0_);_(* \(#,##0\);_(* &quot;-&quot;??_);_(@_)">
                  <c:v>232.37899999999999</c:v>
                </c:pt>
                <c:pt idx="249" formatCode="_(* #,##0_);_(* \(#,##0\);_(* &quot;-&quot;??_);_(@_)">
                  <c:v>224.751</c:v>
                </c:pt>
                <c:pt idx="250" formatCode="_(* #,##0_);_(* \(#,##0\);_(* &quot;-&quot;??_);_(@_)">
                  <c:v>220.03800000000001</c:v>
                </c:pt>
                <c:pt idx="251" formatCode="_(* #,##0_);_(* \(#,##0\);_(* &quot;-&quot;??_);_(@_)">
                  <c:v>218.66</c:v>
                </c:pt>
                <c:pt idx="252" formatCode="_(* #,##0_);_(* \(#,##0\);_(* &quot;-&quot;??_);_(@_)">
                  <c:v>216.81899999999999</c:v>
                </c:pt>
                <c:pt idx="253" formatCode="_(* #,##0_);_(* \(#,##0\);_(* &quot;-&quot;??_);_(@_)">
                  <c:v>215.81800000000001</c:v>
                </c:pt>
                <c:pt idx="254" formatCode="_(* #,##0_);_(* \(#,##0\);_(* &quot;-&quot;??_);_(@_)">
                  <c:v>215.92699999999999</c:v>
                </c:pt>
                <c:pt idx="255" formatCode="_(* #,##0_);_(* \(#,##0\);_(* &quot;-&quot;??_);_(@_)">
                  <c:v>217.625</c:v>
                </c:pt>
                <c:pt idx="256" formatCode="_(* #,##0_);_(* \(#,##0\);_(* &quot;-&quot;??_);_(@_)">
                  <c:v>217.625</c:v>
                </c:pt>
                <c:pt idx="257" formatCode="_(* #,##0_);_(* \(#,##0\);_(* &quot;-&quot;??_);_(@_)">
                  <c:v>217.625</c:v>
                </c:pt>
                <c:pt idx="258" formatCode="_(* #,##0_);_(* \(#,##0\);_(* &quot;-&quot;??_);_(@_)">
                  <c:v>219.49299999999999</c:v>
                </c:pt>
                <c:pt idx="259" formatCode="_(* #,##0_);_(* \(#,##0\);_(* &quot;-&quot;??_);_(@_)">
                  <c:v>220.79</c:v>
                </c:pt>
                <c:pt idx="260" formatCode="_(* #,##0_);_(* \(#,##0\);_(* &quot;-&quot;??_);_(@_)">
                  <c:v>215.73500000000001</c:v>
                </c:pt>
                <c:pt idx="261" formatCode="_(* #,##0_);_(* \(#,##0\);_(* &quot;-&quot;??_);_(@_)">
                  <c:v>215.73500000000001</c:v>
                </c:pt>
                <c:pt idx="262" formatCode="_(* #,##0_);_(* \(#,##0\);_(* &quot;-&quot;??_);_(@_)">
                  <c:v>218.01599999999999</c:v>
                </c:pt>
                <c:pt idx="263" formatCode="_(* #,##0_);_(* \(#,##0\);_(* &quot;-&quot;??_);_(@_)">
                  <c:v>227.416</c:v>
                </c:pt>
                <c:pt idx="264" formatCode="_(* #,##0_);_(* \(#,##0\);_(* &quot;-&quot;??_);_(@_)">
                  <c:v>227.48</c:v>
                </c:pt>
                <c:pt idx="265" formatCode="_(* #,##0_);_(* \(#,##0\);_(* &quot;-&quot;??_);_(@_)">
                  <c:v>225.864</c:v>
                </c:pt>
                <c:pt idx="266" formatCode="_(* #,##0_);_(* \(#,##0\);_(* &quot;-&quot;??_);_(@_)">
                  <c:v>212.47900000000001</c:v>
                </c:pt>
                <c:pt idx="267" formatCode="_(* #,##0_);_(* \(#,##0\);_(* &quot;-&quot;??_);_(@_)">
                  <c:v>213.59200000000001</c:v>
                </c:pt>
                <c:pt idx="268" formatCode="_(* #,##0_);_(* \(#,##0\);_(* &quot;-&quot;??_);_(@_)">
                  <c:v>212.102</c:v>
                </c:pt>
                <c:pt idx="269" formatCode="_(* #,##0_);_(* \(#,##0\);_(* &quot;-&quot;??_);_(@_)">
                  <c:v>210.18799999999999</c:v>
                </c:pt>
                <c:pt idx="270" formatCode="_(* #,##0_);_(* \(#,##0\);_(* &quot;-&quot;??_);_(@_)">
                  <c:v>208.06100000000001</c:v>
                </c:pt>
                <c:pt idx="271" formatCode="_(* #,##0_);_(* \(#,##0\);_(* &quot;-&quot;??_);_(@_)">
                  <c:v>210.995</c:v>
                </c:pt>
                <c:pt idx="272" formatCode="_(* #,##0_);_(* \(#,##0\);_(* &quot;-&quot;??_);_(@_)">
                  <c:v>200.47</c:v>
                </c:pt>
                <c:pt idx="273" formatCode="_(* #,##0_);_(* \(#,##0\);_(* &quot;-&quot;??_);_(@_)">
                  <c:v>201.64599999999999</c:v>
                </c:pt>
                <c:pt idx="274" formatCode="_(* #,##0_);_(* \(#,##0\);_(* &quot;-&quot;??_);_(@_)">
                  <c:v>202.673</c:v>
                </c:pt>
                <c:pt idx="275" formatCode="_(* #,##0_);_(* \(#,##0\);_(* &quot;-&quot;??_);_(@_)">
                  <c:v>206.327</c:v>
                </c:pt>
                <c:pt idx="276" formatCode="_(* #,##0_);_(* \(#,##0\);_(* &quot;-&quot;??_);_(@_)">
                  <c:v>207.60599999999999</c:v>
                </c:pt>
                <c:pt idx="277" formatCode="_(* #,##0_);_(* \(#,##0\);_(* &quot;-&quot;??_);_(@_)">
                  <c:v>210.655</c:v>
                </c:pt>
                <c:pt idx="278" formatCode="_(* #,##0_);_(* \(#,##0\);_(* &quot;-&quot;??_);_(@_)">
                  <c:v>216.11</c:v>
                </c:pt>
                <c:pt idx="279" formatCode="_(* #,##0_);_(* \(#,##0\);_(* &quot;-&quot;??_);_(@_)">
                  <c:v>226.17699999999999</c:v>
                </c:pt>
                <c:pt idx="280" formatCode="_(* #,##0_);_(* \(#,##0\);_(* &quot;-&quot;??_);_(@_)">
                  <c:v>219.88</c:v>
                </c:pt>
                <c:pt idx="281" formatCode="_(* #,##0_);_(* \(#,##0\);_(* &quot;-&quot;??_);_(@_)">
                  <c:v>226.971</c:v>
                </c:pt>
                <c:pt idx="282" formatCode="_(* #,##0_);_(* \(#,##0\);_(* &quot;-&quot;??_);_(@_)">
                  <c:v>226.643</c:v>
                </c:pt>
                <c:pt idx="283" formatCode="_(* #,##0_);_(* \(#,##0\);_(* &quot;-&quot;??_);_(@_)">
                  <c:v>233.95</c:v>
                </c:pt>
                <c:pt idx="284" formatCode="_(* #,##0_);_(* \(#,##0\);_(* &quot;-&quot;??_);_(@_)">
                  <c:v>229.86500000000001</c:v>
                </c:pt>
                <c:pt idx="285" formatCode="_(* #,##0_);_(* \(#,##0\);_(* &quot;-&quot;??_);_(@_)">
                  <c:v>224.58600000000001</c:v>
                </c:pt>
                <c:pt idx="286" formatCode="_(* #,##0_);_(* \(#,##0\);_(* &quot;-&quot;??_);_(@_)">
                  <c:v>219.608</c:v>
                </c:pt>
                <c:pt idx="287" formatCode="_(* #,##0_);_(* \(#,##0\);_(* &quot;-&quot;??_);_(@_)">
                  <c:v>218.321</c:v>
                </c:pt>
                <c:pt idx="288" formatCode="_(* #,##0_);_(* \(#,##0\);_(* &quot;-&quot;??_);_(@_)">
                  <c:v>223.73099999999999</c:v>
                </c:pt>
                <c:pt idx="289" formatCode="_(* #,##0_);_(* \(#,##0\);_(* &quot;-&quot;??_);_(@_)">
                  <c:v>226.251</c:v>
                </c:pt>
                <c:pt idx="290" formatCode="_(* #,##0_);_(* \(#,##0\);_(* &quot;-&quot;??_);_(@_)">
                  <c:v>221.453</c:v>
                </c:pt>
                <c:pt idx="291" formatCode="_(* #,##0_);_(* \(#,##0\);_(* &quot;-&quot;??_);_(@_)">
                  <c:v>217.792</c:v>
                </c:pt>
                <c:pt idx="292" formatCode="_(* #,##0_);_(* \(#,##0\);_(* &quot;-&quot;??_);_(@_)">
                  <c:v>219.74100000000001</c:v>
                </c:pt>
                <c:pt idx="293" formatCode="_(* #,##0_);_(* \(#,##0\);_(* &quot;-&quot;??_);_(@_)">
                  <c:v>219.238</c:v>
                </c:pt>
                <c:pt idx="294" formatCode="_(* #,##0_);_(* \(#,##0\);_(* &quot;-&quot;??_);_(@_)">
                  <c:v>217.83099999999999</c:v>
                </c:pt>
                <c:pt idx="295" formatCode="_(* #,##0_);_(* \(#,##0\);_(* &quot;-&quot;??_);_(@_)">
                  <c:v>220.51900000000001</c:v>
                </c:pt>
                <c:pt idx="296" formatCode="_(* #,##0_);_(* \(#,##0\);_(* &quot;-&quot;??_);_(@_)">
                  <c:v>218.62799999999999</c:v>
                </c:pt>
                <c:pt idx="297" formatCode="_(* #,##0_);_(* \(#,##0\);_(* &quot;-&quot;??_);_(@_)">
                  <c:v>219.792</c:v>
                </c:pt>
                <c:pt idx="298" formatCode="_(* #,##0_);_(* \(#,##0\);_(* &quot;-&quot;??_);_(@_)">
                  <c:v>223.03800000000001</c:v>
                </c:pt>
                <c:pt idx="299" formatCode="_(* #,##0_);_(* \(#,##0\);_(* &quot;-&quot;??_);_(@_)">
                  <c:v>235.584</c:v>
                </c:pt>
                <c:pt idx="300" formatCode="_(* #,##0_);_(* \(#,##0\);_(* &quot;-&quot;??_);_(@_)">
                  <c:v>237.24700000000001</c:v>
                </c:pt>
                <c:pt idx="301" formatCode="_(* #,##0_);_(* \(#,##0\);_(* &quot;-&quot;??_);_(@_)">
                  <c:v>237.27199999999999</c:v>
                </c:pt>
                <c:pt idx="302" formatCode="_(* #,##0_);_(* \(#,##0\);_(* &quot;-&quot;??_);_(@_)">
                  <c:v>253.74</c:v>
                </c:pt>
                <c:pt idx="303" formatCode="_(* #,##0_);_(* \(#,##0\);_(* &quot;-&quot;??_);_(@_)">
                  <c:v>282.02499999999998</c:v>
                </c:pt>
                <c:pt idx="304" formatCode="_(* #,##0_);_(* \(#,##0\);_(* &quot;-&quot;??_);_(@_)">
                  <c:v>280.02800000000002</c:v>
                </c:pt>
                <c:pt idx="305" formatCode="_(* #,##0_);_(* \(#,##0\);_(* &quot;-&quot;??_);_(@_)">
                  <c:v>273.78800000000001</c:v>
                </c:pt>
                <c:pt idx="306" formatCode="_(* #,##0_);_(* \(#,##0\);_(* &quot;-&quot;??_);_(@_)">
                  <c:v>270.24799999999999</c:v>
                </c:pt>
                <c:pt idx="307" formatCode="_(* #,##0_);_(* \(#,##0\);_(* &quot;-&quot;??_);_(@_)">
                  <c:v>271.43299999999999</c:v>
                </c:pt>
                <c:pt idx="308" formatCode="_(* #,##0_);_(* \(#,##0\);_(* &quot;-&quot;??_);_(@_)">
                  <c:v>282.71600000000001</c:v>
                </c:pt>
                <c:pt idx="309" formatCode="_(* #,##0_);_(* \(#,##0\);_(* &quot;-&quot;??_);_(@_)">
                  <c:v>361.85399999999998</c:v>
                </c:pt>
                <c:pt idx="310" formatCode="_(* #,##0_);_(* \(#,##0\);_(* &quot;-&quot;??_);_(@_)">
                  <c:v>346.03199999999998</c:v>
                </c:pt>
                <c:pt idx="311" formatCode="_(* #,##0_);_(* \(#,##0\);_(* &quot;-&quot;??_);_(@_)">
                  <c:v>349.685</c:v>
                </c:pt>
                <c:pt idx="312" formatCode="_(* #,##0_);_(* \(#,##0\);_(* &quot;-&quot;??_);_(@_)">
                  <c:v>398.47199999999998</c:v>
                </c:pt>
                <c:pt idx="313" formatCode="_(* #,##0_);_(* \(#,##0\);_(* &quot;-&quot;??_);_(@_)">
                  <c:v>373.23</c:v>
                </c:pt>
                <c:pt idx="314" formatCode="_(* #,##0_);_(* \(#,##0\);_(* &quot;-&quot;??_);_(@_)">
                  <c:v>401.25200000000001</c:v>
                </c:pt>
                <c:pt idx="315" formatCode="_(* #,##0_);_(* \(#,##0\);_(* &quot;-&quot;??_);_(@_)">
                  <c:v>401.57299999999998</c:v>
                </c:pt>
                <c:pt idx="316" formatCode="_(* #,##0_);_(* \(#,##0\);_(* &quot;-&quot;??_);_(@_)">
                  <c:v>481.52600000000001</c:v>
                </c:pt>
                <c:pt idx="317" formatCode="_(* #,##0_);_(* \(#,##0\);_(* &quot;-&quot;??_);_(@_)">
                  <c:v>499.471</c:v>
                </c:pt>
                <c:pt idx="318" formatCode="_(* #,##0_);_(* \(#,##0\);_(* &quot;-&quot;??_);_(@_)">
                  <c:v>512.904</c:v>
                </c:pt>
                <c:pt idx="319" formatCode="_(* #,##0_);_(* \(#,##0\);_(* &quot;-&quot;??_);_(@_)">
                  <c:v>539.40599999999995</c:v>
                </c:pt>
                <c:pt idx="320" formatCode="_(* #,##0_);_(* \(#,##0\);_(* &quot;-&quot;??_);_(@_)">
                  <c:v>526.31899999999996</c:v>
                </c:pt>
                <c:pt idx="321" formatCode="_(* #,##0_);_(* \(#,##0\);_(* &quot;-&quot;??_);_(@_)">
                  <c:v>510.30799999999999</c:v>
                </c:pt>
                <c:pt idx="322" formatCode="_(* #,##0_);_(* \(#,##0\);_(* &quot;-&quot;??_);_(@_)">
                  <c:v>462.43200000000002</c:v>
                </c:pt>
                <c:pt idx="323" formatCode="_(* #,##0_);_(* \(#,##0\);_(* &quot;-&quot;??_);_(@_)">
                  <c:v>484.096</c:v>
                </c:pt>
                <c:pt idx="324" formatCode="_(* #,##0_);_(* \(#,##0\);_(* &quot;-&quot;??_);_(@_)">
                  <c:v>481.55700000000002</c:v>
                </c:pt>
                <c:pt idx="325" formatCode="_(* #,##0_);_(* \(#,##0\);_(* &quot;-&quot;??_);_(@_)">
                  <c:v>482.39499999999998</c:v>
                </c:pt>
                <c:pt idx="326" formatCode="_(* #,##0_);_(* \(#,##0\);_(* &quot;-&quot;??_);_(@_)">
                  <c:v>475.59100000000001</c:v>
                </c:pt>
                <c:pt idx="327" formatCode="_(* #,##0_);_(* \(#,##0\);_(* &quot;-&quot;??_);_(@_)">
                  <c:v>474.512</c:v>
                </c:pt>
                <c:pt idx="328" formatCode="_(* #,##0_);_(* \(#,##0\);_(* &quot;-&quot;??_);_(@_)">
                  <c:v>457.97300000000001</c:v>
                </c:pt>
                <c:pt idx="329" formatCode="_(* #,##0_);_(* \(#,##0\);_(* &quot;-&quot;??_);_(@_)">
                  <c:v>436.721</c:v>
                </c:pt>
                <c:pt idx="330" formatCode="_(* #,##0_);_(* \(#,##0\);_(* &quot;-&quot;??_);_(@_)">
                  <c:v>434.87599999999998</c:v>
                </c:pt>
                <c:pt idx="331" formatCode="_(* #,##0_);_(* \(#,##0\);_(* &quot;-&quot;??_);_(@_)">
                  <c:v>430.399</c:v>
                </c:pt>
                <c:pt idx="332" formatCode="_(* #,##0_);_(* \(#,##0\);_(* &quot;-&quot;??_);_(@_)">
                  <c:v>419.53399999999999</c:v>
                </c:pt>
                <c:pt idx="333" formatCode="_(* #,##0_);_(* \(#,##0\);_(* &quot;-&quot;??_);_(@_)">
                  <c:v>419.53399999999999</c:v>
                </c:pt>
                <c:pt idx="334" formatCode="_(* #,##0_);_(* \(#,##0\);_(* &quot;-&quot;??_);_(@_)">
                  <c:v>419.53399999999999</c:v>
                </c:pt>
                <c:pt idx="335" formatCode="_(* #,##0_);_(* \(#,##0\);_(* &quot;-&quot;??_);_(@_)">
                  <c:v>410.209</c:v>
                </c:pt>
                <c:pt idx="336" formatCode="_(* #,##0_);_(* \(#,##0\);_(* &quot;-&quot;??_);_(@_)">
                  <c:v>422.03800000000001</c:v>
                </c:pt>
                <c:pt idx="337" formatCode="_(* #,##0_);_(* \(#,##0\);_(* &quot;-&quot;??_);_(@_)">
                  <c:v>421.654</c:v>
                </c:pt>
                <c:pt idx="338" formatCode="_(* #,##0_);_(* \(#,##0\);_(* &quot;-&quot;??_);_(@_)">
                  <c:v>412.78699999999998</c:v>
                </c:pt>
                <c:pt idx="339" formatCode="_(* #,##0_);_(* \(#,##0\);_(* &quot;-&quot;??_);_(@_)">
                  <c:v>413.5</c:v>
                </c:pt>
                <c:pt idx="340" formatCode="_(* #,##0_);_(* \(#,##0\);_(* &quot;-&quot;??_);_(@_)">
                  <c:v>421.86599999999999</c:v>
                </c:pt>
                <c:pt idx="341" formatCode="_(* #,##0_);_(* \(#,##0\);_(* &quot;-&quot;??_);_(@_)">
                  <c:v>424.26499999999999</c:v>
                </c:pt>
                <c:pt idx="342" formatCode="_(* #,##0_);_(* \(#,##0\);_(* &quot;-&quot;??_);_(@_)">
                  <c:v>424.06</c:v>
                </c:pt>
                <c:pt idx="343" formatCode="_(* #,##0_);_(* \(#,##0\);_(* &quot;-&quot;??_);_(@_)">
                  <c:v>424.31</c:v>
                </c:pt>
                <c:pt idx="344" formatCode="_(* #,##0_);_(* \(#,##0\);_(* &quot;-&quot;??_);_(@_)">
                  <c:v>421.63</c:v>
                </c:pt>
                <c:pt idx="345" formatCode="_(* #,##0_);_(* \(#,##0\);_(* &quot;-&quot;??_);_(@_)">
                  <c:v>426.274</c:v>
                </c:pt>
                <c:pt idx="346" formatCode="_(* #,##0_);_(* \(#,##0\);_(* &quot;-&quot;??_);_(@_)">
                  <c:v>425.19</c:v>
                </c:pt>
                <c:pt idx="347" formatCode="_(* #,##0_);_(* \(#,##0\);_(* &quot;-&quot;??_);_(@_)">
                  <c:v>411.024</c:v>
                </c:pt>
                <c:pt idx="348" formatCode="_(* #,##0_);_(* \(#,##0\);_(* &quot;-&quot;??_);_(@_)">
                  <c:v>413.30399999999997</c:v>
                </c:pt>
                <c:pt idx="349" formatCode="_(* #,##0_);_(* \(#,##0\);_(* &quot;-&quot;??_);_(@_)">
                  <c:v>413.459</c:v>
                </c:pt>
                <c:pt idx="350" formatCode="_(* #,##0_);_(* \(#,##0\);_(* &quot;-&quot;??_);_(@_)">
                  <c:v>391.9</c:v>
                </c:pt>
                <c:pt idx="351" formatCode="_(* #,##0_);_(* \(#,##0\);_(* &quot;-&quot;??_);_(@_)">
                  <c:v>388.77300000000002</c:v>
                </c:pt>
                <c:pt idx="352" formatCode="_(* #,##0_);_(* \(#,##0\);_(* &quot;-&quot;??_);_(@_)">
                  <c:v>394.33199999999999</c:v>
                </c:pt>
                <c:pt idx="353" formatCode="_(* #,##0_);_(* \(#,##0\);_(* &quot;-&quot;??_);_(@_)">
                  <c:v>394.33199999999999</c:v>
                </c:pt>
                <c:pt idx="354" formatCode="_(* #,##0_);_(* \(#,##0\);_(* &quot;-&quot;??_);_(@_)">
                  <c:v>377.27499999999998</c:v>
                </c:pt>
                <c:pt idx="355" formatCode="_(* #,##0_);_(* \(#,##0\);_(* &quot;-&quot;??_);_(@_)">
                  <c:v>376.28899999999999</c:v>
                </c:pt>
                <c:pt idx="356" formatCode="_(* #,##0_);_(* \(#,##0\);_(* &quot;-&quot;??_);_(@_)">
                  <c:v>373.80599999999998</c:v>
                </c:pt>
                <c:pt idx="357" formatCode="_(* #,##0_);_(* \(#,##0\);_(* &quot;-&quot;??_);_(@_)">
                  <c:v>371.14499999999998</c:v>
                </c:pt>
                <c:pt idx="358" formatCode="_(* #,##0_);_(* \(#,##0\);_(* &quot;-&quot;??_);_(@_)">
                  <c:v>366.56599999999997</c:v>
                </c:pt>
                <c:pt idx="359" formatCode="_(* #,##0_);_(* \(#,##0\);_(* &quot;-&quot;??_);_(@_)">
                  <c:v>347.65100000000001</c:v>
                </c:pt>
                <c:pt idx="360" formatCode="_(* #,##0_);_(* \(#,##0\);_(* &quot;-&quot;??_);_(@_)">
                  <c:v>348.31200000000001</c:v>
                </c:pt>
                <c:pt idx="361" formatCode="_(* #,##0_);_(* \(#,##0\);_(* &quot;-&quot;??_);_(@_)">
                  <c:v>334.72899999999998</c:v>
                </c:pt>
                <c:pt idx="362" formatCode="_(* #,##0_);_(* \(#,##0\);_(* &quot;-&quot;??_);_(@_)">
                  <c:v>331.06599999999997</c:v>
                </c:pt>
                <c:pt idx="363" formatCode="_(* #,##0_);_(* \(#,##0\);_(* &quot;-&quot;??_);_(@_)">
                  <c:v>333.98399999999998</c:v>
                </c:pt>
                <c:pt idx="364" formatCode="_(* #,##0_);_(* \(#,##0\);_(* &quot;-&quot;??_);_(@_)">
                  <c:v>333.98399999999998</c:v>
                </c:pt>
                <c:pt idx="365" formatCode="_(* #,##0_);_(* \(#,##0\);_(* &quot;-&quot;??_);_(@_)">
                  <c:v>325.42399999999998</c:v>
                </c:pt>
                <c:pt idx="366" formatCode="_(* #,##0_);_(* \(#,##0\);_(* &quot;-&quot;??_);_(@_)">
                  <c:v>325.50900000000001</c:v>
                </c:pt>
                <c:pt idx="367" formatCode="_(* #,##0_);_(* \(#,##0\);_(* &quot;-&quot;??_);_(@_)">
                  <c:v>325.95699999999999</c:v>
                </c:pt>
                <c:pt idx="368" formatCode="_(* #,##0_);_(* \(#,##0\);_(* &quot;-&quot;??_);_(@_)">
                  <c:v>329.75299999999999</c:v>
                </c:pt>
                <c:pt idx="369" formatCode="_(* #,##0_);_(* \(#,##0\);_(* &quot;-&quot;??_);_(@_)">
                  <c:v>329.85899999999998</c:v>
                </c:pt>
                <c:pt idx="370" formatCode="_(* #,##0_);_(* \(#,##0\);_(* &quot;-&quot;??_);_(@_)">
                  <c:v>328.5</c:v>
                </c:pt>
                <c:pt idx="371" formatCode="_(* #,##0_);_(* \(#,##0\);_(* &quot;-&quot;??_);_(@_)">
                  <c:v>320.08</c:v>
                </c:pt>
                <c:pt idx="372" formatCode="_(* #,##0_);_(* \(#,##0\);_(* &quot;-&quot;??_);_(@_)">
                  <c:v>314.88099999999997</c:v>
                </c:pt>
                <c:pt idx="373" formatCode="_(* #,##0_);_(* \(#,##0\);_(* &quot;-&quot;??_);_(@_)">
                  <c:v>307.50099999999998</c:v>
                </c:pt>
                <c:pt idx="374" formatCode="_(* #,##0_);_(* \(#,##0\);_(* &quot;-&quot;??_);_(@_)">
                  <c:v>311.76100000000002</c:v>
                </c:pt>
                <c:pt idx="375" formatCode="_(* #,##0_);_(* \(#,##0\);_(* &quot;-&quot;??_);_(@_)">
                  <c:v>316.005</c:v>
                </c:pt>
                <c:pt idx="376" formatCode="_(* #,##0_);_(* \(#,##0\);_(* &quot;-&quot;??_);_(@_)">
                  <c:v>326.05900000000003</c:v>
                </c:pt>
                <c:pt idx="377" formatCode="_(* #,##0_);_(* \(#,##0\);_(* &quot;-&quot;??_);_(@_)">
                  <c:v>345.745</c:v>
                </c:pt>
                <c:pt idx="378" formatCode="_(* #,##0_);_(* \(#,##0\);_(* &quot;-&quot;??_);_(@_)">
                  <c:v>344.85700000000003</c:v>
                </c:pt>
                <c:pt idx="379" formatCode="_(* #,##0_);_(* \(#,##0\);_(* &quot;-&quot;??_);_(@_)">
                  <c:v>373.37900000000002</c:v>
                </c:pt>
                <c:pt idx="380" formatCode="_(* #,##0_);_(* \(#,##0\);_(* &quot;-&quot;??_);_(@_)">
                  <c:v>363.84500000000003</c:v>
                </c:pt>
                <c:pt idx="381" formatCode="_(* #,##0_);_(* \(#,##0\);_(* &quot;-&quot;??_);_(@_)">
                  <c:v>367.94200000000001</c:v>
                </c:pt>
                <c:pt idx="382" formatCode="_(* #,##0_);_(* \(#,##0\);_(* &quot;-&quot;??_);_(@_)">
                  <c:v>371.572</c:v>
                </c:pt>
                <c:pt idx="383" formatCode="_(* #,##0_);_(* \(#,##0\);_(* &quot;-&quot;??_);_(@_)">
                  <c:v>371.51400000000001</c:v>
                </c:pt>
                <c:pt idx="384" formatCode="_(* #,##0_);_(* \(#,##0\);_(* &quot;-&quot;??_);_(@_)">
                  <c:v>371.85899999999998</c:v>
                </c:pt>
                <c:pt idx="385" formatCode="_(* #,##0_);_(* \(#,##0\);_(* &quot;-&quot;??_);_(@_)">
                  <c:v>367.428</c:v>
                </c:pt>
                <c:pt idx="386" formatCode="_(* #,##0_);_(* \(#,##0\);_(* &quot;-&quot;??_);_(@_)">
                  <c:v>369.95</c:v>
                </c:pt>
                <c:pt idx="387" formatCode="_(* #,##0_);_(* \(#,##0\);_(* &quot;-&quot;??_);_(@_)">
                  <c:v>375.85199999999998</c:v>
                </c:pt>
                <c:pt idx="388" formatCode="_(* #,##0_);_(* \(#,##0\);_(* &quot;-&quot;??_);_(@_)">
                  <c:v>380.09800000000001</c:v>
                </c:pt>
                <c:pt idx="389" formatCode="_(* #,##0_);_(* \(#,##0\);_(* &quot;-&quot;??_);_(@_)">
                  <c:v>379.791</c:v>
                </c:pt>
                <c:pt idx="390" formatCode="_(* #,##0_);_(* \(#,##0\);_(* &quot;-&quot;??_);_(@_)">
                  <c:v>377.45100000000002</c:v>
                </c:pt>
                <c:pt idx="391" formatCode="_(* #,##0_);_(* \(#,##0\);_(* &quot;-&quot;??_);_(@_)">
                  <c:v>374.18299999999999</c:v>
                </c:pt>
                <c:pt idx="392" formatCode="_(* #,##0_);_(* \(#,##0\);_(* &quot;-&quot;??_);_(@_)">
                  <c:v>355.012</c:v>
                </c:pt>
                <c:pt idx="393" formatCode="_(* #,##0_);_(* \(#,##0\);_(* &quot;-&quot;??_);_(@_)">
                  <c:v>352.19400000000002</c:v>
                </c:pt>
                <c:pt idx="394" formatCode="_(* #,##0_);_(* \(#,##0\);_(* &quot;-&quot;??_);_(@_)">
                  <c:v>350.17899999999997</c:v>
                </c:pt>
                <c:pt idx="395" formatCode="_(* #,##0_);_(* \(#,##0\);_(* &quot;-&quot;??_);_(@_)">
                  <c:v>353.452</c:v>
                </c:pt>
                <c:pt idx="396" formatCode="_(* #,##0_);_(* \(#,##0\);_(* &quot;-&quot;??_);_(@_)">
                  <c:v>352.303</c:v>
                </c:pt>
                <c:pt idx="397" formatCode="_(* #,##0_);_(* \(#,##0\);_(* &quot;-&quot;??_);_(@_)">
                  <c:v>357.464</c:v>
                </c:pt>
                <c:pt idx="398" formatCode="_(* #,##0_);_(* \(#,##0\);_(* &quot;-&quot;??_);_(@_)">
                  <c:v>354.90800000000002</c:v>
                </c:pt>
                <c:pt idx="399" formatCode="_(* #,##0_);_(* \(#,##0\);_(* &quot;-&quot;??_);_(@_)">
                  <c:v>355.27199999999999</c:v>
                </c:pt>
                <c:pt idx="400" formatCode="_(* #,##0_);_(* \(#,##0\);_(* &quot;-&quot;??_);_(@_)">
                  <c:v>356.63900000000001</c:v>
                </c:pt>
                <c:pt idx="401" formatCode="_(* #,##0_);_(* \(#,##0\);_(* &quot;-&quot;??_);_(@_)">
                  <c:v>357.19499999999999</c:v>
                </c:pt>
                <c:pt idx="402" formatCode="_(* #,##0_);_(* \(#,##0\);_(* &quot;-&quot;??_);_(@_)">
                  <c:v>359.63499999999999</c:v>
                </c:pt>
                <c:pt idx="403" formatCode="_(* #,##0_);_(* \(#,##0\);_(* &quot;-&quot;??_);_(@_)">
                  <c:v>360.61399999999998</c:v>
                </c:pt>
                <c:pt idx="404" formatCode="_(* #,##0_);_(* \(#,##0\);_(* &quot;-&quot;??_);_(@_)">
                  <c:v>361.738</c:v>
                </c:pt>
                <c:pt idx="405" formatCode="_(* #,##0_);_(* \(#,##0\);_(* &quot;-&quot;??_);_(@_)">
                  <c:v>357.80799999999999</c:v>
                </c:pt>
                <c:pt idx="406" formatCode="_(* #,##0_);_(* \(#,##0\);_(* &quot;-&quot;??_);_(@_)">
                  <c:v>355.7</c:v>
                </c:pt>
                <c:pt idx="407" formatCode="_(* #,##0_);_(* \(#,##0\);_(* &quot;-&quot;??_);_(@_)">
                  <c:v>349.12200000000001</c:v>
                </c:pt>
                <c:pt idx="408" formatCode="_(* #,##0_);_(* \(#,##0\);_(* &quot;-&quot;??_);_(@_)">
                  <c:v>346.74400000000003</c:v>
                </c:pt>
                <c:pt idx="409" formatCode="_(* #,##0_);_(* \(#,##0\);_(* &quot;-&quot;??_);_(@_)">
                  <c:v>345.50599999999997</c:v>
                </c:pt>
                <c:pt idx="410" formatCode="_(* #,##0_);_(* \(#,##0\);_(* &quot;-&quot;??_);_(@_)">
                  <c:v>348.62900000000002</c:v>
                </c:pt>
                <c:pt idx="411" formatCode="_(* #,##0_);_(* \(#,##0\);_(* &quot;-&quot;??_);_(@_)">
                  <c:v>347.44</c:v>
                </c:pt>
                <c:pt idx="412" formatCode="_(* #,##0_);_(* \(#,##0\);_(* &quot;-&quot;??_);_(@_)">
                  <c:v>350.67</c:v>
                </c:pt>
                <c:pt idx="413" formatCode="_(* #,##0_);_(* \(#,##0\);_(* &quot;-&quot;??_);_(@_)">
                  <c:v>350.20100000000002</c:v>
                </c:pt>
                <c:pt idx="414" formatCode="_(* #,##0_);_(* \(#,##0\);_(* &quot;-&quot;??_);_(@_)">
                  <c:v>345.55500000000001</c:v>
                </c:pt>
                <c:pt idx="415" formatCode="_(* #,##0_);_(* \(#,##0\);_(* &quot;-&quot;??_);_(@_)">
                  <c:v>346.73700000000002</c:v>
                </c:pt>
                <c:pt idx="416" formatCode="_(* #,##0_);_(* \(#,##0\);_(* &quot;-&quot;??_);_(@_)">
                  <c:v>336.411</c:v>
                </c:pt>
                <c:pt idx="417" formatCode="_(* #,##0_);_(* \(#,##0\);_(* &quot;-&quot;??_);_(@_)">
                  <c:v>329.82299999999998</c:v>
                </c:pt>
                <c:pt idx="418" formatCode="_(* #,##0_);_(* \(#,##0\);_(* &quot;-&quot;??_);_(@_)">
                  <c:v>326.13299999999998</c:v>
                </c:pt>
                <c:pt idx="419" formatCode="_(* #,##0_);_(* \(#,##0\);_(* &quot;-&quot;??_);_(@_)">
                  <c:v>326.36500000000001</c:v>
                </c:pt>
                <c:pt idx="420" formatCode="_(* #,##0_);_(* \(#,##0\);_(* &quot;-&quot;??_);_(@_)">
                  <c:v>319.19</c:v>
                </c:pt>
                <c:pt idx="421" formatCode="_(* #,##0_);_(* \(#,##0\);_(* &quot;-&quot;??_);_(@_)">
                  <c:v>318.37400000000002</c:v>
                </c:pt>
                <c:pt idx="422" formatCode="_(* #,##0_);_(* \(#,##0\);_(* &quot;-&quot;??_);_(@_)">
                  <c:v>312.28500000000003</c:v>
                </c:pt>
                <c:pt idx="423" formatCode="_(* #,##0_);_(* \(#,##0\);_(* &quot;-&quot;??_);_(@_)">
                  <c:v>307.35300000000001</c:v>
                </c:pt>
                <c:pt idx="424" formatCode="_(* #,##0_);_(* \(#,##0\);_(* &quot;-&quot;??_);_(@_)">
                  <c:v>311.26100000000002</c:v>
                </c:pt>
                <c:pt idx="425" formatCode="_(* #,##0_);_(* \(#,##0\);_(* &quot;-&quot;??_);_(@_)">
                  <c:v>311.55900000000003</c:v>
                </c:pt>
                <c:pt idx="426" formatCode="_(* #,##0_);_(* \(#,##0\);_(* &quot;-&quot;??_);_(@_)">
                  <c:v>310.51600000000002</c:v>
                </c:pt>
                <c:pt idx="427" formatCode="_(* #,##0_);_(* \(#,##0\);_(* &quot;-&quot;??_);_(@_)">
                  <c:v>312.947</c:v>
                </c:pt>
                <c:pt idx="428" formatCode="_(* #,##0_);_(* \(#,##0\);_(* &quot;-&quot;??_);_(@_)">
                  <c:v>313.69400000000002</c:v>
                </c:pt>
                <c:pt idx="429" formatCode="_(* #,##0_);_(* \(#,##0\);_(* &quot;-&quot;??_);_(@_)">
                  <c:v>312.56099999999998</c:v>
                </c:pt>
                <c:pt idx="430" formatCode="_(* #,##0_);_(* \(#,##0\);_(* &quot;-&quot;??_);_(@_)">
                  <c:v>309.36799999999999</c:v>
                </c:pt>
                <c:pt idx="431" formatCode="_(* #,##0_);_(* \(#,##0\);_(* &quot;-&quot;??_);_(@_)">
                  <c:v>308.44799999999998</c:v>
                </c:pt>
                <c:pt idx="432" formatCode="_(* #,##0_);_(* \(#,##0\);_(* &quot;-&quot;??_);_(@_)">
                  <c:v>300.69200000000001</c:v>
                </c:pt>
                <c:pt idx="433" formatCode="_(* #,##0_);_(* \(#,##0\);_(* &quot;-&quot;??_);_(@_)">
                  <c:v>302.49099999999999</c:v>
                </c:pt>
                <c:pt idx="434" formatCode="_(* #,##0_);_(* \(#,##0\);_(* &quot;-&quot;??_);_(@_)">
                  <c:v>302.49099999999999</c:v>
                </c:pt>
                <c:pt idx="435" formatCode="_(* #,##0_);_(* \(#,##0\);_(* &quot;-&quot;??_);_(@_)">
                  <c:v>303.13</c:v>
                </c:pt>
                <c:pt idx="436" formatCode="_(* #,##0_);_(* \(#,##0\);_(* &quot;-&quot;??_);_(@_)">
                  <c:v>302.09899999999999</c:v>
                </c:pt>
                <c:pt idx="437" formatCode="_(* #,##0_);_(* \(#,##0\);_(* &quot;-&quot;??_);_(@_)">
                  <c:v>302.24400000000003</c:v>
                </c:pt>
                <c:pt idx="438" formatCode="_(* #,##0_);_(* \(#,##0\);_(* &quot;-&quot;??_);_(@_)">
                  <c:v>296.05700000000002</c:v>
                </c:pt>
                <c:pt idx="439" formatCode="_(* #,##0_);_(* \(#,##0\);_(* &quot;-&quot;??_);_(@_)">
                  <c:v>294.39699999999999</c:v>
                </c:pt>
                <c:pt idx="440" formatCode="_(* #,##0_);_(* \(#,##0\);_(* &quot;-&quot;??_);_(@_)">
                  <c:v>302.226</c:v>
                </c:pt>
                <c:pt idx="441" formatCode="_(* #,##0_);_(* \(#,##0\);_(* &quot;-&quot;??_);_(@_)">
                  <c:v>300.72199999999998</c:v>
                </c:pt>
                <c:pt idx="442" formatCode="_(* #,##0_);_(* \(#,##0\);_(* &quot;-&quot;??_);_(@_)">
                  <c:v>302.45400000000001</c:v>
                </c:pt>
                <c:pt idx="443" formatCode="_(* #,##0_);_(* \(#,##0\);_(* &quot;-&quot;??_);_(@_)">
                  <c:v>303.53100000000001</c:v>
                </c:pt>
                <c:pt idx="444" formatCode="_(* #,##0_);_(* \(#,##0\);_(* &quot;-&quot;??_);_(@_)">
                  <c:v>302.49</c:v>
                </c:pt>
                <c:pt idx="445" formatCode="_(* #,##0_);_(* \(#,##0\);_(* &quot;-&quot;??_);_(@_)">
                  <c:v>301.92599999999999</c:v>
                </c:pt>
                <c:pt idx="446" formatCode="_(* #,##0_);_(* \(#,##0\);_(* &quot;-&quot;??_);_(@_)">
                  <c:v>301.40499999999997</c:v>
                </c:pt>
                <c:pt idx="447" formatCode="_(* #,##0_);_(* \(#,##0\);_(* &quot;-&quot;??_);_(@_)">
                  <c:v>301.904</c:v>
                </c:pt>
                <c:pt idx="448" formatCode="_(* #,##0_);_(* \(#,##0\);_(* &quot;-&quot;??_);_(@_)">
                  <c:v>300.42200000000003</c:v>
                </c:pt>
                <c:pt idx="449" formatCode="_(* #,##0_);_(* \(#,##0\);_(* &quot;-&quot;??_);_(@_)">
                  <c:v>309.45499999999998</c:v>
                </c:pt>
                <c:pt idx="450" formatCode="_(* #,##0_);_(* \(#,##0\);_(* &quot;-&quot;??_);_(@_)">
                  <c:v>309.608</c:v>
                </c:pt>
                <c:pt idx="451" formatCode="_(* #,##0_);_(* \(#,##0\);_(* &quot;-&quot;??_);_(@_)">
                  <c:v>308.13299999999998</c:v>
                </c:pt>
                <c:pt idx="452" formatCode="_(* #,##0_);_(* \(#,##0\);_(* &quot;-&quot;??_);_(@_)">
                  <c:v>316.084</c:v>
                </c:pt>
                <c:pt idx="453" formatCode="_(* #,##0_);_(* \(#,##0\);_(* &quot;-&quot;??_);_(@_)">
                  <c:v>316.70400000000001</c:v>
                </c:pt>
                <c:pt idx="454" formatCode="_(* #,##0_);_(* \(#,##0\);_(* &quot;-&quot;??_);_(@_)">
                  <c:v>365.39100000000002</c:v>
                </c:pt>
                <c:pt idx="455" formatCode="_(* #,##0_);_(* \(#,##0\);_(* &quot;-&quot;??_);_(@_)">
                  <c:v>398.19499999999999</c:v>
                </c:pt>
                <c:pt idx="456" formatCode="_(* #,##0_);_(* \(#,##0\);_(* &quot;-&quot;??_);_(@_)">
                  <c:v>368.70400000000001</c:v>
                </c:pt>
                <c:pt idx="457" formatCode="_(* #,##0_);_(* \(#,##0\);_(* &quot;-&quot;??_);_(@_)">
                  <c:v>345.31599999999997</c:v>
                </c:pt>
                <c:pt idx="458" formatCode="_(* #,##0_);_(* \(#,##0\);_(* &quot;-&quot;??_);_(@_)">
                  <c:v>337.96899999999999</c:v>
                </c:pt>
                <c:pt idx="459" formatCode="_(* #,##0_);_(* \(#,##0\);_(* &quot;-&quot;??_);_(@_)">
                  <c:v>329.43400000000003</c:v>
                </c:pt>
                <c:pt idx="460" formatCode="_(* #,##0_);_(* \(#,##0\);_(* &quot;-&quot;??_);_(@_)">
                  <c:v>335.83199999999999</c:v>
                </c:pt>
                <c:pt idx="461" formatCode="_(* #,##0_);_(* \(#,##0\);_(* &quot;-&quot;??_);_(@_)">
                  <c:v>340.97</c:v>
                </c:pt>
                <c:pt idx="462" formatCode="_(* #,##0_);_(* \(#,##0\);_(* &quot;-&quot;??_);_(@_)">
                  <c:v>338.85899999999998</c:v>
                </c:pt>
                <c:pt idx="463" formatCode="_(* #,##0_);_(* \(#,##0\);_(* &quot;-&quot;??_);_(@_)">
                  <c:v>332.52600000000001</c:v>
                </c:pt>
                <c:pt idx="464" formatCode="_(* #,##0_);_(* \(#,##0\);_(* &quot;-&quot;??_);_(@_)">
                  <c:v>329.69</c:v>
                </c:pt>
                <c:pt idx="465" formatCode="_(* #,##0_);_(* \(#,##0\);_(* &quot;-&quot;??_);_(@_)">
                  <c:v>336.59800000000001</c:v>
                </c:pt>
                <c:pt idx="466" formatCode="_(* #,##0_);_(* \(#,##0\);_(* &quot;-&quot;??_);_(@_)">
                  <c:v>345.73599999999999</c:v>
                </c:pt>
                <c:pt idx="467" formatCode="_(* #,##0_);_(* \(#,##0\);_(* &quot;-&quot;??_);_(@_)">
                  <c:v>357.75299999999999</c:v>
                </c:pt>
                <c:pt idx="468" formatCode="_(* #,##0_);_(* \(#,##0\);_(* &quot;-&quot;??_);_(@_)">
                  <c:v>356.97899999999998</c:v>
                </c:pt>
                <c:pt idx="469" formatCode="_(* #,##0_);_(* \(#,##0\);_(* &quot;-&quot;??_);_(@_)">
                  <c:v>351.63499999999999</c:v>
                </c:pt>
                <c:pt idx="470" formatCode="_(* #,##0_);_(* \(#,##0\);_(* &quot;-&quot;??_);_(@_)">
                  <c:v>350.02499999999998</c:v>
                </c:pt>
                <c:pt idx="471" formatCode="_(* #,##0_);_(* \(#,##0\);_(* &quot;-&quot;??_);_(@_)">
                  <c:v>354.15800000000002</c:v>
                </c:pt>
                <c:pt idx="472" formatCode="_(* #,##0_);_(* \(#,##0\);_(* &quot;-&quot;??_);_(@_)">
                  <c:v>356.82900000000001</c:v>
                </c:pt>
                <c:pt idx="473" formatCode="_(* #,##0_);_(* \(#,##0\);_(* &quot;-&quot;??_);_(@_)">
                  <c:v>359.33</c:v>
                </c:pt>
                <c:pt idx="474" formatCode="_(* #,##0_);_(* \(#,##0\);_(* &quot;-&quot;??_);_(@_)">
                  <c:v>370.40699999999998</c:v>
                </c:pt>
                <c:pt idx="475" formatCode="_(* #,##0_);_(* \(#,##0\);_(* &quot;-&quot;??_);_(@_)">
                  <c:v>381.214</c:v>
                </c:pt>
                <c:pt idx="476" formatCode="_(* #,##0_);_(* \(#,##0\);_(* &quot;-&quot;??_);_(@_)">
                  <c:v>382.733</c:v>
                </c:pt>
                <c:pt idx="477" formatCode="_(* #,##0_);_(* \(#,##0\);_(* &quot;-&quot;??_);_(@_)">
                  <c:v>387.77199999999999</c:v>
                </c:pt>
                <c:pt idx="478" formatCode="_(* #,##0_);_(* \(#,##0\);_(* &quot;-&quot;??_);_(@_)">
                  <c:v>394.327</c:v>
                </c:pt>
                <c:pt idx="479" formatCode="_(* #,##0_);_(* \(#,##0\);_(* &quot;-&quot;??_);_(@_)">
                  <c:v>404.58800000000002</c:v>
                </c:pt>
                <c:pt idx="480" formatCode="_(* #,##0_);_(* \(#,##0\);_(* &quot;-&quot;??_);_(@_)">
                  <c:v>392.512</c:v>
                </c:pt>
                <c:pt idx="481" formatCode="_(* #,##0_);_(* \(#,##0\);_(* &quot;-&quot;??_);_(@_)">
                  <c:v>399.34100000000001</c:v>
                </c:pt>
                <c:pt idx="482" formatCode="_(* #,##0_);_(* \(#,##0\);_(* &quot;-&quot;??_);_(@_)">
                  <c:v>392.74299999999999</c:v>
                </c:pt>
                <c:pt idx="483" formatCode="_(* #,##0_);_(* \(#,##0\);_(* &quot;-&quot;??_);_(@_)">
                  <c:v>387.19299999999998</c:v>
                </c:pt>
                <c:pt idx="484" formatCode="_(* #,##0_);_(* \(#,##0\);_(* &quot;-&quot;??_);_(@_)">
                  <c:v>370.99299999999999</c:v>
                </c:pt>
                <c:pt idx="485" formatCode="_(* #,##0_);_(* \(#,##0\);_(* &quot;-&quot;??_);_(@_)">
                  <c:v>328.339</c:v>
                </c:pt>
                <c:pt idx="486" formatCode="_(* #,##0_);_(* \(#,##0\);_(* &quot;-&quot;??_);_(@_)">
                  <c:v>324.90199999999999</c:v>
                </c:pt>
                <c:pt idx="487" formatCode="_(* #,##0_);_(* \(#,##0\);_(* &quot;-&quot;??_);_(@_)">
                  <c:v>336.65699999999998</c:v>
                </c:pt>
                <c:pt idx="488" formatCode="_(* #,##0_);_(* \(#,##0\);_(* &quot;-&quot;??_);_(@_)">
                  <c:v>338.91800000000001</c:v>
                </c:pt>
                <c:pt idx="489" formatCode="_(* #,##0_);_(* \(#,##0\);_(* &quot;-&quot;??_);_(@_)">
                  <c:v>340.43599999999998</c:v>
                </c:pt>
                <c:pt idx="490" formatCode="_(* #,##0_);_(* \(#,##0\);_(* &quot;-&quot;??_);_(@_)">
                  <c:v>351.02</c:v>
                </c:pt>
                <c:pt idx="491" formatCode="_(* #,##0_);_(* \(#,##0\);_(* &quot;-&quot;??_);_(@_)">
                  <c:v>348.12200000000001</c:v>
                </c:pt>
                <c:pt idx="492" formatCode="_(* #,##0_);_(* \(#,##0\);_(* &quot;-&quot;??_);_(@_)">
                  <c:v>357.29</c:v>
                </c:pt>
                <c:pt idx="493" formatCode="_(* #,##0_);_(* \(#,##0\);_(* &quot;-&quot;??_);_(@_)">
                  <c:v>361.58800000000002</c:v>
                </c:pt>
                <c:pt idx="494" formatCode="_(* #,##0_);_(* \(#,##0\);_(* &quot;-&quot;??_);_(@_)">
                  <c:v>355.66899999999998</c:v>
                </c:pt>
                <c:pt idx="495" formatCode="_(* #,##0_);_(* \(#,##0\);_(* &quot;-&quot;??_);_(@_)">
                  <c:v>349.16899999999998</c:v>
                </c:pt>
                <c:pt idx="496" formatCode="_(* #,##0_);_(* \(#,##0\);_(* &quot;-&quot;??_);_(@_)">
                  <c:v>346.55799999999999</c:v>
                </c:pt>
                <c:pt idx="497" formatCode="_(* #,##0_);_(* \(#,##0\);_(* &quot;-&quot;??_);_(@_)">
                  <c:v>343.58600000000001</c:v>
                </c:pt>
                <c:pt idx="498" formatCode="_(* #,##0_);_(* \(#,##0\);_(* &quot;-&quot;??_);_(@_)">
                  <c:v>353.50599999999997</c:v>
                </c:pt>
                <c:pt idx="499" formatCode="_(* #,##0_);_(* \(#,##0\);_(* &quot;-&quot;??_);_(@_)">
                  <c:v>354.12599999999998</c:v>
                </c:pt>
                <c:pt idx="500" formatCode="_(* #,##0_);_(* \(#,##0\);_(* &quot;-&quot;??_);_(@_)">
                  <c:v>347.87599999999998</c:v>
                </c:pt>
                <c:pt idx="501" formatCode="_(* #,##0_);_(* \(#,##0\);_(* &quot;-&quot;??_);_(@_)">
                  <c:v>346.13099999999997</c:v>
                </c:pt>
                <c:pt idx="502" formatCode="_(* #,##0_);_(* \(#,##0\);_(* &quot;-&quot;??_);_(@_)">
                  <c:v>334.43700000000001</c:v>
                </c:pt>
                <c:pt idx="503" formatCode="_(* #,##0_);_(* \(#,##0\);_(* &quot;-&quot;??_);_(@_)">
                  <c:v>304.19400000000002</c:v>
                </c:pt>
                <c:pt idx="504" formatCode="_(* #,##0_);_(* \(#,##0\);_(* &quot;-&quot;??_);_(@_)">
                  <c:v>308.60500000000002</c:v>
                </c:pt>
                <c:pt idx="505" formatCode="_(* #,##0_);_(* \(#,##0\);_(* &quot;-&quot;??_);_(@_)">
                  <c:v>312.55900000000003</c:v>
                </c:pt>
                <c:pt idx="506" formatCode="_(* #,##0_);_(* \(#,##0\);_(* &quot;-&quot;??_);_(@_)">
                  <c:v>308.55200000000002</c:v>
                </c:pt>
                <c:pt idx="507" formatCode="_(* #,##0_);_(* \(#,##0\);_(* &quot;-&quot;??_);_(@_)">
                  <c:v>311.67599999999999</c:v>
                </c:pt>
                <c:pt idx="508" formatCode="_(* #,##0_);_(* \(#,##0\);_(* &quot;-&quot;??_);_(@_)">
                  <c:v>316.40499999999997</c:v>
                </c:pt>
                <c:pt idx="509" formatCode="_(* #,##0_);_(* \(#,##0\);_(* &quot;-&quot;??_);_(@_)">
                  <c:v>314.76100000000002</c:v>
                </c:pt>
                <c:pt idx="510" formatCode="_(* #,##0_);_(* \(#,##0\);_(* &quot;-&quot;??_);_(@_)">
                  <c:v>309.70999999999998</c:v>
                </c:pt>
                <c:pt idx="511" formatCode="_(* #,##0_);_(* \(#,##0\);_(* &quot;-&quot;??_);_(@_)">
                  <c:v>302.99</c:v>
                </c:pt>
                <c:pt idx="512" formatCode="_(* #,##0_);_(* \(#,##0\);_(* &quot;-&quot;??_);_(@_)">
                  <c:v>299.80799999999999</c:v>
                </c:pt>
                <c:pt idx="513" formatCode="_(* #,##0_);_(* \(#,##0\);_(* &quot;-&quot;??_);_(@_)">
                  <c:v>293.15300000000002</c:v>
                </c:pt>
                <c:pt idx="514" formatCode="_(* #,##0_);_(* \(#,##0\);_(* &quot;-&quot;??_);_(@_)">
                  <c:v>296.85700000000003</c:v>
                </c:pt>
                <c:pt idx="515" formatCode="_(* #,##0_);_(* \(#,##0\);_(* &quot;-&quot;??_);_(@_)">
                  <c:v>298.37</c:v>
                </c:pt>
                <c:pt idx="516" formatCode="_(* #,##0_);_(* \(#,##0\);_(* &quot;-&quot;??_);_(@_)">
                  <c:v>298.48200000000003</c:v>
                </c:pt>
                <c:pt idx="517" formatCode="_(* #,##0_);_(* \(#,##0\);_(* &quot;-&quot;??_);_(@_)">
                  <c:v>302.637</c:v>
                </c:pt>
                <c:pt idx="518" formatCode="_(* #,##0_);_(* \(#,##0\);_(* &quot;-&quot;??_);_(@_)">
                  <c:v>302.637</c:v>
                </c:pt>
                <c:pt idx="519" formatCode="_(* #,##0_);_(* \(#,##0\);_(* &quot;-&quot;??_);_(@_)">
                  <c:v>302.637</c:v>
                </c:pt>
                <c:pt idx="520" formatCode="_(* #,##0_);_(* \(#,##0\);_(* &quot;-&quot;??_);_(@_)">
                  <c:v>302.95499999999998</c:v>
                </c:pt>
                <c:pt idx="521" formatCode="_(* #,##0_);_(* \(#,##0\);_(* &quot;-&quot;??_);_(@_)">
                  <c:v>301.23899999999998</c:v>
                </c:pt>
                <c:pt idx="522" formatCode="_(* #,##0_);_(* \(#,##0\);_(* &quot;-&quot;??_);_(@_)">
                  <c:v>303.363</c:v>
                </c:pt>
                <c:pt idx="523" formatCode="_(* #,##0_);_(* \(#,##0\);_(* &quot;-&quot;??_);_(@_)">
                  <c:v>303.363</c:v>
                </c:pt>
                <c:pt idx="524" formatCode="_(* #,##0_);_(* \(#,##0\);_(* &quot;-&quot;??_);_(@_)">
                  <c:v>296.71899999999999</c:v>
                </c:pt>
                <c:pt idx="525" formatCode="_(* #,##0_);_(* \(#,##0\);_(* &quot;-&quot;??_);_(@_)">
                  <c:v>288.11399999999998</c:v>
                </c:pt>
                <c:pt idx="526" formatCode="_(* #,##0_);_(* \(#,##0\);_(* &quot;-&quot;??_);_(@_)">
                  <c:v>281.07799999999997</c:v>
                </c:pt>
                <c:pt idx="527" formatCode="_(* #,##0_);_(* \(#,##0\);_(* &quot;-&quot;??_);_(@_)">
                  <c:v>275.09399999999999</c:v>
                </c:pt>
                <c:pt idx="528" formatCode="_(* #,##0_);_(* \(#,##0\);_(* &quot;-&quot;??_);_(@_)">
                  <c:v>268.62200000000001</c:v>
                </c:pt>
                <c:pt idx="529" formatCode="_(* #,##0_);_(* \(#,##0\);_(* &quot;-&quot;??_);_(@_)">
                  <c:v>266.89400000000001</c:v>
                </c:pt>
                <c:pt idx="530" formatCode="_(* #,##0_);_(* \(#,##0\);_(* &quot;-&quot;??_);_(@_)">
                  <c:v>269.90100000000001</c:v>
                </c:pt>
                <c:pt idx="531" formatCode="_(* #,##0_);_(* \(#,##0\);_(* &quot;-&quot;??_);_(@_)">
                  <c:v>271.07799999999997</c:v>
                </c:pt>
                <c:pt idx="532" formatCode="_(* #,##0_);_(* \(#,##0\);_(* &quot;-&quot;??_);_(@_)">
                  <c:v>257.02499999999998</c:v>
                </c:pt>
                <c:pt idx="533" formatCode="_(* #,##0_);_(* \(#,##0\);_(* &quot;-&quot;??_);_(@_)">
                  <c:v>258.68299999999999</c:v>
                </c:pt>
                <c:pt idx="534" formatCode="_(* #,##0_);_(* \(#,##0\);_(* &quot;-&quot;??_);_(@_)">
                  <c:v>256.14</c:v>
                </c:pt>
                <c:pt idx="535" formatCode="_(* #,##0_);_(* \(#,##0\);_(* &quot;-&quot;??_);_(@_)">
                  <c:v>259.39100000000002</c:v>
                </c:pt>
                <c:pt idx="536" formatCode="_(* #,##0_);_(* \(#,##0\);_(* &quot;-&quot;??_);_(@_)">
                  <c:v>260.96600000000001</c:v>
                </c:pt>
                <c:pt idx="537" formatCode="_(* #,##0_);_(* \(#,##0\);_(* &quot;-&quot;??_);_(@_)">
                  <c:v>260.63400000000001</c:v>
                </c:pt>
                <c:pt idx="538" formatCode="_(* #,##0_);_(* \(#,##0\);_(* &quot;-&quot;??_);_(@_)">
                  <c:v>261.346</c:v>
                </c:pt>
                <c:pt idx="539" formatCode="_(* #,##0_);_(* \(#,##0\);_(* &quot;-&quot;??_);_(@_)">
                  <c:v>277.77199999999999</c:v>
                </c:pt>
                <c:pt idx="540" formatCode="_(* #,##0_);_(* \(#,##0\);_(* &quot;-&quot;??_);_(@_)">
                  <c:v>271.05099999999999</c:v>
                </c:pt>
                <c:pt idx="541" formatCode="_(* #,##0_);_(* \(#,##0\);_(* &quot;-&quot;??_);_(@_)">
                  <c:v>280.45600000000002</c:v>
                </c:pt>
                <c:pt idx="542" formatCode="_(* #,##0_);_(* \(#,##0\);_(* &quot;-&quot;??_);_(@_)">
                  <c:v>277.577</c:v>
                </c:pt>
                <c:pt idx="543" formatCode="_(* #,##0_);_(* \(#,##0\);_(* &quot;-&quot;??_);_(@_)">
                  <c:v>275.524</c:v>
                </c:pt>
                <c:pt idx="544" formatCode="_(* #,##0_);_(* \(#,##0\);_(* &quot;-&quot;??_);_(@_)">
                  <c:v>273.66199999999998</c:v>
                </c:pt>
                <c:pt idx="545" formatCode="_(* #,##0_);_(* \(#,##0\);_(* &quot;-&quot;??_);_(@_)">
                  <c:v>268.89400000000001</c:v>
                </c:pt>
                <c:pt idx="546" formatCode="_(* #,##0_);_(* \(#,##0\);_(* &quot;-&quot;??_);_(@_)">
                  <c:v>263.73</c:v>
                </c:pt>
                <c:pt idx="547" formatCode="_(* #,##0_);_(* \(#,##0\);_(* &quot;-&quot;??_);_(@_)">
                  <c:v>265.14499999999998</c:v>
                </c:pt>
                <c:pt idx="548" formatCode="_(* #,##0_);_(* \(#,##0\);_(* &quot;-&quot;??_);_(@_)">
                  <c:v>263.94900000000001</c:v>
                </c:pt>
                <c:pt idx="549" formatCode="_(* #,##0_);_(* \(#,##0\);_(* &quot;-&quot;??_);_(@_)">
                  <c:v>267.82900000000001</c:v>
                </c:pt>
                <c:pt idx="550" formatCode="_(* #,##0_);_(* \(#,##0\);_(* &quot;-&quot;??_);_(@_)">
                  <c:v>273.98</c:v>
                </c:pt>
                <c:pt idx="551" formatCode="_(* #,##0_);_(* \(#,##0\);_(* &quot;-&quot;??_);_(@_)">
                  <c:v>276.87799999999999</c:v>
                </c:pt>
                <c:pt idx="552" formatCode="_(* #,##0_);_(* \(#,##0\);_(* &quot;-&quot;??_);_(@_)">
                  <c:v>277.90300000000002</c:v>
                </c:pt>
                <c:pt idx="553" formatCode="_(* #,##0_);_(* \(#,##0\);_(* &quot;-&quot;??_);_(@_)">
                  <c:v>276.46800000000002</c:v>
                </c:pt>
                <c:pt idx="554" formatCode="_(* #,##0_);_(* \(#,##0\);_(* &quot;-&quot;??_);_(@_)">
                  <c:v>287.577</c:v>
                </c:pt>
                <c:pt idx="555" formatCode="_(* #,##0_);_(* \(#,##0\);_(* &quot;-&quot;??_);_(@_)">
                  <c:v>278.822</c:v>
                </c:pt>
                <c:pt idx="556" formatCode="_(* #,##0_);_(* \(#,##0\);_(* &quot;-&quot;??_);_(@_)">
                  <c:v>288.779</c:v>
                </c:pt>
                <c:pt idx="557" formatCode="_(* #,##0_);_(* \(#,##0\);_(* &quot;-&quot;??_);_(@_)">
                  <c:v>284.26799999999997</c:v>
                </c:pt>
                <c:pt idx="558" formatCode="_(* #,##0_);_(* \(#,##0\);_(* &quot;-&quot;??_);_(@_)">
                  <c:v>274.959</c:v>
                </c:pt>
                <c:pt idx="559" formatCode="_(* #,##0_);_(* \(#,##0\);_(* &quot;-&quot;??_);_(@_)">
                  <c:v>274.69900000000001</c:v>
                </c:pt>
                <c:pt idx="560" formatCode="_(* #,##0_);_(* \(#,##0\);_(* &quot;-&quot;??_);_(@_)">
                  <c:v>277.23700000000002</c:v>
                </c:pt>
                <c:pt idx="561" formatCode="_(* #,##0_);_(* \(#,##0\);_(* &quot;-&quot;??_);_(@_)">
                  <c:v>274.98599999999999</c:v>
                </c:pt>
                <c:pt idx="562" formatCode="_(* #,##0_);_(* \(#,##0\);_(* &quot;-&quot;??_);_(@_)">
                  <c:v>294.90100000000001</c:v>
                </c:pt>
                <c:pt idx="563" formatCode="_(* #,##0_);_(* \(#,##0\);_(* &quot;-&quot;??_);_(@_)">
                  <c:v>297.32</c:v>
                </c:pt>
                <c:pt idx="564" formatCode="_(* #,##0_);_(* \(#,##0\);_(* &quot;-&quot;??_);_(@_)">
                  <c:v>289.48399999999998</c:v>
                </c:pt>
                <c:pt idx="565" formatCode="_(* #,##0_);_(* \(#,##0\);_(* &quot;-&quot;??_);_(@_)">
                  <c:v>288.875</c:v>
                </c:pt>
                <c:pt idx="566" formatCode="_(* #,##0_);_(* \(#,##0\);_(* &quot;-&quot;??_);_(@_)">
                  <c:v>282.262</c:v>
                </c:pt>
                <c:pt idx="567" formatCode="_(* #,##0_);_(* \(#,##0\);_(* &quot;-&quot;??_);_(@_)">
                  <c:v>279.16699999999997</c:v>
                </c:pt>
                <c:pt idx="568" formatCode="_(* #,##0_);_(* \(#,##0\);_(* &quot;-&quot;??_);_(@_)">
                  <c:v>287.32799999999997</c:v>
                </c:pt>
                <c:pt idx="569" formatCode="_(* #,##0_);_(* \(#,##0\);_(* &quot;-&quot;??_);_(@_)">
                  <c:v>298.68700000000001</c:v>
                </c:pt>
                <c:pt idx="570" formatCode="_(* #,##0_);_(* \(#,##0\);_(* &quot;-&quot;??_);_(@_)">
                  <c:v>302.77</c:v>
                </c:pt>
                <c:pt idx="571" formatCode="_(* #,##0_);_(* \(#,##0\);_(* &quot;-&quot;??_);_(@_)">
                  <c:v>301.78199999999998</c:v>
                </c:pt>
                <c:pt idx="572" formatCode="_(* #,##0_);_(* \(#,##0\);_(* &quot;-&quot;??_);_(@_)">
                  <c:v>294.89</c:v>
                </c:pt>
                <c:pt idx="573" formatCode="_(* #,##0_);_(* \(#,##0\);_(* &quot;-&quot;??_);_(@_)">
                  <c:v>293.14999999999998</c:v>
                </c:pt>
                <c:pt idx="574" formatCode="_(* #,##0_);_(* \(#,##0\);_(* &quot;-&quot;??_);_(@_)">
                  <c:v>292.05900000000003</c:v>
                </c:pt>
                <c:pt idx="575" formatCode="_(* #,##0_);_(* \(#,##0\);_(* &quot;-&quot;??_);_(@_)">
                  <c:v>296.34399999999999</c:v>
                </c:pt>
                <c:pt idx="576" formatCode="_(* #,##0_);_(* \(#,##0\);_(* &quot;-&quot;??_);_(@_)">
                  <c:v>308.67899999999997</c:v>
                </c:pt>
                <c:pt idx="577" formatCode="_(* #,##0_);_(* \(#,##0\);_(* &quot;-&quot;??_);_(@_)">
                  <c:v>307.815</c:v>
                </c:pt>
                <c:pt idx="578" formatCode="_(* #,##0_);_(* \(#,##0\);_(* &quot;-&quot;??_);_(@_)">
                  <c:v>301.108</c:v>
                </c:pt>
                <c:pt idx="579" formatCode="_(* #,##0_);_(* \(#,##0\);_(* &quot;-&quot;??_);_(@_)">
                  <c:v>310.70699999999999</c:v>
                </c:pt>
                <c:pt idx="580" formatCode="_(* #,##0_);_(* \(#,##0\);_(* &quot;-&quot;??_);_(@_)">
                  <c:v>314.62200000000001</c:v>
                </c:pt>
                <c:pt idx="581" formatCode="_(* #,##0_);_(* \(#,##0\);_(* &quot;-&quot;??_);_(@_)">
                  <c:v>314.01600000000002</c:v>
                </c:pt>
                <c:pt idx="582" formatCode="_(* #,##0_);_(* \(#,##0\);_(* &quot;-&quot;??_);_(@_)">
                  <c:v>313.73399999999998</c:v>
                </c:pt>
                <c:pt idx="583" formatCode="_(* #,##0_);_(* \(#,##0\);_(* &quot;-&quot;??_);_(@_)">
                  <c:v>314.459</c:v>
                </c:pt>
                <c:pt idx="584" formatCode="_(* #,##0_);_(* \(#,##0\);_(* &quot;-&quot;??_);_(@_)">
                  <c:v>302.23200000000003</c:v>
                </c:pt>
                <c:pt idx="585" formatCode="_(* #,##0_);_(* \(#,##0\);_(* &quot;-&quot;??_);_(@_)">
                  <c:v>301.73</c:v>
                </c:pt>
                <c:pt idx="586" formatCode="_(* #,##0_);_(* \(#,##0\);_(* &quot;-&quot;??_);_(@_)">
                  <c:v>302.26100000000002</c:v>
                </c:pt>
                <c:pt idx="587" formatCode="_(* #,##0_);_(* \(#,##0\);_(* &quot;-&quot;??_);_(@_)">
                  <c:v>302.02</c:v>
                </c:pt>
                <c:pt idx="588" formatCode="_(* #,##0_);_(* \(#,##0\);_(* &quot;-&quot;??_);_(@_)">
                  <c:v>302.02</c:v>
                </c:pt>
                <c:pt idx="589" formatCode="_(* #,##0_);_(* \(#,##0\);_(* &quot;-&quot;??_);_(@_)">
                  <c:v>302.02</c:v>
                </c:pt>
                <c:pt idx="590" formatCode="_(* #,##0_);_(* \(#,##0\);_(* &quot;-&quot;??_);_(@_)">
                  <c:v>309.56799999999998</c:v>
                </c:pt>
                <c:pt idx="591" formatCode="_(* #,##0_);_(* \(#,##0\);_(* &quot;-&quot;??_);_(@_)">
                  <c:v>307.75299999999999</c:v>
                </c:pt>
                <c:pt idx="592" formatCode="_(* #,##0_);_(* \(#,##0\);_(* &quot;-&quot;??_);_(@_)">
                  <c:v>311.34899999999999</c:v>
                </c:pt>
                <c:pt idx="593" formatCode="_(* #,##0_);_(* \(#,##0\);_(* &quot;-&quot;??_);_(@_)">
                  <c:v>309.45999999999998</c:v>
                </c:pt>
                <c:pt idx="594" formatCode="_(* #,##0_);_(* \(#,##0\);_(* &quot;-&quot;??_);_(@_)">
                  <c:v>309.755</c:v>
                </c:pt>
                <c:pt idx="595" formatCode="_(* #,##0_);_(* \(#,##0\);_(* &quot;-&quot;??_);_(@_)">
                  <c:v>317.01</c:v>
                </c:pt>
                <c:pt idx="596" formatCode="_(* #,##0_);_(* \(#,##0\);_(* &quot;-&quot;??_);_(@_)">
                  <c:v>314.464</c:v>
                </c:pt>
                <c:pt idx="597" formatCode="_(* #,##0_);_(* \(#,##0\);_(* &quot;-&quot;??_);_(@_)">
                  <c:v>318.48</c:v>
                </c:pt>
                <c:pt idx="598" formatCode="_(* #,##0_);_(* \(#,##0\);_(* &quot;-&quot;??_);_(@_)">
                  <c:v>311.93700000000001</c:v>
                </c:pt>
                <c:pt idx="599" formatCode="_(* #,##0_);_(* \(#,##0\);_(* &quot;-&quot;??_);_(@_)">
                  <c:v>304.48399999999998</c:v>
                </c:pt>
                <c:pt idx="600" formatCode="_(* #,##0_);_(* \(#,##0\);_(* &quot;-&quot;??_);_(@_)">
                  <c:v>307.94900000000001</c:v>
                </c:pt>
                <c:pt idx="601" formatCode="_(* #,##0_);_(* \(#,##0\);_(* &quot;-&quot;??_);_(@_)">
                  <c:v>309.142</c:v>
                </c:pt>
                <c:pt idx="602" formatCode="_(* #,##0_);_(* \(#,##0\);_(* &quot;-&quot;??_);_(@_)">
                  <c:v>309.29199999999997</c:v>
                </c:pt>
                <c:pt idx="603" formatCode="_(* #,##0_);_(* \(#,##0\);_(* &quot;-&quot;??_);_(@_)">
                  <c:v>306.17899999999997</c:v>
                </c:pt>
                <c:pt idx="604" formatCode="_(* #,##0_);_(* \(#,##0\);_(* &quot;-&quot;??_);_(@_)">
                  <c:v>304.72699999999998</c:v>
                </c:pt>
                <c:pt idx="605" formatCode="_(* #,##0_);_(* \(#,##0\);_(* &quot;-&quot;??_);_(@_)">
                  <c:v>303.416</c:v>
                </c:pt>
                <c:pt idx="606" formatCode="_(* #,##0_);_(* \(#,##0\);_(* &quot;-&quot;??_);_(@_)">
                  <c:v>304.35599999999999</c:v>
                </c:pt>
                <c:pt idx="607" formatCode="_(* #,##0_);_(* \(#,##0\);_(* &quot;-&quot;??_);_(@_)">
                  <c:v>302.18799999999999</c:v>
                </c:pt>
                <c:pt idx="608" formatCode="_(* #,##0_);_(* \(#,##0\);_(* &quot;-&quot;??_);_(@_)">
                  <c:v>301.33100000000002</c:v>
                </c:pt>
                <c:pt idx="609" formatCode="_(* #,##0_);_(* \(#,##0\);_(* &quot;-&quot;??_);_(@_)">
                  <c:v>301.33100000000002</c:v>
                </c:pt>
                <c:pt idx="610" formatCode="_(* #,##0_);_(* \(#,##0\);_(* &quot;-&quot;??_);_(@_)">
                  <c:v>304.21600000000001</c:v>
                </c:pt>
                <c:pt idx="611" formatCode="_(* #,##0_);_(* \(#,##0\);_(* &quot;-&quot;??_);_(@_)">
                  <c:v>298.02100000000002</c:v>
                </c:pt>
                <c:pt idx="612" formatCode="_(* #,##0_);_(* \(#,##0\);_(* &quot;-&quot;??_);_(@_)">
                  <c:v>298.74700000000001</c:v>
                </c:pt>
                <c:pt idx="613" formatCode="_(* #,##0_);_(* \(#,##0\);_(* &quot;-&quot;??_);_(@_)">
                  <c:v>289.75200000000001</c:v>
                </c:pt>
                <c:pt idx="614" formatCode="_(* #,##0_);_(* \(#,##0\);_(* &quot;-&quot;??_);_(@_)">
                  <c:v>281.149</c:v>
                </c:pt>
                <c:pt idx="615" formatCode="_(* #,##0_);_(* \(#,##0\);_(* &quot;-&quot;??_);_(@_)">
                  <c:v>280.06099999999998</c:v>
                </c:pt>
                <c:pt idx="616" formatCode="_(* #,##0_);_(* \(#,##0\);_(* &quot;-&quot;??_);_(@_)">
                  <c:v>278.17599999999999</c:v>
                </c:pt>
                <c:pt idx="617" formatCode="_(* #,##0_);_(* \(#,##0\);_(* &quot;-&quot;??_);_(@_)">
                  <c:v>285.87700000000001</c:v>
                </c:pt>
                <c:pt idx="618" formatCode="_(* #,##0_);_(* \(#,##0\);_(* &quot;-&quot;??_);_(@_)">
                  <c:v>287.66699999999997</c:v>
                </c:pt>
                <c:pt idx="619" formatCode="_(* #,##0_);_(* \(#,##0\);_(* &quot;-&quot;??_);_(@_)">
                  <c:v>287.19799999999998</c:v>
                </c:pt>
                <c:pt idx="620" formatCode="_(* #,##0_);_(* \(#,##0\);_(* &quot;-&quot;??_);_(@_)">
                  <c:v>287.738</c:v>
                </c:pt>
                <c:pt idx="621" formatCode="_(* #,##0_);_(* \(#,##0\);_(* &quot;-&quot;??_);_(@_)">
                  <c:v>284.67700000000002</c:v>
                </c:pt>
                <c:pt idx="622" formatCode="_(* #,##0_);_(* \(#,##0\);_(* &quot;-&quot;??_);_(@_)">
                  <c:v>292.10500000000002</c:v>
                </c:pt>
                <c:pt idx="623" formatCode="_(* #,##0_);_(* \(#,##0\);_(* &quot;-&quot;??_);_(@_)">
                  <c:v>291.80900000000003</c:v>
                </c:pt>
                <c:pt idx="624" formatCode="_(* #,##0_);_(* \(#,##0\);_(* &quot;-&quot;??_);_(@_)">
                  <c:v>292.51</c:v>
                </c:pt>
                <c:pt idx="625" formatCode="_(* #,##0_);_(* \(#,##0\);_(* &quot;-&quot;??_);_(@_)">
                  <c:v>297.57100000000003</c:v>
                </c:pt>
                <c:pt idx="626" formatCode="_(* #,##0_);_(* \(#,##0\);_(* &quot;-&quot;??_);_(@_)">
                  <c:v>293.464</c:v>
                </c:pt>
                <c:pt idx="627" formatCode="_(* #,##0_);_(* \(#,##0\);_(* &quot;-&quot;??_);_(@_)">
                  <c:v>294.69200000000001</c:v>
                </c:pt>
                <c:pt idx="628" formatCode="_(* #,##0_);_(* \(#,##0\);_(* &quot;-&quot;??_);_(@_)">
                  <c:v>297.75799999999998</c:v>
                </c:pt>
                <c:pt idx="629" formatCode="_(* #,##0_);_(* \(#,##0\);_(* &quot;-&quot;??_);_(@_)">
                  <c:v>297.75799999999998</c:v>
                </c:pt>
                <c:pt idx="630" formatCode="_(* #,##0_);_(* \(#,##0\);_(* &quot;-&quot;??_);_(@_)">
                  <c:v>294.358</c:v>
                </c:pt>
                <c:pt idx="631" formatCode="_(* #,##0_);_(* \(#,##0\);_(* &quot;-&quot;??_);_(@_)">
                  <c:v>295.54899999999998</c:v>
                </c:pt>
                <c:pt idx="632" formatCode="_(* #,##0_);_(* \(#,##0\);_(* &quot;-&quot;??_);_(@_)">
                  <c:v>291.803</c:v>
                </c:pt>
                <c:pt idx="633" formatCode="_(* #,##0_);_(* \(#,##0\);_(* &quot;-&quot;??_);_(@_)">
                  <c:v>296.608</c:v>
                </c:pt>
                <c:pt idx="634" formatCode="_(* #,##0_);_(* \(#,##0\);_(* &quot;-&quot;??_);_(@_)">
                  <c:v>297.68</c:v>
                </c:pt>
                <c:pt idx="635" formatCode="_(* #,##0_);_(* \(#,##0\);_(* &quot;-&quot;??_);_(@_)">
                  <c:v>295.72399999999999</c:v>
                </c:pt>
                <c:pt idx="636" formatCode="_(* #,##0_);_(* \(#,##0\);_(* &quot;-&quot;??_);_(@_)">
                  <c:v>296.72699999999998</c:v>
                </c:pt>
                <c:pt idx="637" formatCode="_(* #,##0_);_(* \(#,##0\);_(* &quot;-&quot;??_);_(@_)">
                  <c:v>301.459</c:v>
                </c:pt>
                <c:pt idx="638" formatCode="_(* #,##0_);_(* \(#,##0\);_(* &quot;-&quot;??_);_(@_)">
                  <c:v>297.67</c:v>
                </c:pt>
                <c:pt idx="639" formatCode="_(* #,##0_);_(* \(#,##0\);_(* &quot;-&quot;??_);_(@_)">
                  <c:v>292.81799999999998</c:v>
                </c:pt>
                <c:pt idx="640" formatCode="_(* #,##0_);_(* \(#,##0\);_(* &quot;-&quot;??_);_(@_)">
                  <c:v>298.029</c:v>
                </c:pt>
                <c:pt idx="641" formatCode="_(* #,##0_);_(* \(#,##0\);_(* &quot;-&quot;??_);_(@_)">
                  <c:v>289.49099999999999</c:v>
                </c:pt>
                <c:pt idx="642" formatCode="_(* #,##0_);_(* \(#,##0\);_(* &quot;-&quot;??_);_(@_)">
                  <c:v>298.30200000000002</c:v>
                </c:pt>
                <c:pt idx="643" formatCode="_(* #,##0_);_(* \(#,##0\);_(* &quot;-&quot;??_);_(@_)">
                  <c:v>301.678</c:v>
                </c:pt>
                <c:pt idx="644" formatCode="_(* #,##0_);_(* \(#,##0\);_(* &quot;-&quot;??_);_(@_)">
                  <c:v>293.72500000000002</c:v>
                </c:pt>
                <c:pt idx="645" formatCode="_(* #,##0_);_(* \(#,##0\);_(* &quot;-&quot;??_);_(@_)">
                  <c:v>295.25200000000001</c:v>
                </c:pt>
                <c:pt idx="646" formatCode="_(* #,##0_);_(* \(#,##0\);_(* &quot;-&quot;??_);_(@_)">
                  <c:v>289.39400000000001</c:v>
                </c:pt>
                <c:pt idx="647" formatCode="_(* #,##0_);_(* \(#,##0\);_(* &quot;-&quot;??_);_(@_)">
                  <c:v>283.66800000000001</c:v>
                </c:pt>
                <c:pt idx="648" formatCode="_(* #,##0_);_(* \(#,##0\);_(* &quot;-&quot;??_);_(@_)">
                  <c:v>281.68200000000002</c:v>
                </c:pt>
                <c:pt idx="649" formatCode="_(* #,##0_);_(* \(#,##0\);_(* &quot;-&quot;??_);_(@_)">
                  <c:v>277.90699999999998</c:v>
                </c:pt>
                <c:pt idx="650" formatCode="_(* #,##0_);_(* \(#,##0\);_(* &quot;-&quot;??_);_(@_)">
                  <c:v>275.97800000000001</c:v>
                </c:pt>
                <c:pt idx="651" formatCode="_(* #,##0_);_(* \(#,##0\);_(* &quot;-&quot;??_);_(@_)">
                  <c:v>275.84399999999999</c:v>
                </c:pt>
                <c:pt idx="652" formatCode="_(* #,##0_);_(* \(#,##0\);_(* &quot;-&quot;??_);_(@_)">
                  <c:v>276.06</c:v>
                </c:pt>
                <c:pt idx="653" formatCode="_(* #,##0_);_(* \(#,##0\);_(* &quot;-&quot;??_);_(@_)">
                  <c:v>275.80599999999998</c:v>
                </c:pt>
                <c:pt idx="654" formatCode="_(* #,##0_);_(* \(#,##0\);_(* &quot;-&quot;??_);_(@_)">
                  <c:v>276.02999999999997</c:v>
                </c:pt>
                <c:pt idx="655" formatCode="_(* #,##0_);_(* \(#,##0\);_(* &quot;-&quot;??_);_(@_)">
                  <c:v>284.83199999999999</c:v>
                </c:pt>
                <c:pt idx="656" formatCode="_(* #,##0_);_(* \(#,##0\);_(* &quot;-&quot;??_);_(@_)">
                  <c:v>278.94099999999997</c:v>
                </c:pt>
                <c:pt idx="657" formatCode="_(* #,##0_);_(* \(#,##0\);_(* &quot;-&quot;??_);_(@_)">
                  <c:v>283.47800000000001</c:v>
                </c:pt>
                <c:pt idx="658" formatCode="_(* #,##0_);_(* \(#,##0\);_(* &quot;-&quot;??_);_(@_)">
                  <c:v>279.56299999999999</c:v>
                </c:pt>
                <c:pt idx="659" formatCode="_(* #,##0_);_(* \(#,##0\);_(* &quot;-&quot;??_);_(@_)">
                  <c:v>276.17399999999998</c:v>
                </c:pt>
                <c:pt idx="660" formatCode="_(* #,##0_);_(* \(#,##0\);_(* &quot;-&quot;??_);_(@_)">
                  <c:v>269.92599999999999</c:v>
                </c:pt>
                <c:pt idx="661" formatCode="_(* #,##0_);_(* \(#,##0\);_(* &quot;-&quot;??_);_(@_)">
                  <c:v>278.762</c:v>
                </c:pt>
                <c:pt idx="662" formatCode="_(* #,##0_);_(* \(#,##0\);_(* &quot;-&quot;??_);_(@_)">
                  <c:v>282.38799999999998</c:v>
                </c:pt>
                <c:pt idx="663" formatCode="_(* #,##0_);_(* \(#,##0\);_(* &quot;-&quot;??_);_(@_)">
                  <c:v>281.21600000000001</c:v>
                </c:pt>
                <c:pt idx="664" formatCode="_(* #,##0_);_(* \(#,##0\);_(* &quot;-&quot;??_);_(@_)">
                  <c:v>293.93</c:v>
                </c:pt>
                <c:pt idx="665" formatCode="_(* #,##0_);_(* \(#,##0\);_(* &quot;-&quot;??_);_(@_)">
                  <c:v>290.56400000000002</c:v>
                </c:pt>
                <c:pt idx="666" formatCode="_(* #,##0_);_(* \(#,##0\);_(* &quot;-&quot;??_);_(@_)">
                  <c:v>284.21499999999997</c:v>
                </c:pt>
                <c:pt idx="667" formatCode="_(* #,##0_);_(* \(#,##0\);_(* &quot;-&quot;??_);_(@_)">
                  <c:v>286.83699999999999</c:v>
                </c:pt>
                <c:pt idx="668" formatCode="_(* #,##0_);_(* \(#,##0\);_(* &quot;-&quot;??_);_(@_)">
                  <c:v>286.88099999999997</c:v>
                </c:pt>
                <c:pt idx="669" formatCode="_(* #,##0_);_(* \(#,##0\);_(* &quot;-&quot;??_);_(@_)">
                  <c:v>285.16699999999997</c:v>
                </c:pt>
                <c:pt idx="670" formatCode="_(* #,##0_);_(* \(#,##0\);_(* &quot;-&quot;??_);_(@_)">
                  <c:v>290.87</c:v>
                </c:pt>
                <c:pt idx="671" formatCode="_(* #,##0_);_(* \(#,##0\);_(* &quot;-&quot;??_);_(@_)">
                  <c:v>291.24700000000001</c:v>
                </c:pt>
                <c:pt idx="672" formatCode="_(* #,##0_);_(* \(#,##0\);_(* &quot;-&quot;??_);_(@_)">
                  <c:v>287.178</c:v>
                </c:pt>
                <c:pt idx="673" formatCode="_(* #,##0_);_(* \(#,##0\);_(* &quot;-&quot;??_);_(@_)">
                  <c:v>290.976</c:v>
                </c:pt>
                <c:pt idx="674" formatCode="_(* #,##0_);_(* \(#,##0\);_(* &quot;-&quot;??_);_(@_)">
                  <c:v>293.74</c:v>
                </c:pt>
                <c:pt idx="675" formatCode="_(* #,##0_);_(* \(#,##0\);_(* &quot;-&quot;??_);_(@_)">
                  <c:v>297.053</c:v>
                </c:pt>
                <c:pt idx="676" formatCode="_(* #,##0_);_(* \(#,##0\);_(* &quot;-&quot;??_);_(@_)">
                  <c:v>295.66899999999998</c:v>
                </c:pt>
                <c:pt idx="677" formatCode="_(* #,##0_);_(* \(#,##0\);_(* &quot;-&quot;??_);_(@_)">
                  <c:v>291.06299999999999</c:v>
                </c:pt>
                <c:pt idx="678" formatCode="_(* #,##0_);_(* \(#,##0\);_(* &quot;-&quot;??_);_(@_)">
                  <c:v>283.08499999999998</c:v>
                </c:pt>
                <c:pt idx="679" formatCode="_(* #,##0_);_(* \(#,##0\);_(* &quot;-&quot;??_);_(@_)">
                  <c:v>284.63</c:v>
                </c:pt>
                <c:pt idx="680" formatCode="_(* #,##0_);_(* \(#,##0\);_(* &quot;-&quot;??_);_(@_)">
                  <c:v>283.59699999999998</c:v>
                </c:pt>
                <c:pt idx="681" formatCode="_(* #,##0_);_(* \(#,##0\);_(* &quot;-&quot;??_);_(@_)">
                  <c:v>288.065</c:v>
                </c:pt>
                <c:pt idx="682" formatCode="_(* #,##0_);_(* \(#,##0\);_(* &quot;-&quot;??_);_(@_)">
                  <c:v>286.04700000000003</c:v>
                </c:pt>
                <c:pt idx="683" formatCode="_(* #,##0_);_(* \(#,##0\);_(* &quot;-&quot;??_);_(@_)">
                  <c:v>291.27199999999999</c:v>
                </c:pt>
                <c:pt idx="684" formatCode="_(* #,##0_);_(* \(#,##0\);_(* &quot;-&quot;??_);_(@_)">
                  <c:v>294.096</c:v>
                </c:pt>
                <c:pt idx="685" formatCode="_(* #,##0_);_(* \(#,##0\);_(* &quot;-&quot;??_);_(@_)">
                  <c:v>290.17</c:v>
                </c:pt>
                <c:pt idx="686" formatCode="_(* #,##0_);_(* \(#,##0\);_(* &quot;-&quot;??_);_(@_)">
                  <c:v>293.09399999999999</c:v>
                </c:pt>
                <c:pt idx="687" formatCode="_(* #,##0_);_(* \(#,##0\);_(* &quot;-&quot;??_);_(@_)">
                  <c:v>294.84300000000002</c:v>
                </c:pt>
                <c:pt idx="688" formatCode="_(* #,##0_);_(* \(#,##0\);_(* &quot;-&quot;??_);_(@_)">
                  <c:v>290.97899999999998</c:v>
                </c:pt>
                <c:pt idx="689" formatCode="_(* #,##0_);_(* \(#,##0\);_(* &quot;-&quot;??_);_(@_)">
                  <c:v>295.14400000000001</c:v>
                </c:pt>
                <c:pt idx="690" formatCode="_(* #,##0_);_(* \(#,##0\);_(* &quot;-&quot;??_);_(@_)">
                  <c:v>290.20800000000003</c:v>
                </c:pt>
                <c:pt idx="691" formatCode="_(* #,##0_);_(* \(#,##0\);_(* &quot;-&quot;??_);_(@_)">
                  <c:v>284.41500000000002</c:v>
                </c:pt>
                <c:pt idx="692" formatCode="_(* #,##0_);_(* \(#,##0\);_(* &quot;-&quot;??_);_(@_)">
                  <c:v>284.351</c:v>
                </c:pt>
                <c:pt idx="693" formatCode="_(* #,##0_);_(* \(#,##0\);_(* &quot;-&quot;??_);_(@_)">
                  <c:v>286.41899999999998</c:v>
                </c:pt>
                <c:pt idx="694" formatCode="_(* #,##0_);_(* \(#,##0\);_(* &quot;-&quot;??_);_(@_)">
                  <c:v>286.41899999999998</c:v>
                </c:pt>
                <c:pt idx="695" formatCode="_(* #,##0_);_(* \(#,##0\);_(* &quot;-&quot;??_);_(@_)">
                  <c:v>285.10300000000001</c:v>
                </c:pt>
                <c:pt idx="696" formatCode="_(* #,##0_);_(* \(#,##0\);_(* &quot;-&quot;??_);_(@_)">
                  <c:v>284.56200000000001</c:v>
                </c:pt>
                <c:pt idx="697" formatCode="_(* #,##0_);_(* \(#,##0\);_(* &quot;-&quot;??_);_(@_)">
                  <c:v>280.35300000000001</c:v>
                </c:pt>
                <c:pt idx="698" formatCode="_(* #,##0_);_(* \(#,##0\);_(* &quot;-&quot;??_);_(@_)">
                  <c:v>278.48700000000002</c:v>
                </c:pt>
                <c:pt idx="699" formatCode="_(* #,##0_);_(* \(#,##0\);_(* &quot;-&quot;??_);_(@_)">
                  <c:v>277.69299999999998</c:v>
                </c:pt>
                <c:pt idx="700" formatCode="_(* #,##0_);_(* \(#,##0\);_(* &quot;-&quot;??_);_(@_)">
                  <c:v>273.67599999999999</c:v>
                </c:pt>
                <c:pt idx="701" formatCode="_(* #,##0_);_(* \(#,##0\);_(* &quot;-&quot;??_);_(@_)">
                  <c:v>273.88299999999998</c:v>
                </c:pt>
                <c:pt idx="702" formatCode="_(* #,##0_);_(* \(#,##0\);_(* &quot;-&quot;??_);_(@_)">
                  <c:v>275.834</c:v>
                </c:pt>
                <c:pt idx="703" formatCode="_(* #,##0_);_(* \(#,##0\);_(* &quot;-&quot;??_);_(@_)">
                  <c:v>271.024</c:v>
                </c:pt>
                <c:pt idx="704" formatCode="_(* #,##0_);_(* \(#,##0\);_(* &quot;-&quot;??_);_(@_)">
                  <c:v>270.83999999999997</c:v>
                </c:pt>
                <c:pt idx="705" formatCode="_(* #,##0_);_(* \(#,##0\);_(* &quot;-&quot;??_);_(@_)">
                  <c:v>269.709</c:v>
                </c:pt>
              </c:numCache>
            </c:numRef>
          </c:val>
          <c:smooth val="0"/>
          <c:extLst>
            <c:ext xmlns:c16="http://schemas.microsoft.com/office/drawing/2014/chart" uri="{C3380CC4-5D6E-409C-BE32-E72D297353CC}">
              <c16:uniqueId val="{00000003-7C05-4062-8901-959CCCC822C5}"/>
            </c:ext>
          </c:extLst>
        </c:ser>
        <c:ser>
          <c:idx val="4"/>
          <c:order val="4"/>
          <c:tx>
            <c:strRef>
              <c:f>Sheet1!$F$1</c:f>
              <c:strCache>
                <c:ptCount val="1"/>
                <c:pt idx="0">
                  <c:v>Ադրբեջան (2024թ.)</c:v>
                </c:pt>
              </c:strCache>
            </c:strRef>
          </c:tx>
          <c:spPr>
            <a:ln w="28575" cap="rnd">
              <a:solidFill>
                <a:schemeClr val="accent6">
                  <a:lumMod val="75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Sheet1!$F$2:$F$707</c:f>
              <c:numCache>
                <c:formatCode>_(* #,##0_);_(* \(#,##0\);_(* "-"??_);_(@_)</c:formatCode>
                <c:ptCount val="706"/>
                <c:pt idx="0">
                  <c:v>219.73599999999999</c:v>
                </c:pt>
                <c:pt idx="1">
                  <c:v>218.94</c:v>
                </c:pt>
                <c:pt idx="2">
                  <c:v>224.01599999999999</c:v>
                </c:pt>
                <c:pt idx="3">
                  <c:v>208.94</c:v>
                </c:pt>
                <c:pt idx="4">
                  <c:v>193.09700000000001</c:v>
                </c:pt>
                <c:pt idx="5">
                  <c:v>193.083</c:v>
                </c:pt>
                <c:pt idx="6">
                  <c:v>195.28</c:v>
                </c:pt>
                <c:pt idx="7">
                  <c:v>199.90899999999999</c:v>
                </c:pt>
                <c:pt idx="8">
                  <c:v>198.30199999999999</c:v>
                </c:pt>
                <c:pt idx="9">
                  <c:v>199.68299999999999</c:v>
                </c:pt>
                <c:pt idx="10">
                  <c:v>196.39699999999999</c:v>
                </c:pt>
                <c:pt idx="11">
                  <c:v>188.75299999999999</c:v>
                </c:pt>
                <c:pt idx="12">
                  <c:v>183.23099999999999</c:v>
                </c:pt>
                <c:pt idx="13">
                  <c:v>166.274</c:v>
                </c:pt>
                <c:pt idx="14">
                  <c:v>165.505</c:v>
                </c:pt>
                <c:pt idx="15">
                  <c:v>170.036</c:v>
                </c:pt>
                <c:pt idx="16">
                  <c:v>170.88200000000001</c:v>
                </c:pt>
                <c:pt idx="17">
                  <c:v>169.494</c:v>
                </c:pt>
                <c:pt idx="18">
                  <c:v>170.256</c:v>
                </c:pt>
                <c:pt idx="19">
                  <c:v>187.989</c:v>
                </c:pt>
                <c:pt idx="20">
                  <c:v>188.595</c:v>
                </c:pt>
                <c:pt idx="21">
                  <c:v>187.114</c:v>
                </c:pt>
                <c:pt idx="22">
                  <c:v>178.70099999999999</c:v>
                </c:pt>
                <c:pt idx="23">
                  <c:v>168.60599999999999</c:v>
                </c:pt>
                <c:pt idx="24">
                  <c:v>162.84299999999999</c:v>
                </c:pt>
                <c:pt idx="25">
                  <c:v>155.25899999999999</c:v>
                </c:pt>
                <c:pt idx="26">
                  <c:v>157.43700000000001</c:v>
                </c:pt>
                <c:pt idx="27">
                  <c:v>168.221</c:v>
                </c:pt>
                <c:pt idx="28">
                  <c:v>171.32499999999999</c:v>
                </c:pt>
                <c:pt idx="29">
                  <c:v>169.00399999999999</c:v>
                </c:pt>
                <c:pt idx="30">
                  <c:v>170.24199999999999</c:v>
                </c:pt>
                <c:pt idx="31">
                  <c:v>158.999</c:v>
                </c:pt>
                <c:pt idx="32">
                  <c:v>171.011</c:v>
                </c:pt>
                <c:pt idx="33">
                  <c:v>167.767</c:v>
                </c:pt>
                <c:pt idx="34">
                  <c:v>162.86500000000001</c:v>
                </c:pt>
                <c:pt idx="35">
                  <c:v>163.285</c:v>
                </c:pt>
                <c:pt idx="36">
                  <c:v>163.30500000000001</c:v>
                </c:pt>
                <c:pt idx="37">
                  <c:v>164.51</c:v>
                </c:pt>
                <c:pt idx="38">
                  <c:v>166.04300000000001</c:v>
                </c:pt>
                <c:pt idx="39">
                  <c:v>164.506</c:v>
                </c:pt>
                <c:pt idx="40">
                  <c:v>171.60599999999999</c:v>
                </c:pt>
                <c:pt idx="41">
                  <c:v>165.965</c:v>
                </c:pt>
                <c:pt idx="42">
                  <c:v>163.94200000000001</c:v>
                </c:pt>
                <c:pt idx="43">
                  <c:v>165.49299999999999</c:v>
                </c:pt>
                <c:pt idx="44">
                  <c:v>171.113</c:v>
                </c:pt>
                <c:pt idx="45">
                  <c:v>171.459</c:v>
                </c:pt>
                <c:pt idx="46">
                  <c:v>170.43</c:v>
                </c:pt>
                <c:pt idx="47">
                  <c:v>175.98099999999999</c:v>
                </c:pt>
                <c:pt idx="48">
                  <c:v>176.87</c:v>
                </c:pt>
                <c:pt idx="49">
                  <c:v>169.27</c:v>
                </c:pt>
                <c:pt idx="50">
                  <c:v>167.91399999999999</c:v>
                </c:pt>
                <c:pt idx="51">
                  <c:v>165.22</c:v>
                </c:pt>
                <c:pt idx="52">
                  <c:v>161.077</c:v>
                </c:pt>
                <c:pt idx="53">
                  <c:v>157.70500000000001</c:v>
                </c:pt>
                <c:pt idx="54">
                  <c:v>149.16</c:v>
                </c:pt>
                <c:pt idx="55">
                  <c:v>146.678</c:v>
                </c:pt>
                <c:pt idx="56">
                  <c:v>152.33699999999999</c:v>
                </c:pt>
                <c:pt idx="57">
                  <c:v>149.56200000000001</c:v>
                </c:pt>
                <c:pt idx="58">
                  <c:v>161.197</c:v>
                </c:pt>
                <c:pt idx="59">
                  <c:v>165.84899999999999</c:v>
                </c:pt>
                <c:pt idx="60">
                  <c:v>158.72</c:v>
                </c:pt>
                <c:pt idx="61">
                  <c:v>164.21</c:v>
                </c:pt>
                <c:pt idx="62">
                  <c:v>161.392</c:v>
                </c:pt>
                <c:pt idx="63">
                  <c:v>162.15700000000001</c:v>
                </c:pt>
                <c:pt idx="64">
                  <c:v>154.858</c:v>
                </c:pt>
                <c:pt idx="65">
                  <c:v>157.18299999999999</c:v>
                </c:pt>
                <c:pt idx="66">
                  <c:v>161.26300000000001</c:v>
                </c:pt>
                <c:pt idx="67">
                  <c:v>163.934</c:v>
                </c:pt>
                <c:pt idx="68">
                  <c:v>166.33</c:v>
                </c:pt>
                <c:pt idx="69">
                  <c:v>164.37799999999999</c:v>
                </c:pt>
                <c:pt idx="70">
                  <c:v>164.01499999999999</c:v>
                </c:pt>
                <c:pt idx="71">
                  <c:v>170.708</c:v>
                </c:pt>
                <c:pt idx="72">
                  <c:v>174.86</c:v>
                </c:pt>
                <c:pt idx="73">
                  <c:v>171.548</c:v>
                </c:pt>
                <c:pt idx="74">
                  <c:v>166.76300000000001</c:v>
                </c:pt>
                <c:pt idx="75">
                  <c:v>163.15600000000001</c:v>
                </c:pt>
                <c:pt idx="76">
                  <c:v>162.44999999999999</c:v>
                </c:pt>
                <c:pt idx="77">
                  <c:v>163.345</c:v>
                </c:pt>
                <c:pt idx="78">
                  <c:v>163.345</c:v>
                </c:pt>
                <c:pt idx="79">
                  <c:v>163.99100000000001</c:v>
                </c:pt>
                <c:pt idx="80">
                  <c:v>165.476</c:v>
                </c:pt>
                <c:pt idx="81">
                  <c:v>165.001</c:v>
                </c:pt>
                <c:pt idx="82">
                  <c:v>165.80600000000001</c:v>
                </c:pt>
                <c:pt idx="83">
                  <c:v>166.95</c:v>
                </c:pt>
                <c:pt idx="84">
                  <c:v>160.57900000000001</c:v>
                </c:pt>
                <c:pt idx="85">
                  <c:v>158.762</c:v>
                </c:pt>
                <c:pt idx="86">
                  <c:v>156.511</c:v>
                </c:pt>
                <c:pt idx="87">
                  <c:v>153.66499999999999</c:v>
                </c:pt>
                <c:pt idx="88">
                  <c:v>156.59899999999999</c:v>
                </c:pt>
                <c:pt idx="89">
                  <c:v>169.995</c:v>
                </c:pt>
                <c:pt idx="90">
                  <c:v>165.12299999999999</c:v>
                </c:pt>
                <c:pt idx="91">
                  <c:v>168.40600000000001</c:v>
                </c:pt>
                <c:pt idx="92">
                  <c:v>171.084</c:v>
                </c:pt>
                <c:pt idx="93">
                  <c:v>167.95099999999999</c:v>
                </c:pt>
                <c:pt idx="94">
                  <c:v>176.41399999999999</c:v>
                </c:pt>
                <c:pt idx="95">
                  <c:v>178.77</c:v>
                </c:pt>
                <c:pt idx="96">
                  <c:v>179.727</c:v>
                </c:pt>
                <c:pt idx="97">
                  <c:v>170.46</c:v>
                </c:pt>
                <c:pt idx="98">
                  <c:v>168.73599999999999</c:v>
                </c:pt>
                <c:pt idx="99">
                  <c:v>164.02600000000001</c:v>
                </c:pt>
                <c:pt idx="100">
                  <c:v>159.90199999999999</c:v>
                </c:pt>
                <c:pt idx="101">
                  <c:v>163.16499999999999</c:v>
                </c:pt>
                <c:pt idx="102">
                  <c:v>173.69300000000001</c:v>
                </c:pt>
                <c:pt idx="103">
                  <c:v>171.786</c:v>
                </c:pt>
                <c:pt idx="104">
                  <c:v>170.47499999999999</c:v>
                </c:pt>
                <c:pt idx="105">
                  <c:v>174.453</c:v>
                </c:pt>
                <c:pt idx="106">
                  <c:v>174.12200000000001</c:v>
                </c:pt>
                <c:pt idx="107">
                  <c:v>176.631</c:v>
                </c:pt>
                <c:pt idx="108">
                  <c:v>185.99799999999999</c:v>
                </c:pt>
                <c:pt idx="109">
                  <c:v>198.233</c:v>
                </c:pt>
                <c:pt idx="110">
                  <c:v>192.83799999999999</c:v>
                </c:pt>
                <c:pt idx="111">
                  <c:v>184.97300000000001</c:v>
                </c:pt>
                <c:pt idx="112">
                  <c:v>181.85</c:v>
                </c:pt>
                <c:pt idx="113">
                  <c:v>180.48699999999999</c:v>
                </c:pt>
                <c:pt idx="114">
                  <c:v>169.316</c:v>
                </c:pt>
                <c:pt idx="115">
                  <c:v>167.75700000000001</c:v>
                </c:pt>
                <c:pt idx="116">
                  <c:v>174.49199999999999</c:v>
                </c:pt>
                <c:pt idx="117">
                  <c:v>179.94399999999999</c:v>
                </c:pt>
                <c:pt idx="118">
                  <c:v>176.654</c:v>
                </c:pt>
                <c:pt idx="119">
                  <c:v>172.89099999999999</c:v>
                </c:pt>
                <c:pt idx="120">
                  <c:v>167.21799999999999</c:v>
                </c:pt>
                <c:pt idx="121">
                  <c:v>168.99100000000001</c:v>
                </c:pt>
                <c:pt idx="122">
                  <c:v>144.35599999999999</c:v>
                </c:pt>
                <c:pt idx="123">
                  <c:v>156.31399999999999</c:v>
                </c:pt>
                <c:pt idx="124">
                  <c:v>166.261</c:v>
                </c:pt>
                <c:pt idx="125">
                  <c:v>171.41399999999999</c:v>
                </c:pt>
                <c:pt idx="126">
                  <c:v>170.52099999999999</c:v>
                </c:pt>
                <c:pt idx="127">
                  <c:v>170.95099999999999</c:v>
                </c:pt>
                <c:pt idx="128">
                  <c:v>173.529</c:v>
                </c:pt>
                <c:pt idx="129">
                  <c:v>164.91300000000001</c:v>
                </c:pt>
                <c:pt idx="130">
                  <c:v>169.03299999999999</c:v>
                </c:pt>
                <c:pt idx="131">
                  <c:v>168.00299999999999</c:v>
                </c:pt>
                <c:pt idx="132">
                  <c:v>168.37799999999999</c:v>
                </c:pt>
                <c:pt idx="133">
                  <c:v>161.58199999999999</c:v>
                </c:pt>
                <c:pt idx="134">
                  <c:v>161.376</c:v>
                </c:pt>
                <c:pt idx="135">
                  <c:v>160.41999999999999</c:v>
                </c:pt>
                <c:pt idx="136">
                  <c:v>162.17099999999999</c:v>
                </c:pt>
                <c:pt idx="137">
                  <c:v>153.89500000000001</c:v>
                </c:pt>
                <c:pt idx="138">
                  <c:v>158.726</c:v>
                </c:pt>
                <c:pt idx="139">
                  <c:v>160.85499999999999</c:v>
                </c:pt>
                <c:pt idx="140">
                  <c:v>161.63900000000001</c:v>
                </c:pt>
                <c:pt idx="141">
                  <c:v>161.86000000000001</c:v>
                </c:pt>
                <c:pt idx="142">
                  <c:v>164.548</c:v>
                </c:pt>
                <c:pt idx="143">
                  <c:v>158.12899999999999</c:v>
                </c:pt>
                <c:pt idx="144">
                  <c:v>153.113</c:v>
                </c:pt>
                <c:pt idx="145">
                  <c:v>145.255</c:v>
                </c:pt>
                <c:pt idx="146">
                  <c:v>144.226</c:v>
                </c:pt>
                <c:pt idx="147">
                  <c:v>136.119</c:v>
                </c:pt>
                <c:pt idx="148">
                  <c:v>134.08000000000001</c:v>
                </c:pt>
                <c:pt idx="149">
                  <c:v>133.024</c:v>
                </c:pt>
                <c:pt idx="150">
                  <c:v>134.81</c:v>
                </c:pt>
                <c:pt idx="151">
                  <c:v>134.72999999999999</c:v>
                </c:pt>
                <c:pt idx="152">
                  <c:v>152.91999999999999</c:v>
                </c:pt>
                <c:pt idx="153">
                  <c:v>161.636</c:v>
                </c:pt>
                <c:pt idx="154">
                  <c:v>183.57</c:v>
                </c:pt>
                <c:pt idx="155">
                  <c:v>179.971</c:v>
                </c:pt>
                <c:pt idx="156">
                  <c:v>171.74100000000001</c:v>
                </c:pt>
                <c:pt idx="157">
                  <c:v>171.36099999999999</c:v>
                </c:pt>
                <c:pt idx="158">
                  <c:v>165.488</c:v>
                </c:pt>
                <c:pt idx="159">
                  <c:v>174.10499999999999</c:v>
                </c:pt>
                <c:pt idx="160">
                  <c:v>168.53</c:v>
                </c:pt>
                <c:pt idx="161">
                  <c:v>177.33699999999999</c:v>
                </c:pt>
                <c:pt idx="162">
                  <c:v>190.69800000000001</c:v>
                </c:pt>
                <c:pt idx="163">
                  <c:v>187.815</c:v>
                </c:pt>
                <c:pt idx="164">
                  <c:v>183.83600000000001</c:v>
                </c:pt>
                <c:pt idx="165">
                  <c:v>186.92599999999999</c:v>
                </c:pt>
                <c:pt idx="166">
                  <c:v>180.846</c:v>
                </c:pt>
                <c:pt idx="167">
                  <c:v>179.64699999999999</c:v>
                </c:pt>
                <c:pt idx="168">
                  <c:v>188.595</c:v>
                </c:pt>
                <c:pt idx="169">
                  <c:v>191.53100000000001</c:v>
                </c:pt>
                <c:pt idx="170">
                  <c:v>190.893</c:v>
                </c:pt>
                <c:pt idx="171">
                  <c:v>187.66800000000001</c:v>
                </c:pt>
                <c:pt idx="172">
                  <c:v>178.57300000000001</c:v>
                </c:pt>
                <c:pt idx="173">
                  <c:v>171.36799999999999</c:v>
                </c:pt>
                <c:pt idx="174">
                  <c:v>161.35</c:v>
                </c:pt>
                <c:pt idx="175">
                  <c:v>166.227</c:v>
                </c:pt>
                <c:pt idx="176">
                  <c:v>165.17099999999999</c:v>
                </c:pt>
                <c:pt idx="177">
                  <c:v>156.703</c:v>
                </c:pt>
                <c:pt idx="178">
                  <c:v>166.00899999999999</c:v>
                </c:pt>
                <c:pt idx="179">
                  <c:v>165.84399999999999</c:v>
                </c:pt>
                <c:pt idx="180">
                  <c:v>162.751</c:v>
                </c:pt>
                <c:pt idx="181">
                  <c:v>170.875</c:v>
                </c:pt>
                <c:pt idx="182">
                  <c:v>165.13900000000001</c:v>
                </c:pt>
                <c:pt idx="183">
                  <c:v>163.411</c:v>
                </c:pt>
                <c:pt idx="184">
                  <c:v>167.31100000000001</c:v>
                </c:pt>
                <c:pt idx="185">
                  <c:v>165.78399999999999</c:v>
                </c:pt>
                <c:pt idx="186">
                  <c:v>161.60900000000001</c:v>
                </c:pt>
                <c:pt idx="187">
                  <c:v>162.49199999999999</c:v>
                </c:pt>
                <c:pt idx="188">
                  <c:v>156.833</c:v>
                </c:pt>
                <c:pt idx="189">
                  <c:v>155.541</c:v>
                </c:pt>
                <c:pt idx="190">
                  <c:v>160.43199999999999</c:v>
                </c:pt>
                <c:pt idx="191">
                  <c:v>162.19900000000001</c:v>
                </c:pt>
                <c:pt idx="192">
                  <c:v>168.077</c:v>
                </c:pt>
                <c:pt idx="193">
                  <c:v>165.04300000000001</c:v>
                </c:pt>
                <c:pt idx="194">
                  <c:v>171.07499999999999</c:v>
                </c:pt>
                <c:pt idx="195">
                  <c:v>181.11799999999999</c:v>
                </c:pt>
                <c:pt idx="196">
                  <c:v>194.10499999999999</c:v>
                </c:pt>
                <c:pt idx="197">
                  <c:v>201.07900000000001</c:v>
                </c:pt>
                <c:pt idx="198">
                  <c:v>194.119</c:v>
                </c:pt>
                <c:pt idx="199">
                  <c:v>190.19499999999999</c:v>
                </c:pt>
                <c:pt idx="200">
                  <c:v>196.49199999999999</c:v>
                </c:pt>
                <c:pt idx="201">
                  <c:v>191.203</c:v>
                </c:pt>
                <c:pt idx="202">
                  <c:v>182.56299999999999</c:v>
                </c:pt>
                <c:pt idx="203">
                  <c:v>175.566</c:v>
                </c:pt>
                <c:pt idx="204">
                  <c:v>173.523</c:v>
                </c:pt>
                <c:pt idx="205">
                  <c:v>169.404</c:v>
                </c:pt>
                <c:pt idx="206">
                  <c:v>169.71199999999999</c:v>
                </c:pt>
                <c:pt idx="207">
                  <c:v>166.77199999999999</c:v>
                </c:pt>
                <c:pt idx="208">
                  <c:v>165.369</c:v>
                </c:pt>
                <c:pt idx="209">
                  <c:v>164.249</c:v>
                </c:pt>
                <c:pt idx="210">
                  <c:v>165.136</c:v>
                </c:pt>
                <c:pt idx="211">
                  <c:v>162.54300000000001</c:v>
                </c:pt>
                <c:pt idx="212">
                  <c:v>163.36199999999999</c:v>
                </c:pt>
                <c:pt idx="213">
                  <c:v>159.96799999999999</c:v>
                </c:pt>
                <c:pt idx="214">
                  <c:v>166.761</c:v>
                </c:pt>
                <c:pt idx="215">
                  <c:v>165.696</c:v>
                </c:pt>
                <c:pt idx="216">
                  <c:v>170.56200000000001</c:v>
                </c:pt>
                <c:pt idx="217">
                  <c:v>174.57499999999999</c:v>
                </c:pt>
                <c:pt idx="218">
                  <c:v>166.358</c:v>
                </c:pt>
                <c:pt idx="219">
                  <c:v>156.93700000000001</c:v>
                </c:pt>
                <c:pt idx="220">
                  <c:v>155.78</c:v>
                </c:pt>
                <c:pt idx="221">
                  <c:v>159.68</c:v>
                </c:pt>
                <c:pt idx="222">
                  <c:v>156.84200000000001</c:v>
                </c:pt>
                <c:pt idx="223">
                  <c:v>156.411</c:v>
                </c:pt>
                <c:pt idx="224">
                  <c:v>157.40899999999999</c:v>
                </c:pt>
                <c:pt idx="225">
                  <c:v>159.71199999999999</c:v>
                </c:pt>
                <c:pt idx="226">
                  <c:v>160.02500000000001</c:v>
                </c:pt>
                <c:pt idx="227">
                  <c:v>161.41200000000001</c:v>
                </c:pt>
                <c:pt idx="228">
                  <c:v>150.62700000000001</c:v>
                </c:pt>
                <c:pt idx="229">
                  <c:v>152.232</c:v>
                </c:pt>
                <c:pt idx="230">
                  <c:v>154.965</c:v>
                </c:pt>
                <c:pt idx="231">
                  <c:v>153.63900000000001</c:v>
                </c:pt>
                <c:pt idx="232">
                  <c:v>144.422</c:v>
                </c:pt>
                <c:pt idx="233">
                  <c:v>139.767</c:v>
                </c:pt>
                <c:pt idx="234">
                  <c:v>142.73699999999999</c:v>
                </c:pt>
                <c:pt idx="235">
                  <c:v>145.33099999999999</c:v>
                </c:pt>
                <c:pt idx="236">
                  <c:v>141.26900000000001</c:v>
                </c:pt>
                <c:pt idx="237">
                  <c:v>138.13800000000001</c:v>
                </c:pt>
                <c:pt idx="238">
                  <c:v>133.83199999999999</c:v>
                </c:pt>
                <c:pt idx="239">
                  <c:v>140.62700000000001</c:v>
                </c:pt>
                <c:pt idx="240">
                  <c:v>148.72999999999999</c:v>
                </c:pt>
                <c:pt idx="241">
                  <c:v>140.875</c:v>
                </c:pt>
                <c:pt idx="242">
                  <c:v>137.55000000000001</c:v>
                </c:pt>
                <c:pt idx="243">
                  <c:v>136.04400000000001</c:v>
                </c:pt>
                <c:pt idx="244">
                  <c:v>137.119</c:v>
                </c:pt>
                <c:pt idx="245">
                  <c:v>137.584</c:v>
                </c:pt>
                <c:pt idx="246">
                  <c:v>135.46299999999999</c:v>
                </c:pt>
                <c:pt idx="247">
                  <c:v>124.08199999999999</c:v>
                </c:pt>
                <c:pt idx="248">
                  <c:v>131.405</c:v>
                </c:pt>
                <c:pt idx="249">
                  <c:v>124.483</c:v>
                </c:pt>
                <c:pt idx="250">
                  <c:v>124.955</c:v>
                </c:pt>
                <c:pt idx="251">
                  <c:v>119.07899999999999</c:v>
                </c:pt>
                <c:pt idx="252">
                  <c:v>119.375</c:v>
                </c:pt>
                <c:pt idx="253">
                  <c:v>120.867</c:v>
                </c:pt>
                <c:pt idx="254">
                  <c:v>119.31</c:v>
                </c:pt>
                <c:pt idx="255">
                  <c:v>120.041</c:v>
                </c:pt>
                <c:pt idx="256">
                  <c:v>120.041</c:v>
                </c:pt>
                <c:pt idx="257">
                  <c:v>120.041</c:v>
                </c:pt>
                <c:pt idx="258">
                  <c:v>122.747</c:v>
                </c:pt>
                <c:pt idx="259">
                  <c:v>124.134</c:v>
                </c:pt>
                <c:pt idx="260">
                  <c:v>121.98699999999999</c:v>
                </c:pt>
                <c:pt idx="261">
                  <c:v>121.98699999999999</c:v>
                </c:pt>
                <c:pt idx="262">
                  <c:v>122.93300000000001</c:v>
                </c:pt>
                <c:pt idx="263">
                  <c:v>125.89700000000001</c:v>
                </c:pt>
                <c:pt idx="264">
                  <c:v>127.456</c:v>
                </c:pt>
                <c:pt idx="265">
                  <c:v>125.473</c:v>
                </c:pt>
                <c:pt idx="266">
                  <c:v>119.208</c:v>
                </c:pt>
                <c:pt idx="267">
                  <c:v>122.057</c:v>
                </c:pt>
                <c:pt idx="268">
                  <c:v>122.742</c:v>
                </c:pt>
                <c:pt idx="269">
                  <c:v>120.43600000000001</c:v>
                </c:pt>
                <c:pt idx="270">
                  <c:v>117.774</c:v>
                </c:pt>
                <c:pt idx="271">
                  <c:v>118.154</c:v>
                </c:pt>
                <c:pt idx="272">
                  <c:v>117.723</c:v>
                </c:pt>
                <c:pt idx="273">
                  <c:v>117.018</c:v>
                </c:pt>
                <c:pt idx="274">
                  <c:v>117.95399999999999</c:v>
                </c:pt>
                <c:pt idx="275">
                  <c:v>119.03</c:v>
                </c:pt>
                <c:pt idx="276">
                  <c:v>118.605</c:v>
                </c:pt>
                <c:pt idx="277">
                  <c:v>122.054</c:v>
                </c:pt>
                <c:pt idx="278">
                  <c:v>124.81699999999999</c:v>
                </c:pt>
                <c:pt idx="279">
                  <c:v>137.19900000000001</c:v>
                </c:pt>
                <c:pt idx="280">
                  <c:v>129.595</c:v>
                </c:pt>
                <c:pt idx="281">
                  <c:v>136.084</c:v>
                </c:pt>
                <c:pt idx="282">
                  <c:v>136.58099999999999</c:v>
                </c:pt>
                <c:pt idx="283">
                  <c:v>133.44300000000001</c:v>
                </c:pt>
                <c:pt idx="284">
                  <c:v>128.304</c:v>
                </c:pt>
                <c:pt idx="285">
                  <c:v>118.224</c:v>
                </c:pt>
                <c:pt idx="286">
                  <c:v>112.864</c:v>
                </c:pt>
                <c:pt idx="287">
                  <c:v>108.905</c:v>
                </c:pt>
                <c:pt idx="288">
                  <c:v>111.977</c:v>
                </c:pt>
                <c:pt idx="289">
                  <c:v>115.19799999999999</c:v>
                </c:pt>
                <c:pt idx="290">
                  <c:v>102.041</c:v>
                </c:pt>
                <c:pt idx="291">
                  <c:v>98.98</c:v>
                </c:pt>
                <c:pt idx="292">
                  <c:v>96.820999999999998</c:v>
                </c:pt>
                <c:pt idx="293">
                  <c:v>99.968000000000004</c:v>
                </c:pt>
                <c:pt idx="294">
                  <c:v>98.498000000000005</c:v>
                </c:pt>
                <c:pt idx="295">
                  <c:v>103.836</c:v>
                </c:pt>
                <c:pt idx="296">
                  <c:v>101.98</c:v>
                </c:pt>
                <c:pt idx="297">
                  <c:v>107.187</c:v>
                </c:pt>
                <c:pt idx="298">
                  <c:v>110.587</c:v>
                </c:pt>
                <c:pt idx="299">
                  <c:v>123.946</c:v>
                </c:pt>
                <c:pt idx="300">
                  <c:v>128.16300000000001</c:v>
                </c:pt>
                <c:pt idx="301">
                  <c:v>135.36199999999999</c:v>
                </c:pt>
                <c:pt idx="302">
                  <c:v>157.19399999999999</c:v>
                </c:pt>
                <c:pt idx="303">
                  <c:v>190.83199999999999</c:v>
                </c:pt>
                <c:pt idx="304">
                  <c:v>190.66300000000001</c:v>
                </c:pt>
                <c:pt idx="305">
                  <c:v>182.43700000000001</c:v>
                </c:pt>
                <c:pt idx="306">
                  <c:v>178.64599999999999</c:v>
                </c:pt>
                <c:pt idx="307">
                  <c:v>173.28200000000001</c:v>
                </c:pt>
                <c:pt idx="308">
                  <c:v>179.768</c:v>
                </c:pt>
                <c:pt idx="309">
                  <c:v>312.19099999999997</c:v>
                </c:pt>
                <c:pt idx="310">
                  <c:v>291.464</c:v>
                </c:pt>
                <c:pt idx="311">
                  <c:v>312.274</c:v>
                </c:pt>
                <c:pt idx="312">
                  <c:v>448.16800000000001</c:v>
                </c:pt>
                <c:pt idx="313">
                  <c:v>431.75599999999997</c:v>
                </c:pt>
                <c:pt idx="314">
                  <c:v>509.392</c:v>
                </c:pt>
                <c:pt idx="315">
                  <c:v>475.64699999999999</c:v>
                </c:pt>
                <c:pt idx="316">
                  <c:v>641.36300000000006</c:v>
                </c:pt>
                <c:pt idx="317">
                  <c:v>681.50599999999997</c:v>
                </c:pt>
                <c:pt idx="318">
                  <c:v>670.39099999999996</c:v>
                </c:pt>
                <c:pt idx="319">
                  <c:v>738.88099999999997</c:v>
                </c:pt>
                <c:pt idx="320">
                  <c:v>690.58</c:v>
                </c:pt>
                <c:pt idx="321">
                  <c:v>608.53099999999995</c:v>
                </c:pt>
                <c:pt idx="322">
                  <c:v>538.947</c:v>
                </c:pt>
                <c:pt idx="323">
                  <c:v>485.33199999999999</c:v>
                </c:pt>
                <c:pt idx="324">
                  <c:v>511.649</c:v>
                </c:pt>
                <c:pt idx="325">
                  <c:v>508.95299999999997</c:v>
                </c:pt>
                <c:pt idx="326">
                  <c:v>522.36699999999996</c:v>
                </c:pt>
                <c:pt idx="327">
                  <c:v>463.762</c:v>
                </c:pt>
                <c:pt idx="328">
                  <c:v>432.77300000000002</c:v>
                </c:pt>
                <c:pt idx="329">
                  <c:v>377.66199999999998</c:v>
                </c:pt>
                <c:pt idx="330">
                  <c:v>357.65</c:v>
                </c:pt>
                <c:pt idx="331">
                  <c:v>360.51499999999999</c:v>
                </c:pt>
                <c:pt idx="332">
                  <c:v>355.99299999999999</c:v>
                </c:pt>
                <c:pt idx="333">
                  <c:v>355.99299999999999</c:v>
                </c:pt>
                <c:pt idx="334">
                  <c:v>355.99299999999999</c:v>
                </c:pt>
                <c:pt idx="335">
                  <c:v>336.22300000000001</c:v>
                </c:pt>
                <c:pt idx="336">
                  <c:v>345.63499999999999</c:v>
                </c:pt>
                <c:pt idx="337">
                  <c:v>347.67899999999997</c:v>
                </c:pt>
                <c:pt idx="338">
                  <c:v>344.262</c:v>
                </c:pt>
                <c:pt idx="339">
                  <c:v>349.041</c:v>
                </c:pt>
                <c:pt idx="340">
                  <c:v>390.44</c:v>
                </c:pt>
                <c:pt idx="341">
                  <c:v>396.56299999999999</c:v>
                </c:pt>
                <c:pt idx="342">
                  <c:v>375.55599999999998</c:v>
                </c:pt>
                <c:pt idx="343">
                  <c:v>388.517</c:v>
                </c:pt>
                <c:pt idx="344">
                  <c:v>413.041</c:v>
                </c:pt>
                <c:pt idx="345">
                  <c:v>416.06799999999998</c:v>
                </c:pt>
                <c:pt idx="346">
                  <c:v>414.27199999999999</c:v>
                </c:pt>
                <c:pt idx="347">
                  <c:v>397.91500000000002</c:v>
                </c:pt>
                <c:pt idx="348">
                  <c:v>403.34699999999998</c:v>
                </c:pt>
                <c:pt idx="349">
                  <c:v>432.54500000000002</c:v>
                </c:pt>
                <c:pt idx="350">
                  <c:v>397.47800000000001</c:v>
                </c:pt>
                <c:pt idx="351">
                  <c:v>398.37299999999999</c:v>
                </c:pt>
                <c:pt idx="352">
                  <c:v>408.31200000000001</c:v>
                </c:pt>
                <c:pt idx="353">
                  <c:v>408.31200000000001</c:v>
                </c:pt>
                <c:pt idx="354">
                  <c:v>387.00799999999998</c:v>
                </c:pt>
                <c:pt idx="355">
                  <c:v>359.23899999999998</c:v>
                </c:pt>
                <c:pt idx="356">
                  <c:v>357.31299999999999</c:v>
                </c:pt>
                <c:pt idx="357">
                  <c:v>363.13600000000002</c:v>
                </c:pt>
                <c:pt idx="358">
                  <c:v>346.72500000000002</c:v>
                </c:pt>
                <c:pt idx="359">
                  <c:v>319.642</c:v>
                </c:pt>
                <c:pt idx="360">
                  <c:v>316.59800000000001</c:v>
                </c:pt>
                <c:pt idx="361">
                  <c:v>311.12799999999999</c:v>
                </c:pt>
                <c:pt idx="362">
                  <c:v>301.82100000000003</c:v>
                </c:pt>
                <c:pt idx="363">
                  <c:v>302.47899999999998</c:v>
                </c:pt>
                <c:pt idx="364">
                  <c:v>302.47899999999998</c:v>
                </c:pt>
                <c:pt idx="365">
                  <c:v>289.82799999999997</c:v>
                </c:pt>
                <c:pt idx="366">
                  <c:v>283.81700000000001</c:v>
                </c:pt>
                <c:pt idx="367">
                  <c:v>282.03800000000001</c:v>
                </c:pt>
                <c:pt idx="368">
                  <c:v>288.47699999999998</c:v>
                </c:pt>
                <c:pt idx="369">
                  <c:v>287.41699999999997</c:v>
                </c:pt>
                <c:pt idx="370">
                  <c:v>278.94499999999999</c:v>
                </c:pt>
                <c:pt idx="371">
                  <c:v>260.09199999999998</c:v>
                </c:pt>
                <c:pt idx="372">
                  <c:v>255.43299999999999</c:v>
                </c:pt>
                <c:pt idx="373">
                  <c:v>233.19200000000001</c:v>
                </c:pt>
                <c:pt idx="374">
                  <c:v>228.928</c:v>
                </c:pt>
                <c:pt idx="375">
                  <c:v>232.071</c:v>
                </c:pt>
                <c:pt idx="376">
                  <c:v>233.88800000000001</c:v>
                </c:pt>
                <c:pt idx="377">
                  <c:v>252.63300000000001</c:v>
                </c:pt>
                <c:pt idx="378">
                  <c:v>252.322</c:v>
                </c:pt>
                <c:pt idx="379">
                  <c:v>279.67599999999999</c:v>
                </c:pt>
                <c:pt idx="380">
                  <c:v>260.01600000000002</c:v>
                </c:pt>
                <c:pt idx="381">
                  <c:v>269.37299999999999</c:v>
                </c:pt>
                <c:pt idx="382">
                  <c:v>268.14999999999998</c:v>
                </c:pt>
                <c:pt idx="383">
                  <c:v>269.19600000000003</c:v>
                </c:pt>
                <c:pt idx="384">
                  <c:v>267.98899999999998</c:v>
                </c:pt>
                <c:pt idx="385">
                  <c:v>247.91800000000001</c:v>
                </c:pt>
                <c:pt idx="386">
                  <c:v>248.84899999999999</c:v>
                </c:pt>
                <c:pt idx="387">
                  <c:v>252.53</c:v>
                </c:pt>
                <c:pt idx="388">
                  <c:v>260.08499999999998</c:v>
                </c:pt>
                <c:pt idx="389">
                  <c:v>260.81</c:v>
                </c:pt>
                <c:pt idx="390">
                  <c:v>253.078</c:v>
                </c:pt>
                <c:pt idx="391">
                  <c:v>252.06</c:v>
                </c:pt>
                <c:pt idx="392">
                  <c:v>244.245</c:v>
                </c:pt>
                <c:pt idx="393">
                  <c:v>251.49</c:v>
                </c:pt>
                <c:pt idx="394">
                  <c:v>240.083</c:v>
                </c:pt>
                <c:pt idx="395">
                  <c:v>245.374</c:v>
                </c:pt>
                <c:pt idx="396">
                  <c:v>243.17</c:v>
                </c:pt>
                <c:pt idx="397">
                  <c:v>238.96700000000001</c:v>
                </c:pt>
                <c:pt idx="398">
                  <c:v>237.114</c:v>
                </c:pt>
                <c:pt idx="399">
                  <c:v>244.82900000000001</c:v>
                </c:pt>
                <c:pt idx="400">
                  <c:v>231.27199999999999</c:v>
                </c:pt>
                <c:pt idx="401">
                  <c:v>230.488</c:v>
                </c:pt>
                <c:pt idx="402">
                  <c:v>230.148</c:v>
                </c:pt>
                <c:pt idx="403">
                  <c:v>228.41</c:v>
                </c:pt>
                <c:pt idx="404">
                  <c:v>228.483</c:v>
                </c:pt>
                <c:pt idx="405">
                  <c:v>225.50700000000001</c:v>
                </c:pt>
                <c:pt idx="406">
                  <c:v>222.11199999999999</c:v>
                </c:pt>
                <c:pt idx="407">
                  <c:v>222.44800000000001</c:v>
                </c:pt>
                <c:pt idx="408">
                  <c:v>221.68299999999999</c:v>
                </c:pt>
                <c:pt idx="409">
                  <c:v>219.55600000000001</c:v>
                </c:pt>
                <c:pt idx="410">
                  <c:v>221.63499999999999</c:v>
                </c:pt>
                <c:pt idx="411">
                  <c:v>220.035</c:v>
                </c:pt>
                <c:pt idx="412">
                  <c:v>219.38200000000001</c:v>
                </c:pt>
                <c:pt idx="413">
                  <c:v>215.73599999999999</c:v>
                </c:pt>
                <c:pt idx="414">
                  <c:v>211.46700000000001</c:v>
                </c:pt>
                <c:pt idx="415">
                  <c:v>203.44499999999999</c:v>
                </c:pt>
                <c:pt idx="416">
                  <c:v>191.197</c:v>
                </c:pt>
                <c:pt idx="417">
                  <c:v>189.79</c:v>
                </c:pt>
                <c:pt idx="418">
                  <c:v>183.226</c:v>
                </c:pt>
                <c:pt idx="419">
                  <c:v>173.03899999999999</c:v>
                </c:pt>
                <c:pt idx="420">
                  <c:v>168.363</c:v>
                </c:pt>
                <c:pt idx="421">
                  <c:v>169.44200000000001</c:v>
                </c:pt>
                <c:pt idx="422">
                  <c:v>164.637</c:v>
                </c:pt>
                <c:pt idx="423">
                  <c:v>166.227</c:v>
                </c:pt>
                <c:pt idx="424">
                  <c:v>168.93600000000001</c:v>
                </c:pt>
                <c:pt idx="425">
                  <c:v>166.429</c:v>
                </c:pt>
                <c:pt idx="426">
                  <c:v>176.602</c:v>
                </c:pt>
                <c:pt idx="427">
                  <c:v>180.23099999999999</c:v>
                </c:pt>
                <c:pt idx="428">
                  <c:v>177.42400000000001</c:v>
                </c:pt>
                <c:pt idx="429">
                  <c:v>176.63800000000001</c:v>
                </c:pt>
                <c:pt idx="430">
                  <c:v>174.20400000000001</c:v>
                </c:pt>
                <c:pt idx="431">
                  <c:v>180.565</c:v>
                </c:pt>
                <c:pt idx="432">
                  <c:v>179.458</c:v>
                </c:pt>
                <c:pt idx="433">
                  <c:v>186.77199999999999</c:v>
                </c:pt>
                <c:pt idx="434">
                  <c:v>186.77199999999999</c:v>
                </c:pt>
                <c:pt idx="435">
                  <c:v>180.66399999999999</c:v>
                </c:pt>
                <c:pt idx="436">
                  <c:v>177.68700000000001</c:v>
                </c:pt>
                <c:pt idx="437">
                  <c:v>176.917</c:v>
                </c:pt>
                <c:pt idx="438">
                  <c:v>175.684</c:v>
                </c:pt>
                <c:pt idx="439">
                  <c:v>177.86</c:v>
                </c:pt>
                <c:pt idx="440">
                  <c:v>185.43899999999999</c:v>
                </c:pt>
                <c:pt idx="441">
                  <c:v>188.803</c:v>
                </c:pt>
                <c:pt idx="442">
                  <c:v>187.42099999999999</c:v>
                </c:pt>
                <c:pt idx="443">
                  <c:v>192.78</c:v>
                </c:pt>
                <c:pt idx="444">
                  <c:v>193.65</c:v>
                </c:pt>
                <c:pt idx="445">
                  <c:v>191.68600000000001</c:v>
                </c:pt>
                <c:pt idx="446">
                  <c:v>190.42099999999999</c:v>
                </c:pt>
                <c:pt idx="447">
                  <c:v>195.173</c:v>
                </c:pt>
                <c:pt idx="448">
                  <c:v>193.82400000000001</c:v>
                </c:pt>
                <c:pt idx="449">
                  <c:v>210.732</c:v>
                </c:pt>
                <c:pt idx="450">
                  <c:v>219.19200000000001</c:v>
                </c:pt>
                <c:pt idx="451">
                  <c:v>235.38399999999999</c:v>
                </c:pt>
                <c:pt idx="452">
                  <c:v>250.07400000000001</c:v>
                </c:pt>
                <c:pt idx="453">
                  <c:v>257.452</c:v>
                </c:pt>
                <c:pt idx="454">
                  <c:v>280.98099999999999</c:v>
                </c:pt>
                <c:pt idx="455">
                  <c:v>302.17899999999997</c:v>
                </c:pt>
                <c:pt idx="456">
                  <c:v>285.65199999999999</c:v>
                </c:pt>
                <c:pt idx="457">
                  <c:v>273.90899999999999</c:v>
                </c:pt>
                <c:pt idx="458">
                  <c:v>270.68700000000001</c:v>
                </c:pt>
                <c:pt idx="459">
                  <c:v>268.52499999999998</c:v>
                </c:pt>
                <c:pt idx="460">
                  <c:v>263.13499999999999</c:v>
                </c:pt>
                <c:pt idx="461">
                  <c:v>256.70499999999998</c:v>
                </c:pt>
                <c:pt idx="462">
                  <c:v>246.364</c:v>
                </c:pt>
                <c:pt idx="463">
                  <c:v>224.87899999999999</c:v>
                </c:pt>
                <c:pt idx="464">
                  <c:v>227.345</c:v>
                </c:pt>
                <c:pt idx="465">
                  <c:v>225.20400000000001</c:v>
                </c:pt>
                <c:pt idx="466">
                  <c:v>230.363</c:v>
                </c:pt>
                <c:pt idx="467">
                  <c:v>245.149</c:v>
                </c:pt>
                <c:pt idx="468">
                  <c:v>242.386</c:v>
                </c:pt>
                <c:pt idx="469">
                  <c:v>247.82</c:v>
                </c:pt>
                <c:pt idx="470">
                  <c:v>245.37700000000001</c:v>
                </c:pt>
                <c:pt idx="471">
                  <c:v>245.12700000000001</c:v>
                </c:pt>
                <c:pt idx="472">
                  <c:v>263.75700000000001</c:v>
                </c:pt>
                <c:pt idx="473">
                  <c:v>266.07499999999999</c:v>
                </c:pt>
                <c:pt idx="474">
                  <c:v>267.75799999999998</c:v>
                </c:pt>
                <c:pt idx="475">
                  <c:v>271.61799999999999</c:v>
                </c:pt>
                <c:pt idx="476">
                  <c:v>274.31700000000001</c:v>
                </c:pt>
                <c:pt idx="477">
                  <c:v>262.85300000000001</c:v>
                </c:pt>
                <c:pt idx="478">
                  <c:v>252.34899999999999</c:v>
                </c:pt>
                <c:pt idx="479">
                  <c:v>262.459</c:v>
                </c:pt>
                <c:pt idx="480">
                  <c:v>245.71700000000001</c:v>
                </c:pt>
                <c:pt idx="481">
                  <c:v>236.083</c:v>
                </c:pt>
                <c:pt idx="482">
                  <c:v>236.87299999999999</c:v>
                </c:pt>
                <c:pt idx="483">
                  <c:v>214.755</c:v>
                </c:pt>
                <c:pt idx="484">
                  <c:v>203.542</c:v>
                </c:pt>
                <c:pt idx="485">
                  <c:v>185.86199999999999</c:v>
                </c:pt>
                <c:pt idx="486">
                  <c:v>175.38399999999999</c:v>
                </c:pt>
                <c:pt idx="487">
                  <c:v>167.81100000000001</c:v>
                </c:pt>
                <c:pt idx="488">
                  <c:v>169.06</c:v>
                </c:pt>
                <c:pt idx="489">
                  <c:v>168.60499999999999</c:v>
                </c:pt>
                <c:pt idx="490">
                  <c:v>171.10599999999999</c:v>
                </c:pt>
                <c:pt idx="491">
                  <c:v>171.77500000000001</c:v>
                </c:pt>
                <c:pt idx="492">
                  <c:v>170.482</c:v>
                </c:pt>
                <c:pt idx="493">
                  <c:v>172.548</c:v>
                </c:pt>
                <c:pt idx="494">
                  <c:v>164.036</c:v>
                </c:pt>
                <c:pt idx="495">
                  <c:v>163.00299999999999</c:v>
                </c:pt>
                <c:pt idx="496">
                  <c:v>161.98099999999999</c:v>
                </c:pt>
                <c:pt idx="497">
                  <c:v>162.102</c:v>
                </c:pt>
                <c:pt idx="498">
                  <c:v>162.423</c:v>
                </c:pt>
                <c:pt idx="499">
                  <c:v>156.41399999999999</c:v>
                </c:pt>
                <c:pt idx="500">
                  <c:v>148.38999999999999</c:v>
                </c:pt>
                <c:pt idx="501">
                  <c:v>145.29</c:v>
                </c:pt>
                <c:pt idx="502">
                  <c:v>132.452</c:v>
                </c:pt>
                <c:pt idx="503">
                  <c:v>139.51499999999999</c:v>
                </c:pt>
                <c:pt idx="504">
                  <c:v>144.74600000000001</c:v>
                </c:pt>
                <c:pt idx="505">
                  <c:v>145.523</c:v>
                </c:pt>
                <c:pt idx="506">
                  <c:v>146.15199999999999</c:v>
                </c:pt>
                <c:pt idx="507">
                  <c:v>146.608</c:v>
                </c:pt>
                <c:pt idx="508">
                  <c:v>154.642</c:v>
                </c:pt>
                <c:pt idx="509">
                  <c:v>144.08699999999999</c:v>
                </c:pt>
                <c:pt idx="510">
                  <c:v>159.79499999999999</c:v>
                </c:pt>
                <c:pt idx="511">
                  <c:v>151.44</c:v>
                </c:pt>
                <c:pt idx="512">
                  <c:v>140.31899999999999</c:v>
                </c:pt>
                <c:pt idx="513">
                  <c:v>141.17400000000001</c:v>
                </c:pt>
                <c:pt idx="514">
                  <c:v>135.97499999999999</c:v>
                </c:pt>
                <c:pt idx="515">
                  <c:v>141.39699999999999</c:v>
                </c:pt>
                <c:pt idx="516">
                  <c:v>138.36500000000001</c:v>
                </c:pt>
                <c:pt idx="517">
                  <c:v>145.16</c:v>
                </c:pt>
                <c:pt idx="518">
                  <c:v>145.16</c:v>
                </c:pt>
                <c:pt idx="519">
                  <c:v>145.16</c:v>
                </c:pt>
                <c:pt idx="520">
                  <c:v>137.03700000000001</c:v>
                </c:pt>
                <c:pt idx="521">
                  <c:v>132.27500000000001</c:v>
                </c:pt>
                <c:pt idx="522">
                  <c:v>137.71299999999999</c:v>
                </c:pt>
                <c:pt idx="523">
                  <c:v>137.71299999999999</c:v>
                </c:pt>
                <c:pt idx="524">
                  <c:v>137.244</c:v>
                </c:pt>
                <c:pt idx="525">
                  <c:v>138.65</c:v>
                </c:pt>
                <c:pt idx="526">
                  <c:v>138.71899999999999</c:v>
                </c:pt>
                <c:pt idx="527">
                  <c:v>143.08500000000001</c:v>
                </c:pt>
                <c:pt idx="528">
                  <c:v>134.30799999999999</c:v>
                </c:pt>
                <c:pt idx="529">
                  <c:v>139.51400000000001</c:v>
                </c:pt>
                <c:pt idx="530">
                  <c:v>144.833</c:v>
                </c:pt>
                <c:pt idx="531">
                  <c:v>140.16</c:v>
                </c:pt>
                <c:pt idx="532">
                  <c:v>127.758</c:v>
                </c:pt>
                <c:pt idx="533">
                  <c:v>137.328</c:v>
                </c:pt>
                <c:pt idx="534">
                  <c:v>141.36799999999999</c:v>
                </c:pt>
                <c:pt idx="535">
                  <c:v>140.321</c:v>
                </c:pt>
                <c:pt idx="536">
                  <c:v>140.90299999999999</c:v>
                </c:pt>
                <c:pt idx="537">
                  <c:v>142.119</c:v>
                </c:pt>
                <c:pt idx="538">
                  <c:v>146.18100000000001</c:v>
                </c:pt>
                <c:pt idx="539">
                  <c:v>149.66800000000001</c:v>
                </c:pt>
                <c:pt idx="540">
                  <c:v>147.53200000000001</c:v>
                </c:pt>
                <c:pt idx="541">
                  <c:v>133.90199999999999</c:v>
                </c:pt>
                <c:pt idx="542">
                  <c:v>134.87200000000001</c:v>
                </c:pt>
                <c:pt idx="543">
                  <c:v>132.922</c:v>
                </c:pt>
                <c:pt idx="544">
                  <c:v>125.46899999999999</c:v>
                </c:pt>
                <c:pt idx="545">
                  <c:v>118.133</c:v>
                </c:pt>
                <c:pt idx="546">
                  <c:v>119.20699999999999</c:v>
                </c:pt>
                <c:pt idx="547">
                  <c:v>115.10299999999999</c:v>
                </c:pt>
                <c:pt idx="548">
                  <c:v>116.705</c:v>
                </c:pt>
                <c:pt idx="549">
                  <c:v>115.658</c:v>
                </c:pt>
                <c:pt idx="550">
                  <c:v>115.759</c:v>
                </c:pt>
                <c:pt idx="551">
                  <c:v>119.33199999999999</c:v>
                </c:pt>
                <c:pt idx="552">
                  <c:v>117.301</c:v>
                </c:pt>
                <c:pt idx="553">
                  <c:v>122.282</c:v>
                </c:pt>
                <c:pt idx="554">
                  <c:v>132.96</c:v>
                </c:pt>
                <c:pt idx="555">
                  <c:v>139.297</c:v>
                </c:pt>
                <c:pt idx="556">
                  <c:v>145.02500000000001</c:v>
                </c:pt>
                <c:pt idx="557">
                  <c:v>134.482</c:v>
                </c:pt>
                <c:pt idx="558">
                  <c:v>127.386</c:v>
                </c:pt>
                <c:pt idx="559">
                  <c:v>132.982</c:v>
                </c:pt>
                <c:pt idx="560">
                  <c:v>134.834</c:v>
                </c:pt>
                <c:pt idx="561">
                  <c:v>127.81</c:v>
                </c:pt>
                <c:pt idx="562">
                  <c:v>128.792</c:v>
                </c:pt>
                <c:pt idx="563">
                  <c:v>138.92599999999999</c:v>
                </c:pt>
                <c:pt idx="564">
                  <c:v>126.735</c:v>
                </c:pt>
                <c:pt idx="565">
                  <c:v>114.627</c:v>
                </c:pt>
                <c:pt idx="566">
                  <c:v>116.22499999999999</c:v>
                </c:pt>
                <c:pt idx="567">
                  <c:v>114.768</c:v>
                </c:pt>
                <c:pt idx="568">
                  <c:v>110.358</c:v>
                </c:pt>
                <c:pt idx="569">
                  <c:v>136.999</c:v>
                </c:pt>
                <c:pt idx="570">
                  <c:v>116.221</c:v>
                </c:pt>
                <c:pt idx="571">
                  <c:v>117.53700000000001</c:v>
                </c:pt>
                <c:pt idx="572">
                  <c:v>116.51</c:v>
                </c:pt>
                <c:pt idx="573">
                  <c:v>124.70399999999999</c:v>
                </c:pt>
                <c:pt idx="574">
                  <c:v>119.206</c:v>
                </c:pt>
                <c:pt idx="575">
                  <c:v>112.697</c:v>
                </c:pt>
                <c:pt idx="576">
                  <c:v>122.935</c:v>
                </c:pt>
                <c:pt idx="577">
                  <c:v>128.80199999999999</c:v>
                </c:pt>
                <c:pt idx="578">
                  <c:v>127.845</c:v>
                </c:pt>
                <c:pt idx="579">
                  <c:v>120.279</c:v>
                </c:pt>
                <c:pt idx="580">
                  <c:v>126.91</c:v>
                </c:pt>
                <c:pt idx="581">
                  <c:v>128.80699999999999</c:v>
                </c:pt>
                <c:pt idx="582">
                  <c:v>128.21</c:v>
                </c:pt>
                <c:pt idx="583">
                  <c:v>133.22999999999999</c:v>
                </c:pt>
                <c:pt idx="584">
                  <c:v>127.89400000000001</c:v>
                </c:pt>
                <c:pt idx="585">
                  <c:v>141.55199999999999</c:v>
                </c:pt>
                <c:pt idx="586">
                  <c:v>127.47499999999999</c:v>
                </c:pt>
                <c:pt idx="587">
                  <c:v>125.733</c:v>
                </c:pt>
                <c:pt idx="588">
                  <c:v>125.733</c:v>
                </c:pt>
                <c:pt idx="589">
                  <c:v>125.733</c:v>
                </c:pt>
                <c:pt idx="590">
                  <c:v>126.601</c:v>
                </c:pt>
                <c:pt idx="591">
                  <c:v>125.254</c:v>
                </c:pt>
                <c:pt idx="592">
                  <c:v>125.78100000000001</c:v>
                </c:pt>
                <c:pt idx="593">
                  <c:v>124.497</c:v>
                </c:pt>
                <c:pt idx="594">
                  <c:v>127.877</c:v>
                </c:pt>
                <c:pt idx="595">
                  <c:v>127.89400000000001</c:v>
                </c:pt>
                <c:pt idx="596">
                  <c:v>127.114</c:v>
                </c:pt>
                <c:pt idx="597">
                  <c:v>116.69799999999999</c:v>
                </c:pt>
                <c:pt idx="598">
                  <c:v>105.111</c:v>
                </c:pt>
                <c:pt idx="599">
                  <c:v>109.845</c:v>
                </c:pt>
                <c:pt idx="600">
                  <c:v>109.58499999999999</c:v>
                </c:pt>
                <c:pt idx="601">
                  <c:v>117.226</c:v>
                </c:pt>
                <c:pt idx="602">
                  <c:v>106</c:v>
                </c:pt>
                <c:pt idx="603">
                  <c:v>104.658</c:v>
                </c:pt>
                <c:pt idx="604">
                  <c:v>104.88500000000001</c:v>
                </c:pt>
                <c:pt idx="605">
                  <c:v>107.289</c:v>
                </c:pt>
                <c:pt idx="606">
                  <c:v>109.837</c:v>
                </c:pt>
                <c:pt idx="607">
                  <c:v>110.369</c:v>
                </c:pt>
                <c:pt idx="608">
                  <c:v>115.244</c:v>
                </c:pt>
                <c:pt idx="609">
                  <c:v>115.244</c:v>
                </c:pt>
                <c:pt idx="610">
                  <c:v>114.63500000000001</c:v>
                </c:pt>
                <c:pt idx="611">
                  <c:v>113.994</c:v>
                </c:pt>
                <c:pt idx="612">
                  <c:v>109.48099999999999</c:v>
                </c:pt>
                <c:pt idx="613">
                  <c:v>108.283</c:v>
                </c:pt>
                <c:pt idx="614">
                  <c:v>105.95</c:v>
                </c:pt>
                <c:pt idx="615">
                  <c:v>105.41500000000001</c:v>
                </c:pt>
                <c:pt idx="616">
                  <c:v>112.524</c:v>
                </c:pt>
                <c:pt idx="617">
                  <c:v>125.574</c:v>
                </c:pt>
                <c:pt idx="618">
                  <c:v>121.01600000000001</c:v>
                </c:pt>
                <c:pt idx="619">
                  <c:v>123.496</c:v>
                </c:pt>
                <c:pt idx="620">
                  <c:v>128.09200000000001</c:v>
                </c:pt>
                <c:pt idx="621">
                  <c:v>132.93700000000001</c:v>
                </c:pt>
                <c:pt idx="622">
                  <c:v>120.28400000000001</c:v>
                </c:pt>
                <c:pt idx="623">
                  <c:v>123.518</c:v>
                </c:pt>
                <c:pt idx="624">
                  <c:v>121.979</c:v>
                </c:pt>
                <c:pt idx="625">
                  <c:v>119.627</c:v>
                </c:pt>
                <c:pt idx="626">
                  <c:v>122.366</c:v>
                </c:pt>
                <c:pt idx="627">
                  <c:v>119.857</c:v>
                </c:pt>
                <c:pt idx="628">
                  <c:v>110.788</c:v>
                </c:pt>
                <c:pt idx="629">
                  <c:v>110.788</c:v>
                </c:pt>
                <c:pt idx="630">
                  <c:v>119.36199999999999</c:v>
                </c:pt>
                <c:pt idx="631">
                  <c:v>116.48</c:v>
                </c:pt>
                <c:pt idx="632">
                  <c:v>113.13200000000001</c:v>
                </c:pt>
                <c:pt idx="633">
                  <c:v>123.125</c:v>
                </c:pt>
                <c:pt idx="634">
                  <c:v>111.73699999999999</c:v>
                </c:pt>
                <c:pt idx="635">
                  <c:v>108.254</c:v>
                </c:pt>
                <c:pt idx="636">
                  <c:v>104.21</c:v>
                </c:pt>
                <c:pt idx="637">
                  <c:v>103.096</c:v>
                </c:pt>
                <c:pt idx="638">
                  <c:v>94.573999999999998</c:v>
                </c:pt>
                <c:pt idx="639">
                  <c:v>101.443</c:v>
                </c:pt>
                <c:pt idx="640">
                  <c:v>95.628</c:v>
                </c:pt>
                <c:pt idx="641">
                  <c:v>87.927000000000007</c:v>
                </c:pt>
                <c:pt idx="642">
                  <c:v>104.517</c:v>
                </c:pt>
                <c:pt idx="643">
                  <c:v>96.406999999999996</c:v>
                </c:pt>
                <c:pt idx="644">
                  <c:v>107.14400000000001</c:v>
                </c:pt>
                <c:pt idx="645">
                  <c:v>103.426</c:v>
                </c:pt>
                <c:pt idx="646">
                  <c:v>97.001999999999995</c:v>
                </c:pt>
                <c:pt idx="647">
                  <c:v>97.126999999999995</c:v>
                </c:pt>
                <c:pt idx="648">
                  <c:v>98.100999999999999</c:v>
                </c:pt>
                <c:pt idx="649">
                  <c:v>102.70099999999999</c:v>
                </c:pt>
                <c:pt idx="650">
                  <c:v>98.375</c:v>
                </c:pt>
                <c:pt idx="651">
                  <c:v>103.57599999999999</c:v>
                </c:pt>
                <c:pt idx="652">
                  <c:v>102.413</c:v>
                </c:pt>
                <c:pt idx="653">
                  <c:v>103.30800000000001</c:v>
                </c:pt>
                <c:pt idx="654">
                  <c:v>106.047</c:v>
                </c:pt>
                <c:pt idx="655">
                  <c:v>106.13800000000001</c:v>
                </c:pt>
                <c:pt idx="656">
                  <c:v>106.72199999999999</c:v>
                </c:pt>
                <c:pt idx="657">
                  <c:v>104.535</c:v>
                </c:pt>
                <c:pt idx="658">
                  <c:v>106.307</c:v>
                </c:pt>
                <c:pt idx="659">
                  <c:v>107.06699999999999</c:v>
                </c:pt>
                <c:pt idx="660">
                  <c:v>103.827</c:v>
                </c:pt>
                <c:pt idx="661">
                  <c:v>106.545</c:v>
                </c:pt>
                <c:pt idx="662">
                  <c:v>108.19499999999999</c:v>
                </c:pt>
                <c:pt idx="663">
                  <c:v>106.73699999999999</c:v>
                </c:pt>
                <c:pt idx="664">
                  <c:v>105.895</c:v>
                </c:pt>
                <c:pt idx="665">
                  <c:v>107.82</c:v>
                </c:pt>
                <c:pt idx="666">
                  <c:v>108.00700000000001</c:v>
                </c:pt>
                <c:pt idx="667">
                  <c:v>110.669</c:v>
                </c:pt>
                <c:pt idx="668">
                  <c:v>110.973</c:v>
                </c:pt>
                <c:pt idx="669">
                  <c:v>108.078</c:v>
                </c:pt>
                <c:pt idx="670">
                  <c:v>113.526</c:v>
                </c:pt>
                <c:pt idx="671">
                  <c:v>113.361</c:v>
                </c:pt>
                <c:pt idx="672">
                  <c:v>104.974</c:v>
                </c:pt>
                <c:pt idx="673">
                  <c:v>110.485</c:v>
                </c:pt>
                <c:pt idx="674">
                  <c:v>103.812</c:v>
                </c:pt>
                <c:pt idx="675">
                  <c:v>100.69499999999999</c:v>
                </c:pt>
                <c:pt idx="676">
                  <c:v>97.864999999999995</c:v>
                </c:pt>
                <c:pt idx="677">
                  <c:v>96.097999999999999</c:v>
                </c:pt>
                <c:pt idx="678">
                  <c:v>99.558000000000007</c:v>
                </c:pt>
                <c:pt idx="679">
                  <c:v>88.094999999999999</c:v>
                </c:pt>
                <c:pt idx="680">
                  <c:v>90.435000000000002</c:v>
                </c:pt>
                <c:pt idx="681">
                  <c:v>96.194000000000003</c:v>
                </c:pt>
                <c:pt idx="682">
                  <c:v>94.152000000000001</c:v>
                </c:pt>
                <c:pt idx="683">
                  <c:v>91.313999999999993</c:v>
                </c:pt>
                <c:pt idx="684">
                  <c:v>93.370999999999995</c:v>
                </c:pt>
                <c:pt idx="685">
                  <c:v>88.581000000000003</c:v>
                </c:pt>
                <c:pt idx="686">
                  <c:v>88.147000000000006</c:v>
                </c:pt>
                <c:pt idx="687">
                  <c:v>94.05</c:v>
                </c:pt>
                <c:pt idx="688">
                  <c:v>85.674000000000007</c:v>
                </c:pt>
                <c:pt idx="689">
                  <c:v>93.935000000000002</c:v>
                </c:pt>
                <c:pt idx="690">
                  <c:v>93.081999999999994</c:v>
                </c:pt>
                <c:pt idx="691">
                  <c:v>92.344999999999999</c:v>
                </c:pt>
                <c:pt idx="692">
                  <c:v>90.938000000000002</c:v>
                </c:pt>
                <c:pt idx="693">
                  <c:v>93.79</c:v>
                </c:pt>
                <c:pt idx="694">
                  <c:v>93.79</c:v>
                </c:pt>
                <c:pt idx="695">
                  <c:v>93.228999999999999</c:v>
                </c:pt>
                <c:pt idx="696">
                  <c:v>93.13</c:v>
                </c:pt>
                <c:pt idx="697">
                  <c:v>88.885999999999996</c:v>
                </c:pt>
                <c:pt idx="698">
                  <c:v>83.893000000000001</c:v>
                </c:pt>
                <c:pt idx="699">
                  <c:v>89.043000000000006</c:v>
                </c:pt>
                <c:pt idx="700">
                  <c:v>88.983999999999995</c:v>
                </c:pt>
                <c:pt idx="701">
                  <c:v>88.613</c:v>
                </c:pt>
                <c:pt idx="702">
                  <c:v>88.57</c:v>
                </c:pt>
                <c:pt idx="703">
                  <c:v>79.608000000000004</c:v>
                </c:pt>
                <c:pt idx="704">
                  <c:v>82.772000000000006</c:v>
                </c:pt>
                <c:pt idx="705">
                  <c:v>78.085999999999999</c:v>
                </c:pt>
              </c:numCache>
            </c:numRef>
          </c:val>
          <c:smooth val="0"/>
          <c:extLst>
            <c:ext xmlns:c16="http://schemas.microsoft.com/office/drawing/2014/chart" uri="{C3380CC4-5D6E-409C-BE32-E72D297353CC}">
              <c16:uniqueId val="{00000004-7C05-4062-8901-959CCCC822C5}"/>
            </c:ext>
          </c:extLst>
        </c:ser>
        <c:ser>
          <c:idx val="5"/>
          <c:order val="5"/>
          <c:tx>
            <c:strRef>
              <c:f>Sheet1!$G$1</c:f>
              <c:strCache>
                <c:ptCount val="1"/>
                <c:pt idx="0">
                  <c:v>Բելառուս (2023թ.)</c:v>
                </c:pt>
              </c:strCache>
            </c:strRef>
          </c:tx>
          <c:spPr>
            <a:ln w="28575" cap="rnd">
              <a:solidFill>
                <a:schemeClr val="accent3">
                  <a:lumMod val="50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Sheet1!$G$2:$G$707</c:f>
              <c:numCache>
                <c:formatCode>_(* #,##0_);_(* \(#,##0\);_(* "-"??_);_(@_)</c:formatCode>
                <c:ptCount val="706"/>
                <c:pt idx="0">
                  <c:v>370.46300000000002</c:v>
                </c:pt>
                <c:pt idx="1">
                  <c:v>369.64699999999999</c:v>
                </c:pt>
                <c:pt idx="2">
                  <c:v>381.21199999999999</c:v>
                </c:pt>
                <c:pt idx="3">
                  <c:v>368.18700000000001</c:v>
                </c:pt>
                <c:pt idx="4">
                  <c:v>360.75400000000002</c:v>
                </c:pt>
                <c:pt idx="5">
                  <c:v>365.59300000000002</c:v>
                </c:pt>
                <c:pt idx="6">
                  <c:v>364.14400000000001</c:v>
                </c:pt>
                <c:pt idx="7">
                  <c:v>362.86099999999999</c:v>
                </c:pt>
                <c:pt idx="8">
                  <c:v>366.005</c:v>
                </c:pt>
                <c:pt idx="9">
                  <c:v>373.10899999999998</c:v>
                </c:pt>
                <c:pt idx="10">
                  <c:v>360.85500000000002</c:v>
                </c:pt>
                <c:pt idx="11">
                  <c:v>340.11</c:v>
                </c:pt>
                <c:pt idx="12">
                  <c:v>331.31400000000002</c:v>
                </c:pt>
                <c:pt idx="13">
                  <c:v>295.685</c:v>
                </c:pt>
                <c:pt idx="14">
                  <c:v>289.416</c:v>
                </c:pt>
                <c:pt idx="15">
                  <c:v>303.08</c:v>
                </c:pt>
                <c:pt idx="16">
                  <c:v>302.185</c:v>
                </c:pt>
                <c:pt idx="17">
                  <c:v>301.988</c:v>
                </c:pt>
                <c:pt idx="18">
                  <c:v>304.12599999999998</c:v>
                </c:pt>
                <c:pt idx="19">
                  <c:v>314.03800000000001</c:v>
                </c:pt>
                <c:pt idx="20">
                  <c:v>330.81599999999997</c:v>
                </c:pt>
                <c:pt idx="21">
                  <c:v>333.78199999999998</c:v>
                </c:pt>
                <c:pt idx="22">
                  <c:v>339.351</c:v>
                </c:pt>
                <c:pt idx="23">
                  <c:v>330.45499999999998</c:v>
                </c:pt>
                <c:pt idx="24">
                  <c:v>333.83499999999998</c:v>
                </c:pt>
                <c:pt idx="25">
                  <c:v>332.05500000000001</c:v>
                </c:pt>
                <c:pt idx="26">
                  <c:v>339.43200000000002</c:v>
                </c:pt>
                <c:pt idx="27">
                  <c:v>352.55799999999999</c:v>
                </c:pt>
                <c:pt idx="28">
                  <c:v>355.52199999999999</c:v>
                </c:pt>
                <c:pt idx="29">
                  <c:v>356.07600000000002</c:v>
                </c:pt>
                <c:pt idx="30">
                  <c:v>353.673</c:v>
                </c:pt>
                <c:pt idx="31">
                  <c:v>328.88200000000001</c:v>
                </c:pt>
                <c:pt idx="32">
                  <c:v>327.29500000000002</c:v>
                </c:pt>
                <c:pt idx="33">
                  <c:v>325.19799999999998</c:v>
                </c:pt>
                <c:pt idx="34">
                  <c:v>323.53300000000002</c:v>
                </c:pt>
                <c:pt idx="35">
                  <c:v>335.14400000000001</c:v>
                </c:pt>
                <c:pt idx="36">
                  <c:v>333.67700000000002</c:v>
                </c:pt>
                <c:pt idx="37">
                  <c:v>330.673</c:v>
                </c:pt>
                <c:pt idx="38">
                  <c:v>334.32100000000003</c:v>
                </c:pt>
                <c:pt idx="39">
                  <c:v>314.41199999999998</c:v>
                </c:pt>
                <c:pt idx="40">
                  <c:v>320.17899999999997</c:v>
                </c:pt>
                <c:pt idx="41">
                  <c:v>313.39</c:v>
                </c:pt>
                <c:pt idx="42">
                  <c:v>302.322</c:v>
                </c:pt>
                <c:pt idx="43">
                  <c:v>301.745</c:v>
                </c:pt>
                <c:pt idx="44">
                  <c:v>304.089</c:v>
                </c:pt>
                <c:pt idx="45">
                  <c:v>311.59199999999998</c:v>
                </c:pt>
                <c:pt idx="46">
                  <c:v>316.14600000000002</c:v>
                </c:pt>
                <c:pt idx="47">
                  <c:v>319.339</c:v>
                </c:pt>
                <c:pt idx="48">
                  <c:v>322.96499999999997</c:v>
                </c:pt>
                <c:pt idx="49">
                  <c:v>322.017</c:v>
                </c:pt>
                <c:pt idx="50">
                  <c:v>320.86599999999999</c:v>
                </c:pt>
                <c:pt idx="51">
                  <c:v>309.19099999999997</c:v>
                </c:pt>
                <c:pt idx="52">
                  <c:v>304.04300000000001</c:v>
                </c:pt>
                <c:pt idx="53">
                  <c:v>307.952</c:v>
                </c:pt>
                <c:pt idx="54">
                  <c:v>301.99299999999999</c:v>
                </c:pt>
                <c:pt idx="55">
                  <c:v>302.17399999999998</c:v>
                </c:pt>
                <c:pt idx="56">
                  <c:v>309.97500000000002</c:v>
                </c:pt>
                <c:pt idx="57">
                  <c:v>291.15899999999999</c:v>
                </c:pt>
                <c:pt idx="58">
                  <c:v>306.762</c:v>
                </c:pt>
                <c:pt idx="59">
                  <c:v>321.096</c:v>
                </c:pt>
                <c:pt idx="60">
                  <c:v>315.70400000000001</c:v>
                </c:pt>
                <c:pt idx="61">
                  <c:v>318.274</c:v>
                </c:pt>
                <c:pt idx="62">
                  <c:v>319.83100000000002</c:v>
                </c:pt>
                <c:pt idx="63">
                  <c:v>310.17099999999999</c:v>
                </c:pt>
                <c:pt idx="64">
                  <c:v>302.82400000000001</c:v>
                </c:pt>
                <c:pt idx="65">
                  <c:v>293.91199999999998</c:v>
                </c:pt>
                <c:pt idx="66">
                  <c:v>290.779</c:v>
                </c:pt>
                <c:pt idx="67">
                  <c:v>286.512</c:v>
                </c:pt>
                <c:pt idx="68">
                  <c:v>285.005</c:v>
                </c:pt>
                <c:pt idx="69">
                  <c:v>282.404</c:v>
                </c:pt>
                <c:pt idx="70">
                  <c:v>284.08100000000002</c:v>
                </c:pt>
                <c:pt idx="71">
                  <c:v>285.791</c:v>
                </c:pt>
                <c:pt idx="72">
                  <c:v>286.70699999999999</c:v>
                </c:pt>
                <c:pt idx="73">
                  <c:v>282.74799999999999</c:v>
                </c:pt>
                <c:pt idx="74">
                  <c:v>280.779</c:v>
                </c:pt>
                <c:pt idx="75">
                  <c:v>278.28399999999999</c:v>
                </c:pt>
                <c:pt idx="76">
                  <c:v>290.92399999999998</c:v>
                </c:pt>
                <c:pt idx="77">
                  <c:v>296.49299999999999</c:v>
                </c:pt>
                <c:pt idx="78">
                  <c:v>296.49299999999999</c:v>
                </c:pt>
                <c:pt idx="79">
                  <c:v>296.49299999999999</c:v>
                </c:pt>
                <c:pt idx="80">
                  <c:v>290.14299999999997</c:v>
                </c:pt>
                <c:pt idx="81">
                  <c:v>306.52699999999999</c:v>
                </c:pt>
                <c:pt idx="82">
                  <c:v>308.77600000000001</c:v>
                </c:pt>
                <c:pt idx="83">
                  <c:v>317.42500000000001</c:v>
                </c:pt>
                <c:pt idx="84">
                  <c:v>319.80599999999998</c:v>
                </c:pt>
                <c:pt idx="85">
                  <c:v>311.04599999999999</c:v>
                </c:pt>
                <c:pt idx="86">
                  <c:v>307.79199999999997</c:v>
                </c:pt>
                <c:pt idx="87">
                  <c:v>300.70999999999998</c:v>
                </c:pt>
                <c:pt idx="88">
                  <c:v>302.72000000000003</c:v>
                </c:pt>
                <c:pt idx="89">
                  <c:v>302.72000000000003</c:v>
                </c:pt>
                <c:pt idx="90">
                  <c:v>311.59100000000001</c:v>
                </c:pt>
                <c:pt idx="91">
                  <c:v>312.858</c:v>
                </c:pt>
                <c:pt idx="92">
                  <c:v>314.43299999999999</c:v>
                </c:pt>
                <c:pt idx="93">
                  <c:v>318.27199999999999</c:v>
                </c:pt>
                <c:pt idx="94">
                  <c:v>328.541</c:v>
                </c:pt>
                <c:pt idx="95">
                  <c:v>330.03100000000001</c:v>
                </c:pt>
                <c:pt idx="96">
                  <c:v>334.38200000000001</c:v>
                </c:pt>
                <c:pt idx="97">
                  <c:v>320.58300000000003</c:v>
                </c:pt>
                <c:pt idx="98">
                  <c:v>322.33</c:v>
                </c:pt>
                <c:pt idx="99">
                  <c:v>315.24099999999999</c:v>
                </c:pt>
                <c:pt idx="100">
                  <c:v>311.774</c:v>
                </c:pt>
                <c:pt idx="101">
                  <c:v>314.91399999999999</c:v>
                </c:pt>
                <c:pt idx="102">
                  <c:v>322.197</c:v>
                </c:pt>
                <c:pt idx="103">
                  <c:v>323.25</c:v>
                </c:pt>
                <c:pt idx="104">
                  <c:v>323.25</c:v>
                </c:pt>
                <c:pt idx="105">
                  <c:v>321.75200000000001</c:v>
                </c:pt>
                <c:pt idx="106">
                  <c:v>329.041</c:v>
                </c:pt>
                <c:pt idx="107">
                  <c:v>330.62200000000001</c:v>
                </c:pt>
                <c:pt idx="108">
                  <c:v>353.536</c:v>
                </c:pt>
                <c:pt idx="109">
                  <c:v>368.39499999999998</c:v>
                </c:pt>
                <c:pt idx="110">
                  <c:v>361.57400000000001</c:v>
                </c:pt>
                <c:pt idx="111">
                  <c:v>352.95600000000002</c:v>
                </c:pt>
                <c:pt idx="112">
                  <c:v>343.31200000000001</c:v>
                </c:pt>
                <c:pt idx="113">
                  <c:v>339.64400000000001</c:v>
                </c:pt>
                <c:pt idx="114">
                  <c:v>332.61200000000002</c:v>
                </c:pt>
                <c:pt idx="115">
                  <c:v>334.88200000000001</c:v>
                </c:pt>
                <c:pt idx="116">
                  <c:v>339.62</c:v>
                </c:pt>
                <c:pt idx="117">
                  <c:v>359.76400000000001</c:v>
                </c:pt>
                <c:pt idx="118">
                  <c:v>356.35300000000001</c:v>
                </c:pt>
                <c:pt idx="119">
                  <c:v>344.7</c:v>
                </c:pt>
                <c:pt idx="120">
                  <c:v>336.41699999999997</c:v>
                </c:pt>
                <c:pt idx="121">
                  <c:v>326.46600000000001</c:v>
                </c:pt>
                <c:pt idx="122">
                  <c:v>318.64699999999999</c:v>
                </c:pt>
                <c:pt idx="123">
                  <c:v>301.06900000000002</c:v>
                </c:pt>
                <c:pt idx="124">
                  <c:v>301.72300000000001</c:v>
                </c:pt>
                <c:pt idx="125">
                  <c:v>306.14299999999997</c:v>
                </c:pt>
                <c:pt idx="126">
                  <c:v>298.74200000000002</c:v>
                </c:pt>
                <c:pt idx="127">
                  <c:v>290.18099999999998</c:v>
                </c:pt>
                <c:pt idx="128">
                  <c:v>279.10300000000001</c:v>
                </c:pt>
                <c:pt idx="129">
                  <c:v>256.65300000000002</c:v>
                </c:pt>
                <c:pt idx="130">
                  <c:v>267.05900000000003</c:v>
                </c:pt>
                <c:pt idx="131">
                  <c:v>280.39600000000002</c:v>
                </c:pt>
                <c:pt idx="132">
                  <c:v>284.17200000000003</c:v>
                </c:pt>
                <c:pt idx="133">
                  <c:v>278.10899999999998</c:v>
                </c:pt>
                <c:pt idx="134">
                  <c:v>300.46100000000001</c:v>
                </c:pt>
                <c:pt idx="135">
                  <c:v>311.774</c:v>
                </c:pt>
                <c:pt idx="136">
                  <c:v>320.77499999999998</c:v>
                </c:pt>
                <c:pt idx="137">
                  <c:v>310.36099999999999</c:v>
                </c:pt>
                <c:pt idx="138">
                  <c:v>306.29599999999999</c:v>
                </c:pt>
                <c:pt idx="139">
                  <c:v>295.947</c:v>
                </c:pt>
                <c:pt idx="140">
                  <c:v>295.52</c:v>
                </c:pt>
                <c:pt idx="141">
                  <c:v>298.17200000000003</c:v>
                </c:pt>
                <c:pt idx="142">
                  <c:v>294.76</c:v>
                </c:pt>
                <c:pt idx="143">
                  <c:v>294.06099999999998</c:v>
                </c:pt>
                <c:pt idx="144">
                  <c:v>292.25900000000001</c:v>
                </c:pt>
                <c:pt idx="145">
                  <c:v>288.56400000000002</c:v>
                </c:pt>
                <c:pt idx="146">
                  <c:v>287.08600000000001</c:v>
                </c:pt>
                <c:pt idx="147">
                  <c:v>287.98399999999998</c:v>
                </c:pt>
                <c:pt idx="148">
                  <c:v>286.79599999999999</c:v>
                </c:pt>
                <c:pt idx="149">
                  <c:v>289.47000000000003</c:v>
                </c:pt>
                <c:pt idx="150">
                  <c:v>298.84399999999999</c:v>
                </c:pt>
                <c:pt idx="151">
                  <c:v>296.84100000000001</c:v>
                </c:pt>
                <c:pt idx="152">
                  <c:v>311.81700000000001</c:v>
                </c:pt>
                <c:pt idx="153">
                  <c:v>316.27199999999999</c:v>
                </c:pt>
                <c:pt idx="154">
                  <c:v>348.87799999999999</c:v>
                </c:pt>
                <c:pt idx="155">
                  <c:v>344.39600000000002</c:v>
                </c:pt>
                <c:pt idx="156">
                  <c:v>346.12799999999999</c:v>
                </c:pt>
                <c:pt idx="157">
                  <c:v>340.15300000000002</c:v>
                </c:pt>
                <c:pt idx="158">
                  <c:v>327.44799999999998</c:v>
                </c:pt>
                <c:pt idx="159">
                  <c:v>337.33100000000002</c:v>
                </c:pt>
                <c:pt idx="160">
                  <c:v>334.23899999999998</c:v>
                </c:pt>
                <c:pt idx="161">
                  <c:v>351.04899999999998</c:v>
                </c:pt>
                <c:pt idx="162">
                  <c:v>366.03300000000002</c:v>
                </c:pt>
                <c:pt idx="163">
                  <c:v>362.72300000000001</c:v>
                </c:pt>
                <c:pt idx="164">
                  <c:v>359.64100000000002</c:v>
                </c:pt>
                <c:pt idx="165">
                  <c:v>362.947</c:v>
                </c:pt>
                <c:pt idx="166">
                  <c:v>356.084</c:v>
                </c:pt>
                <c:pt idx="167">
                  <c:v>346.71699999999998</c:v>
                </c:pt>
                <c:pt idx="168">
                  <c:v>355.858</c:v>
                </c:pt>
                <c:pt idx="169">
                  <c:v>355.858</c:v>
                </c:pt>
                <c:pt idx="170">
                  <c:v>359.065</c:v>
                </c:pt>
                <c:pt idx="171">
                  <c:v>355.47399999999999</c:v>
                </c:pt>
                <c:pt idx="172">
                  <c:v>334.459</c:v>
                </c:pt>
                <c:pt idx="173">
                  <c:v>316.74799999999999</c:v>
                </c:pt>
                <c:pt idx="174">
                  <c:v>308.50700000000001</c:v>
                </c:pt>
                <c:pt idx="175">
                  <c:v>316.589</c:v>
                </c:pt>
                <c:pt idx="176">
                  <c:v>319.29300000000001</c:v>
                </c:pt>
                <c:pt idx="177">
                  <c:v>302.96600000000001</c:v>
                </c:pt>
                <c:pt idx="178">
                  <c:v>309.58100000000002</c:v>
                </c:pt>
                <c:pt idx="179">
                  <c:v>308.505</c:v>
                </c:pt>
                <c:pt idx="180">
                  <c:v>307.41699999999997</c:v>
                </c:pt>
                <c:pt idx="181">
                  <c:v>313.92500000000001</c:v>
                </c:pt>
                <c:pt idx="182">
                  <c:v>306.34300000000002</c:v>
                </c:pt>
                <c:pt idx="183">
                  <c:v>301.70100000000002</c:v>
                </c:pt>
                <c:pt idx="184">
                  <c:v>309.52699999999999</c:v>
                </c:pt>
                <c:pt idx="185">
                  <c:v>311.51</c:v>
                </c:pt>
                <c:pt idx="186">
                  <c:v>309.464</c:v>
                </c:pt>
                <c:pt idx="187">
                  <c:v>299.21100000000001</c:v>
                </c:pt>
                <c:pt idx="188">
                  <c:v>284.93299999999999</c:v>
                </c:pt>
                <c:pt idx="189">
                  <c:v>286.452</c:v>
                </c:pt>
                <c:pt idx="190">
                  <c:v>293.98599999999999</c:v>
                </c:pt>
                <c:pt idx="191">
                  <c:v>296.60899999999998</c:v>
                </c:pt>
                <c:pt idx="192">
                  <c:v>299.68700000000001</c:v>
                </c:pt>
                <c:pt idx="193">
                  <c:v>300.38799999999998</c:v>
                </c:pt>
                <c:pt idx="194">
                  <c:v>305.90100000000001</c:v>
                </c:pt>
                <c:pt idx="195">
                  <c:v>319.49400000000003</c:v>
                </c:pt>
                <c:pt idx="196">
                  <c:v>323.66000000000003</c:v>
                </c:pt>
                <c:pt idx="197">
                  <c:v>332.22399999999999</c:v>
                </c:pt>
                <c:pt idx="198">
                  <c:v>325.72399999999999</c:v>
                </c:pt>
                <c:pt idx="199">
                  <c:v>319.702</c:v>
                </c:pt>
                <c:pt idx="200">
                  <c:v>323.899</c:v>
                </c:pt>
                <c:pt idx="201">
                  <c:v>321.12200000000001</c:v>
                </c:pt>
                <c:pt idx="202">
                  <c:v>308.608</c:v>
                </c:pt>
                <c:pt idx="203">
                  <c:v>297.13600000000002</c:v>
                </c:pt>
                <c:pt idx="204">
                  <c:v>300.64800000000002</c:v>
                </c:pt>
                <c:pt idx="205">
                  <c:v>291.89</c:v>
                </c:pt>
                <c:pt idx="206">
                  <c:v>294.05099999999999</c:v>
                </c:pt>
                <c:pt idx="207">
                  <c:v>287.39699999999999</c:v>
                </c:pt>
                <c:pt idx="208">
                  <c:v>285.17700000000002</c:v>
                </c:pt>
                <c:pt idx="209">
                  <c:v>283.00599999999997</c:v>
                </c:pt>
                <c:pt idx="210">
                  <c:v>284.59399999999999</c:v>
                </c:pt>
                <c:pt idx="211">
                  <c:v>284.89600000000002</c:v>
                </c:pt>
                <c:pt idx="212">
                  <c:v>281.64600000000002</c:v>
                </c:pt>
                <c:pt idx="213">
                  <c:v>279.47800000000001</c:v>
                </c:pt>
                <c:pt idx="214">
                  <c:v>274.92399999999998</c:v>
                </c:pt>
                <c:pt idx="215">
                  <c:v>275.565</c:v>
                </c:pt>
                <c:pt idx="216">
                  <c:v>278.39999999999998</c:v>
                </c:pt>
                <c:pt idx="217">
                  <c:v>285.83699999999999</c:v>
                </c:pt>
                <c:pt idx="218">
                  <c:v>276.97300000000001</c:v>
                </c:pt>
                <c:pt idx="219">
                  <c:v>266.66399999999999</c:v>
                </c:pt>
                <c:pt idx="220">
                  <c:v>263.32</c:v>
                </c:pt>
                <c:pt idx="221">
                  <c:v>267.08499999999998</c:v>
                </c:pt>
                <c:pt idx="222">
                  <c:v>257.029</c:v>
                </c:pt>
                <c:pt idx="223">
                  <c:v>274.88</c:v>
                </c:pt>
                <c:pt idx="224">
                  <c:v>273.17899999999997</c:v>
                </c:pt>
                <c:pt idx="225">
                  <c:v>289.64400000000001</c:v>
                </c:pt>
                <c:pt idx="226">
                  <c:v>299.21499999999997</c:v>
                </c:pt>
                <c:pt idx="227">
                  <c:v>297.86099999999999</c:v>
                </c:pt>
                <c:pt idx="228">
                  <c:v>293.23</c:v>
                </c:pt>
                <c:pt idx="229">
                  <c:v>296.02499999999998</c:v>
                </c:pt>
                <c:pt idx="230">
                  <c:v>298.447</c:v>
                </c:pt>
                <c:pt idx="231">
                  <c:v>300.803</c:v>
                </c:pt>
                <c:pt idx="232">
                  <c:v>297.29300000000001</c:v>
                </c:pt>
                <c:pt idx="233">
                  <c:v>293.73700000000002</c:v>
                </c:pt>
                <c:pt idx="234">
                  <c:v>293.18799999999999</c:v>
                </c:pt>
                <c:pt idx="235">
                  <c:v>294.774</c:v>
                </c:pt>
                <c:pt idx="236">
                  <c:v>293.06400000000002</c:v>
                </c:pt>
                <c:pt idx="237">
                  <c:v>293.54500000000002</c:v>
                </c:pt>
                <c:pt idx="238">
                  <c:v>293.63099999999997</c:v>
                </c:pt>
                <c:pt idx="239">
                  <c:v>301.16899999999998</c:v>
                </c:pt>
                <c:pt idx="240">
                  <c:v>312.09500000000003</c:v>
                </c:pt>
                <c:pt idx="241">
                  <c:v>307.762</c:v>
                </c:pt>
                <c:pt idx="242">
                  <c:v>308.92599999999999</c:v>
                </c:pt>
                <c:pt idx="243">
                  <c:v>307.87299999999999</c:v>
                </c:pt>
                <c:pt idx="244">
                  <c:v>307.61399999999998</c:v>
                </c:pt>
                <c:pt idx="245">
                  <c:v>304.06400000000002</c:v>
                </c:pt>
                <c:pt idx="246">
                  <c:v>306.31799999999998</c:v>
                </c:pt>
                <c:pt idx="247">
                  <c:v>284.62700000000001</c:v>
                </c:pt>
                <c:pt idx="248">
                  <c:v>289.24299999999999</c:v>
                </c:pt>
                <c:pt idx="249">
                  <c:v>286.90899999999999</c:v>
                </c:pt>
                <c:pt idx="250">
                  <c:v>290.50400000000002</c:v>
                </c:pt>
                <c:pt idx="251">
                  <c:v>282.553</c:v>
                </c:pt>
                <c:pt idx="252">
                  <c:v>283.56200000000001</c:v>
                </c:pt>
                <c:pt idx="253">
                  <c:v>279.09399999999999</c:v>
                </c:pt>
                <c:pt idx="254">
                  <c:v>274.73399999999998</c:v>
                </c:pt>
                <c:pt idx="255">
                  <c:v>278.31900000000002</c:v>
                </c:pt>
                <c:pt idx="256">
                  <c:v>278.31900000000002</c:v>
                </c:pt>
                <c:pt idx="257">
                  <c:v>278.31900000000002</c:v>
                </c:pt>
                <c:pt idx="258">
                  <c:v>279.65899999999999</c:v>
                </c:pt>
                <c:pt idx="259">
                  <c:v>282.71699999999998</c:v>
                </c:pt>
                <c:pt idx="260">
                  <c:v>279.47399999999999</c:v>
                </c:pt>
                <c:pt idx="261">
                  <c:v>279.47399999999999</c:v>
                </c:pt>
                <c:pt idx="262">
                  <c:v>278.92200000000003</c:v>
                </c:pt>
                <c:pt idx="263">
                  <c:v>285.50299999999999</c:v>
                </c:pt>
                <c:pt idx="264">
                  <c:v>277.69299999999998</c:v>
                </c:pt>
                <c:pt idx="265">
                  <c:v>278.21600000000001</c:v>
                </c:pt>
                <c:pt idx="266">
                  <c:v>268.66899999999998</c:v>
                </c:pt>
                <c:pt idx="267">
                  <c:v>268.38400000000001</c:v>
                </c:pt>
                <c:pt idx="268">
                  <c:v>253.37700000000001</c:v>
                </c:pt>
                <c:pt idx="269">
                  <c:v>243.458</c:v>
                </c:pt>
                <c:pt idx="270">
                  <c:v>237.02500000000001</c:v>
                </c:pt>
                <c:pt idx="271">
                  <c:v>238.94499999999999</c:v>
                </c:pt>
                <c:pt idx="272">
                  <c:v>234.01499999999999</c:v>
                </c:pt>
                <c:pt idx="273">
                  <c:v>233.565</c:v>
                </c:pt>
                <c:pt idx="274">
                  <c:v>233.02</c:v>
                </c:pt>
                <c:pt idx="275">
                  <c:v>237.321</c:v>
                </c:pt>
                <c:pt idx="276">
                  <c:v>237.04900000000001</c:v>
                </c:pt>
                <c:pt idx="277">
                  <c:v>249.761</c:v>
                </c:pt>
                <c:pt idx="278">
                  <c:v>255.09</c:v>
                </c:pt>
                <c:pt idx="279">
                  <c:v>267.351</c:v>
                </c:pt>
                <c:pt idx="280">
                  <c:v>258.62700000000001</c:v>
                </c:pt>
                <c:pt idx="281">
                  <c:v>263.447</c:v>
                </c:pt>
                <c:pt idx="282">
                  <c:v>264.30599999999998</c:v>
                </c:pt>
                <c:pt idx="283">
                  <c:v>271.15499999999997</c:v>
                </c:pt>
                <c:pt idx="284">
                  <c:v>280.88400000000001</c:v>
                </c:pt>
                <c:pt idx="285">
                  <c:v>269.34100000000001</c:v>
                </c:pt>
                <c:pt idx="286">
                  <c:v>267.08</c:v>
                </c:pt>
                <c:pt idx="287">
                  <c:v>263.60300000000001</c:v>
                </c:pt>
                <c:pt idx="288">
                  <c:v>267.58600000000001</c:v>
                </c:pt>
                <c:pt idx="289">
                  <c:v>269.60300000000001</c:v>
                </c:pt>
                <c:pt idx="290">
                  <c:v>265.38400000000001</c:v>
                </c:pt>
                <c:pt idx="291">
                  <c:v>262.435</c:v>
                </c:pt>
                <c:pt idx="292">
                  <c:v>260.27800000000002</c:v>
                </c:pt>
                <c:pt idx="293">
                  <c:v>252.32900000000001</c:v>
                </c:pt>
                <c:pt idx="294">
                  <c:v>249.41200000000001</c:v>
                </c:pt>
                <c:pt idx="295">
                  <c:v>254.24100000000001</c:v>
                </c:pt>
                <c:pt idx="296">
                  <c:v>248.47399999999999</c:v>
                </c:pt>
                <c:pt idx="297">
                  <c:v>245.203</c:v>
                </c:pt>
                <c:pt idx="298">
                  <c:v>236.78200000000001</c:v>
                </c:pt>
                <c:pt idx="299">
                  <c:v>249.79599999999999</c:v>
                </c:pt>
                <c:pt idx="300">
                  <c:v>260.58600000000001</c:v>
                </c:pt>
                <c:pt idx="301">
                  <c:v>262.74799999999999</c:v>
                </c:pt>
                <c:pt idx="302">
                  <c:v>290.154</c:v>
                </c:pt>
                <c:pt idx="303">
                  <c:v>334.44299999999998</c:v>
                </c:pt>
                <c:pt idx="304">
                  <c:v>337.52800000000002</c:v>
                </c:pt>
                <c:pt idx="305">
                  <c:v>334.471</c:v>
                </c:pt>
                <c:pt idx="306">
                  <c:v>328.16500000000002</c:v>
                </c:pt>
                <c:pt idx="307">
                  <c:v>335.44900000000001</c:v>
                </c:pt>
                <c:pt idx="308">
                  <c:v>353.86700000000002</c:v>
                </c:pt>
                <c:pt idx="309">
                  <c:v>503.76900000000001</c:v>
                </c:pt>
                <c:pt idx="310">
                  <c:v>488.94200000000001</c:v>
                </c:pt>
                <c:pt idx="311">
                  <c:v>517.38300000000004</c:v>
                </c:pt>
                <c:pt idx="312">
                  <c:v>627.99199999999996</c:v>
                </c:pt>
                <c:pt idx="313">
                  <c:v>608.91800000000001</c:v>
                </c:pt>
                <c:pt idx="314">
                  <c:v>690.76300000000003</c:v>
                </c:pt>
                <c:pt idx="315">
                  <c:v>693.06200000000001</c:v>
                </c:pt>
                <c:pt idx="316">
                  <c:v>757.08699999999999</c:v>
                </c:pt>
                <c:pt idx="317">
                  <c:v>798.34100000000001</c:v>
                </c:pt>
                <c:pt idx="318">
                  <c:v>799.21900000000005</c:v>
                </c:pt>
                <c:pt idx="319">
                  <c:v>862.75900000000001</c:v>
                </c:pt>
                <c:pt idx="320">
                  <c:v>847.79200000000003</c:v>
                </c:pt>
                <c:pt idx="321">
                  <c:v>814.67</c:v>
                </c:pt>
                <c:pt idx="322">
                  <c:v>718.68</c:v>
                </c:pt>
                <c:pt idx="323">
                  <c:v>708.51199999999994</c:v>
                </c:pt>
                <c:pt idx="324">
                  <c:v>722.25699999999995</c:v>
                </c:pt>
                <c:pt idx="325">
                  <c:v>725.00900000000001</c:v>
                </c:pt>
                <c:pt idx="326">
                  <c:v>725.32299999999998</c:v>
                </c:pt>
                <c:pt idx="327">
                  <c:v>705.072</c:v>
                </c:pt>
                <c:pt idx="328">
                  <c:v>671.43200000000002</c:v>
                </c:pt>
                <c:pt idx="329">
                  <c:v>629.42499999999995</c:v>
                </c:pt>
                <c:pt idx="330">
                  <c:v>622.947</c:v>
                </c:pt>
                <c:pt idx="331">
                  <c:v>655.18499999999995</c:v>
                </c:pt>
                <c:pt idx="332">
                  <c:v>653.95799999999997</c:v>
                </c:pt>
                <c:pt idx="333">
                  <c:v>653.95799999999997</c:v>
                </c:pt>
                <c:pt idx="334">
                  <c:v>653.95799999999997</c:v>
                </c:pt>
                <c:pt idx="335">
                  <c:v>655.87199999999996</c:v>
                </c:pt>
                <c:pt idx="336">
                  <c:v>672.77</c:v>
                </c:pt>
                <c:pt idx="337">
                  <c:v>686.43600000000004</c:v>
                </c:pt>
                <c:pt idx="338">
                  <c:v>682.20899999999995</c:v>
                </c:pt>
                <c:pt idx="339">
                  <c:v>672.45299999999997</c:v>
                </c:pt>
                <c:pt idx="340">
                  <c:v>710.35500000000002</c:v>
                </c:pt>
                <c:pt idx="341">
                  <c:v>727.15099999999995</c:v>
                </c:pt>
                <c:pt idx="342">
                  <c:v>714.245</c:v>
                </c:pt>
                <c:pt idx="343">
                  <c:v>728.53</c:v>
                </c:pt>
                <c:pt idx="344">
                  <c:v>729.07</c:v>
                </c:pt>
                <c:pt idx="345">
                  <c:v>751.745</c:v>
                </c:pt>
                <c:pt idx="346">
                  <c:v>755.37099999999998</c:v>
                </c:pt>
                <c:pt idx="347">
                  <c:v>734.74099999999999</c:v>
                </c:pt>
                <c:pt idx="348">
                  <c:v>734.56600000000003</c:v>
                </c:pt>
                <c:pt idx="349">
                  <c:v>735.31399999999996</c:v>
                </c:pt>
                <c:pt idx="350">
                  <c:v>721.15599999999995</c:v>
                </c:pt>
                <c:pt idx="351">
                  <c:v>697.16399999999999</c:v>
                </c:pt>
                <c:pt idx="352">
                  <c:v>695.471</c:v>
                </c:pt>
                <c:pt idx="353">
                  <c:v>695.471</c:v>
                </c:pt>
                <c:pt idx="354">
                  <c:v>676.01</c:v>
                </c:pt>
                <c:pt idx="355">
                  <c:v>659.39099999999996</c:v>
                </c:pt>
                <c:pt idx="356">
                  <c:v>625.07899999999995</c:v>
                </c:pt>
                <c:pt idx="357">
                  <c:v>635.10599999999999</c:v>
                </c:pt>
                <c:pt idx="358">
                  <c:v>612.30399999999997</c:v>
                </c:pt>
                <c:pt idx="359">
                  <c:v>572.53099999999995</c:v>
                </c:pt>
                <c:pt idx="360">
                  <c:v>541.76900000000001</c:v>
                </c:pt>
                <c:pt idx="361">
                  <c:v>523.04600000000005</c:v>
                </c:pt>
                <c:pt idx="362">
                  <c:v>521.74900000000002</c:v>
                </c:pt>
                <c:pt idx="363">
                  <c:v>519.80499999999995</c:v>
                </c:pt>
                <c:pt idx="364">
                  <c:v>519.80499999999995</c:v>
                </c:pt>
                <c:pt idx="365">
                  <c:v>492.85399999999998</c:v>
                </c:pt>
                <c:pt idx="366">
                  <c:v>498.47800000000001</c:v>
                </c:pt>
                <c:pt idx="367">
                  <c:v>498.38799999999998</c:v>
                </c:pt>
                <c:pt idx="368">
                  <c:v>503.67200000000003</c:v>
                </c:pt>
                <c:pt idx="369">
                  <c:v>495.036</c:v>
                </c:pt>
                <c:pt idx="370">
                  <c:v>490.14400000000001</c:v>
                </c:pt>
                <c:pt idx="371">
                  <c:v>493.22500000000002</c:v>
                </c:pt>
                <c:pt idx="372">
                  <c:v>491.83199999999999</c:v>
                </c:pt>
                <c:pt idx="373">
                  <c:v>485.97500000000002</c:v>
                </c:pt>
                <c:pt idx="374">
                  <c:v>495.06</c:v>
                </c:pt>
                <c:pt idx="375">
                  <c:v>494.86900000000003</c:v>
                </c:pt>
                <c:pt idx="376">
                  <c:v>483.262</c:v>
                </c:pt>
                <c:pt idx="377">
                  <c:v>517.65899999999999</c:v>
                </c:pt>
                <c:pt idx="378">
                  <c:v>521.49599999999998</c:v>
                </c:pt>
                <c:pt idx="379">
                  <c:v>548.37199999999996</c:v>
                </c:pt>
                <c:pt idx="380">
                  <c:v>561.39599999999996</c:v>
                </c:pt>
                <c:pt idx="381">
                  <c:v>556.40200000000004</c:v>
                </c:pt>
                <c:pt idx="382">
                  <c:v>551.58799999999997</c:v>
                </c:pt>
                <c:pt idx="383">
                  <c:v>550.197</c:v>
                </c:pt>
                <c:pt idx="384">
                  <c:v>561.63199999999995</c:v>
                </c:pt>
                <c:pt idx="385">
                  <c:v>577.10500000000002</c:v>
                </c:pt>
                <c:pt idx="386">
                  <c:v>592.70600000000002</c:v>
                </c:pt>
                <c:pt idx="387">
                  <c:v>658.99800000000005</c:v>
                </c:pt>
                <c:pt idx="388">
                  <c:v>651.28300000000002</c:v>
                </c:pt>
                <c:pt idx="389">
                  <c:v>645.29</c:v>
                </c:pt>
                <c:pt idx="390">
                  <c:v>643.96600000000001</c:v>
                </c:pt>
                <c:pt idx="391">
                  <c:v>635.33500000000004</c:v>
                </c:pt>
                <c:pt idx="392">
                  <c:v>619.29899999999998</c:v>
                </c:pt>
                <c:pt idx="393">
                  <c:v>613.54</c:v>
                </c:pt>
                <c:pt idx="394">
                  <c:v>611.49800000000005</c:v>
                </c:pt>
                <c:pt idx="395">
                  <c:v>622.21400000000006</c:v>
                </c:pt>
                <c:pt idx="396">
                  <c:v>616.82500000000005</c:v>
                </c:pt>
                <c:pt idx="397">
                  <c:v>620.53800000000001</c:v>
                </c:pt>
                <c:pt idx="398">
                  <c:v>627.13499999999999</c:v>
                </c:pt>
                <c:pt idx="399">
                  <c:v>642.63099999999997</c:v>
                </c:pt>
                <c:pt idx="400">
                  <c:v>664.21400000000006</c:v>
                </c:pt>
                <c:pt idx="401">
                  <c:v>678.20299999999997</c:v>
                </c:pt>
                <c:pt idx="402">
                  <c:v>672.57899999999995</c:v>
                </c:pt>
                <c:pt idx="403">
                  <c:v>664.22500000000002</c:v>
                </c:pt>
                <c:pt idx="404">
                  <c:v>661.83399999999995</c:v>
                </c:pt>
                <c:pt idx="405">
                  <c:v>660.93100000000004</c:v>
                </c:pt>
                <c:pt idx="406">
                  <c:v>665.10599999999999</c:v>
                </c:pt>
                <c:pt idx="407">
                  <c:v>658.00099999999998</c:v>
                </c:pt>
                <c:pt idx="408">
                  <c:v>660.553</c:v>
                </c:pt>
                <c:pt idx="409">
                  <c:v>656.18799999999999</c:v>
                </c:pt>
                <c:pt idx="410">
                  <c:v>646.49400000000003</c:v>
                </c:pt>
                <c:pt idx="411">
                  <c:v>628.59299999999996</c:v>
                </c:pt>
                <c:pt idx="412">
                  <c:v>630.89400000000001</c:v>
                </c:pt>
                <c:pt idx="413">
                  <c:v>602.803</c:v>
                </c:pt>
                <c:pt idx="414">
                  <c:v>587.48699999999997</c:v>
                </c:pt>
                <c:pt idx="415">
                  <c:v>581.18100000000004</c:v>
                </c:pt>
                <c:pt idx="416">
                  <c:v>567.59699999999998</c:v>
                </c:pt>
                <c:pt idx="417">
                  <c:v>576.74199999999996</c:v>
                </c:pt>
                <c:pt idx="418">
                  <c:v>588.16999999999996</c:v>
                </c:pt>
                <c:pt idx="419">
                  <c:v>620.99300000000005</c:v>
                </c:pt>
                <c:pt idx="420">
                  <c:v>646.28</c:v>
                </c:pt>
                <c:pt idx="421">
                  <c:v>648.06200000000001</c:v>
                </c:pt>
                <c:pt idx="422">
                  <c:v>738.89</c:v>
                </c:pt>
                <c:pt idx="423">
                  <c:v>854.16099999999994</c:v>
                </c:pt>
                <c:pt idx="424">
                  <c:v>956.63900000000001</c:v>
                </c:pt>
                <c:pt idx="425">
                  <c:v>856.83799999999997</c:v>
                </c:pt>
                <c:pt idx="426">
                  <c:v>824.49699999999996</c:v>
                </c:pt>
                <c:pt idx="427">
                  <c:v>777.42899999999997</c:v>
                </c:pt>
                <c:pt idx="428">
                  <c:v>778.12800000000004</c:v>
                </c:pt>
                <c:pt idx="429">
                  <c:v>811.49400000000003</c:v>
                </c:pt>
                <c:pt idx="430">
                  <c:v>815.029</c:v>
                </c:pt>
                <c:pt idx="431">
                  <c:v>786.74800000000005</c:v>
                </c:pt>
                <c:pt idx="432">
                  <c:v>710.92399999999998</c:v>
                </c:pt>
                <c:pt idx="433">
                  <c:v>713.19500000000005</c:v>
                </c:pt>
                <c:pt idx="434">
                  <c:v>713.19500000000005</c:v>
                </c:pt>
                <c:pt idx="435">
                  <c:v>660.13199999999995</c:v>
                </c:pt>
                <c:pt idx="436">
                  <c:v>648.81700000000001</c:v>
                </c:pt>
                <c:pt idx="437">
                  <c:v>652.67399999999998</c:v>
                </c:pt>
                <c:pt idx="438">
                  <c:v>642.43700000000001</c:v>
                </c:pt>
                <c:pt idx="439">
                  <c:v>646.50400000000002</c:v>
                </c:pt>
                <c:pt idx="440">
                  <c:v>705.03200000000004</c:v>
                </c:pt>
                <c:pt idx="441">
                  <c:v>698.32299999999998</c:v>
                </c:pt>
                <c:pt idx="442">
                  <c:v>701.00900000000001</c:v>
                </c:pt>
                <c:pt idx="443">
                  <c:v>728.99900000000002</c:v>
                </c:pt>
                <c:pt idx="444">
                  <c:v>689.38400000000001</c:v>
                </c:pt>
                <c:pt idx="445">
                  <c:v>677.29300000000001</c:v>
                </c:pt>
                <c:pt idx="446">
                  <c:v>678.529</c:v>
                </c:pt>
                <c:pt idx="447">
                  <c:v>695.55499999999995</c:v>
                </c:pt>
                <c:pt idx="448">
                  <c:v>675.971</c:v>
                </c:pt>
                <c:pt idx="449">
                  <c:v>745.47900000000004</c:v>
                </c:pt>
                <c:pt idx="450">
                  <c:v>735.851</c:v>
                </c:pt>
                <c:pt idx="451">
                  <c:v>761.22699999999998</c:v>
                </c:pt>
                <c:pt idx="452">
                  <c:v>795.73099999999999</c:v>
                </c:pt>
                <c:pt idx="453">
                  <c:v>798.125</c:v>
                </c:pt>
                <c:pt idx="454">
                  <c:v>783.72500000000002</c:v>
                </c:pt>
                <c:pt idx="455">
                  <c:v>785.11199999999997</c:v>
                </c:pt>
                <c:pt idx="456">
                  <c:v>777.33900000000006</c:v>
                </c:pt>
                <c:pt idx="457">
                  <c:v>761.87</c:v>
                </c:pt>
                <c:pt idx="458">
                  <c:v>768.56299999999999</c:v>
                </c:pt>
                <c:pt idx="459">
                  <c:v>734.43399999999997</c:v>
                </c:pt>
                <c:pt idx="460">
                  <c:v>708.548</c:v>
                </c:pt>
                <c:pt idx="461">
                  <c:v>706.35699999999997</c:v>
                </c:pt>
                <c:pt idx="462">
                  <c:v>678.12400000000002</c:v>
                </c:pt>
                <c:pt idx="463">
                  <c:v>679.30799999999999</c:v>
                </c:pt>
                <c:pt idx="464">
                  <c:v>671.59900000000005</c:v>
                </c:pt>
                <c:pt idx="465">
                  <c:v>697.09500000000003</c:v>
                </c:pt>
                <c:pt idx="466">
                  <c:v>736.54399999999998</c:v>
                </c:pt>
                <c:pt idx="467">
                  <c:v>775.02599999999995</c:v>
                </c:pt>
                <c:pt idx="468">
                  <c:v>760</c:v>
                </c:pt>
                <c:pt idx="469">
                  <c:v>747.69799999999998</c:v>
                </c:pt>
                <c:pt idx="470">
                  <c:v>741.70600000000002</c:v>
                </c:pt>
                <c:pt idx="471">
                  <c:v>725.98199999999997</c:v>
                </c:pt>
                <c:pt idx="472">
                  <c:v>743.53300000000002</c:v>
                </c:pt>
                <c:pt idx="473">
                  <c:v>709.39700000000005</c:v>
                </c:pt>
                <c:pt idx="474">
                  <c:v>720.21299999999997</c:v>
                </c:pt>
                <c:pt idx="475">
                  <c:v>707.697</c:v>
                </c:pt>
                <c:pt idx="476">
                  <c:v>702.85400000000004</c:v>
                </c:pt>
                <c:pt idx="477">
                  <c:v>696.93200000000002</c:v>
                </c:pt>
                <c:pt idx="478">
                  <c:v>711.75699999999995</c:v>
                </c:pt>
                <c:pt idx="479">
                  <c:v>725.08299999999997</c:v>
                </c:pt>
                <c:pt idx="480">
                  <c:v>707.86300000000006</c:v>
                </c:pt>
                <c:pt idx="481">
                  <c:v>679.72900000000004</c:v>
                </c:pt>
                <c:pt idx="482">
                  <c:v>652.84299999999996</c:v>
                </c:pt>
                <c:pt idx="483">
                  <c:v>652.12199999999996</c:v>
                </c:pt>
                <c:pt idx="484">
                  <c:v>614.15</c:v>
                </c:pt>
                <c:pt idx="485">
                  <c:v>612.375</c:v>
                </c:pt>
                <c:pt idx="486">
                  <c:v>594.36699999999996</c:v>
                </c:pt>
                <c:pt idx="487">
                  <c:v>592.77599999999995</c:v>
                </c:pt>
                <c:pt idx="488">
                  <c:v>589.50199999999995</c:v>
                </c:pt>
                <c:pt idx="489">
                  <c:v>597.28800000000001</c:v>
                </c:pt>
                <c:pt idx="490">
                  <c:v>606.53200000000004</c:v>
                </c:pt>
                <c:pt idx="491">
                  <c:v>596.87</c:v>
                </c:pt>
                <c:pt idx="492">
                  <c:v>600.779</c:v>
                </c:pt>
                <c:pt idx="493">
                  <c:v>598.99800000000005</c:v>
                </c:pt>
                <c:pt idx="494">
                  <c:v>588.46500000000003</c:v>
                </c:pt>
                <c:pt idx="495">
                  <c:v>569.76099999999997</c:v>
                </c:pt>
                <c:pt idx="496">
                  <c:v>541.25199999999995</c:v>
                </c:pt>
                <c:pt idx="497">
                  <c:v>531.08199999999999</c:v>
                </c:pt>
                <c:pt idx="498">
                  <c:v>510.14800000000002</c:v>
                </c:pt>
                <c:pt idx="499">
                  <c:v>495.661</c:v>
                </c:pt>
                <c:pt idx="500">
                  <c:v>468.08800000000002</c:v>
                </c:pt>
                <c:pt idx="501">
                  <c:v>445.03500000000003</c:v>
                </c:pt>
                <c:pt idx="502">
                  <c:v>416.61799999999999</c:v>
                </c:pt>
                <c:pt idx="503">
                  <c:v>398.73399999999998</c:v>
                </c:pt>
                <c:pt idx="504">
                  <c:v>398.02100000000002</c:v>
                </c:pt>
                <c:pt idx="505">
                  <c:v>401.209</c:v>
                </c:pt>
                <c:pt idx="506">
                  <c:v>411.67</c:v>
                </c:pt>
                <c:pt idx="507">
                  <c:v>414.33699999999999</c:v>
                </c:pt>
                <c:pt idx="508">
                  <c:v>417.12099999999998</c:v>
                </c:pt>
                <c:pt idx="509">
                  <c:v>412.07499999999999</c:v>
                </c:pt>
                <c:pt idx="510">
                  <c:v>409.565</c:v>
                </c:pt>
                <c:pt idx="511">
                  <c:v>416.1</c:v>
                </c:pt>
                <c:pt idx="512">
                  <c:v>409.18299999999999</c:v>
                </c:pt>
                <c:pt idx="513">
                  <c:v>410.976</c:v>
                </c:pt>
                <c:pt idx="514">
                  <c:v>409.75599999999997</c:v>
                </c:pt>
                <c:pt idx="515">
                  <c:v>416.28399999999999</c:v>
                </c:pt>
                <c:pt idx="516">
                  <c:v>429.55200000000002</c:v>
                </c:pt>
                <c:pt idx="517">
                  <c:v>436.62700000000001</c:v>
                </c:pt>
                <c:pt idx="518">
                  <c:v>436.62700000000001</c:v>
                </c:pt>
                <c:pt idx="519">
                  <c:v>436.62700000000001</c:v>
                </c:pt>
                <c:pt idx="520">
                  <c:v>438.09699999999998</c:v>
                </c:pt>
                <c:pt idx="521">
                  <c:v>422.97500000000002</c:v>
                </c:pt>
                <c:pt idx="522">
                  <c:v>427.89400000000001</c:v>
                </c:pt>
                <c:pt idx="523">
                  <c:v>427.89400000000001</c:v>
                </c:pt>
                <c:pt idx="524">
                  <c:v>426.726</c:v>
                </c:pt>
                <c:pt idx="525">
                  <c:v>434.18400000000003</c:v>
                </c:pt>
                <c:pt idx="526">
                  <c:v>432.34800000000001</c:v>
                </c:pt>
                <c:pt idx="527">
                  <c:v>432.33499999999998</c:v>
                </c:pt>
                <c:pt idx="528">
                  <c:v>430.08699999999999</c:v>
                </c:pt>
                <c:pt idx="529">
                  <c:v>438.34500000000003</c:v>
                </c:pt>
                <c:pt idx="530">
                  <c:v>466.23099999999999</c:v>
                </c:pt>
                <c:pt idx="531">
                  <c:v>460.93099999999998</c:v>
                </c:pt>
                <c:pt idx="532">
                  <c:v>450.673</c:v>
                </c:pt>
                <c:pt idx="533">
                  <c:v>452.99700000000001</c:v>
                </c:pt>
                <c:pt idx="534">
                  <c:v>465.66699999999997</c:v>
                </c:pt>
                <c:pt idx="535">
                  <c:v>454.68</c:v>
                </c:pt>
                <c:pt idx="536">
                  <c:v>444.65699999999998</c:v>
                </c:pt>
                <c:pt idx="537">
                  <c:v>437.44900000000001</c:v>
                </c:pt>
                <c:pt idx="538">
                  <c:v>462.74299999999999</c:v>
                </c:pt>
                <c:pt idx="539">
                  <c:v>458.01600000000002</c:v>
                </c:pt>
                <c:pt idx="540">
                  <c:v>458.85500000000002</c:v>
                </c:pt>
                <c:pt idx="541">
                  <c:v>456.49900000000002</c:v>
                </c:pt>
                <c:pt idx="542">
                  <c:v>448.476</c:v>
                </c:pt>
                <c:pt idx="543">
                  <c:v>456.673</c:v>
                </c:pt>
                <c:pt idx="544">
                  <c:v>438.62400000000002</c:v>
                </c:pt>
                <c:pt idx="545">
                  <c:v>421.50099999999998</c:v>
                </c:pt>
                <c:pt idx="546">
                  <c:v>413.65499999999997</c:v>
                </c:pt>
                <c:pt idx="547">
                  <c:v>416.60300000000001</c:v>
                </c:pt>
                <c:pt idx="548">
                  <c:v>415.86</c:v>
                </c:pt>
                <c:pt idx="549">
                  <c:v>420.24400000000003</c:v>
                </c:pt>
                <c:pt idx="550">
                  <c:v>440.21</c:v>
                </c:pt>
                <c:pt idx="551">
                  <c:v>444.86599999999999</c:v>
                </c:pt>
                <c:pt idx="552">
                  <c:v>441.24299999999999</c:v>
                </c:pt>
                <c:pt idx="553">
                  <c:v>449.39299999999997</c:v>
                </c:pt>
                <c:pt idx="554">
                  <c:v>452.58199999999999</c:v>
                </c:pt>
                <c:pt idx="555">
                  <c:v>454.16300000000001</c:v>
                </c:pt>
                <c:pt idx="556">
                  <c:v>453.81799999999998</c:v>
                </c:pt>
                <c:pt idx="557">
                  <c:v>436.85599999999999</c:v>
                </c:pt>
                <c:pt idx="558">
                  <c:v>432.53300000000002</c:v>
                </c:pt>
                <c:pt idx="559">
                  <c:v>457.142</c:v>
                </c:pt>
                <c:pt idx="560">
                  <c:v>448.26</c:v>
                </c:pt>
                <c:pt idx="561">
                  <c:v>444.27300000000002</c:v>
                </c:pt>
                <c:pt idx="562">
                  <c:v>452.173</c:v>
                </c:pt>
                <c:pt idx="563">
                  <c:v>455.46300000000002</c:v>
                </c:pt>
                <c:pt idx="564">
                  <c:v>441.42099999999999</c:v>
                </c:pt>
                <c:pt idx="565">
                  <c:v>450.9</c:v>
                </c:pt>
                <c:pt idx="566">
                  <c:v>459.536</c:v>
                </c:pt>
                <c:pt idx="567">
                  <c:v>463.47</c:v>
                </c:pt>
                <c:pt idx="568">
                  <c:v>484.87799999999999</c:v>
                </c:pt>
                <c:pt idx="569">
                  <c:v>509.40699999999998</c:v>
                </c:pt>
                <c:pt idx="570">
                  <c:v>492.57499999999999</c:v>
                </c:pt>
                <c:pt idx="571">
                  <c:v>493.59800000000001</c:v>
                </c:pt>
                <c:pt idx="572">
                  <c:v>492.61399999999998</c:v>
                </c:pt>
                <c:pt idx="573">
                  <c:v>562.37599999999998</c:v>
                </c:pt>
                <c:pt idx="574">
                  <c:v>552.78</c:v>
                </c:pt>
                <c:pt idx="575">
                  <c:v>505.36799999999999</c:v>
                </c:pt>
                <c:pt idx="576">
                  <c:v>516.81700000000001</c:v>
                </c:pt>
                <c:pt idx="577">
                  <c:v>520.48199999999997</c:v>
                </c:pt>
                <c:pt idx="578">
                  <c:v>497.63799999999998</c:v>
                </c:pt>
                <c:pt idx="579">
                  <c:v>493.38499999999999</c:v>
                </c:pt>
                <c:pt idx="580">
                  <c:v>500.37200000000001</c:v>
                </c:pt>
                <c:pt idx="581">
                  <c:v>511.45100000000002</c:v>
                </c:pt>
                <c:pt idx="582">
                  <c:v>523.96799999999996</c:v>
                </c:pt>
                <c:pt idx="583">
                  <c:v>518.10199999999998</c:v>
                </c:pt>
                <c:pt idx="584">
                  <c:v>521.81200000000001</c:v>
                </c:pt>
                <c:pt idx="585">
                  <c:v>549.75099999999998</c:v>
                </c:pt>
                <c:pt idx="586">
                  <c:v>537.95399999999995</c:v>
                </c:pt>
                <c:pt idx="587">
                  <c:v>541.51599999999996</c:v>
                </c:pt>
                <c:pt idx="588">
                  <c:v>541.51599999999996</c:v>
                </c:pt>
                <c:pt idx="589">
                  <c:v>541.51599999999996</c:v>
                </c:pt>
                <c:pt idx="590">
                  <c:v>547.44600000000003</c:v>
                </c:pt>
                <c:pt idx="591">
                  <c:v>549.83000000000004</c:v>
                </c:pt>
                <c:pt idx="592">
                  <c:v>545.06700000000001</c:v>
                </c:pt>
                <c:pt idx="593">
                  <c:v>547.25199999999995</c:v>
                </c:pt>
                <c:pt idx="594">
                  <c:v>542.04600000000005</c:v>
                </c:pt>
                <c:pt idx="595">
                  <c:v>545.18299999999999</c:v>
                </c:pt>
                <c:pt idx="596">
                  <c:v>546.75300000000004</c:v>
                </c:pt>
                <c:pt idx="597">
                  <c:v>549.23400000000004</c:v>
                </c:pt>
                <c:pt idx="598">
                  <c:v>544.68700000000001</c:v>
                </c:pt>
                <c:pt idx="599">
                  <c:v>530.81600000000003</c:v>
                </c:pt>
                <c:pt idx="600">
                  <c:v>526.17899999999997</c:v>
                </c:pt>
                <c:pt idx="601">
                  <c:v>506.74</c:v>
                </c:pt>
                <c:pt idx="602">
                  <c:v>501.77800000000002</c:v>
                </c:pt>
                <c:pt idx="603">
                  <c:v>496.16800000000001</c:v>
                </c:pt>
                <c:pt idx="604">
                  <c:v>506.65899999999999</c:v>
                </c:pt>
                <c:pt idx="605">
                  <c:v>492.63799999999998</c:v>
                </c:pt>
                <c:pt idx="606">
                  <c:v>501.31200000000001</c:v>
                </c:pt>
                <c:pt idx="607">
                  <c:v>502.47800000000001</c:v>
                </c:pt>
                <c:pt idx="608">
                  <c:v>504.55500000000001</c:v>
                </c:pt>
                <c:pt idx="609">
                  <c:v>504.55500000000001</c:v>
                </c:pt>
                <c:pt idx="610">
                  <c:v>516.08699999999999</c:v>
                </c:pt>
                <c:pt idx="611">
                  <c:v>512.97699999999998</c:v>
                </c:pt>
                <c:pt idx="612">
                  <c:v>508.22899999999998</c:v>
                </c:pt>
                <c:pt idx="613">
                  <c:v>509.017</c:v>
                </c:pt>
                <c:pt idx="614">
                  <c:v>510.483</c:v>
                </c:pt>
                <c:pt idx="615">
                  <c:v>512.44799999999998</c:v>
                </c:pt>
                <c:pt idx="616">
                  <c:v>514.41399999999999</c:v>
                </c:pt>
                <c:pt idx="617">
                  <c:v>524.57399999999996</c:v>
                </c:pt>
                <c:pt idx="618">
                  <c:v>513.12800000000004</c:v>
                </c:pt>
                <c:pt idx="619">
                  <c:v>508.61900000000003</c:v>
                </c:pt>
                <c:pt idx="620">
                  <c:v>512.35</c:v>
                </c:pt>
                <c:pt idx="621">
                  <c:v>514.678</c:v>
                </c:pt>
                <c:pt idx="622">
                  <c:v>518.05999999999995</c:v>
                </c:pt>
                <c:pt idx="623">
                  <c:v>488.34699999999998</c:v>
                </c:pt>
                <c:pt idx="624">
                  <c:v>581.61699999999996</c:v>
                </c:pt>
                <c:pt idx="625">
                  <c:v>591.81799999999998</c:v>
                </c:pt>
                <c:pt idx="626">
                  <c:v>653.91499999999996</c:v>
                </c:pt>
                <c:pt idx="627">
                  <c:v>655.42700000000002</c:v>
                </c:pt>
                <c:pt idx="628">
                  <c:v>658.2</c:v>
                </c:pt>
                <c:pt idx="629">
                  <c:v>658.2</c:v>
                </c:pt>
                <c:pt idx="630">
                  <c:v>612.15599999999995</c:v>
                </c:pt>
                <c:pt idx="631">
                  <c:v>595.14300000000003</c:v>
                </c:pt>
                <c:pt idx="632">
                  <c:v>588.58600000000001</c:v>
                </c:pt>
                <c:pt idx="633">
                  <c:v>587.60699999999997</c:v>
                </c:pt>
                <c:pt idx="634">
                  <c:v>555.24099999999999</c:v>
                </c:pt>
                <c:pt idx="635">
                  <c:v>534.45299999999997</c:v>
                </c:pt>
                <c:pt idx="636">
                  <c:v>508.53399999999999</c:v>
                </c:pt>
                <c:pt idx="637">
                  <c:v>509.41699999999997</c:v>
                </c:pt>
                <c:pt idx="638">
                  <c:v>513.66300000000001</c:v>
                </c:pt>
                <c:pt idx="639">
                  <c:v>505.18</c:v>
                </c:pt>
                <c:pt idx="640">
                  <c:v>521.85199999999998</c:v>
                </c:pt>
                <c:pt idx="641">
                  <c:v>520.31100000000004</c:v>
                </c:pt>
                <c:pt idx="642">
                  <c:v>528.65300000000002</c:v>
                </c:pt>
                <c:pt idx="643">
                  <c:v>536.06399999999996</c:v>
                </c:pt>
                <c:pt idx="644">
                  <c:v>722.95600000000002</c:v>
                </c:pt>
                <c:pt idx="645">
                  <c:v>721.16099999999994</c:v>
                </c:pt>
                <c:pt idx="646">
                  <c:v>706.46299999999997</c:v>
                </c:pt>
                <c:pt idx="647">
                  <c:v>704.65599999999995</c:v>
                </c:pt>
                <c:pt idx="648">
                  <c:v>705.40899999999999</c:v>
                </c:pt>
                <c:pt idx="649">
                  <c:v>710.39099999999996</c:v>
                </c:pt>
                <c:pt idx="650">
                  <c:v>710.36099999999999</c:v>
                </c:pt>
                <c:pt idx="651">
                  <c:v>706.82100000000003</c:v>
                </c:pt>
                <c:pt idx="652">
                  <c:v>688.75300000000004</c:v>
                </c:pt>
                <c:pt idx="653">
                  <c:v>687.70899999999995</c:v>
                </c:pt>
                <c:pt idx="654">
                  <c:v>687.23800000000006</c:v>
                </c:pt>
                <c:pt idx="655">
                  <c:v>680.18499999999995</c:v>
                </c:pt>
                <c:pt idx="656">
                  <c:v>671.33500000000004</c:v>
                </c:pt>
                <c:pt idx="657">
                  <c:v>663.12199999999996</c:v>
                </c:pt>
                <c:pt idx="658">
                  <c:v>663.15899999999999</c:v>
                </c:pt>
                <c:pt idx="659">
                  <c:v>669.28399999999999</c:v>
                </c:pt>
                <c:pt idx="660">
                  <c:v>668.846</c:v>
                </c:pt>
                <c:pt idx="661">
                  <c:v>669.79600000000005</c:v>
                </c:pt>
                <c:pt idx="662">
                  <c:v>672.822</c:v>
                </c:pt>
                <c:pt idx="663">
                  <c:v>663.85</c:v>
                </c:pt>
                <c:pt idx="664">
                  <c:v>668.66800000000001</c:v>
                </c:pt>
                <c:pt idx="665">
                  <c:v>668.93899999999996</c:v>
                </c:pt>
                <c:pt idx="666">
                  <c:v>662.71100000000001</c:v>
                </c:pt>
                <c:pt idx="667">
                  <c:v>656.83399999999995</c:v>
                </c:pt>
                <c:pt idx="668">
                  <c:v>647.69299999999998</c:v>
                </c:pt>
                <c:pt idx="669">
                  <c:v>654.67100000000005</c:v>
                </c:pt>
                <c:pt idx="670">
                  <c:v>643.64700000000005</c:v>
                </c:pt>
                <c:pt idx="671">
                  <c:v>635.79999999999995</c:v>
                </c:pt>
                <c:pt idx="672">
                  <c:v>633.16600000000005</c:v>
                </c:pt>
                <c:pt idx="673">
                  <c:v>625.93899999999996</c:v>
                </c:pt>
                <c:pt idx="674">
                  <c:v>622.80700000000002</c:v>
                </c:pt>
                <c:pt idx="675">
                  <c:v>610.18200000000002</c:v>
                </c:pt>
                <c:pt idx="676">
                  <c:v>605.08399999999995</c:v>
                </c:pt>
                <c:pt idx="677">
                  <c:v>616.15700000000004</c:v>
                </c:pt>
                <c:pt idx="678">
                  <c:v>621.70500000000004</c:v>
                </c:pt>
                <c:pt idx="679">
                  <c:v>636.096</c:v>
                </c:pt>
                <c:pt idx="680">
                  <c:v>658.65899999999999</c:v>
                </c:pt>
                <c:pt idx="681">
                  <c:v>667.95799999999997</c:v>
                </c:pt>
                <c:pt idx="682">
                  <c:v>665.47299999999996</c:v>
                </c:pt>
                <c:pt idx="683">
                  <c:v>660.93399999999997</c:v>
                </c:pt>
                <c:pt idx="684">
                  <c:v>664.79499999999996</c:v>
                </c:pt>
                <c:pt idx="685">
                  <c:v>665.93399999999997</c:v>
                </c:pt>
                <c:pt idx="686">
                  <c:v>663.58</c:v>
                </c:pt>
                <c:pt idx="687">
                  <c:v>653.22199999999998</c:v>
                </c:pt>
                <c:pt idx="688">
                  <c:v>659.46699999999998</c:v>
                </c:pt>
                <c:pt idx="689">
                  <c:v>646.20399999999995</c:v>
                </c:pt>
                <c:pt idx="690">
                  <c:v>646.04700000000003</c:v>
                </c:pt>
                <c:pt idx="691">
                  <c:v>645.34299999999996</c:v>
                </c:pt>
                <c:pt idx="692">
                  <c:v>594.28399999999999</c:v>
                </c:pt>
                <c:pt idx="693">
                  <c:v>597.13699999999994</c:v>
                </c:pt>
                <c:pt idx="694">
                  <c:v>597.13699999999994</c:v>
                </c:pt>
                <c:pt idx="695">
                  <c:v>575.93700000000001</c:v>
                </c:pt>
                <c:pt idx="696">
                  <c:v>559.16099999999994</c:v>
                </c:pt>
                <c:pt idx="697">
                  <c:v>559.37900000000002</c:v>
                </c:pt>
                <c:pt idx="698">
                  <c:v>540.73099999999999</c:v>
                </c:pt>
                <c:pt idx="699">
                  <c:v>538.96100000000001</c:v>
                </c:pt>
                <c:pt idx="700">
                  <c:v>526.41600000000005</c:v>
                </c:pt>
                <c:pt idx="701">
                  <c:v>515.06299999999999</c:v>
                </c:pt>
                <c:pt idx="702">
                  <c:v>516.48299999999995</c:v>
                </c:pt>
                <c:pt idx="703">
                  <c:v>500.05099999999999</c:v>
                </c:pt>
                <c:pt idx="704">
                  <c:v>504.03399999999999</c:v>
                </c:pt>
                <c:pt idx="705">
                  <c:v>502.26900000000001</c:v>
                </c:pt>
              </c:numCache>
            </c:numRef>
          </c:val>
          <c:smooth val="0"/>
          <c:extLst>
            <c:ext xmlns:c16="http://schemas.microsoft.com/office/drawing/2014/chart" uri="{C3380CC4-5D6E-409C-BE32-E72D297353CC}">
              <c16:uniqueId val="{00000005-7C05-4062-8901-959CCCC822C5}"/>
            </c:ext>
          </c:extLst>
        </c:ser>
        <c:ser>
          <c:idx val="6"/>
          <c:order val="6"/>
          <c:tx>
            <c:strRef>
              <c:f>Sheet1!$H$1</c:f>
              <c:strCache>
                <c:ptCount val="1"/>
                <c:pt idx="0">
                  <c:v>Ղազախստան (2025 թ.)</c:v>
                </c:pt>
              </c:strCache>
            </c:strRef>
          </c:tx>
          <c:spPr>
            <a:ln w="28575" cap="rnd">
              <a:solidFill>
                <a:schemeClr val="accent1">
                  <a:lumMod val="60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Sheet1!$H$2:$H$707</c:f>
              <c:numCache>
                <c:formatCode>_(* #,##0_);_(* \(#,##0\);_(* "-"??_);_(@_)</c:formatCode>
                <c:ptCount val="706"/>
                <c:pt idx="0">
                  <c:v>142.02199999999999</c:v>
                </c:pt>
                <c:pt idx="1">
                  <c:v>147.65</c:v>
                </c:pt>
                <c:pt idx="2">
                  <c:v>145.41999999999999</c:v>
                </c:pt>
                <c:pt idx="3">
                  <c:v>144.89699999999999</c:v>
                </c:pt>
                <c:pt idx="4">
                  <c:v>135.917</c:v>
                </c:pt>
                <c:pt idx="5">
                  <c:v>129.06200000000001</c:v>
                </c:pt>
                <c:pt idx="6">
                  <c:v>124.55800000000001</c:v>
                </c:pt>
                <c:pt idx="7">
                  <c:v>124.38</c:v>
                </c:pt>
                <c:pt idx="8">
                  <c:v>118.393</c:v>
                </c:pt>
                <c:pt idx="9">
                  <c:v>121.194</c:v>
                </c:pt>
                <c:pt idx="10">
                  <c:v>118.187</c:v>
                </c:pt>
                <c:pt idx="11">
                  <c:v>109.827</c:v>
                </c:pt>
                <c:pt idx="12">
                  <c:v>111.08199999999999</c:v>
                </c:pt>
                <c:pt idx="13">
                  <c:v>105.51900000000001</c:v>
                </c:pt>
                <c:pt idx="14">
                  <c:v>105.51900000000001</c:v>
                </c:pt>
                <c:pt idx="15">
                  <c:v>103.28400000000001</c:v>
                </c:pt>
                <c:pt idx="16">
                  <c:v>104.27</c:v>
                </c:pt>
                <c:pt idx="17">
                  <c:v>104.559</c:v>
                </c:pt>
                <c:pt idx="18">
                  <c:v>105.71599999999999</c:v>
                </c:pt>
                <c:pt idx="19">
                  <c:v>103.61199999999999</c:v>
                </c:pt>
                <c:pt idx="20">
                  <c:v>110.607</c:v>
                </c:pt>
                <c:pt idx="21">
                  <c:v>113.61499999999999</c:v>
                </c:pt>
                <c:pt idx="22">
                  <c:v>113.90300000000001</c:v>
                </c:pt>
                <c:pt idx="23">
                  <c:v>115.167</c:v>
                </c:pt>
                <c:pt idx="24">
                  <c:v>110.88500000000001</c:v>
                </c:pt>
                <c:pt idx="25">
                  <c:v>109.913</c:v>
                </c:pt>
                <c:pt idx="26">
                  <c:v>110.374</c:v>
                </c:pt>
                <c:pt idx="27">
                  <c:v>112.486</c:v>
                </c:pt>
                <c:pt idx="28">
                  <c:v>117.02800000000001</c:v>
                </c:pt>
                <c:pt idx="29">
                  <c:v>117.267</c:v>
                </c:pt>
                <c:pt idx="30">
                  <c:v>114.59699999999999</c:v>
                </c:pt>
                <c:pt idx="31">
                  <c:v>115.33499999999999</c:v>
                </c:pt>
                <c:pt idx="32">
                  <c:v>111.955</c:v>
                </c:pt>
                <c:pt idx="33">
                  <c:v>112.508</c:v>
                </c:pt>
                <c:pt idx="34">
                  <c:v>112.508</c:v>
                </c:pt>
                <c:pt idx="35">
                  <c:v>110.679</c:v>
                </c:pt>
                <c:pt idx="36">
                  <c:v>113.06699999999999</c:v>
                </c:pt>
                <c:pt idx="37">
                  <c:v>110.7</c:v>
                </c:pt>
                <c:pt idx="38">
                  <c:v>112.837</c:v>
                </c:pt>
                <c:pt idx="39">
                  <c:v>112.366</c:v>
                </c:pt>
                <c:pt idx="40">
                  <c:v>114.003</c:v>
                </c:pt>
                <c:pt idx="41">
                  <c:v>116.712</c:v>
                </c:pt>
                <c:pt idx="42">
                  <c:v>111.441</c:v>
                </c:pt>
                <c:pt idx="43">
                  <c:v>106.773</c:v>
                </c:pt>
                <c:pt idx="44">
                  <c:v>106.51900000000001</c:v>
                </c:pt>
                <c:pt idx="45">
                  <c:v>107.15</c:v>
                </c:pt>
                <c:pt idx="46">
                  <c:v>106.958</c:v>
                </c:pt>
                <c:pt idx="47">
                  <c:v>108.99</c:v>
                </c:pt>
                <c:pt idx="48">
                  <c:v>114.842</c:v>
                </c:pt>
                <c:pt idx="49">
                  <c:v>113.074</c:v>
                </c:pt>
                <c:pt idx="50">
                  <c:v>109.30200000000001</c:v>
                </c:pt>
                <c:pt idx="51">
                  <c:v>111.71599999999999</c:v>
                </c:pt>
                <c:pt idx="52">
                  <c:v>109.16</c:v>
                </c:pt>
                <c:pt idx="53">
                  <c:v>110.036</c:v>
                </c:pt>
                <c:pt idx="54">
                  <c:v>111.80800000000001</c:v>
                </c:pt>
                <c:pt idx="55">
                  <c:v>110.61799999999999</c:v>
                </c:pt>
                <c:pt idx="56">
                  <c:v>114.65600000000001</c:v>
                </c:pt>
                <c:pt idx="57">
                  <c:v>113.57</c:v>
                </c:pt>
                <c:pt idx="58">
                  <c:v>116.456</c:v>
                </c:pt>
                <c:pt idx="59">
                  <c:v>121.274</c:v>
                </c:pt>
                <c:pt idx="60">
                  <c:v>123.759</c:v>
                </c:pt>
                <c:pt idx="61">
                  <c:v>130.57499999999999</c:v>
                </c:pt>
                <c:pt idx="62">
                  <c:v>126.88500000000001</c:v>
                </c:pt>
                <c:pt idx="63">
                  <c:v>120.264</c:v>
                </c:pt>
                <c:pt idx="64">
                  <c:v>113.58199999999999</c:v>
                </c:pt>
                <c:pt idx="65">
                  <c:v>112.53400000000001</c:v>
                </c:pt>
                <c:pt idx="66">
                  <c:v>108.542</c:v>
                </c:pt>
                <c:pt idx="67">
                  <c:v>110.423</c:v>
                </c:pt>
                <c:pt idx="68">
                  <c:v>106.18300000000001</c:v>
                </c:pt>
                <c:pt idx="69">
                  <c:v>108.001</c:v>
                </c:pt>
                <c:pt idx="70">
                  <c:v>104.798</c:v>
                </c:pt>
                <c:pt idx="71">
                  <c:v>105.46</c:v>
                </c:pt>
                <c:pt idx="72">
                  <c:v>107.754</c:v>
                </c:pt>
                <c:pt idx="73">
                  <c:v>102.173</c:v>
                </c:pt>
                <c:pt idx="74">
                  <c:v>98.382999999999996</c:v>
                </c:pt>
                <c:pt idx="75">
                  <c:v>97.605000000000004</c:v>
                </c:pt>
                <c:pt idx="76">
                  <c:v>91.061999999999998</c:v>
                </c:pt>
                <c:pt idx="77">
                  <c:v>96.048000000000002</c:v>
                </c:pt>
                <c:pt idx="78">
                  <c:v>96.048000000000002</c:v>
                </c:pt>
                <c:pt idx="79">
                  <c:v>92.802000000000007</c:v>
                </c:pt>
                <c:pt idx="80">
                  <c:v>93.054000000000002</c:v>
                </c:pt>
                <c:pt idx="81">
                  <c:v>96.995000000000005</c:v>
                </c:pt>
                <c:pt idx="82">
                  <c:v>96.861000000000004</c:v>
                </c:pt>
                <c:pt idx="83">
                  <c:v>92.718000000000004</c:v>
                </c:pt>
                <c:pt idx="84">
                  <c:v>91.88</c:v>
                </c:pt>
                <c:pt idx="85">
                  <c:v>88.825999999999993</c:v>
                </c:pt>
                <c:pt idx="86">
                  <c:v>89.028000000000006</c:v>
                </c:pt>
                <c:pt idx="87">
                  <c:v>83.962999999999994</c:v>
                </c:pt>
                <c:pt idx="88">
                  <c:v>83.635999999999996</c:v>
                </c:pt>
                <c:pt idx="89">
                  <c:v>91.613</c:v>
                </c:pt>
                <c:pt idx="90">
                  <c:v>90.945999999999998</c:v>
                </c:pt>
                <c:pt idx="91">
                  <c:v>94.463999999999999</c:v>
                </c:pt>
                <c:pt idx="92">
                  <c:v>94.966999999999999</c:v>
                </c:pt>
                <c:pt idx="93">
                  <c:v>93.650999999999996</c:v>
                </c:pt>
                <c:pt idx="94">
                  <c:v>96.162999999999997</c:v>
                </c:pt>
                <c:pt idx="95">
                  <c:v>99.652000000000001</c:v>
                </c:pt>
                <c:pt idx="96">
                  <c:v>102.693</c:v>
                </c:pt>
                <c:pt idx="97">
                  <c:v>103.568</c:v>
                </c:pt>
                <c:pt idx="98">
                  <c:v>103.649</c:v>
                </c:pt>
                <c:pt idx="99">
                  <c:v>101.23399999999999</c:v>
                </c:pt>
                <c:pt idx="100">
                  <c:v>99.778999999999996</c:v>
                </c:pt>
                <c:pt idx="101">
                  <c:v>98.783000000000001</c:v>
                </c:pt>
                <c:pt idx="102">
                  <c:v>106.973</c:v>
                </c:pt>
                <c:pt idx="103">
                  <c:v>110.123</c:v>
                </c:pt>
                <c:pt idx="104">
                  <c:v>110.123</c:v>
                </c:pt>
                <c:pt idx="105">
                  <c:v>114.384</c:v>
                </c:pt>
                <c:pt idx="106">
                  <c:v>120.693</c:v>
                </c:pt>
                <c:pt idx="107">
                  <c:v>116.675</c:v>
                </c:pt>
                <c:pt idx="108">
                  <c:v>130.72300000000001</c:v>
                </c:pt>
                <c:pt idx="109">
                  <c:v>140.732</c:v>
                </c:pt>
                <c:pt idx="110">
                  <c:v>143.85400000000001</c:v>
                </c:pt>
                <c:pt idx="111">
                  <c:v>137.76499999999999</c:v>
                </c:pt>
                <c:pt idx="112">
                  <c:v>136.48599999999999</c:v>
                </c:pt>
                <c:pt idx="113">
                  <c:v>121.708</c:v>
                </c:pt>
                <c:pt idx="114">
                  <c:v>111.857</c:v>
                </c:pt>
                <c:pt idx="115">
                  <c:v>106.15</c:v>
                </c:pt>
                <c:pt idx="116">
                  <c:v>112.175</c:v>
                </c:pt>
                <c:pt idx="117">
                  <c:v>113.974</c:v>
                </c:pt>
                <c:pt idx="118">
                  <c:v>120.79300000000001</c:v>
                </c:pt>
                <c:pt idx="119">
                  <c:v>114.256</c:v>
                </c:pt>
                <c:pt idx="120">
                  <c:v>114.961</c:v>
                </c:pt>
                <c:pt idx="121">
                  <c:v>96.703000000000003</c:v>
                </c:pt>
                <c:pt idx="122">
                  <c:v>93.25</c:v>
                </c:pt>
                <c:pt idx="123">
                  <c:v>92.662000000000006</c:v>
                </c:pt>
                <c:pt idx="124">
                  <c:v>96.596000000000004</c:v>
                </c:pt>
                <c:pt idx="125">
                  <c:v>99.382999999999996</c:v>
                </c:pt>
                <c:pt idx="126">
                  <c:v>99.742999999999995</c:v>
                </c:pt>
                <c:pt idx="127">
                  <c:v>97.003</c:v>
                </c:pt>
                <c:pt idx="128">
                  <c:v>94.492000000000004</c:v>
                </c:pt>
                <c:pt idx="129">
                  <c:v>91</c:v>
                </c:pt>
                <c:pt idx="130">
                  <c:v>89.674999999999997</c:v>
                </c:pt>
                <c:pt idx="131">
                  <c:v>92.457999999999998</c:v>
                </c:pt>
                <c:pt idx="132">
                  <c:v>92.457999999999998</c:v>
                </c:pt>
                <c:pt idx="133">
                  <c:v>90.727000000000004</c:v>
                </c:pt>
                <c:pt idx="134">
                  <c:v>88.661000000000001</c:v>
                </c:pt>
                <c:pt idx="135">
                  <c:v>87.826999999999998</c:v>
                </c:pt>
                <c:pt idx="136">
                  <c:v>88.114999999999995</c:v>
                </c:pt>
                <c:pt idx="137">
                  <c:v>92.320999999999998</c:v>
                </c:pt>
                <c:pt idx="138">
                  <c:v>86.021000000000001</c:v>
                </c:pt>
                <c:pt idx="139">
                  <c:v>88.900999999999996</c:v>
                </c:pt>
                <c:pt idx="140">
                  <c:v>90.658000000000001</c:v>
                </c:pt>
                <c:pt idx="141">
                  <c:v>90.039000000000001</c:v>
                </c:pt>
                <c:pt idx="142">
                  <c:v>95.58</c:v>
                </c:pt>
                <c:pt idx="143">
                  <c:v>98.721000000000004</c:v>
                </c:pt>
                <c:pt idx="144">
                  <c:v>97.834000000000003</c:v>
                </c:pt>
                <c:pt idx="145">
                  <c:v>97.126999999999995</c:v>
                </c:pt>
                <c:pt idx="146">
                  <c:v>98.203000000000003</c:v>
                </c:pt>
                <c:pt idx="147">
                  <c:v>98.146000000000001</c:v>
                </c:pt>
                <c:pt idx="148">
                  <c:v>95.108999999999995</c:v>
                </c:pt>
                <c:pt idx="149">
                  <c:v>94.718999999999994</c:v>
                </c:pt>
                <c:pt idx="150">
                  <c:v>96.24</c:v>
                </c:pt>
                <c:pt idx="151">
                  <c:v>96.305000000000007</c:v>
                </c:pt>
                <c:pt idx="152">
                  <c:v>96.771000000000001</c:v>
                </c:pt>
                <c:pt idx="153">
                  <c:v>117.22199999999999</c:v>
                </c:pt>
                <c:pt idx="154">
                  <c:v>125.024</c:v>
                </c:pt>
                <c:pt idx="155">
                  <c:v>129.739</c:v>
                </c:pt>
                <c:pt idx="156">
                  <c:v>134.67699999999999</c:v>
                </c:pt>
                <c:pt idx="157">
                  <c:v>128.66300000000001</c:v>
                </c:pt>
                <c:pt idx="158">
                  <c:v>129.05000000000001</c:v>
                </c:pt>
                <c:pt idx="159">
                  <c:v>128.80500000000001</c:v>
                </c:pt>
                <c:pt idx="160">
                  <c:v>132.518</c:v>
                </c:pt>
                <c:pt idx="161">
                  <c:v>128.18600000000001</c:v>
                </c:pt>
                <c:pt idx="162">
                  <c:v>135.13900000000001</c:v>
                </c:pt>
                <c:pt idx="163">
                  <c:v>135.441</c:v>
                </c:pt>
                <c:pt idx="164">
                  <c:v>130.934</c:v>
                </c:pt>
                <c:pt idx="165">
                  <c:v>134.536</c:v>
                </c:pt>
                <c:pt idx="166">
                  <c:v>132.34299999999999</c:v>
                </c:pt>
                <c:pt idx="167">
                  <c:v>130.31899999999999</c:v>
                </c:pt>
                <c:pt idx="168">
                  <c:v>122.202</c:v>
                </c:pt>
                <c:pt idx="169">
                  <c:v>140.40600000000001</c:v>
                </c:pt>
                <c:pt idx="170">
                  <c:v>131.96700000000001</c:v>
                </c:pt>
                <c:pt idx="171">
                  <c:v>129.85300000000001</c:v>
                </c:pt>
                <c:pt idx="172">
                  <c:v>126.14400000000001</c:v>
                </c:pt>
                <c:pt idx="173">
                  <c:v>120.858</c:v>
                </c:pt>
                <c:pt idx="174">
                  <c:v>120.858</c:v>
                </c:pt>
                <c:pt idx="175">
                  <c:v>116.184</c:v>
                </c:pt>
                <c:pt idx="176">
                  <c:v>113.27800000000001</c:v>
                </c:pt>
                <c:pt idx="177">
                  <c:v>102.57899999999999</c:v>
                </c:pt>
                <c:pt idx="178">
                  <c:v>97.129000000000005</c:v>
                </c:pt>
                <c:pt idx="179">
                  <c:v>96.781000000000006</c:v>
                </c:pt>
                <c:pt idx="180">
                  <c:v>96.727999999999994</c:v>
                </c:pt>
                <c:pt idx="181">
                  <c:v>96.745999999999995</c:v>
                </c:pt>
                <c:pt idx="182">
                  <c:v>93.367000000000004</c:v>
                </c:pt>
                <c:pt idx="183">
                  <c:v>89.784000000000006</c:v>
                </c:pt>
                <c:pt idx="184">
                  <c:v>90.724000000000004</c:v>
                </c:pt>
                <c:pt idx="185">
                  <c:v>91.933999999999997</c:v>
                </c:pt>
                <c:pt idx="186">
                  <c:v>94.57</c:v>
                </c:pt>
                <c:pt idx="187">
                  <c:v>94.591999999999999</c:v>
                </c:pt>
                <c:pt idx="188">
                  <c:v>93.015000000000001</c:v>
                </c:pt>
                <c:pt idx="189">
                  <c:v>95.572999999999993</c:v>
                </c:pt>
                <c:pt idx="190">
                  <c:v>92.534999999999997</c:v>
                </c:pt>
                <c:pt idx="191">
                  <c:v>103.34399999999999</c:v>
                </c:pt>
                <c:pt idx="192">
                  <c:v>105.866</c:v>
                </c:pt>
                <c:pt idx="193">
                  <c:v>104.122</c:v>
                </c:pt>
                <c:pt idx="194">
                  <c:v>107.672</c:v>
                </c:pt>
                <c:pt idx="195">
                  <c:v>105.04600000000001</c:v>
                </c:pt>
                <c:pt idx="196">
                  <c:v>119.22199999999999</c:v>
                </c:pt>
                <c:pt idx="197">
                  <c:v>122.226</c:v>
                </c:pt>
                <c:pt idx="198">
                  <c:v>125.637</c:v>
                </c:pt>
                <c:pt idx="199">
                  <c:v>121.128</c:v>
                </c:pt>
                <c:pt idx="200">
                  <c:v>121.172</c:v>
                </c:pt>
                <c:pt idx="201">
                  <c:v>122.88800000000001</c:v>
                </c:pt>
                <c:pt idx="202">
                  <c:v>120.443</c:v>
                </c:pt>
                <c:pt idx="203">
                  <c:v>112.85</c:v>
                </c:pt>
                <c:pt idx="204">
                  <c:v>112.85</c:v>
                </c:pt>
                <c:pt idx="205">
                  <c:v>109.023</c:v>
                </c:pt>
                <c:pt idx="206">
                  <c:v>105.76300000000001</c:v>
                </c:pt>
                <c:pt idx="207">
                  <c:v>99.861000000000004</c:v>
                </c:pt>
                <c:pt idx="208">
                  <c:v>101.10599999999999</c:v>
                </c:pt>
                <c:pt idx="209">
                  <c:v>101.008</c:v>
                </c:pt>
                <c:pt idx="210">
                  <c:v>100.002</c:v>
                </c:pt>
                <c:pt idx="211">
                  <c:v>102.008</c:v>
                </c:pt>
                <c:pt idx="212">
                  <c:v>98.513000000000005</c:v>
                </c:pt>
                <c:pt idx="213">
                  <c:v>98.227000000000004</c:v>
                </c:pt>
                <c:pt idx="214">
                  <c:v>94.057000000000002</c:v>
                </c:pt>
                <c:pt idx="215">
                  <c:v>95.903999999999996</c:v>
                </c:pt>
                <c:pt idx="216">
                  <c:v>95.997</c:v>
                </c:pt>
                <c:pt idx="217">
                  <c:v>99.989000000000004</c:v>
                </c:pt>
                <c:pt idx="218">
                  <c:v>103.913</c:v>
                </c:pt>
                <c:pt idx="219">
                  <c:v>96.516000000000005</c:v>
                </c:pt>
                <c:pt idx="220">
                  <c:v>90.539000000000001</c:v>
                </c:pt>
                <c:pt idx="221">
                  <c:v>88.784000000000006</c:v>
                </c:pt>
                <c:pt idx="222">
                  <c:v>85.537999999999997</c:v>
                </c:pt>
                <c:pt idx="223">
                  <c:v>81.98</c:v>
                </c:pt>
                <c:pt idx="224">
                  <c:v>81.98</c:v>
                </c:pt>
                <c:pt idx="225">
                  <c:v>81.194000000000003</c:v>
                </c:pt>
                <c:pt idx="226">
                  <c:v>86.608000000000004</c:v>
                </c:pt>
                <c:pt idx="227">
                  <c:v>90.034999999999997</c:v>
                </c:pt>
                <c:pt idx="228">
                  <c:v>86.355999999999995</c:v>
                </c:pt>
                <c:pt idx="229">
                  <c:v>85.603999999999999</c:v>
                </c:pt>
                <c:pt idx="230">
                  <c:v>85.244</c:v>
                </c:pt>
                <c:pt idx="231">
                  <c:v>93.558999999999997</c:v>
                </c:pt>
                <c:pt idx="232">
                  <c:v>86.097999999999999</c:v>
                </c:pt>
                <c:pt idx="233">
                  <c:v>84.852000000000004</c:v>
                </c:pt>
                <c:pt idx="234">
                  <c:v>80.691000000000003</c:v>
                </c:pt>
                <c:pt idx="235">
                  <c:v>83.531999999999996</c:v>
                </c:pt>
                <c:pt idx="236">
                  <c:v>81.792000000000002</c:v>
                </c:pt>
                <c:pt idx="237">
                  <c:v>81.792000000000002</c:v>
                </c:pt>
                <c:pt idx="238">
                  <c:v>77.106999999999999</c:v>
                </c:pt>
                <c:pt idx="239">
                  <c:v>72.149000000000001</c:v>
                </c:pt>
                <c:pt idx="240">
                  <c:v>73.872</c:v>
                </c:pt>
                <c:pt idx="241">
                  <c:v>79.948999999999998</c:v>
                </c:pt>
                <c:pt idx="242">
                  <c:v>75.296000000000006</c:v>
                </c:pt>
                <c:pt idx="243">
                  <c:v>72.5</c:v>
                </c:pt>
                <c:pt idx="244">
                  <c:v>68.856999999999999</c:v>
                </c:pt>
                <c:pt idx="245">
                  <c:v>65.343999999999994</c:v>
                </c:pt>
                <c:pt idx="246">
                  <c:v>62.505000000000003</c:v>
                </c:pt>
                <c:pt idx="247">
                  <c:v>61.738999999999997</c:v>
                </c:pt>
                <c:pt idx="248">
                  <c:v>53.234000000000002</c:v>
                </c:pt>
                <c:pt idx="249">
                  <c:v>57.143000000000001</c:v>
                </c:pt>
                <c:pt idx="250">
                  <c:v>54.381999999999998</c:v>
                </c:pt>
                <c:pt idx="251">
                  <c:v>52.497999999999998</c:v>
                </c:pt>
                <c:pt idx="252">
                  <c:v>47.658000000000001</c:v>
                </c:pt>
                <c:pt idx="253">
                  <c:v>47.387</c:v>
                </c:pt>
                <c:pt idx="254">
                  <c:v>48.947000000000003</c:v>
                </c:pt>
                <c:pt idx="255">
                  <c:v>46.155999999999999</c:v>
                </c:pt>
                <c:pt idx="256">
                  <c:v>46.155999999999999</c:v>
                </c:pt>
                <c:pt idx="257">
                  <c:v>47.651000000000003</c:v>
                </c:pt>
                <c:pt idx="258">
                  <c:v>49.615000000000002</c:v>
                </c:pt>
                <c:pt idx="259">
                  <c:v>47.500999999999998</c:v>
                </c:pt>
                <c:pt idx="260">
                  <c:v>48.935000000000002</c:v>
                </c:pt>
                <c:pt idx="261">
                  <c:v>48.935000000000002</c:v>
                </c:pt>
                <c:pt idx="262">
                  <c:v>45.301000000000002</c:v>
                </c:pt>
                <c:pt idx="263">
                  <c:v>53.616999999999997</c:v>
                </c:pt>
                <c:pt idx="264">
                  <c:v>56.494999999999997</c:v>
                </c:pt>
                <c:pt idx="265">
                  <c:v>54.387999999999998</c:v>
                </c:pt>
                <c:pt idx="266">
                  <c:v>54.639000000000003</c:v>
                </c:pt>
                <c:pt idx="267">
                  <c:v>47.170999999999999</c:v>
                </c:pt>
                <c:pt idx="268">
                  <c:v>48.273000000000003</c:v>
                </c:pt>
                <c:pt idx="269">
                  <c:v>48.356000000000002</c:v>
                </c:pt>
                <c:pt idx="270">
                  <c:v>48.234999999999999</c:v>
                </c:pt>
                <c:pt idx="271">
                  <c:v>50.801000000000002</c:v>
                </c:pt>
                <c:pt idx="272">
                  <c:v>49.453000000000003</c:v>
                </c:pt>
                <c:pt idx="273">
                  <c:v>47.921999999999997</c:v>
                </c:pt>
                <c:pt idx="274">
                  <c:v>47.921999999999997</c:v>
                </c:pt>
                <c:pt idx="275">
                  <c:v>49.485999999999997</c:v>
                </c:pt>
                <c:pt idx="276">
                  <c:v>52.497</c:v>
                </c:pt>
                <c:pt idx="277">
                  <c:v>56.387</c:v>
                </c:pt>
                <c:pt idx="278">
                  <c:v>57.948999999999998</c:v>
                </c:pt>
                <c:pt idx="279">
                  <c:v>71.040000000000006</c:v>
                </c:pt>
                <c:pt idx="280">
                  <c:v>75.036000000000001</c:v>
                </c:pt>
                <c:pt idx="281">
                  <c:v>70.875</c:v>
                </c:pt>
                <c:pt idx="282">
                  <c:v>73.662999999999997</c:v>
                </c:pt>
                <c:pt idx="283">
                  <c:v>72.793999999999997</c:v>
                </c:pt>
                <c:pt idx="284">
                  <c:v>76.534000000000006</c:v>
                </c:pt>
                <c:pt idx="285">
                  <c:v>72.072000000000003</c:v>
                </c:pt>
                <c:pt idx="286">
                  <c:v>68.153999999999996</c:v>
                </c:pt>
                <c:pt idx="287">
                  <c:v>66.849000000000004</c:v>
                </c:pt>
                <c:pt idx="288">
                  <c:v>69.349999999999994</c:v>
                </c:pt>
                <c:pt idx="289">
                  <c:v>72.183000000000007</c:v>
                </c:pt>
                <c:pt idx="290">
                  <c:v>70.724999999999994</c:v>
                </c:pt>
                <c:pt idx="291">
                  <c:v>66.754000000000005</c:v>
                </c:pt>
                <c:pt idx="292">
                  <c:v>68.731999999999999</c:v>
                </c:pt>
                <c:pt idx="293">
                  <c:v>66.959999999999994</c:v>
                </c:pt>
                <c:pt idx="294">
                  <c:v>66.959999999999994</c:v>
                </c:pt>
                <c:pt idx="295">
                  <c:v>69.135999999999996</c:v>
                </c:pt>
                <c:pt idx="296">
                  <c:v>67.108000000000004</c:v>
                </c:pt>
                <c:pt idx="297">
                  <c:v>65.497</c:v>
                </c:pt>
                <c:pt idx="298">
                  <c:v>68.411000000000001</c:v>
                </c:pt>
                <c:pt idx="299">
                  <c:v>77.718000000000004</c:v>
                </c:pt>
                <c:pt idx="300">
                  <c:v>78.64</c:v>
                </c:pt>
                <c:pt idx="301">
                  <c:v>82.715999999999994</c:v>
                </c:pt>
                <c:pt idx="302">
                  <c:v>87.992000000000004</c:v>
                </c:pt>
                <c:pt idx="303">
                  <c:v>114.45699999999999</c:v>
                </c:pt>
                <c:pt idx="304">
                  <c:v>124.90300000000001</c:v>
                </c:pt>
                <c:pt idx="305">
                  <c:v>108.443</c:v>
                </c:pt>
                <c:pt idx="306">
                  <c:v>124.065</c:v>
                </c:pt>
                <c:pt idx="307">
                  <c:v>115.30800000000001</c:v>
                </c:pt>
                <c:pt idx="308">
                  <c:v>127.96</c:v>
                </c:pt>
                <c:pt idx="309">
                  <c:v>181.91800000000001</c:v>
                </c:pt>
                <c:pt idx="310">
                  <c:v>166.619</c:v>
                </c:pt>
                <c:pt idx="311">
                  <c:v>167.02099999999999</c:v>
                </c:pt>
                <c:pt idx="312">
                  <c:v>187.79499999999999</c:v>
                </c:pt>
                <c:pt idx="313">
                  <c:v>198.59100000000001</c:v>
                </c:pt>
                <c:pt idx="314">
                  <c:v>199.81299999999999</c:v>
                </c:pt>
                <c:pt idx="315">
                  <c:v>222.71799999999999</c:v>
                </c:pt>
                <c:pt idx="316">
                  <c:v>241.886</c:v>
                </c:pt>
                <c:pt idx="317">
                  <c:v>300.64400000000001</c:v>
                </c:pt>
                <c:pt idx="318">
                  <c:v>321.04399999999998</c:v>
                </c:pt>
                <c:pt idx="319">
                  <c:v>360.77499999999998</c:v>
                </c:pt>
                <c:pt idx="320">
                  <c:v>367.14800000000002</c:v>
                </c:pt>
                <c:pt idx="321">
                  <c:v>338.29</c:v>
                </c:pt>
                <c:pt idx="322">
                  <c:v>334.63099999999997</c:v>
                </c:pt>
                <c:pt idx="323">
                  <c:v>296.38900000000001</c:v>
                </c:pt>
                <c:pt idx="324">
                  <c:v>305.68400000000003</c:v>
                </c:pt>
                <c:pt idx="325">
                  <c:v>298.33699999999999</c:v>
                </c:pt>
                <c:pt idx="326">
                  <c:v>297.178</c:v>
                </c:pt>
                <c:pt idx="327">
                  <c:v>285.62400000000002</c:v>
                </c:pt>
                <c:pt idx="328">
                  <c:v>265.262</c:v>
                </c:pt>
                <c:pt idx="329">
                  <c:v>235.523</c:v>
                </c:pt>
                <c:pt idx="330">
                  <c:v>211.34899999999999</c:v>
                </c:pt>
                <c:pt idx="331">
                  <c:v>200.804</c:v>
                </c:pt>
                <c:pt idx="332">
                  <c:v>202.91300000000001</c:v>
                </c:pt>
                <c:pt idx="333">
                  <c:v>202.91300000000001</c:v>
                </c:pt>
                <c:pt idx="334">
                  <c:v>197.70500000000001</c:v>
                </c:pt>
                <c:pt idx="335">
                  <c:v>198.12899999999999</c:v>
                </c:pt>
                <c:pt idx="336">
                  <c:v>202.13399999999999</c:v>
                </c:pt>
                <c:pt idx="337">
                  <c:v>206.315</c:v>
                </c:pt>
                <c:pt idx="338">
                  <c:v>204.03100000000001</c:v>
                </c:pt>
                <c:pt idx="339">
                  <c:v>204.14099999999999</c:v>
                </c:pt>
                <c:pt idx="340">
                  <c:v>220.50700000000001</c:v>
                </c:pt>
                <c:pt idx="341">
                  <c:v>239.69399999999999</c:v>
                </c:pt>
                <c:pt idx="342">
                  <c:v>240.20699999999999</c:v>
                </c:pt>
                <c:pt idx="343">
                  <c:v>239.166</c:v>
                </c:pt>
                <c:pt idx="344">
                  <c:v>237.87899999999999</c:v>
                </c:pt>
                <c:pt idx="345">
                  <c:v>236.60300000000001</c:v>
                </c:pt>
                <c:pt idx="346">
                  <c:v>239.96899999999999</c:v>
                </c:pt>
                <c:pt idx="347">
                  <c:v>235.09800000000001</c:v>
                </c:pt>
                <c:pt idx="348">
                  <c:v>235.19800000000001</c:v>
                </c:pt>
                <c:pt idx="349">
                  <c:v>236.02</c:v>
                </c:pt>
                <c:pt idx="350">
                  <c:v>229.249</c:v>
                </c:pt>
                <c:pt idx="351">
                  <c:v>218.21899999999999</c:v>
                </c:pt>
                <c:pt idx="352">
                  <c:v>214.03899999999999</c:v>
                </c:pt>
                <c:pt idx="353">
                  <c:v>216.52500000000001</c:v>
                </c:pt>
                <c:pt idx="354">
                  <c:v>208.07400000000001</c:v>
                </c:pt>
                <c:pt idx="355">
                  <c:v>200.898</c:v>
                </c:pt>
                <c:pt idx="356">
                  <c:v>195.81399999999999</c:v>
                </c:pt>
                <c:pt idx="357">
                  <c:v>196.45699999999999</c:v>
                </c:pt>
                <c:pt idx="358">
                  <c:v>190.24100000000001</c:v>
                </c:pt>
                <c:pt idx="359">
                  <c:v>179.51599999999999</c:v>
                </c:pt>
                <c:pt idx="360">
                  <c:v>166.78100000000001</c:v>
                </c:pt>
                <c:pt idx="361">
                  <c:v>160.42599999999999</c:v>
                </c:pt>
                <c:pt idx="362">
                  <c:v>155.422</c:v>
                </c:pt>
                <c:pt idx="363">
                  <c:v>154.36799999999999</c:v>
                </c:pt>
                <c:pt idx="364">
                  <c:v>154.36799999999999</c:v>
                </c:pt>
                <c:pt idx="365">
                  <c:v>146.41800000000001</c:v>
                </c:pt>
                <c:pt idx="366">
                  <c:v>143.99100000000001</c:v>
                </c:pt>
                <c:pt idx="367">
                  <c:v>143.71</c:v>
                </c:pt>
                <c:pt idx="368">
                  <c:v>142.203</c:v>
                </c:pt>
                <c:pt idx="369">
                  <c:v>142.083</c:v>
                </c:pt>
                <c:pt idx="370">
                  <c:v>139.56899999999999</c:v>
                </c:pt>
                <c:pt idx="371">
                  <c:v>126.693</c:v>
                </c:pt>
                <c:pt idx="372">
                  <c:v>117.367</c:v>
                </c:pt>
                <c:pt idx="373">
                  <c:v>109.55800000000001</c:v>
                </c:pt>
                <c:pt idx="374">
                  <c:v>104.717</c:v>
                </c:pt>
                <c:pt idx="375">
                  <c:v>109.398</c:v>
                </c:pt>
                <c:pt idx="376">
                  <c:v>113.426</c:v>
                </c:pt>
                <c:pt idx="377">
                  <c:v>123.154</c:v>
                </c:pt>
                <c:pt idx="378">
                  <c:v>128.21899999999999</c:v>
                </c:pt>
                <c:pt idx="379">
                  <c:v>136.84</c:v>
                </c:pt>
                <c:pt idx="380">
                  <c:v>132.05799999999999</c:v>
                </c:pt>
                <c:pt idx="381">
                  <c:v>131.982</c:v>
                </c:pt>
                <c:pt idx="382">
                  <c:v>132.334</c:v>
                </c:pt>
                <c:pt idx="383">
                  <c:v>131.589</c:v>
                </c:pt>
                <c:pt idx="384">
                  <c:v>132.57300000000001</c:v>
                </c:pt>
                <c:pt idx="385">
                  <c:v>130.17500000000001</c:v>
                </c:pt>
                <c:pt idx="386">
                  <c:v>130.36699999999999</c:v>
                </c:pt>
                <c:pt idx="387">
                  <c:v>138.19900000000001</c:v>
                </c:pt>
                <c:pt idx="388">
                  <c:v>137.68299999999999</c:v>
                </c:pt>
                <c:pt idx="389">
                  <c:v>140.22499999999999</c:v>
                </c:pt>
                <c:pt idx="390">
                  <c:v>143.16900000000001</c:v>
                </c:pt>
                <c:pt idx="391">
                  <c:v>140.41399999999999</c:v>
                </c:pt>
                <c:pt idx="392">
                  <c:v>137.74600000000001</c:v>
                </c:pt>
                <c:pt idx="393">
                  <c:v>137.74600000000001</c:v>
                </c:pt>
                <c:pt idx="394">
                  <c:v>135.72999999999999</c:v>
                </c:pt>
                <c:pt idx="395">
                  <c:v>136.06800000000001</c:v>
                </c:pt>
                <c:pt idx="396">
                  <c:v>136.15700000000001</c:v>
                </c:pt>
                <c:pt idx="397">
                  <c:v>134.61600000000001</c:v>
                </c:pt>
                <c:pt idx="398">
                  <c:v>135.715</c:v>
                </c:pt>
                <c:pt idx="399">
                  <c:v>132.63</c:v>
                </c:pt>
                <c:pt idx="400">
                  <c:v>133.79</c:v>
                </c:pt>
                <c:pt idx="401">
                  <c:v>132.66200000000001</c:v>
                </c:pt>
                <c:pt idx="402">
                  <c:v>131.42699999999999</c:v>
                </c:pt>
                <c:pt idx="403">
                  <c:v>131.87100000000001</c:v>
                </c:pt>
                <c:pt idx="404">
                  <c:v>130.06299999999999</c:v>
                </c:pt>
                <c:pt idx="405">
                  <c:v>128.79400000000001</c:v>
                </c:pt>
                <c:pt idx="406">
                  <c:v>130.04300000000001</c:v>
                </c:pt>
                <c:pt idx="407">
                  <c:v>129.10900000000001</c:v>
                </c:pt>
                <c:pt idx="408">
                  <c:v>129.54599999999999</c:v>
                </c:pt>
                <c:pt idx="409">
                  <c:v>130.80099999999999</c:v>
                </c:pt>
                <c:pt idx="410">
                  <c:v>127.736</c:v>
                </c:pt>
                <c:pt idx="411">
                  <c:v>127.53400000000001</c:v>
                </c:pt>
                <c:pt idx="412">
                  <c:v>127.92700000000001</c:v>
                </c:pt>
                <c:pt idx="413">
                  <c:v>128.88900000000001</c:v>
                </c:pt>
                <c:pt idx="414">
                  <c:v>124.795</c:v>
                </c:pt>
                <c:pt idx="415">
                  <c:v>121.274</c:v>
                </c:pt>
                <c:pt idx="416">
                  <c:v>112.955</c:v>
                </c:pt>
                <c:pt idx="417">
                  <c:v>105.84399999999999</c:v>
                </c:pt>
                <c:pt idx="418">
                  <c:v>99.481999999999999</c:v>
                </c:pt>
                <c:pt idx="419">
                  <c:v>94.936000000000007</c:v>
                </c:pt>
                <c:pt idx="420">
                  <c:v>87.843999999999994</c:v>
                </c:pt>
                <c:pt idx="421">
                  <c:v>86.093000000000004</c:v>
                </c:pt>
                <c:pt idx="422">
                  <c:v>87.323999999999998</c:v>
                </c:pt>
                <c:pt idx="423">
                  <c:v>88.262</c:v>
                </c:pt>
                <c:pt idx="424">
                  <c:v>89.828999999999994</c:v>
                </c:pt>
                <c:pt idx="425">
                  <c:v>97.221999999999994</c:v>
                </c:pt>
                <c:pt idx="426">
                  <c:v>100.393</c:v>
                </c:pt>
                <c:pt idx="427">
                  <c:v>102.435</c:v>
                </c:pt>
                <c:pt idx="428">
                  <c:v>108.33799999999999</c:v>
                </c:pt>
                <c:pt idx="429">
                  <c:v>109.828</c:v>
                </c:pt>
                <c:pt idx="430">
                  <c:v>107.05500000000001</c:v>
                </c:pt>
                <c:pt idx="431">
                  <c:v>106.378</c:v>
                </c:pt>
                <c:pt idx="432">
                  <c:v>109.06100000000001</c:v>
                </c:pt>
                <c:pt idx="433">
                  <c:v>108.462</c:v>
                </c:pt>
                <c:pt idx="434">
                  <c:v>107.84099999999999</c:v>
                </c:pt>
                <c:pt idx="435">
                  <c:v>108.248</c:v>
                </c:pt>
                <c:pt idx="436">
                  <c:v>103.581</c:v>
                </c:pt>
                <c:pt idx="437">
                  <c:v>102.018</c:v>
                </c:pt>
                <c:pt idx="438">
                  <c:v>104.887</c:v>
                </c:pt>
                <c:pt idx="439">
                  <c:v>104.887</c:v>
                </c:pt>
                <c:pt idx="440">
                  <c:v>107.74299999999999</c:v>
                </c:pt>
                <c:pt idx="441">
                  <c:v>111.872</c:v>
                </c:pt>
                <c:pt idx="442">
                  <c:v>111.342</c:v>
                </c:pt>
                <c:pt idx="443">
                  <c:v>111.148</c:v>
                </c:pt>
                <c:pt idx="444">
                  <c:v>114.148</c:v>
                </c:pt>
                <c:pt idx="445">
                  <c:v>114.52</c:v>
                </c:pt>
                <c:pt idx="446">
                  <c:v>112.648</c:v>
                </c:pt>
                <c:pt idx="447">
                  <c:v>114.01600000000001</c:v>
                </c:pt>
                <c:pt idx="448">
                  <c:v>114.342</c:v>
                </c:pt>
                <c:pt idx="449">
                  <c:v>117.898</c:v>
                </c:pt>
                <c:pt idx="450">
                  <c:v>122.917</c:v>
                </c:pt>
                <c:pt idx="451">
                  <c:v>124.166</c:v>
                </c:pt>
                <c:pt idx="452">
                  <c:v>129.93199999999999</c:v>
                </c:pt>
                <c:pt idx="453">
                  <c:v>131.83000000000001</c:v>
                </c:pt>
                <c:pt idx="454">
                  <c:v>132.297</c:v>
                </c:pt>
                <c:pt idx="455">
                  <c:v>134.72300000000001</c:v>
                </c:pt>
                <c:pt idx="456">
                  <c:v>134.375</c:v>
                </c:pt>
                <c:pt idx="457">
                  <c:v>130.66200000000001</c:v>
                </c:pt>
                <c:pt idx="458">
                  <c:v>131.54499999999999</c:v>
                </c:pt>
                <c:pt idx="459">
                  <c:v>128.89400000000001</c:v>
                </c:pt>
                <c:pt idx="460">
                  <c:v>125.83799999999999</c:v>
                </c:pt>
                <c:pt idx="461">
                  <c:v>121.32599999999999</c:v>
                </c:pt>
                <c:pt idx="462">
                  <c:v>118.604</c:v>
                </c:pt>
                <c:pt idx="463">
                  <c:v>118.38</c:v>
                </c:pt>
                <c:pt idx="464">
                  <c:v>118.38</c:v>
                </c:pt>
                <c:pt idx="465">
                  <c:v>116.65300000000001</c:v>
                </c:pt>
                <c:pt idx="466">
                  <c:v>119.134</c:v>
                </c:pt>
                <c:pt idx="467">
                  <c:v>120.236</c:v>
                </c:pt>
                <c:pt idx="468">
                  <c:v>117.883</c:v>
                </c:pt>
                <c:pt idx="469">
                  <c:v>114.654</c:v>
                </c:pt>
                <c:pt idx="470">
                  <c:v>114.10899999999999</c:v>
                </c:pt>
                <c:pt idx="471">
                  <c:v>112.684</c:v>
                </c:pt>
                <c:pt idx="472">
                  <c:v>112.685</c:v>
                </c:pt>
                <c:pt idx="473">
                  <c:v>111.125</c:v>
                </c:pt>
                <c:pt idx="474">
                  <c:v>114.446</c:v>
                </c:pt>
                <c:pt idx="475">
                  <c:v>116.21</c:v>
                </c:pt>
                <c:pt idx="476">
                  <c:v>118.61</c:v>
                </c:pt>
                <c:pt idx="477">
                  <c:v>115.642</c:v>
                </c:pt>
                <c:pt idx="478">
                  <c:v>113.09</c:v>
                </c:pt>
                <c:pt idx="479">
                  <c:v>111.57299999999999</c:v>
                </c:pt>
                <c:pt idx="480">
                  <c:v>109.11799999999999</c:v>
                </c:pt>
                <c:pt idx="481">
                  <c:v>109.351</c:v>
                </c:pt>
                <c:pt idx="482">
                  <c:v>104.41500000000001</c:v>
                </c:pt>
                <c:pt idx="483">
                  <c:v>98.548000000000002</c:v>
                </c:pt>
                <c:pt idx="484">
                  <c:v>96.578000000000003</c:v>
                </c:pt>
                <c:pt idx="485">
                  <c:v>88.146000000000001</c:v>
                </c:pt>
                <c:pt idx="486">
                  <c:v>88.146000000000001</c:v>
                </c:pt>
                <c:pt idx="487">
                  <c:v>87.149000000000001</c:v>
                </c:pt>
                <c:pt idx="488">
                  <c:v>88.054000000000002</c:v>
                </c:pt>
                <c:pt idx="489">
                  <c:v>88.754999999999995</c:v>
                </c:pt>
                <c:pt idx="490">
                  <c:v>84.4</c:v>
                </c:pt>
                <c:pt idx="491">
                  <c:v>84.921999999999997</c:v>
                </c:pt>
                <c:pt idx="492">
                  <c:v>82.188999999999993</c:v>
                </c:pt>
                <c:pt idx="493">
                  <c:v>80.911000000000001</c:v>
                </c:pt>
                <c:pt idx="494">
                  <c:v>79.727000000000004</c:v>
                </c:pt>
                <c:pt idx="495">
                  <c:v>77.521000000000001</c:v>
                </c:pt>
                <c:pt idx="496">
                  <c:v>74.38</c:v>
                </c:pt>
                <c:pt idx="497">
                  <c:v>74.38</c:v>
                </c:pt>
                <c:pt idx="498">
                  <c:v>73.734999999999999</c:v>
                </c:pt>
                <c:pt idx="499">
                  <c:v>73.917000000000002</c:v>
                </c:pt>
                <c:pt idx="500">
                  <c:v>74.662000000000006</c:v>
                </c:pt>
                <c:pt idx="501">
                  <c:v>72.19</c:v>
                </c:pt>
                <c:pt idx="502">
                  <c:v>71.730999999999995</c:v>
                </c:pt>
                <c:pt idx="503">
                  <c:v>68.771000000000001</c:v>
                </c:pt>
                <c:pt idx="504">
                  <c:v>67.897999999999996</c:v>
                </c:pt>
                <c:pt idx="505">
                  <c:v>69.400000000000006</c:v>
                </c:pt>
                <c:pt idx="506">
                  <c:v>67.522000000000006</c:v>
                </c:pt>
                <c:pt idx="507">
                  <c:v>66.903000000000006</c:v>
                </c:pt>
                <c:pt idx="508">
                  <c:v>69.477000000000004</c:v>
                </c:pt>
                <c:pt idx="509">
                  <c:v>69.521000000000001</c:v>
                </c:pt>
                <c:pt idx="510">
                  <c:v>69.436999999999998</c:v>
                </c:pt>
                <c:pt idx="511">
                  <c:v>67.912000000000006</c:v>
                </c:pt>
                <c:pt idx="512">
                  <c:v>65.847999999999999</c:v>
                </c:pt>
                <c:pt idx="513">
                  <c:v>61.572000000000003</c:v>
                </c:pt>
                <c:pt idx="514">
                  <c:v>64.087000000000003</c:v>
                </c:pt>
                <c:pt idx="515">
                  <c:v>62.383000000000003</c:v>
                </c:pt>
                <c:pt idx="516">
                  <c:v>60.668999999999997</c:v>
                </c:pt>
                <c:pt idx="517">
                  <c:v>58.536000000000001</c:v>
                </c:pt>
                <c:pt idx="518">
                  <c:v>58.536000000000001</c:v>
                </c:pt>
                <c:pt idx="519">
                  <c:v>58.978000000000002</c:v>
                </c:pt>
                <c:pt idx="520">
                  <c:v>58.753</c:v>
                </c:pt>
                <c:pt idx="521">
                  <c:v>56.701999999999998</c:v>
                </c:pt>
                <c:pt idx="522">
                  <c:v>57.195999999999998</c:v>
                </c:pt>
                <c:pt idx="523">
                  <c:v>57.195999999999998</c:v>
                </c:pt>
                <c:pt idx="524">
                  <c:v>57.198999999999998</c:v>
                </c:pt>
                <c:pt idx="525">
                  <c:v>55.292999999999999</c:v>
                </c:pt>
                <c:pt idx="526">
                  <c:v>52.533000000000001</c:v>
                </c:pt>
                <c:pt idx="527">
                  <c:v>53.02</c:v>
                </c:pt>
                <c:pt idx="528">
                  <c:v>50.054000000000002</c:v>
                </c:pt>
                <c:pt idx="529">
                  <c:v>49.066000000000003</c:v>
                </c:pt>
                <c:pt idx="530">
                  <c:v>46.808999999999997</c:v>
                </c:pt>
                <c:pt idx="531">
                  <c:v>47.017000000000003</c:v>
                </c:pt>
                <c:pt idx="532">
                  <c:v>47.933</c:v>
                </c:pt>
                <c:pt idx="533">
                  <c:v>48.155999999999999</c:v>
                </c:pt>
                <c:pt idx="534">
                  <c:v>48.155999999999999</c:v>
                </c:pt>
                <c:pt idx="535">
                  <c:v>48.978000000000002</c:v>
                </c:pt>
                <c:pt idx="536">
                  <c:v>49.531999999999996</c:v>
                </c:pt>
                <c:pt idx="537">
                  <c:v>48.883000000000003</c:v>
                </c:pt>
                <c:pt idx="538">
                  <c:v>49.41</c:v>
                </c:pt>
                <c:pt idx="539">
                  <c:v>49.908999999999999</c:v>
                </c:pt>
                <c:pt idx="540">
                  <c:v>50.834000000000003</c:v>
                </c:pt>
                <c:pt idx="541">
                  <c:v>49.695999999999998</c:v>
                </c:pt>
                <c:pt idx="542">
                  <c:v>50.076000000000001</c:v>
                </c:pt>
                <c:pt idx="543">
                  <c:v>47.902999999999999</c:v>
                </c:pt>
                <c:pt idx="544">
                  <c:v>46.991999999999997</c:v>
                </c:pt>
                <c:pt idx="545">
                  <c:v>45.712000000000003</c:v>
                </c:pt>
                <c:pt idx="546">
                  <c:v>43.91</c:v>
                </c:pt>
                <c:pt idx="547">
                  <c:v>42.734999999999999</c:v>
                </c:pt>
                <c:pt idx="548">
                  <c:v>41.9</c:v>
                </c:pt>
                <c:pt idx="549">
                  <c:v>40.58</c:v>
                </c:pt>
                <c:pt idx="550">
                  <c:v>42.098999999999997</c:v>
                </c:pt>
                <c:pt idx="551">
                  <c:v>41.384</c:v>
                </c:pt>
                <c:pt idx="552">
                  <c:v>42.722999999999999</c:v>
                </c:pt>
                <c:pt idx="553">
                  <c:v>41.524000000000001</c:v>
                </c:pt>
                <c:pt idx="554">
                  <c:v>41.524000000000001</c:v>
                </c:pt>
                <c:pt idx="555">
                  <c:v>38.713000000000001</c:v>
                </c:pt>
                <c:pt idx="556">
                  <c:v>39.610999999999997</c:v>
                </c:pt>
                <c:pt idx="557">
                  <c:v>41.718000000000004</c:v>
                </c:pt>
                <c:pt idx="558">
                  <c:v>40.942999999999998</c:v>
                </c:pt>
                <c:pt idx="559">
                  <c:v>40.549999999999997</c:v>
                </c:pt>
                <c:pt idx="560">
                  <c:v>42.756999999999998</c:v>
                </c:pt>
                <c:pt idx="561">
                  <c:v>42.895000000000003</c:v>
                </c:pt>
                <c:pt idx="562">
                  <c:v>39.167000000000002</c:v>
                </c:pt>
                <c:pt idx="563">
                  <c:v>38.064</c:v>
                </c:pt>
                <c:pt idx="564">
                  <c:v>42.658999999999999</c:v>
                </c:pt>
                <c:pt idx="565">
                  <c:v>43.161000000000001</c:v>
                </c:pt>
                <c:pt idx="566">
                  <c:v>43.213000000000001</c:v>
                </c:pt>
                <c:pt idx="567">
                  <c:v>42.975999999999999</c:v>
                </c:pt>
                <c:pt idx="568">
                  <c:v>44.689</c:v>
                </c:pt>
                <c:pt idx="569">
                  <c:v>44.98</c:v>
                </c:pt>
                <c:pt idx="570">
                  <c:v>50.921999999999997</c:v>
                </c:pt>
                <c:pt idx="571">
                  <c:v>48.28</c:v>
                </c:pt>
                <c:pt idx="572">
                  <c:v>50.273000000000003</c:v>
                </c:pt>
                <c:pt idx="573">
                  <c:v>45.24</c:v>
                </c:pt>
                <c:pt idx="574">
                  <c:v>45.478999999999999</c:v>
                </c:pt>
                <c:pt idx="575">
                  <c:v>45.570999999999998</c:v>
                </c:pt>
                <c:pt idx="576">
                  <c:v>43.823999999999998</c:v>
                </c:pt>
                <c:pt idx="577">
                  <c:v>44.732999999999997</c:v>
                </c:pt>
                <c:pt idx="578">
                  <c:v>44.594999999999999</c:v>
                </c:pt>
                <c:pt idx="579">
                  <c:v>43.363999999999997</c:v>
                </c:pt>
                <c:pt idx="580">
                  <c:v>43.976999999999997</c:v>
                </c:pt>
                <c:pt idx="581">
                  <c:v>43.68</c:v>
                </c:pt>
                <c:pt idx="582">
                  <c:v>42.332999999999998</c:v>
                </c:pt>
                <c:pt idx="583">
                  <c:v>39.875</c:v>
                </c:pt>
                <c:pt idx="584">
                  <c:v>40.417000000000002</c:v>
                </c:pt>
                <c:pt idx="585">
                  <c:v>35.654000000000003</c:v>
                </c:pt>
                <c:pt idx="586">
                  <c:v>35.594999999999999</c:v>
                </c:pt>
                <c:pt idx="587">
                  <c:v>32.609000000000002</c:v>
                </c:pt>
                <c:pt idx="588">
                  <c:v>33.381</c:v>
                </c:pt>
                <c:pt idx="589">
                  <c:v>27.370999999999999</c:v>
                </c:pt>
                <c:pt idx="590">
                  <c:v>29.170999999999999</c:v>
                </c:pt>
                <c:pt idx="591">
                  <c:v>33.545999999999999</c:v>
                </c:pt>
                <c:pt idx="592">
                  <c:v>33.334000000000003</c:v>
                </c:pt>
                <c:pt idx="593">
                  <c:v>30.911000000000001</c:v>
                </c:pt>
                <c:pt idx="594">
                  <c:v>31.454999999999998</c:v>
                </c:pt>
                <c:pt idx="595">
                  <c:v>31.166</c:v>
                </c:pt>
                <c:pt idx="596">
                  <c:v>32.314999999999998</c:v>
                </c:pt>
                <c:pt idx="597">
                  <c:v>32.652000000000001</c:v>
                </c:pt>
                <c:pt idx="598">
                  <c:v>32.219000000000001</c:v>
                </c:pt>
                <c:pt idx="599">
                  <c:v>32.478999999999999</c:v>
                </c:pt>
                <c:pt idx="600">
                  <c:v>33.476999999999997</c:v>
                </c:pt>
                <c:pt idx="601">
                  <c:v>33.930999999999997</c:v>
                </c:pt>
                <c:pt idx="602">
                  <c:v>33.11</c:v>
                </c:pt>
                <c:pt idx="603">
                  <c:v>32.451999999999998</c:v>
                </c:pt>
                <c:pt idx="604">
                  <c:v>29.343</c:v>
                </c:pt>
                <c:pt idx="605">
                  <c:v>28.963999999999999</c:v>
                </c:pt>
                <c:pt idx="606">
                  <c:v>26.401</c:v>
                </c:pt>
                <c:pt idx="607">
                  <c:v>26.02</c:v>
                </c:pt>
                <c:pt idx="608">
                  <c:v>28.013999999999999</c:v>
                </c:pt>
                <c:pt idx="609">
                  <c:v>26.853000000000002</c:v>
                </c:pt>
                <c:pt idx="610">
                  <c:v>29.091999999999999</c:v>
                </c:pt>
                <c:pt idx="611">
                  <c:v>28.963999999999999</c:v>
                </c:pt>
                <c:pt idx="612">
                  <c:v>29.317</c:v>
                </c:pt>
                <c:pt idx="613">
                  <c:v>27.242000000000001</c:v>
                </c:pt>
                <c:pt idx="614">
                  <c:v>30.472000000000001</c:v>
                </c:pt>
                <c:pt idx="615">
                  <c:v>29.855</c:v>
                </c:pt>
                <c:pt idx="616">
                  <c:v>30.245000000000001</c:v>
                </c:pt>
                <c:pt idx="617">
                  <c:v>29.056999999999999</c:v>
                </c:pt>
                <c:pt idx="618">
                  <c:v>32.417000000000002</c:v>
                </c:pt>
                <c:pt idx="619">
                  <c:v>29.914000000000001</c:v>
                </c:pt>
                <c:pt idx="620">
                  <c:v>31.753</c:v>
                </c:pt>
                <c:pt idx="621">
                  <c:v>32.433999999999997</c:v>
                </c:pt>
                <c:pt idx="622">
                  <c:v>31.692</c:v>
                </c:pt>
                <c:pt idx="623">
                  <c:v>33.122999999999998</c:v>
                </c:pt>
                <c:pt idx="624">
                  <c:v>33.023000000000003</c:v>
                </c:pt>
                <c:pt idx="625">
                  <c:v>34.206000000000003</c:v>
                </c:pt>
                <c:pt idx="626">
                  <c:v>36.378</c:v>
                </c:pt>
                <c:pt idx="627">
                  <c:v>34.216000000000001</c:v>
                </c:pt>
                <c:pt idx="628">
                  <c:v>32.423999999999999</c:v>
                </c:pt>
                <c:pt idx="629">
                  <c:v>32.423999999999999</c:v>
                </c:pt>
                <c:pt idx="630">
                  <c:v>31.969000000000001</c:v>
                </c:pt>
                <c:pt idx="631">
                  <c:v>32.137999999999998</c:v>
                </c:pt>
                <c:pt idx="632">
                  <c:v>31.266999999999999</c:v>
                </c:pt>
                <c:pt idx="633">
                  <c:v>29.584</c:v>
                </c:pt>
                <c:pt idx="634">
                  <c:v>31.978000000000002</c:v>
                </c:pt>
                <c:pt idx="635">
                  <c:v>33.979999999999997</c:v>
                </c:pt>
                <c:pt idx="636">
                  <c:v>35.290999999999997</c:v>
                </c:pt>
                <c:pt idx="637">
                  <c:v>33.488</c:v>
                </c:pt>
                <c:pt idx="638">
                  <c:v>34.514000000000003</c:v>
                </c:pt>
                <c:pt idx="639">
                  <c:v>30.736999999999998</c:v>
                </c:pt>
                <c:pt idx="640">
                  <c:v>29.914999999999999</c:v>
                </c:pt>
                <c:pt idx="641">
                  <c:v>31.501999999999999</c:v>
                </c:pt>
                <c:pt idx="642">
                  <c:v>26.67</c:v>
                </c:pt>
                <c:pt idx="643">
                  <c:v>24.609000000000002</c:v>
                </c:pt>
                <c:pt idx="644">
                  <c:v>21.1</c:v>
                </c:pt>
                <c:pt idx="645">
                  <c:v>22.695</c:v>
                </c:pt>
                <c:pt idx="646">
                  <c:v>23.779</c:v>
                </c:pt>
                <c:pt idx="647">
                  <c:v>20.286999999999999</c:v>
                </c:pt>
                <c:pt idx="648">
                  <c:v>19.259</c:v>
                </c:pt>
                <c:pt idx="649">
                  <c:v>17.794</c:v>
                </c:pt>
                <c:pt idx="650">
                  <c:v>18.856000000000002</c:v>
                </c:pt>
                <c:pt idx="651">
                  <c:v>20.248000000000001</c:v>
                </c:pt>
                <c:pt idx="652">
                  <c:v>18.201000000000001</c:v>
                </c:pt>
                <c:pt idx="653">
                  <c:v>18.202999999999999</c:v>
                </c:pt>
                <c:pt idx="654">
                  <c:v>18.202999999999999</c:v>
                </c:pt>
                <c:pt idx="655">
                  <c:v>23.132000000000001</c:v>
                </c:pt>
                <c:pt idx="656">
                  <c:v>25.064</c:v>
                </c:pt>
                <c:pt idx="657">
                  <c:v>30.154</c:v>
                </c:pt>
                <c:pt idx="658">
                  <c:v>27.076000000000001</c:v>
                </c:pt>
                <c:pt idx="659">
                  <c:v>26.876999999999999</c:v>
                </c:pt>
                <c:pt idx="660">
                  <c:v>24.93</c:v>
                </c:pt>
                <c:pt idx="661">
                  <c:v>22.010999999999999</c:v>
                </c:pt>
                <c:pt idx="662">
                  <c:v>25.763999999999999</c:v>
                </c:pt>
                <c:pt idx="663">
                  <c:v>23.003</c:v>
                </c:pt>
                <c:pt idx="664">
                  <c:v>26.995000000000001</c:v>
                </c:pt>
                <c:pt idx="665">
                  <c:v>36.423000000000002</c:v>
                </c:pt>
                <c:pt idx="666">
                  <c:v>33.255000000000003</c:v>
                </c:pt>
                <c:pt idx="667">
                  <c:v>29.027000000000001</c:v>
                </c:pt>
                <c:pt idx="668">
                  <c:v>29.861999999999998</c:v>
                </c:pt>
                <c:pt idx="669">
                  <c:v>31.908999999999999</c:v>
                </c:pt>
                <c:pt idx="670">
                  <c:v>31.016999999999999</c:v>
                </c:pt>
                <c:pt idx="671">
                  <c:v>31.376999999999999</c:v>
                </c:pt>
                <c:pt idx="672">
                  <c:v>28.106000000000002</c:v>
                </c:pt>
                <c:pt idx="673">
                  <c:v>30.553999999999998</c:v>
                </c:pt>
                <c:pt idx="674">
                  <c:v>32.680999999999997</c:v>
                </c:pt>
                <c:pt idx="675">
                  <c:v>34.026000000000003</c:v>
                </c:pt>
                <c:pt idx="676">
                  <c:v>34.752000000000002</c:v>
                </c:pt>
                <c:pt idx="677">
                  <c:v>30.89</c:v>
                </c:pt>
                <c:pt idx="678">
                  <c:v>26.856000000000002</c:v>
                </c:pt>
                <c:pt idx="679">
                  <c:v>24.137</c:v>
                </c:pt>
                <c:pt idx="680">
                  <c:v>22.66</c:v>
                </c:pt>
                <c:pt idx="681">
                  <c:v>20.765000000000001</c:v>
                </c:pt>
                <c:pt idx="682">
                  <c:v>22.751999999999999</c:v>
                </c:pt>
                <c:pt idx="683">
                  <c:v>22.065000000000001</c:v>
                </c:pt>
                <c:pt idx="684">
                  <c:v>24.388999999999999</c:v>
                </c:pt>
                <c:pt idx="685">
                  <c:v>28.087</c:v>
                </c:pt>
                <c:pt idx="686">
                  <c:v>24.992000000000001</c:v>
                </c:pt>
                <c:pt idx="687">
                  <c:v>25.536000000000001</c:v>
                </c:pt>
                <c:pt idx="688">
                  <c:v>24.63</c:v>
                </c:pt>
                <c:pt idx="689">
                  <c:v>21.036000000000001</c:v>
                </c:pt>
                <c:pt idx="690">
                  <c:v>25.158000000000001</c:v>
                </c:pt>
                <c:pt idx="691">
                  <c:v>23.873999999999999</c:v>
                </c:pt>
                <c:pt idx="692">
                  <c:v>21.294</c:v>
                </c:pt>
                <c:pt idx="693">
                  <c:v>21.369</c:v>
                </c:pt>
                <c:pt idx="694">
                  <c:v>24.881</c:v>
                </c:pt>
                <c:pt idx="695">
                  <c:v>26.73</c:v>
                </c:pt>
                <c:pt idx="696">
                  <c:v>24.911999999999999</c:v>
                </c:pt>
                <c:pt idx="697">
                  <c:v>24.946000000000002</c:v>
                </c:pt>
                <c:pt idx="698">
                  <c:v>24.507000000000001</c:v>
                </c:pt>
                <c:pt idx="699">
                  <c:v>24.507000000000001</c:v>
                </c:pt>
                <c:pt idx="700">
                  <c:v>23.353000000000002</c:v>
                </c:pt>
                <c:pt idx="701">
                  <c:v>23.498999999999999</c:v>
                </c:pt>
                <c:pt idx="702">
                  <c:v>24.19</c:v>
                </c:pt>
                <c:pt idx="703">
                  <c:v>23.971</c:v>
                </c:pt>
                <c:pt idx="704">
                  <c:v>23.353999999999999</c:v>
                </c:pt>
                <c:pt idx="705">
                  <c:v>23.353999999999999</c:v>
                </c:pt>
              </c:numCache>
            </c:numRef>
          </c:val>
          <c:smooth val="0"/>
          <c:extLst>
            <c:ext xmlns:c16="http://schemas.microsoft.com/office/drawing/2014/chart" uri="{C3380CC4-5D6E-409C-BE32-E72D297353CC}">
              <c16:uniqueId val="{00000006-7C05-4062-8901-959CCCC822C5}"/>
            </c:ext>
          </c:extLst>
        </c:ser>
        <c:ser>
          <c:idx val="7"/>
          <c:order val="7"/>
          <c:tx>
            <c:strRef>
              <c:f>Sheet1!$I$1</c:f>
              <c:strCache>
                <c:ptCount val="1"/>
                <c:pt idx="0">
                  <c:v>Ուկրաինա ( 2025 թ.)</c:v>
                </c:pt>
              </c:strCache>
            </c:strRef>
          </c:tx>
          <c:spPr>
            <a:ln w="28575" cap="rnd">
              <a:solidFill>
                <a:schemeClr val="accent4">
                  <a:lumMod val="75000"/>
                </a:schemeClr>
              </a:solidFill>
              <a:round/>
            </a:ln>
            <a:effectLst/>
          </c:spPr>
          <c:marker>
            <c:symbol val="none"/>
          </c:marker>
          <c:cat>
            <c:numRef>
              <c:f>Sheet1!$A$2:$A$707</c:f>
              <c:numCache>
                <c:formatCode>dd/mm/yy</c:formatCode>
                <c:ptCount val="706"/>
                <c:pt idx="0">
                  <c:v>43466</c:v>
                </c:pt>
                <c:pt idx="1">
                  <c:v>43467</c:v>
                </c:pt>
                <c:pt idx="2">
                  <c:v>43468</c:v>
                </c:pt>
                <c:pt idx="3">
                  <c:v>43469</c:v>
                </c:pt>
                <c:pt idx="4">
                  <c:v>43472</c:v>
                </c:pt>
                <c:pt idx="5">
                  <c:v>43473</c:v>
                </c:pt>
                <c:pt idx="6">
                  <c:v>43474</c:v>
                </c:pt>
                <c:pt idx="7">
                  <c:v>43475</c:v>
                </c:pt>
                <c:pt idx="8">
                  <c:v>43476</c:v>
                </c:pt>
                <c:pt idx="9">
                  <c:v>43479</c:v>
                </c:pt>
                <c:pt idx="10">
                  <c:v>43480</c:v>
                </c:pt>
                <c:pt idx="11">
                  <c:v>43481</c:v>
                </c:pt>
                <c:pt idx="12">
                  <c:v>43482</c:v>
                </c:pt>
                <c:pt idx="13">
                  <c:v>43483</c:v>
                </c:pt>
                <c:pt idx="14">
                  <c:v>43486</c:v>
                </c:pt>
                <c:pt idx="15">
                  <c:v>43487</c:v>
                </c:pt>
                <c:pt idx="16">
                  <c:v>43488</c:v>
                </c:pt>
                <c:pt idx="17">
                  <c:v>43489</c:v>
                </c:pt>
                <c:pt idx="18">
                  <c:v>43490</c:v>
                </c:pt>
                <c:pt idx="19">
                  <c:v>43493</c:v>
                </c:pt>
                <c:pt idx="20">
                  <c:v>43494</c:v>
                </c:pt>
                <c:pt idx="21">
                  <c:v>43495</c:v>
                </c:pt>
                <c:pt idx="22">
                  <c:v>43496</c:v>
                </c:pt>
                <c:pt idx="23">
                  <c:v>43497</c:v>
                </c:pt>
                <c:pt idx="24">
                  <c:v>43500</c:v>
                </c:pt>
                <c:pt idx="25">
                  <c:v>43501</c:v>
                </c:pt>
                <c:pt idx="26">
                  <c:v>43502</c:v>
                </c:pt>
                <c:pt idx="27">
                  <c:v>43503</c:v>
                </c:pt>
                <c:pt idx="28">
                  <c:v>43504</c:v>
                </c:pt>
                <c:pt idx="29">
                  <c:v>43507</c:v>
                </c:pt>
                <c:pt idx="30">
                  <c:v>43508</c:v>
                </c:pt>
                <c:pt idx="31">
                  <c:v>43509</c:v>
                </c:pt>
                <c:pt idx="32">
                  <c:v>43510</c:v>
                </c:pt>
                <c:pt idx="33">
                  <c:v>43511</c:v>
                </c:pt>
                <c:pt idx="34">
                  <c:v>43514</c:v>
                </c:pt>
                <c:pt idx="35">
                  <c:v>43515</c:v>
                </c:pt>
                <c:pt idx="36">
                  <c:v>43516</c:v>
                </c:pt>
                <c:pt idx="37">
                  <c:v>43517</c:v>
                </c:pt>
                <c:pt idx="38">
                  <c:v>43518</c:v>
                </c:pt>
                <c:pt idx="39">
                  <c:v>43521</c:v>
                </c:pt>
                <c:pt idx="40">
                  <c:v>43522</c:v>
                </c:pt>
                <c:pt idx="41">
                  <c:v>43523</c:v>
                </c:pt>
                <c:pt idx="42">
                  <c:v>43524</c:v>
                </c:pt>
                <c:pt idx="43">
                  <c:v>43525</c:v>
                </c:pt>
                <c:pt idx="44">
                  <c:v>43528</c:v>
                </c:pt>
                <c:pt idx="45">
                  <c:v>43529</c:v>
                </c:pt>
                <c:pt idx="46">
                  <c:v>43530</c:v>
                </c:pt>
                <c:pt idx="47">
                  <c:v>43531</c:v>
                </c:pt>
                <c:pt idx="48">
                  <c:v>43532</c:v>
                </c:pt>
                <c:pt idx="49">
                  <c:v>43535</c:v>
                </c:pt>
                <c:pt idx="50">
                  <c:v>43536</c:v>
                </c:pt>
                <c:pt idx="51">
                  <c:v>43537</c:v>
                </c:pt>
                <c:pt idx="52">
                  <c:v>43538</c:v>
                </c:pt>
                <c:pt idx="53">
                  <c:v>43539</c:v>
                </c:pt>
                <c:pt idx="54">
                  <c:v>43542</c:v>
                </c:pt>
                <c:pt idx="55">
                  <c:v>43543</c:v>
                </c:pt>
                <c:pt idx="56">
                  <c:v>43544</c:v>
                </c:pt>
                <c:pt idx="57">
                  <c:v>43545</c:v>
                </c:pt>
                <c:pt idx="58">
                  <c:v>43546</c:v>
                </c:pt>
                <c:pt idx="59">
                  <c:v>43549</c:v>
                </c:pt>
                <c:pt idx="60">
                  <c:v>43550</c:v>
                </c:pt>
                <c:pt idx="61">
                  <c:v>43551</c:v>
                </c:pt>
                <c:pt idx="62">
                  <c:v>43552</c:v>
                </c:pt>
                <c:pt idx="63">
                  <c:v>43553</c:v>
                </c:pt>
                <c:pt idx="64">
                  <c:v>43556</c:v>
                </c:pt>
                <c:pt idx="65">
                  <c:v>43557</c:v>
                </c:pt>
                <c:pt idx="66">
                  <c:v>43558</c:v>
                </c:pt>
                <c:pt idx="67">
                  <c:v>43559</c:v>
                </c:pt>
                <c:pt idx="68">
                  <c:v>43560</c:v>
                </c:pt>
                <c:pt idx="69">
                  <c:v>43563</c:v>
                </c:pt>
                <c:pt idx="70">
                  <c:v>43564</c:v>
                </c:pt>
                <c:pt idx="71">
                  <c:v>43565</c:v>
                </c:pt>
                <c:pt idx="72">
                  <c:v>43566</c:v>
                </c:pt>
                <c:pt idx="73">
                  <c:v>43567</c:v>
                </c:pt>
                <c:pt idx="74">
                  <c:v>43570</c:v>
                </c:pt>
                <c:pt idx="75">
                  <c:v>43571</c:v>
                </c:pt>
                <c:pt idx="76">
                  <c:v>43572</c:v>
                </c:pt>
                <c:pt idx="77">
                  <c:v>43573</c:v>
                </c:pt>
                <c:pt idx="78">
                  <c:v>43574</c:v>
                </c:pt>
                <c:pt idx="79">
                  <c:v>43577</c:v>
                </c:pt>
                <c:pt idx="80">
                  <c:v>43578</c:v>
                </c:pt>
                <c:pt idx="81">
                  <c:v>43579</c:v>
                </c:pt>
                <c:pt idx="82">
                  <c:v>43580</c:v>
                </c:pt>
                <c:pt idx="83">
                  <c:v>43581</c:v>
                </c:pt>
                <c:pt idx="84">
                  <c:v>43584</c:v>
                </c:pt>
                <c:pt idx="85">
                  <c:v>43585</c:v>
                </c:pt>
                <c:pt idx="86">
                  <c:v>43586</c:v>
                </c:pt>
                <c:pt idx="87">
                  <c:v>43587</c:v>
                </c:pt>
                <c:pt idx="88">
                  <c:v>43588</c:v>
                </c:pt>
                <c:pt idx="89">
                  <c:v>43591</c:v>
                </c:pt>
                <c:pt idx="90">
                  <c:v>43592</c:v>
                </c:pt>
                <c:pt idx="91">
                  <c:v>43593</c:v>
                </c:pt>
                <c:pt idx="92">
                  <c:v>43594</c:v>
                </c:pt>
                <c:pt idx="93">
                  <c:v>43595</c:v>
                </c:pt>
                <c:pt idx="94">
                  <c:v>43598</c:v>
                </c:pt>
                <c:pt idx="95">
                  <c:v>43599</c:v>
                </c:pt>
                <c:pt idx="96">
                  <c:v>43600</c:v>
                </c:pt>
                <c:pt idx="97">
                  <c:v>43601</c:v>
                </c:pt>
                <c:pt idx="98">
                  <c:v>43602</c:v>
                </c:pt>
                <c:pt idx="99">
                  <c:v>43605</c:v>
                </c:pt>
                <c:pt idx="100">
                  <c:v>43606</c:v>
                </c:pt>
                <c:pt idx="101">
                  <c:v>43607</c:v>
                </c:pt>
                <c:pt idx="102">
                  <c:v>43608</c:v>
                </c:pt>
                <c:pt idx="103">
                  <c:v>43609</c:v>
                </c:pt>
                <c:pt idx="104">
                  <c:v>43612</c:v>
                </c:pt>
                <c:pt idx="105">
                  <c:v>43613</c:v>
                </c:pt>
                <c:pt idx="106">
                  <c:v>43614</c:v>
                </c:pt>
                <c:pt idx="107">
                  <c:v>43615</c:v>
                </c:pt>
                <c:pt idx="108">
                  <c:v>43616</c:v>
                </c:pt>
                <c:pt idx="109">
                  <c:v>43619</c:v>
                </c:pt>
                <c:pt idx="110">
                  <c:v>43620</c:v>
                </c:pt>
                <c:pt idx="111">
                  <c:v>43621</c:v>
                </c:pt>
                <c:pt idx="112">
                  <c:v>43622</c:v>
                </c:pt>
                <c:pt idx="113">
                  <c:v>43623</c:v>
                </c:pt>
                <c:pt idx="114">
                  <c:v>43626</c:v>
                </c:pt>
                <c:pt idx="115">
                  <c:v>43627</c:v>
                </c:pt>
                <c:pt idx="116">
                  <c:v>43628</c:v>
                </c:pt>
                <c:pt idx="117">
                  <c:v>43629</c:v>
                </c:pt>
                <c:pt idx="118">
                  <c:v>43630</c:v>
                </c:pt>
                <c:pt idx="119">
                  <c:v>43633</c:v>
                </c:pt>
                <c:pt idx="120">
                  <c:v>43634</c:v>
                </c:pt>
                <c:pt idx="121">
                  <c:v>43635</c:v>
                </c:pt>
                <c:pt idx="122">
                  <c:v>43636</c:v>
                </c:pt>
                <c:pt idx="123">
                  <c:v>43637</c:v>
                </c:pt>
                <c:pt idx="124">
                  <c:v>43640</c:v>
                </c:pt>
                <c:pt idx="125">
                  <c:v>43641</c:v>
                </c:pt>
                <c:pt idx="126">
                  <c:v>43642</c:v>
                </c:pt>
                <c:pt idx="127">
                  <c:v>43643</c:v>
                </c:pt>
                <c:pt idx="128">
                  <c:v>43644</c:v>
                </c:pt>
                <c:pt idx="129">
                  <c:v>43647</c:v>
                </c:pt>
                <c:pt idx="130">
                  <c:v>43648</c:v>
                </c:pt>
                <c:pt idx="131">
                  <c:v>43649</c:v>
                </c:pt>
                <c:pt idx="132">
                  <c:v>43650</c:v>
                </c:pt>
                <c:pt idx="133">
                  <c:v>43651</c:v>
                </c:pt>
                <c:pt idx="134">
                  <c:v>43654</c:v>
                </c:pt>
                <c:pt idx="135">
                  <c:v>43655</c:v>
                </c:pt>
                <c:pt idx="136">
                  <c:v>43656</c:v>
                </c:pt>
                <c:pt idx="137">
                  <c:v>43657</c:v>
                </c:pt>
                <c:pt idx="138">
                  <c:v>43658</c:v>
                </c:pt>
                <c:pt idx="139">
                  <c:v>43661</c:v>
                </c:pt>
                <c:pt idx="140">
                  <c:v>43662</c:v>
                </c:pt>
                <c:pt idx="141">
                  <c:v>43663</c:v>
                </c:pt>
                <c:pt idx="142">
                  <c:v>43664</c:v>
                </c:pt>
                <c:pt idx="143">
                  <c:v>43665</c:v>
                </c:pt>
                <c:pt idx="144">
                  <c:v>43668</c:v>
                </c:pt>
                <c:pt idx="145">
                  <c:v>43669</c:v>
                </c:pt>
                <c:pt idx="146">
                  <c:v>43670</c:v>
                </c:pt>
                <c:pt idx="147">
                  <c:v>43671</c:v>
                </c:pt>
                <c:pt idx="148">
                  <c:v>43672</c:v>
                </c:pt>
                <c:pt idx="149">
                  <c:v>43675</c:v>
                </c:pt>
                <c:pt idx="150">
                  <c:v>43676</c:v>
                </c:pt>
                <c:pt idx="151">
                  <c:v>43677</c:v>
                </c:pt>
                <c:pt idx="152">
                  <c:v>43678</c:v>
                </c:pt>
                <c:pt idx="153">
                  <c:v>43679</c:v>
                </c:pt>
                <c:pt idx="154">
                  <c:v>43682</c:v>
                </c:pt>
                <c:pt idx="155">
                  <c:v>43683</c:v>
                </c:pt>
                <c:pt idx="156">
                  <c:v>43684</c:v>
                </c:pt>
                <c:pt idx="157">
                  <c:v>43685</c:v>
                </c:pt>
                <c:pt idx="158">
                  <c:v>43686</c:v>
                </c:pt>
                <c:pt idx="159">
                  <c:v>43689</c:v>
                </c:pt>
                <c:pt idx="160">
                  <c:v>43690</c:v>
                </c:pt>
                <c:pt idx="161">
                  <c:v>43691</c:v>
                </c:pt>
                <c:pt idx="162">
                  <c:v>43692</c:v>
                </c:pt>
                <c:pt idx="163">
                  <c:v>43693</c:v>
                </c:pt>
                <c:pt idx="164">
                  <c:v>43696</c:v>
                </c:pt>
                <c:pt idx="165">
                  <c:v>43697</c:v>
                </c:pt>
                <c:pt idx="166">
                  <c:v>43698</c:v>
                </c:pt>
                <c:pt idx="167">
                  <c:v>43699</c:v>
                </c:pt>
                <c:pt idx="168">
                  <c:v>43700</c:v>
                </c:pt>
                <c:pt idx="169">
                  <c:v>43703</c:v>
                </c:pt>
                <c:pt idx="170">
                  <c:v>43704</c:v>
                </c:pt>
                <c:pt idx="171">
                  <c:v>43705</c:v>
                </c:pt>
                <c:pt idx="172">
                  <c:v>43706</c:v>
                </c:pt>
                <c:pt idx="173">
                  <c:v>43707</c:v>
                </c:pt>
                <c:pt idx="174">
                  <c:v>43710</c:v>
                </c:pt>
                <c:pt idx="175">
                  <c:v>43711</c:v>
                </c:pt>
                <c:pt idx="176">
                  <c:v>43712</c:v>
                </c:pt>
                <c:pt idx="177">
                  <c:v>43713</c:v>
                </c:pt>
                <c:pt idx="178">
                  <c:v>43714</c:v>
                </c:pt>
                <c:pt idx="179">
                  <c:v>43717</c:v>
                </c:pt>
                <c:pt idx="180">
                  <c:v>43718</c:v>
                </c:pt>
                <c:pt idx="181">
                  <c:v>43719</c:v>
                </c:pt>
                <c:pt idx="182">
                  <c:v>43720</c:v>
                </c:pt>
                <c:pt idx="183">
                  <c:v>43721</c:v>
                </c:pt>
                <c:pt idx="184">
                  <c:v>43724</c:v>
                </c:pt>
                <c:pt idx="185">
                  <c:v>43725</c:v>
                </c:pt>
                <c:pt idx="186">
                  <c:v>43726</c:v>
                </c:pt>
                <c:pt idx="187">
                  <c:v>43727</c:v>
                </c:pt>
                <c:pt idx="188">
                  <c:v>43728</c:v>
                </c:pt>
                <c:pt idx="189">
                  <c:v>43731</c:v>
                </c:pt>
                <c:pt idx="190">
                  <c:v>43732</c:v>
                </c:pt>
                <c:pt idx="191">
                  <c:v>43733</c:v>
                </c:pt>
                <c:pt idx="192">
                  <c:v>43734</c:v>
                </c:pt>
                <c:pt idx="193">
                  <c:v>43735</c:v>
                </c:pt>
                <c:pt idx="194">
                  <c:v>43738</c:v>
                </c:pt>
                <c:pt idx="195">
                  <c:v>43739</c:v>
                </c:pt>
                <c:pt idx="196">
                  <c:v>43740</c:v>
                </c:pt>
                <c:pt idx="197">
                  <c:v>43741</c:v>
                </c:pt>
                <c:pt idx="198">
                  <c:v>43742</c:v>
                </c:pt>
                <c:pt idx="199">
                  <c:v>43745</c:v>
                </c:pt>
                <c:pt idx="200">
                  <c:v>43746</c:v>
                </c:pt>
                <c:pt idx="201">
                  <c:v>43747</c:v>
                </c:pt>
                <c:pt idx="202">
                  <c:v>43748</c:v>
                </c:pt>
                <c:pt idx="203">
                  <c:v>43749</c:v>
                </c:pt>
                <c:pt idx="204">
                  <c:v>43752</c:v>
                </c:pt>
                <c:pt idx="205">
                  <c:v>43753</c:v>
                </c:pt>
                <c:pt idx="206">
                  <c:v>43754</c:v>
                </c:pt>
                <c:pt idx="207">
                  <c:v>43755</c:v>
                </c:pt>
                <c:pt idx="208">
                  <c:v>43756</c:v>
                </c:pt>
                <c:pt idx="209">
                  <c:v>43759</c:v>
                </c:pt>
                <c:pt idx="210">
                  <c:v>43760</c:v>
                </c:pt>
                <c:pt idx="211">
                  <c:v>43761</c:v>
                </c:pt>
                <c:pt idx="212">
                  <c:v>43762</c:v>
                </c:pt>
                <c:pt idx="213">
                  <c:v>43763</c:v>
                </c:pt>
                <c:pt idx="214">
                  <c:v>43766</c:v>
                </c:pt>
                <c:pt idx="215">
                  <c:v>43767</c:v>
                </c:pt>
                <c:pt idx="216">
                  <c:v>43768</c:v>
                </c:pt>
                <c:pt idx="217">
                  <c:v>43769</c:v>
                </c:pt>
                <c:pt idx="218">
                  <c:v>43770</c:v>
                </c:pt>
                <c:pt idx="219">
                  <c:v>43773</c:v>
                </c:pt>
                <c:pt idx="220">
                  <c:v>43774</c:v>
                </c:pt>
                <c:pt idx="221">
                  <c:v>43775</c:v>
                </c:pt>
                <c:pt idx="222">
                  <c:v>43776</c:v>
                </c:pt>
                <c:pt idx="223">
                  <c:v>43777</c:v>
                </c:pt>
                <c:pt idx="224">
                  <c:v>43780</c:v>
                </c:pt>
                <c:pt idx="225">
                  <c:v>43781</c:v>
                </c:pt>
                <c:pt idx="226">
                  <c:v>43782</c:v>
                </c:pt>
                <c:pt idx="227">
                  <c:v>43783</c:v>
                </c:pt>
                <c:pt idx="228">
                  <c:v>43784</c:v>
                </c:pt>
                <c:pt idx="229">
                  <c:v>43787</c:v>
                </c:pt>
                <c:pt idx="230">
                  <c:v>43788</c:v>
                </c:pt>
                <c:pt idx="231">
                  <c:v>43789</c:v>
                </c:pt>
                <c:pt idx="232">
                  <c:v>43790</c:v>
                </c:pt>
                <c:pt idx="233">
                  <c:v>43791</c:v>
                </c:pt>
                <c:pt idx="234">
                  <c:v>43794</c:v>
                </c:pt>
                <c:pt idx="235">
                  <c:v>43795</c:v>
                </c:pt>
                <c:pt idx="236">
                  <c:v>43796</c:v>
                </c:pt>
                <c:pt idx="237">
                  <c:v>43797</c:v>
                </c:pt>
                <c:pt idx="238">
                  <c:v>43798</c:v>
                </c:pt>
                <c:pt idx="239">
                  <c:v>43801</c:v>
                </c:pt>
                <c:pt idx="240">
                  <c:v>43802</c:v>
                </c:pt>
                <c:pt idx="241">
                  <c:v>43803</c:v>
                </c:pt>
                <c:pt idx="242">
                  <c:v>43804</c:v>
                </c:pt>
                <c:pt idx="243">
                  <c:v>43805</c:v>
                </c:pt>
                <c:pt idx="244">
                  <c:v>43808</c:v>
                </c:pt>
                <c:pt idx="245">
                  <c:v>43809</c:v>
                </c:pt>
                <c:pt idx="246">
                  <c:v>43810</c:v>
                </c:pt>
                <c:pt idx="247">
                  <c:v>43811</c:v>
                </c:pt>
                <c:pt idx="248">
                  <c:v>43812</c:v>
                </c:pt>
                <c:pt idx="249">
                  <c:v>43815</c:v>
                </c:pt>
                <c:pt idx="250">
                  <c:v>43816</c:v>
                </c:pt>
                <c:pt idx="251">
                  <c:v>43817</c:v>
                </c:pt>
                <c:pt idx="252">
                  <c:v>43818</c:v>
                </c:pt>
                <c:pt idx="253">
                  <c:v>43819</c:v>
                </c:pt>
                <c:pt idx="254">
                  <c:v>43822</c:v>
                </c:pt>
                <c:pt idx="255">
                  <c:v>43823</c:v>
                </c:pt>
                <c:pt idx="256">
                  <c:v>43824</c:v>
                </c:pt>
                <c:pt idx="257">
                  <c:v>43825</c:v>
                </c:pt>
                <c:pt idx="258">
                  <c:v>43826</c:v>
                </c:pt>
                <c:pt idx="259">
                  <c:v>43829</c:v>
                </c:pt>
                <c:pt idx="260">
                  <c:v>43830</c:v>
                </c:pt>
                <c:pt idx="261">
                  <c:v>43831</c:v>
                </c:pt>
                <c:pt idx="262">
                  <c:v>43832</c:v>
                </c:pt>
                <c:pt idx="263">
                  <c:v>43833</c:v>
                </c:pt>
                <c:pt idx="264">
                  <c:v>43836</c:v>
                </c:pt>
                <c:pt idx="265">
                  <c:v>43837</c:v>
                </c:pt>
                <c:pt idx="266">
                  <c:v>43838</c:v>
                </c:pt>
                <c:pt idx="267">
                  <c:v>43839</c:v>
                </c:pt>
                <c:pt idx="268">
                  <c:v>43840</c:v>
                </c:pt>
                <c:pt idx="269">
                  <c:v>43843</c:v>
                </c:pt>
                <c:pt idx="270">
                  <c:v>43844</c:v>
                </c:pt>
                <c:pt idx="271">
                  <c:v>43845</c:v>
                </c:pt>
                <c:pt idx="272">
                  <c:v>43846</c:v>
                </c:pt>
                <c:pt idx="273">
                  <c:v>43847</c:v>
                </c:pt>
                <c:pt idx="274">
                  <c:v>43850</c:v>
                </c:pt>
                <c:pt idx="275">
                  <c:v>43851</c:v>
                </c:pt>
                <c:pt idx="276">
                  <c:v>43852</c:v>
                </c:pt>
                <c:pt idx="277">
                  <c:v>43853</c:v>
                </c:pt>
                <c:pt idx="278">
                  <c:v>43854</c:v>
                </c:pt>
                <c:pt idx="279">
                  <c:v>43857</c:v>
                </c:pt>
                <c:pt idx="280">
                  <c:v>43858</c:v>
                </c:pt>
                <c:pt idx="281">
                  <c:v>43859</c:v>
                </c:pt>
                <c:pt idx="282">
                  <c:v>43860</c:v>
                </c:pt>
                <c:pt idx="283">
                  <c:v>43861</c:v>
                </c:pt>
                <c:pt idx="284">
                  <c:v>43864</c:v>
                </c:pt>
                <c:pt idx="285">
                  <c:v>43865</c:v>
                </c:pt>
                <c:pt idx="286">
                  <c:v>43866</c:v>
                </c:pt>
                <c:pt idx="287">
                  <c:v>43867</c:v>
                </c:pt>
                <c:pt idx="288">
                  <c:v>43868</c:v>
                </c:pt>
                <c:pt idx="289">
                  <c:v>43871</c:v>
                </c:pt>
                <c:pt idx="290">
                  <c:v>43872</c:v>
                </c:pt>
                <c:pt idx="291">
                  <c:v>43873</c:v>
                </c:pt>
                <c:pt idx="292">
                  <c:v>43874</c:v>
                </c:pt>
                <c:pt idx="293">
                  <c:v>43875</c:v>
                </c:pt>
                <c:pt idx="294">
                  <c:v>43878</c:v>
                </c:pt>
                <c:pt idx="295">
                  <c:v>43879</c:v>
                </c:pt>
                <c:pt idx="296">
                  <c:v>43880</c:v>
                </c:pt>
                <c:pt idx="297">
                  <c:v>43881</c:v>
                </c:pt>
                <c:pt idx="298">
                  <c:v>43882</c:v>
                </c:pt>
                <c:pt idx="299">
                  <c:v>43885</c:v>
                </c:pt>
                <c:pt idx="300">
                  <c:v>43886</c:v>
                </c:pt>
                <c:pt idx="301">
                  <c:v>43887</c:v>
                </c:pt>
                <c:pt idx="302">
                  <c:v>43888</c:v>
                </c:pt>
                <c:pt idx="303">
                  <c:v>43889</c:v>
                </c:pt>
                <c:pt idx="304">
                  <c:v>43892</c:v>
                </c:pt>
                <c:pt idx="305">
                  <c:v>43893</c:v>
                </c:pt>
                <c:pt idx="306">
                  <c:v>43894</c:v>
                </c:pt>
                <c:pt idx="307">
                  <c:v>43895</c:v>
                </c:pt>
                <c:pt idx="308">
                  <c:v>43896</c:v>
                </c:pt>
                <c:pt idx="309">
                  <c:v>43899</c:v>
                </c:pt>
                <c:pt idx="310">
                  <c:v>43900</c:v>
                </c:pt>
                <c:pt idx="311">
                  <c:v>43901</c:v>
                </c:pt>
                <c:pt idx="312">
                  <c:v>43902</c:v>
                </c:pt>
                <c:pt idx="313">
                  <c:v>43903</c:v>
                </c:pt>
                <c:pt idx="314">
                  <c:v>43906</c:v>
                </c:pt>
                <c:pt idx="315">
                  <c:v>43907</c:v>
                </c:pt>
                <c:pt idx="316">
                  <c:v>43908</c:v>
                </c:pt>
                <c:pt idx="317">
                  <c:v>43909</c:v>
                </c:pt>
                <c:pt idx="318">
                  <c:v>43910</c:v>
                </c:pt>
                <c:pt idx="319">
                  <c:v>43913</c:v>
                </c:pt>
                <c:pt idx="320">
                  <c:v>43914</c:v>
                </c:pt>
                <c:pt idx="321">
                  <c:v>43915</c:v>
                </c:pt>
                <c:pt idx="322">
                  <c:v>43916</c:v>
                </c:pt>
                <c:pt idx="323">
                  <c:v>43917</c:v>
                </c:pt>
                <c:pt idx="324">
                  <c:v>43920</c:v>
                </c:pt>
                <c:pt idx="325">
                  <c:v>43921</c:v>
                </c:pt>
                <c:pt idx="326">
                  <c:v>43922</c:v>
                </c:pt>
                <c:pt idx="327">
                  <c:v>43923</c:v>
                </c:pt>
                <c:pt idx="328">
                  <c:v>43924</c:v>
                </c:pt>
                <c:pt idx="329">
                  <c:v>43927</c:v>
                </c:pt>
                <c:pt idx="330">
                  <c:v>43928</c:v>
                </c:pt>
                <c:pt idx="331">
                  <c:v>43929</c:v>
                </c:pt>
                <c:pt idx="332">
                  <c:v>43930</c:v>
                </c:pt>
                <c:pt idx="333">
                  <c:v>43931</c:v>
                </c:pt>
                <c:pt idx="334">
                  <c:v>43934</c:v>
                </c:pt>
                <c:pt idx="335">
                  <c:v>43935</c:v>
                </c:pt>
                <c:pt idx="336">
                  <c:v>43936</c:v>
                </c:pt>
                <c:pt idx="337">
                  <c:v>43937</c:v>
                </c:pt>
                <c:pt idx="338">
                  <c:v>43938</c:v>
                </c:pt>
                <c:pt idx="339">
                  <c:v>43941</c:v>
                </c:pt>
                <c:pt idx="340">
                  <c:v>43942</c:v>
                </c:pt>
                <c:pt idx="341">
                  <c:v>43943</c:v>
                </c:pt>
                <c:pt idx="342">
                  <c:v>43944</c:v>
                </c:pt>
                <c:pt idx="343">
                  <c:v>43945</c:v>
                </c:pt>
                <c:pt idx="344">
                  <c:v>43948</c:v>
                </c:pt>
                <c:pt idx="345">
                  <c:v>43949</c:v>
                </c:pt>
                <c:pt idx="346">
                  <c:v>43950</c:v>
                </c:pt>
                <c:pt idx="347">
                  <c:v>43951</c:v>
                </c:pt>
                <c:pt idx="348">
                  <c:v>43952</c:v>
                </c:pt>
                <c:pt idx="349">
                  <c:v>43955</c:v>
                </c:pt>
                <c:pt idx="350">
                  <c:v>43956</c:v>
                </c:pt>
                <c:pt idx="351">
                  <c:v>43957</c:v>
                </c:pt>
                <c:pt idx="352">
                  <c:v>43958</c:v>
                </c:pt>
                <c:pt idx="353">
                  <c:v>43959</c:v>
                </c:pt>
                <c:pt idx="354">
                  <c:v>43962</c:v>
                </c:pt>
                <c:pt idx="355">
                  <c:v>43963</c:v>
                </c:pt>
                <c:pt idx="356">
                  <c:v>43964</c:v>
                </c:pt>
                <c:pt idx="357">
                  <c:v>43965</c:v>
                </c:pt>
                <c:pt idx="358">
                  <c:v>43966</c:v>
                </c:pt>
                <c:pt idx="359">
                  <c:v>43969</c:v>
                </c:pt>
                <c:pt idx="360">
                  <c:v>43970</c:v>
                </c:pt>
                <c:pt idx="361">
                  <c:v>43971</c:v>
                </c:pt>
                <c:pt idx="362">
                  <c:v>43972</c:v>
                </c:pt>
                <c:pt idx="363">
                  <c:v>43973</c:v>
                </c:pt>
                <c:pt idx="364">
                  <c:v>43976</c:v>
                </c:pt>
                <c:pt idx="365">
                  <c:v>43977</c:v>
                </c:pt>
                <c:pt idx="366">
                  <c:v>43978</c:v>
                </c:pt>
                <c:pt idx="367">
                  <c:v>43979</c:v>
                </c:pt>
                <c:pt idx="368">
                  <c:v>43980</c:v>
                </c:pt>
                <c:pt idx="369">
                  <c:v>43983</c:v>
                </c:pt>
                <c:pt idx="370">
                  <c:v>43984</c:v>
                </c:pt>
                <c:pt idx="371">
                  <c:v>43985</c:v>
                </c:pt>
                <c:pt idx="372">
                  <c:v>43986</c:v>
                </c:pt>
                <c:pt idx="373">
                  <c:v>43987</c:v>
                </c:pt>
                <c:pt idx="374">
                  <c:v>43990</c:v>
                </c:pt>
                <c:pt idx="375">
                  <c:v>43991</c:v>
                </c:pt>
                <c:pt idx="376">
                  <c:v>43992</c:v>
                </c:pt>
                <c:pt idx="377">
                  <c:v>43993</c:v>
                </c:pt>
                <c:pt idx="378">
                  <c:v>43994</c:v>
                </c:pt>
                <c:pt idx="379">
                  <c:v>43997</c:v>
                </c:pt>
                <c:pt idx="380">
                  <c:v>43998</c:v>
                </c:pt>
                <c:pt idx="381">
                  <c:v>43999</c:v>
                </c:pt>
                <c:pt idx="382">
                  <c:v>44000</c:v>
                </c:pt>
                <c:pt idx="383">
                  <c:v>44001</c:v>
                </c:pt>
                <c:pt idx="384">
                  <c:v>44004</c:v>
                </c:pt>
                <c:pt idx="385">
                  <c:v>44005</c:v>
                </c:pt>
                <c:pt idx="386">
                  <c:v>44006</c:v>
                </c:pt>
                <c:pt idx="387">
                  <c:v>44007</c:v>
                </c:pt>
                <c:pt idx="388">
                  <c:v>44008</c:v>
                </c:pt>
                <c:pt idx="389">
                  <c:v>44011</c:v>
                </c:pt>
                <c:pt idx="390">
                  <c:v>44012</c:v>
                </c:pt>
                <c:pt idx="391">
                  <c:v>44013</c:v>
                </c:pt>
                <c:pt idx="392">
                  <c:v>44014</c:v>
                </c:pt>
                <c:pt idx="393">
                  <c:v>44015</c:v>
                </c:pt>
                <c:pt idx="394">
                  <c:v>44018</c:v>
                </c:pt>
                <c:pt idx="395">
                  <c:v>44019</c:v>
                </c:pt>
                <c:pt idx="396">
                  <c:v>44020</c:v>
                </c:pt>
                <c:pt idx="397">
                  <c:v>44021</c:v>
                </c:pt>
                <c:pt idx="398">
                  <c:v>44022</c:v>
                </c:pt>
                <c:pt idx="399">
                  <c:v>44025</c:v>
                </c:pt>
                <c:pt idx="400">
                  <c:v>44026</c:v>
                </c:pt>
                <c:pt idx="401">
                  <c:v>44027</c:v>
                </c:pt>
                <c:pt idx="402">
                  <c:v>44028</c:v>
                </c:pt>
                <c:pt idx="403">
                  <c:v>44029</c:v>
                </c:pt>
                <c:pt idx="404">
                  <c:v>44032</c:v>
                </c:pt>
                <c:pt idx="405">
                  <c:v>44033</c:v>
                </c:pt>
                <c:pt idx="406">
                  <c:v>44034</c:v>
                </c:pt>
                <c:pt idx="407">
                  <c:v>44035</c:v>
                </c:pt>
                <c:pt idx="408">
                  <c:v>44036</c:v>
                </c:pt>
                <c:pt idx="409">
                  <c:v>44039</c:v>
                </c:pt>
                <c:pt idx="410">
                  <c:v>44040</c:v>
                </c:pt>
                <c:pt idx="411">
                  <c:v>44041</c:v>
                </c:pt>
                <c:pt idx="412">
                  <c:v>44042</c:v>
                </c:pt>
                <c:pt idx="413">
                  <c:v>44043</c:v>
                </c:pt>
                <c:pt idx="414">
                  <c:v>44046</c:v>
                </c:pt>
                <c:pt idx="415">
                  <c:v>44047</c:v>
                </c:pt>
                <c:pt idx="416">
                  <c:v>44048</c:v>
                </c:pt>
                <c:pt idx="417">
                  <c:v>44049</c:v>
                </c:pt>
                <c:pt idx="418">
                  <c:v>44050</c:v>
                </c:pt>
                <c:pt idx="419">
                  <c:v>44053</c:v>
                </c:pt>
                <c:pt idx="420">
                  <c:v>44054</c:v>
                </c:pt>
                <c:pt idx="421">
                  <c:v>44055</c:v>
                </c:pt>
                <c:pt idx="422">
                  <c:v>44056</c:v>
                </c:pt>
                <c:pt idx="423">
                  <c:v>44057</c:v>
                </c:pt>
                <c:pt idx="424">
                  <c:v>44060</c:v>
                </c:pt>
                <c:pt idx="425">
                  <c:v>44061</c:v>
                </c:pt>
                <c:pt idx="426">
                  <c:v>44062</c:v>
                </c:pt>
                <c:pt idx="427">
                  <c:v>44063</c:v>
                </c:pt>
                <c:pt idx="428">
                  <c:v>44064</c:v>
                </c:pt>
                <c:pt idx="429">
                  <c:v>44067</c:v>
                </c:pt>
                <c:pt idx="430">
                  <c:v>44068</c:v>
                </c:pt>
                <c:pt idx="431">
                  <c:v>44069</c:v>
                </c:pt>
                <c:pt idx="432">
                  <c:v>44070</c:v>
                </c:pt>
                <c:pt idx="433">
                  <c:v>44071</c:v>
                </c:pt>
                <c:pt idx="434">
                  <c:v>44074</c:v>
                </c:pt>
                <c:pt idx="435">
                  <c:v>44075</c:v>
                </c:pt>
                <c:pt idx="436">
                  <c:v>44076</c:v>
                </c:pt>
                <c:pt idx="437">
                  <c:v>44077</c:v>
                </c:pt>
                <c:pt idx="438">
                  <c:v>44078</c:v>
                </c:pt>
                <c:pt idx="439">
                  <c:v>44081</c:v>
                </c:pt>
                <c:pt idx="440">
                  <c:v>44082</c:v>
                </c:pt>
                <c:pt idx="441">
                  <c:v>44083</c:v>
                </c:pt>
                <c:pt idx="442">
                  <c:v>44084</c:v>
                </c:pt>
                <c:pt idx="443">
                  <c:v>44085</c:v>
                </c:pt>
                <c:pt idx="444">
                  <c:v>44088</c:v>
                </c:pt>
                <c:pt idx="445">
                  <c:v>44089</c:v>
                </c:pt>
                <c:pt idx="446">
                  <c:v>44090</c:v>
                </c:pt>
                <c:pt idx="447">
                  <c:v>44091</c:v>
                </c:pt>
                <c:pt idx="448">
                  <c:v>44092</c:v>
                </c:pt>
                <c:pt idx="449">
                  <c:v>44095</c:v>
                </c:pt>
                <c:pt idx="450">
                  <c:v>44096</c:v>
                </c:pt>
                <c:pt idx="451">
                  <c:v>44097</c:v>
                </c:pt>
                <c:pt idx="452">
                  <c:v>44098</c:v>
                </c:pt>
                <c:pt idx="453">
                  <c:v>44099</c:v>
                </c:pt>
                <c:pt idx="454">
                  <c:v>44102</c:v>
                </c:pt>
                <c:pt idx="455">
                  <c:v>44103</c:v>
                </c:pt>
                <c:pt idx="456">
                  <c:v>44104</c:v>
                </c:pt>
                <c:pt idx="457">
                  <c:v>44105</c:v>
                </c:pt>
                <c:pt idx="458">
                  <c:v>44106</c:v>
                </c:pt>
                <c:pt idx="459">
                  <c:v>44109</c:v>
                </c:pt>
                <c:pt idx="460">
                  <c:v>44110</c:v>
                </c:pt>
                <c:pt idx="461">
                  <c:v>44111</c:v>
                </c:pt>
                <c:pt idx="462">
                  <c:v>44112</c:v>
                </c:pt>
                <c:pt idx="463">
                  <c:v>44113</c:v>
                </c:pt>
                <c:pt idx="464">
                  <c:v>44116</c:v>
                </c:pt>
                <c:pt idx="465">
                  <c:v>44117</c:v>
                </c:pt>
                <c:pt idx="466">
                  <c:v>44118</c:v>
                </c:pt>
                <c:pt idx="467">
                  <c:v>44119</c:v>
                </c:pt>
                <c:pt idx="468">
                  <c:v>44120</c:v>
                </c:pt>
                <c:pt idx="469">
                  <c:v>44123</c:v>
                </c:pt>
                <c:pt idx="470">
                  <c:v>44124</c:v>
                </c:pt>
                <c:pt idx="471">
                  <c:v>44125</c:v>
                </c:pt>
                <c:pt idx="472">
                  <c:v>44126</c:v>
                </c:pt>
                <c:pt idx="473">
                  <c:v>44127</c:v>
                </c:pt>
                <c:pt idx="474">
                  <c:v>44130</c:v>
                </c:pt>
                <c:pt idx="475">
                  <c:v>44131</c:v>
                </c:pt>
                <c:pt idx="476">
                  <c:v>44132</c:v>
                </c:pt>
                <c:pt idx="477">
                  <c:v>44133</c:v>
                </c:pt>
                <c:pt idx="478">
                  <c:v>44134</c:v>
                </c:pt>
                <c:pt idx="479">
                  <c:v>44137</c:v>
                </c:pt>
                <c:pt idx="480">
                  <c:v>44138</c:v>
                </c:pt>
                <c:pt idx="481">
                  <c:v>44139</c:v>
                </c:pt>
                <c:pt idx="482">
                  <c:v>44140</c:v>
                </c:pt>
                <c:pt idx="483">
                  <c:v>44141</c:v>
                </c:pt>
                <c:pt idx="484">
                  <c:v>44144</c:v>
                </c:pt>
                <c:pt idx="485">
                  <c:v>44145</c:v>
                </c:pt>
                <c:pt idx="486">
                  <c:v>44146</c:v>
                </c:pt>
                <c:pt idx="487">
                  <c:v>44147</c:v>
                </c:pt>
                <c:pt idx="488">
                  <c:v>44148</c:v>
                </c:pt>
                <c:pt idx="489">
                  <c:v>44151</c:v>
                </c:pt>
                <c:pt idx="490">
                  <c:v>44152</c:v>
                </c:pt>
                <c:pt idx="491">
                  <c:v>44153</c:v>
                </c:pt>
                <c:pt idx="492">
                  <c:v>44154</c:v>
                </c:pt>
                <c:pt idx="493">
                  <c:v>44155</c:v>
                </c:pt>
                <c:pt idx="494">
                  <c:v>44158</c:v>
                </c:pt>
                <c:pt idx="495">
                  <c:v>44159</c:v>
                </c:pt>
                <c:pt idx="496">
                  <c:v>44160</c:v>
                </c:pt>
                <c:pt idx="497">
                  <c:v>44161</c:v>
                </c:pt>
                <c:pt idx="498">
                  <c:v>44162</c:v>
                </c:pt>
                <c:pt idx="499">
                  <c:v>44165</c:v>
                </c:pt>
                <c:pt idx="500">
                  <c:v>44166</c:v>
                </c:pt>
                <c:pt idx="501">
                  <c:v>44167</c:v>
                </c:pt>
                <c:pt idx="502">
                  <c:v>44168</c:v>
                </c:pt>
                <c:pt idx="503">
                  <c:v>44169</c:v>
                </c:pt>
                <c:pt idx="504">
                  <c:v>44172</c:v>
                </c:pt>
                <c:pt idx="505">
                  <c:v>44173</c:v>
                </c:pt>
                <c:pt idx="506">
                  <c:v>44174</c:v>
                </c:pt>
                <c:pt idx="507">
                  <c:v>44175</c:v>
                </c:pt>
                <c:pt idx="508">
                  <c:v>44176</c:v>
                </c:pt>
                <c:pt idx="509">
                  <c:v>44179</c:v>
                </c:pt>
                <c:pt idx="510">
                  <c:v>44180</c:v>
                </c:pt>
                <c:pt idx="511">
                  <c:v>44181</c:v>
                </c:pt>
                <c:pt idx="512">
                  <c:v>44182</c:v>
                </c:pt>
                <c:pt idx="513">
                  <c:v>44183</c:v>
                </c:pt>
                <c:pt idx="514">
                  <c:v>44186</c:v>
                </c:pt>
                <c:pt idx="515">
                  <c:v>44187</c:v>
                </c:pt>
                <c:pt idx="516">
                  <c:v>44188</c:v>
                </c:pt>
                <c:pt idx="517">
                  <c:v>44189</c:v>
                </c:pt>
                <c:pt idx="518">
                  <c:v>44190</c:v>
                </c:pt>
                <c:pt idx="519">
                  <c:v>44193</c:v>
                </c:pt>
                <c:pt idx="520">
                  <c:v>44194</c:v>
                </c:pt>
                <c:pt idx="521">
                  <c:v>44195</c:v>
                </c:pt>
                <c:pt idx="522">
                  <c:v>44196</c:v>
                </c:pt>
                <c:pt idx="523">
                  <c:v>44197</c:v>
                </c:pt>
                <c:pt idx="524">
                  <c:v>44200</c:v>
                </c:pt>
                <c:pt idx="525">
                  <c:v>44201</c:v>
                </c:pt>
                <c:pt idx="526">
                  <c:v>44202</c:v>
                </c:pt>
                <c:pt idx="527">
                  <c:v>44203</c:v>
                </c:pt>
                <c:pt idx="528">
                  <c:v>44204</c:v>
                </c:pt>
                <c:pt idx="529">
                  <c:v>44207</c:v>
                </c:pt>
                <c:pt idx="530">
                  <c:v>44208</c:v>
                </c:pt>
                <c:pt idx="531">
                  <c:v>44209</c:v>
                </c:pt>
                <c:pt idx="532">
                  <c:v>44210</c:v>
                </c:pt>
                <c:pt idx="533">
                  <c:v>44211</c:v>
                </c:pt>
                <c:pt idx="534">
                  <c:v>44214</c:v>
                </c:pt>
                <c:pt idx="535">
                  <c:v>44215</c:v>
                </c:pt>
                <c:pt idx="536">
                  <c:v>44216</c:v>
                </c:pt>
                <c:pt idx="537">
                  <c:v>44217</c:v>
                </c:pt>
                <c:pt idx="538">
                  <c:v>44218</c:v>
                </c:pt>
                <c:pt idx="539">
                  <c:v>44221</c:v>
                </c:pt>
                <c:pt idx="540">
                  <c:v>44222</c:v>
                </c:pt>
                <c:pt idx="541">
                  <c:v>44223</c:v>
                </c:pt>
                <c:pt idx="542">
                  <c:v>44224</c:v>
                </c:pt>
                <c:pt idx="543">
                  <c:v>44225</c:v>
                </c:pt>
                <c:pt idx="544">
                  <c:v>44228</c:v>
                </c:pt>
                <c:pt idx="545">
                  <c:v>44229</c:v>
                </c:pt>
                <c:pt idx="546">
                  <c:v>44230</c:v>
                </c:pt>
                <c:pt idx="547">
                  <c:v>44231</c:v>
                </c:pt>
                <c:pt idx="548">
                  <c:v>44232</c:v>
                </c:pt>
                <c:pt idx="549">
                  <c:v>44235</c:v>
                </c:pt>
                <c:pt idx="550">
                  <c:v>44236</c:v>
                </c:pt>
                <c:pt idx="551">
                  <c:v>44237</c:v>
                </c:pt>
                <c:pt idx="552">
                  <c:v>44238</c:v>
                </c:pt>
                <c:pt idx="553">
                  <c:v>44239</c:v>
                </c:pt>
                <c:pt idx="554">
                  <c:v>44242</c:v>
                </c:pt>
                <c:pt idx="555">
                  <c:v>44243</c:v>
                </c:pt>
                <c:pt idx="556">
                  <c:v>44244</c:v>
                </c:pt>
                <c:pt idx="557">
                  <c:v>44245</c:v>
                </c:pt>
                <c:pt idx="558">
                  <c:v>44246</c:v>
                </c:pt>
                <c:pt idx="559">
                  <c:v>44249</c:v>
                </c:pt>
                <c:pt idx="560">
                  <c:v>44250</c:v>
                </c:pt>
                <c:pt idx="561">
                  <c:v>44251</c:v>
                </c:pt>
                <c:pt idx="562">
                  <c:v>44252</c:v>
                </c:pt>
                <c:pt idx="563">
                  <c:v>44253</c:v>
                </c:pt>
                <c:pt idx="564">
                  <c:v>44256</c:v>
                </c:pt>
                <c:pt idx="565">
                  <c:v>44257</c:v>
                </c:pt>
                <c:pt idx="566">
                  <c:v>44258</c:v>
                </c:pt>
                <c:pt idx="567">
                  <c:v>44259</c:v>
                </c:pt>
                <c:pt idx="568">
                  <c:v>44260</c:v>
                </c:pt>
                <c:pt idx="569">
                  <c:v>44263</c:v>
                </c:pt>
                <c:pt idx="570">
                  <c:v>44264</c:v>
                </c:pt>
                <c:pt idx="571">
                  <c:v>44265</c:v>
                </c:pt>
                <c:pt idx="572">
                  <c:v>44266</c:v>
                </c:pt>
                <c:pt idx="573">
                  <c:v>44267</c:v>
                </c:pt>
                <c:pt idx="574">
                  <c:v>44270</c:v>
                </c:pt>
                <c:pt idx="575">
                  <c:v>44271</c:v>
                </c:pt>
                <c:pt idx="576">
                  <c:v>44272</c:v>
                </c:pt>
                <c:pt idx="577">
                  <c:v>44273</c:v>
                </c:pt>
                <c:pt idx="578">
                  <c:v>44274</c:v>
                </c:pt>
                <c:pt idx="579">
                  <c:v>44277</c:v>
                </c:pt>
                <c:pt idx="580">
                  <c:v>44278</c:v>
                </c:pt>
                <c:pt idx="581">
                  <c:v>44279</c:v>
                </c:pt>
                <c:pt idx="582">
                  <c:v>44280</c:v>
                </c:pt>
                <c:pt idx="583">
                  <c:v>44281</c:v>
                </c:pt>
                <c:pt idx="584">
                  <c:v>44284</c:v>
                </c:pt>
                <c:pt idx="585">
                  <c:v>44285</c:v>
                </c:pt>
                <c:pt idx="586">
                  <c:v>44286</c:v>
                </c:pt>
                <c:pt idx="587">
                  <c:v>44287</c:v>
                </c:pt>
                <c:pt idx="588">
                  <c:v>44288</c:v>
                </c:pt>
                <c:pt idx="589">
                  <c:v>44291</c:v>
                </c:pt>
                <c:pt idx="590">
                  <c:v>44292</c:v>
                </c:pt>
                <c:pt idx="591">
                  <c:v>44293</c:v>
                </c:pt>
                <c:pt idx="592">
                  <c:v>44294</c:v>
                </c:pt>
                <c:pt idx="593">
                  <c:v>44295</c:v>
                </c:pt>
                <c:pt idx="594">
                  <c:v>44298</c:v>
                </c:pt>
                <c:pt idx="595">
                  <c:v>44299</c:v>
                </c:pt>
                <c:pt idx="596">
                  <c:v>44300</c:v>
                </c:pt>
                <c:pt idx="597">
                  <c:v>44301</c:v>
                </c:pt>
                <c:pt idx="598">
                  <c:v>44302</c:v>
                </c:pt>
                <c:pt idx="599">
                  <c:v>44305</c:v>
                </c:pt>
                <c:pt idx="600">
                  <c:v>44306</c:v>
                </c:pt>
                <c:pt idx="601">
                  <c:v>44307</c:v>
                </c:pt>
                <c:pt idx="602">
                  <c:v>44308</c:v>
                </c:pt>
                <c:pt idx="603">
                  <c:v>44309</c:v>
                </c:pt>
                <c:pt idx="604">
                  <c:v>44312</c:v>
                </c:pt>
                <c:pt idx="605">
                  <c:v>44313</c:v>
                </c:pt>
                <c:pt idx="606">
                  <c:v>44314</c:v>
                </c:pt>
                <c:pt idx="607">
                  <c:v>44315</c:v>
                </c:pt>
                <c:pt idx="608">
                  <c:v>44316</c:v>
                </c:pt>
                <c:pt idx="609">
                  <c:v>44319</c:v>
                </c:pt>
                <c:pt idx="610">
                  <c:v>44320</c:v>
                </c:pt>
                <c:pt idx="611">
                  <c:v>44321</c:v>
                </c:pt>
                <c:pt idx="612">
                  <c:v>44322</c:v>
                </c:pt>
                <c:pt idx="613">
                  <c:v>44323</c:v>
                </c:pt>
                <c:pt idx="614">
                  <c:v>44326</c:v>
                </c:pt>
                <c:pt idx="615">
                  <c:v>44327</c:v>
                </c:pt>
                <c:pt idx="616">
                  <c:v>44328</c:v>
                </c:pt>
                <c:pt idx="617">
                  <c:v>44329</c:v>
                </c:pt>
                <c:pt idx="618">
                  <c:v>44330</c:v>
                </c:pt>
                <c:pt idx="619">
                  <c:v>44333</c:v>
                </c:pt>
                <c:pt idx="620">
                  <c:v>44334</c:v>
                </c:pt>
                <c:pt idx="621">
                  <c:v>44335</c:v>
                </c:pt>
                <c:pt idx="622">
                  <c:v>44336</c:v>
                </c:pt>
                <c:pt idx="623">
                  <c:v>44337</c:v>
                </c:pt>
                <c:pt idx="624">
                  <c:v>44340</c:v>
                </c:pt>
                <c:pt idx="625">
                  <c:v>44341</c:v>
                </c:pt>
                <c:pt idx="626">
                  <c:v>44342</c:v>
                </c:pt>
                <c:pt idx="627">
                  <c:v>44343</c:v>
                </c:pt>
                <c:pt idx="628">
                  <c:v>44344</c:v>
                </c:pt>
                <c:pt idx="629">
                  <c:v>44347</c:v>
                </c:pt>
                <c:pt idx="630">
                  <c:v>44348</c:v>
                </c:pt>
                <c:pt idx="631">
                  <c:v>44349</c:v>
                </c:pt>
                <c:pt idx="632">
                  <c:v>44350</c:v>
                </c:pt>
                <c:pt idx="633">
                  <c:v>44351</c:v>
                </c:pt>
                <c:pt idx="634">
                  <c:v>44354</c:v>
                </c:pt>
                <c:pt idx="635">
                  <c:v>44355</c:v>
                </c:pt>
                <c:pt idx="636">
                  <c:v>44356</c:v>
                </c:pt>
                <c:pt idx="637">
                  <c:v>44357</c:v>
                </c:pt>
                <c:pt idx="638">
                  <c:v>44358</c:v>
                </c:pt>
                <c:pt idx="639">
                  <c:v>44361</c:v>
                </c:pt>
                <c:pt idx="640">
                  <c:v>44362</c:v>
                </c:pt>
                <c:pt idx="641">
                  <c:v>44363</c:v>
                </c:pt>
                <c:pt idx="642">
                  <c:v>44364</c:v>
                </c:pt>
                <c:pt idx="643">
                  <c:v>44365</c:v>
                </c:pt>
                <c:pt idx="644">
                  <c:v>44368</c:v>
                </c:pt>
                <c:pt idx="645">
                  <c:v>44369</c:v>
                </c:pt>
                <c:pt idx="646">
                  <c:v>44370</c:v>
                </c:pt>
                <c:pt idx="647">
                  <c:v>44371</c:v>
                </c:pt>
                <c:pt idx="648">
                  <c:v>44372</c:v>
                </c:pt>
                <c:pt idx="649">
                  <c:v>44375</c:v>
                </c:pt>
                <c:pt idx="650">
                  <c:v>44376</c:v>
                </c:pt>
                <c:pt idx="651">
                  <c:v>44377</c:v>
                </c:pt>
                <c:pt idx="652">
                  <c:v>44378</c:v>
                </c:pt>
                <c:pt idx="653">
                  <c:v>44379</c:v>
                </c:pt>
                <c:pt idx="654">
                  <c:v>44382</c:v>
                </c:pt>
                <c:pt idx="655">
                  <c:v>44383</c:v>
                </c:pt>
                <c:pt idx="656">
                  <c:v>44384</c:v>
                </c:pt>
                <c:pt idx="657">
                  <c:v>44385</c:v>
                </c:pt>
                <c:pt idx="658">
                  <c:v>44386</c:v>
                </c:pt>
                <c:pt idx="659">
                  <c:v>44389</c:v>
                </c:pt>
                <c:pt idx="660">
                  <c:v>44390</c:v>
                </c:pt>
                <c:pt idx="661">
                  <c:v>44391</c:v>
                </c:pt>
                <c:pt idx="662">
                  <c:v>44392</c:v>
                </c:pt>
                <c:pt idx="663">
                  <c:v>44393</c:v>
                </c:pt>
                <c:pt idx="664">
                  <c:v>44396</c:v>
                </c:pt>
                <c:pt idx="665">
                  <c:v>44397</c:v>
                </c:pt>
                <c:pt idx="666">
                  <c:v>44398</c:v>
                </c:pt>
                <c:pt idx="667">
                  <c:v>44399</c:v>
                </c:pt>
                <c:pt idx="668">
                  <c:v>44400</c:v>
                </c:pt>
                <c:pt idx="669">
                  <c:v>44403</c:v>
                </c:pt>
                <c:pt idx="670">
                  <c:v>44404</c:v>
                </c:pt>
                <c:pt idx="671">
                  <c:v>44405</c:v>
                </c:pt>
                <c:pt idx="672">
                  <c:v>44406</c:v>
                </c:pt>
                <c:pt idx="673">
                  <c:v>44407</c:v>
                </c:pt>
                <c:pt idx="674">
                  <c:v>44410</c:v>
                </c:pt>
                <c:pt idx="675">
                  <c:v>44411</c:v>
                </c:pt>
                <c:pt idx="676">
                  <c:v>44412</c:v>
                </c:pt>
                <c:pt idx="677">
                  <c:v>44413</c:v>
                </c:pt>
                <c:pt idx="678">
                  <c:v>44414</c:v>
                </c:pt>
                <c:pt idx="679">
                  <c:v>44417</c:v>
                </c:pt>
                <c:pt idx="680">
                  <c:v>44418</c:v>
                </c:pt>
                <c:pt idx="681">
                  <c:v>44419</c:v>
                </c:pt>
                <c:pt idx="682">
                  <c:v>44420</c:v>
                </c:pt>
                <c:pt idx="683">
                  <c:v>44421</c:v>
                </c:pt>
                <c:pt idx="684">
                  <c:v>44424</c:v>
                </c:pt>
                <c:pt idx="685">
                  <c:v>44425</c:v>
                </c:pt>
                <c:pt idx="686">
                  <c:v>44426</c:v>
                </c:pt>
                <c:pt idx="687">
                  <c:v>44427</c:v>
                </c:pt>
                <c:pt idx="688">
                  <c:v>44428</c:v>
                </c:pt>
                <c:pt idx="689">
                  <c:v>44431</c:v>
                </c:pt>
                <c:pt idx="690">
                  <c:v>44432</c:v>
                </c:pt>
                <c:pt idx="691">
                  <c:v>44433</c:v>
                </c:pt>
                <c:pt idx="692">
                  <c:v>44434</c:v>
                </c:pt>
                <c:pt idx="693">
                  <c:v>44435</c:v>
                </c:pt>
                <c:pt idx="694">
                  <c:v>44438</c:v>
                </c:pt>
                <c:pt idx="695">
                  <c:v>44439</c:v>
                </c:pt>
                <c:pt idx="696">
                  <c:v>44440</c:v>
                </c:pt>
                <c:pt idx="697">
                  <c:v>44441</c:v>
                </c:pt>
                <c:pt idx="698">
                  <c:v>44442</c:v>
                </c:pt>
                <c:pt idx="699">
                  <c:v>44445</c:v>
                </c:pt>
                <c:pt idx="700">
                  <c:v>44446</c:v>
                </c:pt>
                <c:pt idx="701">
                  <c:v>44447</c:v>
                </c:pt>
                <c:pt idx="702">
                  <c:v>44448</c:v>
                </c:pt>
                <c:pt idx="703">
                  <c:v>44449</c:v>
                </c:pt>
                <c:pt idx="704">
                  <c:v>44452</c:v>
                </c:pt>
                <c:pt idx="705">
                  <c:v>44453</c:v>
                </c:pt>
              </c:numCache>
            </c:numRef>
          </c:cat>
          <c:val>
            <c:numRef>
              <c:f>Sheet1!$I$2:$I$707</c:f>
              <c:numCache>
                <c:formatCode>_(* #,##0_);_(* \(#,##0\);_(* "-"??_);_(@_)</c:formatCode>
                <c:ptCount val="706"/>
                <c:pt idx="0">
                  <c:v>788.10599999999999</c:v>
                </c:pt>
                <c:pt idx="1">
                  <c:v>804.41800000000001</c:v>
                </c:pt>
                <c:pt idx="2">
                  <c:v>830.60799999999995</c:v>
                </c:pt>
                <c:pt idx="3">
                  <c:v>802.71900000000005</c:v>
                </c:pt>
                <c:pt idx="4">
                  <c:v>778.33799999999997</c:v>
                </c:pt>
                <c:pt idx="5">
                  <c:v>777.89200000000005</c:v>
                </c:pt>
                <c:pt idx="6">
                  <c:v>765.27200000000005</c:v>
                </c:pt>
                <c:pt idx="7">
                  <c:v>762.79499999999996</c:v>
                </c:pt>
                <c:pt idx="8">
                  <c:v>756.13499999999999</c:v>
                </c:pt>
                <c:pt idx="9">
                  <c:v>749.86099999999999</c:v>
                </c:pt>
                <c:pt idx="10">
                  <c:v>723.64700000000005</c:v>
                </c:pt>
                <c:pt idx="11">
                  <c:v>700.47500000000002</c:v>
                </c:pt>
                <c:pt idx="12">
                  <c:v>701.26199999999994</c:v>
                </c:pt>
                <c:pt idx="13">
                  <c:v>661.12900000000002</c:v>
                </c:pt>
                <c:pt idx="14">
                  <c:v>664.36800000000005</c:v>
                </c:pt>
                <c:pt idx="15">
                  <c:v>681.18299999999999</c:v>
                </c:pt>
                <c:pt idx="16">
                  <c:v>671.77800000000002</c:v>
                </c:pt>
                <c:pt idx="17">
                  <c:v>661.88400000000001</c:v>
                </c:pt>
                <c:pt idx="18">
                  <c:v>663.755</c:v>
                </c:pt>
                <c:pt idx="19">
                  <c:v>683.08299999999997</c:v>
                </c:pt>
                <c:pt idx="20">
                  <c:v>695.16099999999994</c:v>
                </c:pt>
                <c:pt idx="21">
                  <c:v>705.12699999999995</c:v>
                </c:pt>
                <c:pt idx="22">
                  <c:v>684.82500000000005</c:v>
                </c:pt>
                <c:pt idx="23">
                  <c:v>675.90700000000004</c:v>
                </c:pt>
                <c:pt idx="24">
                  <c:v>686.07899999999995</c:v>
                </c:pt>
                <c:pt idx="25">
                  <c:v>677.87699999999995</c:v>
                </c:pt>
                <c:pt idx="26">
                  <c:v>686.995</c:v>
                </c:pt>
                <c:pt idx="27">
                  <c:v>709.73500000000001</c:v>
                </c:pt>
                <c:pt idx="28">
                  <c:v>731.74400000000003</c:v>
                </c:pt>
                <c:pt idx="29">
                  <c:v>751.40200000000004</c:v>
                </c:pt>
                <c:pt idx="30">
                  <c:v>758.76700000000005</c:v>
                </c:pt>
                <c:pt idx="31">
                  <c:v>742.37400000000002</c:v>
                </c:pt>
                <c:pt idx="32">
                  <c:v>751.36599999999999</c:v>
                </c:pt>
                <c:pt idx="33">
                  <c:v>734.15700000000004</c:v>
                </c:pt>
                <c:pt idx="34">
                  <c:v>729.21</c:v>
                </c:pt>
                <c:pt idx="35">
                  <c:v>708.58500000000004</c:v>
                </c:pt>
                <c:pt idx="36">
                  <c:v>694.86400000000003</c:v>
                </c:pt>
                <c:pt idx="37">
                  <c:v>680.94500000000005</c:v>
                </c:pt>
                <c:pt idx="38">
                  <c:v>657.827</c:v>
                </c:pt>
                <c:pt idx="39">
                  <c:v>646.67200000000003</c:v>
                </c:pt>
                <c:pt idx="40">
                  <c:v>649.54499999999996</c:v>
                </c:pt>
                <c:pt idx="41">
                  <c:v>648.90099999999995</c:v>
                </c:pt>
                <c:pt idx="42">
                  <c:v>650.548</c:v>
                </c:pt>
                <c:pt idx="43">
                  <c:v>648.20600000000002</c:v>
                </c:pt>
                <c:pt idx="44">
                  <c:v>656</c:v>
                </c:pt>
                <c:pt idx="45">
                  <c:v>663.18700000000001</c:v>
                </c:pt>
                <c:pt idx="46">
                  <c:v>662.63300000000004</c:v>
                </c:pt>
                <c:pt idx="47">
                  <c:v>676.70799999999997</c:v>
                </c:pt>
                <c:pt idx="48">
                  <c:v>678</c:v>
                </c:pt>
                <c:pt idx="49">
                  <c:v>652.93200000000002</c:v>
                </c:pt>
                <c:pt idx="50">
                  <c:v>653.93600000000004</c:v>
                </c:pt>
                <c:pt idx="51">
                  <c:v>655.24400000000003</c:v>
                </c:pt>
                <c:pt idx="52">
                  <c:v>652.44200000000001</c:v>
                </c:pt>
                <c:pt idx="53">
                  <c:v>636.27599999999995</c:v>
                </c:pt>
                <c:pt idx="54">
                  <c:v>623.52499999999998</c:v>
                </c:pt>
                <c:pt idx="55">
                  <c:v>618.84400000000005</c:v>
                </c:pt>
                <c:pt idx="56">
                  <c:v>632.04899999999998</c:v>
                </c:pt>
                <c:pt idx="57">
                  <c:v>618.82000000000005</c:v>
                </c:pt>
                <c:pt idx="58">
                  <c:v>634.76099999999997</c:v>
                </c:pt>
                <c:pt idx="59">
                  <c:v>644.52099999999996</c:v>
                </c:pt>
                <c:pt idx="60">
                  <c:v>637.21299999999997</c:v>
                </c:pt>
                <c:pt idx="61">
                  <c:v>645.63400000000001</c:v>
                </c:pt>
                <c:pt idx="62">
                  <c:v>645.83100000000002</c:v>
                </c:pt>
                <c:pt idx="63">
                  <c:v>636.01199999999994</c:v>
                </c:pt>
                <c:pt idx="64">
                  <c:v>611.56200000000001</c:v>
                </c:pt>
                <c:pt idx="65">
                  <c:v>606.84199999999998</c:v>
                </c:pt>
                <c:pt idx="66">
                  <c:v>599.22900000000004</c:v>
                </c:pt>
                <c:pt idx="67">
                  <c:v>600.23199999999997</c:v>
                </c:pt>
                <c:pt idx="68">
                  <c:v>591.64700000000005</c:v>
                </c:pt>
                <c:pt idx="69">
                  <c:v>582.79499999999996</c:v>
                </c:pt>
                <c:pt idx="70">
                  <c:v>572.40700000000004</c:v>
                </c:pt>
                <c:pt idx="71">
                  <c:v>589.21</c:v>
                </c:pt>
                <c:pt idx="72">
                  <c:v>591.71900000000005</c:v>
                </c:pt>
                <c:pt idx="73">
                  <c:v>587.952</c:v>
                </c:pt>
                <c:pt idx="74">
                  <c:v>587.43899999999996</c:v>
                </c:pt>
                <c:pt idx="75">
                  <c:v>574.20699999999999</c:v>
                </c:pt>
                <c:pt idx="76">
                  <c:v>570.84299999999996</c:v>
                </c:pt>
                <c:pt idx="77">
                  <c:v>597.36300000000006</c:v>
                </c:pt>
                <c:pt idx="78">
                  <c:v>597.36300000000006</c:v>
                </c:pt>
                <c:pt idx="79">
                  <c:v>596.44100000000003</c:v>
                </c:pt>
                <c:pt idx="80">
                  <c:v>606.35699999999997</c:v>
                </c:pt>
                <c:pt idx="81">
                  <c:v>631.99300000000005</c:v>
                </c:pt>
                <c:pt idx="82">
                  <c:v>653.35799999999995</c:v>
                </c:pt>
                <c:pt idx="83">
                  <c:v>656.28200000000004</c:v>
                </c:pt>
                <c:pt idx="84">
                  <c:v>664.67499999999995</c:v>
                </c:pt>
                <c:pt idx="85">
                  <c:v>653.10599999999999</c:v>
                </c:pt>
                <c:pt idx="86">
                  <c:v>633.21199999999999</c:v>
                </c:pt>
                <c:pt idx="87">
                  <c:v>637.52599999999995</c:v>
                </c:pt>
                <c:pt idx="88">
                  <c:v>632.74099999999999</c:v>
                </c:pt>
                <c:pt idx="89">
                  <c:v>638.78499999999997</c:v>
                </c:pt>
                <c:pt idx="90">
                  <c:v>648.55200000000002</c:v>
                </c:pt>
                <c:pt idx="91">
                  <c:v>657.16700000000003</c:v>
                </c:pt>
                <c:pt idx="92">
                  <c:v>665.303</c:v>
                </c:pt>
                <c:pt idx="93">
                  <c:v>656.72</c:v>
                </c:pt>
                <c:pt idx="94">
                  <c:v>676.23400000000004</c:v>
                </c:pt>
                <c:pt idx="95">
                  <c:v>670.82299999999998</c:v>
                </c:pt>
                <c:pt idx="96">
                  <c:v>659.22</c:v>
                </c:pt>
                <c:pt idx="97">
                  <c:v>650.61900000000003</c:v>
                </c:pt>
                <c:pt idx="98">
                  <c:v>656.33799999999997</c:v>
                </c:pt>
                <c:pt idx="99">
                  <c:v>653.59299999999996</c:v>
                </c:pt>
                <c:pt idx="100">
                  <c:v>642.69799999999998</c:v>
                </c:pt>
                <c:pt idx="101">
                  <c:v>659.89</c:v>
                </c:pt>
                <c:pt idx="102">
                  <c:v>674.57799999999997</c:v>
                </c:pt>
                <c:pt idx="103">
                  <c:v>670.06100000000004</c:v>
                </c:pt>
                <c:pt idx="104">
                  <c:v>667.86099999999999</c:v>
                </c:pt>
                <c:pt idx="105">
                  <c:v>682.81200000000001</c:v>
                </c:pt>
                <c:pt idx="106">
                  <c:v>674.12400000000002</c:v>
                </c:pt>
                <c:pt idx="107">
                  <c:v>662.60199999999998</c:v>
                </c:pt>
                <c:pt idx="108">
                  <c:v>683.43</c:v>
                </c:pt>
                <c:pt idx="109">
                  <c:v>689.44399999999996</c:v>
                </c:pt>
                <c:pt idx="110">
                  <c:v>668.77300000000002</c:v>
                </c:pt>
                <c:pt idx="111">
                  <c:v>645.93499999999995</c:v>
                </c:pt>
                <c:pt idx="112">
                  <c:v>622.61400000000003</c:v>
                </c:pt>
                <c:pt idx="113">
                  <c:v>601.80100000000004</c:v>
                </c:pt>
                <c:pt idx="114">
                  <c:v>583.05399999999997</c:v>
                </c:pt>
                <c:pt idx="115">
                  <c:v>588.26800000000003</c:v>
                </c:pt>
                <c:pt idx="116">
                  <c:v>602.54200000000003</c:v>
                </c:pt>
                <c:pt idx="117">
                  <c:v>602.99099999999999</c:v>
                </c:pt>
                <c:pt idx="118">
                  <c:v>581.77599999999995</c:v>
                </c:pt>
                <c:pt idx="119">
                  <c:v>583.46299999999997</c:v>
                </c:pt>
                <c:pt idx="120">
                  <c:v>571.18499999999995</c:v>
                </c:pt>
                <c:pt idx="121">
                  <c:v>565.78200000000004</c:v>
                </c:pt>
                <c:pt idx="122">
                  <c:v>536.97699999999998</c:v>
                </c:pt>
                <c:pt idx="123">
                  <c:v>538.55700000000002</c:v>
                </c:pt>
                <c:pt idx="124">
                  <c:v>542.154</c:v>
                </c:pt>
                <c:pt idx="125">
                  <c:v>550.36</c:v>
                </c:pt>
                <c:pt idx="126">
                  <c:v>532.77700000000004</c:v>
                </c:pt>
                <c:pt idx="127">
                  <c:v>524.42100000000005</c:v>
                </c:pt>
                <c:pt idx="128">
                  <c:v>520.62599999999998</c:v>
                </c:pt>
                <c:pt idx="129">
                  <c:v>510.84</c:v>
                </c:pt>
                <c:pt idx="130">
                  <c:v>531.74</c:v>
                </c:pt>
                <c:pt idx="131">
                  <c:v>525.55899999999997</c:v>
                </c:pt>
                <c:pt idx="132">
                  <c:v>525.50400000000002</c:v>
                </c:pt>
                <c:pt idx="133">
                  <c:v>525.21699999999998</c:v>
                </c:pt>
                <c:pt idx="134">
                  <c:v>539.30899999999997</c:v>
                </c:pt>
                <c:pt idx="135">
                  <c:v>554.01700000000005</c:v>
                </c:pt>
                <c:pt idx="136">
                  <c:v>540.04700000000003</c:v>
                </c:pt>
                <c:pt idx="137">
                  <c:v>527.12800000000004</c:v>
                </c:pt>
                <c:pt idx="138">
                  <c:v>529.44200000000001</c:v>
                </c:pt>
                <c:pt idx="139">
                  <c:v>524.78099999999995</c:v>
                </c:pt>
                <c:pt idx="140">
                  <c:v>518.71</c:v>
                </c:pt>
                <c:pt idx="141">
                  <c:v>513.48199999999997</c:v>
                </c:pt>
                <c:pt idx="142">
                  <c:v>511.63299999999998</c:v>
                </c:pt>
                <c:pt idx="143">
                  <c:v>494.16</c:v>
                </c:pt>
                <c:pt idx="144">
                  <c:v>466.95699999999999</c:v>
                </c:pt>
                <c:pt idx="145">
                  <c:v>447.209</c:v>
                </c:pt>
                <c:pt idx="146">
                  <c:v>452.62200000000001</c:v>
                </c:pt>
                <c:pt idx="147">
                  <c:v>452.661</c:v>
                </c:pt>
                <c:pt idx="148">
                  <c:v>473.31099999999998</c:v>
                </c:pt>
                <c:pt idx="149">
                  <c:v>474.637</c:v>
                </c:pt>
                <c:pt idx="150">
                  <c:v>477.81599999999997</c:v>
                </c:pt>
                <c:pt idx="151">
                  <c:v>470.87200000000001</c:v>
                </c:pt>
                <c:pt idx="152">
                  <c:v>487.43700000000001</c:v>
                </c:pt>
                <c:pt idx="153">
                  <c:v>502</c:v>
                </c:pt>
                <c:pt idx="154">
                  <c:v>543.97299999999996</c:v>
                </c:pt>
                <c:pt idx="155">
                  <c:v>533.822</c:v>
                </c:pt>
                <c:pt idx="156">
                  <c:v>530.471</c:v>
                </c:pt>
                <c:pt idx="157">
                  <c:v>526.00599999999997</c:v>
                </c:pt>
                <c:pt idx="158">
                  <c:v>513.19899999999996</c:v>
                </c:pt>
                <c:pt idx="159">
                  <c:v>547.83600000000001</c:v>
                </c:pt>
                <c:pt idx="160">
                  <c:v>547.28</c:v>
                </c:pt>
                <c:pt idx="161">
                  <c:v>582.34</c:v>
                </c:pt>
                <c:pt idx="162">
                  <c:v>602.47500000000002</c:v>
                </c:pt>
                <c:pt idx="163">
                  <c:v>573.245</c:v>
                </c:pt>
                <c:pt idx="164">
                  <c:v>548.68200000000002</c:v>
                </c:pt>
                <c:pt idx="165">
                  <c:v>561.09299999999996</c:v>
                </c:pt>
                <c:pt idx="166">
                  <c:v>548.23400000000004</c:v>
                </c:pt>
                <c:pt idx="167">
                  <c:v>538.31200000000001</c:v>
                </c:pt>
                <c:pt idx="168">
                  <c:v>551.70699999999999</c:v>
                </c:pt>
                <c:pt idx="169">
                  <c:v>548.95600000000002</c:v>
                </c:pt>
                <c:pt idx="170">
                  <c:v>552.17200000000003</c:v>
                </c:pt>
                <c:pt idx="171">
                  <c:v>545.64800000000002</c:v>
                </c:pt>
                <c:pt idx="172">
                  <c:v>533.11900000000003</c:v>
                </c:pt>
                <c:pt idx="173">
                  <c:v>503.98599999999999</c:v>
                </c:pt>
                <c:pt idx="174">
                  <c:v>503.666</c:v>
                </c:pt>
                <c:pt idx="175">
                  <c:v>494.09699999999998</c:v>
                </c:pt>
                <c:pt idx="176">
                  <c:v>480.57299999999998</c:v>
                </c:pt>
                <c:pt idx="177">
                  <c:v>466.77699999999999</c:v>
                </c:pt>
                <c:pt idx="178">
                  <c:v>464.46699999999998</c:v>
                </c:pt>
                <c:pt idx="179">
                  <c:v>453.46800000000002</c:v>
                </c:pt>
                <c:pt idx="180">
                  <c:v>451.88600000000002</c:v>
                </c:pt>
                <c:pt idx="181">
                  <c:v>453.22699999999998</c:v>
                </c:pt>
                <c:pt idx="182">
                  <c:v>442.84399999999999</c:v>
                </c:pt>
                <c:pt idx="183">
                  <c:v>435.83699999999999</c:v>
                </c:pt>
                <c:pt idx="184">
                  <c:v>438.57900000000001</c:v>
                </c:pt>
                <c:pt idx="185">
                  <c:v>458.221</c:v>
                </c:pt>
                <c:pt idx="186">
                  <c:v>454.17599999999999</c:v>
                </c:pt>
                <c:pt idx="187">
                  <c:v>465.63900000000001</c:v>
                </c:pt>
                <c:pt idx="188">
                  <c:v>471.38099999999997</c:v>
                </c:pt>
                <c:pt idx="189">
                  <c:v>475.48700000000002</c:v>
                </c:pt>
                <c:pt idx="190">
                  <c:v>508.95600000000002</c:v>
                </c:pt>
                <c:pt idx="191">
                  <c:v>500.63099999999997</c:v>
                </c:pt>
                <c:pt idx="192">
                  <c:v>489.99799999999999</c:v>
                </c:pt>
                <c:pt idx="193">
                  <c:v>497.36599999999999</c:v>
                </c:pt>
                <c:pt idx="194">
                  <c:v>512.29499999999996</c:v>
                </c:pt>
                <c:pt idx="195">
                  <c:v>511.05599999999998</c:v>
                </c:pt>
                <c:pt idx="196">
                  <c:v>534.63900000000001</c:v>
                </c:pt>
                <c:pt idx="197">
                  <c:v>538.53300000000002</c:v>
                </c:pt>
                <c:pt idx="198">
                  <c:v>520.34299999999996</c:v>
                </c:pt>
                <c:pt idx="199">
                  <c:v>516.375</c:v>
                </c:pt>
                <c:pt idx="200">
                  <c:v>522.65</c:v>
                </c:pt>
                <c:pt idx="201">
                  <c:v>516.12900000000002</c:v>
                </c:pt>
                <c:pt idx="202">
                  <c:v>506.47800000000001</c:v>
                </c:pt>
                <c:pt idx="203">
                  <c:v>496.61599999999999</c:v>
                </c:pt>
                <c:pt idx="204">
                  <c:v>498.11500000000001</c:v>
                </c:pt>
                <c:pt idx="205">
                  <c:v>492.08699999999999</c:v>
                </c:pt>
                <c:pt idx="206">
                  <c:v>493.66699999999997</c:v>
                </c:pt>
                <c:pt idx="207">
                  <c:v>491.79500000000002</c:v>
                </c:pt>
                <c:pt idx="208">
                  <c:v>485.78800000000001</c:v>
                </c:pt>
                <c:pt idx="209">
                  <c:v>475.31299999999999</c:v>
                </c:pt>
                <c:pt idx="210">
                  <c:v>466.11599999999999</c:v>
                </c:pt>
                <c:pt idx="211">
                  <c:v>466.78199999999998</c:v>
                </c:pt>
                <c:pt idx="212">
                  <c:v>460.00099999999998</c:v>
                </c:pt>
                <c:pt idx="213">
                  <c:v>441.71800000000002</c:v>
                </c:pt>
                <c:pt idx="214">
                  <c:v>442.72399999999999</c:v>
                </c:pt>
                <c:pt idx="215">
                  <c:v>451.71100000000001</c:v>
                </c:pt>
                <c:pt idx="216">
                  <c:v>460.209</c:v>
                </c:pt>
                <c:pt idx="217">
                  <c:v>468.65800000000002</c:v>
                </c:pt>
                <c:pt idx="218">
                  <c:v>452.36</c:v>
                </c:pt>
                <c:pt idx="219">
                  <c:v>450.85399999999998</c:v>
                </c:pt>
                <c:pt idx="220">
                  <c:v>454.322</c:v>
                </c:pt>
                <c:pt idx="221">
                  <c:v>456.31299999999999</c:v>
                </c:pt>
                <c:pt idx="222">
                  <c:v>442.15899999999999</c:v>
                </c:pt>
                <c:pt idx="223">
                  <c:v>442.11900000000003</c:v>
                </c:pt>
                <c:pt idx="224">
                  <c:v>441.56799999999998</c:v>
                </c:pt>
                <c:pt idx="225">
                  <c:v>445.34199999999998</c:v>
                </c:pt>
                <c:pt idx="226">
                  <c:v>450.5</c:v>
                </c:pt>
                <c:pt idx="227">
                  <c:v>451.666</c:v>
                </c:pt>
                <c:pt idx="228">
                  <c:v>447.74099999999999</c:v>
                </c:pt>
                <c:pt idx="229">
                  <c:v>451.99700000000001</c:v>
                </c:pt>
                <c:pt idx="230">
                  <c:v>467.96199999999999</c:v>
                </c:pt>
                <c:pt idx="231">
                  <c:v>481.70699999999999</c:v>
                </c:pt>
                <c:pt idx="232">
                  <c:v>480.77600000000001</c:v>
                </c:pt>
                <c:pt idx="233">
                  <c:v>480.02499999999998</c:v>
                </c:pt>
                <c:pt idx="234">
                  <c:v>487.41399999999999</c:v>
                </c:pt>
                <c:pt idx="235">
                  <c:v>490.42899999999997</c:v>
                </c:pt>
                <c:pt idx="236">
                  <c:v>487.42500000000001</c:v>
                </c:pt>
                <c:pt idx="237">
                  <c:v>480.738</c:v>
                </c:pt>
                <c:pt idx="238">
                  <c:v>492.2</c:v>
                </c:pt>
                <c:pt idx="239">
                  <c:v>498.11500000000001</c:v>
                </c:pt>
                <c:pt idx="240">
                  <c:v>515.84</c:v>
                </c:pt>
                <c:pt idx="241">
                  <c:v>503.584</c:v>
                </c:pt>
                <c:pt idx="242">
                  <c:v>497.27100000000002</c:v>
                </c:pt>
                <c:pt idx="243">
                  <c:v>493.43900000000002</c:v>
                </c:pt>
                <c:pt idx="244">
                  <c:v>445.34300000000002</c:v>
                </c:pt>
                <c:pt idx="245">
                  <c:v>442.42200000000003</c:v>
                </c:pt>
                <c:pt idx="246">
                  <c:v>438.11500000000001</c:v>
                </c:pt>
                <c:pt idx="247">
                  <c:v>417.30099999999999</c:v>
                </c:pt>
                <c:pt idx="248">
                  <c:v>420.06200000000001</c:v>
                </c:pt>
                <c:pt idx="249">
                  <c:v>410.46800000000002</c:v>
                </c:pt>
                <c:pt idx="250">
                  <c:v>407.142</c:v>
                </c:pt>
                <c:pt idx="251">
                  <c:v>407.36599999999999</c:v>
                </c:pt>
                <c:pt idx="252">
                  <c:v>410.221</c:v>
                </c:pt>
                <c:pt idx="253">
                  <c:v>409.15800000000002</c:v>
                </c:pt>
                <c:pt idx="254">
                  <c:v>407.221</c:v>
                </c:pt>
                <c:pt idx="255">
                  <c:v>409.46300000000002</c:v>
                </c:pt>
                <c:pt idx="256">
                  <c:v>409.46300000000002</c:v>
                </c:pt>
                <c:pt idx="257">
                  <c:v>409.46300000000002</c:v>
                </c:pt>
                <c:pt idx="258">
                  <c:v>404.39600000000002</c:v>
                </c:pt>
                <c:pt idx="259">
                  <c:v>409.07</c:v>
                </c:pt>
                <c:pt idx="260">
                  <c:v>407.82100000000003</c:v>
                </c:pt>
                <c:pt idx="261">
                  <c:v>407.82100000000003</c:v>
                </c:pt>
                <c:pt idx="262">
                  <c:v>377.62400000000002</c:v>
                </c:pt>
                <c:pt idx="263">
                  <c:v>377.738</c:v>
                </c:pt>
                <c:pt idx="264">
                  <c:v>378.22300000000001</c:v>
                </c:pt>
                <c:pt idx="265">
                  <c:v>374.78399999999999</c:v>
                </c:pt>
                <c:pt idx="266">
                  <c:v>367.68299999999999</c:v>
                </c:pt>
                <c:pt idx="267">
                  <c:v>360.33199999999999</c:v>
                </c:pt>
                <c:pt idx="268">
                  <c:v>360.483</c:v>
                </c:pt>
                <c:pt idx="269">
                  <c:v>351.55099999999999</c:v>
                </c:pt>
                <c:pt idx="270">
                  <c:v>346.024</c:v>
                </c:pt>
                <c:pt idx="271">
                  <c:v>331.27800000000002</c:v>
                </c:pt>
                <c:pt idx="272">
                  <c:v>324.28800000000001</c:v>
                </c:pt>
                <c:pt idx="273">
                  <c:v>324.64400000000001</c:v>
                </c:pt>
                <c:pt idx="274">
                  <c:v>324.536</c:v>
                </c:pt>
                <c:pt idx="275">
                  <c:v>334.93200000000002</c:v>
                </c:pt>
                <c:pt idx="276">
                  <c:v>325.85700000000003</c:v>
                </c:pt>
                <c:pt idx="277">
                  <c:v>350.79399999999998</c:v>
                </c:pt>
                <c:pt idx="278">
                  <c:v>352.84699999999998</c:v>
                </c:pt>
                <c:pt idx="279">
                  <c:v>375.99400000000003</c:v>
                </c:pt>
                <c:pt idx="280">
                  <c:v>361.24400000000003</c:v>
                </c:pt>
                <c:pt idx="281">
                  <c:v>362.25400000000002</c:v>
                </c:pt>
                <c:pt idx="282">
                  <c:v>370.03399999999999</c:v>
                </c:pt>
                <c:pt idx="283">
                  <c:v>375.67099999999999</c:v>
                </c:pt>
                <c:pt idx="284">
                  <c:v>372.63499999999999</c:v>
                </c:pt>
                <c:pt idx="285">
                  <c:v>357.654</c:v>
                </c:pt>
                <c:pt idx="286">
                  <c:v>344.346</c:v>
                </c:pt>
                <c:pt idx="287">
                  <c:v>336.26499999999999</c:v>
                </c:pt>
                <c:pt idx="288">
                  <c:v>350.87900000000002</c:v>
                </c:pt>
                <c:pt idx="289">
                  <c:v>362.94</c:v>
                </c:pt>
                <c:pt idx="290">
                  <c:v>346.19499999999999</c:v>
                </c:pt>
                <c:pt idx="291">
                  <c:v>329.76600000000002</c:v>
                </c:pt>
                <c:pt idx="292">
                  <c:v>331.89299999999997</c:v>
                </c:pt>
                <c:pt idx="293">
                  <c:v>330.00900000000001</c:v>
                </c:pt>
                <c:pt idx="294">
                  <c:v>325.31799999999998</c:v>
                </c:pt>
                <c:pt idx="295">
                  <c:v>338.25299999999999</c:v>
                </c:pt>
                <c:pt idx="296">
                  <c:v>329.38900000000001</c:v>
                </c:pt>
                <c:pt idx="297">
                  <c:v>334.69099999999997</c:v>
                </c:pt>
                <c:pt idx="298">
                  <c:v>346.69</c:v>
                </c:pt>
                <c:pt idx="299">
                  <c:v>378.017</c:v>
                </c:pt>
                <c:pt idx="300">
                  <c:v>396.94299999999998</c:v>
                </c:pt>
                <c:pt idx="301">
                  <c:v>411.88799999999998</c:v>
                </c:pt>
                <c:pt idx="302">
                  <c:v>441.23099999999999</c:v>
                </c:pt>
                <c:pt idx="303">
                  <c:v>474.07</c:v>
                </c:pt>
                <c:pt idx="304">
                  <c:v>458.46699999999998</c:v>
                </c:pt>
                <c:pt idx="305">
                  <c:v>461.96800000000002</c:v>
                </c:pt>
                <c:pt idx="306">
                  <c:v>475.339</c:v>
                </c:pt>
                <c:pt idx="307">
                  <c:v>534.17399999999998</c:v>
                </c:pt>
                <c:pt idx="308">
                  <c:v>583.21900000000005</c:v>
                </c:pt>
                <c:pt idx="309">
                  <c:v>700.29</c:v>
                </c:pt>
                <c:pt idx="310">
                  <c:v>706.625</c:v>
                </c:pt>
                <c:pt idx="311">
                  <c:v>773.51599999999996</c:v>
                </c:pt>
                <c:pt idx="312">
                  <c:v>1036.4760000000001</c:v>
                </c:pt>
                <c:pt idx="313">
                  <c:v>950.44200000000001</c:v>
                </c:pt>
                <c:pt idx="314">
                  <c:v>1037.2090000000001</c:v>
                </c:pt>
                <c:pt idx="315">
                  <c:v>1048.0899999999999</c:v>
                </c:pt>
                <c:pt idx="316">
                  <c:v>1348.222</c:v>
                </c:pt>
                <c:pt idx="317">
                  <c:v>1354.395</c:v>
                </c:pt>
                <c:pt idx="318">
                  <c:v>1298.98</c:v>
                </c:pt>
                <c:pt idx="319">
                  <c:v>1332.306</c:v>
                </c:pt>
                <c:pt idx="320">
                  <c:v>1222.9659999999999</c:v>
                </c:pt>
                <c:pt idx="321">
                  <c:v>1049.077</c:v>
                </c:pt>
                <c:pt idx="322">
                  <c:v>1012.6180000000001</c:v>
                </c:pt>
                <c:pt idx="323">
                  <c:v>1022.456</c:v>
                </c:pt>
                <c:pt idx="324">
                  <c:v>1058.9639999999999</c:v>
                </c:pt>
                <c:pt idx="325">
                  <c:v>931.596</c:v>
                </c:pt>
                <c:pt idx="326">
                  <c:v>943.90899999999999</c:v>
                </c:pt>
                <c:pt idx="327">
                  <c:v>949.17</c:v>
                </c:pt>
                <c:pt idx="328">
                  <c:v>943.74599999999998</c:v>
                </c:pt>
                <c:pt idx="329">
                  <c:v>925.16399999999999</c:v>
                </c:pt>
                <c:pt idx="330">
                  <c:v>802.54200000000003</c:v>
                </c:pt>
                <c:pt idx="331">
                  <c:v>827.54100000000005</c:v>
                </c:pt>
                <c:pt idx="332">
                  <c:v>784.12099999999998</c:v>
                </c:pt>
                <c:pt idx="333">
                  <c:v>784.12099999999998</c:v>
                </c:pt>
                <c:pt idx="334">
                  <c:v>784.12099999999998</c:v>
                </c:pt>
                <c:pt idx="335">
                  <c:v>762.82500000000005</c:v>
                </c:pt>
                <c:pt idx="336">
                  <c:v>794.44100000000003</c:v>
                </c:pt>
                <c:pt idx="337">
                  <c:v>812.60599999999999</c:v>
                </c:pt>
                <c:pt idx="338">
                  <c:v>820.553</c:v>
                </c:pt>
                <c:pt idx="339">
                  <c:v>849.88599999999997</c:v>
                </c:pt>
                <c:pt idx="340">
                  <c:v>896.16300000000001</c:v>
                </c:pt>
                <c:pt idx="341">
                  <c:v>901.98800000000006</c:v>
                </c:pt>
                <c:pt idx="342">
                  <c:v>879.71699999999998</c:v>
                </c:pt>
                <c:pt idx="343">
                  <c:v>862.74800000000005</c:v>
                </c:pt>
                <c:pt idx="344">
                  <c:v>866.79899999999998</c:v>
                </c:pt>
                <c:pt idx="345">
                  <c:v>875.726</c:v>
                </c:pt>
                <c:pt idx="346">
                  <c:v>895.05399999999997</c:v>
                </c:pt>
                <c:pt idx="347">
                  <c:v>883.26300000000003</c:v>
                </c:pt>
                <c:pt idx="348">
                  <c:v>860.63300000000004</c:v>
                </c:pt>
                <c:pt idx="349">
                  <c:v>857.99</c:v>
                </c:pt>
                <c:pt idx="350">
                  <c:v>809.52099999999996</c:v>
                </c:pt>
                <c:pt idx="351">
                  <c:v>786.495</c:v>
                </c:pt>
                <c:pt idx="352">
                  <c:v>756.17</c:v>
                </c:pt>
                <c:pt idx="353">
                  <c:v>761.16700000000003</c:v>
                </c:pt>
                <c:pt idx="354">
                  <c:v>725.31399999999996</c:v>
                </c:pt>
                <c:pt idx="355">
                  <c:v>699.74699999999996</c:v>
                </c:pt>
                <c:pt idx="356">
                  <c:v>695.80499999999995</c:v>
                </c:pt>
                <c:pt idx="357">
                  <c:v>733.00800000000004</c:v>
                </c:pt>
                <c:pt idx="358">
                  <c:v>711.76</c:v>
                </c:pt>
                <c:pt idx="359">
                  <c:v>685.476</c:v>
                </c:pt>
                <c:pt idx="360">
                  <c:v>703.49900000000002</c:v>
                </c:pt>
                <c:pt idx="361">
                  <c:v>687.05700000000002</c:v>
                </c:pt>
                <c:pt idx="362">
                  <c:v>681.50800000000004</c:v>
                </c:pt>
                <c:pt idx="363">
                  <c:v>705.28099999999995</c:v>
                </c:pt>
                <c:pt idx="364">
                  <c:v>705.28099999999995</c:v>
                </c:pt>
                <c:pt idx="365">
                  <c:v>691.39499999999998</c:v>
                </c:pt>
                <c:pt idx="366">
                  <c:v>711.20399999999995</c:v>
                </c:pt>
                <c:pt idx="367">
                  <c:v>709.79200000000003</c:v>
                </c:pt>
                <c:pt idx="368">
                  <c:v>715.93299999999999</c:v>
                </c:pt>
                <c:pt idx="369">
                  <c:v>706.25900000000001</c:v>
                </c:pt>
                <c:pt idx="370">
                  <c:v>689.89300000000003</c:v>
                </c:pt>
                <c:pt idx="371">
                  <c:v>644.346</c:v>
                </c:pt>
                <c:pt idx="372">
                  <c:v>619.51099999999997</c:v>
                </c:pt>
                <c:pt idx="373">
                  <c:v>557.61599999999999</c:v>
                </c:pt>
                <c:pt idx="374">
                  <c:v>549.12099999999998</c:v>
                </c:pt>
                <c:pt idx="375">
                  <c:v>571.06700000000001</c:v>
                </c:pt>
                <c:pt idx="376">
                  <c:v>583.05999999999995</c:v>
                </c:pt>
                <c:pt idx="377">
                  <c:v>604.86500000000001</c:v>
                </c:pt>
                <c:pt idx="378">
                  <c:v>610.21500000000003</c:v>
                </c:pt>
                <c:pt idx="379">
                  <c:v>621.91999999999996</c:v>
                </c:pt>
                <c:pt idx="380">
                  <c:v>587.36099999999999</c:v>
                </c:pt>
                <c:pt idx="381">
                  <c:v>593.29899999999998</c:v>
                </c:pt>
                <c:pt idx="382">
                  <c:v>602.29499999999996</c:v>
                </c:pt>
                <c:pt idx="383">
                  <c:v>605.20000000000005</c:v>
                </c:pt>
                <c:pt idx="384">
                  <c:v>607.64599999999996</c:v>
                </c:pt>
                <c:pt idx="385">
                  <c:v>607.01099999999997</c:v>
                </c:pt>
                <c:pt idx="386">
                  <c:v>618.54100000000005</c:v>
                </c:pt>
                <c:pt idx="387">
                  <c:v>625.75099999999998</c:v>
                </c:pt>
                <c:pt idx="388">
                  <c:v>644.22199999999998</c:v>
                </c:pt>
                <c:pt idx="389">
                  <c:v>648.54499999999996</c:v>
                </c:pt>
                <c:pt idx="390">
                  <c:v>631.19399999999996</c:v>
                </c:pt>
                <c:pt idx="391">
                  <c:v>588.50599999999997</c:v>
                </c:pt>
                <c:pt idx="392">
                  <c:v>610.69100000000003</c:v>
                </c:pt>
                <c:pt idx="393">
                  <c:v>612.30399999999997</c:v>
                </c:pt>
                <c:pt idx="394">
                  <c:v>612.55200000000002</c:v>
                </c:pt>
                <c:pt idx="395">
                  <c:v>628.76099999999997</c:v>
                </c:pt>
                <c:pt idx="396">
                  <c:v>640.46299999999997</c:v>
                </c:pt>
                <c:pt idx="397">
                  <c:v>666.87400000000002</c:v>
                </c:pt>
                <c:pt idx="398">
                  <c:v>681.15700000000004</c:v>
                </c:pt>
                <c:pt idx="399">
                  <c:v>692.95299999999997</c:v>
                </c:pt>
                <c:pt idx="400">
                  <c:v>712.77200000000005</c:v>
                </c:pt>
                <c:pt idx="401">
                  <c:v>659.56600000000003</c:v>
                </c:pt>
                <c:pt idx="402">
                  <c:v>644.32500000000005</c:v>
                </c:pt>
                <c:pt idx="403">
                  <c:v>640.64400000000001</c:v>
                </c:pt>
                <c:pt idx="404">
                  <c:v>637.41399999999999</c:v>
                </c:pt>
                <c:pt idx="405">
                  <c:v>617.40099999999995</c:v>
                </c:pt>
                <c:pt idx="406">
                  <c:v>615.66999999999996</c:v>
                </c:pt>
                <c:pt idx="407">
                  <c:v>619.41499999999996</c:v>
                </c:pt>
                <c:pt idx="408">
                  <c:v>627.697</c:v>
                </c:pt>
                <c:pt idx="409">
                  <c:v>616.25800000000004</c:v>
                </c:pt>
                <c:pt idx="410">
                  <c:v>636.90800000000002</c:v>
                </c:pt>
                <c:pt idx="411">
                  <c:v>639.02499999999998</c:v>
                </c:pt>
                <c:pt idx="412">
                  <c:v>656.66800000000001</c:v>
                </c:pt>
                <c:pt idx="413">
                  <c:v>671.61400000000003</c:v>
                </c:pt>
                <c:pt idx="414">
                  <c:v>685.33299999999997</c:v>
                </c:pt>
                <c:pt idx="415">
                  <c:v>677.44799999999998</c:v>
                </c:pt>
                <c:pt idx="416">
                  <c:v>658.49400000000003</c:v>
                </c:pt>
                <c:pt idx="417">
                  <c:v>671.875</c:v>
                </c:pt>
                <c:pt idx="418">
                  <c:v>690.68200000000002</c:v>
                </c:pt>
                <c:pt idx="419">
                  <c:v>679.125</c:v>
                </c:pt>
                <c:pt idx="420">
                  <c:v>661.74199999999996</c:v>
                </c:pt>
                <c:pt idx="421">
                  <c:v>640.06299999999999</c:v>
                </c:pt>
                <c:pt idx="422">
                  <c:v>637.03099999999995</c:v>
                </c:pt>
                <c:pt idx="423">
                  <c:v>629.09199999999998</c:v>
                </c:pt>
                <c:pt idx="424">
                  <c:v>620.58000000000004</c:v>
                </c:pt>
                <c:pt idx="425">
                  <c:v>624.625</c:v>
                </c:pt>
                <c:pt idx="426">
                  <c:v>604.16899999999998</c:v>
                </c:pt>
                <c:pt idx="427">
                  <c:v>606.34500000000003</c:v>
                </c:pt>
                <c:pt idx="428">
                  <c:v>602.678</c:v>
                </c:pt>
                <c:pt idx="429">
                  <c:v>597.96199999999999</c:v>
                </c:pt>
                <c:pt idx="430">
                  <c:v>599.24300000000005</c:v>
                </c:pt>
                <c:pt idx="431">
                  <c:v>610.08100000000002</c:v>
                </c:pt>
                <c:pt idx="432">
                  <c:v>603.09299999999996</c:v>
                </c:pt>
                <c:pt idx="433">
                  <c:v>601.90800000000002</c:v>
                </c:pt>
                <c:pt idx="434">
                  <c:v>601.90800000000002</c:v>
                </c:pt>
                <c:pt idx="435">
                  <c:v>586.73400000000004</c:v>
                </c:pt>
                <c:pt idx="436">
                  <c:v>577.80100000000004</c:v>
                </c:pt>
                <c:pt idx="437">
                  <c:v>590.11</c:v>
                </c:pt>
                <c:pt idx="438">
                  <c:v>589.08299999999997</c:v>
                </c:pt>
                <c:pt idx="439">
                  <c:v>592.22500000000002</c:v>
                </c:pt>
                <c:pt idx="440">
                  <c:v>607.20799999999997</c:v>
                </c:pt>
                <c:pt idx="441">
                  <c:v>602.29499999999996</c:v>
                </c:pt>
                <c:pt idx="442">
                  <c:v>610.80600000000004</c:v>
                </c:pt>
                <c:pt idx="443">
                  <c:v>618.08199999999999</c:v>
                </c:pt>
                <c:pt idx="444">
                  <c:v>623.06500000000005</c:v>
                </c:pt>
                <c:pt idx="445">
                  <c:v>610.02499999999998</c:v>
                </c:pt>
                <c:pt idx="446">
                  <c:v>613.84699999999998</c:v>
                </c:pt>
                <c:pt idx="447">
                  <c:v>628.48900000000003</c:v>
                </c:pt>
                <c:pt idx="448">
                  <c:v>627.51</c:v>
                </c:pt>
                <c:pt idx="449">
                  <c:v>670.43499999999995</c:v>
                </c:pt>
                <c:pt idx="450">
                  <c:v>670.00900000000001</c:v>
                </c:pt>
                <c:pt idx="451">
                  <c:v>682.827</c:v>
                </c:pt>
                <c:pt idx="452">
                  <c:v>713.25</c:v>
                </c:pt>
                <c:pt idx="453">
                  <c:v>710.46500000000003</c:v>
                </c:pt>
                <c:pt idx="454">
                  <c:v>707.89499999999998</c:v>
                </c:pt>
                <c:pt idx="455">
                  <c:v>724.077</c:v>
                </c:pt>
                <c:pt idx="456">
                  <c:v>731.03499999999997</c:v>
                </c:pt>
                <c:pt idx="457">
                  <c:v>725.11900000000003</c:v>
                </c:pt>
                <c:pt idx="458">
                  <c:v>730.649</c:v>
                </c:pt>
                <c:pt idx="459">
                  <c:v>714.92</c:v>
                </c:pt>
                <c:pt idx="460">
                  <c:v>720.71600000000001</c:v>
                </c:pt>
                <c:pt idx="461">
                  <c:v>696.67499999999995</c:v>
                </c:pt>
                <c:pt idx="462">
                  <c:v>674.00699999999995</c:v>
                </c:pt>
                <c:pt idx="463">
                  <c:v>618.577</c:v>
                </c:pt>
                <c:pt idx="464">
                  <c:v>626.01099999999997</c:v>
                </c:pt>
                <c:pt idx="465">
                  <c:v>647.60299999999995</c:v>
                </c:pt>
                <c:pt idx="466">
                  <c:v>666.31600000000003</c:v>
                </c:pt>
                <c:pt idx="467">
                  <c:v>681.16300000000001</c:v>
                </c:pt>
                <c:pt idx="468">
                  <c:v>672.93700000000001</c:v>
                </c:pt>
                <c:pt idx="469">
                  <c:v>667.81200000000001</c:v>
                </c:pt>
                <c:pt idx="470">
                  <c:v>684.81899999999996</c:v>
                </c:pt>
                <c:pt idx="471">
                  <c:v>692.53499999999997</c:v>
                </c:pt>
                <c:pt idx="472">
                  <c:v>699.74800000000005</c:v>
                </c:pt>
                <c:pt idx="473">
                  <c:v>698.423</c:v>
                </c:pt>
                <c:pt idx="474">
                  <c:v>705.50800000000004</c:v>
                </c:pt>
                <c:pt idx="475">
                  <c:v>681.80200000000002</c:v>
                </c:pt>
                <c:pt idx="476">
                  <c:v>690.87199999999996</c:v>
                </c:pt>
                <c:pt idx="477">
                  <c:v>675.88900000000001</c:v>
                </c:pt>
                <c:pt idx="478">
                  <c:v>661.97500000000002</c:v>
                </c:pt>
                <c:pt idx="479">
                  <c:v>649.94600000000003</c:v>
                </c:pt>
                <c:pt idx="480">
                  <c:v>623.05999999999995</c:v>
                </c:pt>
                <c:pt idx="481">
                  <c:v>600.50699999999995</c:v>
                </c:pt>
                <c:pt idx="482">
                  <c:v>574.60199999999998</c:v>
                </c:pt>
                <c:pt idx="483">
                  <c:v>590.29899999999998</c:v>
                </c:pt>
                <c:pt idx="484">
                  <c:v>549.13400000000001</c:v>
                </c:pt>
                <c:pt idx="485">
                  <c:v>551.9</c:v>
                </c:pt>
                <c:pt idx="486">
                  <c:v>541.31299999999999</c:v>
                </c:pt>
                <c:pt idx="487">
                  <c:v>550.10199999999998</c:v>
                </c:pt>
                <c:pt idx="488">
                  <c:v>545.70899999999995</c:v>
                </c:pt>
                <c:pt idx="489">
                  <c:v>531.21</c:v>
                </c:pt>
                <c:pt idx="490">
                  <c:v>537.74</c:v>
                </c:pt>
                <c:pt idx="491">
                  <c:v>541.08399999999995</c:v>
                </c:pt>
                <c:pt idx="492">
                  <c:v>537.01900000000001</c:v>
                </c:pt>
                <c:pt idx="493">
                  <c:v>522.56100000000004</c:v>
                </c:pt>
                <c:pt idx="494">
                  <c:v>509.61700000000002</c:v>
                </c:pt>
                <c:pt idx="495">
                  <c:v>479.416</c:v>
                </c:pt>
                <c:pt idx="496">
                  <c:v>483.10599999999999</c:v>
                </c:pt>
                <c:pt idx="497">
                  <c:v>487.07799999999997</c:v>
                </c:pt>
                <c:pt idx="498">
                  <c:v>487.37799999999999</c:v>
                </c:pt>
                <c:pt idx="499">
                  <c:v>488.315</c:v>
                </c:pt>
                <c:pt idx="500">
                  <c:v>464.35199999999998</c:v>
                </c:pt>
                <c:pt idx="501">
                  <c:v>455.77600000000001</c:v>
                </c:pt>
                <c:pt idx="502">
                  <c:v>452.76799999999997</c:v>
                </c:pt>
                <c:pt idx="503">
                  <c:v>431.75299999999999</c:v>
                </c:pt>
                <c:pt idx="504">
                  <c:v>434.00900000000001</c:v>
                </c:pt>
                <c:pt idx="505">
                  <c:v>435.87599999999998</c:v>
                </c:pt>
                <c:pt idx="506">
                  <c:v>434.07299999999998</c:v>
                </c:pt>
                <c:pt idx="507">
                  <c:v>435.28300000000002</c:v>
                </c:pt>
                <c:pt idx="508">
                  <c:v>439.42500000000001</c:v>
                </c:pt>
                <c:pt idx="509">
                  <c:v>429.6</c:v>
                </c:pt>
                <c:pt idx="510">
                  <c:v>420.17599999999999</c:v>
                </c:pt>
                <c:pt idx="511">
                  <c:v>419.09</c:v>
                </c:pt>
                <c:pt idx="512">
                  <c:v>428.42599999999999</c:v>
                </c:pt>
                <c:pt idx="513">
                  <c:v>446.51499999999999</c:v>
                </c:pt>
                <c:pt idx="514">
                  <c:v>445.24</c:v>
                </c:pt>
                <c:pt idx="515">
                  <c:v>453.42099999999999</c:v>
                </c:pt>
                <c:pt idx="516">
                  <c:v>444.82900000000001</c:v>
                </c:pt>
                <c:pt idx="517">
                  <c:v>446.18099999999998</c:v>
                </c:pt>
                <c:pt idx="518">
                  <c:v>446.18099999999998</c:v>
                </c:pt>
                <c:pt idx="519">
                  <c:v>446.18099999999998</c:v>
                </c:pt>
                <c:pt idx="520">
                  <c:v>441.52300000000002</c:v>
                </c:pt>
                <c:pt idx="521">
                  <c:v>438.93400000000003</c:v>
                </c:pt>
                <c:pt idx="522">
                  <c:v>437.84399999999999</c:v>
                </c:pt>
                <c:pt idx="523">
                  <c:v>437.84399999999999</c:v>
                </c:pt>
                <c:pt idx="524">
                  <c:v>429.52800000000002</c:v>
                </c:pt>
                <c:pt idx="525">
                  <c:v>434.27499999999998</c:v>
                </c:pt>
                <c:pt idx="526">
                  <c:v>434.678</c:v>
                </c:pt>
                <c:pt idx="527">
                  <c:v>426.43799999999999</c:v>
                </c:pt>
                <c:pt idx="528">
                  <c:v>423.76600000000002</c:v>
                </c:pt>
                <c:pt idx="529">
                  <c:v>429.28899999999999</c:v>
                </c:pt>
                <c:pt idx="530">
                  <c:v>448.726</c:v>
                </c:pt>
                <c:pt idx="531">
                  <c:v>439.113</c:v>
                </c:pt>
                <c:pt idx="532">
                  <c:v>433.44499999999999</c:v>
                </c:pt>
                <c:pt idx="533">
                  <c:v>441.44600000000003</c:v>
                </c:pt>
                <c:pt idx="534">
                  <c:v>447.91</c:v>
                </c:pt>
                <c:pt idx="535">
                  <c:v>442.71899999999999</c:v>
                </c:pt>
                <c:pt idx="536">
                  <c:v>431.62299999999999</c:v>
                </c:pt>
                <c:pt idx="537">
                  <c:v>421.58199999999999</c:v>
                </c:pt>
                <c:pt idx="538">
                  <c:v>422.46899999999999</c:v>
                </c:pt>
                <c:pt idx="539">
                  <c:v>421.63900000000001</c:v>
                </c:pt>
                <c:pt idx="540">
                  <c:v>423.03300000000002</c:v>
                </c:pt>
                <c:pt idx="541">
                  <c:v>436.27300000000002</c:v>
                </c:pt>
                <c:pt idx="542">
                  <c:v>438.56299999999999</c:v>
                </c:pt>
                <c:pt idx="543">
                  <c:v>436.36099999999999</c:v>
                </c:pt>
                <c:pt idx="544">
                  <c:v>435.06900000000002</c:v>
                </c:pt>
                <c:pt idx="545">
                  <c:v>427.399</c:v>
                </c:pt>
                <c:pt idx="546">
                  <c:v>419.45699999999999</c:v>
                </c:pt>
                <c:pt idx="547">
                  <c:v>402.37099999999998</c:v>
                </c:pt>
                <c:pt idx="548">
                  <c:v>385.51499999999999</c:v>
                </c:pt>
                <c:pt idx="549">
                  <c:v>390.41500000000002</c:v>
                </c:pt>
                <c:pt idx="550">
                  <c:v>400.08600000000001</c:v>
                </c:pt>
                <c:pt idx="551">
                  <c:v>415.077</c:v>
                </c:pt>
                <c:pt idx="552">
                  <c:v>406.86599999999999</c:v>
                </c:pt>
                <c:pt idx="553">
                  <c:v>409.65899999999999</c:v>
                </c:pt>
                <c:pt idx="554">
                  <c:v>416.46199999999999</c:v>
                </c:pt>
                <c:pt idx="555">
                  <c:v>419.24700000000001</c:v>
                </c:pt>
                <c:pt idx="556">
                  <c:v>432.95800000000003</c:v>
                </c:pt>
                <c:pt idx="557">
                  <c:v>425.03699999999998</c:v>
                </c:pt>
                <c:pt idx="558">
                  <c:v>425.25200000000001</c:v>
                </c:pt>
                <c:pt idx="559">
                  <c:v>447.79199999999997</c:v>
                </c:pt>
                <c:pt idx="560">
                  <c:v>452.28699999999998</c:v>
                </c:pt>
                <c:pt idx="561">
                  <c:v>438.60500000000002</c:v>
                </c:pt>
                <c:pt idx="562">
                  <c:v>437.96199999999999</c:v>
                </c:pt>
                <c:pt idx="563">
                  <c:v>479.93099999999998</c:v>
                </c:pt>
                <c:pt idx="564">
                  <c:v>454.18900000000002</c:v>
                </c:pt>
                <c:pt idx="565">
                  <c:v>459.73200000000003</c:v>
                </c:pt>
                <c:pt idx="566">
                  <c:v>459.41</c:v>
                </c:pt>
                <c:pt idx="567">
                  <c:v>469.01</c:v>
                </c:pt>
                <c:pt idx="568">
                  <c:v>486.863</c:v>
                </c:pt>
                <c:pt idx="569">
                  <c:v>505.37700000000001</c:v>
                </c:pt>
                <c:pt idx="570">
                  <c:v>495.09899999999999</c:v>
                </c:pt>
                <c:pt idx="571">
                  <c:v>483.20499999999998</c:v>
                </c:pt>
                <c:pt idx="572">
                  <c:v>447.86200000000002</c:v>
                </c:pt>
                <c:pt idx="573">
                  <c:v>455.62799999999999</c:v>
                </c:pt>
                <c:pt idx="574">
                  <c:v>447.34</c:v>
                </c:pt>
                <c:pt idx="575">
                  <c:v>432.70400000000001</c:v>
                </c:pt>
                <c:pt idx="576">
                  <c:v>441.88099999999997</c:v>
                </c:pt>
                <c:pt idx="577">
                  <c:v>443.69</c:v>
                </c:pt>
                <c:pt idx="578">
                  <c:v>448.17599999999999</c:v>
                </c:pt>
                <c:pt idx="579">
                  <c:v>440.37799999999999</c:v>
                </c:pt>
                <c:pt idx="580">
                  <c:v>441.43900000000002</c:v>
                </c:pt>
                <c:pt idx="581">
                  <c:v>437.8</c:v>
                </c:pt>
                <c:pt idx="582">
                  <c:v>441.88</c:v>
                </c:pt>
                <c:pt idx="583">
                  <c:v>442.67599999999999</c:v>
                </c:pt>
                <c:pt idx="584">
                  <c:v>443.9</c:v>
                </c:pt>
                <c:pt idx="585">
                  <c:v>461.173</c:v>
                </c:pt>
                <c:pt idx="586">
                  <c:v>456.95299999999997</c:v>
                </c:pt>
                <c:pt idx="587">
                  <c:v>487.14699999999999</c:v>
                </c:pt>
                <c:pt idx="588">
                  <c:v>487.14699999999999</c:v>
                </c:pt>
                <c:pt idx="589">
                  <c:v>487.14699999999999</c:v>
                </c:pt>
                <c:pt idx="590">
                  <c:v>527.226</c:v>
                </c:pt>
                <c:pt idx="591">
                  <c:v>511.87299999999999</c:v>
                </c:pt>
                <c:pt idx="592">
                  <c:v>512.01499999999999</c:v>
                </c:pt>
                <c:pt idx="593">
                  <c:v>519.71400000000006</c:v>
                </c:pt>
                <c:pt idx="594">
                  <c:v>546.47900000000004</c:v>
                </c:pt>
                <c:pt idx="595">
                  <c:v>552.23400000000004</c:v>
                </c:pt>
                <c:pt idx="596">
                  <c:v>514.952</c:v>
                </c:pt>
                <c:pt idx="597">
                  <c:v>515.24599999999998</c:v>
                </c:pt>
                <c:pt idx="598">
                  <c:v>499.05099999999999</c:v>
                </c:pt>
                <c:pt idx="599">
                  <c:v>493.95400000000001</c:v>
                </c:pt>
                <c:pt idx="600">
                  <c:v>522.70100000000002</c:v>
                </c:pt>
                <c:pt idx="601">
                  <c:v>527.05700000000002</c:v>
                </c:pt>
                <c:pt idx="602">
                  <c:v>488.96600000000001</c:v>
                </c:pt>
                <c:pt idx="603">
                  <c:v>460.80900000000003</c:v>
                </c:pt>
                <c:pt idx="604">
                  <c:v>474.09699999999998</c:v>
                </c:pt>
                <c:pt idx="605">
                  <c:v>475.89100000000002</c:v>
                </c:pt>
                <c:pt idx="606">
                  <c:v>489.024</c:v>
                </c:pt>
                <c:pt idx="607">
                  <c:v>487.39400000000001</c:v>
                </c:pt>
                <c:pt idx="608">
                  <c:v>487.82400000000001</c:v>
                </c:pt>
                <c:pt idx="609">
                  <c:v>487.82400000000001</c:v>
                </c:pt>
                <c:pt idx="610">
                  <c:v>495.81</c:v>
                </c:pt>
                <c:pt idx="611">
                  <c:v>490.50299999999999</c:v>
                </c:pt>
                <c:pt idx="612">
                  <c:v>480.52199999999999</c:v>
                </c:pt>
                <c:pt idx="613">
                  <c:v>469.529</c:v>
                </c:pt>
                <c:pt idx="614">
                  <c:v>460.74799999999999</c:v>
                </c:pt>
                <c:pt idx="615">
                  <c:v>469.51400000000001</c:v>
                </c:pt>
                <c:pt idx="616">
                  <c:v>471.60500000000002</c:v>
                </c:pt>
                <c:pt idx="617">
                  <c:v>473.125</c:v>
                </c:pt>
                <c:pt idx="618">
                  <c:v>466.93700000000001</c:v>
                </c:pt>
                <c:pt idx="619">
                  <c:v>464.14100000000002</c:v>
                </c:pt>
                <c:pt idx="620">
                  <c:v>452.91399999999999</c:v>
                </c:pt>
                <c:pt idx="621">
                  <c:v>457.72</c:v>
                </c:pt>
                <c:pt idx="622">
                  <c:v>447.27100000000002</c:v>
                </c:pt>
                <c:pt idx="623">
                  <c:v>434.79599999999999</c:v>
                </c:pt>
                <c:pt idx="624">
                  <c:v>426.87599999999998</c:v>
                </c:pt>
                <c:pt idx="625">
                  <c:v>417.45699999999999</c:v>
                </c:pt>
                <c:pt idx="626">
                  <c:v>417.27600000000001</c:v>
                </c:pt>
                <c:pt idx="627">
                  <c:v>413.952</c:v>
                </c:pt>
                <c:pt idx="628">
                  <c:v>409.13600000000002</c:v>
                </c:pt>
                <c:pt idx="629">
                  <c:v>409.13600000000002</c:v>
                </c:pt>
                <c:pt idx="630">
                  <c:v>403.27800000000002</c:v>
                </c:pt>
                <c:pt idx="631">
                  <c:v>401.75200000000001</c:v>
                </c:pt>
                <c:pt idx="632">
                  <c:v>406.93700000000001</c:v>
                </c:pt>
                <c:pt idx="633">
                  <c:v>414.25700000000001</c:v>
                </c:pt>
                <c:pt idx="634">
                  <c:v>411.74</c:v>
                </c:pt>
                <c:pt idx="635">
                  <c:v>410.47300000000001</c:v>
                </c:pt>
                <c:pt idx="636">
                  <c:v>408.85399999999998</c:v>
                </c:pt>
                <c:pt idx="637">
                  <c:v>414.54300000000001</c:v>
                </c:pt>
                <c:pt idx="638">
                  <c:v>410.97399999999999</c:v>
                </c:pt>
                <c:pt idx="639">
                  <c:v>411.52300000000002</c:v>
                </c:pt>
                <c:pt idx="640">
                  <c:v>417.82600000000002</c:v>
                </c:pt>
                <c:pt idx="641">
                  <c:v>408.596</c:v>
                </c:pt>
                <c:pt idx="642">
                  <c:v>418.71600000000001</c:v>
                </c:pt>
                <c:pt idx="643">
                  <c:v>423.53699999999998</c:v>
                </c:pt>
                <c:pt idx="644">
                  <c:v>425.62599999999998</c:v>
                </c:pt>
                <c:pt idx="645">
                  <c:v>441.226</c:v>
                </c:pt>
                <c:pt idx="646">
                  <c:v>435.036</c:v>
                </c:pt>
                <c:pt idx="647">
                  <c:v>433.38</c:v>
                </c:pt>
                <c:pt idx="648">
                  <c:v>436.58300000000003</c:v>
                </c:pt>
                <c:pt idx="649">
                  <c:v>435.36700000000002</c:v>
                </c:pt>
                <c:pt idx="650">
                  <c:v>428.38499999999999</c:v>
                </c:pt>
                <c:pt idx="651">
                  <c:v>429.58199999999999</c:v>
                </c:pt>
                <c:pt idx="652">
                  <c:v>428.286</c:v>
                </c:pt>
                <c:pt idx="653">
                  <c:v>428.947</c:v>
                </c:pt>
                <c:pt idx="654">
                  <c:v>430.70499999999998</c:v>
                </c:pt>
                <c:pt idx="655">
                  <c:v>439.90899999999999</c:v>
                </c:pt>
                <c:pt idx="656">
                  <c:v>442.70699999999999</c:v>
                </c:pt>
                <c:pt idx="657">
                  <c:v>445.56400000000002</c:v>
                </c:pt>
                <c:pt idx="658">
                  <c:v>437.79399999999998</c:v>
                </c:pt>
                <c:pt idx="659">
                  <c:v>441.78800000000001</c:v>
                </c:pt>
                <c:pt idx="660">
                  <c:v>434.43099999999998</c:v>
                </c:pt>
                <c:pt idx="661">
                  <c:v>439.74299999999999</c:v>
                </c:pt>
                <c:pt idx="662">
                  <c:v>440.435</c:v>
                </c:pt>
                <c:pt idx="663">
                  <c:v>435.67200000000003</c:v>
                </c:pt>
                <c:pt idx="664">
                  <c:v>454.411</c:v>
                </c:pt>
                <c:pt idx="665">
                  <c:v>458.858</c:v>
                </c:pt>
                <c:pt idx="666">
                  <c:v>450.14800000000002</c:v>
                </c:pt>
                <c:pt idx="667">
                  <c:v>453.62799999999999</c:v>
                </c:pt>
                <c:pt idx="668">
                  <c:v>452.95699999999999</c:v>
                </c:pt>
                <c:pt idx="669">
                  <c:v>456.94400000000002</c:v>
                </c:pt>
                <c:pt idx="670">
                  <c:v>471.01</c:v>
                </c:pt>
                <c:pt idx="671">
                  <c:v>469.89299999999997</c:v>
                </c:pt>
                <c:pt idx="672">
                  <c:v>457.34300000000002</c:v>
                </c:pt>
                <c:pt idx="673">
                  <c:v>462.04</c:v>
                </c:pt>
                <c:pt idx="674">
                  <c:v>460.28399999999999</c:v>
                </c:pt>
                <c:pt idx="675">
                  <c:v>457.97500000000002</c:v>
                </c:pt>
                <c:pt idx="676">
                  <c:v>459.21199999999999</c:v>
                </c:pt>
                <c:pt idx="677">
                  <c:v>453.97399999999999</c:v>
                </c:pt>
                <c:pt idx="678">
                  <c:v>450.56400000000002</c:v>
                </c:pt>
                <c:pt idx="679">
                  <c:v>451.77800000000002</c:v>
                </c:pt>
                <c:pt idx="680">
                  <c:v>450.34899999999999</c:v>
                </c:pt>
                <c:pt idx="681">
                  <c:v>456.40699999999998</c:v>
                </c:pt>
                <c:pt idx="682">
                  <c:v>444.34</c:v>
                </c:pt>
                <c:pt idx="683">
                  <c:v>443.923</c:v>
                </c:pt>
                <c:pt idx="684">
                  <c:v>447.13499999999999</c:v>
                </c:pt>
                <c:pt idx="685">
                  <c:v>448.59300000000002</c:v>
                </c:pt>
                <c:pt idx="686">
                  <c:v>445.67899999999997</c:v>
                </c:pt>
                <c:pt idx="687">
                  <c:v>447.65800000000002</c:v>
                </c:pt>
                <c:pt idx="688">
                  <c:v>448.911</c:v>
                </c:pt>
                <c:pt idx="689">
                  <c:v>446.58600000000001</c:v>
                </c:pt>
                <c:pt idx="690">
                  <c:v>439.33199999999999</c:v>
                </c:pt>
                <c:pt idx="691">
                  <c:v>428.22800000000001</c:v>
                </c:pt>
                <c:pt idx="692">
                  <c:v>417.911</c:v>
                </c:pt>
                <c:pt idx="693">
                  <c:v>417.767</c:v>
                </c:pt>
                <c:pt idx="694">
                  <c:v>417.767</c:v>
                </c:pt>
                <c:pt idx="695">
                  <c:v>408.01</c:v>
                </c:pt>
                <c:pt idx="696">
                  <c:v>401.47800000000001</c:v>
                </c:pt>
                <c:pt idx="697">
                  <c:v>401.40499999999997</c:v>
                </c:pt>
                <c:pt idx="698">
                  <c:v>397.94799999999998</c:v>
                </c:pt>
                <c:pt idx="699">
                  <c:v>395.47</c:v>
                </c:pt>
                <c:pt idx="700">
                  <c:v>395.98399999999998</c:v>
                </c:pt>
                <c:pt idx="701">
                  <c:v>400.59699999999998</c:v>
                </c:pt>
                <c:pt idx="702">
                  <c:v>407.36700000000002</c:v>
                </c:pt>
                <c:pt idx="703">
                  <c:v>400.47300000000001</c:v>
                </c:pt>
                <c:pt idx="704">
                  <c:v>393.72199999999998</c:v>
                </c:pt>
                <c:pt idx="705">
                  <c:v>388.05900000000003</c:v>
                </c:pt>
              </c:numCache>
            </c:numRef>
          </c:val>
          <c:smooth val="0"/>
          <c:extLst>
            <c:ext xmlns:c16="http://schemas.microsoft.com/office/drawing/2014/chart" uri="{C3380CC4-5D6E-409C-BE32-E72D297353CC}">
              <c16:uniqueId val="{00000007-7C05-4062-8901-959CCCC822C5}"/>
            </c:ext>
          </c:extLst>
        </c:ser>
        <c:dLbls>
          <c:showLegendKey val="0"/>
          <c:showVal val="0"/>
          <c:showCatName val="0"/>
          <c:showSerName val="0"/>
          <c:showPercent val="0"/>
          <c:showBubbleSize val="0"/>
        </c:dLbls>
        <c:smooth val="0"/>
        <c:axId val="296385152"/>
        <c:axId val="296386944"/>
      </c:lineChart>
      <c:dateAx>
        <c:axId val="296385152"/>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86944"/>
        <c:crosses val="autoZero"/>
        <c:auto val="1"/>
        <c:lblOffset val="100"/>
        <c:baseTimeUnit val="days"/>
      </c:dateAx>
      <c:valAx>
        <c:axId val="296386944"/>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hy-AM" sz="800"/>
                  <a:t>բազիսային կետ</a:t>
                </a:r>
                <a:endParaRPr lang="en-US" sz="800"/>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6385152"/>
        <c:crosses val="autoZero"/>
        <c:crossBetween val="between"/>
      </c:valAx>
      <c:spPr>
        <a:noFill/>
        <a:ln>
          <a:noFill/>
        </a:ln>
        <a:effectLst/>
      </c:spPr>
    </c:plotArea>
    <c:legend>
      <c:legendPos val="b"/>
      <c:layout>
        <c:manualLayout>
          <c:xMode val="edge"/>
          <c:yMode val="edge"/>
          <c:x val="9.0346865324469172E-2"/>
          <c:y val="0.79830186593290509"/>
          <c:w val="0.80501893850095085"/>
          <c:h val="0.2016981509598295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2018</c:v>
                </c:pt>
              </c:strCache>
            </c:strRef>
          </c:tx>
          <c:spPr>
            <a:solidFill>
              <a:schemeClr val="accent1"/>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Sheet1!$B$2:$B$5</c:f>
              <c:numCache>
                <c:formatCode>0%</c:formatCode>
                <c:ptCount val="4"/>
                <c:pt idx="0">
                  <c:v>0.216</c:v>
                </c:pt>
                <c:pt idx="1">
                  <c:v>0.25</c:v>
                </c:pt>
                <c:pt idx="2">
                  <c:v>0.09</c:v>
                </c:pt>
                <c:pt idx="3">
                  <c:v>0.44400000000000001</c:v>
                </c:pt>
              </c:numCache>
            </c:numRef>
          </c:val>
          <c:extLst>
            <c:ext xmlns:c16="http://schemas.microsoft.com/office/drawing/2014/chart" uri="{C3380CC4-5D6E-409C-BE32-E72D297353CC}">
              <c16:uniqueId val="{00000000-FC73-4099-9E1D-33C93AB53894}"/>
            </c:ext>
          </c:extLst>
        </c:ser>
        <c:ser>
          <c:idx val="1"/>
          <c:order val="1"/>
          <c:tx>
            <c:strRef>
              <c:f>Sheet1!$C$1</c:f>
              <c:strCache>
                <c:ptCount val="1"/>
                <c:pt idx="0">
                  <c:v>2019</c:v>
                </c:pt>
              </c:strCache>
            </c:strRef>
          </c:tx>
          <c:spPr>
            <a:solidFill>
              <a:schemeClr val="accent2"/>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Sheet1!$C$2:$C$5</c:f>
              <c:numCache>
                <c:formatCode>0%</c:formatCode>
                <c:ptCount val="4"/>
                <c:pt idx="0">
                  <c:v>0.19600000000000001</c:v>
                </c:pt>
                <c:pt idx="1">
                  <c:v>0.28199999999999997</c:v>
                </c:pt>
                <c:pt idx="2">
                  <c:v>8.2000000000000003E-2</c:v>
                </c:pt>
                <c:pt idx="3">
                  <c:v>0.439</c:v>
                </c:pt>
              </c:numCache>
            </c:numRef>
          </c:val>
          <c:extLst>
            <c:ext xmlns:c16="http://schemas.microsoft.com/office/drawing/2014/chart" uri="{C3380CC4-5D6E-409C-BE32-E72D297353CC}">
              <c16:uniqueId val="{00000001-FC73-4099-9E1D-33C93AB53894}"/>
            </c:ext>
          </c:extLst>
        </c:ser>
        <c:ser>
          <c:idx val="2"/>
          <c:order val="2"/>
          <c:tx>
            <c:strRef>
              <c:f>Sheet1!$D$1</c:f>
              <c:strCache>
                <c:ptCount val="1"/>
                <c:pt idx="0">
                  <c:v>2020</c:v>
                </c:pt>
              </c:strCache>
            </c:strRef>
          </c:tx>
          <c:spPr>
            <a:solidFill>
              <a:schemeClr val="accent3"/>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Sheet1!$D$2:$D$5</c:f>
              <c:numCache>
                <c:formatCode>0%</c:formatCode>
                <c:ptCount val="4"/>
                <c:pt idx="0">
                  <c:v>0.18</c:v>
                </c:pt>
                <c:pt idx="1">
                  <c:v>0.28499999999999998</c:v>
                </c:pt>
                <c:pt idx="2">
                  <c:v>7.2999999999999995E-2</c:v>
                </c:pt>
                <c:pt idx="3">
                  <c:v>0.46</c:v>
                </c:pt>
              </c:numCache>
            </c:numRef>
          </c:val>
          <c:extLst>
            <c:ext xmlns:c16="http://schemas.microsoft.com/office/drawing/2014/chart" uri="{C3380CC4-5D6E-409C-BE32-E72D297353CC}">
              <c16:uniqueId val="{00000002-FC73-4099-9E1D-33C93AB53894}"/>
            </c:ext>
          </c:extLst>
        </c:ser>
        <c:ser>
          <c:idx val="3"/>
          <c:order val="3"/>
          <c:tx>
            <c:strRef>
              <c:f>Sheet1!$E$1</c:f>
              <c:strCache>
                <c:ptCount val="1"/>
                <c:pt idx="0">
                  <c:v>2021</c:v>
                </c:pt>
              </c:strCache>
            </c:strRef>
          </c:tx>
          <c:spPr>
            <a:solidFill>
              <a:schemeClr val="accent4"/>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Sheet1!$E$2:$E$5</c:f>
              <c:numCache>
                <c:formatCode>0%</c:formatCode>
                <c:ptCount val="4"/>
                <c:pt idx="0">
                  <c:v>0.217</c:v>
                </c:pt>
                <c:pt idx="1">
                  <c:v>0.253</c:v>
                </c:pt>
                <c:pt idx="2">
                  <c:v>9.4E-2</c:v>
                </c:pt>
                <c:pt idx="3">
                  <c:v>0.436</c:v>
                </c:pt>
              </c:numCache>
            </c:numRef>
          </c:val>
          <c:extLst>
            <c:ext xmlns:c16="http://schemas.microsoft.com/office/drawing/2014/chart" uri="{C3380CC4-5D6E-409C-BE32-E72D297353CC}">
              <c16:uniqueId val="{00000003-FC73-4099-9E1D-33C93AB53894}"/>
            </c:ext>
          </c:extLst>
        </c:ser>
        <c:ser>
          <c:idx val="4"/>
          <c:order val="4"/>
          <c:tx>
            <c:strRef>
              <c:f>Sheet1!$F$1</c:f>
              <c:strCache>
                <c:ptCount val="1"/>
                <c:pt idx="0">
                  <c:v>2022</c:v>
                </c:pt>
              </c:strCache>
            </c:strRef>
          </c:tx>
          <c:spPr>
            <a:solidFill>
              <a:schemeClr val="accent5"/>
            </a:solidFill>
            <a:ln>
              <a:noFill/>
            </a:ln>
            <a:effectLst/>
          </c:spPr>
          <c:invertIfNegative val="0"/>
          <c:cat>
            <c:strRef>
              <c:f>Sheet1!$A$2:$A$5</c:f>
              <c:strCache>
                <c:ptCount val="4"/>
                <c:pt idx="0">
                  <c:v>ԸՆԴՀԱՆՈՒՐ ԲՆՈՒՅԹԻ ՀԱՆՐԱՅԻՆ ԾԱՌԱՅՈՒԹՅՈՒՆՆԵՐ, ԱՅԴ ԹՎՈՒՄ՝ ՀԻՄՆԱԿԱՆ ԲԱԺԻՆՆԵՐԻՆ ՉԴԱՍՎՈՂ ՊԱՀՈՒՍՏԱՅԻՆ ՖՈՆԴԵՐ</c:v>
                </c:pt>
                <c:pt idx="1">
                  <c:v>ՊԱՇՏՊԱՆՈՒԹՅՈՒՆ, ՀԱՍԱՐԱԿԱԿԱՆ ԿԱՐԳ,  ԱՆՎՏԱՆԳՈՒԹՅՈՒՆ ԵՎ ԴԱՏԱԿԱՆ ԳՈՐԾՈՒՆԵՈՒԹՅՈՒՆ</c:v>
                </c:pt>
                <c:pt idx="2">
                  <c:v>ՏՆՏԵՍԱԿԱՆ ՈԼՈՐՏ</c:v>
                </c:pt>
                <c:pt idx="3">
                  <c:v>ՍՈՑԻԱԼԱԿԱՆ ՈԼՈՐՏ</c:v>
                </c:pt>
              </c:strCache>
            </c:strRef>
          </c:cat>
          <c:val>
            <c:numRef>
              <c:f>Sheet1!$F$2:$F$5</c:f>
              <c:numCache>
                <c:formatCode>0%</c:formatCode>
                <c:ptCount val="4"/>
                <c:pt idx="0">
                  <c:v>0.22900000000000001</c:v>
                </c:pt>
                <c:pt idx="1">
                  <c:v>0.23699999999999999</c:v>
                </c:pt>
                <c:pt idx="2">
                  <c:v>0.11</c:v>
                </c:pt>
                <c:pt idx="3">
                  <c:v>0.42499999999999999</c:v>
                </c:pt>
              </c:numCache>
            </c:numRef>
          </c:val>
          <c:extLst>
            <c:ext xmlns:c16="http://schemas.microsoft.com/office/drawing/2014/chart" uri="{C3380CC4-5D6E-409C-BE32-E72D297353CC}">
              <c16:uniqueId val="{00000004-FC73-4099-9E1D-33C93AB53894}"/>
            </c:ext>
          </c:extLst>
        </c:ser>
        <c:dLbls>
          <c:showLegendKey val="0"/>
          <c:showVal val="0"/>
          <c:showCatName val="0"/>
          <c:showSerName val="0"/>
          <c:showPercent val="0"/>
          <c:showBubbleSize val="0"/>
        </c:dLbls>
        <c:gapWidth val="182"/>
        <c:axId val="259877888"/>
        <c:axId val="259876352"/>
      </c:barChart>
      <c:valAx>
        <c:axId val="259876352"/>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7888"/>
        <c:crosses val="autoZero"/>
        <c:crossBetween val="between"/>
      </c:valAx>
      <c:catAx>
        <c:axId val="259877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876352"/>
        <c:crossesAt val="0"/>
        <c:auto val="1"/>
        <c:lblAlgn val="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'25.11.2020'!$C$3</c:f>
              <c:strCache>
                <c:ptCount val="1"/>
                <c:pt idx="0">
                  <c:v>վարկ</c:v>
                </c:pt>
              </c:strCache>
            </c:strRef>
          </c:tx>
          <c:spPr>
            <a:solidFill>
              <a:schemeClr val="accent1">
                <a:lumMod val="75000"/>
              </a:schemeClr>
            </a:solidFill>
            <a:ln>
              <a:noFill/>
            </a:ln>
            <a:effectLst/>
          </c:spPr>
          <c:invertIfNegative val="0"/>
          <c:cat>
            <c:numRef>
              <c:f>'25.11.2020'!$B$4:$B$9</c:f>
              <c:numCache>
                <c:formatCode>General</c:formatCode>
                <c:ptCount val="6"/>
                <c:pt idx="0">
                  <c:v>2017</c:v>
                </c:pt>
                <c:pt idx="1">
                  <c:v>2018</c:v>
                </c:pt>
                <c:pt idx="2">
                  <c:v>2019</c:v>
                </c:pt>
                <c:pt idx="3">
                  <c:v>2020</c:v>
                </c:pt>
                <c:pt idx="4">
                  <c:v>2021</c:v>
                </c:pt>
                <c:pt idx="5">
                  <c:v>2022</c:v>
                </c:pt>
              </c:numCache>
            </c:numRef>
          </c:cat>
          <c:val>
            <c:numRef>
              <c:f>'25.11.2020'!$C$4:$C$9</c:f>
              <c:numCache>
                <c:formatCode>_(* #,##0.0_);_(* \(#,##0.0\);_(* "-"??_);_(@_)</c:formatCode>
                <c:ptCount val="6"/>
                <c:pt idx="0">
                  <c:v>163536.95199999999</c:v>
                </c:pt>
                <c:pt idx="1">
                  <c:v>57805.19</c:v>
                </c:pt>
                <c:pt idx="2">
                  <c:v>68255.816999999995</c:v>
                </c:pt>
                <c:pt idx="3">
                  <c:v>133727.51329999999</c:v>
                </c:pt>
                <c:pt idx="4">
                  <c:v>64130.133500000004</c:v>
                </c:pt>
                <c:pt idx="5" formatCode="#,##0.00">
                  <c:v>92552.4</c:v>
                </c:pt>
              </c:numCache>
            </c:numRef>
          </c:val>
          <c:extLst>
            <c:ext xmlns:c16="http://schemas.microsoft.com/office/drawing/2014/chart" uri="{C3380CC4-5D6E-409C-BE32-E72D297353CC}">
              <c16:uniqueId val="{00000000-189D-4102-9302-3DE0911EEF95}"/>
            </c:ext>
          </c:extLst>
        </c:ser>
        <c:ser>
          <c:idx val="1"/>
          <c:order val="1"/>
          <c:tx>
            <c:strRef>
              <c:f>'25.11.2020'!$D$3</c:f>
              <c:strCache>
                <c:ptCount val="1"/>
                <c:pt idx="0">
                  <c:v>դրամաշնորհ </c:v>
                </c:pt>
              </c:strCache>
            </c:strRef>
          </c:tx>
          <c:spPr>
            <a:solidFill>
              <a:srgbClr val="C00000"/>
            </a:solidFill>
            <a:ln>
              <a:noFill/>
            </a:ln>
            <a:effectLst/>
          </c:spPr>
          <c:invertIfNegative val="0"/>
          <c:cat>
            <c:numRef>
              <c:f>'25.11.2020'!$B$4:$B$9</c:f>
              <c:numCache>
                <c:formatCode>General</c:formatCode>
                <c:ptCount val="6"/>
                <c:pt idx="0">
                  <c:v>2017</c:v>
                </c:pt>
                <c:pt idx="1">
                  <c:v>2018</c:v>
                </c:pt>
                <c:pt idx="2">
                  <c:v>2019</c:v>
                </c:pt>
                <c:pt idx="3">
                  <c:v>2020</c:v>
                </c:pt>
                <c:pt idx="4">
                  <c:v>2021</c:v>
                </c:pt>
                <c:pt idx="5">
                  <c:v>2022</c:v>
                </c:pt>
              </c:numCache>
            </c:numRef>
          </c:cat>
          <c:val>
            <c:numRef>
              <c:f>'25.11.2020'!$D$4:$D$9</c:f>
              <c:numCache>
                <c:formatCode>_(* #,##0.0_);_(* \(#,##0.0\);_(* "-"??_);_(@_)</c:formatCode>
                <c:ptCount val="6"/>
                <c:pt idx="0">
                  <c:v>12973.64968</c:v>
                </c:pt>
                <c:pt idx="1">
                  <c:v>11558.935149999999</c:v>
                </c:pt>
                <c:pt idx="2">
                  <c:v>8045.7013999999999</c:v>
                </c:pt>
                <c:pt idx="3">
                  <c:v>27808.2183</c:v>
                </c:pt>
                <c:pt idx="4">
                  <c:v>22577.124599999999</c:v>
                </c:pt>
                <c:pt idx="5">
                  <c:v>36836.6</c:v>
                </c:pt>
              </c:numCache>
            </c:numRef>
          </c:val>
          <c:extLst>
            <c:ext xmlns:c16="http://schemas.microsoft.com/office/drawing/2014/chart" uri="{C3380CC4-5D6E-409C-BE32-E72D297353CC}">
              <c16:uniqueId val="{00000001-189D-4102-9302-3DE0911EEF95}"/>
            </c:ext>
          </c:extLst>
        </c:ser>
        <c:dLbls>
          <c:showLegendKey val="0"/>
          <c:showVal val="0"/>
          <c:showCatName val="0"/>
          <c:showSerName val="0"/>
          <c:showPercent val="0"/>
          <c:showBubbleSize val="0"/>
        </c:dLbls>
        <c:gapWidth val="150"/>
        <c:axId val="259965696"/>
        <c:axId val="259967232"/>
      </c:barChart>
      <c:lineChart>
        <c:grouping val="standard"/>
        <c:varyColors val="0"/>
        <c:ser>
          <c:idx val="2"/>
          <c:order val="2"/>
          <c:tx>
            <c:strRef>
              <c:f>'25.11.2020'!$E$3</c:f>
              <c:strCache>
                <c:ptCount val="1"/>
                <c:pt idx="0">
                  <c:v>տես կշիռը ընդամենը ծախսերում</c:v>
                </c:pt>
              </c:strCache>
            </c:strRef>
          </c:tx>
          <c:spPr>
            <a:ln w="28575" cap="rnd">
              <a:solidFill>
                <a:schemeClr val="accent6">
                  <a:lumMod val="60000"/>
                  <a:lumOff val="40000"/>
                </a:schemeClr>
              </a:solidFill>
              <a:round/>
            </a:ln>
            <a:effectLst/>
          </c:spPr>
          <c:marker>
            <c:symbol val="none"/>
          </c:marker>
          <c:dPt>
            <c:idx val="0"/>
            <c:bubble3D val="0"/>
            <c:spPr>
              <a:ln w="28575" cap="rnd">
                <a:solidFill>
                  <a:schemeClr val="accent6">
                    <a:lumMod val="60000"/>
                    <a:lumOff val="40000"/>
                  </a:schemeClr>
                </a:solidFill>
                <a:round/>
              </a:ln>
              <a:effectLst/>
            </c:spPr>
            <c:extLst>
              <c:ext xmlns:c16="http://schemas.microsoft.com/office/drawing/2014/chart" uri="{C3380CC4-5D6E-409C-BE32-E72D297353CC}">
                <c16:uniqueId val="{00000003-189D-4102-9302-3DE0911EEF95}"/>
              </c:ext>
            </c:extLst>
          </c:dPt>
          <c:cat>
            <c:numRef>
              <c:f>'25.11.2020'!$B$4:$B$9</c:f>
              <c:numCache>
                <c:formatCode>General</c:formatCode>
                <c:ptCount val="6"/>
                <c:pt idx="0">
                  <c:v>2017</c:v>
                </c:pt>
                <c:pt idx="1">
                  <c:v>2018</c:v>
                </c:pt>
                <c:pt idx="2">
                  <c:v>2019</c:v>
                </c:pt>
                <c:pt idx="3">
                  <c:v>2020</c:v>
                </c:pt>
                <c:pt idx="4">
                  <c:v>2021</c:v>
                </c:pt>
                <c:pt idx="5">
                  <c:v>2022</c:v>
                </c:pt>
              </c:numCache>
            </c:numRef>
          </c:cat>
          <c:val>
            <c:numRef>
              <c:f>'25.11.2020'!$E$4:$E$9</c:f>
              <c:numCache>
                <c:formatCode>0%</c:formatCode>
                <c:ptCount val="6"/>
                <c:pt idx="0">
                  <c:v>0.11729837963849016</c:v>
                </c:pt>
                <c:pt idx="1">
                  <c:v>4.7933194077810798E-2</c:v>
                </c:pt>
                <c:pt idx="2">
                  <c:v>4.6827984779673502E-2</c:v>
                </c:pt>
                <c:pt idx="3">
                  <c:v>8.8702285212234361E-2</c:v>
                </c:pt>
                <c:pt idx="4">
                  <c:v>4.6688291359000225E-2</c:v>
                </c:pt>
                <c:pt idx="5">
                  <c:v>5.9242959870562814E-2</c:v>
                </c:pt>
              </c:numCache>
            </c:numRef>
          </c:val>
          <c:smooth val="0"/>
          <c:extLst>
            <c:ext xmlns:c16="http://schemas.microsoft.com/office/drawing/2014/chart" uri="{C3380CC4-5D6E-409C-BE32-E72D297353CC}">
              <c16:uniqueId val="{00000004-189D-4102-9302-3DE0911EEF95}"/>
            </c:ext>
          </c:extLst>
        </c:ser>
        <c:ser>
          <c:idx val="3"/>
          <c:order val="3"/>
          <c:tx>
            <c:strRef>
              <c:f>'25.11.2020'!$F$3</c:f>
              <c:strCache>
                <c:ptCount val="1"/>
                <c:pt idx="0">
                  <c:v>տես կշիռ ՀՆԱ-ում</c:v>
                </c:pt>
              </c:strCache>
            </c:strRef>
          </c:tx>
          <c:spPr>
            <a:ln w="28575" cap="rnd">
              <a:solidFill>
                <a:srgbClr val="7030A0"/>
              </a:solidFill>
              <a:round/>
            </a:ln>
            <a:effectLst/>
          </c:spPr>
          <c:marker>
            <c:symbol val="none"/>
          </c:marker>
          <c:cat>
            <c:numRef>
              <c:f>'25.11.2020'!$B$4:$B$9</c:f>
              <c:numCache>
                <c:formatCode>General</c:formatCode>
                <c:ptCount val="6"/>
                <c:pt idx="0">
                  <c:v>2017</c:v>
                </c:pt>
                <c:pt idx="1">
                  <c:v>2018</c:v>
                </c:pt>
                <c:pt idx="2">
                  <c:v>2019</c:v>
                </c:pt>
                <c:pt idx="3">
                  <c:v>2020</c:v>
                </c:pt>
                <c:pt idx="4">
                  <c:v>2021</c:v>
                </c:pt>
                <c:pt idx="5">
                  <c:v>2022</c:v>
                </c:pt>
              </c:numCache>
            </c:numRef>
          </c:cat>
          <c:val>
            <c:numRef>
              <c:f>'25.11.2020'!$F$4:$F$9</c:f>
              <c:numCache>
                <c:formatCode>0%</c:formatCode>
                <c:ptCount val="6"/>
                <c:pt idx="0">
                  <c:v>3.1695205904112046E-2</c:v>
                </c:pt>
                <c:pt idx="1">
                  <c:v>1.1528024788100383E-2</c:v>
                </c:pt>
                <c:pt idx="2">
                  <c:v>1.1615393271426397E-2</c:v>
                </c:pt>
                <c:pt idx="3">
                  <c:v>2.5854404135789624E-2</c:v>
                </c:pt>
                <c:pt idx="4">
                  <c:v>1.3557943873341066E-2</c:v>
                </c:pt>
                <c:pt idx="5">
                  <c:v>1.6442041324624495E-2</c:v>
                </c:pt>
              </c:numCache>
            </c:numRef>
          </c:val>
          <c:smooth val="1"/>
          <c:extLst>
            <c:ext xmlns:c16="http://schemas.microsoft.com/office/drawing/2014/chart" uri="{C3380CC4-5D6E-409C-BE32-E72D297353CC}">
              <c16:uniqueId val="{00000005-189D-4102-9302-3DE0911EEF95}"/>
            </c:ext>
          </c:extLst>
        </c:ser>
        <c:dLbls>
          <c:showLegendKey val="0"/>
          <c:showVal val="0"/>
          <c:showCatName val="0"/>
          <c:showSerName val="0"/>
          <c:showPercent val="0"/>
          <c:showBubbleSize val="0"/>
        </c:dLbls>
        <c:marker val="1"/>
        <c:smooth val="0"/>
        <c:axId val="259970560"/>
        <c:axId val="259969024"/>
      </c:lineChart>
      <c:catAx>
        <c:axId val="25996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67232"/>
        <c:crosses val="autoZero"/>
        <c:auto val="1"/>
        <c:lblAlgn val="ctr"/>
        <c:lblOffset val="100"/>
        <c:noMultiLvlLbl val="0"/>
      </c:catAx>
      <c:valAx>
        <c:axId val="259967232"/>
        <c:scaling>
          <c:orientation val="minMax"/>
          <c:max val="20000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65696"/>
        <c:crosses val="autoZero"/>
        <c:crossBetween val="between"/>
        <c:majorUnit val="50000"/>
        <c:minorUnit val="1000"/>
      </c:valAx>
      <c:valAx>
        <c:axId val="259969024"/>
        <c:scaling>
          <c:orientation val="minMax"/>
          <c:max val="0.15000000000000008"/>
          <c:min val="0"/>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9970560"/>
        <c:crosses val="max"/>
        <c:crossBetween val="between"/>
        <c:majorUnit val="5.0000000000000024E-2"/>
      </c:valAx>
      <c:catAx>
        <c:axId val="259970560"/>
        <c:scaling>
          <c:orientation val="minMax"/>
        </c:scaling>
        <c:delete val="1"/>
        <c:axPos val="b"/>
        <c:numFmt formatCode="General" sourceLinked="1"/>
        <c:majorTickMark val="out"/>
        <c:minorTickMark val="none"/>
        <c:tickLblPos val="none"/>
        <c:crossAx val="25996902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449406561046703"/>
          <c:y val="7.5671399729304159E-2"/>
          <c:w val="0.80945163008672649"/>
          <c:h val="0.63033650218477943"/>
        </c:manualLayout>
      </c:layout>
      <c:bar3DChart>
        <c:barDir val="col"/>
        <c:grouping val="percentStacked"/>
        <c:varyColors val="0"/>
        <c:ser>
          <c:idx val="0"/>
          <c:order val="0"/>
          <c:tx>
            <c:strRef>
              <c:f>UXERZ!$F$61</c:f>
              <c:strCache>
                <c:ptCount val="1"/>
                <c:pt idx="0">
                  <c:v>ներքին պարտք</c:v>
                </c:pt>
              </c:strCache>
            </c:strRef>
          </c:tx>
          <c:spPr>
            <a:solidFill>
              <a:schemeClr val="tx2">
                <a:lumMod val="60000"/>
                <a:lumOff val="40000"/>
              </a:schemeClr>
            </a:solidFill>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UXERZ!$G$61:$I$61</c:f>
              <c:numCache>
                <c:formatCode>_(* #,##0.0_);_(* \(#,##0.0\);_(* "-"??_);_(@_)</c:formatCode>
                <c:ptCount val="3"/>
                <c:pt idx="0">
                  <c:v>25.42493935357507</c:v>
                </c:pt>
                <c:pt idx="1">
                  <c:v>28.979795546976199</c:v>
                </c:pt>
                <c:pt idx="2">
                  <c:v>31.496894785229333</c:v>
                </c:pt>
              </c:numCache>
            </c:numRef>
          </c:val>
          <c:extLst>
            <c:ext xmlns:c16="http://schemas.microsoft.com/office/drawing/2014/chart" uri="{C3380CC4-5D6E-409C-BE32-E72D297353CC}">
              <c16:uniqueId val="{00000000-5AA7-42EF-8E4F-BDF9833570E7}"/>
            </c:ext>
          </c:extLst>
        </c:ser>
        <c:ser>
          <c:idx val="1"/>
          <c:order val="1"/>
          <c:tx>
            <c:strRef>
              <c:f>UXERZ!$F$62</c:f>
              <c:strCache>
                <c:ptCount val="1"/>
                <c:pt idx="0">
                  <c:v>արտաքին պարտք</c:v>
                </c:pt>
              </c:strCache>
            </c:strRef>
          </c:tx>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UXERZ!$G$62:$I$62</c:f>
              <c:numCache>
                <c:formatCode>_(* #,##0.0_);_(* \(#,##0.0\);_(* "-"??_);_(@_)</c:formatCode>
                <c:ptCount val="3"/>
                <c:pt idx="0">
                  <c:v>74.57506064642493</c:v>
                </c:pt>
                <c:pt idx="1">
                  <c:v>71.020204453023808</c:v>
                </c:pt>
                <c:pt idx="2">
                  <c:v>68.50310521477067</c:v>
                </c:pt>
              </c:numCache>
            </c:numRef>
          </c:val>
          <c:extLst>
            <c:ext xmlns:c16="http://schemas.microsoft.com/office/drawing/2014/chart" uri="{C3380CC4-5D6E-409C-BE32-E72D297353CC}">
              <c16:uniqueId val="{00000001-5AA7-42EF-8E4F-BDF9833570E7}"/>
            </c:ext>
          </c:extLst>
        </c:ser>
        <c:dLbls>
          <c:showLegendKey val="0"/>
          <c:showVal val="0"/>
          <c:showCatName val="0"/>
          <c:showSerName val="0"/>
          <c:showPercent val="0"/>
          <c:showBubbleSize val="0"/>
        </c:dLbls>
        <c:gapWidth val="121"/>
        <c:shape val="box"/>
        <c:axId val="135910144"/>
        <c:axId val="135911680"/>
        <c:axId val="0"/>
      </c:bar3DChart>
      <c:catAx>
        <c:axId val="1359101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5911680"/>
        <c:crosses val="autoZero"/>
        <c:auto val="1"/>
        <c:lblAlgn val="ctr"/>
        <c:lblOffset val="100"/>
        <c:noMultiLvlLbl val="0"/>
      </c:catAx>
      <c:valAx>
        <c:axId val="135911680"/>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5910144"/>
        <c:crosses val="autoZero"/>
        <c:crossBetween val="between"/>
        <c:majorUnit val="0.2"/>
      </c:valAx>
      <c:spPr>
        <a:noFill/>
        <a:ln w="25400">
          <a:noFill/>
        </a:ln>
      </c:spPr>
    </c:plotArea>
    <c:legend>
      <c:legendPos val="b"/>
      <c:layout>
        <c:manualLayout>
          <c:xMode val="edge"/>
          <c:yMode val="edge"/>
          <c:x val="1.2169217484178114E-2"/>
          <c:y val="0.87709760467322084"/>
          <c:w val="0.95019571417209203"/>
          <c:h val="8.3971936586320628E-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4"/>
    </mc:Choice>
    <mc:Fallback>
      <c:style val="4"/>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88633384607099"/>
          <c:y val="7.4972696950913548E-2"/>
          <c:w val="0.8329078807974768"/>
          <c:h val="0.615263947363478"/>
        </c:manualLayout>
      </c:layout>
      <c:bar3DChart>
        <c:barDir val="col"/>
        <c:grouping val="percentStacked"/>
        <c:varyColors val="0"/>
        <c:ser>
          <c:idx val="0"/>
          <c:order val="0"/>
          <c:tx>
            <c:strRef>
              <c:f>UXERZ!$F$70</c:f>
              <c:strCache>
                <c:ptCount val="1"/>
                <c:pt idx="0">
                  <c:v>դրամով ներգրավված պարտք</c:v>
                </c:pt>
              </c:strCache>
            </c:strRef>
          </c:tx>
          <c:spPr>
            <a:solidFill>
              <a:srgbClr val="D92529"/>
            </a:solidFill>
          </c:spPr>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UXERZ!$G$70:$I$70</c:f>
              <c:numCache>
                <c:formatCode>_(* #,##0.0_);_(* \(#,##0.0\);_(* "-"??_);_(@_)</c:formatCode>
                <c:ptCount val="3"/>
                <c:pt idx="0">
                  <c:v>24.435806405343524</c:v>
                </c:pt>
                <c:pt idx="1">
                  <c:v>28.27362360688219</c:v>
                </c:pt>
                <c:pt idx="2">
                  <c:v>31.043691102416393</c:v>
                </c:pt>
              </c:numCache>
            </c:numRef>
          </c:val>
          <c:extLst>
            <c:ext xmlns:c16="http://schemas.microsoft.com/office/drawing/2014/chart" uri="{C3380CC4-5D6E-409C-BE32-E72D297353CC}">
              <c16:uniqueId val="{00000000-94DC-4A92-B12D-687F94E574AA}"/>
            </c:ext>
          </c:extLst>
        </c:ser>
        <c:ser>
          <c:idx val="1"/>
          <c:order val="1"/>
          <c:tx>
            <c:strRef>
              <c:f>UXERZ!$F$71</c:f>
              <c:strCache>
                <c:ptCount val="1"/>
                <c:pt idx="0">
                  <c:v>արտարժութային պարտք</c:v>
                </c:pt>
              </c:strCache>
            </c:strRef>
          </c:tx>
          <c:invertIfNegative val="0"/>
          <c:dLbls>
            <c:spPr>
              <a:noFill/>
              <a:ln w="25400">
                <a:noFill/>
              </a:ln>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UXERZ!$G$71:$I$71</c:f>
              <c:numCache>
                <c:formatCode>_(* #,##0.0_);_(* \(#,##0.0\);_(* "-"??_);_(@_)</c:formatCode>
                <c:ptCount val="3"/>
                <c:pt idx="0">
                  <c:v>75.564193594656473</c:v>
                </c:pt>
                <c:pt idx="1">
                  <c:v>71.726376393117803</c:v>
                </c:pt>
                <c:pt idx="2">
                  <c:v>68.956308897583597</c:v>
                </c:pt>
              </c:numCache>
            </c:numRef>
          </c:val>
          <c:extLst>
            <c:ext xmlns:c16="http://schemas.microsoft.com/office/drawing/2014/chart" uri="{C3380CC4-5D6E-409C-BE32-E72D297353CC}">
              <c16:uniqueId val="{00000001-94DC-4A92-B12D-687F94E574AA}"/>
            </c:ext>
          </c:extLst>
        </c:ser>
        <c:dLbls>
          <c:showLegendKey val="0"/>
          <c:showVal val="0"/>
          <c:showCatName val="0"/>
          <c:showSerName val="0"/>
          <c:showPercent val="0"/>
          <c:showBubbleSize val="0"/>
        </c:dLbls>
        <c:gapWidth val="106"/>
        <c:shape val="box"/>
        <c:axId val="135791360"/>
        <c:axId val="135792896"/>
        <c:axId val="0"/>
      </c:bar3DChart>
      <c:catAx>
        <c:axId val="135791360"/>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5792896"/>
        <c:crosses val="autoZero"/>
        <c:auto val="1"/>
        <c:lblAlgn val="ctr"/>
        <c:lblOffset val="100"/>
        <c:noMultiLvlLbl val="0"/>
      </c:catAx>
      <c:valAx>
        <c:axId val="135792896"/>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5791360"/>
        <c:crosses val="autoZero"/>
        <c:crossBetween val="between"/>
        <c:majorUnit val="0.2"/>
      </c:valAx>
      <c:spPr>
        <a:noFill/>
        <a:ln w="25400">
          <a:noFill/>
        </a:ln>
      </c:spPr>
    </c:plotArea>
    <c:legend>
      <c:legendPos val="b"/>
      <c:layout>
        <c:manualLayout>
          <c:xMode val="edge"/>
          <c:yMode val="edge"/>
          <c:x val="1.482343116201384E-2"/>
          <c:y val="0.83300412018287384"/>
          <c:w val="0.96579461658201815"/>
          <c:h val="0.14518350120192913"/>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187997151014203"/>
          <c:y val="5.0925940835542041E-2"/>
          <c:w val="0.87232174103237092"/>
          <c:h val="0.62478650920680734"/>
        </c:manualLayout>
      </c:layout>
      <c:bar3DChart>
        <c:barDir val="col"/>
        <c:grouping val="percentStacked"/>
        <c:varyColors val="0"/>
        <c:ser>
          <c:idx val="0"/>
          <c:order val="0"/>
          <c:tx>
            <c:strRef>
              <c:f>UXERZ!$F$64</c:f>
              <c:strCache>
                <c:ptCount val="1"/>
                <c:pt idx="0">
                  <c:v>արտաքին վարկեր</c:v>
                </c:pt>
              </c:strCache>
            </c:strRef>
          </c:tx>
          <c:spPr>
            <a:solidFill>
              <a:srgbClr val="FFC000"/>
            </a:solidFill>
          </c:spPr>
          <c:invertIfNegative val="0"/>
          <c:dLbls>
            <c:spPr>
              <a:solidFill>
                <a:srgbClr val="FFC000"/>
              </a:solid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UXERZ!$G$64:$I$64</c:f>
              <c:numCache>
                <c:formatCode>_(* #,##0.0_);_(* \(#,##0.0\);_(* "-"??_);_(@_)</c:formatCode>
                <c:ptCount val="3"/>
                <c:pt idx="0">
                  <c:v>62.13165865325638</c:v>
                </c:pt>
                <c:pt idx="1">
                  <c:v>51.551170391324781</c:v>
                </c:pt>
                <c:pt idx="2">
                  <c:v>50.281631099866559</c:v>
                </c:pt>
              </c:numCache>
            </c:numRef>
          </c:val>
          <c:extLst>
            <c:ext xmlns:c16="http://schemas.microsoft.com/office/drawing/2014/chart" uri="{C3380CC4-5D6E-409C-BE32-E72D297353CC}">
              <c16:uniqueId val="{00000000-E4CF-40DE-B2C3-5977E8322BA6}"/>
            </c:ext>
          </c:extLst>
        </c:ser>
        <c:ser>
          <c:idx val="1"/>
          <c:order val="1"/>
          <c:tx>
            <c:strRef>
              <c:f>UXERZ!$F$65</c:f>
              <c:strCache>
                <c:ptCount val="1"/>
                <c:pt idx="0">
                  <c:v>պետ. գանձ. պարտ.</c:v>
                </c:pt>
              </c:strCache>
            </c:strRef>
          </c:tx>
          <c:spPr>
            <a:solidFill>
              <a:srgbClr val="D92529"/>
            </a:solidFill>
          </c:spPr>
          <c:invertIfNegative val="0"/>
          <c:dLbls>
            <c:spPr>
              <a:solidFill>
                <a:srgbClr val="D92529"/>
              </a:solid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UXERZ!$G$65:$I$65</c:f>
              <c:numCache>
                <c:formatCode>_(* #,##0.0_);_(* \(#,##0.0\);_(* "-"??_);_(@_)</c:formatCode>
                <c:ptCount val="3"/>
                <c:pt idx="0">
                  <c:v>24.435806405343524</c:v>
                </c:pt>
                <c:pt idx="1">
                  <c:v>28.27362360688219</c:v>
                </c:pt>
                <c:pt idx="2">
                  <c:v>31.043691102416393</c:v>
                </c:pt>
              </c:numCache>
            </c:numRef>
          </c:val>
          <c:extLst>
            <c:ext xmlns:c16="http://schemas.microsoft.com/office/drawing/2014/chart" uri="{C3380CC4-5D6E-409C-BE32-E72D297353CC}">
              <c16:uniqueId val="{00000001-E4CF-40DE-B2C3-5977E8322BA6}"/>
            </c:ext>
          </c:extLst>
        </c:ser>
        <c:ser>
          <c:idx val="2"/>
          <c:order val="2"/>
          <c:tx>
            <c:strRef>
              <c:f>UXERZ!$F$66</c:f>
              <c:strCache>
                <c:ptCount val="1"/>
                <c:pt idx="0">
                  <c:v>արտարժ. պետ. պարտ.</c:v>
                </c:pt>
              </c:strCache>
            </c:strRef>
          </c:tx>
          <c:spPr>
            <a:solidFill>
              <a:schemeClr val="tx2">
                <a:lumMod val="60000"/>
                <a:lumOff val="40000"/>
              </a:schemeClr>
            </a:solidFill>
          </c:spPr>
          <c:invertIfNegative val="0"/>
          <c:dLbls>
            <c:spPr>
              <a:solidFill>
                <a:schemeClr val="tx2">
                  <a:lumMod val="60000"/>
                  <a:lumOff val="40000"/>
                </a:schemeClr>
              </a:solid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UXERZ!$G$66:$I$66</c:f>
              <c:numCache>
                <c:formatCode>_(* #,##0.0_);_(* \(#,##0.0\);_(* "-"??_);_(@_)</c:formatCode>
                <c:ptCount val="3"/>
                <c:pt idx="0">
                  <c:v>13.318164480745363</c:v>
                </c:pt>
                <c:pt idx="1">
                  <c:v>19.976514596198022</c:v>
                </c:pt>
                <c:pt idx="2">
                  <c:v>18.530822441288922</c:v>
                </c:pt>
              </c:numCache>
            </c:numRef>
          </c:val>
          <c:extLst>
            <c:ext xmlns:c16="http://schemas.microsoft.com/office/drawing/2014/chart" uri="{C3380CC4-5D6E-409C-BE32-E72D297353CC}">
              <c16:uniqueId val="{00000002-E4CF-40DE-B2C3-5977E8322BA6}"/>
            </c:ext>
          </c:extLst>
        </c:ser>
        <c:ser>
          <c:idx val="3"/>
          <c:order val="3"/>
          <c:tx>
            <c:strRef>
              <c:f>UXERZ!$F$67</c:f>
              <c:strCache>
                <c:ptCount val="1"/>
                <c:pt idx="0">
                  <c:v>երաշխիքներ</c:v>
                </c:pt>
              </c:strCache>
            </c:strRef>
          </c:tx>
          <c:spPr>
            <a:solidFill>
              <a:schemeClr val="accent4">
                <a:lumMod val="20000"/>
                <a:lumOff val="80000"/>
              </a:schemeClr>
            </a:solidFill>
          </c:spPr>
          <c:invertIfNegative val="0"/>
          <c:dLbls>
            <c:dLbl>
              <c:idx val="0"/>
              <c:layout>
                <c:manualLayout>
                  <c:x val="8.3333333333333332E-3"/>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4CF-40DE-B2C3-5977E8322BA6}"/>
                </c:ext>
              </c:extLst>
            </c:dLbl>
            <c:dLbl>
              <c:idx val="1"/>
              <c:layout>
                <c:manualLayout>
                  <c:x val="1.1111111111111112E-2"/>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4CF-40DE-B2C3-5977E8322BA6}"/>
                </c:ext>
              </c:extLst>
            </c:dLbl>
            <c:dLbl>
              <c:idx val="2"/>
              <c:layout>
                <c:manualLayout>
                  <c:x val="1.1111111111111112E-2"/>
                  <c:y val="-3.240740740740741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4CF-40DE-B2C3-5977E8322BA6}"/>
                </c:ext>
              </c:extLst>
            </c:dLbl>
            <c:spPr>
              <a:noFill/>
            </c:spPr>
            <c:txPr>
              <a:bodyPr/>
              <a:lstStyle/>
              <a:p>
                <a:pPr>
                  <a:defRPr sz="10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UXERZ!$G$59:$I$60</c:f>
              <c:strCache>
                <c:ptCount val="3"/>
                <c:pt idx="0">
                  <c:v>31.12.2020</c:v>
                </c:pt>
                <c:pt idx="1">
                  <c:v>31.12.2021</c:v>
                </c:pt>
                <c:pt idx="2">
                  <c:v>31.12.2022</c:v>
                </c:pt>
              </c:strCache>
            </c:strRef>
          </c:cat>
          <c:val>
            <c:numRef>
              <c:f>UXERZ!$G$67:$I$67</c:f>
              <c:numCache>
                <c:formatCode>_(* #,##0.0_);_(* \(#,##0.0\);_(* "-"??_);_(@_)</c:formatCode>
                <c:ptCount val="3"/>
                <c:pt idx="0">
                  <c:v>0.11437046065473214</c:v>
                </c:pt>
                <c:pt idx="1">
                  <c:v>0.19869140559502518</c:v>
                </c:pt>
                <c:pt idx="2">
                  <c:v>0.14385535642812031</c:v>
                </c:pt>
              </c:numCache>
            </c:numRef>
          </c:val>
          <c:extLst>
            <c:ext xmlns:c16="http://schemas.microsoft.com/office/drawing/2014/chart" uri="{C3380CC4-5D6E-409C-BE32-E72D297353CC}">
              <c16:uniqueId val="{00000006-E4CF-40DE-B2C3-5977E8322BA6}"/>
            </c:ext>
          </c:extLst>
        </c:ser>
        <c:dLbls>
          <c:showLegendKey val="0"/>
          <c:showVal val="0"/>
          <c:showCatName val="0"/>
          <c:showSerName val="0"/>
          <c:showPercent val="0"/>
          <c:showBubbleSize val="0"/>
        </c:dLbls>
        <c:gapWidth val="94"/>
        <c:shape val="box"/>
        <c:axId val="135844992"/>
        <c:axId val="135846528"/>
        <c:axId val="0"/>
      </c:bar3DChart>
      <c:catAx>
        <c:axId val="135844992"/>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35846528"/>
        <c:crosses val="autoZero"/>
        <c:auto val="1"/>
        <c:lblAlgn val="ctr"/>
        <c:lblOffset val="100"/>
        <c:noMultiLvlLbl val="0"/>
      </c:catAx>
      <c:valAx>
        <c:axId val="135846528"/>
        <c:scaling>
          <c:orientation val="minMax"/>
        </c:scaling>
        <c:delete val="0"/>
        <c:axPos val="l"/>
        <c:majorGridlines/>
        <c:numFmt formatCode="0%"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en-US"/>
          </a:p>
        </c:txPr>
        <c:crossAx val="135844992"/>
        <c:crosses val="autoZero"/>
        <c:crossBetween val="between"/>
        <c:majorUnit val="0.2"/>
      </c:valAx>
      <c:spPr>
        <a:noFill/>
        <a:ln w="25400">
          <a:noFill/>
        </a:ln>
      </c:spPr>
    </c:plotArea>
    <c:legend>
      <c:legendPos val="b"/>
      <c:layout>
        <c:manualLayout>
          <c:xMode val="edge"/>
          <c:yMode val="edge"/>
          <c:x val="1.4823147106611673E-2"/>
          <c:y val="0.82310514244992783"/>
          <c:w val="0.94298951267455211"/>
          <c:h val="0.14616110366701296"/>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8"/>
    </mc:Choice>
    <mc:Fallback>
      <c:style val="8"/>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percentStacked"/>
        <c:varyColors val="0"/>
        <c:ser>
          <c:idx val="0"/>
          <c:order val="0"/>
          <c:tx>
            <c:strRef>
              <c:f>UXERZ!$F$73</c:f>
              <c:strCache>
                <c:ptCount val="1"/>
                <c:pt idx="0">
                  <c:v>լողացող տոկոսադրույքով</c:v>
                </c:pt>
              </c:strCache>
            </c:strRef>
          </c:tx>
          <c:spPr>
            <a:solidFill>
              <a:srgbClr val="FFC000"/>
            </a:solidFill>
          </c:spPr>
          <c:invertIfNegative val="0"/>
          <c:dLbls>
            <c:spPr>
              <a:noFill/>
              <a:ln w="25400">
                <a:noFill/>
              </a:ln>
            </c:spPr>
            <c:txPr>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UXERZ!$G$73:$I$73</c:f>
              <c:numCache>
                <c:formatCode>_(* #,##0.0_);_(* \(#,##0.0\);_(* "-"??_);_(@_)</c:formatCode>
                <c:ptCount val="3"/>
                <c:pt idx="0">
                  <c:v>19.593935065378844</c:v>
                </c:pt>
                <c:pt idx="1">
                  <c:v>17.173256482317736</c:v>
                </c:pt>
                <c:pt idx="2">
                  <c:v>17.132536991733552</c:v>
                </c:pt>
              </c:numCache>
            </c:numRef>
          </c:val>
          <c:extLst>
            <c:ext xmlns:c16="http://schemas.microsoft.com/office/drawing/2014/chart" uri="{C3380CC4-5D6E-409C-BE32-E72D297353CC}">
              <c16:uniqueId val="{00000000-F72B-40C6-AB1F-CA658ECBD805}"/>
            </c:ext>
          </c:extLst>
        </c:ser>
        <c:ser>
          <c:idx val="1"/>
          <c:order val="1"/>
          <c:tx>
            <c:strRef>
              <c:f>UXERZ!$F$74</c:f>
              <c:strCache>
                <c:ptCount val="1"/>
                <c:pt idx="0">
                  <c:v>ֆիքսված տոկոսադրույքով</c:v>
                </c:pt>
              </c:strCache>
            </c:strRef>
          </c:tx>
          <c:spPr>
            <a:solidFill>
              <a:schemeClr val="accent6">
                <a:lumMod val="40000"/>
                <a:lumOff val="60000"/>
              </a:schemeClr>
            </a:solidFill>
          </c:spPr>
          <c:invertIfNegative val="0"/>
          <c:dLbls>
            <c:spPr>
              <a:noFill/>
              <a:ln w="25400">
                <a:noFill/>
              </a:ln>
            </c:spPr>
            <c:txPr>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UXERZ!$G$59:$I$60</c:f>
              <c:strCache>
                <c:ptCount val="3"/>
                <c:pt idx="0">
                  <c:v>31.12.2020</c:v>
                </c:pt>
                <c:pt idx="1">
                  <c:v>31.12.2021</c:v>
                </c:pt>
                <c:pt idx="2">
                  <c:v>31.12.2022</c:v>
                </c:pt>
              </c:strCache>
            </c:strRef>
          </c:cat>
          <c:val>
            <c:numRef>
              <c:f>UXERZ!$G$74:$I$74</c:f>
              <c:numCache>
                <c:formatCode>_(* #,##0.0_);_(* \(#,##0.0\);_(* "-"??_);_(@_)</c:formatCode>
                <c:ptCount val="3"/>
                <c:pt idx="0">
                  <c:v>80.406064934621156</c:v>
                </c:pt>
                <c:pt idx="1">
                  <c:v>82.826743517682274</c:v>
                </c:pt>
                <c:pt idx="2">
                  <c:v>82.867463008266441</c:v>
                </c:pt>
              </c:numCache>
            </c:numRef>
          </c:val>
          <c:extLst>
            <c:ext xmlns:c16="http://schemas.microsoft.com/office/drawing/2014/chart" uri="{C3380CC4-5D6E-409C-BE32-E72D297353CC}">
              <c16:uniqueId val="{00000001-F72B-40C6-AB1F-CA658ECBD805}"/>
            </c:ext>
          </c:extLst>
        </c:ser>
        <c:dLbls>
          <c:showLegendKey val="0"/>
          <c:showVal val="0"/>
          <c:showCatName val="0"/>
          <c:showSerName val="0"/>
          <c:showPercent val="0"/>
          <c:showBubbleSize val="0"/>
        </c:dLbls>
        <c:gapWidth val="121"/>
        <c:shape val="box"/>
        <c:axId val="136209536"/>
        <c:axId val="136211072"/>
        <c:axId val="0"/>
      </c:bar3DChart>
      <c:catAx>
        <c:axId val="136209536"/>
        <c:scaling>
          <c:orientation val="minMax"/>
        </c:scaling>
        <c:delete val="0"/>
        <c:axPos val="b"/>
        <c:numFmt formatCode="General"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36211072"/>
        <c:crosses val="autoZero"/>
        <c:auto val="1"/>
        <c:lblAlgn val="ctr"/>
        <c:lblOffset val="100"/>
        <c:noMultiLvlLbl val="0"/>
      </c:catAx>
      <c:valAx>
        <c:axId val="136211072"/>
        <c:scaling>
          <c:orientation val="minMax"/>
        </c:scaling>
        <c:delete val="0"/>
        <c:axPos val="l"/>
        <c:majorGridlines/>
        <c:numFmt formatCode="0%" sourceLinked="1"/>
        <c:majorTickMark val="out"/>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36209536"/>
        <c:crosses val="autoZero"/>
        <c:crossBetween val="between"/>
      </c:valAx>
      <c:spPr>
        <a:noFill/>
        <a:ln w="25400">
          <a:noFill/>
        </a:ln>
      </c:spPr>
    </c:plotArea>
    <c:legend>
      <c:legendPos val="b"/>
      <c:layout>
        <c:manualLayout>
          <c:xMode val="edge"/>
          <c:yMode val="edge"/>
          <c:x val="1.1403972230743884E-2"/>
          <c:y val="0.85664514636819833"/>
          <c:w val="0.96540943745668151"/>
          <c:h val="0.1044247342645388"/>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6">
                <a:lumMod val="60000"/>
                <a:lumOff val="40000"/>
              </a:schemeClr>
            </a:solidFill>
            <a:effectLst>
              <a:outerShdw blurRad="50800" dist="38100" dir="2700000" algn="tl" rotWithShape="0">
                <a:prstClr val="black">
                  <a:alpha val="40000"/>
                </a:prstClr>
              </a:outerShdw>
            </a:effectLst>
            <a:scene3d>
              <a:camera prst="orthographicFront"/>
              <a:lightRig rig="threePt" dir="t"/>
            </a:scene3d>
            <a:sp3d>
              <a:bevelT w="101600" prst="riblet"/>
            </a:sp3d>
          </c:spPr>
          <c:invertIfNegative val="0"/>
          <c:dLbls>
            <c:spPr>
              <a:noFill/>
              <a:ln w="25400">
                <a:noFill/>
              </a:ln>
            </c:spPr>
            <c:txPr>
              <a:bodyPr/>
              <a:lstStyle/>
              <a:p>
                <a:pPr>
                  <a:defRPr sz="8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'Stock for Budget'!$B$252:$B$272</c:f>
              <c:strCache>
                <c:ptCount val="21"/>
                <c:pt idx="0">
                  <c:v>Ենթակա է հստակեցման</c:v>
                </c:pt>
                <c:pt idx="1">
                  <c:v>ԿԲՍ Բանկ (Բելգիա)</c:v>
                </c:pt>
                <c:pt idx="2">
                  <c:v>Ռայֆայզն Բանկ (Ավստրիա)</c:v>
                </c:pt>
                <c:pt idx="3">
                  <c:v>Էռստե Բանկ (Ավստրիա)</c:v>
                </c:pt>
                <c:pt idx="4">
                  <c:v>Աբու-Դաբիի Զարգացման Հիմնադրամ</c:v>
                </c:pt>
                <c:pt idx="5">
                  <c:v>ԱՄՆ</c:v>
                </c:pt>
                <c:pt idx="6">
                  <c:v>Չինաստանի Արտահանման-Ներմուծման Բանկ</c:v>
                </c:pt>
                <c:pt idx="7">
                  <c:v>Ֆրանսիա</c:v>
                </c:pt>
                <c:pt idx="8">
                  <c:v>Ճապոնիա</c:v>
                </c:pt>
                <c:pt idx="9">
                  <c:v>Գերմանիա (ՎՎԲ)</c:v>
                </c:pt>
                <c:pt idx="10">
                  <c:v>Ռուսաստանի Դաշնություն</c:v>
                </c:pt>
                <c:pt idx="11">
                  <c:v>ՕՊԵԿ-ի Միջազգային Զարգացման Հիմնադրամ </c:v>
                </c:pt>
                <c:pt idx="12">
                  <c:v>Վերակառուցման և Զարգացման Եվրոպական Բանկ</c:v>
                </c:pt>
                <c:pt idx="13">
                  <c:v>Գյուղատնտեսության Զարգացման Միջազգային Հիմնադրամ</c:v>
                </c:pt>
                <c:pt idx="14">
                  <c:v>Եվրամիություն</c:v>
                </c:pt>
                <c:pt idx="15">
                  <c:v>Եվրոպական Ներդրումային Բանկ</c:v>
                </c:pt>
                <c:pt idx="16">
                  <c:v>Արժույթի Միջազգային Հիմնադրամ</c:v>
                </c:pt>
                <c:pt idx="17">
                  <c:v>Եվրասիական Զարգացման Բանկ </c:v>
                </c:pt>
                <c:pt idx="18">
                  <c:v>Ասիական Զարգացման Բանկ</c:v>
                </c:pt>
                <c:pt idx="19">
                  <c:v>Զարգացման Միջազգային Ընկերակցություն</c:v>
                </c:pt>
                <c:pt idx="20">
                  <c:v>Վերակառուցման և Զարգացման Միջազգային Բանկ</c:v>
                </c:pt>
              </c:strCache>
            </c:strRef>
          </c:cat>
          <c:val>
            <c:numRef>
              <c:f>'Stock for Budget'!$D$252:$D$272</c:f>
              <c:numCache>
                <c:formatCode>0.00%</c:formatCode>
                <c:ptCount val="21"/>
                <c:pt idx="0" formatCode="0.0%">
                  <c:v>4.710636479341735E-2</c:v>
                </c:pt>
                <c:pt idx="1">
                  <c:v>3.5700499484731099E-4</c:v>
                </c:pt>
                <c:pt idx="2" formatCode="0.0%">
                  <c:v>1.1280316130731101E-3</c:v>
                </c:pt>
                <c:pt idx="3" formatCode="0.0%">
                  <c:v>1.6504248041665016E-3</c:v>
                </c:pt>
                <c:pt idx="4" formatCode="0.0%">
                  <c:v>5.8408271005060965E-4</c:v>
                </c:pt>
                <c:pt idx="5" formatCode="0.0%">
                  <c:v>2.4125370613682761E-3</c:v>
                </c:pt>
                <c:pt idx="6" formatCode="0.0%">
                  <c:v>4.2496872367368431E-3</c:v>
                </c:pt>
                <c:pt idx="7" formatCode="0.0%">
                  <c:v>3.1395073943411518E-2</c:v>
                </c:pt>
                <c:pt idx="8" formatCode="0.0%">
                  <c:v>3.9168429309325806E-2</c:v>
                </c:pt>
                <c:pt idx="9" formatCode="0.0%">
                  <c:v>6.0751479943986456E-2</c:v>
                </c:pt>
                <c:pt idx="10" formatCode="0.0%">
                  <c:v>6.7277516012948665E-2</c:v>
                </c:pt>
                <c:pt idx="11" formatCode="0.0%">
                  <c:v>8.5076560466120256E-3</c:v>
                </c:pt>
                <c:pt idx="12" formatCode="0.0%">
                  <c:v>1.1712560370397111E-2</c:v>
                </c:pt>
                <c:pt idx="13" formatCode="0.0%">
                  <c:v>1.2368437558295442E-2</c:v>
                </c:pt>
                <c:pt idx="14" formatCode="0.0%">
                  <c:v>1.5830898150625803E-2</c:v>
                </c:pt>
                <c:pt idx="15" formatCode="0.0%">
                  <c:v>3.3038440045580972E-2</c:v>
                </c:pt>
                <c:pt idx="16" formatCode="0.0%">
                  <c:v>6.9049708889437345E-2</c:v>
                </c:pt>
                <c:pt idx="17" formatCode="0.0%">
                  <c:v>7.2438621932838426E-2</c:v>
                </c:pt>
                <c:pt idx="18" formatCode="0.0%">
                  <c:v>0.16356766678022469</c:v>
                </c:pt>
                <c:pt idx="19" formatCode="0.0%">
                  <c:v>0.17763091736067338</c:v>
                </c:pt>
                <c:pt idx="20" formatCode="0.0%">
                  <c:v>0.17977446044198242</c:v>
                </c:pt>
              </c:numCache>
            </c:numRef>
          </c:val>
          <c:extLst>
            <c:ext xmlns:c16="http://schemas.microsoft.com/office/drawing/2014/chart" uri="{C3380CC4-5D6E-409C-BE32-E72D297353CC}">
              <c16:uniqueId val="{00000000-CA4A-4E9C-AAC6-4C44F3E7B1F4}"/>
            </c:ext>
          </c:extLst>
        </c:ser>
        <c:dLbls>
          <c:showLegendKey val="0"/>
          <c:showVal val="0"/>
          <c:showCatName val="0"/>
          <c:showSerName val="0"/>
          <c:showPercent val="0"/>
          <c:showBubbleSize val="0"/>
        </c:dLbls>
        <c:gapWidth val="21"/>
        <c:axId val="136236416"/>
        <c:axId val="136647808"/>
      </c:barChart>
      <c:catAx>
        <c:axId val="136236416"/>
        <c:scaling>
          <c:orientation val="minMax"/>
        </c:scaling>
        <c:delete val="0"/>
        <c:axPos val="l"/>
        <c:numFmt formatCode="General" sourceLinked="1"/>
        <c:majorTickMark val="out"/>
        <c:minorTickMark val="none"/>
        <c:tickLblPos val="nextTo"/>
        <c:txPr>
          <a:bodyPr rot="0" vert="horz"/>
          <a:lstStyle/>
          <a:p>
            <a:pPr>
              <a:defRPr sz="700" b="0" i="0" u="none" strike="noStrike" baseline="0">
                <a:solidFill>
                  <a:srgbClr val="000000"/>
                </a:solidFill>
                <a:latin typeface="Calibri"/>
                <a:ea typeface="Calibri"/>
                <a:cs typeface="Calibri"/>
              </a:defRPr>
            </a:pPr>
            <a:endParaRPr lang="en-US"/>
          </a:p>
        </c:txPr>
        <c:crossAx val="136647808"/>
        <c:crosses val="autoZero"/>
        <c:auto val="1"/>
        <c:lblAlgn val="ctr"/>
        <c:lblOffset val="100"/>
        <c:noMultiLvlLbl val="0"/>
      </c:catAx>
      <c:valAx>
        <c:axId val="136647808"/>
        <c:scaling>
          <c:orientation val="minMax"/>
        </c:scaling>
        <c:delete val="1"/>
        <c:axPos val="b"/>
        <c:majorGridlines/>
        <c:numFmt formatCode="0.0%" sourceLinked="1"/>
        <c:majorTickMark val="out"/>
        <c:minorTickMark val="none"/>
        <c:tickLblPos val="nextTo"/>
        <c:crossAx val="136236416"/>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sz="900"/>
              <a:t>Կառավարության պարտքի մարման ժամանակացույցը 31.12.2022թ. դրությամբ (մլրդ դրամ)</a:t>
            </a:r>
          </a:p>
        </c:rich>
      </c:tx>
      <c:layout/>
      <c:overlay val="0"/>
    </c:title>
    <c:autoTitleDeleted val="0"/>
    <c:view3D>
      <c:rotX val="15"/>
      <c:rotY val="20"/>
      <c:depthPercent val="100"/>
      <c:rAngAx val="1"/>
    </c:view3D>
    <c:floor>
      <c:thickness val="0"/>
    </c:floor>
    <c:sideWall>
      <c:thickness val="0"/>
    </c:sideWall>
    <c:backWall>
      <c:thickness val="0"/>
    </c:backWall>
    <c:plotArea>
      <c:layout/>
      <c:bar3DChart>
        <c:barDir val="col"/>
        <c:grouping val="stacked"/>
        <c:varyColors val="0"/>
        <c:ser>
          <c:idx val="0"/>
          <c:order val="0"/>
          <c:tx>
            <c:strRef>
              <c:f>UXERZ!$I$14</c:f>
              <c:strCache>
                <c:ptCount val="1"/>
                <c:pt idx="0">
                  <c:v>Արտաքին վարկեր</c:v>
                </c:pt>
              </c:strCache>
            </c:strRef>
          </c:tx>
          <c:spPr>
            <a:solidFill>
              <a:schemeClr val="tx2">
                <a:lumMod val="60000"/>
                <a:lumOff val="40000"/>
              </a:schemeClr>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UXERZ!$J$14:$AO$14</c:f>
              <c:numCache>
                <c:formatCode>_(* #,##0_);_(* \(#,##0\);_(* "-"??_);_(@_)</c:formatCode>
                <c:ptCount val="32"/>
                <c:pt idx="0">
                  <c:v>170.29516271124328</c:v>
                </c:pt>
                <c:pt idx="1">
                  <c:v>216.42768075557464</c:v>
                </c:pt>
                <c:pt idx="2">
                  <c:v>195.43823319318852</c:v>
                </c:pt>
                <c:pt idx="3">
                  <c:v>195.57991461226146</c:v>
                </c:pt>
                <c:pt idx="4">
                  <c:v>153.30648868214558</c:v>
                </c:pt>
                <c:pt idx="5">
                  <c:v>142.04663469262223</c:v>
                </c:pt>
                <c:pt idx="6">
                  <c:v>138.94136980658553</c:v>
                </c:pt>
                <c:pt idx="7">
                  <c:v>133.35815297514202</c:v>
                </c:pt>
                <c:pt idx="8">
                  <c:v>129.95050973453399</c:v>
                </c:pt>
                <c:pt idx="9">
                  <c:v>137.43701401650779</c:v>
                </c:pt>
                <c:pt idx="10">
                  <c:v>130.9565355760227</c:v>
                </c:pt>
                <c:pt idx="11">
                  <c:v>125.07722849541322</c:v>
                </c:pt>
                <c:pt idx="12">
                  <c:v>104.16764394826407</c:v>
                </c:pt>
                <c:pt idx="13">
                  <c:v>87.77766417235334</c:v>
                </c:pt>
                <c:pt idx="14">
                  <c:v>76.944419601823569</c:v>
                </c:pt>
                <c:pt idx="15">
                  <c:v>63.311262604190247</c:v>
                </c:pt>
                <c:pt idx="16">
                  <c:v>55.251081452116814</c:v>
                </c:pt>
                <c:pt idx="17">
                  <c:v>42.144660862071902</c:v>
                </c:pt>
                <c:pt idx="18">
                  <c:v>32.555996735161791</c:v>
                </c:pt>
                <c:pt idx="19">
                  <c:v>16.434751700543579</c:v>
                </c:pt>
                <c:pt idx="20">
                  <c:v>15.299619237329773</c:v>
                </c:pt>
                <c:pt idx="21">
                  <c:v>12.289952614683074</c:v>
                </c:pt>
                <c:pt idx="22">
                  <c:v>2.5810859903020913</c:v>
                </c:pt>
                <c:pt idx="23">
                  <c:v>1.5385974061887666</c:v>
                </c:pt>
                <c:pt idx="24">
                  <c:v>1.4377797002012904</c:v>
                </c:pt>
                <c:pt idx="25">
                  <c:v>1.0185601043623957</c:v>
                </c:pt>
                <c:pt idx="26">
                  <c:v>0.89268955596974686</c:v>
                </c:pt>
                <c:pt idx="27">
                  <c:v>0.73780487267000683</c:v>
                </c:pt>
                <c:pt idx="28">
                  <c:v>0.46214158140590095</c:v>
                </c:pt>
                <c:pt idx="29">
                  <c:v>2.1961418724292855E-2</c:v>
                </c:pt>
                <c:pt idx="30">
                  <c:v>2.1961418724292855E-2</c:v>
                </c:pt>
                <c:pt idx="31">
                  <c:v>2.1961418724293212E-2</c:v>
                </c:pt>
              </c:numCache>
            </c:numRef>
          </c:val>
          <c:extLst>
            <c:ext xmlns:c16="http://schemas.microsoft.com/office/drawing/2014/chart" uri="{C3380CC4-5D6E-409C-BE32-E72D297353CC}">
              <c16:uniqueId val="{00000000-1AFD-439E-B3D3-F259F0D67555}"/>
            </c:ext>
          </c:extLst>
        </c:ser>
        <c:ser>
          <c:idx val="1"/>
          <c:order val="1"/>
          <c:tx>
            <c:strRef>
              <c:f>UXERZ!$I$15</c:f>
              <c:strCache>
                <c:ptCount val="1"/>
                <c:pt idx="0">
                  <c:v>Արտարժութային պարտատոմսեր</c:v>
                </c:pt>
              </c:strCache>
            </c:strRef>
          </c:tx>
          <c:spPr>
            <a:solidFill>
              <a:srgbClr val="FFC000"/>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UXERZ!$J$15:$AO$15</c:f>
              <c:numCache>
                <c:formatCode>General</c:formatCode>
                <c:ptCount val="32"/>
                <c:pt idx="2" formatCode="_(* #,##0_);_(* \(#,##0\);_(* &quot;-&quot;??_);_(@_)">
                  <c:v>251</c:v>
                </c:pt>
                <c:pt idx="6" formatCode="_(* #,##0_);_(* \(#,##0\);_(* &quot;-&quot;??_);_(@_)">
                  <c:v>251</c:v>
                </c:pt>
                <c:pt idx="8" formatCode="_(* #,##0_);_(* \(#,##0\);_(* &quot;-&quot;??_);_(@_)">
                  <c:v>376.5</c:v>
                </c:pt>
              </c:numCache>
            </c:numRef>
          </c:val>
          <c:extLst>
            <c:ext xmlns:c16="http://schemas.microsoft.com/office/drawing/2014/chart" uri="{C3380CC4-5D6E-409C-BE32-E72D297353CC}">
              <c16:uniqueId val="{00000001-1AFD-439E-B3D3-F259F0D67555}"/>
            </c:ext>
          </c:extLst>
        </c:ser>
        <c:ser>
          <c:idx val="2"/>
          <c:order val="2"/>
          <c:tx>
            <c:strRef>
              <c:f>UXERZ!$I$16</c:f>
              <c:strCache>
                <c:ptCount val="1"/>
                <c:pt idx="0">
                  <c:v>Երաշխիքներ</c:v>
                </c:pt>
              </c:strCache>
            </c:strRef>
          </c:tx>
          <c:spPr>
            <a:solidFill>
              <a:schemeClr val="accent4">
                <a:lumMod val="40000"/>
                <a:lumOff val="60000"/>
              </a:schemeClr>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UXERZ!$J$16:$AO$16</c:f>
              <c:numCache>
                <c:formatCode>_(* #,##0_);_(* \(#,##0\);_(* "-"??_);_(@_)</c:formatCode>
                <c:ptCount val="32"/>
                <c:pt idx="0">
                  <c:v>2.9121940505686283</c:v>
                </c:pt>
                <c:pt idx="1">
                  <c:v>0.31261032335947975</c:v>
                </c:pt>
                <c:pt idx="2">
                  <c:v>0.31261032335947975</c:v>
                </c:pt>
                <c:pt idx="3">
                  <c:v>0.31261032335947975</c:v>
                </c:pt>
                <c:pt idx="4">
                  <c:v>0.31261032335947975</c:v>
                </c:pt>
                <c:pt idx="5">
                  <c:v>0.31261032335947975</c:v>
                </c:pt>
                <c:pt idx="6">
                  <c:v>0.31261032335947975</c:v>
                </c:pt>
                <c:pt idx="7">
                  <c:v>0.31261032335947975</c:v>
                </c:pt>
                <c:pt idx="8">
                  <c:v>0.31261032335947975</c:v>
                </c:pt>
                <c:pt idx="9">
                  <c:v>0.31261032335947975</c:v>
                </c:pt>
                <c:pt idx="10">
                  <c:v>0.31261032335947975</c:v>
                </c:pt>
                <c:pt idx="11">
                  <c:v>0.31261032335947975</c:v>
                </c:pt>
                <c:pt idx="12">
                  <c:v>0.31261032335947975</c:v>
                </c:pt>
                <c:pt idx="13">
                  <c:v>0.15630515246832541</c:v>
                </c:pt>
              </c:numCache>
            </c:numRef>
          </c:val>
          <c:extLst>
            <c:ext xmlns:c16="http://schemas.microsoft.com/office/drawing/2014/chart" uri="{C3380CC4-5D6E-409C-BE32-E72D297353CC}">
              <c16:uniqueId val="{00000002-1AFD-439E-B3D3-F259F0D67555}"/>
            </c:ext>
          </c:extLst>
        </c:ser>
        <c:ser>
          <c:idx val="3"/>
          <c:order val="3"/>
          <c:tx>
            <c:strRef>
              <c:f>UXERZ!$I$17</c:f>
              <c:strCache>
                <c:ptCount val="1"/>
                <c:pt idx="0">
                  <c:v>Դրամային պարտատոմսեր</c:v>
                </c:pt>
              </c:strCache>
            </c:strRef>
          </c:tx>
          <c:spPr>
            <a:solidFill>
              <a:srgbClr val="D92529"/>
            </a:solidFill>
          </c:spPr>
          <c:invertIfNegative val="0"/>
          <c:cat>
            <c:numRef>
              <c:f>UXERZ!$J$13:$AO$13</c:f>
              <c:numCache>
                <c:formatCode>General</c:formatCode>
                <c:ptCount val="32"/>
                <c:pt idx="0">
                  <c:v>2023</c:v>
                </c:pt>
                <c:pt idx="1">
                  <c:v>2024</c:v>
                </c:pt>
                <c:pt idx="2">
                  <c:v>2025</c:v>
                </c:pt>
                <c:pt idx="3">
                  <c:v>2026</c:v>
                </c:pt>
                <c:pt idx="4">
                  <c:v>2027</c:v>
                </c:pt>
                <c:pt idx="5">
                  <c:v>2028</c:v>
                </c:pt>
                <c:pt idx="6">
                  <c:v>2029</c:v>
                </c:pt>
                <c:pt idx="7">
                  <c:v>2030</c:v>
                </c:pt>
                <c:pt idx="8">
                  <c:v>2031</c:v>
                </c:pt>
                <c:pt idx="9">
                  <c:v>2032</c:v>
                </c:pt>
                <c:pt idx="10">
                  <c:v>2033</c:v>
                </c:pt>
                <c:pt idx="11">
                  <c:v>2034</c:v>
                </c:pt>
                <c:pt idx="12">
                  <c:v>2035</c:v>
                </c:pt>
                <c:pt idx="13">
                  <c:v>2036</c:v>
                </c:pt>
                <c:pt idx="14">
                  <c:v>2037</c:v>
                </c:pt>
                <c:pt idx="15">
                  <c:v>2038</c:v>
                </c:pt>
                <c:pt idx="16">
                  <c:v>2039</c:v>
                </c:pt>
                <c:pt idx="17">
                  <c:v>2040</c:v>
                </c:pt>
                <c:pt idx="18">
                  <c:v>2041</c:v>
                </c:pt>
                <c:pt idx="19">
                  <c:v>2042</c:v>
                </c:pt>
                <c:pt idx="20">
                  <c:v>2043</c:v>
                </c:pt>
                <c:pt idx="21">
                  <c:v>2044</c:v>
                </c:pt>
                <c:pt idx="22">
                  <c:v>2045</c:v>
                </c:pt>
                <c:pt idx="23">
                  <c:v>2046</c:v>
                </c:pt>
                <c:pt idx="24">
                  <c:v>2047</c:v>
                </c:pt>
                <c:pt idx="25">
                  <c:v>2048</c:v>
                </c:pt>
                <c:pt idx="26">
                  <c:v>2049</c:v>
                </c:pt>
                <c:pt idx="27">
                  <c:v>2050</c:v>
                </c:pt>
                <c:pt idx="28">
                  <c:v>2051</c:v>
                </c:pt>
                <c:pt idx="29">
                  <c:v>2052</c:v>
                </c:pt>
                <c:pt idx="30">
                  <c:v>2053</c:v>
                </c:pt>
                <c:pt idx="31">
                  <c:v>2054</c:v>
                </c:pt>
              </c:numCache>
            </c:numRef>
          </c:cat>
          <c:val>
            <c:numRef>
              <c:f>UXERZ!$J$17:$AO$17</c:f>
              <c:numCache>
                <c:formatCode>_(* #,##0.0_);_(* \(#,##0.0\);_(* "-"??_);_(@_)</c:formatCode>
                <c:ptCount val="32"/>
                <c:pt idx="0">
                  <c:v>151.9772592544667</c:v>
                </c:pt>
                <c:pt idx="1">
                  <c:v>114.70365925446671</c:v>
                </c:pt>
                <c:pt idx="2">
                  <c:v>174.10857925446672</c:v>
                </c:pt>
                <c:pt idx="3">
                  <c:v>83.485200000000006</c:v>
                </c:pt>
                <c:pt idx="4">
                  <c:v>119.42</c:v>
                </c:pt>
                <c:pt idx="5">
                  <c:v>16.690090000000001</c:v>
                </c:pt>
                <c:pt idx="6">
                  <c:v>153.761459</c:v>
                </c:pt>
                <c:pt idx="8">
                  <c:v>211.43684999999999</c:v>
                </c:pt>
                <c:pt idx="9">
                  <c:v>35.5</c:v>
                </c:pt>
                <c:pt idx="13">
                  <c:v>71</c:v>
                </c:pt>
                <c:pt idx="14">
                  <c:v>75.266499999999994</c:v>
                </c:pt>
                <c:pt idx="24">
                  <c:v>115.700405</c:v>
                </c:pt>
                <c:pt idx="27">
                  <c:v>130.65384299999999</c:v>
                </c:pt>
                <c:pt idx="29" formatCode="_(* #,##0_);_(* \(#,##0\);_(* &quot;-&quot;??_);_(@_)">
                  <c:v>18</c:v>
                </c:pt>
              </c:numCache>
            </c:numRef>
          </c:val>
          <c:extLst>
            <c:ext xmlns:c16="http://schemas.microsoft.com/office/drawing/2014/chart" uri="{C3380CC4-5D6E-409C-BE32-E72D297353CC}">
              <c16:uniqueId val="{00000003-1AFD-439E-B3D3-F259F0D67555}"/>
            </c:ext>
          </c:extLst>
        </c:ser>
        <c:dLbls>
          <c:showLegendKey val="0"/>
          <c:showVal val="0"/>
          <c:showCatName val="0"/>
          <c:showSerName val="0"/>
          <c:showPercent val="0"/>
          <c:showBubbleSize val="0"/>
        </c:dLbls>
        <c:gapWidth val="75"/>
        <c:shape val="box"/>
        <c:axId val="136700672"/>
        <c:axId val="136702208"/>
        <c:axId val="0"/>
      </c:bar3DChart>
      <c:catAx>
        <c:axId val="136700672"/>
        <c:scaling>
          <c:orientation val="minMax"/>
        </c:scaling>
        <c:delete val="0"/>
        <c:axPos val="b"/>
        <c:numFmt formatCode="General" sourceLinked="1"/>
        <c:majorTickMark val="none"/>
        <c:minorTickMark val="none"/>
        <c:tickLblPos val="nextTo"/>
        <c:txPr>
          <a:bodyPr rot="-3120000" vert="horz"/>
          <a:lstStyle/>
          <a:p>
            <a:pPr>
              <a:defRPr sz="600" b="0" i="0" u="none" strike="noStrike" baseline="0">
                <a:solidFill>
                  <a:srgbClr val="000000"/>
                </a:solidFill>
                <a:latin typeface="Calibri"/>
                <a:ea typeface="Calibri"/>
                <a:cs typeface="Calibri"/>
              </a:defRPr>
            </a:pPr>
            <a:endParaRPr lang="en-US"/>
          </a:p>
        </c:txPr>
        <c:crossAx val="136702208"/>
        <c:crosses val="autoZero"/>
        <c:auto val="1"/>
        <c:lblAlgn val="ctr"/>
        <c:lblOffset val="100"/>
        <c:noMultiLvlLbl val="0"/>
      </c:catAx>
      <c:valAx>
        <c:axId val="136702208"/>
        <c:scaling>
          <c:orientation val="minMax"/>
        </c:scaling>
        <c:delete val="0"/>
        <c:axPos val="l"/>
        <c:majorGridlines/>
        <c:numFmt formatCode="_(* #,##0_);_(* \(#,##0\);_(* &quot;-&quot;??_);_(@_)" sourceLinked="1"/>
        <c:majorTickMark val="none"/>
        <c:minorTickMark val="none"/>
        <c:tickLblPos val="nextTo"/>
        <c:spPr>
          <a:ln w="9525">
            <a:noFill/>
          </a:ln>
        </c:spPr>
        <c:txPr>
          <a:bodyPr rot="0" vert="horz"/>
          <a:lstStyle/>
          <a:p>
            <a:pPr>
              <a:defRPr sz="700" b="0" i="0" u="none" strike="noStrike" baseline="0">
                <a:solidFill>
                  <a:srgbClr val="000000"/>
                </a:solidFill>
                <a:latin typeface="Calibri"/>
                <a:ea typeface="Calibri"/>
                <a:cs typeface="Calibri"/>
              </a:defRPr>
            </a:pPr>
            <a:endParaRPr lang="en-US"/>
          </a:p>
        </c:txPr>
        <c:crossAx val="136700672"/>
        <c:crosses val="autoZero"/>
        <c:crossBetween val="between"/>
      </c:valAx>
      <c:spPr>
        <a:noFill/>
        <a:ln w="25400">
          <a:noFill/>
        </a:ln>
      </c:spPr>
    </c:plotArea>
    <c:legend>
      <c:legendPos val="b"/>
      <c:layout>
        <c:manualLayout>
          <c:xMode val="edge"/>
          <c:yMode val="edge"/>
          <c:x val="1.2947000362085829E-2"/>
          <c:y val="0.88553499111580125"/>
          <c:w val="0.96339258210431311"/>
          <c:h val="9.3851863877840058E-2"/>
        </c:manualLayout>
      </c:layout>
      <c:overlay val="0"/>
      <c:txPr>
        <a:bodyPr/>
        <a:lstStyle/>
        <a:p>
          <a:pPr>
            <a:defRPr sz="800" b="0" i="0" u="none" strike="noStrike" baseline="0">
              <a:solidFill>
                <a:srgbClr val="000000"/>
              </a:solidFill>
              <a:latin typeface="Calibri"/>
              <a:ea typeface="Calibri"/>
              <a:cs typeface="Calibri"/>
            </a:defRPr>
          </a:pPr>
          <a:endParaRPr lang="en-US"/>
        </a:p>
      </c:txPr>
    </c:legend>
    <c:plotVisOnly val="1"/>
    <c:dispBlanksAs val="gap"/>
    <c:showDLblsOverMax val="0"/>
  </c:chart>
  <c:spPr>
    <a:ln>
      <a:noFill/>
    </a:ln>
    <a:effectLst>
      <a:outerShdw blurRad="63500" sx="102000" sy="102000" algn="ctr" rotWithShape="0">
        <a:prstClr val="black">
          <a:alpha val="40000"/>
        </a:prstClr>
      </a:outerShdw>
    </a:effectLst>
  </c:spPr>
  <c:txPr>
    <a:bodyPr/>
    <a:lstStyle/>
    <a:p>
      <a:pPr>
        <a:defRPr sz="7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80" b="1" i="0" u="none" strike="noStrike" baseline="0">
                <a:solidFill>
                  <a:srgbClr val="000000"/>
                </a:solidFill>
                <a:latin typeface="Calibri"/>
                <a:ea typeface="Calibri"/>
                <a:cs typeface="Calibri"/>
              </a:defRPr>
            </a:pPr>
            <a:r>
              <a:rPr lang="hy-AM"/>
              <a:t>Մասհանումների կառուցվածքն ըստ վարկատուների (%)</a:t>
            </a:r>
          </a:p>
        </c:rich>
      </c:tx>
      <c:layout>
        <c:manualLayout>
          <c:xMode val="edge"/>
          <c:yMode val="edge"/>
          <c:x val="0.22124391347633271"/>
          <c:y val="2.3097838911214936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550860062898772"/>
          <c:y val="0.20616419315917628"/>
          <c:w val="0.81388888888888888"/>
          <c:h val="0.6921908719743366"/>
        </c:manualLayout>
      </c:layout>
      <c:pie3DChart>
        <c:varyColors val="1"/>
        <c:ser>
          <c:idx val="0"/>
          <c:order val="0"/>
          <c:explosion val="20"/>
          <c:dPt>
            <c:idx val="0"/>
            <c:bubble3D val="0"/>
            <c:extLst>
              <c:ext xmlns:c16="http://schemas.microsoft.com/office/drawing/2014/chart" uri="{C3380CC4-5D6E-409C-BE32-E72D297353CC}">
                <c16:uniqueId val="{00000000-1CB1-4D51-A133-9C72026798FA}"/>
              </c:ext>
            </c:extLst>
          </c:dPt>
          <c:dPt>
            <c:idx val="1"/>
            <c:bubble3D val="0"/>
            <c:extLst>
              <c:ext xmlns:c16="http://schemas.microsoft.com/office/drawing/2014/chart" uri="{C3380CC4-5D6E-409C-BE32-E72D297353CC}">
                <c16:uniqueId val="{00000001-1CB1-4D51-A133-9C72026798FA}"/>
              </c:ext>
            </c:extLst>
          </c:dPt>
          <c:dPt>
            <c:idx val="2"/>
            <c:bubble3D val="0"/>
            <c:extLst>
              <c:ext xmlns:c16="http://schemas.microsoft.com/office/drawing/2014/chart" uri="{C3380CC4-5D6E-409C-BE32-E72D297353CC}">
                <c16:uniqueId val="{00000002-1CB1-4D51-A133-9C72026798FA}"/>
              </c:ext>
            </c:extLst>
          </c:dPt>
          <c:dPt>
            <c:idx val="3"/>
            <c:bubble3D val="0"/>
            <c:extLst>
              <c:ext xmlns:c16="http://schemas.microsoft.com/office/drawing/2014/chart" uri="{C3380CC4-5D6E-409C-BE32-E72D297353CC}">
                <c16:uniqueId val="{00000003-1CB1-4D51-A133-9C72026798FA}"/>
              </c:ext>
            </c:extLst>
          </c:dPt>
          <c:dPt>
            <c:idx val="4"/>
            <c:bubble3D val="0"/>
            <c:extLst>
              <c:ext xmlns:c16="http://schemas.microsoft.com/office/drawing/2014/chart" uri="{C3380CC4-5D6E-409C-BE32-E72D297353CC}">
                <c16:uniqueId val="{00000004-1CB1-4D51-A133-9C72026798FA}"/>
              </c:ext>
            </c:extLst>
          </c:dPt>
          <c:dPt>
            <c:idx val="5"/>
            <c:bubble3D val="0"/>
            <c:extLst>
              <c:ext xmlns:c16="http://schemas.microsoft.com/office/drawing/2014/chart" uri="{C3380CC4-5D6E-409C-BE32-E72D297353CC}">
                <c16:uniqueId val="{00000005-1CB1-4D51-A133-9C72026798FA}"/>
              </c:ext>
            </c:extLst>
          </c:dPt>
          <c:dPt>
            <c:idx val="6"/>
            <c:bubble3D val="0"/>
            <c:extLst>
              <c:ext xmlns:c16="http://schemas.microsoft.com/office/drawing/2014/chart" uri="{C3380CC4-5D6E-409C-BE32-E72D297353CC}">
                <c16:uniqueId val="{00000006-1CB1-4D51-A133-9C72026798FA}"/>
              </c:ext>
            </c:extLst>
          </c:dPt>
          <c:dPt>
            <c:idx val="7"/>
            <c:bubble3D val="0"/>
            <c:extLst>
              <c:ext xmlns:c16="http://schemas.microsoft.com/office/drawing/2014/chart" uri="{C3380CC4-5D6E-409C-BE32-E72D297353CC}">
                <c16:uniqueId val="{00000007-1CB1-4D51-A133-9C72026798FA}"/>
              </c:ext>
            </c:extLst>
          </c:dPt>
          <c:dPt>
            <c:idx val="8"/>
            <c:bubble3D val="0"/>
            <c:extLst>
              <c:ext xmlns:c16="http://schemas.microsoft.com/office/drawing/2014/chart" uri="{C3380CC4-5D6E-409C-BE32-E72D297353CC}">
                <c16:uniqueId val="{00000008-1CB1-4D51-A133-9C72026798FA}"/>
              </c:ext>
            </c:extLst>
          </c:dPt>
          <c:dLbls>
            <c:dLbl>
              <c:idx val="0"/>
              <c:layout>
                <c:manualLayout>
                  <c:x val="-0.18259281911717348"/>
                  <c:y val="5.3800425277369043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0-1CB1-4D51-A133-9C72026798FA}"/>
                </c:ext>
              </c:extLst>
            </c:dLbl>
            <c:dLbl>
              <c:idx val="1"/>
              <c:layout>
                <c:manualLayout>
                  <c:x val="3.4901942334347784E-2"/>
                  <c:y val="-0.2483448094183946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CB1-4D51-A133-9C72026798FA}"/>
                </c:ext>
              </c:extLst>
            </c:dLbl>
            <c:dLbl>
              <c:idx val="2"/>
              <c:layout>
                <c:manualLayout>
                  <c:x val="5.5872421892246525E-3"/>
                  <c:y val="3.245141402542058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2-1CB1-4D51-A133-9C72026798FA}"/>
                </c:ext>
              </c:extLst>
            </c:dLbl>
            <c:dLbl>
              <c:idx val="3"/>
              <c:layout>
                <c:manualLayout>
                  <c:x val="-3.862646887451731E-2"/>
                  <c:y val="3.4451178245359718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CB1-4D51-A133-9C72026798FA}"/>
                </c:ext>
              </c:extLst>
            </c:dLbl>
            <c:dLbl>
              <c:idx val="4"/>
              <c:layout>
                <c:manualLayout>
                  <c:x val="-3.8023357231006416E-2"/>
                  <c:y val="3.2639164814628925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1CB1-4D51-A133-9C72026798FA}"/>
                </c:ext>
              </c:extLst>
            </c:dLbl>
            <c:dLbl>
              <c:idx val="5"/>
              <c:layout>
                <c:manualLayout>
                  <c:x val="-4.3670313444341101E-2"/>
                  <c:y val="0.1182920936541688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CB1-4D51-A133-9C72026798FA}"/>
                </c:ext>
              </c:extLst>
            </c:dLbl>
            <c:dLbl>
              <c:idx val="6"/>
              <c:layout>
                <c:manualLayout>
                  <c:x val="-8.8600954700579423E-2"/>
                  <c:y val="9.0637421206524418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6-1CB1-4D51-A133-9C72026798FA}"/>
                </c:ext>
              </c:extLst>
            </c:dLbl>
            <c:dLbl>
              <c:idx val="7"/>
              <c:layout>
                <c:manualLayout>
                  <c:x val="-0.16616404347180955"/>
                  <c:y val="1.0555160163066655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1CB1-4D51-A133-9C72026798FA}"/>
                </c:ext>
              </c:extLst>
            </c:dLbl>
            <c:dLbl>
              <c:idx val="8"/>
              <c:layout>
                <c:manualLayout>
                  <c:x val="-7.3741934082955443E-2"/>
                  <c:y val="-7.6694014242862409E-3"/>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1CB1-4D51-A133-9C72026798FA}"/>
                </c:ext>
              </c:extLst>
            </c:dLbl>
            <c:dLbl>
              <c:idx val="9"/>
              <c:layout>
                <c:manualLayout>
                  <c:x val="-1.1275274413083545E-2"/>
                  <c:y val="-3.3939229872460452E-2"/>
                </c:manualLayout>
              </c:layout>
              <c:numFmt formatCode="0.0%" sourceLinked="0"/>
              <c:spPr/>
              <c:txPr>
                <a:bodyPr/>
                <a:lstStyle/>
                <a:p>
                  <a:pPr>
                    <a:defRPr sz="9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1CB1-4D51-A133-9C72026798FA}"/>
                </c:ext>
              </c:extLst>
            </c:dLbl>
            <c:dLbl>
              <c:idx val="10"/>
              <c:layout>
                <c:manualLayout>
                  <c:x val="-5.3209176416941409E-2"/>
                  <c:y val="-1.91713204120038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A-1CB1-4D51-A133-9C72026798FA}"/>
                </c:ext>
              </c:extLst>
            </c:dLbl>
            <c:dLbl>
              <c:idx val="11"/>
              <c:layout>
                <c:manualLayout>
                  <c:x val="3.1334662724334647E-2"/>
                  <c:y val="5.175954509002577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CB1-4D51-A133-9C72026798FA}"/>
                </c:ext>
              </c:extLst>
            </c:dLbl>
            <c:numFmt formatCode="0.0%" sourceLinked="0"/>
            <c:spPr>
              <a:noFill/>
              <a:ln w="25400">
                <a:noFill/>
              </a:ln>
            </c:spPr>
            <c:txPr>
              <a:bodyPr/>
              <a:lstStyle/>
              <a:p>
                <a:pPr>
                  <a:defRPr sz="9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Budget'!$C$115:$C$123</c:f>
              <c:strCache>
                <c:ptCount val="9"/>
                <c:pt idx="0">
                  <c:v>Ենթակա է հստակեցման</c:v>
                </c:pt>
                <c:pt idx="1">
                  <c:v>ՎԶՄԲ</c:v>
                </c:pt>
                <c:pt idx="2">
                  <c:v>ԶՄԸ</c:v>
                </c:pt>
                <c:pt idx="3">
                  <c:v>ՎԶԵԲ</c:v>
                </c:pt>
                <c:pt idx="4">
                  <c:v>ԵՆԲ</c:v>
                </c:pt>
                <c:pt idx="5">
                  <c:v>ԱԶԲ</c:v>
                </c:pt>
                <c:pt idx="6">
                  <c:v>ԵԶԲ (ԿԶԵՀ).</c:v>
                </c:pt>
                <c:pt idx="7">
                  <c:v>Ֆրանսիա</c:v>
                </c:pt>
                <c:pt idx="8">
                  <c:v>Գերմանիա (ՎՎԲ)</c:v>
                </c:pt>
              </c:strCache>
            </c:strRef>
          </c:cat>
          <c:val>
            <c:numRef>
              <c:f>'Disbursement for Budget'!$D$115:$D$123</c:f>
              <c:numCache>
                <c:formatCode>_(* #,##0.0_);_(* \(#,##0.0\);_(* "-"??_);_(@_)</c:formatCode>
                <c:ptCount val="9"/>
                <c:pt idx="0">
                  <c:v>223.68265158655356</c:v>
                </c:pt>
                <c:pt idx="1">
                  <c:v>49.05663259087985</c:v>
                </c:pt>
                <c:pt idx="2">
                  <c:v>5.3974605921782386</c:v>
                </c:pt>
                <c:pt idx="3">
                  <c:v>39.1818165100687</c:v>
                </c:pt>
                <c:pt idx="4">
                  <c:v>26.032091109016651</c:v>
                </c:pt>
                <c:pt idx="5">
                  <c:v>57.093022934338684</c:v>
                </c:pt>
                <c:pt idx="6">
                  <c:v>19.43444088386218</c:v>
                </c:pt>
                <c:pt idx="7">
                  <c:v>7.8606800712116449</c:v>
                </c:pt>
                <c:pt idx="8">
                  <c:v>49.289129332914449</c:v>
                </c:pt>
              </c:numCache>
            </c:numRef>
          </c:val>
          <c:extLst>
            <c:ext xmlns:c16="http://schemas.microsoft.com/office/drawing/2014/chart" uri="{C3380CC4-5D6E-409C-BE32-E72D297353CC}">
              <c16:uniqueId val="{0000000C-1CB1-4D51-A133-9C72026798FA}"/>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80" b="1" i="0" u="none" strike="noStrike" baseline="0">
                <a:solidFill>
                  <a:srgbClr val="000000"/>
                </a:solidFill>
                <a:latin typeface="Calibri"/>
                <a:ea typeface="Calibri"/>
                <a:cs typeface="Calibri"/>
              </a:defRPr>
            </a:pPr>
            <a:r>
              <a:rPr lang="hy-AM"/>
              <a:t>Մասհանումների կառուցվածքն ըստ ոլորտների (մլն ԱՄՆ դոլար)</a:t>
            </a:r>
          </a:p>
        </c:rich>
      </c:tx>
      <c:layout/>
      <c:overlay val="0"/>
    </c:title>
    <c:autoTitleDeleted val="0"/>
    <c:plotArea>
      <c:layout/>
      <c:barChart>
        <c:barDir val="bar"/>
        <c:grouping val="clustered"/>
        <c:varyColors val="0"/>
        <c:ser>
          <c:idx val="0"/>
          <c:order val="0"/>
          <c:spPr>
            <a:scene3d>
              <a:camera prst="orthographicFront"/>
              <a:lightRig rig="threePt" dir="t"/>
            </a:scene3d>
            <a:sp3d>
              <a:bevelT w="101600" prst="riblet"/>
              <a:bevelB/>
            </a:sp3d>
          </c:spPr>
          <c:invertIfNegative val="0"/>
          <c:dLbls>
            <c:spPr>
              <a:noFill/>
              <a:ln w="25400">
                <a:noFill/>
              </a:ln>
            </c:spPr>
            <c:txPr>
              <a:bodyPr/>
              <a:lstStyle/>
              <a:p>
                <a:pPr>
                  <a:defRPr sz="900" b="0" i="0" u="none" strike="noStrike" baseline="0">
                    <a:solidFill>
                      <a:srgbClr val="000000"/>
                    </a:solidFill>
                    <a:latin typeface="Calibri"/>
                    <a:ea typeface="Calibri"/>
                    <a:cs typeface="Calibri"/>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'Disbursement for Budget'!$C$131:$C$140</c:f>
              <c:strCache>
                <c:ptCount val="10"/>
                <c:pt idx="1">
                  <c:v>Կոշտ թափոնների կառավարում</c:v>
                </c:pt>
                <c:pt idx="2">
                  <c:v>Ջրամատակարարում և ջրահեռացում</c:v>
                </c:pt>
                <c:pt idx="3">
                  <c:v>Կրթություն և սոց. ոլորտ</c:v>
                </c:pt>
                <c:pt idx="4">
                  <c:v>Պետական հատվածի բարեփոխումներ և այլն</c:v>
                </c:pt>
                <c:pt idx="5">
                  <c:v>Գյուղատնտեսություն և ոռոգում</c:v>
                </c:pt>
                <c:pt idx="6">
                  <c:v>Էներգետիկա</c:v>
                </c:pt>
                <c:pt idx="7">
                  <c:v>Ենթակա է հստակեցման</c:v>
                </c:pt>
                <c:pt idx="8">
                  <c:v>Ճանապարհաշինություն և տրանսպորտ</c:v>
                </c:pt>
                <c:pt idx="9">
                  <c:v>Բյուջետային աջակցություն</c:v>
                </c:pt>
              </c:strCache>
            </c:strRef>
          </c:cat>
          <c:val>
            <c:numRef>
              <c:f>'Disbursement for Budget'!$D$131:$D$140</c:f>
              <c:numCache>
                <c:formatCode>_(* #,##0.0_);_(* \(#,##0.0\);_(* "-"??_);_(@_)</c:formatCode>
                <c:ptCount val="10"/>
                <c:pt idx="1">
                  <c:v>7.7091004293643284</c:v>
                </c:pt>
                <c:pt idx="2">
                  <c:v>13.111560791705937</c:v>
                </c:pt>
                <c:pt idx="3">
                  <c:v>23.164043883784849</c:v>
                </c:pt>
                <c:pt idx="4">
                  <c:v>30.781528616479218</c:v>
                </c:pt>
                <c:pt idx="5">
                  <c:v>24.580084825636192</c:v>
                </c:pt>
                <c:pt idx="6">
                  <c:v>44.39594386846791</c:v>
                </c:pt>
                <c:pt idx="7">
                  <c:v>23.682651586553568</c:v>
                </c:pt>
                <c:pt idx="8">
                  <c:v>109.60301160903195</c:v>
                </c:pt>
                <c:pt idx="9">
                  <c:v>200</c:v>
                </c:pt>
              </c:numCache>
            </c:numRef>
          </c:val>
          <c:extLst>
            <c:ext xmlns:c16="http://schemas.microsoft.com/office/drawing/2014/chart" uri="{C3380CC4-5D6E-409C-BE32-E72D297353CC}">
              <c16:uniqueId val="{00000000-87E3-4033-BB01-ED170BB1018A}"/>
            </c:ext>
          </c:extLst>
        </c:ser>
        <c:dLbls>
          <c:showLegendKey val="0"/>
          <c:showVal val="0"/>
          <c:showCatName val="0"/>
          <c:showSerName val="0"/>
          <c:showPercent val="0"/>
          <c:showBubbleSize val="0"/>
        </c:dLbls>
        <c:gapWidth val="29"/>
        <c:overlap val="-25"/>
        <c:axId val="136865280"/>
        <c:axId val="136866816"/>
      </c:barChart>
      <c:catAx>
        <c:axId val="136865280"/>
        <c:scaling>
          <c:orientation val="minMax"/>
        </c:scaling>
        <c:delete val="0"/>
        <c:axPos val="l"/>
        <c:numFmt formatCode="General" sourceLinked="1"/>
        <c:majorTickMark val="none"/>
        <c:minorTickMark val="none"/>
        <c:tickLblPos val="nextTo"/>
        <c:txPr>
          <a:bodyPr rot="0" vert="horz"/>
          <a:lstStyle/>
          <a:p>
            <a:pPr>
              <a:defRPr sz="900" b="0" i="0" u="none" strike="noStrike" baseline="0">
                <a:solidFill>
                  <a:srgbClr val="000000"/>
                </a:solidFill>
                <a:latin typeface="Calibri"/>
                <a:ea typeface="Calibri"/>
                <a:cs typeface="Calibri"/>
              </a:defRPr>
            </a:pPr>
            <a:endParaRPr lang="en-US"/>
          </a:p>
        </c:txPr>
        <c:crossAx val="136866816"/>
        <c:crosses val="autoZero"/>
        <c:auto val="1"/>
        <c:lblAlgn val="ctr"/>
        <c:lblOffset val="100"/>
        <c:noMultiLvlLbl val="0"/>
      </c:catAx>
      <c:valAx>
        <c:axId val="136866816"/>
        <c:scaling>
          <c:orientation val="minMax"/>
        </c:scaling>
        <c:delete val="1"/>
        <c:axPos val="b"/>
        <c:numFmt formatCode="_(* #,##0.0_);_(* \(#,##0.0\);_(* &quot;-&quot;??_);_(@_)" sourceLinked="1"/>
        <c:majorTickMark val="out"/>
        <c:minorTickMark val="none"/>
        <c:tickLblPos val="nextTo"/>
        <c:crossAx val="136865280"/>
        <c:crosses val="autoZero"/>
        <c:crossBetween val="between"/>
      </c:valAx>
    </c:plotArea>
    <c:plotVisOnly val="1"/>
    <c:dispBlanksAs val="gap"/>
    <c:showDLblsOverMax val="0"/>
  </c:chart>
  <c:spPr>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Տնտեսական աճի փոփոխություն</a:t>
            </a:r>
            <a:endParaRPr lang="en-US" sz="800"/>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rgbClr val="C00000"/>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3A5A-40EC-9CDA-8126609BCE38}"/>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3-3A5A-40EC-9CDA-8126609BCE3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-3.1</c:v>
                </c:pt>
                <c:pt idx="1">
                  <c:v>5.5</c:v>
                </c:pt>
                <c:pt idx="2">
                  <c:v>-6</c:v>
                </c:pt>
                <c:pt idx="3">
                  <c:v>9.1999999999999993</c:v>
                </c:pt>
              </c:numCache>
            </c:numRef>
          </c:val>
          <c:extLst>
            <c:ext xmlns:c16="http://schemas.microsoft.com/office/drawing/2014/chart" uri="{C3380CC4-5D6E-409C-BE32-E72D297353CC}">
              <c16:uniqueId val="{00000004-3A5A-40EC-9CDA-8126609BCE38}"/>
            </c:ext>
          </c:extLst>
        </c:ser>
        <c:dLbls>
          <c:showLegendKey val="0"/>
          <c:showVal val="0"/>
          <c:showCatName val="0"/>
          <c:showSerName val="0"/>
          <c:showPercent val="0"/>
          <c:showBubbleSize val="0"/>
        </c:dLbls>
        <c:gapWidth val="219"/>
        <c:overlap val="-27"/>
        <c:axId val="303078016"/>
        <c:axId val="303083904"/>
      </c:barChart>
      <c:catAx>
        <c:axId val="30307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083904"/>
        <c:crosses val="autoZero"/>
        <c:auto val="1"/>
        <c:lblAlgn val="ctr"/>
        <c:lblOffset val="100"/>
        <c:noMultiLvlLbl val="0"/>
      </c:catAx>
      <c:valAx>
        <c:axId val="3030839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տոկոսային</a:t>
                </a:r>
                <a:r>
                  <a:rPr lang="hy-AM"/>
                  <a:t> կետ</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078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Calibri"/>
                <a:ea typeface="Calibri"/>
                <a:cs typeface="Calibri"/>
              </a:defRPr>
            </a:pPr>
            <a:r>
              <a:rPr lang="hy-AM"/>
              <a:t>Մասհանումների կառուցվածքն ըստ տոկոսադրույքի տեսակի (%)</a:t>
            </a:r>
          </a:p>
        </c:rich>
      </c:tx>
      <c:layout>
        <c:manualLayout>
          <c:xMode val="edge"/>
          <c:yMode val="edge"/>
          <c:x val="0.11641303904369465"/>
          <c:y val="2.6754998076006366E-2"/>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074638926046888E-2"/>
          <c:y val="0.24850730345825808"/>
          <c:w val="0.86638771298542872"/>
          <c:h val="0.73628704415910262"/>
        </c:manualLayout>
      </c:layout>
      <c:pie3DChart>
        <c:varyColors val="1"/>
        <c:ser>
          <c:idx val="0"/>
          <c:order val="0"/>
          <c:explosion val="2"/>
          <c:dPt>
            <c:idx val="0"/>
            <c:bubble3D val="0"/>
            <c:spPr>
              <a:solidFill>
                <a:schemeClr val="accent1">
                  <a:lumMod val="60000"/>
                  <a:lumOff val="40000"/>
                </a:schemeClr>
              </a:solidFill>
            </c:spPr>
            <c:extLst>
              <c:ext xmlns:c16="http://schemas.microsoft.com/office/drawing/2014/chart" uri="{C3380CC4-5D6E-409C-BE32-E72D297353CC}">
                <c16:uniqueId val="{00000001-E723-43D4-8F2B-26FA661A07B8}"/>
              </c:ext>
            </c:extLst>
          </c:dPt>
          <c:dPt>
            <c:idx val="1"/>
            <c:bubble3D val="0"/>
            <c:spPr>
              <a:solidFill>
                <a:schemeClr val="accent3">
                  <a:lumMod val="60000"/>
                  <a:lumOff val="40000"/>
                </a:schemeClr>
              </a:solidFill>
            </c:spPr>
            <c:extLst>
              <c:ext xmlns:c16="http://schemas.microsoft.com/office/drawing/2014/chart" uri="{C3380CC4-5D6E-409C-BE32-E72D297353CC}">
                <c16:uniqueId val="{00000003-E723-43D4-8F2B-26FA661A07B8}"/>
              </c:ext>
            </c:extLst>
          </c:dPt>
          <c:dPt>
            <c:idx val="2"/>
            <c:bubble3D val="0"/>
            <c:extLst>
              <c:ext xmlns:c16="http://schemas.microsoft.com/office/drawing/2014/chart" uri="{C3380CC4-5D6E-409C-BE32-E72D297353CC}">
                <c16:uniqueId val="{00000004-E723-43D4-8F2B-26FA661A07B8}"/>
              </c:ext>
            </c:extLst>
          </c:dPt>
          <c:dLbls>
            <c:dLbl>
              <c:idx val="0"/>
              <c:layout>
                <c:manualLayout>
                  <c:x val="-2.551602849207912E-2"/>
                  <c:y val="-0.21867182589339776"/>
                </c:manualLayout>
              </c:layout>
              <c:numFmt formatCode="0.0%" sourceLinked="0"/>
              <c:spPr/>
              <c:txPr>
                <a:bodyPr/>
                <a:lstStyle/>
                <a:p>
                  <a:pPr>
                    <a:defRPr sz="6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723-43D4-8F2B-26FA661A07B8}"/>
                </c:ext>
              </c:extLst>
            </c:dLbl>
            <c:dLbl>
              <c:idx val="1"/>
              <c:layout>
                <c:manualLayout>
                  <c:x val="-8.2832639591495824E-2"/>
                  <c:y val="-8.0560056743805175E-2"/>
                </c:manualLayout>
              </c:layout>
              <c:numFmt formatCode="0.0%" sourceLinked="0"/>
              <c:spPr/>
              <c:txPr>
                <a:bodyPr/>
                <a:lstStyle/>
                <a:p>
                  <a:pPr>
                    <a:defRPr sz="6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723-43D4-8F2B-26FA661A07B8}"/>
                </c:ext>
              </c:extLst>
            </c:dLbl>
            <c:dLbl>
              <c:idx val="2"/>
              <c:layout>
                <c:manualLayout>
                  <c:x val="-8.2190413461081427E-2"/>
                  <c:y val="0.12608139045389277"/>
                </c:manualLayout>
              </c:layout>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4-E723-43D4-8F2B-26FA661A07B8}"/>
                </c:ext>
              </c:extLst>
            </c:dLbl>
            <c:numFmt formatCode="0.0%" sourceLinked="0"/>
            <c:spPr>
              <a:noFill/>
              <a:ln w="25400">
                <a:noFill/>
              </a:ln>
            </c:spPr>
            <c:txPr>
              <a:bodyPr/>
              <a:lstStyle/>
              <a:p>
                <a:pPr>
                  <a:defRPr sz="6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Budget'!$C$146:$C$148</c:f>
              <c:strCache>
                <c:ptCount val="3"/>
                <c:pt idx="0">
                  <c:v>ենթակա է հստակեցման</c:v>
                </c:pt>
                <c:pt idx="1">
                  <c:v>լողացող տոկոսադրույքով</c:v>
                </c:pt>
                <c:pt idx="2">
                  <c:v>ֆիքսված տոկոսադրույքով</c:v>
                </c:pt>
              </c:strCache>
            </c:strRef>
          </c:cat>
          <c:val>
            <c:numRef>
              <c:f>'Disbursement for Budget'!$D$146:$D$148</c:f>
              <c:numCache>
                <c:formatCode>_(* #,##0.0_);_(* \(#,##0.0\);_(* "-"??_);_(@_)</c:formatCode>
                <c:ptCount val="3"/>
                <c:pt idx="0">
                  <c:v>223.68265158655356</c:v>
                </c:pt>
                <c:pt idx="1">
                  <c:v>159.18545590794406</c:v>
                </c:pt>
                <c:pt idx="2">
                  <c:v>94.159818116526338</c:v>
                </c:pt>
              </c:numCache>
            </c:numRef>
          </c:val>
          <c:extLst>
            <c:ext xmlns:c16="http://schemas.microsoft.com/office/drawing/2014/chart" uri="{C3380CC4-5D6E-409C-BE32-E72D297353CC}">
              <c16:uniqueId val="{00000005-E723-43D4-8F2B-26FA661A07B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8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b="1" i="0" u="none" strike="noStrike" baseline="0">
                <a:solidFill>
                  <a:srgbClr val="000000"/>
                </a:solidFill>
                <a:latin typeface="Calibri"/>
                <a:ea typeface="Calibri"/>
                <a:cs typeface="Calibri"/>
              </a:defRPr>
            </a:pPr>
            <a:r>
              <a:rPr lang="hy-AM"/>
              <a:t>Մասհանումների կառուցվածքն ըստ վարկի արժույթի (%)</a:t>
            </a:r>
          </a:p>
        </c:rich>
      </c:tx>
      <c:layout>
        <c:manualLayout>
          <c:xMode val="edge"/>
          <c:yMode val="edge"/>
          <c:x val="0.13704315916043069"/>
          <c:y val="6.7142100658470318E-3"/>
        </c:manualLayout>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5.7416117283928834E-2"/>
          <c:y val="0.20326550215172096"/>
          <c:w val="0.88453756269741102"/>
          <c:h val="0.75297997215127566"/>
        </c:manualLayout>
      </c:layout>
      <c:pie3DChart>
        <c:varyColors val="1"/>
        <c:ser>
          <c:idx val="0"/>
          <c:order val="0"/>
          <c:dPt>
            <c:idx val="0"/>
            <c:bubble3D val="0"/>
            <c:spPr>
              <a:solidFill>
                <a:schemeClr val="bg2">
                  <a:lumMod val="75000"/>
                </a:schemeClr>
              </a:solidFill>
            </c:spPr>
            <c:extLst>
              <c:ext xmlns:c16="http://schemas.microsoft.com/office/drawing/2014/chart" uri="{C3380CC4-5D6E-409C-BE32-E72D297353CC}">
                <c16:uniqueId val="{00000001-7F77-4B34-BB94-E73E1CBBC588}"/>
              </c:ext>
            </c:extLst>
          </c:dPt>
          <c:dPt>
            <c:idx val="1"/>
            <c:bubble3D val="0"/>
            <c:spPr>
              <a:solidFill>
                <a:schemeClr val="accent4">
                  <a:lumMod val="40000"/>
                  <a:lumOff val="60000"/>
                </a:schemeClr>
              </a:solidFill>
            </c:spPr>
            <c:extLst>
              <c:ext xmlns:c16="http://schemas.microsoft.com/office/drawing/2014/chart" uri="{C3380CC4-5D6E-409C-BE32-E72D297353CC}">
                <c16:uniqueId val="{00000003-7F77-4B34-BB94-E73E1CBBC588}"/>
              </c:ext>
            </c:extLst>
          </c:dPt>
          <c:dPt>
            <c:idx val="2"/>
            <c:bubble3D val="0"/>
            <c:spPr>
              <a:solidFill>
                <a:schemeClr val="accent6">
                  <a:lumMod val="40000"/>
                  <a:lumOff val="60000"/>
                </a:schemeClr>
              </a:solidFill>
            </c:spPr>
            <c:extLst>
              <c:ext xmlns:c16="http://schemas.microsoft.com/office/drawing/2014/chart" uri="{C3380CC4-5D6E-409C-BE32-E72D297353CC}">
                <c16:uniqueId val="{00000005-7F77-4B34-BB94-E73E1CBBC588}"/>
              </c:ext>
            </c:extLst>
          </c:dPt>
          <c:dLbls>
            <c:dLbl>
              <c:idx val="0"/>
              <c:layout>
                <c:manualLayout>
                  <c:x val="0.10020784569309901"/>
                  <c:y val="-0.198272173552001"/>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F77-4B34-BB94-E73E1CBBC588}"/>
                </c:ext>
              </c:extLst>
            </c:dLbl>
            <c:dLbl>
              <c:idx val="1"/>
              <c:layout>
                <c:manualLayout>
                  <c:x val="-9.527676973536521E-2"/>
                  <c:y val="-8.9111710395003332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F77-4B34-BB94-E73E1CBBC588}"/>
                </c:ext>
              </c:extLst>
            </c:dLbl>
            <c:dLbl>
              <c:idx val="2"/>
              <c:layout>
                <c:manualLayout>
                  <c:x val="-6.4671308200933628E-2"/>
                  <c:y val="-0.10437444608949981"/>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F77-4B34-BB94-E73E1CBBC588}"/>
                </c:ext>
              </c:extLst>
            </c:dLbl>
            <c:numFmt formatCode="0.0%" sourceLinked="0"/>
            <c:spPr>
              <a:noFill/>
              <a:ln w="25400">
                <a:noFill/>
              </a:ln>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'Disbursement for Budget'!$C$154:$C$156</c:f>
              <c:strCache>
                <c:ptCount val="3"/>
                <c:pt idx="0">
                  <c:v>USD</c:v>
                </c:pt>
                <c:pt idx="1">
                  <c:v>SDR</c:v>
                </c:pt>
                <c:pt idx="2">
                  <c:v>EUR</c:v>
                </c:pt>
              </c:strCache>
            </c:strRef>
          </c:cat>
          <c:val>
            <c:numRef>
              <c:f>'Disbursement for Budget'!$D$154:$D$156</c:f>
              <c:numCache>
                <c:formatCode>_(* #,##0.0_);_(* \(#,##0.0\);_(* "-"??_);_(@_)</c:formatCode>
                <c:ptCount val="3"/>
                <c:pt idx="0">
                  <c:v>305.63518154888595</c:v>
                </c:pt>
                <c:pt idx="1">
                  <c:v>17.741842621710127</c:v>
                </c:pt>
                <c:pt idx="2">
                  <c:v>153.6509014404279</c:v>
                </c:pt>
              </c:numCache>
            </c:numRef>
          </c:val>
          <c:extLst>
            <c:ext xmlns:c16="http://schemas.microsoft.com/office/drawing/2014/chart" uri="{C3380CC4-5D6E-409C-BE32-E72D297353CC}">
              <c16:uniqueId val="{00000006-7F77-4B34-BB94-E73E1CBBC58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effectLst>
      <a:outerShdw blurRad="63500" sx="102000" sy="102000" algn="ctr" rotWithShape="0">
        <a:prstClr val="black">
          <a:alpha val="40000"/>
        </a:prstClr>
      </a:outerShdw>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Calibri"/>
                <a:ea typeface="Calibri"/>
                <a:cs typeface="Calibri"/>
              </a:defRPr>
            </a:pPr>
            <a:r>
              <a:rPr lang="hy-AM"/>
              <a:t>Սպասարկման ծախսերի կառուցվածքը (%)</a:t>
            </a:r>
          </a:p>
        </c:rich>
      </c:tx>
      <c:layout/>
      <c:overlay val="0"/>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8.6105170982270385E-2"/>
          <c:y val="0.20961392743416313"/>
          <c:w val="0.85489933817620689"/>
          <c:h val="0.68211979638797848"/>
        </c:manualLayout>
      </c:layout>
      <c:pie3DChart>
        <c:varyColors val="1"/>
        <c:ser>
          <c:idx val="0"/>
          <c:order val="0"/>
          <c:spPr>
            <a:scene3d>
              <a:camera prst="orthographicFront"/>
              <a:lightRig rig="threePt" dir="t"/>
            </a:scene3d>
            <a:sp3d>
              <a:bevelT/>
              <a:bevelB/>
            </a:sp3d>
          </c:spPr>
          <c:explosion val="19"/>
          <c:dPt>
            <c:idx val="0"/>
            <c:bubble3D val="0"/>
            <c:explosion val="0"/>
            <c:spPr>
              <a:solidFill>
                <a:srgbClr val="D92529"/>
              </a:solidFill>
              <a:scene3d>
                <a:camera prst="orthographicFront"/>
                <a:lightRig rig="threePt" dir="t"/>
              </a:scene3d>
              <a:sp3d>
                <a:bevelT/>
                <a:bevelB/>
              </a:sp3d>
            </c:spPr>
            <c:extLst>
              <c:ext xmlns:c16="http://schemas.microsoft.com/office/drawing/2014/chart" uri="{C3380CC4-5D6E-409C-BE32-E72D297353CC}">
                <c16:uniqueId val="{00000001-104C-4784-886F-CB0A98F5CE08}"/>
              </c:ext>
            </c:extLst>
          </c:dPt>
          <c:dPt>
            <c:idx val="1"/>
            <c:bubble3D val="0"/>
            <c:spPr>
              <a:solidFill>
                <a:srgbClr val="FFC000"/>
              </a:solidFill>
              <a:scene3d>
                <a:camera prst="orthographicFront"/>
                <a:lightRig rig="threePt" dir="t"/>
              </a:scene3d>
              <a:sp3d>
                <a:bevelT/>
                <a:bevelB/>
              </a:sp3d>
            </c:spPr>
            <c:extLst>
              <c:ext xmlns:c16="http://schemas.microsoft.com/office/drawing/2014/chart" uri="{C3380CC4-5D6E-409C-BE32-E72D297353CC}">
                <c16:uniqueId val="{00000003-104C-4784-886F-CB0A98F5CE08}"/>
              </c:ext>
            </c:extLst>
          </c:dPt>
          <c:dPt>
            <c:idx val="2"/>
            <c:bubble3D val="0"/>
            <c:spPr>
              <a:solidFill>
                <a:srgbClr val="00B0F0"/>
              </a:solidFill>
              <a:scene3d>
                <a:camera prst="orthographicFront"/>
                <a:lightRig rig="threePt" dir="t"/>
              </a:scene3d>
              <a:sp3d>
                <a:bevelT/>
                <a:bevelB/>
              </a:sp3d>
            </c:spPr>
            <c:extLst>
              <c:ext xmlns:c16="http://schemas.microsoft.com/office/drawing/2014/chart" uri="{C3380CC4-5D6E-409C-BE32-E72D297353CC}">
                <c16:uniqueId val="{00000005-104C-4784-886F-CB0A98F5CE08}"/>
              </c:ext>
            </c:extLst>
          </c:dPt>
          <c:dLbls>
            <c:dLbl>
              <c:idx val="0"/>
              <c:layout>
                <c:manualLayout>
                  <c:x val="-4.3458516542925228E-2"/>
                  <c:y val="0.14475234177068069"/>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104C-4784-886F-CB0A98F5CE08}"/>
                </c:ext>
              </c:extLst>
            </c:dLbl>
            <c:dLbl>
              <c:idx val="1"/>
              <c:layout>
                <c:manualLayout>
                  <c:x val="1.3430297593780611E-2"/>
                  <c:y val="0.10833740092508658"/>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104C-4784-886F-CB0A98F5CE08}"/>
                </c:ext>
              </c:extLst>
            </c:dLbl>
            <c:dLbl>
              <c:idx val="2"/>
              <c:layout>
                <c:manualLayout>
                  <c:x val="-5.3039877619997275E-2"/>
                  <c:y val="3.4079910745415241E-2"/>
                </c:manualLayout>
              </c:layout>
              <c:numFmt formatCode="0.0%" sourceLinked="0"/>
              <c:spPr/>
              <c:txPr>
                <a:bodyPr/>
                <a:lstStyle/>
                <a:p>
                  <a:pPr>
                    <a:defRPr sz="800" b="0" i="0" u="none" strike="noStrike" baseline="0">
                      <a:solidFill>
                        <a:srgbClr val="000000"/>
                      </a:solidFill>
                      <a:latin typeface="Calibri"/>
                      <a:ea typeface="Calibri"/>
                      <a:cs typeface="Calibri"/>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104C-4784-886F-CB0A98F5CE08}"/>
                </c:ext>
              </c:extLst>
            </c:dLbl>
            <c:numFmt formatCode="0.0%" sourceLinked="0"/>
            <c:spPr>
              <a:noFill/>
              <a:ln w="25400">
                <a:noFill/>
              </a:ln>
            </c:spPr>
            <c:txPr>
              <a:bodyPr/>
              <a:lstStyle/>
              <a:p>
                <a:pPr>
                  <a:defRPr sz="800" b="0" i="0" u="none" strike="noStrike" baseline="0">
                    <a:solidFill>
                      <a:srgbClr val="000000"/>
                    </a:solidFill>
                    <a:latin typeface="Calibri"/>
                    <a:ea typeface="Calibri"/>
                    <a:cs typeface="Calibri"/>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UXERZ!$G$89:$G$91</c:f>
              <c:strCache>
                <c:ptCount val="3"/>
                <c:pt idx="0">
                  <c:v>պետ. գանձ. պարտ.</c:v>
                </c:pt>
                <c:pt idx="1">
                  <c:v>արտարժ. պետ. պարտ.</c:v>
                </c:pt>
                <c:pt idx="2">
                  <c:v>արտաքին վարկեր</c:v>
                </c:pt>
              </c:strCache>
            </c:strRef>
          </c:cat>
          <c:val>
            <c:numRef>
              <c:f>UXERZ!$H$89:$H$91</c:f>
              <c:numCache>
                <c:formatCode>_(* #,##0.0_);_(* \(#,##0.0\);_(* "-"??_);_(@_)</c:formatCode>
                <c:ptCount val="3"/>
                <c:pt idx="0">
                  <c:v>131.788562967773</c:v>
                </c:pt>
                <c:pt idx="1">
                  <c:v>40.965209999999992</c:v>
                </c:pt>
                <c:pt idx="2">
                  <c:v>41.090301900000021</c:v>
                </c:pt>
              </c:numCache>
            </c:numRef>
          </c:val>
          <c:extLst>
            <c:ext xmlns:c16="http://schemas.microsoft.com/office/drawing/2014/chart" uri="{C3380CC4-5D6E-409C-BE32-E72D297353CC}">
              <c16:uniqueId val="{00000006-104C-4784-886F-CB0A98F5CE0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effectLst>
      <a:outerShdw blurRad="63500" sx="102000" sy="102000" algn="ctr" rotWithShape="0">
        <a:prstClr val="black">
          <a:alpha val="40000"/>
        </a:prstClr>
      </a:outerShdw>
    </a:effectLst>
  </c:spPr>
  <c:txPr>
    <a:bodyPr/>
    <a:lstStyle/>
    <a:p>
      <a:pPr>
        <a:defRPr sz="9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'Budget 22-1'!$B$3</c:f>
              <c:strCache>
                <c:ptCount val="1"/>
              </c:strCache>
            </c:strRef>
          </c:tx>
          <c:spPr>
            <a:no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22-1'!$B$4:$B$87</c:f>
              <c:numCache>
                <c:formatCode>General</c:formatCode>
                <c:ptCount val="10"/>
                <c:pt idx="0">
                  <c:v>16.389092714898766</c:v>
                </c:pt>
                <c:pt idx="1">
                  <c:v>-5.402548022928471</c:v>
                </c:pt>
                <c:pt idx="2">
                  <c:v>-4.6185653302145795</c:v>
                </c:pt>
                <c:pt idx="3">
                  <c:v>10.276758343158804</c:v>
                </c:pt>
                <c:pt idx="4">
                  <c:v>6.8637498858163442</c:v>
                </c:pt>
                <c:pt idx="5">
                  <c:v>8.9159218759493086</c:v>
                </c:pt>
                <c:pt idx="6">
                  <c:v>13.965400948854533</c:v>
                </c:pt>
                <c:pt idx="7">
                  <c:v>12.655008250236627</c:v>
                </c:pt>
                <c:pt idx="8">
                  <c:v>11.715606759866885</c:v>
                </c:pt>
                <c:pt idx="9">
                  <c:v>10.356068377707405</c:v>
                </c:pt>
              </c:numCache>
            </c:numRef>
          </c:val>
          <c:extLst>
            <c:ext xmlns:c16="http://schemas.microsoft.com/office/drawing/2014/chart" uri="{C3380CC4-5D6E-409C-BE32-E72D297353CC}">
              <c16:uniqueId val="{00000000-3A39-401A-96AF-469AE824B53D}"/>
            </c:ext>
          </c:extLst>
        </c:ser>
        <c:ser>
          <c:idx val="1"/>
          <c:order val="1"/>
          <c:tx>
            <c:strRef>
              <c:f>'Budget 22-1'!$C$3</c:f>
              <c:strCache>
                <c:ptCount val="1"/>
              </c:strCache>
            </c:strRef>
          </c:tx>
          <c:spPr>
            <a:solidFill>
              <a:srgbClr val="FF0000">
                <a:alpha val="2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22-1'!$C$4:$C$87</c:f>
              <c:numCache>
                <c:formatCode>General</c:formatCode>
                <c:ptCount val="10"/>
                <c:pt idx="4">
                  <c:v>1.0280506040130417</c:v>
                </c:pt>
                <c:pt idx="5">
                  <c:v>1.152668519855137</c:v>
                </c:pt>
                <c:pt idx="6">
                  <c:v>1.3244188527626228</c:v>
                </c:pt>
                <c:pt idx="7">
                  <c:v>1.3567536646891973</c:v>
                </c:pt>
                <c:pt idx="8">
                  <c:v>1.3745790878384518</c:v>
                </c:pt>
                <c:pt idx="9">
                  <c:v>1.3845422471371762</c:v>
                </c:pt>
              </c:numCache>
            </c:numRef>
          </c:val>
          <c:extLst>
            <c:ext xmlns:c16="http://schemas.microsoft.com/office/drawing/2014/chart" uri="{C3380CC4-5D6E-409C-BE32-E72D297353CC}">
              <c16:uniqueId val="{00000001-3A39-401A-96AF-469AE824B53D}"/>
            </c:ext>
          </c:extLst>
        </c:ser>
        <c:ser>
          <c:idx val="2"/>
          <c:order val="2"/>
          <c:tx>
            <c:strRef>
              <c:f>'Budget 22-1'!$D$3</c:f>
              <c:strCache>
                <c:ptCount val="1"/>
              </c:strCache>
            </c:strRef>
          </c:tx>
          <c:spPr>
            <a:solidFill>
              <a:srgbClr val="FF0000">
                <a:alpha val="3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22-1'!$D$4:$D$87</c:f>
              <c:numCache>
                <c:formatCode>General</c:formatCode>
                <c:ptCount val="10"/>
                <c:pt idx="4">
                  <c:v>0.69362086184641036</c:v>
                </c:pt>
                <c:pt idx="5">
                  <c:v>0.77769997804018764</c:v>
                </c:pt>
                <c:pt idx="6">
                  <c:v>0.89357911226633391</c:v>
                </c:pt>
                <c:pt idx="7">
                  <c:v>0.91539525636333252</c:v>
                </c:pt>
                <c:pt idx="8">
                  <c:v>0.92742198473574611</c:v>
                </c:pt>
                <c:pt idx="9">
                  <c:v>0.93414408101438973</c:v>
                </c:pt>
              </c:numCache>
            </c:numRef>
          </c:val>
          <c:extLst>
            <c:ext xmlns:c16="http://schemas.microsoft.com/office/drawing/2014/chart" uri="{C3380CC4-5D6E-409C-BE32-E72D297353CC}">
              <c16:uniqueId val="{00000002-3A39-401A-96AF-469AE824B53D}"/>
            </c:ext>
          </c:extLst>
        </c:ser>
        <c:ser>
          <c:idx val="3"/>
          <c:order val="3"/>
          <c:tx>
            <c:strRef>
              <c:f>'Budget 22-1'!$E$3</c:f>
              <c:strCache>
                <c:ptCount val="1"/>
              </c:strCache>
            </c:strRef>
          </c:tx>
          <c:spPr>
            <a:solidFill>
              <a:srgbClr val="FF0000">
                <a:alpha val="4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22-1'!$E$4:$E$87</c:f>
              <c:numCache>
                <c:formatCode>General</c:formatCode>
                <c:ptCount val="10"/>
                <c:pt idx="4">
                  <c:v>0.55126787276674172</c:v>
                </c:pt>
                <c:pt idx="5">
                  <c:v>0.61809128895533405</c:v>
                </c:pt>
                <c:pt idx="6">
                  <c:v>0.71018835139496517</c:v>
                </c:pt>
                <c:pt idx="7">
                  <c:v>0.72752713113741407</c:v>
                </c:pt>
                <c:pt idx="8">
                  <c:v>0.73708559359276293</c:v>
                </c:pt>
                <c:pt idx="9">
                  <c:v>0.74242810262024328</c:v>
                </c:pt>
              </c:numCache>
            </c:numRef>
          </c:val>
          <c:extLst>
            <c:ext xmlns:c16="http://schemas.microsoft.com/office/drawing/2014/chart" uri="{C3380CC4-5D6E-409C-BE32-E72D297353CC}">
              <c16:uniqueId val="{00000003-3A39-401A-96AF-469AE824B53D}"/>
            </c:ext>
          </c:extLst>
        </c:ser>
        <c:ser>
          <c:idx val="4"/>
          <c:order val="4"/>
          <c:tx>
            <c:strRef>
              <c:f>'Budget 22-1'!$F$3</c:f>
              <c:strCache>
                <c:ptCount val="1"/>
              </c:strCache>
            </c:strRef>
          </c:tx>
          <c:spPr>
            <a:solidFill>
              <a:srgbClr val="FF0000">
                <a:alpha val="5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22-1'!$F$4:$F$87</c:f>
              <c:numCache>
                <c:formatCode>General</c:formatCode>
                <c:ptCount val="10"/>
                <c:pt idx="4">
                  <c:v>0.47293874901172828</c:v>
                </c:pt>
                <c:pt idx="5">
                  <c:v>0.53026729003174111</c:v>
                </c:pt>
                <c:pt idx="6">
                  <c:v>0.60927836912701139</c:v>
                </c:pt>
                <c:pt idx="7">
                  <c:v>0.62415349827180933</c:v>
                </c:pt>
                <c:pt idx="8">
                  <c:v>0.63235380795686424</c:v>
                </c:pt>
                <c:pt idx="9">
                  <c:v>0.63693720499641415</c:v>
                </c:pt>
              </c:numCache>
            </c:numRef>
          </c:val>
          <c:extLst>
            <c:ext xmlns:c16="http://schemas.microsoft.com/office/drawing/2014/chart" uri="{C3380CC4-5D6E-409C-BE32-E72D297353CC}">
              <c16:uniqueId val="{00000004-3A39-401A-96AF-469AE824B53D}"/>
            </c:ext>
          </c:extLst>
        </c:ser>
        <c:ser>
          <c:idx val="5"/>
          <c:order val="5"/>
          <c:tx>
            <c:strRef>
              <c:f>'Budget 22-1'!$G$3</c:f>
              <c:strCache>
                <c:ptCount val="1"/>
              </c:strCache>
            </c:strRef>
          </c:tx>
          <c:spPr>
            <a:solidFill>
              <a:srgbClr val="FF0000">
                <a:alpha val="6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22-1'!$G$4:$G$87</c:f>
              <c:numCache>
                <c:formatCode>General</c:formatCode>
                <c:ptCount val="10"/>
                <c:pt idx="4">
                  <c:v>0.42471361339905478</c:v>
                </c:pt>
                <c:pt idx="5">
                  <c:v>0.47619641504807042</c:v>
                </c:pt>
                <c:pt idx="6">
                  <c:v>0.54715080601567578</c:v>
                </c:pt>
                <c:pt idx="7">
                  <c:v>0.56050913172290606</c:v>
                </c:pt>
                <c:pt idx="8">
                  <c:v>0.5678732632613066</c:v>
                </c:pt>
                <c:pt idx="9">
                  <c:v>0.57198929545866584</c:v>
                </c:pt>
              </c:numCache>
            </c:numRef>
          </c:val>
          <c:extLst>
            <c:ext xmlns:c16="http://schemas.microsoft.com/office/drawing/2014/chart" uri="{C3380CC4-5D6E-409C-BE32-E72D297353CC}">
              <c16:uniqueId val="{00000005-3A39-401A-96AF-469AE824B53D}"/>
            </c:ext>
          </c:extLst>
        </c:ser>
        <c:ser>
          <c:idx val="6"/>
          <c:order val="6"/>
          <c:tx>
            <c:strRef>
              <c:f>'Budget 22-1'!$H$3</c:f>
              <c:strCache>
                <c:ptCount val="1"/>
              </c:strCache>
            </c:strRef>
          </c:tx>
          <c:spPr>
            <a:solidFill>
              <a:srgbClr val="FF0000">
                <a:alpha val="7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22-1'!$H$4:$H$87</c:f>
              <c:numCache>
                <c:formatCode>General</c:formatCode>
                <c:ptCount val="10"/>
                <c:pt idx="4">
                  <c:v>0.39356045779557114</c:v>
                </c:pt>
                <c:pt idx="5">
                  <c:v>0.44126694599459171</c:v>
                </c:pt>
                <c:pt idx="6">
                  <c:v>0.50701676354418979</c:v>
                </c:pt>
                <c:pt idx="7">
                  <c:v>0.51939524310042984</c:v>
                </c:pt>
                <c:pt idx="8">
                  <c:v>0.52621920844575065</c:v>
                </c:pt>
                <c:pt idx="9">
                  <c:v>0.53003332568802541</c:v>
                </c:pt>
              </c:numCache>
            </c:numRef>
          </c:val>
          <c:extLst>
            <c:ext xmlns:c16="http://schemas.microsoft.com/office/drawing/2014/chart" uri="{C3380CC4-5D6E-409C-BE32-E72D297353CC}">
              <c16:uniqueId val="{00000006-3A39-401A-96AF-469AE824B53D}"/>
            </c:ext>
          </c:extLst>
        </c:ser>
        <c:ser>
          <c:idx val="7"/>
          <c:order val="7"/>
          <c:tx>
            <c:strRef>
              <c:f>'Budget 22-1'!$I$3</c:f>
              <c:strCache>
                <c:ptCount val="1"/>
              </c:strCache>
            </c:strRef>
          </c:tx>
          <c:spPr>
            <a:solidFill>
              <a:srgbClr val="FF0000">
                <a:alpha val="8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22-1'!$I$4:$I$87</c:f>
              <c:numCache>
                <c:formatCode>General</c:formatCode>
                <c:ptCount val="10"/>
                <c:pt idx="4">
                  <c:v>0.37345038808691733</c:v>
                </c:pt>
                <c:pt idx="5">
                  <c:v>0.41871918016013687</c:v>
                </c:pt>
                <c:pt idx="6">
                  <c:v>0.48110932732603118</c:v>
                </c:pt>
                <c:pt idx="7">
                  <c:v>0.49285529393074512</c:v>
                </c:pt>
                <c:pt idx="8">
                  <c:v>0.49933056972642831</c:v>
                </c:pt>
                <c:pt idx="9">
                  <c:v>0.50294979400600859</c:v>
                </c:pt>
              </c:numCache>
            </c:numRef>
          </c:val>
          <c:extLst>
            <c:ext xmlns:c16="http://schemas.microsoft.com/office/drawing/2014/chart" uri="{C3380CC4-5D6E-409C-BE32-E72D297353CC}">
              <c16:uniqueId val="{00000007-3A39-401A-96AF-469AE824B53D}"/>
            </c:ext>
          </c:extLst>
        </c:ser>
        <c:ser>
          <c:idx val="8"/>
          <c:order val="8"/>
          <c:tx>
            <c:strRef>
              <c:f>'Budget 22-1'!$J$3</c:f>
              <c:strCache>
                <c:ptCount val="1"/>
              </c:strCache>
            </c:strRef>
          </c:tx>
          <c:spPr>
            <a:solidFill>
              <a:srgbClr val="FF0000">
                <a:alpha val="9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22-1'!$J$4:$J$87</c:f>
              <c:numCache>
                <c:formatCode>General</c:formatCode>
                <c:ptCount val="10"/>
                <c:pt idx="4">
                  <c:v>0.36131757238022288</c:v>
                </c:pt>
                <c:pt idx="5">
                  <c:v>0.40511565260252524</c:v>
                </c:pt>
                <c:pt idx="6">
                  <c:v>0.46547884202081491</c:v>
                </c:pt>
                <c:pt idx="7">
                  <c:v>0.4768432006458454</c:v>
                </c:pt>
                <c:pt idx="8">
                  <c:v>0.48310810491592449</c:v>
                </c:pt>
                <c:pt idx="9">
                  <c:v>0.486609746291359</c:v>
                </c:pt>
              </c:numCache>
            </c:numRef>
          </c:val>
          <c:extLst>
            <c:ext xmlns:c16="http://schemas.microsoft.com/office/drawing/2014/chart" uri="{C3380CC4-5D6E-409C-BE32-E72D297353CC}">
              <c16:uniqueId val="{00000008-3A39-401A-96AF-469AE824B53D}"/>
            </c:ext>
          </c:extLst>
        </c:ser>
        <c:ser>
          <c:idx val="9"/>
          <c:order val="9"/>
          <c:tx>
            <c:strRef>
              <c:f>'Budget 22-1'!$K$3</c:f>
              <c:strCache>
                <c:ptCount val="1"/>
              </c:strCache>
            </c:strRef>
          </c:tx>
          <c:spPr>
            <a:solidFill>
              <a:srgbClr val="FF0000"/>
            </a:solidFill>
            <a:ln>
              <a:solidFill>
                <a:srgbClr val="FF0000"/>
              </a:solidFill>
              <a:prstDash val="solid"/>
            </a:ln>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22-1'!$K$4:$K$87</c:f>
              <c:numCache>
                <c:formatCode>General</c:formatCode>
                <c:ptCount val="10"/>
                <c:pt idx="4">
                  <c:v>0.50852599670449017</c:v>
                </c:pt>
                <c:pt idx="5">
                  <c:v>0.59473335311941611</c:v>
                </c:pt>
                <c:pt idx="6">
                  <c:v>0.67114130823476614</c:v>
                </c:pt>
                <c:pt idx="7">
                  <c:v>0.69350967025982158</c:v>
                </c:pt>
                <c:pt idx="8">
                  <c:v>0.70584082341938625</c:v>
                </c:pt>
                <c:pt idx="9">
                  <c:v>0.71273307176810619</c:v>
                </c:pt>
              </c:numCache>
            </c:numRef>
          </c:val>
          <c:extLst>
            <c:ext xmlns:c16="http://schemas.microsoft.com/office/drawing/2014/chart" uri="{C3380CC4-5D6E-409C-BE32-E72D297353CC}">
              <c16:uniqueId val="{00000009-3A39-401A-96AF-469AE824B53D}"/>
            </c:ext>
          </c:extLst>
        </c:ser>
        <c:ser>
          <c:idx val="10"/>
          <c:order val="10"/>
          <c:tx>
            <c:strRef>
              <c:f>'Budget 22-1'!$L$3</c:f>
              <c:strCache>
                <c:ptCount val="1"/>
              </c:strCache>
            </c:strRef>
          </c:tx>
          <c:spPr>
            <a:solidFill>
              <a:srgbClr val="FF0000">
                <a:alpha val="9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22-1'!$L$4:$L$87</c:f>
              <c:numCache>
                <c:formatCode>General</c:formatCode>
                <c:ptCount val="10"/>
                <c:pt idx="4">
                  <c:v>0.15540079888240754</c:v>
                </c:pt>
                <c:pt idx="5">
                  <c:v>0.1991988791047099</c:v>
                </c:pt>
                <c:pt idx="6">
                  <c:v>0.21647458007662834</c:v>
                </c:pt>
                <c:pt idx="7">
                  <c:v>0.22783893870165528</c:v>
                </c:pt>
                <c:pt idx="8">
                  <c:v>0.23410384297173437</c:v>
                </c:pt>
                <c:pt idx="9">
                  <c:v>0.23760548434717066</c:v>
                </c:pt>
              </c:numCache>
            </c:numRef>
          </c:val>
          <c:extLst>
            <c:ext xmlns:c16="http://schemas.microsoft.com/office/drawing/2014/chart" uri="{C3380CC4-5D6E-409C-BE32-E72D297353CC}">
              <c16:uniqueId val="{0000000A-3A39-401A-96AF-469AE824B53D}"/>
            </c:ext>
          </c:extLst>
        </c:ser>
        <c:ser>
          <c:idx val="11"/>
          <c:order val="11"/>
          <c:tx>
            <c:strRef>
              <c:f>'Budget 22-1'!$M$3</c:f>
              <c:strCache>
                <c:ptCount val="1"/>
              </c:strCache>
            </c:strRef>
          </c:tx>
          <c:spPr>
            <a:solidFill>
              <a:srgbClr val="FF0000">
                <a:alpha val="8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22-1'!$M$4:$M$87</c:f>
              <c:numCache>
                <c:formatCode>General</c:formatCode>
                <c:ptCount val="10"/>
                <c:pt idx="4">
                  <c:v>0.16061905948648558</c:v>
                </c:pt>
                <c:pt idx="5">
                  <c:v>0.20588785155970335</c:v>
                </c:pt>
                <c:pt idx="6">
                  <c:v>0.22374365965100651</c:v>
                </c:pt>
                <c:pt idx="7">
                  <c:v>0.235489626255724</c:v>
                </c:pt>
                <c:pt idx="8">
                  <c:v>0.24196490205140719</c:v>
                </c:pt>
                <c:pt idx="9">
                  <c:v>0.2455841263309857</c:v>
                </c:pt>
              </c:numCache>
            </c:numRef>
          </c:val>
          <c:extLst>
            <c:ext xmlns:c16="http://schemas.microsoft.com/office/drawing/2014/chart" uri="{C3380CC4-5D6E-409C-BE32-E72D297353CC}">
              <c16:uniqueId val="{0000000B-3A39-401A-96AF-469AE824B53D}"/>
            </c:ext>
          </c:extLst>
        </c:ser>
        <c:ser>
          <c:idx val="12"/>
          <c:order val="12"/>
          <c:tx>
            <c:strRef>
              <c:f>'Budget 22-1'!$N$3</c:f>
              <c:strCache>
                <c:ptCount val="1"/>
              </c:strCache>
            </c:strRef>
          </c:tx>
          <c:spPr>
            <a:solidFill>
              <a:srgbClr val="FF0000">
                <a:alpha val="7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22-1'!$N$4:$N$87</c:f>
              <c:numCache>
                <c:formatCode>General</c:formatCode>
                <c:ptCount val="10"/>
                <c:pt idx="4">
                  <c:v>0.16926829533106158</c:v>
                </c:pt>
                <c:pt idx="5">
                  <c:v>0.21697478353008393</c:v>
                </c:pt>
                <c:pt idx="6">
                  <c:v>0.23579211571367154</c:v>
                </c:pt>
                <c:pt idx="7">
                  <c:v>0.24817059526991514</c:v>
                </c:pt>
                <c:pt idx="8">
                  <c:v>0.25499456061523418</c:v>
                </c:pt>
                <c:pt idx="9">
                  <c:v>0.25880867785750894</c:v>
                </c:pt>
              </c:numCache>
            </c:numRef>
          </c:val>
          <c:extLst>
            <c:ext xmlns:c16="http://schemas.microsoft.com/office/drawing/2014/chart" uri="{C3380CC4-5D6E-409C-BE32-E72D297353CC}">
              <c16:uniqueId val="{0000000C-3A39-401A-96AF-469AE824B53D}"/>
            </c:ext>
          </c:extLst>
        </c:ser>
        <c:ser>
          <c:idx val="13"/>
          <c:order val="13"/>
          <c:tx>
            <c:strRef>
              <c:f>'Budget 22-1'!$O$3</c:f>
              <c:strCache>
                <c:ptCount val="1"/>
              </c:strCache>
            </c:strRef>
          </c:tx>
          <c:spPr>
            <a:solidFill>
              <a:srgbClr val="FF0000">
                <a:alpha val="6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22-1'!$O$4:$O$87</c:f>
              <c:numCache>
                <c:formatCode>General</c:formatCode>
                <c:ptCount val="10"/>
                <c:pt idx="4">
                  <c:v>0.18266710468483005</c:v>
                </c:pt>
                <c:pt idx="5">
                  <c:v>0.23414990633384569</c:v>
                </c:pt>
                <c:pt idx="6">
                  <c:v>0.25445676640558546</c:v>
                </c:pt>
                <c:pt idx="7">
                  <c:v>0.26781509211280863</c:v>
                </c:pt>
                <c:pt idx="8">
                  <c:v>0.27517922365121095</c:v>
                </c:pt>
                <c:pt idx="9">
                  <c:v>0.27929525584857018</c:v>
                </c:pt>
              </c:numCache>
            </c:numRef>
          </c:val>
          <c:extLst>
            <c:ext xmlns:c16="http://schemas.microsoft.com/office/drawing/2014/chart" uri="{C3380CC4-5D6E-409C-BE32-E72D297353CC}">
              <c16:uniqueId val="{0000000D-3A39-401A-96AF-469AE824B53D}"/>
            </c:ext>
          </c:extLst>
        </c:ser>
        <c:ser>
          <c:idx val="14"/>
          <c:order val="14"/>
          <c:tx>
            <c:strRef>
              <c:f>'Budget 22-1'!$P$3</c:f>
              <c:strCache>
                <c:ptCount val="1"/>
              </c:strCache>
            </c:strRef>
          </c:tx>
          <c:spPr>
            <a:solidFill>
              <a:srgbClr val="FF0000">
                <a:alpha val="5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22-1'!$P$4:$P$87</c:f>
              <c:numCache>
                <c:formatCode>General</c:formatCode>
                <c:ptCount val="10"/>
                <c:pt idx="4">
                  <c:v>0.20340848338682171</c:v>
                </c:pt>
                <c:pt idx="5">
                  <c:v>0.26073702440683277</c:v>
                </c:pt>
                <c:pt idx="6">
                  <c:v>0.28334967607538175</c:v>
                </c:pt>
                <c:pt idx="7">
                  <c:v>0.29822480522017969</c:v>
                </c:pt>
                <c:pt idx="8">
                  <c:v>0.30642511490523816</c:v>
                </c:pt>
                <c:pt idx="9">
                  <c:v>0.31100851194478452</c:v>
                </c:pt>
              </c:numCache>
            </c:numRef>
          </c:val>
          <c:extLst>
            <c:ext xmlns:c16="http://schemas.microsoft.com/office/drawing/2014/chart" uri="{C3380CC4-5D6E-409C-BE32-E72D297353CC}">
              <c16:uniqueId val="{0000000E-3A39-401A-96AF-469AE824B53D}"/>
            </c:ext>
          </c:extLst>
        </c:ser>
        <c:ser>
          <c:idx val="15"/>
          <c:order val="15"/>
          <c:tx>
            <c:strRef>
              <c:f>'Budget 22-1'!$Q$3</c:f>
              <c:strCache>
                <c:ptCount val="1"/>
              </c:strCache>
            </c:strRef>
          </c:tx>
          <c:spPr>
            <a:solidFill>
              <a:srgbClr val="FF0000">
                <a:alpha val="4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22-1'!$Q$4:$Q$87</c:f>
              <c:numCache>
                <c:formatCode>General</c:formatCode>
                <c:ptCount val="10"/>
                <c:pt idx="4">
                  <c:v>0.23709743000267558</c:v>
                </c:pt>
                <c:pt idx="5">
                  <c:v>0.30392084619126969</c:v>
                </c:pt>
                <c:pt idx="6">
                  <c:v>0.33027865343160201</c:v>
                </c:pt>
                <c:pt idx="7">
                  <c:v>0.34761743317405447</c:v>
                </c:pt>
                <c:pt idx="8">
                  <c:v>0.35717589562939978</c:v>
                </c:pt>
                <c:pt idx="9">
                  <c:v>0.3625184046568819</c:v>
                </c:pt>
              </c:numCache>
            </c:numRef>
          </c:val>
          <c:extLst>
            <c:ext xmlns:c16="http://schemas.microsoft.com/office/drawing/2014/chart" uri="{C3380CC4-5D6E-409C-BE32-E72D297353CC}">
              <c16:uniqueId val="{0000000F-3A39-401A-96AF-469AE824B53D}"/>
            </c:ext>
          </c:extLst>
        </c:ser>
        <c:ser>
          <c:idx val="16"/>
          <c:order val="16"/>
          <c:tx>
            <c:strRef>
              <c:f>'Budget 22-1'!$R$3</c:f>
              <c:strCache>
                <c:ptCount val="1"/>
              </c:strCache>
            </c:strRef>
          </c:tx>
          <c:spPr>
            <a:solidFill>
              <a:srgbClr val="FF0000">
                <a:alpha val="3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22-1'!$R$4:$R$87</c:f>
              <c:numCache>
                <c:formatCode>General</c:formatCode>
                <c:ptCount val="10"/>
                <c:pt idx="4">
                  <c:v>0.29832270637257174</c:v>
                </c:pt>
                <c:pt idx="5">
                  <c:v>0.3824018225663508</c:v>
                </c:pt>
                <c:pt idx="6">
                  <c:v>0.41556596268332413</c:v>
                </c:pt>
                <c:pt idx="7">
                  <c:v>0.43738210678032274</c:v>
                </c:pt>
                <c:pt idx="8">
                  <c:v>0.44940883515273811</c:v>
                </c:pt>
                <c:pt idx="9">
                  <c:v>0.45613093143138173</c:v>
                </c:pt>
              </c:numCache>
            </c:numRef>
          </c:val>
          <c:extLst>
            <c:ext xmlns:c16="http://schemas.microsoft.com/office/drawing/2014/chart" uri="{C3380CC4-5D6E-409C-BE32-E72D297353CC}">
              <c16:uniqueId val="{00000010-3A39-401A-96AF-469AE824B53D}"/>
            </c:ext>
          </c:extLst>
        </c:ser>
        <c:ser>
          <c:idx val="17"/>
          <c:order val="17"/>
          <c:tx>
            <c:strRef>
              <c:f>'Budget 22-1'!$S$3</c:f>
              <c:strCache>
                <c:ptCount val="1"/>
              </c:strCache>
            </c:strRef>
          </c:tx>
          <c:spPr>
            <a:solidFill>
              <a:srgbClr val="FF0000">
                <a:alpha val="20000"/>
              </a:srgbClr>
            </a:solidFill>
          </c:spP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22-1'!$S$4:$S$87</c:f>
              <c:numCache>
                <c:formatCode>General</c:formatCode>
                <c:ptCount val="10"/>
                <c:pt idx="4">
                  <c:v>0.44215919005192816</c:v>
                </c:pt>
                <c:pt idx="5">
                  <c:v>0.56677710589402253</c:v>
                </c:pt>
                <c:pt idx="6">
                  <c:v>0.61593135737958349</c:v>
                </c:pt>
                <c:pt idx="7">
                  <c:v>0.64826616930615799</c:v>
                </c:pt>
                <c:pt idx="8">
                  <c:v>0.6660915924554125</c:v>
                </c:pt>
                <c:pt idx="9">
                  <c:v>0.67605475175413332</c:v>
                </c:pt>
              </c:numCache>
            </c:numRef>
          </c:val>
          <c:extLst>
            <c:ext xmlns:c16="http://schemas.microsoft.com/office/drawing/2014/chart" uri="{C3380CC4-5D6E-409C-BE32-E72D297353CC}">
              <c16:uniqueId val="{00000011-3A39-401A-96AF-469AE824B53D}"/>
            </c:ext>
          </c:extLst>
        </c:ser>
        <c:dLbls>
          <c:showLegendKey val="0"/>
          <c:showVal val="0"/>
          <c:showCatName val="0"/>
          <c:showSerName val="0"/>
          <c:showPercent val="0"/>
          <c:showBubbleSize val="0"/>
        </c:dLbls>
        <c:axId val="455201920"/>
        <c:axId val="455203456"/>
      </c:areaChart>
      <c:lineChart>
        <c:grouping val="standard"/>
        <c:varyColors val="0"/>
        <c:ser>
          <c:idx val="19"/>
          <c:order val="18"/>
          <c:tx>
            <c:strRef>
              <c:f>'Budget 22-1'!$U$3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22-1'!$U$4:$U$87</c:f>
              <c:numCache>
                <c:formatCode>General</c:formatCode>
                <c:ptCount val="10"/>
              </c:numCache>
            </c:numRef>
          </c:val>
          <c:smooth val="0"/>
          <c:extLst>
            <c:ext xmlns:c16="http://schemas.microsoft.com/office/drawing/2014/chart" uri="{C3380CC4-5D6E-409C-BE32-E72D297353CC}">
              <c16:uniqueId val="{00000012-3A39-401A-96AF-469AE824B53D}"/>
            </c:ext>
          </c:extLst>
        </c:ser>
        <c:ser>
          <c:idx val="20"/>
          <c:order val="19"/>
          <c:tx>
            <c:strRef>
              <c:f>'Budget 22-1'!$V$3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22-1'!$V$4:$V$87</c:f>
              <c:numCache>
                <c:formatCode>General</c:formatCode>
                <c:ptCount val="10"/>
              </c:numCache>
            </c:numRef>
          </c:val>
          <c:smooth val="0"/>
          <c:extLst>
            <c:ext xmlns:c16="http://schemas.microsoft.com/office/drawing/2014/chart" uri="{C3380CC4-5D6E-409C-BE32-E72D297353CC}">
              <c16:uniqueId val="{00000013-3A39-401A-96AF-469AE824B53D}"/>
            </c:ext>
          </c:extLst>
        </c:ser>
        <c:ser>
          <c:idx val="21"/>
          <c:order val="20"/>
          <c:tx>
            <c:strRef>
              <c:f>'Budget 22-1'!$W$3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22-1'!$W$4:$W$87</c:f>
              <c:numCache>
                <c:formatCode>General</c:formatCode>
                <c:ptCount val="10"/>
              </c:numCache>
            </c:numRef>
          </c:val>
          <c:smooth val="0"/>
          <c:extLst>
            <c:ext xmlns:c16="http://schemas.microsoft.com/office/drawing/2014/chart" uri="{C3380CC4-5D6E-409C-BE32-E72D297353CC}">
              <c16:uniqueId val="{00000014-3A39-401A-96AF-469AE824B53D}"/>
            </c:ext>
          </c:extLst>
        </c:ser>
        <c:ser>
          <c:idx val="22"/>
          <c:order val="21"/>
          <c:tx>
            <c:strRef>
              <c:f>'Budget 22-1'!$X$3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22-1'!$X$4:$X$87</c:f>
              <c:numCache>
                <c:formatCode>General</c:formatCode>
                <c:ptCount val="10"/>
              </c:numCache>
            </c:numRef>
          </c:val>
          <c:smooth val="0"/>
          <c:extLst>
            <c:ext xmlns:c16="http://schemas.microsoft.com/office/drawing/2014/chart" uri="{C3380CC4-5D6E-409C-BE32-E72D297353CC}">
              <c16:uniqueId val="{00000015-3A39-401A-96AF-469AE824B53D}"/>
            </c:ext>
          </c:extLst>
        </c:ser>
        <c:ser>
          <c:idx val="23"/>
          <c:order val="22"/>
          <c:tx>
            <c:strRef>
              <c:f>'Budget 22-1'!$Y$3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22-1'!$Y$4:$Y$87</c:f>
              <c:numCache>
                <c:formatCode>General</c:formatCode>
                <c:ptCount val="10"/>
              </c:numCache>
            </c:numRef>
          </c:val>
          <c:smooth val="0"/>
          <c:extLst>
            <c:ext xmlns:c16="http://schemas.microsoft.com/office/drawing/2014/chart" uri="{C3380CC4-5D6E-409C-BE32-E72D297353CC}">
              <c16:uniqueId val="{00000016-3A39-401A-96AF-469AE824B53D}"/>
            </c:ext>
          </c:extLst>
        </c:ser>
        <c:ser>
          <c:idx val="24"/>
          <c:order val="23"/>
          <c:tx>
            <c:strRef>
              <c:f>'Budget 22-1'!$Z$3</c:f>
              <c:strCache>
                <c:ptCount val="1"/>
              </c:strCache>
            </c:strRef>
          </c:tx>
          <c:marker>
            <c:symbol val="none"/>
          </c:marker>
          <c:cat>
            <c:strRef>
              <c:f>'Budget 22-1'!$A$4:$A$87</c:f>
              <c:strCache>
                <c:ptCount val="10"/>
                <c:pt idx="0">
                  <c:v>2019/4</c:v>
                </c:pt>
                <c:pt idx="1">
                  <c:v>2020/4</c:v>
                </c:pt>
                <c:pt idx="2">
                  <c:v>2021/1</c:v>
                </c:pt>
                <c:pt idx="3">
                  <c:v>2021/2</c:v>
                </c:pt>
                <c:pt idx="4">
                  <c:v>2021/3*</c:v>
                </c:pt>
                <c:pt idx="5">
                  <c:v>2021/4*</c:v>
                </c:pt>
                <c:pt idx="6">
                  <c:v>2022/1*</c:v>
                </c:pt>
                <c:pt idx="7">
                  <c:v>2022/2*</c:v>
                </c:pt>
                <c:pt idx="8">
                  <c:v>2022/3*</c:v>
                </c:pt>
                <c:pt idx="9">
                  <c:v>2022/4*</c:v>
                </c:pt>
              </c:strCache>
            </c:strRef>
          </c:cat>
          <c:val>
            <c:numRef>
              <c:f>'Budget 22-1'!$Z$4:$Z$87</c:f>
              <c:numCache>
                <c:formatCode>General</c:formatCode>
                <c:ptCount val="10"/>
              </c:numCache>
            </c:numRef>
          </c:val>
          <c:smooth val="0"/>
          <c:extLst>
            <c:ext xmlns:c16="http://schemas.microsoft.com/office/drawing/2014/chart" uri="{C3380CC4-5D6E-409C-BE32-E72D297353CC}">
              <c16:uniqueId val="{00000017-3A39-401A-96AF-469AE824B53D}"/>
            </c:ext>
          </c:extLst>
        </c:ser>
        <c:dLbls>
          <c:showLegendKey val="0"/>
          <c:showVal val="0"/>
          <c:showCatName val="0"/>
          <c:showSerName val="0"/>
          <c:showPercent val="0"/>
          <c:showBubbleSize val="0"/>
        </c:dLbls>
        <c:marker val="1"/>
        <c:smooth val="0"/>
        <c:axId val="455201920"/>
        <c:axId val="455203456"/>
      </c:lineChart>
      <c:catAx>
        <c:axId val="455201920"/>
        <c:scaling>
          <c:orientation val="minMax"/>
        </c:scaling>
        <c:delete val="0"/>
        <c:axPos val="b"/>
        <c:numFmt formatCode="General" sourceLinked="1"/>
        <c:majorTickMark val="out"/>
        <c:minorTickMark val="none"/>
        <c:tickLblPos val="nextTo"/>
        <c:crossAx val="455203456"/>
        <c:crosses val="autoZero"/>
        <c:auto val="1"/>
        <c:lblAlgn val="ctr"/>
        <c:lblOffset val="100"/>
        <c:noMultiLvlLbl val="0"/>
      </c:catAx>
      <c:valAx>
        <c:axId val="455203456"/>
        <c:scaling>
          <c:orientation val="minMax"/>
        </c:scaling>
        <c:delete val="0"/>
        <c:axPos val="l"/>
        <c:majorGridlines/>
        <c:numFmt formatCode="General" sourceLinked="1"/>
        <c:majorTickMark val="out"/>
        <c:minorTickMark val="none"/>
        <c:tickLblPos val="nextTo"/>
        <c:crossAx val="455201920"/>
        <c:crosses val="autoZero"/>
        <c:crossBetween val="between"/>
      </c:valAx>
    </c:plotArea>
    <c:plotVisOnly val="1"/>
    <c:dispBlanksAs val="gap"/>
    <c:showDLblsOverMax val="0"/>
    <c:extLst>
      <c:ext xmlns:c16r3="http://schemas.microsoft.com/office/drawing/2017/03/chart" uri="{56B9EC1D-385E-4148-901F-78D8002777C0}">
        <c16r3:dataDisplayOptions16>
          <c16r3:dispNaAsBlank val="1"/>
        </c16r3:dataDisplayOptions16>
      </c:ext>
    </c:extLst>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1"/>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F2-4D27-AE31-E7F43360902F}"/>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3F2-4D27-AE31-E7F43360902F}"/>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13F2-4D27-AE31-E7F43360902F}"/>
              </c:ext>
            </c:extLst>
          </c:dPt>
          <c:dPt>
            <c:idx val="3"/>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7-13F2-4D27-AE31-E7F43360902F}"/>
              </c:ext>
            </c:extLst>
          </c:dPt>
          <c:dPt>
            <c:idx val="4"/>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09-13F2-4D27-AE31-E7F4336090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'[Վարկային պորտֆել_31.07.2021.xlsx]working'!$B$144:$B$148</c:f>
              <c:strCache>
                <c:ptCount val="5"/>
                <c:pt idx="0">
                  <c:v>ՀՀ դրամ</c:v>
                </c:pt>
                <c:pt idx="1">
                  <c:v>ԱՄՆ դոլար</c:v>
                </c:pt>
                <c:pt idx="2">
                  <c:v>Ճապոնական իեն</c:v>
                </c:pt>
                <c:pt idx="3">
                  <c:v>Եվրո</c:v>
                </c:pt>
                <c:pt idx="4">
                  <c:v>ՀՓԻ</c:v>
                </c:pt>
              </c:strCache>
            </c:strRef>
          </c:cat>
          <c:val>
            <c:numRef>
              <c:f>'[Վարկային պորտֆել_31.07.2021.xlsx]working'!$D$144:$D$148</c:f>
              <c:numCache>
                <c:formatCode>_(* #,##0_);_(* \(#,##0\);_(* "-"??_);_(@_)</c:formatCode>
                <c:ptCount val="5"/>
                <c:pt idx="0">
                  <c:v>194162.68964104366</c:v>
                </c:pt>
                <c:pt idx="1">
                  <c:v>144491.98916572094</c:v>
                </c:pt>
                <c:pt idx="2">
                  <c:v>102521.44955198374</c:v>
                </c:pt>
                <c:pt idx="3">
                  <c:v>46886.91146331725</c:v>
                </c:pt>
                <c:pt idx="4">
                  <c:v>10960.654818268105</c:v>
                </c:pt>
              </c:numCache>
            </c:numRef>
          </c:val>
          <c:extLst>
            <c:ext xmlns:c16="http://schemas.microsoft.com/office/drawing/2014/chart" uri="{C3380CC4-5D6E-409C-BE32-E72D297353CC}">
              <c16:uniqueId val="{0000000A-13F2-4D27-AE31-E7F43360902F}"/>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319550960154242"/>
          <c:y val="0.10619396507909203"/>
          <c:w val="0.7792190231945022"/>
          <c:h val="0.7439179288289062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10-4EFD-8F4E-F7DE372599C1}"/>
              </c:ext>
            </c:extLst>
          </c:dPt>
          <c:dPt>
            <c:idx val="1"/>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10-4EFD-8F4E-F7DE372599C1}"/>
              </c:ext>
            </c:extLst>
          </c:dPt>
          <c:dPt>
            <c:idx val="2"/>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5-2510-4EFD-8F4E-F7DE372599C1}"/>
              </c:ext>
            </c:extLst>
          </c:dPt>
          <c:dPt>
            <c:idx val="3"/>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2510-4EFD-8F4E-F7DE372599C1}"/>
              </c:ext>
            </c:extLst>
          </c:dPt>
          <c:dPt>
            <c:idx val="4"/>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9-2510-4EFD-8F4E-F7DE372599C1}"/>
              </c:ext>
            </c:extLst>
          </c:dPt>
          <c:dPt>
            <c:idx val="5"/>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2510-4EFD-8F4E-F7DE372599C1}"/>
              </c:ext>
            </c:extLst>
          </c:dPt>
          <c:dPt>
            <c:idx val="6"/>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510-4EFD-8F4E-F7DE372599C1}"/>
              </c:ext>
            </c:extLst>
          </c:dPt>
          <c:dPt>
            <c:idx val="7"/>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510-4EFD-8F4E-F7DE372599C1}"/>
              </c:ext>
            </c:extLst>
          </c:dPt>
          <c:dPt>
            <c:idx val="8"/>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510-4EFD-8F4E-F7DE372599C1}"/>
              </c:ext>
            </c:extLst>
          </c:dPt>
          <c:dPt>
            <c:idx val="9"/>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510-4EFD-8F4E-F7DE372599C1}"/>
              </c:ext>
            </c:extLst>
          </c:dPt>
          <c:dLbls>
            <c:dLbl>
              <c:idx val="0"/>
              <c:delete val="1"/>
              <c:extLst>
                <c:ext xmlns:c15="http://schemas.microsoft.com/office/drawing/2012/chart" uri="{CE6537A1-D6FC-4f65-9D91-7224C49458BB}"/>
                <c:ext xmlns:c16="http://schemas.microsoft.com/office/drawing/2014/chart" uri="{C3380CC4-5D6E-409C-BE32-E72D297353CC}">
                  <c16:uniqueId val="{00000001-2510-4EFD-8F4E-F7DE372599C1}"/>
                </c:ext>
              </c:extLst>
            </c:dLbl>
            <c:dLbl>
              <c:idx val="2"/>
              <c:delete val="1"/>
              <c:extLst>
                <c:ext xmlns:c15="http://schemas.microsoft.com/office/drawing/2012/chart" uri="{CE6537A1-D6FC-4f65-9D91-7224C49458BB}"/>
                <c:ext xmlns:c16="http://schemas.microsoft.com/office/drawing/2014/chart" uri="{C3380CC4-5D6E-409C-BE32-E72D297353CC}">
                  <c16:uniqueId val="{00000005-2510-4EFD-8F4E-F7DE372599C1}"/>
                </c:ext>
              </c:extLst>
            </c:dLbl>
            <c:dLbl>
              <c:idx val="3"/>
              <c:delete val="1"/>
              <c:extLst>
                <c:ext xmlns:c15="http://schemas.microsoft.com/office/drawing/2012/chart" uri="{CE6537A1-D6FC-4f65-9D91-7224C49458BB}"/>
                <c:ext xmlns:c16="http://schemas.microsoft.com/office/drawing/2014/chart" uri="{C3380CC4-5D6E-409C-BE32-E72D297353CC}">
                  <c16:uniqueId val="{00000007-2510-4EFD-8F4E-F7DE372599C1}"/>
                </c:ext>
              </c:extLst>
            </c:dLbl>
            <c:dLbl>
              <c:idx val="5"/>
              <c:layout>
                <c:manualLayout>
                  <c:x val="9.5571711830799728E-3"/>
                  <c:y val="-9.2407947516987388E-2"/>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2510-4EFD-8F4E-F7DE372599C1}"/>
                </c:ext>
              </c:extLst>
            </c:dLbl>
            <c:dLbl>
              <c:idx val="7"/>
              <c:layout>
                <c:manualLayout>
                  <c:x val="0.23514204974212988"/>
                  <c:y val="-0.29915598683233119"/>
                </c:manualLayout>
              </c:layout>
              <c:showLegendKey val="0"/>
              <c:showVal val="0"/>
              <c:showCatName val="1"/>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F-2510-4EFD-8F4E-F7DE372599C1}"/>
                </c:ext>
              </c:extLst>
            </c:dLbl>
            <c:dLbl>
              <c:idx val="9"/>
              <c:layout>
                <c:manualLayout>
                  <c:x val="0.31356913126695896"/>
                  <c:y val="-2.7263955461376659E-2"/>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30786778618371258"/>
                      <c:h val="0.12015888778550149"/>
                    </c:manualLayout>
                  </c15:layout>
                </c:ext>
                <c:ext xmlns:c16="http://schemas.microsoft.com/office/drawing/2014/chart" uri="{C3380CC4-5D6E-409C-BE32-E72D297353CC}">
                  <c16:uniqueId val="{00000013-2510-4EFD-8F4E-F7DE372599C1}"/>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'[Վարկային պորտֆել_31.07.2021.xlsx]Sheet3'!$A$63:$A$72</c:f>
              <c:strCache>
                <c:ptCount val="10"/>
                <c:pt idx="0">
                  <c:v>Մշակույթ</c:v>
                </c:pt>
                <c:pt idx="1">
                  <c:v>Էներգետիկա</c:v>
                </c:pt>
                <c:pt idx="2">
                  <c:v>Մունիցիպալ ծառայություններ</c:v>
                </c:pt>
                <c:pt idx="3">
                  <c:v>Քիմիա</c:v>
                </c:pt>
                <c:pt idx="4">
                  <c:v>Տրանսպորտ</c:v>
                </c:pt>
                <c:pt idx="5">
                  <c:v>Գյուղատնտեսություն</c:v>
                </c:pt>
                <c:pt idx="6">
                  <c:v>Առողջապահություն</c:v>
                </c:pt>
                <c:pt idx="7">
                  <c:v>Շինարարություն</c:v>
                </c:pt>
                <c:pt idx="8">
                  <c:v>Ֆինանսական </c:v>
                </c:pt>
                <c:pt idx="9">
                  <c:v>Այլ</c:v>
                </c:pt>
              </c:strCache>
            </c:strRef>
          </c:cat>
          <c:val>
            <c:numRef>
              <c:f>'[Վարկային պորտֆել_31.07.2021.xlsx]Sheet3'!$B$63:$B$72</c:f>
              <c:numCache>
                <c:formatCode>_(* #,##0_);_(* \(#,##0\);_(* "-"??_);_(@_)</c:formatCode>
                <c:ptCount val="10"/>
                <c:pt idx="0">
                  <c:v>144.4913395536</c:v>
                </c:pt>
                <c:pt idx="1">
                  <c:v>349946.81465229875</c:v>
                </c:pt>
                <c:pt idx="2">
                  <c:v>256.46862415644557</c:v>
                </c:pt>
                <c:pt idx="3">
                  <c:v>303.44419399999998</c:v>
                </c:pt>
                <c:pt idx="4">
                  <c:v>5023.6370674294321</c:v>
                </c:pt>
                <c:pt idx="5">
                  <c:v>11923.5475450416</c:v>
                </c:pt>
                <c:pt idx="6">
                  <c:v>2195.9667009999998</c:v>
                </c:pt>
                <c:pt idx="7">
                  <c:v>14125.850760793601</c:v>
                </c:pt>
                <c:pt idx="8">
                  <c:v>35256.863137299988</c:v>
                </c:pt>
                <c:pt idx="9">
                  <c:v>79846.6106187603</c:v>
                </c:pt>
              </c:numCache>
            </c:numRef>
          </c:val>
          <c:extLst>
            <c:ext xmlns:c16="http://schemas.microsoft.com/office/drawing/2014/chart" uri="{C3380CC4-5D6E-409C-BE32-E72D297353CC}">
              <c16:uniqueId val="{00000014-2510-4EFD-8F4E-F7DE372599C1}"/>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Պետական պարտքի փոփոխություն</a:t>
            </a:r>
            <a:endParaRPr lang="en-US" sz="800"/>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83B1-4C70-BC0B-46833C27A7A0}"/>
              </c:ext>
            </c:extLst>
          </c:dPt>
          <c:dPt>
            <c:idx val="2"/>
            <c:invertIfNegative val="0"/>
            <c:bubble3D val="0"/>
            <c:spPr>
              <a:solidFill>
                <a:srgbClr val="C00000"/>
              </a:solidFill>
              <a:ln>
                <a:noFill/>
              </a:ln>
              <a:effectLst/>
            </c:spPr>
            <c:extLst>
              <c:ext xmlns:c16="http://schemas.microsoft.com/office/drawing/2014/chart" uri="{C3380CC4-5D6E-409C-BE32-E72D297353CC}">
                <c16:uniqueId val="{00000003-83B1-4C70-BC0B-46833C27A7A0}"/>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10.4</c:v>
                </c:pt>
                <c:pt idx="1">
                  <c:v>2.2999999999999998</c:v>
                </c:pt>
                <c:pt idx="2" formatCode="0.0">
                  <c:v>15</c:v>
                </c:pt>
                <c:pt idx="3">
                  <c:v>0.1</c:v>
                </c:pt>
              </c:numCache>
            </c:numRef>
          </c:val>
          <c:extLst>
            <c:ext xmlns:c16="http://schemas.microsoft.com/office/drawing/2014/chart" uri="{C3380CC4-5D6E-409C-BE32-E72D297353CC}">
              <c16:uniqueId val="{00000004-83B1-4C70-BC0B-46833C27A7A0}"/>
            </c:ext>
          </c:extLst>
        </c:ser>
        <c:dLbls>
          <c:showLegendKey val="0"/>
          <c:showVal val="0"/>
          <c:showCatName val="0"/>
          <c:showSerName val="0"/>
          <c:showPercent val="0"/>
          <c:showBubbleSize val="0"/>
        </c:dLbls>
        <c:gapWidth val="219"/>
        <c:overlap val="-27"/>
        <c:axId val="303655552"/>
        <c:axId val="304046464"/>
      </c:barChart>
      <c:catAx>
        <c:axId val="303655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4046464"/>
        <c:crosses val="autoZero"/>
        <c:auto val="1"/>
        <c:lblAlgn val="ctr"/>
        <c:lblOffset val="100"/>
        <c:noMultiLvlLbl val="0"/>
      </c:catAx>
      <c:valAx>
        <c:axId val="3040464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տոկոսային</a:t>
                </a:r>
                <a:r>
                  <a:rPr lang="hy-AM"/>
                  <a:t> կետ</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03655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GHEA Grapalat" panose="02000506050000020003" pitchFamily="50" charset="0"/>
                <a:ea typeface="+mn-ea"/>
                <a:cs typeface="+mn-cs"/>
              </a:defRPr>
            </a:pPr>
            <a:r>
              <a:rPr lang="hy-AM" sz="800"/>
              <a:t>Բյուջեի հաշվեկշռի փոփոխություն</a:t>
            </a:r>
            <a:endParaRPr lang="en-US" sz="800"/>
          </a:p>
        </c:rich>
      </c:tx>
      <c:overlay val="0"/>
      <c:spPr>
        <a:noFill/>
        <a:ln>
          <a:noFill/>
        </a:ln>
        <a:effectLst/>
      </c:sp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7395-48AC-A053-5A53EFD77CF5}"/>
              </c:ext>
            </c:extLst>
          </c:dPt>
          <c:dPt>
            <c:idx val="2"/>
            <c:invertIfNegative val="0"/>
            <c:bubble3D val="0"/>
            <c:spPr>
              <a:solidFill>
                <a:srgbClr val="C00000"/>
              </a:solidFill>
              <a:ln>
                <a:noFill/>
              </a:ln>
              <a:effectLst/>
            </c:spPr>
            <c:extLst>
              <c:ext xmlns:c16="http://schemas.microsoft.com/office/drawing/2014/chart" uri="{C3380CC4-5D6E-409C-BE32-E72D297353CC}">
                <c16:uniqueId val="{00000003-7395-48AC-A053-5A53EFD77CF5}"/>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2009 GFC</c:v>
                </c:pt>
                <c:pt idx="1">
                  <c:v>2010</c:v>
                </c:pt>
                <c:pt idx="2">
                  <c:v>2020 COVID-19</c:v>
                </c:pt>
                <c:pt idx="3">
                  <c:v>2021</c:v>
                </c:pt>
              </c:strCache>
            </c:strRef>
          </c:cat>
          <c:val>
            <c:numRef>
              <c:f>Sheet1!$B$2:$B$5</c:f>
              <c:numCache>
                <c:formatCode>General</c:formatCode>
                <c:ptCount val="4"/>
                <c:pt idx="0">
                  <c:v>-5.0999999999999996</c:v>
                </c:pt>
                <c:pt idx="1">
                  <c:v>1.4</c:v>
                </c:pt>
                <c:pt idx="2">
                  <c:v>-6.6</c:v>
                </c:pt>
                <c:pt idx="3">
                  <c:v>1.5</c:v>
                </c:pt>
              </c:numCache>
            </c:numRef>
          </c:val>
          <c:extLst>
            <c:ext xmlns:c16="http://schemas.microsoft.com/office/drawing/2014/chart" uri="{C3380CC4-5D6E-409C-BE32-E72D297353CC}">
              <c16:uniqueId val="{00000004-7395-48AC-A053-5A53EFD77CF5}"/>
            </c:ext>
          </c:extLst>
        </c:ser>
        <c:dLbls>
          <c:showLegendKey val="0"/>
          <c:showVal val="0"/>
          <c:showCatName val="0"/>
          <c:showSerName val="0"/>
          <c:showPercent val="0"/>
          <c:showBubbleSize val="0"/>
        </c:dLbls>
        <c:gapWidth val="219"/>
        <c:overlap val="-27"/>
        <c:axId val="310332032"/>
        <c:axId val="310366592"/>
      </c:barChart>
      <c:catAx>
        <c:axId val="31033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10366592"/>
        <c:crosses val="autoZero"/>
        <c:auto val="1"/>
        <c:lblAlgn val="ctr"/>
        <c:lblOffset val="100"/>
        <c:noMultiLvlLbl val="0"/>
      </c:catAx>
      <c:valAx>
        <c:axId val="31036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r>
                  <a:rPr lang="en-US"/>
                  <a:t>տոկոսայ</a:t>
                </a:r>
                <a:r>
                  <a:rPr lang="hy-AM"/>
                  <a:t>ին կետ</a:t>
                </a:r>
                <a:endParaRPr lang="en-US"/>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GHEA Grapalat" panose="02000506050000020003" pitchFamily="50" charset="0"/>
                <a:ea typeface="+mn-ea"/>
                <a:cs typeface="+mn-cs"/>
              </a:defRPr>
            </a:pPr>
            <a:endParaRPr lang="en-US"/>
          </a:p>
        </c:txPr>
        <c:crossAx val="31033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GHEA Grapalat" panose="02000506050000020003" pitchFamily="50" charset="0"/>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0.63696</cdr:x>
      <cdr:y>0.00474</cdr:y>
    </cdr:from>
    <cdr:to>
      <cdr:x>1</cdr:x>
      <cdr:y>0.85714</cdr:y>
    </cdr:to>
    <cdr:sp macro="" textlink="">
      <cdr:nvSpPr>
        <cdr:cNvPr id="2" name="Rectangle 1"/>
        <cdr:cNvSpPr/>
      </cdr:nvSpPr>
      <cdr:spPr>
        <a:xfrm xmlns:a="http://schemas.openxmlformats.org/drawingml/2006/main">
          <a:off x="2003729" y="8581"/>
          <a:ext cx="1142061" cy="1543172"/>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0.xml><?xml version="1.0" encoding="utf-8"?>
<c:userShapes xmlns:c="http://schemas.openxmlformats.org/drawingml/2006/chart">
  <cdr:relSizeAnchor xmlns:cdr="http://schemas.openxmlformats.org/drawingml/2006/chartDrawing">
    <cdr:from>
      <cdr:x>0.67788</cdr:x>
      <cdr:y>0.25092</cdr:y>
    </cdr:from>
    <cdr:to>
      <cdr:x>0.90808</cdr:x>
      <cdr:y>0.34034</cdr:y>
    </cdr:to>
    <cdr:cxnSp macro="">
      <cdr:nvCxnSpPr>
        <cdr:cNvPr id="4" name="Straight Arrow Connector 3"/>
        <cdr:cNvCxnSpPr/>
      </cdr:nvCxnSpPr>
      <cdr:spPr>
        <a:xfrm xmlns:a="http://schemas.openxmlformats.org/drawingml/2006/main" flipV="1">
          <a:off x="2085975" y="568823"/>
          <a:ext cx="708378" cy="202702"/>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0.64693</cdr:x>
      <cdr:y>0.04305</cdr:y>
    </cdr:from>
    <cdr:to>
      <cdr:x>0.94986</cdr:x>
      <cdr:y>0.86975</cdr:y>
    </cdr:to>
    <cdr:sp macro="" textlink="">
      <cdr:nvSpPr>
        <cdr:cNvPr id="5" name="Rectangle 4"/>
        <cdr:cNvSpPr/>
      </cdr:nvSpPr>
      <cdr:spPr>
        <a:xfrm xmlns:a="http://schemas.openxmlformats.org/drawingml/2006/main">
          <a:off x="1990739" y="97592"/>
          <a:ext cx="932180" cy="187408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0.38097</cdr:x>
      <cdr:y>0.07497</cdr:y>
    </cdr:from>
    <cdr:to>
      <cdr:x>0.80543</cdr:x>
      <cdr:y>0.21226</cdr:y>
    </cdr:to>
    <cdr:sp macro="" textlink="">
      <cdr:nvSpPr>
        <cdr:cNvPr id="2" name="Text Box 1"/>
        <cdr:cNvSpPr txBox="1"/>
      </cdr:nvSpPr>
      <cdr:spPr>
        <a:xfrm xmlns:a="http://schemas.openxmlformats.org/drawingml/2006/main">
          <a:off x="1128538" y="152092"/>
          <a:ext cx="1257361" cy="27855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0.2209</cdr:x>
      <cdr:y>0</cdr:y>
    </cdr:from>
    <cdr:to>
      <cdr:x>0.5992</cdr:x>
      <cdr:y>0.1122</cdr:y>
    </cdr:to>
    <cdr:sp macro="" textlink="">
      <cdr:nvSpPr>
        <cdr:cNvPr id="3" name="Text Box 2"/>
        <cdr:cNvSpPr txBox="1"/>
      </cdr:nvSpPr>
      <cdr:spPr>
        <a:xfrm xmlns:a="http://schemas.openxmlformats.org/drawingml/2006/main">
          <a:off x="673303" y="0"/>
          <a:ext cx="1153059"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Արտահանում</a:t>
          </a:r>
          <a:endParaRPr lang="en-US" sz="1000" b="1">
            <a:latin typeface="GHEA Grapalat" panose="02000506050000020003" pitchFamily="50" charset="0"/>
          </a:endParaRPr>
        </a:p>
      </cdr:txBody>
    </cdr:sp>
  </cdr:relSizeAnchor>
  <cdr:relSizeAnchor xmlns:cdr="http://schemas.openxmlformats.org/drawingml/2006/chartDrawing">
    <cdr:from>
      <cdr:x>0.79063</cdr:x>
      <cdr:y>0.124</cdr:y>
    </cdr:from>
    <cdr:to>
      <cdr:x>0.95683</cdr:x>
      <cdr:y>0.20541</cdr:y>
    </cdr:to>
    <cdr:cxnSp macro="">
      <cdr:nvCxnSpPr>
        <cdr:cNvPr id="5" name="Straight Arrow Connector 4"/>
        <cdr:cNvCxnSpPr/>
      </cdr:nvCxnSpPr>
      <cdr:spPr>
        <a:xfrm xmlns:a="http://schemas.openxmlformats.org/drawingml/2006/main" flipV="1">
          <a:off x="2507740" y="249214"/>
          <a:ext cx="527157" cy="163615"/>
        </a:xfrm>
        <a:prstGeom xmlns:a="http://schemas.openxmlformats.org/drawingml/2006/main" prst="straightConnector1">
          <a:avLst/>
        </a:prstGeom>
        <a:ln xmlns:a="http://schemas.openxmlformats.org/drawingml/2006/main">
          <a:tailEnd type="triangle"/>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cxnSp>
  </cdr:relSizeAnchor>
  <cdr:relSizeAnchor xmlns:cdr="http://schemas.openxmlformats.org/drawingml/2006/chartDrawing">
    <cdr:from>
      <cdr:x>0.78311</cdr:x>
      <cdr:y>0.01779</cdr:y>
    </cdr:from>
    <cdr:to>
      <cdr:x>0.99248</cdr:x>
      <cdr:y>0.8587</cdr:y>
    </cdr:to>
    <cdr:sp macro="" textlink="">
      <cdr:nvSpPr>
        <cdr:cNvPr id="4" name="Rectangle 3"/>
        <cdr:cNvSpPr/>
      </cdr:nvSpPr>
      <cdr:spPr>
        <a:xfrm xmlns:a="http://schemas.openxmlformats.org/drawingml/2006/main">
          <a:off x="2483887" y="35761"/>
          <a:ext cx="664085" cy="1690040"/>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14.xml><?xml version="1.0" encoding="utf-8"?>
<c:userShapes xmlns:c="http://schemas.openxmlformats.org/drawingml/2006/chart">
  <cdr:relSizeAnchor xmlns:cdr="http://schemas.openxmlformats.org/drawingml/2006/chartDrawing">
    <cdr:from>
      <cdr:x>0.19497</cdr:x>
      <cdr:y>0</cdr:y>
    </cdr:from>
    <cdr:to>
      <cdr:x>0.64951</cdr:x>
      <cdr:y>0.10455</cdr:y>
    </cdr:to>
    <cdr:sp macro="" textlink="">
      <cdr:nvSpPr>
        <cdr:cNvPr id="3" name="Text Box 2"/>
        <cdr:cNvSpPr txBox="1"/>
      </cdr:nvSpPr>
      <cdr:spPr>
        <a:xfrm xmlns:a="http://schemas.openxmlformats.org/drawingml/2006/main">
          <a:off x="633260" y="0"/>
          <a:ext cx="1476357" cy="2310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y-AM" sz="1000" b="1">
              <a:latin typeface="GHEA Grapalat" panose="02000506050000020003" pitchFamily="50" charset="0"/>
            </a:rPr>
            <a:t>Ներմուծում</a:t>
          </a:r>
          <a:endParaRPr lang="en-US" sz="1000" b="1">
            <a:latin typeface="GHEA Grapalat" panose="02000506050000020003" pitchFamily="50" charset="0"/>
          </a:endParaRPr>
        </a:p>
      </cdr:txBody>
    </cdr:sp>
  </cdr:relSizeAnchor>
  <cdr:relSizeAnchor xmlns:cdr="http://schemas.openxmlformats.org/drawingml/2006/chartDrawing">
    <cdr:from>
      <cdr:x>0.75015</cdr:x>
      <cdr:y>0.02879</cdr:y>
    </cdr:from>
    <cdr:to>
      <cdr:x>1</cdr:x>
      <cdr:y>0.86752</cdr:y>
    </cdr:to>
    <cdr:sp macro="" textlink="">
      <cdr:nvSpPr>
        <cdr:cNvPr id="4" name="Rectangle 3"/>
        <cdr:cNvSpPr/>
      </cdr:nvSpPr>
      <cdr:spPr>
        <a:xfrm xmlns:a="http://schemas.openxmlformats.org/drawingml/2006/main">
          <a:off x="2300271" y="57862"/>
          <a:ext cx="766144" cy="168565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dr:relSizeAnchor xmlns:cdr="http://schemas.openxmlformats.org/drawingml/2006/chartDrawing">
    <cdr:from>
      <cdr:x>0.80384</cdr:x>
      <cdr:y>0.37874</cdr:y>
    </cdr:from>
    <cdr:to>
      <cdr:x>0.94555</cdr:x>
      <cdr:y>0.44706</cdr:y>
    </cdr:to>
    <cdr:cxnSp macro="">
      <cdr:nvCxnSpPr>
        <cdr:cNvPr id="5" name="Straight Arrow Connector 4"/>
        <cdr:cNvCxnSpPr/>
      </cdr:nvCxnSpPr>
      <cdr:spPr>
        <a:xfrm xmlns:a="http://schemas.openxmlformats.org/drawingml/2006/main" flipV="1">
          <a:off x="2464905" y="761191"/>
          <a:ext cx="434533" cy="137306"/>
        </a:xfrm>
        <a:prstGeom xmlns:a="http://schemas.openxmlformats.org/drawingml/2006/main" prst="straightConnector1">
          <a:avLst/>
        </a:prstGeom>
        <a:ln xmlns:a="http://schemas.openxmlformats.org/drawingml/2006/main">
          <a:solidFill>
            <a:srgbClr val="C0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userShapes>
</file>

<file path=word/drawings/drawing15.xml><?xml version="1.0" encoding="utf-8"?>
<c:userShapes xmlns:c="http://schemas.openxmlformats.org/drawingml/2006/chart">
  <cdr:relSizeAnchor xmlns:cdr="http://schemas.openxmlformats.org/drawingml/2006/chartDrawing">
    <cdr:from>
      <cdr:x>0.71978</cdr:x>
      <cdr:y>0.17642</cdr:y>
    </cdr:from>
    <cdr:to>
      <cdr:x>0.97487</cdr:x>
      <cdr:y>0.82037</cdr:y>
    </cdr:to>
    <cdr:sp macro="" textlink="">
      <cdr:nvSpPr>
        <cdr:cNvPr id="2" name="Rectangle 1"/>
        <cdr:cNvSpPr/>
      </cdr:nvSpPr>
      <cdr:spPr>
        <a:xfrm xmlns:a="http://schemas.openxmlformats.org/drawingml/2006/main">
          <a:off x="4391891" y="381000"/>
          <a:ext cx="1556488" cy="1390700"/>
        </a:xfrm>
        <a:prstGeom xmlns:a="http://schemas.openxmlformats.org/drawingml/2006/main" prst="rect">
          <a:avLst/>
        </a:prstGeom>
        <a:solidFill xmlns:a="http://schemas.openxmlformats.org/drawingml/2006/main">
          <a:schemeClr val="accent1">
            <a:alpha val="20000"/>
          </a:schemeClr>
        </a:solidFill>
        <a:ln xmlns:a="http://schemas.openxmlformats.org/drawingml/2006/main">
          <a:solidFill>
            <a:schemeClr val="bg1">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16.xml><?xml version="1.0" encoding="utf-8"?>
<c:userShapes xmlns:c="http://schemas.openxmlformats.org/drawingml/2006/chart">
  <cdr:relSizeAnchor xmlns:cdr="http://schemas.openxmlformats.org/drawingml/2006/chartDrawing">
    <cdr:from>
      <cdr:x>0.71661</cdr:x>
      <cdr:y>0.00474</cdr:y>
    </cdr:from>
    <cdr:to>
      <cdr:x>1</cdr:x>
      <cdr:y>0.8033</cdr:y>
    </cdr:to>
    <cdr:sp macro="" textlink="">
      <cdr:nvSpPr>
        <cdr:cNvPr id="2" name="Rounded Rectangle 1"/>
        <cdr:cNvSpPr/>
      </cdr:nvSpPr>
      <cdr:spPr>
        <a:xfrm xmlns:a="http://schemas.openxmlformats.org/drawingml/2006/main">
          <a:off x="2115047" y="13545"/>
          <a:ext cx="836433" cy="2281885"/>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7.xml><?xml version="1.0" encoding="utf-8"?>
<c:userShapes xmlns:c="http://schemas.openxmlformats.org/drawingml/2006/chart">
  <cdr:relSizeAnchor xmlns:cdr="http://schemas.openxmlformats.org/drawingml/2006/chartDrawing">
    <cdr:from>
      <cdr:x>0.71876</cdr:x>
      <cdr:y>0</cdr:y>
    </cdr:from>
    <cdr:to>
      <cdr:x>1</cdr:x>
      <cdr:y>0.77724</cdr:y>
    </cdr:to>
    <cdr:sp macro="" textlink="">
      <cdr:nvSpPr>
        <cdr:cNvPr id="2" name="Rounded Rectangle 1"/>
        <cdr:cNvSpPr/>
      </cdr:nvSpPr>
      <cdr:spPr>
        <a:xfrm xmlns:a="http://schemas.openxmlformats.org/drawingml/2006/main">
          <a:off x="2121408" y="0"/>
          <a:ext cx="830072" cy="2220963"/>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8.xml><?xml version="1.0" encoding="utf-8"?>
<c:userShapes xmlns:c="http://schemas.openxmlformats.org/drawingml/2006/chart">
  <cdr:relSizeAnchor xmlns:cdr="http://schemas.openxmlformats.org/drawingml/2006/chartDrawing">
    <cdr:from>
      <cdr:x>0.6266</cdr:x>
      <cdr:y>4.00713E-7</cdr:y>
    </cdr:from>
    <cdr:to>
      <cdr:x>1</cdr:x>
      <cdr:y>0.75318</cdr:y>
    </cdr:to>
    <cdr:sp macro="" textlink="">
      <cdr:nvSpPr>
        <cdr:cNvPr id="2" name="Rounded Rectangle 1"/>
        <cdr:cNvSpPr/>
      </cdr:nvSpPr>
      <cdr:spPr>
        <a:xfrm xmlns:a="http://schemas.openxmlformats.org/drawingml/2006/main">
          <a:off x="3740150" y="1"/>
          <a:ext cx="2228850" cy="187960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19.xml><?xml version="1.0" encoding="utf-8"?>
<c:userShapes xmlns:c="http://schemas.openxmlformats.org/drawingml/2006/chart">
  <cdr:relSizeAnchor xmlns:cdr="http://schemas.openxmlformats.org/drawingml/2006/chartDrawing">
    <cdr:from>
      <cdr:x>0.67556</cdr:x>
      <cdr:y>3.70455E-7</cdr:y>
    </cdr:from>
    <cdr:to>
      <cdr:x>1</cdr:x>
      <cdr:y>0.72218</cdr:y>
    </cdr:to>
    <cdr:sp macro="" textlink="">
      <cdr:nvSpPr>
        <cdr:cNvPr id="2" name="Rounded Rectangle 1"/>
        <cdr:cNvSpPr/>
      </cdr:nvSpPr>
      <cdr:spPr>
        <a:xfrm xmlns:a="http://schemas.openxmlformats.org/drawingml/2006/main">
          <a:off x="1993899" y="1"/>
          <a:ext cx="957581" cy="1949450"/>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0.63471</cdr:x>
      <cdr:y>0</cdr:y>
    </cdr:from>
    <cdr:to>
      <cdr:x>1</cdr:x>
      <cdr:y>0.83491</cdr:y>
    </cdr:to>
    <cdr:sp macro="" textlink="">
      <cdr:nvSpPr>
        <cdr:cNvPr id="2" name="Rectangle 1"/>
        <cdr:cNvSpPr/>
      </cdr:nvSpPr>
      <cdr:spPr>
        <a:xfrm xmlns:a="http://schemas.openxmlformats.org/drawingml/2006/main">
          <a:off x="2019632" y="0"/>
          <a:ext cx="1162353" cy="1511509"/>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0.xml><?xml version="1.0" encoding="utf-8"?>
<c:userShapes xmlns:c="http://schemas.openxmlformats.org/drawingml/2006/chart">
  <cdr:relSizeAnchor xmlns:cdr="http://schemas.openxmlformats.org/drawingml/2006/chartDrawing">
    <cdr:from>
      <cdr:x>0.68417</cdr:x>
      <cdr:y>0</cdr:y>
    </cdr:from>
    <cdr:to>
      <cdr:x>1</cdr:x>
      <cdr:y>0.69631</cdr:y>
    </cdr:to>
    <cdr:sp macro="" textlink="">
      <cdr:nvSpPr>
        <cdr:cNvPr id="2" name="Rounded Rectangle 1"/>
        <cdr:cNvSpPr/>
      </cdr:nvSpPr>
      <cdr:spPr>
        <a:xfrm xmlns:a="http://schemas.openxmlformats.org/drawingml/2006/main">
          <a:off x="1994985" y="0"/>
          <a:ext cx="920935" cy="1879608"/>
        </a:xfrm>
        <a:prstGeom xmlns:a="http://schemas.openxmlformats.org/drawingml/2006/main" prst="rect">
          <a:avLst/>
        </a:prstGeom>
        <a:solidFill xmlns:a="http://schemas.openxmlformats.org/drawingml/2006/main">
          <a:schemeClr val="bg1">
            <a:lumMod val="85000"/>
            <a:alpha val="30000"/>
          </a:schemeClr>
        </a:solidFill>
        <a:ln xmlns:a="http://schemas.openxmlformats.org/drawingml/2006/main">
          <a:solidFill>
            <a:schemeClr val="bg1">
              <a:lumMod val="85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1.xml><?xml version="1.0" encoding="utf-8"?>
<c:userShapes xmlns:c="http://schemas.openxmlformats.org/drawingml/2006/chart">
  <cdr:relSizeAnchor xmlns:cdr="http://schemas.openxmlformats.org/drawingml/2006/chartDrawing">
    <cdr:from>
      <cdr:x>0.13909</cdr:x>
      <cdr:y>0.26693</cdr:y>
    </cdr:from>
    <cdr:to>
      <cdr:x>0.85372</cdr:x>
      <cdr:y>0.27169</cdr:y>
    </cdr:to>
    <cdr:cxnSp macro="">
      <cdr:nvCxnSpPr>
        <cdr:cNvPr id="3" name="Straight Connector 2"/>
        <cdr:cNvCxnSpPr/>
      </cdr:nvCxnSpPr>
      <cdr:spPr>
        <a:xfrm xmlns:a="http://schemas.openxmlformats.org/drawingml/2006/main" flipH="1">
          <a:off x="400541" y="768673"/>
          <a:ext cx="2057938" cy="13708"/>
        </a:xfrm>
        <a:prstGeom xmlns:a="http://schemas.openxmlformats.org/drawingml/2006/main" prst="line">
          <a:avLst/>
        </a:prstGeom>
        <a:ln xmlns:a="http://schemas.openxmlformats.org/drawingml/2006/main" w="28575">
          <a:solidFill>
            <a:srgbClr val="C0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0.12891</cdr:x>
      <cdr:y>0.3423</cdr:y>
    </cdr:from>
    <cdr:to>
      <cdr:x>0.84354</cdr:x>
      <cdr:y>0.34706</cdr:y>
    </cdr:to>
    <cdr:cxnSp macro="">
      <cdr:nvCxnSpPr>
        <cdr:cNvPr id="4" name="Straight Connector 3"/>
        <cdr:cNvCxnSpPr/>
      </cdr:nvCxnSpPr>
      <cdr:spPr>
        <a:xfrm xmlns:a="http://schemas.openxmlformats.org/drawingml/2006/main" flipH="1">
          <a:off x="371234" y="985729"/>
          <a:ext cx="2057938" cy="13707"/>
        </a:xfrm>
        <a:prstGeom xmlns:a="http://schemas.openxmlformats.org/drawingml/2006/main" prst="line">
          <a:avLst/>
        </a:prstGeom>
        <a:ln xmlns:a="http://schemas.openxmlformats.org/drawingml/2006/main" w="28575">
          <a:solidFill>
            <a:schemeClr val="accent4"/>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0.63115</cdr:x>
      <cdr:y>0.18483</cdr:y>
    </cdr:from>
    <cdr:to>
      <cdr:x>0.87483</cdr:x>
      <cdr:y>0.68245</cdr:y>
    </cdr:to>
    <cdr:sp macro="" textlink="">
      <cdr:nvSpPr>
        <cdr:cNvPr id="2" name="Rectangle 1"/>
        <cdr:cNvSpPr/>
      </cdr:nvSpPr>
      <cdr:spPr>
        <a:xfrm xmlns:a="http://schemas.openxmlformats.org/drawingml/2006/main">
          <a:off x="1794681" y="532262"/>
          <a:ext cx="692924" cy="1433015"/>
        </a:xfrm>
        <a:prstGeom xmlns:a="http://schemas.openxmlformats.org/drawingml/2006/main" prst="rect">
          <a:avLst/>
        </a:prstGeom>
        <a:solidFill xmlns:a="http://schemas.openxmlformats.org/drawingml/2006/main">
          <a:schemeClr val="bg1">
            <a:lumMod val="85000"/>
            <a:alpha val="3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hy-AM"/>
        </a:p>
      </cdr:txBody>
    </cdr:sp>
  </cdr:relSizeAnchor>
</c:userShapes>
</file>

<file path=word/drawings/drawing22.xml><?xml version="1.0" encoding="utf-8"?>
<c:userShapes xmlns:c="http://schemas.openxmlformats.org/drawingml/2006/chart">
  <cdr:relSizeAnchor xmlns:cdr="http://schemas.openxmlformats.org/drawingml/2006/chartDrawing">
    <cdr:from>
      <cdr:x>0.45572</cdr:x>
      <cdr:y>0.18095</cdr:y>
    </cdr:from>
    <cdr:to>
      <cdr:x>0.64945</cdr:x>
      <cdr:y>0.86774</cdr:y>
    </cdr:to>
    <cdr:sp macro="" textlink="">
      <cdr:nvSpPr>
        <cdr:cNvPr id="2" name="Rectangle 1"/>
        <cdr:cNvSpPr/>
      </cdr:nvSpPr>
      <cdr:spPr>
        <a:xfrm xmlns:a="http://schemas.openxmlformats.org/drawingml/2006/main">
          <a:off x="1351128" y="522235"/>
          <a:ext cx="574370" cy="1982129"/>
        </a:xfrm>
        <a:prstGeom xmlns:a="http://schemas.openxmlformats.org/drawingml/2006/main" prst="rect">
          <a:avLst/>
        </a:prstGeom>
        <a:solidFill xmlns:a="http://schemas.openxmlformats.org/drawingml/2006/main">
          <a:schemeClr val="bg1">
            <a:lumMod val="85000"/>
            <a:alpha val="2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3.xml><?xml version="1.0" encoding="utf-8"?>
<c:userShapes xmlns:c="http://schemas.openxmlformats.org/drawingml/2006/chart">
  <cdr:relSizeAnchor xmlns:cdr="http://schemas.openxmlformats.org/drawingml/2006/chartDrawing">
    <cdr:from>
      <cdr:x>0.84338</cdr:x>
      <cdr:y>0.06064</cdr:y>
    </cdr:from>
    <cdr:to>
      <cdr:x>0.94599</cdr:x>
      <cdr:y>0.87668</cdr:y>
    </cdr:to>
    <cdr:sp macro="" textlink="">
      <cdr:nvSpPr>
        <cdr:cNvPr id="2" name="Rectangle 1"/>
        <cdr:cNvSpPr/>
      </cdr:nvSpPr>
      <cdr:spPr>
        <a:xfrm xmlns:a="http://schemas.openxmlformats.org/drawingml/2006/main">
          <a:off x="2538483" y="152793"/>
          <a:ext cx="308851" cy="2056160"/>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24.xml><?xml version="1.0" encoding="utf-8"?>
<c:userShapes xmlns:c="http://schemas.openxmlformats.org/drawingml/2006/chart">
  <cdr:relSizeAnchor xmlns:cdr="http://schemas.openxmlformats.org/drawingml/2006/chartDrawing">
    <cdr:from>
      <cdr:x>0.84188</cdr:x>
      <cdr:y>0.04048</cdr:y>
    </cdr:from>
    <cdr:to>
      <cdr:x>0.95573</cdr:x>
      <cdr:y>0.9</cdr:y>
    </cdr:to>
    <cdr:sp macro="" textlink="">
      <cdr:nvSpPr>
        <cdr:cNvPr id="2" name="Rectangle 1"/>
        <cdr:cNvSpPr/>
      </cdr:nvSpPr>
      <cdr:spPr>
        <a:xfrm xmlns:a="http://schemas.openxmlformats.org/drawingml/2006/main">
          <a:off x="2463421" y="101997"/>
          <a:ext cx="333121" cy="2165715"/>
        </a:xfrm>
        <a:prstGeom xmlns:a="http://schemas.openxmlformats.org/drawingml/2006/main" prst="rect">
          <a:avLst/>
        </a:prstGeom>
        <a:solidFill xmlns:a="http://schemas.openxmlformats.org/drawingml/2006/main">
          <a:schemeClr val="bg1">
            <a:lumMod val="85000"/>
            <a:alpha val="36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US"/>
        </a:p>
      </cdr:txBody>
    </cdr:sp>
  </cdr:relSizeAnchor>
</c:userShapes>
</file>

<file path=word/drawings/drawing25.xml><?xml version="1.0" encoding="utf-8"?>
<c:userShapes xmlns:c="http://schemas.openxmlformats.org/drawingml/2006/chart">
  <cdr:relSizeAnchor xmlns:cdr="http://schemas.openxmlformats.org/drawingml/2006/chartDrawing">
    <cdr:from>
      <cdr:x>0.78753</cdr:x>
      <cdr:y>0.03286</cdr:y>
    </cdr:from>
    <cdr:to>
      <cdr:x>0.79039</cdr:x>
      <cdr:y>0.60796</cdr:y>
    </cdr:to>
    <cdr:cxnSp macro="">
      <cdr:nvCxnSpPr>
        <cdr:cNvPr id="3" name="Straight Connector 2"/>
        <cdr:cNvCxnSpPr/>
      </cdr:nvCxnSpPr>
      <cdr:spPr>
        <a:xfrm xmlns:a="http://schemas.openxmlformats.org/drawingml/2006/main" flipH="1" flipV="1">
          <a:off x="4680760" y="101385"/>
          <a:ext cx="16999" cy="1774451"/>
        </a:xfrm>
        <a:prstGeom xmlns:a="http://schemas.openxmlformats.org/drawingml/2006/main" prst="line">
          <a:avLst/>
        </a:prstGeom>
        <a:ln xmlns:a="http://schemas.openxmlformats.org/drawingml/2006/main" w="2222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0.36132</cdr:x>
      <cdr:y>0.03297</cdr:y>
    </cdr:from>
    <cdr:to>
      <cdr:x>0.50965</cdr:x>
      <cdr:y>0.15385</cdr:y>
    </cdr:to>
    <cdr:sp macro="" textlink="">
      <cdr:nvSpPr>
        <cdr:cNvPr id="4" name="Text Box 3"/>
        <cdr:cNvSpPr txBox="1"/>
      </cdr:nvSpPr>
      <cdr:spPr>
        <a:xfrm xmlns:a="http://schemas.openxmlformats.org/drawingml/2006/main">
          <a:off x="2227386" y="105508"/>
          <a:ext cx="914400" cy="3868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hy-AM" sz="1100" b="1" i="1">
              <a:latin typeface="GHEA Grapalat" panose="02000506050000020003" pitchFamily="50" charset="0"/>
            </a:rPr>
            <a:t>Երկրներ</a:t>
          </a:r>
          <a:endParaRPr lang="en-US" sz="1100" b="1" i="1">
            <a:latin typeface="GHEA Grapalat" panose="02000506050000020003" pitchFamily="50" charset="0"/>
          </a:endParaRPr>
        </a:p>
      </cdr:txBody>
    </cdr:sp>
  </cdr:relSizeAnchor>
  <cdr:relSizeAnchor xmlns:cdr="http://schemas.openxmlformats.org/drawingml/2006/chartDrawing">
    <cdr:from>
      <cdr:x>0.77869</cdr:x>
      <cdr:y>0.02503</cdr:y>
    </cdr:from>
    <cdr:to>
      <cdr:x>0.92354</cdr:x>
      <cdr:y>0.20513</cdr:y>
    </cdr:to>
    <cdr:sp macro="" textlink="">
      <cdr:nvSpPr>
        <cdr:cNvPr id="5" name="Text Box 1"/>
        <cdr:cNvSpPr txBox="1"/>
      </cdr:nvSpPr>
      <cdr:spPr>
        <a:xfrm xmlns:a="http://schemas.openxmlformats.org/drawingml/2006/main">
          <a:off x="4628213" y="77229"/>
          <a:ext cx="860930" cy="55569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hy-AM" sz="1100" b="1" i="1">
              <a:latin typeface="GHEA Grapalat" panose="02000506050000020003" pitchFamily="50" charset="0"/>
            </a:rPr>
            <a:t>Երկրների խմբեր</a:t>
          </a:r>
          <a:endParaRPr lang="en-US" sz="1100" b="1" i="1">
            <a:latin typeface="GHEA Grapalat" panose="02000506050000020003" pitchFamily="50"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0.84657</cdr:x>
      <cdr:y>0.09722</cdr:y>
    </cdr:from>
    <cdr:to>
      <cdr:x>0.86043</cdr:x>
      <cdr:y>0.77778</cdr:y>
    </cdr:to>
    <cdr:sp macro="" textlink="">
      <cdr:nvSpPr>
        <cdr:cNvPr id="2" name="Left Brace 1"/>
        <cdr:cNvSpPr/>
      </cdr:nvSpPr>
      <cdr:spPr>
        <a:xfrm xmlns:a="http://schemas.openxmlformats.org/drawingml/2006/main">
          <a:off x="5604173" y="333374"/>
          <a:ext cx="91778" cy="2333625"/>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0.17801</cdr:x>
      <cdr:y>0.36558</cdr:y>
    </cdr:from>
    <cdr:to>
      <cdr:x>0.18562</cdr:x>
      <cdr:y>0.78591</cdr:y>
    </cdr:to>
    <cdr:sp macro="" textlink="">
      <cdr:nvSpPr>
        <cdr:cNvPr id="4" name="Left Brace 3"/>
        <cdr:cNvSpPr/>
      </cdr:nvSpPr>
      <cdr:spPr>
        <a:xfrm xmlns:a="http://schemas.openxmlformats.org/drawingml/2006/main">
          <a:off x="1070002" y="1238250"/>
          <a:ext cx="45719" cy="1423698"/>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0.67968</cdr:x>
      <cdr:y>0.23622</cdr:y>
    </cdr:from>
    <cdr:to>
      <cdr:x>0.69565</cdr:x>
      <cdr:y>0.77158</cdr:y>
    </cdr:to>
    <cdr:sp macro="" textlink="">
      <cdr:nvSpPr>
        <cdr:cNvPr id="7" name="Left Brace 6"/>
        <cdr:cNvSpPr/>
      </cdr:nvSpPr>
      <cdr:spPr>
        <a:xfrm xmlns:a="http://schemas.openxmlformats.org/drawingml/2006/main">
          <a:off x="4085496" y="800099"/>
          <a:ext cx="95980" cy="181331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0.3401</cdr:x>
      <cdr:y>0.2784</cdr:y>
    </cdr:from>
    <cdr:to>
      <cdr:x>0.35654</cdr:x>
      <cdr:y>0.77991</cdr:y>
    </cdr:to>
    <cdr:sp macro="" textlink="">
      <cdr:nvSpPr>
        <cdr:cNvPr id="8" name="Left Brace 7"/>
        <cdr:cNvSpPr/>
      </cdr:nvSpPr>
      <cdr:spPr>
        <a:xfrm xmlns:a="http://schemas.openxmlformats.org/drawingml/2006/main">
          <a:off x="2044310" y="942975"/>
          <a:ext cx="98815" cy="1698650"/>
        </a:xfrm>
        <a:prstGeom xmlns:a="http://schemas.openxmlformats.org/drawingml/2006/main" prst="leftBrace">
          <a:avLst>
            <a:gd name="adj1" fmla="val 89859"/>
            <a:gd name="adj2" fmla="val 50411"/>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0.50696</cdr:x>
      <cdr:y>0.18841</cdr:y>
    </cdr:from>
    <cdr:to>
      <cdr:x>0.52609</cdr:x>
      <cdr:y>0.78002</cdr:y>
    </cdr:to>
    <cdr:sp macro="" textlink="">
      <cdr:nvSpPr>
        <cdr:cNvPr id="6" name="Left Brace 5"/>
        <cdr:cNvSpPr/>
      </cdr:nvSpPr>
      <cdr:spPr>
        <a:xfrm xmlns:a="http://schemas.openxmlformats.org/drawingml/2006/main">
          <a:off x="3047271" y="638174"/>
          <a:ext cx="115030" cy="2003811"/>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7.xml><?xml version="1.0" encoding="utf-8"?>
<c:userShapes xmlns:c="http://schemas.openxmlformats.org/drawingml/2006/chart">
  <cdr:relSizeAnchor xmlns:cdr="http://schemas.openxmlformats.org/drawingml/2006/chartDrawing">
    <cdr:from>
      <cdr:x>0.30468</cdr:x>
      <cdr:y>0.20248</cdr:y>
    </cdr:from>
    <cdr:to>
      <cdr:x>0.34084</cdr:x>
      <cdr:y>0.66781</cdr:y>
    </cdr:to>
    <cdr:sp macro="" textlink="">
      <cdr:nvSpPr>
        <cdr:cNvPr id="2" name="Left Brace 1"/>
        <cdr:cNvSpPr/>
      </cdr:nvSpPr>
      <cdr:spPr>
        <a:xfrm xmlns:a="http://schemas.openxmlformats.org/drawingml/2006/main">
          <a:off x="1805092" y="933449"/>
          <a:ext cx="214207" cy="2145221"/>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0.15435</cdr:x>
      <cdr:y>0.21074</cdr:y>
    </cdr:from>
    <cdr:to>
      <cdr:x>0.17042</cdr:x>
      <cdr:y>0.67293</cdr:y>
    </cdr:to>
    <cdr:sp macro="" textlink="">
      <cdr:nvSpPr>
        <cdr:cNvPr id="4" name="Left Brace 3"/>
        <cdr:cNvSpPr/>
      </cdr:nvSpPr>
      <cdr:spPr>
        <a:xfrm xmlns:a="http://schemas.openxmlformats.org/drawingml/2006/main">
          <a:off x="914454" y="971549"/>
          <a:ext cx="95196" cy="2130725"/>
        </a:xfrm>
        <a:prstGeom xmlns:a="http://schemas.openxmlformats.org/drawingml/2006/main" prst="leftBrace">
          <a:avLst>
            <a:gd name="adj1" fmla="val 89859"/>
            <a:gd name="adj2" fmla="val 48978"/>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wrap="square">
          <a:noAutofit/>
        </a:bodyPr>
        <a:lstStyle xmlns:a="http://schemas.openxmlformats.org/drawingml/2006/main"/>
        <a:p xmlns:a="http://schemas.openxmlformats.org/drawingml/2006/main">
          <a:endParaRPr lang="en-US"/>
        </a:p>
      </cdr:txBody>
    </cdr:sp>
  </cdr:relSizeAnchor>
  <cdr:relSizeAnchor xmlns:cdr="http://schemas.openxmlformats.org/drawingml/2006/chartDrawing">
    <cdr:from>
      <cdr:x>0.64576</cdr:x>
      <cdr:y>0.12397</cdr:y>
    </cdr:from>
    <cdr:to>
      <cdr:x>0.67363</cdr:x>
      <cdr:y>0.65691</cdr:y>
    </cdr:to>
    <cdr:sp macro="" textlink="">
      <cdr:nvSpPr>
        <cdr:cNvPr id="5" name="Left Brace 4"/>
        <cdr:cNvSpPr/>
      </cdr:nvSpPr>
      <cdr:spPr>
        <a:xfrm xmlns:a="http://schemas.openxmlformats.org/drawingml/2006/main">
          <a:off x="3825837" y="571500"/>
          <a:ext cx="165138" cy="245692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0.82476</cdr:x>
      <cdr:y>0.16322</cdr:y>
    </cdr:from>
    <cdr:to>
      <cdr:x>0.84727</cdr:x>
      <cdr:y>0.67103</cdr:y>
    </cdr:to>
    <cdr:sp macro="" textlink="">
      <cdr:nvSpPr>
        <cdr:cNvPr id="6" name="Left Brace 5"/>
        <cdr:cNvSpPr/>
      </cdr:nvSpPr>
      <cdr:spPr>
        <a:xfrm xmlns:a="http://schemas.openxmlformats.org/drawingml/2006/main">
          <a:off x="4886332" y="752475"/>
          <a:ext cx="133343" cy="2341040"/>
        </a:xfrm>
        <a:prstGeom xmlns:a="http://schemas.openxmlformats.org/drawingml/2006/main" prst="leftBrace">
          <a:avLst>
            <a:gd name="adj1" fmla="val 89859"/>
            <a:gd name="adj2" fmla="val 50000"/>
          </a:avLst>
        </a:prstGeom>
        <a:ln xmlns:a="http://schemas.openxmlformats.org/drawingml/2006/main" w="222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28.xml><?xml version="1.0" encoding="utf-8"?>
<c:userShapes xmlns:c="http://schemas.openxmlformats.org/drawingml/2006/chart">
  <cdr:relSizeAnchor xmlns:cdr="http://schemas.openxmlformats.org/drawingml/2006/chartDrawing">
    <cdr:from>
      <cdr:x>0.14809</cdr:x>
      <cdr:y>0.48214</cdr:y>
    </cdr:from>
    <cdr:to>
      <cdr:x>0.16885</cdr:x>
      <cdr:y>0.7449</cdr:y>
    </cdr:to>
    <cdr:sp macro="" textlink="">
      <cdr:nvSpPr>
        <cdr:cNvPr id="2" name="Left Brace 1"/>
        <cdr:cNvSpPr>
          <a:spLocks xmlns:a="http://schemas.openxmlformats.org/drawingml/2006/main"/>
        </cdr:cNvSpPr>
      </cdr:nvSpPr>
      <cdr:spPr>
        <a:xfrm xmlns:a="http://schemas.openxmlformats.org/drawingml/2006/main">
          <a:off x="860425" y="1800224"/>
          <a:ext cx="120650" cy="981075"/>
        </a:xfrm>
        <a:prstGeom xmlns:a="http://schemas.openxmlformats.org/drawingml/2006/main" prst="leftBrace">
          <a:avLst>
            <a:gd name="adj1" fmla="val 89859"/>
            <a:gd name="adj2" fmla="val 50000"/>
          </a:avLst>
        </a:prstGeom>
        <a:ln xmlns:a="http://schemas.openxmlformats.org/drawingml/2006/main" w="47625">
          <a:solidFill>
            <a:schemeClr val="tx2">
              <a:lumMod val="75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3.xml><?xml version="1.0" encoding="utf-8"?>
<c:userShapes xmlns:c="http://schemas.openxmlformats.org/drawingml/2006/chart">
  <cdr:relSizeAnchor xmlns:cdr="http://schemas.openxmlformats.org/drawingml/2006/chartDrawing">
    <cdr:from>
      <cdr:x>0.64833</cdr:x>
      <cdr:y>0</cdr:y>
    </cdr:from>
    <cdr:to>
      <cdr:x>0.97237</cdr:x>
      <cdr:y>0.83248</cdr:y>
    </cdr:to>
    <cdr:sp macro="" textlink="">
      <cdr:nvSpPr>
        <cdr:cNvPr id="2" name="Rectangle 1"/>
        <cdr:cNvSpPr/>
      </cdr:nvSpPr>
      <cdr:spPr>
        <a:xfrm xmlns:a="http://schemas.openxmlformats.org/drawingml/2006/main">
          <a:off x="2007404" y="0"/>
          <a:ext cx="1003312" cy="1440503"/>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4.xml><?xml version="1.0" encoding="utf-8"?>
<c:userShapes xmlns:c="http://schemas.openxmlformats.org/drawingml/2006/chart">
  <cdr:relSizeAnchor xmlns:cdr="http://schemas.openxmlformats.org/drawingml/2006/chartDrawing">
    <cdr:from>
      <cdr:x>0.8322</cdr:x>
      <cdr:y>0</cdr:y>
    </cdr:from>
    <cdr:to>
      <cdr:x>0.90586</cdr:x>
      <cdr:y>0.87535</cdr:y>
    </cdr:to>
    <cdr:sp macro="" textlink="">
      <cdr:nvSpPr>
        <cdr:cNvPr id="2" name="Rectangle 1"/>
        <cdr:cNvSpPr/>
      </cdr:nvSpPr>
      <cdr:spPr>
        <a:xfrm xmlns:a="http://schemas.openxmlformats.org/drawingml/2006/main">
          <a:off x="2560321" y="0"/>
          <a:ext cx="226626" cy="164252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5.xml><?xml version="1.0" encoding="utf-8"?>
<c:userShapes xmlns:c="http://schemas.openxmlformats.org/drawingml/2006/chart">
  <cdr:relSizeAnchor xmlns:cdr="http://schemas.openxmlformats.org/drawingml/2006/chartDrawing">
    <cdr:from>
      <cdr:x>0.64143</cdr:x>
      <cdr:y>0</cdr:y>
    </cdr:from>
    <cdr:to>
      <cdr:x>0.98869</cdr:x>
      <cdr:y>0.71651</cdr:y>
    </cdr:to>
    <cdr:sp macro="" textlink="">
      <cdr:nvSpPr>
        <cdr:cNvPr id="2" name="Rectangle 1"/>
        <cdr:cNvSpPr/>
      </cdr:nvSpPr>
      <cdr:spPr>
        <a:xfrm xmlns:a="http://schemas.openxmlformats.org/drawingml/2006/main">
          <a:off x="1937981" y="0"/>
          <a:ext cx="1049177" cy="1290789"/>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0.62481</cdr:x>
      <cdr:y>0</cdr:y>
    </cdr:from>
    <cdr:to>
      <cdr:x>0.96722</cdr:x>
      <cdr:y>0.76567</cdr:y>
    </cdr:to>
    <cdr:sp macro="" textlink="">
      <cdr:nvSpPr>
        <cdr:cNvPr id="2" name="Rectangle 1"/>
        <cdr:cNvSpPr/>
      </cdr:nvSpPr>
      <cdr:spPr>
        <a:xfrm xmlns:a="http://schemas.openxmlformats.org/drawingml/2006/main">
          <a:off x="1951630" y="0"/>
          <a:ext cx="1069545" cy="1430402"/>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7.xml><?xml version="1.0" encoding="utf-8"?>
<c:userShapes xmlns:c="http://schemas.openxmlformats.org/drawingml/2006/chart">
  <cdr:relSizeAnchor xmlns:cdr="http://schemas.openxmlformats.org/drawingml/2006/chartDrawing">
    <cdr:from>
      <cdr:x>0.64026</cdr:x>
      <cdr:y>0.03501</cdr:y>
    </cdr:from>
    <cdr:to>
      <cdr:x>0.94714</cdr:x>
      <cdr:y>0.72003</cdr:y>
    </cdr:to>
    <cdr:sp macro="" textlink="">
      <cdr:nvSpPr>
        <cdr:cNvPr id="2" name="Rectangle 1"/>
        <cdr:cNvSpPr/>
      </cdr:nvSpPr>
      <cdr:spPr>
        <a:xfrm xmlns:a="http://schemas.openxmlformats.org/drawingml/2006/main">
          <a:off x="1992572" y="63293"/>
          <a:ext cx="955055" cy="1238410"/>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8.xml><?xml version="1.0" encoding="utf-8"?>
<c:userShapes xmlns:c="http://schemas.openxmlformats.org/drawingml/2006/chart">
  <cdr:relSizeAnchor xmlns:cdr="http://schemas.openxmlformats.org/drawingml/2006/chartDrawing">
    <cdr:from>
      <cdr:x>0.63563</cdr:x>
      <cdr:y>0.07084</cdr:y>
    </cdr:from>
    <cdr:to>
      <cdr:x>0.93694</cdr:x>
      <cdr:y>0.79503</cdr:y>
    </cdr:to>
    <cdr:sp macro="" textlink="">
      <cdr:nvSpPr>
        <cdr:cNvPr id="2" name="Rectangle 1"/>
        <cdr:cNvSpPr/>
      </cdr:nvSpPr>
      <cdr:spPr>
        <a:xfrm xmlns:a="http://schemas.openxmlformats.org/drawingml/2006/main">
          <a:off x="1972102" y="128068"/>
          <a:ext cx="934872" cy="1309223"/>
        </a:xfrm>
        <a:prstGeom xmlns:a="http://schemas.openxmlformats.org/drawingml/2006/main" prst="rect">
          <a:avLst/>
        </a:prstGeom>
        <a:solidFill xmlns:a="http://schemas.openxmlformats.org/drawingml/2006/main">
          <a:srgbClr val="D8E2F4">
            <a:alpha val="21176"/>
          </a:srgb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drawings/drawing9.xml><?xml version="1.0" encoding="utf-8"?>
<c:userShapes xmlns:c="http://schemas.openxmlformats.org/drawingml/2006/chart">
  <cdr:relSizeAnchor xmlns:cdr="http://schemas.openxmlformats.org/drawingml/2006/chartDrawing">
    <cdr:from>
      <cdr:x>0.61847</cdr:x>
      <cdr:y>0.02286</cdr:y>
    </cdr:from>
    <cdr:to>
      <cdr:x>0.92016</cdr:x>
      <cdr:y>0.84874</cdr:y>
    </cdr:to>
    <cdr:sp macro="" textlink="">
      <cdr:nvSpPr>
        <cdr:cNvPr id="3" name="Rectangle 2"/>
        <cdr:cNvSpPr/>
      </cdr:nvSpPr>
      <cdr:spPr>
        <a:xfrm xmlns:a="http://schemas.openxmlformats.org/drawingml/2006/main">
          <a:off x="1990725" y="51822"/>
          <a:ext cx="971100" cy="1872228"/>
        </a:xfrm>
        <a:prstGeom xmlns:a="http://schemas.openxmlformats.org/drawingml/2006/main" prst="rect">
          <a:avLst/>
        </a:prstGeom>
        <a:solidFill xmlns:a="http://schemas.openxmlformats.org/drawingml/2006/main">
          <a:srgbClr val="D8E2F4">
            <a:alpha val="50000"/>
          </a:srgbClr>
        </a:solidFill>
        <a:ln xmlns:a="http://schemas.openxmlformats.org/drawingml/2006/main">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Աղյուսակ</b:Tag>
    <b:RefOrder>2</b:RefOrder>
  </b:Source>
  <b:Source>
    <b:Tag>Placeholder1</b:Tag>
    <b:SourceType>Book</b:SourceType>
    <b:Guid>{2AE0E246-06CA-492A-BE9E-19E05D9F8719}</b:Guid>
    <b:RefOrder>1</b:RefOrder>
  </b:Source>
</b:Sources>
</file>

<file path=customXml/itemProps1.xml><?xml version="1.0" encoding="utf-8"?>
<ds:datastoreItem xmlns:ds="http://schemas.openxmlformats.org/officeDocument/2006/customXml" ds:itemID="{E7A204AC-51D8-4236-B2B4-9E3FB4944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240</Pages>
  <Words>59492</Words>
  <Characters>476541</Characters>
  <Application>Microsoft Office Word</Application>
  <DocSecurity>0</DocSecurity>
  <Lines>3971</Lines>
  <Paragraphs>1069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Մ Ա Ս   I</vt:lpstr>
      <vt:lpstr>Մ Ա Ս   I</vt:lpstr>
    </vt:vector>
  </TitlesOfParts>
  <Company>Compass</Company>
  <LinksUpToDate>false</LinksUpToDate>
  <CharactersWithSpaces>534964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Մ Ա Ս   I</dc:title>
  <dc:creator>User</dc:creator>
  <cp:keywords>https:/mul2-minfin.gov.am/tasks/372275/oneclick/3.2022_Uxerdz-30.09.21.docx?token=51287b283e7b91d2246d64cbec7c963c</cp:keywords>
  <cp:lastModifiedBy>Eduard Bagdasaryan</cp:lastModifiedBy>
  <cp:revision>15</cp:revision>
  <cp:lastPrinted>2021-12-03T07:53:00Z</cp:lastPrinted>
  <dcterms:created xsi:type="dcterms:W3CDTF">2021-12-03T08:30:00Z</dcterms:created>
  <dcterms:modified xsi:type="dcterms:W3CDTF">2021-12-03T09:05:00Z</dcterms:modified>
</cp:coreProperties>
</file>